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D86" w:rsidRPr="001F089F" w:rsidRDefault="001E3125">
      <w:pPr>
        <w:spacing w:line="360" w:lineRule="auto"/>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CA36B9" w:rsidRPr="001F089F">
        <w:rPr>
          <w:rFonts w:ascii="Palatino Linotype" w:eastAsia="Palatino Linotype" w:hAnsi="Palatino Linotype" w:cs="Palatino Linotype"/>
          <w:sz w:val="22"/>
          <w:szCs w:val="22"/>
        </w:rPr>
        <w:t>seis (06) de marzo</w:t>
      </w:r>
      <w:r w:rsidR="00AE262A" w:rsidRPr="001F089F">
        <w:rPr>
          <w:rFonts w:ascii="Palatino Linotype" w:eastAsia="Palatino Linotype" w:hAnsi="Palatino Linotype" w:cs="Palatino Linotype"/>
          <w:sz w:val="22"/>
          <w:szCs w:val="22"/>
        </w:rPr>
        <w:t xml:space="preserve"> de dos mil veinticinco</w:t>
      </w:r>
      <w:r w:rsidRPr="001F089F">
        <w:rPr>
          <w:rFonts w:ascii="Palatino Linotype" w:eastAsia="Palatino Linotype" w:hAnsi="Palatino Linotype" w:cs="Palatino Linotype"/>
          <w:sz w:val="22"/>
          <w:szCs w:val="22"/>
        </w:rPr>
        <w:t>.</w:t>
      </w:r>
    </w:p>
    <w:p w:rsidR="00E94D86" w:rsidRPr="001F089F" w:rsidRDefault="00E94D86" w:rsidP="00C82ED1">
      <w:pPr>
        <w:jc w:val="both"/>
        <w:rPr>
          <w:rFonts w:ascii="Palatino Linotype" w:eastAsia="Palatino Linotype" w:hAnsi="Palatino Linotype" w:cs="Palatino Linotype"/>
          <w:sz w:val="22"/>
          <w:szCs w:val="22"/>
        </w:rPr>
      </w:pPr>
    </w:p>
    <w:p w:rsidR="00E94D86" w:rsidRPr="001F089F" w:rsidRDefault="001E3125">
      <w:pPr>
        <w:spacing w:line="360" w:lineRule="auto"/>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b/>
          <w:sz w:val="22"/>
          <w:szCs w:val="22"/>
        </w:rPr>
        <w:t>VISTO</w:t>
      </w:r>
      <w:r w:rsidRPr="001F089F">
        <w:rPr>
          <w:rFonts w:ascii="Palatino Linotype" w:eastAsia="Palatino Linotype" w:hAnsi="Palatino Linotype" w:cs="Palatino Linotype"/>
          <w:sz w:val="22"/>
          <w:szCs w:val="22"/>
        </w:rPr>
        <w:t xml:space="preserve"> el expediente electrónico formado con motivo del recurso de revisión </w:t>
      </w:r>
      <w:r w:rsidR="00CA36B9" w:rsidRPr="001F089F">
        <w:rPr>
          <w:rFonts w:ascii="Palatino Linotype" w:eastAsia="Palatino Linotype" w:hAnsi="Palatino Linotype" w:cs="Palatino Linotype"/>
          <w:b/>
          <w:sz w:val="22"/>
          <w:szCs w:val="22"/>
        </w:rPr>
        <w:t>04163</w:t>
      </w:r>
      <w:r w:rsidRPr="001F089F">
        <w:rPr>
          <w:rFonts w:ascii="Palatino Linotype" w:eastAsia="Palatino Linotype" w:hAnsi="Palatino Linotype" w:cs="Palatino Linotype"/>
          <w:b/>
          <w:sz w:val="22"/>
          <w:szCs w:val="22"/>
        </w:rPr>
        <w:t xml:space="preserve">/INFOEM/IP/RR/2024, </w:t>
      </w:r>
      <w:r w:rsidRPr="001F089F">
        <w:rPr>
          <w:rFonts w:ascii="Palatino Linotype" w:eastAsia="Palatino Linotype" w:hAnsi="Palatino Linotype" w:cs="Palatino Linotype"/>
          <w:sz w:val="22"/>
          <w:szCs w:val="22"/>
        </w:rPr>
        <w:t>promovido por</w:t>
      </w:r>
      <w:r w:rsidR="004401C8" w:rsidRPr="001F089F">
        <w:rPr>
          <w:rFonts w:ascii="Palatino Linotype" w:eastAsia="Palatino Linotype" w:hAnsi="Palatino Linotype" w:cs="Palatino Linotype"/>
          <w:sz w:val="22"/>
          <w:szCs w:val="22"/>
        </w:rPr>
        <w:t xml:space="preserve"> </w:t>
      </w:r>
      <w:r w:rsidR="008806F8">
        <w:rPr>
          <w:rFonts w:ascii="Palatino Linotype" w:eastAsia="Palatino Linotype" w:hAnsi="Palatino Linotype" w:cs="Palatino Linotype"/>
          <w:b/>
          <w:sz w:val="22"/>
          <w:szCs w:val="22"/>
        </w:rPr>
        <w:t>XXXX</w:t>
      </w:r>
      <w:r w:rsidR="00BB31CC" w:rsidRPr="001F089F">
        <w:rPr>
          <w:rFonts w:ascii="Palatino Linotype" w:eastAsia="Palatino Linotype" w:hAnsi="Palatino Linotype" w:cs="Palatino Linotype"/>
          <w:sz w:val="22"/>
          <w:szCs w:val="22"/>
        </w:rPr>
        <w:t>, en adelante el</w:t>
      </w:r>
      <w:r w:rsidR="004401C8" w:rsidRPr="001F089F">
        <w:rPr>
          <w:rFonts w:ascii="Palatino Linotype" w:eastAsia="Palatino Linotype" w:hAnsi="Palatino Linotype" w:cs="Palatino Linotype"/>
          <w:b/>
          <w:sz w:val="22"/>
          <w:szCs w:val="22"/>
        </w:rPr>
        <w:t xml:space="preserve"> RECURRENTE</w:t>
      </w:r>
      <w:r w:rsidRPr="001F089F">
        <w:rPr>
          <w:rFonts w:ascii="Palatino Linotype" w:eastAsia="Palatino Linotype" w:hAnsi="Palatino Linotype" w:cs="Palatino Linotype"/>
          <w:b/>
          <w:sz w:val="22"/>
          <w:szCs w:val="22"/>
        </w:rPr>
        <w:t>,</w:t>
      </w:r>
      <w:r w:rsidRPr="001F089F">
        <w:rPr>
          <w:rFonts w:ascii="Palatino Linotype" w:eastAsia="Palatino Linotype" w:hAnsi="Palatino Linotype" w:cs="Palatino Linotype"/>
          <w:sz w:val="22"/>
          <w:szCs w:val="22"/>
        </w:rPr>
        <w:t xml:space="preserve"> en contra de la respuesta del </w:t>
      </w:r>
      <w:r w:rsidR="00CA36B9" w:rsidRPr="001F089F">
        <w:rPr>
          <w:rFonts w:ascii="Palatino Linotype" w:eastAsia="Palatino Linotype" w:hAnsi="Palatino Linotype" w:cs="Palatino Linotype"/>
          <w:b/>
          <w:color w:val="000000"/>
          <w:sz w:val="22"/>
          <w:szCs w:val="22"/>
        </w:rPr>
        <w:t>Ayuntamiento de Ecatzingo</w:t>
      </w:r>
      <w:r w:rsidRPr="001F089F">
        <w:rPr>
          <w:rFonts w:ascii="Palatino Linotype" w:eastAsia="Palatino Linotype" w:hAnsi="Palatino Linotype" w:cs="Palatino Linotype"/>
          <w:b/>
          <w:sz w:val="22"/>
          <w:szCs w:val="22"/>
        </w:rPr>
        <w:t xml:space="preserve">, </w:t>
      </w:r>
      <w:r w:rsidRPr="001F089F">
        <w:rPr>
          <w:rFonts w:ascii="Palatino Linotype" w:eastAsia="Palatino Linotype" w:hAnsi="Palatino Linotype" w:cs="Palatino Linotype"/>
          <w:sz w:val="22"/>
          <w:szCs w:val="22"/>
        </w:rPr>
        <w:t>en adelante el</w:t>
      </w:r>
      <w:r w:rsidRPr="001F089F">
        <w:rPr>
          <w:rFonts w:ascii="Palatino Linotype" w:eastAsia="Palatino Linotype" w:hAnsi="Palatino Linotype" w:cs="Palatino Linotype"/>
          <w:b/>
          <w:sz w:val="22"/>
          <w:szCs w:val="22"/>
        </w:rPr>
        <w:t xml:space="preserve"> SUJETO OBLIGADO</w:t>
      </w:r>
      <w:r w:rsidRPr="001F089F">
        <w:rPr>
          <w:rFonts w:ascii="Palatino Linotype" w:eastAsia="Palatino Linotype" w:hAnsi="Palatino Linotype" w:cs="Palatino Linotype"/>
          <w:sz w:val="22"/>
          <w:szCs w:val="22"/>
        </w:rPr>
        <w:t>, por lo que se procede a dictar la presente resolución, con base en los siguientes:</w:t>
      </w:r>
    </w:p>
    <w:p w:rsidR="00E94D86" w:rsidRPr="001F089F" w:rsidRDefault="00E94D86" w:rsidP="00C82ED1">
      <w:pPr>
        <w:jc w:val="both"/>
        <w:rPr>
          <w:rFonts w:ascii="Palatino Linotype" w:eastAsia="Palatino Linotype" w:hAnsi="Palatino Linotype" w:cs="Palatino Linotype"/>
          <w:sz w:val="22"/>
          <w:szCs w:val="22"/>
        </w:rPr>
      </w:pPr>
    </w:p>
    <w:p w:rsidR="00E94D86" w:rsidRPr="001F089F" w:rsidRDefault="001E3125">
      <w:pPr>
        <w:keepNext/>
        <w:keepLines/>
        <w:spacing w:line="360" w:lineRule="auto"/>
        <w:jc w:val="center"/>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A N T E C E D E N T E S</w:t>
      </w:r>
    </w:p>
    <w:p w:rsidR="00E94D86" w:rsidRPr="001F089F" w:rsidRDefault="00E94D86" w:rsidP="00C82ED1">
      <w:pPr>
        <w:rPr>
          <w:rFonts w:ascii="Palatino Linotype" w:eastAsia="Palatino Linotype" w:hAnsi="Palatino Linotype" w:cs="Palatino Linotype"/>
          <w:sz w:val="22"/>
          <w:szCs w:val="22"/>
        </w:rPr>
      </w:pPr>
    </w:p>
    <w:p w:rsidR="00E94D86" w:rsidRPr="001F089F" w:rsidRDefault="001E3125">
      <w:pPr>
        <w:numPr>
          <w:ilvl w:val="0"/>
          <w:numId w:val="1"/>
        </w:numPr>
        <w:spacing w:line="360" w:lineRule="auto"/>
        <w:ind w:left="0"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w:t>
      </w:r>
      <w:r w:rsidR="00CA36B9" w:rsidRPr="001F089F">
        <w:rPr>
          <w:rFonts w:ascii="Palatino Linotype" w:eastAsia="Palatino Linotype" w:hAnsi="Palatino Linotype" w:cs="Palatino Linotype"/>
          <w:sz w:val="22"/>
          <w:szCs w:val="22"/>
        </w:rPr>
        <w:t>diez de junio</w:t>
      </w:r>
      <w:r w:rsidR="006E5F99" w:rsidRPr="001F089F">
        <w:rPr>
          <w:rFonts w:ascii="Palatino Linotype" w:eastAsia="Palatino Linotype" w:hAnsi="Palatino Linotype" w:cs="Palatino Linotype"/>
          <w:sz w:val="22"/>
          <w:szCs w:val="22"/>
        </w:rPr>
        <w:t xml:space="preserve"> </w:t>
      </w:r>
      <w:r w:rsidRPr="001F089F">
        <w:rPr>
          <w:rFonts w:ascii="Palatino Linotype" w:eastAsia="Palatino Linotype" w:hAnsi="Palatino Linotype" w:cs="Palatino Linotype"/>
          <w:sz w:val="22"/>
          <w:szCs w:val="22"/>
        </w:rPr>
        <w:t>de dos mil veinticuatro, la</w:t>
      </w:r>
      <w:r w:rsidRPr="001F089F">
        <w:rPr>
          <w:rFonts w:ascii="Palatino Linotype" w:eastAsia="Palatino Linotype" w:hAnsi="Palatino Linotype" w:cs="Palatino Linotype"/>
          <w:b/>
          <w:sz w:val="22"/>
          <w:szCs w:val="22"/>
        </w:rPr>
        <w:t xml:space="preserve"> RECURRENTE </w:t>
      </w:r>
      <w:r w:rsidRPr="001F089F">
        <w:rPr>
          <w:rFonts w:ascii="Palatino Linotype" w:eastAsia="Palatino Linotype" w:hAnsi="Palatino Linotype" w:cs="Palatino Linotype"/>
          <w:sz w:val="22"/>
          <w:szCs w:val="22"/>
        </w:rPr>
        <w:t xml:space="preserve">presentó ante 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a través del el Sistema de Acceso a la Información Mexiquense </w:t>
      </w:r>
      <w:r w:rsidRPr="001F089F">
        <w:rPr>
          <w:rFonts w:ascii="Palatino Linotype" w:eastAsia="Palatino Linotype" w:hAnsi="Palatino Linotype" w:cs="Palatino Linotype"/>
          <w:b/>
          <w:sz w:val="22"/>
          <w:szCs w:val="22"/>
        </w:rPr>
        <w:t>(SAIMEX),</w:t>
      </w:r>
      <w:r w:rsidRPr="001F089F">
        <w:rPr>
          <w:rFonts w:ascii="Palatino Linotype" w:eastAsia="Palatino Linotype" w:hAnsi="Palatino Linotype" w:cs="Palatino Linotype"/>
          <w:sz w:val="22"/>
          <w:szCs w:val="22"/>
        </w:rPr>
        <w:t xml:space="preserve"> la solicitud de información pública </w:t>
      </w:r>
      <w:r w:rsidR="00CA36B9" w:rsidRPr="001F089F">
        <w:rPr>
          <w:rFonts w:ascii="Palatino Linotype" w:eastAsia="Palatino Linotype" w:hAnsi="Palatino Linotype" w:cs="Palatino Linotype"/>
          <w:b/>
          <w:sz w:val="22"/>
          <w:szCs w:val="22"/>
        </w:rPr>
        <w:t>0004</w:t>
      </w:r>
      <w:r w:rsidR="003A1F84" w:rsidRPr="001F089F">
        <w:rPr>
          <w:rFonts w:ascii="Palatino Linotype" w:eastAsia="Palatino Linotype" w:hAnsi="Palatino Linotype" w:cs="Palatino Linotype"/>
          <w:b/>
          <w:sz w:val="22"/>
          <w:szCs w:val="22"/>
        </w:rPr>
        <w:t>4</w:t>
      </w:r>
      <w:r w:rsidRPr="001F089F">
        <w:rPr>
          <w:rFonts w:ascii="Palatino Linotype" w:eastAsia="Palatino Linotype" w:hAnsi="Palatino Linotype" w:cs="Palatino Linotype"/>
          <w:b/>
          <w:sz w:val="22"/>
          <w:szCs w:val="22"/>
        </w:rPr>
        <w:t>/</w:t>
      </w:r>
      <w:r w:rsidR="00CA36B9" w:rsidRPr="001F089F">
        <w:rPr>
          <w:rFonts w:ascii="Palatino Linotype" w:eastAsia="Palatino Linotype" w:hAnsi="Palatino Linotype" w:cs="Palatino Linotype"/>
          <w:b/>
          <w:sz w:val="22"/>
          <w:szCs w:val="22"/>
        </w:rPr>
        <w:t>ECATZIN</w:t>
      </w:r>
      <w:r w:rsidRPr="001F089F">
        <w:rPr>
          <w:rFonts w:ascii="Palatino Linotype" w:eastAsia="Palatino Linotype" w:hAnsi="Palatino Linotype" w:cs="Palatino Linotype"/>
          <w:b/>
          <w:sz w:val="22"/>
          <w:szCs w:val="22"/>
        </w:rPr>
        <w:t>/IP/2024</w:t>
      </w:r>
      <w:r w:rsidRPr="001F089F">
        <w:rPr>
          <w:rFonts w:ascii="Palatino Linotype" w:eastAsia="Palatino Linotype" w:hAnsi="Palatino Linotype" w:cs="Palatino Linotype"/>
          <w:sz w:val="22"/>
          <w:szCs w:val="22"/>
        </w:rPr>
        <w:t>, en la que solicitó:</w:t>
      </w:r>
    </w:p>
    <w:p w:rsidR="00E94D86" w:rsidRPr="001F089F" w:rsidRDefault="00E94D86" w:rsidP="00C82ED1">
      <w:pPr>
        <w:jc w:val="both"/>
        <w:rPr>
          <w:rFonts w:ascii="Palatino Linotype" w:eastAsia="Palatino Linotype" w:hAnsi="Palatino Linotype" w:cs="Palatino Linotype"/>
          <w:sz w:val="22"/>
          <w:szCs w:val="22"/>
        </w:rPr>
      </w:pPr>
    </w:p>
    <w:p w:rsidR="006E5F99" w:rsidRPr="001F089F" w:rsidRDefault="001E3125" w:rsidP="003A1F84">
      <w:pPr>
        <w:ind w:left="567" w:right="567"/>
        <w:jc w:val="both"/>
        <w:rPr>
          <w:rFonts w:ascii="Palatino Linotype" w:hAnsi="Palatino Linotype"/>
          <w:i/>
          <w:sz w:val="22"/>
          <w:szCs w:val="22"/>
        </w:rPr>
      </w:pPr>
      <w:r w:rsidRPr="001F089F">
        <w:rPr>
          <w:rFonts w:ascii="Palatino Linotype" w:eastAsia="Palatino Linotype" w:hAnsi="Palatino Linotype" w:cs="Palatino Linotype"/>
          <w:i/>
          <w:color w:val="000000"/>
          <w:sz w:val="22"/>
          <w:szCs w:val="22"/>
        </w:rPr>
        <w:t>“</w:t>
      </w:r>
      <w:r w:rsidR="00CA36B9" w:rsidRPr="001F089F">
        <w:rPr>
          <w:rFonts w:ascii="Palatino Linotype" w:hAnsi="Palatino Linotype"/>
          <w:i/>
          <w:color w:val="000000"/>
          <w:sz w:val="22"/>
          <w:szCs w:val="22"/>
        </w:rPr>
        <w:t xml:space="preserve">Buena  tarde, por medio de la presente solicito a Usted, se me proporcione la siguiente información de los ejercicios fiscales 2022, 2023 y 2024 de la actual administración incluyendo a los organismos desconcentrados, así como el Sistema Municipal DIF. • Informes Anuales y Trimestrales de Avance de Gestión Financiera y acuse de recibido por el Órgano Superior de Fiscalización del Estado de México. • Estado que guarda la Cuenta Pública Municipal, aprobada mediante acta de sesión de cabildo. Presupuesto de Egresos e Ingresos Vigente aprobada mediante acta de sesión de cabildo. Relación de pasivos y cuentas por cobrar Relación de cuentas bancarias que se manejen Estado de Deuda Pública debidamente autorizado mediante acta de sesión de cabildo. • Situación de la Deuda Pública Municipal y su registro. • Presentar la situación de la Deuda Pública Estado Analítico de la Deuda Púbica y otros pasivos. Endeudamiento neto. Intereses de la deuda. Relación de contratos de consultoría, arrendamiento, compra-venta, poderes otorgados, servicios, asesorías o de cualquier otra índole que deriven de derechos u obligaciones • Estado de la Obra Pública ejecutada y en proceso. Relación de obras en proceso. Inventario de Expedientes Técnicos Unitarios Inventario de Obras Publicas terminadas y en proceso • Situación que guardan las aportaciones estatales y federales, con sus respectivos comprobantes. Informe que refleje los montos recibidos y pendientes por recibir. Presentar copia de los estados de cuenta, que soporte dicho informe. • Inventario de bienes muebles e inmuebles. Relación de bienes que componen el patrimonio </w:t>
      </w:r>
      <w:r w:rsidR="00CA36B9" w:rsidRPr="001F089F">
        <w:rPr>
          <w:rFonts w:ascii="Palatino Linotype" w:hAnsi="Palatino Linotype"/>
          <w:i/>
          <w:color w:val="000000"/>
          <w:sz w:val="22"/>
          <w:szCs w:val="22"/>
        </w:rPr>
        <w:lastRenderedPageBreak/>
        <w:t>Municipal. Inventario de bienes muebles. Inventario de bienes inmuebles. • Plantilla actualizada con nombre, puesto, adscripción y detalle de percepciones mensuales, así como que tipo de relación contractual se tiene, si se contrato por tiempo determinado, indeterminado o por obras determinada. Relación de personal con licencias y permisos Relación de percepciones pendientes de cubrir a los trabajadores explicando las causas que las motivaron. • Relación de juicios laborales en tramite y laudos pendientes de cumplir. • Expedientes que contengan observaciones, recomendaciones o apercibimientos emitidos por el Órganos Superior de Fiscalización</w:t>
      </w:r>
      <w:r w:rsidR="003A1F84" w:rsidRPr="001F089F">
        <w:rPr>
          <w:rFonts w:ascii="Palatino Linotype" w:hAnsi="Palatino Linotype"/>
          <w:i/>
          <w:sz w:val="22"/>
          <w:szCs w:val="22"/>
        </w:rPr>
        <w:t>.</w:t>
      </w:r>
      <w:r w:rsidRPr="001F089F">
        <w:rPr>
          <w:rFonts w:ascii="Palatino Linotype" w:eastAsia="Palatino Linotype" w:hAnsi="Palatino Linotype" w:cs="Palatino Linotype"/>
          <w:i/>
          <w:color w:val="000000"/>
          <w:sz w:val="22"/>
          <w:szCs w:val="22"/>
        </w:rPr>
        <w:t xml:space="preserve">” (Sic) </w:t>
      </w:r>
    </w:p>
    <w:p w:rsidR="00E94D86" w:rsidRPr="001F089F" w:rsidRDefault="00E94D86" w:rsidP="00CA36B9">
      <w:pPr>
        <w:pBdr>
          <w:top w:val="nil"/>
          <w:left w:val="nil"/>
          <w:bottom w:val="nil"/>
          <w:right w:val="nil"/>
          <w:between w:val="nil"/>
        </w:pBdr>
        <w:jc w:val="both"/>
        <w:rPr>
          <w:rFonts w:ascii="Palatino Linotype" w:eastAsia="Palatino Linotype" w:hAnsi="Palatino Linotype" w:cs="Palatino Linotype"/>
          <w:color w:val="000000"/>
          <w:sz w:val="22"/>
          <w:szCs w:val="22"/>
        </w:rPr>
      </w:pPr>
    </w:p>
    <w:p w:rsidR="00E94D86" w:rsidRPr="001F089F" w:rsidRDefault="001E3125">
      <w:pPr>
        <w:numPr>
          <w:ilvl w:val="0"/>
          <w:numId w:val="1"/>
        </w:numPr>
        <w:spacing w:line="360" w:lineRule="auto"/>
        <w:ind w:left="0"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Se hace constar que se señaló como modalidad de entrega de la información a través del </w:t>
      </w:r>
      <w:r w:rsidRPr="001F089F">
        <w:rPr>
          <w:rFonts w:ascii="Palatino Linotype" w:eastAsia="Palatino Linotype" w:hAnsi="Palatino Linotype" w:cs="Palatino Linotype"/>
          <w:b/>
          <w:sz w:val="22"/>
          <w:szCs w:val="22"/>
        </w:rPr>
        <w:t>SAIMEX.</w:t>
      </w:r>
      <w:bookmarkStart w:id="0" w:name="_GoBack"/>
      <w:bookmarkEnd w:id="0"/>
    </w:p>
    <w:p w:rsidR="00E94D86" w:rsidRPr="001F089F" w:rsidRDefault="00E94D86" w:rsidP="00C82ED1">
      <w:pPr>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w:t>
      </w:r>
      <w:r w:rsidR="00CA36B9" w:rsidRPr="001F089F">
        <w:rPr>
          <w:rFonts w:ascii="Palatino Linotype" w:eastAsia="Palatino Linotype" w:hAnsi="Palatino Linotype" w:cs="Palatino Linotype"/>
          <w:sz w:val="22"/>
          <w:szCs w:val="22"/>
        </w:rPr>
        <w:t>cinco de julio</w:t>
      </w:r>
      <w:r w:rsidRPr="001F089F">
        <w:rPr>
          <w:rFonts w:ascii="Palatino Linotype" w:eastAsia="Palatino Linotype" w:hAnsi="Palatino Linotype" w:cs="Palatino Linotype"/>
          <w:sz w:val="22"/>
          <w:szCs w:val="22"/>
        </w:rPr>
        <w:t xml:space="preserve"> de dos mil veinticuatro, 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b/>
          <w:i/>
          <w:sz w:val="22"/>
          <w:szCs w:val="22"/>
        </w:rPr>
        <w:t xml:space="preserve"> </w:t>
      </w:r>
      <w:r w:rsidRPr="001F089F">
        <w:rPr>
          <w:rFonts w:ascii="Palatino Linotype" w:eastAsia="Palatino Linotype" w:hAnsi="Palatino Linotype" w:cs="Palatino Linotype"/>
          <w:sz w:val="22"/>
          <w:szCs w:val="22"/>
        </w:rPr>
        <w:t>dio respuesta a la solicitud de información, en los siguientes términos:</w:t>
      </w:r>
    </w:p>
    <w:p w:rsidR="00E94D86" w:rsidRPr="001F089F" w:rsidRDefault="00E94D86" w:rsidP="00C82ED1">
      <w:pPr>
        <w:ind w:right="-592"/>
        <w:jc w:val="both"/>
        <w:rPr>
          <w:rFonts w:ascii="Palatino Linotype" w:eastAsia="Palatino Linotype" w:hAnsi="Palatino Linotype" w:cs="Palatino Linotype"/>
          <w:sz w:val="22"/>
          <w:szCs w:val="22"/>
        </w:rPr>
      </w:pPr>
    </w:p>
    <w:p w:rsidR="00E94D86" w:rsidRPr="001F089F" w:rsidRDefault="004401C8" w:rsidP="00CA36B9">
      <w:pPr>
        <w:ind w:left="567" w:right="567"/>
        <w:jc w:val="both"/>
        <w:rPr>
          <w:rFonts w:ascii="Palatino Linotype" w:eastAsia="Palatino Linotype" w:hAnsi="Palatino Linotype" w:cs="Palatino Linotype"/>
          <w:i/>
          <w:color w:val="000000"/>
          <w:sz w:val="22"/>
          <w:szCs w:val="22"/>
        </w:rPr>
      </w:pPr>
      <w:r w:rsidRPr="001F089F">
        <w:rPr>
          <w:rFonts w:ascii="Palatino Linotype" w:eastAsia="Palatino Linotype" w:hAnsi="Palatino Linotype" w:cs="Palatino Linotype"/>
          <w:i/>
          <w:sz w:val="22"/>
          <w:szCs w:val="22"/>
        </w:rPr>
        <w:t>“…</w:t>
      </w:r>
      <w:r w:rsidR="00CA36B9" w:rsidRPr="001F089F">
        <w:rPr>
          <w:rFonts w:ascii="Palatino Linotype" w:hAnsi="Palatino Linotype"/>
          <w:i/>
          <w:color w:val="000000"/>
          <w:sz w:val="22"/>
          <w:szCs w:val="22"/>
        </w:rPr>
        <w:t xml:space="preserve">en atención a la solicitud con folio </w:t>
      </w:r>
      <w:r w:rsidR="0010521C" w:rsidRPr="001F089F">
        <w:rPr>
          <w:rFonts w:ascii="Palatino Linotype" w:hAnsi="Palatino Linotype"/>
          <w:i/>
          <w:color w:val="000000"/>
          <w:sz w:val="22"/>
          <w:szCs w:val="22"/>
        </w:rPr>
        <w:t>número</w:t>
      </w:r>
      <w:r w:rsidR="00CA36B9" w:rsidRPr="001F089F">
        <w:rPr>
          <w:rFonts w:ascii="Palatino Linotype" w:hAnsi="Palatino Linotype"/>
          <w:i/>
          <w:color w:val="000000"/>
          <w:sz w:val="22"/>
          <w:szCs w:val="22"/>
        </w:rPr>
        <w:t xml:space="preserve"> 00044/ECATZIN/IP/2024 remito la siguiente información</w:t>
      </w:r>
      <w:r w:rsidR="001E3125" w:rsidRPr="001F089F">
        <w:rPr>
          <w:rFonts w:ascii="Palatino Linotype" w:eastAsia="Palatino Linotype" w:hAnsi="Palatino Linotype" w:cs="Palatino Linotype"/>
          <w:i/>
          <w:color w:val="000000"/>
          <w:sz w:val="22"/>
          <w:szCs w:val="22"/>
        </w:rPr>
        <w:t>…” (Sic)</w:t>
      </w:r>
    </w:p>
    <w:p w:rsidR="00FC50EC" w:rsidRPr="001F089F" w:rsidRDefault="00FC50EC" w:rsidP="00C82ED1">
      <w:pPr>
        <w:ind w:left="567" w:right="710"/>
        <w:jc w:val="both"/>
        <w:rPr>
          <w:rFonts w:ascii="Palatino Linotype" w:eastAsia="Palatino Linotype" w:hAnsi="Palatino Linotype" w:cs="Palatino Linotype"/>
          <w:i/>
          <w:color w:val="000000"/>
          <w:sz w:val="22"/>
          <w:szCs w:val="22"/>
        </w:rPr>
      </w:pPr>
    </w:p>
    <w:p w:rsidR="003A1F84" w:rsidRPr="001F089F" w:rsidRDefault="001E3125" w:rsidP="004F5574">
      <w:pPr>
        <w:ind w:right="257"/>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Archivos electrónicos adjuntos:</w:t>
      </w:r>
    </w:p>
    <w:p w:rsidR="00E94D86" w:rsidRPr="001F089F" w:rsidRDefault="00E94D86" w:rsidP="00C82ED1">
      <w:pPr>
        <w:ind w:right="-592"/>
        <w:jc w:val="both"/>
        <w:rPr>
          <w:rFonts w:ascii="Palatino Linotype" w:eastAsia="Palatino Linotype" w:hAnsi="Palatino Linotype" w:cs="Palatino Linotype"/>
          <w:sz w:val="22"/>
          <w:szCs w:val="22"/>
        </w:rPr>
      </w:pPr>
    </w:p>
    <w:p w:rsidR="00CA36B9" w:rsidRPr="001F089F" w:rsidRDefault="00BE2FDB" w:rsidP="002C1A45">
      <w:pPr>
        <w:ind w:left="567" w:right="567"/>
        <w:jc w:val="both"/>
        <w:rPr>
          <w:rFonts w:ascii="Palatino Linotype" w:hAnsi="Palatino Linotype"/>
          <w:sz w:val="22"/>
          <w:szCs w:val="22"/>
        </w:rPr>
      </w:pPr>
      <w:hyperlink r:id="rId8" w:tgtFrame="_blank" w:history="1">
        <w:r w:rsidR="00CA36B9" w:rsidRPr="001F089F">
          <w:rPr>
            <w:rStyle w:val="Hipervnculo"/>
            <w:rFonts w:ascii="Palatino Linotype" w:hAnsi="Palatino Linotype" w:cs="Arial"/>
            <w:b/>
            <w:bCs/>
            <w:color w:val="auto"/>
            <w:sz w:val="22"/>
            <w:szCs w:val="22"/>
            <w:u w:val="none"/>
          </w:rPr>
          <w:t>0044 OBR1.pdf</w:t>
        </w:r>
      </w:hyperlink>
      <w:r w:rsidR="00CA36B9" w:rsidRPr="001F089F">
        <w:rPr>
          <w:rFonts w:ascii="Palatino Linotype" w:hAnsi="Palatino Linotype"/>
          <w:b/>
          <w:sz w:val="22"/>
          <w:szCs w:val="22"/>
        </w:rPr>
        <w:t xml:space="preserve">: </w:t>
      </w:r>
      <w:r w:rsidR="00CA36B9" w:rsidRPr="001F089F">
        <w:rPr>
          <w:rFonts w:ascii="Palatino Linotype" w:hAnsi="Palatino Linotype"/>
          <w:sz w:val="22"/>
          <w:szCs w:val="22"/>
        </w:rPr>
        <w:t>Oficio suscrito por el Director de obras y Desarrollo Urbano, por medio del cual, relativo a las obras del ejercicio fiscal 2024, remitió el “Inventario de expedientes de obras ejecutadas y en proceso</w:t>
      </w:r>
      <w:r w:rsidR="00273A3F" w:rsidRPr="001F089F">
        <w:rPr>
          <w:rFonts w:ascii="Palatino Linotype" w:hAnsi="Palatino Linotype"/>
          <w:sz w:val="22"/>
          <w:szCs w:val="22"/>
        </w:rPr>
        <w:t>”</w:t>
      </w:r>
      <w:r w:rsidR="00CA36B9" w:rsidRPr="001F089F">
        <w:rPr>
          <w:rFonts w:ascii="Palatino Linotype" w:hAnsi="Palatino Linotype"/>
          <w:sz w:val="22"/>
          <w:szCs w:val="22"/>
        </w:rPr>
        <w:t>, bajo los siguientes rubros: Número de expediente, Nombre</w:t>
      </w:r>
      <w:r w:rsidR="00273A3F" w:rsidRPr="001F089F">
        <w:rPr>
          <w:rFonts w:ascii="Palatino Linotype" w:hAnsi="Palatino Linotype"/>
          <w:sz w:val="22"/>
          <w:szCs w:val="22"/>
        </w:rPr>
        <w:t xml:space="preserve"> de la obra y Estatus; asimismo, remitió la “Relación de obras en proceso y terminadas”, bajo los siguientes rubros: Nombre de la obra y Estatus. Por otro lado, relativo a la situación de las aportaciones de recursos estatales y federales al municipio, así como los montos recibidos, pendientes por recibir y estados de cuenta bancarios, informó que el área administrativa a su cargo no administra ni dispone de la documentación correspondiente.</w:t>
      </w:r>
    </w:p>
    <w:p w:rsidR="00CA36B9" w:rsidRPr="001F089F" w:rsidRDefault="00CA36B9" w:rsidP="002C1A45">
      <w:pPr>
        <w:ind w:right="567"/>
        <w:jc w:val="both"/>
        <w:rPr>
          <w:rFonts w:ascii="Palatino Linotype" w:hAnsi="Palatino Linotype"/>
          <w:sz w:val="22"/>
          <w:szCs w:val="22"/>
        </w:rPr>
      </w:pPr>
    </w:p>
    <w:p w:rsidR="00273A3F" w:rsidRPr="001F089F" w:rsidRDefault="00BE2FDB" w:rsidP="002C1A45">
      <w:pPr>
        <w:ind w:left="567" w:right="567"/>
        <w:jc w:val="both"/>
        <w:rPr>
          <w:rFonts w:ascii="Palatino Linotype" w:hAnsi="Palatino Linotype"/>
          <w:sz w:val="22"/>
          <w:szCs w:val="22"/>
        </w:rPr>
      </w:pPr>
      <w:hyperlink r:id="rId9" w:tgtFrame="_blank" w:history="1">
        <w:r w:rsidR="00CA36B9" w:rsidRPr="001F089F">
          <w:rPr>
            <w:rStyle w:val="Hipervnculo"/>
            <w:rFonts w:ascii="Palatino Linotype" w:hAnsi="Palatino Linotype" w:cs="Arial"/>
            <w:b/>
            <w:bCs/>
            <w:color w:val="auto"/>
            <w:sz w:val="22"/>
            <w:szCs w:val="22"/>
            <w:u w:val="none"/>
          </w:rPr>
          <w:t>0044 SEC1.pdf</w:t>
        </w:r>
      </w:hyperlink>
      <w:r w:rsidR="00CA36B9" w:rsidRPr="001F089F">
        <w:rPr>
          <w:rFonts w:ascii="Palatino Linotype" w:hAnsi="Palatino Linotype"/>
          <w:b/>
          <w:sz w:val="22"/>
          <w:szCs w:val="22"/>
        </w:rPr>
        <w:t>:</w:t>
      </w:r>
      <w:r w:rsidR="00273A3F" w:rsidRPr="001F089F">
        <w:rPr>
          <w:rFonts w:ascii="Palatino Linotype" w:hAnsi="Palatino Linotype"/>
          <w:b/>
          <w:sz w:val="22"/>
          <w:szCs w:val="22"/>
        </w:rPr>
        <w:t xml:space="preserve"> </w:t>
      </w:r>
      <w:r w:rsidR="00273A3F" w:rsidRPr="001F089F">
        <w:rPr>
          <w:rFonts w:ascii="Palatino Linotype" w:hAnsi="Palatino Linotype"/>
          <w:sz w:val="22"/>
          <w:szCs w:val="22"/>
        </w:rPr>
        <w:t xml:space="preserve">Oficio suscrito por el Secretario del Ayuntamiento, por medio del cual, anexó la Relación de Bienes Muebles que componen el Patrimonio Municipal </w:t>
      </w:r>
      <w:r w:rsidR="00CA2A60" w:rsidRPr="001F089F">
        <w:rPr>
          <w:rFonts w:ascii="Palatino Linotype" w:hAnsi="Palatino Linotype"/>
          <w:sz w:val="22"/>
          <w:szCs w:val="22"/>
        </w:rPr>
        <w:t>(</w:t>
      </w:r>
      <w:r w:rsidR="00273A3F" w:rsidRPr="001F089F">
        <w:rPr>
          <w:rFonts w:ascii="Palatino Linotype" w:hAnsi="Palatino Linotype"/>
          <w:sz w:val="22"/>
          <w:szCs w:val="22"/>
        </w:rPr>
        <w:t>Inventario de Bienes Muebles</w:t>
      </w:r>
      <w:r w:rsidR="00CA2A60" w:rsidRPr="001F089F">
        <w:rPr>
          <w:rFonts w:ascii="Palatino Linotype" w:hAnsi="Palatino Linotype"/>
          <w:sz w:val="22"/>
          <w:szCs w:val="22"/>
        </w:rPr>
        <w:t xml:space="preserve"> e Inmuebles), al 30 de junio de 2024</w:t>
      </w:r>
      <w:r w:rsidR="00273A3F" w:rsidRPr="001F089F">
        <w:rPr>
          <w:rFonts w:ascii="Palatino Linotype" w:hAnsi="Palatino Linotype"/>
          <w:sz w:val="22"/>
          <w:szCs w:val="22"/>
        </w:rPr>
        <w:t>.</w:t>
      </w:r>
    </w:p>
    <w:p w:rsidR="00273A3F" w:rsidRPr="001F089F" w:rsidRDefault="00273A3F" w:rsidP="002C1A45">
      <w:pPr>
        <w:ind w:left="567" w:right="567"/>
        <w:jc w:val="both"/>
        <w:rPr>
          <w:rFonts w:ascii="Palatino Linotype" w:hAnsi="Palatino Linotype"/>
          <w:b/>
          <w:sz w:val="22"/>
          <w:szCs w:val="22"/>
        </w:rPr>
      </w:pPr>
    </w:p>
    <w:p w:rsidR="00CA36B9" w:rsidRPr="001F089F" w:rsidRDefault="00BE2FDB" w:rsidP="002C1A45">
      <w:pPr>
        <w:ind w:left="567" w:right="567"/>
        <w:jc w:val="both"/>
        <w:rPr>
          <w:rFonts w:ascii="Palatino Linotype" w:hAnsi="Palatino Linotype"/>
          <w:sz w:val="22"/>
          <w:szCs w:val="22"/>
        </w:rPr>
      </w:pPr>
      <w:hyperlink r:id="rId10" w:tgtFrame="_blank" w:history="1">
        <w:r w:rsidR="00CA36B9" w:rsidRPr="001F089F">
          <w:rPr>
            <w:rStyle w:val="Hipervnculo"/>
            <w:rFonts w:ascii="Palatino Linotype" w:hAnsi="Palatino Linotype" w:cs="Arial"/>
            <w:b/>
            <w:bCs/>
            <w:color w:val="auto"/>
            <w:sz w:val="22"/>
            <w:szCs w:val="22"/>
            <w:u w:val="none"/>
          </w:rPr>
          <w:t>0044 JU1.pdf</w:t>
        </w:r>
      </w:hyperlink>
      <w:r w:rsidR="00CA36B9" w:rsidRPr="001F089F">
        <w:rPr>
          <w:rFonts w:ascii="Palatino Linotype" w:hAnsi="Palatino Linotype"/>
          <w:b/>
          <w:sz w:val="22"/>
          <w:szCs w:val="22"/>
        </w:rPr>
        <w:t>:</w:t>
      </w:r>
      <w:r w:rsidR="00CA2A60" w:rsidRPr="001F089F">
        <w:rPr>
          <w:rFonts w:ascii="Palatino Linotype" w:hAnsi="Palatino Linotype"/>
          <w:b/>
          <w:sz w:val="22"/>
          <w:szCs w:val="22"/>
        </w:rPr>
        <w:t xml:space="preserve"> </w:t>
      </w:r>
      <w:r w:rsidR="00CA2A60" w:rsidRPr="001F089F">
        <w:rPr>
          <w:rFonts w:ascii="Palatino Linotype" w:hAnsi="Palatino Linotype"/>
          <w:sz w:val="22"/>
          <w:szCs w:val="22"/>
        </w:rPr>
        <w:t>Oficio suscrito por el Titular de la Consejería Jurídica, por medio del cual, remitió la “Relación de Juicios Laborales en trámite”, asimismo, informó que no hay laudos pendientes por cumplir.</w:t>
      </w:r>
    </w:p>
    <w:p w:rsidR="00CA2A60" w:rsidRPr="001F089F" w:rsidRDefault="00CA2A60" w:rsidP="002C1A45">
      <w:pPr>
        <w:ind w:right="567"/>
        <w:jc w:val="both"/>
        <w:rPr>
          <w:rFonts w:ascii="Palatino Linotype" w:hAnsi="Palatino Linotype"/>
          <w:b/>
          <w:sz w:val="22"/>
          <w:szCs w:val="22"/>
        </w:rPr>
      </w:pPr>
    </w:p>
    <w:p w:rsidR="003A1F84" w:rsidRPr="001F089F" w:rsidRDefault="00BE2FDB" w:rsidP="002C1A45">
      <w:pPr>
        <w:ind w:left="567" w:right="567"/>
        <w:jc w:val="both"/>
        <w:rPr>
          <w:rStyle w:val="Hipervnculo"/>
          <w:rFonts w:ascii="Palatino Linotype" w:hAnsi="Palatino Linotype" w:cs="Arial"/>
          <w:b/>
          <w:bCs/>
          <w:color w:val="auto"/>
          <w:sz w:val="22"/>
          <w:szCs w:val="22"/>
          <w:u w:val="none"/>
        </w:rPr>
      </w:pPr>
      <w:hyperlink r:id="rId11" w:tgtFrame="_blank" w:history="1">
        <w:r w:rsidR="00CA36B9" w:rsidRPr="001F089F">
          <w:rPr>
            <w:rStyle w:val="Hipervnculo"/>
            <w:rFonts w:ascii="Palatino Linotype" w:hAnsi="Palatino Linotype" w:cs="Arial"/>
            <w:b/>
            <w:bCs/>
            <w:color w:val="auto"/>
            <w:sz w:val="22"/>
            <w:szCs w:val="22"/>
            <w:u w:val="none"/>
          </w:rPr>
          <w:t>0044 TES1.pdf</w:t>
        </w:r>
      </w:hyperlink>
      <w:r w:rsidR="00CA36B9" w:rsidRPr="001F089F">
        <w:rPr>
          <w:rFonts w:ascii="Palatino Linotype" w:hAnsi="Palatino Linotype"/>
          <w:b/>
          <w:sz w:val="22"/>
          <w:szCs w:val="22"/>
        </w:rPr>
        <w:t>:</w:t>
      </w:r>
      <w:r w:rsidR="00CA2A60" w:rsidRPr="001F089F">
        <w:rPr>
          <w:rFonts w:ascii="Palatino Linotype" w:hAnsi="Palatino Linotype"/>
          <w:b/>
          <w:sz w:val="22"/>
          <w:szCs w:val="22"/>
        </w:rPr>
        <w:t xml:space="preserve"> </w:t>
      </w:r>
      <w:r w:rsidR="00CA2A60" w:rsidRPr="001F089F">
        <w:rPr>
          <w:rFonts w:ascii="Palatino Linotype" w:hAnsi="Palatino Linotype"/>
          <w:sz w:val="22"/>
          <w:szCs w:val="22"/>
        </w:rPr>
        <w:t>Oficio suscrito por la Tesorera Municipal, por medio del cual, refirió que la documentación solicitada se encuent</w:t>
      </w:r>
      <w:r w:rsidR="002C1A45" w:rsidRPr="001F089F">
        <w:rPr>
          <w:rFonts w:ascii="Palatino Linotype" w:hAnsi="Palatino Linotype"/>
          <w:sz w:val="22"/>
          <w:szCs w:val="22"/>
        </w:rPr>
        <w:t xml:space="preserve">ra en el portal en formato PDF y </w:t>
      </w:r>
      <w:r w:rsidR="00CA2A60" w:rsidRPr="001F089F">
        <w:rPr>
          <w:rFonts w:ascii="Palatino Linotype" w:hAnsi="Palatino Linotype"/>
          <w:sz w:val="22"/>
          <w:szCs w:val="22"/>
        </w:rPr>
        <w:t xml:space="preserve">es verídica, completa y actualizada al 2 de julio de 2024, por lo que remitió un link donde </w:t>
      </w:r>
      <w:r w:rsidR="002C1A45" w:rsidRPr="001F089F">
        <w:rPr>
          <w:rFonts w:ascii="Palatino Linotype" w:hAnsi="Palatino Linotype"/>
          <w:sz w:val="22"/>
          <w:szCs w:val="22"/>
        </w:rPr>
        <w:t xml:space="preserve">señaló que </w:t>
      </w:r>
      <w:r w:rsidR="00CA2A60" w:rsidRPr="001F089F">
        <w:rPr>
          <w:rFonts w:ascii="Palatino Linotype" w:hAnsi="Palatino Linotype"/>
          <w:sz w:val="22"/>
          <w:szCs w:val="22"/>
        </w:rPr>
        <w:t>podría ser consultada.</w:t>
      </w:r>
    </w:p>
    <w:p w:rsidR="00CA36B9" w:rsidRPr="001F089F" w:rsidRDefault="00CA36B9" w:rsidP="00C82ED1">
      <w:pPr>
        <w:ind w:right="-592"/>
        <w:jc w:val="both"/>
        <w:rPr>
          <w:rFonts w:ascii="Palatino Linotype" w:eastAsia="Palatino Linotype" w:hAnsi="Palatino Linotype" w:cs="Palatino Linotype"/>
          <w:sz w:val="22"/>
          <w:szCs w:val="22"/>
        </w:rPr>
      </w:pPr>
    </w:p>
    <w:p w:rsidR="00C82ED1" w:rsidRPr="001F089F" w:rsidRDefault="001E3125" w:rsidP="00C82ED1">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w:t>
      </w:r>
      <w:r w:rsidR="002C1A45" w:rsidRPr="001F089F">
        <w:rPr>
          <w:rFonts w:ascii="Palatino Linotype" w:eastAsia="Palatino Linotype" w:hAnsi="Palatino Linotype" w:cs="Palatino Linotype"/>
          <w:sz w:val="22"/>
          <w:szCs w:val="22"/>
        </w:rPr>
        <w:t>ocho de julio</w:t>
      </w:r>
      <w:r w:rsidRPr="001F089F">
        <w:rPr>
          <w:rFonts w:ascii="Palatino Linotype" w:eastAsia="Palatino Linotype" w:hAnsi="Palatino Linotype" w:cs="Palatino Linotype"/>
          <w:sz w:val="22"/>
          <w:szCs w:val="22"/>
        </w:rPr>
        <w:t xml:space="preserve"> de dos mil veinticuatro,</w:t>
      </w:r>
      <w:r w:rsidRPr="001F089F">
        <w:rPr>
          <w:rFonts w:ascii="Palatino Linotype" w:eastAsia="Palatino Linotype" w:hAnsi="Palatino Linotype" w:cs="Palatino Linotype"/>
          <w:b/>
          <w:sz w:val="22"/>
          <w:szCs w:val="22"/>
        </w:rPr>
        <w:t xml:space="preserve"> </w:t>
      </w:r>
      <w:r w:rsidRPr="001F089F">
        <w:rPr>
          <w:rFonts w:ascii="Palatino Linotype" w:eastAsia="Palatino Linotype" w:hAnsi="Palatino Linotype" w:cs="Palatino Linotype"/>
          <w:sz w:val="22"/>
          <w:szCs w:val="22"/>
        </w:rPr>
        <w:t xml:space="preserve">el </w:t>
      </w:r>
      <w:r w:rsidRPr="001F089F">
        <w:rPr>
          <w:rFonts w:ascii="Palatino Linotype" w:eastAsia="Palatino Linotype" w:hAnsi="Palatino Linotype" w:cs="Palatino Linotype"/>
          <w:b/>
          <w:sz w:val="22"/>
          <w:szCs w:val="22"/>
        </w:rPr>
        <w:t>RECURRENTE</w:t>
      </w:r>
      <w:r w:rsidRPr="001F089F">
        <w:rPr>
          <w:rFonts w:ascii="Palatino Linotype" w:eastAsia="Palatino Linotype" w:hAnsi="Palatino Linotype" w:cs="Palatino Linotype"/>
          <w:sz w:val="22"/>
          <w:szCs w:val="22"/>
        </w:rPr>
        <w:t xml:space="preserve"> interpuso el recurso de revisión en contra de la respuesta, señalando como:</w:t>
      </w:r>
    </w:p>
    <w:p w:rsidR="00C82ED1" w:rsidRPr="001F089F" w:rsidRDefault="00C82ED1" w:rsidP="00C82ED1">
      <w:pPr>
        <w:ind w:right="1"/>
        <w:jc w:val="both"/>
        <w:rPr>
          <w:rFonts w:ascii="Palatino Linotype" w:eastAsia="Palatino Linotype" w:hAnsi="Palatino Linotype" w:cs="Palatino Linotype"/>
          <w:sz w:val="22"/>
          <w:szCs w:val="22"/>
        </w:rPr>
      </w:pPr>
    </w:p>
    <w:p w:rsidR="00E94D86" w:rsidRPr="001F089F" w:rsidRDefault="001E3125" w:rsidP="002C1A45">
      <w:pPr>
        <w:ind w:left="567" w:right="568"/>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b/>
          <w:sz w:val="22"/>
          <w:szCs w:val="22"/>
        </w:rPr>
        <w:t>Acto impugnado</w:t>
      </w:r>
      <w:r w:rsidRPr="001F089F">
        <w:rPr>
          <w:rFonts w:ascii="Palatino Linotype" w:eastAsia="Palatino Linotype" w:hAnsi="Palatino Linotype" w:cs="Palatino Linotype"/>
          <w:b/>
          <w:i/>
          <w:sz w:val="22"/>
          <w:szCs w:val="22"/>
        </w:rPr>
        <w:t>:</w:t>
      </w:r>
      <w:r w:rsidRPr="001F089F">
        <w:rPr>
          <w:rFonts w:ascii="Palatino Linotype" w:eastAsia="Palatino Linotype" w:hAnsi="Palatino Linotype" w:cs="Palatino Linotype"/>
          <w:i/>
          <w:color w:val="000000"/>
          <w:sz w:val="22"/>
          <w:szCs w:val="22"/>
        </w:rPr>
        <w:t xml:space="preserve"> “</w:t>
      </w:r>
      <w:r w:rsidR="002C1A45" w:rsidRPr="001F089F">
        <w:rPr>
          <w:rFonts w:ascii="Palatino Linotype" w:hAnsi="Palatino Linotype"/>
          <w:i/>
          <w:color w:val="000000"/>
          <w:sz w:val="22"/>
          <w:szCs w:val="22"/>
        </w:rPr>
        <w:t>00044/ECATZIN/IP/2024</w:t>
      </w:r>
      <w:r w:rsidRPr="001F089F">
        <w:rPr>
          <w:rFonts w:ascii="Palatino Linotype" w:eastAsia="Palatino Linotype" w:hAnsi="Palatino Linotype" w:cs="Palatino Linotype"/>
          <w:i/>
          <w:color w:val="000000"/>
          <w:sz w:val="22"/>
          <w:szCs w:val="22"/>
        </w:rPr>
        <w:t>” (Sic)</w:t>
      </w:r>
    </w:p>
    <w:p w:rsidR="00E94D86" w:rsidRPr="001F089F" w:rsidRDefault="00E94D86" w:rsidP="00C82ED1">
      <w:pPr>
        <w:ind w:left="567" w:right="568"/>
        <w:jc w:val="both"/>
        <w:rPr>
          <w:rFonts w:ascii="Palatino Linotype" w:eastAsia="Palatino Linotype" w:hAnsi="Palatino Linotype" w:cs="Palatino Linotype"/>
          <w:sz w:val="22"/>
          <w:szCs w:val="22"/>
        </w:rPr>
      </w:pPr>
    </w:p>
    <w:p w:rsidR="00E94D86" w:rsidRPr="001F089F" w:rsidRDefault="001E3125" w:rsidP="00C82ED1">
      <w:pPr>
        <w:ind w:left="567" w:right="568"/>
        <w:jc w:val="both"/>
        <w:rPr>
          <w:rFonts w:ascii="Palatino Linotype" w:eastAsia="Palatino Linotype" w:hAnsi="Palatino Linotype" w:cs="Palatino Linotype"/>
          <w:i/>
          <w:color w:val="000000"/>
          <w:sz w:val="22"/>
          <w:szCs w:val="22"/>
        </w:rPr>
      </w:pPr>
      <w:r w:rsidRPr="001F089F">
        <w:rPr>
          <w:rFonts w:ascii="Palatino Linotype" w:eastAsia="Palatino Linotype" w:hAnsi="Palatino Linotype" w:cs="Palatino Linotype"/>
          <w:b/>
          <w:sz w:val="22"/>
          <w:szCs w:val="22"/>
        </w:rPr>
        <w:t xml:space="preserve">Razones o Motivos de inconformidad: </w:t>
      </w:r>
      <w:r w:rsidR="006E5F99" w:rsidRPr="001F089F">
        <w:rPr>
          <w:rFonts w:ascii="Palatino Linotype" w:eastAsia="Palatino Linotype" w:hAnsi="Palatino Linotype" w:cs="Palatino Linotype"/>
          <w:i/>
          <w:color w:val="000000"/>
          <w:sz w:val="22"/>
          <w:szCs w:val="22"/>
        </w:rPr>
        <w:t>“</w:t>
      </w:r>
      <w:r w:rsidR="002C1A45" w:rsidRPr="001F089F">
        <w:rPr>
          <w:rFonts w:ascii="Palatino Linotype" w:hAnsi="Palatino Linotype"/>
          <w:i/>
          <w:color w:val="000000"/>
          <w:sz w:val="22"/>
          <w:szCs w:val="22"/>
        </w:rPr>
        <w:t>La respuesta es muy parcial, no es completa solo atiende al 20 porciento de lo solicitado.</w:t>
      </w:r>
      <w:r w:rsidRPr="001F089F">
        <w:rPr>
          <w:rFonts w:ascii="Palatino Linotype" w:eastAsia="Palatino Linotype" w:hAnsi="Palatino Linotype" w:cs="Palatino Linotype"/>
          <w:i/>
          <w:color w:val="000000"/>
          <w:sz w:val="22"/>
          <w:szCs w:val="22"/>
        </w:rPr>
        <w:t>” (Sic)</w:t>
      </w:r>
    </w:p>
    <w:p w:rsidR="00E94D86" w:rsidRPr="001F089F" w:rsidRDefault="00E94D86" w:rsidP="00C82ED1">
      <w:pPr>
        <w:ind w:right="568"/>
        <w:jc w:val="both"/>
        <w:rPr>
          <w:rFonts w:ascii="Palatino Linotype" w:eastAsia="Palatino Linotype" w:hAnsi="Palatino Linotype" w:cs="Palatino Linotype"/>
          <w:b/>
          <w:i/>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1F089F">
        <w:rPr>
          <w:rFonts w:ascii="Palatino Linotype" w:eastAsia="Palatino Linotype" w:hAnsi="Palatino Linotype" w:cs="Palatino Linotype"/>
          <w:b/>
          <w:sz w:val="22"/>
          <w:szCs w:val="22"/>
        </w:rPr>
        <w:t xml:space="preserve">Ley de Transparencia y Acceso a la Información Pública del Estado de México y Municipios </w:t>
      </w:r>
      <w:r w:rsidRPr="001F089F">
        <w:rPr>
          <w:rFonts w:ascii="Palatino Linotype" w:eastAsia="Palatino Linotype" w:hAnsi="Palatino Linotype" w:cs="Palatino Linotype"/>
          <w:sz w:val="22"/>
          <w:szCs w:val="22"/>
        </w:rPr>
        <w:t xml:space="preserve">se turna a la </w:t>
      </w:r>
      <w:r w:rsidRPr="001F089F">
        <w:rPr>
          <w:rFonts w:ascii="Palatino Linotype" w:eastAsia="Palatino Linotype" w:hAnsi="Palatino Linotype" w:cs="Palatino Linotype"/>
          <w:b/>
          <w:sz w:val="22"/>
          <w:szCs w:val="22"/>
        </w:rPr>
        <w:t xml:space="preserve">Comisionada María del Rosario Mejía Ayala, </w:t>
      </w:r>
      <w:r w:rsidRPr="001F089F">
        <w:rPr>
          <w:rFonts w:ascii="Palatino Linotype" w:eastAsia="Palatino Linotype" w:hAnsi="Palatino Linotype" w:cs="Palatino Linotype"/>
          <w:sz w:val="22"/>
          <w:szCs w:val="22"/>
        </w:rPr>
        <w:t xml:space="preserve">para su análisis. </w:t>
      </w:r>
    </w:p>
    <w:p w:rsidR="00E94D86" w:rsidRPr="001F089F" w:rsidRDefault="00E94D86" w:rsidP="00C82ED1">
      <w:pPr>
        <w:ind w:right="-592"/>
        <w:jc w:val="both"/>
        <w:rPr>
          <w:rFonts w:ascii="Palatino Linotype" w:eastAsia="Palatino Linotype" w:hAnsi="Palatino Linotype" w:cs="Palatino Linotype"/>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1F089F">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w:t>
      </w:r>
      <w:r w:rsidR="002C1A45" w:rsidRPr="001F089F">
        <w:rPr>
          <w:rFonts w:ascii="Palatino Linotype" w:eastAsia="Palatino Linotype" w:hAnsi="Palatino Linotype" w:cs="Palatino Linotype"/>
          <w:sz w:val="22"/>
          <w:szCs w:val="22"/>
        </w:rPr>
        <w:t>nueve de julio</w:t>
      </w:r>
      <w:r w:rsidR="004F5574" w:rsidRPr="001F089F">
        <w:rPr>
          <w:rFonts w:ascii="Palatino Linotype" w:eastAsia="Palatino Linotype" w:hAnsi="Palatino Linotype" w:cs="Palatino Linotype"/>
          <w:sz w:val="22"/>
          <w:szCs w:val="22"/>
        </w:rPr>
        <w:t xml:space="preserve"> de</w:t>
      </w:r>
      <w:r w:rsidRPr="001F089F">
        <w:rPr>
          <w:rFonts w:ascii="Palatino Linotype" w:eastAsia="Palatino Linotype" w:hAnsi="Palatino Linotype" w:cs="Palatino Linotype"/>
          <w:sz w:val="22"/>
          <w:szCs w:val="22"/>
        </w:rPr>
        <w:t xml:space="preserve"> dos mil veinticuatro, puso a disposición de las partes el expediente electrónico vía </w:t>
      </w:r>
      <w:r w:rsidRPr="001F089F">
        <w:rPr>
          <w:rFonts w:ascii="Palatino Linotype" w:eastAsia="Palatino Linotype" w:hAnsi="Palatino Linotype" w:cs="Palatino Linotype"/>
          <w:b/>
          <w:sz w:val="22"/>
          <w:szCs w:val="22"/>
        </w:rPr>
        <w:t xml:space="preserve">SAIMEX </w:t>
      </w:r>
      <w:r w:rsidRPr="001F089F">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presentará el informe justificado procedente. </w:t>
      </w:r>
    </w:p>
    <w:p w:rsidR="00E94D86" w:rsidRPr="001F089F" w:rsidRDefault="00E94D86" w:rsidP="00C82ED1">
      <w:pPr>
        <w:ind w:right="-592"/>
        <w:rPr>
          <w:rFonts w:ascii="Palatino Linotype" w:eastAsia="Palatino Linotype" w:hAnsi="Palatino Linotype" w:cs="Palatino Linotype"/>
          <w:sz w:val="22"/>
          <w:szCs w:val="22"/>
        </w:rPr>
      </w:pPr>
    </w:p>
    <w:p w:rsidR="00AF2A58" w:rsidRPr="001F089F" w:rsidRDefault="006E5F99" w:rsidP="002C1A45">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E</w:t>
      </w:r>
      <w:r w:rsidR="001E3125" w:rsidRPr="001F089F">
        <w:rPr>
          <w:rFonts w:ascii="Palatino Linotype" w:eastAsia="Palatino Linotype" w:hAnsi="Palatino Linotype" w:cs="Palatino Linotype"/>
          <w:sz w:val="22"/>
          <w:szCs w:val="22"/>
        </w:rPr>
        <w:t xml:space="preserve">l </w:t>
      </w:r>
      <w:r w:rsidR="001E3125" w:rsidRPr="001F089F">
        <w:rPr>
          <w:rFonts w:ascii="Palatino Linotype" w:eastAsia="Palatino Linotype" w:hAnsi="Palatino Linotype" w:cs="Palatino Linotype"/>
          <w:b/>
          <w:sz w:val="22"/>
          <w:szCs w:val="22"/>
        </w:rPr>
        <w:t>SUJETO OBLIGADO</w:t>
      </w:r>
      <w:r w:rsidR="001E3125" w:rsidRPr="001F089F">
        <w:rPr>
          <w:rFonts w:ascii="Palatino Linotype" w:eastAsia="Palatino Linotype" w:hAnsi="Palatino Linotype" w:cs="Palatino Linotype"/>
          <w:sz w:val="22"/>
          <w:szCs w:val="22"/>
        </w:rPr>
        <w:t xml:space="preserve"> </w:t>
      </w:r>
      <w:r w:rsidR="002C1A45" w:rsidRPr="001F089F">
        <w:rPr>
          <w:rFonts w:ascii="Palatino Linotype" w:eastAsia="Palatino Linotype" w:hAnsi="Palatino Linotype" w:cs="Palatino Linotype"/>
          <w:sz w:val="22"/>
          <w:szCs w:val="22"/>
        </w:rPr>
        <w:t xml:space="preserve">omitió </w:t>
      </w:r>
      <w:r w:rsidR="004F5574" w:rsidRPr="001F089F">
        <w:rPr>
          <w:rFonts w:ascii="Palatino Linotype" w:eastAsia="Palatino Linotype" w:hAnsi="Palatino Linotype" w:cs="Palatino Linotype"/>
          <w:sz w:val="22"/>
          <w:szCs w:val="22"/>
        </w:rPr>
        <w:t>r</w:t>
      </w:r>
      <w:r w:rsidR="002C1A45" w:rsidRPr="001F089F">
        <w:rPr>
          <w:rFonts w:ascii="Palatino Linotype" w:eastAsia="Palatino Linotype" w:hAnsi="Palatino Linotype" w:cs="Palatino Linotype"/>
          <w:sz w:val="22"/>
          <w:szCs w:val="22"/>
        </w:rPr>
        <w:t xml:space="preserve">endir </w:t>
      </w:r>
      <w:r w:rsidR="001E3125" w:rsidRPr="001F089F">
        <w:rPr>
          <w:rFonts w:ascii="Palatino Linotype" w:eastAsia="Palatino Linotype" w:hAnsi="Palatino Linotype" w:cs="Palatino Linotype"/>
          <w:sz w:val="22"/>
          <w:szCs w:val="22"/>
        </w:rPr>
        <w:t>el informe justificado correspondiente</w:t>
      </w:r>
      <w:r w:rsidR="002C1A45" w:rsidRPr="001F089F">
        <w:rPr>
          <w:rFonts w:ascii="Palatino Linotype" w:eastAsia="Palatino Linotype" w:hAnsi="Palatino Linotype" w:cs="Palatino Linotype"/>
          <w:sz w:val="22"/>
          <w:szCs w:val="22"/>
        </w:rPr>
        <w:t>; p</w:t>
      </w:r>
      <w:r w:rsidR="001E3125" w:rsidRPr="001F089F">
        <w:rPr>
          <w:rFonts w:ascii="Palatino Linotype" w:eastAsia="Palatino Linotype" w:hAnsi="Palatino Linotype" w:cs="Palatino Linotype"/>
          <w:sz w:val="22"/>
          <w:szCs w:val="22"/>
        </w:rPr>
        <w:t xml:space="preserve">or su parte, el </w:t>
      </w:r>
      <w:r w:rsidR="001E3125" w:rsidRPr="001F089F">
        <w:rPr>
          <w:rFonts w:ascii="Palatino Linotype" w:eastAsia="Palatino Linotype" w:hAnsi="Palatino Linotype" w:cs="Palatino Linotype"/>
          <w:b/>
          <w:sz w:val="22"/>
          <w:szCs w:val="22"/>
        </w:rPr>
        <w:t xml:space="preserve">RECURRENTE </w:t>
      </w:r>
      <w:r w:rsidR="001E3125" w:rsidRPr="001F089F">
        <w:rPr>
          <w:rFonts w:ascii="Palatino Linotype" w:eastAsia="Palatino Linotype" w:hAnsi="Palatino Linotype" w:cs="Palatino Linotype"/>
          <w:sz w:val="22"/>
          <w:szCs w:val="22"/>
        </w:rPr>
        <w:t>no realizó manifestaciones, ni ofreció pruebas o alegatos que a su derecho conviniera.</w:t>
      </w:r>
    </w:p>
    <w:p w:rsidR="00AF2A58" w:rsidRPr="001F089F" w:rsidRDefault="00AF2A58" w:rsidP="00C82ED1">
      <w:pPr>
        <w:rPr>
          <w:rFonts w:ascii="Palatino Linotype" w:hAnsi="Palatino Linotype"/>
          <w:sz w:val="22"/>
          <w:szCs w:val="22"/>
        </w:rPr>
      </w:pPr>
    </w:p>
    <w:p w:rsidR="00AF2A58" w:rsidRPr="001F089F" w:rsidRDefault="00AF2A58" w:rsidP="00C82ED1">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lastRenderedPageBreak/>
        <w:t xml:space="preserve">El </w:t>
      </w:r>
      <w:r w:rsidR="00302FE8" w:rsidRPr="001F089F">
        <w:rPr>
          <w:rFonts w:ascii="Palatino Linotype" w:hAnsi="Palatino Linotype"/>
          <w:sz w:val="22"/>
          <w:szCs w:val="22"/>
        </w:rPr>
        <w:t xml:space="preserve">veinticinco de septiembre </w:t>
      </w:r>
      <w:r w:rsidRPr="001F089F">
        <w:rPr>
          <w:rFonts w:ascii="Palatino Linotype" w:hAnsi="Palatino Linotype"/>
          <w:sz w:val="22"/>
          <w:szCs w:val="22"/>
        </w:rPr>
        <w:t xml:space="preserve">de dos mil veinticuatro, </w:t>
      </w:r>
      <w:r w:rsidRPr="001F089F">
        <w:rPr>
          <w:rFonts w:ascii="Palatino Linotype" w:hAnsi="Palatino Linotype" w:cs="Tahoma"/>
          <w:sz w:val="22"/>
          <w:szCs w:val="22"/>
        </w:rPr>
        <w:t>se notificó el acuerdo mediante el cual se amplió el plazo para emitir resolución por un término de 15 días adicionales.</w:t>
      </w: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AF2A58" w:rsidRPr="001F089F" w:rsidRDefault="00AF2A58" w:rsidP="00C82ED1">
      <w:pPr>
        <w:rPr>
          <w:rFonts w:ascii="Palatino Linotype" w:hAnsi="Palatino Linotype"/>
          <w:sz w:val="22"/>
          <w:szCs w:val="22"/>
        </w:rPr>
      </w:pP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AF2A58" w:rsidRPr="001F089F" w:rsidRDefault="00AF2A58" w:rsidP="00C82ED1">
      <w:pPr>
        <w:rPr>
          <w:rFonts w:ascii="Palatino Linotype" w:hAnsi="Palatino Linotype"/>
          <w:sz w:val="22"/>
          <w:szCs w:val="22"/>
        </w:rPr>
      </w:pP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F2A58" w:rsidRPr="001F089F" w:rsidRDefault="00AF2A58" w:rsidP="00C82ED1">
      <w:pPr>
        <w:rPr>
          <w:rFonts w:ascii="Palatino Linotype" w:hAnsi="Palatino Linotype"/>
          <w:sz w:val="22"/>
          <w:szCs w:val="22"/>
        </w:rPr>
      </w:pP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AF2A58" w:rsidRPr="001F089F" w:rsidRDefault="00AF2A58" w:rsidP="00AF2A58">
      <w:pPr>
        <w:rPr>
          <w:rFonts w:ascii="Palatino Linotype" w:hAnsi="Palatino Linotype"/>
          <w:sz w:val="22"/>
          <w:szCs w:val="22"/>
        </w:rPr>
      </w:pPr>
    </w:p>
    <w:p w:rsidR="00AF2A58" w:rsidRPr="001F089F" w:rsidRDefault="00AF2A58" w:rsidP="00C82ED1">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AF2A58" w:rsidRPr="001F089F" w:rsidRDefault="00AF2A58" w:rsidP="00AF2A58">
      <w:pPr>
        <w:pStyle w:val="Prrafodelista"/>
        <w:spacing w:before="240" w:after="240"/>
        <w:ind w:left="567" w:right="565"/>
        <w:jc w:val="both"/>
        <w:rPr>
          <w:rFonts w:ascii="Palatino Linotype" w:hAnsi="Palatino Linotype"/>
          <w:szCs w:val="22"/>
        </w:rPr>
      </w:pPr>
      <w:r w:rsidRPr="001F089F">
        <w:rPr>
          <w:rFonts w:ascii="Palatino Linotype" w:hAnsi="Palatino Linotype"/>
          <w:szCs w:val="22"/>
        </w:rPr>
        <w:lastRenderedPageBreak/>
        <w:t>a) Complejidad del asunto: La complejidad de la prueba, la pluralidad de sujetos procesales, el tiempo transcurrido, las características y contexto del recurso.</w:t>
      </w:r>
    </w:p>
    <w:p w:rsidR="00AF2A58" w:rsidRPr="001F089F" w:rsidRDefault="00AF2A58" w:rsidP="00AF2A58">
      <w:pPr>
        <w:pStyle w:val="Prrafodelista"/>
        <w:spacing w:before="240" w:after="240"/>
        <w:ind w:left="567" w:right="565"/>
        <w:jc w:val="both"/>
        <w:rPr>
          <w:rFonts w:ascii="Palatino Linotype" w:hAnsi="Palatino Linotype"/>
          <w:szCs w:val="22"/>
        </w:rPr>
      </w:pPr>
      <w:r w:rsidRPr="001F089F">
        <w:rPr>
          <w:rFonts w:ascii="Palatino Linotype" w:hAnsi="Palatino Linotype"/>
          <w:szCs w:val="22"/>
        </w:rPr>
        <w:t>b) Actividad Procesal del interesado: Acciones u omisiones del interesado.</w:t>
      </w:r>
    </w:p>
    <w:p w:rsidR="00AF2A58" w:rsidRPr="001F089F" w:rsidRDefault="00AF2A58" w:rsidP="00AF2A58">
      <w:pPr>
        <w:pStyle w:val="Prrafodelista"/>
        <w:spacing w:before="240" w:after="240"/>
        <w:ind w:left="567" w:right="565"/>
        <w:jc w:val="both"/>
        <w:rPr>
          <w:rFonts w:ascii="Palatino Linotype" w:hAnsi="Palatino Linotype"/>
          <w:szCs w:val="22"/>
        </w:rPr>
      </w:pPr>
      <w:r w:rsidRPr="001F089F">
        <w:rPr>
          <w:rFonts w:ascii="Palatino Linotype" w:hAnsi="Palatino Linotype"/>
          <w:szCs w:val="22"/>
        </w:rPr>
        <w:t>c) Conducta de la Autoridad: Las Acciones u omisiones realizadas en el procedimiento. Así como si la autoridad actuó con la debida diligencia.</w:t>
      </w:r>
    </w:p>
    <w:p w:rsidR="00C82ED1" w:rsidRPr="001F089F" w:rsidRDefault="00AF2A58" w:rsidP="00C82ED1">
      <w:pPr>
        <w:pStyle w:val="Prrafodelista"/>
        <w:spacing w:before="240" w:after="240"/>
        <w:ind w:left="567" w:right="565"/>
        <w:jc w:val="both"/>
        <w:rPr>
          <w:rFonts w:ascii="Palatino Linotype" w:hAnsi="Palatino Linotype"/>
          <w:szCs w:val="22"/>
        </w:rPr>
      </w:pPr>
      <w:r w:rsidRPr="001F089F">
        <w:rPr>
          <w:rFonts w:ascii="Palatino Linotype" w:hAnsi="Palatino Linotype"/>
          <w:szCs w:val="22"/>
        </w:rPr>
        <w:t>d) La afectación generada en la situación jurídica de la persona involucrada en el proceso: Vi</w:t>
      </w:r>
      <w:r w:rsidR="00C82ED1" w:rsidRPr="001F089F">
        <w:rPr>
          <w:rFonts w:ascii="Palatino Linotype" w:hAnsi="Palatino Linotype"/>
          <w:szCs w:val="22"/>
        </w:rPr>
        <w:t>olación a sus derechos humanos.</w:t>
      </w:r>
    </w:p>
    <w:p w:rsidR="00C82ED1" w:rsidRPr="001F089F" w:rsidRDefault="00C82ED1" w:rsidP="00C82ED1">
      <w:pPr>
        <w:pStyle w:val="Prrafodelista"/>
        <w:spacing w:before="240" w:after="240"/>
        <w:ind w:left="567" w:right="565"/>
        <w:jc w:val="both"/>
        <w:rPr>
          <w:rFonts w:ascii="Palatino Linotype" w:hAnsi="Palatino Linotype"/>
          <w:szCs w:val="22"/>
        </w:rPr>
      </w:pP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F2A58" w:rsidRPr="001F089F" w:rsidRDefault="00AF2A58" w:rsidP="00C82ED1">
      <w:pPr>
        <w:ind w:right="1"/>
        <w:jc w:val="both"/>
        <w:rPr>
          <w:rFonts w:ascii="Palatino Linotype" w:eastAsia="Palatino Linotype" w:hAnsi="Palatino Linotype" w:cs="Palatino Linotype"/>
          <w:sz w:val="22"/>
          <w:szCs w:val="22"/>
        </w:rPr>
      </w:pP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AF2A58" w:rsidRPr="001F089F" w:rsidRDefault="00AF2A58" w:rsidP="00C82ED1">
      <w:pPr>
        <w:ind w:right="1"/>
        <w:jc w:val="both"/>
        <w:rPr>
          <w:rFonts w:ascii="Palatino Linotype" w:eastAsia="Palatino Linotype" w:hAnsi="Palatino Linotype" w:cs="Palatino Linotype"/>
          <w:sz w:val="22"/>
          <w:szCs w:val="22"/>
        </w:rPr>
      </w:pP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F2A58" w:rsidRPr="001F089F" w:rsidRDefault="00AF2A58" w:rsidP="00C82ED1">
      <w:pPr>
        <w:ind w:right="1"/>
        <w:jc w:val="both"/>
        <w:rPr>
          <w:rFonts w:ascii="Palatino Linotype" w:eastAsia="Palatino Linotype" w:hAnsi="Palatino Linotype" w:cs="Palatino Linotype"/>
          <w:sz w:val="22"/>
          <w:szCs w:val="22"/>
        </w:rPr>
      </w:pPr>
    </w:p>
    <w:p w:rsidR="00AF2A58" w:rsidRPr="001F089F" w:rsidRDefault="00AF2A58" w:rsidP="00AF2A5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hAnsi="Palatino Linotype"/>
          <w:sz w:val="22"/>
          <w:szCs w:val="22"/>
        </w:rPr>
        <w:t>Al respecto, también son de considerar los criterios sostenidos por el Cuarto Tribunal Colegiado en Materia Administrativa del Primer Circuito, cuyos rubros y datos de identificación son los siguientes:</w:t>
      </w:r>
    </w:p>
    <w:p w:rsidR="00AF2A58" w:rsidRPr="001F089F" w:rsidRDefault="00AF2A58" w:rsidP="00AF2A58">
      <w:pPr>
        <w:tabs>
          <w:tab w:val="left" w:pos="8364"/>
        </w:tabs>
        <w:spacing w:before="240" w:after="240"/>
        <w:ind w:left="567" w:right="565"/>
        <w:jc w:val="both"/>
        <w:rPr>
          <w:rFonts w:ascii="Palatino Linotype" w:hAnsi="Palatino Linotype"/>
          <w:sz w:val="22"/>
          <w:szCs w:val="22"/>
        </w:rPr>
      </w:pPr>
      <w:r w:rsidRPr="001F089F">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rsidR="00AF2A58" w:rsidRPr="001F089F" w:rsidRDefault="00AF2A58" w:rsidP="00AF2A58">
      <w:pPr>
        <w:pStyle w:val="Prrafodelista"/>
        <w:tabs>
          <w:tab w:val="left" w:pos="8364"/>
        </w:tabs>
        <w:spacing w:before="240" w:after="240"/>
        <w:ind w:left="567" w:right="565"/>
        <w:jc w:val="both"/>
        <w:rPr>
          <w:rFonts w:ascii="Palatino Linotype" w:hAnsi="Palatino Linotype"/>
          <w:szCs w:val="22"/>
        </w:rPr>
      </w:pPr>
      <w:r w:rsidRPr="001F089F">
        <w:rPr>
          <w:rFonts w:ascii="Palatino Linotype" w:hAnsi="Palatino Linotype"/>
          <w:szCs w:val="22"/>
        </w:rPr>
        <w:t>“PLAZO RAZONABLE PARA RESOLVER. CONCEPTO Y ELEMENTOS QUE LO INTEGRAN A LA LUZ DEL DERECHO INTERNACIONAL DE LOS DERECHOS HUMANOS.”, visible en el Seminario Judicial de la Federación y su gaceta, con el registro digital 2002350.</w:t>
      </w:r>
    </w:p>
    <w:p w:rsidR="00AF2A58" w:rsidRPr="001F089F" w:rsidRDefault="00AF2A58" w:rsidP="00AF2A58">
      <w:pPr>
        <w:pStyle w:val="Prrafodelista"/>
        <w:tabs>
          <w:tab w:val="left" w:pos="8364"/>
        </w:tabs>
        <w:ind w:left="567" w:right="565"/>
        <w:rPr>
          <w:rFonts w:ascii="Palatino Linotype" w:hAnsi="Palatino Linotype"/>
          <w:szCs w:val="22"/>
        </w:rPr>
      </w:pPr>
      <w:r w:rsidRPr="001F089F">
        <w:rPr>
          <w:rFonts w:ascii="Palatino Linotype" w:hAnsi="Palatino Linotype"/>
          <w:szCs w:val="22"/>
        </w:rPr>
        <w:t>Por ello, este Organismo Garante comprometido con la tutela de los derechos humanos confiados, señala que este exceso del plazo legal para resolver el presente asunto resulta de carácter excepcional.</w:t>
      </w:r>
    </w:p>
    <w:p w:rsidR="00AF2A58" w:rsidRPr="001F089F" w:rsidRDefault="00AF2A58" w:rsidP="00C82ED1">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 xml:space="preserve">La Comisionada Ponente decretó el cierre de instrucción mediante el acuerdo del </w:t>
      </w:r>
      <w:r w:rsidR="00302FE8" w:rsidRPr="001F089F">
        <w:rPr>
          <w:rFonts w:ascii="Palatino Linotype" w:eastAsia="Palatino Linotype" w:hAnsi="Palatino Linotype" w:cs="Palatino Linotype"/>
          <w:sz w:val="22"/>
          <w:szCs w:val="22"/>
        </w:rPr>
        <w:t>veintiséis</w:t>
      </w:r>
      <w:r w:rsidR="00AF2A58" w:rsidRPr="001F089F">
        <w:rPr>
          <w:rFonts w:ascii="Palatino Linotype" w:eastAsia="Palatino Linotype" w:hAnsi="Palatino Linotype" w:cs="Palatino Linotype"/>
          <w:sz w:val="22"/>
          <w:szCs w:val="22"/>
        </w:rPr>
        <w:t xml:space="preserve"> de febrero de dos mil veinticinco</w:t>
      </w:r>
      <w:r w:rsidRPr="001F089F">
        <w:rPr>
          <w:rFonts w:ascii="Palatino Linotype" w:eastAsia="Palatino Linotype" w:hAnsi="Palatino Linotype" w:cs="Palatino Linotype"/>
          <w:sz w:val="22"/>
          <w:szCs w:val="22"/>
        </w:rPr>
        <w:t>.-------------------------------------------------------------</w:t>
      </w:r>
      <w:r w:rsidR="00C82ED1" w:rsidRPr="001F089F">
        <w:rPr>
          <w:rFonts w:ascii="Palatino Linotype" w:eastAsia="Palatino Linotype" w:hAnsi="Palatino Linotype" w:cs="Palatino Linotype"/>
          <w:sz w:val="22"/>
          <w:szCs w:val="22"/>
        </w:rPr>
        <w:t>-------</w:t>
      </w:r>
      <w:r w:rsidR="00302FE8" w:rsidRPr="001F089F">
        <w:rPr>
          <w:rFonts w:ascii="Palatino Linotype" w:eastAsia="Palatino Linotype" w:hAnsi="Palatino Linotype" w:cs="Palatino Linotype"/>
          <w:sz w:val="22"/>
          <w:szCs w:val="22"/>
        </w:rPr>
        <w:t>--</w:t>
      </w:r>
    </w:p>
    <w:p w:rsidR="00E94D86" w:rsidRPr="001F089F" w:rsidRDefault="00E94D86" w:rsidP="00C82ED1">
      <w:pPr>
        <w:rPr>
          <w:rFonts w:ascii="Palatino Linotype" w:eastAsia="Palatino Linotype" w:hAnsi="Palatino Linotype" w:cs="Palatino Linotype"/>
          <w:b/>
          <w:sz w:val="22"/>
          <w:szCs w:val="22"/>
        </w:rPr>
      </w:pPr>
    </w:p>
    <w:p w:rsidR="00E94D86" w:rsidRPr="001F089F" w:rsidRDefault="001E3125">
      <w:pPr>
        <w:keepNext/>
        <w:keepLines/>
        <w:spacing w:line="360" w:lineRule="auto"/>
        <w:ind w:right="-592"/>
        <w:jc w:val="center"/>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 xml:space="preserve">C O N S I D E R A N D O </w:t>
      </w:r>
    </w:p>
    <w:p w:rsidR="00E94D86" w:rsidRPr="001F089F" w:rsidRDefault="00E94D86" w:rsidP="00C82ED1">
      <w:pPr>
        <w:keepNext/>
        <w:keepLines/>
        <w:ind w:right="-592"/>
        <w:rPr>
          <w:rFonts w:ascii="Palatino Linotype" w:eastAsia="Palatino Linotype" w:hAnsi="Palatino Linotype" w:cs="Palatino Linotype"/>
          <w:sz w:val="22"/>
          <w:szCs w:val="22"/>
        </w:rPr>
      </w:pPr>
    </w:p>
    <w:p w:rsidR="00E94D86" w:rsidRPr="001F089F" w:rsidRDefault="001E3125">
      <w:pPr>
        <w:keepNext/>
        <w:keepLines/>
        <w:spacing w:line="360" w:lineRule="auto"/>
        <w:ind w:right="-592"/>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PRIMERO. De la competencia.</w:t>
      </w:r>
    </w:p>
    <w:p w:rsidR="00E94D86" w:rsidRPr="001F089F" w:rsidRDefault="00E94D86" w:rsidP="00C82ED1">
      <w:pPr>
        <w:rPr>
          <w:rFonts w:ascii="Palatino Linotype" w:eastAsia="Palatino Linotype" w:hAnsi="Palatino Linotype" w:cs="Palatino Linotype"/>
          <w:b/>
          <w:sz w:val="22"/>
          <w:szCs w:val="22"/>
        </w:rPr>
      </w:pPr>
    </w:p>
    <w:p w:rsidR="00E94D86" w:rsidRPr="001F089F" w:rsidRDefault="001E3125" w:rsidP="00C82ED1">
      <w:pPr>
        <w:numPr>
          <w:ilvl w:val="0"/>
          <w:numId w:val="1"/>
        </w:numPr>
        <w:spacing w:line="360" w:lineRule="auto"/>
        <w:ind w:left="0" w:right="1" w:firstLine="0"/>
        <w:jc w:val="both"/>
        <w:rPr>
          <w:rFonts w:ascii="Palatino Linotype" w:eastAsia="Palatino Linotype" w:hAnsi="Palatino Linotype" w:cs="Palatino Linotype"/>
          <w:b/>
          <w:sz w:val="22"/>
          <w:szCs w:val="22"/>
        </w:rPr>
      </w:pPr>
      <w:bookmarkStart w:id="1" w:name="_heading=h.3znysh7" w:colFirst="0" w:colLast="0"/>
      <w:bookmarkEnd w:id="1"/>
      <w:r w:rsidRPr="001F089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w:t>
      </w:r>
      <w:r w:rsidRPr="001F089F">
        <w:rPr>
          <w:rFonts w:ascii="Palatino Linotype" w:eastAsia="Palatino Linotype" w:hAnsi="Palatino Linotype" w:cs="Palatino Linotype"/>
          <w:sz w:val="22"/>
          <w:szCs w:val="22"/>
        </w:rPr>
        <w:lastRenderedPageBreak/>
        <w:t>y 11 del Reglamento Interior del Instituto de Transparencia, Acceso a la Información Pública y Protección de Datos Personales del Estado de México y Municipios.</w:t>
      </w:r>
    </w:p>
    <w:p w:rsidR="00E94D86" w:rsidRPr="001F089F" w:rsidRDefault="001E3125">
      <w:pPr>
        <w:keepNext/>
        <w:keepLines/>
        <w:spacing w:line="360" w:lineRule="auto"/>
        <w:ind w:right="1"/>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SEGUNDO. De la oportunidad y procedencia.</w:t>
      </w:r>
    </w:p>
    <w:p w:rsidR="00E94D86" w:rsidRPr="001F089F" w:rsidRDefault="00E94D86" w:rsidP="00C82ED1">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bookmarkStart w:id="2" w:name="_heading=h.3dy6vkm" w:colFirst="0" w:colLast="0"/>
      <w:bookmarkEnd w:id="2"/>
      <w:r w:rsidRPr="001F089F">
        <w:rPr>
          <w:rFonts w:ascii="Palatino Linotype" w:eastAsia="Palatino Linotype" w:hAnsi="Palatino Linotype" w:cs="Palatino Linotype"/>
          <w:sz w:val="22"/>
          <w:szCs w:val="22"/>
        </w:rPr>
        <w:t xml:space="preserve">El medio de impugnación fue presentado a través del </w:t>
      </w:r>
      <w:r w:rsidRPr="001F089F">
        <w:rPr>
          <w:rFonts w:ascii="Palatino Linotype" w:eastAsia="Palatino Linotype" w:hAnsi="Palatino Linotype" w:cs="Palatino Linotype"/>
          <w:b/>
          <w:sz w:val="22"/>
          <w:szCs w:val="22"/>
        </w:rPr>
        <w:t>SAIMEX,</w:t>
      </w:r>
      <w:r w:rsidRPr="001F089F">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entregó respuesta el </w:t>
      </w:r>
      <w:r w:rsidR="002C1A45" w:rsidRPr="001F089F">
        <w:rPr>
          <w:rFonts w:ascii="Palatino Linotype" w:eastAsia="Palatino Linotype" w:hAnsi="Palatino Linotype" w:cs="Palatino Linotype"/>
          <w:sz w:val="22"/>
          <w:szCs w:val="22"/>
        </w:rPr>
        <w:t>cinco de julio</w:t>
      </w:r>
      <w:r w:rsidRPr="001F089F">
        <w:rPr>
          <w:rFonts w:ascii="Palatino Linotype" w:eastAsia="Palatino Linotype" w:hAnsi="Palatino Linotype" w:cs="Palatino Linotype"/>
          <w:sz w:val="22"/>
          <w:szCs w:val="22"/>
        </w:rPr>
        <w:t xml:space="preserve"> de dos mil veinticuatro, de tal forma que el plazo para interponer el recurso de revisión transcurrió del </w:t>
      </w:r>
      <w:r w:rsidR="002C1A45" w:rsidRPr="001F089F">
        <w:rPr>
          <w:rFonts w:ascii="Palatino Linotype" w:eastAsia="Palatino Linotype" w:hAnsi="Palatino Linotype" w:cs="Palatino Linotype"/>
          <w:sz w:val="22"/>
          <w:szCs w:val="22"/>
        </w:rPr>
        <w:t>ocho de julio</w:t>
      </w:r>
      <w:r w:rsidR="00AF2A58" w:rsidRPr="001F089F">
        <w:rPr>
          <w:rFonts w:ascii="Palatino Linotype" w:eastAsia="Palatino Linotype" w:hAnsi="Palatino Linotype" w:cs="Palatino Linotype"/>
          <w:sz w:val="22"/>
          <w:szCs w:val="22"/>
        </w:rPr>
        <w:t xml:space="preserve"> </w:t>
      </w:r>
      <w:r w:rsidRPr="001F089F">
        <w:rPr>
          <w:rFonts w:ascii="Palatino Linotype" w:eastAsia="Palatino Linotype" w:hAnsi="Palatino Linotype" w:cs="Palatino Linotype"/>
          <w:sz w:val="22"/>
          <w:szCs w:val="22"/>
        </w:rPr>
        <w:t xml:space="preserve">al </w:t>
      </w:r>
      <w:r w:rsidR="002C1A45" w:rsidRPr="001F089F">
        <w:rPr>
          <w:rFonts w:ascii="Palatino Linotype" w:eastAsia="Palatino Linotype" w:hAnsi="Palatino Linotype" w:cs="Palatino Linotype"/>
          <w:sz w:val="22"/>
          <w:szCs w:val="22"/>
        </w:rPr>
        <w:t>nueve de agosto</w:t>
      </w:r>
      <w:r w:rsidRPr="001F089F">
        <w:rPr>
          <w:rFonts w:ascii="Palatino Linotype" w:eastAsia="Palatino Linotype" w:hAnsi="Palatino Linotype" w:cs="Palatino Linotype"/>
          <w:sz w:val="22"/>
          <w:szCs w:val="22"/>
        </w:rPr>
        <w:t xml:space="preserve"> de dos mil veinticuatro; en consecuencia, presentó su inconformidad el </w:t>
      </w:r>
      <w:r w:rsidR="002C1A45" w:rsidRPr="001F089F">
        <w:rPr>
          <w:rFonts w:ascii="Palatino Linotype" w:eastAsia="Palatino Linotype" w:hAnsi="Palatino Linotype" w:cs="Palatino Linotype"/>
          <w:sz w:val="22"/>
          <w:szCs w:val="22"/>
        </w:rPr>
        <w:t xml:space="preserve">siete de julio </w:t>
      </w:r>
      <w:r w:rsidRPr="001F089F">
        <w:rPr>
          <w:rFonts w:ascii="Palatino Linotype" w:eastAsia="Palatino Linotype" w:hAnsi="Palatino Linotype" w:cs="Palatino Linotype"/>
          <w:sz w:val="22"/>
          <w:szCs w:val="22"/>
        </w:rPr>
        <w:t xml:space="preserve">de dos mil veinticuatro, por lo que se encuentra dentro de los márgenes temporales previstos en el artículo 178 de la </w:t>
      </w:r>
      <w:r w:rsidRPr="001F089F">
        <w:rPr>
          <w:rFonts w:ascii="Palatino Linotype" w:eastAsia="Palatino Linotype" w:hAnsi="Palatino Linotype" w:cs="Palatino Linotype"/>
          <w:b/>
          <w:sz w:val="22"/>
          <w:szCs w:val="22"/>
        </w:rPr>
        <w:t xml:space="preserve">Ley de Transparencia y Acceso a la Información Pública del Estado de México y Municipios </w:t>
      </w:r>
      <w:r w:rsidRPr="001F089F">
        <w:rPr>
          <w:rFonts w:ascii="Palatino Linotype" w:eastAsia="Palatino Linotype" w:hAnsi="Palatino Linotype" w:cs="Palatino Linotype"/>
          <w:sz w:val="22"/>
          <w:szCs w:val="22"/>
        </w:rPr>
        <w:t>vigente.</w:t>
      </w:r>
    </w:p>
    <w:p w:rsidR="00AF2A58" w:rsidRPr="001F089F" w:rsidRDefault="00AF2A58" w:rsidP="00C82ED1">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94D86" w:rsidRPr="001F089F" w:rsidRDefault="00E94D86" w:rsidP="00C82ED1">
      <w:pPr>
        <w:ind w:right="-592"/>
        <w:jc w:val="both"/>
        <w:rPr>
          <w:rFonts w:ascii="Palatino Linotype" w:eastAsia="Palatino Linotype" w:hAnsi="Palatino Linotype" w:cs="Palatino Linotype"/>
          <w:b/>
          <w:sz w:val="22"/>
          <w:szCs w:val="22"/>
        </w:rPr>
      </w:pPr>
    </w:p>
    <w:p w:rsidR="00E94D86" w:rsidRPr="001F089F" w:rsidRDefault="001E3125">
      <w:pPr>
        <w:spacing w:line="360" w:lineRule="auto"/>
        <w:ind w:right="-592"/>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TERCERO. Planteamiento de la Litis.</w:t>
      </w:r>
    </w:p>
    <w:p w:rsidR="00E94D86" w:rsidRPr="001F089F" w:rsidRDefault="00E94D86" w:rsidP="00C82ED1">
      <w:pPr>
        <w:ind w:right="-592"/>
        <w:jc w:val="both"/>
        <w:rPr>
          <w:rFonts w:ascii="Palatino Linotype" w:eastAsia="Palatino Linotype" w:hAnsi="Palatino Linotype" w:cs="Palatino Linotype"/>
          <w:b/>
          <w:sz w:val="22"/>
          <w:szCs w:val="22"/>
        </w:rPr>
      </w:pPr>
    </w:p>
    <w:p w:rsidR="00AA0813" w:rsidRPr="001F089F" w:rsidRDefault="001E3125" w:rsidP="00AA0813">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 xml:space="preserve">El </w:t>
      </w:r>
      <w:r w:rsidRPr="001F089F">
        <w:rPr>
          <w:rFonts w:ascii="Palatino Linotype" w:eastAsia="Palatino Linotype" w:hAnsi="Palatino Linotype" w:cs="Palatino Linotype"/>
          <w:b/>
          <w:sz w:val="22"/>
          <w:szCs w:val="22"/>
        </w:rPr>
        <w:t>RECURRENTE</w:t>
      </w:r>
      <w:r w:rsidR="00A42556" w:rsidRPr="001F089F">
        <w:rPr>
          <w:rFonts w:ascii="Palatino Linotype" w:eastAsia="Palatino Linotype" w:hAnsi="Palatino Linotype" w:cs="Palatino Linotype"/>
          <w:b/>
          <w:sz w:val="22"/>
          <w:szCs w:val="22"/>
        </w:rPr>
        <w:t xml:space="preserve"> </w:t>
      </w:r>
      <w:r w:rsidR="00A42556" w:rsidRPr="001F089F">
        <w:rPr>
          <w:rFonts w:ascii="Palatino Linotype" w:eastAsia="Palatino Linotype" w:hAnsi="Palatino Linotype" w:cs="Palatino Linotype"/>
          <w:sz w:val="22"/>
          <w:szCs w:val="22"/>
        </w:rPr>
        <w:t xml:space="preserve">solicitó </w:t>
      </w:r>
      <w:r w:rsidR="002C1A45" w:rsidRPr="001F089F">
        <w:rPr>
          <w:rFonts w:ascii="Palatino Linotype" w:eastAsia="Palatino Linotype" w:hAnsi="Palatino Linotype" w:cs="Palatino Linotype"/>
          <w:sz w:val="22"/>
          <w:szCs w:val="22"/>
        </w:rPr>
        <w:t xml:space="preserve">de la Administración Municipal, </w:t>
      </w:r>
      <w:r w:rsidR="00D71ED9" w:rsidRPr="001F089F">
        <w:rPr>
          <w:rFonts w:ascii="Palatino Linotype" w:eastAsia="Palatino Linotype" w:hAnsi="Palatino Linotype" w:cs="Palatino Linotype"/>
          <w:sz w:val="22"/>
          <w:szCs w:val="22"/>
        </w:rPr>
        <w:t>O</w:t>
      </w:r>
      <w:r w:rsidR="002C1A45" w:rsidRPr="001F089F">
        <w:rPr>
          <w:rFonts w:ascii="Palatino Linotype" w:eastAsia="Palatino Linotype" w:hAnsi="Palatino Linotype" w:cs="Palatino Linotype"/>
          <w:sz w:val="22"/>
          <w:szCs w:val="22"/>
        </w:rPr>
        <w:t xml:space="preserve">rganismos </w:t>
      </w:r>
      <w:r w:rsidR="00D71ED9" w:rsidRPr="001F089F">
        <w:rPr>
          <w:rFonts w:ascii="Palatino Linotype" w:eastAsia="Palatino Linotype" w:hAnsi="Palatino Linotype" w:cs="Palatino Linotype"/>
          <w:sz w:val="22"/>
          <w:szCs w:val="22"/>
        </w:rPr>
        <w:t>D</w:t>
      </w:r>
      <w:r w:rsidR="002C1A45" w:rsidRPr="001F089F">
        <w:rPr>
          <w:rFonts w:ascii="Palatino Linotype" w:eastAsia="Palatino Linotype" w:hAnsi="Palatino Linotype" w:cs="Palatino Linotype"/>
          <w:sz w:val="22"/>
          <w:szCs w:val="22"/>
        </w:rPr>
        <w:t>esconcentrados y Sistema Municipal DIF</w:t>
      </w:r>
      <w:r w:rsidR="00D71ED9" w:rsidRPr="001F089F">
        <w:rPr>
          <w:rFonts w:ascii="Palatino Linotype" w:eastAsia="Palatino Linotype" w:hAnsi="Palatino Linotype" w:cs="Palatino Linotype"/>
          <w:sz w:val="22"/>
          <w:szCs w:val="22"/>
        </w:rPr>
        <w:t xml:space="preserve"> de 2022, 2023 y del 1 de enero al 10 de junio de 2024, lo siguiente:</w:t>
      </w:r>
    </w:p>
    <w:p w:rsidR="00D71ED9" w:rsidRPr="001F089F" w:rsidRDefault="00D71ED9" w:rsidP="00D71ED9">
      <w:pPr>
        <w:spacing w:line="360" w:lineRule="auto"/>
        <w:ind w:right="1"/>
        <w:jc w:val="both"/>
        <w:rPr>
          <w:rFonts w:ascii="Palatino Linotype" w:eastAsia="Palatino Linotype" w:hAnsi="Palatino Linotype" w:cs="Palatino Linotype"/>
          <w:sz w:val="22"/>
          <w:szCs w:val="22"/>
        </w:rPr>
      </w:pPr>
    </w:p>
    <w:p w:rsidR="00D71ED9" w:rsidRPr="001F089F" w:rsidRDefault="0010521C" w:rsidP="0010521C">
      <w:pPr>
        <w:pStyle w:val="Prrafodelista"/>
        <w:numPr>
          <w:ilvl w:val="0"/>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w:t>
      </w:r>
      <w:r w:rsidR="00D71ED9" w:rsidRPr="001F089F">
        <w:rPr>
          <w:rFonts w:ascii="Palatino Linotype" w:hAnsi="Palatino Linotype"/>
          <w:b/>
          <w:color w:val="000000"/>
          <w:szCs w:val="22"/>
        </w:rPr>
        <w:t>Informes Anuales y Trimestrales de Avance de Gestión Financiera y acuse de recibido por el Órgano Superior de Fis</w:t>
      </w:r>
      <w:r w:rsidRPr="001F089F">
        <w:rPr>
          <w:rFonts w:ascii="Palatino Linotype" w:hAnsi="Palatino Linotype"/>
          <w:b/>
          <w:color w:val="000000"/>
          <w:szCs w:val="22"/>
        </w:rPr>
        <w:t>calización del Estado de México;</w:t>
      </w:r>
      <w:r w:rsidR="00D71ED9" w:rsidRPr="001F089F">
        <w:rPr>
          <w:rFonts w:ascii="Palatino Linotype" w:hAnsi="Palatino Linotype"/>
          <w:b/>
          <w:color w:val="000000"/>
          <w:szCs w:val="22"/>
        </w:rPr>
        <w:t xml:space="preserve"> </w:t>
      </w:r>
    </w:p>
    <w:p w:rsidR="00ED7359" w:rsidRPr="001F089F" w:rsidRDefault="0010521C" w:rsidP="0010521C">
      <w:pPr>
        <w:pStyle w:val="Prrafodelista"/>
        <w:numPr>
          <w:ilvl w:val="0"/>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w:t>
      </w:r>
      <w:r w:rsidR="00D71ED9" w:rsidRPr="001F089F">
        <w:rPr>
          <w:rFonts w:ascii="Palatino Linotype" w:hAnsi="Palatino Linotype"/>
          <w:b/>
          <w:color w:val="000000"/>
          <w:szCs w:val="22"/>
        </w:rPr>
        <w:t>Estado que guarda la Cuenta Pública Municipal, aprobada medi</w:t>
      </w:r>
      <w:r w:rsidRPr="001F089F">
        <w:rPr>
          <w:rFonts w:ascii="Palatino Linotype" w:hAnsi="Palatino Linotype"/>
          <w:b/>
          <w:color w:val="000000"/>
          <w:szCs w:val="22"/>
        </w:rPr>
        <w:t>ante acta de sesión de cabildo.;</w:t>
      </w:r>
    </w:p>
    <w:p w:rsidR="00ED7359" w:rsidRPr="001F089F" w:rsidRDefault="00ED7359" w:rsidP="00603BA2">
      <w:pPr>
        <w:pStyle w:val="Prrafodelista"/>
        <w:numPr>
          <w:ilvl w:val="0"/>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Presupuesto de egresos e ingresos vigente aprobado</w:t>
      </w:r>
      <w:r w:rsidR="00D71ED9" w:rsidRPr="001F089F">
        <w:rPr>
          <w:rFonts w:ascii="Palatino Linotype" w:hAnsi="Palatino Linotype"/>
          <w:b/>
          <w:color w:val="000000"/>
          <w:szCs w:val="22"/>
        </w:rPr>
        <w:t xml:space="preserve"> medi</w:t>
      </w:r>
      <w:r w:rsidR="0010521C" w:rsidRPr="001F089F">
        <w:rPr>
          <w:rFonts w:ascii="Palatino Linotype" w:hAnsi="Palatino Linotype"/>
          <w:b/>
          <w:color w:val="000000"/>
          <w:szCs w:val="22"/>
        </w:rPr>
        <w:t>ante acta de sesión de cabildo;</w:t>
      </w:r>
      <w:r w:rsidR="00603BA2" w:rsidRPr="001F089F">
        <w:rPr>
          <w:rFonts w:ascii="Palatino Linotype" w:hAnsi="Palatino Linotype"/>
          <w:b/>
          <w:color w:val="000000"/>
          <w:szCs w:val="22"/>
        </w:rPr>
        <w:t xml:space="preserve"> </w:t>
      </w:r>
    </w:p>
    <w:p w:rsidR="00052A94" w:rsidRPr="001F089F" w:rsidRDefault="00052A94" w:rsidP="00052A94">
      <w:pPr>
        <w:pStyle w:val="Prrafodelista"/>
        <w:numPr>
          <w:ilvl w:val="0"/>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lastRenderedPageBreak/>
        <w:t xml:space="preserve">Relación de pasivos y cuentas por cobrar; relación de cuentas bancarias que se manejen; </w:t>
      </w:r>
      <w:r w:rsidR="00D71ED9" w:rsidRPr="001F089F">
        <w:rPr>
          <w:rFonts w:ascii="Palatino Linotype" w:hAnsi="Palatino Linotype"/>
          <w:b/>
          <w:color w:val="000000"/>
          <w:szCs w:val="22"/>
        </w:rPr>
        <w:t>Estado de Deuda Pública autorizado medi</w:t>
      </w:r>
      <w:r w:rsidR="0010521C" w:rsidRPr="001F089F">
        <w:rPr>
          <w:rFonts w:ascii="Palatino Linotype" w:hAnsi="Palatino Linotype"/>
          <w:b/>
          <w:color w:val="000000"/>
          <w:szCs w:val="22"/>
        </w:rPr>
        <w:t>ante acta de sesión de cabildo;</w:t>
      </w:r>
      <w:r w:rsidR="00603BA2" w:rsidRPr="001F089F">
        <w:rPr>
          <w:rFonts w:ascii="Palatino Linotype" w:hAnsi="Palatino Linotype"/>
          <w:b/>
          <w:color w:val="000000"/>
          <w:szCs w:val="22"/>
        </w:rPr>
        <w:t xml:space="preserve"> S</w:t>
      </w:r>
      <w:r w:rsidR="00D71ED9" w:rsidRPr="001F089F">
        <w:rPr>
          <w:rFonts w:ascii="Palatino Linotype" w:hAnsi="Palatino Linotype"/>
          <w:b/>
          <w:color w:val="000000"/>
          <w:szCs w:val="22"/>
        </w:rPr>
        <w:t>ituación de la Deuda P</w:t>
      </w:r>
      <w:r w:rsidR="0010521C" w:rsidRPr="001F089F">
        <w:rPr>
          <w:rFonts w:ascii="Palatino Linotype" w:hAnsi="Palatino Linotype"/>
          <w:b/>
          <w:color w:val="000000"/>
          <w:szCs w:val="22"/>
        </w:rPr>
        <w:t>ública Municipal y su registro;</w:t>
      </w:r>
      <w:r w:rsidR="00603BA2" w:rsidRPr="001F089F">
        <w:rPr>
          <w:rFonts w:ascii="Palatino Linotype" w:hAnsi="Palatino Linotype"/>
          <w:b/>
          <w:color w:val="000000"/>
          <w:szCs w:val="22"/>
        </w:rPr>
        <w:t xml:space="preserve"> p</w:t>
      </w:r>
      <w:r w:rsidR="00D71ED9" w:rsidRPr="001F089F">
        <w:rPr>
          <w:rFonts w:ascii="Palatino Linotype" w:hAnsi="Palatino Linotype"/>
          <w:b/>
          <w:color w:val="000000"/>
          <w:szCs w:val="22"/>
        </w:rPr>
        <w:t>resentar l</w:t>
      </w:r>
      <w:r w:rsidR="0010521C" w:rsidRPr="001F089F">
        <w:rPr>
          <w:rFonts w:ascii="Palatino Linotype" w:hAnsi="Palatino Linotype"/>
          <w:b/>
          <w:color w:val="000000"/>
          <w:szCs w:val="22"/>
        </w:rPr>
        <w:t>a situación de la Deuda Pública;</w:t>
      </w:r>
      <w:r w:rsidR="00603BA2" w:rsidRPr="001F089F">
        <w:rPr>
          <w:rFonts w:ascii="Palatino Linotype" w:hAnsi="Palatino Linotype"/>
          <w:b/>
          <w:color w:val="000000"/>
          <w:szCs w:val="22"/>
        </w:rPr>
        <w:t xml:space="preserve"> </w:t>
      </w:r>
      <w:r w:rsidR="00D71ED9" w:rsidRPr="001F089F">
        <w:rPr>
          <w:rFonts w:ascii="Palatino Linotype" w:hAnsi="Palatino Linotype"/>
          <w:b/>
          <w:color w:val="000000"/>
          <w:szCs w:val="22"/>
        </w:rPr>
        <w:t xml:space="preserve">Estado Analítico de la Deuda Púbica y otros pasivos. </w:t>
      </w:r>
      <w:r w:rsidR="00ED7359" w:rsidRPr="001F089F">
        <w:rPr>
          <w:rFonts w:ascii="Palatino Linotype" w:hAnsi="Palatino Linotype"/>
          <w:b/>
          <w:color w:val="000000"/>
          <w:szCs w:val="22"/>
        </w:rPr>
        <w:t xml:space="preserve">Endeudamiento neto. Intereses de la deuda. </w:t>
      </w:r>
    </w:p>
    <w:p w:rsidR="00D71ED9" w:rsidRPr="001F089F" w:rsidRDefault="00D71ED9" w:rsidP="0010521C">
      <w:pPr>
        <w:pStyle w:val="Prrafodelista"/>
        <w:numPr>
          <w:ilvl w:val="0"/>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Relación de contratos de consultoría, arrendamiento, compra-venta, poderes otorgados, servicios, asesorías o de cualquier otra índole que deriven de derechos u obligaciones </w:t>
      </w:r>
    </w:p>
    <w:p w:rsidR="00D71ED9" w:rsidRPr="001F089F" w:rsidRDefault="00D71ED9" w:rsidP="0010521C">
      <w:pPr>
        <w:pStyle w:val="Prrafodelista"/>
        <w:numPr>
          <w:ilvl w:val="1"/>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Estado de la Obra Pública ejecutada y en proceso. Relación de obras en proceso. Inventario de Expedientes Técnicos Unitarios Inventario de Obras Publicas terminadas y en proceso </w:t>
      </w:r>
    </w:p>
    <w:p w:rsidR="00D71ED9" w:rsidRPr="001F089F" w:rsidRDefault="00D71ED9" w:rsidP="0010521C">
      <w:pPr>
        <w:pStyle w:val="Prrafodelista"/>
        <w:numPr>
          <w:ilvl w:val="1"/>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Situación que guardan las aportaciones estatales y federales, con </w:t>
      </w:r>
      <w:r w:rsidR="00ED7359" w:rsidRPr="001F089F">
        <w:rPr>
          <w:rFonts w:ascii="Palatino Linotype" w:hAnsi="Palatino Linotype"/>
          <w:b/>
          <w:color w:val="000000"/>
          <w:szCs w:val="22"/>
        </w:rPr>
        <w:t xml:space="preserve">comprobantes. </w:t>
      </w:r>
      <w:r w:rsidRPr="001F089F">
        <w:rPr>
          <w:rFonts w:ascii="Palatino Linotype" w:hAnsi="Palatino Linotype"/>
          <w:b/>
          <w:color w:val="000000"/>
          <w:szCs w:val="22"/>
        </w:rPr>
        <w:t xml:space="preserve">Informe que refleje los montos recibidos y pendientes por recibir. Presentar copia de los estados de cuenta, que soporte dicho informe. </w:t>
      </w:r>
    </w:p>
    <w:p w:rsidR="00D71ED9" w:rsidRPr="001F089F" w:rsidRDefault="00D71ED9" w:rsidP="0010521C">
      <w:pPr>
        <w:pStyle w:val="Prrafodelista"/>
        <w:numPr>
          <w:ilvl w:val="1"/>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Inventario de bienes muebles e inmuebles. Relación de bienes que componen el patrimonio Municipal. Inventario de bienes muebles. Inventario de bienes inmuebles. </w:t>
      </w:r>
    </w:p>
    <w:p w:rsidR="007C35C2" w:rsidRPr="001F089F" w:rsidRDefault="00D71ED9" w:rsidP="0010521C">
      <w:pPr>
        <w:pStyle w:val="Prrafodelista"/>
        <w:numPr>
          <w:ilvl w:val="1"/>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Plantilla actualizada con nombre, puesto, adscripción y detalle de percepciones mensuales, así como que tipo de relación contractual se tiene, si se contrató por tiempo determinado, indeterminado o por obras determinada. </w:t>
      </w:r>
    </w:p>
    <w:p w:rsidR="00ED7359" w:rsidRPr="001F089F" w:rsidRDefault="00D71ED9" w:rsidP="0010521C">
      <w:pPr>
        <w:pStyle w:val="Prrafodelista"/>
        <w:numPr>
          <w:ilvl w:val="0"/>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Relación de personal con licencias y permisos </w:t>
      </w:r>
    </w:p>
    <w:p w:rsidR="00D71ED9" w:rsidRPr="001F089F" w:rsidRDefault="00D71ED9" w:rsidP="0010521C">
      <w:pPr>
        <w:pStyle w:val="Prrafodelista"/>
        <w:numPr>
          <w:ilvl w:val="0"/>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Relación de percepciones pendientes de cubrir a los trabajadores explicando las causas que las motivaron. </w:t>
      </w:r>
    </w:p>
    <w:p w:rsidR="00D71ED9" w:rsidRPr="001F089F" w:rsidRDefault="00D71ED9" w:rsidP="0010521C">
      <w:pPr>
        <w:pStyle w:val="Prrafodelista"/>
        <w:numPr>
          <w:ilvl w:val="1"/>
          <w:numId w:val="21"/>
        </w:numPr>
        <w:ind w:left="709" w:right="567" w:hanging="142"/>
        <w:jc w:val="both"/>
        <w:rPr>
          <w:rFonts w:ascii="Palatino Linotype" w:hAnsi="Palatino Linotype"/>
          <w:b/>
          <w:color w:val="000000"/>
          <w:szCs w:val="22"/>
        </w:rPr>
      </w:pPr>
      <w:r w:rsidRPr="001F089F">
        <w:rPr>
          <w:rFonts w:ascii="Palatino Linotype" w:hAnsi="Palatino Linotype"/>
          <w:b/>
          <w:color w:val="000000"/>
          <w:szCs w:val="22"/>
        </w:rPr>
        <w:t xml:space="preserve">Relación de juicios laborales en trámite y laudos pendientes de cumplir. </w:t>
      </w:r>
    </w:p>
    <w:p w:rsidR="00D71ED9" w:rsidRPr="001F089F" w:rsidRDefault="00D71ED9" w:rsidP="0010521C">
      <w:pPr>
        <w:pStyle w:val="Prrafodelista"/>
        <w:numPr>
          <w:ilvl w:val="1"/>
          <w:numId w:val="21"/>
        </w:numPr>
        <w:ind w:left="709" w:right="567" w:hanging="142"/>
        <w:jc w:val="both"/>
        <w:rPr>
          <w:rFonts w:ascii="Palatino Linotype" w:eastAsia="Palatino Linotype" w:hAnsi="Palatino Linotype" w:cs="Palatino Linotype"/>
          <w:b/>
          <w:szCs w:val="22"/>
        </w:rPr>
      </w:pPr>
      <w:r w:rsidRPr="001F089F">
        <w:rPr>
          <w:rFonts w:ascii="Palatino Linotype" w:hAnsi="Palatino Linotype"/>
          <w:b/>
          <w:color w:val="000000"/>
          <w:szCs w:val="22"/>
        </w:rPr>
        <w:t>Expedientes que contengan observaciones, recomendaciones o apercibimientos emitidos por el Órganos Superior de Fiscalización</w:t>
      </w:r>
      <w:r w:rsidR="00A379D4" w:rsidRPr="001F089F">
        <w:rPr>
          <w:rFonts w:ascii="Palatino Linotype" w:hAnsi="Palatino Linotype"/>
          <w:b/>
          <w:color w:val="000000"/>
          <w:szCs w:val="22"/>
        </w:rPr>
        <w:t>.</w:t>
      </w:r>
    </w:p>
    <w:p w:rsidR="00E94D86" w:rsidRPr="001F089F" w:rsidRDefault="00E94D86" w:rsidP="00073512">
      <w:pPr>
        <w:tabs>
          <w:tab w:val="left" w:pos="1740"/>
        </w:tabs>
        <w:spacing w:line="360" w:lineRule="auto"/>
        <w:ind w:right="1"/>
        <w:jc w:val="both"/>
        <w:rPr>
          <w:rFonts w:ascii="Palatino Linotype" w:eastAsia="Palatino Linotype" w:hAnsi="Palatino Linotype" w:cs="Palatino Linotype"/>
          <w:b/>
          <w:sz w:val="22"/>
          <w:szCs w:val="22"/>
        </w:rPr>
      </w:pPr>
    </w:p>
    <w:p w:rsidR="00E94D86" w:rsidRPr="001F089F" w:rsidRDefault="001E3125" w:rsidP="00C82ED1">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En respuesta, 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w:t>
      </w:r>
      <w:r w:rsidR="003843C2" w:rsidRPr="001F089F">
        <w:rPr>
          <w:rFonts w:ascii="Palatino Linotype" w:eastAsia="Palatino Linotype" w:hAnsi="Palatino Linotype" w:cs="Palatino Linotype"/>
          <w:sz w:val="22"/>
          <w:szCs w:val="22"/>
        </w:rPr>
        <w:t xml:space="preserve">por medio </w:t>
      </w:r>
      <w:r w:rsidR="008D638C" w:rsidRPr="001F089F">
        <w:rPr>
          <w:rFonts w:ascii="Palatino Linotype" w:eastAsia="Palatino Linotype" w:hAnsi="Palatino Linotype" w:cs="Palatino Linotype"/>
          <w:sz w:val="22"/>
          <w:szCs w:val="22"/>
        </w:rPr>
        <w:t xml:space="preserve">del Director de Obras y Desarrollo Urbano, remitió de las obras del ejercicio fiscal 2024, </w:t>
      </w:r>
      <w:r w:rsidR="008D638C" w:rsidRPr="001F089F">
        <w:rPr>
          <w:rFonts w:ascii="Palatino Linotype" w:hAnsi="Palatino Linotype"/>
          <w:sz w:val="22"/>
          <w:szCs w:val="22"/>
        </w:rPr>
        <w:t>el “Inventario de Expedientes de Obras Ejecutadas y en Proceso” y la “Relación de Obras en Proceso y Terminadas”. Ahora bien, por medio del Secretario del Ayuntamiento, remitió la “Relación de Bienes Muebles” que compone el Patrimonio Municipal (Inventario de Bienes Muebles e Inmuebles), al 30 de junio de 2024. Por otro lado, por medio del Titular de la Consejería Jurídica, remitió la “Relación de Juicios Laborales en trámite”, asimismo, informó que no hay laudos pendientes por cumplir.</w:t>
      </w:r>
      <w:r w:rsidR="008B46A1" w:rsidRPr="001F089F">
        <w:rPr>
          <w:rFonts w:ascii="Palatino Linotype" w:hAnsi="Palatino Linotype"/>
          <w:sz w:val="22"/>
          <w:szCs w:val="22"/>
        </w:rPr>
        <w:t xml:space="preserve"> Finalmente, por medio de la Tesorera Municipal, refirió que la documentación solicitada se encuentra en el portal </w:t>
      </w:r>
      <w:r w:rsidR="008B46A1" w:rsidRPr="001F089F">
        <w:rPr>
          <w:rFonts w:ascii="Palatino Linotype" w:hAnsi="Palatino Linotype"/>
          <w:sz w:val="22"/>
          <w:szCs w:val="22"/>
        </w:rPr>
        <w:lastRenderedPageBreak/>
        <w:t>en formato PDF y es verídica, completa y actualizada al 2 de julio de 2024, por lo que remitió un link donde señaló que podría ser consultada.</w:t>
      </w: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 xml:space="preserve">Posteriormente, el </w:t>
      </w:r>
      <w:r w:rsidRPr="001F089F">
        <w:rPr>
          <w:rFonts w:ascii="Palatino Linotype" w:eastAsia="Palatino Linotype" w:hAnsi="Palatino Linotype" w:cs="Palatino Linotype"/>
          <w:b/>
          <w:sz w:val="22"/>
          <w:szCs w:val="22"/>
        </w:rPr>
        <w:t>RECURRENTE</w:t>
      </w:r>
      <w:r w:rsidRPr="001F089F">
        <w:rPr>
          <w:rFonts w:ascii="Palatino Linotype" w:eastAsia="Palatino Linotype" w:hAnsi="Palatino Linotype" w:cs="Palatino Linotype"/>
          <w:sz w:val="22"/>
          <w:szCs w:val="22"/>
        </w:rPr>
        <w:t xml:space="preserve"> se inconformó por </w:t>
      </w:r>
      <w:r w:rsidRPr="001F089F">
        <w:rPr>
          <w:rFonts w:ascii="Palatino Linotype" w:eastAsia="Palatino Linotype" w:hAnsi="Palatino Linotype" w:cs="Palatino Linotype"/>
          <w:b/>
          <w:sz w:val="22"/>
          <w:szCs w:val="22"/>
        </w:rPr>
        <w:t xml:space="preserve">la </w:t>
      </w:r>
      <w:r w:rsidR="008B46A1" w:rsidRPr="001F089F">
        <w:rPr>
          <w:rFonts w:ascii="Palatino Linotype" w:eastAsia="Palatino Linotype" w:hAnsi="Palatino Linotype" w:cs="Palatino Linotype"/>
          <w:b/>
          <w:sz w:val="22"/>
          <w:szCs w:val="22"/>
        </w:rPr>
        <w:t>entrega de información incompleta.</w:t>
      </w:r>
    </w:p>
    <w:p w:rsidR="00E94D86" w:rsidRPr="001F089F" w:rsidRDefault="00E94D86" w:rsidP="00C82ED1">
      <w:pPr>
        <w:ind w:right="1"/>
        <w:rPr>
          <w:rFonts w:ascii="Palatino Linotype" w:eastAsia="Palatino Linotype" w:hAnsi="Palatino Linotype" w:cs="Palatino Linotype"/>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bookmarkStart w:id="3" w:name="_heading=h.gjdgxs" w:colFirst="0" w:colLast="0"/>
      <w:bookmarkEnd w:id="3"/>
      <w:r w:rsidRPr="001F089F">
        <w:rPr>
          <w:rFonts w:ascii="Palatino Linotype" w:eastAsia="Palatino Linotype" w:hAnsi="Palatino Linotype" w:cs="Palatino Linotype"/>
          <w:sz w:val="22"/>
          <w:szCs w:val="22"/>
        </w:rPr>
        <w:t xml:space="preserve">En dichas condiciones, la </w:t>
      </w:r>
      <w:r w:rsidRPr="001F089F">
        <w:rPr>
          <w:rFonts w:ascii="Palatino Linotype" w:eastAsia="Palatino Linotype" w:hAnsi="Palatino Linotype" w:cs="Palatino Linotype"/>
          <w:i/>
          <w:sz w:val="22"/>
          <w:szCs w:val="22"/>
        </w:rPr>
        <w:t>Litis</w:t>
      </w:r>
      <w:r w:rsidRPr="001F089F">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w:t>
      </w:r>
      <w:r w:rsidRPr="001F089F">
        <w:rPr>
          <w:rFonts w:ascii="Palatino Linotype" w:eastAsia="Palatino Linotype" w:hAnsi="Palatino Linotype" w:cs="Palatino Linotype"/>
          <w:b/>
          <w:sz w:val="22"/>
          <w:szCs w:val="22"/>
        </w:rPr>
        <w:t xml:space="preserve"> </w:t>
      </w:r>
      <w:r w:rsidR="008B46A1" w:rsidRPr="001F089F">
        <w:rPr>
          <w:rFonts w:ascii="Palatino Linotype" w:eastAsia="Palatino Linotype" w:hAnsi="Palatino Linotype" w:cs="Palatino Linotype"/>
          <w:sz w:val="22"/>
          <w:szCs w:val="22"/>
        </w:rPr>
        <w:t xml:space="preserve">V </w:t>
      </w:r>
      <w:r w:rsidRPr="001F089F">
        <w:rPr>
          <w:rFonts w:ascii="Palatino Linotype" w:eastAsia="Palatino Linotype" w:hAnsi="Palatino Linotype" w:cs="Palatino Linotype"/>
          <w:sz w:val="22"/>
          <w:szCs w:val="22"/>
        </w:rPr>
        <w:t xml:space="preserve">de la </w:t>
      </w:r>
      <w:r w:rsidRPr="001F089F">
        <w:rPr>
          <w:rFonts w:ascii="Palatino Linotype" w:eastAsia="Palatino Linotype" w:hAnsi="Palatino Linotype" w:cs="Palatino Linotype"/>
          <w:b/>
          <w:sz w:val="22"/>
          <w:szCs w:val="22"/>
        </w:rPr>
        <w:t>Ley de Transparencia y Acceso a la Información Pública del Estado de México y Municipios</w:t>
      </w:r>
      <w:r w:rsidRPr="001F089F">
        <w:rPr>
          <w:rFonts w:ascii="Palatino Linotype" w:eastAsia="Palatino Linotype" w:hAnsi="Palatino Linotype" w:cs="Palatino Linotype"/>
          <w:sz w:val="22"/>
          <w:szCs w:val="22"/>
        </w:rPr>
        <w:t>.</w:t>
      </w:r>
    </w:p>
    <w:p w:rsidR="00E94D86" w:rsidRPr="001F089F" w:rsidRDefault="00E94D86" w:rsidP="00C82ED1">
      <w:pPr>
        <w:ind w:right="1"/>
        <w:jc w:val="both"/>
        <w:rPr>
          <w:rFonts w:ascii="Palatino Linotype" w:eastAsia="Palatino Linotype" w:hAnsi="Palatino Linotype" w:cs="Palatino Linotype"/>
          <w:b/>
          <w:sz w:val="22"/>
          <w:szCs w:val="22"/>
        </w:rPr>
      </w:pPr>
    </w:p>
    <w:p w:rsidR="00E94D86" w:rsidRPr="001F089F" w:rsidRDefault="001E3125">
      <w:pPr>
        <w:pStyle w:val="Ttulo2"/>
        <w:spacing w:before="0" w:line="360" w:lineRule="auto"/>
        <w:ind w:right="1"/>
        <w:rPr>
          <w:rFonts w:ascii="Palatino Linotype" w:eastAsia="Palatino Linotype" w:hAnsi="Palatino Linotype" w:cs="Palatino Linotype"/>
          <w:b/>
          <w:color w:val="000000"/>
          <w:sz w:val="22"/>
          <w:szCs w:val="22"/>
        </w:rPr>
      </w:pPr>
      <w:r w:rsidRPr="001F089F">
        <w:rPr>
          <w:rFonts w:ascii="Palatino Linotype" w:eastAsia="Palatino Linotype" w:hAnsi="Palatino Linotype" w:cs="Palatino Linotype"/>
          <w:b/>
          <w:color w:val="000000"/>
          <w:sz w:val="22"/>
          <w:szCs w:val="22"/>
        </w:rPr>
        <w:t>CUARTA. Estudio y resolución del asunto.</w:t>
      </w:r>
    </w:p>
    <w:p w:rsidR="00E94D86" w:rsidRPr="001F089F" w:rsidRDefault="00E94D86" w:rsidP="00831332">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 xml:space="preserve"> </w:t>
      </w:r>
      <w:r w:rsidRPr="001F089F">
        <w:rPr>
          <w:rFonts w:ascii="Palatino Linotype" w:eastAsia="Palatino Linotype" w:hAnsi="Palatino Linotype" w:cs="Palatino Linotype"/>
          <w:sz w:val="22"/>
          <w:szCs w:val="22"/>
        </w:rPr>
        <w:t xml:space="preserve">El </w:t>
      </w:r>
      <w:r w:rsidRPr="001F089F">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1F089F">
        <w:rPr>
          <w:rFonts w:ascii="Palatino Linotype" w:eastAsia="Palatino Linotype" w:hAnsi="Palatino Linotype" w:cs="Palatino Linotype"/>
          <w:sz w:val="22"/>
          <w:szCs w:val="22"/>
        </w:rPr>
        <w:t>Particular</w:t>
      </w:r>
      <w:r w:rsidRPr="001F089F">
        <w:rPr>
          <w:rFonts w:ascii="Palatino Linotype" w:eastAsia="Palatino Linotype" w:hAnsi="Palatino Linotype" w:cs="Palatino Linotype"/>
          <w:color w:val="000000"/>
          <w:sz w:val="22"/>
          <w:szCs w:val="22"/>
        </w:rPr>
        <w:t xml:space="preserve"> del Estado de México.</w:t>
      </w:r>
    </w:p>
    <w:p w:rsidR="00E94D86" w:rsidRPr="001F089F" w:rsidRDefault="00E94D86" w:rsidP="00831332">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Definiendo </w:t>
      </w:r>
      <w:r w:rsidRPr="001F089F">
        <w:rPr>
          <w:rFonts w:ascii="Palatino Linotype" w:eastAsia="Palatino Linotype" w:hAnsi="Palatino Linotype" w:cs="Palatino Linotype"/>
          <w:sz w:val="22"/>
          <w:szCs w:val="22"/>
        </w:rPr>
        <w:t xml:space="preserve">el Derecho de Acceso a la Información Pública como: </w:t>
      </w:r>
      <w:r w:rsidRPr="001F089F">
        <w:rPr>
          <w:rFonts w:ascii="Palatino Linotype" w:eastAsia="Palatino Linotype" w:hAnsi="Palatino Linotype" w:cs="Palatino Linotype"/>
          <w:i/>
          <w:color w:val="000000"/>
          <w:sz w:val="22"/>
          <w:szCs w:val="22"/>
        </w:rPr>
        <w:t xml:space="preserve">La igualdad de </w:t>
      </w:r>
      <w:r w:rsidRPr="001F089F">
        <w:rPr>
          <w:rFonts w:ascii="Palatino Linotype" w:eastAsia="Palatino Linotype" w:hAnsi="Palatino Linotype" w:cs="Palatino Linotype"/>
          <w:sz w:val="22"/>
          <w:szCs w:val="22"/>
        </w:rPr>
        <w:t>oportunidades</w:t>
      </w:r>
      <w:r w:rsidRPr="001F089F">
        <w:rPr>
          <w:rFonts w:ascii="Palatino Linotype" w:eastAsia="Palatino Linotype" w:hAnsi="Palatino Linotype" w:cs="Palatino Linotype"/>
          <w:i/>
          <w:color w:val="000000"/>
          <w:sz w:val="22"/>
          <w:szCs w:val="22"/>
        </w:rPr>
        <w:t xml:space="preserve"> para recibir, buscar e impartir información</w:t>
      </w:r>
      <w:r w:rsidRPr="001F089F">
        <w:rPr>
          <w:rFonts w:ascii="Palatino Linotype" w:eastAsia="Palatino Linotype" w:hAnsi="Palatino Linotype" w:cs="Palatino Linotype"/>
          <w:i/>
          <w:color w:val="000000"/>
          <w:sz w:val="22"/>
          <w:szCs w:val="22"/>
          <w:vertAlign w:val="superscript"/>
        </w:rPr>
        <w:footnoteReference w:id="1"/>
      </w:r>
      <w:r w:rsidRPr="001F089F">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F089F">
        <w:rPr>
          <w:rFonts w:ascii="Palatino Linotype" w:eastAsia="Palatino Linotype" w:hAnsi="Palatino Linotype" w:cs="Palatino Linotype"/>
          <w:i/>
          <w:color w:val="000000"/>
          <w:sz w:val="22"/>
          <w:szCs w:val="22"/>
          <w:vertAlign w:val="superscript"/>
        </w:rPr>
        <w:footnoteReference w:id="2"/>
      </w:r>
      <w:r w:rsidRPr="001F089F">
        <w:rPr>
          <w:rFonts w:ascii="Palatino Linotype" w:eastAsia="Palatino Linotype" w:hAnsi="Palatino Linotype" w:cs="Palatino Linotype"/>
          <w:color w:val="000000"/>
          <w:sz w:val="22"/>
          <w:szCs w:val="22"/>
        </w:rPr>
        <w:t>que se constituye como una herramienta fundamental para ejercer</w:t>
      </w:r>
      <w:r w:rsidRPr="001F089F">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1F089F">
        <w:rPr>
          <w:rFonts w:ascii="Palatino Linotype" w:eastAsia="Palatino Linotype" w:hAnsi="Palatino Linotype" w:cs="Palatino Linotype"/>
          <w:i/>
          <w:color w:val="000000"/>
          <w:sz w:val="22"/>
          <w:szCs w:val="22"/>
          <w:vertAlign w:val="superscript"/>
        </w:rPr>
        <w:footnoteReference w:id="3"/>
      </w:r>
      <w:r w:rsidRPr="001F089F">
        <w:rPr>
          <w:rFonts w:ascii="Palatino Linotype" w:eastAsia="Palatino Linotype" w:hAnsi="Palatino Linotype" w:cs="Palatino Linotype"/>
          <w:color w:val="000000"/>
          <w:sz w:val="22"/>
          <w:szCs w:val="22"/>
        </w:rPr>
        <w:t>fomentando</w:t>
      </w:r>
      <w:r w:rsidRPr="001F089F">
        <w:rPr>
          <w:rFonts w:ascii="Palatino Linotype" w:eastAsia="Palatino Linotype" w:hAnsi="Palatino Linotype" w:cs="Palatino Linotype"/>
          <w:i/>
          <w:color w:val="000000"/>
          <w:sz w:val="22"/>
          <w:szCs w:val="22"/>
        </w:rPr>
        <w:t xml:space="preserve"> la transparencia de las actividades estatales y </w:t>
      </w:r>
      <w:r w:rsidRPr="001F089F">
        <w:rPr>
          <w:rFonts w:ascii="Palatino Linotype" w:eastAsia="Palatino Linotype" w:hAnsi="Palatino Linotype" w:cs="Palatino Linotype"/>
          <w:color w:val="000000"/>
          <w:sz w:val="22"/>
          <w:szCs w:val="22"/>
        </w:rPr>
        <w:t>promoviendo</w:t>
      </w:r>
      <w:r w:rsidRPr="001F089F">
        <w:rPr>
          <w:rFonts w:ascii="Palatino Linotype" w:eastAsia="Palatino Linotype" w:hAnsi="Palatino Linotype" w:cs="Palatino Linotype"/>
          <w:i/>
          <w:color w:val="000000"/>
          <w:sz w:val="22"/>
          <w:szCs w:val="22"/>
        </w:rPr>
        <w:t xml:space="preserve"> la </w:t>
      </w:r>
      <w:r w:rsidRPr="001F089F">
        <w:rPr>
          <w:rFonts w:ascii="Palatino Linotype" w:eastAsia="Palatino Linotype" w:hAnsi="Palatino Linotype" w:cs="Palatino Linotype"/>
          <w:i/>
          <w:color w:val="000000"/>
          <w:sz w:val="22"/>
          <w:szCs w:val="22"/>
        </w:rPr>
        <w:lastRenderedPageBreak/>
        <w:t>responsabilidad de los funcionarios sobre su gestión pública,</w:t>
      </w:r>
      <w:r w:rsidRPr="001F089F">
        <w:rPr>
          <w:rFonts w:ascii="Palatino Linotype" w:eastAsia="Palatino Linotype" w:hAnsi="Palatino Linotype" w:cs="Palatino Linotype"/>
          <w:i/>
          <w:color w:val="000000"/>
          <w:sz w:val="22"/>
          <w:szCs w:val="22"/>
          <w:vertAlign w:val="superscript"/>
        </w:rPr>
        <w:footnoteReference w:id="4"/>
      </w:r>
      <w:r w:rsidRPr="001F089F">
        <w:rPr>
          <w:rFonts w:ascii="Palatino Linotype" w:eastAsia="Palatino Linotype" w:hAnsi="Palatino Linotype" w:cs="Palatino Linotype"/>
          <w:color w:val="000000"/>
          <w:sz w:val="22"/>
          <w:szCs w:val="22"/>
        </w:rPr>
        <w:t>que permite</w:t>
      </w:r>
      <w:r w:rsidRPr="001F089F">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rsidR="00E94D86" w:rsidRPr="001F089F" w:rsidRDefault="00E94D86" w:rsidP="00831332">
      <w:pPr>
        <w:ind w:right="1"/>
        <w:rPr>
          <w:rFonts w:ascii="Palatino Linotype" w:eastAsia="Palatino Linotype" w:hAnsi="Palatino Linotype" w:cs="Palatino Linotype"/>
          <w:color w:val="000000"/>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En </w:t>
      </w:r>
      <w:r w:rsidRPr="001F089F">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rsidR="00E94D86" w:rsidRPr="001F089F" w:rsidRDefault="00E94D86" w:rsidP="00831332">
      <w:pPr>
        <w:ind w:right="-592"/>
        <w:jc w:val="both"/>
        <w:rPr>
          <w:rFonts w:ascii="Palatino Linotype" w:eastAsia="Palatino Linotype" w:hAnsi="Palatino Linotype" w:cs="Palatino Linotype"/>
          <w:b/>
          <w:sz w:val="22"/>
          <w:szCs w:val="22"/>
        </w:rPr>
      </w:pP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i/>
          <w:sz w:val="22"/>
          <w:szCs w:val="22"/>
        </w:rPr>
        <w:t>“</w:t>
      </w:r>
      <w:r w:rsidRPr="001F089F">
        <w:rPr>
          <w:rFonts w:ascii="Palatino Linotype" w:eastAsia="Palatino Linotype" w:hAnsi="Palatino Linotype" w:cs="Palatino Linotype"/>
          <w:b/>
          <w:i/>
          <w:sz w:val="22"/>
          <w:szCs w:val="22"/>
        </w:rPr>
        <w:t>Artículo 1.-</w:t>
      </w:r>
      <w:r w:rsidRPr="001F089F">
        <w:rPr>
          <w:rFonts w:ascii="Palatino Linotype" w:eastAsia="Palatino Linotype" w:hAnsi="Palatino Linotype" w:cs="Palatino Linotype"/>
          <w:i/>
          <w:sz w:val="22"/>
          <w:szCs w:val="22"/>
        </w:rPr>
        <w:t xml:space="preserve"> </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i/>
          <w:sz w:val="22"/>
          <w:szCs w:val="22"/>
        </w:rPr>
        <w:t>(…)</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i/>
          <w:sz w:val="22"/>
          <w:szCs w:val="22"/>
        </w:rPr>
        <w:t>Todas las</w:t>
      </w:r>
      <w:r w:rsidRPr="001F089F">
        <w:rPr>
          <w:rFonts w:ascii="Palatino Linotype" w:eastAsia="Palatino Linotype" w:hAnsi="Palatino Linotype" w:cs="Palatino Linotype"/>
          <w:sz w:val="22"/>
          <w:szCs w:val="22"/>
        </w:rPr>
        <w:t xml:space="preserve"> </w:t>
      </w:r>
      <w:r w:rsidRPr="001F089F">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94D86" w:rsidRPr="001F089F" w:rsidRDefault="001E3125">
      <w:pPr>
        <w:ind w:left="567" w:right="71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i/>
          <w:sz w:val="22"/>
          <w:szCs w:val="22"/>
        </w:rPr>
        <w:t>(…)</w:t>
      </w:r>
      <w:r w:rsidRPr="001F089F">
        <w:rPr>
          <w:rFonts w:ascii="Palatino Linotype" w:eastAsia="Palatino Linotype" w:hAnsi="Palatino Linotype" w:cs="Palatino Linotype"/>
          <w:sz w:val="22"/>
          <w:szCs w:val="22"/>
        </w:rPr>
        <w:t>”</w:t>
      </w:r>
    </w:p>
    <w:p w:rsidR="00E94D86" w:rsidRPr="001F089F" w:rsidRDefault="00E94D86" w:rsidP="00831332">
      <w:pPr>
        <w:ind w:right="-592"/>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Por </w:t>
      </w:r>
      <w:r w:rsidRPr="001F089F">
        <w:rPr>
          <w:rFonts w:ascii="Palatino Linotype" w:eastAsia="Palatino Linotype" w:hAnsi="Palatino Linotype" w:cs="Palatino Linotype"/>
          <w:sz w:val="22"/>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94D86" w:rsidRPr="001F089F" w:rsidRDefault="00E94D86" w:rsidP="00831332">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Así </w:t>
      </w:r>
      <w:r w:rsidRPr="001F089F">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E94D86" w:rsidRPr="001F089F" w:rsidRDefault="00E94D86" w:rsidP="00831332">
      <w:pPr>
        <w:rPr>
          <w:rFonts w:ascii="Palatino Linotype" w:eastAsia="Palatino Linotype" w:hAnsi="Palatino Linotype" w:cs="Palatino Linotype"/>
          <w:b/>
          <w:sz w:val="22"/>
          <w:szCs w:val="22"/>
        </w:rPr>
      </w:pPr>
    </w:p>
    <w:p w:rsidR="00E94D86" w:rsidRPr="001F089F" w:rsidRDefault="001E3125">
      <w:pPr>
        <w:ind w:left="567" w:right="710"/>
        <w:jc w:val="both"/>
        <w:rPr>
          <w:rFonts w:ascii="Palatino Linotype" w:eastAsia="Palatino Linotype" w:hAnsi="Palatino Linotype" w:cs="Palatino Linotype"/>
          <w:b/>
          <w:i/>
          <w:sz w:val="22"/>
          <w:szCs w:val="22"/>
        </w:rPr>
      </w:pPr>
      <w:r w:rsidRPr="001F089F">
        <w:rPr>
          <w:rFonts w:ascii="Palatino Linotype" w:eastAsia="Palatino Linotype" w:hAnsi="Palatino Linotype" w:cs="Palatino Linotype"/>
          <w:b/>
          <w:i/>
          <w:sz w:val="22"/>
          <w:szCs w:val="22"/>
        </w:rPr>
        <w:t>Constitución Política de los Estados Unidos Mexicanos</w:t>
      </w:r>
    </w:p>
    <w:p w:rsidR="00E94D86" w:rsidRPr="001F089F" w:rsidRDefault="00E94D86">
      <w:pPr>
        <w:ind w:left="567" w:right="710"/>
        <w:jc w:val="both"/>
        <w:rPr>
          <w:rFonts w:ascii="Palatino Linotype" w:eastAsia="Palatino Linotype" w:hAnsi="Palatino Linotype" w:cs="Palatino Linotype"/>
          <w:b/>
          <w:i/>
          <w:sz w:val="22"/>
          <w:szCs w:val="22"/>
        </w:rPr>
      </w:pPr>
    </w:p>
    <w:p w:rsidR="00E94D86" w:rsidRPr="001F089F" w:rsidRDefault="001E3125">
      <w:pPr>
        <w:ind w:left="567" w:right="710"/>
        <w:jc w:val="both"/>
        <w:rPr>
          <w:rFonts w:ascii="Palatino Linotype" w:eastAsia="Palatino Linotype" w:hAnsi="Palatino Linotype" w:cs="Palatino Linotype"/>
          <w:b/>
          <w:i/>
          <w:sz w:val="22"/>
          <w:szCs w:val="22"/>
        </w:rPr>
      </w:pPr>
      <w:r w:rsidRPr="001F089F">
        <w:rPr>
          <w:rFonts w:ascii="Palatino Linotype" w:eastAsia="Palatino Linotype" w:hAnsi="Palatino Linotype" w:cs="Palatino Linotype"/>
          <w:b/>
          <w:i/>
          <w:sz w:val="22"/>
          <w:szCs w:val="22"/>
        </w:rPr>
        <w:t>“Artículo 6.</w:t>
      </w:r>
      <w:r w:rsidRPr="001F089F">
        <w:rPr>
          <w:rFonts w:ascii="Palatino Linotype" w:eastAsia="Palatino Linotype" w:hAnsi="Palatino Linotype" w:cs="Palatino Linotype"/>
          <w:i/>
          <w:sz w:val="22"/>
          <w:szCs w:val="22"/>
        </w:rPr>
        <w:t xml:space="preserve"> …</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i/>
          <w:sz w:val="22"/>
          <w:szCs w:val="22"/>
        </w:rPr>
        <w:t>…</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i/>
          <w:sz w:val="22"/>
          <w:szCs w:val="22"/>
        </w:rPr>
        <w:t>Para efectos de lo dispuesto en el presente artículo se observará lo siguiente:</w:t>
      </w:r>
    </w:p>
    <w:p w:rsidR="00E94D86" w:rsidRPr="001F089F" w:rsidRDefault="001E3125">
      <w:pPr>
        <w:ind w:left="567" w:right="710"/>
        <w:jc w:val="both"/>
        <w:rPr>
          <w:rFonts w:ascii="Palatino Linotype" w:eastAsia="Palatino Linotype" w:hAnsi="Palatino Linotype" w:cs="Palatino Linotype"/>
          <w:b/>
          <w:i/>
          <w:sz w:val="22"/>
          <w:szCs w:val="22"/>
        </w:rPr>
      </w:pPr>
      <w:r w:rsidRPr="001F089F">
        <w:rPr>
          <w:rFonts w:ascii="Palatino Linotype" w:eastAsia="Palatino Linotype" w:hAnsi="Palatino Linotype" w:cs="Palatino Linotype"/>
          <w:b/>
          <w:i/>
          <w:sz w:val="22"/>
          <w:szCs w:val="22"/>
        </w:rPr>
        <w:t>A</w:t>
      </w:r>
      <w:r w:rsidRPr="001F089F">
        <w:rPr>
          <w:rFonts w:ascii="Palatino Linotype" w:eastAsia="Palatino Linotype" w:hAnsi="Palatino Linotype" w:cs="Palatino Linotype"/>
          <w:i/>
          <w:sz w:val="22"/>
          <w:szCs w:val="22"/>
        </w:rPr>
        <w:t xml:space="preserve">. </w:t>
      </w:r>
      <w:r w:rsidRPr="001F089F">
        <w:rPr>
          <w:rFonts w:ascii="Palatino Linotype" w:eastAsia="Palatino Linotype" w:hAnsi="Palatino Linotype" w:cs="Palatino Linotype"/>
          <w:b/>
          <w:i/>
          <w:sz w:val="22"/>
          <w:szCs w:val="22"/>
        </w:rPr>
        <w:t>Para el ejercicio del derecho de acceso a la información</w:t>
      </w:r>
      <w:r w:rsidRPr="001F089F">
        <w:rPr>
          <w:rFonts w:ascii="Palatino Linotype" w:eastAsia="Palatino Linotype" w:hAnsi="Palatino Linotype" w:cs="Palatino Linotype"/>
          <w:i/>
          <w:sz w:val="22"/>
          <w:szCs w:val="22"/>
        </w:rPr>
        <w:t xml:space="preserve">, la Federación y </w:t>
      </w:r>
      <w:r w:rsidRPr="001F089F">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b/>
          <w:i/>
          <w:sz w:val="22"/>
          <w:szCs w:val="22"/>
        </w:rPr>
        <w:t xml:space="preserve">I. </w:t>
      </w:r>
      <w:r w:rsidRPr="001F089F">
        <w:rPr>
          <w:rFonts w:ascii="Palatino Linotype" w:eastAsia="Palatino Linotype" w:hAnsi="Palatino Linotype" w:cs="Palatino Linotype"/>
          <w:b/>
          <w:i/>
          <w:sz w:val="22"/>
          <w:szCs w:val="22"/>
        </w:rPr>
        <w:tab/>
        <w:t>Toda la información en posesión de cualquier</w:t>
      </w:r>
      <w:r w:rsidRPr="001F089F">
        <w:rPr>
          <w:rFonts w:ascii="Palatino Linotype" w:eastAsia="Palatino Linotype" w:hAnsi="Palatino Linotype" w:cs="Palatino Linotype"/>
          <w:i/>
          <w:sz w:val="22"/>
          <w:szCs w:val="22"/>
        </w:rPr>
        <w:t xml:space="preserve"> </w:t>
      </w:r>
      <w:r w:rsidRPr="001F089F">
        <w:rPr>
          <w:rFonts w:ascii="Palatino Linotype" w:eastAsia="Palatino Linotype" w:hAnsi="Palatino Linotype" w:cs="Palatino Linotype"/>
          <w:b/>
          <w:i/>
          <w:sz w:val="22"/>
          <w:szCs w:val="22"/>
        </w:rPr>
        <w:t>autoridad</w:t>
      </w:r>
      <w:r w:rsidRPr="001F089F">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F089F">
        <w:rPr>
          <w:rFonts w:ascii="Palatino Linotype" w:eastAsia="Palatino Linotype" w:hAnsi="Palatino Linotype" w:cs="Palatino Linotype"/>
          <w:b/>
          <w:i/>
          <w:sz w:val="22"/>
          <w:szCs w:val="22"/>
        </w:rPr>
        <w:t>municipal</w:t>
      </w:r>
      <w:r w:rsidRPr="001F089F">
        <w:rPr>
          <w:rFonts w:ascii="Palatino Linotype" w:eastAsia="Palatino Linotype" w:hAnsi="Palatino Linotype" w:cs="Palatino Linotype"/>
          <w:i/>
          <w:sz w:val="22"/>
          <w:szCs w:val="22"/>
        </w:rPr>
        <w:t xml:space="preserve">, </w:t>
      </w:r>
      <w:r w:rsidRPr="001F089F">
        <w:rPr>
          <w:rFonts w:ascii="Palatino Linotype" w:eastAsia="Palatino Linotype" w:hAnsi="Palatino Linotype" w:cs="Palatino Linotype"/>
          <w:b/>
          <w:i/>
          <w:sz w:val="22"/>
          <w:szCs w:val="22"/>
        </w:rPr>
        <w:t>es pública</w:t>
      </w:r>
      <w:r w:rsidRPr="001F089F">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1F089F">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1F089F">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E94D86" w:rsidRPr="001F089F" w:rsidRDefault="00E94D86" w:rsidP="00831332">
      <w:pPr>
        <w:tabs>
          <w:tab w:val="left" w:pos="426"/>
          <w:tab w:val="left" w:pos="567"/>
        </w:tabs>
        <w:ind w:left="567" w:right="710"/>
        <w:jc w:val="both"/>
        <w:rPr>
          <w:rFonts w:ascii="Palatino Linotype" w:eastAsia="Palatino Linotype" w:hAnsi="Palatino Linotype" w:cs="Palatino Linotype"/>
          <w:color w:val="000000"/>
          <w:sz w:val="22"/>
          <w:szCs w:val="22"/>
        </w:rPr>
      </w:pPr>
    </w:p>
    <w:p w:rsidR="00E94D86" w:rsidRPr="001F089F" w:rsidRDefault="001E3125">
      <w:pPr>
        <w:ind w:left="567" w:right="710"/>
        <w:jc w:val="both"/>
        <w:rPr>
          <w:rFonts w:ascii="Palatino Linotype" w:eastAsia="Palatino Linotype" w:hAnsi="Palatino Linotype" w:cs="Palatino Linotype"/>
          <w:b/>
          <w:i/>
          <w:sz w:val="22"/>
          <w:szCs w:val="22"/>
        </w:rPr>
      </w:pPr>
      <w:r w:rsidRPr="001F089F">
        <w:rPr>
          <w:rFonts w:ascii="Palatino Linotype" w:eastAsia="Palatino Linotype" w:hAnsi="Palatino Linotype" w:cs="Palatino Linotype"/>
          <w:b/>
          <w:i/>
          <w:sz w:val="22"/>
          <w:szCs w:val="22"/>
        </w:rPr>
        <w:t>Constitución Política del Estado Libre y Soberano de México</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b/>
          <w:i/>
          <w:sz w:val="22"/>
          <w:szCs w:val="22"/>
        </w:rPr>
        <w:t>“Artículo 5</w:t>
      </w:r>
      <w:r w:rsidRPr="001F089F">
        <w:rPr>
          <w:rFonts w:ascii="Palatino Linotype" w:eastAsia="Palatino Linotype" w:hAnsi="Palatino Linotype" w:cs="Palatino Linotype"/>
          <w:i/>
          <w:sz w:val="22"/>
          <w:szCs w:val="22"/>
        </w:rPr>
        <w:t>.-…</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i/>
          <w:sz w:val="22"/>
          <w:szCs w:val="22"/>
        </w:rPr>
        <w:t>…</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1F089F">
        <w:rPr>
          <w:rFonts w:ascii="Palatino Linotype" w:eastAsia="Palatino Linotype" w:hAnsi="Palatino Linotype" w:cs="Palatino Linotype"/>
          <w:i/>
          <w:sz w:val="22"/>
          <w:szCs w:val="22"/>
        </w:rPr>
        <w:t>.</w:t>
      </w: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94D86" w:rsidRPr="001F089F" w:rsidRDefault="00E94D86">
      <w:pPr>
        <w:ind w:left="567" w:right="710"/>
        <w:jc w:val="both"/>
        <w:rPr>
          <w:rFonts w:ascii="Palatino Linotype" w:eastAsia="Palatino Linotype" w:hAnsi="Palatino Linotype" w:cs="Palatino Linotype"/>
          <w:i/>
          <w:sz w:val="22"/>
          <w:szCs w:val="22"/>
        </w:rPr>
      </w:pPr>
    </w:p>
    <w:p w:rsidR="00E94D86" w:rsidRPr="001F089F" w:rsidRDefault="001E3125">
      <w:pPr>
        <w:ind w:left="567" w:right="710"/>
        <w:jc w:val="both"/>
        <w:rPr>
          <w:rFonts w:ascii="Palatino Linotype" w:eastAsia="Palatino Linotype" w:hAnsi="Palatino Linotype" w:cs="Palatino Linotype"/>
          <w:i/>
          <w:sz w:val="22"/>
          <w:szCs w:val="22"/>
        </w:rPr>
      </w:pPr>
      <w:r w:rsidRPr="001F089F">
        <w:rPr>
          <w:rFonts w:ascii="Palatino Linotype" w:eastAsia="Palatino Linotype" w:hAnsi="Palatino Linotype" w:cs="Palatino Linotype"/>
          <w:b/>
          <w:i/>
          <w:sz w:val="22"/>
          <w:szCs w:val="22"/>
        </w:rPr>
        <w:t>Este derecho se regirá por los principios y bases siguientes</w:t>
      </w:r>
      <w:r w:rsidRPr="001F089F">
        <w:rPr>
          <w:rFonts w:ascii="Palatino Linotype" w:eastAsia="Palatino Linotype" w:hAnsi="Palatino Linotype" w:cs="Palatino Linotype"/>
          <w:i/>
          <w:sz w:val="22"/>
          <w:szCs w:val="22"/>
        </w:rPr>
        <w:t>:</w:t>
      </w:r>
    </w:p>
    <w:p w:rsidR="00E94D86" w:rsidRPr="001F089F" w:rsidRDefault="001E3125">
      <w:pPr>
        <w:ind w:left="567" w:right="71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i/>
          <w:sz w:val="22"/>
          <w:szCs w:val="22"/>
        </w:rPr>
        <w:t>Toda la información en posesión de cualquier autoridad, entidad, órgano y organismos de los</w:t>
      </w:r>
      <w:r w:rsidRPr="001F089F">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1F089F">
        <w:rPr>
          <w:rFonts w:ascii="Palatino Linotype" w:eastAsia="Palatino Linotype" w:hAnsi="Palatino Linotype" w:cs="Palatino Linotype"/>
          <w:b/>
          <w:i/>
          <w:sz w:val="22"/>
          <w:szCs w:val="22"/>
        </w:rPr>
        <w:t>municipales</w:t>
      </w:r>
      <w:r w:rsidRPr="001F089F">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F089F">
        <w:rPr>
          <w:rFonts w:ascii="Palatino Linotype" w:eastAsia="Palatino Linotype" w:hAnsi="Palatino Linotype" w:cs="Palatino Linotype"/>
          <w:b/>
          <w:i/>
          <w:sz w:val="22"/>
          <w:szCs w:val="22"/>
        </w:rPr>
        <w:t>es pública</w:t>
      </w:r>
      <w:r w:rsidRPr="001F089F">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1F089F">
        <w:rPr>
          <w:rFonts w:ascii="Palatino Linotype" w:eastAsia="Palatino Linotype" w:hAnsi="Palatino Linotype" w:cs="Palatino Linotype"/>
          <w:b/>
          <w:i/>
          <w:sz w:val="22"/>
          <w:szCs w:val="22"/>
        </w:rPr>
        <w:t>En la interpretación de este derecho deberá prevalecer el principio de máxima publicidad</w:t>
      </w:r>
      <w:r w:rsidRPr="001F089F">
        <w:rPr>
          <w:rFonts w:ascii="Palatino Linotype" w:eastAsia="Palatino Linotype" w:hAnsi="Palatino Linotype" w:cs="Palatino Linotype"/>
          <w:i/>
          <w:sz w:val="22"/>
          <w:szCs w:val="22"/>
        </w:rPr>
        <w:t xml:space="preserve">. </w:t>
      </w:r>
      <w:r w:rsidRPr="001F089F">
        <w:rPr>
          <w:rFonts w:ascii="Palatino Linotype" w:eastAsia="Palatino Linotype" w:hAnsi="Palatino Linotype" w:cs="Palatino Linotype"/>
          <w:b/>
          <w:i/>
          <w:sz w:val="22"/>
          <w:szCs w:val="22"/>
        </w:rPr>
        <w:lastRenderedPageBreak/>
        <w:t>Los sujetos obligados deberán documentar todo acto que derive del ejercicio de sus facultades, competencias o funciones</w:t>
      </w:r>
      <w:r w:rsidRPr="001F089F">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E94D86" w:rsidRPr="001F089F" w:rsidRDefault="00E94D86" w:rsidP="00831332">
      <w:pPr>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Según </w:t>
      </w:r>
      <w:r w:rsidRPr="001F089F">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1F089F">
        <w:rPr>
          <w:rFonts w:ascii="Palatino Linotype" w:eastAsia="Palatino Linotype" w:hAnsi="Palatino Linotype" w:cs="Palatino Linotype"/>
          <w:i/>
          <w:sz w:val="22"/>
          <w:szCs w:val="22"/>
        </w:rPr>
        <w:t>por los principios de simplicidad, rapidez gratuidad del procedimiento, auxilio y orientación a los particulares</w:t>
      </w:r>
      <w:r w:rsidRPr="001F089F">
        <w:rPr>
          <w:rFonts w:ascii="Palatino Linotype" w:eastAsia="Palatino Linotype" w:hAnsi="Palatino Linotype" w:cs="Palatino Linotype"/>
          <w:sz w:val="22"/>
          <w:szCs w:val="22"/>
        </w:rPr>
        <w:t>, contemplando el derecho de las personas con discapacidad y hablantes de lengua indígena.</w:t>
      </w:r>
    </w:p>
    <w:p w:rsidR="00E94D86" w:rsidRPr="001F089F" w:rsidRDefault="00E94D86" w:rsidP="00831332">
      <w:pPr>
        <w:ind w:right="-592"/>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El </w:t>
      </w:r>
      <w:r w:rsidRPr="001F089F">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1F089F">
        <w:rPr>
          <w:rFonts w:ascii="Palatino Linotype" w:eastAsia="Palatino Linotype" w:hAnsi="Palatino Linotype" w:cs="Palatino Linotype"/>
          <w:i/>
          <w:sz w:val="22"/>
          <w:szCs w:val="22"/>
        </w:rPr>
        <w:t>solicitudes de acceso a la información</w:t>
      </w:r>
      <w:r w:rsidRPr="001F089F">
        <w:rPr>
          <w:rFonts w:ascii="Palatino Linotype" w:eastAsia="Palatino Linotype" w:hAnsi="Palatino Linotype" w:cs="Palatino Linotype"/>
          <w:sz w:val="22"/>
          <w:szCs w:val="22"/>
        </w:rPr>
        <w:t>.</w:t>
      </w:r>
    </w:p>
    <w:p w:rsidR="0033488B" w:rsidRPr="001F089F" w:rsidRDefault="0033488B" w:rsidP="00831332">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Así </w:t>
      </w:r>
      <w:r w:rsidRPr="001F089F">
        <w:rPr>
          <w:rFonts w:ascii="Palatino Linotype" w:eastAsia="Palatino Linotype" w:hAnsi="Palatino Linotype" w:cs="Palatino Linotype"/>
          <w:sz w:val="22"/>
          <w:szCs w:val="22"/>
        </w:rPr>
        <w:t xml:space="preserve">entonces, se procede analizar, en primer lugar, si 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94D86" w:rsidRPr="001F089F" w:rsidRDefault="00E94D86" w:rsidP="00831332">
      <w:pPr>
        <w:rPr>
          <w:rFonts w:ascii="Palatino Linotype" w:eastAsia="Palatino Linotype" w:hAnsi="Palatino Linotype" w:cs="Palatino Linotype"/>
          <w:b/>
          <w:sz w:val="22"/>
          <w:szCs w:val="22"/>
        </w:rPr>
      </w:pPr>
    </w:p>
    <w:p w:rsidR="00E94D86" w:rsidRPr="001F089F" w:rsidRDefault="001E3125">
      <w:pPr>
        <w:keepNext/>
        <w:keepLines/>
        <w:numPr>
          <w:ilvl w:val="1"/>
          <w:numId w:val="2"/>
        </w:numPr>
        <w:spacing w:line="360" w:lineRule="auto"/>
        <w:ind w:left="567" w:right="-592"/>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De la información solicitada y la respuesta del SUJETO OBLIGADO.</w:t>
      </w:r>
    </w:p>
    <w:p w:rsidR="00E94D86" w:rsidRPr="001F089F" w:rsidRDefault="00E94D86" w:rsidP="00831332">
      <w:pPr>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bookmarkStart w:id="4" w:name="_heading=h.30j0zll" w:colFirst="0" w:colLast="0"/>
      <w:bookmarkEnd w:id="4"/>
      <w:r w:rsidRPr="001F089F">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E94D86" w:rsidRPr="001F089F" w:rsidRDefault="00E94D86">
      <w:pPr>
        <w:spacing w:line="360" w:lineRule="auto"/>
        <w:ind w:right="1"/>
        <w:jc w:val="both"/>
        <w:rPr>
          <w:rFonts w:ascii="Palatino Linotype" w:eastAsia="Palatino Linotype" w:hAnsi="Palatino Linotype" w:cs="Palatino Linotype"/>
          <w:b/>
          <w:sz w:val="22"/>
          <w:szCs w:val="22"/>
        </w:rPr>
      </w:pPr>
    </w:p>
    <w:p w:rsidR="008B46A1" w:rsidRPr="001F089F" w:rsidRDefault="001E3125" w:rsidP="008B46A1">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lastRenderedPageBreak/>
        <w:t xml:space="preserve">Así, debemos recapitular que, el </w:t>
      </w:r>
      <w:r w:rsidRPr="001F089F">
        <w:rPr>
          <w:rFonts w:ascii="Palatino Linotype" w:eastAsia="Palatino Linotype" w:hAnsi="Palatino Linotype" w:cs="Palatino Linotype"/>
          <w:b/>
          <w:sz w:val="22"/>
          <w:szCs w:val="22"/>
        </w:rPr>
        <w:t>RECURRENTE</w:t>
      </w:r>
      <w:r w:rsidR="00042FAE" w:rsidRPr="001F089F">
        <w:rPr>
          <w:rFonts w:ascii="Palatino Linotype" w:eastAsia="Palatino Linotype" w:hAnsi="Palatino Linotype" w:cs="Palatino Linotype"/>
          <w:sz w:val="22"/>
          <w:szCs w:val="22"/>
        </w:rPr>
        <w:t xml:space="preserve"> </w:t>
      </w:r>
      <w:r w:rsidR="00663C8A" w:rsidRPr="001F089F">
        <w:rPr>
          <w:rFonts w:ascii="Palatino Linotype" w:eastAsia="Palatino Linotype" w:hAnsi="Palatino Linotype" w:cs="Palatino Linotype"/>
          <w:sz w:val="22"/>
          <w:szCs w:val="22"/>
        </w:rPr>
        <w:t xml:space="preserve">solicitó </w:t>
      </w:r>
      <w:r w:rsidR="008B46A1" w:rsidRPr="001F089F">
        <w:rPr>
          <w:rFonts w:ascii="Palatino Linotype" w:eastAsia="Palatino Linotype" w:hAnsi="Palatino Linotype" w:cs="Palatino Linotype"/>
          <w:sz w:val="22"/>
          <w:szCs w:val="22"/>
        </w:rPr>
        <w:t>de la Administración Municipal, Organismos Desconcentrados y Sistema Municipal DIF de 2022, 2023 y del 1 de enero al 10 de junio de 2024, lo siguiente:</w:t>
      </w:r>
    </w:p>
    <w:p w:rsidR="00E94D86" w:rsidRPr="001F089F" w:rsidRDefault="00E94D86" w:rsidP="00603BA2">
      <w:pPr>
        <w:spacing w:line="360" w:lineRule="auto"/>
        <w:ind w:left="567" w:right="567"/>
        <w:jc w:val="both"/>
        <w:rPr>
          <w:rFonts w:ascii="Palatino Linotype" w:eastAsia="Palatino Linotype" w:hAnsi="Palatino Linotype" w:cs="Palatino Linotype"/>
          <w:b/>
          <w:sz w:val="22"/>
          <w:szCs w:val="22"/>
        </w:rPr>
      </w:pPr>
    </w:p>
    <w:p w:rsidR="008B46A1" w:rsidRPr="001F089F" w:rsidRDefault="00603BA2" w:rsidP="00603BA2">
      <w:pPr>
        <w:ind w:left="567" w:right="567"/>
        <w:jc w:val="both"/>
        <w:rPr>
          <w:rFonts w:ascii="Palatino Linotype" w:hAnsi="Palatino Linotype"/>
          <w:b/>
          <w:color w:val="000000"/>
          <w:sz w:val="22"/>
          <w:szCs w:val="22"/>
        </w:rPr>
      </w:pPr>
      <w:r w:rsidRPr="001F089F">
        <w:rPr>
          <w:rFonts w:ascii="Palatino Linotype" w:hAnsi="Palatino Linotype"/>
          <w:b/>
          <w:color w:val="000000"/>
          <w:sz w:val="22"/>
          <w:szCs w:val="22"/>
        </w:rPr>
        <w:t>•</w:t>
      </w:r>
      <w:r w:rsidR="008B46A1" w:rsidRPr="001F089F">
        <w:rPr>
          <w:rFonts w:ascii="Palatino Linotype" w:hAnsi="Palatino Linotype"/>
          <w:b/>
          <w:color w:val="000000"/>
          <w:sz w:val="22"/>
          <w:szCs w:val="22"/>
        </w:rPr>
        <w:t xml:space="preserve">Informes Anuales y Trimestrales de Avance de Gestión Financiera y acuse de recibido por el Órgano Superior de Fiscalización del Estado de México. </w:t>
      </w:r>
    </w:p>
    <w:p w:rsidR="008B46A1" w:rsidRPr="001F089F" w:rsidRDefault="00603BA2" w:rsidP="00603BA2">
      <w:pPr>
        <w:ind w:left="567" w:right="567"/>
        <w:jc w:val="both"/>
        <w:rPr>
          <w:rFonts w:ascii="Palatino Linotype" w:hAnsi="Palatino Linotype"/>
          <w:b/>
          <w:color w:val="000000"/>
          <w:sz w:val="22"/>
          <w:szCs w:val="22"/>
        </w:rPr>
      </w:pPr>
      <w:r w:rsidRPr="001F089F">
        <w:rPr>
          <w:rFonts w:ascii="Palatino Linotype" w:hAnsi="Palatino Linotype"/>
          <w:b/>
          <w:color w:val="000000"/>
          <w:sz w:val="22"/>
          <w:szCs w:val="22"/>
        </w:rPr>
        <w:t>•</w:t>
      </w:r>
      <w:r w:rsidR="008B46A1" w:rsidRPr="001F089F">
        <w:rPr>
          <w:rFonts w:ascii="Palatino Linotype" w:hAnsi="Palatino Linotype"/>
          <w:b/>
          <w:color w:val="000000"/>
          <w:sz w:val="22"/>
          <w:szCs w:val="22"/>
        </w:rPr>
        <w:t xml:space="preserve">Estado que guarda la Cuenta Pública Municipal, aprobada mediante acta de sesión de cabildo. </w:t>
      </w:r>
    </w:p>
    <w:p w:rsidR="008B46A1" w:rsidRPr="001F089F" w:rsidRDefault="008B46A1" w:rsidP="00603BA2">
      <w:pPr>
        <w:pStyle w:val="Prrafodelista"/>
        <w:numPr>
          <w:ilvl w:val="0"/>
          <w:numId w:val="20"/>
        </w:numPr>
        <w:ind w:left="567" w:right="567" w:firstLine="0"/>
        <w:jc w:val="both"/>
        <w:rPr>
          <w:rFonts w:ascii="Palatino Linotype" w:hAnsi="Palatino Linotype"/>
          <w:b/>
          <w:color w:val="000000"/>
          <w:szCs w:val="22"/>
        </w:rPr>
      </w:pPr>
      <w:r w:rsidRPr="001F089F">
        <w:rPr>
          <w:rFonts w:ascii="Palatino Linotype" w:hAnsi="Palatino Linotype"/>
          <w:b/>
          <w:color w:val="000000"/>
          <w:szCs w:val="22"/>
        </w:rPr>
        <w:t xml:space="preserve">Presupuesto de egresos e ingresos vigente aprobado mediante acta de sesión de cabildo. </w:t>
      </w:r>
    </w:p>
    <w:p w:rsidR="00603BA2" w:rsidRPr="001F089F" w:rsidRDefault="008B46A1" w:rsidP="00603BA2">
      <w:pPr>
        <w:pStyle w:val="Prrafodelista"/>
        <w:numPr>
          <w:ilvl w:val="0"/>
          <w:numId w:val="20"/>
        </w:numPr>
        <w:ind w:left="567" w:right="567" w:firstLine="0"/>
        <w:jc w:val="both"/>
        <w:rPr>
          <w:rFonts w:ascii="Palatino Linotype" w:hAnsi="Palatino Linotype"/>
          <w:b/>
          <w:color w:val="000000"/>
          <w:szCs w:val="22"/>
        </w:rPr>
      </w:pPr>
      <w:r w:rsidRPr="001F089F">
        <w:rPr>
          <w:rFonts w:ascii="Palatino Linotype" w:hAnsi="Palatino Linotype"/>
          <w:b/>
          <w:color w:val="000000"/>
          <w:szCs w:val="22"/>
        </w:rPr>
        <w:t>Relación de pasivos y cuentas por cobrar;</w:t>
      </w:r>
      <w:r w:rsidR="00603BA2" w:rsidRPr="001F089F">
        <w:rPr>
          <w:rFonts w:ascii="Palatino Linotype" w:hAnsi="Palatino Linotype"/>
          <w:b/>
          <w:color w:val="000000"/>
          <w:szCs w:val="22"/>
        </w:rPr>
        <w:t xml:space="preserve"> </w:t>
      </w:r>
    </w:p>
    <w:p w:rsidR="008B46A1" w:rsidRPr="001F089F" w:rsidRDefault="00603BA2" w:rsidP="00603BA2">
      <w:pPr>
        <w:pStyle w:val="Prrafodelista"/>
        <w:numPr>
          <w:ilvl w:val="0"/>
          <w:numId w:val="20"/>
        </w:numPr>
        <w:ind w:left="567" w:right="567" w:firstLine="0"/>
        <w:jc w:val="both"/>
        <w:rPr>
          <w:rFonts w:ascii="Palatino Linotype" w:hAnsi="Palatino Linotype"/>
          <w:b/>
          <w:color w:val="000000"/>
          <w:szCs w:val="22"/>
        </w:rPr>
      </w:pPr>
      <w:r w:rsidRPr="001F089F">
        <w:rPr>
          <w:rFonts w:ascii="Palatino Linotype" w:hAnsi="Palatino Linotype"/>
          <w:b/>
          <w:color w:val="000000"/>
          <w:szCs w:val="22"/>
        </w:rPr>
        <w:t xml:space="preserve">Relación de cuentas bancarias que se manejen; Estado de Deuda Pública autorizado mediante acta de sesión de cabildo. Situación de la Deuda Pública Municipal y su registro. Presentar la situación de la Deuda Pública. Estado Analítico de la Deuda Púbica y otros pasivos. Endeudamiento neto. Intereses de la deuda. </w:t>
      </w:r>
    </w:p>
    <w:p w:rsidR="008B46A1" w:rsidRPr="001F089F" w:rsidRDefault="008B46A1" w:rsidP="00603BA2">
      <w:pPr>
        <w:pStyle w:val="Prrafodelista"/>
        <w:numPr>
          <w:ilvl w:val="0"/>
          <w:numId w:val="20"/>
        </w:numPr>
        <w:ind w:left="567" w:right="567" w:firstLine="0"/>
        <w:jc w:val="both"/>
        <w:rPr>
          <w:rFonts w:ascii="Palatino Linotype" w:hAnsi="Palatino Linotype"/>
          <w:b/>
          <w:color w:val="000000"/>
          <w:szCs w:val="22"/>
        </w:rPr>
      </w:pPr>
      <w:r w:rsidRPr="001F089F">
        <w:rPr>
          <w:rFonts w:ascii="Palatino Linotype" w:hAnsi="Palatino Linotype"/>
          <w:b/>
          <w:color w:val="000000"/>
          <w:szCs w:val="22"/>
        </w:rPr>
        <w:t xml:space="preserve">Relación de contratos de consultoría, arrendamiento, compra-venta, poderes otorgados, servicios, asesorías o de cualquier otra índole que deriven de derechos u obligaciones </w:t>
      </w:r>
    </w:p>
    <w:p w:rsidR="008B46A1" w:rsidRPr="001F089F" w:rsidRDefault="008B46A1" w:rsidP="00603BA2">
      <w:pPr>
        <w:ind w:left="567" w:right="567"/>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 Estado de la Obra Pública ejecutada y en proceso. Relación de obras en proceso. Inventario de Expedientes Técnicos Unitarios Inventario de Obras Publicas terminadas y en proceso </w:t>
      </w:r>
    </w:p>
    <w:p w:rsidR="008B46A1" w:rsidRPr="001F089F" w:rsidRDefault="008B46A1" w:rsidP="00603BA2">
      <w:pPr>
        <w:ind w:left="567" w:right="567"/>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 Situación que guardan las aportaciones estatales y federales, con comprobantes. Informe que refleje los montos recibidos y pendientes por recibir. Presentar copia de los estados de cuenta, que soporte dicho informe. </w:t>
      </w:r>
    </w:p>
    <w:p w:rsidR="008B46A1" w:rsidRPr="001F089F" w:rsidRDefault="008B46A1" w:rsidP="00603BA2">
      <w:pPr>
        <w:ind w:left="567" w:right="567"/>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 Inventario de bienes muebles e inmuebles. Relación de bienes que componen el patrimonio Municipal. Inventario de bienes muebles. Inventario de bienes inmuebles. </w:t>
      </w:r>
    </w:p>
    <w:p w:rsidR="008B46A1" w:rsidRPr="001F089F" w:rsidRDefault="008B46A1" w:rsidP="00603BA2">
      <w:pPr>
        <w:ind w:left="567" w:right="567"/>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 Plantilla actualizada con nombre, puesto, adscripción y detalle de percepciones mensuales, así como que tipo de relación contractual se tiene, si se contrató por tiempo determinado, indeterminado o por obras determinada. </w:t>
      </w:r>
    </w:p>
    <w:p w:rsidR="008B46A1" w:rsidRPr="001F089F" w:rsidRDefault="008B46A1" w:rsidP="008B46A1">
      <w:pPr>
        <w:pStyle w:val="Prrafodelista"/>
        <w:numPr>
          <w:ilvl w:val="0"/>
          <w:numId w:val="19"/>
        </w:numPr>
        <w:ind w:left="567" w:right="567" w:firstLine="0"/>
        <w:jc w:val="both"/>
        <w:rPr>
          <w:rFonts w:ascii="Palatino Linotype" w:hAnsi="Palatino Linotype"/>
          <w:b/>
          <w:color w:val="000000"/>
          <w:szCs w:val="22"/>
        </w:rPr>
      </w:pPr>
      <w:r w:rsidRPr="001F089F">
        <w:rPr>
          <w:rFonts w:ascii="Palatino Linotype" w:hAnsi="Palatino Linotype"/>
          <w:b/>
          <w:color w:val="000000"/>
          <w:szCs w:val="22"/>
        </w:rPr>
        <w:t xml:space="preserve">Relación de personal con licencias y permisos </w:t>
      </w:r>
    </w:p>
    <w:p w:rsidR="008B46A1" w:rsidRPr="001F089F" w:rsidRDefault="008B46A1" w:rsidP="008B46A1">
      <w:pPr>
        <w:pStyle w:val="Prrafodelista"/>
        <w:numPr>
          <w:ilvl w:val="0"/>
          <w:numId w:val="19"/>
        </w:numPr>
        <w:ind w:left="567" w:right="567" w:firstLine="0"/>
        <w:jc w:val="both"/>
        <w:rPr>
          <w:rFonts w:ascii="Palatino Linotype" w:hAnsi="Palatino Linotype"/>
          <w:b/>
          <w:color w:val="000000"/>
          <w:szCs w:val="22"/>
        </w:rPr>
      </w:pPr>
      <w:r w:rsidRPr="001F089F">
        <w:rPr>
          <w:rFonts w:ascii="Palatino Linotype" w:hAnsi="Palatino Linotype"/>
          <w:b/>
          <w:color w:val="000000"/>
          <w:szCs w:val="22"/>
        </w:rPr>
        <w:t xml:space="preserve">Relación de percepciones pendientes de cubrir a los trabajadores explicando las causas que las motivaron. </w:t>
      </w:r>
    </w:p>
    <w:p w:rsidR="008B46A1" w:rsidRPr="001F089F" w:rsidRDefault="008B46A1" w:rsidP="008B46A1">
      <w:pPr>
        <w:ind w:left="567" w:right="567"/>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 Relación de juicios laborales en trámite y laudos pendientes de cumplir. </w:t>
      </w:r>
    </w:p>
    <w:p w:rsidR="008B46A1" w:rsidRPr="001F089F" w:rsidRDefault="008B46A1" w:rsidP="008B46A1">
      <w:pPr>
        <w:ind w:left="567" w:right="567"/>
        <w:jc w:val="both"/>
        <w:rPr>
          <w:rFonts w:ascii="Palatino Linotype" w:eastAsia="Palatino Linotype" w:hAnsi="Palatino Linotype" w:cs="Palatino Linotype"/>
          <w:b/>
          <w:sz w:val="22"/>
          <w:szCs w:val="22"/>
        </w:rPr>
      </w:pPr>
      <w:r w:rsidRPr="001F089F">
        <w:rPr>
          <w:rFonts w:ascii="Palatino Linotype" w:hAnsi="Palatino Linotype"/>
          <w:b/>
          <w:color w:val="000000"/>
          <w:sz w:val="22"/>
          <w:szCs w:val="22"/>
        </w:rPr>
        <w:t>• Expedientes que contengan observaciones, recomendaciones o apercibimientos emitidos por el Órganos Superior de Fiscalización</w:t>
      </w:r>
    </w:p>
    <w:p w:rsidR="008B46A1" w:rsidRPr="001F089F" w:rsidRDefault="008B46A1" w:rsidP="00073512">
      <w:pPr>
        <w:spacing w:line="360" w:lineRule="auto"/>
        <w:ind w:right="1"/>
        <w:jc w:val="both"/>
        <w:rPr>
          <w:rFonts w:ascii="Palatino Linotype" w:eastAsia="Palatino Linotype" w:hAnsi="Palatino Linotype" w:cs="Palatino Linotype"/>
          <w:b/>
          <w:sz w:val="22"/>
          <w:szCs w:val="22"/>
        </w:rPr>
      </w:pPr>
    </w:p>
    <w:p w:rsidR="008B46A1" w:rsidRPr="001F089F" w:rsidRDefault="001E3125" w:rsidP="008B46A1">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En respuesta, el </w:t>
      </w:r>
      <w:r w:rsidRPr="001F089F">
        <w:rPr>
          <w:rFonts w:ascii="Palatino Linotype" w:eastAsia="Palatino Linotype" w:hAnsi="Palatino Linotype" w:cs="Palatino Linotype"/>
          <w:b/>
          <w:sz w:val="22"/>
          <w:szCs w:val="22"/>
        </w:rPr>
        <w:t>SUJETO OBLIGADO</w:t>
      </w:r>
      <w:r w:rsidR="008B46A1" w:rsidRPr="001F089F">
        <w:rPr>
          <w:rFonts w:ascii="Palatino Linotype" w:eastAsia="Palatino Linotype" w:hAnsi="Palatino Linotype" w:cs="Palatino Linotype"/>
          <w:sz w:val="22"/>
          <w:szCs w:val="22"/>
        </w:rPr>
        <w:t xml:space="preserve"> por medio del Director de Obras y Desarrollo Urbano, remitió de las obras del ejercicio fiscal 2024, </w:t>
      </w:r>
      <w:r w:rsidR="008B46A1" w:rsidRPr="001F089F">
        <w:rPr>
          <w:rFonts w:ascii="Palatino Linotype" w:hAnsi="Palatino Linotype"/>
          <w:sz w:val="22"/>
          <w:szCs w:val="22"/>
        </w:rPr>
        <w:t>el “Inventario de Expedientes de Obras Ejecutadas y en Proceso” y la “Relación de Obras en Proceso y Terminadas”. Ahora bien, por medio del Secretario del Ayuntamiento, remitió la “Relación de Bienes Muebles” que compone el Patrimonio Municipal (Inventario de Bienes Muebles e Inmuebles), al 30 de junio de 2024. Por otro lado, por medio del Titular de la Consejería Jurídica, remitió la “Relación de Juicios Laborales en trámite”, asimismo, informó que no hay laudos pendientes por cumplir. Finalmente, por medio de la Tesorera Municipal, refirió que la documentación solicitada se encuentra en el portal en formato PDF y es verídica, completa y actualizada al 2 de julio de 2024, por lo que remitió un link donde señaló que podría ser consultada.</w:t>
      </w:r>
    </w:p>
    <w:p w:rsidR="00073512" w:rsidRPr="001F089F" w:rsidRDefault="00073512" w:rsidP="00073512">
      <w:pPr>
        <w:spacing w:line="360" w:lineRule="auto"/>
        <w:ind w:right="1"/>
        <w:jc w:val="both"/>
        <w:rPr>
          <w:rFonts w:ascii="Palatino Linotype" w:eastAsia="Palatino Linotype" w:hAnsi="Palatino Linotype" w:cs="Palatino Linotype"/>
          <w:sz w:val="22"/>
          <w:szCs w:val="22"/>
        </w:rPr>
      </w:pPr>
    </w:p>
    <w:p w:rsidR="00600A77" w:rsidRPr="001F089F" w:rsidRDefault="001E3125" w:rsidP="00042FA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 xml:space="preserve">Posteriormente, el </w:t>
      </w:r>
      <w:r w:rsidRPr="001F089F">
        <w:rPr>
          <w:rFonts w:ascii="Palatino Linotype" w:eastAsia="Palatino Linotype" w:hAnsi="Palatino Linotype" w:cs="Palatino Linotype"/>
          <w:b/>
          <w:sz w:val="22"/>
          <w:szCs w:val="22"/>
        </w:rPr>
        <w:t>RECURRENTE</w:t>
      </w:r>
      <w:r w:rsidRPr="001F089F">
        <w:rPr>
          <w:rFonts w:ascii="Palatino Linotype" w:eastAsia="Palatino Linotype" w:hAnsi="Palatino Linotype" w:cs="Palatino Linotype"/>
          <w:sz w:val="22"/>
          <w:szCs w:val="22"/>
        </w:rPr>
        <w:t xml:space="preserve"> se inconformó por </w:t>
      </w:r>
      <w:r w:rsidR="00042FAE" w:rsidRPr="001F089F">
        <w:rPr>
          <w:rFonts w:ascii="Palatino Linotype" w:eastAsia="Palatino Linotype" w:hAnsi="Palatino Linotype" w:cs="Palatino Linotype"/>
          <w:b/>
          <w:sz w:val="22"/>
          <w:szCs w:val="22"/>
        </w:rPr>
        <w:t xml:space="preserve">la </w:t>
      </w:r>
      <w:r w:rsidR="008B46A1" w:rsidRPr="001F089F">
        <w:rPr>
          <w:rFonts w:ascii="Palatino Linotype" w:eastAsia="Palatino Linotype" w:hAnsi="Palatino Linotype" w:cs="Palatino Linotype"/>
          <w:b/>
          <w:sz w:val="22"/>
          <w:szCs w:val="22"/>
        </w:rPr>
        <w:t>entrega de información incompleta.</w:t>
      </w:r>
    </w:p>
    <w:p w:rsidR="00073512" w:rsidRPr="001F089F" w:rsidRDefault="00073512" w:rsidP="00042FAE">
      <w:pPr>
        <w:spacing w:line="360" w:lineRule="auto"/>
        <w:ind w:right="1"/>
        <w:jc w:val="both"/>
        <w:rPr>
          <w:rFonts w:ascii="Palatino Linotype" w:eastAsia="Palatino Linotype" w:hAnsi="Palatino Linotype" w:cs="Palatino Linotype"/>
          <w:b/>
          <w:sz w:val="22"/>
          <w:szCs w:val="22"/>
        </w:rPr>
      </w:pPr>
    </w:p>
    <w:p w:rsidR="00042FAE" w:rsidRPr="001F089F" w:rsidRDefault="00042FAE" w:rsidP="00042FA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 xml:space="preserve">En razón de lo anterior, el estudio del presente asunto versará en analizar las constancias que obran en el expediente digital formado en el </w:t>
      </w:r>
      <w:r w:rsidRPr="001F089F">
        <w:rPr>
          <w:rFonts w:ascii="Palatino Linotype" w:eastAsia="Palatino Linotype" w:hAnsi="Palatino Linotype" w:cs="Palatino Linotype"/>
          <w:b/>
          <w:sz w:val="22"/>
          <w:szCs w:val="22"/>
        </w:rPr>
        <w:t>SAIMEX</w:t>
      </w:r>
      <w:r w:rsidRPr="001F089F">
        <w:rPr>
          <w:rFonts w:ascii="Palatino Linotype" w:eastAsia="Palatino Linotype" w:hAnsi="Palatino Linotype" w:cs="Palatino Linotype"/>
          <w:sz w:val="22"/>
          <w:szCs w:val="22"/>
        </w:rPr>
        <w:t xml:space="preserve">, así como los agravios expuestos por el </w:t>
      </w:r>
      <w:r w:rsidRPr="001F089F">
        <w:rPr>
          <w:rFonts w:ascii="Palatino Linotype" w:eastAsia="Palatino Linotype" w:hAnsi="Palatino Linotype" w:cs="Palatino Linotype"/>
          <w:b/>
          <w:sz w:val="22"/>
          <w:szCs w:val="22"/>
        </w:rPr>
        <w:t xml:space="preserve">RECURRENTE </w:t>
      </w:r>
      <w:r w:rsidRPr="001F089F">
        <w:rPr>
          <w:rFonts w:ascii="Palatino Linotype" w:eastAsia="Palatino Linotype" w:hAnsi="Palatino Linotype" w:cs="Palatino Linotype"/>
          <w:sz w:val="22"/>
          <w:szCs w:val="22"/>
        </w:rPr>
        <w:t xml:space="preserve">a través del recurso de revisión </w:t>
      </w:r>
      <w:r w:rsidRPr="001F089F">
        <w:rPr>
          <w:rFonts w:ascii="Palatino Linotype" w:eastAsia="Palatino Linotype" w:hAnsi="Palatino Linotype" w:cs="Palatino Linotype"/>
          <w:b/>
          <w:sz w:val="22"/>
          <w:szCs w:val="22"/>
        </w:rPr>
        <w:t>0</w:t>
      </w:r>
      <w:r w:rsidR="008B46A1" w:rsidRPr="001F089F">
        <w:rPr>
          <w:rFonts w:ascii="Palatino Linotype" w:eastAsia="Palatino Linotype" w:hAnsi="Palatino Linotype" w:cs="Palatino Linotype"/>
          <w:b/>
          <w:sz w:val="22"/>
          <w:szCs w:val="22"/>
        </w:rPr>
        <w:t>4163</w:t>
      </w:r>
      <w:r w:rsidRPr="001F089F">
        <w:rPr>
          <w:rFonts w:ascii="Palatino Linotype" w:eastAsia="Palatino Linotype" w:hAnsi="Palatino Linotype" w:cs="Palatino Linotype"/>
          <w:b/>
          <w:sz w:val="22"/>
          <w:szCs w:val="22"/>
        </w:rPr>
        <w:t>/INFOEM/IP/RR/2024,</w:t>
      </w:r>
      <w:r w:rsidRPr="001F089F">
        <w:rPr>
          <w:rFonts w:ascii="Palatino Linotype" w:eastAsia="Palatino Linotype" w:hAnsi="Palatino Linotype" w:cs="Palatino Linotype"/>
          <w:sz w:val="22"/>
          <w:szCs w:val="22"/>
        </w:rPr>
        <w:t xml:space="preserve"> con el objeto de determinar si, con su respuesta, el</w:t>
      </w:r>
      <w:r w:rsidRPr="001F089F">
        <w:rPr>
          <w:rFonts w:ascii="Palatino Linotype" w:eastAsia="Palatino Linotype" w:hAnsi="Palatino Linotype" w:cs="Palatino Linotype"/>
          <w:b/>
          <w:sz w:val="22"/>
          <w:szCs w:val="22"/>
        </w:rPr>
        <w:t xml:space="preserve"> SUJETO OBLIGADO </w:t>
      </w:r>
      <w:r w:rsidRPr="001F089F">
        <w:rPr>
          <w:rFonts w:ascii="Palatino Linotype" w:eastAsia="Palatino Linotype" w:hAnsi="Palatino Linotype" w:cs="Palatino Linotype"/>
          <w:sz w:val="22"/>
          <w:szCs w:val="22"/>
        </w:rPr>
        <w:t>colmó el derecho de acceso a la información o, si por el contrario, procede la entrega de información.</w:t>
      </w:r>
    </w:p>
    <w:p w:rsidR="008B46A1" w:rsidRPr="001F089F" w:rsidRDefault="008B46A1" w:rsidP="008B46A1">
      <w:pPr>
        <w:pStyle w:val="Prrafodelista"/>
        <w:rPr>
          <w:rFonts w:ascii="Palatino Linotype" w:eastAsia="Palatino Linotype" w:hAnsi="Palatino Linotype" w:cs="Palatino Linotype"/>
          <w:b/>
          <w:szCs w:val="22"/>
        </w:rPr>
      </w:pPr>
    </w:p>
    <w:p w:rsidR="008B46A1" w:rsidRPr="001F089F" w:rsidRDefault="00E77A50" w:rsidP="00042FAE">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Así</w:t>
      </w:r>
      <w:r w:rsidR="008B46A1" w:rsidRPr="001F089F">
        <w:rPr>
          <w:rFonts w:ascii="Palatino Linotype" w:eastAsia="Palatino Linotype" w:hAnsi="Palatino Linotype" w:cs="Palatino Linotype"/>
          <w:sz w:val="22"/>
          <w:szCs w:val="22"/>
        </w:rPr>
        <w:t>, resulta conveniente insertar el siguiente cuadro descriptivo:</w:t>
      </w:r>
    </w:p>
    <w:p w:rsidR="00E77A50" w:rsidRPr="001F089F" w:rsidRDefault="00E77A50" w:rsidP="00E77A50">
      <w:pPr>
        <w:spacing w:line="360" w:lineRule="auto"/>
        <w:ind w:right="1"/>
        <w:jc w:val="both"/>
        <w:rPr>
          <w:rFonts w:ascii="Palatino Linotype" w:eastAsia="Palatino Linotype" w:hAnsi="Palatino Linotype" w:cs="Palatino Linotype"/>
          <w:sz w:val="22"/>
          <w:szCs w:val="22"/>
        </w:rPr>
      </w:pPr>
    </w:p>
    <w:tbl>
      <w:tblPr>
        <w:tblStyle w:val="Tablaconcuadrcula"/>
        <w:tblW w:w="0" w:type="auto"/>
        <w:shd w:val="clear" w:color="auto" w:fill="FFFFFF" w:themeFill="background1"/>
        <w:tblLook w:val="04A0" w:firstRow="1" w:lastRow="0" w:firstColumn="1" w:lastColumn="0" w:noHBand="0" w:noVBand="1"/>
      </w:tblPr>
      <w:tblGrid>
        <w:gridCol w:w="3115"/>
        <w:gridCol w:w="3115"/>
        <w:gridCol w:w="3116"/>
      </w:tblGrid>
      <w:tr w:rsidR="00052A94" w:rsidRPr="001F089F" w:rsidTr="00A379D4">
        <w:tc>
          <w:tcPr>
            <w:tcW w:w="3115" w:type="dxa"/>
            <w:shd w:val="clear" w:color="auto" w:fill="D9D9D9" w:themeFill="background1" w:themeFillShade="D9"/>
          </w:tcPr>
          <w:p w:rsidR="00052A94" w:rsidRPr="001F089F" w:rsidRDefault="00052A94" w:rsidP="00052A94">
            <w:pPr>
              <w:ind w:right="1"/>
              <w:jc w:val="center"/>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Información solicitada</w:t>
            </w:r>
          </w:p>
        </w:tc>
        <w:tc>
          <w:tcPr>
            <w:tcW w:w="3115" w:type="dxa"/>
            <w:shd w:val="clear" w:color="auto" w:fill="D9D9D9" w:themeFill="background1" w:themeFillShade="D9"/>
          </w:tcPr>
          <w:p w:rsidR="00052A94" w:rsidRPr="001F089F" w:rsidRDefault="00052A94" w:rsidP="00BB7721">
            <w:pPr>
              <w:ind w:right="1"/>
              <w:jc w:val="center"/>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 xml:space="preserve">Respuesta </w:t>
            </w:r>
          </w:p>
        </w:tc>
        <w:tc>
          <w:tcPr>
            <w:tcW w:w="3116" w:type="dxa"/>
            <w:shd w:val="clear" w:color="auto" w:fill="D9D9D9" w:themeFill="background1" w:themeFillShade="D9"/>
          </w:tcPr>
          <w:p w:rsidR="00052A94" w:rsidRPr="001F089F" w:rsidRDefault="00052A94" w:rsidP="00052A94">
            <w:pPr>
              <w:ind w:right="1"/>
              <w:jc w:val="center"/>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Comentario</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1. Informes Anuales y Trimestrales de Avance de Gestión Financiera y acuse de recibido por el Órgano </w:t>
            </w:r>
            <w:r w:rsidRPr="001F089F">
              <w:rPr>
                <w:rFonts w:ascii="Palatino Linotype" w:hAnsi="Palatino Linotype"/>
                <w:b/>
                <w:color w:val="000000"/>
                <w:sz w:val="22"/>
                <w:szCs w:val="22"/>
              </w:rPr>
              <w:lastRenderedPageBreak/>
              <w:t>Superior de Fiscalización del Estado de México;</w:t>
            </w:r>
          </w:p>
        </w:tc>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lastRenderedPageBreak/>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w:t>
            </w:r>
            <w:r w:rsidRPr="001F089F">
              <w:rPr>
                <w:rFonts w:ascii="Palatino Linotype" w:hAnsi="Palatino Linotype"/>
                <w:sz w:val="22"/>
                <w:szCs w:val="22"/>
              </w:rPr>
              <w:lastRenderedPageBreak/>
              <w:t xml:space="preserve">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lastRenderedPageBreak/>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2. Estado que guarda la Cuenta Pública Municipal, aprobada mediante acta de sesión de cabildo; </w:t>
            </w:r>
          </w:p>
        </w:tc>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Tesorera Municipal,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3. Presupuesto de egresos e ingresos vigente aprobado mediante acta de sesión de cabildo, </w:t>
            </w:r>
          </w:p>
        </w:tc>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 xml:space="preserve">4. Relación de pasivos y cuentas por cobrar, relación de cuentas bancarias que se manejen; Estado de Deuda Pública autorizado mediante acta de sesión de cabildo; Situación de la Deuda Pública Municipal y su registro. Estado Analítico de la Deuda Púbica y otros pasivos; endeudamiento neto, intereses de la deuda; </w:t>
            </w:r>
          </w:p>
        </w:tc>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5. Relación de contratos de consultoría, arrendamiento, compra-venta, poderes otorgados, servicios, asesorías o de cualquier otra índole que deriven de derechos u obligaciones;</w:t>
            </w:r>
          </w:p>
        </w:tc>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lastRenderedPageBreak/>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lastRenderedPageBreak/>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6. Estado de la Obra Pública ejecutada y en proceso. Relación de obras en proceso. Inventario de Expedientes Técnicos Unitarios Inventario de Obras Publicas terminadas y en proceso;</w:t>
            </w:r>
          </w:p>
        </w:tc>
        <w:tc>
          <w:tcPr>
            <w:tcW w:w="3115"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w:t>
            </w:r>
            <w:r w:rsidRPr="001F089F">
              <w:rPr>
                <w:rFonts w:ascii="Palatino Linotype" w:eastAsia="Palatino Linotype" w:hAnsi="Palatino Linotype" w:cs="Palatino Linotype"/>
                <w:b/>
                <w:sz w:val="22"/>
                <w:szCs w:val="22"/>
              </w:rPr>
              <w:t>Director de Obras</w:t>
            </w:r>
            <w:r w:rsidRPr="001F089F">
              <w:rPr>
                <w:rFonts w:ascii="Palatino Linotype" w:eastAsia="Palatino Linotype" w:hAnsi="Palatino Linotype" w:cs="Palatino Linotype"/>
                <w:sz w:val="22"/>
                <w:szCs w:val="22"/>
              </w:rPr>
              <w:t xml:space="preserve"> y Desarrollo Urbano, remitió de las obras del ejercicio fiscal 2024, </w:t>
            </w:r>
            <w:r w:rsidRPr="001F089F">
              <w:rPr>
                <w:rFonts w:ascii="Palatino Linotype" w:hAnsi="Palatino Linotype"/>
                <w:sz w:val="22"/>
                <w:szCs w:val="22"/>
              </w:rPr>
              <w:t>el “Inventario de Expedientes de Obras Ejecutadas y en Proceso” y la “Relación de Obras en Proceso y Terminadas”</w:t>
            </w:r>
          </w:p>
        </w:tc>
        <w:tc>
          <w:tcPr>
            <w:tcW w:w="3116" w:type="dxa"/>
            <w:shd w:val="clear" w:color="auto" w:fill="FFFFFF" w:themeFill="background1"/>
          </w:tcPr>
          <w:p w:rsidR="00052A94" w:rsidRPr="001F089F" w:rsidRDefault="00AD2AE5"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Servidor Público Habilitado competente, </w:t>
            </w:r>
            <w:r w:rsidRPr="001F089F">
              <w:rPr>
                <w:rFonts w:ascii="Palatino Linotype" w:eastAsia="Palatino Linotype" w:hAnsi="Palatino Linotype" w:cs="Palatino Linotype"/>
                <w:b/>
                <w:sz w:val="22"/>
                <w:szCs w:val="22"/>
              </w:rPr>
              <w:t>atendió de manera parcial</w:t>
            </w:r>
            <w:r w:rsidRPr="001F089F">
              <w:rPr>
                <w:rFonts w:ascii="Palatino Linotype" w:eastAsia="Palatino Linotype" w:hAnsi="Palatino Linotype" w:cs="Palatino Linotype"/>
                <w:sz w:val="22"/>
                <w:szCs w:val="22"/>
              </w:rPr>
              <w:t xml:space="preserve"> el requerimiento, toda vez que </w:t>
            </w:r>
            <w:r w:rsidRPr="001F089F">
              <w:rPr>
                <w:rFonts w:ascii="Palatino Linotype" w:eastAsia="Palatino Linotype" w:hAnsi="Palatino Linotype" w:cs="Palatino Linotype"/>
                <w:b/>
                <w:sz w:val="22"/>
                <w:szCs w:val="22"/>
              </w:rPr>
              <w:t>omitió la información relativa a 2022 y 2023.</w:t>
            </w:r>
          </w:p>
        </w:tc>
      </w:tr>
      <w:tr w:rsidR="00052A94" w:rsidRPr="001F089F" w:rsidTr="00A379D4">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b/>
                <w:color w:val="000000"/>
                <w:sz w:val="22"/>
                <w:szCs w:val="22"/>
              </w:rPr>
              <w:t>7. Situación que guardan las aportaciones estatales y federales, con comprobantes. Informe que refleje los montos recibidos y pendientes por recibir. Presentar copia de los estados de cuenta, que soporte dicho informe;</w:t>
            </w:r>
          </w:p>
        </w:tc>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1"/>
              <w:jc w:val="both"/>
              <w:rPr>
                <w:rFonts w:ascii="Palatino Linotype" w:eastAsia="Palatino Linotype" w:hAnsi="Palatino Linotype" w:cs="Palatino Linotype"/>
                <w:sz w:val="22"/>
                <w:szCs w:val="22"/>
              </w:rPr>
            </w:pPr>
            <w:r w:rsidRPr="001F089F">
              <w:rPr>
                <w:rFonts w:ascii="Palatino Linotype" w:hAnsi="Palatino Linotype"/>
                <w:b/>
                <w:color w:val="000000"/>
                <w:sz w:val="22"/>
                <w:szCs w:val="22"/>
              </w:rPr>
              <w:t>8. Inventario de bienes muebles e inmuebles. Relación de bienes que componen el patrimonio Municipal. Inventario de bienes muebles. Inventario de bienes inmuebles;</w:t>
            </w:r>
          </w:p>
        </w:tc>
        <w:tc>
          <w:tcPr>
            <w:tcW w:w="3115"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El </w:t>
            </w:r>
            <w:r w:rsidRPr="001F089F">
              <w:rPr>
                <w:rFonts w:ascii="Palatino Linotype" w:hAnsi="Palatino Linotype"/>
                <w:b/>
                <w:sz w:val="22"/>
                <w:szCs w:val="22"/>
              </w:rPr>
              <w:t>Secretario del Ayuntamiento</w:t>
            </w:r>
            <w:r w:rsidRPr="001F089F">
              <w:rPr>
                <w:rFonts w:ascii="Palatino Linotype" w:hAnsi="Palatino Linotype"/>
                <w:sz w:val="22"/>
                <w:szCs w:val="22"/>
              </w:rPr>
              <w:t>, remitió la “Relación de Bienes Muebles” que compone el Patrimonio Municipal (Inventario de Bienes Muebles e Inmuebles), al 30 de junio de 2024.</w:t>
            </w:r>
          </w:p>
        </w:tc>
        <w:tc>
          <w:tcPr>
            <w:tcW w:w="3116" w:type="dxa"/>
            <w:shd w:val="clear" w:color="auto" w:fill="FFFFFF" w:themeFill="background1"/>
          </w:tcPr>
          <w:p w:rsidR="00052A94" w:rsidRPr="001F089F" w:rsidRDefault="00AD2AE5" w:rsidP="00AD2AE5">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Servidor Público Habilitado competente, </w:t>
            </w:r>
            <w:r w:rsidRPr="001F089F">
              <w:rPr>
                <w:rFonts w:ascii="Palatino Linotype" w:eastAsia="Palatino Linotype" w:hAnsi="Palatino Linotype" w:cs="Palatino Linotype"/>
                <w:b/>
                <w:sz w:val="22"/>
                <w:szCs w:val="22"/>
              </w:rPr>
              <w:t>atendió de manera parcial</w:t>
            </w:r>
            <w:r w:rsidRPr="001F089F">
              <w:rPr>
                <w:rFonts w:ascii="Palatino Linotype" w:eastAsia="Palatino Linotype" w:hAnsi="Palatino Linotype" w:cs="Palatino Linotype"/>
                <w:sz w:val="22"/>
                <w:szCs w:val="22"/>
              </w:rPr>
              <w:t xml:space="preserve"> el requerimiento, toda vez que </w:t>
            </w:r>
            <w:r w:rsidRPr="001F089F">
              <w:rPr>
                <w:rFonts w:ascii="Palatino Linotype" w:eastAsia="Palatino Linotype" w:hAnsi="Palatino Linotype" w:cs="Palatino Linotype"/>
                <w:b/>
                <w:sz w:val="22"/>
                <w:szCs w:val="22"/>
              </w:rPr>
              <w:t>omitió la información relativa a 2022 y 2023.</w:t>
            </w:r>
          </w:p>
        </w:tc>
      </w:tr>
      <w:tr w:rsidR="00052A94" w:rsidRPr="001F089F" w:rsidTr="00A379D4">
        <w:tc>
          <w:tcPr>
            <w:tcW w:w="3115" w:type="dxa"/>
            <w:shd w:val="clear" w:color="auto" w:fill="FFFFFF" w:themeFill="background1"/>
          </w:tcPr>
          <w:p w:rsidR="00052A94" w:rsidRPr="001F089F" w:rsidRDefault="00052A94" w:rsidP="00052A94">
            <w:pPr>
              <w:jc w:val="both"/>
              <w:rPr>
                <w:rFonts w:ascii="Palatino Linotype" w:hAnsi="Palatino Linotype"/>
                <w:b/>
                <w:color w:val="000000"/>
                <w:sz w:val="22"/>
                <w:szCs w:val="22"/>
              </w:rPr>
            </w:pPr>
            <w:r w:rsidRPr="001F089F">
              <w:rPr>
                <w:rFonts w:ascii="Palatino Linotype" w:hAnsi="Palatino Linotype"/>
                <w:b/>
                <w:color w:val="000000"/>
                <w:sz w:val="22"/>
                <w:szCs w:val="22"/>
              </w:rPr>
              <w:t>9. Plantilla actualizada con nombre, puesto, adscripción y detalle de percepciones mensuales, así como que tipo de relación contractual se tiene, si se contrató por tiempo determinado, indeterminado o por obras determinada;</w:t>
            </w:r>
          </w:p>
        </w:tc>
        <w:tc>
          <w:tcPr>
            <w:tcW w:w="3115"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jc w:val="both"/>
              <w:rPr>
                <w:rFonts w:ascii="Palatino Linotype" w:hAnsi="Palatino Linotype"/>
                <w:b/>
                <w:color w:val="000000"/>
                <w:sz w:val="22"/>
                <w:szCs w:val="22"/>
              </w:rPr>
            </w:pPr>
            <w:r w:rsidRPr="001F089F">
              <w:rPr>
                <w:rFonts w:ascii="Palatino Linotype" w:hAnsi="Palatino Linotype"/>
                <w:b/>
                <w:color w:val="000000"/>
                <w:sz w:val="22"/>
                <w:szCs w:val="22"/>
              </w:rPr>
              <w:t>10. Relación de personal con licencias y permisos;</w:t>
            </w:r>
          </w:p>
        </w:tc>
        <w:tc>
          <w:tcPr>
            <w:tcW w:w="3115"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w:t>
            </w:r>
            <w:r w:rsidRPr="001F089F">
              <w:rPr>
                <w:rFonts w:ascii="Palatino Linotype" w:hAnsi="Palatino Linotype"/>
                <w:sz w:val="22"/>
                <w:szCs w:val="22"/>
              </w:rPr>
              <w:lastRenderedPageBreak/>
              <w:t xml:space="preserve">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lastRenderedPageBreak/>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11. Relación de percepciones pendientes de cubrir a los trabajadores explicando las causas que las motivaron;</w:t>
            </w:r>
          </w:p>
        </w:tc>
        <w:tc>
          <w:tcPr>
            <w:tcW w:w="3115"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hAnsi="Palatino Linotype"/>
                <w:b/>
                <w:color w:val="000000"/>
                <w:sz w:val="22"/>
                <w:szCs w:val="22"/>
              </w:rPr>
            </w:pPr>
            <w:r w:rsidRPr="001F089F">
              <w:rPr>
                <w:rFonts w:ascii="Palatino Linotype" w:hAnsi="Palatino Linotype"/>
                <w:b/>
                <w:color w:val="000000"/>
                <w:sz w:val="22"/>
                <w:szCs w:val="22"/>
              </w:rPr>
              <w:t>12. Relación de juicios laborales en trámite y laudos pendientes de cumplir;</w:t>
            </w:r>
          </w:p>
        </w:tc>
        <w:tc>
          <w:tcPr>
            <w:tcW w:w="3115"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El </w:t>
            </w:r>
            <w:r w:rsidRPr="001F089F">
              <w:rPr>
                <w:rFonts w:ascii="Palatino Linotype" w:hAnsi="Palatino Linotype"/>
                <w:b/>
                <w:sz w:val="22"/>
                <w:szCs w:val="22"/>
              </w:rPr>
              <w:t>Titular de la Consejería Jurídica</w:t>
            </w:r>
            <w:r w:rsidRPr="001F089F">
              <w:rPr>
                <w:rFonts w:ascii="Palatino Linotype" w:hAnsi="Palatino Linotype"/>
                <w:sz w:val="22"/>
                <w:szCs w:val="22"/>
              </w:rPr>
              <w:t>, remitió la “Relación de Juicios Laborales en trámite”, asimismo, informó que no hay laudos pendientes por cumplir.</w:t>
            </w:r>
          </w:p>
        </w:tc>
        <w:tc>
          <w:tcPr>
            <w:tcW w:w="3116" w:type="dxa"/>
            <w:shd w:val="clear" w:color="auto" w:fill="FFFFFF" w:themeFill="background1"/>
          </w:tcPr>
          <w:p w:rsidR="00BB7721" w:rsidRPr="001F089F" w:rsidRDefault="00BB7721" w:rsidP="005A3D08">
            <w:pPr>
              <w:ind w:right="1"/>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 xml:space="preserve">El Servidor Público Habilitado competente atendió el requerimiento del Particular, </w:t>
            </w:r>
            <w:r w:rsidRPr="001F089F">
              <w:rPr>
                <w:rFonts w:ascii="Palatino Linotype" w:eastAsia="Palatino Linotype" w:hAnsi="Palatino Linotype" w:cs="Palatino Linotype"/>
                <w:sz w:val="22"/>
                <w:szCs w:val="22"/>
              </w:rPr>
              <w:t xml:space="preserve">no pasa desapercibido mencionar que se </w:t>
            </w:r>
            <w:r w:rsidR="005A3D08" w:rsidRPr="001F089F">
              <w:rPr>
                <w:rFonts w:ascii="Palatino Linotype" w:eastAsia="Palatino Linotype" w:hAnsi="Palatino Linotype" w:cs="Palatino Linotype"/>
                <w:sz w:val="22"/>
                <w:szCs w:val="22"/>
              </w:rPr>
              <w:t>dejó a la vista información susceptible de ser clasificada como reservada.</w:t>
            </w:r>
          </w:p>
        </w:tc>
      </w:tr>
      <w:tr w:rsidR="00052A94" w:rsidRPr="001F089F" w:rsidTr="00A379D4">
        <w:tc>
          <w:tcPr>
            <w:tcW w:w="3115" w:type="dxa"/>
            <w:shd w:val="clear" w:color="auto" w:fill="FFFFFF" w:themeFill="background1"/>
          </w:tcPr>
          <w:p w:rsidR="00052A94" w:rsidRPr="001F089F" w:rsidRDefault="00052A94" w:rsidP="00052A94">
            <w:pPr>
              <w:ind w:right="35"/>
              <w:jc w:val="both"/>
              <w:rPr>
                <w:rFonts w:ascii="Palatino Linotype" w:eastAsia="Palatino Linotype" w:hAnsi="Palatino Linotype" w:cs="Palatino Linotype"/>
                <w:b/>
                <w:sz w:val="22"/>
                <w:szCs w:val="22"/>
              </w:rPr>
            </w:pPr>
            <w:r w:rsidRPr="001F089F">
              <w:rPr>
                <w:rFonts w:ascii="Palatino Linotype" w:hAnsi="Palatino Linotype"/>
                <w:b/>
                <w:color w:val="000000"/>
                <w:sz w:val="22"/>
                <w:szCs w:val="22"/>
              </w:rPr>
              <w:t>13. Expedientes que contengan observaciones, recomendaciones o apercibimientos emitidos por el Órganos Superior de Fiscalización.</w:t>
            </w:r>
          </w:p>
        </w:tc>
        <w:tc>
          <w:tcPr>
            <w:tcW w:w="3115"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hAnsi="Palatino Linotype"/>
                <w:sz w:val="22"/>
                <w:szCs w:val="22"/>
              </w:rPr>
              <w:t xml:space="preserve">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w:t>
            </w:r>
          </w:p>
        </w:tc>
        <w:tc>
          <w:tcPr>
            <w:tcW w:w="3116" w:type="dxa"/>
            <w:shd w:val="clear" w:color="auto" w:fill="FFFFFF" w:themeFill="background1"/>
          </w:tcPr>
          <w:p w:rsidR="00052A94" w:rsidRPr="001F089F" w:rsidRDefault="00BB7721" w:rsidP="00052A94">
            <w:pPr>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El enlace electrónico proporcionado, </w:t>
            </w:r>
            <w:r w:rsidRPr="001F089F">
              <w:rPr>
                <w:rFonts w:ascii="Palatino Linotype" w:eastAsia="Palatino Linotype" w:hAnsi="Palatino Linotype" w:cs="Palatino Linotype"/>
                <w:b/>
                <w:sz w:val="22"/>
                <w:szCs w:val="22"/>
              </w:rPr>
              <w:t>no dirige de manera precisa a la información solicitada.</w:t>
            </w:r>
          </w:p>
        </w:tc>
      </w:tr>
    </w:tbl>
    <w:p w:rsidR="00663C8A" w:rsidRPr="001F089F" w:rsidRDefault="00663C8A" w:rsidP="00663C8A">
      <w:pPr>
        <w:rPr>
          <w:rFonts w:ascii="Palatino Linotype" w:eastAsia="Palatino Linotype" w:hAnsi="Palatino Linotype" w:cs="Palatino Linotype"/>
          <w:b/>
          <w:sz w:val="22"/>
          <w:szCs w:val="22"/>
        </w:rPr>
      </w:pPr>
    </w:p>
    <w:p w:rsidR="00AD2AE5" w:rsidRPr="001F089F" w:rsidRDefault="00AD2AE5" w:rsidP="0066562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En este sentido, se advierte que el</w:t>
      </w:r>
      <w:r w:rsidRPr="001F089F">
        <w:rPr>
          <w:rFonts w:ascii="Palatino Linotype" w:eastAsia="Palatino Linotype" w:hAnsi="Palatino Linotype" w:cs="Palatino Linotype"/>
          <w:b/>
          <w:sz w:val="22"/>
          <w:szCs w:val="22"/>
        </w:rPr>
        <w:t xml:space="preserve"> SUJETO OBLIGADO colmó </w:t>
      </w:r>
      <w:r w:rsidRPr="001F089F">
        <w:rPr>
          <w:rFonts w:ascii="Palatino Linotype" w:eastAsia="Palatino Linotype" w:hAnsi="Palatino Linotype" w:cs="Palatino Linotype"/>
          <w:sz w:val="22"/>
          <w:szCs w:val="22"/>
        </w:rPr>
        <w:t xml:space="preserve">mediante respuesta lo expuesto en el punto 12 del cuadro descriptivo. </w:t>
      </w:r>
    </w:p>
    <w:p w:rsidR="00AD2AE5" w:rsidRPr="001F089F" w:rsidRDefault="00AD2AE5" w:rsidP="00AD2AE5">
      <w:pPr>
        <w:spacing w:line="360" w:lineRule="auto"/>
        <w:ind w:right="1"/>
        <w:jc w:val="both"/>
        <w:rPr>
          <w:rFonts w:ascii="Palatino Linotype" w:eastAsia="Palatino Linotype" w:hAnsi="Palatino Linotype" w:cs="Palatino Linotype"/>
          <w:b/>
          <w:sz w:val="22"/>
          <w:szCs w:val="22"/>
        </w:rPr>
      </w:pPr>
    </w:p>
    <w:p w:rsidR="00AD2AE5" w:rsidRPr="001F089F" w:rsidRDefault="00AD2AE5" w:rsidP="0066562E">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Por otro lado, se advierte también que atendió de </w:t>
      </w:r>
      <w:r w:rsidRPr="001F089F">
        <w:rPr>
          <w:rFonts w:ascii="Palatino Linotype" w:eastAsia="Palatino Linotype" w:hAnsi="Palatino Linotype" w:cs="Palatino Linotype"/>
          <w:b/>
          <w:sz w:val="22"/>
          <w:szCs w:val="22"/>
        </w:rPr>
        <w:t>manera parcial</w:t>
      </w:r>
      <w:r w:rsidRPr="001F089F">
        <w:rPr>
          <w:rFonts w:ascii="Palatino Linotype" w:eastAsia="Palatino Linotype" w:hAnsi="Palatino Linotype" w:cs="Palatino Linotype"/>
          <w:sz w:val="22"/>
          <w:szCs w:val="22"/>
        </w:rPr>
        <w:t xml:space="preserve"> lo expuesto en el punto 6 y 8 del cuadro descriptivo, ya que si bien es cierto, proporc</w:t>
      </w:r>
      <w:r w:rsidR="00937D48" w:rsidRPr="001F089F">
        <w:rPr>
          <w:rFonts w:ascii="Palatino Linotype" w:eastAsia="Palatino Linotype" w:hAnsi="Palatino Linotype" w:cs="Palatino Linotype"/>
          <w:sz w:val="22"/>
          <w:szCs w:val="22"/>
        </w:rPr>
        <w:t>ionó la información solicitada por medio de los Servidores Públicos Habilitados competentes respectivamente, solo se pronunció respecto al periodo fiscal 2024 y omitió emitir la información relativa a 2022 y 2023.</w:t>
      </w:r>
    </w:p>
    <w:p w:rsidR="00937D48" w:rsidRPr="001F089F" w:rsidRDefault="00937D48" w:rsidP="00937D48">
      <w:pPr>
        <w:spacing w:line="360" w:lineRule="auto"/>
        <w:ind w:right="1"/>
        <w:jc w:val="both"/>
        <w:rPr>
          <w:rFonts w:ascii="Palatino Linotype" w:eastAsia="Palatino Linotype" w:hAnsi="Palatino Linotype" w:cs="Palatino Linotype"/>
          <w:sz w:val="22"/>
          <w:szCs w:val="22"/>
        </w:rPr>
      </w:pPr>
    </w:p>
    <w:p w:rsidR="00937D48" w:rsidRPr="001F089F" w:rsidRDefault="00937D48" w:rsidP="00937D4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En consecuencia, el</w:t>
      </w:r>
      <w:r w:rsidRPr="001F089F">
        <w:rPr>
          <w:rFonts w:ascii="Palatino Linotype" w:eastAsia="Palatino Linotype" w:hAnsi="Palatino Linotype" w:cs="Palatino Linotype"/>
          <w:b/>
          <w:sz w:val="22"/>
          <w:szCs w:val="22"/>
        </w:rPr>
        <w:t xml:space="preserve"> SUJETO OBLIGADO </w:t>
      </w:r>
      <w:r w:rsidRPr="001F089F">
        <w:rPr>
          <w:rFonts w:ascii="Palatino Linotype" w:eastAsia="Palatino Linotype" w:hAnsi="Palatino Linotype" w:cs="Palatino Linotype"/>
          <w:sz w:val="22"/>
          <w:szCs w:val="22"/>
        </w:rPr>
        <w:t xml:space="preserve">deberá hacer entrega, de ser procedente en versión pública del </w:t>
      </w:r>
      <w:r w:rsidRPr="001F089F">
        <w:rPr>
          <w:rFonts w:ascii="Palatino Linotype" w:hAnsi="Palatino Linotype"/>
          <w:color w:val="000000"/>
          <w:sz w:val="22"/>
          <w:szCs w:val="22"/>
        </w:rPr>
        <w:t>estado de las obras públicas ejecutadas y en proceso, la relación de obras en proceso, el inventario de expedientes técnicos unitarios, el inventario de Obras Publicas terminadas y en proceso; y, el Inventario de Bienes Muebles e Inmuebles de 2022 y 2023.</w:t>
      </w:r>
    </w:p>
    <w:p w:rsidR="00937D48" w:rsidRPr="001F089F" w:rsidRDefault="00937D48" w:rsidP="00937D48">
      <w:pPr>
        <w:spacing w:line="360" w:lineRule="auto"/>
        <w:ind w:right="1"/>
        <w:jc w:val="both"/>
        <w:rPr>
          <w:rFonts w:ascii="Palatino Linotype" w:eastAsia="Palatino Linotype" w:hAnsi="Palatino Linotype" w:cs="Palatino Linotype"/>
          <w:b/>
          <w:sz w:val="22"/>
          <w:szCs w:val="22"/>
        </w:rPr>
      </w:pPr>
    </w:p>
    <w:p w:rsidR="00937D48" w:rsidRPr="001F089F" w:rsidRDefault="00937D48" w:rsidP="00937D4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Ahora bien, por lo que corresponde a los puntos 1, 2, 3, 4, 5, 7, 9, 10, 11 y 13 del cuadro descriptivo, se tiene que la </w:t>
      </w:r>
      <w:r w:rsidRPr="001F089F">
        <w:rPr>
          <w:rFonts w:ascii="Palatino Linotype" w:hAnsi="Palatino Linotype"/>
          <w:b/>
          <w:sz w:val="22"/>
          <w:szCs w:val="22"/>
        </w:rPr>
        <w:t>Tesorera Municipal</w:t>
      </w:r>
      <w:r w:rsidRPr="001F089F">
        <w:rPr>
          <w:rFonts w:ascii="Palatino Linotype" w:hAnsi="Palatino Linotype"/>
          <w:sz w:val="22"/>
          <w:szCs w:val="22"/>
        </w:rPr>
        <w:t xml:space="preserve">, refirió que la documentación solicitada se encuentra en el portal en formato PDF y es verídica, completa y actualizada, por lo que </w:t>
      </w:r>
      <w:r w:rsidRPr="001F089F">
        <w:rPr>
          <w:rFonts w:ascii="Palatino Linotype" w:hAnsi="Palatino Linotype"/>
          <w:b/>
          <w:sz w:val="22"/>
          <w:szCs w:val="22"/>
        </w:rPr>
        <w:t>remitió un link</w:t>
      </w:r>
      <w:r w:rsidRPr="001F089F">
        <w:rPr>
          <w:rFonts w:ascii="Palatino Linotype" w:hAnsi="Palatino Linotype"/>
          <w:sz w:val="22"/>
          <w:szCs w:val="22"/>
        </w:rPr>
        <w:t xml:space="preserve"> donde señaló que podría ser consultada. Como se observa a continuación:</w:t>
      </w:r>
    </w:p>
    <w:p w:rsidR="00937D48" w:rsidRPr="001F089F" w:rsidRDefault="00937D48" w:rsidP="00937D48">
      <w:pPr>
        <w:spacing w:line="360" w:lineRule="auto"/>
        <w:ind w:right="1"/>
        <w:jc w:val="both"/>
        <w:rPr>
          <w:rFonts w:ascii="Palatino Linotype" w:eastAsia="Palatino Linotype" w:hAnsi="Palatino Linotype" w:cs="Palatino Linotype"/>
          <w:sz w:val="22"/>
          <w:szCs w:val="22"/>
        </w:rPr>
      </w:pPr>
    </w:p>
    <w:p w:rsidR="00937D48" w:rsidRPr="001F089F" w:rsidRDefault="00937D48" w:rsidP="00937D48">
      <w:pPr>
        <w:spacing w:line="360" w:lineRule="auto"/>
        <w:ind w:right="1"/>
        <w:jc w:val="center"/>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noProof/>
          <w:sz w:val="22"/>
          <w:szCs w:val="22"/>
        </w:rPr>
        <mc:AlternateContent>
          <mc:Choice Requires="wps">
            <w:drawing>
              <wp:anchor distT="0" distB="0" distL="114300" distR="114300" simplePos="0" relativeHeight="251659264" behindDoc="0" locked="0" layoutInCell="1" allowOverlap="1">
                <wp:simplePos x="0" y="0"/>
                <wp:positionH relativeFrom="column">
                  <wp:posOffset>3420745</wp:posOffset>
                </wp:positionH>
                <wp:positionV relativeFrom="paragraph">
                  <wp:posOffset>172085</wp:posOffset>
                </wp:positionV>
                <wp:extent cx="1895475" cy="904875"/>
                <wp:effectExtent l="19050" t="19050" r="28575" b="28575"/>
                <wp:wrapNone/>
                <wp:docPr id="2" name="Rectángulo 2"/>
                <wp:cNvGraphicFramePr/>
                <a:graphic xmlns:a="http://schemas.openxmlformats.org/drawingml/2006/main">
                  <a:graphicData uri="http://schemas.microsoft.com/office/word/2010/wordprocessingShape">
                    <wps:wsp>
                      <wps:cNvSpPr/>
                      <wps:spPr>
                        <a:xfrm>
                          <a:off x="0" y="0"/>
                          <a:ext cx="1895475" cy="9048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D65FA" id="Rectángulo 2" o:spid="_x0000_s1026" style="position:absolute;margin-left:269.35pt;margin-top:13.55pt;width:149.2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" filled="f" strokecolor="#c00000" strokeweight="2.25pt"/>
            </w:pict>
          </mc:Fallback>
        </mc:AlternateContent>
      </w:r>
      <w:r w:rsidRPr="001F089F">
        <w:rPr>
          <w:rFonts w:ascii="Palatino Linotype" w:eastAsia="Palatino Linotype" w:hAnsi="Palatino Linotype" w:cs="Palatino Linotype"/>
          <w:b/>
          <w:sz w:val="22"/>
          <w:szCs w:val="22"/>
        </w:rPr>
        <w:t>(…)</w:t>
      </w:r>
    </w:p>
    <w:p w:rsidR="00937D48" w:rsidRPr="001F089F" w:rsidRDefault="00937D48" w:rsidP="00937D48">
      <w:pPr>
        <w:spacing w:line="360" w:lineRule="auto"/>
        <w:ind w:right="1"/>
        <w:jc w:val="center"/>
        <w:rPr>
          <w:rFonts w:ascii="Palatino Linotype" w:eastAsia="Palatino Linotype" w:hAnsi="Palatino Linotype" w:cs="Palatino Linotype"/>
          <w:sz w:val="22"/>
          <w:szCs w:val="22"/>
        </w:rPr>
      </w:pPr>
      <w:r w:rsidRPr="001F089F">
        <w:rPr>
          <w:rFonts w:ascii="Palatino Linotype" w:eastAsia="Palatino Linotype" w:hAnsi="Palatino Linotype" w:cs="Palatino Linotype"/>
          <w:noProof/>
          <w:sz w:val="22"/>
          <w:szCs w:val="22"/>
        </w:rPr>
        <w:drawing>
          <wp:inline distT="0" distB="0" distL="0" distR="0" wp14:anchorId="01BE645B" wp14:editId="2D24FD9E">
            <wp:extent cx="4829664" cy="31248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223"/>
                    <a:stretch/>
                  </pic:blipFill>
                  <pic:spPr bwMode="auto">
                    <a:xfrm>
                      <a:off x="0" y="0"/>
                      <a:ext cx="4829849" cy="3124955"/>
                    </a:xfrm>
                    <a:prstGeom prst="rect">
                      <a:avLst/>
                    </a:prstGeom>
                    <a:ln>
                      <a:noFill/>
                    </a:ln>
                    <a:extLst>
                      <a:ext uri="{53640926-AAD7-44D8-BBD7-CCE9431645EC}">
                        <a14:shadowObscured xmlns:a14="http://schemas.microsoft.com/office/drawing/2010/main"/>
                      </a:ext>
                    </a:extLst>
                  </pic:spPr>
                </pic:pic>
              </a:graphicData>
            </a:graphic>
          </wp:inline>
        </w:drawing>
      </w:r>
    </w:p>
    <w:p w:rsidR="00937D48" w:rsidRPr="001F089F" w:rsidRDefault="00937D48" w:rsidP="00937D48">
      <w:pPr>
        <w:spacing w:line="360" w:lineRule="auto"/>
        <w:ind w:right="1"/>
        <w:jc w:val="both"/>
        <w:rPr>
          <w:rFonts w:ascii="Palatino Linotype" w:eastAsia="Palatino Linotype" w:hAnsi="Palatino Linotype" w:cs="Palatino Linotype"/>
          <w:sz w:val="22"/>
          <w:szCs w:val="22"/>
        </w:rPr>
      </w:pPr>
    </w:p>
    <w:p w:rsidR="00937D48" w:rsidRPr="001F089F" w:rsidRDefault="00937D48" w:rsidP="0066562E">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lastRenderedPageBreak/>
        <w:t>En atención a lo anterior, este Organismo Garant</w:t>
      </w:r>
      <w:r w:rsidR="007E055E" w:rsidRPr="001F089F">
        <w:rPr>
          <w:rFonts w:ascii="Palatino Linotype" w:eastAsia="Palatino Linotype" w:hAnsi="Palatino Linotype" w:cs="Palatino Linotype"/>
          <w:sz w:val="22"/>
          <w:szCs w:val="22"/>
        </w:rPr>
        <w:t>e advierte que el link electrónico es de acceso directo, no obstante, este no dirige de manera precisa a la información solicitada, si no a la página oficial del Gobierno Municipal de Ecatzingo. Como se observa:</w:t>
      </w:r>
    </w:p>
    <w:p w:rsidR="007E055E" w:rsidRPr="001F089F" w:rsidRDefault="007E055E" w:rsidP="007E055E">
      <w:pPr>
        <w:spacing w:line="360" w:lineRule="auto"/>
        <w:ind w:right="1"/>
        <w:jc w:val="both"/>
        <w:rPr>
          <w:rFonts w:ascii="Palatino Linotype" w:eastAsia="Palatino Linotype" w:hAnsi="Palatino Linotype" w:cs="Palatino Linotype"/>
          <w:b/>
          <w:sz w:val="22"/>
          <w:szCs w:val="22"/>
        </w:rPr>
      </w:pPr>
    </w:p>
    <w:p w:rsidR="007E055E" w:rsidRPr="001F089F" w:rsidRDefault="00BE2FDB" w:rsidP="007E055E">
      <w:pPr>
        <w:ind w:left="567" w:right="1"/>
        <w:jc w:val="both"/>
        <w:rPr>
          <w:rFonts w:ascii="Palatino Linotype" w:eastAsia="Palatino Linotype" w:hAnsi="Palatino Linotype" w:cs="Palatino Linotype"/>
          <w:b/>
          <w:sz w:val="22"/>
          <w:szCs w:val="22"/>
        </w:rPr>
      </w:pPr>
      <w:hyperlink r:id="rId13" w:history="1">
        <w:r w:rsidR="007E055E" w:rsidRPr="001F089F">
          <w:rPr>
            <w:rStyle w:val="Hipervnculo"/>
            <w:rFonts w:ascii="Palatino Linotype" w:eastAsia="Palatino Linotype" w:hAnsi="Palatino Linotype" w:cs="Palatino Linotype"/>
            <w:b/>
            <w:color w:val="auto"/>
            <w:sz w:val="22"/>
            <w:szCs w:val="22"/>
            <w:u w:val="none"/>
          </w:rPr>
          <w:t>https://www.ecatzingo.gob.mx/</w:t>
        </w:r>
      </w:hyperlink>
      <w:r w:rsidR="007E055E" w:rsidRPr="001F089F">
        <w:rPr>
          <w:rFonts w:ascii="Palatino Linotype" w:eastAsia="Palatino Linotype" w:hAnsi="Palatino Linotype" w:cs="Palatino Linotype"/>
          <w:b/>
          <w:sz w:val="22"/>
          <w:szCs w:val="22"/>
        </w:rPr>
        <w:t xml:space="preserve"> </w:t>
      </w:r>
    </w:p>
    <w:p w:rsidR="007E055E" w:rsidRPr="001F089F" w:rsidRDefault="007E055E" w:rsidP="00A379D4">
      <w:pPr>
        <w:ind w:left="142" w:right="1"/>
        <w:jc w:val="center"/>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noProof/>
          <w:sz w:val="22"/>
          <w:szCs w:val="22"/>
        </w:rPr>
        <w:drawing>
          <wp:inline distT="0" distB="0" distL="0" distR="0" wp14:anchorId="4CBC0AEA" wp14:editId="50AD0F31">
            <wp:extent cx="5532474"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272"/>
                    <a:stretch/>
                  </pic:blipFill>
                  <pic:spPr bwMode="auto">
                    <a:xfrm>
                      <a:off x="0" y="0"/>
                      <a:ext cx="5536528" cy="3183681"/>
                    </a:xfrm>
                    <a:prstGeom prst="rect">
                      <a:avLst/>
                    </a:prstGeom>
                    <a:ln>
                      <a:noFill/>
                    </a:ln>
                    <a:extLst>
                      <a:ext uri="{53640926-AAD7-44D8-BBD7-CCE9431645EC}">
                        <a14:shadowObscured xmlns:a14="http://schemas.microsoft.com/office/drawing/2010/main"/>
                      </a:ext>
                    </a:extLst>
                  </pic:spPr>
                </pic:pic>
              </a:graphicData>
            </a:graphic>
          </wp:inline>
        </w:drawing>
      </w:r>
    </w:p>
    <w:p w:rsidR="007E055E" w:rsidRPr="001F089F" w:rsidRDefault="007E055E" w:rsidP="007E055E">
      <w:pPr>
        <w:spacing w:line="360" w:lineRule="auto"/>
        <w:ind w:right="1"/>
        <w:jc w:val="both"/>
        <w:rPr>
          <w:rFonts w:ascii="Palatino Linotype" w:eastAsia="Palatino Linotype" w:hAnsi="Palatino Linotype" w:cs="Palatino Linotype"/>
          <w:b/>
          <w:sz w:val="22"/>
          <w:szCs w:val="22"/>
        </w:rPr>
      </w:pPr>
    </w:p>
    <w:p w:rsidR="00A379D4" w:rsidRPr="001F089F" w:rsidRDefault="00815B80" w:rsidP="007E055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En este sentido,</w:t>
      </w:r>
      <w:r w:rsidR="00A379D4" w:rsidRPr="001F089F">
        <w:rPr>
          <w:rFonts w:ascii="Palatino Linotype" w:eastAsia="Palatino Linotype" w:hAnsi="Palatino Linotype" w:cs="Palatino Linotype"/>
          <w:sz w:val="22"/>
          <w:szCs w:val="22"/>
        </w:rPr>
        <w:t xml:space="preserve"> </w:t>
      </w:r>
      <w:r w:rsidR="00A379D4" w:rsidRPr="001F089F">
        <w:rPr>
          <w:rFonts w:ascii="Palatino Linotype" w:eastAsia="Palatino Linotype" w:hAnsi="Palatino Linotype" w:cs="Palatino Linotype"/>
          <w:color w:val="000000"/>
          <w:sz w:val="22"/>
          <w:szCs w:val="22"/>
        </w:rPr>
        <w:t xml:space="preserve">si bien el Servidor Público Habilitado competente refirió proporcionar lo solicitado por medio de un link, </w:t>
      </w:r>
      <w:r w:rsidR="00A379D4" w:rsidRPr="001F089F">
        <w:rPr>
          <w:rFonts w:ascii="Palatino Linotype" w:eastAsia="Palatino Linotype" w:hAnsi="Palatino Linotype" w:cs="Palatino Linotype"/>
          <w:b/>
          <w:color w:val="000000"/>
          <w:sz w:val="22"/>
          <w:szCs w:val="22"/>
        </w:rPr>
        <w:t xml:space="preserve">este no dirige de manera precisa a la información, </w:t>
      </w:r>
      <w:r w:rsidR="00A379D4" w:rsidRPr="001F089F">
        <w:rPr>
          <w:rFonts w:ascii="Palatino Linotype" w:eastAsia="Palatino Linotype" w:hAnsi="Palatino Linotype" w:cs="Palatino Linotype"/>
          <w:color w:val="000000"/>
          <w:sz w:val="22"/>
          <w:szCs w:val="22"/>
        </w:rPr>
        <w:t>asimismo, se tiene que, por medio de la respuesta se omitió proporcionar las indicaciones precisas para acceder a la información.</w:t>
      </w:r>
    </w:p>
    <w:p w:rsidR="00A379D4" w:rsidRPr="001F089F" w:rsidRDefault="00A379D4" w:rsidP="00A379D4">
      <w:pPr>
        <w:spacing w:line="360" w:lineRule="auto"/>
        <w:ind w:right="1"/>
        <w:jc w:val="both"/>
        <w:rPr>
          <w:rFonts w:ascii="Palatino Linotype" w:eastAsia="Palatino Linotype" w:hAnsi="Palatino Linotype" w:cs="Palatino Linotype"/>
          <w:b/>
          <w:sz w:val="22"/>
          <w:szCs w:val="22"/>
        </w:rPr>
      </w:pPr>
    </w:p>
    <w:p w:rsidR="007E055E" w:rsidRPr="001F089F" w:rsidRDefault="007E055E" w:rsidP="007E055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En este sentido, resulta conveniente referir lo establecido en el artículo 161 de la citada Ley de Transparencia Local, mismo que se transcribe a continuación:</w:t>
      </w:r>
    </w:p>
    <w:p w:rsidR="007E055E" w:rsidRPr="001F089F" w:rsidRDefault="007E055E" w:rsidP="007E055E">
      <w:pPr>
        <w:spacing w:line="360" w:lineRule="auto"/>
        <w:ind w:right="1"/>
        <w:jc w:val="both"/>
        <w:rPr>
          <w:rFonts w:ascii="Palatino Linotype" w:eastAsia="Palatino Linotype" w:hAnsi="Palatino Linotype" w:cs="Palatino Linotype"/>
          <w:color w:val="000000"/>
          <w:sz w:val="22"/>
          <w:szCs w:val="22"/>
        </w:rPr>
      </w:pPr>
    </w:p>
    <w:p w:rsidR="007E055E" w:rsidRPr="001F089F" w:rsidRDefault="007E055E" w:rsidP="007E055E">
      <w:pPr>
        <w:pBdr>
          <w:top w:val="nil"/>
          <w:left w:val="nil"/>
          <w:bottom w:val="nil"/>
          <w:right w:val="nil"/>
          <w:between w:val="nil"/>
        </w:pBdr>
        <w:ind w:left="567" w:right="539"/>
        <w:jc w:val="both"/>
        <w:rPr>
          <w:rFonts w:ascii="Palatino Linotype" w:eastAsia="Palatino Linotype" w:hAnsi="Palatino Linotype" w:cs="Palatino Linotype"/>
          <w:i/>
          <w:color w:val="000000"/>
          <w:sz w:val="22"/>
          <w:szCs w:val="22"/>
        </w:rPr>
      </w:pPr>
      <w:r w:rsidRPr="001F089F">
        <w:rPr>
          <w:rFonts w:ascii="Palatino Linotype" w:eastAsia="Palatino Linotype" w:hAnsi="Palatino Linotype" w:cs="Palatino Linotype"/>
          <w:b/>
          <w:i/>
          <w:color w:val="000000"/>
          <w:sz w:val="22"/>
          <w:szCs w:val="22"/>
        </w:rPr>
        <w:lastRenderedPageBreak/>
        <w:t>Artículo 161. Cuando la información requerida por el solicitante ya esté disponible</w:t>
      </w:r>
      <w:r w:rsidRPr="001F089F">
        <w:rPr>
          <w:rFonts w:ascii="Palatino Linotype" w:eastAsia="Palatino Linotype" w:hAnsi="Palatino Linotype" w:cs="Palatino Linotype"/>
          <w:i/>
          <w:color w:val="000000"/>
          <w:sz w:val="22"/>
          <w:szCs w:val="22"/>
        </w:rPr>
        <w:t xml:space="preserve"> al público en medios impresos, tales como libros, compendios, trípticos, registros públicos, </w:t>
      </w:r>
      <w:r w:rsidRPr="001F089F">
        <w:rPr>
          <w:rFonts w:ascii="Palatino Linotype" w:eastAsia="Palatino Linotype" w:hAnsi="Palatino Linotype" w:cs="Palatino Linotype"/>
          <w:b/>
          <w:i/>
          <w:color w:val="000000"/>
          <w:sz w:val="22"/>
          <w:szCs w:val="22"/>
        </w:rPr>
        <w:t xml:space="preserve">en formatos electrónicos disponibles en Internet </w:t>
      </w:r>
      <w:r w:rsidRPr="001F089F">
        <w:rPr>
          <w:rFonts w:ascii="Palatino Linotype" w:eastAsia="Palatino Linotype" w:hAnsi="Palatino Linotype" w:cs="Palatino Linotype"/>
          <w:i/>
          <w:color w:val="000000"/>
          <w:sz w:val="22"/>
          <w:szCs w:val="22"/>
        </w:rPr>
        <w:t xml:space="preserve">o en cualquier otro medio, se le hará saber por el medio requerido por el solicitante la fuente, el lugar y la forma en que puede consultar, reproducir o adquirir dicha información </w:t>
      </w:r>
      <w:r w:rsidRPr="001F089F">
        <w:rPr>
          <w:rFonts w:ascii="Palatino Linotype" w:eastAsia="Palatino Linotype" w:hAnsi="Palatino Linotype" w:cs="Palatino Linotype"/>
          <w:b/>
          <w:i/>
          <w:color w:val="000000"/>
          <w:sz w:val="22"/>
          <w:szCs w:val="22"/>
        </w:rPr>
        <w:t>en un plazo no mayor a cinco días hábiles</w:t>
      </w:r>
      <w:r w:rsidRPr="001F089F">
        <w:rPr>
          <w:rFonts w:ascii="Palatino Linotype" w:eastAsia="Palatino Linotype" w:hAnsi="Palatino Linotype" w:cs="Palatino Linotype"/>
          <w:i/>
          <w:color w:val="000000"/>
          <w:sz w:val="22"/>
          <w:szCs w:val="22"/>
        </w:rPr>
        <w:t xml:space="preserve">. </w:t>
      </w:r>
      <w:r w:rsidRPr="001F089F">
        <w:rPr>
          <w:rFonts w:ascii="Palatino Linotype" w:eastAsia="Palatino Linotype" w:hAnsi="Palatino Linotype" w:cs="Palatino Linotype"/>
          <w:b/>
          <w:i/>
          <w:color w:val="000000"/>
          <w:sz w:val="22"/>
          <w:szCs w:val="22"/>
        </w:rPr>
        <w:t>La fuente deberá ser precisa y concreta y no debe implicar que el solicitante realice una búsqueda en toda la información que se encuentre disponible</w:t>
      </w:r>
      <w:r w:rsidRPr="001F089F">
        <w:rPr>
          <w:rFonts w:ascii="Palatino Linotype" w:eastAsia="Palatino Linotype" w:hAnsi="Palatino Linotype" w:cs="Palatino Linotype"/>
          <w:i/>
          <w:color w:val="000000"/>
          <w:sz w:val="22"/>
          <w:szCs w:val="22"/>
        </w:rPr>
        <w:t>.</w:t>
      </w:r>
    </w:p>
    <w:p w:rsidR="007E055E" w:rsidRPr="001F089F" w:rsidRDefault="007E055E" w:rsidP="007E055E">
      <w:pPr>
        <w:spacing w:line="360" w:lineRule="auto"/>
        <w:ind w:right="1"/>
        <w:jc w:val="both"/>
        <w:rPr>
          <w:rFonts w:ascii="Palatino Linotype" w:eastAsia="Palatino Linotype" w:hAnsi="Palatino Linotype" w:cs="Palatino Linotype"/>
          <w:b/>
          <w:sz w:val="22"/>
          <w:szCs w:val="22"/>
        </w:rPr>
      </w:pPr>
    </w:p>
    <w:p w:rsidR="007E055E" w:rsidRPr="001F089F" w:rsidRDefault="007E055E" w:rsidP="007E055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Es así que, toda aquella información que sea requerida por los Particulares pero que, previamente se encuentre disponible en sitios electrónicos, como puede ser de manera enunciativa más no limitativa, el sitio oficial del </w:t>
      </w:r>
      <w:r w:rsidRPr="001F089F">
        <w:rPr>
          <w:rFonts w:ascii="Palatino Linotype" w:eastAsia="Palatino Linotype" w:hAnsi="Palatino Linotype" w:cs="Palatino Linotype"/>
          <w:b/>
          <w:color w:val="000000"/>
          <w:sz w:val="22"/>
          <w:szCs w:val="22"/>
        </w:rPr>
        <w:t>SUJETO OBLIGADO</w:t>
      </w:r>
      <w:r w:rsidRPr="001F089F">
        <w:rPr>
          <w:rFonts w:ascii="Palatino Linotype" w:eastAsia="Palatino Linotype" w:hAnsi="Palatino Linotype" w:cs="Palatino Linotype"/>
          <w:color w:val="000000"/>
          <w:sz w:val="22"/>
          <w:szCs w:val="22"/>
        </w:rPr>
        <w:t xml:space="preserve"> o el </w:t>
      </w:r>
      <w:r w:rsidRPr="001F089F">
        <w:rPr>
          <w:rFonts w:ascii="Palatino Linotype" w:eastAsia="Palatino Linotype" w:hAnsi="Palatino Linotype" w:cs="Palatino Linotype"/>
          <w:b/>
          <w:color w:val="000000"/>
          <w:sz w:val="22"/>
          <w:szCs w:val="22"/>
        </w:rPr>
        <w:t>portal IPOMEX o las páginas institucionales.</w:t>
      </w:r>
      <w:r w:rsidRPr="001F089F">
        <w:rPr>
          <w:rFonts w:ascii="Palatino Linotype" w:eastAsia="Palatino Linotype" w:hAnsi="Palatino Linotype" w:cs="Palatino Linotype"/>
          <w:color w:val="000000"/>
          <w:sz w:val="22"/>
          <w:szCs w:val="22"/>
        </w:rPr>
        <w:t xml:space="preserve"> Los Sujetos Obligado pueden indicar la dirección electrónica donde obra la información solicitada, no obstante, </w:t>
      </w:r>
      <w:r w:rsidRPr="001F089F">
        <w:rPr>
          <w:rFonts w:ascii="Palatino Linotype" w:eastAsia="Palatino Linotype" w:hAnsi="Palatino Linotype" w:cs="Palatino Linotype"/>
          <w:b/>
          <w:color w:val="000000"/>
          <w:sz w:val="22"/>
          <w:szCs w:val="22"/>
        </w:rPr>
        <w:t>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7E055E" w:rsidRPr="001F089F" w:rsidRDefault="007E055E" w:rsidP="007E055E">
      <w:pPr>
        <w:spacing w:line="360" w:lineRule="auto"/>
        <w:ind w:right="1"/>
        <w:jc w:val="both"/>
        <w:rPr>
          <w:rFonts w:ascii="Palatino Linotype" w:eastAsia="Palatino Linotype" w:hAnsi="Palatino Linotype" w:cs="Palatino Linotype"/>
          <w:b/>
          <w:sz w:val="22"/>
          <w:szCs w:val="22"/>
        </w:rPr>
      </w:pPr>
    </w:p>
    <w:p w:rsidR="007E055E" w:rsidRPr="001F089F" w:rsidRDefault="007E055E" w:rsidP="007E055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En este sentido, </w:t>
      </w:r>
      <w:r w:rsidRPr="001F089F">
        <w:rPr>
          <w:rFonts w:ascii="Palatino Linotype" w:eastAsia="Palatino Linotype" w:hAnsi="Palatino Linotype" w:cs="Palatino Linotype"/>
          <w:b/>
          <w:color w:val="000000"/>
          <w:sz w:val="22"/>
          <w:szCs w:val="22"/>
        </w:rPr>
        <w:t>la orientación</w:t>
      </w:r>
      <w:r w:rsidRPr="001F089F">
        <w:rPr>
          <w:rFonts w:ascii="Palatino Linotype" w:eastAsia="Palatino Linotype" w:hAnsi="Palatino Linotype" w:cs="Palatino Linotype"/>
          <w:color w:val="000000"/>
          <w:sz w:val="22"/>
          <w:szCs w:val="22"/>
        </w:rPr>
        <w:t xml:space="preserve"> que realicen los Sujetos Obligados a los sitios electrónicos para la consulta de la información </w:t>
      </w:r>
      <w:r w:rsidRPr="001F089F">
        <w:rPr>
          <w:rFonts w:ascii="Palatino Linotype" w:eastAsia="Palatino Linotype" w:hAnsi="Palatino Linotype" w:cs="Palatino Linotype"/>
          <w:b/>
          <w:color w:val="000000"/>
          <w:sz w:val="22"/>
          <w:szCs w:val="22"/>
        </w:rPr>
        <w:t>debe cumplir con las características de tiempo y forma.</w:t>
      </w:r>
    </w:p>
    <w:p w:rsidR="007E055E" w:rsidRPr="001F089F" w:rsidRDefault="007E055E" w:rsidP="007E055E">
      <w:pPr>
        <w:spacing w:line="360" w:lineRule="auto"/>
        <w:ind w:right="1"/>
        <w:jc w:val="both"/>
        <w:rPr>
          <w:rFonts w:ascii="Palatino Linotype" w:eastAsia="Palatino Linotype" w:hAnsi="Palatino Linotype" w:cs="Palatino Linotype"/>
          <w:b/>
          <w:sz w:val="22"/>
          <w:szCs w:val="22"/>
        </w:rPr>
      </w:pPr>
    </w:p>
    <w:p w:rsidR="007E055E" w:rsidRPr="001F089F" w:rsidRDefault="007E055E" w:rsidP="007E055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Y, para que la orientación se encuentre en tiempo, debe realizarse en un plazo no mayor a cinco días hábiles. En este caso, el </w:t>
      </w:r>
      <w:r w:rsidRPr="001F089F">
        <w:rPr>
          <w:rFonts w:ascii="Palatino Linotype" w:eastAsia="Palatino Linotype" w:hAnsi="Palatino Linotype" w:cs="Palatino Linotype"/>
          <w:b/>
          <w:color w:val="000000"/>
          <w:sz w:val="22"/>
          <w:szCs w:val="22"/>
        </w:rPr>
        <w:t>RECURRENTE</w:t>
      </w:r>
      <w:r w:rsidRPr="001F089F">
        <w:rPr>
          <w:rFonts w:ascii="Palatino Linotype" w:eastAsia="Palatino Linotype" w:hAnsi="Palatino Linotype" w:cs="Palatino Linotype"/>
          <w:color w:val="000000"/>
          <w:sz w:val="22"/>
          <w:szCs w:val="22"/>
        </w:rPr>
        <w:t xml:space="preserve"> presentó su solicitud el nueve de junio de dos mil veinticuatro, por lo que, el plazo de cinco días hábiles para señalar los sitios electrónicos en donde obra la información transcurrió del </w:t>
      </w:r>
      <w:r w:rsidRPr="001F089F">
        <w:rPr>
          <w:rFonts w:ascii="Palatino Linotype" w:eastAsia="Palatino Linotype" w:hAnsi="Palatino Linotype" w:cs="Palatino Linotype"/>
          <w:b/>
          <w:color w:val="000000"/>
          <w:sz w:val="22"/>
          <w:szCs w:val="22"/>
        </w:rPr>
        <w:t>diez al catorce de noviembre de dos mil veintitrés</w:t>
      </w:r>
      <w:r w:rsidRPr="001F089F">
        <w:rPr>
          <w:rFonts w:ascii="Palatino Linotype" w:eastAsia="Palatino Linotype" w:hAnsi="Palatino Linotype" w:cs="Palatino Linotype"/>
          <w:color w:val="000000"/>
          <w:sz w:val="22"/>
          <w:szCs w:val="22"/>
        </w:rPr>
        <w:t xml:space="preserve">, en relación al calendario oficial emitido por el Instituto de Transparencia, Protección de Datos y Acceso a la Información Pública del Estado de México y Municipios; en este caso, el </w:t>
      </w:r>
      <w:r w:rsidRPr="001F089F">
        <w:rPr>
          <w:rFonts w:ascii="Palatino Linotype" w:eastAsia="Palatino Linotype" w:hAnsi="Palatino Linotype" w:cs="Palatino Linotype"/>
          <w:b/>
          <w:color w:val="000000"/>
          <w:sz w:val="22"/>
          <w:szCs w:val="22"/>
        </w:rPr>
        <w:t>SUJETO OBLIGADO</w:t>
      </w:r>
      <w:r w:rsidRPr="001F089F">
        <w:rPr>
          <w:rFonts w:ascii="Palatino Linotype" w:eastAsia="Palatino Linotype" w:hAnsi="Palatino Linotype" w:cs="Palatino Linotype"/>
          <w:color w:val="000000"/>
          <w:sz w:val="22"/>
          <w:szCs w:val="22"/>
        </w:rPr>
        <w:t xml:space="preserve"> dio respuesta el </w:t>
      </w:r>
      <w:r w:rsidRPr="001F089F">
        <w:rPr>
          <w:rFonts w:ascii="Palatino Linotype" w:eastAsia="Palatino Linotype" w:hAnsi="Palatino Linotype" w:cs="Palatino Linotype"/>
          <w:b/>
          <w:color w:val="000000"/>
          <w:sz w:val="22"/>
          <w:szCs w:val="22"/>
        </w:rPr>
        <w:t>cinco de julio de dos mil veinticuatro</w:t>
      </w:r>
      <w:r w:rsidRPr="001F089F">
        <w:rPr>
          <w:rFonts w:ascii="Palatino Linotype" w:eastAsia="Palatino Linotype" w:hAnsi="Palatino Linotype" w:cs="Palatino Linotype"/>
          <w:color w:val="000000"/>
          <w:sz w:val="22"/>
          <w:szCs w:val="22"/>
        </w:rPr>
        <w:t>, por lo que evidentemente no se encuentra en el plazo que señala la normatividad en materia.</w:t>
      </w:r>
    </w:p>
    <w:p w:rsidR="007E055E" w:rsidRPr="001F089F" w:rsidRDefault="007E055E" w:rsidP="007E055E">
      <w:pPr>
        <w:rPr>
          <w:rFonts w:ascii="Palatino Linotype" w:eastAsia="Palatino Linotype" w:hAnsi="Palatino Linotype" w:cs="Palatino Linotype"/>
          <w:color w:val="000000"/>
          <w:sz w:val="22"/>
          <w:szCs w:val="22"/>
        </w:rPr>
      </w:pPr>
    </w:p>
    <w:p w:rsidR="007E055E" w:rsidRPr="001F089F" w:rsidRDefault="007E055E" w:rsidP="007E055E">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Por otro lado, el </w:t>
      </w:r>
      <w:r w:rsidRPr="001F089F">
        <w:rPr>
          <w:rFonts w:ascii="Palatino Linotype" w:eastAsia="Palatino Linotype" w:hAnsi="Palatino Linotype" w:cs="Palatino Linotype"/>
          <w:b/>
          <w:color w:val="000000"/>
          <w:sz w:val="22"/>
          <w:szCs w:val="22"/>
        </w:rPr>
        <w:t>SUJETO OBLIGADO</w:t>
      </w:r>
      <w:r w:rsidRPr="001F089F">
        <w:rPr>
          <w:rFonts w:ascii="Palatino Linotype" w:eastAsia="Palatino Linotype" w:hAnsi="Palatino Linotype" w:cs="Palatino Linotype"/>
          <w:color w:val="000000"/>
          <w:sz w:val="22"/>
          <w:szCs w:val="22"/>
        </w:rPr>
        <w:t xml:space="preserve"> </w:t>
      </w:r>
      <w:r w:rsidRPr="001F089F">
        <w:rPr>
          <w:rFonts w:ascii="Palatino Linotype" w:eastAsia="Palatino Linotype" w:hAnsi="Palatino Linotype" w:cs="Palatino Linotype"/>
          <w:b/>
          <w:color w:val="000000"/>
          <w:sz w:val="22"/>
          <w:szCs w:val="22"/>
        </w:rPr>
        <w:t xml:space="preserve">no refirió el procedimiento para acceder a la información precisa, </w:t>
      </w:r>
      <w:r w:rsidRPr="001F089F">
        <w:rPr>
          <w:rFonts w:ascii="Palatino Linotype" w:eastAsia="Palatino Linotype" w:hAnsi="Palatino Linotype" w:cs="Palatino Linotype"/>
          <w:color w:val="000000"/>
          <w:sz w:val="22"/>
          <w:szCs w:val="22"/>
        </w:rPr>
        <w:t xml:space="preserve">por lo tanto, no se cumple el requisito de forma establecido por la Ley en la materia. Por tal motivo, las razones y motivos de inconformidad vertidos por el </w:t>
      </w:r>
      <w:r w:rsidRPr="001F089F">
        <w:rPr>
          <w:rFonts w:ascii="Palatino Linotype" w:eastAsia="Palatino Linotype" w:hAnsi="Palatino Linotype" w:cs="Palatino Linotype"/>
          <w:b/>
          <w:color w:val="000000"/>
          <w:sz w:val="22"/>
          <w:szCs w:val="22"/>
        </w:rPr>
        <w:t xml:space="preserve">RECURRENTE </w:t>
      </w:r>
      <w:r w:rsidRPr="001F089F">
        <w:rPr>
          <w:rFonts w:ascii="Palatino Linotype" w:eastAsia="Palatino Linotype" w:hAnsi="Palatino Linotype" w:cs="Palatino Linotype"/>
          <w:color w:val="000000"/>
          <w:sz w:val="22"/>
          <w:szCs w:val="22"/>
        </w:rPr>
        <w:t xml:space="preserve">en el presente recurso de revisión resultan fundados. </w:t>
      </w:r>
      <w:bookmarkStart w:id="5" w:name="_heading=h.3rdcrjn" w:colFirst="0" w:colLast="0"/>
      <w:bookmarkEnd w:id="5"/>
    </w:p>
    <w:p w:rsidR="007E055E" w:rsidRPr="001F089F" w:rsidRDefault="007E055E" w:rsidP="007E055E">
      <w:pPr>
        <w:pStyle w:val="Prrafodelista"/>
        <w:rPr>
          <w:rFonts w:ascii="Palatino Linotype" w:eastAsia="Palatino Linotype" w:hAnsi="Palatino Linotype" w:cs="Palatino Linotype"/>
          <w:color w:val="000000"/>
          <w:szCs w:val="22"/>
        </w:rPr>
      </w:pPr>
    </w:p>
    <w:p w:rsidR="007E055E" w:rsidRPr="001F089F" w:rsidRDefault="007E055E"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 xml:space="preserve">En consecuencia, no es posible tener por atendido el requerimiento con la entrega de la liga electrónica, pues los enlaces no permiten acceder a la información solicitada; razón por la cual, será necesario que el </w:t>
      </w:r>
      <w:r w:rsidRPr="001F089F">
        <w:rPr>
          <w:rFonts w:ascii="Palatino Linotype" w:eastAsia="Palatino Linotype" w:hAnsi="Palatino Linotype" w:cs="Palatino Linotype"/>
          <w:b/>
          <w:color w:val="000000"/>
          <w:sz w:val="22"/>
          <w:szCs w:val="22"/>
        </w:rPr>
        <w:t>SUJETO OBLIGADO</w:t>
      </w:r>
      <w:r w:rsidRPr="001F089F">
        <w:rPr>
          <w:rFonts w:ascii="Palatino Linotype" w:eastAsia="Palatino Linotype" w:hAnsi="Palatino Linotype" w:cs="Palatino Linotype"/>
          <w:color w:val="000000"/>
          <w:sz w:val="22"/>
          <w:szCs w:val="22"/>
        </w:rPr>
        <w:t xml:space="preserve"> realice la búsqueda de la información y entregue de ser procedente en versión pública.</w:t>
      </w:r>
    </w:p>
    <w:p w:rsidR="00E94D86" w:rsidRPr="001F089F" w:rsidRDefault="00E94D86" w:rsidP="004C508D">
      <w:pPr>
        <w:rPr>
          <w:rFonts w:ascii="Palatino Linotype" w:eastAsia="Palatino Linotype" w:hAnsi="Palatino Linotype" w:cs="Palatino Linotype"/>
          <w:color w:val="000000"/>
          <w:sz w:val="22"/>
          <w:szCs w:val="22"/>
        </w:rPr>
      </w:pPr>
    </w:p>
    <w:p w:rsidR="005A3D08" w:rsidRPr="001F089F" w:rsidRDefault="005A3D08" w:rsidP="005A3D08">
      <w:pPr>
        <w:pStyle w:val="Prrafodelista"/>
        <w:numPr>
          <w:ilvl w:val="0"/>
          <w:numId w:val="28"/>
        </w:numPr>
        <w:spacing w:line="360" w:lineRule="auto"/>
        <w:ind w:left="567"/>
        <w:rPr>
          <w:rFonts w:ascii="Palatino Linotype" w:eastAsia="Palatino Linotype" w:hAnsi="Palatino Linotype" w:cs="Palatino Linotype"/>
          <w:color w:val="000000"/>
          <w:szCs w:val="22"/>
        </w:rPr>
      </w:pPr>
      <w:r w:rsidRPr="001F089F">
        <w:rPr>
          <w:rFonts w:ascii="Palatino Linotype" w:eastAsia="Palatino Linotype" w:hAnsi="Palatino Linotype" w:cs="Palatino Linotype"/>
          <w:b/>
          <w:color w:val="000000"/>
          <w:szCs w:val="22"/>
        </w:rPr>
        <w:t>Del punto 13 del cuadro descriptivo</w:t>
      </w:r>
      <w:r w:rsidRPr="001F089F">
        <w:rPr>
          <w:rFonts w:ascii="Palatino Linotype" w:eastAsia="Palatino Linotype" w:hAnsi="Palatino Linotype" w:cs="Palatino Linotype"/>
          <w:color w:val="000000"/>
          <w:szCs w:val="22"/>
        </w:rPr>
        <w:t>.</w:t>
      </w:r>
    </w:p>
    <w:p w:rsidR="005A3D08" w:rsidRPr="001F089F" w:rsidRDefault="005A3D08" w:rsidP="004C508D">
      <w:pPr>
        <w:rPr>
          <w:rFonts w:ascii="Palatino Linotype" w:eastAsia="Palatino Linotype" w:hAnsi="Palatino Linotype" w:cs="Palatino Linotype"/>
          <w:color w:val="000000"/>
          <w:sz w:val="22"/>
          <w:szCs w:val="22"/>
        </w:rPr>
      </w:pPr>
    </w:p>
    <w:p w:rsidR="005A3D08" w:rsidRPr="001F089F" w:rsidRDefault="005A3D08" w:rsidP="009A55C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Resulta necesario reiterar que el </w:t>
      </w:r>
      <w:r w:rsidRPr="001F089F">
        <w:rPr>
          <w:rFonts w:ascii="Palatino Linotype" w:eastAsia="Palatino Linotype" w:hAnsi="Palatino Linotype" w:cs="Palatino Linotype"/>
          <w:b/>
          <w:sz w:val="22"/>
          <w:szCs w:val="22"/>
        </w:rPr>
        <w:t>RECURRENTE</w:t>
      </w:r>
      <w:r w:rsidRPr="001F089F">
        <w:rPr>
          <w:rFonts w:ascii="Palatino Linotype" w:eastAsia="Palatino Linotype" w:hAnsi="Palatino Linotype" w:cs="Palatino Linotype"/>
          <w:sz w:val="22"/>
          <w:szCs w:val="22"/>
        </w:rPr>
        <w:t xml:space="preserve"> solicitó información relativa a </w:t>
      </w:r>
      <w:r w:rsidRPr="001F089F">
        <w:rPr>
          <w:rFonts w:ascii="Palatino Linotype" w:hAnsi="Palatino Linotype"/>
          <w:b/>
          <w:color w:val="000000"/>
          <w:sz w:val="22"/>
          <w:szCs w:val="22"/>
        </w:rPr>
        <w:t xml:space="preserve">observaciones, recomendaciones o apercibimientos emitidos por el Órganos Superior de Fiscalización, </w:t>
      </w:r>
      <w:r w:rsidRPr="001F089F">
        <w:rPr>
          <w:rFonts w:ascii="Palatino Linotype" w:hAnsi="Palatino Linotype"/>
          <w:color w:val="000000"/>
          <w:sz w:val="22"/>
          <w:szCs w:val="22"/>
        </w:rPr>
        <w:t xml:space="preserve">al respecto </w:t>
      </w:r>
      <w:r w:rsidRPr="001F089F">
        <w:rPr>
          <w:rFonts w:ascii="Palatino Linotype" w:eastAsia="Palatino Linotype" w:hAnsi="Palatino Linotype" w:cs="Palatino Linotype"/>
          <w:sz w:val="22"/>
          <w:szCs w:val="22"/>
        </w:rPr>
        <w:t>la Ley de Fiscalización Superior del Estado de México establece que el OSFEM tiene entre sus funciones, la señalada en la fracción III del artículo 8, en la que se estipula lo siguiente:</w:t>
      </w:r>
    </w:p>
    <w:p w:rsidR="005A3D08" w:rsidRPr="001F089F" w:rsidRDefault="005A3D08" w:rsidP="004C508D">
      <w:pPr>
        <w:ind w:right="1"/>
        <w:jc w:val="both"/>
        <w:rPr>
          <w:rFonts w:ascii="Palatino Linotype" w:eastAsia="Palatino Linotype" w:hAnsi="Palatino Linotype" w:cs="Palatino Linotype"/>
          <w:sz w:val="22"/>
          <w:szCs w:val="22"/>
        </w:rPr>
      </w:pPr>
    </w:p>
    <w:p w:rsidR="005A3D08" w:rsidRPr="001F089F" w:rsidRDefault="005A3D08" w:rsidP="005A3D08">
      <w:pPr>
        <w:pStyle w:val="Fundamentos"/>
        <w:rPr>
          <w:szCs w:val="22"/>
          <w:lang w:val="es-ES"/>
        </w:rPr>
      </w:pPr>
      <w:r w:rsidRPr="001F089F">
        <w:rPr>
          <w:b/>
          <w:szCs w:val="22"/>
          <w:lang w:val="es-ES"/>
        </w:rPr>
        <w:t xml:space="preserve">Artículo 8.- </w:t>
      </w:r>
      <w:r w:rsidRPr="001F089F">
        <w:rPr>
          <w:szCs w:val="22"/>
          <w:lang w:val="es-ES"/>
        </w:rPr>
        <w:t>El Órgano Superior tendrá las siguientes atribuciones:</w:t>
      </w:r>
    </w:p>
    <w:p w:rsidR="005A3D08" w:rsidRPr="001F089F" w:rsidRDefault="005A3D08" w:rsidP="005A3D08">
      <w:pPr>
        <w:pStyle w:val="Fundamentos"/>
        <w:rPr>
          <w:szCs w:val="22"/>
          <w:lang w:val="es-ES"/>
        </w:rPr>
      </w:pPr>
      <w:r w:rsidRPr="001F089F">
        <w:rPr>
          <w:szCs w:val="22"/>
          <w:lang w:val="es-ES"/>
        </w:rPr>
        <w:t>(…)</w:t>
      </w:r>
    </w:p>
    <w:p w:rsidR="005A3D08" w:rsidRPr="001F089F" w:rsidRDefault="005A3D08" w:rsidP="005A3D08">
      <w:pPr>
        <w:pStyle w:val="Fundamentos"/>
        <w:rPr>
          <w:szCs w:val="22"/>
          <w:lang w:val="es-MX"/>
        </w:rPr>
      </w:pPr>
      <w:r w:rsidRPr="001F089F">
        <w:rPr>
          <w:szCs w:val="22"/>
          <w:lang w:val="es-MX"/>
        </w:rPr>
        <w:t xml:space="preserve">III. </w:t>
      </w:r>
      <w:r w:rsidRPr="001F089F">
        <w:rPr>
          <w:b/>
          <w:bCs/>
          <w:szCs w:val="22"/>
          <w:lang w:val="es-MX"/>
        </w:rPr>
        <w:t>Revisar las cuentas públicas de las entidades fiscalizables y entregar a la Legislatura, a través de la Comisión, el informe de resultados y los informes de auditorías que correspondan.</w:t>
      </w:r>
    </w:p>
    <w:p w:rsidR="005A3D08" w:rsidRPr="001F089F" w:rsidRDefault="005A3D08" w:rsidP="005A3D08">
      <w:pPr>
        <w:rPr>
          <w:rFonts w:ascii="Palatino Linotype" w:eastAsia="Palatino Linotype" w:hAnsi="Palatino Linotype" w:cs="Palatino Linotype"/>
          <w:color w:val="000000"/>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Asimismo, el mismo ordenamiento en su artículo 32 dispone lo siguiente:</w:t>
      </w:r>
    </w:p>
    <w:p w:rsidR="005A3D08" w:rsidRPr="001F089F" w:rsidRDefault="005A3D08" w:rsidP="004C508D">
      <w:pPr>
        <w:pStyle w:val="Prrafodelista"/>
        <w:rPr>
          <w:rFonts w:ascii="Palatino Linotype" w:eastAsia="Palatino Linotype" w:hAnsi="Palatino Linotype" w:cs="Palatino Linotype"/>
          <w:color w:val="000000"/>
          <w:szCs w:val="22"/>
        </w:rPr>
      </w:pPr>
    </w:p>
    <w:p w:rsidR="005A3D08" w:rsidRPr="001F089F" w:rsidRDefault="005A3D08" w:rsidP="005A3D08">
      <w:pPr>
        <w:pStyle w:val="Fundamentos"/>
        <w:rPr>
          <w:b/>
          <w:szCs w:val="22"/>
        </w:rPr>
      </w:pPr>
      <w:r w:rsidRPr="001F089F">
        <w:rPr>
          <w:b/>
          <w:szCs w:val="22"/>
        </w:rPr>
        <w:t xml:space="preserve">Artículo 32. </w:t>
      </w:r>
      <w:r w:rsidRPr="001F089F">
        <w:rPr>
          <w:szCs w:val="22"/>
        </w:rPr>
        <w:t xml:space="preserve">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w:t>
      </w:r>
      <w:r w:rsidRPr="001F089F">
        <w:rPr>
          <w:szCs w:val="22"/>
        </w:rPr>
        <w:lastRenderedPageBreak/>
        <w:t>Dependencias y Entidades Públicas del Gobierno y Municipios del Estado de México, y demás disposiciones aplicables.</w:t>
      </w:r>
    </w:p>
    <w:p w:rsidR="005A3D08" w:rsidRPr="001F089F" w:rsidRDefault="005A3D08" w:rsidP="005A3D08">
      <w:pPr>
        <w:pStyle w:val="Fundamentos"/>
        <w:rPr>
          <w:szCs w:val="22"/>
        </w:rPr>
      </w:pPr>
    </w:p>
    <w:p w:rsidR="005A3D08" w:rsidRPr="001F089F" w:rsidRDefault="005A3D08" w:rsidP="005A3D08">
      <w:pPr>
        <w:pStyle w:val="Fundamentos"/>
        <w:rPr>
          <w:szCs w:val="22"/>
        </w:rPr>
      </w:pPr>
      <w:r w:rsidRPr="001F089F">
        <w:rPr>
          <w:szCs w:val="22"/>
        </w:rPr>
        <w:t xml:space="preserve">El Gobernador del Estado, por conducto del titular de la dependencia competente, presentará a la Legislatura la cuenta pública del Gobierno del Estado del ejercicio fiscal inmediato anterior, a más tardar el treinta de abril de cada año. </w:t>
      </w:r>
    </w:p>
    <w:p w:rsidR="005A3D08" w:rsidRPr="001F089F" w:rsidRDefault="005A3D08" w:rsidP="005A3D08">
      <w:pPr>
        <w:pStyle w:val="Fundamentos"/>
        <w:rPr>
          <w:szCs w:val="22"/>
        </w:rPr>
      </w:pPr>
    </w:p>
    <w:p w:rsidR="005A3D08" w:rsidRPr="001F089F" w:rsidRDefault="005A3D08" w:rsidP="005A3D08">
      <w:pPr>
        <w:pStyle w:val="Fundamentos"/>
        <w:rPr>
          <w:szCs w:val="22"/>
        </w:rPr>
      </w:pPr>
      <w:r w:rsidRPr="001F089F">
        <w:rPr>
          <w:szCs w:val="22"/>
        </w:rPr>
        <w:t xml:space="preserve">Los presidentes municipales presentarán a la Legislatura las cuentas públicas de sus respectivos municipios, del ejercicio fiscal inmediato anterior, dentro de los quince primeros días del mes de marzo de cada año. </w:t>
      </w:r>
    </w:p>
    <w:p w:rsidR="005A3D08" w:rsidRPr="001F089F" w:rsidRDefault="005A3D08" w:rsidP="005A3D08">
      <w:pPr>
        <w:pStyle w:val="Fundamentos"/>
        <w:rPr>
          <w:szCs w:val="22"/>
        </w:rPr>
      </w:pPr>
    </w:p>
    <w:p w:rsidR="005A3D08" w:rsidRPr="001F089F" w:rsidRDefault="005A3D08" w:rsidP="005A3D08">
      <w:pPr>
        <w:pStyle w:val="Fundamentos"/>
        <w:rPr>
          <w:szCs w:val="22"/>
        </w:rPr>
      </w:pPr>
      <w:r w:rsidRPr="001F089F">
        <w:rPr>
          <w:szCs w:val="22"/>
        </w:rPr>
        <w:t>Si el día del vencimiento de los plazos señalados, corresponde a un día inhábil, se podrá presentar al día hábil inmediato siguiente.</w:t>
      </w:r>
    </w:p>
    <w:p w:rsidR="005A3D08" w:rsidRPr="001F089F" w:rsidRDefault="005A3D08" w:rsidP="005A3D08">
      <w:pPr>
        <w:pStyle w:val="Fundamentos"/>
        <w:rPr>
          <w:color w:val="4472C4"/>
          <w:szCs w:val="22"/>
        </w:rPr>
      </w:pPr>
    </w:p>
    <w:p w:rsidR="005A3D08" w:rsidRPr="001F089F" w:rsidRDefault="005A3D08" w:rsidP="005A3D08">
      <w:pPr>
        <w:pStyle w:val="Fundamentos"/>
        <w:rPr>
          <w:szCs w:val="22"/>
        </w:rPr>
      </w:pPr>
      <w:r w:rsidRPr="001F089F">
        <w:rPr>
          <w:szCs w:val="22"/>
        </w:rPr>
        <w:t>La Legislatura deberá remitir las Cuentas Públicas al Órgano Superior el día hábil siguiente a su recepción.</w:t>
      </w:r>
    </w:p>
    <w:p w:rsidR="005A3D08" w:rsidRPr="001F089F" w:rsidRDefault="005A3D08" w:rsidP="004C508D">
      <w:pPr>
        <w:rPr>
          <w:rFonts w:ascii="Palatino Linotype" w:eastAsia="Palatino Linotype" w:hAnsi="Palatino Linotype" w:cs="Palatino Linotype"/>
          <w:color w:val="000000"/>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De los artículos anteriores se desprende que el OSFEM tiene la facultad de revisar las cuentas públicas que presenten las autoridades municipales respecto del ejercicio fiscal inmediato anterior, dentro de los primeros quince días de marzo de cada año, así como de los informes trimestrales.</w:t>
      </w:r>
    </w:p>
    <w:p w:rsidR="005A3D08" w:rsidRPr="001F089F" w:rsidRDefault="005A3D08" w:rsidP="004C508D">
      <w:pPr>
        <w:ind w:right="1"/>
        <w:jc w:val="both"/>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Ahora bien, los artículos 50, 51, 53 y 53 Bis de la referida Ley estipulan lo siguiente:</w:t>
      </w:r>
    </w:p>
    <w:p w:rsidR="005A3D08" w:rsidRPr="001F089F" w:rsidRDefault="005A3D08" w:rsidP="004C508D">
      <w:pPr>
        <w:ind w:right="1"/>
        <w:jc w:val="both"/>
        <w:rPr>
          <w:rFonts w:ascii="Palatino Linotype" w:eastAsia="Palatino Linotype" w:hAnsi="Palatino Linotype" w:cs="Palatino Linotype"/>
          <w:sz w:val="22"/>
          <w:szCs w:val="22"/>
        </w:rPr>
      </w:pPr>
    </w:p>
    <w:p w:rsidR="005A3D08" w:rsidRPr="001F089F" w:rsidRDefault="005A3D08" w:rsidP="005A3D08">
      <w:pPr>
        <w:pStyle w:val="Fundamentos"/>
        <w:rPr>
          <w:szCs w:val="22"/>
          <w:lang w:val="es-ES" w:eastAsia="es-ES"/>
        </w:rPr>
      </w:pPr>
      <w:r w:rsidRPr="001F089F">
        <w:rPr>
          <w:b/>
          <w:bCs/>
          <w:szCs w:val="22"/>
          <w:lang w:val="es-ES" w:eastAsia="es-ES"/>
        </w:rPr>
        <w:t>Artículo 50.- El Órgano Superior tendrá un plazo improrrogable que vence el 15 de noviembre del año en que se entreguen las cuentas públicas, para presentar el Informe de Resultados</w:t>
      </w:r>
      <w:r w:rsidRPr="001F089F">
        <w:rPr>
          <w:szCs w:val="22"/>
          <w:lang w:val="es-ES" w:eastAsia="es-ES"/>
        </w:rPr>
        <w:t xml:space="preserve"> ante la Comisión de Vigilancia del Órgano Superior de Fiscalización, </w:t>
      </w:r>
      <w:r w:rsidRPr="001F089F">
        <w:rPr>
          <w:b/>
          <w:bCs/>
          <w:szCs w:val="22"/>
          <w:lang w:val="es-ES" w:eastAsia="es-ES"/>
        </w:rPr>
        <w:t xml:space="preserve">mismo que tendrá el carácter público </w:t>
      </w:r>
      <w:r w:rsidRPr="001F089F">
        <w:rPr>
          <w:szCs w:val="22"/>
          <w:lang w:val="es-ES" w:eastAsia="es-ES"/>
        </w:rPr>
        <w:t xml:space="preserve">y, en consecuencia, deberá ser publicado en medios electrónicos de manera inmediatamente posterior a su entrega; mientras ello no suceda, el Órgano Superior deberá guardar reserva de sus actuaciones e información. </w:t>
      </w:r>
    </w:p>
    <w:p w:rsidR="005A3D08" w:rsidRPr="001F089F" w:rsidRDefault="005A3D08" w:rsidP="005A3D08">
      <w:pPr>
        <w:pStyle w:val="Fundamentos"/>
        <w:rPr>
          <w:color w:val="4472C4"/>
          <w:szCs w:val="22"/>
          <w:lang w:val="es-ES" w:eastAsia="es-ES"/>
        </w:rPr>
      </w:pPr>
    </w:p>
    <w:p w:rsidR="005A3D08" w:rsidRPr="001F089F" w:rsidRDefault="005A3D08" w:rsidP="005A3D08">
      <w:pPr>
        <w:pStyle w:val="Fundamentos"/>
        <w:rPr>
          <w:szCs w:val="22"/>
          <w:lang w:val="es-ES" w:eastAsia="es-ES"/>
        </w:rPr>
      </w:pPr>
      <w:r w:rsidRPr="001F089F">
        <w:rPr>
          <w:szCs w:val="22"/>
          <w:lang w:val="es-ES" w:eastAsia="es-ES"/>
        </w:rPr>
        <w:t xml:space="preserve">La revisión, análisis, aclaración y discusión del informe a que hace referencia el párrafo anterior, y el estudio del contenido de la cuenta pública, servirán como principal instrumento para que la Comisión de Vigilancia del Órgano Superior de Fiscalización elabore el dictamen de las cuentas públicas, el cual deberá presentarse ante el Pleno de la Legislatura para su </w:t>
      </w:r>
      <w:r w:rsidRPr="001F089F">
        <w:rPr>
          <w:szCs w:val="22"/>
          <w:lang w:val="es-ES" w:eastAsia="es-ES"/>
        </w:rPr>
        <w:lastRenderedPageBreak/>
        <w:t>votación y emisión del decreto que tenga por fiscalizadas y calificadas las cuentas públicas del Estado y municipios a más tardar el 30 de noviembre del año en que se presente dicho informe.</w:t>
      </w:r>
    </w:p>
    <w:p w:rsidR="005A3D08" w:rsidRPr="001F089F" w:rsidRDefault="005A3D08" w:rsidP="005A3D08">
      <w:pPr>
        <w:pStyle w:val="Fundamentos"/>
        <w:rPr>
          <w:szCs w:val="22"/>
          <w:lang w:val="es-ES"/>
        </w:rPr>
      </w:pPr>
    </w:p>
    <w:p w:rsidR="005A3D08" w:rsidRPr="001F089F" w:rsidRDefault="005A3D08" w:rsidP="005A3D08">
      <w:pPr>
        <w:pStyle w:val="Fundamentos"/>
        <w:rPr>
          <w:bCs/>
          <w:szCs w:val="22"/>
          <w:lang w:val="es-ES" w:eastAsia="es-ES"/>
        </w:rPr>
      </w:pPr>
      <w:r w:rsidRPr="001F089F">
        <w:rPr>
          <w:bCs/>
          <w:szCs w:val="22"/>
          <w:lang w:val="es-ES" w:eastAsia="es-ES"/>
        </w:rPr>
        <w:t>La calificación no suspende el trámite de las acciones promovidas o que se promuevan, por parte del Órgano Superior de Fiscalización del Estado de México, mismas que seguirán el procedimiento de acuerdo a las disposiciones legales aplicables.</w:t>
      </w:r>
    </w:p>
    <w:p w:rsidR="005A3D08" w:rsidRPr="001F089F" w:rsidRDefault="005A3D08" w:rsidP="005A3D08">
      <w:pPr>
        <w:pStyle w:val="Fundamentos"/>
        <w:rPr>
          <w:szCs w:val="22"/>
          <w:lang w:val="es-MX" w:eastAsia="es-ES"/>
        </w:rPr>
      </w:pPr>
    </w:p>
    <w:p w:rsidR="005A3D08" w:rsidRPr="001F089F" w:rsidRDefault="005A3D08" w:rsidP="005A3D08">
      <w:pPr>
        <w:pStyle w:val="Fundamentos"/>
        <w:rPr>
          <w:szCs w:val="22"/>
          <w:lang w:val="es-MX" w:eastAsia="es-ES"/>
        </w:rPr>
      </w:pPr>
      <w:r w:rsidRPr="001F089F">
        <w:rPr>
          <w:szCs w:val="22"/>
          <w:lang w:val="es-MX" w:eastAsia="es-ES"/>
        </w:rPr>
        <w:t>La Comisión vigilara la publicación del Informe de Resultados, de todas y cada una de las reuniones de trabajo que realice para analizarlo y del decreto que emita la Legislatura, de manera inmediata a que cada uno acontezca.</w:t>
      </w:r>
    </w:p>
    <w:p w:rsidR="005A3D08" w:rsidRPr="001F089F" w:rsidRDefault="005A3D08" w:rsidP="005A3D08">
      <w:pPr>
        <w:pStyle w:val="Fundamentos"/>
        <w:rPr>
          <w:szCs w:val="22"/>
          <w:lang w:val="es-MX" w:eastAsia="es-ES"/>
        </w:rPr>
      </w:pPr>
    </w:p>
    <w:p w:rsidR="005A3D08" w:rsidRPr="001F089F" w:rsidRDefault="005A3D08" w:rsidP="005A3D08">
      <w:pPr>
        <w:pStyle w:val="Fundamentos"/>
        <w:rPr>
          <w:rFonts w:eastAsia="Arial"/>
          <w:szCs w:val="22"/>
          <w:lang w:val="es-MX"/>
        </w:rPr>
      </w:pPr>
      <w:r w:rsidRPr="001F089F">
        <w:rPr>
          <w:rFonts w:eastAsia="Arial"/>
          <w:szCs w:val="22"/>
          <w:lang w:val="es-MX"/>
        </w:rPr>
        <w:t>La Comisión dará seguimiento a los informes emitidos por el Órgano Superior, que incluirán de forma cualitativa y cuantitativa las observaciones y recomendaciones así como a los procedimientos resarcitorios y demás acciones promovidas, por el OSFEM de la siguiente forma:</w:t>
      </w:r>
    </w:p>
    <w:p w:rsidR="005A3D08" w:rsidRPr="001F089F" w:rsidRDefault="005A3D08" w:rsidP="004C508D">
      <w:pPr>
        <w:pStyle w:val="Fundamentos"/>
        <w:rPr>
          <w:rFonts w:eastAsia="Arial"/>
          <w:szCs w:val="22"/>
          <w:lang w:val="es-MX"/>
        </w:rPr>
      </w:pPr>
    </w:p>
    <w:p w:rsidR="005A3D08" w:rsidRPr="001F089F" w:rsidRDefault="005A3D08" w:rsidP="005A3D08">
      <w:pPr>
        <w:pStyle w:val="Fundamentos"/>
        <w:numPr>
          <w:ilvl w:val="0"/>
          <w:numId w:val="30"/>
        </w:numPr>
        <w:rPr>
          <w:rFonts w:eastAsia="Arial"/>
          <w:szCs w:val="22"/>
          <w:lang w:val="es-MX"/>
        </w:rPr>
      </w:pPr>
      <w:r w:rsidRPr="001F089F">
        <w:rPr>
          <w:rFonts w:eastAsia="Arial"/>
          <w:szCs w:val="22"/>
          <w:lang w:val="es-MX"/>
        </w:rPr>
        <w:t>Número de auditorías, tipo de auditoria, alcance y planeación de la misma.</w:t>
      </w:r>
    </w:p>
    <w:p w:rsidR="005A3D08" w:rsidRPr="001F089F" w:rsidRDefault="005A3D08" w:rsidP="005A3D08">
      <w:pPr>
        <w:pStyle w:val="Fundamentos"/>
        <w:numPr>
          <w:ilvl w:val="0"/>
          <w:numId w:val="30"/>
        </w:numPr>
        <w:rPr>
          <w:rFonts w:eastAsia="Arial"/>
          <w:szCs w:val="22"/>
          <w:lang w:val="es-MX"/>
        </w:rPr>
      </w:pPr>
      <w:r w:rsidRPr="001F089F">
        <w:rPr>
          <w:rFonts w:eastAsia="Arial"/>
          <w:szCs w:val="22"/>
          <w:lang w:val="es-MX"/>
        </w:rPr>
        <w:t>La identificación de la entidad fiscalizable.</w:t>
      </w:r>
    </w:p>
    <w:p w:rsidR="005A3D08" w:rsidRPr="001F089F" w:rsidRDefault="005A3D08" w:rsidP="005A3D08">
      <w:pPr>
        <w:pStyle w:val="Fundamentos"/>
        <w:numPr>
          <w:ilvl w:val="0"/>
          <w:numId w:val="30"/>
        </w:numPr>
        <w:rPr>
          <w:rFonts w:eastAsia="Arial"/>
          <w:szCs w:val="22"/>
          <w:lang w:val="es-MX"/>
        </w:rPr>
      </w:pPr>
      <w:r w:rsidRPr="001F089F">
        <w:rPr>
          <w:rFonts w:eastAsia="Arial"/>
          <w:szCs w:val="22"/>
          <w:lang w:val="es-MX"/>
        </w:rPr>
        <w:t>Las observaciones resarcitorias y el seguimiento de los mismos hasta su total conclusión.</w:t>
      </w:r>
    </w:p>
    <w:p w:rsidR="005A3D08" w:rsidRPr="001F089F" w:rsidRDefault="005A3D08" w:rsidP="005A3D08">
      <w:pPr>
        <w:pStyle w:val="Fundamentos"/>
        <w:numPr>
          <w:ilvl w:val="0"/>
          <w:numId w:val="30"/>
        </w:numPr>
        <w:rPr>
          <w:rFonts w:eastAsia="Arial"/>
          <w:szCs w:val="22"/>
          <w:lang w:val="es-MX"/>
        </w:rPr>
      </w:pPr>
      <w:r w:rsidRPr="001F089F">
        <w:rPr>
          <w:rFonts w:eastAsia="Arial"/>
          <w:szCs w:val="22"/>
          <w:lang w:val="es-MX"/>
        </w:rPr>
        <w:t>El comportamiento de la entidad fiscalizable respecto a las observaciones realizadas.</w:t>
      </w:r>
    </w:p>
    <w:p w:rsidR="005A3D08" w:rsidRPr="001F089F" w:rsidRDefault="005A3D08" w:rsidP="005A3D08">
      <w:pPr>
        <w:pStyle w:val="Fundamentos"/>
        <w:numPr>
          <w:ilvl w:val="0"/>
          <w:numId w:val="30"/>
        </w:numPr>
        <w:rPr>
          <w:rFonts w:eastAsia="Arial"/>
          <w:szCs w:val="22"/>
          <w:lang w:val="es-MX"/>
        </w:rPr>
      </w:pPr>
      <w:r w:rsidRPr="001F089F">
        <w:rPr>
          <w:rFonts w:eastAsia="Arial"/>
          <w:szCs w:val="22"/>
          <w:lang w:val="es-MX"/>
        </w:rPr>
        <w:t>El cumplimiento de los programas auditados mediante auditoria del desempeño.</w:t>
      </w:r>
    </w:p>
    <w:p w:rsidR="005A3D08" w:rsidRPr="001F089F" w:rsidRDefault="005A3D08" w:rsidP="005A3D08">
      <w:pPr>
        <w:pStyle w:val="Fundamentos"/>
        <w:rPr>
          <w:rFonts w:cs="Arial"/>
          <w:b/>
          <w:bCs/>
          <w:szCs w:val="22"/>
          <w:lang w:val="es-MX"/>
        </w:rPr>
      </w:pPr>
    </w:p>
    <w:p w:rsidR="005A3D08" w:rsidRPr="001F089F" w:rsidRDefault="005A3D08" w:rsidP="005A3D08">
      <w:pPr>
        <w:pStyle w:val="Fundamentos"/>
        <w:rPr>
          <w:rFonts w:cs="Arial"/>
          <w:szCs w:val="22"/>
          <w:lang w:val="es-MX"/>
        </w:rPr>
      </w:pPr>
      <w:r w:rsidRPr="001F089F">
        <w:rPr>
          <w:rFonts w:cs="Arial"/>
          <w:b/>
          <w:bCs/>
          <w:szCs w:val="22"/>
          <w:lang w:val="es-MX"/>
        </w:rPr>
        <w:t>Artículo 51.-</w:t>
      </w:r>
      <w:r w:rsidRPr="001F089F">
        <w:rPr>
          <w:rFonts w:cs="Arial"/>
          <w:szCs w:val="22"/>
          <w:lang w:val="es-MX"/>
        </w:rPr>
        <w:t xml:space="preserve"> </w:t>
      </w:r>
      <w:r w:rsidRPr="001F089F">
        <w:rPr>
          <w:rFonts w:cs="Arial"/>
          <w:b/>
          <w:bCs/>
          <w:szCs w:val="22"/>
          <w:lang w:val="es-MX"/>
        </w:rPr>
        <w:t>El informe a que se refiere el artículo anterior, deberá contener como mínimo lo siguiente</w:t>
      </w:r>
      <w:r w:rsidRPr="001F089F">
        <w:rPr>
          <w:rFonts w:cs="Arial"/>
          <w:szCs w:val="22"/>
          <w:lang w:val="es-MX"/>
        </w:rPr>
        <w:t>:</w:t>
      </w:r>
    </w:p>
    <w:p w:rsidR="005A3D08" w:rsidRPr="001F089F" w:rsidRDefault="005A3D08" w:rsidP="005A3D08">
      <w:pPr>
        <w:pStyle w:val="Fundamentos"/>
        <w:rPr>
          <w:rFonts w:cs="Arial"/>
          <w:szCs w:val="22"/>
          <w:lang w:val="es-MX"/>
        </w:rPr>
      </w:pPr>
    </w:p>
    <w:p w:rsidR="005A3D08" w:rsidRPr="001F089F" w:rsidRDefault="005A3D08" w:rsidP="005A3D08">
      <w:pPr>
        <w:pStyle w:val="Fundamentos"/>
        <w:numPr>
          <w:ilvl w:val="0"/>
          <w:numId w:val="29"/>
        </w:numPr>
        <w:rPr>
          <w:rFonts w:cs="Arial"/>
          <w:b/>
          <w:bCs/>
          <w:szCs w:val="22"/>
          <w:lang w:val="es-MX"/>
        </w:rPr>
      </w:pPr>
      <w:r w:rsidRPr="001F089F">
        <w:rPr>
          <w:rFonts w:cs="Arial"/>
          <w:szCs w:val="22"/>
          <w:lang w:val="es-MX"/>
        </w:rPr>
        <w:t>El resultado de la revisión de la respectiva cuenta pública;</w:t>
      </w:r>
    </w:p>
    <w:p w:rsidR="005A3D08" w:rsidRPr="001F089F" w:rsidRDefault="005A3D08" w:rsidP="005A3D08">
      <w:pPr>
        <w:pStyle w:val="Fundamentos"/>
        <w:numPr>
          <w:ilvl w:val="0"/>
          <w:numId w:val="29"/>
        </w:numPr>
        <w:rPr>
          <w:rFonts w:cs="Arial"/>
          <w:b/>
          <w:bCs/>
          <w:szCs w:val="22"/>
          <w:lang w:val="es-MX"/>
        </w:rPr>
      </w:pPr>
      <w:r w:rsidRPr="001F089F">
        <w:rPr>
          <w:rFonts w:cs="Arial"/>
          <w:szCs w:val="22"/>
          <w:lang w:val="es-MX"/>
        </w:rPr>
        <w:t>El apartado correspondiente a la fiscalización y verificación del cumplimiento de los programas, respecto de la consecución de sus objetivos y metas, así como de la satisfacción de las necesidades correspondientes;</w:t>
      </w:r>
    </w:p>
    <w:p w:rsidR="005A3D08" w:rsidRPr="001F089F" w:rsidRDefault="005A3D08" w:rsidP="005A3D08">
      <w:pPr>
        <w:pStyle w:val="Fundamentos"/>
        <w:numPr>
          <w:ilvl w:val="0"/>
          <w:numId w:val="29"/>
        </w:numPr>
        <w:rPr>
          <w:rFonts w:cs="Arial"/>
          <w:b/>
          <w:bCs/>
          <w:szCs w:val="22"/>
          <w:lang w:val="es-MX"/>
        </w:rPr>
      </w:pPr>
      <w:r w:rsidRPr="001F089F">
        <w:rPr>
          <w:rFonts w:cs="Arial"/>
          <w:szCs w:val="22"/>
          <w:lang w:val="es-MX"/>
        </w:rPr>
        <w:t>Los resultados de la gestión financiera;</w:t>
      </w:r>
    </w:p>
    <w:p w:rsidR="005A3D08" w:rsidRPr="001F089F" w:rsidRDefault="005A3D08" w:rsidP="005A3D08">
      <w:pPr>
        <w:pStyle w:val="Fundamentos"/>
        <w:numPr>
          <w:ilvl w:val="0"/>
          <w:numId w:val="29"/>
        </w:numPr>
        <w:rPr>
          <w:rFonts w:cs="Arial"/>
          <w:b/>
          <w:bCs/>
          <w:szCs w:val="22"/>
          <w:lang w:val="es-MX"/>
        </w:rPr>
      </w:pPr>
      <w:r w:rsidRPr="001F089F">
        <w:rPr>
          <w:rFonts w:cs="Arial"/>
          <w:szCs w:val="22"/>
          <w:lang w:val="es-MX"/>
        </w:rPr>
        <w:t>La comprobación de que las entidades fiscalizadas, se ajustaron a lo dispuesto en las respectivas leyes de ingresos, presupuestos de egresos y en las demás normas aplicables en la materia;</w:t>
      </w:r>
    </w:p>
    <w:p w:rsidR="005A3D08" w:rsidRPr="001F089F" w:rsidRDefault="005A3D08" w:rsidP="005A3D08">
      <w:pPr>
        <w:pStyle w:val="Fundamentos"/>
        <w:numPr>
          <w:ilvl w:val="0"/>
          <w:numId w:val="29"/>
        </w:numPr>
        <w:rPr>
          <w:rFonts w:cs="Arial"/>
          <w:b/>
          <w:bCs/>
          <w:szCs w:val="22"/>
          <w:lang w:val="es-MX"/>
        </w:rPr>
      </w:pPr>
      <w:r w:rsidRPr="001F089F">
        <w:rPr>
          <w:rFonts w:cs="Arial"/>
          <w:szCs w:val="22"/>
          <w:lang w:val="es-MX"/>
        </w:rPr>
        <w:t>En su caso, el análisis de las desviaciones presupuestales;</w:t>
      </w:r>
    </w:p>
    <w:p w:rsidR="005A3D08" w:rsidRPr="001F089F" w:rsidRDefault="005A3D08" w:rsidP="005A3D08">
      <w:pPr>
        <w:pStyle w:val="Fundamentos"/>
        <w:numPr>
          <w:ilvl w:val="0"/>
          <w:numId w:val="29"/>
        </w:numPr>
        <w:rPr>
          <w:rFonts w:cs="Arial"/>
          <w:b/>
          <w:bCs/>
          <w:szCs w:val="22"/>
          <w:lang w:val="es-MX"/>
        </w:rPr>
      </w:pPr>
      <w:r w:rsidRPr="001F089F">
        <w:rPr>
          <w:rFonts w:cs="Arial"/>
          <w:szCs w:val="22"/>
          <w:lang w:val="es-MX"/>
        </w:rPr>
        <w:t xml:space="preserve">Los </w:t>
      </w:r>
      <w:r w:rsidRPr="001F089F">
        <w:rPr>
          <w:rFonts w:cs="Arial"/>
          <w:szCs w:val="22"/>
          <w:shd w:val="clear" w:color="auto" w:fill="FFFFFF"/>
          <w:lang w:val="es-MX"/>
        </w:rPr>
        <w:t>comentarios</w:t>
      </w:r>
      <w:r w:rsidRPr="001F089F">
        <w:rPr>
          <w:rFonts w:cs="Arial"/>
          <w:szCs w:val="22"/>
          <w:lang w:val="es-MX"/>
        </w:rPr>
        <w:t xml:space="preserve"> de los auditados;</w:t>
      </w:r>
    </w:p>
    <w:p w:rsidR="005A3D08" w:rsidRPr="001F089F" w:rsidRDefault="005A3D08" w:rsidP="005A3D08">
      <w:pPr>
        <w:pStyle w:val="Fundamentos"/>
        <w:numPr>
          <w:ilvl w:val="0"/>
          <w:numId w:val="29"/>
        </w:numPr>
        <w:rPr>
          <w:rFonts w:cs="Arial"/>
          <w:b/>
          <w:bCs/>
          <w:szCs w:val="22"/>
          <w:lang w:val="es-MX"/>
        </w:rPr>
      </w:pPr>
      <w:r w:rsidRPr="001F089F">
        <w:rPr>
          <w:rFonts w:cs="Arial"/>
          <w:szCs w:val="22"/>
          <w:lang w:val="es-MX"/>
        </w:rPr>
        <w:t>Las irregularidades que se detecten en el uso y manejo de los recursos; y</w:t>
      </w:r>
    </w:p>
    <w:p w:rsidR="005A3D08" w:rsidRPr="001F089F" w:rsidRDefault="005A3D08" w:rsidP="005A3D08">
      <w:pPr>
        <w:pStyle w:val="Fundamentos"/>
        <w:numPr>
          <w:ilvl w:val="0"/>
          <w:numId w:val="29"/>
        </w:numPr>
        <w:rPr>
          <w:rFonts w:cs="Arial"/>
          <w:b/>
          <w:bCs/>
          <w:szCs w:val="22"/>
          <w:lang w:val="es-MX"/>
        </w:rPr>
      </w:pPr>
      <w:r w:rsidRPr="001F089F">
        <w:rPr>
          <w:rFonts w:cs="Arial"/>
          <w:b/>
          <w:bCs/>
          <w:szCs w:val="22"/>
          <w:lang w:val="es-MX"/>
        </w:rPr>
        <w:t>Las observaciones y recomendaciones que se deriven de la revisión</w:t>
      </w:r>
      <w:r w:rsidRPr="001F089F">
        <w:rPr>
          <w:rFonts w:cs="Arial"/>
          <w:szCs w:val="22"/>
          <w:lang w:val="es-MX"/>
        </w:rPr>
        <w:t>.</w:t>
      </w:r>
    </w:p>
    <w:p w:rsidR="005A3D08" w:rsidRPr="001F089F" w:rsidRDefault="005A3D08" w:rsidP="005A3D08">
      <w:pPr>
        <w:pStyle w:val="Fundamentos"/>
        <w:rPr>
          <w:rFonts w:cs="Arial"/>
          <w:szCs w:val="22"/>
          <w:lang w:val="es-MX"/>
        </w:rPr>
      </w:pPr>
    </w:p>
    <w:p w:rsidR="005A3D08" w:rsidRPr="001F089F" w:rsidRDefault="005A3D08" w:rsidP="005A3D08">
      <w:pPr>
        <w:pStyle w:val="Fundamentos"/>
        <w:rPr>
          <w:rFonts w:eastAsia="Arial"/>
          <w:szCs w:val="22"/>
        </w:rPr>
      </w:pPr>
      <w:r w:rsidRPr="001F089F">
        <w:rPr>
          <w:rFonts w:eastAsia="Arial"/>
          <w:szCs w:val="22"/>
        </w:rPr>
        <w:lastRenderedPageBreak/>
        <w:t>Para el caso de las revisiones contemporáneas, el Órgano Superior deberá informar a la Comisión sobre los resultados obtenidos de las mismas, en un plazo no mayor a noventa días hábiles, contados a partir del día hábil siguiente a aquél en que reciba la solicitud.</w:t>
      </w:r>
    </w:p>
    <w:p w:rsidR="005A3D08" w:rsidRPr="001F089F" w:rsidRDefault="005A3D08" w:rsidP="005A3D08">
      <w:pPr>
        <w:pStyle w:val="Fundamentos"/>
        <w:rPr>
          <w:rFonts w:cs="Arial"/>
          <w:szCs w:val="22"/>
          <w:shd w:val="clear" w:color="auto" w:fill="FFFFFF"/>
          <w:lang w:val="es-MX"/>
        </w:rPr>
      </w:pPr>
    </w:p>
    <w:p w:rsidR="005A3D08" w:rsidRPr="001F089F" w:rsidRDefault="005A3D08" w:rsidP="005A3D08">
      <w:pPr>
        <w:pStyle w:val="Fundamentos"/>
        <w:rPr>
          <w:rFonts w:cs="Arial"/>
          <w:szCs w:val="22"/>
          <w:lang w:val="es-MX"/>
        </w:rPr>
      </w:pPr>
      <w:r w:rsidRPr="001F089F">
        <w:rPr>
          <w:rFonts w:cs="Arial"/>
          <w:szCs w:val="22"/>
          <w:shd w:val="clear" w:color="auto" w:fill="FFFFFF"/>
          <w:lang w:val="es-MX"/>
        </w:rPr>
        <w:t>El informe de resultados deberá elaborarse considerando los principios de contabilidad gubernamental y las disposiciones legales aplicables.</w:t>
      </w:r>
    </w:p>
    <w:p w:rsidR="005A3D08" w:rsidRPr="001F089F" w:rsidRDefault="005A3D08" w:rsidP="005A3D08">
      <w:pPr>
        <w:pStyle w:val="Fundamentos"/>
        <w:rPr>
          <w:rFonts w:cs="Arial"/>
          <w:b/>
          <w:bCs/>
          <w:szCs w:val="22"/>
          <w:lang w:val="es-MX"/>
        </w:rPr>
      </w:pPr>
    </w:p>
    <w:p w:rsidR="005A3D08" w:rsidRPr="001F089F" w:rsidRDefault="005A3D08" w:rsidP="005A3D08">
      <w:pPr>
        <w:pStyle w:val="Fundamentos"/>
        <w:rPr>
          <w:rFonts w:cs="Arial"/>
          <w:szCs w:val="22"/>
        </w:rPr>
      </w:pPr>
      <w:r w:rsidRPr="001F089F">
        <w:rPr>
          <w:rFonts w:cs="Arial"/>
          <w:b/>
          <w:bCs/>
          <w:szCs w:val="22"/>
        </w:rPr>
        <w:t>Artículo 53.- Si del ejercicio de las atribuciones de fiscalización del Órgano Superior, se detecta alguna probable irregularidad procederá a emitir las observaciones siguientes</w:t>
      </w:r>
      <w:r w:rsidRPr="001F089F">
        <w:rPr>
          <w:rFonts w:cs="Arial"/>
          <w:szCs w:val="22"/>
        </w:rPr>
        <w:t>:</w:t>
      </w:r>
    </w:p>
    <w:p w:rsidR="005A3D08" w:rsidRPr="001F089F" w:rsidRDefault="005A3D08" w:rsidP="005A3D08">
      <w:pPr>
        <w:pStyle w:val="Fundamentos"/>
        <w:rPr>
          <w:rFonts w:cs="Arial"/>
          <w:b/>
          <w:bCs/>
          <w:szCs w:val="22"/>
        </w:rPr>
      </w:pPr>
    </w:p>
    <w:p w:rsidR="005A3D08" w:rsidRPr="001F089F" w:rsidRDefault="005A3D08" w:rsidP="005A3D08">
      <w:pPr>
        <w:pStyle w:val="Fundamentos"/>
        <w:rPr>
          <w:rFonts w:cs="Arial"/>
          <w:szCs w:val="22"/>
        </w:rPr>
      </w:pPr>
      <w:r w:rsidRPr="001F089F">
        <w:rPr>
          <w:rFonts w:cs="Arial"/>
          <w:b/>
          <w:bCs/>
          <w:szCs w:val="22"/>
        </w:rPr>
        <w:t>I.</w:t>
      </w:r>
      <w:r w:rsidRPr="001F089F">
        <w:rPr>
          <w:rFonts w:cs="Arial"/>
          <w:szCs w:val="22"/>
        </w:rPr>
        <w:t xml:space="preserve"> </w:t>
      </w:r>
      <w:r w:rsidRPr="001F089F">
        <w:rPr>
          <w:rFonts w:cs="Arial"/>
          <w:b/>
          <w:bCs/>
          <w:szCs w:val="22"/>
        </w:rPr>
        <w:t>Acciones y previsiones</w:t>
      </w:r>
      <w:r w:rsidRPr="001F089F">
        <w:rPr>
          <w:rFonts w:cs="Arial"/>
          <w:szCs w:val="22"/>
        </w:rPr>
        <w:t xml:space="preserve">, incluidas solicitudes de aclaración, pliegos de observaciones, informes de presunta responsabilidad administrativa, promociones del ejercicio de la facultad de comprobación fiscal, promociones de responsabilidad administrativa sancionatoria, denuncias de hechos ante la Fiscalía General de Justicia del Estado de México y denuncias de juicio político; atendiendo a los principios del debido proceso, así como a la Ley General de Responsabilidades Administrativas y la Ley de Responsabilidades Administrativas del Estado de México; y </w:t>
      </w:r>
    </w:p>
    <w:p w:rsidR="005A3D08" w:rsidRPr="001F089F" w:rsidRDefault="005A3D08" w:rsidP="005A3D08">
      <w:pPr>
        <w:pStyle w:val="Fundamentos"/>
        <w:rPr>
          <w:rFonts w:cs="Arial"/>
          <w:szCs w:val="22"/>
        </w:rPr>
      </w:pPr>
    </w:p>
    <w:p w:rsidR="005A3D08" w:rsidRPr="001F089F" w:rsidRDefault="005A3D08" w:rsidP="005A3D08">
      <w:pPr>
        <w:pStyle w:val="Fundamentos"/>
        <w:rPr>
          <w:rFonts w:cs="Arial"/>
          <w:szCs w:val="22"/>
        </w:rPr>
      </w:pPr>
      <w:r w:rsidRPr="001F089F">
        <w:rPr>
          <w:rFonts w:cs="Arial"/>
          <w:b/>
          <w:bCs/>
          <w:szCs w:val="22"/>
        </w:rPr>
        <w:t>II.</w:t>
      </w:r>
      <w:r w:rsidRPr="001F089F">
        <w:rPr>
          <w:rFonts w:cs="Arial"/>
          <w:szCs w:val="22"/>
        </w:rPr>
        <w:t xml:space="preserve"> </w:t>
      </w:r>
      <w:r w:rsidRPr="001F089F">
        <w:rPr>
          <w:rFonts w:cs="Arial"/>
          <w:b/>
          <w:bCs/>
          <w:szCs w:val="22"/>
        </w:rPr>
        <w:t>Recomendaciones</w:t>
      </w:r>
      <w:r w:rsidRPr="001F089F">
        <w:rPr>
          <w:rFonts w:cs="Arial"/>
          <w:szCs w:val="22"/>
        </w:rPr>
        <w:t xml:space="preserve">. </w:t>
      </w:r>
    </w:p>
    <w:p w:rsidR="005A3D08" w:rsidRPr="001F089F" w:rsidRDefault="005A3D08" w:rsidP="005A3D08">
      <w:pPr>
        <w:pStyle w:val="Fundamentos"/>
        <w:rPr>
          <w:szCs w:val="22"/>
        </w:rPr>
      </w:pPr>
    </w:p>
    <w:p w:rsidR="005A3D08" w:rsidRPr="001F089F" w:rsidRDefault="005A3D08" w:rsidP="005A3D08">
      <w:pPr>
        <w:pStyle w:val="Fundamentos"/>
        <w:rPr>
          <w:szCs w:val="22"/>
        </w:rPr>
      </w:pPr>
      <w:r w:rsidRPr="001F089F">
        <w:rPr>
          <w:b/>
          <w:bCs/>
          <w:szCs w:val="22"/>
        </w:rPr>
        <w:t>Artículo 53 Bis.-</w:t>
      </w:r>
      <w:r w:rsidRPr="001F089F">
        <w:rPr>
          <w:szCs w:val="22"/>
        </w:rPr>
        <w:t xml:space="preserve"> </w:t>
      </w:r>
      <w:r w:rsidRPr="001F089F">
        <w:rPr>
          <w:b/>
          <w:bCs/>
          <w:szCs w:val="22"/>
        </w:rPr>
        <w:t>El Órgano Superior, previo a la presentación del Informe de Resultados, entregará a las entidades fiscalizadas los resultados preliminares que se deriven de la fiscalización de la Cuenta Pública, a efecto de que dichas entidades presenten, en un plazo no mayor a cinco días hábiles, las justificaciones y aclaraciones que correspondan</w:t>
      </w:r>
      <w:r w:rsidRPr="001F089F">
        <w:rPr>
          <w:szCs w:val="22"/>
        </w:rPr>
        <w:t xml:space="preserve">. </w:t>
      </w:r>
    </w:p>
    <w:p w:rsidR="005A3D08" w:rsidRPr="001F089F" w:rsidRDefault="005A3D08" w:rsidP="005A3D08">
      <w:pPr>
        <w:pStyle w:val="Fundamentos"/>
        <w:rPr>
          <w:szCs w:val="22"/>
        </w:rPr>
      </w:pPr>
    </w:p>
    <w:p w:rsidR="005A3D08" w:rsidRPr="001F089F" w:rsidRDefault="005A3D08" w:rsidP="005A3D08">
      <w:pPr>
        <w:pStyle w:val="Fundamentos"/>
        <w:rPr>
          <w:szCs w:val="22"/>
        </w:rPr>
      </w:pPr>
      <w:r w:rsidRPr="001F089F">
        <w:rPr>
          <w:szCs w:val="22"/>
        </w:rPr>
        <w:t xml:space="preserve">Una vez que el Órgano Superior valore las justificaciones, aclaraciones y demás información a que hace referencia el párrafo anterior, en un plazo máximo de 10 días hábiles posteriores, podrá determinar la procedencia de eliminar, rectificar o ratificar las observaciones preliminares, para efectos de la emisión de los resultados finales. </w:t>
      </w:r>
    </w:p>
    <w:p w:rsidR="005A3D08" w:rsidRPr="001F089F" w:rsidRDefault="005A3D08" w:rsidP="005A3D08">
      <w:pPr>
        <w:pStyle w:val="Fundamentos"/>
        <w:rPr>
          <w:szCs w:val="22"/>
        </w:rPr>
      </w:pPr>
    </w:p>
    <w:p w:rsidR="005A3D08" w:rsidRPr="001F089F" w:rsidRDefault="005A3D08" w:rsidP="005A3D08">
      <w:pPr>
        <w:ind w:left="567" w:right="567"/>
        <w:jc w:val="both"/>
        <w:rPr>
          <w:rFonts w:ascii="Palatino Linotype" w:eastAsia="Palatino Linotype" w:hAnsi="Palatino Linotype" w:cs="Palatino Linotype"/>
          <w:i/>
          <w:sz w:val="22"/>
          <w:szCs w:val="22"/>
        </w:rPr>
      </w:pPr>
      <w:r w:rsidRPr="001F089F">
        <w:rPr>
          <w:rFonts w:ascii="Palatino Linotype" w:hAnsi="Palatino Linotype"/>
          <w:i/>
          <w:sz w:val="22"/>
          <w:szCs w:val="22"/>
        </w:rPr>
        <w:t>Posterior a la entrega de los resultados finales, el Órgano Superior contará con treinta días hábiles a efecto de notificar a las entidades fiscalizadas el informe de auditoría.</w:t>
      </w:r>
    </w:p>
    <w:p w:rsidR="005A3D08" w:rsidRPr="001F089F" w:rsidRDefault="005A3D08" w:rsidP="005A3D08">
      <w:pPr>
        <w:spacing w:line="360" w:lineRule="auto"/>
        <w:ind w:right="1"/>
        <w:jc w:val="both"/>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De la interpretación de los artículos en cita, se desprende que una vez realizada la revisión del OSFEM a las entidades fiscalizables, este genera un informe de resultados, que es el documento que contiene el resultado de la fiscalización de las cuentas pública que el OSFEM </w:t>
      </w:r>
      <w:r w:rsidRPr="001F089F">
        <w:rPr>
          <w:rFonts w:ascii="Palatino Linotype" w:eastAsia="Palatino Linotype" w:hAnsi="Palatino Linotype" w:cs="Palatino Linotype"/>
          <w:sz w:val="22"/>
          <w:szCs w:val="22"/>
        </w:rPr>
        <w:lastRenderedPageBreak/>
        <w:t>presenta a la Legislatura, por medio de la Comisión de vigilancia de la Legislatura del Estado; que dicho informe tiene el carácter de público y en el que deberán estar contenidas entre otros elementos, las observaciones y recomendaciones que se deriven de la revisión; dichas observaciones y recomendaciones son las que se producen cuando se detecta alguna probable irregularidad durante la revisión llevada a cabo en ejercicio de las facultades de fiscalización.</w:t>
      </w:r>
    </w:p>
    <w:p w:rsidR="004C508D" w:rsidRPr="001F089F" w:rsidRDefault="004C508D" w:rsidP="004C508D">
      <w:pPr>
        <w:spacing w:line="360" w:lineRule="auto"/>
        <w:ind w:right="1"/>
        <w:jc w:val="both"/>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Asimismo, se advierte que el OSFEM, previamente a la presentación del informe de resultados, hace entrega a las entidades fiscalizables de los resultados preliminares de la fiscalización, para que éstas presenten las justificaciones o aclaraciones correspondientes.</w:t>
      </w:r>
    </w:p>
    <w:p w:rsidR="005A3D08" w:rsidRPr="001F089F" w:rsidRDefault="005A3D08" w:rsidP="005A3D08">
      <w:pPr>
        <w:spacing w:line="360" w:lineRule="auto"/>
        <w:ind w:right="1"/>
        <w:jc w:val="both"/>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En ese sentido, nuevamente es necesario hacer referencia a lo señalado en el artículo 9 de la multicitada Ley, que a la letra dispone lo siguiente:</w:t>
      </w:r>
    </w:p>
    <w:p w:rsidR="005A3D08" w:rsidRPr="001F089F" w:rsidRDefault="005A3D08" w:rsidP="005A3D08">
      <w:pPr>
        <w:spacing w:line="360" w:lineRule="auto"/>
        <w:ind w:right="1"/>
        <w:jc w:val="both"/>
        <w:rPr>
          <w:rFonts w:ascii="Palatino Linotype" w:eastAsia="Palatino Linotype" w:hAnsi="Palatino Linotype" w:cs="Palatino Linotype"/>
          <w:sz w:val="22"/>
          <w:szCs w:val="22"/>
        </w:rPr>
      </w:pPr>
    </w:p>
    <w:p w:rsidR="005A3D08" w:rsidRPr="001F089F" w:rsidRDefault="005A3D08" w:rsidP="005A3D08">
      <w:pPr>
        <w:pStyle w:val="Fundamentos"/>
        <w:rPr>
          <w:szCs w:val="22"/>
          <w:lang w:val="es-MX"/>
        </w:rPr>
      </w:pPr>
      <w:r w:rsidRPr="001F089F">
        <w:rPr>
          <w:b/>
          <w:szCs w:val="22"/>
          <w:lang w:val="es-MX"/>
        </w:rPr>
        <w:t>Artículo 9.-</w:t>
      </w:r>
      <w:r w:rsidRPr="001F089F">
        <w:rPr>
          <w:szCs w:val="22"/>
          <w:lang w:val="es-MX"/>
        </w:rPr>
        <w:t xml:space="preserve"> </w:t>
      </w:r>
      <w:r w:rsidRPr="001F089F">
        <w:rPr>
          <w:b/>
          <w:bCs/>
          <w:szCs w:val="22"/>
          <w:lang w:val="es-MX"/>
        </w:rPr>
        <w:t>Los servidores públicos del Órgano Superior deberán observar las disposiciones en materia de transparencia y protección de datos personales, así como guardar reserva de sus actuaciones, documentos y observaciones, hasta que se rindan los informes de resultados</w:t>
      </w:r>
      <w:r w:rsidRPr="001F089F">
        <w:rPr>
          <w:szCs w:val="22"/>
          <w:lang w:val="es-MX"/>
        </w:rPr>
        <w:t>. Igual obligación deberán cumplir los profesionistas independientes y auditores externos que contrate el Órgano Superior, con excepción de los requerimientos hechos por autoridades competentes.</w:t>
      </w:r>
    </w:p>
    <w:p w:rsidR="005A3D08" w:rsidRPr="001F089F" w:rsidRDefault="005A3D08" w:rsidP="005A3D08">
      <w:pPr>
        <w:pStyle w:val="Fundamentos"/>
        <w:rPr>
          <w:rFonts w:cs="Arial"/>
          <w:szCs w:val="22"/>
          <w:lang w:val="es-MX"/>
        </w:rPr>
      </w:pPr>
    </w:p>
    <w:p w:rsidR="005A3D08" w:rsidRPr="001F089F" w:rsidRDefault="005A3D08" w:rsidP="005A3D08">
      <w:pPr>
        <w:pStyle w:val="Fundamentos"/>
        <w:rPr>
          <w:rFonts w:cs="Arial"/>
          <w:color w:val="auto"/>
          <w:szCs w:val="22"/>
          <w:lang w:val="es-MX"/>
        </w:rPr>
      </w:pPr>
      <w:r w:rsidRPr="001F089F">
        <w:rPr>
          <w:rFonts w:cs="Arial"/>
          <w:color w:val="auto"/>
          <w:szCs w:val="22"/>
          <w:lang w:val="es-MX"/>
        </w:rPr>
        <w:t>Los servidores públicos, los profesionistas independientes y auditores externos, cuando incumplan la obligación de reserva, serán sancionados en términos de la legislación aplicable.</w:t>
      </w:r>
    </w:p>
    <w:p w:rsidR="005A3D08" w:rsidRPr="001F089F" w:rsidRDefault="005A3D08" w:rsidP="005A3D08">
      <w:pPr>
        <w:pStyle w:val="Fundamentos"/>
        <w:rPr>
          <w:rFonts w:cs="Arial"/>
          <w:color w:val="auto"/>
          <w:szCs w:val="22"/>
          <w:lang w:val="es-MX"/>
        </w:rPr>
      </w:pPr>
    </w:p>
    <w:p w:rsidR="005A3D08" w:rsidRPr="001F089F" w:rsidRDefault="005A3D08" w:rsidP="005A3D08">
      <w:pPr>
        <w:pStyle w:val="Fundamentos"/>
        <w:rPr>
          <w:rFonts w:cs="Arial"/>
          <w:szCs w:val="22"/>
          <w:lang w:val="es-MX"/>
        </w:rPr>
      </w:pPr>
      <w:r w:rsidRPr="001F089F">
        <w:rPr>
          <w:rFonts w:cs="Arial"/>
          <w:szCs w:val="22"/>
          <w:lang w:val="es-MX"/>
        </w:rPr>
        <w:t>Los servidores públicos cuando incumplan con la obligación de reserva, serán sancionados con la destitución del cargo, independientemente de las responsabilidades administrativas o penales que resulten</w:t>
      </w:r>
      <w:r w:rsidRPr="001F089F">
        <w:rPr>
          <w:rFonts w:cs="Arial"/>
          <w:b/>
          <w:bCs/>
          <w:szCs w:val="22"/>
          <w:lang w:val="es-MX"/>
        </w:rPr>
        <w:t xml:space="preserve"> </w:t>
      </w:r>
      <w:r w:rsidRPr="001F089F">
        <w:rPr>
          <w:rFonts w:cs="Arial"/>
          <w:szCs w:val="22"/>
          <w:lang w:val="es-MX"/>
        </w:rPr>
        <w:t>en términos de las disposiciones aplicables. Los profesionistas independientes y auditores externos, serán responsables de los daños y/o perjuicios que se ocasionen, sin perjuicio de las responsabilidades penales en que incurran.</w:t>
      </w:r>
    </w:p>
    <w:p w:rsidR="005A3D08" w:rsidRPr="001F089F" w:rsidRDefault="005A3D08" w:rsidP="005A3D08">
      <w:pPr>
        <w:spacing w:line="360" w:lineRule="auto"/>
        <w:ind w:right="1"/>
        <w:jc w:val="both"/>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lastRenderedPageBreak/>
        <w:t xml:space="preserve">De lo anterior se tiene que las observaciones realizadas por los servidores públicos adscritos al OSFEM no se consideran públicas </w:t>
      </w:r>
      <w:r w:rsidRPr="001F089F">
        <w:rPr>
          <w:rFonts w:ascii="Palatino Linotype" w:eastAsia="Palatino Linotype" w:hAnsi="Palatino Linotype" w:cs="Palatino Linotype"/>
          <w:b/>
          <w:bCs/>
          <w:sz w:val="22"/>
          <w:szCs w:val="22"/>
        </w:rPr>
        <w:t>hasta en tanto no se rindan los informes de resultados</w:t>
      </w:r>
      <w:r w:rsidRPr="001F089F">
        <w:rPr>
          <w:rFonts w:ascii="Palatino Linotype" w:eastAsia="Palatino Linotype" w:hAnsi="Palatino Linotype" w:cs="Palatino Linotype"/>
          <w:sz w:val="22"/>
          <w:szCs w:val="22"/>
        </w:rPr>
        <w:t>.</w:t>
      </w:r>
    </w:p>
    <w:p w:rsidR="005A3D08" w:rsidRPr="001F089F" w:rsidRDefault="005A3D08" w:rsidP="004C508D">
      <w:pPr>
        <w:ind w:right="1"/>
        <w:jc w:val="both"/>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Así, se tiene que el documento que puede colmar lo pretendido por el Recurrente es el informe de resultados que genera el OSFEM una vez realizada la revisión de las cuentas públicas, puesto </w:t>
      </w:r>
      <w:r w:rsidRPr="001F089F">
        <w:rPr>
          <w:rFonts w:ascii="Palatino Linotype" w:eastAsia="Palatino Linotype" w:hAnsi="Palatino Linotype" w:cs="Palatino Linotype"/>
          <w:b/>
          <w:bCs/>
          <w:sz w:val="22"/>
          <w:szCs w:val="22"/>
        </w:rPr>
        <w:t>que en dicho informe están contenidas las posibles observaciones y recomendaciones detectadas en el ejercicio de la facultad de fiscalización</w:t>
      </w:r>
      <w:r w:rsidRPr="001F089F">
        <w:rPr>
          <w:rFonts w:ascii="Palatino Linotype" w:eastAsia="Palatino Linotype" w:hAnsi="Palatino Linotype" w:cs="Palatino Linotype"/>
          <w:sz w:val="22"/>
          <w:szCs w:val="22"/>
        </w:rPr>
        <w:t xml:space="preserve"> y éstas ya no tiene el carácter de reservadas, puesto que ya se rindió el informe de resultados.</w:t>
      </w:r>
    </w:p>
    <w:p w:rsidR="005A3D08" w:rsidRPr="001F089F" w:rsidRDefault="005A3D08" w:rsidP="004C508D">
      <w:pPr>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En ese orden de ideas, no pasa desapercibido a este Instituto que los informes de resultados de auditorías al ejercicio presupuestal son considerados como información de transparencia común a todos los sujetos obligados, conforme está estipulado en el artículo 92 fracción XXVIII de la Ley de Transparencia estatal, como se observa a continuación:</w:t>
      </w:r>
    </w:p>
    <w:p w:rsidR="005A3D08" w:rsidRPr="001F089F" w:rsidRDefault="005A3D08" w:rsidP="005A3D08">
      <w:pPr>
        <w:spacing w:line="360" w:lineRule="auto"/>
        <w:ind w:right="1"/>
        <w:jc w:val="both"/>
        <w:rPr>
          <w:rFonts w:ascii="Palatino Linotype" w:eastAsia="Palatino Linotype" w:hAnsi="Palatino Linotype" w:cs="Palatino Linotype"/>
          <w:sz w:val="22"/>
          <w:szCs w:val="22"/>
        </w:rPr>
      </w:pPr>
    </w:p>
    <w:p w:rsidR="005A3D08" w:rsidRPr="001F089F" w:rsidRDefault="005A3D08" w:rsidP="005A3D08">
      <w:pPr>
        <w:pStyle w:val="Fundamentos"/>
        <w:rPr>
          <w:rFonts w:eastAsia="Times New Roman" w:cs="Times New Roman"/>
          <w:szCs w:val="22"/>
          <w:lang w:val="es-MX"/>
        </w:rPr>
      </w:pPr>
      <w:r w:rsidRPr="001F089F">
        <w:rPr>
          <w:b/>
          <w:szCs w:val="22"/>
          <w:lang w:val="es-MX"/>
        </w:rPr>
        <w:t xml:space="preserve">Artículo 92. </w:t>
      </w:r>
      <w:r w:rsidRPr="001F089F">
        <w:rPr>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w:t>
      </w:r>
      <w:r w:rsidRPr="001F089F">
        <w:rPr>
          <w:spacing w:val="-3"/>
          <w:szCs w:val="22"/>
          <w:lang w:val="es-MX"/>
        </w:rPr>
        <w:t xml:space="preserve"> </w:t>
      </w:r>
      <w:r w:rsidRPr="001F089F">
        <w:rPr>
          <w:szCs w:val="22"/>
          <w:lang w:val="es-MX"/>
        </w:rPr>
        <w:t>señalan:</w:t>
      </w:r>
    </w:p>
    <w:p w:rsidR="005A3D08" w:rsidRPr="001F089F" w:rsidRDefault="005A3D08" w:rsidP="005A3D08">
      <w:pPr>
        <w:pStyle w:val="Fundamentos"/>
        <w:rPr>
          <w:szCs w:val="22"/>
        </w:rPr>
      </w:pPr>
      <w:r w:rsidRPr="001F089F">
        <w:rPr>
          <w:szCs w:val="22"/>
        </w:rPr>
        <w:t>(…)</w:t>
      </w:r>
    </w:p>
    <w:p w:rsidR="005A3D08" w:rsidRPr="001F089F" w:rsidRDefault="005A3D08" w:rsidP="005A3D08">
      <w:pPr>
        <w:pStyle w:val="Fundamentos"/>
        <w:rPr>
          <w:szCs w:val="22"/>
        </w:rPr>
      </w:pPr>
      <w:r w:rsidRPr="001F089F">
        <w:rPr>
          <w:b/>
          <w:bCs/>
          <w:szCs w:val="22"/>
        </w:rPr>
        <w:t>XXVIII.</w:t>
      </w:r>
      <w:r w:rsidRPr="001F089F">
        <w:rPr>
          <w:szCs w:val="22"/>
        </w:rPr>
        <w:t xml:space="preserve"> Los informes de resultados de las auditorías al ejercicio presupuestal de cada sujeto obligado que se realicen y, en su caso, las aclaraciones que correspondan;</w:t>
      </w:r>
    </w:p>
    <w:p w:rsidR="005A3D08" w:rsidRPr="001F089F" w:rsidRDefault="005A3D08" w:rsidP="005A3D08">
      <w:pPr>
        <w:pStyle w:val="Fundamentos"/>
        <w:rPr>
          <w:szCs w:val="22"/>
        </w:rPr>
      </w:pPr>
      <w:r w:rsidRPr="001F089F">
        <w:rPr>
          <w:szCs w:val="22"/>
        </w:rPr>
        <w:t>(…)</w:t>
      </w:r>
    </w:p>
    <w:p w:rsidR="005A3D08" w:rsidRPr="001F089F" w:rsidRDefault="005A3D08" w:rsidP="005A3D08">
      <w:pPr>
        <w:spacing w:line="360" w:lineRule="auto"/>
        <w:ind w:right="1"/>
        <w:jc w:val="both"/>
        <w:rPr>
          <w:rFonts w:ascii="Palatino Linotype" w:eastAsia="Palatino Linotype" w:hAnsi="Palatino Linotype" w:cs="Palatino Linotype"/>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 xml:space="preserve">Consecuentemente, resulta evidente que 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está constreñido a contar en sus archivos los informes de resultados de las revisiones realizadas por el OSFEM y, de ser el caso, las aclaraciones correspondientes.</w:t>
      </w:r>
    </w:p>
    <w:p w:rsidR="005A3D08" w:rsidRPr="001F089F" w:rsidRDefault="005A3D08" w:rsidP="005A3D08">
      <w:pPr>
        <w:spacing w:line="360" w:lineRule="auto"/>
        <w:ind w:right="1"/>
        <w:jc w:val="both"/>
        <w:rPr>
          <w:rFonts w:ascii="Palatino Linotype" w:eastAsia="Palatino Linotype" w:hAnsi="Palatino Linotype" w:cs="Palatino Linotype"/>
          <w:sz w:val="22"/>
          <w:szCs w:val="22"/>
        </w:rPr>
      </w:pPr>
    </w:p>
    <w:p w:rsidR="00F5723F" w:rsidRPr="001F089F" w:rsidRDefault="00111C7B" w:rsidP="007E055E">
      <w:pPr>
        <w:numPr>
          <w:ilvl w:val="0"/>
          <w:numId w:val="1"/>
        </w:numPr>
        <w:spacing w:line="360" w:lineRule="auto"/>
        <w:ind w:left="0" w:right="1" w:firstLine="0"/>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color w:val="000000"/>
          <w:sz w:val="22"/>
          <w:szCs w:val="22"/>
        </w:rPr>
        <w:lastRenderedPageBreak/>
        <w:t>En consecuencia</w:t>
      </w:r>
      <w:r w:rsidR="001E3125" w:rsidRPr="001F089F">
        <w:rPr>
          <w:rFonts w:ascii="Palatino Linotype" w:eastAsia="Palatino Linotype" w:hAnsi="Palatino Linotype" w:cs="Palatino Linotype"/>
          <w:color w:val="000000"/>
          <w:sz w:val="22"/>
          <w:szCs w:val="22"/>
        </w:rPr>
        <w:t xml:space="preserve">, analizadas las constancias que forman el expediente electrónico, </w:t>
      </w:r>
      <w:r w:rsidR="001E3125" w:rsidRPr="001F089F">
        <w:rPr>
          <w:rFonts w:ascii="Palatino Linotype" w:eastAsia="Palatino Linotype" w:hAnsi="Palatino Linotype" w:cs="Palatino Linotype"/>
          <w:sz w:val="22"/>
          <w:szCs w:val="22"/>
        </w:rPr>
        <w:t xml:space="preserve">resultan fundadas las razones o motivos de inconformidad hechos valer por el </w:t>
      </w:r>
      <w:r w:rsidR="001E3125" w:rsidRPr="001F089F">
        <w:rPr>
          <w:rFonts w:ascii="Palatino Linotype" w:eastAsia="Palatino Linotype" w:hAnsi="Palatino Linotype" w:cs="Palatino Linotype"/>
          <w:b/>
          <w:sz w:val="22"/>
          <w:szCs w:val="22"/>
        </w:rPr>
        <w:t>RECURRENTE</w:t>
      </w:r>
      <w:r w:rsidR="001E3125" w:rsidRPr="001F089F">
        <w:rPr>
          <w:rFonts w:ascii="Palatino Linotype" w:eastAsia="Palatino Linotype" w:hAnsi="Palatino Linotype" w:cs="Palatino Linotype"/>
          <w:sz w:val="22"/>
          <w:szCs w:val="22"/>
        </w:rPr>
        <w:t xml:space="preserve"> dentro del recurso de revisión </w:t>
      </w:r>
      <w:r w:rsidR="007E055E" w:rsidRPr="001F089F">
        <w:rPr>
          <w:rFonts w:ascii="Palatino Linotype" w:eastAsia="Palatino Linotype" w:hAnsi="Palatino Linotype" w:cs="Palatino Linotype"/>
          <w:b/>
          <w:sz w:val="22"/>
          <w:szCs w:val="22"/>
        </w:rPr>
        <w:t>04163</w:t>
      </w:r>
      <w:r w:rsidR="001E3125" w:rsidRPr="001F089F">
        <w:rPr>
          <w:rFonts w:ascii="Palatino Linotype" w:eastAsia="Palatino Linotype" w:hAnsi="Palatino Linotype" w:cs="Palatino Linotype"/>
          <w:b/>
          <w:sz w:val="22"/>
          <w:szCs w:val="22"/>
        </w:rPr>
        <w:t>/INFOEM/IP/RR/2024,</w:t>
      </w:r>
      <w:r w:rsidR="001E3125" w:rsidRPr="001F089F">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se </w:t>
      </w:r>
      <w:r w:rsidR="007E055E" w:rsidRPr="001F089F">
        <w:rPr>
          <w:rFonts w:ascii="Palatino Linotype" w:eastAsia="Palatino Linotype" w:hAnsi="Palatino Linotype" w:cs="Palatino Linotype"/>
          <w:b/>
          <w:sz w:val="22"/>
          <w:szCs w:val="22"/>
        </w:rPr>
        <w:t>MODIFICA</w:t>
      </w:r>
      <w:r w:rsidR="001E3125" w:rsidRPr="001F089F">
        <w:rPr>
          <w:rFonts w:ascii="Palatino Linotype" w:eastAsia="Palatino Linotype" w:hAnsi="Palatino Linotype" w:cs="Palatino Linotype"/>
          <w:sz w:val="22"/>
          <w:szCs w:val="22"/>
        </w:rPr>
        <w:t xml:space="preserve"> la respuesta del </w:t>
      </w:r>
      <w:r w:rsidR="001E3125"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y se ordena</w:t>
      </w:r>
      <w:r w:rsidR="001E3125" w:rsidRPr="001F089F">
        <w:rPr>
          <w:rFonts w:ascii="Palatino Linotype" w:eastAsia="Palatino Linotype" w:hAnsi="Palatino Linotype" w:cs="Palatino Linotype"/>
          <w:sz w:val="22"/>
          <w:szCs w:val="22"/>
        </w:rPr>
        <w:t xml:space="preserve"> entrega</w:t>
      </w:r>
      <w:r w:rsidRPr="001F089F">
        <w:rPr>
          <w:rFonts w:ascii="Palatino Linotype" w:eastAsia="Palatino Linotype" w:hAnsi="Palatino Linotype" w:cs="Palatino Linotype"/>
          <w:sz w:val="22"/>
          <w:szCs w:val="22"/>
        </w:rPr>
        <w:t>r</w:t>
      </w:r>
      <w:r w:rsidR="00B81ACA" w:rsidRPr="001F089F">
        <w:rPr>
          <w:rFonts w:ascii="Palatino Linotype" w:eastAsia="Palatino Linotype" w:hAnsi="Palatino Linotype" w:cs="Palatino Linotype"/>
          <w:sz w:val="22"/>
          <w:szCs w:val="22"/>
        </w:rPr>
        <w:t>,</w:t>
      </w:r>
      <w:r w:rsidR="001E3125" w:rsidRPr="001F089F">
        <w:rPr>
          <w:rFonts w:ascii="Palatino Linotype" w:eastAsia="Palatino Linotype" w:hAnsi="Palatino Linotype" w:cs="Palatino Linotype"/>
          <w:sz w:val="22"/>
          <w:szCs w:val="22"/>
        </w:rPr>
        <w:t xml:space="preserve"> </w:t>
      </w:r>
      <w:r w:rsidRPr="001F089F">
        <w:rPr>
          <w:rFonts w:ascii="Palatino Linotype" w:eastAsia="Palatino Linotype" w:hAnsi="Palatino Linotype" w:cs="Palatino Linotype"/>
          <w:sz w:val="22"/>
          <w:szCs w:val="22"/>
        </w:rPr>
        <w:t xml:space="preserve">de ser procedente en </w:t>
      </w:r>
      <w:r w:rsidR="001E3125" w:rsidRPr="001F089F">
        <w:rPr>
          <w:rFonts w:ascii="Palatino Linotype" w:eastAsia="Palatino Linotype" w:hAnsi="Palatino Linotype" w:cs="Palatino Linotype"/>
          <w:sz w:val="22"/>
          <w:szCs w:val="22"/>
        </w:rPr>
        <w:t>versión pública</w:t>
      </w:r>
      <w:r w:rsidR="007E055E" w:rsidRPr="001F089F">
        <w:rPr>
          <w:rFonts w:ascii="Palatino Linotype" w:eastAsia="Palatino Linotype" w:hAnsi="Palatino Linotype" w:cs="Palatino Linotype"/>
          <w:sz w:val="22"/>
          <w:szCs w:val="22"/>
        </w:rPr>
        <w:t xml:space="preserve"> la información solicitada por el Particular.</w:t>
      </w:r>
    </w:p>
    <w:p w:rsidR="004C508D" w:rsidRPr="001F089F" w:rsidRDefault="004C508D" w:rsidP="004C508D">
      <w:pPr>
        <w:ind w:right="1"/>
        <w:jc w:val="both"/>
        <w:rPr>
          <w:rFonts w:ascii="Palatino Linotype" w:eastAsia="Palatino Linotype" w:hAnsi="Palatino Linotype" w:cs="Palatino Linotype"/>
          <w:sz w:val="22"/>
          <w:szCs w:val="22"/>
        </w:rPr>
      </w:pPr>
    </w:p>
    <w:p w:rsidR="00F5723F" w:rsidRPr="001F089F" w:rsidRDefault="001E3125">
      <w:pPr>
        <w:keepNext/>
        <w:keepLines/>
        <w:spacing w:before="240" w:line="360" w:lineRule="auto"/>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QUINTO. VERSIÓN PÚBLICA.</w:t>
      </w:r>
    </w:p>
    <w:p w:rsidR="00E94D86" w:rsidRPr="001F089F" w:rsidRDefault="001E3125">
      <w:pPr>
        <w:keepNext/>
        <w:keepLines/>
        <w:numPr>
          <w:ilvl w:val="0"/>
          <w:numId w:val="3"/>
        </w:numPr>
        <w:spacing w:line="360" w:lineRule="auto"/>
        <w:ind w:left="284" w:firstLine="0"/>
        <w:rPr>
          <w:rFonts w:ascii="Palatino Linotype" w:eastAsia="Palatino Linotype" w:hAnsi="Palatino Linotype" w:cs="Palatino Linotype"/>
          <w:b/>
          <w:color w:val="000000"/>
          <w:sz w:val="22"/>
          <w:szCs w:val="22"/>
        </w:rPr>
      </w:pPr>
      <w:bookmarkStart w:id="6" w:name="_heading=h.1t3h5sf" w:colFirst="0" w:colLast="0"/>
      <w:bookmarkEnd w:id="6"/>
      <w:r w:rsidRPr="001F089F">
        <w:rPr>
          <w:rFonts w:ascii="Palatino Linotype" w:eastAsia="Palatino Linotype" w:hAnsi="Palatino Linotype" w:cs="Palatino Linotype"/>
          <w:b/>
          <w:color w:val="000000"/>
          <w:sz w:val="22"/>
          <w:szCs w:val="22"/>
        </w:rPr>
        <w:t xml:space="preserve">Nociones generales. </w:t>
      </w:r>
    </w:p>
    <w:p w:rsidR="00E94D86" w:rsidRPr="001F089F" w:rsidRDefault="00E94D86" w:rsidP="004C508D">
      <w:pPr>
        <w:ind w:right="1"/>
        <w:rPr>
          <w:rFonts w:ascii="Palatino Linotype" w:eastAsia="Palatino Linotype" w:hAnsi="Palatino Linotype" w:cs="Palatino Linotype"/>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 xml:space="preserve">Debe </w:t>
      </w:r>
      <w:r w:rsidRPr="001F089F">
        <w:rPr>
          <w:rFonts w:ascii="Palatino Linotype" w:eastAsia="Palatino Linotype" w:hAnsi="Palatino Linotype" w:cs="Palatino Linotype"/>
          <w:color w:val="000000"/>
          <w:sz w:val="22"/>
          <w:szCs w:val="22"/>
        </w:rPr>
        <w:t>destacarse que, debido a la naturaleza de la información solicitada</w:t>
      </w:r>
      <w:r w:rsidRPr="001F089F">
        <w:rPr>
          <w:rFonts w:ascii="Palatino Linotype" w:eastAsia="Palatino Linotype" w:hAnsi="Palatino Linotype" w:cs="Palatino Linotype"/>
          <w:b/>
          <w:color w:val="000000"/>
          <w:sz w:val="22"/>
          <w:szCs w:val="22"/>
        </w:rPr>
        <w:t xml:space="preserve">, </w:t>
      </w:r>
      <w:r w:rsidRPr="001F089F">
        <w:rPr>
          <w:rFonts w:ascii="Palatino Linotype" w:eastAsia="Palatino Linotype" w:hAnsi="Palatino Linotype" w:cs="Palatino Linotype"/>
          <w:color w:val="000000"/>
          <w:sz w:val="22"/>
          <w:szCs w:val="22"/>
        </w:rPr>
        <w:t xml:space="preserve">eventualmente pudiera obrar datos personales susceptibles de protegerse, el </w:t>
      </w:r>
      <w:r w:rsidRPr="001F089F">
        <w:rPr>
          <w:rFonts w:ascii="Palatino Linotype" w:eastAsia="Palatino Linotype" w:hAnsi="Palatino Linotype" w:cs="Palatino Linotype"/>
          <w:b/>
          <w:color w:val="000000"/>
          <w:sz w:val="22"/>
          <w:szCs w:val="22"/>
        </w:rPr>
        <w:t xml:space="preserve">Sujeto Obligado </w:t>
      </w:r>
      <w:r w:rsidRPr="001F089F">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E94D86" w:rsidRPr="001F089F" w:rsidRDefault="00E94D86" w:rsidP="004C508D">
      <w:pPr>
        <w:ind w:right="1"/>
        <w:rPr>
          <w:rFonts w:ascii="Palatino Linotype" w:eastAsia="Palatino Linotype" w:hAnsi="Palatino Linotype" w:cs="Palatino Linotype"/>
          <w:color w:val="000000"/>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000000"/>
          <w:sz w:val="22"/>
          <w:szCs w:val="22"/>
        </w:rPr>
        <w:t>No pasa desapercibido para este Órgano Garante que los Sujetos Obligados</w:t>
      </w:r>
      <w:r w:rsidRPr="001F089F">
        <w:rPr>
          <w:rFonts w:ascii="Palatino Linotype" w:eastAsia="Palatino Linotype" w:hAnsi="Palatino Linotype" w:cs="Palatino Linotype"/>
          <w:b/>
          <w:color w:val="000000"/>
          <w:sz w:val="22"/>
          <w:szCs w:val="22"/>
        </w:rPr>
        <w:t xml:space="preserve"> </w:t>
      </w:r>
      <w:r w:rsidRPr="001F089F">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E94D86" w:rsidRPr="001F089F" w:rsidRDefault="00E94D86" w:rsidP="004C508D">
      <w:pPr>
        <w:ind w:right="49"/>
        <w:jc w:val="both"/>
        <w:rPr>
          <w:rFonts w:ascii="Palatino Linotype" w:eastAsia="Palatino Linotype" w:hAnsi="Palatino Linotype" w:cs="Palatino Linotype"/>
          <w:color w:val="000000"/>
          <w:sz w:val="22"/>
          <w:szCs w:val="22"/>
        </w:rPr>
      </w:pPr>
    </w:p>
    <w:tbl>
      <w:tblPr>
        <w:tblStyle w:val="5"/>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990"/>
      </w:tblGrid>
      <w:tr w:rsidR="00E94D86" w:rsidRPr="001F089F" w:rsidTr="00E94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4D86" w:rsidRPr="001F089F" w:rsidRDefault="001E3125">
            <w:pPr>
              <w:rPr>
                <w:rFonts w:ascii="Palatino Linotype" w:eastAsia="Palatino Linotype" w:hAnsi="Palatino Linotype" w:cs="Palatino Linotype"/>
              </w:rPr>
            </w:pPr>
            <w:r w:rsidRPr="001F089F">
              <w:rPr>
                <w:rFonts w:ascii="Palatino Linotype" w:eastAsia="Palatino Linotype" w:hAnsi="Palatino Linotype" w:cs="Palatino Linotype"/>
              </w:rPr>
              <w:t>a) Requisitos previos.</w:t>
            </w:r>
          </w:p>
        </w:tc>
        <w:tc>
          <w:tcPr>
            <w:tcW w:w="6990" w:type="dxa"/>
          </w:tcPr>
          <w:p w:rsidR="00E94D86" w:rsidRPr="001F089F" w:rsidRDefault="001E3125">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94D86" w:rsidRPr="001F089F" w:rsidRDefault="001E3125">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E94D86" w:rsidRPr="001F089F" w:rsidRDefault="001E3125">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rsidR="00E94D86" w:rsidRPr="001F089F" w:rsidRDefault="001E3125">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1F089F">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1F089F">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1F089F">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E94D86" w:rsidRPr="001F089F" w:rsidTr="00E9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4D86" w:rsidRPr="001F089F" w:rsidRDefault="001E3125">
            <w:pPr>
              <w:rPr>
                <w:rFonts w:ascii="Palatino Linotype" w:eastAsia="Palatino Linotype" w:hAnsi="Palatino Linotype" w:cs="Palatino Linotype"/>
              </w:rPr>
            </w:pPr>
            <w:r w:rsidRPr="001F089F">
              <w:rPr>
                <w:rFonts w:ascii="Palatino Linotype" w:eastAsia="Palatino Linotype" w:hAnsi="Palatino Linotype" w:cs="Palatino Linotype"/>
              </w:rPr>
              <w:lastRenderedPageBreak/>
              <w:t>b) Supuestos de clasificación.</w:t>
            </w:r>
          </w:p>
        </w:tc>
        <w:tc>
          <w:tcPr>
            <w:tcW w:w="6990" w:type="dxa"/>
          </w:tcPr>
          <w:p w:rsidR="00E94D86" w:rsidRPr="001F089F" w:rsidRDefault="001E312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E94D86" w:rsidRPr="001F089F" w:rsidRDefault="001E312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94D86" w:rsidRPr="001F089F" w:rsidRDefault="001E312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1F089F">
              <w:rPr>
                <w:rFonts w:ascii="Palatino Linotype" w:eastAsia="Palatino Linotype" w:hAnsi="Palatino Linotype" w:cs="Palatino Linotype"/>
                <w:color w:val="000000"/>
              </w:rPr>
              <w:t xml:space="preserve">El </w:t>
            </w:r>
            <w:r w:rsidRPr="001F089F">
              <w:rPr>
                <w:rFonts w:ascii="Palatino Linotype" w:eastAsia="Palatino Linotype" w:hAnsi="Palatino Linotype" w:cs="Palatino Linotype"/>
                <w:b/>
                <w:color w:val="000000"/>
              </w:rPr>
              <w:t>Sujeto Obligado</w:t>
            </w:r>
            <w:r w:rsidRPr="001F089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94D86" w:rsidRPr="001F089F" w:rsidTr="00E94D86">
        <w:tc>
          <w:tcPr>
            <w:cnfStyle w:val="001000000000" w:firstRow="0" w:lastRow="0" w:firstColumn="1" w:lastColumn="0" w:oddVBand="0" w:evenVBand="0" w:oddHBand="0" w:evenHBand="0" w:firstRowFirstColumn="0" w:firstRowLastColumn="0" w:lastRowFirstColumn="0" w:lastRowLastColumn="0"/>
            <w:tcW w:w="1838" w:type="dxa"/>
          </w:tcPr>
          <w:p w:rsidR="00E94D86" w:rsidRPr="001F089F" w:rsidRDefault="001E3125">
            <w:pPr>
              <w:rPr>
                <w:rFonts w:ascii="Palatino Linotype" w:eastAsia="Palatino Linotype" w:hAnsi="Palatino Linotype" w:cs="Palatino Linotype"/>
              </w:rPr>
            </w:pPr>
            <w:r w:rsidRPr="001F089F">
              <w:rPr>
                <w:rFonts w:ascii="Palatino Linotype" w:eastAsia="Palatino Linotype" w:hAnsi="Palatino Linotype" w:cs="Palatino Linotype"/>
              </w:rPr>
              <w:t>c) Formalidades para emitir el acuerdo de clasificación.</w:t>
            </w:r>
          </w:p>
        </w:tc>
        <w:tc>
          <w:tcPr>
            <w:tcW w:w="6990" w:type="dxa"/>
          </w:tcPr>
          <w:p w:rsidR="00E94D86" w:rsidRPr="001F089F" w:rsidRDefault="001E312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E94D86" w:rsidRPr="001F089F" w:rsidRDefault="001E312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Es necesario que </w:t>
            </w:r>
            <w:r w:rsidRPr="001F089F">
              <w:rPr>
                <w:rFonts w:ascii="Palatino Linotype" w:eastAsia="Palatino Linotype" w:hAnsi="Palatino Linotype" w:cs="Palatino Linotype"/>
                <w:b/>
                <w:color w:val="000000"/>
                <w:u w:val="single"/>
              </w:rPr>
              <w:t>el acto reúna con los requisitos elementales</w:t>
            </w:r>
            <w:r w:rsidRPr="001F089F">
              <w:rPr>
                <w:rFonts w:ascii="Palatino Linotype" w:eastAsia="Palatino Linotype" w:hAnsi="Palatino Linotype" w:cs="Palatino Linotype"/>
                <w:color w:val="000000"/>
              </w:rPr>
              <w:t>, entre ellos, que la autoridad que va a emitir el acto de autoridad sea la legalmente facultada para ello.</w:t>
            </w:r>
          </w:p>
          <w:p w:rsidR="00E94D86" w:rsidRPr="001F089F" w:rsidRDefault="001E312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1F089F">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sidRPr="001F089F">
              <w:rPr>
                <w:rFonts w:ascii="Palatino Linotype" w:eastAsia="Palatino Linotype" w:hAnsi="Palatino Linotype" w:cs="Palatino Linotype"/>
                <w:color w:val="000000"/>
              </w:rPr>
              <w:lastRenderedPageBreak/>
              <w:t>áreas y que son sujetas a control, en primera instancia, por el Comité de Transparencia.</w:t>
            </w:r>
          </w:p>
        </w:tc>
      </w:tr>
      <w:tr w:rsidR="00E94D86" w:rsidRPr="001F089F" w:rsidTr="00E9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4D86" w:rsidRPr="001F089F" w:rsidRDefault="00E94D86">
            <w:pPr>
              <w:rPr>
                <w:rFonts w:ascii="Palatino Linotype" w:eastAsia="Palatino Linotype" w:hAnsi="Palatino Linotype" w:cs="Palatino Linotype"/>
              </w:rPr>
            </w:pPr>
          </w:p>
          <w:p w:rsidR="00E94D86" w:rsidRPr="001F089F" w:rsidRDefault="001E3125">
            <w:pPr>
              <w:jc w:val="both"/>
              <w:rPr>
                <w:rFonts w:ascii="Palatino Linotype" w:eastAsia="Palatino Linotype" w:hAnsi="Palatino Linotype" w:cs="Palatino Linotype"/>
              </w:rPr>
            </w:pPr>
            <w:r w:rsidRPr="001F089F">
              <w:rPr>
                <w:rFonts w:ascii="Palatino Linotype" w:eastAsia="Palatino Linotype" w:hAnsi="Palatino Linotype" w:cs="Palatino Linotype"/>
                <w:color w:val="000000"/>
              </w:rPr>
              <w:t xml:space="preserve">d) Requisitos de fondo del acuerdo de clasificación. </w:t>
            </w:r>
          </w:p>
        </w:tc>
        <w:tc>
          <w:tcPr>
            <w:tcW w:w="6990" w:type="dxa"/>
          </w:tcPr>
          <w:p w:rsidR="00E94D86" w:rsidRPr="001F089F" w:rsidRDefault="001E312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F089F">
              <w:rPr>
                <w:rFonts w:ascii="Palatino Linotype" w:eastAsia="Palatino Linotype" w:hAnsi="Palatino Linotype" w:cs="Palatino Linotype"/>
                <w:b/>
                <w:color w:val="000000"/>
              </w:rPr>
              <w:t>Sujetos Obligados</w:t>
            </w:r>
            <w:r w:rsidRPr="001F089F">
              <w:rPr>
                <w:rFonts w:ascii="Palatino Linotype" w:eastAsia="Palatino Linotype" w:hAnsi="Palatino Linotype" w:cs="Palatino Linotype"/>
                <w:color w:val="000000"/>
              </w:rPr>
              <w:t xml:space="preserve">, por lo que deberán fundar y motivar debidamente la clasificación. </w:t>
            </w:r>
          </w:p>
          <w:p w:rsidR="00E94D86" w:rsidRPr="001F089F" w:rsidRDefault="001E312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De lo anterior, se desprende que para una correcta </w:t>
            </w:r>
            <w:r w:rsidRPr="001F089F">
              <w:rPr>
                <w:rFonts w:ascii="Palatino Linotype" w:eastAsia="Palatino Linotype" w:hAnsi="Palatino Linotype" w:cs="Palatino Linotype"/>
                <w:b/>
                <w:color w:val="000000"/>
              </w:rPr>
              <w:t>clasificación total o parcial</w:t>
            </w:r>
            <w:r w:rsidRPr="001F089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94D86" w:rsidRPr="001F089F" w:rsidRDefault="001E312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94D86" w:rsidRPr="001F089F" w:rsidRDefault="001E312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E94D86" w:rsidRPr="001F089F" w:rsidRDefault="001E3125">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Ahora bien, </w:t>
            </w:r>
            <w:r w:rsidRPr="001F089F">
              <w:rPr>
                <w:rFonts w:ascii="Palatino Linotype" w:eastAsia="Palatino Linotype" w:hAnsi="Palatino Linotype" w:cs="Palatino Linotype"/>
                <w:b/>
                <w:color w:val="000000"/>
                <w:u w:val="single"/>
              </w:rPr>
              <w:t>para cada caso además de fundar y motivar</w:t>
            </w:r>
            <w:r w:rsidRPr="001F089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94D86" w:rsidRPr="001F089F" w:rsidTr="00E94D86">
        <w:tc>
          <w:tcPr>
            <w:cnfStyle w:val="001000000000" w:firstRow="0" w:lastRow="0" w:firstColumn="1" w:lastColumn="0" w:oddVBand="0" w:evenVBand="0" w:oddHBand="0" w:evenHBand="0" w:firstRowFirstColumn="0" w:firstRowLastColumn="0" w:lastRowFirstColumn="0" w:lastRowLastColumn="0"/>
            <w:tcW w:w="1838" w:type="dxa"/>
          </w:tcPr>
          <w:p w:rsidR="00E94D86" w:rsidRPr="001F089F" w:rsidRDefault="001E3125">
            <w:pPr>
              <w:ind w:right="49"/>
              <w:jc w:val="both"/>
              <w:rPr>
                <w:rFonts w:ascii="Palatino Linotype" w:eastAsia="Palatino Linotype" w:hAnsi="Palatino Linotype" w:cs="Palatino Linotype"/>
              </w:rPr>
            </w:pPr>
            <w:r w:rsidRPr="001F089F">
              <w:rPr>
                <w:rFonts w:ascii="Palatino Linotype" w:eastAsia="Palatino Linotype" w:hAnsi="Palatino Linotype" w:cs="Palatino Linotype"/>
              </w:rPr>
              <w:t xml:space="preserve">e) Condiciones especiales de la clasificación de la información como confidencial. </w:t>
            </w:r>
          </w:p>
        </w:tc>
        <w:tc>
          <w:tcPr>
            <w:tcW w:w="6990" w:type="dxa"/>
          </w:tcPr>
          <w:p w:rsidR="00E94D86" w:rsidRPr="001F089F" w:rsidRDefault="001E312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E94D86" w:rsidRPr="001F089F" w:rsidRDefault="001E3125">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1F089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w:t>
            </w:r>
            <w:r w:rsidRPr="001F089F">
              <w:rPr>
                <w:rFonts w:ascii="Palatino Linotype" w:eastAsia="Palatino Linotype" w:hAnsi="Palatino Linotype" w:cs="Palatino Linotype"/>
                <w:color w:val="000000"/>
              </w:rPr>
              <w:lastRenderedPageBreak/>
              <w:t xml:space="preserve">recientemente ha discutido la Suprema Corte de Justicia de la Nación, los servidores públicos nos encontramos sujetos a un régimen menor de protección. </w:t>
            </w:r>
          </w:p>
          <w:p w:rsidR="00E94D86" w:rsidRPr="001F089F" w:rsidRDefault="001E312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1F089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379D4" w:rsidRPr="001F089F" w:rsidRDefault="00A379D4" w:rsidP="00F5723F">
      <w:pPr>
        <w:spacing w:line="360" w:lineRule="auto"/>
        <w:ind w:right="1"/>
        <w:rPr>
          <w:rFonts w:ascii="Palatino Linotype" w:eastAsia="Palatino Linotype" w:hAnsi="Palatino Linotype" w:cs="Palatino Linotype"/>
          <w:color w:val="222222"/>
          <w:sz w:val="22"/>
          <w:szCs w:val="22"/>
        </w:rPr>
      </w:pPr>
    </w:p>
    <w:p w:rsidR="005A3D08" w:rsidRPr="001F089F" w:rsidRDefault="005A3D08" w:rsidP="005A3D08">
      <w:pPr>
        <w:pStyle w:val="Prrafodelista"/>
        <w:keepNext/>
        <w:keepLines/>
        <w:numPr>
          <w:ilvl w:val="0"/>
          <w:numId w:val="26"/>
        </w:numPr>
        <w:spacing w:before="240" w:line="259" w:lineRule="auto"/>
        <w:outlineLvl w:val="0"/>
        <w:rPr>
          <w:rFonts w:ascii="Palatino Linotype" w:eastAsia="MS Gothic" w:hAnsi="Palatino Linotype"/>
          <w:b/>
          <w:color w:val="000000"/>
          <w:szCs w:val="22"/>
        </w:rPr>
      </w:pPr>
      <w:r w:rsidRPr="001F089F">
        <w:rPr>
          <w:rFonts w:ascii="Palatino Linotype" w:eastAsia="MS Gothic" w:hAnsi="Palatino Linotype"/>
          <w:b/>
          <w:color w:val="000000"/>
          <w:szCs w:val="22"/>
        </w:rPr>
        <w:t xml:space="preserve">Del nombre de policías. </w:t>
      </w:r>
    </w:p>
    <w:p w:rsidR="005A3D08" w:rsidRPr="001F089F" w:rsidRDefault="005A3D08" w:rsidP="004C508D">
      <w:pPr>
        <w:ind w:right="1"/>
        <w:rPr>
          <w:rFonts w:ascii="Palatino Linotype" w:eastAsia="Palatino Linotype" w:hAnsi="Palatino Linotype" w:cs="Palatino Linotype"/>
          <w:color w:val="222222"/>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sz w:val="22"/>
          <w:szCs w:val="22"/>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sz w:val="22"/>
          <w:szCs w:val="22"/>
        </w:rPr>
        <w:t>En efecto</w:t>
      </w:r>
      <w:r w:rsidRPr="001F089F">
        <w:rPr>
          <w:rFonts w:ascii="Palatino Linotype" w:hAnsi="Palatino Linotype"/>
          <w:sz w:val="22"/>
          <w:szCs w:val="22"/>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rsidR="005A3D08" w:rsidRPr="001F089F" w:rsidRDefault="005A3D08" w:rsidP="004C508D">
      <w:pPr>
        <w:ind w:right="1"/>
        <w:jc w:val="both"/>
        <w:rPr>
          <w:rFonts w:ascii="Palatino Linotype" w:hAnsi="Palatino Linotype"/>
          <w:sz w:val="22"/>
          <w:szCs w:val="22"/>
        </w:rPr>
      </w:pPr>
    </w:p>
    <w:p w:rsidR="005A3D08" w:rsidRPr="001F089F" w:rsidRDefault="005A3D08" w:rsidP="005A3D08">
      <w:pPr>
        <w:spacing w:before="240" w:after="240"/>
        <w:ind w:left="567" w:right="616"/>
        <w:contextualSpacing/>
        <w:jc w:val="both"/>
        <w:rPr>
          <w:rFonts w:ascii="Palatino Linotype" w:hAnsi="Palatino Linotype"/>
          <w:i/>
          <w:sz w:val="22"/>
          <w:szCs w:val="22"/>
        </w:rPr>
      </w:pPr>
      <w:r w:rsidRPr="001F089F">
        <w:rPr>
          <w:rFonts w:ascii="Palatino Linotype" w:hAnsi="Palatino Linotype"/>
          <w:b/>
          <w:i/>
          <w:sz w:val="22"/>
          <w:szCs w:val="22"/>
        </w:rPr>
        <w:t>“Artículo 140.</w:t>
      </w:r>
      <w:r w:rsidRPr="001F089F">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rsidR="005A3D08" w:rsidRPr="001F089F" w:rsidRDefault="005A3D08" w:rsidP="005A3D08">
      <w:pPr>
        <w:spacing w:before="240" w:after="240"/>
        <w:ind w:left="567" w:right="616"/>
        <w:contextualSpacing/>
        <w:jc w:val="both"/>
        <w:rPr>
          <w:rFonts w:ascii="Palatino Linotype" w:hAnsi="Palatino Linotype"/>
          <w:i/>
          <w:sz w:val="22"/>
          <w:szCs w:val="22"/>
        </w:rPr>
      </w:pPr>
      <w:r w:rsidRPr="001F089F">
        <w:rPr>
          <w:rFonts w:ascii="Palatino Linotype" w:hAnsi="Palatino Linotype"/>
          <w:i/>
          <w:sz w:val="22"/>
          <w:szCs w:val="22"/>
        </w:rPr>
        <w:t xml:space="preserve">I. Comprometa la seguridad pública y cuente con un propósito genuino y un efecto demostrable; </w:t>
      </w:r>
    </w:p>
    <w:p w:rsidR="005A3D08" w:rsidRPr="001F089F" w:rsidRDefault="005A3D08" w:rsidP="005A3D08">
      <w:pPr>
        <w:spacing w:before="240" w:after="240"/>
        <w:ind w:left="567" w:right="616"/>
        <w:contextualSpacing/>
        <w:jc w:val="both"/>
        <w:rPr>
          <w:rFonts w:ascii="Palatino Linotype" w:hAnsi="Palatino Linotype"/>
          <w:i/>
          <w:sz w:val="22"/>
          <w:szCs w:val="22"/>
        </w:rPr>
      </w:pPr>
      <w:r w:rsidRPr="001F089F">
        <w:rPr>
          <w:rFonts w:ascii="Palatino Linotype" w:hAnsi="Palatino Linotype"/>
          <w:i/>
          <w:sz w:val="22"/>
          <w:szCs w:val="22"/>
        </w:rPr>
        <w:t xml:space="preserve">II. Pueda menoscabar la conducción de las negociaciones y relaciones internacionales; </w:t>
      </w:r>
    </w:p>
    <w:p w:rsidR="005A3D08" w:rsidRPr="001F089F" w:rsidRDefault="005A3D08" w:rsidP="005A3D08">
      <w:pPr>
        <w:spacing w:before="240" w:after="240"/>
        <w:ind w:left="567" w:right="616"/>
        <w:contextualSpacing/>
        <w:jc w:val="both"/>
        <w:rPr>
          <w:rFonts w:ascii="Palatino Linotype" w:hAnsi="Palatino Linotype"/>
          <w:i/>
          <w:sz w:val="22"/>
          <w:szCs w:val="22"/>
        </w:rPr>
      </w:pPr>
      <w:r w:rsidRPr="001F089F">
        <w:rPr>
          <w:rFonts w:ascii="Palatino Linotype" w:hAnsi="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5A3D08" w:rsidRPr="001F089F" w:rsidRDefault="005A3D08" w:rsidP="005A3D08">
      <w:pPr>
        <w:spacing w:before="240" w:after="240"/>
        <w:ind w:left="567" w:right="616"/>
        <w:contextualSpacing/>
        <w:jc w:val="both"/>
        <w:rPr>
          <w:rFonts w:ascii="Palatino Linotype" w:hAnsi="Palatino Linotype"/>
          <w:b/>
          <w:i/>
          <w:sz w:val="22"/>
          <w:szCs w:val="22"/>
        </w:rPr>
      </w:pPr>
      <w:r w:rsidRPr="001F089F">
        <w:rPr>
          <w:rFonts w:ascii="Palatino Linotype" w:hAnsi="Palatino Linotype"/>
          <w:b/>
          <w:i/>
          <w:sz w:val="22"/>
          <w:szCs w:val="22"/>
        </w:rPr>
        <w:t>IV. Ponga en riesgo la vida, la seguridad o la salud de una persona física;</w:t>
      </w:r>
    </w:p>
    <w:p w:rsidR="005A3D08" w:rsidRPr="001F089F" w:rsidRDefault="005A3D08" w:rsidP="005A3D08">
      <w:pPr>
        <w:spacing w:before="240" w:after="240"/>
        <w:ind w:left="567" w:right="616"/>
        <w:contextualSpacing/>
        <w:jc w:val="both"/>
        <w:rPr>
          <w:rFonts w:ascii="Palatino Linotype" w:eastAsia="Calibri" w:hAnsi="Palatino Linotype"/>
          <w:i/>
          <w:sz w:val="22"/>
          <w:szCs w:val="22"/>
        </w:rPr>
      </w:pPr>
      <w:r w:rsidRPr="001F089F">
        <w:rPr>
          <w:rFonts w:ascii="Palatino Linotype" w:hAnsi="Palatino Linotype"/>
          <w:i/>
          <w:sz w:val="22"/>
          <w:szCs w:val="22"/>
        </w:rPr>
        <w:t xml:space="preserve">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sz w:val="22"/>
          <w:szCs w:val="22"/>
        </w:rPr>
        <w:lastRenderedPageBreak/>
        <w:t>En este contexto, este Pleno considera que dar a conocer los nombres de servidores públicos que realizan funciones en materia de seguridad, tal como es el caso de los policías, los vuelve identificables y posiblemente reconocibles para grupos delictivos</w:t>
      </w:r>
      <w:r w:rsidRPr="001F089F">
        <w:rPr>
          <w:rFonts w:ascii="Palatino Linotype" w:hAnsi="Palatino Linotype" w:cs="Tahoma"/>
          <w:bCs/>
          <w:sz w:val="22"/>
          <w:szCs w:val="22"/>
        </w:rPr>
        <w:t xml:space="preserve">; así, dicha información puede ser utilizada para </w:t>
      </w:r>
      <w:r w:rsidRPr="001F089F">
        <w:rPr>
          <w:rFonts w:ascii="Palatino Linotype" w:hAnsi="Palatino Linotype" w:cs="Tahoma"/>
          <w:b/>
          <w:bCs/>
          <w:sz w:val="22"/>
          <w:szCs w:val="22"/>
        </w:rPr>
        <w:t xml:space="preserve">vulnerar la vida, seguridad o salud de dichos elementos, incluso la de sus familias o entorno social, </w:t>
      </w:r>
      <w:r w:rsidRPr="001F089F">
        <w:rPr>
          <w:rFonts w:ascii="Palatino Linotype" w:hAnsi="Palatino Linotype" w:cs="Tahoma"/>
          <w:bCs/>
          <w:sz w:val="22"/>
          <w:szCs w:val="22"/>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t xml:space="preserve">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F089F">
        <w:rPr>
          <w:rFonts w:ascii="Palatino Linotype" w:eastAsia="Calibri" w:hAnsi="Palatino Linotype" w:cs="Tahoma"/>
          <w:b/>
          <w:bCs/>
          <w:sz w:val="22"/>
          <w:szCs w:val="22"/>
        </w:rPr>
        <w:t xml:space="preserve"> SUJETO OBLIGADO</w:t>
      </w:r>
      <w:r w:rsidRPr="001F089F">
        <w:rPr>
          <w:rFonts w:ascii="Palatino Linotype" w:eastAsia="Calibri" w:hAnsi="Palatino Linotype" w:cs="Tahoma"/>
          <w:bCs/>
          <w:sz w:val="22"/>
          <w:szCs w:val="22"/>
        </w:rPr>
        <w:t>, colocando en inminente riesgo la vida de todos los integrantes, menoscabando así las actividades de prevención del delito y combate a la delincuencia.</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lastRenderedPageBreak/>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5A3D08" w:rsidRPr="001F089F" w:rsidRDefault="005A3D08" w:rsidP="004C508D">
      <w:pPr>
        <w:rPr>
          <w:rFonts w:ascii="Palatino Linotype" w:eastAsia="Calibri" w:hAnsi="Palatino Linotype" w:cs="Tahoma"/>
          <w:bCs/>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rsidR="005A3D08" w:rsidRPr="001F089F" w:rsidRDefault="005A3D08" w:rsidP="004C508D">
      <w:pPr>
        <w:rPr>
          <w:rFonts w:ascii="Palatino Linotype" w:eastAsia="Calibri" w:hAnsi="Palatino Linotype" w:cs="Tahoma"/>
          <w:bCs/>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w:t>
      </w:r>
      <w:r w:rsidRPr="001F089F">
        <w:rPr>
          <w:rFonts w:ascii="Palatino Linotype" w:eastAsia="Calibri" w:hAnsi="Palatino Linotype" w:cs="Tahoma"/>
          <w:bCs/>
          <w:sz w:val="22"/>
          <w:szCs w:val="22"/>
        </w:rPr>
        <w:lastRenderedPageBreak/>
        <w:t>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5A3D08" w:rsidRPr="001F089F" w:rsidRDefault="005A3D08" w:rsidP="004C508D">
      <w:pPr>
        <w:rPr>
          <w:rFonts w:ascii="Palatino Linotype" w:eastAsia="Calibri" w:hAnsi="Palatino Linotype" w:cs="Tahoma"/>
          <w:bCs/>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Calibri" w:hAnsi="Palatino Linotype" w:cs="Tahoma"/>
          <w:bCs/>
          <w:sz w:val="22"/>
          <w:szCs w:val="22"/>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MS Mincho" w:hAnsi="Palatino Linotype" w:cs="Arial"/>
          <w:sz w:val="22"/>
          <w:szCs w:val="22"/>
          <w:lang w:val="es-ES_tradnl"/>
        </w:rPr>
        <w:t xml:space="preserve">Al respecto, cabe hacer mención que el artículo 81 fracción III de la Ley de Seguridad del Estado de México, establece lo siguiente: </w:t>
      </w:r>
    </w:p>
    <w:p w:rsidR="005A3D08" w:rsidRPr="001F089F" w:rsidRDefault="005A3D08" w:rsidP="004C508D">
      <w:pPr>
        <w:ind w:right="1"/>
        <w:jc w:val="both"/>
        <w:rPr>
          <w:rFonts w:ascii="Palatino Linotype" w:hAnsi="Palatino Linotype" w:cs="Arial"/>
          <w:sz w:val="22"/>
          <w:szCs w:val="22"/>
        </w:rPr>
      </w:pPr>
    </w:p>
    <w:p w:rsidR="005A3D08" w:rsidRPr="001F089F" w:rsidRDefault="005A3D08" w:rsidP="005A3D08">
      <w:pPr>
        <w:ind w:left="567" w:right="567"/>
        <w:contextualSpacing/>
        <w:jc w:val="both"/>
        <w:rPr>
          <w:rFonts w:ascii="Palatino Linotype" w:eastAsia="MS Mincho" w:hAnsi="Palatino Linotype" w:cs="Arial"/>
          <w:i/>
          <w:sz w:val="22"/>
          <w:szCs w:val="22"/>
          <w:lang w:val="es-ES_tradnl"/>
        </w:rPr>
      </w:pPr>
      <w:r w:rsidRPr="001F089F">
        <w:rPr>
          <w:rFonts w:ascii="Palatino Linotype" w:eastAsia="MS Mincho" w:hAnsi="Palatino Linotype" w:cs="Arial"/>
          <w:i/>
          <w:sz w:val="22"/>
          <w:szCs w:val="22"/>
          <w:lang w:val="es-ES_tradnl"/>
        </w:rPr>
        <w:t>“</w:t>
      </w:r>
      <w:r w:rsidRPr="001F089F">
        <w:rPr>
          <w:rFonts w:ascii="Palatino Linotype" w:eastAsia="MS Mincho" w:hAnsi="Palatino Linotype" w:cs="Arial"/>
          <w:b/>
          <w:i/>
          <w:sz w:val="22"/>
          <w:szCs w:val="22"/>
          <w:lang w:val="es-ES_tradnl"/>
        </w:rPr>
        <w:t>Artículo 81.-</w:t>
      </w:r>
      <w:r w:rsidRPr="001F089F">
        <w:rPr>
          <w:rFonts w:ascii="Palatino Linotype" w:eastAsia="MS Mincho" w:hAnsi="Palatino Linotype" w:cs="Arial"/>
          <w:i/>
          <w:sz w:val="22"/>
          <w:szCs w:val="22"/>
          <w:lang w:val="es-ES_tradnl"/>
        </w:rPr>
        <w:t xml:space="preserve"> </w:t>
      </w:r>
      <w:r w:rsidRPr="001F089F">
        <w:rPr>
          <w:rFonts w:ascii="Palatino Linotype" w:eastAsia="MS Mincho" w:hAnsi="Palatino Linotype" w:cs="Arial"/>
          <w:b/>
          <w:i/>
          <w:sz w:val="22"/>
          <w:szCs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F089F">
        <w:rPr>
          <w:rFonts w:ascii="Palatino Linotype" w:eastAsia="MS Mincho" w:hAnsi="Palatino Linotype" w:cs="Arial"/>
          <w:i/>
          <w:sz w:val="22"/>
          <w:szCs w:val="22"/>
          <w:lang w:val="es-ES_tradnl"/>
        </w:rPr>
        <w:t xml:space="preserve"> en los casos siguientes:</w:t>
      </w:r>
    </w:p>
    <w:p w:rsidR="005A3D08" w:rsidRPr="001F089F" w:rsidRDefault="005A3D08" w:rsidP="005A3D08">
      <w:pPr>
        <w:ind w:left="567" w:right="567"/>
        <w:contextualSpacing/>
        <w:jc w:val="both"/>
        <w:rPr>
          <w:rFonts w:ascii="Palatino Linotype" w:eastAsia="MS Mincho" w:hAnsi="Palatino Linotype" w:cs="Arial"/>
          <w:i/>
          <w:sz w:val="22"/>
          <w:szCs w:val="22"/>
          <w:lang w:val="es-ES_tradnl"/>
        </w:rPr>
      </w:pPr>
      <w:r w:rsidRPr="001F089F">
        <w:rPr>
          <w:rFonts w:ascii="Palatino Linotype" w:eastAsia="MS Mincho" w:hAnsi="Palatino Linotype" w:cs="Arial"/>
          <w:i/>
          <w:sz w:val="22"/>
          <w:szCs w:val="22"/>
          <w:lang w:val="es-ES_tradnl"/>
        </w:rPr>
        <w:t>…</w:t>
      </w:r>
    </w:p>
    <w:p w:rsidR="005A3D08" w:rsidRPr="001F089F" w:rsidRDefault="005A3D08" w:rsidP="005A3D08">
      <w:pPr>
        <w:ind w:left="567" w:right="567"/>
        <w:contextualSpacing/>
        <w:jc w:val="both"/>
        <w:rPr>
          <w:rFonts w:ascii="Palatino Linotype" w:eastAsia="MS Mincho" w:hAnsi="Palatino Linotype" w:cs="Arial"/>
          <w:i/>
          <w:sz w:val="22"/>
          <w:szCs w:val="22"/>
          <w:lang w:val="es-ES_tradnl"/>
        </w:rPr>
      </w:pPr>
      <w:r w:rsidRPr="001F089F">
        <w:rPr>
          <w:rFonts w:ascii="Palatino Linotype" w:eastAsia="MS Mincho" w:hAnsi="Palatino Linotype" w:cs="Arial"/>
          <w:b/>
          <w:i/>
          <w:sz w:val="22"/>
          <w:szCs w:val="22"/>
          <w:lang w:val="es-ES_tradnl"/>
        </w:rPr>
        <w:t>III.</w:t>
      </w:r>
      <w:r w:rsidRPr="001F089F">
        <w:rPr>
          <w:rFonts w:ascii="Palatino Linotype" w:eastAsia="MS Mincho" w:hAnsi="Palatino Linotype" w:cs="Arial"/>
          <w:i/>
          <w:sz w:val="22"/>
          <w:szCs w:val="22"/>
          <w:lang w:val="es-ES_tradnl"/>
        </w:rPr>
        <w:t xml:space="preserve"> </w:t>
      </w:r>
      <w:r w:rsidRPr="001F089F">
        <w:rPr>
          <w:rFonts w:ascii="Palatino Linotype" w:eastAsia="MS Mincho" w:hAnsi="Palatino Linotype" w:cs="Arial"/>
          <w:b/>
          <w:i/>
          <w:sz w:val="22"/>
          <w:szCs w:val="22"/>
          <w:lang w:val="es-ES_tradnl"/>
        </w:rPr>
        <w:t>La relativa a servidores públicos miembros de las instituciones de seguridad pública, cuya revelación pueda poner en riesgo su vida e integridad física con motivo de sus funciones;</w:t>
      </w:r>
      <w:r w:rsidRPr="001F089F">
        <w:rPr>
          <w:rFonts w:ascii="Palatino Linotype" w:eastAsia="MS Mincho" w:hAnsi="Palatino Linotype" w:cs="Arial"/>
          <w:i/>
          <w:sz w:val="22"/>
          <w:szCs w:val="22"/>
          <w:lang w:val="es-ES_tradnl"/>
        </w:rPr>
        <w:t>”</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cs="Arial"/>
          <w:sz w:val="22"/>
          <w:szCs w:val="22"/>
        </w:rPr>
        <w:t>Argumento que se fortalece con lo estipulado en el criterio número 6-09, del Instituto Nacional de Transparencia, Acceso a la Información y Protección de Datos Personales, antes (INAI)</w:t>
      </w:r>
      <w:r w:rsidRPr="001F089F">
        <w:rPr>
          <w:rFonts w:ascii="Palatino Linotype" w:hAnsi="Palatino Linotype" w:cs="Arial"/>
          <w:b/>
          <w:bCs/>
          <w:sz w:val="22"/>
          <w:szCs w:val="22"/>
        </w:rPr>
        <w:t xml:space="preserve">, </w:t>
      </w:r>
      <w:r w:rsidRPr="001F089F">
        <w:rPr>
          <w:rFonts w:ascii="Palatino Linotype" w:hAnsi="Palatino Linotype" w:cs="Arial"/>
          <w:sz w:val="22"/>
          <w:szCs w:val="22"/>
        </w:rPr>
        <w:t xml:space="preserve">el cual refiere: </w:t>
      </w:r>
    </w:p>
    <w:p w:rsidR="005A3D08" w:rsidRPr="001F089F" w:rsidRDefault="005A3D08" w:rsidP="004C508D">
      <w:pPr>
        <w:ind w:left="567" w:right="567"/>
        <w:jc w:val="both"/>
        <w:rPr>
          <w:rFonts w:ascii="Palatino Linotype" w:eastAsia="Palatino Linotype" w:hAnsi="Palatino Linotype" w:cs="Palatino Linotype"/>
          <w:b/>
          <w:sz w:val="22"/>
          <w:szCs w:val="22"/>
        </w:rPr>
      </w:pPr>
    </w:p>
    <w:p w:rsidR="005A3D08" w:rsidRPr="001F089F" w:rsidRDefault="005A3D08" w:rsidP="005A3D08">
      <w:pPr>
        <w:autoSpaceDE w:val="0"/>
        <w:autoSpaceDN w:val="0"/>
        <w:adjustRightInd w:val="0"/>
        <w:ind w:left="567" w:right="567"/>
        <w:contextualSpacing/>
        <w:jc w:val="center"/>
        <w:rPr>
          <w:rFonts w:ascii="Palatino Linotype" w:hAnsi="Palatino Linotype" w:cs="Arial"/>
          <w:i/>
          <w:sz w:val="22"/>
          <w:szCs w:val="22"/>
        </w:rPr>
      </w:pPr>
      <w:r w:rsidRPr="001F089F">
        <w:rPr>
          <w:rFonts w:ascii="Palatino Linotype" w:hAnsi="Palatino Linotype" w:cs="Arial"/>
          <w:b/>
          <w:bCs/>
          <w:i/>
          <w:sz w:val="22"/>
          <w:szCs w:val="22"/>
        </w:rPr>
        <w:t>“Criterio 6-09</w:t>
      </w:r>
    </w:p>
    <w:p w:rsidR="005A3D08" w:rsidRPr="001F089F" w:rsidRDefault="005A3D08" w:rsidP="005A3D08">
      <w:pPr>
        <w:autoSpaceDE w:val="0"/>
        <w:autoSpaceDN w:val="0"/>
        <w:adjustRightInd w:val="0"/>
        <w:ind w:left="567" w:right="567"/>
        <w:contextualSpacing/>
        <w:jc w:val="both"/>
        <w:rPr>
          <w:rFonts w:ascii="Palatino Linotype" w:hAnsi="Palatino Linotype" w:cs="Arial"/>
          <w:i/>
          <w:sz w:val="22"/>
          <w:szCs w:val="22"/>
        </w:rPr>
      </w:pPr>
      <w:r w:rsidRPr="001F089F">
        <w:rPr>
          <w:rFonts w:ascii="Palatino Linotype" w:hAnsi="Palatino Linotype" w:cs="Arial"/>
          <w:b/>
          <w:bCs/>
          <w:i/>
          <w:sz w:val="22"/>
          <w:szCs w:val="22"/>
        </w:rPr>
        <w:t xml:space="preserve">Nombres de servidores públicos dedicados a actividades en materia de seguridad, por excepción pueden considerarse información reservada. </w:t>
      </w:r>
      <w:r w:rsidRPr="001F089F">
        <w:rPr>
          <w:rFonts w:ascii="Palatino Linotype" w:hAnsi="Palatino Linotype" w:cs="Arial"/>
          <w:bCs/>
          <w:i/>
          <w:sz w:val="22"/>
          <w:szCs w:val="22"/>
        </w:rPr>
        <w:t xml:space="preserve">De conformidad con el artículo 7, fracciones I y III de la Ley Federal de Transparencia y Acceso a la Información Pública Gubernamental </w:t>
      </w:r>
      <w:r w:rsidRPr="001F089F">
        <w:rPr>
          <w:rFonts w:ascii="Palatino Linotype" w:hAnsi="Palatino Linotype" w:cs="Arial"/>
          <w:b/>
          <w:bCs/>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F089F">
        <w:rPr>
          <w:rFonts w:ascii="Palatino Linotype" w:hAnsi="Palatino Linotype" w:cs="Arial"/>
          <w:bCs/>
          <w:i/>
          <w:sz w:val="22"/>
          <w:szCs w:val="22"/>
        </w:rPr>
        <w:t xml:space="preserve">. En este sentido, se debe señalar que existen funciones </w:t>
      </w:r>
      <w:r w:rsidRPr="001F089F">
        <w:rPr>
          <w:rFonts w:ascii="Palatino Linotype" w:hAnsi="Palatino Linotype" w:cs="Arial"/>
          <w:bCs/>
          <w:i/>
          <w:sz w:val="22"/>
          <w:szCs w:val="22"/>
        </w:rPr>
        <w:lastRenderedPageBreak/>
        <w:t xml:space="preserve">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F089F">
        <w:rPr>
          <w:rFonts w:ascii="Palatino Linotype" w:hAnsi="Palatino Linotype" w:cs="Arial"/>
          <w:b/>
          <w:bCs/>
          <w:i/>
          <w:sz w:val="22"/>
          <w:szCs w:val="22"/>
        </w:rPr>
        <w:t>el artículo 13, fracción I de la ley de referencia se establece que podrá clasificarse aquella información cuya difusión pueda comprometer la seguridad nacional y pública</w:t>
      </w:r>
      <w:r w:rsidRPr="001F089F">
        <w:rPr>
          <w:rFonts w:ascii="Palatino Linotype" w:hAnsi="Palatino Linotype" w:cs="Arial"/>
          <w:bCs/>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1F089F">
        <w:rPr>
          <w:rFonts w:ascii="Palatino Linotype" w:hAnsi="Palatino Linotype" w:cs="Arial"/>
          <w:b/>
          <w:bCs/>
          <w:i/>
          <w:sz w:val="22"/>
          <w:szCs w:val="22"/>
        </w:rPr>
        <w:t>por lo que la reserva de la relación de los nombres y las funciones que desempeñan los servidores públicos que prestan sus servicios en áreas de seguridad nacional o pública</w:t>
      </w:r>
      <w:r w:rsidRPr="001F089F">
        <w:rPr>
          <w:rFonts w:ascii="Palatino Linotype" w:hAnsi="Palatino Linotype" w:cs="Arial"/>
          <w:bCs/>
          <w:i/>
          <w:sz w:val="22"/>
          <w:szCs w:val="22"/>
        </w:rPr>
        <w:t>, puede llegar a constituirse en un componente fundamental en el esfuerzo que realiza el Estado Mexicano para garantizar la seguridad del país en sus diferentes vertientes</w:t>
      </w:r>
      <w:r w:rsidRPr="001F089F">
        <w:rPr>
          <w:rFonts w:ascii="Palatino Linotype" w:hAnsi="Palatino Linotype" w:cs="Arial"/>
          <w:i/>
          <w:sz w:val="22"/>
          <w:szCs w:val="22"/>
        </w:rPr>
        <w:t xml:space="preserve">”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sz w:val="22"/>
          <w:szCs w:val="22"/>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1F089F">
        <w:rPr>
          <w:rFonts w:ascii="Palatino Linotype" w:hAnsi="Palatino Linotype"/>
          <w:b/>
          <w:sz w:val="22"/>
          <w:szCs w:val="22"/>
        </w:rPr>
        <w:t>SUJETO OBLIGADO</w:t>
      </w:r>
      <w:r w:rsidRPr="001F089F">
        <w:rPr>
          <w:rFonts w:ascii="Palatino Linotype" w:hAnsi="Palatino Linotype"/>
          <w:sz w:val="22"/>
          <w:szCs w:val="22"/>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“Artículo 49</w:t>
      </w:r>
      <w:r w:rsidRPr="001F089F">
        <w:rPr>
          <w:rFonts w:ascii="Palatino Linotype" w:hAnsi="Palatino Linotype"/>
          <w:i/>
          <w:sz w:val="22"/>
          <w:szCs w:val="22"/>
        </w:rPr>
        <w:t xml:space="preserve">. Los Comités de Transparencia tendrán las siguientes atribuciones: </w:t>
      </w: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VIII. Aprobar, modificar o revocar la clasificación de la información;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Artículo 132</w:t>
      </w:r>
      <w:r w:rsidRPr="001F089F">
        <w:rPr>
          <w:rFonts w:ascii="Palatino Linotype" w:hAnsi="Palatino Linotype"/>
          <w:i/>
          <w:sz w:val="22"/>
          <w:szCs w:val="22"/>
        </w:rPr>
        <w:t xml:space="preserve">. La clasificación de la información se llevará a cabo en el momento en que: </w:t>
      </w: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I. Se reciba una solicitud de acceso a la información; </w:t>
      </w: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II. Se determine mediante resolución de autoridad competente; o </w:t>
      </w: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III. Se generen versiones públicas para dar cumplimiento a las obligaciones de transparencia previstas en esta Ley.”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Cuarto.</w:t>
      </w:r>
      <w:r w:rsidRPr="001F089F">
        <w:rPr>
          <w:rFonts w:ascii="Palatino Linotype" w:hAnsi="Palatino Linotype"/>
          <w:i/>
          <w:sz w:val="22"/>
          <w:szCs w:val="22"/>
        </w:rPr>
        <w:t xml:space="preserve"> Para clasificar la información como reservada o confidencial, de manera total o parcial, el titular del área del sujeto obligado deberá atender lo dispuesto por el Título Sexto de </w:t>
      </w:r>
      <w:r w:rsidRPr="001F089F">
        <w:rPr>
          <w:rFonts w:ascii="Palatino Linotype" w:hAnsi="Palatino Linotype"/>
          <w:i/>
          <w:sz w:val="22"/>
          <w:szCs w:val="22"/>
        </w:rPr>
        <w:lastRenderedPageBreak/>
        <w:t xml:space="preserve">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Quinto.</w:t>
      </w:r>
      <w:r w:rsidRPr="001F089F">
        <w:rPr>
          <w:rFonts w:ascii="Palatino Linotype" w:hAnsi="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Sexto.</w:t>
      </w:r>
      <w:r w:rsidRPr="001F089F">
        <w:rPr>
          <w:rFonts w:ascii="Palatino Linotype" w:hAnsi="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La clasificación de información se realizará conforme a un análisis caso por caso, mediante la aplicación de la prueba de daño y de interés público.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Séptimo.</w:t>
      </w:r>
      <w:r w:rsidRPr="001F089F">
        <w:rPr>
          <w:rFonts w:ascii="Palatino Linotype" w:hAnsi="Palatino Linotype"/>
          <w:i/>
          <w:sz w:val="22"/>
          <w:szCs w:val="22"/>
        </w:rPr>
        <w:t xml:space="preserve"> La clasificación de la información se llevará a cabo en el momento en que: I. Se reciba una solicitud de acceso a la información;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II. Se determine mediante resolución de autoridad competente, o </w:t>
      </w: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III. Se generen versiones públicas para dar cumplimiento a las obligaciones de transparencia previstas en la Ley General, la Ley Federal y las correspondientes de las entidades federativas.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Los titulares de las áreas deberán revisar la clasificación al momento de la recepción de una solicitud de acceso a la información, para verificar si encuadra en una causal de reserva o de confidencialidad.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Octavo.</w:t>
      </w:r>
      <w:r w:rsidRPr="001F089F">
        <w:rPr>
          <w:rFonts w:ascii="Palatino Linotype" w:hAnsi="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Para motivar la clasificación se deberán señalar las razones o circunstancias especiales que lo llevaron a concluir que el caso particular se ajusta al supuesto previsto por la norma legal invocada como fundamento.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lastRenderedPageBreak/>
        <w:t xml:space="preserve">En caso de referirse a información reservada, la motivación de la clasificación también deberá comprender las circunstancias que justifican el establecimiento de determinado plazo de reserva.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Décimo</w:t>
      </w:r>
      <w:r w:rsidRPr="001F089F">
        <w:rPr>
          <w:rFonts w:ascii="Palatino Linotype" w:hAnsi="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i/>
          <w:sz w:val="22"/>
          <w:szCs w:val="22"/>
        </w:rPr>
        <w:t xml:space="preserve">En ausencia de los titulares de las áreas, la información será clasificada o desclasificada por la persona que lo supla, en términos de la normativa que rija la actuación del sujeto obligado. </w:t>
      </w:r>
    </w:p>
    <w:p w:rsidR="005A3D08" w:rsidRPr="001F089F" w:rsidRDefault="005A3D08" w:rsidP="005A3D08">
      <w:pPr>
        <w:ind w:left="567" w:right="567"/>
        <w:contextualSpacing/>
        <w:jc w:val="both"/>
        <w:rPr>
          <w:rFonts w:ascii="Palatino Linotype" w:hAnsi="Palatino Linotype"/>
          <w:i/>
          <w:sz w:val="22"/>
          <w:szCs w:val="22"/>
        </w:rPr>
      </w:pPr>
    </w:p>
    <w:p w:rsidR="005A3D08" w:rsidRPr="001F089F" w:rsidRDefault="005A3D08" w:rsidP="005A3D08">
      <w:pPr>
        <w:ind w:left="567" w:right="567"/>
        <w:contextualSpacing/>
        <w:jc w:val="both"/>
        <w:rPr>
          <w:rFonts w:ascii="Palatino Linotype" w:hAnsi="Palatino Linotype"/>
          <w:i/>
          <w:sz w:val="22"/>
          <w:szCs w:val="22"/>
        </w:rPr>
      </w:pPr>
      <w:r w:rsidRPr="001F089F">
        <w:rPr>
          <w:rFonts w:ascii="Palatino Linotype" w:hAnsi="Palatino Linotype"/>
          <w:b/>
          <w:i/>
          <w:sz w:val="22"/>
          <w:szCs w:val="22"/>
        </w:rPr>
        <w:t>Décimo primero</w:t>
      </w:r>
      <w:r w:rsidRPr="001F089F">
        <w:rPr>
          <w:rFonts w:ascii="Palatino Linotype" w:hAnsi="Palatino Linotype"/>
          <w:i/>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sz w:val="22"/>
          <w:szCs w:val="22"/>
        </w:rPr>
        <w:t>En tal contexto se deberá proceder a la clasificación de los nombres de los elementos de policía que realicen actividades operativas en campo.</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keepNext/>
        <w:keepLines/>
        <w:spacing w:before="240" w:line="360" w:lineRule="auto"/>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lastRenderedPageBreak/>
        <w:t xml:space="preserve">SEXTO. </w:t>
      </w:r>
      <w:r w:rsidRPr="001F089F">
        <w:rPr>
          <w:rFonts w:ascii="Palatino Linotype" w:hAnsi="Palatino Linotype"/>
          <w:b/>
          <w:sz w:val="22"/>
          <w:szCs w:val="22"/>
        </w:rPr>
        <w:t>Vista a la Secretaría Técnica del Pleno.</w:t>
      </w:r>
    </w:p>
    <w:p w:rsidR="005A3D08" w:rsidRPr="001F089F" w:rsidRDefault="005A3D08" w:rsidP="004C508D">
      <w:pPr>
        <w:keepNext/>
        <w:keepLines/>
        <w:spacing w:before="240"/>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sz w:val="22"/>
          <w:szCs w:val="22"/>
        </w:rPr>
        <w:t xml:space="preserve">Este </w:t>
      </w:r>
      <w:r w:rsidRPr="001F089F">
        <w:rPr>
          <w:rFonts w:ascii="Palatino Linotype" w:eastAsia="MS Mincho" w:hAnsi="Palatino Linotype" w:cs="Bookman Old Style"/>
          <w:sz w:val="22"/>
          <w:szCs w:val="22"/>
        </w:rPr>
        <w:t xml:space="preserve">Órgano Garante, advierte que se dejó a la vista información susceptible de ser clasificada como reservada (nombre de una servidora pública que cuenta con un expediente de juicio laboral en trámite); </w:t>
      </w:r>
      <w:r w:rsidRPr="001F089F">
        <w:rPr>
          <w:rFonts w:ascii="Palatino Linotype" w:hAnsi="Palatino Linotype"/>
          <w:sz w:val="22"/>
          <w:szCs w:val="22"/>
        </w:rPr>
        <w:t>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sz w:val="22"/>
          <w:szCs w:val="22"/>
        </w:rPr>
        <w:t xml:space="preserve">Precisado lo anterior, resulta conducente dar vista a la Secretaría Técnica del Pleno, para que en el ejercicio de las competencias reservadas integre y remita al Órgano Interno de Control un expediente formado con motivo de las presuntas infracciones de carácter omisivo cometidas en detrimento al derecho de acceso a la información.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sz w:val="22"/>
          <w:szCs w:val="22"/>
        </w:rPr>
        <w:t>En efecto, la Secretaría técnica del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rsidR="005A3D08" w:rsidRPr="001F089F" w:rsidRDefault="005A3D08" w:rsidP="004C508D">
      <w:pPr>
        <w:ind w:right="1"/>
        <w:jc w:val="both"/>
        <w:rPr>
          <w:rFonts w:ascii="Palatino Linotype" w:hAnsi="Palatino Linotype"/>
          <w:sz w:val="22"/>
          <w:szCs w:val="22"/>
        </w:rPr>
      </w:pPr>
    </w:p>
    <w:p w:rsidR="005A3D08" w:rsidRPr="001F089F" w:rsidRDefault="005A3D08" w:rsidP="005A3D08">
      <w:pPr>
        <w:pStyle w:val="Prrafodelista"/>
        <w:spacing w:line="276" w:lineRule="auto"/>
        <w:ind w:left="567" w:right="567"/>
        <w:jc w:val="both"/>
        <w:rPr>
          <w:rFonts w:ascii="Palatino Linotype" w:hAnsi="Palatino Linotype"/>
          <w:i/>
          <w:szCs w:val="22"/>
        </w:rPr>
      </w:pPr>
      <w:r w:rsidRPr="001F089F">
        <w:rPr>
          <w:rFonts w:ascii="Palatino Linotype" w:hAnsi="Palatino Linotype"/>
          <w:i/>
          <w:szCs w:val="22"/>
        </w:rPr>
        <w:t>“</w:t>
      </w:r>
      <w:r w:rsidRPr="001F089F">
        <w:rPr>
          <w:rFonts w:ascii="Palatino Linotype" w:hAnsi="Palatino Linotype"/>
          <w:b/>
          <w:i/>
          <w:szCs w:val="22"/>
        </w:rPr>
        <w:t>Artículo 190.</w:t>
      </w:r>
      <w:r w:rsidRPr="001F089F">
        <w:rPr>
          <w:rFonts w:ascii="Palatino Linotype" w:hAnsi="Palatino Linotype"/>
          <w:i/>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A3D08" w:rsidRPr="001F089F" w:rsidRDefault="005A3D08" w:rsidP="005A3D08">
      <w:pPr>
        <w:pStyle w:val="Prrafodelista"/>
        <w:spacing w:line="276" w:lineRule="auto"/>
        <w:ind w:left="567" w:right="567"/>
        <w:jc w:val="both"/>
        <w:rPr>
          <w:rFonts w:ascii="Palatino Linotype" w:hAnsi="Palatino Linotype"/>
          <w:i/>
          <w:szCs w:val="22"/>
        </w:rPr>
      </w:pPr>
    </w:p>
    <w:p w:rsidR="005A3D08" w:rsidRPr="001F089F" w:rsidRDefault="005A3D08" w:rsidP="005A3D08">
      <w:pPr>
        <w:pStyle w:val="Prrafodelista"/>
        <w:spacing w:line="276" w:lineRule="auto"/>
        <w:ind w:left="567" w:right="567"/>
        <w:jc w:val="both"/>
        <w:rPr>
          <w:rFonts w:ascii="Palatino Linotype" w:hAnsi="Palatino Linotype"/>
          <w:i/>
          <w:szCs w:val="22"/>
        </w:rPr>
      </w:pPr>
      <w:r w:rsidRPr="001F089F">
        <w:rPr>
          <w:rFonts w:ascii="Palatino Linotype" w:hAnsi="Palatino Linotype"/>
          <w:b/>
          <w:i/>
          <w:szCs w:val="22"/>
        </w:rPr>
        <w:lastRenderedPageBreak/>
        <w:t>Artículo 222.</w:t>
      </w:r>
      <w:r w:rsidRPr="001F089F">
        <w:rPr>
          <w:rFonts w:ascii="Palatino Linotype" w:hAnsi="Palatino Linotype"/>
          <w:i/>
          <w:szCs w:val="22"/>
        </w:rPr>
        <w:t xml:space="preserve"> Son causas de responsabilidad administrativa de los servidores públicos de los sujetos obligados, por incumplimiento de las obligaciones establecidas en la materia de la presente Ley, las siguientes:</w:t>
      </w:r>
    </w:p>
    <w:p w:rsidR="005A3D08" w:rsidRPr="001F089F" w:rsidRDefault="005A3D08" w:rsidP="005A3D08">
      <w:pPr>
        <w:pStyle w:val="Prrafodelista"/>
        <w:spacing w:line="276" w:lineRule="auto"/>
        <w:ind w:left="567" w:right="567"/>
        <w:jc w:val="both"/>
        <w:rPr>
          <w:rFonts w:ascii="Palatino Linotype" w:hAnsi="Palatino Linotype"/>
          <w:i/>
          <w:szCs w:val="22"/>
        </w:rPr>
      </w:pPr>
      <w:r w:rsidRPr="001F089F">
        <w:rPr>
          <w:rFonts w:ascii="Palatino Linotype" w:hAnsi="Palatino Linotype"/>
          <w:i/>
          <w:szCs w:val="22"/>
        </w:rPr>
        <w:t>(…)</w:t>
      </w:r>
    </w:p>
    <w:p w:rsidR="005A3D08" w:rsidRPr="001F089F" w:rsidRDefault="005A3D08" w:rsidP="005A3D08">
      <w:pPr>
        <w:pStyle w:val="Prrafodelista"/>
        <w:spacing w:line="276" w:lineRule="auto"/>
        <w:ind w:left="567" w:right="567"/>
        <w:jc w:val="both"/>
        <w:rPr>
          <w:rFonts w:ascii="Palatino Linotype" w:hAnsi="Palatino Linotype"/>
          <w:i/>
          <w:szCs w:val="22"/>
        </w:rPr>
      </w:pPr>
      <w:r w:rsidRPr="001F089F">
        <w:rPr>
          <w:rFonts w:ascii="Palatino Linotype" w:hAnsi="Palatino Linotype"/>
          <w:i/>
          <w:szCs w:val="22"/>
        </w:rPr>
        <w:t>I. Cualquier acto u omisión que provoque la suspensión o deficiencia en la atención de las solicitudes de información;</w:t>
      </w:r>
    </w:p>
    <w:p w:rsidR="005A3D08" w:rsidRPr="001F089F" w:rsidRDefault="005A3D08" w:rsidP="005A3D08">
      <w:pPr>
        <w:pStyle w:val="Prrafodelista"/>
        <w:spacing w:line="276" w:lineRule="auto"/>
        <w:ind w:left="567" w:right="567"/>
        <w:jc w:val="both"/>
        <w:rPr>
          <w:rFonts w:ascii="Palatino Linotype" w:hAnsi="Palatino Linotype"/>
          <w:i/>
          <w:szCs w:val="22"/>
        </w:rPr>
      </w:pPr>
      <w:r w:rsidRPr="001F089F">
        <w:rPr>
          <w:rFonts w:ascii="Palatino Linotype" w:hAnsi="Palatino Linotype"/>
          <w:i/>
          <w:szCs w:val="22"/>
        </w:rPr>
        <w:t>(…)</w:t>
      </w:r>
    </w:p>
    <w:p w:rsidR="005A3D08" w:rsidRPr="001F089F" w:rsidRDefault="005A3D08" w:rsidP="005A3D08">
      <w:pPr>
        <w:pStyle w:val="Prrafodelista"/>
        <w:spacing w:line="276" w:lineRule="auto"/>
        <w:ind w:left="567" w:right="567"/>
        <w:rPr>
          <w:rFonts w:ascii="Palatino Linotype" w:hAnsi="Palatino Linotype"/>
          <w:i/>
          <w:szCs w:val="22"/>
        </w:rPr>
      </w:pPr>
      <w:r w:rsidRPr="001F089F">
        <w:rPr>
          <w:rFonts w:ascii="Palatino Linotype" w:hAnsi="Palatino Linotype"/>
          <w:i/>
          <w:szCs w:val="22"/>
        </w:rPr>
        <w:t>IV. Entregar información clasificada como reservada;</w:t>
      </w:r>
    </w:p>
    <w:p w:rsidR="005A3D08" w:rsidRPr="001F089F" w:rsidRDefault="005A3D08" w:rsidP="005A3D08">
      <w:pPr>
        <w:pStyle w:val="Prrafodelista"/>
        <w:spacing w:line="276" w:lineRule="auto"/>
        <w:ind w:left="567" w:right="567"/>
        <w:jc w:val="both"/>
        <w:rPr>
          <w:rFonts w:ascii="Palatino Linotype" w:hAnsi="Palatino Linotype"/>
          <w:i/>
          <w:szCs w:val="22"/>
        </w:rPr>
      </w:pPr>
      <w:r w:rsidRPr="001F089F">
        <w:rPr>
          <w:rFonts w:ascii="Palatino Linotype" w:hAnsi="Palatino Linotype"/>
          <w:i/>
          <w:szCs w:val="22"/>
        </w:rPr>
        <w:t xml:space="preserve">(…)” </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sz w:val="22"/>
          <w:szCs w:val="22"/>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rsidR="005A3D08" w:rsidRPr="001F089F" w:rsidRDefault="005A3D08" w:rsidP="005A3D08">
      <w:pPr>
        <w:spacing w:line="360" w:lineRule="auto"/>
        <w:ind w:right="1"/>
        <w:jc w:val="both"/>
        <w:rPr>
          <w:rFonts w:ascii="Palatino Linotype" w:eastAsia="Palatino Linotype" w:hAnsi="Palatino Linotype" w:cs="Palatino Linotype"/>
          <w:b/>
          <w:sz w:val="22"/>
          <w:szCs w:val="22"/>
        </w:rPr>
      </w:pPr>
    </w:p>
    <w:p w:rsidR="005A3D08" w:rsidRPr="001F089F" w:rsidRDefault="005A3D08" w:rsidP="005A3D08">
      <w:pPr>
        <w:spacing w:after="160"/>
        <w:ind w:left="567" w:right="567"/>
        <w:contextualSpacing/>
        <w:jc w:val="both"/>
        <w:rPr>
          <w:rFonts w:ascii="Palatino Linotype" w:hAnsi="Palatino Linotype"/>
          <w:sz w:val="22"/>
          <w:szCs w:val="22"/>
        </w:rPr>
      </w:pPr>
      <w:r w:rsidRPr="001F089F">
        <w:rPr>
          <w:rFonts w:ascii="Palatino Linotype" w:hAnsi="Palatino Linotype"/>
          <w:b/>
          <w:i/>
          <w:sz w:val="22"/>
          <w:szCs w:val="22"/>
        </w:rPr>
        <w:t>“Artículo 19.</w:t>
      </w:r>
      <w:r w:rsidRPr="001F089F">
        <w:rPr>
          <w:rFonts w:ascii="Palatino Linotype" w:hAnsi="Palatino Linotype"/>
          <w:i/>
          <w:sz w:val="22"/>
          <w:szCs w:val="22"/>
        </w:rPr>
        <w:t xml:space="preserve"> Corresponde a la Secretaría Técnica del Pleno ejercer las atribuciones siguientes:</w:t>
      </w:r>
    </w:p>
    <w:p w:rsidR="005A3D08" w:rsidRPr="001F089F" w:rsidRDefault="005A3D08" w:rsidP="005A3D08">
      <w:pPr>
        <w:pStyle w:val="Prrafodelista"/>
        <w:spacing w:before="240" w:after="240"/>
        <w:ind w:left="567" w:right="567"/>
        <w:jc w:val="both"/>
        <w:rPr>
          <w:rFonts w:ascii="Palatino Linotype" w:hAnsi="Palatino Linotype"/>
          <w:i/>
          <w:szCs w:val="22"/>
        </w:rPr>
      </w:pPr>
      <w:r w:rsidRPr="001F089F">
        <w:rPr>
          <w:rFonts w:ascii="Palatino Linotype" w:hAnsi="Palatino Linotype"/>
          <w:i/>
          <w:szCs w:val="22"/>
        </w:rPr>
        <w:t>(…)</w:t>
      </w:r>
    </w:p>
    <w:p w:rsidR="005A3D08" w:rsidRPr="001F089F" w:rsidRDefault="005A3D08" w:rsidP="005A3D08">
      <w:pPr>
        <w:pStyle w:val="Prrafodelista"/>
        <w:spacing w:before="240" w:after="240"/>
        <w:ind w:left="567" w:right="567"/>
        <w:jc w:val="both"/>
        <w:rPr>
          <w:rFonts w:ascii="Palatino Linotype" w:hAnsi="Palatino Linotype"/>
          <w:i/>
          <w:szCs w:val="22"/>
        </w:rPr>
      </w:pPr>
    </w:p>
    <w:p w:rsidR="005A3D08" w:rsidRPr="001F089F" w:rsidRDefault="005A3D08" w:rsidP="005A3D08">
      <w:pPr>
        <w:pStyle w:val="Prrafodelista"/>
        <w:spacing w:before="240" w:after="240"/>
        <w:ind w:left="567" w:right="567"/>
        <w:jc w:val="both"/>
        <w:rPr>
          <w:rFonts w:ascii="Palatino Linotype" w:hAnsi="Palatino Linotype"/>
          <w:i/>
          <w:szCs w:val="22"/>
        </w:rPr>
      </w:pPr>
      <w:r w:rsidRPr="001F089F">
        <w:rPr>
          <w:rFonts w:ascii="Palatino Linotype" w:hAnsi="Palatino Linotype"/>
          <w:i/>
          <w:szCs w:val="22"/>
        </w:rPr>
        <w:t>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w:t>
      </w:r>
    </w:p>
    <w:p w:rsidR="005A3D08" w:rsidRPr="001F089F" w:rsidRDefault="005A3D08" w:rsidP="005A3D08">
      <w:pPr>
        <w:pStyle w:val="Prrafodelista"/>
        <w:spacing w:before="240" w:after="240"/>
        <w:ind w:left="567" w:right="567"/>
        <w:jc w:val="both"/>
        <w:rPr>
          <w:rFonts w:ascii="Palatino Linotype" w:hAnsi="Palatino Linotype"/>
          <w:i/>
          <w:szCs w:val="22"/>
        </w:rPr>
      </w:pPr>
      <w:r w:rsidRPr="001F089F">
        <w:rPr>
          <w:rFonts w:ascii="Palatino Linotype" w:hAnsi="Palatino Linotype"/>
          <w:i/>
          <w:szCs w:val="22"/>
        </w:rPr>
        <w:t>(…)”</w:t>
      </w:r>
    </w:p>
    <w:p w:rsidR="005A3D08" w:rsidRPr="001F089F" w:rsidRDefault="005A3D08" w:rsidP="004C508D">
      <w:pPr>
        <w:ind w:right="1"/>
        <w:jc w:val="both"/>
        <w:rPr>
          <w:rFonts w:ascii="Palatino Linotype" w:eastAsia="Palatino Linotype" w:hAnsi="Palatino Linotype" w:cs="Palatino Linotype"/>
          <w:b/>
          <w:sz w:val="22"/>
          <w:szCs w:val="22"/>
        </w:rPr>
      </w:pPr>
    </w:p>
    <w:p w:rsidR="005A3D08" w:rsidRPr="001F089F" w:rsidRDefault="005A3D08" w:rsidP="005A3D08">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hAnsi="Palatino Linotype"/>
          <w:sz w:val="22"/>
          <w:szCs w:val="22"/>
        </w:rPr>
        <w:t xml:space="preserve">Por lo que es menester en este asunto, dar vista a la Secretaría Técnica del Pleno a efecto de que ejerza las atribuciones previstas en la normatividad aplicable y comunique al  Órgano de Control Interno de este Instituto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w:t>
      </w:r>
      <w:r w:rsidRPr="001F089F">
        <w:rPr>
          <w:rFonts w:ascii="Palatino Linotype" w:hAnsi="Palatino Linotype"/>
          <w:sz w:val="22"/>
          <w:szCs w:val="22"/>
        </w:rPr>
        <w:lastRenderedPageBreak/>
        <w:t>aplicables en la materia, deberá hacerlo del conocimiento del órgano de control interno de la instancia competente para que éste inicie, en su caso, el procedimiento de responsabilidad respectivo, cuyo resultado deberá de ser informado al Instituto.</w:t>
      </w:r>
    </w:p>
    <w:p w:rsidR="00A379D4" w:rsidRPr="001F089F" w:rsidRDefault="00A379D4" w:rsidP="004C508D">
      <w:pPr>
        <w:ind w:right="1"/>
        <w:jc w:val="both"/>
        <w:rPr>
          <w:rFonts w:ascii="Palatino Linotype" w:eastAsia="Palatino Linotype" w:hAnsi="Palatino Linotype" w:cs="Palatino Linotype"/>
          <w:b/>
          <w:sz w:val="22"/>
          <w:szCs w:val="22"/>
        </w:rPr>
      </w:pPr>
    </w:p>
    <w:p w:rsidR="00E94D86" w:rsidRPr="001F089F" w:rsidRDefault="001E3125">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color w:val="222222"/>
          <w:sz w:val="22"/>
          <w:szCs w:val="22"/>
        </w:rPr>
        <w:t xml:space="preserve">Por lo anteriormente expuesto y fundado, este </w:t>
      </w:r>
      <w:r w:rsidRPr="001F089F">
        <w:rPr>
          <w:rFonts w:ascii="Palatino Linotype" w:eastAsia="Palatino Linotype" w:hAnsi="Palatino Linotype" w:cs="Palatino Linotype"/>
          <w:b/>
          <w:color w:val="222222"/>
          <w:sz w:val="22"/>
          <w:szCs w:val="22"/>
        </w:rPr>
        <w:t>ÓRGANO GARANTE</w:t>
      </w:r>
      <w:r w:rsidRPr="001F089F">
        <w:rPr>
          <w:rFonts w:ascii="Palatino Linotype" w:eastAsia="Palatino Linotype" w:hAnsi="Palatino Linotype" w:cs="Palatino Linotype"/>
          <w:color w:val="222222"/>
          <w:sz w:val="22"/>
          <w:szCs w:val="22"/>
        </w:rPr>
        <w:t xml:space="preserve"> emite los siguientes:</w:t>
      </w:r>
    </w:p>
    <w:p w:rsidR="00E94D86" w:rsidRPr="001F089F" w:rsidRDefault="00E94D86" w:rsidP="004C508D">
      <w:pPr>
        <w:ind w:right="-592"/>
        <w:jc w:val="both"/>
        <w:rPr>
          <w:rFonts w:ascii="Palatino Linotype" w:eastAsia="Palatino Linotype" w:hAnsi="Palatino Linotype" w:cs="Palatino Linotype"/>
          <w:b/>
          <w:sz w:val="22"/>
          <w:szCs w:val="22"/>
        </w:rPr>
      </w:pPr>
    </w:p>
    <w:p w:rsidR="00E94D86" w:rsidRPr="001F089F" w:rsidRDefault="001E3125">
      <w:pPr>
        <w:keepNext/>
        <w:keepLines/>
        <w:spacing w:line="360" w:lineRule="auto"/>
        <w:ind w:right="-592"/>
        <w:jc w:val="center"/>
        <w:rPr>
          <w:rFonts w:ascii="Palatino Linotype" w:eastAsia="Palatino Linotype" w:hAnsi="Palatino Linotype" w:cs="Palatino Linotype"/>
          <w:b/>
          <w:color w:val="000000"/>
          <w:sz w:val="22"/>
          <w:szCs w:val="22"/>
        </w:rPr>
      </w:pPr>
      <w:r w:rsidRPr="001F089F">
        <w:rPr>
          <w:rFonts w:ascii="Palatino Linotype" w:eastAsia="Palatino Linotype" w:hAnsi="Palatino Linotype" w:cs="Palatino Linotype"/>
          <w:b/>
          <w:color w:val="000000"/>
          <w:sz w:val="22"/>
          <w:szCs w:val="22"/>
        </w:rPr>
        <w:t>R E S O L U T I V O S</w:t>
      </w:r>
    </w:p>
    <w:p w:rsidR="00E94D86" w:rsidRPr="001F089F" w:rsidRDefault="001E3125">
      <w:pPr>
        <w:spacing w:before="240" w:after="240" w:line="360" w:lineRule="auto"/>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b/>
          <w:sz w:val="22"/>
          <w:szCs w:val="22"/>
        </w:rPr>
        <w:t>PRIMERO</w:t>
      </w:r>
      <w:r w:rsidRPr="001F089F">
        <w:rPr>
          <w:rFonts w:ascii="Palatino Linotype" w:eastAsia="Palatino Linotype" w:hAnsi="Palatino Linotype" w:cs="Palatino Linotype"/>
          <w:sz w:val="22"/>
          <w:szCs w:val="22"/>
        </w:rPr>
        <w:t xml:space="preserve">. Resultan fundadas las razones o motivos de inconformidad hechos valer en el Recurso de Revisión </w:t>
      </w:r>
      <w:r w:rsidR="00A379D4" w:rsidRPr="001F089F">
        <w:rPr>
          <w:rFonts w:ascii="Palatino Linotype" w:eastAsia="Palatino Linotype" w:hAnsi="Palatino Linotype" w:cs="Palatino Linotype"/>
          <w:b/>
          <w:sz w:val="22"/>
          <w:szCs w:val="22"/>
        </w:rPr>
        <w:t>04163</w:t>
      </w:r>
      <w:r w:rsidRPr="001F089F">
        <w:rPr>
          <w:rFonts w:ascii="Palatino Linotype" w:eastAsia="Palatino Linotype" w:hAnsi="Palatino Linotype" w:cs="Palatino Linotype"/>
          <w:b/>
          <w:sz w:val="22"/>
          <w:szCs w:val="22"/>
        </w:rPr>
        <w:t>/INFOEM/IP/RR/2024</w:t>
      </w:r>
      <w:r w:rsidRPr="001F089F">
        <w:rPr>
          <w:rFonts w:ascii="Palatino Linotype" w:eastAsia="Palatino Linotype" w:hAnsi="Palatino Linotype" w:cs="Palatino Linotype"/>
          <w:sz w:val="22"/>
          <w:szCs w:val="22"/>
        </w:rPr>
        <w:t>,</w:t>
      </w:r>
      <w:r w:rsidRPr="001F089F">
        <w:rPr>
          <w:rFonts w:ascii="Palatino Linotype" w:eastAsia="Palatino Linotype" w:hAnsi="Palatino Linotype" w:cs="Palatino Linotype"/>
          <w:b/>
          <w:sz w:val="22"/>
          <w:szCs w:val="22"/>
        </w:rPr>
        <w:t xml:space="preserve"> </w:t>
      </w:r>
      <w:r w:rsidRPr="001F089F">
        <w:rPr>
          <w:rFonts w:ascii="Palatino Linotype" w:eastAsia="Palatino Linotype" w:hAnsi="Palatino Linotype" w:cs="Palatino Linotype"/>
          <w:sz w:val="22"/>
          <w:szCs w:val="22"/>
        </w:rPr>
        <w:t>en términos del Considerando y Quinto</w:t>
      </w:r>
      <w:r w:rsidRPr="001F089F">
        <w:rPr>
          <w:rFonts w:ascii="Palatino Linotype" w:eastAsia="Palatino Linotype" w:hAnsi="Palatino Linotype" w:cs="Palatino Linotype"/>
          <w:b/>
          <w:sz w:val="22"/>
          <w:szCs w:val="22"/>
        </w:rPr>
        <w:t xml:space="preserve"> </w:t>
      </w:r>
      <w:r w:rsidRPr="001F089F">
        <w:rPr>
          <w:rFonts w:ascii="Palatino Linotype" w:eastAsia="Palatino Linotype" w:hAnsi="Palatino Linotype" w:cs="Palatino Linotype"/>
          <w:sz w:val="22"/>
          <w:szCs w:val="22"/>
        </w:rPr>
        <w:t>de la presente Resolución.</w:t>
      </w:r>
    </w:p>
    <w:p w:rsidR="00A379D4" w:rsidRPr="001F089F" w:rsidRDefault="001E3125" w:rsidP="00A379D4">
      <w:pPr>
        <w:shd w:val="clear" w:color="auto" w:fill="FFFFFF"/>
        <w:spacing w:before="240" w:after="360" w:line="360" w:lineRule="auto"/>
        <w:ind w:right="1"/>
        <w:jc w:val="both"/>
        <w:rPr>
          <w:rFonts w:ascii="Palatino Linotype" w:eastAsia="Palatino Linotype" w:hAnsi="Palatino Linotype" w:cs="Palatino Linotype"/>
          <w:sz w:val="22"/>
          <w:szCs w:val="22"/>
        </w:rPr>
      </w:pPr>
      <w:bookmarkStart w:id="7" w:name="_heading=h.1fob9te" w:colFirst="0" w:colLast="0"/>
      <w:bookmarkEnd w:id="7"/>
      <w:r w:rsidRPr="001F089F">
        <w:rPr>
          <w:rFonts w:ascii="Palatino Linotype" w:eastAsia="Palatino Linotype" w:hAnsi="Palatino Linotype" w:cs="Palatino Linotype"/>
          <w:b/>
          <w:sz w:val="22"/>
          <w:szCs w:val="22"/>
        </w:rPr>
        <w:t>SEGUNDO.</w:t>
      </w:r>
      <w:r w:rsidRPr="001F089F">
        <w:rPr>
          <w:rFonts w:ascii="Palatino Linotype" w:eastAsia="Palatino Linotype" w:hAnsi="Palatino Linotype" w:cs="Palatino Linotype"/>
          <w:b/>
          <w:color w:val="000000"/>
          <w:sz w:val="22"/>
          <w:szCs w:val="22"/>
        </w:rPr>
        <w:t xml:space="preserve"> </w:t>
      </w:r>
      <w:r w:rsidRPr="001F089F">
        <w:rPr>
          <w:rFonts w:ascii="Palatino Linotype" w:eastAsia="Palatino Linotype" w:hAnsi="Palatino Linotype" w:cs="Palatino Linotype"/>
          <w:color w:val="000000"/>
          <w:sz w:val="22"/>
          <w:szCs w:val="22"/>
        </w:rPr>
        <w:t xml:space="preserve">Se </w:t>
      </w:r>
      <w:r w:rsidR="00A379D4" w:rsidRPr="001F089F">
        <w:rPr>
          <w:rFonts w:ascii="Palatino Linotype" w:eastAsia="Palatino Linotype" w:hAnsi="Palatino Linotype" w:cs="Palatino Linotype"/>
          <w:b/>
          <w:color w:val="000000"/>
          <w:sz w:val="22"/>
          <w:szCs w:val="22"/>
        </w:rPr>
        <w:t>MODIFICA</w:t>
      </w:r>
      <w:r w:rsidRPr="001F089F">
        <w:rPr>
          <w:rFonts w:ascii="Palatino Linotype" w:eastAsia="Palatino Linotype" w:hAnsi="Palatino Linotype" w:cs="Palatino Linotype"/>
          <w:b/>
          <w:color w:val="000000"/>
          <w:sz w:val="22"/>
          <w:szCs w:val="22"/>
        </w:rPr>
        <w:t xml:space="preserve"> </w:t>
      </w:r>
      <w:r w:rsidRPr="001F089F">
        <w:rPr>
          <w:rFonts w:ascii="Palatino Linotype" w:eastAsia="Palatino Linotype" w:hAnsi="Palatino Linotype" w:cs="Palatino Linotype"/>
          <w:color w:val="000000"/>
          <w:sz w:val="22"/>
          <w:szCs w:val="22"/>
        </w:rPr>
        <w:t xml:space="preserve">la respuesta emitida por el </w:t>
      </w:r>
      <w:r w:rsidR="00A379D4" w:rsidRPr="001F089F">
        <w:rPr>
          <w:rFonts w:ascii="Palatino Linotype" w:eastAsia="Palatino Linotype" w:hAnsi="Palatino Linotype" w:cs="Palatino Linotype"/>
          <w:b/>
          <w:sz w:val="22"/>
          <w:szCs w:val="22"/>
        </w:rPr>
        <w:t>Ayuntamiento de Ecatzingo</w:t>
      </w:r>
      <w:r w:rsidR="00651426" w:rsidRPr="001F089F">
        <w:rPr>
          <w:rFonts w:ascii="Palatino Linotype" w:eastAsia="Palatino Linotype" w:hAnsi="Palatino Linotype" w:cs="Palatino Linotype"/>
          <w:color w:val="000000"/>
          <w:sz w:val="22"/>
          <w:szCs w:val="22"/>
        </w:rPr>
        <w:t xml:space="preserve"> </w:t>
      </w:r>
      <w:r w:rsidRPr="001F089F">
        <w:rPr>
          <w:rFonts w:ascii="Palatino Linotype" w:eastAsia="Palatino Linotype" w:hAnsi="Palatino Linotype" w:cs="Palatino Linotype"/>
          <w:color w:val="000000"/>
          <w:sz w:val="22"/>
          <w:szCs w:val="22"/>
        </w:rPr>
        <w:t xml:space="preserve">y se </w:t>
      </w:r>
      <w:r w:rsidRPr="001F089F">
        <w:rPr>
          <w:rFonts w:ascii="Palatino Linotype" w:eastAsia="Palatino Linotype" w:hAnsi="Palatino Linotype" w:cs="Palatino Linotype"/>
          <w:b/>
          <w:color w:val="000000"/>
          <w:sz w:val="22"/>
          <w:szCs w:val="22"/>
        </w:rPr>
        <w:t>ORDENA</w:t>
      </w:r>
      <w:r w:rsidRPr="001F089F">
        <w:rPr>
          <w:rFonts w:ascii="Palatino Linotype" w:eastAsia="Palatino Linotype" w:hAnsi="Palatino Linotype" w:cs="Palatino Linotype"/>
          <w:color w:val="000000"/>
          <w:sz w:val="22"/>
          <w:szCs w:val="22"/>
        </w:rPr>
        <w:t xml:space="preserve"> </w:t>
      </w:r>
      <w:r w:rsidRPr="001F089F">
        <w:rPr>
          <w:rFonts w:ascii="Palatino Linotype" w:eastAsia="Palatino Linotype" w:hAnsi="Palatino Linotype" w:cs="Palatino Linotype"/>
          <w:sz w:val="22"/>
          <w:szCs w:val="22"/>
        </w:rPr>
        <w:t xml:space="preserve">entregar vía Sistema de Accesos a la Información Mexiquense </w:t>
      </w:r>
      <w:r w:rsidRPr="001F089F">
        <w:rPr>
          <w:rFonts w:ascii="Palatino Linotype" w:eastAsia="Palatino Linotype" w:hAnsi="Palatino Linotype" w:cs="Palatino Linotype"/>
          <w:b/>
          <w:sz w:val="22"/>
          <w:szCs w:val="22"/>
        </w:rPr>
        <w:t>(SAIMEX)</w:t>
      </w:r>
      <w:r w:rsidR="00651426" w:rsidRPr="001F089F">
        <w:rPr>
          <w:rFonts w:ascii="Palatino Linotype" w:eastAsia="Palatino Linotype" w:hAnsi="Palatino Linotype" w:cs="Palatino Linotype"/>
          <w:sz w:val="22"/>
          <w:szCs w:val="22"/>
        </w:rPr>
        <w:t xml:space="preserve">, de ser procedente en </w:t>
      </w:r>
      <w:r w:rsidRPr="001F089F">
        <w:rPr>
          <w:rFonts w:ascii="Palatino Linotype" w:eastAsia="Palatino Linotype" w:hAnsi="Palatino Linotype" w:cs="Palatino Linotype"/>
          <w:sz w:val="22"/>
          <w:szCs w:val="22"/>
        </w:rPr>
        <w:t>versión pública,</w:t>
      </w:r>
      <w:r w:rsidR="00600A77" w:rsidRPr="001F089F">
        <w:rPr>
          <w:rFonts w:ascii="Palatino Linotype" w:eastAsia="Palatino Linotype" w:hAnsi="Palatino Linotype" w:cs="Palatino Linotype"/>
          <w:sz w:val="22"/>
          <w:szCs w:val="22"/>
        </w:rPr>
        <w:t xml:space="preserve"> </w:t>
      </w:r>
      <w:r w:rsidRPr="001F089F">
        <w:rPr>
          <w:rFonts w:ascii="Palatino Linotype" w:eastAsia="Palatino Linotype" w:hAnsi="Palatino Linotype" w:cs="Palatino Linotype"/>
          <w:sz w:val="22"/>
          <w:szCs w:val="22"/>
        </w:rPr>
        <w:t>lo siguiente:</w:t>
      </w:r>
    </w:p>
    <w:p w:rsidR="00A379D4" w:rsidRPr="001F089F" w:rsidRDefault="00A379D4" w:rsidP="00A379D4">
      <w:pPr>
        <w:shd w:val="clear" w:color="auto" w:fill="FFFFFF"/>
        <w:spacing w:before="240" w:after="360"/>
        <w:ind w:left="567" w:right="567"/>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De la Administración Municipal, Organismos Desconcentrados y Sistema Municipal DIF de 2022, 2023 y del 1 de enero al 10 de junio de 2024, lo siguiente:</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 xml:space="preserve">Informes Anuales y Trimestrales de Avance de Gestión Financiera y acuse de recibido por el Órgano Superior de Fiscalización del Estado de México; </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Estado que guarda la Cuenta Pública Municipal, aprobada mediante acta de sesión de cabildo;</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 xml:space="preserve">Presupuesto de egresos e ingresos vigente aprobado mediante acta de sesión de cabildo; </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Relación de pasivos y cuentas por cobrar; relación de cuentas bancarias que se manejen; Estado de Deuda Pública autorizado mediante acta de sesión de cabildo; Situación de la Deuda Pública Municipal y su registro; presentar la situación de la Deuda Pública; Estado Analítico de la Deuda Púbica y otros pasivos. Endeudamiento neto. Intereses de la deuda;</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lastRenderedPageBreak/>
        <w:t>Relación de contratos de consultoría, arrendamiento, compra-venta, poderes otorgados, servicios, asesorías o de cualquier otra índole que deriven de derechos u obligaciones;</w:t>
      </w:r>
    </w:p>
    <w:p w:rsidR="00A379D4" w:rsidRPr="001F089F" w:rsidRDefault="00A379D4" w:rsidP="00737B90">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Estado de las obras públicas ejecutadas y en proceso, la relación de obras en proceso, el inventario de expedientes técnicos unitarios, el inventario de Obras Publicas terminadas y en proceso de 2022 y 2023;</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Situación que guardan las aportaciones estatales y federales, con comprobantes. Informe que refleje los montos recibidos y pendientes por recibir. Presentar copia de los estados de cuenta, que soporte dicho informe;</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El Inventario de Bienes Muebles e Inmuebles de 2022 y 2023;</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Plantilla actualizada con nombre, puesto, adscripción y detalle de perc</w:t>
      </w:r>
      <w:r w:rsidR="005A3D08" w:rsidRPr="001F089F">
        <w:rPr>
          <w:rFonts w:ascii="Palatino Linotype" w:hAnsi="Palatino Linotype"/>
          <w:b/>
          <w:color w:val="000000"/>
          <w:szCs w:val="22"/>
        </w:rPr>
        <w:t xml:space="preserve">epciones mensuales, así como el documento que </w:t>
      </w:r>
      <w:r w:rsidR="00A4626A" w:rsidRPr="001F089F">
        <w:rPr>
          <w:rFonts w:ascii="Palatino Linotype" w:hAnsi="Palatino Linotype"/>
          <w:b/>
          <w:color w:val="000000"/>
          <w:szCs w:val="22"/>
        </w:rPr>
        <w:t>dé</w:t>
      </w:r>
      <w:r w:rsidR="005A3D08" w:rsidRPr="001F089F">
        <w:rPr>
          <w:rFonts w:ascii="Palatino Linotype" w:hAnsi="Palatino Linotype"/>
          <w:b/>
          <w:color w:val="000000"/>
          <w:szCs w:val="22"/>
        </w:rPr>
        <w:t xml:space="preserve"> cuenta del</w:t>
      </w:r>
      <w:r w:rsidRPr="001F089F">
        <w:rPr>
          <w:rFonts w:ascii="Palatino Linotype" w:hAnsi="Palatino Linotype"/>
          <w:b/>
          <w:color w:val="000000"/>
          <w:szCs w:val="22"/>
        </w:rPr>
        <w:t xml:space="preserve"> tipo de relación contractual</w:t>
      </w:r>
      <w:r w:rsidR="005A3D08" w:rsidRPr="001F089F">
        <w:rPr>
          <w:rFonts w:ascii="Palatino Linotype" w:hAnsi="Palatino Linotype"/>
          <w:b/>
          <w:color w:val="000000"/>
          <w:szCs w:val="22"/>
        </w:rPr>
        <w:t>;</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Relación de personal con licencias y permisos;</w:t>
      </w:r>
    </w:p>
    <w:p w:rsidR="00A379D4" w:rsidRPr="001F089F" w:rsidRDefault="00A379D4" w:rsidP="00A379D4">
      <w:pPr>
        <w:pStyle w:val="Prrafodelista"/>
        <w:numPr>
          <w:ilvl w:val="0"/>
          <w:numId w:val="24"/>
        </w:numPr>
        <w:ind w:right="567" w:hanging="294"/>
        <w:jc w:val="both"/>
        <w:rPr>
          <w:rFonts w:ascii="Palatino Linotype" w:hAnsi="Palatino Linotype"/>
          <w:b/>
          <w:color w:val="000000"/>
          <w:szCs w:val="22"/>
        </w:rPr>
      </w:pPr>
      <w:r w:rsidRPr="001F089F">
        <w:rPr>
          <w:rFonts w:ascii="Palatino Linotype" w:hAnsi="Palatino Linotype"/>
          <w:b/>
          <w:color w:val="000000"/>
          <w:szCs w:val="22"/>
        </w:rPr>
        <w:t>Relación de percepciones pendientes de cubrir a los trabajadores explicando las causas que las motivaron;</w:t>
      </w:r>
    </w:p>
    <w:p w:rsidR="005A3D08" w:rsidRPr="001F089F" w:rsidRDefault="005A3D08" w:rsidP="005A3D08">
      <w:pPr>
        <w:pStyle w:val="Prrafodelista"/>
        <w:numPr>
          <w:ilvl w:val="0"/>
          <w:numId w:val="24"/>
        </w:numPr>
        <w:tabs>
          <w:tab w:val="left" w:pos="1740"/>
        </w:tabs>
        <w:ind w:right="1" w:hanging="294"/>
        <w:jc w:val="both"/>
        <w:rPr>
          <w:rFonts w:ascii="Palatino Linotype" w:eastAsia="Palatino Linotype" w:hAnsi="Palatino Linotype" w:cs="Palatino Linotype"/>
          <w:b/>
          <w:szCs w:val="22"/>
        </w:rPr>
      </w:pPr>
      <w:r w:rsidRPr="001F089F">
        <w:rPr>
          <w:rFonts w:ascii="Palatino Linotype" w:eastAsia="Palatino Linotype" w:hAnsi="Palatino Linotype" w:cs="Palatino Linotype"/>
          <w:b/>
          <w:color w:val="000000"/>
        </w:rPr>
        <w:t>Los Informes de Resultados derivados de la revisión del Órgano Superior de Fiscalización del Estado de México a las cuentas públicas</w:t>
      </w:r>
      <w:r w:rsidR="004C508D" w:rsidRPr="001F089F">
        <w:rPr>
          <w:rFonts w:ascii="Palatino Linotype" w:eastAsia="Palatino Linotype" w:hAnsi="Palatino Linotype" w:cs="Palatino Linotype"/>
          <w:b/>
          <w:color w:val="000000"/>
        </w:rPr>
        <w:t xml:space="preserve"> de 2022 y 2023.</w:t>
      </w:r>
    </w:p>
    <w:p w:rsidR="00E94D86" w:rsidRPr="001F089F" w:rsidRDefault="001E3125">
      <w:pPr>
        <w:spacing w:before="240" w:after="360" w:line="360" w:lineRule="auto"/>
        <w:ind w:right="-2"/>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w:t>
      </w:r>
      <w:r w:rsidRPr="001F089F">
        <w:rPr>
          <w:rFonts w:ascii="Palatino Linotype" w:eastAsia="Palatino Linotype" w:hAnsi="Palatino Linotype" w:cs="Palatino Linotype"/>
          <w:b/>
          <w:sz w:val="22"/>
          <w:szCs w:val="22"/>
        </w:rPr>
        <w:t xml:space="preserve"> RECURRENTE</w:t>
      </w:r>
      <w:r w:rsidRPr="001F089F">
        <w:rPr>
          <w:rFonts w:ascii="Palatino Linotype" w:eastAsia="Palatino Linotype" w:hAnsi="Palatino Linotype" w:cs="Palatino Linotype"/>
          <w:sz w:val="22"/>
          <w:szCs w:val="22"/>
        </w:rPr>
        <w:t>.</w:t>
      </w:r>
    </w:p>
    <w:p w:rsidR="00E94D86" w:rsidRPr="001F089F" w:rsidRDefault="001E3125">
      <w:pPr>
        <w:spacing w:line="360" w:lineRule="auto"/>
        <w:ind w:right="1"/>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t xml:space="preserve">TERCERO. </w:t>
      </w:r>
      <w:r w:rsidRPr="001F089F">
        <w:rPr>
          <w:rFonts w:ascii="Palatino Linotype" w:eastAsia="Palatino Linotype" w:hAnsi="Palatino Linotype" w:cs="Palatino Linotype"/>
          <w:b/>
          <w:color w:val="000000"/>
          <w:sz w:val="22"/>
          <w:szCs w:val="22"/>
        </w:rPr>
        <w:t>Notifíquese vía SAIMEX l</w:t>
      </w:r>
      <w:r w:rsidRPr="001F089F">
        <w:rPr>
          <w:rFonts w:ascii="Palatino Linotype" w:eastAsia="Palatino Linotype" w:hAnsi="Palatino Linotype" w:cs="Palatino Linotype"/>
          <w:sz w:val="22"/>
          <w:szCs w:val="22"/>
        </w:rPr>
        <w:t xml:space="preserve">a presente resolución al Titular de la Unidad de Transparencia del </w:t>
      </w:r>
      <w:r w:rsidRPr="001F089F">
        <w:rPr>
          <w:rFonts w:ascii="Palatino Linotype" w:eastAsia="Palatino Linotype" w:hAnsi="Palatino Linotype" w:cs="Palatino Linotype"/>
          <w:b/>
          <w:sz w:val="22"/>
          <w:szCs w:val="22"/>
        </w:rPr>
        <w:t>SUJETO OBLIGADO</w:t>
      </w:r>
      <w:r w:rsidRPr="001F089F">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w:t>
      </w:r>
      <w:r w:rsidRPr="001F089F">
        <w:rPr>
          <w:rFonts w:ascii="Palatino Linotype" w:eastAsia="Palatino Linotype" w:hAnsi="Palatino Linotype" w:cs="Palatino Linotype"/>
          <w:b/>
          <w:sz w:val="22"/>
          <w:szCs w:val="22"/>
        </w:rPr>
        <w:t>dé cumplimiento a lo ordenado dentro del plazo de diez días hábiles</w:t>
      </w:r>
      <w:r w:rsidRPr="001F089F">
        <w:rPr>
          <w:rFonts w:ascii="Palatino Linotype" w:eastAsia="Palatino Linotype" w:hAnsi="Palatino Linotype" w:cs="Palatino Linotype"/>
          <w:sz w:val="22"/>
          <w:szCs w:val="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94D86" w:rsidRPr="001F089F" w:rsidRDefault="00BB31CC">
      <w:pPr>
        <w:shd w:val="clear" w:color="auto" w:fill="FFFFFF"/>
        <w:spacing w:after="240" w:line="360" w:lineRule="auto"/>
        <w:ind w:right="1"/>
        <w:jc w:val="both"/>
        <w:rPr>
          <w:rFonts w:ascii="Palatino Linotype" w:eastAsia="Palatino Linotype" w:hAnsi="Palatino Linotype" w:cs="Palatino Linotype"/>
          <w:b/>
          <w:sz w:val="22"/>
          <w:szCs w:val="22"/>
        </w:rPr>
      </w:pPr>
      <w:r w:rsidRPr="001F089F">
        <w:rPr>
          <w:rFonts w:ascii="Palatino Linotype" w:eastAsia="Palatino Linotype" w:hAnsi="Palatino Linotype" w:cs="Palatino Linotype"/>
          <w:b/>
          <w:sz w:val="22"/>
          <w:szCs w:val="22"/>
        </w:rPr>
        <w:lastRenderedPageBreak/>
        <w:t>CUARTO. Notifíquese al</w:t>
      </w:r>
      <w:r w:rsidR="001E3125" w:rsidRPr="001F089F">
        <w:rPr>
          <w:rFonts w:ascii="Palatino Linotype" w:eastAsia="Palatino Linotype" w:hAnsi="Palatino Linotype" w:cs="Palatino Linotype"/>
          <w:b/>
          <w:sz w:val="22"/>
          <w:szCs w:val="22"/>
        </w:rPr>
        <w:t xml:space="preserve"> RECURRENTE</w:t>
      </w:r>
      <w:r w:rsidR="001E3125" w:rsidRPr="001F089F">
        <w:rPr>
          <w:rFonts w:ascii="Palatino Linotype" w:eastAsia="Palatino Linotype" w:hAnsi="Palatino Linotype" w:cs="Palatino Linotype"/>
          <w:sz w:val="22"/>
          <w:szCs w:val="22"/>
        </w:rPr>
        <w:t xml:space="preserve"> la presente resolución vía </w:t>
      </w:r>
      <w:r w:rsidR="001E3125" w:rsidRPr="001F089F">
        <w:rPr>
          <w:rFonts w:ascii="Palatino Linotype" w:eastAsia="Palatino Linotype" w:hAnsi="Palatino Linotype" w:cs="Palatino Linotype"/>
          <w:b/>
          <w:sz w:val="22"/>
          <w:szCs w:val="22"/>
        </w:rPr>
        <w:t>SAIMEX.</w:t>
      </w:r>
    </w:p>
    <w:p w:rsidR="00E94D86" w:rsidRPr="001F089F" w:rsidRDefault="001E3125">
      <w:pPr>
        <w:spacing w:before="240" w:after="240" w:line="360" w:lineRule="auto"/>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b/>
          <w:sz w:val="22"/>
          <w:szCs w:val="22"/>
        </w:rPr>
        <w:t>QUINTO.</w:t>
      </w:r>
      <w:r w:rsidR="00BB31CC" w:rsidRPr="001F089F">
        <w:rPr>
          <w:rFonts w:ascii="Palatino Linotype" w:eastAsia="Palatino Linotype" w:hAnsi="Palatino Linotype" w:cs="Palatino Linotype"/>
          <w:sz w:val="22"/>
          <w:szCs w:val="22"/>
        </w:rPr>
        <w:t xml:space="preserve"> Se hace del conocimiento del</w:t>
      </w:r>
      <w:r w:rsidRPr="001F089F">
        <w:rPr>
          <w:rFonts w:ascii="Palatino Linotype" w:eastAsia="Palatino Linotype" w:hAnsi="Palatino Linotype" w:cs="Palatino Linotype"/>
          <w:sz w:val="22"/>
          <w:szCs w:val="22"/>
        </w:rPr>
        <w:t xml:space="preserve"> </w:t>
      </w:r>
      <w:r w:rsidRPr="001F089F">
        <w:rPr>
          <w:rFonts w:ascii="Palatino Linotype" w:eastAsia="Palatino Linotype" w:hAnsi="Palatino Linotype" w:cs="Palatino Linotype"/>
          <w:b/>
          <w:sz w:val="22"/>
          <w:szCs w:val="22"/>
        </w:rPr>
        <w:t>RECURRENTE</w:t>
      </w:r>
      <w:r w:rsidRPr="001F089F">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E94D86" w:rsidRPr="001F089F" w:rsidRDefault="001E3125">
      <w:pPr>
        <w:spacing w:before="240" w:after="240" w:line="360" w:lineRule="auto"/>
        <w:ind w:right="1"/>
        <w:jc w:val="both"/>
        <w:rPr>
          <w:rFonts w:ascii="Palatino Linotype" w:eastAsia="Palatino Linotype" w:hAnsi="Palatino Linotype" w:cs="Palatino Linotype"/>
          <w:sz w:val="22"/>
          <w:szCs w:val="22"/>
        </w:rPr>
      </w:pPr>
      <w:r w:rsidRPr="001F089F">
        <w:rPr>
          <w:rFonts w:ascii="Palatino Linotype" w:eastAsia="Palatino Linotype" w:hAnsi="Palatino Linotype" w:cs="Palatino Linotype"/>
          <w:b/>
          <w:color w:val="000000"/>
          <w:sz w:val="22"/>
          <w:szCs w:val="22"/>
        </w:rPr>
        <w:t xml:space="preserve">SEXTO. </w:t>
      </w:r>
      <w:r w:rsidRPr="001F089F">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379D4" w:rsidRPr="001F089F" w:rsidRDefault="009A55C8" w:rsidP="005A3D08">
      <w:pPr>
        <w:spacing w:line="360" w:lineRule="auto"/>
        <w:jc w:val="both"/>
        <w:rPr>
          <w:rFonts w:ascii="Palatino Linotype" w:eastAsiaTheme="minorHAnsi" w:hAnsi="Palatino Linotype" w:cstheme="minorBidi"/>
          <w:sz w:val="22"/>
          <w:szCs w:val="22"/>
          <w:lang w:eastAsia="es-ES_tradnl"/>
        </w:rPr>
      </w:pPr>
      <w:r w:rsidRPr="001F089F">
        <w:rPr>
          <w:rFonts w:ascii="Palatino Linotype" w:eastAsia="Palatino Linotype" w:hAnsi="Palatino Linotype" w:cs="Palatino Linotype"/>
          <w:b/>
          <w:color w:val="000000"/>
          <w:sz w:val="22"/>
          <w:szCs w:val="22"/>
        </w:rPr>
        <w:t>SÉPTIMO</w:t>
      </w:r>
      <w:r w:rsidR="00A379D4" w:rsidRPr="001F089F">
        <w:rPr>
          <w:rFonts w:ascii="Palatino Linotype" w:eastAsia="Palatino Linotype" w:hAnsi="Palatino Linotype" w:cs="Palatino Linotype"/>
          <w:b/>
          <w:color w:val="000000"/>
          <w:sz w:val="22"/>
          <w:szCs w:val="22"/>
        </w:rPr>
        <w:t xml:space="preserve">. </w:t>
      </w:r>
      <w:r w:rsidR="005A3D08" w:rsidRPr="001F089F">
        <w:rPr>
          <w:rFonts w:ascii="Palatino Linotype" w:eastAsiaTheme="minorHAnsi" w:hAnsi="Palatino Linotype" w:cstheme="minorBidi"/>
          <w:sz w:val="22"/>
          <w:szCs w:val="22"/>
          <w:lang w:eastAsia="es-ES_tradnl"/>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005A3D08" w:rsidRPr="001F089F">
        <w:rPr>
          <w:rFonts w:ascii="Palatino Linotype" w:eastAsiaTheme="minorHAnsi" w:hAnsi="Palatino Linotype" w:cstheme="minorBidi"/>
          <w:b/>
          <w:sz w:val="22"/>
          <w:szCs w:val="22"/>
          <w:lang w:eastAsia="es-ES_tradnl"/>
        </w:rPr>
        <w:t>Considerando</w:t>
      </w:r>
      <w:r w:rsidR="005A3D08" w:rsidRPr="001F089F">
        <w:rPr>
          <w:rFonts w:ascii="Palatino Linotype" w:eastAsiaTheme="minorHAnsi" w:hAnsi="Palatino Linotype" w:cstheme="minorBidi"/>
          <w:sz w:val="22"/>
          <w:szCs w:val="22"/>
          <w:lang w:eastAsia="es-ES_tradnl"/>
        </w:rPr>
        <w:t xml:space="preserve"> </w:t>
      </w:r>
      <w:r w:rsidR="005A3D08" w:rsidRPr="001F089F">
        <w:rPr>
          <w:rFonts w:ascii="Palatino Linotype" w:eastAsiaTheme="minorHAnsi" w:hAnsi="Palatino Linotype" w:cstheme="minorBidi"/>
          <w:b/>
          <w:sz w:val="22"/>
          <w:szCs w:val="22"/>
          <w:lang w:eastAsia="es-ES_tradnl"/>
        </w:rPr>
        <w:t>SEXTO</w:t>
      </w:r>
      <w:r w:rsidR="005A3D08" w:rsidRPr="001F089F">
        <w:rPr>
          <w:rFonts w:ascii="Palatino Linotype" w:eastAsiaTheme="minorHAnsi" w:hAnsi="Palatino Linotype" w:cstheme="minorBidi"/>
          <w:sz w:val="22"/>
          <w:szCs w:val="22"/>
          <w:lang w:eastAsia="es-ES_tradnl"/>
        </w:rPr>
        <w:t xml:space="preserve"> de la presente resolución.</w:t>
      </w:r>
    </w:p>
    <w:p w:rsidR="00BB31CC" w:rsidRPr="001F089F" w:rsidRDefault="00BB31CC" w:rsidP="005A3D08">
      <w:pPr>
        <w:spacing w:line="360" w:lineRule="auto"/>
        <w:jc w:val="both"/>
        <w:rPr>
          <w:rFonts w:ascii="Palatino Linotype" w:eastAsiaTheme="minorHAnsi" w:hAnsi="Palatino Linotype" w:cstheme="minorBidi"/>
          <w:sz w:val="22"/>
          <w:szCs w:val="22"/>
          <w:lang w:eastAsia="es-ES_tradnl"/>
        </w:rPr>
      </w:pPr>
    </w:p>
    <w:p w:rsidR="00BB31CC" w:rsidRPr="003C7186" w:rsidRDefault="00BB31CC" w:rsidP="00BB31CC">
      <w:pPr>
        <w:spacing w:line="360" w:lineRule="auto"/>
        <w:ind w:right="-234" w:firstLine="1"/>
        <w:jc w:val="both"/>
        <w:rPr>
          <w:rFonts w:ascii="Palatino Linotype" w:hAnsi="Palatino Linotype"/>
        </w:rPr>
      </w:pPr>
      <w:r w:rsidRPr="001F089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14A8A" w:rsidRPr="001F089F">
        <w:rPr>
          <w:rFonts w:ascii="Palatino Linotype" w:hAnsi="Palatino Linotype" w:cs="Calibri"/>
        </w:rPr>
        <w:t xml:space="preserve">EMITIENDO VOTO PARTICULAR </w:t>
      </w:r>
      <w:r w:rsidRPr="001F089F">
        <w:rPr>
          <w:rFonts w:ascii="Palatino Linotype" w:hAnsi="Palatino Linotype"/>
        </w:rPr>
        <w:t>Y GUADALUPE RAMÍREZ PEÑA</w:t>
      </w:r>
      <w:r w:rsidR="00614A8A" w:rsidRPr="001F089F">
        <w:rPr>
          <w:rFonts w:ascii="Palatino Linotype" w:hAnsi="Palatino Linotype"/>
        </w:rPr>
        <w:t xml:space="preserve"> </w:t>
      </w:r>
      <w:r w:rsidR="00614A8A" w:rsidRPr="001F089F">
        <w:rPr>
          <w:rFonts w:ascii="Palatino Linotype" w:hAnsi="Palatino Linotype" w:cs="Calibri"/>
        </w:rPr>
        <w:t>EMITIENDO VOTO PARTICULAR</w:t>
      </w:r>
      <w:r w:rsidRPr="001F089F">
        <w:rPr>
          <w:rFonts w:ascii="Palatino Linotype" w:hAnsi="Palatino Linotype"/>
        </w:rPr>
        <w:t>; EN LA OCTAVA SESIÓN ORDINARIA CELEBRADA EL SEIS (06) DE MARZO DE DOS MIL VEINTICINCO, ANTE EL SECRETARIO TÉCNICO DEL PLENO ALEXIS TAPIA RAMÍREZ.</w:t>
      </w:r>
      <w:r w:rsidRPr="003C7186">
        <w:rPr>
          <w:rFonts w:ascii="Palatino Linotype" w:hAnsi="Palatino Linotype"/>
        </w:rPr>
        <w:t xml:space="preserve"> </w:t>
      </w:r>
    </w:p>
    <w:p w:rsidR="00E94D86" w:rsidRPr="005A3D08" w:rsidRDefault="00E94D86" w:rsidP="00BB31CC">
      <w:pPr>
        <w:spacing w:line="360" w:lineRule="auto"/>
        <w:ind w:right="-592"/>
        <w:jc w:val="both"/>
        <w:rPr>
          <w:rFonts w:ascii="Palatino Linotype" w:eastAsia="Palatino Linotype" w:hAnsi="Palatino Linotype" w:cs="Palatino Linotype"/>
          <w:sz w:val="22"/>
          <w:szCs w:val="22"/>
        </w:rPr>
      </w:pPr>
    </w:p>
    <w:p w:rsidR="00E94D86" w:rsidRPr="005A3D08" w:rsidRDefault="00E94D86" w:rsidP="00BB31CC">
      <w:pPr>
        <w:spacing w:line="360" w:lineRule="auto"/>
        <w:ind w:right="-592"/>
        <w:jc w:val="both"/>
        <w:rPr>
          <w:rFonts w:ascii="Palatino Linotype" w:eastAsia="Palatino Linotype" w:hAnsi="Palatino Linotype" w:cs="Palatino Linotype"/>
          <w:sz w:val="22"/>
          <w:szCs w:val="22"/>
        </w:rPr>
      </w:pPr>
    </w:p>
    <w:p w:rsidR="00E94D86" w:rsidRPr="005A3D08" w:rsidRDefault="00E94D86">
      <w:pPr>
        <w:spacing w:line="360" w:lineRule="auto"/>
        <w:ind w:right="-592"/>
        <w:jc w:val="both"/>
        <w:rPr>
          <w:rFonts w:ascii="Palatino Linotype" w:eastAsia="Palatino Linotype" w:hAnsi="Palatino Linotype" w:cs="Palatino Linotype"/>
          <w:sz w:val="22"/>
          <w:szCs w:val="22"/>
        </w:rPr>
      </w:pPr>
    </w:p>
    <w:p w:rsidR="00E94D86" w:rsidRPr="005A3D08" w:rsidRDefault="00E94D86">
      <w:pPr>
        <w:spacing w:line="360" w:lineRule="auto"/>
        <w:ind w:right="-592"/>
        <w:jc w:val="both"/>
        <w:rPr>
          <w:rFonts w:ascii="Palatino Linotype" w:eastAsia="Palatino Linotype" w:hAnsi="Palatino Linotype" w:cs="Palatino Linotype"/>
          <w:sz w:val="22"/>
          <w:szCs w:val="22"/>
        </w:rPr>
      </w:pPr>
    </w:p>
    <w:p w:rsidR="00E94D86" w:rsidRPr="005A3D08" w:rsidRDefault="00E94D86">
      <w:pPr>
        <w:spacing w:line="360" w:lineRule="auto"/>
        <w:ind w:right="-592"/>
        <w:jc w:val="both"/>
        <w:rPr>
          <w:rFonts w:ascii="Palatino Linotype" w:eastAsia="Palatino Linotype" w:hAnsi="Palatino Linotype" w:cs="Palatino Linotype"/>
          <w:sz w:val="22"/>
          <w:szCs w:val="22"/>
        </w:rPr>
      </w:pPr>
    </w:p>
    <w:p w:rsidR="00E94D86" w:rsidRPr="005A3D08" w:rsidRDefault="00E94D86">
      <w:pPr>
        <w:spacing w:line="360" w:lineRule="auto"/>
        <w:ind w:right="-592"/>
        <w:rPr>
          <w:rFonts w:ascii="Palatino Linotype" w:eastAsia="Palatino Linotype" w:hAnsi="Palatino Linotype" w:cs="Palatino Linotype"/>
          <w:sz w:val="22"/>
          <w:szCs w:val="22"/>
        </w:rPr>
      </w:pPr>
    </w:p>
    <w:p w:rsidR="00E94D86" w:rsidRPr="005A3D08" w:rsidRDefault="00E94D86">
      <w:pPr>
        <w:spacing w:line="360" w:lineRule="auto"/>
        <w:ind w:right="-592"/>
        <w:rPr>
          <w:rFonts w:ascii="Palatino Linotype" w:eastAsia="Palatino Linotype" w:hAnsi="Palatino Linotype" w:cs="Palatino Linotype"/>
          <w:sz w:val="22"/>
          <w:szCs w:val="22"/>
        </w:rPr>
      </w:pPr>
    </w:p>
    <w:p w:rsidR="00E94D86" w:rsidRPr="005A3D08" w:rsidRDefault="00E94D86">
      <w:pPr>
        <w:spacing w:line="360" w:lineRule="auto"/>
        <w:ind w:right="-592"/>
        <w:rPr>
          <w:rFonts w:ascii="Palatino Linotype" w:eastAsia="Palatino Linotype" w:hAnsi="Palatino Linotype" w:cs="Palatino Linotype"/>
          <w:sz w:val="22"/>
          <w:szCs w:val="22"/>
        </w:rPr>
      </w:pPr>
    </w:p>
    <w:p w:rsidR="00E94D86" w:rsidRPr="005A3D08" w:rsidRDefault="00E94D86">
      <w:pPr>
        <w:spacing w:line="360" w:lineRule="auto"/>
        <w:ind w:right="-592"/>
        <w:rPr>
          <w:rFonts w:ascii="Palatino Linotype" w:eastAsia="Palatino Linotype" w:hAnsi="Palatino Linotype" w:cs="Palatino Linotype"/>
          <w:sz w:val="22"/>
          <w:szCs w:val="22"/>
        </w:rPr>
      </w:pPr>
    </w:p>
    <w:p w:rsidR="00E94D86" w:rsidRPr="005A3D08" w:rsidRDefault="00E94D86">
      <w:pPr>
        <w:spacing w:line="360" w:lineRule="auto"/>
        <w:ind w:right="-592"/>
        <w:rPr>
          <w:rFonts w:ascii="Palatino Linotype" w:eastAsia="Palatino Linotype" w:hAnsi="Palatino Linotype" w:cs="Palatino Linotype"/>
          <w:sz w:val="22"/>
          <w:szCs w:val="22"/>
        </w:rPr>
      </w:pPr>
    </w:p>
    <w:p w:rsidR="00E94D86" w:rsidRPr="005A3D08" w:rsidRDefault="00E94D86">
      <w:pPr>
        <w:spacing w:line="360" w:lineRule="auto"/>
        <w:ind w:right="-592"/>
        <w:rPr>
          <w:rFonts w:ascii="Palatino Linotype" w:eastAsia="Palatino Linotype" w:hAnsi="Palatino Linotype" w:cs="Palatino Linotype"/>
          <w:sz w:val="22"/>
          <w:szCs w:val="22"/>
        </w:rPr>
      </w:pPr>
    </w:p>
    <w:p w:rsidR="00E94D86" w:rsidRPr="005A3D08" w:rsidRDefault="00E94D86">
      <w:pPr>
        <w:ind w:right="-592"/>
        <w:rPr>
          <w:rFonts w:ascii="Palatino Linotype" w:eastAsia="Palatino Linotype" w:hAnsi="Palatino Linotype" w:cs="Palatino Linotype"/>
          <w:sz w:val="22"/>
          <w:szCs w:val="22"/>
        </w:rPr>
      </w:pPr>
    </w:p>
    <w:p w:rsidR="00A379D4" w:rsidRPr="005A3D08" w:rsidRDefault="00A379D4">
      <w:pPr>
        <w:ind w:right="-592"/>
        <w:rPr>
          <w:rFonts w:ascii="Palatino Linotype" w:eastAsia="Palatino Linotype" w:hAnsi="Palatino Linotype" w:cs="Palatino Linotype"/>
          <w:sz w:val="22"/>
          <w:szCs w:val="22"/>
        </w:rPr>
      </w:pPr>
    </w:p>
    <w:sectPr w:rsidR="00A379D4" w:rsidRPr="005A3D08">
      <w:headerReference w:type="even" r:id="rId15"/>
      <w:headerReference w:type="default" r:id="rId16"/>
      <w:footerReference w:type="default" r:id="rId17"/>
      <w:headerReference w:type="first" r:id="rId18"/>
      <w:footerReference w:type="first" r:id="rId19"/>
      <w:pgSz w:w="12240" w:h="15840"/>
      <w:pgMar w:top="80" w:right="129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DB" w:rsidRDefault="00BE2FDB">
      <w:r>
        <w:separator/>
      </w:r>
    </w:p>
  </w:endnote>
  <w:endnote w:type="continuationSeparator" w:id="0">
    <w:p w:rsidR="00BE2FDB" w:rsidRDefault="00BE2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B80" w:rsidRDefault="00815B8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806F8">
      <w:rPr>
        <w:b/>
        <w:noProof/>
        <w:color w:val="000000"/>
      </w:rPr>
      <w:t>4</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806F8">
      <w:rPr>
        <w:b/>
        <w:noProof/>
        <w:color w:val="000000"/>
      </w:rPr>
      <w:t>42</w:t>
    </w:r>
    <w:r>
      <w:rPr>
        <w:b/>
        <w:color w:val="000000"/>
      </w:rPr>
      <w:fldChar w:fldCharType="end"/>
    </w:r>
  </w:p>
  <w:p w:rsidR="00815B80" w:rsidRDefault="00815B8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B80" w:rsidRDefault="00815B8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806F8">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806F8">
      <w:rPr>
        <w:b/>
        <w:noProof/>
        <w:color w:val="000000"/>
      </w:rPr>
      <w:t>42</w:t>
    </w:r>
    <w:r>
      <w:rPr>
        <w:b/>
        <w:color w:val="000000"/>
      </w:rPr>
      <w:fldChar w:fldCharType="end"/>
    </w:r>
  </w:p>
  <w:p w:rsidR="00815B80" w:rsidRDefault="00815B8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DB" w:rsidRDefault="00BE2FDB">
      <w:r>
        <w:separator/>
      </w:r>
    </w:p>
  </w:footnote>
  <w:footnote w:type="continuationSeparator" w:id="0">
    <w:p w:rsidR="00BE2FDB" w:rsidRDefault="00BE2FDB">
      <w:r>
        <w:continuationSeparator/>
      </w:r>
    </w:p>
  </w:footnote>
  <w:footnote w:id="1">
    <w:p w:rsidR="00815B80" w:rsidRDefault="00815B8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815B80" w:rsidRDefault="00815B8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815B80" w:rsidRDefault="00815B8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815B80" w:rsidRDefault="00815B8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B80" w:rsidRDefault="00BE2FD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B80" w:rsidRDefault="00815B80">
    <w:pPr>
      <w:widowControl w:val="0"/>
      <w:pBdr>
        <w:top w:val="nil"/>
        <w:left w:val="nil"/>
        <w:bottom w:val="nil"/>
        <w:right w:val="nil"/>
        <w:between w:val="nil"/>
      </w:pBdr>
      <w:spacing w:line="276" w:lineRule="auto"/>
      <w:rPr>
        <w:color w:val="000000"/>
      </w:rPr>
    </w:pPr>
  </w:p>
  <w:tbl>
    <w:tblPr>
      <w:tblStyle w:val="4"/>
      <w:tblW w:w="9214" w:type="dxa"/>
      <w:tblInd w:w="0" w:type="dxa"/>
      <w:tblLayout w:type="fixed"/>
      <w:tblLook w:val="0400" w:firstRow="0" w:lastRow="0" w:firstColumn="0" w:lastColumn="0" w:noHBand="0" w:noVBand="1"/>
    </w:tblPr>
    <w:tblGrid>
      <w:gridCol w:w="2268"/>
      <w:gridCol w:w="6946"/>
    </w:tblGrid>
    <w:tr w:rsidR="00815B80" w:rsidRPr="004401C8">
      <w:trPr>
        <w:trHeight w:val="1435"/>
      </w:trPr>
      <w:tc>
        <w:tcPr>
          <w:tcW w:w="2268" w:type="dxa"/>
          <w:shd w:val="clear" w:color="auto" w:fill="auto"/>
        </w:tcPr>
        <w:p w:rsidR="00815B80" w:rsidRDefault="00815B80">
          <w:pPr>
            <w:tabs>
              <w:tab w:val="right" w:pos="4273"/>
            </w:tabs>
            <w:rPr>
              <w:rFonts w:ascii="Garamond" w:eastAsia="Garamond" w:hAnsi="Garamond" w:cs="Garamond"/>
              <w:sz w:val="16"/>
              <w:szCs w:val="16"/>
            </w:rPr>
          </w:pPr>
        </w:p>
      </w:tc>
      <w:tc>
        <w:tcPr>
          <w:tcW w:w="6946" w:type="dxa"/>
          <w:shd w:val="clear" w:color="auto" w:fill="auto"/>
        </w:tcPr>
        <w:p w:rsidR="00815B80" w:rsidRPr="004401C8" w:rsidRDefault="00815B80" w:rsidP="004401C8">
          <w:pPr>
            <w:rPr>
              <w:sz w:val="18"/>
            </w:rPr>
          </w:pPr>
        </w:p>
        <w:tbl>
          <w:tblPr>
            <w:tblStyle w:val="3"/>
            <w:tblW w:w="6660" w:type="dxa"/>
            <w:tblInd w:w="40" w:type="dxa"/>
            <w:tblLayout w:type="fixed"/>
            <w:tblLook w:val="0400" w:firstRow="0" w:lastRow="0" w:firstColumn="0" w:lastColumn="0" w:noHBand="0" w:noVBand="1"/>
          </w:tblPr>
          <w:tblGrid>
            <w:gridCol w:w="3377"/>
            <w:gridCol w:w="3283"/>
          </w:tblGrid>
          <w:tr w:rsidR="00815B80" w:rsidRPr="004401C8">
            <w:trPr>
              <w:trHeight w:val="150"/>
            </w:trPr>
            <w:tc>
              <w:tcPr>
                <w:tcW w:w="3377" w:type="dxa"/>
                <w:shd w:val="clear" w:color="auto" w:fill="auto"/>
              </w:tcPr>
              <w:p w:rsidR="00815B80" w:rsidRPr="004401C8" w:rsidRDefault="00815B80" w:rsidP="004401C8">
                <w:pPr>
                  <w:tabs>
                    <w:tab w:val="right" w:pos="8838"/>
                  </w:tabs>
                  <w:ind w:left="850" w:right="-105"/>
                  <w:jc w:val="both"/>
                  <w:rPr>
                    <w:rFonts w:ascii="Palatino Linotype" w:eastAsia="Palatino Linotype" w:hAnsi="Palatino Linotype" w:cs="Palatino Linotype"/>
                    <w:b/>
                    <w:sz w:val="18"/>
                    <w:szCs w:val="22"/>
                  </w:rPr>
                </w:pPr>
                <w:r w:rsidRPr="004401C8">
                  <w:rPr>
                    <w:rFonts w:ascii="Palatino Linotype" w:eastAsia="Palatino Linotype" w:hAnsi="Palatino Linotype" w:cs="Palatino Linotype"/>
                    <w:b/>
                    <w:sz w:val="18"/>
                    <w:szCs w:val="22"/>
                  </w:rPr>
                  <w:t>Recurso de Revisión:</w:t>
                </w:r>
              </w:p>
            </w:tc>
            <w:tc>
              <w:tcPr>
                <w:tcW w:w="3283" w:type="dxa"/>
                <w:shd w:val="clear" w:color="auto" w:fill="auto"/>
              </w:tcPr>
              <w:p w:rsidR="00815B80" w:rsidRPr="004401C8" w:rsidRDefault="00815B80" w:rsidP="004401C8">
                <w:pPr>
                  <w:tabs>
                    <w:tab w:val="right" w:pos="8838"/>
                  </w:tabs>
                  <w:ind w:right="-781"/>
                  <w:jc w:val="both"/>
                  <w:rPr>
                    <w:rFonts w:ascii="Palatino Linotype" w:eastAsia="Palatino Linotype" w:hAnsi="Palatino Linotype" w:cs="Palatino Linotype"/>
                    <w:sz w:val="18"/>
                    <w:szCs w:val="22"/>
                  </w:rPr>
                </w:pPr>
                <w:r>
                  <w:rPr>
                    <w:rFonts w:ascii="Palatino Linotype" w:eastAsia="Palatino Linotype" w:hAnsi="Palatino Linotype" w:cs="Palatino Linotype"/>
                    <w:sz w:val="18"/>
                    <w:szCs w:val="22"/>
                  </w:rPr>
                  <w:t>04163</w:t>
                </w:r>
                <w:r w:rsidRPr="004401C8">
                  <w:rPr>
                    <w:rFonts w:ascii="Palatino Linotype" w:eastAsia="Palatino Linotype" w:hAnsi="Palatino Linotype" w:cs="Palatino Linotype"/>
                    <w:sz w:val="18"/>
                    <w:szCs w:val="22"/>
                  </w:rPr>
                  <w:t>/INFOEM/IP/RR/2024</w:t>
                </w:r>
              </w:p>
            </w:tc>
          </w:tr>
          <w:tr w:rsidR="00815B80" w:rsidRPr="004401C8">
            <w:trPr>
              <w:trHeight w:val="295"/>
            </w:trPr>
            <w:tc>
              <w:tcPr>
                <w:tcW w:w="3377" w:type="dxa"/>
                <w:shd w:val="clear" w:color="auto" w:fill="auto"/>
              </w:tcPr>
              <w:p w:rsidR="00815B80" w:rsidRPr="004401C8" w:rsidRDefault="00815B80" w:rsidP="004401C8">
                <w:pPr>
                  <w:tabs>
                    <w:tab w:val="right" w:pos="8838"/>
                  </w:tabs>
                  <w:ind w:left="850" w:right="-105"/>
                  <w:jc w:val="both"/>
                  <w:rPr>
                    <w:rFonts w:ascii="Palatino Linotype" w:eastAsia="Palatino Linotype" w:hAnsi="Palatino Linotype" w:cs="Palatino Linotype"/>
                    <w:b/>
                    <w:sz w:val="18"/>
                    <w:szCs w:val="22"/>
                  </w:rPr>
                </w:pPr>
                <w:r w:rsidRPr="004401C8">
                  <w:rPr>
                    <w:rFonts w:ascii="Palatino Linotype" w:eastAsia="Palatino Linotype" w:hAnsi="Palatino Linotype" w:cs="Palatino Linotype"/>
                    <w:b/>
                    <w:sz w:val="18"/>
                    <w:szCs w:val="22"/>
                  </w:rPr>
                  <w:t>Sujeto Obligado:</w:t>
                </w:r>
              </w:p>
            </w:tc>
            <w:tc>
              <w:tcPr>
                <w:tcW w:w="3283" w:type="dxa"/>
                <w:shd w:val="clear" w:color="auto" w:fill="auto"/>
              </w:tcPr>
              <w:p w:rsidR="00815B80" w:rsidRPr="004401C8" w:rsidRDefault="00815B80" w:rsidP="004401C8">
                <w:pPr>
                  <w:tabs>
                    <w:tab w:val="left" w:pos="2834"/>
                    <w:tab w:val="right" w:pos="8838"/>
                  </w:tabs>
                  <w:ind w:right="-1552"/>
                  <w:jc w:val="both"/>
                  <w:rPr>
                    <w:rFonts w:ascii="Palatino Linotype" w:eastAsia="Palatino Linotype" w:hAnsi="Palatino Linotype" w:cs="Palatino Linotype"/>
                    <w:sz w:val="18"/>
                    <w:szCs w:val="22"/>
                  </w:rPr>
                </w:pPr>
                <w:r>
                  <w:rPr>
                    <w:rFonts w:ascii="Palatino Linotype" w:eastAsia="Palatino Linotype" w:hAnsi="Palatino Linotype" w:cs="Palatino Linotype"/>
                    <w:sz w:val="18"/>
                    <w:szCs w:val="22"/>
                  </w:rPr>
                  <w:t>Ayuntamiento de Ecatzingo</w:t>
                </w:r>
              </w:p>
            </w:tc>
          </w:tr>
          <w:tr w:rsidR="00815B80" w:rsidRPr="004401C8">
            <w:trPr>
              <w:trHeight w:val="295"/>
            </w:trPr>
            <w:tc>
              <w:tcPr>
                <w:tcW w:w="3377" w:type="dxa"/>
                <w:shd w:val="clear" w:color="auto" w:fill="auto"/>
              </w:tcPr>
              <w:p w:rsidR="00815B80" w:rsidRPr="004401C8" w:rsidRDefault="00815B80" w:rsidP="004401C8">
                <w:pPr>
                  <w:tabs>
                    <w:tab w:val="right" w:pos="8838"/>
                  </w:tabs>
                  <w:ind w:left="850" w:right="-105"/>
                  <w:jc w:val="both"/>
                  <w:rPr>
                    <w:rFonts w:ascii="Palatino Linotype" w:eastAsia="Palatino Linotype" w:hAnsi="Palatino Linotype" w:cs="Palatino Linotype"/>
                    <w:b/>
                    <w:sz w:val="18"/>
                    <w:szCs w:val="22"/>
                  </w:rPr>
                </w:pPr>
                <w:r w:rsidRPr="004401C8">
                  <w:rPr>
                    <w:rFonts w:ascii="Palatino Linotype" w:eastAsia="Palatino Linotype" w:hAnsi="Palatino Linotype" w:cs="Palatino Linotype"/>
                    <w:b/>
                    <w:sz w:val="18"/>
                    <w:szCs w:val="22"/>
                  </w:rPr>
                  <w:t>Comisionada ponente:</w:t>
                </w:r>
              </w:p>
            </w:tc>
            <w:tc>
              <w:tcPr>
                <w:tcW w:w="3283" w:type="dxa"/>
                <w:shd w:val="clear" w:color="auto" w:fill="auto"/>
              </w:tcPr>
              <w:p w:rsidR="00815B80" w:rsidRPr="004401C8" w:rsidRDefault="00815B80" w:rsidP="004401C8">
                <w:pPr>
                  <w:tabs>
                    <w:tab w:val="right" w:pos="8838"/>
                  </w:tabs>
                  <w:ind w:right="-781"/>
                  <w:jc w:val="both"/>
                  <w:rPr>
                    <w:rFonts w:ascii="Palatino Linotype" w:eastAsia="Palatino Linotype" w:hAnsi="Palatino Linotype" w:cs="Palatino Linotype"/>
                    <w:sz w:val="18"/>
                    <w:szCs w:val="22"/>
                  </w:rPr>
                </w:pPr>
                <w:r w:rsidRPr="004401C8">
                  <w:rPr>
                    <w:rFonts w:ascii="Palatino Linotype" w:eastAsia="Palatino Linotype" w:hAnsi="Palatino Linotype" w:cs="Palatino Linotype"/>
                    <w:sz w:val="18"/>
                    <w:szCs w:val="22"/>
                  </w:rPr>
                  <w:t>María del Rosario Mejía Ayala</w:t>
                </w:r>
              </w:p>
              <w:p w:rsidR="00815B80" w:rsidRPr="004401C8" w:rsidRDefault="00815B80" w:rsidP="004401C8">
                <w:pPr>
                  <w:tabs>
                    <w:tab w:val="right" w:pos="8838"/>
                  </w:tabs>
                  <w:ind w:left="141" w:right="-781"/>
                  <w:jc w:val="both"/>
                  <w:rPr>
                    <w:rFonts w:ascii="Palatino Linotype" w:eastAsia="Palatino Linotype" w:hAnsi="Palatino Linotype" w:cs="Palatino Linotype"/>
                    <w:sz w:val="18"/>
                    <w:szCs w:val="22"/>
                  </w:rPr>
                </w:pPr>
              </w:p>
            </w:tc>
          </w:tr>
        </w:tbl>
        <w:p w:rsidR="00815B80" w:rsidRPr="004401C8" w:rsidRDefault="00815B80" w:rsidP="004401C8">
          <w:pPr>
            <w:tabs>
              <w:tab w:val="right" w:pos="8838"/>
            </w:tabs>
            <w:ind w:left="-28"/>
            <w:jc w:val="both"/>
            <w:rPr>
              <w:rFonts w:ascii="Arial" w:eastAsia="Arial" w:hAnsi="Arial" w:cs="Arial"/>
              <w:b/>
              <w:sz w:val="18"/>
              <w:szCs w:val="22"/>
            </w:rPr>
          </w:pPr>
        </w:p>
      </w:tc>
    </w:tr>
  </w:tbl>
  <w:p w:rsidR="00815B80" w:rsidRDefault="00BE2FDB">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68.8pt;margin-top:-120.5pt;width:589.8pt;height:768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B80" w:rsidRDefault="00815B80">
    <w:pPr>
      <w:widowControl w:val="0"/>
      <w:pBdr>
        <w:top w:val="nil"/>
        <w:left w:val="nil"/>
        <w:bottom w:val="nil"/>
        <w:right w:val="nil"/>
        <w:between w:val="nil"/>
      </w:pBdr>
      <w:spacing w:line="276" w:lineRule="auto"/>
      <w:rPr>
        <w:color w:val="000000"/>
        <w:sz w:val="14"/>
        <w:szCs w:val="14"/>
      </w:rPr>
    </w:pPr>
  </w:p>
  <w:tbl>
    <w:tblPr>
      <w:tblStyle w:val="2"/>
      <w:tblW w:w="10065" w:type="dxa"/>
      <w:tblInd w:w="0" w:type="dxa"/>
      <w:tblLayout w:type="fixed"/>
      <w:tblLook w:val="0400" w:firstRow="0" w:lastRow="0" w:firstColumn="0" w:lastColumn="0" w:noHBand="0" w:noVBand="1"/>
    </w:tblPr>
    <w:tblGrid>
      <w:gridCol w:w="2265"/>
      <w:gridCol w:w="7800"/>
    </w:tblGrid>
    <w:tr w:rsidR="00815B80">
      <w:trPr>
        <w:trHeight w:val="1435"/>
      </w:trPr>
      <w:tc>
        <w:tcPr>
          <w:tcW w:w="2265" w:type="dxa"/>
          <w:shd w:val="clear" w:color="auto" w:fill="auto"/>
        </w:tcPr>
        <w:p w:rsidR="00815B80" w:rsidRDefault="00815B80">
          <w:pPr>
            <w:tabs>
              <w:tab w:val="right" w:pos="4273"/>
            </w:tabs>
            <w:rPr>
              <w:rFonts w:ascii="Garamond" w:eastAsia="Garamond" w:hAnsi="Garamond" w:cs="Garamond"/>
              <w:sz w:val="22"/>
              <w:szCs w:val="22"/>
            </w:rPr>
          </w:pPr>
        </w:p>
      </w:tc>
      <w:tc>
        <w:tcPr>
          <w:tcW w:w="7800" w:type="dxa"/>
          <w:shd w:val="clear" w:color="auto" w:fill="auto"/>
        </w:tcPr>
        <w:p w:rsidR="00815B80" w:rsidRDefault="00815B80">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1"/>
            <w:tblW w:w="7410" w:type="dxa"/>
            <w:jc w:val="right"/>
            <w:tblInd w:w="0" w:type="dxa"/>
            <w:tblLayout w:type="fixed"/>
            <w:tblLook w:val="0400" w:firstRow="0" w:lastRow="0" w:firstColumn="0" w:lastColumn="0" w:noHBand="0" w:noVBand="1"/>
          </w:tblPr>
          <w:tblGrid>
            <w:gridCol w:w="2490"/>
            <w:gridCol w:w="4920"/>
          </w:tblGrid>
          <w:tr w:rsidR="00815B80" w:rsidTr="00BB31CC">
            <w:trPr>
              <w:trHeight w:val="144"/>
              <w:jc w:val="right"/>
            </w:trPr>
            <w:tc>
              <w:tcPr>
                <w:tcW w:w="2490" w:type="dxa"/>
                <w:shd w:val="clear" w:color="auto" w:fill="auto"/>
              </w:tcPr>
              <w:p w:rsidR="00815B80" w:rsidRPr="00BB31CC" w:rsidRDefault="00815B80" w:rsidP="004401C8">
                <w:pPr>
                  <w:tabs>
                    <w:tab w:val="right" w:pos="8838"/>
                  </w:tabs>
                  <w:ind w:left="-264" w:right="-105" w:firstLine="195"/>
                  <w:rPr>
                    <w:rFonts w:ascii="Palatino Linotype" w:eastAsia="Palatino Linotype" w:hAnsi="Palatino Linotype" w:cs="Palatino Linotype"/>
                    <w:b/>
                    <w:sz w:val="22"/>
                    <w:szCs w:val="22"/>
                  </w:rPr>
                </w:pPr>
                <w:r w:rsidRPr="00BB31CC">
                  <w:rPr>
                    <w:rFonts w:ascii="Palatino Linotype" w:eastAsia="Palatino Linotype" w:hAnsi="Palatino Linotype" w:cs="Palatino Linotype"/>
                    <w:b/>
                    <w:sz w:val="22"/>
                    <w:szCs w:val="22"/>
                  </w:rPr>
                  <w:t>Recurso de Revisión:</w:t>
                </w:r>
              </w:p>
            </w:tc>
            <w:tc>
              <w:tcPr>
                <w:tcW w:w="4920" w:type="dxa"/>
                <w:shd w:val="clear" w:color="auto" w:fill="auto"/>
              </w:tcPr>
              <w:p w:rsidR="00815B80" w:rsidRPr="00BB31CC" w:rsidRDefault="00815B80" w:rsidP="003A1F84">
                <w:pPr>
                  <w:tabs>
                    <w:tab w:val="right" w:pos="8838"/>
                  </w:tabs>
                  <w:ind w:right="-1552"/>
                  <w:rPr>
                    <w:rFonts w:ascii="Palatino Linotype" w:eastAsia="Palatino Linotype" w:hAnsi="Palatino Linotype" w:cs="Palatino Linotype"/>
                    <w:sz w:val="22"/>
                    <w:szCs w:val="22"/>
                  </w:rPr>
                </w:pPr>
                <w:r w:rsidRPr="00BB31CC">
                  <w:rPr>
                    <w:rFonts w:ascii="Palatino Linotype" w:eastAsia="Palatino Linotype" w:hAnsi="Palatino Linotype" w:cs="Palatino Linotype"/>
                    <w:sz w:val="22"/>
                    <w:szCs w:val="22"/>
                  </w:rPr>
                  <w:t>04163/INFOEM/IP/RR/2024</w:t>
                </w:r>
              </w:p>
            </w:tc>
          </w:tr>
          <w:tr w:rsidR="00815B80" w:rsidTr="00BB31CC">
            <w:trPr>
              <w:trHeight w:val="144"/>
              <w:jc w:val="right"/>
            </w:trPr>
            <w:tc>
              <w:tcPr>
                <w:tcW w:w="2490" w:type="dxa"/>
                <w:shd w:val="clear" w:color="auto" w:fill="auto"/>
              </w:tcPr>
              <w:p w:rsidR="00815B80" w:rsidRPr="00BB31CC" w:rsidRDefault="00815B80" w:rsidP="004401C8">
                <w:pPr>
                  <w:tabs>
                    <w:tab w:val="right" w:pos="8838"/>
                  </w:tabs>
                  <w:ind w:left="-74" w:right="-105"/>
                  <w:rPr>
                    <w:rFonts w:ascii="Palatino Linotype" w:eastAsia="Palatino Linotype" w:hAnsi="Palatino Linotype" w:cs="Palatino Linotype"/>
                    <w:b/>
                    <w:sz w:val="22"/>
                    <w:szCs w:val="22"/>
                  </w:rPr>
                </w:pPr>
                <w:r w:rsidRPr="00BB31CC">
                  <w:rPr>
                    <w:rFonts w:ascii="Palatino Linotype" w:eastAsia="Palatino Linotype" w:hAnsi="Palatino Linotype" w:cs="Palatino Linotype"/>
                    <w:b/>
                    <w:sz w:val="22"/>
                    <w:szCs w:val="22"/>
                  </w:rPr>
                  <w:t>Recurrente:</w:t>
                </w:r>
              </w:p>
            </w:tc>
            <w:tc>
              <w:tcPr>
                <w:tcW w:w="4920" w:type="dxa"/>
                <w:shd w:val="clear" w:color="auto" w:fill="auto"/>
              </w:tcPr>
              <w:p w:rsidR="00815B80" w:rsidRPr="00BB31CC" w:rsidRDefault="008806F8" w:rsidP="004401C8">
                <w:pPr>
                  <w:tabs>
                    <w:tab w:val="left" w:pos="3122"/>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w:t>
                </w:r>
              </w:p>
            </w:tc>
          </w:tr>
          <w:tr w:rsidR="00815B80" w:rsidTr="00BB31CC">
            <w:trPr>
              <w:trHeight w:val="80"/>
              <w:jc w:val="right"/>
            </w:trPr>
            <w:tc>
              <w:tcPr>
                <w:tcW w:w="2490" w:type="dxa"/>
                <w:shd w:val="clear" w:color="auto" w:fill="auto"/>
              </w:tcPr>
              <w:p w:rsidR="00815B80" w:rsidRPr="00BB31CC" w:rsidRDefault="00815B80" w:rsidP="004401C8">
                <w:pPr>
                  <w:tabs>
                    <w:tab w:val="right" w:pos="8838"/>
                  </w:tabs>
                  <w:ind w:left="-74" w:right="-105"/>
                  <w:rPr>
                    <w:rFonts w:ascii="Palatino Linotype" w:eastAsia="Palatino Linotype" w:hAnsi="Palatino Linotype" w:cs="Palatino Linotype"/>
                    <w:b/>
                    <w:sz w:val="22"/>
                    <w:szCs w:val="22"/>
                  </w:rPr>
                </w:pPr>
                <w:r w:rsidRPr="00BB31CC">
                  <w:rPr>
                    <w:rFonts w:ascii="Palatino Linotype" w:eastAsia="Palatino Linotype" w:hAnsi="Palatino Linotype" w:cs="Palatino Linotype"/>
                    <w:b/>
                    <w:sz w:val="22"/>
                    <w:szCs w:val="22"/>
                  </w:rPr>
                  <w:t>Sujeto Obligado:</w:t>
                </w:r>
              </w:p>
            </w:tc>
            <w:tc>
              <w:tcPr>
                <w:tcW w:w="4920" w:type="dxa"/>
                <w:shd w:val="clear" w:color="auto" w:fill="auto"/>
              </w:tcPr>
              <w:p w:rsidR="00815B80" w:rsidRPr="00BB31CC" w:rsidRDefault="00815B80" w:rsidP="004401C8">
                <w:pPr>
                  <w:tabs>
                    <w:tab w:val="left" w:pos="2834"/>
                    <w:tab w:val="right" w:pos="8838"/>
                  </w:tabs>
                  <w:ind w:right="-1552"/>
                  <w:rPr>
                    <w:rFonts w:ascii="Palatino Linotype" w:eastAsia="Palatino Linotype" w:hAnsi="Palatino Linotype" w:cs="Palatino Linotype"/>
                    <w:sz w:val="22"/>
                    <w:szCs w:val="22"/>
                  </w:rPr>
                </w:pPr>
                <w:r w:rsidRPr="00BB31CC">
                  <w:rPr>
                    <w:rFonts w:ascii="Palatino Linotype" w:eastAsia="Palatino Linotype" w:hAnsi="Palatino Linotype" w:cs="Palatino Linotype"/>
                    <w:sz w:val="22"/>
                    <w:szCs w:val="22"/>
                  </w:rPr>
                  <w:t>Ayuntamiento de Ecatzingo</w:t>
                </w:r>
              </w:p>
            </w:tc>
          </w:tr>
          <w:tr w:rsidR="00815B80" w:rsidTr="00BB31CC">
            <w:trPr>
              <w:trHeight w:val="283"/>
              <w:jc w:val="right"/>
            </w:trPr>
            <w:tc>
              <w:tcPr>
                <w:tcW w:w="2490" w:type="dxa"/>
                <w:shd w:val="clear" w:color="auto" w:fill="auto"/>
              </w:tcPr>
              <w:p w:rsidR="00815B80" w:rsidRPr="00BB31CC" w:rsidRDefault="00815B80" w:rsidP="004401C8">
                <w:pPr>
                  <w:tabs>
                    <w:tab w:val="right" w:pos="8838"/>
                  </w:tabs>
                  <w:ind w:right="-105"/>
                  <w:rPr>
                    <w:rFonts w:ascii="Palatino Linotype" w:eastAsia="Palatino Linotype" w:hAnsi="Palatino Linotype" w:cs="Palatino Linotype"/>
                    <w:b/>
                    <w:sz w:val="22"/>
                    <w:szCs w:val="22"/>
                  </w:rPr>
                </w:pPr>
                <w:r w:rsidRPr="00BB31CC">
                  <w:rPr>
                    <w:rFonts w:ascii="Palatino Linotype" w:eastAsia="Palatino Linotype" w:hAnsi="Palatino Linotype" w:cs="Palatino Linotype"/>
                    <w:b/>
                    <w:sz w:val="22"/>
                    <w:szCs w:val="22"/>
                  </w:rPr>
                  <w:t>Comisionada ponente:</w:t>
                </w:r>
              </w:p>
            </w:tc>
            <w:tc>
              <w:tcPr>
                <w:tcW w:w="4920" w:type="dxa"/>
                <w:shd w:val="clear" w:color="auto" w:fill="auto"/>
              </w:tcPr>
              <w:p w:rsidR="00815B80" w:rsidRPr="00BB31CC" w:rsidRDefault="00815B80" w:rsidP="004401C8">
                <w:pPr>
                  <w:tabs>
                    <w:tab w:val="right" w:pos="8838"/>
                  </w:tabs>
                  <w:ind w:right="-1552"/>
                  <w:rPr>
                    <w:rFonts w:ascii="Palatino Linotype" w:eastAsia="Palatino Linotype" w:hAnsi="Palatino Linotype" w:cs="Palatino Linotype"/>
                    <w:sz w:val="22"/>
                    <w:szCs w:val="22"/>
                  </w:rPr>
                </w:pPr>
                <w:r w:rsidRPr="00BB31CC">
                  <w:rPr>
                    <w:rFonts w:ascii="Palatino Linotype" w:eastAsia="Palatino Linotype" w:hAnsi="Palatino Linotype" w:cs="Palatino Linotype"/>
                    <w:sz w:val="22"/>
                    <w:szCs w:val="22"/>
                  </w:rPr>
                  <w:t>María del Rosario Mejía Ayala</w:t>
                </w:r>
              </w:p>
              <w:p w:rsidR="00815B80" w:rsidRPr="00BB31CC" w:rsidRDefault="00815B80" w:rsidP="004401C8">
                <w:pPr>
                  <w:tabs>
                    <w:tab w:val="right" w:pos="8838"/>
                  </w:tabs>
                  <w:ind w:right="-1552"/>
                  <w:rPr>
                    <w:rFonts w:ascii="Palatino Linotype" w:eastAsia="Palatino Linotype" w:hAnsi="Palatino Linotype" w:cs="Palatino Linotype"/>
                    <w:sz w:val="22"/>
                    <w:szCs w:val="22"/>
                  </w:rPr>
                </w:pPr>
              </w:p>
            </w:tc>
          </w:tr>
        </w:tbl>
        <w:p w:rsidR="00815B80" w:rsidRDefault="00815B80">
          <w:pPr>
            <w:tabs>
              <w:tab w:val="right" w:pos="8838"/>
            </w:tabs>
            <w:ind w:left="-28"/>
            <w:jc w:val="both"/>
            <w:rPr>
              <w:rFonts w:ascii="Arial" w:eastAsia="Arial" w:hAnsi="Arial" w:cs="Arial"/>
              <w:b/>
              <w:sz w:val="22"/>
              <w:szCs w:val="22"/>
            </w:rPr>
          </w:pPr>
        </w:p>
      </w:tc>
    </w:tr>
  </w:tbl>
  <w:p w:rsidR="00815B80" w:rsidRDefault="00BE2FDB">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68.8pt;margin-top:-117.6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F4CE0"/>
    <w:multiLevelType w:val="hybridMultilevel"/>
    <w:tmpl w:val="27B46AC4"/>
    <w:lvl w:ilvl="0" w:tplc="707A79E0">
      <w:start w:val="1"/>
      <w:numFmt w:val="lowerLetter"/>
      <w:lvlText w:val="%1)"/>
      <w:lvlJc w:val="left"/>
      <w:pPr>
        <w:ind w:left="1134" w:hanging="567"/>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A905BCE"/>
    <w:multiLevelType w:val="hybridMultilevel"/>
    <w:tmpl w:val="91863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B6500F"/>
    <w:multiLevelType w:val="hybridMultilevel"/>
    <w:tmpl w:val="23864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777FEB"/>
    <w:multiLevelType w:val="hybridMultilevel"/>
    <w:tmpl w:val="3D8CA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992483"/>
    <w:multiLevelType w:val="multilevel"/>
    <w:tmpl w:val="E14A59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BF4BB8"/>
    <w:multiLevelType w:val="hybridMultilevel"/>
    <w:tmpl w:val="1EA609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F96E26"/>
    <w:multiLevelType w:val="hybridMultilevel"/>
    <w:tmpl w:val="65C810F0"/>
    <w:lvl w:ilvl="0" w:tplc="080A0001">
      <w:start w:val="1"/>
      <w:numFmt w:val="bullet"/>
      <w:lvlText w:val=""/>
      <w:lvlJc w:val="left"/>
      <w:pPr>
        <w:ind w:left="1287" w:hanging="360"/>
      </w:pPr>
      <w:rPr>
        <w:rFonts w:ascii="Symbol" w:hAnsi="Symbol" w:hint="default"/>
      </w:rPr>
    </w:lvl>
    <w:lvl w:ilvl="1" w:tplc="1E4E0E00">
      <w:numFmt w:val="bullet"/>
      <w:lvlText w:val="•"/>
      <w:lvlJc w:val="left"/>
      <w:pPr>
        <w:ind w:left="2007" w:hanging="360"/>
      </w:pPr>
      <w:rPr>
        <w:rFonts w:ascii="Palatino Linotype" w:eastAsia="Times New Roman" w:hAnsi="Palatino Linotype" w:cs="Times New Roman"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BE3780E"/>
    <w:multiLevelType w:val="multilevel"/>
    <w:tmpl w:val="E924C958"/>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384755"/>
    <w:multiLevelType w:val="multilevel"/>
    <w:tmpl w:val="9BFE07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422093"/>
    <w:multiLevelType w:val="hybridMultilevel"/>
    <w:tmpl w:val="A314A7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DE58F3"/>
    <w:multiLevelType w:val="hybridMultilevel"/>
    <w:tmpl w:val="34448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1F72DA"/>
    <w:multiLevelType w:val="hybridMultilevel"/>
    <w:tmpl w:val="BEA680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AF4D13"/>
    <w:multiLevelType w:val="multilevel"/>
    <w:tmpl w:val="21BEFE2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60839D1"/>
    <w:multiLevelType w:val="hybridMultilevel"/>
    <w:tmpl w:val="7C262A1E"/>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2B6F77"/>
    <w:multiLevelType w:val="hybridMultilevel"/>
    <w:tmpl w:val="F5A2D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400D09"/>
    <w:multiLevelType w:val="hybridMultilevel"/>
    <w:tmpl w:val="A6BC0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F1274F"/>
    <w:multiLevelType w:val="hybridMultilevel"/>
    <w:tmpl w:val="C6DEA824"/>
    <w:lvl w:ilvl="0" w:tplc="473C19B4">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690B08FE"/>
    <w:multiLevelType w:val="hybridMultilevel"/>
    <w:tmpl w:val="65525C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0C68DA"/>
    <w:multiLevelType w:val="multilevel"/>
    <w:tmpl w:val="8F4AA0C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D74F29"/>
    <w:multiLevelType w:val="multilevel"/>
    <w:tmpl w:val="34646FB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2608DA"/>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6D22AA"/>
    <w:multiLevelType w:val="multilevel"/>
    <w:tmpl w:val="3EC431A6"/>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1B315D"/>
    <w:multiLevelType w:val="hybridMultilevel"/>
    <w:tmpl w:val="444469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
  </w:num>
  <w:num w:numId="2">
    <w:abstractNumId w:val="28"/>
  </w:num>
  <w:num w:numId="3">
    <w:abstractNumId w:val="10"/>
  </w:num>
  <w:num w:numId="4">
    <w:abstractNumId w:val="15"/>
  </w:num>
  <w:num w:numId="5">
    <w:abstractNumId w:val="5"/>
  </w:num>
  <w:num w:numId="6">
    <w:abstractNumId w:val="27"/>
  </w:num>
  <w:num w:numId="7">
    <w:abstractNumId w:val="21"/>
  </w:num>
  <w:num w:numId="8">
    <w:abstractNumId w:val="17"/>
  </w:num>
  <w:num w:numId="9">
    <w:abstractNumId w:val="16"/>
  </w:num>
  <w:num w:numId="10">
    <w:abstractNumId w:val="9"/>
  </w:num>
  <w:num w:numId="11">
    <w:abstractNumId w:val="1"/>
  </w:num>
  <w:num w:numId="12">
    <w:abstractNumId w:val="23"/>
  </w:num>
  <w:num w:numId="13">
    <w:abstractNumId w:val="7"/>
  </w:num>
  <w:num w:numId="14">
    <w:abstractNumId w:val="3"/>
  </w:num>
  <w:num w:numId="15">
    <w:abstractNumId w:val="12"/>
  </w:num>
  <w:num w:numId="16">
    <w:abstractNumId w:val="18"/>
  </w:num>
  <w:num w:numId="17">
    <w:abstractNumId w:val="19"/>
  </w:num>
  <w:num w:numId="18">
    <w:abstractNumId w:val="11"/>
  </w:num>
  <w:num w:numId="19">
    <w:abstractNumId w:val="6"/>
  </w:num>
  <w:num w:numId="20">
    <w:abstractNumId w:val="29"/>
  </w:num>
  <w:num w:numId="21">
    <w:abstractNumId w:val="8"/>
  </w:num>
  <w:num w:numId="22">
    <w:abstractNumId w:val="25"/>
  </w:num>
  <w:num w:numId="23">
    <w:abstractNumId w:val="26"/>
  </w:num>
  <w:num w:numId="24">
    <w:abstractNumId w:val="14"/>
  </w:num>
  <w:num w:numId="25">
    <w:abstractNumId w:val="13"/>
  </w:num>
  <w:num w:numId="26">
    <w:abstractNumId w:val="4"/>
  </w:num>
  <w:num w:numId="27">
    <w:abstractNumId w:val="24"/>
  </w:num>
  <w:num w:numId="28">
    <w:abstractNumId w:val="20"/>
  </w:num>
  <w:num w:numId="29">
    <w:abstractNumId w:val="2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D86"/>
    <w:rsid w:val="00042FAE"/>
    <w:rsid w:val="00052A94"/>
    <w:rsid w:val="00055A1A"/>
    <w:rsid w:val="00071244"/>
    <w:rsid w:val="00073512"/>
    <w:rsid w:val="000F5071"/>
    <w:rsid w:val="0010521C"/>
    <w:rsid w:val="00105645"/>
    <w:rsid w:val="00111C7B"/>
    <w:rsid w:val="00145D84"/>
    <w:rsid w:val="00154636"/>
    <w:rsid w:val="001E3125"/>
    <w:rsid w:val="001F089F"/>
    <w:rsid w:val="00244DA9"/>
    <w:rsid w:val="00251F21"/>
    <w:rsid w:val="00273A3F"/>
    <w:rsid w:val="002C1A45"/>
    <w:rsid w:val="002C7271"/>
    <w:rsid w:val="00302FE8"/>
    <w:rsid w:val="0033488B"/>
    <w:rsid w:val="00350878"/>
    <w:rsid w:val="003843C2"/>
    <w:rsid w:val="003A1F84"/>
    <w:rsid w:val="00415A07"/>
    <w:rsid w:val="004401C8"/>
    <w:rsid w:val="004512E5"/>
    <w:rsid w:val="004C508D"/>
    <w:rsid w:val="004D4CAA"/>
    <w:rsid w:val="004E66BD"/>
    <w:rsid w:val="004E7B76"/>
    <w:rsid w:val="004F5574"/>
    <w:rsid w:val="00503E63"/>
    <w:rsid w:val="00571F2A"/>
    <w:rsid w:val="005761A6"/>
    <w:rsid w:val="005A3D08"/>
    <w:rsid w:val="00600A77"/>
    <w:rsid w:val="00603BA2"/>
    <w:rsid w:val="00614A8A"/>
    <w:rsid w:val="00622BB3"/>
    <w:rsid w:val="006334CD"/>
    <w:rsid w:val="00651426"/>
    <w:rsid w:val="00663C8A"/>
    <w:rsid w:val="0066562E"/>
    <w:rsid w:val="006769AF"/>
    <w:rsid w:val="006B7FF0"/>
    <w:rsid w:val="006E5F99"/>
    <w:rsid w:val="007322F6"/>
    <w:rsid w:val="00735470"/>
    <w:rsid w:val="00737B90"/>
    <w:rsid w:val="007C35C2"/>
    <w:rsid w:val="007E055E"/>
    <w:rsid w:val="00815B80"/>
    <w:rsid w:val="00817421"/>
    <w:rsid w:val="00831332"/>
    <w:rsid w:val="00850EB3"/>
    <w:rsid w:val="008806F8"/>
    <w:rsid w:val="008A7695"/>
    <w:rsid w:val="008B2665"/>
    <w:rsid w:val="008B46A1"/>
    <w:rsid w:val="008D5425"/>
    <w:rsid w:val="008D638C"/>
    <w:rsid w:val="008D6B9E"/>
    <w:rsid w:val="009060A0"/>
    <w:rsid w:val="00937D48"/>
    <w:rsid w:val="00956C4F"/>
    <w:rsid w:val="009A55C8"/>
    <w:rsid w:val="009C5E65"/>
    <w:rsid w:val="009F4038"/>
    <w:rsid w:val="009F463A"/>
    <w:rsid w:val="00A379D4"/>
    <w:rsid w:val="00A42556"/>
    <w:rsid w:val="00A4626A"/>
    <w:rsid w:val="00A54ACB"/>
    <w:rsid w:val="00A83CED"/>
    <w:rsid w:val="00AA0813"/>
    <w:rsid w:val="00AB686B"/>
    <w:rsid w:val="00AD2AE5"/>
    <w:rsid w:val="00AE262A"/>
    <w:rsid w:val="00AF2A58"/>
    <w:rsid w:val="00B06C82"/>
    <w:rsid w:val="00B81ACA"/>
    <w:rsid w:val="00BB1ED7"/>
    <w:rsid w:val="00BB31CC"/>
    <w:rsid w:val="00BB7721"/>
    <w:rsid w:val="00BD000C"/>
    <w:rsid w:val="00BE2FDB"/>
    <w:rsid w:val="00C07A2E"/>
    <w:rsid w:val="00C806D4"/>
    <w:rsid w:val="00C82ED1"/>
    <w:rsid w:val="00CA2A60"/>
    <w:rsid w:val="00CA36B9"/>
    <w:rsid w:val="00D063C3"/>
    <w:rsid w:val="00D71ED9"/>
    <w:rsid w:val="00D77678"/>
    <w:rsid w:val="00D84840"/>
    <w:rsid w:val="00D857BB"/>
    <w:rsid w:val="00E17201"/>
    <w:rsid w:val="00E77A50"/>
    <w:rsid w:val="00E94D86"/>
    <w:rsid w:val="00E94DFC"/>
    <w:rsid w:val="00EA05EE"/>
    <w:rsid w:val="00ED7359"/>
    <w:rsid w:val="00F5723F"/>
    <w:rsid w:val="00FA2108"/>
    <w:rsid w:val="00FA59C9"/>
    <w:rsid w:val="00FC50EC"/>
    <w:rsid w:val="00FC7F8F"/>
    <w:rsid w:val="00FD0848"/>
    <w:rsid w:val="00FD1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6128F28-E313-43E5-B559-92DDC0C7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EC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835EC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Fundamentos">
    <w:name w:val="Fundamentos"/>
    <w:basedOn w:val="Normal"/>
    <w:next w:val="Normal"/>
    <w:qFormat/>
    <w:rsid w:val="005A3D08"/>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906027">
      <w:bodyDiv w:val="1"/>
      <w:marLeft w:val="0"/>
      <w:marRight w:val="0"/>
      <w:marTop w:val="0"/>
      <w:marBottom w:val="0"/>
      <w:divBdr>
        <w:top w:val="none" w:sz="0" w:space="0" w:color="auto"/>
        <w:left w:val="none" w:sz="0" w:space="0" w:color="auto"/>
        <w:bottom w:val="none" w:sz="0" w:space="0" w:color="auto"/>
        <w:right w:val="none" w:sz="0" w:space="0" w:color="auto"/>
      </w:divBdr>
    </w:div>
    <w:div w:id="1013074397">
      <w:bodyDiv w:val="1"/>
      <w:marLeft w:val="0"/>
      <w:marRight w:val="0"/>
      <w:marTop w:val="0"/>
      <w:marBottom w:val="0"/>
      <w:divBdr>
        <w:top w:val="none" w:sz="0" w:space="0" w:color="auto"/>
        <w:left w:val="none" w:sz="0" w:space="0" w:color="auto"/>
        <w:bottom w:val="none" w:sz="0" w:space="0" w:color="auto"/>
        <w:right w:val="none" w:sz="0" w:space="0" w:color="auto"/>
      </w:divBdr>
    </w:div>
    <w:div w:id="1644894978">
      <w:bodyDiv w:val="1"/>
      <w:marLeft w:val="0"/>
      <w:marRight w:val="0"/>
      <w:marTop w:val="0"/>
      <w:marBottom w:val="0"/>
      <w:divBdr>
        <w:top w:val="none" w:sz="0" w:space="0" w:color="auto"/>
        <w:left w:val="none" w:sz="0" w:space="0" w:color="auto"/>
        <w:bottom w:val="none" w:sz="0" w:space="0" w:color="auto"/>
        <w:right w:val="none" w:sz="0" w:space="0" w:color="auto"/>
      </w:divBdr>
    </w:div>
    <w:div w:id="1989049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59544.page" TargetMode="External"/><Relationship Id="rId13" Type="http://schemas.openxmlformats.org/officeDocument/2006/relationships/hyperlink" Target="https://www.ecatzingo.gob.m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59547.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215954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159545.pag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6ks4f2mhNuWpQ3GfcRWGbCdTg==">CgMxLjAyCWguM3pueXNoNzIJaC4zZHk2dmttMghoLmdqZGd4czIJaC4zMGowemxsMghoLnR5amN3dDIJaC4xdDNoNXNmMgloLjFmb2I5dGU4AHIhMTR3MDl2bHZHS3lndWdreWcxTVhydzN3b3lza1gycGFl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12502</Words>
  <Characters>68765</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INFOEM521</dc:creator>
  <cp:keywords/>
  <dc:description/>
  <cp:lastModifiedBy>Cuenta Microsoft</cp:lastModifiedBy>
  <cp:revision>10</cp:revision>
  <cp:lastPrinted>2025-03-07T20:00:00Z</cp:lastPrinted>
  <dcterms:created xsi:type="dcterms:W3CDTF">2025-03-05T18:23:00Z</dcterms:created>
  <dcterms:modified xsi:type="dcterms:W3CDTF">2025-03-31T19:38:00Z</dcterms:modified>
</cp:coreProperties>
</file>