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50FB3" w14:textId="77777777" w:rsidR="0029071C" w:rsidRPr="002C72EC" w:rsidRDefault="0029071C" w:rsidP="00C753C2">
      <w:pPr>
        <w:shd w:val="clear" w:color="auto" w:fill="FFFFFF"/>
        <w:spacing w:line="360" w:lineRule="auto"/>
        <w:jc w:val="both"/>
        <w:rPr>
          <w:rFonts w:ascii="Palatino Linotype" w:hAnsi="Palatino Linotype" w:cs="Arial"/>
          <w:color w:val="000000"/>
          <w:lang w:val="es-MX" w:eastAsia="es-MX"/>
        </w:rPr>
      </w:pPr>
      <w:r w:rsidRPr="002C72E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8769C">
        <w:rPr>
          <w:rFonts w:ascii="Palatino Linotype" w:hAnsi="Palatino Linotype" w:cs="Arial"/>
          <w:color w:val="000000"/>
          <w:lang w:val="es-MX" w:eastAsia="es-MX"/>
        </w:rPr>
        <w:t>seis</w:t>
      </w:r>
      <w:r w:rsidR="00110516">
        <w:rPr>
          <w:rFonts w:ascii="Palatino Linotype" w:hAnsi="Palatino Linotype" w:cs="Arial"/>
          <w:color w:val="000000"/>
          <w:lang w:val="es-MX" w:eastAsia="es-MX"/>
        </w:rPr>
        <w:t xml:space="preserve"> de marzo de dos mil veinticinco.</w:t>
      </w:r>
    </w:p>
    <w:p w14:paraId="496851EB" w14:textId="77777777" w:rsidR="00A83B4F" w:rsidRPr="002C72EC" w:rsidRDefault="00A83B4F" w:rsidP="00C753C2">
      <w:pPr>
        <w:tabs>
          <w:tab w:val="left" w:pos="1701"/>
        </w:tabs>
        <w:spacing w:line="360" w:lineRule="auto"/>
        <w:jc w:val="both"/>
        <w:rPr>
          <w:rFonts w:ascii="Palatino Linotype" w:hAnsi="Palatino Linotype" w:cs="Arial"/>
          <w:color w:val="000000"/>
          <w:lang w:val="es-MX" w:eastAsia="es-MX"/>
        </w:rPr>
      </w:pPr>
    </w:p>
    <w:p w14:paraId="421B8301" w14:textId="77777777" w:rsidR="009E0E89" w:rsidRPr="002C72EC" w:rsidRDefault="0029071C" w:rsidP="00C753C2">
      <w:pPr>
        <w:tabs>
          <w:tab w:val="left" w:pos="1701"/>
        </w:tabs>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b/>
          <w:lang w:val="es-MX" w:eastAsia="en-US"/>
        </w:rPr>
        <w:t>VISTO</w:t>
      </w:r>
      <w:r w:rsidRPr="002C72EC">
        <w:rPr>
          <w:rFonts w:ascii="Palatino Linotype" w:eastAsiaTheme="minorHAnsi" w:hAnsi="Palatino Linotype" w:cs="Arial"/>
          <w:lang w:val="es-MX" w:eastAsia="en-US"/>
        </w:rPr>
        <w:t xml:space="preserve"> el expediente electrónico formado con motivo del recurso de revisión número </w:t>
      </w:r>
      <w:bookmarkStart w:id="0" w:name="_GoBack"/>
      <w:r w:rsidR="00C45025" w:rsidRPr="002C72EC">
        <w:rPr>
          <w:rFonts w:ascii="Palatino Linotype" w:eastAsiaTheme="minorHAnsi" w:hAnsi="Palatino Linotype" w:cs="Arial"/>
          <w:b/>
          <w:lang w:val="es-MX" w:eastAsia="en-US"/>
        </w:rPr>
        <w:t>0</w:t>
      </w:r>
      <w:r w:rsidR="00110516">
        <w:rPr>
          <w:rFonts w:ascii="Palatino Linotype" w:eastAsiaTheme="minorHAnsi" w:hAnsi="Palatino Linotype" w:cs="Arial"/>
          <w:b/>
          <w:lang w:val="es-MX" w:eastAsia="en-US"/>
        </w:rPr>
        <w:t>0675</w:t>
      </w:r>
      <w:r w:rsidRPr="002C72EC">
        <w:rPr>
          <w:rFonts w:ascii="Palatino Linotype" w:eastAsiaTheme="minorHAnsi" w:hAnsi="Palatino Linotype" w:cs="Arial"/>
          <w:b/>
          <w:bCs/>
          <w:lang w:val="es-MX" w:eastAsia="es-MX"/>
        </w:rPr>
        <w:t>/INFOEM/IP/RR/202</w:t>
      </w:r>
      <w:r w:rsidR="00C8769C" w:rsidRPr="00C8769C">
        <w:rPr>
          <w:rFonts w:ascii="Palatino Linotype" w:eastAsiaTheme="minorHAnsi" w:hAnsi="Palatino Linotype" w:cs="Arial"/>
          <w:b/>
          <w:bCs/>
          <w:highlight w:val="yellow"/>
          <w:lang w:val="es-MX" w:eastAsia="es-MX"/>
        </w:rPr>
        <w:t>5</w:t>
      </w:r>
      <w:bookmarkEnd w:id="0"/>
      <w:r w:rsidRPr="002C72EC">
        <w:rPr>
          <w:rFonts w:ascii="Palatino Linotype" w:eastAsiaTheme="minorHAnsi" w:hAnsi="Palatino Linotype" w:cs="Arial"/>
          <w:lang w:val="es-MX" w:eastAsia="en-US"/>
        </w:rPr>
        <w:t xml:space="preserve">, </w:t>
      </w:r>
      <w:r w:rsidR="00EC54C8" w:rsidRPr="002C72EC">
        <w:rPr>
          <w:rFonts w:ascii="Palatino Linotype" w:hAnsi="Palatino Linotype" w:cs="Arial"/>
        </w:rPr>
        <w:t xml:space="preserve">interpuesto </w:t>
      </w:r>
      <w:r w:rsidR="002079BF" w:rsidRPr="002C72EC">
        <w:rPr>
          <w:rFonts w:ascii="Palatino Linotype" w:hAnsi="Palatino Linotype" w:cs="Arial"/>
        </w:rPr>
        <w:t>por</w:t>
      </w:r>
      <w:r w:rsidR="00110516">
        <w:rPr>
          <w:rFonts w:ascii="Palatino Linotype" w:hAnsi="Palatino Linotype" w:cs="Arial"/>
          <w:b/>
        </w:rPr>
        <w:t xml:space="preserve"> un particular que no proporciono nombre o seudónimo</w:t>
      </w:r>
      <w:r w:rsidRPr="002C72EC">
        <w:rPr>
          <w:rFonts w:ascii="Palatino Linotype" w:eastAsiaTheme="minorHAnsi" w:hAnsi="Palatino Linotype" w:cs="Arial"/>
          <w:lang w:val="es-MX" w:eastAsia="en-US"/>
        </w:rPr>
        <w:t>, en contra de la respuesta de</w:t>
      </w:r>
      <w:r w:rsidR="00CB725C">
        <w:rPr>
          <w:rFonts w:ascii="Palatino Linotype" w:eastAsiaTheme="minorHAnsi" w:hAnsi="Palatino Linotype" w:cs="Arial"/>
          <w:lang w:val="es-MX" w:eastAsia="en-US"/>
        </w:rPr>
        <w:t>l</w:t>
      </w:r>
      <w:r w:rsidRPr="002C72EC">
        <w:rPr>
          <w:rFonts w:ascii="Palatino Linotype" w:eastAsiaTheme="minorHAnsi" w:hAnsi="Palatino Linotype" w:cs="Arial"/>
          <w:lang w:val="es-MX" w:eastAsia="en-US"/>
        </w:rPr>
        <w:t xml:space="preserve"> </w:t>
      </w:r>
      <w:r w:rsidR="00110516" w:rsidRPr="00110516">
        <w:rPr>
          <w:rFonts w:ascii="Palatino Linotype" w:hAnsi="Palatino Linotype"/>
          <w:b/>
          <w:bCs/>
          <w:color w:val="000000"/>
        </w:rPr>
        <w:t>Ayuntamiento de Metepec</w:t>
      </w:r>
      <w:r w:rsidRPr="00CB725C">
        <w:rPr>
          <w:rFonts w:ascii="Palatino Linotype" w:eastAsiaTheme="minorHAnsi" w:hAnsi="Palatino Linotype" w:cs="Arial"/>
          <w:lang w:val="es-MX" w:eastAsia="en-US"/>
        </w:rPr>
        <w:t>,</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en lo subsecuente</w:t>
      </w:r>
      <w:r w:rsidRPr="002C72EC">
        <w:rPr>
          <w:rFonts w:ascii="Palatino Linotype" w:eastAsiaTheme="minorHAnsi" w:hAnsi="Palatino Linotype" w:cs="Arial"/>
          <w:b/>
          <w:lang w:val="es-MX" w:eastAsia="en-US"/>
        </w:rPr>
        <w:t xml:space="preserve"> El Sujeto Obligado, </w:t>
      </w:r>
      <w:r w:rsidRPr="002C72EC">
        <w:rPr>
          <w:rFonts w:ascii="Palatino Linotype" w:eastAsiaTheme="minorHAnsi" w:hAnsi="Palatino Linotype" w:cs="Arial"/>
          <w:lang w:val="es-MX" w:eastAsia="en-US"/>
        </w:rPr>
        <w:t>se procede a dictar la presente resolución.</w:t>
      </w:r>
    </w:p>
    <w:p w14:paraId="347DA703" w14:textId="77777777" w:rsidR="00C753C2" w:rsidRPr="002C72E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537CFC46" w14:textId="77777777" w:rsidR="00C753C2" w:rsidRPr="002C72EC" w:rsidRDefault="0029071C" w:rsidP="003B0FAC">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A N T E C E D E N T E S</w:t>
      </w:r>
    </w:p>
    <w:p w14:paraId="7CE6EFA1" w14:textId="77777777" w:rsidR="003B0FAC" w:rsidRPr="002C72EC" w:rsidRDefault="003B0FAC" w:rsidP="003009C8">
      <w:pPr>
        <w:spacing w:line="360" w:lineRule="auto"/>
        <w:rPr>
          <w:rFonts w:ascii="Palatino Linotype" w:eastAsiaTheme="minorHAnsi" w:hAnsi="Palatino Linotype" w:cs="Arial"/>
          <w:b/>
          <w:sz w:val="16"/>
          <w:lang w:val="es-MX" w:eastAsia="en-US"/>
        </w:rPr>
      </w:pPr>
    </w:p>
    <w:p w14:paraId="4283EA66" w14:textId="77777777" w:rsidR="0029071C" w:rsidRPr="002C72EC" w:rsidRDefault="0029071C"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PRIMERO. De la solicitud de información.</w:t>
      </w:r>
    </w:p>
    <w:p w14:paraId="59C42F15" w14:textId="77777777" w:rsidR="008A446B" w:rsidRPr="002C72EC" w:rsidRDefault="0029071C" w:rsidP="008A446B">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szCs w:val="22"/>
          <w:lang w:val="es-MX" w:eastAsia="en-US"/>
        </w:rPr>
        <w:t xml:space="preserve">En fecha </w:t>
      </w:r>
      <w:r w:rsidR="00110516">
        <w:rPr>
          <w:rFonts w:ascii="Palatino Linotype" w:eastAsiaTheme="minorHAnsi" w:hAnsi="Palatino Linotype" w:cs="Arial"/>
          <w:szCs w:val="22"/>
          <w:lang w:val="es-MX" w:eastAsia="en-US"/>
        </w:rPr>
        <w:t>veintiocho de noviembre de dos mil veinticuatro</w:t>
      </w:r>
      <w:r w:rsidRPr="002C72EC">
        <w:rPr>
          <w:rFonts w:ascii="Palatino Linotype" w:eastAsiaTheme="minorHAnsi" w:hAnsi="Palatino Linotype" w:cs="Arial"/>
          <w:szCs w:val="22"/>
          <w:lang w:val="es-MX" w:eastAsia="en-US"/>
        </w:rPr>
        <w:t xml:space="preserve">, </w:t>
      </w:r>
      <w:r w:rsidR="00BA27FC" w:rsidRPr="002C72EC">
        <w:rPr>
          <w:rFonts w:ascii="Palatino Linotype" w:eastAsiaTheme="minorHAnsi" w:hAnsi="Palatino Linotype" w:cs="Arial"/>
          <w:szCs w:val="22"/>
          <w:lang w:val="es-MX" w:eastAsia="en-US"/>
        </w:rPr>
        <w:t>el</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w:t>
      </w:r>
      <w:r w:rsidR="00BE35A1">
        <w:rPr>
          <w:rFonts w:ascii="Palatino Linotype" w:eastAsiaTheme="minorHAnsi" w:hAnsi="Palatino Linotype" w:cs="Arial"/>
          <w:szCs w:val="22"/>
          <w:lang w:val="es-MX" w:eastAsia="en-US"/>
        </w:rPr>
        <w:t>mediante e</w:t>
      </w:r>
      <w:r w:rsidR="00CB725C">
        <w:rPr>
          <w:rFonts w:ascii="Palatino Linotype" w:eastAsiaTheme="minorHAnsi" w:hAnsi="Palatino Linotype" w:cs="Arial"/>
          <w:szCs w:val="22"/>
          <w:lang w:val="es-MX" w:eastAsia="en-US"/>
        </w:rPr>
        <w:t>l</w:t>
      </w:r>
      <w:r w:rsidR="00B77FED"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 xml:space="preserve">Sistema de Acceso a la Información Mexiquense </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xml:space="preserve"> ante 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 la solicitud de acceso a la información pública, a la que se le</w:t>
      </w:r>
      <w:r w:rsidR="00C753C2" w:rsidRPr="002C72EC">
        <w:rPr>
          <w:rFonts w:ascii="Palatino Linotype" w:eastAsiaTheme="minorHAnsi" w:hAnsi="Palatino Linotype" w:cs="Arial"/>
          <w:szCs w:val="22"/>
          <w:lang w:val="es-MX" w:eastAsia="en-US"/>
        </w:rPr>
        <w:t xml:space="preserve"> asignó el número de expediente</w:t>
      </w:r>
      <w:r w:rsidR="00BE35A1" w:rsidRPr="00BE35A1">
        <w:rPr>
          <w:rFonts w:ascii="Verdana" w:hAnsi="Verdana"/>
          <w:b/>
          <w:bCs/>
          <w:color w:val="FF0000"/>
        </w:rPr>
        <w:t xml:space="preserve"> </w:t>
      </w:r>
      <w:r w:rsidR="00110516" w:rsidRPr="00110516">
        <w:rPr>
          <w:rFonts w:ascii="Palatino Linotype" w:hAnsi="Palatino Linotype"/>
          <w:b/>
          <w:bCs/>
        </w:rPr>
        <w:t>00777/METEPEC/IP/2024</w:t>
      </w:r>
      <w:r w:rsidR="00110516" w:rsidRPr="00110516">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mediante la cual solicitó lo siguiente:</w:t>
      </w:r>
    </w:p>
    <w:p w14:paraId="564F2546" w14:textId="77777777" w:rsidR="008A446B" w:rsidRPr="002C72EC" w:rsidRDefault="008A446B" w:rsidP="00B77FED">
      <w:pPr>
        <w:pStyle w:val="Sinespaciado"/>
        <w:rPr>
          <w:rFonts w:eastAsiaTheme="minorHAnsi"/>
          <w:lang w:eastAsia="en-US"/>
        </w:rPr>
      </w:pPr>
    </w:p>
    <w:p w14:paraId="3555D6CE" w14:textId="77777777" w:rsidR="00DD2DA4" w:rsidRPr="002C72EC" w:rsidRDefault="0029071C" w:rsidP="007D1172">
      <w:pPr>
        <w:spacing w:line="276" w:lineRule="auto"/>
        <w:ind w:left="426" w:right="474"/>
        <w:jc w:val="both"/>
        <w:rPr>
          <w:rFonts w:ascii="Palatino Linotype" w:hAnsi="Palatino Linotype"/>
          <w:i/>
          <w:sz w:val="22"/>
          <w:szCs w:val="22"/>
          <w:lang w:val="es-MX" w:eastAsia="es-MX"/>
        </w:rPr>
      </w:pPr>
      <w:r w:rsidRPr="00110516">
        <w:rPr>
          <w:rFonts w:ascii="Palatino Linotype" w:hAnsi="Palatino Linotype"/>
          <w:i/>
          <w:lang w:val="es-MX"/>
        </w:rPr>
        <w:t>“</w:t>
      </w:r>
      <w:r w:rsidR="00110516" w:rsidRPr="00110516">
        <w:rPr>
          <w:rFonts w:ascii="Palatino Linotype" w:hAnsi="Palatino Linotype"/>
          <w:i/>
          <w:color w:val="000000"/>
        </w:rPr>
        <w:t>SOBRE LA IMAGEN ADJUNTA PRESUMIENDO LOGROS DEL INFORME DE GOBIERNO SOLICITO LO SIGUIENTE: SOPORTE DOCUMENTAL QUE DE CUENTA SOBRE LOS 1500 SERVICIOS QUE ATENDIERON LOS BOMBEROS, ASÍ COMO 1000 URGENCIAS Y EMERGENCIAS PRE-HOSPITALARIAS POR PARTE DE PARAMEDICOS. UBICACIÓN Y COSTO DEL CENTRO DE CAPACITACIÓN Y ADIESTRAMIENTO, ASÍ COMO NÚMERO DE PERSONAS CAPACITADAS. COSTO DE LA REMODELACIÓN DE LA SUBESTACIÓN DE IZCALLI 5 "JUAN MANUEL SEGURA GARCÍA"</w:t>
      </w:r>
      <w:r w:rsidR="004A6291" w:rsidRPr="00110516">
        <w:rPr>
          <w:rFonts w:ascii="Palatino Linotype" w:hAnsi="Palatino Linotype"/>
          <w:i/>
          <w:lang w:val="es-MX" w:eastAsia="es-MX"/>
        </w:rPr>
        <w:t>.</w:t>
      </w:r>
      <w:r w:rsidRPr="00110516">
        <w:rPr>
          <w:rFonts w:ascii="Palatino Linotype" w:hAnsi="Palatino Linotype"/>
          <w:i/>
          <w:lang w:val="es-MX"/>
        </w:rPr>
        <w:t>”</w:t>
      </w:r>
      <w:r w:rsidRPr="00110516">
        <w:rPr>
          <w:rFonts w:ascii="Palatino Linotype" w:hAnsi="Palatino Linotype"/>
          <w:i/>
          <w:lang w:val="es-ES_tradnl"/>
        </w:rPr>
        <w:t xml:space="preserve"> </w:t>
      </w:r>
      <w:r w:rsidRPr="00BE35A1">
        <w:rPr>
          <w:rFonts w:ascii="Palatino Linotype" w:hAnsi="Palatino Linotype"/>
          <w:i/>
          <w:lang w:val="es-ES_tradnl"/>
        </w:rPr>
        <w:t>(</w:t>
      </w:r>
      <w:r w:rsidRPr="002C72EC">
        <w:rPr>
          <w:rFonts w:ascii="Palatino Linotype" w:hAnsi="Palatino Linotype"/>
          <w:i/>
          <w:sz w:val="22"/>
          <w:szCs w:val="22"/>
          <w:lang w:val="es-ES_tradnl"/>
        </w:rPr>
        <w:t>Sic).</w:t>
      </w:r>
    </w:p>
    <w:p w14:paraId="391E77A6" w14:textId="77777777" w:rsidR="008A446B" w:rsidRPr="002C72EC" w:rsidRDefault="008A446B" w:rsidP="008A446B">
      <w:pPr>
        <w:spacing w:line="360" w:lineRule="auto"/>
        <w:jc w:val="both"/>
        <w:rPr>
          <w:rFonts w:ascii="Palatino Linotype" w:eastAsiaTheme="minorHAnsi" w:hAnsi="Palatino Linotype" w:cs="Arial"/>
          <w:szCs w:val="22"/>
          <w:lang w:val="es-MX" w:eastAsia="en-US"/>
        </w:rPr>
      </w:pPr>
    </w:p>
    <w:p w14:paraId="60E0FAD6" w14:textId="77777777" w:rsidR="00CB725C"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2C72EC">
        <w:rPr>
          <w:rFonts w:ascii="Palatino Linotype" w:hAnsi="Palatino Linotype"/>
          <w:b/>
          <w:lang w:val="es-ES_tradnl"/>
        </w:rPr>
        <w:t>MODALIDAD DE ENTREGA:</w:t>
      </w:r>
      <w:r w:rsidRPr="002C72EC">
        <w:rPr>
          <w:rFonts w:ascii="Palatino Linotype" w:hAnsi="Palatino Linotype"/>
          <w:lang w:val="es-ES_tradnl"/>
        </w:rPr>
        <w:t xml:space="preserve"> </w:t>
      </w:r>
      <w:r w:rsidR="009C6853" w:rsidRPr="002C72EC">
        <w:rPr>
          <w:rFonts w:ascii="Palatino Linotype" w:eastAsiaTheme="minorHAnsi" w:hAnsi="Palatino Linotype" w:cstheme="minorBidi"/>
          <w:color w:val="000000"/>
          <w:lang w:val="es-MX" w:eastAsia="en-US"/>
        </w:rPr>
        <w:t xml:space="preserve">A </w:t>
      </w:r>
      <w:r w:rsidR="00BE35A1">
        <w:rPr>
          <w:rFonts w:ascii="Palatino Linotype" w:eastAsiaTheme="minorHAnsi" w:hAnsi="Palatino Linotype" w:cstheme="minorBidi"/>
          <w:color w:val="000000"/>
          <w:lang w:val="es-MX" w:eastAsia="en-US"/>
        </w:rPr>
        <w:t>través del SAIMEX</w:t>
      </w:r>
    </w:p>
    <w:p w14:paraId="3203D449" w14:textId="77777777" w:rsidR="00110516" w:rsidRPr="00110516" w:rsidRDefault="00110516" w:rsidP="00110516">
      <w:pPr>
        <w:numPr>
          <w:ilvl w:val="0"/>
          <w:numId w:val="42"/>
        </w:numPr>
        <w:spacing w:before="100" w:beforeAutospacing="1" w:after="100" w:afterAutospacing="1" w:line="360" w:lineRule="auto"/>
        <w:jc w:val="both"/>
        <w:rPr>
          <w:rFonts w:ascii="Arial" w:hAnsi="Arial" w:cs="Arial"/>
          <w:color w:val="333333"/>
          <w:lang w:val="es-MX" w:eastAsia="es-MX"/>
        </w:rPr>
      </w:pPr>
      <w:r w:rsidRPr="00110516">
        <w:rPr>
          <w:rFonts w:ascii="Palatino Linotype" w:eastAsiaTheme="minorHAnsi" w:hAnsi="Palatino Linotype" w:cstheme="minorBidi"/>
          <w:lang w:val="es-MX" w:eastAsia="en-US"/>
        </w:rPr>
        <w:lastRenderedPageBreak/>
        <w:t xml:space="preserve">De lo anterior el Recurrente anexo a su solicitud de información el documento denominado </w:t>
      </w:r>
      <w:r w:rsidRPr="00110516">
        <w:rPr>
          <w:rFonts w:ascii="Palatino Linotype" w:hAnsi="Palatino Linotype" w:cs="Arial"/>
          <w:b/>
          <w:bCs/>
          <w:i/>
        </w:rPr>
        <w:t xml:space="preserve">PC_FF.jpg, </w:t>
      </w:r>
      <w:r w:rsidRPr="00110516">
        <w:rPr>
          <w:rFonts w:ascii="Palatino Linotype" w:hAnsi="Palatino Linotype" w:cs="Arial"/>
          <w:bCs/>
        </w:rPr>
        <w:t>en la cual se advierte una infografía del tercer informe de gobierno de Fernando Flores correspondiente a la atención de servicios municipales</w:t>
      </w:r>
      <w:r>
        <w:rPr>
          <w:rFonts w:ascii="Arial" w:hAnsi="Arial" w:cs="Arial"/>
          <w:color w:val="333333"/>
          <w:lang w:val="es-MX" w:eastAsia="es-MX"/>
        </w:rPr>
        <w:t>.</w:t>
      </w:r>
    </w:p>
    <w:p w14:paraId="57F3C79D" w14:textId="77777777" w:rsidR="00110516" w:rsidRPr="002C72EC" w:rsidRDefault="00110516"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3E3DBCBC" w14:textId="77777777"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SEGUND</w:t>
      </w:r>
      <w:r w:rsidR="0029071C" w:rsidRPr="002C72EC">
        <w:rPr>
          <w:rFonts w:ascii="Palatino Linotype" w:eastAsiaTheme="minorHAnsi" w:hAnsi="Palatino Linotype" w:cs="Arial"/>
          <w:b/>
          <w:sz w:val="28"/>
          <w:lang w:val="es-MX" w:eastAsia="en-US"/>
        </w:rPr>
        <w:t xml:space="preserve">O. De la </w:t>
      </w:r>
      <w:r w:rsidR="00110516">
        <w:rPr>
          <w:rFonts w:ascii="Palatino Linotype" w:eastAsiaTheme="minorHAnsi" w:hAnsi="Palatino Linotype" w:cs="Arial"/>
          <w:b/>
          <w:sz w:val="28"/>
          <w:lang w:val="es-MX" w:eastAsia="en-US"/>
        </w:rPr>
        <w:t xml:space="preserve">Solicitud de Aclaración y </w:t>
      </w:r>
      <w:r w:rsidR="00545710">
        <w:rPr>
          <w:rFonts w:ascii="Palatino Linotype" w:eastAsiaTheme="minorHAnsi" w:hAnsi="Palatino Linotype" w:cs="Arial"/>
          <w:b/>
          <w:sz w:val="28"/>
          <w:lang w:val="es-MX" w:eastAsia="en-US"/>
        </w:rPr>
        <w:t xml:space="preserve">Prórroga </w:t>
      </w:r>
      <w:r w:rsidR="0029071C" w:rsidRPr="002C72EC">
        <w:rPr>
          <w:rFonts w:ascii="Palatino Linotype" w:eastAsiaTheme="minorHAnsi" w:hAnsi="Palatino Linotype" w:cs="Arial"/>
          <w:b/>
          <w:sz w:val="28"/>
          <w:lang w:val="es-MX" w:eastAsia="en-US"/>
        </w:rPr>
        <w:t xml:space="preserve">del Sujeto Obligado. </w:t>
      </w:r>
    </w:p>
    <w:p w14:paraId="617E44F2" w14:textId="77777777" w:rsidR="00110516" w:rsidRDefault="0029071C" w:rsidP="00BE35A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De las constancias que obran en el sistema SAIMEX, se advierte que en fecha </w:t>
      </w:r>
      <w:r w:rsidR="00110516">
        <w:rPr>
          <w:rFonts w:ascii="Palatino Linotype" w:eastAsiaTheme="minorHAnsi" w:hAnsi="Palatino Linotype" w:cs="Arial"/>
          <w:lang w:val="es-MX" w:eastAsia="en-US"/>
        </w:rPr>
        <w:t xml:space="preserve">cinco de diciembre </w:t>
      </w:r>
      <w:r w:rsidR="005F1F89" w:rsidRPr="002C72EC">
        <w:rPr>
          <w:rFonts w:ascii="Palatino Linotype" w:eastAsiaTheme="minorHAnsi" w:hAnsi="Palatino Linotype" w:cs="Arial"/>
          <w:lang w:val="es-MX" w:eastAsia="en-US"/>
        </w:rPr>
        <w:t xml:space="preserve">dos mil </w:t>
      </w:r>
      <w:r w:rsidR="008A446B" w:rsidRPr="002C72EC">
        <w:rPr>
          <w:rFonts w:ascii="Palatino Linotype" w:eastAsiaTheme="minorHAnsi" w:hAnsi="Palatino Linotype" w:cs="Arial"/>
          <w:lang w:val="es-MX" w:eastAsia="en-US"/>
        </w:rPr>
        <w:t>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sidR="00545710">
        <w:rPr>
          <w:rFonts w:ascii="Palatino Linotype" w:eastAsiaTheme="minorHAnsi" w:hAnsi="Palatino Linotype" w:cs="Arial"/>
          <w:lang w:val="es-MX" w:eastAsia="en-US"/>
        </w:rPr>
        <w:t xml:space="preserve"> </w:t>
      </w:r>
      <w:r w:rsidR="00110516">
        <w:rPr>
          <w:rFonts w:ascii="Palatino Linotype" w:eastAsiaTheme="minorHAnsi" w:hAnsi="Palatino Linotype" w:cs="Arial"/>
          <w:lang w:val="es-MX" w:eastAsia="en-US"/>
        </w:rPr>
        <w:t xml:space="preserve">solicito una aclaración en </w:t>
      </w:r>
      <w:proofErr w:type="spellStart"/>
      <w:r w:rsidR="00110516">
        <w:rPr>
          <w:rFonts w:ascii="Palatino Linotype" w:eastAsiaTheme="minorHAnsi" w:hAnsi="Palatino Linotype" w:cs="Arial"/>
          <w:lang w:val="es-MX" w:eastAsia="en-US"/>
        </w:rPr>
        <w:t>lo</w:t>
      </w:r>
      <w:proofErr w:type="spellEnd"/>
      <w:r w:rsidR="00110516">
        <w:rPr>
          <w:rFonts w:ascii="Palatino Linotype" w:eastAsiaTheme="minorHAnsi" w:hAnsi="Palatino Linotype" w:cs="Arial"/>
          <w:lang w:val="es-MX" w:eastAsia="en-US"/>
        </w:rPr>
        <w:t xml:space="preserve"> términos del artículo 159 de la Ley de Transparencia Local, por lo que en fecha cinco de diciembre de dos mil veinticuatro el Recurrente atendió la solicitud manifestando lo siguiente; </w:t>
      </w:r>
    </w:p>
    <w:p w14:paraId="4427F126" w14:textId="77777777" w:rsidR="00110516" w:rsidRPr="00110516" w:rsidRDefault="00110516" w:rsidP="00110516">
      <w:pPr>
        <w:spacing w:line="360" w:lineRule="auto"/>
        <w:ind w:firstLine="708"/>
        <w:jc w:val="both"/>
        <w:rPr>
          <w:rFonts w:ascii="Palatino Linotype" w:eastAsiaTheme="minorHAnsi" w:hAnsi="Palatino Linotype" w:cs="Arial"/>
          <w:i/>
          <w:lang w:val="es-MX" w:eastAsia="en-US"/>
        </w:rPr>
      </w:pPr>
      <w:r w:rsidRPr="00110516">
        <w:rPr>
          <w:rFonts w:ascii="Palatino Linotype" w:hAnsi="Palatino Linotype"/>
          <w:i/>
          <w:color w:val="000000"/>
        </w:rPr>
        <w:t>“LA INFORMACIÓN FUE SOLICITADA VÍA SAIMEX. SALUDOS.”</w:t>
      </w:r>
      <w:r>
        <w:rPr>
          <w:rFonts w:ascii="Palatino Linotype" w:hAnsi="Palatino Linotype"/>
          <w:i/>
          <w:color w:val="000000"/>
        </w:rPr>
        <w:t>(</w:t>
      </w:r>
      <w:proofErr w:type="gramStart"/>
      <w:r>
        <w:rPr>
          <w:rFonts w:ascii="Palatino Linotype" w:hAnsi="Palatino Linotype"/>
          <w:i/>
          <w:color w:val="000000"/>
        </w:rPr>
        <w:t>sic</w:t>
      </w:r>
      <w:proofErr w:type="gramEnd"/>
      <w:r>
        <w:rPr>
          <w:rFonts w:ascii="Palatino Linotype" w:hAnsi="Palatino Linotype"/>
          <w:i/>
          <w:color w:val="000000"/>
        </w:rPr>
        <w:t>)</w:t>
      </w:r>
    </w:p>
    <w:p w14:paraId="4B5B1499" w14:textId="77777777" w:rsidR="00110516" w:rsidRDefault="00110516" w:rsidP="00BE35A1">
      <w:pPr>
        <w:spacing w:line="360" w:lineRule="auto"/>
        <w:jc w:val="both"/>
        <w:rPr>
          <w:rFonts w:ascii="Palatino Linotype" w:eastAsiaTheme="minorHAnsi" w:hAnsi="Palatino Linotype" w:cs="Arial"/>
          <w:lang w:val="es-MX" w:eastAsia="en-US"/>
        </w:rPr>
      </w:pPr>
    </w:p>
    <w:p w14:paraId="00320A9A" w14:textId="77777777" w:rsidR="00110516" w:rsidRDefault="00110516" w:rsidP="00BE35A1">
      <w:pPr>
        <w:spacing w:line="360" w:lineRule="auto"/>
        <w:jc w:val="both"/>
        <w:rPr>
          <w:rFonts w:ascii="Palatino Linotype" w:eastAsiaTheme="minorHAnsi" w:hAnsi="Palatino Linotype" w:cs="Arial"/>
          <w:lang w:val="es-MX" w:eastAsia="en-US"/>
        </w:rPr>
      </w:pPr>
    </w:p>
    <w:p w14:paraId="1ACD6155" w14:textId="77777777" w:rsidR="00110516" w:rsidRDefault="00110516" w:rsidP="00BE35A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De las constancias que obran en el sistema SAIMEX, se advierte que en fecha </w:t>
      </w:r>
      <w:r w:rsidR="00545710">
        <w:rPr>
          <w:rFonts w:ascii="Palatino Linotype" w:eastAsiaTheme="minorHAnsi" w:hAnsi="Palatino Linotype" w:cs="Arial"/>
          <w:lang w:val="es-MX" w:eastAsia="en-US"/>
        </w:rPr>
        <w:t>dieciséis de enero de dos mil veinticinco el Sujeto Obligado solicito una prorroga a efecto de dar atención a la solicitud de información, sin embargo no cumple con los requisitos establecidos por el artículo 163 de la Ley de Transparencia Local.</w:t>
      </w:r>
    </w:p>
    <w:p w14:paraId="541BB3E0" w14:textId="77777777" w:rsidR="00110516" w:rsidRDefault="00110516" w:rsidP="00BE35A1">
      <w:pPr>
        <w:spacing w:line="360" w:lineRule="auto"/>
        <w:jc w:val="both"/>
        <w:rPr>
          <w:rFonts w:ascii="Palatino Linotype" w:eastAsiaTheme="minorHAnsi" w:hAnsi="Palatino Linotype" w:cs="Arial"/>
          <w:lang w:val="es-MX" w:eastAsia="en-US"/>
        </w:rPr>
      </w:pPr>
    </w:p>
    <w:p w14:paraId="45D070DE" w14:textId="77777777" w:rsidR="00BE35A1" w:rsidRPr="002C72EC" w:rsidRDefault="00BE35A1" w:rsidP="00BE35A1">
      <w:pPr>
        <w:spacing w:line="360" w:lineRule="auto"/>
        <w:jc w:val="both"/>
        <w:rPr>
          <w:rFonts w:ascii="Palatino Linotype" w:eastAsiaTheme="minorHAnsi" w:hAnsi="Palatino Linotype" w:cs="Arial"/>
          <w:b/>
          <w:lang w:val="es-MX" w:eastAsia="en-US"/>
        </w:rPr>
      </w:pPr>
    </w:p>
    <w:p w14:paraId="6886BBFA" w14:textId="77777777"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545710">
        <w:rPr>
          <w:rFonts w:ascii="Palatino Linotype" w:eastAsiaTheme="minorHAnsi" w:hAnsi="Palatino Linotype" w:cs="Arial"/>
          <w:b/>
          <w:sz w:val="28"/>
          <w:lang w:val="es-MX" w:eastAsia="en-US"/>
        </w:rPr>
        <w:t xml:space="preserve">. De la Respuesta y el </w:t>
      </w:r>
      <w:r w:rsidR="0029071C" w:rsidRPr="002C72EC">
        <w:rPr>
          <w:rFonts w:ascii="Palatino Linotype" w:eastAsiaTheme="minorHAnsi" w:hAnsi="Palatino Linotype" w:cs="Arial"/>
          <w:b/>
          <w:sz w:val="28"/>
          <w:lang w:val="es-MX" w:eastAsia="en-US"/>
        </w:rPr>
        <w:t>recurso de revisión.</w:t>
      </w:r>
    </w:p>
    <w:p w14:paraId="13E66307" w14:textId="77777777" w:rsidR="00545710" w:rsidRDefault="00545710" w:rsidP="004A629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lastRenderedPageBreak/>
        <w:t xml:space="preserve">De las constancias que obran en el sistema SAIMEX, se advierte que en fecha </w:t>
      </w:r>
      <w:r>
        <w:rPr>
          <w:rFonts w:ascii="Palatino Linotype" w:eastAsiaTheme="minorHAnsi" w:hAnsi="Palatino Linotype" w:cs="Arial"/>
          <w:lang w:val="es-MX" w:eastAsia="en-US"/>
        </w:rPr>
        <w:t>veintisiete de enero de dos mil veinticinco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Pr>
          <w:rFonts w:ascii="Palatino Linotype" w:eastAsiaTheme="minorHAnsi" w:hAnsi="Palatino Linotype" w:cs="Arial"/>
          <w:b/>
          <w:lang w:val="es-MX" w:eastAsia="en-US"/>
        </w:rPr>
        <w:t xml:space="preserve"> </w:t>
      </w:r>
      <w:r>
        <w:rPr>
          <w:rFonts w:ascii="Palatino Linotype" w:eastAsiaTheme="minorHAnsi" w:hAnsi="Palatino Linotype" w:cs="Arial"/>
          <w:lang w:val="es-MX" w:eastAsia="en-US"/>
        </w:rPr>
        <w:t xml:space="preserve">brindo respuesta al Recurrente en los términos siguientes; </w:t>
      </w:r>
    </w:p>
    <w:p w14:paraId="0871CB07" w14:textId="77777777" w:rsidR="00545710" w:rsidRPr="00545710" w:rsidRDefault="00545710" w:rsidP="004A6291">
      <w:pPr>
        <w:pStyle w:val="Prrafodelista"/>
        <w:numPr>
          <w:ilvl w:val="0"/>
          <w:numId w:val="42"/>
        </w:numPr>
        <w:spacing w:line="360" w:lineRule="auto"/>
        <w:jc w:val="both"/>
        <w:rPr>
          <w:rFonts w:ascii="Palatino Linotype" w:hAnsi="Palatino Linotype"/>
          <w:i/>
        </w:rPr>
      </w:pPr>
      <w:r w:rsidRPr="00545710">
        <w:rPr>
          <w:rFonts w:ascii="Palatino Linotype" w:hAnsi="Palatino Linotype" w:cs="Arial"/>
          <w:b/>
          <w:bCs/>
          <w:i/>
        </w:rPr>
        <w:t>solicitud 777.pdf</w:t>
      </w:r>
      <w:r>
        <w:rPr>
          <w:rFonts w:ascii="Palatino Linotype" w:hAnsi="Palatino Linotype" w:cs="Arial"/>
          <w:b/>
          <w:bCs/>
          <w:i/>
        </w:rPr>
        <w:t xml:space="preserve">; </w:t>
      </w:r>
      <w:r>
        <w:rPr>
          <w:rFonts w:ascii="Palatino Linotype" w:hAnsi="Palatino Linotype" w:cs="Arial"/>
          <w:bCs/>
        </w:rPr>
        <w:t xml:space="preserve">Documento que consta de tres fojas en formato PDF por medio del cual el Sujeto Obligado propone cambio de modalidad. </w:t>
      </w:r>
    </w:p>
    <w:p w14:paraId="108689F6" w14:textId="77777777" w:rsidR="00545710" w:rsidRPr="00545710" w:rsidRDefault="00545710" w:rsidP="00545710">
      <w:pPr>
        <w:pStyle w:val="Prrafodelista"/>
        <w:spacing w:line="360" w:lineRule="auto"/>
        <w:ind w:left="720"/>
        <w:jc w:val="both"/>
        <w:rPr>
          <w:rFonts w:ascii="Palatino Linotype" w:hAnsi="Palatino Linotype"/>
          <w:i/>
        </w:rPr>
      </w:pPr>
    </w:p>
    <w:p w14:paraId="1467619C" w14:textId="77777777" w:rsidR="00545710" w:rsidRPr="00545710" w:rsidRDefault="00545710" w:rsidP="004A6291">
      <w:pPr>
        <w:pStyle w:val="Prrafodelista"/>
        <w:numPr>
          <w:ilvl w:val="0"/>
          <w:numId w:val="42"/>
        </w:numPr>
        <w:spacing w:line="360" w:lineRule="auto"/>
        <w:jc w:val="both"/>
        <w:rPr>
          <w:rFonts w:ascii="Palatino Linotype" w:hAnsi="Palatino Linotype"/>
          <w:i/>
        </w:rPr>
      </w:pPr>
      <w:r w:rsidRPr="00545710">
        <w:rPr>
          <w:rFonts w:ascii="Palatino Linotype" w:hAnsi="Palatino Linotype" w:cs="Arial"/>
          <w:b/>
          <w:bCs/>
          <w:i/>
        </w:rPr>
        <w:t xml:space="preserve">Incidencia </w:t>
      </w:r>
      <w:proofErr w:type="spellStart"/>
      <w:r w:rsidRPr="00545710">
        <w:rPr>
          <w:rFonts w:ascii="Palatino Linotype" w:hAnsi="Palatino Linotype" w:cs="Arial"/>
          <w:b/>
          <w:bCs/>
          <w:i/>
        </w:rPr>
        <w:t>Infoem</w:t>
      </w:r>
      <w:proofErr w:type="spellEnd"/>
      <w:r w:rsidRPr="00545710">
        <w:rPr>
          <w:rFonts w:ascii="Palatino Linotype" w:hAnsi="Palatino Linotype" w:cs="Arial"/>
          <w:b/>
          <w:bCs/>
          <w:i/>
        </w:rPr>
        <w:t xml:space="preserve"> aprobada 777.pdf</w:t>
      </w:r>
      <w:r>
        <w:rPr>
          <w:rFonts w:ascii="Palatino Linotype" w:hAnsi="Palatino Linotype" w:cs="Arial"/>
          <w:b/>
          <w:bCs/>
          <w:i/>
        </w:rPr>
        <w:t>;</w:t>
      </w:r>
      <w:r>
        <w:rPr>
          <w:rFonts w:ascii="Palatino Linotype" w:hAnsi="Palatino Linotype"/>
          <w:i/>
        </w:rPr>
        <w:t xml:space="preserve"> </w:t>
      </w:r>
      <w:r>
        <w:rPr>
          <w:rFonts w:ascii="Palatino Linotype" w:hAnsi="Palatino Linotype"/>
        </w:rPr>
        <w:t xml:space="preserve">Documento que consta de una foja en formato PDF por medio del cual el Director General de Informática de este Órgano Garante manifiesta que se ha generado una incidencia técnica derivada de la cantidad de información que sobre pasa las capacidades técnicas del SAIMEX.  </w:t>
      </w:r>
    </w:p>
    <w:p w14:paraId="5D185CD6" w14:textId="77777777" w:rsidR="00545710" w:rsidRDefault="00545710" w:rsidP="004A6291">
      <w:pPr>
        <w:spacing w:line="360" w:lineRule="auto"/>
        <w:jc w:val="both"/>
        <w:rPr>
          <w:rFonts w:ascii="Palatino Linotype" w:eastAsiaTheme="minorHAnsi" w:hAnsi="Palatino Linotype" w:cs="Arial"/>
          <w:lang w:val="es-MX" w:eastAsia="en-US"/>
        </w:rPr>
      </w:pPr>
    </w:p>
    <w:p w14:paraId="0AAE5C4E" w14:textId="77777777" w:rsidR="0029071C" w:rsidRDefault="0029071C" w:rsidP="004A629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Inconforme con la respuesta por parte del </w:t>
      </w:r>
      <w:r w:rsidRPr="002C72EC">
        <w:rPr>
          <w:rFonts w:ascii="Palatino Linotype" w:eastAsiaTheme="minorHAnsi" w:hAnsi="Palatino Linotype" w:cs="Arial"/>
          <w:b/>
          <w:lang w:val="es-MX" w:eastAsia="en-US"/>
        </w:rPr>
        <w:t>Sujeto Obligado</w:t>
      </w:r>
      <w:r w:rsidRPr="002C72EC">
        <w:rPr>
          <w:rFonts w:ascii="Palatino Linotype" w:eastAsiaTheme="minorHAnsi" w:hAnsi="Palatino Linotype" w:cs="Arial"/>
          <w:lang w:val="es-MX" w:eastAsia="en-US"/>
        </w:rPr>
        <w:t xml:space="preserve">, </w:t>
      </w:r>
      <w:r w:rsidR="00BA27FC" w:rsidRPr="002C72EC">
        <w:rPr>
          <w:rFonts w:ascii="Palatino Linotype" w:eastAsiaTheme="minorHAnsi" w:hAnsi="Palatino Linotype" w:cs="Arial"/>
          <w:lang w:val="es-MX" w:eastAsia="en-US"/>
        </w:rPr>
        <w:t>el</w:t>
      </w:r>
      <w:r w:rsidRPr="002C72EC">
        <w:rPr>
          <w:rFonts w:ascii="Palatino Linotype" w:eastAsiaTheme="minorHAnsi" w:hAnsi="Palatino Linotype" w:cs="Arial"/>
          <w:lang w:val="es-MX" w:eastAsia="en-US"/>
        </w:rPr>
        <w:t xml:space="preserve"> ahora </w:t>
      </w:r>
      <w:r w:rsidRPr="002C72EC">
        <w:rPr>
          <w:rFonts w:ascii="Palatino Linotype" w:eastAsiaTheme="minorHAnsi" w:hAnsi="Palatino Linotype" w:cs="Arial"/>
          <w:b/>
          <w:lang w:val="es-MX" w:eastAsia="en-US"/>
        </w:rPr>
        <w:t>Recurrente</w:t>
      </w:r>
      <w:r w:rsidRPr="002C72EC">
        <w:rPr>
          <w:rFonts w:ascii="Palatino Linotype" w:eastAsiaTheme="minorHAnsi" w:hAnsi="Palatino Linotype" w:cs="Arial"/>
          <w:lang w:val="es-MX" w:eastAsia="en-US"/>
        </w:rPr>
        <w:t xml:space="preserve"> interpuso el presente recurso de revisión en fecha </w:t>
      </w:r>
      <w:r w:rsidR="00545710">
        <w:rPr>
          <w:rFonts w:ascii="Palatino Linotype" w:eastAsiaTheme="minorHAnsi" w:hAnsi="Palatino Linotype" w:cs="Arial"/>
          <w:lang w:val="es-MX" w:eastAsia="en-US"/>
        </w:rPr>
        <w:t xml:space="preserve">cinco de febrero de dos mil veinticinco </w:t>
      </w:r>
      <w:r w:rsidRPr="002C72EC">
        <w:rPr>
          <w:rFonts w:ascii="Palatino Linotype" w:eastAsiaTheme="minorHAnsi" w:hAnsi="Palatino Linotype" w:cs="Arial"/>
          <w:lang w:val="es-MX" w:eastAsia="en-US"/>
        </w:rPr>
        <w:t>el cual fue registrado</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 xml:space="preserve">en el sistema electrónico con el expediente número </w:t>
      </w:r>
      <w:r w:rsidR="00C45025" w:rsidRPr="002C72EC">
        <w:rPr>
          <w:rFonts w:ascii="Palatino Linotype" w:eastAsiaTheme="minorHAnsi" w:hAnsi="Palatino Linotype" w:cs="Arial"/>
          <w:b/>
          <w:bCs/>
          <w:lang w:val="es-MX" w:eastAsia="es-MX"/>
        </w:rPr>
        <w:t>0</w:t>
      </w:r>
      <w:r w:rsidR="00545710">
        <w:rPr>
          <w:rFonts w:ascii="Palatino Linotype" w:eastAsiaTheme="minorHAnsi" w:hAnsi="Palatino Linotype" w:cs="Arial"/>
          <w:b/>
          <w:bCs/>
          <w:lang w:val="es-MX" w:eastAsia="es-MX"/>
        </w:rPr>
        <w:t>0675</w:t>
      </w:r>
      <w:r w:rsidR="00C45025" w:rsidRPr="002C72EC">
        <w:rPr>
          <w:rFonts w:ascii="Palatino Linotype" w:eastAsiaTheme="minorHAnsi" w:hAnsi="Palatino Linotype" w:cs="Arial"/>
          <w:b/>
          <w:bCs/>
          <w:lang w:val="es-MX" w:eastAsia="es-MX"/>
        </w:rPr>
        <w:t>/INFOEM/IP/RR/202</w:t>
      </w:r>
      <w:r w:rsidR="00545710">
        <w:rPr>
          <w:rFonts w:ascii="Palatino Linotype" w:eastAsiaTheme="minorHAnsi" w:hAnsi="Palatino Linotype" w:cs="Arial"/>
          <w:b/>
          <w:bCs/>
          <w:lang w:val="es-MX" w:eastAsia="es-MX"/>
        </w:rPr>
        <w:t>5</w:t>
      </w:r>
      <w:r w:rsidRPr="002C72EC">
        <w:rPr>
          <w:rFonts w:ascii="Palatino Linotype" w:eastAsiaTheme="minorHAnsi" w:hAnsi="Palatino Linotype" w:cs="Arial"/>
          <w:lang w:val="es-MX" w:eastAsia="en-US"/>
        </w:rPr>
        <w:t>, en el cual aduce, las siguientes manifestaciones:</w:t>
      </w:r>
    </w:p>
    <w:p w14:paraId="5E17D8A7" w14:textId="77777777" w:rsidR="004A6291" w:rsidRPr="004A6291" w:rsidRDefault="004A6291" w:rsidP="004A6291">
      <w:pPr>
        <w:spacing w:line="360" w:lineRule="auto"/>
        <w:jc w:val="both"/>
        <w:rPr>
          <w:rFonts w:ascii="Palatino Linotype" w:eastAsiaTheme="minorHAnsi" w:hAnsi="Palatino Linotype" w:cs="Arial"/>
          <w:lang w:val="es-MX" w:eastAsia="en-US"/>
        </w:rPr>
      </w:pPr>
    </w:p>
    <w:p w14:paraId="53DF60F9" w14:textId="77777777" w:rsidR="002D6E4B" w:rsidRPr="00300009" w:rsidRDefault="0029071C" w:rsidP="004A6291">
      <w:pPr>
        <w:numPr>
          <w:ilvl w:val="0"/>
          <w:numId w:val="1"/>
        </w:numPr>
        <w:spacing w:line="360" w:lineRule="auto"/>
        <w:jc w:val="both"/>
        <w:rPr>
          <w:rFonts w:ascii="Palatino Linotype" w:hAnsi="Palatino Linotype" w:cs="Arial"/>
          <w:b/>
        </w:rPr>
      </w:pPr>
      <w:r w:rsidRPr="00300009">
        <w:rPr>
          <w:rFonts w:ascii="Palatino Linotype" w:hAnsi="Palatino Linotype" w:cs="Arial"/>
          <w:b/>
        </w:rPr>
        <w:t>Acto Impugnado:</w:t>
      </w:r>
      <w:r w:rsidR="00DD2DA4" w:rsidRPr="00300009">
        <w:rPr>
          <w:rFonts w:ascii="Palatino Linotype" w:hAnsi="Palatino Linotype" w:cs="Arial"/>
          <w:b/>
        </w:rPr>
        <w:t xml:space="preserve"> </w:t>
      </w:r>
      <w:r w:rsidRPr="00300009">
        <w:rPr>
          <w:rFonts w:ascii="Palatino Linotype" w:eastAsiaTheme="minorHAnsi" w:hAnsi="Palatino Linotype" w:cstheme="minorBidi"/>
          <w:i/>
          <w:color w:val="000000"/>
          <w:lang w:val="es-MX" w:eastAsia="en-US"/>
        </w:rPr>
        <w:t>“</w:t>
      </w:r>
      <w:r w:rsidR="00545710" w:rsidRPr="00300009">
        <w:rPr>
          <w:rFonts w:ascii="Palatino Linotype" w:hAnsi="Palatino Linotype"/>
          <w:i/>
          <w:color w:val="000000"/>
        </w:rPr>
        <w:t>LA RESPUESTA DEL SUJETO OBLIGADO</w:t>
      </w:r>
      <w:r w:rsidR="00BE35A1" w:rsidRPr="00300009">
        <w:rPr>
          <w:rFonts w:ascii="Palatino Linotype" w:hAnsi="Palatino Linotype"/>
          <w:i/>
          <w:color w:val="000000"/>
        </w:rPr>
        <w:t>”</w:t>
      </w:r>
      <w:r w:rsidR="00BE35A1" w:rsidRPr="00300009">
        <w:rPr>
          <w:rFonts w:ascii="Palatino Linotype" w:eastAsiaTheme="minorHAnsi" w:hAnsi="Palatino Linotype" w:cstheme="minorBidi"/>
          <w:i/>
          <w:color w:val="000000"/>
          <w:lang w:val="es-MX" w:eastAsia="en-US"/>
        </w:rPr>
        <w:t xml:space="preserve"> </w:t>
      </w:r>
      <w:r w:rsidRPr="00300009">
        <w:rPr>
          <w:rFonts w:ascii="Palatino Linotype" w:eastAsiaTheme="minorHAnsi" w:hAnsi="Palatino Linotype" w:cstheme="minorBidi"/>
          <w:i/>
          <w:color w:val="000000"/>
          <w:lang w:val="es-MX" w:eastAsia="en-US"/>
        </w:rPr>
        <w:t>(Sic).</w:t>
      </w:r>
    </w:p>
    <w:p w14:paraId="3B981649" w14:textId="77777777" w:rsidR="00B77FED" w:rsidRPr="00300009" w:rsidRDefault="00B77FED" w:rsidP="004A6291">
      <w:pPr>
        <w:pStyle w:val="Sinespaciado"/>
        <w:spacing w:line="360" w:lineRule="auto"/>
      </w:pPr>
    </w:p>
    <w:p w14:paraId="549BC297" w14:textId="77777777" w:rsidR="007D1172" w:rsidRPr="00300009" w:rsidRDefault="0029071C" w:rsidP="004A6291">
      <w:pPr>
        <w:pStyle w:val="Prrafodelista"/>
        <w:numPr>
          <w:ilvl w:val="0"/>
          <w:numId w:val="1"/>
        </w:numPr>
        <w:spacing w:line="360" w:lineRule="auto"/>
        <w:jc w:val="both"/>
        <w:rPr>
          <w:rFonts w:ascii="Palatino Linotype" w:eastAsiaTheme="minorHAnsi" w:hAnsi="Palatino Linotype" w:cstheme="minorBidi"/>
          <w:i/>
          <w:color w:val="000000"/>
          <w:lang w:val="es-MX" w:eastAsia="en-US"/>
        </w:rPr>
      </w:pPr>
      <w:r w:rsidRPr="00300009">
        <w:rPr>
          <w:rFonts w:ascii="Palatino Linotype" w:hAnsi="Palatino Linotype" w:cs="Arial"/>
          <w:b/>
        </w:rPr>
        <w:t>Razones o Motivos de Inconformidad</w:t>
      </w:r>
      <w:r w:rsidRPr="00300009">
        <w:rPr>
          <w:rFonts w:ascii="Palatino Linotype" w:hAnsi="Palatino Linotype" w:cs="Arial"/>
        </w:rPr>
        <w:t xml:space="preserve">: </w:t>
      </w:r>
      <w:r w:rsidR="003009C8" w:rsidRPr="00300009">
        <w:rPr>
          <w:rFonts w:ascii="Palatino Linotype" w:hAnsi="Palatino Linotype" w:cs="Arial"/>
        </w:rPr>
        <w:t>“</w:t>
      </w:r>
      <w:r w:rsidR="00545710" w:rsidRPr="00300009">
        <w:rPr>
          <w:rFonts w:ascii="Palatino Linotype" w:hAnsi="Palatino Linotype"/>
          <w:i/>
          <w:color w:val="000000"/>
        </w:rPr>
        <w:t>NO ME ES POSIBLE ASISTIR POR LA INFORMACIÓN, PUES SOY DISCAPACITADO. SUGIERO SE COMPRIMA LA INFORMACIÓN</w:t>
      </w:r>
      <w:r w:rsidR="004A6291" w:rsidRPr="00300009">
        <w:rPr>
          <w:rFonts w:ascii="Palatino Linotype" w:eastAsiaTheme="minorHAnsi" w:hAnsi="Palatino Linotype" w:cstheme="minorBidi"/>
          <w:i/>
          <w:color w:val="000000"/>
          <w:lang w:val="es-MX" w:eastAsia="en-US"/>
        </w:rPr>
        <w:t>.</w:t>
      </w:r>
      <w:r w:rsidR="003009C8" w:rsidRPr="00300009">
        <w:rPr>
          <w:rFonts w:ascii="Palatino Linotype" w:eastAsiaTheme="minorHAnsi" w:hAnsi="Palatino Linotype" w:cstheme="minorBidi"/>
          <w:i/>
          <w:color w:val="000000"/>
          <w:lang w:val="es-MX" w:eastAsia="en-US"/>
        </w:rPr>
        <w:t>” (Sic).</w:t>
      </w:r>
    </w:p>
    <w:p w14:paraId="7684ED0C" w14:textId="77777777" w:rsidR="003009C8" w:rsidRDefault="003009C8" w:rsidP="003009C8">
      <w:pPr>
        <w:jc w:val="both"/>
        <w:rPr>
          <w:rFonts w:ascii="Palatino Linotype" w:eastAsiaTheme="minorHAnsi" w:hAnsi="Palatino Linotype" w:cstheme="minorBidi"/>
          <w:i/>
          <w:color w:val="000000"/>
          <w:sz w:val="22"/>
          <w:szCs w:val="22"/>
          <w:lang w:val="es-MX" w:eastAsia="en-US"/>
        </w:rPr>
      </w:pPr>
    </w:p>
    <w:p w14:paraId="6486EF86" w14:textId="77777777" w:rsidR="00545710" w:rsidRPr="003009C8" w:rsidRDefault="00545710" w:rsidP="003009C8">
      <w:pPr>
        <w:jc w:val="both"/>
        <w:rPr>
          <w:rFonts w:ascii="Palatino Linotype" w:eastAsiaTheme="minorHAnsi" w:hAnsi="Palatino Linotype" w:cstheme="minorBidi"/>
          <w:i/>
          <w:color w:val="000000"/>
          <w:sz w:val="22"/>
          <w:szCs w:val="22"/>
          <w:lang w:val="es-MX" w:eastAsia="en-US"/>
        </w:rPr>
      </w:pPr>
    </w:p>
    <w:p w14:paraId="279FE5C9" w14:textId="77777777" w:rsidR="004A6291" w:rsidRPr="00425466" w:rsidRDefault="004A6291" w:rsidP="004A6291">
      <w:pPr>
        <w:tabs>
          <w:tab w:val="left" w:pos="3206"/>
        </w:tabs>
        <w:spacing w:line="360" w:lineRule="auto"/>
        <w:jc w:val="both"/>
        <w:rPr>
          <w:rFonts w:ascii="Palatino Linotype" w:hAnsi="Palatino Linotype"/>
          <w:sz w:val="28"/>
          <w:szCs w:val="28"/>
        </w:rPr>
      </w:pPr>
      <w:r>
        <w:rPr>
          <w:rFonts w:ascii="Palatino Linotype" w:hAnsi="Palatino Linotype"/>
          <w:b/>
          <w:bCs/>
          <w:sz w:val="28"/>
          <w:szCs w:val="28"/>
        </w:rPr>
        <w:t>CUARTO</w:t>
      </w:r>
      <w:r w:rsidRPr="00425466">
        <w:rPr>
          <w:rFonts w:ascii="Palatino Linotype" w:hAnsi="Palatino Linotype"/>
          <w:b/>
          <w:bCs/>
          <w:sz w:val="28"/>
          <w:szCs w:val="28"/>
        </w:rPr>
        <w:t>. Del Desistimiento.</w:t>
      </w:r>
      <w:r w:rsidRPr="00425466">
        <w:rPr>
          <w:rFonts w:ascii="Palatino Linotype" w:hAnsi="Palatino Linotype"/>
          <w:sz w:val="28"/>
          <w:szCs w:val="28"/>
        </w:rPr>
        <w:t xml:space="preserve"> </w:t>
      </w:r>
    </w:p>
    <w:p w14:paraId="3C3F1E65" w14:textId="77777777" w:rsidR="004A6291" w:rsidRPr="00425466" w:rsidRDefault="004A6291" w:rsidP="004A6291">
      <w:pPr>
        <w:tabs>
          <w:tab w:val="left" w:pos="3206"/>
        </w:tabs>
        <w:spacing w:line="360" w:lineRule="auto"/>
        <w:jc w:val="both"/>
        <w:rPr>
          <w:rFonts w:ascii="Palatino Linotype" w:eastAsiaTheme="minorHAnsi" w:hAnsi="Palatino Linotype" w:cs="Arial"/>
          <w:b/>
          <w:sz w:val="28"/>
          <w:lang w:val="es-MX" w:eastAsia="en-US"/>
        </w:rPr>
      </w:pPr>
      <w:r w:rsidRPr="00425466">
        <w:rPr>
          <w:rFonts w:ascii="Palatino Linotype" w:hAnsi="Palatino Linotype"/>
        </w:rPr>
        <w:lastRenderedPageBreak/>
        <w:t xml:space="preserve">De las constancias que integran el expediente en que se actúa, se advierte que el día </w:t>
      </w:r>
      <w:r w:rsidR="00545710">
        <w:rPr>
          <w:rFonts w:ascii="Palatino Linotype" w:hAnsi="Palatino Linotype"/>
        </w:rPr>
        <w:t>siete de febrero de dos mil veinticinco</w:t>
      </w:r>
      <w:r>
        <w:rPr>
          <w:rFonts w:ascii="Palatino Linotype" w:hAnsi="Palatino Linotype"/>
        </w:rPr>
        <w:t>,</w:t>
      </w:r>
      <w:r w:rsidRPr="00425466">
        <w:rPr>
          <w:rFonts w:ascii="Palatino Linotype" w:hAnsi="Palatino Linotype"/>
        </w:rPr>
        <w:t xml:space="preserve"> el </w:t>
      </w:r>
      <w:r w:rsidRPr="00425466">
        <w:rPr>
          <w:rFonts w:ascii="Palatino Linotype" w:hAnsi="Palatino Linotype"/>
          <w:b/>
          <w:bCs/>
        </w:rPr>
        <w:t>Recurrente</w:t>
      </w:r>
      <w:r w:rsidRPr="00425466">
        <w:rPr>
          <w:rFonts w:ascii="Palatino Linotype" w:hAnsi="Palatino Linotype"/>
        </w:rPr>
        <w:t xml:space="preserve"> se desistió del recurso de revisión que nos ocupa.</w:t>
      </w:r>
    </w:p>
    <w:p w14:paraId="5C7DE261" w14:textId="77777777" w:rsidR="003009C8" w:rsidRDefault="003009C8" w:rsidP="0029071C">
      <w:pPr>
        <w:spacing w:line="360" w:lineRule="auto"/>
        <w:jc w:val="both"/>
        <w:rPr>
          <w:rFonts w:ascii="Palatino Linotype" w:eastAsiaTheme="minorHAnsi" w:hAnsi="Palatino Linotype" w:cs="Arial"/>
          <w:bCs/>
          <w:lang w:val="es-MX" w:eastAsia="en-US"/>
        </w:rPr>
      </w:pPr>
    </w:p>
    <w:p w14:paraId="64628D56" w14:textId="77777777"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w:t>
      </w:r>
      <w:r w:rsidR="0029071C" w:rsidRPr="002C72EC">
        <w:rPr>
          <w:rFonts w:ascii="Palatino Linotype" w:eastAsiaTheme="minorHAnsi" w:hAnsi="Palatino Linotype" w:cs="Arial"/>
          <w:b/>
          <w:sz w:val="28"/>
          <w:lang w:val="es-MX" w:eastAsia="en-US"/>
        </w:rPr>
        <w:t>O. Del turno del recurso de revisión.</w:t>
      </w:r>
    </w:p>
    <w:p w14:paraId="33D4FDE0" w14:textId="77777777" w:rsidR="00BA27FC" w:rsidRPr="002C72EC" w:rsidRDefault="0029071C" w:rsidP="00DC1583">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Medio de impugnación </w:t>
      </w:r>
      <w:r w:rsidR="00E74701" w:rsidRPr="002C72EC">
        <w:rPr>
          <w:rFonts w:ascii="Palatino Linotype" w:eastAsiaTheme="minorHAnsi" w:hAnsi="Palatino Linotype" w:cs="Arial"/>
          <w:lang w:val="es-MX" w:eastAsia="en-US"/>
        </w:rPr>
        <w:t>que le fue turnado al</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lang w:val="es-MX" w:eastAsia="en-US"/>
        </w:rPr>
        <w:t>Comisionado Presidente</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b/>
          <w:lang w:val="es-MX" w:eastAsia="en-US"/>
        </w:rPr>
        <w:t>José Martínez Vilchis</w:t>
      </w:r>
      <w:r w:rsidRPr="002C72E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545710">
        <w:rPr>
          <w:rFonts w:ascii="Palatino Linotype" w:eastAsiaTheme="minorHAnsi" w:hAnsi="Palatino Linotype" w:cs="Arial"/>
          <w:b/>
          <w:lang w:val="es-MX" w:eastAsia="en-US"/>
        </w:rPr>
        <w:t>diez de febrero de dos mil veinticinco</w:t>
      </w:r>
      <w:r w:rsidRPr="006729FC">
        <w:rPr>
          <w:rFonts w:ascii="Palatino Linotype" w:eastAsiaTheme="minorHAnsi" w:hAnsi="Palatino Linotype" w:cs="Arial"/>
          <w:b/>
          <w:lang w:val="es-MX" w:eastAsia="en-US"/>
        </w:rPr>
        <w:t>,</w:t>
      </w:r>
      <w:r w:rsidRPr="002C72EC">
        <w:rPr>
          <w:rFonts w:ascii="Palatino Linotype" w:eastAsiaTheme="minorHAnsi" w:hAnsi="Palatino Linotype" w:cs="Arial"/>
          <w:lang w:val="es-MX" w:eastAsia="en-US"/>
        </w:rPr>
        <w:t xml:space="preserve"> determinándose en él, un plazo de siete días para que las partes manifestaran lo que a su derecho corresponda en términos del numeral ya citado.</w:t>
      </w:r>
    </w:p>
    <w:p w14:paraId="0D1C47DB" w14:textId="77777777" w:rsidR="00DD2DA4" w:rsidRPr="002C72EC" w:rsidRDefault="00DD2DA4" w:rsidP="00DC1583">
      <w:pPr>
        <w:spacing w:line="360" w:lineRule="auto"/>
        <w:jc w:val="both"/>
        <w:rPr>
          <w:rFonts w:ascii="Palatino Linotype" w:eastAsiaTheme="minorHAnsi" w:hAnsi="Palatino Linotype" w:cs="Arial"/>
          <w:lang w:val="es-MX" w:eastAsia="en-US"/>
        </w:rPr>
      </w:pPr>
    </w:p>
    <w:p w14:paraId="10FD48FF" w14:textId="77777777"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2C72EC">
        <w:rPr>
          <w:rFonts w:ascii="Palatino Linotype" w:eastAsiaTheme="minorHAnsi" w:hAnsi="Palatino Linotype" w:cs="Arial"/>
          <w:b/>
          <w:sz w:val="28"/>
          <w:lang w:val="es-MX" w:eastAsia="en-US"/>
        </w:rPr>
        <w:t>T</w:t>
      </w:r>
      <w:r w:rsidR="0029071C" w:rsidRPr="002C72EC">
        <w:rPr>
          <w:rFonts w:ascii="Palatino Linotype" w:eastAsiaTheme="minorHAnsi" w:hAnsi="Palatino Linotype" w:cs="Arial"/>
          <w:b/>
          <w:sz w:val="28"/>
          <w:lang w:val="es-MX" w:eastAsia="en-US"/>
        </w:rPr>
        <w:t>O. De la etapa de manifestaciones y/o alegatos.</w:t>
      </w:r>
    </w:p>
    <w:p w14:paraId="5FE60719" w14:textId="77777777" w:rsidR="00B129DD" w:rsidRPr="002C72EC" w:rsidRDefault="00CF1DF5" w:rsidP="00BE35A1">
      <w:pPr>
        <w:spacing w:line="360" w:lineRule="auto"/>
        <w:jc w:val="both"/>
        <w:rPr>
          <w:rFonts w:eastAsiaTheme="minorHAnsi"/>
          <w:sz w:val="12"/>
          <w:szCs w:val="12"/>
        </w:rPr>
      </w:pPr>
      <w:r w:rsidRPr="002C72EC">
        <w:rPr>
          <w:rFonts w:ascii="Palatino Linotype" w:eastAsiaTheme="minorHAnsi" w:hAnsi="Palatino Linotype" w:cs="Arial"/>
          <w:lang w:val="es-MX" w:eastAsia="en-US"/>
        </w:rPr>
        <w:t>U</w:t>
      </w:r>
      <w:r w:rsidR="0029071C" w:rsidRPr="002C72EC">
        <w:rPr>
          <w:rFonts w:ascii="Palatino Linotype" w:eastAsiaTheme="minorHAnsi" w:hAnsi="Palatino Linotype" w:cs="Arial"/>
          <w:lang w:val="es-MX" w:eastAsia="en-US"/>
        </w:rPr>
        <w:t>na vez transcurrido el término legal referido se destaca que</w:t>
      </w:r>
      <w:r w:rsidR="004577A4">
        <w:rPr>
          <w:rFonts w:ascii="Palatino Linotype" w:eastAsiaTheme="minorHAnsi" w:hAnsi="Palatino Linotype" w:cs="Arial"/>
          <w:lang w:val="es-MX" w:eastAsia="en-US"/>
        </w:rPr>
        <w:t xml:space="preserve"> </w:t>
      </w:r>
      <w:r w:rsidR="00CF1704" w:rsidRPr="002C72EC">
        <w:rPr>
          <w:rFonts w:ascii="Palatino Linotype" w:eastAsiaTheme="minorHAnsi" w:hAnsi="Palatino Linotype" w:cs="Arial"/>
          <w:lang w:val="es-MX" w:eastAsia="en-US"/>
        </w:rPr>
        <w:t xml:space="preserve">el </w:t>
      </w:r>
      <w:r w:rsidR="0029071C" w:rsidRPr="002C72EC">
        <w:rPr>
          <w:rFonts w:ascii="Palatino Linotype" w:eastAsiaTheme="minorHAnsi" w:hAnsi="Palatino Linotype" w:cs="Arial"/>
          <w:b/>
          <w:lang w:val="es-MX" w:eastAsia="en-US"/>
        </w:rPr>
        <w:t>Sujeto Obligado</w:t>
      </w:r>
      <w:r w:rsidR="00D45F61" w:rsidRPr="002C72EC">
        <w:rPr>
          <w:rFonts w:ascii="Palatino Linotype" w:eastAsiaTheme="minorHAnsi" w:hAnsi="Palatino Linotype" w:cs="Arial"/>
          <w:lang w:val="es-MX" w:eastAsia="en-US"/>
        </w:rPr>
        <w:t xml:space="preserve"> </w:t>
      </w:r>
      <w:r w:rsidR="00545710" w:rsidRPr="00300009">
        <w:rPr>
          <w:rFonts w:ascii="Palatino Linotype" w:eastAsiaTheme="minorHAnsi" w:hAnsi="Palatino Linotype" w:cs="Arial"/>
          <w:b/>
          <w:lang w:val="es-MX" w:eastAsia="en-US"/>
        </w:rPr>
        <w:t>fue omiso en proporcionar su informe justificado</w:t>
      </w:r>
      <w:r w:rsidR="00545710">
        <w:rPr>
          <w:rFonts w:ascii="Palatino Linotype" w:eastAsiaTheme="minorHAnsi" w:hAnsi="Palatino Linotype" w:cs="Arial"/>
          <w:lang w:val="es-MX" w:eastAsia="en-US"/>
        </w:rPr>
        <w:t>. P</w:t>
      </w:r>
      <w:r w:rsidR="00BE35A1">
        <w:rPr>
          <w:rFonts w:ascii="Palatino Linotype" w:eastAsiaTheme="minorHAnsi" w:hAnsi="Palatino Linotype" w:cs="Arial"/>
          <w:lang w:val="es-MX" w:eastAsia="en-US"/>
        </w:rPr>
        <w:t>o</w:t>
      </w:r>
      <w:r w:rsidR="00545710">
        <w:rPr>
          <w:rFonts w:ascii="Palatino Linotype" w:eastAsiaTheme="minorHAnsi" w:hAnsi="Palatino Linotype" w:cs="Arial"/>
          <w:lang w:val="es-MX" w:eastAsia="en-US"/>
        </w:rPr>
        <w:t xml:space="preserve">r su parte el Recurrente no </w:t>
      </w:r>
      <w:r w:rsidR="002107D3">
        <w:rPr>
          <w:rFonts w:ascii="Palatino Linotype" w:eastAsiaTheme="minorHAnsi" w:hAnsi="Palatino Linotype" w:cs="Arial"/>
          <w:lang w:val="es-MX" w:eastAsia="en-US"/>
        </w:rPr>
        <w:t>emitió</w:t>
      </w:r>
      <w:r w:rsidR="00545710">
        <w:rPr>
          <w:rFonts w:ascii="Palatino Linotype" w:eastAsiaTheme="minorHAnsi" w:hAnsi="Palatino Linotype" w:cs="Arial"/>
          <w:lang w:val="es-MX" w:eastAsia="en-US"/>
        </w:rPr>
        <w:t xml:space="preserve"> manifestaciones o alegatos</w:t>
      </w:r>
      <w:r w:rsidR="00BE35A1">
        <w:rPr>
          <w:rFonts w:ascii="Palatino Linotype" w:eastAsiaTheme="minorHAnsi" w:hAnsi="Palatino Linotype" w:cs="Arial"/>
          <w:lang w:val="es-MX" w:eastAsia="en-US"/>
        </w:rPr>
        <w:t xml:space="preserve">. </w:t>
      </w:r>
    </w:p>
    <w:p w14:paraId="16AB2739" w14:textId="77777777" w:rsidR="004577A4" w:rsidRPr="004A6291" w:rsidRDefault="004577A4" w:rsidP="004577A4">
      <w:pPr>
        <w:spacing w:line="360" w:lineRule="auto"/>
        <w:rPr>
          <w:rFonts w:ascii="Palatino Linotype" w:eastAsiaTheme="minorHAnsi" w:hAnsi="Palatino Linotype" w:cs="Arial"/>
          <w:lang w:val="es-MX" w:eastAsia="en-US"/>
        </w:rPr>
      </w:pPr>
    </w:p>
    <w:p w14:paraId="3F0C60B7" w14:textId="77777777" w:rsidR="0029071C" w:rsidRPr="002C72EC" w:rsidRDefault="00425466"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29071C" w:rsidRPr="002C72EC">
        <w:rPr>
          <w:rFonts w:ascii="Palatino Linotype" w:eastAsiaTheme="minorHAnsi" w:hAnsi="Palatino Linotype" w:cs="Arial"/>
          <w:b/>
          <w:sz w:val="28"/>
          <w:lang w:val="es-MX" w:eastAsia="en-US"/>
        </w:rPr>
        <w:t>O. Del cierre de instrucción.</w:t>
      </w:r>
      <w:r w:rsidR="0029071C" w:rsidRPr="002C72EC">
        <w:rPr>
          <w:rFonts w:ascii="Palatino Linotype" w:eastAsiaTheme="minorHAnsi" w:hAnsi="Palatino Linotype" w:cs="Arial"/>
          <w:b/>
          <w:sz w:val="28"/>
          <w:lang w:val="es-MX" w:eastAsia="en-US"/>
        </w:rPr>
        <w:tab/>
      </w:r>
    </w:p>
    <w:p w14:paraId="58E7305C" w14:textId="77777777" w:rsidR="006A6362" w:rsidRDefault="0029071C" w:rsidP="00B96A17">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una vez transcurrido el término legal, </w:t>
      </w:r>
      <w:r w:rsidR="00DC1583" w:rsidRPr="002C72EC">
        <w:rPr>
          <w:rFonts w:ascii="Palatino Linotype" w:eastAsiaTheme="minorHAnsi" w:hAnsi="Palatino Linotype" w:cs="Arial"/>
          <w:lang w:val="es-MX" w:eastAsia="en-US"/>
        </w:rPr>
        <w:t>permitió decretarse</w:t>
      </w:r>
      <w:r w:rsidRPr="002C72EC">
        <w:rPr>
          <w:rFonts w:ascii="Palatino Linotype" w:eastAsiaTheme="minorHAnsi" w:hAnsi="Palatino Linotype" w:cs="Arial"/>
          <w:lang w:val="es-MX" w:eastAsia="en-US"/>
        </w:rPr>
        <w:t xml:space="preserve"> el cierre de instrucción en fecha </w:t>
      </w:r>
      <w:r w:rsidR="002107D3">
        <w:rPr>
          <w:rFonts w:ascii="Palatino Linotype" w:eastAsiaTheme="minorHAnsi" w:hAnsi="Palatino Linotype" w:cs="Arial"/>
          <w:b/>
          <w:lang w:val="es-MX" w:eastAsia="en-US"/>
        </w:rPr>
        <w:t>veinticuatro de febrero de dos mil veinticinco</w:t>
      </w:r>
      <w:r w:rsidRPr="002C72E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w:t>
      </w:r>
      <w:r w:rsidR="00BE35A1">
        <w:rPr>
          <w:rFonts w:ascii="Palatino Linotype" w:eastAsiaTheme="minorHAnsi" w:hAnsi="Palatino Linotype" w:cs="Arial"/>
          <w:lang w:val="es-MX" w:eastAsia="en-US"/>
        </w:rPr>
        <w:t>esolución definitiva del asunto.</w:t>
      </w:r>
    </w:p>
    <w:p w14:paraId="38371822" w14:textId="77777777" w:rsidR="002107D3" w:rsidRDefault="002107D3" w:rsidP="00B96A17">
      <w:pPr>
        <w:spacing w:line="360" w:lineRule="auto"/>
        <w:jc w:val="both"/>
        <w:rPr>
          <w:rFonts w:ascii="Palatino Linotype" w:eastAsiaTheme="minorHAnsi" w:hAnsi="Palatino Linotype" w:cs="Arial"/>
          <w:lang w:val="es-MX" w:eastAsia="en-US"/>
        </w:rPr>
      </w:pPr>
    </w:p>
    <w:p w14:paraId="34A59A9B" w14:textId="77777777" w:rsidR="00300009" w:rsidRPr="002C72EC" w:rsidRDefault="00300009" w:rsidP="00B96A17">
      <w:pPr>
        <w:spacing w:line="360" w:lineRule="auto"/>
        <w:jc w:val="both"/>
        <w:rPr>
          <w:rFonts w:ascii="Palatino Linotype" w:eastAsiaTheme="minorHAnsi" w:hAnsi="Palatino Linotype" w:cs="Arial"/>
          <w:lang w:val="es-MX" w:eastAsia="en-US"/>
        </w:rPr>
      </w:pPr>
    </w:p>
    <w:p w14:paraId="5029065F" w14:textId="77777777" w:rsidR="008150CA" w:rsidRPr="002C72EC" w:rsidRDefault="00E74701" w:rsidP="00EE7775">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lastRenderedPageBreak/>
        <w:t>C O N S I D E R A N</w:t>
      </w:r>
      <w:r w:rsidR="00D57F74" w:rsidRPr="002C72EC">
        <w:rPr>
          <w:rFonts w:ascii="Palatino Linotype" w:eastAsiaTheme="minorHAnsi" w:hAnsi="Palatino Linotype" w:cs="Arial"/>
          <w:b/>
          <w:sz w:val="28"/>
          <w:lang w:val="es-MX" w:eastAsia="en-US"/>
        </w:rPr>
        <w:t xml:space="preserve"> D O </w:t>
      </w:r>
    </w:p>
    <w:p w14:paraId="50E65116" w14:textId="77777777" w:rsidR="00EE7775" w:rsidRDefault="00EE7775" w:rsidP="00EE7775">
      <w:pPr>
        <w:spacing w:line="360" w:lineRule="auto"/>
        <w:jc w:val="center"/>
        <w:rPr>
          <w:rFonts w:ascii="Palatino Linotype" w:eastAsiaTheme="minorHAnsi" w:hAnsi="Palatino Linotype" w:cs="Arial"/>
          <w:b/>
          <w:sz w:val="14"/>
          <w:lang w:val="es-MX" w:eastAsia="en-US"/>
        </w:rPr>
      </w:pPr>
    </w:p>
    <w:p w14:paraId="2EC1AC62" w14:textId="77777777" w:rsidR="006729FC" w:rsidRPr="002C72EC" w:rsidRDefault="006729FC" w:rsidP="00EE7775">
      <w:pPr>
        <w:spacing w:line="360" w:lineRule="auto"/>
        <w:jc w:val="center"/>
        <w:rPr>
          <w:rFonts w:ascii="Palatino Linotype" w:eastAsiaTheme="minorHAnsi" w:hAnsi="Palatino Linotype" w:cs="Arial"/>
          <w:b/>
          <w:sz w:val="14"/>
          <w:lang w:val="es-MX" w:eastAsia="en-US"/>
        </w:rPr>
      </w:pPr>
    </w:p>
    <w:p w14:paraId="56FEFAF3" w14:textId="77777777" w:rsidR="0029071C" w:rsidRPr="002C72EC" w:rsidRDefault="0029071C" w:rsidP="0029071C">
      <w:pPr>
        <w:spacing w:line="360" w:lineRule="auto"/>
        <w:jc w:val="both"/>
        <w:rPr>
          <w:rFonts w:ascii="Palatino Linotype" w:eastAsiaTheme="minorHAnsi" w:hAnsi="Palatino Linotype" w:cs="Arial"/>
          <w:sz w:val="28"/>
          <w:lang w:val="es-MX" w:eastAsia="en-US"/>
        </w:rPr>
      </w:pPr>
      <w:r w:rsidRPr="002C72EC">
        <w:rPr>
          <w:rFonts w:ascii="Palatino Linotype" w:eastAsiaTheme="minorHAnsi" w:hAnsi="Palatino Linotype" w:cs="Arial"/>
          <w:b/>
          <w:sz w:val="28"/>
          <w:lang w:val="es-MX" w:eastAsia="en-US"/>
        </w:rPr>
        <w:t>PRIMERO. De la competencia</w:t>
      </w:r>
      <w:r w:rsidRPr="002C72EC">
        <w:rPr>
          <w:rFonts w:ascii="Palatino Linotype" w:eastAsiaTheme="minorHAnsi" w:hAnsi="Palatino Linotype" w:cs="Arial"/>
          <w:sz w:val="28"/>
          <w:lang w:val="es-MX" w:eastAsia="en-US"/>
        </w:rPr>
        <w:t>.</w:t>
      </w:r>
    </w:p>
    <w:p w14:paraId="0EEE23D5" w14:textId="77777777" w:rsidR="00425466" w:rsidRDefault="00D45F61" w:rsidP="00723B5A">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2C72EC">
        <w:rPr>
          <w:rFonts w:ascii="Palatino Linotype" w:eastAsiaTheme="minorHAnsi" w:hAnsi="Palatino Linotype" w:cs="Arial"/>
          <w:lang w:val="es-MX" w:eastAsia="en-US"/>
        </w:rPr>
        <w:t>,</w:t>
      </w:r>
      <w:r w:rsidRPr="002C72EC">
        <w:rPr>
          <w:rFonts w:ascii="Palatino Linotype" w:eastAsiaTheme="minorHAnsi" w:hAnsi="Palatino Linotype" w:cs="Arial"/>
          <w:lang w:val="es-MX" w:eastAsia="en-US"/>
        </w:rPr>
        <w:t xml:space="preserve"> de la Constitución Política de los Estados Unidos Mexicanos; 5, párrafos trigésimo </w:t>
      </w:r>
      <w:r w:rsidR="009A7B69" w:rsidRPr="002C72EC">
        <w:rPr>
          <w:rFonts w:ascii="Palatino Linotype" w:eastAsiaTheme="minorHAnsi" w:hAnsi="Palatino Linotype" w:cs="Arial"/>
          <w:lang w:val="es-MX" w:eastAsia="en-US"/>
        </w:rPr>
        <w:t>tercero</w:t>
      </w:r>
      <w:r w:rsidRPr="002C72EC">
        <w:rPr>
          <w:rFonts w:ascii="Palatino Linotype" w:eastAsiaTheme="minorHAnsi" w:hAnsi="Palatino Linotype" w:cs="Arial"/>
          <w:lang w:val="es-MX" w:eastAsia="en-US"/>
        </w:rPr>
        <w:t xml:space="preserve"> y trigésimo </w:t>
      </w:r>
      <w:r w:rsidR="009A7B69" w:rsidRPr="002C72EC">
        <w:rPr>
          <w:rFonts w:ascii="Palatino Linotype" w:eastAsiaTheme="minorHAnsi" w:hAnsi="Palatino Linotype" w:cs="Arial"/>
          <w:lang w:val="es-MX" w:eastAsia="en-US"/>
        </w:rPr>
        <w:t>cuarto</w:t>
      </w:r>
      <w:r w:rsidRPr="002C72E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0E156E7" w14:textId="77777777" w:rsidR="00D5195B" w:rsidRPr="002C72EC" w:rsidRDefault="00D5195B" w:rsidP="00723B5A">
      <w:pPr>
        <w:spacing w:line="360" w:lineRule="auto"/>
        <w:jc w:val="both"/>
        <w:rPr>
          <w:rFonts w:ascii="Palatino Linotype" w:eastAsiaTheme="minorHAnsi" w:hAnsi="Palatino Linotype" w:cs="Arial"/>
          <w:lang w:val="es-MX" w:eastAsia="en-US"/>
        </w:rPr>
      </w:pPr>
    </w:p>
    <w:p w14:paraId="3FCFC26C" w14:textId="77777777" w:rsidR="0029071C" w:rsidRPr="002C72E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20626F4B"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B5463B7" w14:textId="77777777" w:rsidR="00425466" w:rsidRDefault="00425466" w:rsidP="009C6853">
      <w:pPr>
        <w:autoSpaceDE w:val="0"/>
        <w:autoSpaceDN w:val="0"/>
        <w:adjustRightInd w:val="0"/>
        <w:spacing w:line="360" w:lineRule="auto"/>
        <w:jc w:val="both"/>
        <w:rPr>
          <w:rFonts w:ascii="Palatino Linotype" w:eastAsiaTheme="minorHAnsi" w:hAnsi="Palatino Linotype" w:cs="Arial"/>
          <w:lang w:val="es-MX" w:eastAsia="en-US"/>
        </w:rPr>
      </w:pPr>
    </w:p>
    <w:p w14:paraId="6F824AA7" w14:textId="77777777" w:rsidR="00425466" w:rsidRPr="00425466" w:rsidRDefault="00425466" w:rsidP="0042546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lastRenderedPageBreak/>
        <w:t>TERCERO. Del estudio de las causas de improcedencia y sobreseimiento.</w:t>
      </w:r>
    </w:p>
    <w:p w14:paraId="7476ED83"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182BCBE"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F8F8C21"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20FFB64A"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0D0108BB" w14:textId="77777777" w:rsidR="00BE35A1" w:rsidRPr="006729FC"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25466">
        <w:rPr>
          <w:rFonts w:ascii="Palatino Linotype" w:hAnsi="Palatino Linotype" w:cs="Arial"/>
          <w:vertAlign w:val="superscript"/>
        </w:rPr>
        <w:footnoteReference w:id="1"/>
      </w:r>
      <w:r w:rsidRPr="00425466">
        <w:rPr>
          <w:rFonts w:ascii="Palatino Linotype" w:hAnsi="Palatino Linotype" w:cs="Arial"/>
        </w:rPr>
        <w:t>.</w:t>
      </w:r>
    </w:p>
    <w:p w14:paraId="7BB8AB39" w14:textId="77777777" w:rsid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En primer término es necesario hacer alusión a las solicitudes de información ya que de ellas deriva por un lado al procedimiento de acceso a la información ante el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68D99DF" w14:textId="77777777" w:rsidR="006729FC" w:rsidRPr="00425466" w:rsidRDefault="006729FC" w:rsidP="00425466">
      <w:pPr>
        <w:autoSpaceDE w:val="0"/>
        <w:autoSpaceDN w:val="0"/>
        <w:adjustRightInd w:val="0"/>
        <w:spacing w:line="360" w:lineRule="auto"/>
        <w:jc w:val="both"/>
        <w:rPr>
          <w:rFonts w:ascii="Palatino Linotype" w:eastAsiaTheme="minorHAnsi" w:hAnsi="Palatino Linotype" w:cs="Arial"/>
          <w:lang w:val="es-MX" w:eastAsia="en-US"/>
        </w:rPr>
      </w:pPr>
    </w:p>
    <w:p w14:paraId="3154FD11" w14:textId="77777777" w:rsidR="00425466" w:rsidRDefault="00425466" w:rsidP="00D07E9E">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47D5529" w14:textId="77777777" w:rsidR="00D07E9E" w:rsidRPr="00425466" w:rsidRDefault="00D07E9E" w:rsidP="00D07E9E">
      <w:pPr>
        <w:autoSpaceDE w:val="0"/>
        <w:autoSpaceDN w:val="0"/>
        <w:adjustRightInd w:val="0"/>
        <w:spacing w:line="360" w:lineRule="auto"/>
        <w:jc w:val="both"/>
        <w:rPr>
          <w:rFonts w:ascii="Palatino Linotype" w:hAnsi="Palatino Linotype" w:cs="Arial"/>
        </w:rPr>
      </w:pPr>
    </w:p>
    <w:p w14:paraId="7738D384" w14:textId="77777777" w:rsidR="004A2702"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 refieren que se sobreseerá el asunto cuando</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u w:val="single"/>
          <w:lang w:val="es-MX" w:eastAsia="en-US"/>
        </w:rPr>
        <w:t>se desista expresamente del recurso</w:t>
      </w:r>
      <w:r w:rsidRPr="00425466">
        <w:rPr>
          <w:rFonts w:ascii="Palatino Linotype" w:eastAsiaTheme="minorHAnsi" w:hAnsi="Palatino Linotype" w:cs="Arial"/>
          <w:lang w:val="es-MX" w:eastAsia="en-US"/>
        </w:rPr>
        <w:t>.</w:t>
      </w:r>
    </w:p>
    <w:p w14:paraId="5A17760C"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w:t>
      </w:r>
      <w:r w:rsidRPr="004A2702">
        <w:rPr>
          <w:rFonts w:ascii="Palatino Linotype" w:eastAsiaTheme="minorHAnsi" w:hAnsi="Palatino Linotype" w:cs="Arial"/>
          <w:b/>
          <w:bCs/>
          <w:i/>
          <w:iCs/>
          <w:sz w:val="22"/>
          <w:szCs w:val="22"/>
          <w:lang w:val="es-MX" w:eastAsia="en-US"/>
        </w:rPr>
        <w:t>Artículo 192.</w:t>
      </w:r>
      <w:r w:rsidRPr="004A2702">
        <w:rPr>
          <w:rFonts w:ascii="Palatino Linotype" w:eastAsiaTheme="minorHAnsi" w:hAnsi="Palatino Linotype" w:cs="Arial"/>
          <w:i/>
          <w:iCs/>
          <w:sz w:val="22"/>
          <w:szCs w:val="22"/>
          <w:lang w:val="es-MX" w:eastAsia="en-US"/>
        </w:rPr>
        <w:t xml:space="preserve"> El recurso será sobreseído, en todo o en parte, cuando una vez admitido, </w:t>
      </w:r>
    </w:p>
    <w:p w14:paraId="51189761" w14:textId="77777777" w:rsid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roofErr w:type="gramStart"/>
      <w:r w:rsidRPr="004A2702">
        <w:rPr>
          <w:rFonts w:ascii="Palatino Linotype" w:eastAsiaTheme="minorHAnsi" w:hAnsi="Palatino Linotype" w:cs="Arial"/>
          <w:i/>
          <w:iCs/>
          <w:sz w:val="22"/>
          <w:szCs w:val="22"/>
          <w:lang w:val="es-MX" w:eastAsia="en-US"/>
        </w:rPr>
        <w:lastRenderedPageBreak/>
        <w:t>se</w:t>
      </w:r>
      <w:proofErr w:type="gramEnd"/>
      <w:r w:rsidRPr="004A2702">
        <w:rPr>
          <w:rFonts w:ascii="Palatino Linotype" w:eastAsiaTheme="minorHAnsi" w:hAnsi="Palatino Linotype" w:cs="Arial"/>
          <w:i/>
          <w:iCs/>
          <w:sz w:val="22"/>
          <w:szCs w:val="22"/>
          <w:lang w:val="es-MX" w:eastAsia="en-US"/>
        </w:rPr>
        <w:t xml:space="preserve"> actualicen alguno de los siguientes supuestos: </w:t>
      </w:r>
    </w:p>
    <w:p w14:paraId="37744918"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
    <w:p w14:paraId="0324E3EE"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b/>
          <w:bCs/>
          <w:i/>
          <w:iCs/>
          <w:sz w:val="22"/>
          <w:szCs w:val="22"/>
          <w:u w:val="single"/>
          <w:lang w:val="es-MX" w:eastAsia="en-US"/>
        </w:rPr>
        <w:t>I. El Recurrente se desista expresamente del recurso</w:t>
      </w:r>
      <w:r w:rsidRPr="004A2702">
        <w:rPr>
          <w:rFonts w:ascii="Palatino Linotype" w:eastAsiaTheme="minorHAnsi" w:hAnsi="Palatino Linotype" w:cs="Arial"/>
          <w:i/>
          <w:iCs/>
          <w:sz w:val="22"/>
          <w:szCs w:val="22"/>
          <w:lang w:val="es-MX" w:eastAsia="en-US"/>
        </w:rPr>
        <w:t xml:space="preserve">; </w:t>
      </w:r>
    </w:p>
    <w:p w14:paraId="3948DC81"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II. El Recurrente fallezca o, tratándose de personas jurídicas colectivas, se disuelva;</w:t>
      </w:r>
    </w:p>
    <w:p w14:paraId="3B401FCD"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2610CB46"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IV. Admitido el recurso de revisión, aparezca alguna causal de improcedencia en los </w:t>
      </w:r>
    </w:p>
    <w:p w14:paraId="6D530110"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proofErr w:type="gramStart"/>
      <w:r w:rsidRPr="004A2702">
        <w:rPr>
          <w:rFonts w:ascii="Palatino Linotype" w:eastAsiaTheme="minorHAnsi" w:hAnsi="Palatino Linotype" w:cs="Arial"/>
          <w:i/>
          <w:iCs/>
          <w:sz w:val="22"/>
          <w:szCs w:val="22"/>
          <w:lang w:val="es-MX" w:eastAsia="en-US"/>
        </w:rPr>
        <w:t>términos</w:t>
      </w:r>
      <w:proofErr w:type="gramEnd"/>
      <w:r w:rsidRPr="004A2702">
        <w:rPr>
          <w:rFonts w:ascii="Palatino Linotype" w:eastAsiaTheme="minorHAnsi" w:hAnsi="Palatino Linotype" w:cs="Arial"/>
          <w:i/>
          <w:iCs/>
          <w:sz w:val="22"/>
          <w:szCs w:val="22"/>
          <w:lang w:val="es-MX" w:eastAsia="en-US"/>
        </w:rPr>
        <w:t xml:space="preserve"> de la presente Ley; y </w:t>
      </w:r>
    </w:p>
    <w:p w14:paraId="245CAB57"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V. Cuando por cualquier motivo quede sin materia el recurso.”</w:t>
      </w:r>
    </w:p>
    <w:p w14:paraId="1225EB12" w14:textId="77777777" w:rsidR="00425466" w:rsidRPr="00425466" w:rsidRDefault="00425466" w:rsidP="004A2702">
      <w:pPr>
        <w:pStyle w:val="Sinespaciado"/>
        <w:rPr>
          <w:rFonts w:eastAsiaTheme="minorHAnsi"/>
          <w:lang w:eastAsia="en-US"/>
        </w:rPr>
      </w:pPr>
    </w:p>
    <w:p w14:paraId="53B7C96F" w14:textId="77777777" w:rsidR="006729FC" w:rsidRDefault="00425466" w:rsidP="004A2702">
      <w:pPr>
        <w:tabs>
          <w:tab w:val="left" w:pos="709"/>
        </w:tabs>
        <w:spacing w:line="360" w:lineRule="auto"/>
        <w:jc w:val="both"/>
        <w:rPr>
          <w:rFonts w:ascii="Palatino Linotype" w:eastAsiaTheme="minorHAnsi" w:hAnsi="Palatino Linotype" w:cs="Arial"/>
          <w:i/>
          <w:lang w:val="es-MX" w:eastAsia="en-US"/>
        </w:rPr>
      </w:pPr>
      <w:r w:rsidRPr="00425466">
        <w:rPr>
          <w:rFonts w:ascii="Palatino Linotype" w:eastAsiaTheme="minorHAnsi" w:hAnsi="Palatino Linotype" w:cs="Arial"/>
          <w:lang w:val="es-MX" w:eastAsia="en-US"/>
        </w:rPr>
        <w:t xml:space="preserve">Así, para que se tenga por desistido bastará con que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expresamente se desista del recurso de revisión promovido, lo cual es a todas luces evidente que se actualiza en el presente asunto, como se observa en el sistema </w:t>
      </w:r>
      <w:r w:rsidRPr="00425466">
        <w:rPr>
          <w:rFonts w:ascii="Palatino Linotype" w:eastAsiaTheme="minorHAnsi" w:hAnsi="Palatino Linotype" w:cs="Arial"/>
          <w:b/>
          <w:bCs/>
          <w:lang w:val="es-MX" w:eastAsia="en-US"/>
        </w:rPr>
        <w:t>SAIMEX</w:t>
      </w:r>
      <w:r w:rsidRPr="00425466">
        <w:rPr>
          <w:rFonts w:ascii="Palatino Linotype" w:eastAsiaTheme="minorHAnsi" w:hAnsi="Palatino Linotype" w:cs="Arial"/>
          <w:lang w:val="es-MX" w:eastAsia="en-US"/>
        </w:rPr>
        <w:t>,</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en fecha </w:t>
      </w:r>
      <w:r w:rsidR="00E42B51">
        <w:rPr>
          <w:rFonts w:ascii="Palatino Linotype" w:eastAsiaTheme="minorHAnsi" w:hAnsi="Palatino Linotype" w:cs="Arial"/>
          <w:b/>
          <w:lang w:val="es-MX" w:eastAsia="en-US"/>
        </w:rPr>
        <w:t>siete de febrero de dos mil veinticinco</w:t>
      </w:r>
      <w:r w:rsidRPr="00425466">
        <w:rPr>
          <w:rFonts w:ascii="Palatino Linotype" w:eastAsiaTheme="minorHAnsi" w:hAnsi="Palatino Linotype" w:cs="Arial"/>
          <w:lang w:val="es-MX" w:eastAsia="en-US"/>
        </w:rPr>
        <w:t xml:space="preserve">, realizó la siguiente manifestación: </w:t>
      </w:r>
      <w:r w:rsidRPr="00425466">
        <w:rPr>
          <w:rFonts w:ascii="Palatino Linotype" w:eastAsiaTheme="minorHAnsi" w:hAnsi="Palatino Linotype" w:cs="Arial"/>
          <w:b/>
          <w:i/>
          <w:u w:val="single"/>
          <w:lang w:val="es-MX" w:eastAsia="en-US"/>
        </w:rPr>
        <w:t>“</w:t>
      </w:r>
      <w:r w:rsidR="00E42B51">
        <w:rPr>
          <w:rFonts w:ascii="Palatino Linotype" w:hAnsi="Palatino Linotype"/>
          <w:b/>
          <w:i/>
          <w:color w:val="000000"/>
          <w:u w:val="single"/>
        </w:rPr>
        <w:t>.</w:t>
      </w:r>
      <w:r w:rsidRPr="00425466">
        <w:rPr>
          <w:rFonts w:ascii="Palatino Linotype" w:eastAsiaTheme="minorHAnsi" w:hAnsi="Palatino Linotype" w:cs="Arial"/>
          <w:b/>
          <w:i/>
          <w:u w:val="single"/>
          <w:lang w:val="es-MX" w:eastAsia="en-US"/>
        </w:rPr>
        <w:t>”</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i/>
          <w:lang w:val="es-MX" w:eastAsia="en-US"/>
        </w:rPr>
        <w:t>(Sic).</w:t>
      </w:r>
    </w:p>
    <w:p w14:paraId="4CB7947F" w14:textId="77777777" w:rsidR="00E42B51" w:rsidRPr="004A2702" w:rsidRDefault="00E42B51" w:rsidP="004A2702">
      <w:pPr>
        <w:tabs>
          <w:tab w:val="left" w:pos="709"/>
        </w:tabs>
        <w:spacing w:line="360" w:lineRule="auto"/>
        <w:jc w:val="both"/>
        <w:rPr>
          <w:rFonts w:ascii="Palatino Linotype" w:eastAsiaTheme="minorHAnsi" w:hAnsi="Palatino Linotype" w:cs="Arial"/>
          <w:i/>
          <w:lang w:val="es-MX" w:eastAsia="en-US"/>
        </w:rPr>
      </w:pPr>
    </w:p>
    <w:p w14:paraId="39C89890" w14:textId="77777777" w:rsidR="00425466" w:rsidRPr="00425466" w:rsidRDefault="00425466" w:rsidP="00425466">
      <w:pPr>
        <w:tabs>
          <w:tab w:val="left" w:pos="709"/>
        </w:tabs>
        <w:spacing w:line="360" w:lineRule="auto"/>
        <w:jc w:val="both"/>
        <w:rPr>
          <w:rFonts w:ascii="Palatino Linotype" w:eastAsiaTheme="minorHAnsi" w:hAnsi="Palatino Linotype" w:cs="Arial"/>
          <w:sz w:val="4"/>
          <w:lang w:val="es-MX" w:eastAsia="en-US"/>
        </w:rPr>
      </w:pPr>
    </w:p>
    <w:p w14:paraId="5F91B0A4"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ese orden de ideas, se entiende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de propia voluntad, sin existir coacción o dolo, en ejercicio de sus derechos, se desiste del presente recurso en que se actúa, por lo que se procede a la valoración, respecto de si el </w:t>
      </w:r>
      <w:r w:rsidRPr="00425466">
        <w:rPr>
          <w:rFonts w:ascii="Palatino Linotype" w:eastAsiaTheme="minorHAnsi" w:hAnsi="Palatino Linotype" w:cs="Arial"/>
          <w:b/>
          <w:i/>
          <w:lang w:val="es-MX" w:eastAsia="en-US"/>
        </w:rPr>
        <w:t>desistimiento</w:t>
      </w:r>
      <w:r w:rsidRPr="00425466">
        <w:rPr>
          <w:rFonts w:ascii="Palatino Linotype" w:eastAsiaTheme="minorHAnsi" w:hAnsi="Palatino Linotype" w:cs="Arial"/>
          <w:lang w:val="es-MX" w:eastAsia="en-US"/>
        </w:rPr>
        <w:t xml:space="preserve"> cumple con lo establecido en la fracción I, del artículo 192, de la Ley de Transparencia, Acceso a la Información Pública y Protección de Datos Personales del Estado de México y Municipios.</w:t>
      </w:r>
    </w:p>
    <w:p w14:paraId="733265BB"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p>
    <w:p w14:paraId="6F75B52F" w14:textId="77777777" w:rsidR="004A2702"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lugar, habrá que señalarse que el desistimiento, es la </w:t>
      </w:r>
      <w:r w:rsidRPr="00425466">
        <w:rPr>
          <w:rFonts w:ascii="Palatino Linotype" w:eastAsiaTheme="minorHAnsi" w:hAnsi="Palatino Linotype" w:cs="Arial"/>
          <w:i/>
          <w:lang w:val="es-MX" w:eastAsia="en-US"/>
        </w:rPr>
        <w:t>terminación anormal de un proceso, por el que el actor manifiesta su voluntad de abandonar su pretensión</w:t>
      </w:r>
      <w:r w:rsidRPr="00425466">
        <w:rPr>
          <w:rFonts w:ascii="Palatino Linotype" w:eastAsiaTheme="minorHAnsi" w:hAnsi="Palatino Linotype" w:cs="Arial"/>
          <w:lang w:val="es-MX" w:eastAsia="en-US"/>
        </w:rPr>
        <w:t xml:space="preserve">; lo que en el caso concreto ha de entenderse como la renuncia que hace </w:t>
      </w:r>
      <w:r w:rsidRPr="00425466">
        <w:rPr>
          <w:rFonts w:ascii="Palatino Linotype" w:eastAsiaTheme="minorHAnsi" w:hAnsi="Palatino Linotype" w:cs="Arial"/>
          <w:b/>
          <w:lang w:val="es-MX" w:eastAsia="en-US"/>
        </w:rPr>
        <w:t>El</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lang w:val="es-MX" w:eastAsia="en-US"/>
        </w:rPr>
        <w:t xml:space="preserve">Recurrente </w:t>
      </w:r>
      <w:r w:rsidRPr="00425466">
        <w:rPr>
          <w:rFonts w:ascii="Palatino Linotype" w:eastAsiaTheme="minorHAnsi" w:hAnsi="Palatino Linotype" w:cs="Arial"/>
          <w:lang w:val="es-MX" w:eastAsia="en-US"/>
        </w:rPr>
        <w:t xml:space="preserve">a la pretensión </w:t>
      </w:r>
      <w:r w:rsidRPr="00425466">
        <w:rPr>
          <w:rFonts w:ascii="Palatino Linotype" w:eastAsiaTheme="minorHAnsi" w:hAnsi="Palatino Linotype" w:cs="Arial"/>
          <w:lang w:val="es-MX" w:eastAsia="en-US"/>
        </w:rPr>
        <w:lastRenderedPageBreak/>
        <w:t>procesal que dio origen al recurso, ocasionando la culminación del mismo; se precisa que no existe momento procesal alguno para realizarlo, por lo que el mismo se podrá interponer en cualquier momento.</w:t>
      </w:r>
    </w:p>
    <w:p w14:paraId="11B4CED4" w14:textId="77777777" w:rsidR="00BE35A1" w:rsidRPr="00425466" w:rsidRDefault="00BE35A1" w:rsidP="00425466">
      <w:pPr>
        <w:tabs>
          <w:tab w:val="left" w:pos="709"/>
        </w:tabs>
        <w:spacing w:line="360" w:lineRule="auto"/>
        <w:jc w:val="both"/>
        <w:rPr>
          <w:rFonts w:ascii="Palatino Linotype" w:eastAsiaTheme="minorHAnsi" w:hAnsi="Palatino Linotype" w:cs="Arial"/>
          <w:lang w:val="es-MX" w:eastAsia="en-US"/>
        </w:rPr>
      </w:pPr>
    </w:p>
    <w:p w14:paraId="606F4D24" w14:textId="77777777" w:rsidR="00425466" w:rsidRDefault="00425466" w:rsidP="004A2702">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En ese tenor de ideas, se precisa que el solicitante,</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con la legitimación activa</w:t>
      </w:r>
      <w:r w:rsidRPr="00425466">
        <w:rPr>
          <w:rFonts w:ascii="Palatino Linotype" w:eastAsiaTheme="minorHAnsi" w:hAnsi="Palatino Linotype" w:cs="Arial"/>
          <w:vertAlign w:val="superscript"/>
          <w:lang w:val="es-MX" w:eastAsia="en-US"/>
        </w:rPr>
        <w:footnoteReference w:id="2"/>
      </w:r>
      <w:r w:rsidRPr="00425466">
        <w:rPr>
          <w:rFonts w:ascii="Palatino Linotype" w:eastAsiaTheme="minorHAnsi" w:hAnsi="Palatino Linotype" w:cs="Arial"/>
          <w:lang w:val="es-MX" w:eastAsia="en-US"/>
        </w:rPr>
        <w:t xml:space="preserve"> que debidamente se tiene acreditada en autos, toda vez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es la misma persona que realizó la solicitud de información número </w:t>
      </w:r>
      <w:r w:rsidR="00E42B51" w:rsidRPr="00E42B51">
        <w:rPr>
          <w:rFonts w:ascii="Palatino Linotype" w:hAnsi="Palatino Linotype"/>
          <w:b/>
          <w:bCs/>
        </w:rPr>
        <w:t>00777/METEPEC/IP/2024</w:t>
      </w:r>
      <w:r w:rsidR="00D5195B">
        <w:rPr>
          <w:rFonts w:ascii="Palatino Linotype" w:eastAsiaTheme="minorHAnsi" w:hAnsi="Palatino Linotype" w:cs="Arial"/>
          <w:bCs/>
          <w:lang w:val="es-MX" w:eastAsia="en-US"/>
        </w:rPr>
        <w:t xml:space="preserve">, </w:t>
      </w:r>
      <w:r w:rsidRPr="00425466">
        <w:rPr>
          <w:rFonts w:ascii="Palatino Linotype" w:eastAsiaTheme="minorHAnsi" w:hAnsi="Palatino Linotype" w:cs="Arial"/>
          <w:lang w:val="es-MX" w:eastAsia="en-US"/>
        </w:rPr>
        <w:t xml:space="preserve">al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xml:space="preserve">, y quien posteriormente interpuso el presente recurso de revisión número </w:t>
      </w:r>
      <w:r w:rsidRPr="00425466">
        <w:rPr>
          <w:rFonts w:ascii="Palatino Linotype" w:eastAsiaTheme="minorHAnsi" w:hAnsi="Palatino Linotype" w:cs="Arial"/>
          <w:b/>
          <w:lang w:val="es-MX" w:eastAsia="en-US"/>
        </w:rPr>
        <w:t>0</w:t>
      </w:r>
      <w:r w:rsidR="00E42B51">
        <w:rPr>
          <w:rFonts w:ascii="Palatino Linotype" w:eastAsiaTheme="minorHAnsi" w:hAnsi="Palatino Linotype" w:cs="Arial"/>
          <w:b/>
          <w:lang w:val="es-MX" w:eastAsia="en-US"/>
        </w:rPr>
        <w:t>0675</w:t>
      </w:r>
      <w:r w:rsidRPr="00425466">
        <w:rPr>
          <w:rFonts w:ascii="Palatino Linotype" w:eastAsiaTheme="minorHAnsi" w:hAnsi="Palatino Linotype" w:cs="Arial"/>
          <w:b/>
          <w:lang w:val="es-MX" w:eastAsia="en-US"/>
        </w:rPr>
        <w:t>/INFOEM/IP/RR/202</w:t>
      </w:r>
      <w:r w:rsidR="00E42B51">
        <w:rPr>
          <w:rFonts w:ascii="Palatino Linotype" w:eastAsiaTheme="minorHAnsi" w:hAnsi="Palatino Linotype" w:cs="Arial"/>
          <w:b/>
          <w:lang w:val="es-MX" w:eastAsia="en-US"/>
        </w:rPr>
        <w:t>5</w:t>
      </w:r>
      <w:r w:rsidRPr="00425466">
        <w:rPr>
          <w:rFonts w:ascii="Palatino Linotype" w:eastAsiaTheme="minorHAnsi" w:hAnsi="Palatino Linotype" w:cs="Arial"/>
          <w:lang w:val="es-MX" w:eastAsia="en-US"/>
        </w:rPr>
        <w:t>, en contra de la</w:t>
      </w:r>
      <w:r w:rsidR="00D07E9E">
        <w:rPr>
          <w:rFonts w:ascii="Palatino Linotype" w:eastAsiaTheme="minorHAnsi" w:hAnsi="Palatino Linotype" w:cs="Arial"/>
          <w:lang w:val="es-MX" w:eastAsia="en-US"/>
        </w:rPr>
        <w:t xml:space="preserve"> </w:t>
      </w:r>
      <w:r w:rsidRPr="00425466">
        <w:rPr>
          <w:rFonts w:ascii="Palatino Linotype" w:eastAsiaTheme="minorHAnsi" w:hAnsi="Palatino Linotype" w:cs="Arial"/>
          <w:lang w:val="es-MX" w:eastAsia="en-US"/>
        </w:rPr>
        <w:t xml:space="preserve">respuesta; todo esto se corrobora con las actuaciones que obran en el sistema </w:t>
      </w:r>
      <w:r w:rsidRPr="004A2702">
        <w:rPr>
          <w:rFonts w:ascii="Palatino Linotype" w:eastAsiaTheme="minorHAnsi" w:hAnsi="Palatino Linotype" w:cs="Arial"/>
          <w:b/>
          <w:bCs/>
          <w:lang w:val="es-MX" w:eastAsia="en-US"/>
        </w:rPr>
        <w:t>SAIMEX</w:t>
      </w:r>
      <w:r w:rsidR="004A2702">
        <w:rPr>
          <w:rFonts w:ascii="Palatino Linotype" w:eastAsiaTheme="minorHAnsi" w:hAnsi="Palatino Linotype" w:cs="Arial"/>
          <w:lang w:val="es-MX" w:eastAsia="en-US"/>
        </w:rPr>
        <w:t>.</w:t>
      </w:r>
    </w:p>
    <w:p w14:paraId="28EF4BC6" w14:textId="77777777" w:rsidR="004A2702" w:rsidRPr="00425466" w:rsidRDefault="004A2702" w:rsidP="004A2702">
      <w:pPr>
        <w:tabs>
          <w:tab w:val="left" w:pos="709"/>
        </w:tabs>
        <w:spacing w:line="360" w:lineRule="auto"/>
        <w:jc w:val="both"/>
        <w:rPr>
          <w:rFonts w:ascii="Palatino Linotype" w:eastAsiaTheme="minorHAnsi" w:hAnsi="Palatino Linotype" w:cs="Arial"/>
          <w:lang w:val="es-MX" w:eastAsia="en-US"/>
        </w:rPr>
      </w:pPr>
    </w:p>
    <w:p w14:paraId="7F3AC1C5" w14:textId="77777777"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Finalmente, es dable soslayar que la figura del </w:t>
      </w:r>
      <w:r w:rsidRPr="00425466">
        <w:rPr>
          <w:rFonts w:ascii="Palatino Linotype" w:eastAsiaTheme="minorHAnsi" w:hAnsi="Palatino Linotype" w:cs="Arial"/>
          <w:b/>
          <w:lang w:val="es-MX" w:eastAsia="en-US"/>
        </w:rPr>
        <w:t>DESISTIMIENTO</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tiene como finalidad la interrupción y terminación del procedimiento, sin entrar al estudio, derivado de la existencia de la renuncia del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a la sustanciación y resolución del procedimiento, y que dicha renuncia quede firme y con fuerza vinculatoria.</w:t>
      </w:r>
    </w:p>
    <w:p w14:paraId="0C28906A"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0B38F114" w14:textId="77777777" w:rsidR="00DF154C" w:rsidRDefault="00425466" w:rsidP="000E5EF4">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425466">
        <w:rPr>
          <w:rFonts w:ascii="Palatino Linotype" w:eastAsiaTheme="minorHAnsi" w:hAnsi="Palatino Linotype" w:cs="Arial"/>
          <w:b/>
          <w:lang w:val="es-MX" w:eastAsia="en-US"/>
        </w:rPr>
        <w:t xml:space="preserve">SOBRESEER </w:t>
      </w:r>
      <w:r w:rsidRPr="00425466">
        <w:rPr>
          <w:rFonts w:ascii="Palatino Linotype" w:eastAsiaTheme="minorHAnsi" w:hAnsi="Palatino Linotype" w:cs="Arial"/>
          <w:lang w:val="es-MX" w:eastAsia="en-US"/>
        </w:rPr>
        <w:t xml:space="preserve">el recurso de revisión que nos atañe, dado que no es necesario estudiar si existió vulneración en el derecho de acceso a la información pública, en atención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que presentó </w:t>
      </w:r>
      <w:r w:rsidRPr="00425466">
        <w:rPr>
          <w:rFonts w:ascii="Palatino Linotype" w:eastAsiaTheme="minorHAnsi" w:hAnsi="Palatino Linotype" w:cs="Arial"/>
          <w:lang w:val="es-MX" w:eastAsia="en-US"/>
        </w:rPr>
        <w:lastRenderedPageBreak/>
        <w:t>el recurso de revisión manifiesta su voluntad de desistirse, con las consecuencias que a ello conlleva.</w:t>
      </w:r>
    </w:p>
    <w:p w14:paraId="22853315" w14:textId="77777777" w:rsidR="00300009" w:rsidRPr="002C72EC" w:rsidRDefault="00300009" w:rsidP="000E5EF4">
      <w:pPr>
        <w:tabs>
          <w:tab w:val="left" w:pos="709"/>
        </w:tabs>
        <w:spacing w:line="360" w:lineRule="auto"/>
        <w:jc w:val="both"/>
        <w:rPr>
          <w:rFonts w:ascii="Palatino Linotype" w:eastAsiaTheme="minorHAnsi" w:hAnsi="Palatino Linotype" w:cs="Arial"/>
          <w:lang w:val="es-MX" w:eastAsia="en-US"/>
        </w:rPr>
      </w:pPr>
    </w:p>
    <w:p w14:paraId="6B05638D" w14:textId="77777777" w:rsidR="00DF154C" w:rsidRPr="002C72EC" w:rsidRDefault="003009C8" w:rsidP="003009C8">
      <w:pPr>
        <w:tabs>
          <w:tab w:val="left" w:pos="709"/>
        </w:tabs>
        <w:spacing w:line="360" w:lineRule="auto"/>
        <w:jc w:val="both"/>
        <w:rPr>
          <w:rFonts w:ascii="Palatino Linotype" w:eastAsiaTheme="minorHAnsi" w:hAnsi="Palatino Linotype" w:cs="Arial"/>
          <w:lang w:val="es-MX" w:eastAsia="en-US"/>
        </w:rPr>
      </w:pPr>
      <w:r w:rsidRPr="003009C8">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3009C8">
        <w:rPr>
          <w:rFonts w:ascii="Palatino Linotype" w:eastAsiaTheme="minorHAnsi" w:hAnsi="Palatino Linotype" w:cs="Arial"/>
          <w:b/>
          <w:lang w:val="es-MX" w:eastAsia="en-US"/>
        </w:rPr>
        <w:t xml:space="preserve">SOBRESEER </w:t>
      </w:r>
      <w:r w:rsidRPr="003009C8">
        <w:rPr>
          <w:rFonts w:ascii="Palatino Linotype" w:eastAsiaTheme="minorHAnsi" w:hAnsi="Palatino Linotype" w:cs="Arial"/>
          <w:lang w:val="es-MX" w:eastAsia="en-US"/>
        </w:rPr>
        <w:t>el recurso de revisión que nos atañe, dado que no es necesario estudiar si existió vulneración en el derecho de acceso a la información pública, en atención que</w:t>
      </w:r>
      <w:r>
        <w:rPr>
          <w:rFonts w:ascii="Palatino Linotype" w:eastAsiaTheme="minorHAnsi" w:hAnsi="Palatino Linotype" w:cs="Arial"/>
          <w:lang w:val="es-MX" w:eastAsia="en-US"/>
        </w:rPr>
        <w:t xml:space="preserve"> el </w:t>
      </w:r>
      <w:r w:rsidRPr="003009C8">
        <w:rPr>
          <w:rFonts w:ascii="Palatino Linotype" w:eastAsiaTheme="minorHAnsi" w:hAnsi="Palatino Linotype" w:cs="Arial"/>
          <w:b/>
          <w:lang w:val="es-MX" w:eastAsia="en-US"/>
        </w:rPr>
        <w:t>Recurrente</w:t>
      </w:r>
      <w:r w:rsidRPr="003009C8">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48C8F788"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60CCF80B" w14:textId="77777777" w:rsidR="00DF154C" w:rsidRPr="002C72EC" w:rsidRDefault="00DF154C" w:rsidP="00DF154C">
      <w:pPr>
        <w:tabs>
          <w:tab w:val="left" w:pos="709"/>
        </w:tabs>
        <w:spacing w:line="360" w:lineRule="auto"/>
        <w:ind w:right="51"/>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Por lo antes expuesto y fundado es de resolverse y,</w:t>
      </w:r>
    </w:p>
    <w:p w14:paraId="32549D75" w14:textId="77777777" w:rsidR="004A2702" w:rsidRPr="002C72EC" w:rsidRDefault="004A2702"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732954B6" w14:textId="77777777" w:rsidR="00DF154C" w:rsidRPr="002C72EC" w:rsidRDefault="00DF154C" w:rsidP="00D14F54">
      <w:pPr>
        <w:spacing w:after="160" w:line="360" w:lineRule="auto"/>
        <w:jc w:val="center"/>
        <w:rPr>
          <w:rFonts w:ascii="Palatino Linotype" w:eastAsiaTheme="minorHAnsi" w:hAnsi="Palatino Linotype" w:cstheme="minorBidi"/>
          <w:b/>
          <w:bCs/>
          <w:spacing w:val="60"/>
          <w:sz w:val="28"/>
          <w:szCs w:val="22"/>
          <w:lang w:val="es-ES_tradnl" w:eastAsia="en-US"/>
        </w:rPr>
      </w:pPr>
      <w:r w:rsidRPr="002C72EC">
        <w:rPr>
          <w:rFonts w:ascii="Palatino Linotype" w:eastAsiaTheme="minorHAnsi" w:hAnsi="Palatino Linotype" w:cstheme="minorBidi"/>
          <w:b/>
          <w:bCs/>
          <w:spacing w:val="60"/>
          <w:sz w:val="28"/>
          <w:szCs w:val="22"/>
          <w:lang w:val="es-ES_tradnl" w:eastAsia="en-US"/>
        </w:rPr>
        <w:t>SE    RESUELVE</w:t>
      </w:r>
    </w:p>
    <w:p w14:paraId="13A3C7B3" w14:textId="77777777" w:rsidR="00D14F54" w:rsidRPr="002C72EC" w:rsidRDefault="00D14F54" w:rsidP="00D14F54">
      <w:pPr>
        <w:pStyle w:val="Sinespaciado"/>
        <w:rPr>
          <w:rFonts w:eastAsiaTheme="minorHAnsi"/>
          <w:lang w:eastAsia="en-US"/>
        </w:rPr>
      </w:pPr>
    </w:p>
    <w:p w14:paraId="0D30E1FE" w14:textId="77777777" w:rsidR="00D14F54" w:rsidRDefault="00DF154C" w:rsidP="00DF154C">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PRIMERO.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Se </w:t>
      </w:r>
      <w:r w:rsidRPr="002C72EC">
        <w:rPr>
          <w:rFonts w:ascii="Palatino Linotype" w:eastAsiaTheme="minorHAnsi" w:hAnsi="Palatino Linotype" w:cs="Arial"/>
          <w:b/>
          <w:szCs w:val="22"/>
          <w:lang w:val="es-MX" w:eastAsia="en-US"/>
        </w:rPr>
        <w:t>SOBRESEE</w:t>
      </w:r>
      <w:r w:rsidRPr="002C72EC">
        <w:rPr>
          <w:rFonts w:ascii="Palatino Linotype" w:eastAsiaTheme="minorHAnsi" w:hAnsi="Palatino Linotype" w:cs="Arial"/>
          <w:szCs w:val="22"/>
          <w:lang w:val="es-MX" w:eastAsia="en-US"/>
        </w:rPr>
        <w:t xml:space="preserve"> el recurso de revisión número </w:t>
      </w:r>
      <w:r w:rsidRPr="002C72EC">
        <w:rPr>
          <w:rFonts w:ascii="Palatino Linotype" w:eastAsiaTheme="minorHAnsi" w:hAnsi="Palatino Linotype" w:cs="Arial"/>
          <w:b/>
          <w:szCs w:val="22"/>
          <w:lang w:val="es-MX" w:eastAsia="en-US"/>
        </w:rPr>
        <w:t>0</w:t>
      </w:r>
      <w:r w:rsidR="000E5EF4">
        <w:rPr>
          <w:rFonts w:ascii="Palatino Linotype" w:eastAsiaTheme="minorHAnsi" w:hAnsi="Palatino Linotype" w:cs="Arial"/>
          <w:b/>
          <w:szCs w:val="22"/>
          <w:lang w:val="es-MX" w:eastAsia="en-US"/>
        </w:rPr>
        <w:t>0675</w:t>
      </w:r>
      <w:r w:rsidRPr="002C72EC">
        <w:rPr>
          <w:rFonts w:ascii="Palatino Linotype" w:eastAsiaTheme="minorHAnsi" w:hAnsi="Palatino Linotype" w:cs="Arial"/>
          <w:b/>
          <w:szCs w:val="22"/>
          <w:lang w:val="es-MX" w:eastAsia="en-US"/>
        </w:rPr>
        <w:t>/INFOEM/IP/RR/202</w:t>
      </w:r>
      <w:r w:rsidR="00C8769C" w:rsidRPr="00C8769C">
        <w:rPr>
          <w:rFonts w:ascii="Palatino Linotype" w:eastAsiaTheme="minorHAnsi" w:hAnsi="Palatino Linotype" w:cs="Arial"/>
          <w:b/>
          <w:szCs w:val="22"/>
          <w:highlight w:val="yellow"/>
          <w:lang w:val="es-MX" w:eastAsia="en-US"/>
        </w:rPr>
        <w:t>5</w:t>
      </w:r>
      <w:r w:rsidRPr="002C72EC">
        <w:rPr>
          <w:rFonts w:ascii="Palatino Linotype" w:eastAsiaTheme="minorHAnsi" w:hAnsi="Palatino Linotype" w:cs="Arial"/>
          <w:szCs w:val="22"/>
          <w:lang w:val="es-MX" w:eastAsia="en-US"/>
        </w:rPr>
        <w:t xml:space="preserve">, </w:t>
      </w:r>
      <w:r w:rsidR="003009C8" w:rsidRPr="003009C8">
        <w:rPr>
          <w:rFonts w:ascii="Palatino Linotype" w:eastAsiaTheme="minorHAnsi" w:hAnsi="Palatino Linotype" w:cs="Arial"/>
          <w:szCs w:val="22"/>
          <w:lang w:val="es-MX" w:eastAsia="en-US"/>
        </w:rPr>
        <w:t xml:space="preserve">por haberse desistido expresamente la parte </w:t>
      </w:r>
      <w:r w:rsidR="003009C8" w:rsidRPr="003009C8">
        <w:rPr>
          <w:rFonts w:ascii="Palatino Linotype" w:eastAsiaTheme="minorHAnsi" w:hAnsi="Palatino Linotype" w:cs="Arial"/>
          <w:b/>
          <w:bCs/>
          <w:szCs w:val="22"/>
          <w:lang w:val="es-MX" w:eastAsia="en-US"/>
        </w:rPr>
        <w:t>Recurrente</w:t>
      </w:r>
      <w:r w:rsidR="003009C8" w:rsidRPr="003009C8">
        <w:rPr>
          <w:rFonts w:ascii="Palatino Linotype" w:eastAsiaTheme="minorHAnsi" w:hAnsi="Palatino Linotype" w:cs="Arial"/>
          <w:szCs w:val="22"/>
          <w:lang w:val="es-MX" w:eastAsia="en-US"/>
        </w:rPr>
        <w:t xml:space="preserve">, en términos del </w:t>
      </w:r>
      <w:r w:rsidR="003009C8" w:rsidRPr="003009C8">
        <w:rPr>
          <w:rFonts w:ascii="Palatino Linotype" w:eastAsiaTheme="minorHAnsi" w:hAnsi="Palatino Linotype" w:cs="Arial"/>
          <w:b/>
          <w:bCs/>
          <w:szCs w:val="22"/>
          <w:lang w:val="es-MX" w:eastAsia="en-US"/>
        </w:rPr>
        <w:t>Considerando TERCERO</w:t>
      </w:r>
      <w:r w:rsidR="003009C8" w:rsidRPr="003009C8">
        <w:rPr>
          <w:rFonts w:ascii="Palatino Linotype" w:eastAsiaTheme="minorHAnsi" w:hAnsi="Palatino Linotype" w:cs="Arial"/>
          <w:szCs w:val="22"/>
          <w:lang w:val="es-MX" w:eastAsia="en-US"/>
        </w:rPr>
        <w:t xml:space="preserve"> de la presente resolución, por lo tanto, se actualiza la hipótesis contenida en la fracción I</w:t>
      </w:r>
      <w:r w:rsidR="004E0597">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del artículo 192</w:t>
      </w:r>
      <w:r w:rsidR="004A2702">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 la Ley de Transparencia y Acceso a la Información Pública del Estado de México y Municipios.</w:t>
      </w:r>
    </w:p>
    <w:p w14:paraId="275A7716" w14:textId="77777777" w:rsidR="004A2702" w:rsidRPr="004A2702" w:rsidRDefault="004A2702" w:rsidP="00DF154C">
      <w:pPr>
        <w:spacing w:line="360" w:lineRule="auto"/>
        <w:jc w:val="both"/>
        <w:rPr>
          <w:rFonts w:ascii="Palatino Linotype" w:eastAsiaTheme="minorHAnsi" w:hAnsi="Palatino Linotype" w:cs="Arial"/>
          <w:szCs w:val="22"/>
          <w:lang w:val="es-MX" w:eastAsia="en-US"/>
        </w:rPr>
      </w:pPr>
    </w:p>
    <w:p w14:paraId="5497481B" w14:textId="77777777" w:rsidR="00DF154C" w:rsidRPr="002C72EC" w:rsidRDefault="00DF154C" w:rsidP="00D14F54">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SEGUNDO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w:t>
      </w:r>
      <w:r w:rsidRPr="002C72EC">
        <w:rPr>
          <w:rFonts w:ascii="Palatino Linotype" w:eastAsiaTheme="minorHAnsi" w:hAnsi="Palatino Linotype" w:cs="Arial"/>
          <w:szCs w:val="22"/>
          <w:lang w:eastAsia="en-US"/>
        </w:rPr>
        <w:t>a través del</w:t>
      </w:r>
      <w:r w:rsidRPr="002C72EC">
        <w:rPr>
          <w:rFonts w:ascii="Palatino Linotype" w:eastAsiaTheme="minorHAnsi" w:hAnsi="Palatino Linotype" w:cs="Arial"/>
          <w:b/>
          <w:szCs w:val="22"/>
          <w:lang w:eastAsia="en-US"/>
        </w:rPr>
        <w:t xml:space="preserve"> </w:t>
      </w:r>
      <w:r w:rsidRPr="002C72EC">
        <w:rPr>
          <w:rFonts w:ascii="Palatino Linotype" w:eastAsiaTheme="minorHAnsi" w:hAnsi="Palatino Linotype" w:cs="Arial"/>
          <w:szCs w:val="22"/>
          <w:lang w:eastAsia="en-US"/>
        </w:rPr>
        <w:t>Sistema de Acceso a la Información Mexiquense</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theme="minorBidi"/>
          <w:b/>
          <w:szCs w:val="22"/>
          <w:lang w:val="es-MX" w:eastAsia="en-US"/>
        </w:rPr>
        <w:t xml:space="preserve"> </w:t>
      </w:r>
      <w:r w:rsidRPr="002C72EC">
        <w:rPr>
          <w:rFonts w:ascii="Palatino Linotype" w:eastAsiaTheme="minorHAnsi" w:hAnsi="Palatino Linotype" w:cs="Arial"/>
          <w:szCs w:val="22"/>
          <w:lang w:val="es-MX" w:eastAsia="en-US"/>
        </w:rPr>
        <w:t>la presente resolución al</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Titular</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 xml:space="preserve">de la Unidad de Transparencia del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w:t>
      </w:r>
    </w:p>
    <w:p w14:paraId="4AB607BA" w14:textId="77777777" w:rsidR="00D14F54" w:rsidRPr="002C72EC" w:rsidRDefault="00D14F54" w:rsidP="00D14F54">
      <w:pPr>
        <w:spacing w:line="360" w:lineRule="auto"/>
        <w:jc w:val="both"/>
        <w:rPr>
          <w:rFonts w:ascii="Palatino Linotype" w:eastAsiaTheme="minorHAnsi" w:hAnsi="Palatino Linotype" w:cs="Arial"/>
          <w:szCs w:val="22"/>
          <w:lang w:val="es-MX" w:eastAsia="en-US"/>
        </w:rPr>
      </w:pPr>
    </w:p>
    <w:p w14:paraId="44535531" w14:textId="77777777" w:rsidR="00DF154C" w:rsidRPr="002C72EC" w:rsidRDefault="00DF154C" w:rsidP="00DF154C">
      <w:pPr>
        <w:spacing w:line="360" w:lineRule="auto"/>
        <w:ind w:right="51"/>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lastRenderedPageBreak/>
        <w:t>TERCERO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a la parte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mediante el Sistema de Acceso a la Información Mexiquense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r w:rsidR="003A7B40">
        <w:rPr>
          <w:rFonts w:ascii="Palatino Linotype" w:eastAsiaTheme="minorHAnsi" w:hAnsi="Palatino Linotype" w:cs="Arial"/>
          <w:szCs w:val="22"/>
          <w:lang w:val="es-MX" w:eastAsia="en-US"/>
        </w:rPr>
        <w:t xml:space="preserve"> </w:t>
      </w:r>
    </w:p>
    <w:p w14:paraId="4BF824D9" w14:textId="77777777" w:rsidR="00D14F54" w:rsidRPr="002C72EC" w:rsidRDefault="00D14F54" w:rsidP="00DF154C">
      <w:pPr>
        <w:spacing w:line="360" w:lineRule="auto"/>
        <w:ind w:right="51"/>
        <w:jc w:val="both"/>
        <w:rPr>
          <w:rFonts w:ascii="Palatino Linotype" w:eastAsiaTheme="minorHAnsi" w:hAnsi="Palatino Linotype" w:cs="Arial"/>
          <w:szCs w:val="22"/>
          <w:lang w:val="es-MX" w:eastAsia="en-US"/>
        </w:rPr>
      </w:pPr>
    </w:p>
    <w:p w14:paraId="09AA6FD4" w14:textId="5CB86F7E" w:rsidR="00054E04" w:rsidRPr="002C72EC" w:rsidRDefault="0029071C" w:rsidP="00EE7775">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LO RESUELVE, POR </w:t>
      </w:r>
      <w:r w:rsidR="009B7E91" w:rsidRPr="006729FC">
        <w:rPr>
          <w:rFonts w:ascii="Palatino Linotype" w:eastAsiaTheme="minorHAnsi" w:hAnsi="Palatino Linotype" w:cs="Arial"/>
          <w:b/>
          <w:lang w:val="es-MX" w:eastAsia="en-US"/>
        </w:rPr>
        <w:t>UNANIMIDAD</w:t>
      </w:r>
      <w:r w:rsidRPr="006729FC">
        <w:rPr>
          <w:rFonts w:ascii="Palatino Linotype" w:eastAsiaTheme="minorHAnsi" w:hAnsi="Palatino Linotype" w:cs="Arial"/>
          <w:b/>
          <w:lang w:val="es-MX" w:eastAsia="en-US"/>
        </w:rPr>
        <w:t xml:space="preserve"> DE VOTOS</w:t>
      </w:r>
      <w:r w:rsidRPr="002C72EC">
        <w:rPr>
          <w:rFonts w:ascii="Palatino Linotype" w:eastAsiaTheme="minorHAnsi" w:hAnsi="Palatino Linotype" w:cs="Arial"/>
          <w:lang w:val="es-MX" w:eastAsia="en-US"/>
        </w:rPr>
        <w:t>, EL PLENO DEL</w:t>
      </w:r>
      <w:r w:rsidRPr="002C72E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C72E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 xml:space="preserve">LUIS GUSTAVO PARRA NORIEGA Y GUADALUPE RAMÍREZ PEÑA; </w:t>
      </w:r>
      <w:r w:rsidRPr="006729FC">
        <w:rPr>
          <w:rFonts w:ascii="Palatino Linotype" w:eastAsiaTheme="minorHAnsi" w:hAnsi="Palatino Linotype" w:cs="Arial"/>
          <w:b/>
          <w:lang w:val="es-MX" w:eastAsia="en-US"/>
        </w:rPr>
        <w:t xml:space="preserve">EN LA </w:t>
      </w:r>
      <w:r w:rsidR="000E5EF4">
        <w:rPr>
          <w:rFonts w:ascii="Palatino Linotype" w:hAnsi="Palatino Linotype" w:cs="Arial"/>
          <w:b/>
        </w:rPr>
        <w:t xml:space="preserve">OCTAVA </w:t>
      </w:r>
      <w:r w:rsidR="00663AF3" w:rsidRPr="006729FC">
        <w:rPr>
          <w:rFonts w:ascii="Palatino Linotype" w:hAnsi="Palatino Linotype" w:cs="Arial"/>
          <w:b/>
        </w:rPr>
        <w:t xml:space="preserve">SESIÓN ORDINARIA CELEBRADA EL </w:t>
      </w:r>
      <w:r w:rsidR="00C8769C">
        <w:rPr>
          <w:rFonts w:ascii="Palatino Linotype" w:hAnsi="Palatino Linotype" w:cs="Arial"/>
          <w:b/>
        </w:rPr>
        <w:t>SEIS</w:t>
      </w:r>
      <w:r w:rsidR="000E5EF4">
        <w:rPr>
          <w:rFonts w:ascii="Palatino Linotype" w:hAnsi="Palatino Linotype" w:cs="Arial"/>
          <w:b/>
        </w:rPr>
        <w:t xml:space="preserve"> DE MARZO DE DOS MIL VEINTICINCO</w:t>
      </w:r>
      <w:r w:rsidRPr="002C72EC">
        <w:rPr>
          <w:rFonts w:ascii="Palatino Linotype" w:eastAsiaTheme="minorHAnsi" w:hAnsi="Palatino Linotype" w:cs="Arial"/>
          <w:lang w:val="es-MX" w:eastAsia="en-US"/>
        </w:rPr>
        <w:t>, ANTE EL SECRETARIO TÉCNICO</w:t>
      </w:r>
      <w:r w:rsidR="00515B85">
        <w:rPr>
          <w:rFonts w:ascii="Palatino Linotype" w:eastAsiaTheme="minorHAnsi" w:hAnsi="Palatino Linotype" w:cs="Arial"/>
          <w:lang w:val="es-MX" w:eastAsia="en-US"/>
        </w:rPr>
        <w:t xml:space="preserve"> DEL PLENO</w:t>
      </w:r>
      <w:r w:rsidRPr="002C72EC">
        <w:rPr>
          <w:rFonts w:ascii="Palatino Linotype" w:eastAsiaTheme="minorHAnsi" w:hAnsi="Palatino Linotype" w:cs="Arial"/>
          <w:lang w:val="es-MX" w:eastAsia="en-US"/>
        </w:rPr>
        <w:t>, ALEXIS TAPIA RA</w:t>
      </w:r>
      <w:r w:rsidR="00054E04" w:rsidRPr="002C72EC">
        <w:rPr>
          <w:rFonts w:ascii="Palatino Linotype" w:eastAsiaTheme="minorHAnsi" w:hAnsi="Palatino Linotype" w:cs="Arial"/>
          <w:lang w:val="es-MX" w:eastAsia="en-US"/>
        </w:rPr>
        <w:t>MÍREZ.</w:t>
      </w:r>
      <w:r w:rsidR="005909E0" w:rsidRPr="002C72EC">
        <w:rPr>
          <w:rFonts w:ascii="Palatino Linotype" w:eastAsiaTheme="minorHAnsi" w:hAnsi="Palatino Linotype" w:cs="Arial"/>
          <w:lang w:val="es-MX" w:eastAsia="en-US"/>
        </w:rPr>
        <w:t>------------------------------</w:t>
      </w:r>
      <w:r w:rsidR="009B7E91" w:rsidRPr="002C72EC">
        <w:rPr>
          <w:rFonts w:ascii="Palatino Linotype" w:eastAsiaTheme="minorHAnsi" w:hAnsi="Palatino Linotype" w:cs="Arial"/>
          <w:lang w:val="es-MX" w:eastAsia="en-US"/>
        </w:rPr>
        <w:t>------</w:t>
      </w:r>
      <w:r w:rsidR="005E2904" w:rsidRPr="002C72EC">
        <w:rPr>
          <w:rFonts w:ascii="Palatino Linotype" w:eastAsiaTheme="minorHAnsi" w:hAnsi="Palatino Linotype" w:cs="Arial"/>
          <w:lang w:val="es-MX" w:eastAsia="en-US"/>
        </w:rPr>
        <w:t>-------</w:t>
      </w:r>
      <w:r w:rsidR="00FE49AC" w:rsidRPr="002C72EC">
        <w:rPr>
          <w:rFonts w:ascii="Palatino Linotype" w:eastAsiaTheme="minorHAnsi" w:hAnsi="Palatino Linotype" w:cs="Arial"/>
          <w:lang w:val="es-MX" w:eastAsia="en-US"/>
        </w:rPr>
        <w:t>-------------</w:t>
      </w:r>
      <w:r w:rsidR="00DB195E" w:rsidRPr="002C72EC">
        <w:rPr>
          <w:rFonts w:ascii="Palatino Linotype" w:eastAsiaTheme="minorHAnsi" w:hAnsi="Palatino Linotype" w:cs="Arial"/>
          <w:lang w:val="es-MX" w:eastAsia="en-US"/>
        </w:rPr>
        <w:t>-------------------------------------------</w:t>
      </w:r>
      <w:r w:rsidR="00D14F54" w:rsidRPr="002C72EC">
        <w:rPr>
          <w:rFonts w:ascii="Palatino Linotype" w:eastAsiaTheme="minorHAnsi" w:hAnsi="Palatino Linotype" w:cs="Arial"/>
          <w:lang w:val="es-MX" w:eastAsia="en-US"/>
        </w:rPr>
        <w:t>------------------------------------------------------------------------------------------------------------------------------------------------------------------------------------------------------------------------------------------------------------------------------------------------------------------------------------------------------------------------------------------------------------------------------------------------------------------------------------------------------------------------------------------------------------------------------------------------------------------------------------------------------------------------------------------------------------------------------------------------------------------------------------------------------------------------------</w:t>
      </w:r>
      <w:r w:rsidR="007B2EF3" w:rsidRPr="007B2EF3">
        <w:rPr>
          <w:rFonts w:ascii="Palatino Linotype" w:eastAsiaTheme="minorHAnsi" w:hAnsi="Palatino Linotype" w:cs="Arial"/>
          <w:lang w:val="es-MX" w:eastAsia="en-US"/>
        </w:rPr>
        <w:t xml:space="preserve"> </w:t>
      </w:r>
      <w:r w:rsidR="007B2EF3" w:rsidRPr="002C72EC">
        <w:rPr>
          <w:rFonts w:ascii="Palatino Linotype" w:eastAsiaTheme="minorHAnsi" w:hAnsi="Palatino Linotype" w:cs="Arial"/>
          <w:lang w:val="es-MX" w:eastAsia="en-US"/>
        </w:rPr>
        <w:t>------------------------------------------------------------------------------------------------------------------------------------------------------------------------------------------------------------------------------------</w:t>
      </w:r>
      <w:r w:rsidR="00C8769C" w:rsidRPr="002C72EC">
        <w:rPr>
          <w:rFonts w:ascii="Palatino Linotype" w:eastAsiaTheme="minorHAnsi" w:hAnsi="Palatino Linotype" w:cs="Arial"/>
          <w:lang w:val="es-MX" w:eastAsia="en-US"/>
        </w:rPr>
        <w:t xml:space="preserve"> </w:t>
      </w:r>
    </w:p>
    <w:p w14:paraId="6A90C711" w14:textId="77777777" w:rsidR="005909E0" w:rsidRPr="005909E0" w:rsidRDefault="006729FC" w:rsidP="00EE7775">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JMV/CCR/NJMB</w:t>
      </w:r>
    </w:p>
    <w:p w14:paraId="4F31DA13" w14:textId="77777777" w:rsidR="0029071C" w:rsidRDefault="0029071C" w:rsidP="003E56C9"/>
    <w:p w14:paraId="4687F141" w14:textId="77777777" w:rsidR="0029071C" w:rsidRDefault="0029071C" w:rsidP="003E56C9"/>
    <w:p w14:paraId="683F2919" w14:textId="77777777" w:rsidR="0029071C" w:rsidRDefault="0029071C" w:rsidP="003E56C9"/>
    <w:p w14:paraId="5A187FCB" w14:textId="77777777" w:rsidR="0029071C" w:rsidRDefault="0029071C" w:rsidP="003E56C9"/>
    <w:p w14:paraId="78EB752B" w14:textId="77777777" w:rsidR="0029071C" w:rsidRDefault="0029071C" w:rsidP="003E56C9"/>
    <w:p w14:paraId="7BFAFE6F" w14:textId="77777777" w:rsidR="0029071C" w:rsidRDefault="0029071C" w:rsidP="003E56C9"/>
    <w:p w14:paraId="66FFE66D" w14:textId="77777777" w:rsidR="0029071C" w:rsidRDefault="0029071C" w:rsidP="003E56C9"/>
    <w:p w14:paraId="0237D86A" w14:textId="77777777" w:rsidR="0029071C" w:rsidRDefault="0029071C" w:rsidP="003E56C9"/>
    <w:p w14:paraId="337614CE" w14:textId="77777777" w:rsidR="0029071C" w:rsidRDefault="0029071C" w:rsidP="003E56C9"/>
    <w:p w14:paraId="5408E274" w14:textId="77777777" w:rsidR="0029071C" w:rsidRDefault="0029071C" w:rsidP="003E56C9"/>
    <w:p w14:paraId="73E44EC9" w14:textId="77777777" w:rsidR="0029071C" w:rsidRDefault="0029071C" w:rsidP="003E56C9"/>
    <w:p w14:paraId="18AF5C46" w14:textId="77777777" w:rsidR="0029071C" w:rsidRDefault="0029071C" w:rsidP="003E56C9"/>
    <w:p w14:paraId="1A73A899" w14:textId="77777777" w:rsidR="0029071C" w:rsidRDefault="0029071C" w:rsidP="003E56C9"/>
    <w:p w14:paraId="6217ADC7" w14:textId="77777777" w:rsidR="0029071C" w:rsidRDefault="0029071C" w:rsidP="003E56C9"/>
    <w:p w14:paraId="41728DF9" w14:textId="77777777" w:rsidR="0029071C" w:rsidRDefault="0029071C" w:rsidP="003E56C9"/>
    <w:p w14:paraId="62BD6BC3" w14:textId="77777777" w:rsidR="0029071C" w:rsidRDefault="0029071C" w:rsidP="003E56C9"/>
    <w:p w14:paraId="17DBFDAC" w14:textId="77777777" w:rsidR="0029071C" w:rsidRDefault="0029071C" w:rsidP="003E56C9"/>
    <w:p w14:paraId="6D9F5D30" w14:textId="77777777" w:rsidR="0029071C" w:rsidRDefault="0029071C" w:rsidP="003E56C9"/>
    <w:p w14:paraId="15C6F300" w14:textId="77777777" w:rsidR="0029071C" w:rsidRDefault="0029071C" w:rsidP="003E56C9"/>
    <w:p w14:paraId="0C650485" w14:textId="77777777" w:rsidR="0029071C" w:rsidRDefault="0029071C" w:rsidP="003E56C9"/>
    <w:p w14:paraId="1A6B1AAA" w14:textId="77777777" w:rsidR="0029071C" w:rsidRDefault="0029071C" w:rsidP="003E56C9"/>
    <w:p w14:paraId="19EAB604" w14:textId="77777777" w:rsidR="0029071C" w:rsidRDefault="0029071C" w:rsidP="003E56C9"/>
    <w:p w14:paraId="5C556B27" w14:textId="77777777" w:rsidR="0029071C" w:rsidRDefault="0029071C" w:rsidP="003E56C9"/>
    <w:p w14:paraId="53FC9DBE" w14:textId="77777777" w:rsidR="0029071C" w:rsidRDefault="0029071C" w:rsidP="003E56C9"/>
    <w:p w14:paraId="1D3C756A" w14:textId="77777777" w:rsidR="0029071C" w:rsidRDefault="0029071C" w:rsidP="003E56C9"/>
    <w:p w14:paraId="337132DC" w14:textId="77777777" w:rsidR="0029071C" w:rsidRDefault="0029071C" w:rsidP="003E56C9"/>
    <w:p w14:paraId="18B8E31D" w14:textId="77777777" w:rsidR="0029071C" w:rsidRDefault="0029071C" w:rsidP="003E56C9"/>
    <w:p w14:paraId="07ED8410" w14:textId="77777777" w:rsidR="0029071C" w:rsidRDefault="0029071C" w:rsidP="003E56C9"/>
    <w:p w14:paraId="3DF019F4" w14:textId="77777777" w:rsidR="0029071C" w:rsidRDefault="0029071C" w:rsidP="003E56C9"/>
    <w:p w14:paraId="3F206BB3" w14:textId="77777777" w:rsidR="0029071C" w:rsidRDefault="0029071C" w:rsidP="003E56C9"/>
    <w:p w14:paraId="59D0857F" w14:textId="77777777" w:rsidR="0029071C" w:rsidRDefault="0029071C" w:rsidP="003E56C9"/>
    <w:p w14:paraId="2F9E4050" w14:textId="77777777" w:rsidR="0029071C" w:rsidRDefault="0029071C" w:rsidP="003E56C9"/>
    <w:p w14:paraId="65161B78" w14:textId="77777777" w:rsidR="0029071C" w:rsidRDefault="0029071C" w:rsidP="003E56C9"/>
    <w:p w14:paraId="1C28C5B4" w14:textId="77777777" w:rsidR="0029071C" w:rsidRDefault="0029071C" w:rsidP="003E56C9"/>
    <w:p w14:paraId="63354E93" w14:textId="77777777" w:rsidR="0029071C" w:rsidRPr="003E56C9" w:rsidRDefault="0029071C" w:rsidP="003E56C9"/>
    <w:sectPr w:rsidR="0029071C" w:rsidRPr="003E56C9" w:rsidSect="0043515A">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3D55E" w14:textId="77777777" w:rsidR="00202859" w:rsidRDefault="00202859" w:rsidP="000B5E25">
      <w:r>
        <w:separator/>
      </w:r>
    </w:p>
  </w:endnote>
  <w:endnote w:type="continuationSeparator" w:id="0">
    <w:p w14:paraId="5BD429F5" w14:textId="77777777" w:rsidR="00202859" w:rsidRDefault="0020285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52E5" w14:textId="77777777" w:rsidR="00545710" w:rsidRPr="000D3AD4" w:rsidRDefault="0054571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6600E">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6600E">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EB8C" w14:textId="77777777" w:rsidR="00545710" w:rsidRPr="000D3AD4" w:rsidRDefault="0054571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6600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6600E">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43CD" w14:textId="77777777" w:rsidR="00202859" w:rsidRDefault="00202859" w:rsidP="000B5E25">
      <w:r>
        <w:separator/>
      </w:r>
    </w:p>
  </w:footnote>
  <w:footnote w:type="continuationSeparator" w:id="0">
    <w:p w14:paraId="4B8BBE3A" w14:textId="77777777" w:rsidR="00202859" w:rsidRDefault="00202859" w:rsidP="000B5E25">
      <w:r>
        <w:continuationSeparator/>
      </w:r>
    </w:p>
  </w:footnote>
  <w:footnote w:id="1">
    <w:p w14:paraId="56A39B59" w14:textId="77777777" w:rsidR="00545710" w:rsidRPr="00911081" w:rsidRDefault="00545710" w:rsidP="004254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D8B7B0C" w14:textId="77777777" w:rsidR="00545710" w:rsidRPr="00911081" w:rsidRDefault="00545710" w:rsidP="004254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AFC73C5" w14:textId="77777777" w:rsidR="00545710" w:rsidRPr="006928BF" w:rsidRDefault="00545710" w:rsidP="00425466">
      <w:pPr>
        <w:pStyle w:val="Piedepgina"/>
        <w:jc w:val="both"/>
        <w:rPr>
          <w:rFonts w:ascii="Palatino Linotype" w:hAnsi="Palatino Linotype"/>
          <w:sz w:val="18"/>
        </w:rPr>
      </w:pPr>
      <w:r>
        <w:rPr>
          <w:rStyle w:val="Refdenotaalpie"/>
        </w:rPr>
        <w:footnoteRef/>
      </w:r>
      <w:r>
        <w:t xml:space="preserve"> </w:t>
      </w:r>
      <w:r>
        <w:rPr>
          <w:rFonts w:ascii="Palatino Linotype" w:hAnsi="Palatino Linotype"/>
          <w:b/>
          <w:sz w:val="18"/>
        </w:rPr>
        <w:t>La Legitimación P</w:t>
      </w:r>
      <w:r w:rsidRPr="006928BF">
        <w:rPr>
          <w:rFonts w:ascii="Palatino Linotype" w:hAnsi="Palatino Linotype"/>
          <w:b/>
          <w:sz w:val="18"/>
        </w:rPr>
        <w:t>rocesal</w:t>
      </w:r>
      <w:r w:rsidRPr="006928BF">
        <w:rPr>
          <w:rFonts w:ascii="Palatino Linotype" w:hAnsi="Palatino Linotype"/>
          <w:sz w:val="18"/>
        </w:rPr>
        <w:t xml:space="preserve">, es la facultad de poder actuar en el proceso </w:t>
      </w:r>
      <w:r w:rsidRPr="0075662E">
        <w:rPr>
          <w:rFonts w:ascii="Palatino Linotype" w:hAnsi="Palatino Linotype"/>
          <w:i/>
          <w:sz w:val="18"/>
        </w:rPr>
        <w:t>[sea como actor (activa), demandado o tercero (pasivas)]</w:t>
      </w:r>
      <w:r w:rsidRPr="006928BF">
        <w:rPr>
          <w:rFonts w:ascii="Palatino Linotype" w:hAnsi="Palatino Linotype"/>
          <w:sz w:val="18"/>
        </w:rPr>
        <w:t xml:space="preserve">; es la idoneidad de la persona para actuar en juicio, inferida de su posición en el procedimiento. </w:t>
      </w:r>
      <w:r w:rsidRPr="0075662E">
        <w:rPr>
          <w:rFonts w:ascii="Palatino Linotype" w:hAnsi="Palatino Linotype"/>
          <w:i/>
          <w:sz w:val="18"/>
        </w:rPr>
        <w:t>“La Legitimación Procesal”</w:t>
      </w:r>
      <w:r w:rsidRPr="006928BF">
        <w:rPr>
          <w:rFonts w:ascii="Palatino Linotype" w:hAnsi="Palatino Linotype"/>
          <w:sz w:val="18"/>
        </w:rPr>
        <w:t xml:space="preserve">, Biblioteca de Jurídica del Instituto de Investigaciones Jurídicas de la UNAM, consultable el 29/08/2017, en el siguiente enlace: </w:t>
      </w:r>
      <w:hyperlink r:id="rId3" w:history="1">
        <w:r w:rsidRPr="006928BF">
          <w:rPr>
            <w:rStyle w:val="Hipervnculo"/>
            <w:rFonts w:ascii="Palatino Linotype" w:hAnsi="Palatino Linotype"/>
            <w:sz w:val="18"/>
          </w:rPr>
          <w:t>https://archivos.juridicas.unam.mx/www/bjv/libros/7/3496/18.pdf</w:t>
        </w:r>
      </w:hyperlink>
      <w:r w:rsidRPr="006928BF">
        <w:rPr>
          <w:rFonts w:ascii="Palatino Linotype" w:hAnsi="Palatino Linotype"/>
          <w:sz w:val="18"/>
        </w:rPr>
        <w:t xml:space="preserve"> </w:t>
      </w:r>
    </w:p>
    <w:p w14:paraId="51F2226F" w14:textId="77777777" w:rsidR="00545710" w:rsidRPr="006928BF" w:rsidRDefault="00545710" w:rsidP="0042546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ED43" w14:textId="77777777" w:rsidR="00545710" w:rsidRDefault="0056600E">
    <w:pPr>
      <w:pStyle w:val="Encabezado"/>
    </w:pPr>
    <w:r>
      <w:rPr>
        <w:noProof/>
        <w:lang w:val="es-MX" w:eastAsia="es-MX"/>
      </w:rPr>
      <w:pict w14:anchorId="604EF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45710" w:rsidRPr="008F2CCC" w14:paraId="5D71853D" w14:textId="77777777" w:rsidTr="00BA27FC">
      <w:tc>
        <w:tcPr>
          <w:tcW w:w="2551" w:type="dxa"/>
          <w:shd w:val="clear" w:color="auto" w:fill="auto"/>
          <w:vAlign w:val="center"/>
        </w:tcPr>
        <w:p w14:paraId="70FBAEE6"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271A91E" w14:textId="77777777" w:rsidR="00545710" w:rsidRPr="0029071C" w:rsidRDefault="00545710"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00675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545710" w:rsidRPr="008F2CCC" w14:paraId="1116D7B5" w14:textId="77777777" w:rsidTr="00BA27FC">
      <w:trPr>
        <w:trHeight w:val="228"/>
      </w:trPr>
      <w:tc>
        <w:tcPr>
          <w:tcW w:w="2551" w:type="dxa"/>
          <w:shd w:val="clear" w:color="auto" w:fill="auto"/>
          <w:vAlign w:val="center"/>
        </w:tcPr>
        <w:p w14:paraId="67116ED8"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2D644B7" w14:textId="77777777" w:rsidR="00545710" w:rsidRPr="006729FC" w:rsidRDefault="00545710" w:rsidP="00A27D41">
          <w:pPr>
            <w:spacing w:line="276" w:lineRule="auto"/>
            <w:jc w:val="right"/>
            <w:rPr>
              <w:rFonts w:ascii="Palatino Linotype" w:hAnsi="Palatino Linotype"/>
              <w:sz w:val="22"/>
              <w:szCs w:val="22"/>
            </w:rPr>
          </w:pPr>
          <w:r w:rsidRPr="00110516">
            <w:rPr>
              <w:rFonts w:ascii="Palatino Linotype" w:hAnsi="Palatino Linotype"/>
              <w:b/>
              <w:bCs/>
              <w:color w:val="000000"/>
            </w:rPr>
            <w:t>Ayuntamiento de Metepec</w:t>
          </w:r>
        </w:p>
      </w:tc>
    </w:tr>
    <w:tr w:rsidR="00545710" w:rsidRPr="008F2CCC" w14:paraId="550D7186" w14:textId="77777777" w:rsidTr="00BA27FC">
      <w:tc>
        <w:tcPr>
          <w:tcW w:w="2551" w:type="dxa"/>
          <w:shd w:val="clear" w:color="auto" w:fill="auto"/>
          <w:vAlign w:val="center"/>
        </w:tcPr>
        <w:p w14:paraId="345DE936"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1C887C6" w14:textId="77777777" w:rsidR="00545710" w:rsidRPr="0029071C" w:rsidRDefault="0054571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FC8FD2A" w14:textId="77777777" w:rsidR="00545710" w:rsidRPr="001779E0" w:rsidRDefault="0056600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5162A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45710" w:rsidRPr="008F2CCC" w14:paraId="2EB12BA2" w14:textId="77777777" w:rsidTr="00BA27FC">
      <w:tc>
        <w:tcPr>
          <w:tcW w:w="2551" w:type="dxa"/>
          <w:shd w:val="clear" w:color="auto" w:fill="auto"/>
          <w:vAlign w:val="center"/>
        </w:tcPr>
        <w:p w14:paraId="0D8EAB67"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5523B14" w14:textId="77777777" w:rsidR="00545710" w:rsidRPr="0029071C" w:rsidRDefault="00545710" w:rsidP="0011051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00675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545710" w:rsidRPr="008F2CCC" w14:paraId="0CF2AF14" w14:textId="77777777" w:rsidTr="00BA27FC">
      <w:tc>
        <w:tcPr>
          <w:tcW w:w="2551" w:type="dxa"/>
          <w:shd w:val="clear" w:color="auto" w:fill="auto"/>
          <w:vAlign w:val="center"/>
        </w:tcPr>
        <w:p w14:paraId="5DE3B69F"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3E1EAA0" w14:textId="09CBA9B4" w:rsidR="00545710" w:rsidRPr="006D30E6" w:rsidRDefault="0056600E" w:rsidP="00CB725C">
          <w:pPr>
            <w:spacing w:line="276" w:lineRule="auto"/>
            <w:jc w:val="center"/>
            <w:rPr>
              <w:rFonts w:ascii="Palatino Linotype" w:hAnsi="Palatino Linotype"/>
              <w:sz w:val="22"/>
              <w:szCs w:val="22"/>
              <w:lang w:val="es-ES_tradnl"/>
            </w:rPr>
          </w:pPr>
          <w:r>
            <w:rPr>
              <w:rFonts w:ascii="Palatino Linotype" w:hAnsi="Palatino Linotype"/>
              <w:sz w:val="22"/>
              <w:szCs w:val="22"/>
              <w:lang w:val="es-ES_tradnl"/>
            </w:rPr>
            <w:t>XXXX</w:t>
          </w:r>
        </w:p>
      </w:tc>
    </w:tr>
    <w:tr w:rsidR="00545710" w:rsidRPr="008F2CCC" w14:paraId="0CF2C831" w14:textId="77777777" w:rsidTr="00BA27FC">
      <w:trPr>
        <w:trHeight w:val="228"/>
      </w:trPr>
      <w:tc>
        <w:tcPr>
          <w:tcW w:w="2551" w:type="dxa"/>
          <w:shd w:val="clear" w:color="auto" w:fill="auto"/>
          <w:vAlign w:val="center"/>
        </w:tcPr>
        <w:p w14:paraId="55335985"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DFE398E" w14:textId="77777777" w:rsidR="00545710" w:rsidRPr="00110516" w:rsidRDefault="00545710" w:rsidP="00A27D41">
          <w:pPr>
            <w:spacing w:line="276" w:lineRule="auto"/>
            <w:jc w:val="right"/>
            <w:rPr>
              <w:rFonts w:ascii="Palatino Linotype" w:hAnsi="Palatino Linotype"/>
            </w:rPr>
          </w:pPr>
          <w:r w:rsidRPr="00110516">
            <w:rPr>
              <w:rFonts w:ascii="Palatino Linotype" w:hAnsi="Palatino Linotype"/>
              <w:b/>
              <w:bCs/>
              <w:color w:val="000000"/>
            </w:rPr>
            <w:t>Ayuntamiento de Metepec</w:t>
          </w:r>
        </w:p>
      </w:tc>
    </w:tr>
    <w:tr w:rsidR="00545710" w:rsidRPr="008F2CCC" w14:paraId="33A40D34" w14:textId="77777777" w:rsidTr="00BA27FC">
      <w:tc>
        <w:tcPr>
          <w:tcW w:w="2551" w:type="dxa"/>
          <w:shd w:val="clear" w:color="auto" w:fill="auto"/>
          <w:vAlign w:val="center"/>
        </w:tcPr>
        <w:p w14:paraId="58F6BDD7"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CDDCA3C" w14:textId="77777777" w:rsidR="00545710" w:rsidRPr="0029071C" w:rsidRDefault="0054571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79B6094" w14:textId="77777777" w:rsidR="00545710" w:rsidRPr="009F1AB6" w:rsidRDefault="0056600E">
    <w:pPr>
      <w:pStyle w:val="Encabezado"/>
      <w:rPr>
        <w:sz w:val="10"/>
      </w:rPr>
    </w:pPr>
    <w:r>
      <w:rPr>
        <w:noProof/>
        <w:sz w:val="10"/>
        <w:lang w:val="es-MX" w:eastAsia="es-MX"/>
      </w:rPr>
      <w:pict w14:anchorId="506F3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7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visibility:visible;mso-wrap-style:square" o:bullet="t">
        <v:imagedata r:id="rId1" o:title=""/>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386D6BF5"/>
    <w:multiLevelType w:val="multilevel"/>
    <w:tmpl w:val="D5C8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174FA"/>
    <w:multiLevelType w:val="multilevel"/>
    <w:tmpl w:val="BBC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2"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AC4F24"/>
    <w:multiLevelType w:val="hybridMultilevel"/>
    <w:tmpl w:val="60CE1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5"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1"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34"/>
  </w:num>
  <w:num w:numId="3">
    <w:abstractNumId w:val="12"/>
  </w:num>
  <w:num w:numId="4">
    <w:abstractNumId w:val="8"/>
  </w:num>
  <w:num w:numId="5">
    <w:abstractNumId w:val="27"/>
  </w:num>
  <w:num w:numId="6">
    <w:abstractNumId w:val="1"/>
  </w:num>
  <w:num w:numId="7">
    <w:abstractNumId w:val="6"/>
  </w:num>
  <w:num w:numId="8">
    <w:abstractNumId w:val="30"/>
  </w:num>
  <w:num w:numId="9">
    <w:abstractNumId w:val="19"/>
  </w:num>
  <w:num w:numId="10">
    <w:abstractNumId w:val="2"/>
  </w:num>
  <w:num w:numId="11">
    <w:abstractNumId w:val="35"/>
  </w:num>
  <w:num w:numId="12">
    <w:abstractNumId w:val="40"/>
  </w:num>
  <w:num w:numId="13">
    <w:abstractNumId w:val="21"/>
  </w:num>
  <w:num w:numId="14">
    <w:abstractNumId w:val="41"/>
  </w:num>
  <w:num w:numId="15">
    <w:abstractNumId w:val="18"/>
  </w:num>
  <w:num w:numId="16">
    <w:abstractNumId w:val="10"/>
  </w:num>
  <w:num w:numId="17">
    <w:abstractNumId w:val="39"/>
  </w:num>
  <w:num w:numId="18">
    <w:abstractNumId w:val="13"/>
  </w:num>
  <w:num w:numId="19">
    <w:abstractNumId w:val="11"/>
  </w:num>
  <w:num w:numId="20">
    <w:abstractNumId w:val="3"/>
  </w:num>
  <w:num w:numId="21">
    <w:abstractNumId w:val="25"/>
  </w:num>
  <w:num w:numId="22">
    <w:abstractNumId w:val="16"/>
  </w:num>
  <w:num w:numId="23">
    <w:abstractNumId w:val="17"/>
  </w:num>
  <w:num w:numId="24">
    <w:abstractNumId w:val="7"/>
  </w:num>
  <w:num w:numId="25">
    <w:abstractNumId w:val="37"/>
  </w:num>
  <w:num w:numId="26">
    <w:abstractNumId w:val="24"/>
  </w:num>
  <w:num w:numId="27">
    <w:abstractNumId w:val="28"/>
  </w:num>
  <w:num w:numId="28">
    <w:abstractNumId w:val="32"/>
  </w:num>
  <w:num w:numId="29">
    <w:abstractNumId w:val="22"/>
  </w:num>
  <w:num w:numId="30">
    <w:abstractNumId w:val="31"/>
  </w:num>
  <w:num w:numId="31">
    <w:abstractNumId w:val="26"/>
  </w:num>
  <w:num w:numId="32">
    <w:abstractNumId w:val="29"/>
  </w:num>
  <w:num w:numId="33">
    <w:abstractNumId w:val="38"/>
  </w:num>
  <w:num w:numId="34">
    <w:abstractNumId w:val="9"/>
  </w:num>
  <w:num w:numId="35">
    <w:abstractNumId w:val="4"/>
  </w:num>
  <w:num w:numId="36">
    <w:abstractNumId w:val="33"/>
  </w:num>
  <w:num w:numId="37">
    <w:abstractNumId w:val="0"/>
  </w:num>
  <w:num w:numId="38">
    <w:abstractNumId w:val="5"/>
  </w:num>
  <w:num w:numId="39">
    <w:abstractNumId w:val="20"/>
  </w:num>
  <w:num w:numId="40">
    <w:abstractNumId w:val="15"/>
  </w:num>
  <w:num w:numId="41">
    <w:abstractNumId w:val="23"/>
  </w:num>
  <w:num w:numId="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0E4B"/>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E5EF4"/>
    <w:rsid w:val="000F16BA"/>
    <w:rsid w:val="000F3D38"/>
    <w:rsid w:val="000F48D5"/>
    <w:rsid w:val="00101AD8"/>
    <w:rsid w:val="00102570"/>
    <w:rsid w:val="0010712B"/>
    <w:rsid w:val="00110516"/>
    <w:rsid w:val="00123996"/>
    <w:rsid w:val="0012510D"/>
    <w:rsid w:val="00126CCD"/>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249A"/>
    <w:rsid w:val="00202859"/>
    <w:rsid w:val="00202C04"/>
    <w:rsid w:val="002079BF"/>
    <w:rsid w:val="002107D3"/>
    <w:rsid w:val="002163FB"/>
    <w:rsid w:val="002167BB"/>
    <w:rsid w:val="00216980"/>
    <w:rsid w:val="00217E6C"/>
    <w:rsid w:val="00225163"/>
    <w:rsid w:val="00232E24"/>
    <w:rsid w:val="00235936"/>
    <w:rsid w:val="00236CBA"/>
    <w:rsid w:val="002407D1"/>
    <w:rsid w:val="00240BB0"/>
    <w:rsid w:val="0024323F"/>
    <w:rsid w:val="00247138"/>
    <w:rsid w:val="00253D9C"/>
    <w:rsid w:val="00255F1A"/>
    <w:rsid w:val="00260C3A"/>
    <w:rsid w:val="00261BC7"/>
    <w:rsid w:val="00267458"/>
    <w:rsid w:val="00267BB5"/>
    <w:rsid w:val="002705F7"/>
    <w:rsid w:val="002777D8"/>
    <w:rsid w:val="0029071C"/>
    <w:rsid w:val="0029219E"/>
    <w:rsid w:val="002934B4"/>
    <w:rsid w:val="00295B3F"/>
    <w:rsid w:val="002A040B"/>
    <w:rsid w:val="002A0AF4"/>
    <w:rsid w:val="002A4B43"/>
    <w:rsid w:val="002A676F"/>
    <w:rsid w:val="002B48AD"/>
    <w:rsid w:val="002C0448"/>
    <w:rsid w:val="002C0BE5"/>
    <w:rsid w:val="002C240F"/>
    <w:rsid w:val="002C49A8"/>
    <w:rsid w:val="002C72EC"/>
    <w:rsid w:val="002D17B8"/>
    <w:rsid w:val="002D32D2"/>
    <w:rsid w:val="002D61F7"/>
    <w:rsid w:val="002D6656"/>
    <w:rsid w:val="002D6E4B"/>
    <w:rsid w:val="002E00B6"/>
    <w:rsid w:val="002E2D87"/>
    <w:rsid w:val="002E3085"/>
    <w:rsid w:val="002F3B20"/>
    <w:rsid w:val="00300009"/>
    <w:rsid w:val="003009C8"/>
    <w:rsid w:val="00307006"/>
    <w:rsid w:val="0030701F"/>
    <w:rsid w:val="003074D0"/>
    <w:rsid w:val="0031472B"/>
    <w:rsid w:val="00320F38"/>
    <w:rsid w:val="00330FC3"/>
    <w:rsid w:val="0033140D"/>
    <w:rsid w:val="00331F0D"/>
    <w:rsid w:val="00334A4E"/>
    <w:rsid w:val="00335E26"/>
    <w:rsid w:val="003408DD"/>
    <w:rsid w:val="00340A06"/>
    <w:rsid w:val="00342995"/>
    <w:rsid w:val="00343F0B"/>
    <w:rsid w:val="00351A7F"/>
    <w:rsid w:val="003520C5"/>
    <w:rsid w:val="0035559A"/>
    <w:rsid w:val="00357262"/>
    <w:rsid w:val="00370E26"/>
    <w:rsid w:val="00371835"/>
    <w:rsid w:val="0037315D"/>
    <w:rsid w:val="00373960"/>
    <w:rsid w:val="003746DE"/>
    <w:rsid w:val="00374FE7"/>
    <w:rsid w:val="003804E8"/>
    <w:rsid w:val="00380D3E"/>
    <w:rsid w:val="00384888"/>
    <w:rsid w:val="00386D38"/>
    <w:rsid w:val="00396DB6"/>
    <w:rsid w:val="00397B41"/>
    <w:rsid w:val="003A4C68"/>
    <w:rsid w:val="003A7B40"/>
    <w:rsid w:val="003B0FAC"/>
    <w:rsid w:val="003B1C85"/>
    <w:rsid w:val="003B70B0"/>
    <w:rsid w:val="003C6409"/>
    <w:rsid w:val="003C6E66"/>
    <w:rsid w:val="003D4CD5"/>
    <w:rsid w:val="003E21A7"/>
    <w:rsid w:val="003E56C9"/>
    <w:rsid w:val="003F424E"/>
    <w:rsid w:val="003F71DA"/>
    <w:rsid w:val="004018F9"/>
    <w:rsid w:val="004218B2"/>
    <w:rsid w:val="00425466"/>
    <w:rsid w:val="00425E0F"/>
    <w:rsid w:val="004344EA"/>
    <w:rsid w:val="0043507D"/>
    <w:rsid w:val="0043515A"/>
    <w:rsid w:val="004375AE"/>
    <w:rsid w:val="004403F7"/>
    <w:rsid w:val="00442FD8"/>
    <w:rsid w:val="00443892"/>
    <w:rsid w:val="00444029"/>
    <w:rsid w:val="004445A1"/>
    <w:rsid w:val="00445CAA"/>
    <w:rsid w:val="004532A6"/>
    <w:rsid w:val="004577A4"/>
    <w:rsid w:val="00464839"/>
    <w:rsid w:val="00464E34"/>
    <w:rsid w:val="004672ED"/>
    <w:rsid w:val="00490422"/>
    <w:rsid w:val="004A2702"/>
    <w:rsid w:val="004A6291"/>
    <w:rsid w:val="004A7F7D"/>
    <w:rsid w:val="004B1693"/>
    <w:rsid w:val="004B1A5F"/>
    <w:rsid w:val="004B2314"/>
    <w:rsid w:val="004B2516"/>
    <w:rsid w:val="004D18B6"/>
    <w:rsid w:val="004D5D2F"/>
    <w:rsid w:val="004D6F71"/>
    <w:rsid w:val="004E0597"/>
    <w:rsid w:val="004E5628"/>
    <w:rsid w:val="004F48CE"/>
    <w:rsid w:val="00500ACC"/>
    <w:rsid w:val="0050130E"/>
    <w:rsid w:val="0050243E"/>
    <w:rsid w:val="00505D22"/>
    <w:rsid w:val="00512223"/>
    <w:rsid w:val="00514370"/>
    <w:rsid w:val="00515B85"/>
    <w:rsid w:val="00521559"/>
    <w:rsid w:val="00524043"/>
    <w:rsid w:val="00524A8D"/>
    <w:rsid w:val="0054391A"/>
    <w:rsid w:val="00543D98"/>
    <w:rsid w:val="00545710"/>
    <w:rsid w:val="005555BA"/>
    <w:rsid w:val="00555C87"/>
    <w:rsid w:val="005617B4"/>
    <w:rsid w:val="00563B39"/>
    <w:rsid w:val="0056600E"/>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1852"/>
    <w:rsid w:val="00643B58"/>
    <w:rsid w:val="00660AF2"/>
    <w:rsid w:val="00663AF3"/>
    <w:rsid w:val="00665089"/>
    <w:rsid w:val="006729C7"/>
    <w:rsid w:val="006729FC"/>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21D"/>
    <w:rsid w:val="00713FC9"/>
    <w:rsid w:val="00716632"/>
    <w:rsid w:val="00717A0C"/>
    <w:rsid w:val="00723B5A"/>
    <w:rsid w:val="00724E6E"/>
    <w:rsid w:val="0072658E"/>
    <w:rsid w:val="00732345"/>
    <w:rsid w:val="0074342A"/>
    <w:rsid w:val="0074517D"/>
    <w:rsid w:val="007528A6"/>
    <w:rsid w:val="007532C7"/>
    <w:rsid w:val="00756F04"/>
    <w:rsid w:val="00757D60"/>
    <w:rsid w:val="00770F18"/>
    <w:rsid w:val="007764BB"/>
    <w:rsid w:val="007828DC"/>
    <w:rsid w:val="00791611"/>
    <w:rsid w:val="007A118C"/>
    <w:rsid w:val="007A25DA"/>
    <w:rsid w:val="007A37FE"/>
    <w:rsid w:val="007B1893"/>
    <w:rsid w:val="007B2EF3"/>
    <w:rsid w:val="007C1D5B"/>
    <w:rsid w:val="007C3435"/>
    <w:rsid w:val="007C35A4"/>
    <w:rsid w:val="007C3E46"/>
    <w:rsid w:val="007D06B1"/>
    <w:rsid w:val="007D1172"/>
    <w:rsid w:val="007D2A81"/>
    <w:rsid w:val="007D6846"/>
    <w:rsid w:val="007E1695"/>
    <w:rsid w:val="007E3AEF"/>
    <w:rsid w:val="007E52D5"/>
    <w:rsid w:val="007E534B"/>
    <w:rsid w:val="007E7C02"/>
    <w:rsid w:val="007F720F"/>
    <w:rsid w:val="007F7462"/>
    <w:rsid w:val="00800A80"/>
    <w:rsid w:val="00802ABB"/>
    <w:rsid w:val="00811E06"/>
    <w:rsid w:val="008150CA"/>
    <w:rsid w:val="00821C4B"/>
    <w:rsid w:val="00835035"/>
    <w:rsid w:val="008500D3"/>
    <w:rsid w:val="00852668"/>
    <w:rsid w:val="00855F8D"/>
    <w:rsid w:val="008578BF"/>
    <w:rsid w:val="008660D6"/>
    <w:rsid w:val="00872C8F"/>
    <w:rsid w:val="00891016"/>
    <w:rsid w:val="00891C59"/>
    <w:rsid w:val="00896D29"/>
    <w:rsid w:val="00897751"/>
    <w:rsid w:val="008A07D3"/>
    <w:rsid w:val="008A12CF"/>
    <w:rsid w:val="008A1A90"/>
    <w:rsid w:val="008A446B"/>
    <w:rsid w:val="008A64CB"/>
    <w:rsid w:val="008B082B"/>
    <w:rsid w:val="008B0C14"/>
    <w:rsid w:val="008B6546"/>
    <w:rsid w:val="008C2536"/>
    <w:rsid w:val="008C3B24"/>
    <w:rsid w:val="008E01E4"/>
    <w:rsid w:val="008E7F32"/>
    <w:rsid w:val="008F148C"/>
    <w:rsid w:val="008F1B63"/>
    <w:rsid w:val="008F40F8"/>
    <w:rsid w:val="008F5DAE"/>
    <w:rsid w:val="00900615"/>
    <w:rsid w:val="00900C9B"/>
    <w:rsid w:val="0090126C"/>
    <w:rsid w:val="00901487"/>
    <w:rsid w:val="00921551"/>
    <w:rsid w:val="009217E8"/>
    <w:rsid w:val="0092579A"/>
    <w:rsid w:val="00925B0B"/>
    <w:rsid w:val="00926C44"/>
    <w:rsid w:val="0093645B"/>
    <w:rsid w:val="0094195D"/>
    <w:rsid w:val="0094381A"/>
    <w:rsid w:val="0094674B"/>
    <w:rsid w:val="0094684C"/>
    <w:rsid w:val="009526B5"/>
    <w:rsid w:val="009602BA"/>
    <w:rsid w:val="00961002"/>
    <w:rsid w:val="009758CB"/>
    <w:rsid w:val="00977059"/>
    <w:rsid w:val="00980909"/>
    <w:rsid w:val="00993406"/>
    <w:rsid w:val="00994862"/>
    <w:rsid w:val="009A0F77"/>
    <w:rsid w:val="009A3349"/>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27D41"/>
    <w:rsid w:val="00A3490B"/>
    <w:rsid w:val="00A432F5"/>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540B"/>
    <w:rsid w:val="00AA7378"/>
    <w:rsid w:val="00AB15E3"/>
    <w:rsid w:val="00AB4982"/>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1867"/>
    <w:rsid w:val="00BD677A"/>
    <w:rsid w:val="00BD74AF"/>
    <w:rsid w:val="00BE233B"/>
    <w:rsid w:val="00BE35A1"/>
    <w:rsid w:val="00BE369E"/>
    <w:rsid w:val="00BE5284"/>
    <w:rsid w:val="00BE7A6E"/>
    <w:rsid w:val="00BF6E0F"/>
    <w:rsid w:val="00BF7961"/>
    <w:rsid w:val="00C0414E"/>
    <w:rsid w:val="00C04B7A"/>
    <w:rsid w:val="00C058C8"/>
    <w:rsid w:val="00C127FA"/>
    <w:rsid w:val="00C17A86"/>
    <w:rsid w:val="00C20F80"/>
    <w:rsid w:val="00C249A6"/>
    <w:rsid w:val="00C25DF2"/>
    <w:rsid w:val="00C40502"/>
    <w:rsid w:val="00C4326C"/>
    <w:rsid w:val="00C45025"/>
    <w:rsid w:val="00C51663"/>
    <w:rsid w:val="00C52084"/>
    <w:rsid w:val="00C56DD5"/>
    <w:rsid w:val="00C60A8D"/>
    <w:rsid w:val="00C631A4"/>
    <w:rsid w:val="00C63F7B"/>
    <w:rsid w:val="00C753C2"/>
    <w:rsid w:val="00C802FB"/>
    <w:rsid w:val="00C84524"/>
    <w:rsid w:val="00C85653"/>
    <w:rsid w:val="00C8769C"/>
    <w:rsid w:val="00CA216C"/>
    <w:rsid w:val="00CA4BF9"/>
    <w:rsid w:val="00CB725C"/>
    <w:rsid w:val="00CC0700"/>
    <w:rsid w:val="00CD024D"/>
    <w:rsid w:val="00CD3A41"/>
    <w:rsid w:val="00CD431E"/>
    <w:rsid w:val="00CE0469"/>
    <w:rsid w:val="00CE1C82"/>
    <w:rsid w:val="00CE51D0"/>
    <w:rsid w:val="00CF1704"/>
    <w:rsid w:val="00CF1DF5"/>
    <w:rsid w:val="00CF7FBE"/>
    <w:rsid w:val="00D01A63"/>
    <w:rsid w:val="00D0621B"/>
    <w:rsid w:val="00D07E9E"/>
    <w:rsid w:val="00D12C36"/>
    <w:rsid w:val="00D14F54"/>
    <w:rsid w:val="00D21577"/>
    <w:rsid w:val="00D21ECE"/>
    <w:rsid w:val="00D27727"/>
    <w:rsid w:val="00D3421C"/>
    <w:rsid w:val="00D40F51"/>
    <w:rsid w:val="00D4431A"/>
    <w:rsid w:val="00D45F61"/>
    <w:rsid w:val="00D46962"/>
    <w:rsid w:val="00D47741"/>
    <w:rsid w:val="00D5195B"/>
    <w:rsid w:val="00D53327"/>
    <w:rsid w:val="00D553D4"/>
    <w:rsid w:val="00D57210"/>
    <w:rsid w:val="00D57AED"/>
    <w:rsid w:val="00D57F74"/>
    <w:rsid w:val="00D6211C"/>
    <w:rsid w:val="00D81A9D"/>
    <w:rsid w:val="00D901D7"/>
    <w:rsid w:val="00D92BFE"/>
    <w:rsid w:val="00D96D23"/>
    <w:rsid w:val="00DA14E0"/>
    <w:rsid w:val="00DA579F"/>
    <w:rsid w:val="00DB195E"/>
    <w:rsid w:val="00DB7856"/>
    <w:rsid w:val="00DC1583"/>
    <w:rsid w:val="00DC2B31"/>
    <w:rsid w:val="00DD1866"/>
    <w:rsid w:val="00DD2DA4"/>
    <w:rsid w:val="00DD5A69"/>
    <w:rsid w:val="00DE0A8D"/>
    <w:rsid w:val="00DE562A"/>
    <w:rsid w:val="00DE6A39"/>
    <w:rsid w:val="00DE7148"/>
    <w:rsid w:val="00DF154C"/>
    <w:rsid w:val="00DF2D22"/>
    <w:rsid w:val="00DF62A4"/>
    <w:rsid w:val="00DF6E8C"/>
    <w:rsid w:val="00E00D15"/>
    <w:rsid w:val="00E11B18"/>
    <w:rsid w:val="00E1379C"/>
    <w:rsid w:val="00E15790"/>
    <w:rsid w:val="00E17110"/>
    <w:rsid w:val="00E34413"/>
    <w:rsid w:val="00E40828"/>
    <w:rsid w:val="00E42B2B"/>
    <w:rsid w:val="00E42B51"/>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5E7E"/>
    <w:rsid w:val="00E9680B"/>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EF38F9"/>
    <w:rsid w:val="00F23D6E"/>
    <w:rsid w:val="00F241AD"/>
    <w:rsid w:val="00F2438B"/>
    <w:rsid w:val="00F30C33"/>
    <w:rsid w:val="00F32EBF"/>
    <w:rsid w:val="00F34A32"/>
    <w:rsid w:val="00F44E85"/>
    <w:rsid w:val="00F455F1"/>
    <w:rsid w:val="00F50F2C"/>
    <w:rsid w:val="00F570D3"/>
    <w:rsid w:val="00F62221"/>
    <w:rsid w:val="00F712EE"/>
    <w:rsid w:val="00F73BB1"/>
    <w:rsid w:val="00F8513C"/>
    <w:rsid w:val="00F97C38"/>
    <w:rsid w:val="00FA7ED5"/>
    <w:rsid w:val="00FB1441"/>
    <w:rsid w:val="00FB72DD"/>
    <w:rsid w:val="00FC0DAE"/>
    <w:rsid w:val="00FC1FC5"/>
    <w:rsid w:val="00FC6F08"/>
    <w:rsid w:val="00FC70EC"/>
    <w:rsid w:val="00FC7CC7"/>
    <w:rsid w:val="00FE28B0"/>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4A0E2"/>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975039">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7/3496/18.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6C85-13DC-4DC5-813F-26F0E3A0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2467</Words>
  <Characters>13572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cp:revision>
  <dcterms:created xsi:type="dcterms:W3CDTF">2025-03-07T15:16:00Z</dcterms:created>
  <dcterms:modified xsi:type="dcterms:W3CDTF">2025-03-26T19:48:00Z</dcterms:modified>
</cp:coreProperties>
</file>