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1525754228"/>
        <w:docPartObj>
          <w:docPartGallery w:val="Table of Contents"/>
          <w:docPartUnique/>
        </w:docPartObj>
      </w:sdtPr>
      <w:sdtEndPr>
        <w:rPr>
          <w:b/>
          <w:bCs/>
        </w:rPr>
      </w:sdtEndPr>
      <w:sdtContent>
        <w:p w:rsidR="00585345" w:rsidRPr="00736D29" w:rsidRDefault="00585345" w:rsidP="00736D29">
          <w:pPr>
            <w:pStyle w:val="TtulodeTDC"/>
            <w:rPr>
              <w:color w:val="auto"/>
            </w:rPr>
          </w:pPr>
          <w:r w:rsidRPr="00736D29">
            <w:rPr>
              <w:color w:val="auto"/>
              <w:lang w:val="es-ES"/>
            </w:rPr>
            <w:t>Contenido</w:t>
          </w:r>
        </w:p>
        <w:p w:rsidR="00736D29" w:rsidRPr="00736D29" w:rsidRDefault="00585345" w:rsidP="00736D29">
          <w:pPr>
            <w:pStyle w:val="TDC1"/>
            <w:tabs>
              <w:tab w:val="right" w:leader="dot" w:pos="9034"/>
            </w:tabs>
            <w:rPr>
              <w:rFonts w:asciiTheme="minorHAnsi" w:eastAsiaTheme="minorEastAsia" w:hAnsiTheme="minorHAnsi" w:cstheme="minorBidi"/>
              <w:noProof/>
              <w:szCs w:val="22"/>
              <w:lang w:eastAsia="es-MX"/>
            </w:rPr>
          </w:pPr>
          <w:r w:rsidRPr="00736D29">
            <w:rPr>
              <w:b/>
              <w:bCs/>
              <w:lang w:val="es-ES"/>
            </w:rPr>
            <w:fldChar w:fldCharType="begin"/>
          </w:r>
          <w:r w:rsidRPr="00736D29">
            <w:rPr>
              <w:b/>
              <w:bCs/>
              <w:lang w:val="es-ES"/>
            </w:rPr>
            <w:instrText xml:space="preserve"> TOC \o "1-3" \h \z \u </w:instrText>
          </w:r>
          <w:r w:rsidRPr="00736D29">
            <w:rPr>
              <w:b/>
              <w:bCs/>
              <w:lang w:val="es-ES"/>
            </w:rPr>
            <w:fldChar w:fldCharType="separate"/>
          </w:r>
          <w:hyperlink w:anchor="_Toc199350134" w:history="1">
            <w:r w:rsidR="00736D29" w:rsidRPr="00736D29">
              <w:rPr>
                <w:rStyle w:val="Hipervnculo"/>
                <w:rFonts w:eastAsiaTheme="majorEastAsia"/>
                <w:noProof/>
                <w:color w:val="auto"/>
              </w:rPr>
              <w:t>ANTECEDENTES</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_Toc199350134 \h </w:instrText>
            </w:r>
            <w:r w:rsidR="00736D29" w:rsidRPr="00736D29">
              <w:rPr>
                <w:noProof/>
                <w:webHidden/>
              </w:rPr>
            </w:r>
            <w:r w:rsidR="00736D29" w:rsidRPr="00736D29">
              <w:rPr>
                <w:noProof/>
                <w:webHidden/>
              </w:rPr>
              <w:fldChar w:fldCharType="separate"/>
            </w:r>
            <w:r w:rsidR="00D5510A">
              <w:rPr>
                <w:noProof/>
                <w:webHidden/>
              </w:rPr>
              <w:t>3</w:t>
            </w:r>
            <w:r w:rsidR="00736D29" w:rsidRPr="00736D29">
              <w:rPr>
                <w:noProof/>
                <w:webHidden/>
              </w:rPr>
              <w:fldChar w:fldCharType="end"/>
            </w:r>
          </w:hyperlink>
        </w:p>
        <w:p w:rsidR="00736D29" w:rsidRPr="00736D29" w:rsidRDefault="00D5510A" w:rsidP="00736D29">
          <w:pPr>
            <w:pStyle w:val="TDC2"/>
            <w:rPr>
              <w:rFonts w:asciiTheme="minorHAnsi" w:eastAsiaTheme="minorEastAsia" w:hAnsiTheme="minorHAnsi" w:cstheme="minorBidi"/>
              <w:noProof/>
              <w:szCs w:val="22"/>
              <w:lang w:eastAsia="es-MX"/>
            </w:rPr>
          </w:pPr>
          <w:hyperlink w:anchor="_Toc199350135" w:history="1">
            <w:r w:rsidR="00736D29" w:rsidRPr="00736D29">
              <w:rPr>
                <w:rStyle w:val="Hipervnculo"/>
                <w:rFonts w:eastAsiaTheme="majorEastAsia"/>
                <w:noProof/>
                <w:color w:val="auto"/>
              </w:rPr>
              <w:t>DE LA SOLICITUD DE INFORMACIÓN</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_Toc199350135 \h </w:instrText>
            </w:r>
            <w:r w:rsidR="00736D29" w:rsidRPr="00736D29">
              <w:rPr>
                <w:noProof/>
                <w:webHidden/>
              </w:rPr>
            </w:r>
            <w:r w:rsidR="00736D29" w:rsidRPr="00736D29">
              <w:rPr>
                <w:noProof/>
                <w:webHidden/>
              </w:rPr>
              <w:fldChar w:fldCharType="separate"/>
            </w:r>
            <w:r>
              <w:rPr>
                <w:noProof/>
                <w:webHidden/>
              </w:rPr>
              <w:t>3</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36" w:history="1">
            <w:r w:rsidR="00736D29" w:rsidRPr="00736D29">
              <w:rPr>
                <w:rStyle w:val="Hipervnculo"/>
                <w:rFonts w:eastAsiaTheme="majorEastAsia"/>
                <w:noProof/>
                <w:color w:val="auto"/>
              </w:rPr>
              <w:t>a) Solicitud de información</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_Toc199350136 \h </w:instrText>
            </w:r>
            <w:r w:rsidR="00736D29" w:rsidRPr="00736D29">
              <w:rPr>
                <w:noProof/>
                <w:webHidden/>
              </w:rPr>
            </w:r>
            <w:r w:rsidR="00736D29" w:rsidRPr="00736D29">
              <w:rPr>
                <w:noProof/>
                <w:webHidden/>
              </w:rPr>
              <w:fldChar w:fldCharType="separate"/>
            </w:r>
            <w:r>
              <w:rPr>
                <w:noProof/>
                <w:webHidden/>
              </w:rPr>
              <w:t>3</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37" w:history="1">
            <w:r w:rsidR="00736D29" w:rsidRPr="00736D29">
              <w:rPr>
                <w:rStyle w:val="Hipervnculo"/>
                <w:rFonts w:eastAsiaTheme="majorEastAsia"/>
                <w:noProof/>
                <w:color w:val="auto"/>
              </w:rPr>
              <w:t>b) Turno de la solicitud de información</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_Toc199350137 \h </w:instrText>
            </w:r>
            <w:r w:rsidR="00736D29" w:rsidRPr="00736D29">
              <w:rPr>
                <w:noProof/>
                <w:webHidden/>
              </w:rPr>
            </w:r>
            <w:r w:rsidR="00736D29" w:rsidRPr="00736D29">
              <w:rPr>
                <w:noProof/>
                <w:webHidden/>
              </w:rPr>
              <w:fldChar w:fldCharType="separate"/>
            </w:r>
            <w:r>
              <w:rPr>
                <w:noProof/>
                <w:webHidden/>
              </w:rPr>
              <w:t>4</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38" w:history="1">
            <w:r w:rsidR="00736D29" w:rsidRPr="00736D29">
              <w:rPr>
                <w:rStyle w:val="Hipervnculo"/>
                <w:rFonts w:eastAsiaTheme="majorEastAsia"/>
                <w:noProof/>
                <w:color w:val="auto"/>
              </w:rPr>
              <w:t>c) Respuesta del Sujeto Obligado</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_Toc199350138 \h </w:instrText>
            </w:r>
            <w:r w:rsidR="00736D29" w:rsidRPr="00736D29">
              <w:rPr>
                <w:noProof/>
                <w:webHidden/>
              </w:rPr>
            </w:r>
            <w:r w:rsidR="00736D29" w:rsidRPr="00736D29">
              <w:rPr>
                <w:noProof/>
                <w:webHidden/>
              </w:rPr>
              <w:fldChar w:fldCharType="separate"/>
            </w:r>
            <w:r>
              <w:rPr>
                <w:noProof/>
                <w:webHidden/>
              </w:rPr>
              <w:t>4</w:t>
            </w:r>
            <w:r w:rsidR="00736D29" w:rsidRPr="00736D29">
              <w:rPr>
                <w:noProof/>
                <w:webHidden/>
              </w:rPr>
              <w:fldChar w:fldCharType="end"/>
            </w:r>
          </w:hyperlink>
        </w:p>
        <w:p w:rsidR="00736D29" w:rsidRPr="00736D29" w:rsidRDefault="00D5510A" w:rsidP="00736D29">
          <w:pPr>
            <w:pStyle w:val="TDC2"/>
            <w:rPr>
              <w:rFonts w:asciiTheme="minorHAnsi" w:eastAsiaTheme="minorEastAsia" w:hAnsiTheme="minorHAnsi" w:cstheme="minorBidi"/>
              <w:noProof/>
              <w:szCs w:val="22"/>
              <w:lang w:eastAsia="es-MX"/>
            </w:rPr>
          </w:pPr>
          <w:hyperlink w:anchor="_Toc199350139" w:history="1">
            <w:r w:rsidR="00736D29" w:rsidRPr="00736D29">
              <w:rPr>
                <w:rStyle w:val="Hipervnculo"/>
                <w:rFonts w:eastAsiaTheme="majorEastAsia"/>
                <w:noProof/>
                <w:color w:val="auto"/>
              </w:rPr>
              <w:t>DEL RECURSO DE REVISIÓN</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_Toc199350139 \h </w:instrText>
            </w:r>
            <w:r w:rsidR="00736D29" w:rsidRPr="00736D29">
              <w:rPr>
                <w:noProof/>
                <w:webHidden/>
              </w:rPr>
            </w:r>
            <w:r w:rsidR="00736D29" w:rsidRPr="00736D29">
              <w:rPr>
                <w:noProof/>
                <w:webHidden/>
              </w:rPr>
              <w:fldChar w:fldCharType="separate"/>
            </w:r>
            <w:r>
              <w:rPr>
                <w:noProof/>
                <w:webHidden/>
              </w:rPr>
              <w:t>5</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40" w:history="1">
            <w:r w:rsidR="00736D29" w:rsidRPr="00736D29">
              <w:rPr>
                <w:rStyle w:val="Hipervnculo"/>
                <w:rFonts w:eastAsiaTheme="majorEastAsia"/>
                <w:noProof/>
                <w:color w:val="auto"/>
              </w:rPr>
              <w:t>a) Interposición del Recurso de Revisión</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_Toc199350140 \h </w:instrText>
            </w:r>
            <w:r w:rsidR="00736D29" w:rsidRPr="00736D29">
              <w:rPr>
                <w:noProof/>
                <w:webHidden/>
              </w:rPr>
            </w:r>
            <w:r w:rsidR="00736D29" w:rsidRPr="00736D29">
              <w:rPr>
                <w:noProof/>
                <w:webHidden/>
              </w:rPr>
              <w:fldChar w:fldCharType="separate"/>
            </w:r>
            <w:r>
              <w:rPr>
                <w:noProof/>
                <w:webHidden/>
              </w:rPr>
              <w:t>5</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41" w:history="1">
            <w:r w:rsidR="00736D29" w:rsidRPr="00736D29">
              <w:rPr>
                <w:rStyle w:val="Hipervnculo"/>
                <w:rFonts w:eastAsiaTheme="majorEastAsia"/>
                <w:noProof/>
                <w:color w:val="auto"/>
              </w:rPr>
              <w:t>b) Turno del Recurso de Revisión</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_Toc199350141 \h </w:instrText>
            </w:r>
            <w:r w:rsidR="00736D29" w:rsidRPr="00736D29">
              <w:rPr>
                <w:noProof/>
                <w:webHidden/>
              </w:rPr>
            </w:r>
            <w:r w:rsidR="00736D29" w:rsidRPr="00736D29">
              <w:rPr>
                <w:noProof/>
                <w:webHidden/>
              </w:rPr>
              <w:fldChar w:fldCharType="separate"/>
            </w:r>
            <w:r>
              <w:rPr>
                <w:noProof/>
                <w:webHidden/>
              </w:rPr>
              <w:t>6</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42" w:history="1">
            <w:r w:rsidR="00736D29" w:rsidRPr="00736D29">
              <w:rPr>
                <w:rStyle w:val="Hipervnculo"/>
                <w:rFonts w:eastAsiaTheme="majorEastAsia"/>
                <w:noProof/>
                <w:color w:val="auto"/>
              </w:rPr>
              <w:t>c) Admisión del Recurso de Revisión</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_Toc199350142 \h </w:instrText>
            </w:r>
            <w:r w:rsidR="00736D29" w:rsidRPr="00736D29">
              <w:rPr>
                <w:noProof/>
                <w:webHidden/>
              </w:rPr>
            </w:r>
            <w:r w:rsidR="00736D29" w:rsidRPr="00736D29">
              <w:rPr>
                <w:noProof/>
                <w:webHidden/>
              </w:rPr>
              <w:fldChar w:fldCharType="separate"/>
            </w:r>
            <w:r>
              <w:rPr>
                <w:noProof/>
                <w:webHidden/>
              </w:rPr>
              <w:t>6</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43" w:history="1">
            <w:r w:rsidR="00736D29" w:rsidRPr="00736D29">
              <w:rPr>
                <w:rStyle w:val="Hipervnculo"/>
                <w:rFonts w:eastAsiaTheme="majorEastAsia"/>
                <w:noProof/>
                <w:color w:val="auto"/>
              </w:rPr>
              <w:t>d) Informe Justificado del Sujeto Obligado</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_Toc199350143 \h </w:instrText>
            </w:r>
            <w:r w:rsidR="00736D29" w:rsidRPr="00736D29">
              <w:rPr>
                <w:noProof/>
                <w:webHidden/>
              </w:rPr>
            </w:r>
            <w:r w:rsidR="00736D29" w:rsidRPr="00736D29">
              <w:rPr>
                <w:noProof/>
                <w:webHidden/>
              </w:rPr>
              <w:fldChar w:fldCharType="separate"/>
            </w:r>
            <w:r>
              <w:rPr>
                <w:noProof/>
                <w:webHidden/>
              </w:rPr>
              <w:t>6</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44" w:history="1">
            <w:r w:rsidR="00736D29" w:rsidRPr="00736D29">
              <w:rPr>
                <w:rStyle w:val="Hipervnculo"/>
                <w:rFonts w:eastAsiaTheme="majorEastAsia"/>
                <w:noProof/>
                <w:color w:val="auto"/>
              </w:rPr>
              <w:t>e) Manifestaciones de la Parte Recurrente</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_Toc199350144 \h </w:instrText>
            </w:r>
            <w:r w:rsidR="00736D29" w:rsidRPr="00736D29">
              <w:rPr>
                <w:noProof/>
                <w:webHidden/>
              </w:rPr>
            </w:r>
            <w:r w:rsidR="00736D29" w:rsidRPr="00736D29">
              <w:rPr>
                <w:noProof/>
                <w:webHidden/>
              </w:rPr>
              <w:fldChar w:fldCharType="separate"/>
            </w:r>
            <w:r>
              <w:rPr>
                <w:noProof/>
                <w:webHidden/>
              </w:rPr>
              <w:t>8</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45" w:history="1">
            <w:r w:rsidR="00736D29" w:rsidRPr="00736D29">
              <w:rPr>
                <w:rStyle w:val="Hipervnculo"/>
                <w:rFonts w:eastAsiaTheme="majorEastAsia"/>
                <w:noProof/>
                <w:color w:val="auto"/>
              </w:rPr>
              <w:t>f) Ampliación de Plazo para Resolver</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_Toc199350145 \h </w:instrText>
            </w:r>
            <w:r w:rsidR="00736D29" w:rsidRPr="00736D29">
              <w:rPr>
                <w:noProof/>
                <w:webHidden/>
              </w:rPr>
            </w:r>
            <w:r w:rsidR="00736D29" w:rsidRPr="00736D29">
              <w:rPr>
                <w:noProof/>
                <w:webHidden/>
              </w:rPr>
              <w:fldChar w:fldCharType="separate"/>
            </w:r>
            <w:r>
              <w:rPr>
                <w:noProof/>
                <w:webHidden/>
              </w:rPr>
              <w:t>8</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46" w:history="1">
            <w:r w:rsidR="00736D29" w:rsidRPr="00736D29">
              <w:rPr>
                <w:rStyle w:val="Hipervnculo"/>
                <w:rFonts w:eastAsiaTheme="majorEastAsia"/>
                <w:noProof/>
                <w:color w:val="auto"/>
              </w:rPr>
              <w:t>g) Cierre de instrucción</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_Toc199350146 \h </w:instrText>
            </w:r>
            <w:r w:rsidR="00736D29" w:rsidRPr="00736D29">
              <w:rPr>
                <w:noProof/>
                <w:webHidden/>
              </w:rPr>
            </w:r>
            <w:r w:rsidR="00736D29" w:rsidRPr="00736D29">
              <w:rPr>
                <w:noProof/>
                <w:webHidden/>
              </w:rPr>
              <w:fldChar w:fldCharType="separate"/>
            </w:r>
            <w:r>
              <w:rPr>
                <w:noProof/>
                <w:webHidden/>
              </w:rPr>
              <w:t>8</w:t>
            </w:r>
            <w:r w:rsidR="00736D29" w:rsidRPr="00736D29">
              <w:rPr>
                <w:noProof/>
                <w:webHidden/>
              </w:rPr>
              <w:fldChar w:fldCharType="end"/>
            </w:r>
          </w:hyperlink>
        </w:p>
        <w:p w:rsidR="00736D29" w:rsidRPr="00736D29" w:rsidRDefault="00D5510A" w:rsidP="00736D29">
          <w:pPr>
            <w:pStyle w:val="TDC1"/>
            <w:tabs>
              <w:tab w:val="right" w:leader="dot" w:pos="9034"/>
            </w:tabs>
            <w:rPr>
              <w:rFonts w:asciiTheme="minorHAnsi" w:eastAsiaTheme="minorEastAsia" w:hAnsiTheme="minorHAnsi" w:cstheme="minorBidi"/>
              <w:noProof/>
              <w:szCs w:val="22"/>
              <w:lang w:eastAsia="es-MX"/>
            </w:rPr>
          </w:pPr>
          <w:hyperlink w:anchor="_Toc199350147" w:history="1">
            <w:r w:rsidR="00736D29" w:rsidRPr="00736D29">
              <w:rPr>
                <w:rStyle w:val="Hipervnculo"/>
                <w:rFonts w:eastAsiaTheme="majorEastAsia"/>
                <w:noProof/>
                <w:color w:val="auto"/>
              </w:rPr>
              <w:t>CONSIDERANDOS</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_Toc199350147 \h </w:instrText>
            </w:r>
            <w:r w:rsidR="00736D29" w:rsidRPr="00736D29">
              <w:rPr>
                <w:noProof/>
                <w:webHidden/>
              </w:rPr>
            </w:r>
            <w:r w:rsidR="00736D29" w:rsidRPr="00736D29">
              <w:rPr>
                <w:noProof/>
                <w:webHidden/>
              </w:rPr>
              <w:fldChar w:fldCharType="separate"/>
            </w:r>
            <w:r>
              <w:rPr>
                <w:noProof/>
                <w:webHidden/>
              </w:rPr>
              <w:t>8</w:t>
            </w:r>
            <w:r w:rsidR="00736D29" w:rsidRPr="00736D29">
              <w:rPr>
                <w:noProof/>
                <w:webHidden/>
              </w:rPr>
              <w:fldChar w:fldCharType="end"/>
            </w:r>
          </w:hyperlink>
        </w:p>
        <w:p w:rsidR="00736D29" w:rsidRPr="00736D29" w:rsidRDefault="00D5510A" w:rsidP="00736D29">
          <w:pPr>
            <w:pStyle w:val="TDC2"/>
            <w:rPr>
              <w:rFonts w:asciiTheme="minorHAnsi" w:eastAsiaTheme="minorEastAsia" w:hAnsiTheme="minorHAnsi" w:cstheme="minorBidi"/>
              <w:noProof/>
              <w:szCs w:val="22"/>
              <w:lang w:eastAsia="es-MX"/>
            </w:rPr>
          </w:pPr>
          <w:hyperlink w:anchor="_Toc199350148" w:history="1">
            <w:r w:rsidR="00736D29" w:rsidRPr="00736D29">
              <w:rPr>
                <w:rStyle w:val="Hipervnculo"/>
                <w:rFonts w:eastAsiaTheme="majorEastAsia"/>
                <w:noProof/>
                <w:color w:val="auto"/>
              </w:rPr>
              <w:t>PRIMERO. Procedibilidad</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_Toc199350148 \h </w:instrText>
            </w:r>
            <w:r w:rsidR="00736D29" w:rsidRPr="00736D29">
              <w:rPr>
                <w:noProof/>
                <w:webHidden/>
              </w:rPr>
            </w:r>
            <w:r w:rsidR="00736D29" w:rsidRPr="00736D29">
              <w:rPr>
                <w:noProof/>
                <w:webHidden/>
              </w:rPr>
              <w:fldChar w:fldCharType="separate"/>
            </w:r>
            <w:r>
              <w:rPr>
                <w:noProof/>
                <w:webHidden/>
              </w:rPr>
              <w:t>9</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49" w:history="1">
            <w:r w:rsidR="00736D29" w:rsidRPr="00736D29">
              <w:rPr>
                <w:rStyle w:val="Hipervnculo"/>
                <w:rFonts w:eastAsiaTheme="majorEastAsia"/>
                <w:noProof/>
                <w:color w:val="auto"/>
              </w:rPr>
              <w:t>a) Competencia del Instituto</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_Toc199350149 \h </w:instrText>
            </w:r>
            <w:r w:rsidR="00736D29" w:rsidRPr="00736D29">
              <w:rPr>
                <w:noProof/>
                <w:webHidden/>
              </w:rPr>
            </w:r>
            <w:r w:rsidR="00736D29" w:rsidRPr="00736D29">
              <w:rPr>
                <w:noProof/>
                <w:webHidden/>
              </w:rPr>
              <w:fldChar w:fldCharType="separate"/>
            </w:r>
            <w:r>
              <w:rPr>
                <w:noProof/>
                <w:webHidden/>
              </w:rPr>
              <w:t>9</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50" w:history="1">
            <w:r w:rsidR="00736D29" w:rsidRPr="00736D29">
              <w:rPr>
                <w:rStyle w:val="Hipervnculo"/>
                <w:rFonts w:eastAsiaTheme="majorEastAsia"/>
                <w:noProof/>
                <w:color w:val="auto"/>
              </w:rPr>
              <w:t>b) Legitimidad de la parte recurrente</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_Toc199350150 \h </w:instrText>
            </w:r>
            <w:r w:rsidR="00736D29" w:rsidRPr="00736D29">
              <w:rPr>
                <w:noProof/>
                <w:webHidden/>
              </w:rPr>
            </w:r>
            <w:r w:rsidR="00736D29" w:rsidRPr="00736D29">
              <w:rPr>
                <w:noProof/>
                <w:webHidden/>
              </w:rPr>
              <w:fldChar w:fldCharType="separate"/>
            </w:r>
            <w:r>
              <w:rPr>
                <w:noProof/>
                <w:webHidden/>
              </w:rPr>
              <w:t>9</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51" w:history="1">
            <w:r w:rsidR="00736D29" w:rsidRPr="00736D29">
              <w:rPr>
                <w:rStyle w:val="Hipervnculo"/>
                <w:rFonts w:eastAsiaTheme="majorEastAsia"/>
                <w:noProof/>
                <w:color w:val="auto"/>
              </w:rPr>
              <w:t>c) Plazo para interponer el recurso</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_Toc199350151 \h </w:instrText>
            </w:r>
            <w:r w:rsidR="00736D29" w:rsidRPr="00736D29">
              <w:rPr>
                <w:noProof/>
                <w:webHidden/>
              </w:rPr>
            </w:r>
            <w:r w:rsidR="00736D29" w:rsidRPr="00736D29">
              <w:rPr>
                <w:noProof/>
                <w:webHidden/>
              </w:rPr>
              <w:fldChar w:fldCharType="separate"/>
            </w:r>
            <w:r>
              <w:rPr>
                <w:noProof/>
                <w:webHidden/>
              </w:rPr>
              <w:t>9</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52" w:history="1">
            <w:r w:rsidR="00736D29" w:rsidRPr="00736D29">
              <w:rPr>
                <w:rStyle w:val="Hipervnculo"/>
                <w:rFonts w:eastAsiaTheme="majorEastAsia"/>
                <w:noProof/>
                <w:color w:val="auto"/>
              </w:rPr>
              <w:t>d) Causal de procedencia</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_Toc199350152 \h </w:instrText>
            </w:r>
            <w:r w:rsidR="00736D29" w:rsidRPr="00736D29">
              <w:rPr>
                <w:noProof/>
                <w:webHidden/>
              </w:rPr>
            </w:r>
            <w:r w:rsidR="00736D29" w:rsidRPr="00736D29">
              <w:rPr>
                <w:noProof/>
                <w:webHidden/>
              </w:rPr>
              <w:fldChar w:fldCharType="separate"/>
            </w:r>
            <w:r>
              <w:rPr>
                <w:noProof/>
                <w:webHidden/>
              </w:rPr>
              <w:t>10</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53" w:history="1">
            <w:r w:rsidR="00736D29" w:rsidRPr="00736D29">
              <w:rPr>
                <w:rStyle w:val="Hipervnculo"/>
                <w:rFonts w:eastAsiaTheme="majorEastAsia"/>
                <w:noProof/>
                <w:color w:val="auto"/>
              </w:rPr>
              <w:t>e) Requisitos formales para la interposición del recurso</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_Toc199350153 \h </w:instrText>
            </w:r>
            <w:r w:rsidR="00736D29" w:rsidRPr="00736D29">
              <w:rPr>
                <w:noProof/>
                <w:webHidden/>
              </w:rPr>
            </w:r>
            <w:r w:rsidR="00736D29" w:rsidRPr="00736D29">
              <w:rPr>
                <w:noProof/>
                <w:webHidden/>
              </w:rPr>
              <w:fldChar w:fldCharType="separate"/>
            </w:r>
            <w:r>
              <w:rPr>
                <w:noProof/>
                <w:webHidden/>
              </w:rPr>
              <w:t>10</w:t>
            </w:r>
            <w:r w:rsidR="00736D29" w:rsidRPr="00736D29">
              <w:rPr>
                <w:noProof/>
                <w:webHidden/>
              </w:rPr>
              <w:fldChar w:fldCharType="end"/>
            </w:r>
          </w:hyperlink>
        </w:p>
        <w:p w:rsidR="00736D29" w:rsidRPr="00736D29" w:rsidRDefault="00D5510A" w:rsidP="00736D29">
          <w:pPr>
            <w:pStyle w:val="TDC2"/>
            <w:rPr>
              <w:rFonts w:asciiTheme="minorHAnsi" w:eastAsiaTheme="minorEastAsia" w:hAnsiTheme="minorHAnsi" w:cstheme="minorBidi"/>
              <w:noProof/>
              <w:szCs w:val="22"/>
              <w:lang w:eastAsia="es-MX"/>
            </w:rPr>
          </w:pPr>
          <w:hyperlink w:anchor="_Toc199350154" w:history="1">
            <w:r w:rsidR="00736D29" w:rsidRPr="00736D29">
              <w:rPr>
                <w:rStyle w:val="Hipervnculo"/>
                <w:rFonts w:eastAsiaTheme="majorEastAsia"/>
                <w:noProof/>
                <w:color w:val="auto"/>
              </w:rPr>
              <w:t>SEGUNDO. Estudio de Fondo</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_Toc199350154 \h </w:instrText>
            </w:r>
            <w:r w:rsidR="00736D29" w:rsidRPr="00736D29">
              <w:rPr>
                <w:noProof/>
                <w:webHidden/>
              </w:rPr>
            </w:r>
            <w:r w:rsidR="00736D29" w:rsidRPr="00736D29">
              <w:rPr>
                <w:noProof/>
                <w:webHidden/>
              </w:rPr>
              <w:fldChar w:fldCharType="separate"/>
            </w:r>
            <w:r>
              <w:rPr>
                <w:noProof/>
                <w:webHidden/>
              </w:rPr>
              <w:t>11</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55" w:history="1">
            <w:r w:rsidR="00736D29" w:rsidRPr="00736D29">
              <w:rPr>
                <w:rStyle w:val="Hipervnculo"/>
                <w:rFonts w:eastAsiaTheme="majorEastAsia"/>
                <w:noProof/>
                <w:color w:val="auto"/>
              </w:rPr>
              <w:t>a) Mandato de transparencia y responsabilidad del Sujeto Obligado</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_Toc199350155 \h </w:instrText>
            </w:r>
            <w:r w:rsidR="00736D29" w:rsidRPr="00736D29">
              <w:rPr>
                <w:noProof/>
                <w:webHidden/>
              </w:rPr>
            </w:r>
            <w:r w:rsidR="00736D29" w:rsidRPr="00736D29">
              <w:rPr>
                <w:noProof/>
                <w:webHidden/>
              </w:rPr>
              <w:fldChar w:fldCharType="separate"/>
            </w:r>
            <w:r>
              <w:rPr>
                <w:noProof/>
                <w:webHidden/>
              </w:rPr>
              <w:t>11</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56" w:history="1">
            <w:r w:rsidR="00736D29" w:rsidRPr="00736D29">
              <w:rPr>
                <w:rStyle w:val="Hipervnculo"/>
                <w:rFonts w:eastAsiaTheme="majorEastAsia"/>
                <w:noProof/>
                <w:color w:val="auto"/>
              </w:rPr>
              <w:t>b) Controversia a resolver</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_Toc199350156 \h </w:instrText>
            </w:r>
            <w:r w:rsidR="00736D29" w:rsidRPr="00736D29">
              <w:rPr>
                <w:noProof/>
                <w:webHidden/>
              </w:rPr>
            </w:r>
            <w:r w:rsidR="00736D29" w:rsidRPr="00736D29">
              <w:rPr>
                <w:noProof/>
                <w:webHidden/>
              </w:rPr>
              <w:fldChar w:fldCharType="separate"/>
            </w:r>
            <w:r>
              <w:rPr>
                <w:noProof/>
                <w:webHidden/>
              </w:rPr>
              <w:t>13</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57" w:history="1">
            <w:r w:rsidR="00736D29" w:rsidRPr="00736D29">
              <w:rPr>
                <w:rStyle w:val="Hipervnculo"/>
                <w:rFonts w:eastAsiaTheme="majorEastAsia"/>
                <w:noProof/>
                <w:color w:val="auto"/>
              </w:rPr>
              <w:t>c) Estudio de la controversia</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_Toc199350157 \h </w:instrText>
            </w:r>
            <w:r w:rsidR="00736D29" w:rsidRPr="00736D29">
              <w:rPr>
                <w:noProof/>
                <w:webHidden/>
              </w:rPr>
            </w:r>
            <w:r w:rsidR="00736D29" w:rsidRPr="00736D29">
              <w:rPr>
                <w:noProof/>
                <w:webHidden/>
              </w:rPr>
              <w:fldChar w:fldCharType="separate"/>
            </w:r>
            <w:r>
              <w:rPr>
                <w:noProof/>
                <w:webHidden/>
              </w:rPr>
              <w:t>15</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58" w:history="1">
            <w:r w:rsidR="00736D29" w:rsidRPr="00736D29">
              <w:rPr>
                <w:rStyle w:val="Hipervnculo"/>
                <w:rFonts w:eastAsiaTheme="majorEastAsia"/>
                <w:noProof/>
                <w:color w:val="auto"/>
              </w:rPr>
              <w:t>d) Versión pública</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_Toc199350158 \h </w:instrText>
            </w:r>
            <w:r w:rsidR="00736D29" w:rsidRPr="00736D29">
              <w:rPr>
                <w:noProof/>
                <w:webHidden/>
              </w:rPr>
            </w:r>
            <w:r w:rsidR="00736D29" w:rsidRPr="00736D29">
              <w:rPr>
                <w:noProof/>
                <w:webHidden/>
              </w:rPr>
              <w:fldChar w:fldCharType="separate"/>
            </w:r>
            <w:r>
              <w:rPr>
                <w:noProof/>
                <w:webHidden/>
              </w:rPr>
              <w:t>26</w:t>
            </w:r>
            <w:r w:rsidR="00736D29" w:rsidRPr="00736D29">
              <w:rPr>
                <w:noProof/>
                <w:webHidden/>
              </w:rPr>
              <w:fldChar w:fldCharType="end"/>
            </w:r>
          </w:hyperlink>
        </w:p>
        <w:p w:rsidR="00736D29" w:rsidRPr="00736D29" w:rsidRDefault="00D5510A" w:rsidP="00736D29">
          <w:pPr>
            <w:pStyle w:val="TDC3"/>
            <w:rPr>
              <w:rFonts w:asciiTheme="minorHAnsi" w:eastAsiaTheme="minorEastAsia" w:hAnsiTheme="minorHAnsi" w:cstheme="minorBidi"/>
              <w:noProof/>
              <w:szCs w:val="22"/>
              <w:lang w:eastAsia="es-MX"/>
            </w:rPr>
          </w:pPr>
          <w:hyperlink w:anchor="_Toc199350159" w:history="1">
            <w:r w:rsidR="00736D29" w:rsidRPr="00736D29">
              <w:rPr>
                <w:rStyle w:val="Hipervnculo"/>
                <w:rFonts w:eastAsiaTheme="majorEastAsia"/>
                <w:noProof/>
                <w:color w:val="auto"/>
              </w:rPr>
              <w:t>e) Conclusión</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_Toc199350159 \h </w:instrText>
            </w:r>
            <w:r w:rsidR="00736D29" w:rsidRPr="00736D29">
              <w:rPr>
                <w:noProof/>
                <w:webHidden/>
              </w:rPr>
            </w:r>
            <w:r w:rsidR="00736D29" w:rsidRPr="00736D29">
              <w:rPr>
                <w:noProof/>
                <w:webHidden/>
              </w:rPr>
              <w:fldChar w:fldCharType="separate"/>
            </w:r>
            <w:r>
              <w:rPr>
                <w:noProof/>
                <w:webHidden/>
              </w:rPr>
              <w:t>39</w:t>
            </w:r>
            <w:r w:rsidR="00736D29" w:rsidRPr="00736D29">
              <w:rPr>
                <w:noProof/>
                <w:webHidden/>
              </w:rPr>
              <w:fldChar w:fldCharType="end"/>
            </w:r>
          </w:hyperlink>
        </w:p>
        <w:p w:rsidR="00736D29" w:rsidRPr="00736D29" w:rsidRDefault="00D5510A" w:rsidP="00736D29">
          <w:pPr>
            <w:pStyle w:val="TDC1"/>
            <w:tabs>
              <w:tab w:val="right" w:leader="dot" w:pos="9034"/>
            </w:tabs>
            <w:rPr>
              <w:rFonts w:asciiTheme="minorHAnsi" w:eastAsiaTheme="minorEastAsia" w:hAnsiTheme="minorHAnsi" w:cstheme="minorBidi"/>
              <w:noProof/>
              <w:szCs w:val="22"/>
              <w:lang w:eastAsia="es-MX"/>
            </w:rPr>
          </w:pPr>
          <w:hyperlink w:anchor="_Toc199350160" w:history="1">
            <w:r w:rsidR="00736D29" w:rsidRPr="00736D29">
              <w:rPr>
                <w:rStyle w:val="Hipervnculo"/>
                <w:rFonts w:eastAsiaTheme="majorEastAsia"/>
                <w:noProof/>
                <w:color w:val="auto"/>
              </w:rPr>
              <w:t>RESUELVE</w:t>
            </w:r>
            <w:r w:rsidR="00736D29" w:rsidRPr="00736D29">
              <w:rPr>
                <w:noProof/>
                <w:webHidden/>
              </w:rPr>
              <w:tab/>
            </w:r>
            <w:r w:rsidR="00736D29" w:rsidRPr="00736D29">
              <w:rPr>
                <w:noProof/>
                <w:webHidden/>
              </w:rPr>
              <w:fldChar w:fldCharType="begin"/>
            </w:r>
            <w:r w:rsidR="00736D29" w:rsidRPr="00736D29">
              <w:rPr>
                <w:noProof/>
                <w:webHidden/>
              </w:rPr>
              <w:instrText xml:space="preserve"> PAGEREF _Toc199350160 \h </w:instrText>
            </w:r>
            <w:r w:rsidR="00736D29" w:rsidRPr="00736D29">
              <w:rPr>
                <w:noProof/>
                <w:webHidden/>
              </w:rPr>
            </w:r>
            <w:r w:rsidR="00736D29" w:rsidRPr="00736D29">
              <w:rPr>
                <w:noProof/>
                <w:webHidden/>
              </w:rPr>
              <w:fldChar w:fldCharType="separate"/>
            </w:r>
            <w:r>
              <w:rPr>
                <w:noProof/>
                <w:webHidden/>
              </w:rPr>
              <w:t>39</w:t>
            </w:r>
            <w:r w:rsidR="00736D29" w:rsidRPr="00736D29">
              <w:rPr>
                <w:noProof/>
                <w:webHidden/>
              </w:rPr>
              <w:fldChar w:fldCharType="end"/>
            </w:r>
          </w:hyperlink>
        </w:p>
        <w:p w:rsidR="00585345" w:rsidRPr="00736D29" w:rsidRDefault="00585345" w:rsidP="00736D29">
          <w:r w:rsidRPr="00736D29">
            <w:rPr>
              <w:b/>
              <w:bCs/>
              <w:lang w:val="es-ES"/>
            </w:rPr>
            <w:fldChar w:fldCharType="end"/>
          </w:r>
        </w:p>
      </w:sdtContent>
    </w:sdt>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585345" w:rsidRPr="00736D29" w:rsidRDefault="00585345" w:rsidP="00736D29"/>
    <w:p w:rsidR="00B67646" w:rsidRPr="00736D29" w:rsidRDefault="0019599A" w:rsidP="00736D29">
      <w:pPr>
        <w:rPr>
          <w:b/>
        </w:rPr>
      </w:pPr>
      <w:r w:rsidRPr="00736D29">
        <w:lastRenderedPageBreak/>
        <w:t>Resolución del Pleno del Instituto de Transparencia, Acceso a la Información Pública y Protección de Datos Personales del Estado de México y Municipios, con domicilio en Metepec, Estado de México, de</w:t>
      </w:r>
      <w:r w:rsidR="00736D29" w:rsidRPr="00736D29">
        <w:t>l</w:t>
      </w:r>
      <w:r w:rsidRPr="00736D29">
        <w:t xml:space="preserve"> </w:t>
      </w:r>
      <w:r w:rsidR="00585345" w:rsidRPr="00736D29">
        <w:rPr>
          <w:b/>
        </w:rPr>
        <w:t>cuatro de junio</w:t>
      </w:r>
      <w:r w:rsidRPr="00736D29">
        <w:rPr>
          <w:b/>
        </w:rPr>
        <w:t xml:space="preserve"> de dos mil veinticinco.</w:t>
      </w:r>
    </w:p>
    <w:p w:rsidR="00B67646" w:rsidRPr="00736D29" w:rsidRDefault="00B67646" w:rsidP="00736D29"/>
    <w:p w:rsidR="00B67646" w:rsidRPr="00736D29" w:rsidRDefault="0019599A" w:rsidP="00736D29">
      <w:r w:rsidRPr="00736D29">
        <w:rPr>
          <w:b/>
        </w:rPr>
        <w:t xml:space="preserve">VISTO </w:t>
      </w:r>
      <w:r w:rsidRPr="00736D29">
        <w:t xml:space="preserve">el expediente formado con motivo del Recurso de Revisión </w:t>
      </w:r>
      <w:r w:rsidRPr="00736D29">
        <w:rPr>
          <w:b/>
        </w:rPr>
        <w:t>03102/INFOEM/IP/RR/2025</w:t>
      </w:r>
      <w:r w:rsidRPr="00736D29">
        <w:t xml:space="preserve"> interpuesto de </w:t>
      </w:r>
      <w:r w:rsidRPr="00736D29">
        <w:rPr>
          <w:b/>
        </w:rPr>
        <w:t>manera anónima</w:t>
      </w:r>
      <w:r w:rsidRPr="00736D29">
        <w:t xml:space="preserve">, a quien en lo subsecuente se le denominará </w:t>
      </w:r>
      <w:r w:rsidRPr="00736D29">
        <w:rPr>
          <w:b/>
        </w:rPr>
        <w:t>LA PARTE RECURRENTE</w:t>
      </w:r>
      <w:r w:rsidRPr="00736D29">
        <w:t xml:space="preserve">, en contra de la respuesta emitida por el </w:t>
      </w:r>
      <w:r w:rsidRPr="00736D29">
        <w:rPr>
          <w:b/>
        </w:rPr>
        <w:t>Ayuntamiento de Atlacomulco</w:t>
      </w:r>
      <w:r w:rsidRPr="00736D29">
        <w:t xml:space="preserve">, en adelante </w:t>
      </w:r>
      <w:r w:rsidRPr="00736D29">
        <w:rPr>
          <w:b/>
        </w:rPr>
        <w:t>EL SUJETO OBLIGADO</w:t>
      </w:r>
      <w:r w:rsidRPr="00736D29">
        <w:t>, se emite la presente Resolución con base en los Antecedentes y Considerandos que se exponen a continuación:</w:t>
      </w:r>
    </w:p>
    <w:p w:rsidR="00B67646" w:rsidRPr="00736D29" w:rsidRDefault="00B67646" w:rsidP="00736D29"/>
    <w:p w:rsidR="00B67646" w:rsidRPr="00736D29" w:rsidRDefault="0019599A" w:rsidP="00736D29">
      <w:pPr>
        <w:pStyle w:val="Ttulo1"/>
      </w:pPr>
      <w:bookmarkStart w:id="1" w:name="_Toc199350134"/>
      <w:r w:rsidRPr="00736D29">
        <w:t>ANTECEDENTES</w:t>
      </w:r>
      <w:bookmarkEnd w:id="1"/>
    </w:p>
    <w:p w:rsidR="00B67646" w:rsidRPr="00736D29" w:rsidRDefault="00B67646" w:rsidP="00736D29"/>
    <w:p w:rsidR="00B67646" w:rsidRPr="00736D29" w:rsidRDefault="0019599A" w:rsidP="00736D29">
      <w:pPr>
        <w:pStyle w:val="Ttulo2"/>
        <w:jc w:val="left"/>
      </w:pPr>
      <w:bookmarkStart w:id="2" w:name="_Toc199350135"/>
      <w:r w:rsidRPr="00736D29">
        <w:t>DE LA SOLICITUD DE INFORMACIÓN</w:t>
      </w:r>
      <w:bookmarkEnd w:id="2"/>
    </w:p>
    <w:p w:rsidR="00B67646" w:rsidRPr="00736D29" w:rsidRDefault="0019599A" w:rsidP="00736D29">
      <w:pPr>
        <w:pStyle w:val="Ttulo3"/>
      </w:pPr>
      <w:bookmarkStart w:id="3" w:name="_Toc199350136"/>
      <w:r w:rsidRPr="00736D29">
        <w:t>a) Solicitud de información</w:t>
      </w:r>
      <w:bookmarkEnd w:id="3"/>
    </w:p>
    <w:p w:rsidR="00B67646" w:rsidRPr="00736D29" w:rsidRDefault="0019599A" w:rsidP="00736D29">
      <w:pPr>
        <w:pBdr>
          <w:top w:val="nil"/>
          <w:left w:val="nil"/>
          <w:bottom w:val="nil"/>
          <w:right w:val="nil"/>
          <w:between w:val="nil"/>
        </w:pBdr>
        <w:tabs>
          <w:tab w:val="left" w:pos="0"/>
        </w:tabs>
        <w:rPr>
          <w:rFonts w:eastAsia="Palatino Linotype" w:cs="Palatino Linotype"/>
          <w:szCs w:val="22"/>
        </w:rPr>
      </w:pPr>
      <w:r w:rsidRPr="00736D29">
        <w:rPr>
          <w:rFonts w:eastAsia="Palatino Linotype" w:cs="Palatino Linotype"/>
          <w:szCs w:val="22"/>
        </w:rPr>
        <w:t xml:space="preserve">El </w:t>
      </w:r>
      <w:r w:rsidRPr="00736D29">
        <w:rPr>
          <w:rFonts w:eastAsia="Palatino Linotype" w:cs="Palatino Linotype"/>
          <w:b/>
          <w:szCs w:val="22"/>
        </w:rPr>
        <w:t>diecisiete de febrero de dos mil veinticinco,</w:t>
      </w:r>
      <w:r w:rsidRPr="00736D29">
        <w:rPr>
          <w:rFonts w:eastAsia="Palatino Linotype" w:cs="Palatino Linotype"/>
          <w:szCs w:val="22"/>
        </w:rPr>
        <w:t xml:space="preserve"> </w:t>
      </w:r>
      <w:r w:rsidRPr="00736D29">
        <w:rPr>
          <w:rFonts w:eastAsia="Palatino Linotype" w:cs="Palatino Linotype"/>
          <w:b/>
          <w:szCs w:val="22"/>
        </w:rPr>
        <w:t>LA PARTE RECURRENTE</w:t>
      </w:r>
      <w:r w:rsidRPr="00736D29">
        <w:rPr>
          <w:rFonts w:eastAsia="Palatino Linotype" w:cs="Palatino Linotype"/>
          <w:szCs w:val="22"/>
        </w:rPr>
        <w:t xml:space="preserve"> presentó una solicitud de acceso a la información pública ante el </w:t>
      </w:r>
      <w:r w:rsidRPr="00736D29">
        <w:rPr>
          <w:rFonts w:eastAsia="Palatino Linotype" w:cs="Palatino Linotype"/>
          <w:b/>
          <w:szCs w:val="22"/>
        </w:rPr>
        <w:t>SUJETO OBLIGADO</w:t>
      </w:r>
      <w:r w:rsidRPr="00736D29">
        <w:rPr>
          <w:rFonts w:eastAsia="Palatino Linotype" w:cs="Palatino Linotype"/>
          <w:szCs w:val="22"/>
        </w:rPr>
        <w:t>, a través del Sistema de Acceso a la Información Mexiquense (</w:t>
      </w:r>
      <w:r w:rsidRPr="00736D29">
        <w:rPr>
          <w:rFonts w:eastAsia="Palatino Linotype" w:cs="Palatino Linotype"/>
          <w:b/>
          <w:szCs w:val="22"/>
        </w:rPr>
        <w:t>SAIMEX</w:t>
      </w:r>
      <w:r w:rsidRPr="00736D29">
        <w:rPr>
          <w:rFonts w:eastAsia="Palatino Linotype" w:cs="Palatino Linotype"/>
          <w:szCs w:val="22"/>
        </w:rPr>
        <w:t>). Dicha solicitud quedó registrada con el número de folio</w:t>
      </w:r>
      <w:r w:rsidRPr="00736D29">
        <w:rPr>
          <w:rFonts w:eastAsia="Palatino Linotype" w:cs="Palatino Linotype"/>
          <w:b/>
          <w:szCs w:val="22"/>
        </w:rPr>
        <w:t xml:space="preserve"> 00158/ATLACOM/IP/2025</w:t>
      </w:r>
      <w:r w:rsidRPr="00736D29">
        <w:rPr>
          <w:rFonts w:eastAsia="Palatino Linotype" w:cs="Palatino Linotype"/>
          <w:szCs w:val="22"/>
        </w:rPr>
        <w:t xml:space="preserve"> y en ella se requirió la siguiente información:</w:t>
      </w:r>
    </w:p>
    <w:p w:rsidR="00B67646" w:rsidRPr="00736D29" w:rsidRDefault="00B67646" w:rsidP="00736D29">
      <w:pPr>
        <w:tabs>
          <w:tab w:val="left" w:pos="4667"/>
        </w:tabs>
        <w:ind w:left="567" w:right="567"/>
        <w:rPr>
          <w:b/>
        </w:rPr>
      </w:pPr>
    </w:p>
    <w:p w:rsidR="00B67646" w:rsidRPr="00736D29" w:rsidRDefault="0019599A" w:rsidP="00736D29">
      <w:pPr>
        <w:pStyle w:val="Puesto"/>
        <w:ind w:firstLine="567"/>
      </w:pPr>
      <w:r w:rsidRPr="00736D29">
        <w:t>“Contratos de cualquier tipo realizados en el 2024 a la fecha de esta solicitud incluyendo administración , obras etc.”</w:t>
      </w:r>
    </w:p>
    <w:p w:rsidR="00B67646" w:rsidRPr="00736D29" w:rsidRDefault="00B67646" w:rsidP="00736D29">
      <w:pPr>
        <w:tabs>
          <w:tab w:val="left" w:pos="4667"/>
        </w:tabs>
        <w:ind w:right="567"/>
        <w:rPr>
          <w:i/>
        </w:rPr>
      </w:pPr>
    </w:p>
    <w:p w:rsidR="00B67646" w:rsidRPr="00736D29" w:rsidRDefault="0019599A" w:rsidP="00736D29">
      <w:pPr>
        <w:tabs>
          <w:tab w:val="left" w:pos="4667"/>
        </w:tabs>
        <w:ind w:left="567" w:right="567"/>
        <w:rPr>
          <w:i/>
        </w:rPr>
      </w:pPr>
      <w:r w:rsidRPr="00736D29">
        <w:rPr>
          <w:b/>
        </w:rPr>
        <w:t>Modalidad de entrega</w:t>
      </w:r>
      <w:r w:rsidRPr="00736D29">
        <w:t>: a</w:t>
      </w:r>
      <w:r w:rsidRPr="00736D29">
        <w:rPr>
          <w:i/>
        </w:rPr>
        <w:t xml:space="preserve"> través del </w:t>
      </w:r>
      <w:r w:rsidRPr="00736D29">
        <w:rPr>
          <w:b/>
          <w:i/>
        </w:rPr>
        <w:t>SAIMEX</w:t>
      </w:r>
      <w:r w:rsidRPr="00736D29">
        <w:rPr>
          <w:i/>
        </w:rPr>
        <w:t>.</w:t>
      </w:r>
    </w:p>
    <w:p w:rsidR="00B67646" w:rsidRPr="00736D29" w:rsidRDefault="00B67646" w:rsidP="00736D29">
      <w:pPr>
        <w:tabs>
          <w:tab w:val="left" w:pos="4667"/>
        </w:tabs>
        <w:ind w:right="567"/>
      </w:pPr>
    </w:p>
    <w:p w:rsidR="00B67646" w:rsidRPr="00736D29" w:rsidRDefault="0019599A" w:rsidP="00736D29">
      <w:pPr>
        <w:pStyle w:val="Ttulo3"/>
      </w:pPr>
      <w:bookmarkStart w:id="4" w:name="_Toc199350137"/>
      <w:r w:rsidRPr="00736D29">
        <w:lastRenderedPageBreak/>
        <w:t>b) Turno de la solicitud de información</w:t>
      </w:r>
      <w:bookmarkEnd w:id="4"/>
    </w:p>
    <w:p w:rsidR="00B67646" w:rsidRPr="00736D29" w:rsidRDefault="0019599A" w:rsidP="00736D29">
      <w:pPr>
        <w:tabs>
          <w:tab w:val="left" w:pos="4667"/>
        </w:tabs>
        <w:ind w:right="-28"/>
      </w:pPr>
      <w:r w:rsidRPr="00736D29">
        <w:t xml:space="preserve">En cumplimiento al artículo 162 de la Ley de Transparencia y Acceso a la Información Pública del Estado de México y Municipios, el </w:t>
      </w:r>
      <w:r w:rsidRPr="00736D29">
        <w:rPr>
          <w:b/>
        </w:rPr>
        <w:t>veinte de febrero de dos mil veinticinco</w:t>
      </w:r>
      <w:r w:rsidRPr="00736D29">
        <w:t xml:space="preserve">, la Titular de la Unidad de Transparencia del </w:t>
      </w:r>
      <w:r w:rsidRPr="00736D29">
        <w:rPr>
          <w:b/>
        </w:rPr>
        <w:t>SUJETO OBLIGADO</w:t>
      </w:r>
      <w:r w:rsidRPr="00736D29">
        <w:t xml:space="preserve"> turnó la solicitud de información a los servidores públicos habilitados que estimó pertinente.</w:t>
      </w:r>
    </w:p>
    <w:p w:rsidR="00B67646" w:rsidRPr="00736D29" w:rsidRDefault="00B67646" w:rsidP="00736D29">
      <w:pPr>
        <w:tabs>
          <w:tab w:val="left" w:pos="4667"/>
        </w:tabs>
        <w:ind w:right="567"/>
      </w:pPr>
    </w:p>
    <w:p w:rsidR="00B67646" w:rsidRPr="00736D29" w:rsidRDefault="0019599A" w:rsidP="00736D29">
      <w:pPr>
        <w:pStyle w:val="Ttulo3"/>
      </w:pPr>
      <w:bookmarkStart w:id="5" w:name="_Toc199350138"/>
      <w:r w:rsidRPr="00736D29">
        <w:t>c) Respuesta del Sujeto Obligado</w:t>
      </w:r>
      <w:bookmarkEnd w:id="5"/>
    </w:p>
    <w:p w:rsidR="00B67646" w:rsidRPr="00736D29" w:rsidRDefault="0019599A" w:rsidP="00736D29">
      <w:pPr>
        <w:pBdr>
          <w:top w:val="nil"/>
          <w:left w:val="nil"/>
          <w:bottom w:val="nil"/>
          <w:right w:val="nil"/>
          <w:between w:val="nil"/>
        </w:pBdr>
        <w:rPr>
          <w:rFonts w:eastAsia="Palatino Linotype" w:cs="Palatino Linotype"/>
          <w:szCs w:val="22"/>
        </w:rPr>
      </w:pPr>
      <w:r w:rsidRPr="00736D29">
        <w:rPr>
          <w:rFonts w:eastAsia="Palatino Linotype" w:cs="Palatino Linotype"/>
          <w:szCs w:val="22"/>
        </w:rPr>
        <w:t xml:space="preserve">El </w:t>
      </w:r>
      <w:r w:rsidRPr="00736D29">
        <w:rPr>
          <w:rFonts w:eastAsia="Palatino Linotype" w:cs="Palatino Linotype"/>
          <w:b/>
          <w:szCs w:val="22"/>
        </w:rPr>
        <w:t>once de marzo de dos mil veinticinco</w:t>
      </w:r>
      <w:r w:rsidRPr="00736D29">
        <w:rPr>
          <w:rFonts w:eastAsia="Palatino Linotype" w:cs="Palatino Linotype"/>
          <w:szCs w:val="22"/>
        </w:rPr>
        <w:t xml:space="preserve">, el Titular de la Unidad de Transparencia del </w:t>
      </w:r>
      <w:r w:rsidRPr="00736D29">
        <w:rPr>
          <w:rFonts w:eastAsia="Palatino Linotype" w:cs="Palatino Linotype"/>
          <w:b/>
          <w:szCs w:val="22"/>
        </w:rPr>
        <w:t>SUJETO OBLIGADO</w:t>
      </w:r>
      <w:r w:rsidRPr="00736D29">
        <w:rPr>
          <w:rFonts w:eastAsia="Palatino Linotype" w:cs="Palatino Linotype"/>
          <w:szCs w:val="22"/>
        </w:rPr>
        <w:t xml:space="preserve"> notificó la siguiente respuesta a través del SAIMEX:</w:t>
      </w:r>
    </w:p>
    <w:p w:rsidR="00B67646" w:rsidRPr="00736D29" w:rsidRDefault="00B67646" w:rsidP="00736D29">
      <w:pPr>
        <w:tabs>
          <w:tab w:val="left" w:pos="4667"/>
        </w:tabs>
        <w:ind w:left="567" w:right="567"/>
        <w:rPr>
          <w:b/>
        </w:rPr>
      </w:pPr>
    </w:p>
    <w:p w:rsidR="00B67646" w:rsidRPr="00736D29" w:rsidRDefault="0019599A" w:rsidP="00736D29">
      <w:pPr>
        <w:spacing w:line="240" w:lineRule="auto"/>
        <w:ind w:left="851" w:right="822"/>
        <w:rPr>
          <w:i/>
        </w:rPr>
      </w:pPr>
      <w:r w:rsidRPr="00736D29">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67646" w:rsidRPr="00736D29" w:rsidRDefault="0019599A" w:rsidP="00736D29">
      <w:pPr>
        <w:spacing w:line="240" w:lineRule="auto"/>
        <w:ind w:left="851" w:right="822"/>
        <w:rPr>
          <w:i/>
        </w:rPr>
      </w:pPr>
      <w:r w:rsidRPr="00736D29">
        <w:rPr>
          <w:i/>
        </w:rPr>
        <w:t>Se atiende solicitud de información.</w:t>
      </w:r>
    </w:p>
    <w:p w:rsidR="00B67646" w:rsidRPr="00736D29" w:rsidRDefault="0019599A" w:rsidP="00736D29">
      <w:pPr>
        <w:spacing w:line="240" w:lineRule="auto"/>
        <w:ind w:left="851" w:right="822"/>
        <w:rPr>
          <w:i/>
        </w:rPr>
      </w:pPr>
      <w:r w:rsidRPr="00736D29">
        <w:rPr>
          <w:i/>
        </w:rPr>
        <w:t>ATENTAMENTE</w:t>
      </w:r>
    </w:p>
    <w:p w:rsidR="00B67646" w:rsidRPr="00736D29" w:rsidRDefault="0019599A" w:rsidP="00736D29">
      <w:pPr>
        <w:spacing w:line="240" w:lineRule="auto"/>
        <w:ind w:left="851" w:right="822"/>
        <w:rPr>
          <w:i/>
        </w:rPr>
      </w:pPr>
      <w:r w:rsidRPr="00736D29">
        <w:rPr>
          <w:i/>
        </w:rPr>
        <w:t>C. Claudia Monroy Amparo”</w:t>
      </w:r>
    </w:p>
    <w:p w:rsidR="00B67646" w:rsidRPr="00736D29" w:rsidRDefault="00B67646" w:rsidP="00736D29">
      <w:pPr>
        <w:ind w:right="-28"/>
      </w:pPr>
    </w:p>
    <w:p w:rsidR="00B67646" w:rsidRPr="00736D29" w:rsidRDefault="0019599A" w:rsidP="00736D29">
      <w:pPr>
        <w:ind w:right="-28"/>
      </w:pPr>
      <w:r w:rsidRPr="00736D29">
        <w:t xml:space="preserve">Asimismo, </w:t>
      </w:r>
      <w:r w:rsidRPr="00736D29">
        <w:rPr>
          <w:b/>
        </w:rPr>
        <w:t xml:space="preserve">EL SUJETO OBLIGADO </w:t>
      </w:r>
      <w:r w:rsidRPr="00736D29">
        <w:t>adjuntó a su respuesta lo siguiente:</w:t>
      </w:r>
    </w:p>
    <w:p w:rsidR="00B67646" w:rsidRPr="00736D29" w:rsidRDefault="00B67646" w:rsidP="00736D29">
      <w:pPr>
        <w:ind w:right="-28"/>
      </w:pPr>
    </w:p>
    <w:p w:rsidR="00B67646" w:rsidRPr="00736D29" w:rsidRDefault="0019599A" w:rsidP="00736D29">
      <w:pPr>
        <w:numPr>
          <w:ilvl w:val="0"/>
          <w:numId w:val="1"/>
        </w:numPr>
        <w:pBdr>
          <w:top w:val="nil"/>
          <w:left w:val="nil"/>
          <w:bottom w:val="nil"/>
          <w:right w:val="nil"/>
          <w:between w:val="nil"/>
        </w:pBdr>
        <w:ind w:right="-28"/>
        <w:rPr>
          <w:rFonts w:eastAsia="Palatino Linotype" w:cs="Palatino Linotype"/>
          <w:szCs w:val="22"/>
        </w:rPr>
      </w:pPr>
      <w:r w:rsidRPr="00736D29">
        <w:rPr>
          <w:rFonts w:eastAsia="Palatino Linotype" w:cs="Palatino Linotype"/>
          <w:b/>
          <w:szCs w:val="22"/>
        </w:rPr>
        <w:t>0158_RESP_UT_2025.pdf</w:t>
      </w:r>
      <w:r w:rsidRPr="00736D29">
        <w:rPr>
          <w:rFonts w:eastAsia="Palatino Linotype" w:cs="Palatino Linotype"/>
          <w:szCs w:val="22"/>
        </w:rPr>
        <w:t>: Contiene el oficio signado por la Titular de la Unidad de Transparencia en donde refiere adjuntar la información proporcionada por el área a la que le fue turnada la solicitud de información, misma que se anexa en versión publica por lo que se remite de igual forma el acta de la Novena sesión Extraordinaria del Comité de Transparencia en donde se conformó la clasificación de la información como confidencial de manera parcial.</w:t>
      </w:r>
    </w:p>
    <w:p w:rsidR="00B67646" w:rsidRPr="00736D29" w:rsidRDefault="0019599A" w:rsidP="00736D29">
      <w:pPr>
        <w:numPr>
          <w:ilvl w:val="0"/>
          <w:numId w:val="1"/>
        </w:numPr>
        <w:pBdr>
          <w:top w:val="nil"/>
          <w:left w:val="nil"/>
          <w:bottom w:val="nil"/>
          <w:right w:val="nil"/>
          <w:between w:val="nil"/>
        </w:pBdr>
        <w:ind w:right="-28"/>
        <w:rPr>
          <w:rFonts w:eastAsia="Palatino Linotype" w:cs="Palatino Linotype"/>
          <w:b/>
          <w:szCs w:val="22"/>
        </w:rPr>
      </w:pPr>
      <w:r w:rsidRPr="00736D29">
        <w:rPr>
          <w:rFonts w:eastAsia="Palatino Linotype" w:cs="Palatino Linotype"/>
          <w:b/>
          <w:szCs w:val="22"/>
        </w:rPr>
        <w:t xml:space="preserve">0158_SOL_RESP_ADMON_2025.pdf: </w:t>
      </w:r>
      <w:r w:rsidRPr="00736D29">
        <w:rPr>
          <w:rFonts w:eastAsia="Palatino Linotype" w:cs="Palatino Linotype"/>
          <w:szCs w:val="22"/>
        </w:rPr>
        <w:t xml:space="preserve">Contiene la respuesta emitida por la Directora de Administración en donde refiere que, después de haber realizado una búsqueda </w:t>
      </w:r>
      <w:r w:rsidRPr="00736D29">
        <w:rPr>
          <w:rFonts w:eastAsia="Palatino Linotype" w:cs="Palatino Linotype"/>
          <w:szCs w:val="22"/>
        </w:rPr>
        <w:lastRenderedPageBreak/>
        <w:t>exhaustiva de la información solicitada, por lo que respecta al departamento de recursos materiales y adquisiciones se pueden consultar los contratos en un link electrónico correspondiente a la página Ipomex del Sujeto Obligado.</w:t>
      </w:r>
    </w:p>
    <w:p w:rsidR="00B67646" w:rsidRPr="00736D29" w:rsidRDefault="0019599A" w:rsidP="00736D29">
      <w:pPr>
        <w:numPr>
          <w:ilvl w:val="0"/>
          <w:numId w:val="1"/>
        </w:numPr>
        <w:pBdr>
          <w:top w:val="nil"/>
          <w:left w:val="nil"/>
          <w:bottom w:val="nil"/>
          <w:right w:val="nil"/>
          <w:between w:val="nil"/>
        </w:pBdr>
        <w:ind w:right="-28"/>
        <w:rPr>
          <w:rFonts w:eastAsia="Palatino Linotype" w:cs="Palatino Linotype"/>
          <w:b/>
          <w:szCs w:val="22"/>
        </w:rPr>
      </w:pPr>
      <w:r w:rsidRPr="00736D29">
        <w:rPr>
          <w:rFonts w:eastAsia="Palatino Linotype" w:cs="Palatino Linotype"/>
          <w:b/>
          <w:szCs w:val="22"/>
        </w:rPr>
        <w:t xml:space="preserve">DOP_0158_RESPUESTA_001.pdf: </w:t>
      </w:r>
      <w:r w:rsidRPr="00736D29">
        <w:rPr>
          <w:rFonts w:eastAsia="Palatino Linotype" w:cs="Palatino Linotype"/>
          <w:szCs w:val="22"/>
        </w:rPr>
        <w:t>Contiene la respuesta emitida por el Director de Obras Públicas el cual manifiesta adjuntar la información solicitada en versión pública en compañía del acta del Comité de Transparencia en donde se aprueba la clasificación de la información contenida en el soporte documental proporcionado.</w:t>
      </w:r>
    </w:p>
    <w:p w:rsidR="00B67646" w:rsidRPr="00736D29" w:rsidRDefault="0019599A" w:rsidP="00736D29">
      <w:pPr>
        <w:numPr>
          <w:ilvl w:val="0"/>
          <w:numId w:val="1"/>
        </w:numPr>
        <w:pBdr>
          <w:top w:val="nil"/>
          <w:left w:val="nil"/>
          <w:bottom w:val="nil"/>
          <w:right w:val="nil"/>
          <w:between w:val="nil"/>
        </w:pBdr>
        <w:ind w:right="-28"/>
        <w:rPr>
          <w:rFonts w:eastAsia="Palatino Linotype" w:cs="Palatino Linotype"/>
          <w:b/>
          <w:szCs w:val="22"/>
        </w:rPr>
      </w:pPr>
      <w:r w:rsidRPr="00736D29">
        <w:rPr>
          <w:rFonts w:eastAsia="Palatino Linotype" w:cs="Palatino Linotype"/>
          <w:b/>
          <w:szCs w:val="22"/>
        </w:rPr>
        <w:t xml:space="preserve">DOP_0158_RESPUESTA_002.pdf: </w:t>
      </w:r>
      <w:r w:rsidRPr="00736D29">
        <w:rPr>
          <w:rFonts w:eastAsia="Palatino Linotype" w:cs="Palatino Linotype"/>
          <w:szCs w:val="22"/>
        </w:rPr>
        <w:t xml:space="preserve">Contiene un cumulo de 1322 fojas, que corresponden a los contratos de obra </w:t>
      </w:r>
      <w:r w:rsidRPr="00736D29">
        <w:rPr>
          <w:rFonts w:eastAsia="Palatino Linotype" w:cs="Palatino Linotype"/>
          <w:b/>
          <w:szCs w:val="22"/>
        </w:rPr>
        <w:t>FAISMUN</w:t>
      </w:r>
      <w:r w:rsidRPr="00736D29">
        <w:rPr>
          <w:rFonts w:eastAsia="Palatino Linotype" w:cs="Palatino Linotype"/>
          <w:szCs w:val="22"/>
        </w:rPr>
        <w:t xml:space="preserve"> (Fondo de Aportaciones para la Infraestructura Social Municipal) que van enumerados del 2024/01 al 2024/45, así como contratos de obra que se enumeran del 2024/01 al 2024/06.</w:t>
      </w:r>
    </w:p>
    <w:p w:rsidR="00B67646" w:rsidRPr="00736D29" w:rsidRDefault="0019599A" w:rsidP="00736D29">
      <w:pPr>
        <w:numPr>
          <w:ilvl w:val="0"/>
          <w:numId w:val="1"/>
        </w:numPr>
        <w:pBdr>
          <w:top w:val="nil"/>
          <w:left w:val="nil"/>
          <w:bottom w:val="nil"/>
          <w:right w:val="nil"/>
          <w:between w:val="nil"/>
        </w:pBdr>
        <w:ind w:right="-28"/>
        <w:rPr>
          <w:rFonts w:eastAsia="Palatino Linotype" w:cs="Palatino Linotype"/>
          <w:b/>
          <w:szCs w:val="22"/>
        </w:rPr>
      </w:pPr>
      <w:r w:rsidRPr="00736D29">
        <w:rPr>
          <w:rFonts w:eastAsia="Palatino Linotype" w:cs="Palatino Linotype"/>
          <w:b/>
          <w:szCs w:val="22"/>
        </w:rPr>
        <w:t xml:space="preserve">009_ACT_EXT_CT_2025.pdf: </w:t>
      </w:r>
      <w:r w:rsidRPr="00736D29">
        <w:rPr>
          <w:rFonts w:eastAsia="Palatino Linotype" w:cs="Palatino Linotype"/>
          <w:szCs w:val="22"/>
        </w:rPr>
        <w:t>Acta del Comité de Transparencia en donde se aprueba la versión pública de los contratos remitidos por Obras Públicas.</w:t>
      </w:r>
    </w:p>
    <w:p w:rsidR="00B67646" w:rsidRPr="00736D29" w:rsidRDefault="0019599A" w:rsidP="00736D29">
      <w:pPr>
        <w:ind w:left="360" w:right="-28"/>
      </w:pPr>
      <w:r w:rsidRPr="00736D29">
        <w:t xml:space="preserve"> </w:t>
      </w:r>
    </w:p>
    <w:p w:rsidR="00B67646" w:rsidRPr="00736D29" w:rsidRDefault="0019599A" w:rsidP="00736D29">
      <w:pPr>
        <w:pStyle w:val="Ttulo2"/>
        <w:jc w:val="left"/>
      </w:pPr>
      <w:bookmarkStart w:id="6" w:name="_Toc199350139"/>
      <w:r w:rsidRPr="00736D29">
        <w:t>DEL RECURSO DE REVISIÓN</w:t>
      </w:r>
      <w:bookmarkEnd w:id="6"/>
    </w:p>
    <w:p w:rsidR="00B67646" w:rsidRPr="00736D29" w:rsidRDefault="0019599A" w:rsidP="00736D29">
      <w:pPr>
        <w:pStyle w:val="Ttulo3"/>
      </w:pPr>
      <w:bookmarkStart w:id="7" w:name="_Toc199350140"/>
      <w:r w:rsidRPr="00736D29">
        <w:t>a) Interposición del Recurso de Revisión</w:t>
      </w:r>
      <w:bookmarkEnd w:id="7"/>
    </w:p>
    <w:p w:rsidR="00B67646" w:rsidRPr="00736D29" w:rsidRDefault="0019599A" w:rsidP="00736D29">
      <w:pPr>
        <w:ind w:right="-28"/>
      </w:pPr>
      <w:r w:rsidRPr="00736D29">
        <w:t xml:space="preserve">El </w:t>
      </w:r>
      <w:r w:rsidRPr="00736D29">
        <w:rPr>
          <w:b/>
        </w:rPr>
        <w:t>dieciséis de marzo de dos mil veinticinco,</w:t>
      </w:r>
      <w:r w:rsidRPr="00736D29">
        <w:t xml:space="preserve"> </w:t>
      </w:r>
      <w:r w:rsidRPr="00736D29">
        <w:rPr>
          <w:b/>
        </w:rPr>
        <w:t>LA PARTE RECURRENTE</w:t>
      </w:r>
      <w:r w:rsidRPr="00736D29">
        <w:t xml:space="preserve"> interpuso el recurso de revisión en contra de la respuesta emitida por el </w:t>
      </w:r>
      <w:r w:rsidRPr="00736D29">
        <w:rPr>
          <w:b/>
        </w:rPr>
        <w:t>SUJETO OBLIGADO</w:t>
      </w:r>
      <w:r w:rsidRPr="00736D29">
        <w:t xml:space="preserve">, mismo que fue registrado en el SAIMEX con el número de expediente </w:t>
      </w:r>
      <w:r w:rsidRPr="00736D29">
        <w:rPr>
          <w:b/>
        </w:rPr>
        <w:t>03102/INFOEM/IP/RR/2025</w:t>
      </w:r>
      <w:r w:rsidRPr="00736D29">
        <w:t>, y en el cual manifiesta lo siguiente:</w:t>
      </w:r>
    </w:p>
    <w:p w:rsidR="00B67646" w:rsidRPr="00736D29" w:rsidRDefault="00B67646" w:rsidP="00736D29">
      <w:pPr>
        <w:tabs>
          <w:tab w:val="left" w:pos="4667"/>
        </w:tabs>
        <w:ind w:right="539"/>
      </w:pPr>
    </w:p>
    <w:p w:rsidR="00B67646" w:rsidRPr="00736D29" w:rsidRDefault="0019599A" w:rsidP="00736D29">
      <w:pPr>
        <w:tabs>
          <w:tab w:val="left" w:pos="4667"/>
        </w:tabs>
        <w:ind w:left="567" w:right="539"/>
        <w:rPr>
          <w:b/>
        </w:rPr>
      </w:pPr>
      <w:r w:rsidRPr="00736D29">
        <w:rPr>
          <w:b/>
        </w:rPr>
        <w:t>ACTO IMPUGNADO</w:t>
      </w:r>
      <w:r w:rsidRPr="00736D29">
        <w:rPr>
          <w:b/>
        </w:rPr>
        <w:tab/>
      </w:r>
    </w:p>
    <w:p w:rsidR="00B67646" w:rsidRPr="00736D29" w:rsidRDefault="0019599A" w:rsidP="00736D29">
      <w:pPr>
        <w:pStyle w:val="Puesto"/>
        <w:ind w:firstLine="567"/>
      </w:pPr>
      <w:r w:rsidRPr="00736D29">
        <w:t>“Información incompleta.”</w:t>
      </w:r>
    </w:p>
    <w:p w:rsidR="00B67646" w:rsidRPr="00736D29" w:rsidRDefault="00B67646" w:rsidP="00736D29">
      <w:pPr>
        <w:tabs>
          <w:tab w:val="left" w:pos="4667"/>
        </w:tabs>
        <w:ind w:left="567" w:right="539"/>
        <w:rPr>
          <w:i/>
        </w:rPr>
      </w:pPr>
    </w:p>
    <w:p w:rsidR="00B67646" w:rsidRPr="00736D29" w:rsidRDefault="0019599A" w:rsidP="00736D29">
      <w:pPr>
        <w:tabs>
          <w:tab w:val="left" w:pos="4667"/>
        </w:tabs>
        <w:ind w:left="567" w:right="539"/>
        <w:rPr>
          <w:b/>
        </w:rPr>
      </w:pPr>
      <w:r w:rsidRPr="00736D29">
        <w:rPr>
          <w:b/>
        </w:rPr>
        <w:t>RAZONES O MOTIVOS DE LA INCONFORMIDAD</w:t>
      </w:r>
      <w:r w:rsidRPr="00736D29">
        <w:rPr>
          <w:b/>
        </w:rPr>
        <w:tab/>
      </w:r>
    </w:p>
    <w:p w:rsidR="00B67646" w:rsidRPr="00736D29" w:rsidRDefault="00B67646" w:rsidP="00736D29">
      <w:pPr>
        <w:tabs>
          <w:tab w:val="left" w:pos="4667"/>
        </w:tabs>
        <w:ind w:left="567" w:right="539"/>
        <w:rPr>
          <w:b/>
        </w:rPr>
      </w:pPr>
    </w:p>
    <w:p w:rsidR="00B67646" w:rsidRPr="00736D29" w:rsidRDefault="0019599A" w:rsidP="00736D29">
      <w:pPr>
        <w:pStyle w:val="Puesto"/>
        <w:ind w:firstLine="567"/>
      </w:pPr>
      <w:r w:rsidRPr="00736D29">
        <w:lastRenderedPageBreak/>
        <w:t>“Información incompleta.”</w:t>
      </w:r>
    </w:p>
    <w:p w:rsidR="00B67646" w:rsidRPr="00736D29" w:rsidRDefault="00B67646" w:rsidP="00736D29">
      <w:pPr>
        <w:tabs>
          <w:tab w:val="left" w:pos="4667"/>
        </w:tabs>
        <w:ind w:right="567"/>
        <w:rPr>
          <w:b/>
        </w:rPr>
      </w:pPr>
    </w:p>
    <w:p w:rsidR="00B67646" w:rsidRPr="00736D29" w:rsidRDefault="0019599A" w:rsidP="00736D29">
      <w:pPr>
        <w:pStyle w:val="Ttulo3"/>
      </w:pPr>
      <w:bookmarkStart w:id="8" w:name="_Toc199350141"/>
      <w:r w:rsidRPr="00736D29">
        <w:t>b) Turno del Recurso de Revisión</w:t>
      </w:r>
      <w:bookmarkEnd w:id="8"/>
    </w:p>
    <w:p w:rsidR="00B67646" w:rsidRPr="00736D29" w:rsidRDefault="0019599A" w:rsidP="00736D29">
      <w:r w:rsidRPr="00736D29">
        <w:t>Con fundamento en el artículo 185, fracción I de la Ley de Transparencia y Acceso a la Información Pública del Estado de México y Municipios, el</w:t>
      </w:r>
      <w:r w:rsidRPr="00736D29">
        <w:rPr>
          <w:b/>
        </w:rPr>
        <w:t xml:space="preserve"> dieciséis de marzo de dos mil veinticinco </w:t>
      </w:r>
      <w:r w:rsidRPr="00736D29">
        <w:t xml:space="preserve">se turnó el recurso de revisión a través del SAIMEX a la </w:t>
      </w:r>
      <w:r w:rsidRPr="00736D29">
        <w:rPr>
          <w:b/>
        </w:rPr>
        <w:t>Comisionada Sharon Cristina Morales Martínez</w:t>
      </w:r>
      <w:r w:rsidRPr="00736D29">
        <w:t xml:space="preserve">, a efecto de decretar su admisión o desechamiento. </w:t>
      </w:r>
    </w:p>
    <w:p w:rsidR="00B67646" w:rsidRPr="00736D29" w:rsidRDefault="00B67646" w:rsidP="00736D29"/>
    <w:p w:rsidR="00B67646" w:rsidRPr="00736D29" w:rsidRDefault="0019599A" w:rsidP="00736D29">
      <w:pPr>
        <w:pStyle w:val="Ttulo3"/>
      </w:pPr>
      <w:bookmarkStart w:id="9" w:name="_Toc199350142"/>
      <w:r w:rsidRPr="00736D29">
        <w:t>c) Admisión del Recurso de Revisión</w:t>
      </w:r>
      <w:bookmarkEnd w:id="9"/>
    </w:p>
    <w:p w:rsidR="00B67646" w:rsidRPr="00736D29" w:rsidRDefault="0019599A" w:rsidP="00736D29">
      <w:r w:rsidRPr="00736D29">
        <w:t xml:space="preserve">El </w:t>
      </w:r>
      <w:r w:rsidRPr="00736D29">
        <w:rPr>
          <w:b/>
        </w:rPr>
        <w:t>veintiuno de marzo de dos mil veinticinco</w:t>
      </w:r>
      <w:r w:rsidRPr="00736D2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B67646" w:rsidRPr="00736D29" w:rsidRDefault="00B67646" w:rsidP="00736D29">
      <w:pPr>
        <w:rPr>
          <w:b/>
        </w:rPr>
      </w:pPr>
    </w:p>
    <w:p w:rsidR="00B67646" w:rsidRPr="00736D29" w:rsidRDefault="0019599A" w:rsidP="00736D29">
      <w:pPr>
        <w:pStyle w:val="Ttulo3"/>
      </w:pPr>
      <w:bookmarkStart w:id="10" w:name="_Toc199350143"/>
      <w:r w:rsidRPr="00736D29">
        <w:t>d) Informe Justificado del Sujeto Obligado</w:t>
      </w:r>
      <w:bookmarkEnd w:id="10"/>
    </w:p>
    <w:p w:rsidR="00B67646" w:rsidRPr="00736D29" w:rsidRDefault="0019599A" w:rsidP="00736D29">
      <w:r w:rsidRPr="00736D29">
        <w:t xml:space="preserve">El </w:t>
      </w:r>
      <w:r w:rsidRPr="00736D29">
        <w:rPr>
          <w:b/>
        </w:rPr>
        <w:t>primero de abril de dos mil veinticinco, EL SUJETO OBLIGADO</w:t>
      </w:r>
      <w:r w:rsidRPr="00736D29">
        <w:t xml:space="preserve"> rindió su informe justificado a través del SAIMEX, a través de los archivos electrónicos que se describen a continuación: </w:t>
      </w:r>
    </w:p>
    <w:p w:rsidR="00B67646" w:rsidRPr="00736D29" w:rsidRDefault="00B67646" w:rsidP="00736D29"/>
    <w:p w:rsidR="00B67646" w:rsidRPr="00736D29" w:rsidRDefault="0019599A" w:rsidP="00736D29">
      <w:pPr>
        <w:numPr>
          <w:ilvl w:val="0"/>
          <w:numId w:val="2"/>
        </w:numPr>
        <w:pBdr>
          <w:top w:val="nil"/>
          <w:left w:val="nil"/>
          <w:bottom w:val="nil"/>
          <w:right w:val="nil"/>
          <w:between w:val="nil"/>
        </w:pBdr>
        <w:rPr>
          <w:rFonts w:eastAsia="Palatino Linotype" w:cs="Palatino Linotype"/>
          <w:szCs w:val="22"/>
        </w:rPr>
      </w:pPr>
      <w:r w:rsidRPr="00736D29">
        <w:rPr>
          <w:rFonts w:eastAsia="Palatino Linotype" w:cs="Palatino Linotype"/>
          <w:b/>
          <w:szCs w:val="22"/>
        </w:rPr>
        <w:t>03102_RR_IFJ_2025.pdf</w:t>
      </w:r>
      <w:r w:rsidRPr="00736D29">
        <w:rPr>
          <w:rFonts w:eastAsia="Palatino Linotype" w:cs="Palatino Linotype"/>
          <w:szCs w:val="22"/>
        </w:rPr>
        <w:t xml:space="preserve">: Contiene el informe justificado remitido por la Titular de la Unidad de Transparencia en donde menciona que la solicitud de información en primera instancia fue turnada a la Dirección de Administración y la Dirección de Obras Públicas, sin embargo se menciona que el Sujeto Obligado a través del servidor público habilitado modifica su respuesta primigenia, cabe señalar que se desconoce a qué </w:t>
      </w:r>
      <w:r w:rsidRPr="00736D29">
        <w:rPr>
          <w:rFonts w:eastAsia="Palatino Linotype" w:cs="Palatino Linotype"/>
          <w:szCs w:val="22"/>
        </w:rPr>
        <w:lastRenderedPageBreak/>
        <w:t>dependencia se refiere toda vez que se observa que no fue remitida una foja del informe justificado, dando un salto al contenido de la última hoja en que se signa dicho documento. Asimismo se encuentra inmerso el documento remitido por la Directora de Administración quien refiere que, en primera instancia se dio respuesta a la solicitud de información a través de una liga electrónica, sin embargo después de haber realizado una búsqueda exhaustiva en los archivos físicos y electrónicos del departamento de recursos materiales y adquisiciones, se anexan los contratos que obran en dicho departamento a la fecha de la solicitud. De igual forma en dicho documento digital se adjuntan 6 contratos celebrados por motivo de prestaciones de servicios y adjudicación celebrados en el mes de enero 2025.</w:t>
      </w:r>
    </w:p>
    <w:p w:rsidR="00B67646" w:rsidRPr="00736D29" w:rsidRDefault="0019599A" w:rsidP="00736D29">
      <w:pPr>
        <w:numPr>
          <w:ilvl w:val="0"/>
          <w:numId w:val="2"/>
        </w:numPr>
        <w:pBdr>
          <w:top w:val="nil"/>
          <w:left w:val="nil"/>
          <w:bottom w:val="nil"/>
          <w:right w:val="nil"/>
          <w:between w:val="nil"/>
        </w:pBdr>
        <w:rPr>
          <w:rFonts w:eastAsia="Palatino Linotype" w:cs="Palatino Linotype"/>
          <w:b/>
          <w:szCs w:val="22"/>
        </w:rPr>
      </w:pPr>
      <w:r w:rsidRPr="00736D29">
        <w:rPr>
          <w:rFonts w:eastAsia="Palatino Linotype" w:cs="Palatino Linotype"/>
          <w:b/>
          <w:szCs w:val="22"/>
        </w:rPr>
        <w:t xml:space="preserve">Artículo 92.pdf: </w:t>
      </w:r>
      <w:r w:rsidRPr="00736D29">
        <w:rPr>
          <w:rFonts w:eastAsia="Palatino Linotype" w:cs="Palatino Linotype"/>
          <w:szCs w:val="22"/>
        </w:rPr>
        <w:t>Contiene un documento simple sin firma autógrafa en el cual se plasma una liga electrónica en datos abiertos del portal Ipomex del Sujeto Obligado, junto con una imagen ilustrativa que contiene diversas indicaciones mismas que refieren al periodo en donde se puede consultar el periodo del ejercicio fiscal 2024 en dicho portal y el lugar en donde dar “click” para acceder a la información solicitada. Sirve de sustento la siguiente imagen ilustrativa:</w:t>
      </w:r>
    </w:p>
    <w:p w:rsidR="00B67646" w:rsidRPr="00736D29" w:rsidRDefault="0019599A" w:rsidP="00736D29">
      <w:pPr>
        <w:pBdr>
          <w:top w:val="nil"/>
          <w:left w:val="nil"/>
          <w:bottom w:val="nil"/>
          <w:right w:val="nil"/>
          <w:between w:val="nil"/>
        </w:pBdr>
        <w:ind w:left="720"/>
        <w:jc w:val="center"/>
        <w:rPr>
          <w:rFonts w:eastAsia="Palatino Linotype" w:cs="Palatino Linotype"/>
          <w:b/>
          <w:szCs w:val="22"/>
        </w:rPr>
      </w:pPr>
      <w:r w:rsidRPr="00736D29">
        <w:rPr>
          <w:rFonts w:eastAsia="Palatino Linotype" w:cs="Palatino Linotype"/>
          <w:b/>
          <w:noProof/>
          <w:szCs w:val="22"/>
          <w:lang w:eastAsia="es-MX"/>
        </w:rPr>
        <w:drawing>
          <wp:inline distT="0" distB="0" distL="0" distR="0">
            <wp:extent cx="4799965" cy="2647950"/>
            <wp:effectExtent l="0" t="0" r="0" b="0"/>
            <wp:docPr id="21596444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799965" cy="2647950"/>
                    </a:xfrm>
                    <a:prstGeom prst="rect">
                      <a:avLst/>
                    </a:prstGeom>
                    <a:ln/>
                  </pic:spPr>
                </pic:pic>
              </a:graphicData>
            </a:graphic>
          </wp:inline>
        </w:drawing>
      </w:r>
    </w:p>
    <w:p w:rsidR="00B67646" w:rsidRPr="00736D29" w:rsidRDefault="00B67646" w:rsidP="00736D29"/>
    <w:p w:rsidR="00B67646" w:rsidRPr="00736D29" w:rsidRDefault="0019599A" w:rsidP="00736D29">
      <w:r w:rsidRPr="00736D29">
        <w:t xml:space="preserve">Esta información fue puesta a la vista de </w:t>
      </w:r>
      <w:r w:rsidRPr="00736D29">
        <w:rPr>
          <w:b/>
        </w:rPr>
        <w:t xml:space="preserve">LA PARTE RECURRENTE </w:t>
      </w:r>
      <w:r w:rsidRPr="00736D29">
        <w:t xml:space="preserve">el </w:t>
      </w:r>
      <w:r w:rsidRPr="00736D29">
        <w:rPr>
          <w:b/>
        </w:rPr>
        <w:t>dos de abril de dos mil veinticinco</w:t>
      </w:r>
      <w:r w:rsidRPr="00736D29">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rsidR="00B67646" w:rsidRPr="00736D29" w:rsidRDefault="00B67646" w:rsidP="00736D29">
      <w:pPr>
        <w:ind w:right="539"/>
      </w:pPr>
    </w:p>
    <w:p w:rsidR="00B67646" w:rsidRPr="00736D29" w:rsidRDefault="0019599A" w:rsidP="00736D29">
      <w:pPr>
        <w:pStyle w:val="Ttulo3"/>
      </w:pPr>
      <w:bookmarkStart w:id="11" w:name="_Toc199350144"/>
      <w:r w:rsidRPr="00736D29">
        <w:t>e) Manifestaciones de la Parte Recurrente</w:t>
      </w:r>
      <w:bookmarkEnd w:id="11"/>
    </w:p>
    <w:p w:rsidR="00B67646" w:rsidRPr="00736D29" w:rsidRDefault="0019599A" w:rsidP="00736D29">
      <w:r w:rsidRPr="00736D29">
        <w:rPr>
          <w:b/>
        </w:rPr>
        <w:t xml:space="preserve">LA PARTE RECURRENTE </w:t>
      </w:r>
      <w:r w:rsidRPr="00736D29">
        <w:t>no realizó manifestación alguna dentro del término legalmente concedido para tal efecto, ni presentó pruebas o alegatos.</w:t>
      </w:r>
    </w:p>
    <w:p w:rsidR="00B67646" w:rsidRPr="00736D29" w:rsidRDefault="00B67646" w:rsidP="00736D29"/>
    <w:p w:rsidR="00B67646" w:rsidRPr="00736D29" w:rsidRDefault="0019599A" w:rsidP="00736D29">
      <w:pPr>
        <w:pStyle w:val="Ttulo3"/>
      </w:pPr>
      <w:bookmarkStart w:id="12" w:name="_Toc199350145"/>
      <w:r w:rsidRPr="00736D29">
        <w:t>f) Ampliación de Plazo para Resolver</w:t>
      </w:r>
      <w:bookmarkEnd w:id="12"/>
      <w:r w:rsidRPr="00736D29">
        <w:t xml:space="preserve"> </w:t>
      </w:r>
    </w:p>
    <w:p w:rsidR="00B67646" w:rsidRPr="00736D29" w:rsidRDefault="0019599A" w:rsidP="00736D29">
      <w:r w:rsidRPr="00736D29">
        <w:t xml:space="preserve">El </w:t>
      </w:r>
      <w:r w:rsidRPr="00736D29">
        <w:rPr>
          <w:b/>
        </w:rPr>
        <w:t>veintidós de mayo de dos mil veinticinco</w:t>
      </w:r>
      <w:r w:rsidRPr="00736D29">
        <w:t>, se notificó el acuerdo de ampliación de plazo para resolver el presente Recurso de Revisión, previsto en el artículo 181, tercer párrafo de la Ley de Transparencia y Acceso a la Información Pública del Estado de México y Municipios.</w:t>
      </w:r>
    </w:p>
    <w:p w:rsidR="00B67646" w:rsidRPr="00736D29" w:rsidRDefault="00B67646" w:rsidP="00736D29"/>
    <w:p w:rsidR="00B67646" w:rsidRPr="00736D29" w:rsidRDefault="0019599A" w:rsidP="00736D29">
      <w:pPr>
        <w:pStyle w:val="Ttulo3"/>
      </w:pPr>
      <w:bookmarkStart w:id="13" w:name="_Toc199350146"/>
      <w:r w:rsidRPr="00736D29">
        <w:t>g) Cierre de instrucción</w:t>
      </w:r>
      <w:bookmarkEnd w:id="13"/>
    </w:p>
    <w:p w:rsidR="00B67646" w:rsidRPr="00736D29" w:rsidRDefault="0019599A" w:rsidP="00736D29">
      <w:r w:rsidRPr="00736D29">
        <w:t xml:space="preserve">Al no existir diligencias pendientes por desahogar, el </w:t>
      </w:r>
      <w:r w:rsidRPr="00736D29">
        <w:rPr>
          <w:b/>
        </w:rPr>
        <w:t xml:space="preserve">veintisiete de mayo de dos mil veinticinco </w:t>
      </w:r>
      <w:r w:rsidRPr="00736D29">
        <w:t xml:space="preserve">la </w:t>
      </w:r>
      <w:r w:rsidRPr="00736D29">
        <w:rPr>
          <w:b/>
        </w:rPr>
        <w:t xml:space="preserve">Comisionada Sharon Cristina Morales Martínez </w:t>
      </w:r>
      <w:r w:rsidRPr="00736D29">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B67646" w:rsidRPr="00736D29" w:rsidRDefault="00B67646" w:rsidP="00736D29"/>
    <w:p w:rsidR="00B67646" w:rsidRPr="00736D29" w:rsidRDefault="0019599A" w:rsidP="00736D29">
      <w:pPr>
        <w:pStyle w:val="Ttulo1"/>
      </w:pPr>
      <w:bookmarkStart w:id="14" w:name="_Toc199350147"/>
      <w:r w:rsidRPr="00736D29">
        <w:t>CONSIDERANDOS</w:t>
      </w:r>
      <w:bookmarkEnd w:id="14"/>
    </w:p>
    <w:p w:rsidR="00B67646" w:rsidRPr="00736D29" w:rsidRDefault="00B67646" w:rsidP="00736D29">
      <w:pPr>
        <w:jc w:val="center"/>
        <w:rPr>
          <w:b/>
        </w:rPr>
      </w:pPr>
    </w:p>
    <w:p w:rsidR="00B67646" w:rsidRPr="00736D29" w:rsidRDefault="0019599A" w:rsidP="00736D29">
      <w:pPr>
        <w:pStyle w:val="Ttulo2"/>
      </w:pPr>
      <w:bookmarkStart w:id="15" w:name="_Toc199350148"/>
      <w:r w:rsidRPr="00736D29">
        <w:lastRenderedPageBreak/>
        <w:t>PRIMERO. Procedibilidad</w:t>
      </w:r>
      <w:bookmarkEnd w:id="15"/>
    </w:p>
    <w:p w:rsidR="00B67646" w:rsidRPr="00736D29" w:rsidRDefault="0019599A" w:rsidP="00736D29">
      <w:pPr>
        <w:pStyle w:val="Ttulo3"/>
      </w:pPr>
      <w:bookmarkStart w:id="16" w:name="_Toc199350149"/>
      <w:r w:rsidRPr="00736D29">
        <w:t>a) Competencia del Instituto</w:t>
      </w:r>
      <w:bookmarkEnd w:id="16"/>
    </w:p>
    <w:p w:rsidR="00B67646" w:rsidRPr="00736D29" w:rsidRDefault="0019599A" w:rsidP="00736D29">
      <w:r w:rsidRPr="00736D29">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67646" w:rsidRPr="00736D29" w:rsidRDefault="00B67646" w:rsidP="00736D29"/>
    <w:p w:rsidR="00B67646" w:rsidRPr="00736D29" w:rsidRDefault="0019599A" w:rsidP="00736D29">
      <w:pPr>
        <w:pStyle w:val="Ttulo3"/>
      </w:pPr>
      <w:bookmarkStart w:id="17" w:name="_Toc199350150"/>
      <w:r w:rsidRPr="00736D29">
        <w:t>b) Legitimidad de la parte recurrente</w:t>
      </w:r>
      <w:bookmarkEnd w:id="17"/>
    </w:p>
    <w:p w:rsidR="00B67646" w:rsidRPr="00736D29" w:rsidRDefault="0019599A" w:rsidP="00736D29">
      <w:r w:rsidRPr="00736D29">
        <w:t>El recurso de revisión fue interpuesto por parte legítima, ya que se presentó por la misma persona que formuló la solicitud de acceso a la Información Pública,</w:t>
      </w:r>
      <w:r w:rsidRPr="00736D29">
        <w:rPr>
          <w:b/>
        </w:rPr>
        <w:t xml:space="preserve"> </w:t>
      </w:r>
      <w:r w:rsidRPr="00736D29">
        <w:t>debido a que los datos de acceso</w:t>
      </w:r>
      <w:r w:rsidRPr="00736D29">
        <w:rPr>
          <w:b/>
        </w:rPr>
        <w:t xml:space="preserve"> </w:t>
      </w:r>
      <w:r w:rsidRPr="00736D29">
        <w:t>SAIMEX son personales e irrepetibles.</w:t>
      </w:r>
    </w:p>
    <w:p w:rsidR="00B67646" w:rsidRPr="00736D29" w:rsidRDefault="00B67646" w:rsidP="00736D29"/>
    <w:p w:rsidR="00B67646" w:rsidRPr="00736D29" w:rsidRDefault="0019599A" w:rsidP="00736D29">
      <w:pPr>
        <w:pStyle w:val="Ttulo3"/>
      </w:pPr>
      <w:bookmarkStart w:id="18" w:name="_Toc199350151"/>
      <w:r w:rsidRPr="00736D29">
        <w:t>c) Plazo para interponer el recurso</w:t>
      </w:r>
      <w:bookmarkEnd w:id="18"/>
    </w:p>
    <w:p w:rsidR="00B67646" w:rsidRPr="00736D29" w:rsidRDefault="0019599A" w:rsidP="00736D29">
      <w:r w:rsidRPr="00736D29">
        <w:rPr>
          <w:b/>
        </w:rPr>
        <w:t>EL SUJETO OBLIGADO</w:t>
      </w:r>
      <w:r w:rsidRPr="00736D29">
        <w:t xml:space="preserve"> notificó la respuesta a la solicitud de acceso a la Información Pública el </w:t>
      </w:r>
      <w:r w:rsidRPr="00736D29">
        <w:rPr>
          <w:b/>
        </w:rPr>
        <w:t>once de marzo de dos mil veinticinco</w:t>
      </w:r>
      <w:r w:rsidRPr="00736D29">
        <w:t xml:space="preserve"> y el recurso que nos ocupa se interpuso el </w:t>
      </w:r>
      <w:r w:rsidRPr="00736D29">
        <w:rPr>
          <w:b/>
        </w:rPr>
        <w:t>dieciséis de marzo de dos mil veinticinco</w:t>
      </w:r>
      <w:r w:rsidRPr="00736D29">
        <w:t>; por lo tanto, éste se encuentra dentro del margen temporal previsto en el artículo 178 de la Ley de Transparencia y Acceso a la Información Pública del Estado de México y Municipios.</w:t>
      </w:r>
    </w:p>
    <w:p w:rsidR="00B67646" w:rsidRPr="00736D29" w:rsidRDefault="00B67646" w:rsidP="00736D29"/>
    <w:p w:rsidR="00B67646" w:rsidRPr="00736D29" w:rsidRDefault="0019599A" w:rsidP="00736D29">
      <w:pPr>
        <w:pStyle w:val="Ttulo3"/>
      </w:pPr>
      <w:bookmarkStart w:id="19" w:name="_Toc199350152"/>
      <w:r w:rsidRPr="00736D29">
        <w:lastRenderedPageBreak/>
        <w:t>d) Causal de procedencia</w:t>
      </w:r>
      <w:bookmarkEnd w:id="19"/>
      <w:r w:rsidRPr="00736D29">
        <w:t xml:space="preserve"> </w:t>
      </w:r>
    </w:p>
    <w:p w:rsidR="00B67646" w:rsidRPr="00736D29" w:rsidRDefault="0019599A" w:rsidP="00736D29">
      <w:r w:rsidRPr="00736D29">
        <w:t>Resulta procedente la interposición del recurso de revisión, ya que se actualiza la causal de procedencia señalada en el artículo 179, fracción V de la Ley de Transparencia y Acceso a la Información Pública del Estado de México y Municipios.</w:t>
      </w:r>
    </w:p>
    <w:p w:rsidR="00B67646" w:rsidRPr="00736D29" w:rsidRDefault="00B67646" w:rsidP="00736D29"/>
    <w:p w:rsidR="00B67646" w:rsidRPr="00736D29" w:rsidRDefault="0019599A" w:rsidP="00736D29">
      <w:pPr>
        <w:pStyle w:val="Ttulo3"/>
      </w:pPr>
      <w:bookmarkStart w:id="20" w:name="_Toc199350153"/>
      <w:r w:rsidRPr="00736D29">
        <w:t>e) Requisitos formales para la interposición del recurso</w:t>
      </w:r>
      <w:bookmarkEnd w:id="20"/>
    </w:p>
    <w:p w:rsidR="00B67646" w:rsidRPr="00736D29" w:rsidRDefault="0019599A" w:rsidP="00736D29">
      <w:r w:rsidRPr="00736D29">
        <w:rPr>
          <w:b/>
        </w:rPr>
        <w:t xml:space="preserve">LA PARTE RECURRENTE </w:t>
      </w:r>
      <w:r w:rsidRPr="00736D29">
        <w:t>acreditó todos y cada uno de los elementos formales exigidos por el artículo 180 de la misma normatividad.</w:t>
      </w:r>
    </w:p>
    <w:p w:rsidR="00B67646" w:rsidRPr="00736D29" w:rsidRDefault="00B67646" w:rsidP="00736D29"/>
    <w:p w:rsidR="00B67646" w:rsidRPr="00736D29" w:rsidRDefault="0019599A" w:rsidP="00736D29">
      <w:pPr>
        <w:rPr>
          <w:sz w:val="24"/>
          <w:szCs w:val="24"/>
        </w:rPr>
      </w:pPr>
      <w:r w:rsidRPr="00736D29">
        <w:rPr>
          <w:sz w:val="24"/>
          <w:szCs w:val="24"/>
        </w:rPr>
        <w:t xml:space="preserve">Es importante mencionar que, de la revisión del expediente electrónico del SAIMEX, se observa que </w:t>
      </w:r>
      <w:r w:rsidRPr="00736D29">
        <w:rPr>
          <w:b/>
          <w:sz w:val="24"/>
          <w:szCs w:val="24"/>
        </w:rPr>
        <w:t>LA PARTE RECURRENTE</w:t>
      </w:r>
      <w:r w:rsidRPr="00736D29">
        <w:rPr>
          <w:sz w:val="24"/>
          <w:szCs w:val="24"/>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736D29">
        <w:rPr>
          <w:b/>
          <w:sz w:val="24"/>
          <w:szCs w:val="24"/>
          <w:u w:val="single"/>
        </w:rPr>
        <w:t>el nombre no es un requisito indispensable</w:t>
      </w:r>
      <w:r w:rsidRPr="00736D29">
        <w:rPr>
          <w:sz w:val="24"/>
          <w:szCs w:val="24"/>
        </w:rPr>
        <w:t xml:space="preserve"> para que las y los ciudadanos ejerzan el derecho de acceso a la información pública. </w:t>
      </w:r>
    </w:p>
    <w:p w:rsidR="00B67646" w:rsidRPr="00736D29" w:rsidRDefault="00B67646" w:rsidP="00736D29">
      <w:pPr>
        <w:rPr>
          <w:sz w:val="24"/>
          <w:szCs w:val="24"/>
        </w:rPr>
      </w:pPr>
    </w:p>
    <w:p w:rsidR="00B67646" w:rsidRPr="00736D29" w:rsidRDefault="0019599A" w:rsidP="00736D29">
      <w:r w:rsidRPr="00736D29">
        <w:rPr>
          <w:sz w:val="24"/>
          <w:szCs w:val="24"/>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w:t>
      </w:r>
      <w:r w:rsidRPr="00736D29">
        <w:rPr>
          <w:sz w:val="24"/>
          <w:szCs w:val="24"/>
        </w:rPr>
        <w:lastRenderedPageBreak/>
        <w:t xml:space="preserve">el nombre de </w:t>
      </w:r>
      <w:r w:rsidRPr="00736D29">
        <w:rPr>
          <w:b/>
          <w:sz w:val="24"/>
          <w:szCs w:val="24"/>
        </w:rPr>
        <w:t>LA PARTE RECURRENTE;</w:t>
      </w:r>
      <w:r w:rsidRPr="00736D29">
        <w:rPr>
          <w:sz w:val="24"/>
          <w:szCs w:val="24"/>
        </w:rPr>
        <w:t xml:space="preserve"> por lo que, en el presente caso, al haber sido presentado el recurso de revisión vía SAIMEX, dicho requisito resulta innecesario.</w:t>
      </w:r>
    </w:p>
    <w:p w:rsidR="00B67646" w:rsidRPr="00736D29" w:rsidRDefault="00B67646" w:rsidP="00736D29"/>
    <w:p w:rsidR="00B67646" w:rsidRPr="00736D29" w:rsidRDefault="0019599A" w:rsidP="00736D29">
      <w:pPr>
        <w:pStyle w:val="Ttulo2"/>
      </w:pPr>
      <w:bookmarkStart w:id="21" w:name="_Toc199350154"/>
      <w:r w:rsidRPr="00736D29">
        <w:t>SEGUNDO. Estudio de Fondo</w:t>
      </w:r>
      <w:bookmarkEnd w:id="21"/>
    </w:p>
    <w:p w:rsidR="00B67646" w:rsidRPr="00736D29" w:rsidRDefault="0019599A" w:rsidP="00736D29">
      <w:pPr>
        <w:pStyle w:val="Ttulo3"/>
      </w:pPr>
      <w:bookmarkStart w:id="22" w:name="_Toc199350155"/>
      <w:r w:rsidRPr="00736D29">
        <w:t>a) Mandato de transparencia y responsabilidad del Sujeto Obligado</w:t>
      </w:r>
      <w:bookmarkEnd w:id="22"/>
    </w:p>
    <w:p w:rsidR="00B67646" w:rsidRPr="00736D29" w:rsidRDefault="0019599A" w:rsidP="00736D29">
      <w:r w:rsidRPr="00736D29">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B67646" w:rsidRPr="00736D29" w:rsidRDefault="00B67646" w:rsidP="00736D29"/>
    <w:p w:rsidR="00B67646" w:rsidRPr="00736D29" w:rsidRDefault="0019599A" w:rsidP="00736D29">
      <w:pPr>
        <w:spacing w:line="240" w:lineRule="auto"/>
        <w:ind w:left="567" w:right="539"/>
        <w:rPr>
          <w:b/>
          <w:i/>
        </w:rPr>
      </w:pPr>
      <w:r w:rsidRPr="00736D29">
        <w:rPr>
          <w:b/>
          <w:i/>
        </w:rPr>
        <w:t>Constitución Política de los Estados Unidos Mexicanos</w:t>
      </w:r>
    </w:p>
    <w:p w:rsidR="00B67646" w:rsidRPr="00736D29" w:rsidRDefault="0019599A" w:rsidP="00736D29">
      <w:pPr>
        <w:spacing w:line="240" w:lineRule="auto"/>
        <w:ind w:left="567" w:right="539"/>
        <w:rPr>
          <w:b/>
          <w:i/>
        </w:rPr>
      </w:pPr>
      <w:r w:rsidRPr="00736D29">
        <w:rPr>
          <w:b/>
          <w:i/>
        </w:rPr>
        <w:t>“Artículo 6.</w:t>
      </w:r>
    </w:p>
    <w:p w:rsidR="00B67646" w:rsidRPr="00736D29" w:rsidRDefault="0019599A" w:rsidP="00736D29">
      <w:pPr>
        <w:spacing w:line="240" w:lineRule="auto"/>
        <w:ind w:left="567" w:right="539"/>
        <w:rPr>
          <w:i/>
        </w:rPr>
      </w:pPr>
      <w:r w:rsidRPr="00736D29">
        <w:rPr>
          <w:i/>
        </w:rPr>
        <w:t>(…)</w:t>
      </w:r>
    </w:p>
    <w:p w:rsidR="00B67646" w:rsidRPr="00736D29" w:rsidRDefault="0019599A" w:rsidP="00736D29">
      <w:pPr>
        <w:spacing w:line="240" w:lineRule="auto"/>
        <w:ind w:left="567" w:right="539"/>
        <w:rPr>
          <w:i/>
        </w:rPr>
      </w:pPr>
      <w:r w:rsidRPr="00736D29">
        <w:rPr>
          <w:i/>
        </w:rPr>
        <w:t>Para efectos de lo dispuesto en el presente artículo se observará lo siguiente:</w:t>
      </w:r>
    </w:p>
    <w:p w:rsidR="00B67646" w:rsidRPr="00736D29" w:rsidRDefault="0019599A" w:rsidP="00736D29">
      <w:pPr>
        <w:spacing w:line="240" w:lineRule="auto"/>
        <w:ind w:left="567" w:right="539"/>
        <w:rPr>
          <w:b/>
          <w:i/>
        </w:rPr>
      </w:pPr>
      <w:r w:rsidRPr="00736D29">
        <w:rPr>
          <w:b/>
          <w:i/>
        </w:rPr>
        <w:t>A</w:t>
      </w:r>
      <w:r w:rsidRPr="00736D29">
        <w:rPr>
          <w:i/>
        </w:rPr>
        <w:t xml:space="preserve">. </w:t>
      </w:r>
      <w:r w:rsidRPr="00736D29">
        <w:rPr>
          <w:b/>
          <w:i/>
        </w:rPr>
        <w:t>Para el ejercicio del derecho de acceso a la información</w:t>
      </w:r>
      <w:r w:rsidRPr="00736D29">
        <w:rPr>
          <w:i/>
        </w:rPr>
        <w:t xml:space="preserve">, la Federación y </w:t>
      </w:r>
      <w:r w:rsidRPr="00736D29">
        <w:rPr>
          <w:b/>
          <w:i/>
        </w:rPr>
        <w:t>las entidades federativas, en el ámbito de sus respectivas competencias, se regirán por los siguientes principios y bases:</w:t>
      </w:r>
    </w:p>
    <w:p w:rsidR="00B67646" w:rsidRPr="00736D29" w:rsidRDefault="0019599A" w:rsidP="00736D29">
      <w:pPr>
        <w:spacing w:line="240" w:lineRule="auto"/>
        <w:ind w:left="567" w:right="539"/>
        <w:rPr>
          <w:i/>
        </w:rPr>
      </w:pPr>
      <w:r w:rsidRPr="00736D29">
        <w:rPr>
          <w:b/>
          <w:i/>
        </w:rPr>
        <w:t xml:space="preserve">I. </w:t>
      </w:r>
      <w:r w:rsidRPr="00736D29">
        <w:rPr>
          <w:b/>
          <w:i/>
        </w:rPr>
        <w:tab/>
        <w:t>Toda la información en posesión de cualquier</w:t>
      </w:r>
      <w:r w:rsidRPr="00736D29">
        <w:rPr>
          <w:i/>
        </w:rPr>
        <w:t xml:space="preserve"> </w:t>
      </w:r>
      <w:r w:rsidRPr="00736D29">
        <w:rPr>
          <w:b/>
          <w:i/>
        </w:rPr>
        <w:t>autoridad</w:t>
      </w:r>
      <w:r w:rsidRPr="00736D2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36D29">
        <w:rPr>
          <w:b/>
          <w:i/>
        </w:rPr>
        <w:t>municipal</w:t>
      </w:r>
      <w:r w:rsidRPr="00736D29">
        <w:rPr>
          <w:i/>
        </w:rPr>
        <w:t xml:space="preserve">, </w:t>
      </w:r>
      <w:r w:rsidRPr="00736D29">
        <w:rPr>
          <w:b/>
          <w:i/>
        </w:rPr>
        <w:t>es pública</w:t>
      </w:r>
      <w:r w:rsidRPr="00736D29">
        <w:rPr>
          <w:i/>
        </w:rPr>
        <w:t xml:space="preserve"> y sólo podrá ser reservada temporalmente por razones de interés público y seguridad nacional, en los términos que fijen las leyes. </w:t>
      </w:r>
      <w:r w:rsidRPr="00736D29">
        <w:rPr>
          <w:b/>
          <w:i/>
        </w:rPr>
        <w:t>En la interpretación de este derecho deberá prevalecer el principio de máxima publicidad. Los sujetos obligados deberán documentar todo acto que derive del ejercicio de sus facultades, competencias o funciones</w:t>
      </w:r>
      <w:r w:rsidRPr="00736D29">
        <w:rPr>
          <w:i/>
        </w:rPr>
        <w:t>, la ley determinará los supuestos específicos bajo los cuales procederá la declaración de inexistencia de la información.”</w:t>
      </w:r>
    </w:p>
    <w:p w:rsidR="00B67646" w:rsidRPr="00736D29" w:rsidRDefault="00B67646" w:rsidP="00736D29">
      <w:pPr>
        <w:spacing w:line="240" w:lineRule="auto"/>
        <w:ind w:left="567" w:right="539"/>
        <w:rPr>
          <w:b/>
          <w:i/>
        </w:rPr>
      </w:pPr>
    </w:p>
    <w:p w:rsidR="00B67646" w:rsidRPr="00736D29" w:rsidRDefault="0019599A" w:rsidP="00736D29">
      <w:pPr>
        <w:spacing w:line="240" w:lineRule="auto"/>
        <w:ind w:left="567" w:right="539"/>
        <w:rPr>
          <w:b/>
          <w:i/>
        </w:rPr>
      </w:pPr>
      <w:r w:rsidRPr="00736D29">
        <w:rPr>
          <w:b/>
          <w:i/>
        </w:rPr>
        <w:t>Constitución Política del Estado Libre y Soberano de México</w:t>
      </w:r>
    </w:p>
    <w:p w:rsidR="00B67646" w:rsidRPr="00736D29" w:rsidRDefault="0019599A" w:rsidP="00736D29">
      <w:pPr>
        <w:spacing w:line="240" w:lineRule="auto"/>
        <w:ind w:left="567" w:right="539"/>
        <w:rPr>
          <w:i/>
        </w:rPr>
      </w:pPr>
      <w:r w:rsidRPr="00736D29">
        <w:rPr>
          <w:b/>
          <w:i/>
        </w:rPr>
        <w:t>“Artículo 5</w:t>
      </w:r>
      <w:r w:rsidRPr="00736D29">
        <w:rPr>
          <w:i/>
        </w:rPr>
        <w:t xml:space="preserve">.- </w:t>
      </w:r>
    </w:p>
    <w:p w:rsidR="00B67646" w:rsidRPr="00736D29" w:rsidRDefault="0019599A" w:rsidP="00736D29">
      <w:pPr>
        <w:spacing w:line="240" w:lineRule="auto"/>
        <w:ind w:left="567" w:right="539"/>
        <w:rPr>
          <w:i/>
        </w:rPr>
      </w:pPr>
      <w:r w:rsidRPr="00736D29">
        <w:rPr>
          <w:i/>
        </w:rPr>
        <w:t>(…)</w:t>
      </w:r>
    </w:p>
    <w:p w:rsidR="00B67646" w:rsidRPr="00736D29" w:rsidRDefault="0019599A" w:rsidP="00736D29">
      <w:pPr>
        <w:spacing w:line="240" w:lineRule="auto"/>
        <w:ind w:left="567" w:right="539"/>
        <w:rPr>
          <w:i/>
        </w:rPr>
      </w:pPr>
      <w:r w:rsidRPr="00736D29">
        <w:rPr>
          <w:b/>
          <w:i/>
        </w:rPr>
        <w:t>El derecho a la información será garantizado por el Estado. La ley establecerá las previsiones que permitan asegurar la protección, el respeto y la difusión de este derecho</w:t>
      </w:r>
      <w:r w:rsidRPr="00736D29">
        <w:rPr>
          <w:i/>
        </w:rPr>
        <w:t>.</w:t>
      </w:r>
    </w:p>
    <w:p w:rsidR="00B67646" w:rsidRPr="00736D29" w:rsidRDefault="0019599A" w:rsidP="00736D29">
      <w:pPr>
        <w:spacing w:line="240" w:lineRule="auto"/>
        <w:ind w:left="567" w:right="539"/>
        <w:rPr>
          <w:i/>
        </w:rPr>
      </w:pPr>
      <w:r w:rsidRPr="00736D29">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67646" w:rsidRPr="00736D29" w:rsidRDefault="0019599A" w:rsidP="00736D29">
      <w:pPr>
        <w:spacing w:line="240" w:lineRule="auto"/>
        <w:ind w:left="567" w:right="539"/>
        <w:rPr>
          <w:i/>
        </w:rPr>
      </w:pPr>
      <w:r w:rsidRPr="00736D29">
        <w:rPr>
          <w:b/>
          <w:i/>
        </w:rPr>
        <w:t>Este derecho se regirá por los principios y bases siguientes</w:t>
      </w:r>
      <w:r w:rsidRPr="00736D29">
        <w:rPr>
          <w:i/>
        </w:rPr>
        <w:t>:</w:t>
      </w:r>
    </w:p>
    <w:p w:rsidR="00B67646" w:rsidRPr="00736D29" w:rsidRDefault="0019599A" w:rsidP="00736D29">
      <w:pPr>
        <w:spacing w:line="240" w:lineRule="auto"/>
        <w:ind w:left="567" w:right="539"/>
        <w:rPr>
          <w:i/>
        </w:rPr>
      </w:pPr>
      <w:r w:rsidRPr="00736D29">
        <w:rPr>
          <w:b/>
          <w:i/>
        </w:rPr>
        <w:t>I. Toda la información en posesión de cualquier autoridad, entidad, órgano y organismos de los</w:t>
      </w:r>
      <w:r w:rsidRPr="00736D29">
        <w:rPr>
          <w:i/>
        </w:rPr>
        <w:t xml:space="preserve"> Poderes Ejecutivo, Legislativo y Judicial, órganos autónomos, partidos políticos, fideicomisos y fondos públicos estatales y </w:t>
      </w:r>
      <w:r w:rsidRPr="00736D29">
        <w:rPr>
          <w:b/>
          <w:i/>
        </w:rPr>
        <w:t>municipales</w:t>
      </w:r>
      <w:r w:rsidRPr="00736D2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36D29">
        <w:rPr>
          <w:b/>
          <w:i/>
        </w:rPr>
        <w:t>es pública</w:t>
      </w:r>
      <w:r w:rsidRPr="00736D29">
        <w:rPr>
          <w:i/>
        </w:rPr>
        <w:t xml:space="preserve"> y sólo podrá ser reservada temporalmente por razones previstas en la Constitución Política de los Estados Unidos Mexicanos de interés público y seguridad, en los términos que fijen las leyes. </w:t>
      </w:r>
      <w:r w:rsidRPr="00736D29">
        <w:rPr>
          <w:b/>
          <w:i/>
        </w:rPr>
        <w:t>En la interpretación de este derecho deberá prevalecer el principio de máxima publicidad</w:t>
      </w:r>
      <w:r w:rsidRPr="00736D29">
        <w:rPr>
          <w:i/>
        </w:rPr>
        <w:t xml:space="preserve">. </w:t>
      </w:r>
      <w:r w:rsidRPr="00736D29">
        <w:rPr>
          <w:b/>
          <w:i/>
        </w:rPr>
        <w:t>Los sujetos obligados deberán documentar todo acto que derive del ejercicio de sus facultades, competencias o funciones</w:t>
      </w:r>
      <w:r w:rsidRPr="00736D29">
        <w:rPr>
          <w:i/>
        </w:rPr>
        <w:t>, la ley determinará los supuestos específicos bajo los cuales procederá la declaración de inexistencia de la información.”</w:t>
      </w:r>
    </w:p>
    <w:p w:rsidR="00B67646" w:rsidRPr="00736D29" w:rsidRDefault="00B67646" w:rsidP="00736D29">
      <w:pPr>
        <w:rPr>
          <w:b/>
          <w:i/>
        </w:rPr>
      </w:pPr>
    </w:p>
    <w:p w:rsidR="00B67646" w:rsidRPr="00736D29" w:rsidRDefault="0019599A" w:rsidP="00736D29">
      <w:pPr>
        <w:rPr>
          <w:i/>
        </w:rPr>
      </w:pPr>
      <w:r w:rsidRPr="00736D2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36D29">
        <w:rPr>
          <w:i/>
        </w:rPr>
        <w:t>por los principios de simplicidad, rapidez, gratuidad del procedimiento, auxilio y orientación a los particulares.</w:t>
      </w:r>
    </w:p>
    <w:p w:rsidR="00B67646" w:rsidRPr="00736D29" w:rsidRDefault="00B67646" w:rsidP="00736D29">
      <w:pPr>
        <w:rPr>
          <w:i/>
        </w:rPr>
      </w:pPr>
    </w:p>
    <w:p w:rsidR="00B67646" w:rsidRPr="00736D29" w:rsidRDefault="0019599A" w:rsidP="00736D29">
      <w:pPr>
        <w:rPr>
          <w:i/>
        </w:rPr>
      </w:pPr>
      <w:r w:rsidRPr="00736D2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B67646" w:rsidRPr="00736D29" w:rsidRDefault="00B67646" w:rsidP="00736D29"/>
    <w:p w:rsidR="00B67646" w:rsidRPr="00736D29" w:rsidRDefault="0019599A" w:rsidP="00736D29">
      <w:r w:rsidRPr="00736D29">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736D29">
        <w:lastRenderedPageBreak/>
        <w:t>conforme al interés del solicitante; tal y como lo establece el artículo 12 de la Ley de Transparencia y Acceso a la Información Pública del Estado de México y Municipios.</w:t>
      </w:r>
    </w:p>
    <w:p w:rsidR="00B67646" w:rsidRPr="00736D29" w:rsidRDefault="00B67646" w:rsidP="00736D29"/>
    <w:p w:rsidR="00B67646" w:rsidRPr="00736D29" w:rsidRDefault="0019599A" w:rsidP="00736D29">
      <w:r w:rsidRPr="00736D29">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B67646" w:rsidRPr="00736D29" w:rsidRDefault="00B67646" w:rsidP="00736D29"/>
    <w:p w:rsidR="00B67646" w:rsidRPr="00736D29" w:rsidRDefault="0019599A" w:rsidP="00736D29">
      <w:r w:rsidRPr="00736D2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B67646" w:rsidRPr="00736D29" w:rsidRDefault="00B67646" w:rsidP="00736D29"/>
    <w:p w:rsidR="00B67646" w:rsidRPr="00736D29" w:rsidRDefault="0019599A" w:rsidP="00736D29">
      <w:bookmarkStart w:id="23" w:name="_heading=h.2s8eyo1" w:colFirst="0" w:colLast="0"/>
      <w:bookmarkEnd w:id="23"/>
      <w:r w:rsidRPr="00736D29">
        <w:t xml:space="preserve">Con base en lo anterior, se considera que </w:t>
      </w:r>
      <w:r w:rsidRPr="00736D29">
        <w:rPr>
          <w:b/>
        </w:rPr>
        <w:t>la autoridad</w:t>
      </w:r>
      <w:r w:rsidRPr="00736D29">
        <w:t xml:space="preserve"> se encontraba obligada a atender la solicitud de acceso a la información realizada por </w:t>
      </w:r>
      <w:r w:rsidRPr="00736D29">
        <w:rPr>
          <w:b/>
        </w:rPr>
        <w:t>LA PARTE RECURRENTE</w:t>
      </w:r>
      <w:r w:rsidRPr="00736D29">
        <w:t>.</w:t>
      </w:r>
    </w:p>
    <w:p w:rsidR="00B67646" w:rsidRPr="00736D29" w:rsidRDefault="00B67646" w:rsidP="00736D29"/>
    <w:p w:rsidR="00B67646" w:rsidRPr="00736D29" w:rsidRDefault="0019599A" w:rsidP="00736D29">
      <w:pPr>
        <w:pStyle w:val="Ttulo3"/>
      </w:pPr>
      <w:bookmarkStart w:id="24" w:name="_Toc199350156"/>
      <w:r w:rsidRPr="00736D29">
        <w:t>b) Controversia a resolver</w:t>
      </w:r>
      <w:bookmarkEnd w:id="24"/>
    </w:p>
    <w:p w:rsidR="00B67646" w:rsidRPr="00736D29" w:rsidRDefault="0019599A" w:rsidP="00736D29">
      <w:r w:rsidRPr="00736D29">
        <w:t xml:space="preserve">Con el objeto de ilustrar la controversia planteada, resulta conveniente precisar que, una vez realizado el estudio de las constancias que integran el expediente en que se actúa, se desprende que </w:t>
      </w:r>
      <w:r w:rsidRPr="00736D29">
        <w:rPr>
          <w:b/>
        </w:rPr>
        <w:t>LA PARTE RECURRENTE</w:t>
      </w:r>
      <w:r w:rsidRPr="00736D29">
        <w:t xml:space="preserve"> solicitó los contratos celebrados por cualquier motivo del 01 de enero de 2024 al 17 de febrero 2025. </w:t>
      </w:r>
    </w:p>
    <w:p w:rsidR="00B67646" w:rsidRPr="00736D29" w:rsidRDefault="00B67646" w:rsidP="00736D29">
      <w:pPr>
        <w:tabs>
          <w:tab w:val="left" w:pos="4962"/>
        </w:tabs>
      </w:pPr>
    </w:p>
    <w:p w:rsidR="00B67646" w:rsidRPr="00736D29" w:rsidRDefault="0019599A" w:rsidP="00736D29">
      <w:pPr>
        <w:ind w:right="-28"/>
      </w:pPr>
      <w:r w:rsidRPr="00736D29">
        <w:t xml:space="preserve">En respuesta, </w:t>
      </w:r>
      <w:r w:rsidRPr="00736D29">
        <w:rPr>
          <w:b/>
        </w:rPr>
        <w:t>EL SUJETO OBLIGADO</w:t>
      </w:r>
      <w:r w:rsidRPr="00736D29">
        <w:t xml:space="preserve"> se pronunció por conducto Titular de la Unidad de Transparencia en donde refiere adjuntar la información proporcionada por el área a la que le fue turnada la solicitud de información, asimismo a través de la respuesta primigenia se remitió un soporte documental referente a los contratos celebrados por motivo de obra pública, así como una liga electrónica remitida por la Directora de Administración en donde refiere se encuentra la información correspondiente a los departamentos de recursos materiales y adquisiciones</w:t>
      </w:r>
      <w:r w:rsidRPr="00736D29">
        <w:rPr>
          <w:b/>
        </w:rPr>
        <w:t xml:space="preserve">. </w:t>
      </w:r>
    </w:p>
    <w:p w:rsidR="00B67646" w:rsidRPr="00736D29" w:rsidRDefault="00B67646" w:rsidP="00736D29">
      <w:pPr>
        <w:tabs>
          <w:tab w:val="left" w:pos="4962"/>
        </w:tabs>
      </w:pPr>
    </w:p>
    <w:p w:rsidR="00B67646" w:rsidRPr="00736D29" w:rsidRDefault="0019599A" w:rsidP="00736D29">
      <w:pPr>
        <w:tabs>
          <w:tab w:val="left" w:pos="4962"/>
        </w:tabs>
      </w:pPr>
      <w:r w:rsidRPr="00736D29">
        <w:t xml:space="preserve">Ahora bien, en la interposición del presente recurso </w:t>
      </w:r>
      <w:r w:rsidRPr="00736D29">
        <w:rPr>
          <w:b/>
        </w:rPr>
        <w:t>LA PARTE RECURRENTE</w:t>
      </w:r>
      <w:r w:rsidRPr="00736D29">
        <w:t xml:space="preserve"> se inconformó de la declaración de la entrega de información incompleta.</w:t>
      </w:r>
    </w:p>
    <w:p w:rsidR="00B67646" w:rsidRPr="00736D29" w:rsidRDefault="00B67646" w:rsidP="00736D29">
      <w:pPr>
        <w:tabs>
          <w:tab w:val="left" w:pos="4962"/>
        </w:tabs>
      </w:pPr>
    </w:p>
    <w:p w:rsidR="00B67646" w:rsidRPr="00736D29" w:rsidRDefault="0019599A" w:rsidP="00736D29">
      <w:r w:rsidRPr="00736D29">
        <w:t xml:space="preserve">Abierta la etapa de instrucción, </w:t>
      </w:r>
      <w:r w:rsidRPr="00736D29">
        <w:rPr>
          <w:b/>
        </w:rPr>
        <w:t>EL SUJETO OBLIGADO</w:t>
      </w:r>
      <w:r w:rsidRPr="00736D29">
        <w:t xml:space="preserve"> rindió su Informe Justificado, observándose que se modifica la respuesta inicial, ya que la Directora de Administración manifiesta que después de haber realizado una búsqueda exhaustiva en el departamento de recursos materiales y adquisiciones, se anexan los contratos que obran en dicho departamento a la fecha de la solicitud, remitiendo de tal forma el soporte documental referido.</w:t>
      </w:r>
    </w:p>
    <w:p w:rsidR="00B67646" w:rsidRPr="00736D29" w:rsidRDefault="00B67646" w:rsidP="00736D29"/>
    <w:p w:rsidR="00B67646" w:rsidRPr="00736D29" w:rsidRDefault="0019599A" w:rsidP="00736D29">
      <w:pPr>
        <w:tabs>
          <w:tab w:val="left" w:pos="4962"/>
        </w:tabs>
      </w:pPr>
      <w:r w:rsidRPr="00736D29">
        <w:t xml:space="preserve">Bajo las premisas anteriores, se concluye que la controversia a dilucidar en el presente medio de impugnación será verificar si la información proporcionada en respuesta y en informe justificado por </w:t>
      </w:r>
      <w:r w:rsidRPr="00736D29">
        <w:rPr>
          <w:b/>
        </w:rPr>
        <w:t xml:space="preserve">EL SUJETO OBLIGADO </w:t>
      </w:r>
      <w:r w:rsidRPr="00736D29">
        <w:t xml:space="preserve">es adecuada y suficiente para tener por satisfecho el derecho de acceso a la información pública de </w:t>
      </w:r>
      <w:r w:rsidRPr="00736D29">
        <w:rPr>
          <w:b/>
        </w:rPr>
        <w:t>LA PARTE RECURRENTE</w:t>
      </w:r>
      <w:r w:rsidRPr="00736D29">
        <w:t xml:space="preserve">, o en su caso, ordenar la entrega de la información que corresponda.  </w:t>
      </w:r>
    </w:p>
    <w:p w:rsidR="00B67646" w:rsidRPr="00736D29" w:rsidRDefault="00B67646" w:rsidP="00736D29"/>
    <w:p w:rsidR="00B67646" w:rsidRPr="00736D29" w:rsidRDefault="0019599A" w:rsidP="00736D29">
      <w:pPr>
        <w:pStyle w:val="Ttulo3"/>
      </w:pPr>
      <w:bookmarkStart w:id="25" w:name="_Toc199350157"/>
      <w:r w:rsidRPr="00736D29">
        <w:lastRenderedPageBreak/>
        <w:t>c) Estudio de la controversia</w:t>
      </w:r>
      <w:bookmarkEnd w:id="25"/>
    </w:p>
    <w:p w:rsidR="00B67646" w:rsidRPr="00736D29" w:rsidRDefault="0019599A" w:rsidP="00736D29">
      <w:pPr>
        <w:ind w:right="-28"/>
      </w:pPr>
      <w:r w:rsidRPr="00736D29">
        <w:t xml:space="preserve">En primera instancia, resulta viable hacer mención que, el Bando Municipal vigente para el </w:t>
      </w:r>
      <w:r w:rsidRPr="00736D29">
        <w:rPr>
          <w:b/>
        </w:rPr>
        <w:t xml:space="preserve">SUJETO OBLIGADO, </w:t>
      </w:r>
      <w:r w:rsidRPr="00736D29">
        <w:t>establece lo siguiente:</w:t>
      </w:r>
    </w:p>
    <w:p w:rsidR="00B67646" w:rsidRPr="00736D29" w:rsidRDefault="00B67646" w:rsidP="00736D29">
      <w:pPr>
        <w:ind w:right="-28"/>
      </w:pPr>
    </w:p>
    <w:p w:rsidR="00B67646" w:rsidRPr="00736D29" w:rsidRDefault="0019599A" w:rsidP="00736D29">
      <w:pPr>
        <w:spacing w:line="240" w:lineRule="auto"/>
        <w:ind w:left="567" w:right="539"/>
        <w:rPr>
          <w:i/>
        </w:rPr>
      </w:pPr>
      <w:r w:rsidRPr="00736D29">
        <w:rPr>
          <w:b/>
          <w:i/>
        </w:rPr>
        <w:t>Artículo 37.</w:t>
      </w:r>
      <w:r w:rsidRPr="00736D29">
        <w:rPr>
          <w:i/>
        </w:rPr>
        <w:t xml:space="preserve"> La o el Presidente Municipal, tiene entre sus atribuciones las señalas por el artículo 48 de la Ley Orgánica Municipal del Estado de México, las cuales a continuación se mencionan:</w:t>
      </w:r>
    </w:p>
    <w:p w:rsidR="00B67646" w:rsidRPr="00736D29" w:rsidRDefault="0019599A" w:rsidP="00736D29">
      <w:pPr>
        <w:spacing w:line="240" w:lineRule="auto"/>
        <w:ind w:left="567" w:right="539"/>
        <w:rPr>
          <w:i/>
        </w:rPr>
      </w:pPr>
      <w:r w:rsidRPr="00736D29">
        <w:rPr>
          <w:i/>
        </w:rPr>
        <w:t>(…)</w:t>
      </w:r>
    </w:p>
    <w:p w:rsidR="00B67646" w:rsidRPr="00736D29" w:rsidRDefault="0019599A" w:rsidP="00736D29">
      <w:pPr>
        <w:spacing w:line="240" w:lineRule="auto"/>
        <w:ind w:left="567" w:right="539"/>
      </w:pPr>
      <w:r w:rsidRPr="00736D29">
        <w:rPr>
          <w:i/>
        </w:rPr>
        <w:t>VIII. Contratar y concertar en representación del ayuntamiento y previo acuerdo de éste, la realización de obras y la prestación de servicios públicos, por terceros o con el concurso del Estado o de otros ayuntamientos;</w:t>
      </w:r>
    </w:p>
    <w:p w:rsidR="00B67646" w:rsidRPr="00736D29" w:rsidRDefault="00B67646" w:rsidP="00736D29">
      <w:pPr>
        <w:ind w:right="-28"/>
      </w:pPr>
    </w:p>
    <w:p w:rsidR="00B67646" w:rsidRPr="00736D29" w:rsidRDefault="0019599A" w:rsidP="00736D29">
      <w:pPr>
        <w:ind w:right="-28"/>
      </w:pPr>
      <w:r w:rsidRPr="00736D29">
        <w:t>De igual forma el marco normativo en referencia, contempla el numeral 74 que establece que la administración pública municipal cada dependencia o dirección contará con departamentos según sus necesidades, que de nuestro interés toma relevancia las siguientes:</w:t>
      </w:r>
    </w:p>
    <w:p w:rsidR="00B67646" w:rsidRPr="00736D29" w:rsidRDefault="00B67646" w:rsidP="00736D29">
      <w:pPr>
        <w:ind w:right="-28"/>
      </w:pPr>
    </w:p>
    <w:p w:rsidR="00B67646" w:rsidRPr="00736D29" w:rsidRDefault="0019599A" w:rsidP="00736D29">
      <w:pPr>
        <w:spacing w:line="240" w:lineRule="auto"/>
        <w:ind w:left="567" w:right="539"/>
        <w:rPr>
          <w:i/>
        </w:rPr>
      </w:pPr>
      <w:r w:rsidRPr="00736D29">
        <w:rPr>
          <w:b/>
          <w:i/>
        </w:rPr>
        <w:t>Artículo 74.</w:t>
      </w:r>
      <w:r w:rsidRPr="00736D29">
        <w:rPr>
          <w:i/>
        </w:rPr>
        <w:t xml:space="preserve"> Para el adecuado funcionamiento de la Administración Pública Municipal, cada Dependencia o Dirección contará con los Departamentos, Coordinaciones, Oficialías, Áreas y Unidades Administrativas necesarias, conforme a sus recursos presupuestales.</w:t>
      </w:r>
    </w:p>
    <w:p w:rsidR="00B67646" w:rsidRPr="00736D29" w:rsidRDefault="0019599A" w:rsidP="00736D29">
      <w:pPr>
        <w:spacing w:line="240" w:lineRule="auto"/>
        <w:ind w:left="567" w:right="539"/>
        <w:rPr>
          <w:i/>
        </w:rPr>
      </w:pPr>
      <w:r w:rsidRPr="00736D29">
        <w:rPr>
          <w:i/>
        </w:rPr>
        <w:t>(…)</w:t>
      </w:r>
    </w:p>
    <w:p w:rsidR="00B67646" w:rsidRPr="00736D29" w:rsidRDefault="0019599A" w:rsidP="00736D29">
      <w:pPr>
        <w:spacing w:line="240" w:lineRule="auto"/>
        <w:ind w:left="567" w:right="539"/>
        <w:rPr>
          <w:i/>
        </w:rPr>
      </w:pPr>
      <w:r w:rsidRPr="00736D29">
        <w:rPr>
          <w:i/>
        </w:rPr>
        <w:t>6. Dirección de Administración.</w:t>
      </w:r>
    </w:p>
    <w:p w:rsidR="00B67646" w:rsidRPr="00736D29" w:rsidRDefault="0019599A" w:rsidP="00736D29">
      <w:pPr>
        <w:spacing w:line="240" w:lineRule="auto"/>
        <w:ind w:left="567" w:right="539"/>
        <w:rPr>
          <w:b/>
          <w:i/>
        </w:rPr>
      </w:pPr>
      <w:r w:rsidRPr="00736D29">
        <w:rPr>
          <w:b/>
          <w:i/>
        </w:rPr>
        <w:t>6.1. Departamento de Recursos Materiales y Adquisiciones.</w:t>
      </w:r>
    </w:p>
    <w:p w:rsidR="00B67646" w:rsidRPr="00736D29" w:rsidRDefault="0019599A" w:rsidP="00736D29">
      <w:pPr>
        <w:spacing w:line="240" w:lineRule="auto"/>
        <w:ind w:left="567" w:right="539"/>
        <w:rPr>
          <w:i/>
        </w:rPr>
      </w:pPr>
      <w:r w:rsidRPr="00736D29">
        <w:rPr>
          <w:i/>
        </w:rPr>
        <w:t>6.2. Coordinación de Parque Vehicular.</w:t>
      </w:r>
    </w:p>
    <w:p w:rsidR="00B67646" w:rsidRPr="00736D29" w:rsidRDefault="0019599A" w:rsidP="00736D29">
      <w:pPr>
        <w:spacing w:line="240" w:lineRule="auto"/>
        <w:ind w:left="567" w:right="539"/>
        <w:rPr>
          <w:i/>
        </w:rPr>
      </w:pPr>
      <w:r w:rsidRPr="00736D29">
        <w:rPr>
          <w:i/>
        </w:rPr>
        <w:t>6.3. Departamento de Recursos Humanos.</w:t>
      </w:r>
    </w:p>
    <w:p w:rsidR="00B67646" w:rsidRPr="00736D29" w:rsidRDefault="0019599A" w:rsidP="00736D29">
      <w:pPr>
        <w:spacing w:line="240" w:lineRule="auto"/>
        <w:ind w:left="567" w:right="539"/>
        <w:rPr>
          <w:i/>
        </w:rPr>
      </w:pPr>
      <w:r w:rsidRPr="00736D29">
        <w:rPr>
          <w:i/>
        </w:rPr>
        <w:t>6.4. Departamento de Tecnologías de la Información.</w:t>
      </w:r>
    </w:p>
    <w:p w:rsidR="00B67646" w:rsidRPr="00736D29" w:rsidRDefault="0019599A" w:rsidP="00736D29">
      <w:pPr>
        <w:spacing w:line="240" w:lineRule="auto"/>
        <w:ind w:left="567" w:right="539"/>
        <w:rPr>
          <w:i/>
        </w:rPr>
      </w:pPr>
      <w:r w:rsidRPr="00736D29">
        <w:rPr>
          <w:i/>
        </w:rPr>
        <w:t>(…)</w:t>
      </w:r>
    </w:p>
    <w:p w:rsidR="00B67646" w:rsidRPr="00736D29" w:rsidRDefault="0019599A" w:rsidP="00736D29">
      <w:pPr>
        <w:spacing w:line="240" w:lineRule="auto"/>
        <w:ind w:left="567" w:right="539"/>
        <w:rPr>
          <w:b/>
          <w:i/>
        </w:rPr>
      </w:pPr>
      <w:r w:rsidRPr="00736D29">
        <w:rPr>
          <w:b/>
          <w:i/>
        </w:rPr>
        <w:t>8. Dirección de Obras Públicas.</w:t>
      </w:r>
    </w:p>
    <w:p w:rsidR="00B67646" w:rsidRPr="00736D29" w:rsidRDefault="0019599A" w:rsidP="00736D29">
      <w:pPr>
        <w:spacing w:line="240" w:lineRule="auto"/>
        <w:ind w:left="567" w:right="539"/>
        <w:rPr>
          <w:i/>
        </w:rPr>
      </w:pPr>
      <w:r w:rsidRPr="00736D29">
        <w:rPr>
          <w:i/>
        </w:rPr>
        <w:t>8.1. Subdirección de Obras Públicas.</w:t>
      </w:r>
    </w:p>
    <w:p w:rsidR="00B67646" w:rsidRPr="00736D29" w:rsidRDefault="0019599A" w:rsidP="00736D29">
      <w:pPr>
        <w:spacing w:line="240" w:lineRule="auto"/>
        <w:ind w:left="567" w:right="539"/>
        <w:rPr>
          <w:b/>
          <w:i/>
        </w:rPr>
      </w:pPr>
      <w:r w:rsidRPr="00736D29">
        <w:rPr>
          <w:i/>
        </w:rPr>
        <w:t xml:space="preserve"> </w:t>
      </w:r>
      <w:r w:rsidRPr="00736D29">
        <w:rPr>
          <w:b/>
          <w:i/>
        </w:rPr>
        <w:t>8.1.1. Coordinación de Licitaciones y Contratos.</w:t>
      </w:r>
    </w:p>
    <w:p w:rsidR="00B67646" w:rsidRPr="00736D29" w:rsidRDefault="0019599A" w:rsidP="00736D29">
      <w:pPr>
        <w:spacing w:line="240" w:lineRule="auto"/>
        <w:ind w:left="567" w:right="539"/>
        <w:rPr>
          <w:i/>
        </w:rPr>
      </w:pPr>
      <w:r w:rsidRPr="00736D29">
        <w:rPr>
          <w:i/>
        </w:rPr>
        <w:t xml:space="preserve"> 8.1.2. Coordinación de Supervisión y Proyectos.</w:t>
      </w:r>
    </w:p>
    <w:p w:rsidR="00B67646" w:rsidRPr="00736D29" w:rsidRDefault="0019599A" w:rsidP="00736D29">
      <w:pPr>
        <w:spacing w:line="240" w:lineRule="auto"/>
        <w:ind w:left="567" w:right="539"/>
        <w:rPr>
          <w:i/>
        </w:rPr>
      </w:pPr>
      <w:r w:rsidRPr="00736D29">
        <w:rPr>
          <w:i/>
        </w:rPr>
        <w:t xml:space="preserve"> 8.1.3. Coordinación del Banco de Tezontle.</w:t>
      </w:r>
    </w:p>
    <w:p w:rsidR="00B67646" w:rsidRPr="00736D29" w:rsidRDefault="0019599A" w:rsidP="00736D29">
      <w:pPr>
        <w:spacing w:line="240" w:lineRule="auto"/>
        <w:ind w:left="567" w:right="539"/>
      </w:pPr>
      <w:r w:rsidRPr="00736D29">
        <w:rPr>
          <w:i/>
        </w:rPr>
        <w:t>(…)</w:t>
      </w:r>
    </w:p>
    <w:p w:rsidR="00B67646" w:rsidRPr="00736D29" w:rsidRDefault="00B67646" w:rsidP="00736D29">
      <w:pPr>
        <w:ind w:right="-28"/>
      </w:pPr>
    </w:p>
    <w:p w:rsidR="00B67646" w:rsidRPr="00736D29" w:rsidRDefault="0019599A" w:rsidP="00736D29">
      <w:r w:rsidRPr="00736D29">
        <w:lastRenderedPageBreak/>
        <w:t xml:space="preserve">Precisado lo anterior, resulta necesario hacer referencia al </w:t>
      </w:r>
      <w:r w:rsidRPr="00736D29">
        <w:rPr>
          <w:b/>
        </w:rPr>
        <w:t>procedimiento de búsqueda que deben de seguir los Sujetos Obligados para localizar la información que le sea solicitada mediante el derecho de acceso a la información pública</w:t>
      </w:r>
      <w:r w:rsidRPr="00736D29">
        <w:t>, el cual se encuentra previsto en los artículos 160 y 162 de la Ley de Transparencia y Acceso a la Información Pública del Estado de México y Municipios, mismo que es el siguiente:</w:t>
      </w:r>
    </w:p>
    <w:p w:rsidR="00B67646" w:rsidRPr="00736D29" w:rsidRDefault="00B67646" w:rsidP="00736D29"/>
    <w:p w:rsidR="00B67646" w:rsidRPr="00736D29" w:rsidRDefault="0019599A" w:rsidP="00736D29">
      <w:pPr>
        <w:numPr>
          <w:ilvl w:val="0"/>
          <w:numId w:val="3"/>
        </w:numPr>
      </w:pPr>
      <w:r w:rsidRPr="00736D29">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rsidR="00B67646" w:rsidRPr="00736D29" w:rsidRDefault="00B67646" w:rsidP="00736D29"/>
    <w:p w:rsidR="00B67646" w:rsidRPr="00736D29" w:rsidRDefault="0019599A" w:rsidP="00736D29">
      <w:pPr>
        <w:numPr>
          <w:ilvl w:val="0"/>
          <w:numId w:val="3"/>
        </w:numPr>
      </w:pPr>
      <w:r w:rsidRPr="00736D29">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00B67646" w:rsidRPr="00736D29" w:rsidRDefault="00B67646" w:rsidP="00736D29"/>
    <w:p w:rsidR="00B67646" w:rsidRPr="00736D29" w:rsidRDefault="0019599A" w:rsidP="00736D29">
      <w:pPr>
        <w:rPr>
          <w:b/>
        </w:rPr>
      </w:pPr>
      <w:r w:rsidRPr="00736D29">
        <w:t>En ese tenor,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736D29">
        <w:rPr>
          <w:b/>
        </w:rPr>
        <w:t xml:space="preserve"> </w:t>
      </w:r>
    </w:p>
    <w:p w:rsidR="00B67646" w:rsidRPr="00736D29" w:rsidRDefault="00B67646" w:rsidP="00736D29"/>
    <w:p w:rsidR="00B67646" w:rsidRPr="00736D29" w:rsidRDefault="0019599A" w:rsidP="00736D29">
      <w:pPr>
        <w:pStyle w:val="Puesto"/>
        <w:ind w:firstLine="567"/>
        <w:jc w:val="center"/>
        <w:rPr>
          <w:b/>
        </w:rPr>
      </w:pPr>
      <w:r w:rsidRPr="00736D29">
        <w:rPr>
          <w:b/>
        </w:rPr>
        <w:lastRenderedPageBreak/>
        <w:t>“Ley de Transparencia y Acceso a la Información Pública del Estado de México y Municipios</w:t>
      </w:r>
    </w:p>
    <w:p w:rsidR="00B67646" w:rsidRPr="00736D29" w:rsidRDefault="0019599A" w:rsidP="00736D29">
      <w:pPr>
        <w:pStyle w:val="Puesto"/>
        <w:ind w:firstLine="567"/>
      </w:pPr>
      <w:r w:rsidRPr="00736D29">
        <w:t xml:space="preserve">“Artículo 50. Los sujetos obligados contarán con un área responsable para la atención de las solicitudes de información, a la que se le denominará Unidad de Transparencia. </w:t>
      </w:r>
    </w:p>
    <w:p w:rsidR="00B67646" w:rsidRPr="00736D29" w:rsidRDefault="0019599A" w:rsidP="00736D29">
      <w:pPr>
        <w:pStyle w:val="Puesto"/>
        <w:ind w:firstLine="567"/>
      </w:pPr>
      <w:r w:rsidRPr="00736D29">
        <w:t xml:space="preserve">Artículo 51. Los sujetos obligados designaran a un responsable para atender la Unidad de Transparencia, quien fungirá como enlace entre éstos y los solicitantes. </w:t>
      </w:r>
      <w:r w:rsidRPr="00736D29">
        <w:rPr>
          <w:b/>
          <w:u w:val="single"/>
        </w:rPr>
        <w:t>Dicha Unidad será la encargada de tramitar internamente la solicitud de información</w:t>
      </w:r>
      <w:r w:rsidRPr="00736D29">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B67646" w:rsidRPr="00736D29" w:rsidRDefault="0019599A" w:rsidP="00736D29">
      <w:pPr>
        <w:pStyle w:val="Puesto"/>
        <w:ind w:firstLine="567"/>
      </w:pPr>
      <w:r w:rsidRPr="00736D29">
        <w:t>…</w:t>
      </w:r>
    </w:p>
    <w:p w:rsidR="00B67646" w:rsidRPr="00736D29" w:rsidRDefault="0019599A" w:rsidP="00736D29">
      <w:pPr>
        <w:pStyle w:val="Puesto"/>
        <w:ind w:firstLine="567"/>
      </w:pPr>
      <w:r w:rsidRPr="00736D29">
        <w:t>Artículo 53. Las Unidades de Transparencia tendrán las siguientes funciones:</w:t>
      </w:r>
    </w:p>
    <w:p w:rsidR="00B67646" w:rsidRPr="00736D29" w:rsidRDefault="0019599A" w:rsidP="00736D29">
      <w:pPr>
        <w:pStyle w:val="Puesto"/>
        <w:ind w:firstLine="567"/>
      </w:pPr>
      <w:r w:rsidRPr="00736D29">
        <w:t>…</w:t>
      </w:r>
    </w:p>
    <w:p w:rsidR="00B67646" w:rsidRPr="00736D29" w:rsidRDefault="0019599A" w:rsidP="00736D29">
      <w:pPr>
        <w:pStyle w:val="Puesto"/>
        <w:ind w:firstLine="567"/>
      </w:pPr>
      <w:r w:rsidRPr="00736D29">
        <w:t xml:space="preserve">II. Recibir, tramitar y dar respuesta a las solicitudes de acceso a la información; </w:t>
      </w:r>
    </w:p>
    <w:p w:rsidR="00B67646" w:rsidRPr="00736D29" w:rsidRDefault="0019599A" w:rsidP="00736D29">
      <w:pPr>
        <w:pStyle w:val="Puesto"/>
        <w:ind w:firstLine="567"/>
      </w:pPr>
      <w:r w:rsidRPr="00736D29">
        <w:t>…</w:t>
      </w:r>
    </w:p>
    <w:p w:rsidR="00B67646" w:rsidRPr="00736D29" w:rsidRDefault="0019599A" w:rsidP="00736D29">
      <w:pPr>
        <w:pStyle w:val="Puesto"/>
        <w:ind w:firstLine="567"/>
        <w:rPr>
          <w:b/>
          <w:u w:val="single"/>
        </w:rPr>
      </w:pPr>
      <w:r w:rsidRPr="00736D29">
        <w:rPr>
          <w:b/>
          <w:u w:val="single"/>
        </w:rPr>
        <w:t xml:space="preserve">IV. Realizar, con efectividad, los trámites internos necesarios para la atención de las solicitudes de acceso a la información; </w:t>
      </w:r>
    </w:p>
    <w:p w:rsidR="00B67646" w:rsidRPr="00736D29" w:rsidRDefault="0019599A" w:rsidP="00736D29">
      <w:pPr>
        <w:pStyle w:val="Puesto"/>
        <w:ind w:firstLine="567"/>
      </w:pPr>
      <w:r w:rsidRPr="00736D29">
        <w:t xml:space="preserve">V. Entregar, en su caso, a los particulares la información solicitada; </w:t>
      </w:r>
    </w:p>
    <w:p w:rsidR="00B67646" w:rsidRPr="00736D29" w:rsidRDefault="0019599A" w:rsidP="00736D29">
      <w:pPr>
        <w:pStyle w:val="Puesto"/>
        <w:ind w:firstLine="567"/>
      </w:pPr>
      <w:r w:rsidRPr="00736D29">
        <w:t>VI. Efectuar las notificaciones a los solicitantes;” (Sic)</w:t>
      </w:r>
    </w:p>
    <w:p w:rsidR="00B67646" w:rsidRPr="00736D29" w:rsidRDefault="00B67646" w:rsidP="00736D29"/>
    <w:p w:rsidR="00B67646" w:rsidRPr="00736D29" w:rsidRDefault="0019599A" w:rsidP="00736D29">
      <w:r w:rsidRPr="00736D29">
        <w:t xml:space="preserve">Aunado a lo anterior, se debe señalar que aunque la solicitud de información y la respuesta estén dirigidas y atendidas por un </w:t>
      </w:r>
      <w:r w:rsidRPr="00736D29">
        <w:rPr>
          <w:b/>
        </w:rPr>
        <w:t>SUJETO OBLIGADO</w:t>
      </w:r>
      <w:r w:rsidRPr="00736D29">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B67646" w:rsidRPr="00736D29" w:rsidRDefault="00B67646" w:rsidP="00736D29"/>
    <w:p w:rsidR="00B67646" w:rsidRPr="00736D29" w:rsidRDefault="0019599A" w:rsidP="00736D29">
      <w:pPr>
        <w:pStyle w:val="Puesto"/>
        <w:ind w:firstLine="567"/>
      </w:pPr>
      <w:r w:rsidRPr="00736D29">
        <w:rPr>
          <w:b/>
        </w:rPr>
        <w:t>“Artículo 3.</w:t>
      </w:r>
      <w:r w:rsidRPr="00736D29">
        <w:t xml:space="preserve"> Para los efectos de la presente Ley se entenderá por:</w:t>
      </w:r>
    </w:p>
    <w:p w:rsidR="00B67646" w:rsidRPr="00736D29" w:rsidRDefault="0019599A" w:rsidP="00736D29">
      <w:pPr>
        <w:pStyle w:val="Puesto"/>
        <w:ind w:firstLine="567"/>
      </w:pPr>
      <w:r w:rsidRPr="00736D29">
        <w:lastRenderedPageBreak/>
        <w:t>…</w:t>
      </w:r>
    </w:p>
    <w:p w:rsidR="00B67646" w:rsidRPr="00736D29" w:rsidRDefault="0019599A" w:rsidP="00736D29">
      <w:pPr>
        <w:pStyle w:val="Puesto"/>
        <w:ind w:firstLine="567"/>
      </w:pPr>
      <w:r w:rsidRPr="00736D29">
        <w:rPr>
          <w:b/>
        </w:rPr>
        <w:t xml:space="preserve">XXXIX. Servidor público habilitado: </w:t>
      </w:r>
      <w:r w:rsidRPr="00736D29">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B67646" w:rsidRPr="00736D29" w:rsidRDefault="0019599A" w:rsidP="00736D29">
      <w:pPr>
        <w:pStyle w:val="Puesto"/>
        <w:ind w:firstLine="567"/>
      </w:pPr>
      <w:r w:rsidRPr="00736D29">
        <w:t>…</w:t>
      </w:r>
    </w:p>
    <w:p w:rsidR="00B67646" w:rsidRPr="00736D29" w:rsidRDefault="0019599A" w:rsidP="00736D29">
      <w:pPr>
        <w:pStyle w:val="Puesto"/>
        <w:ind w:firstLine="567"/>
      </w:pPr>
      <w:r w:rsidRPr="00736D29">
        <w:rPr>
          <w:b/>
        </w:rPr>
        <w:t>Artículo 58.</w:t>
      </w:r>
      <w:r w:rsidRPr="00736D29">
        <w:t xml:space="preserve"> Los servidores públicos habilitados serán designados por el titular del sujeto obligado a propuesta del responsable de la Unidad de Transparencia.</w:t>
      </w:r>
    </w:p>
    <w:p w:rsidR="00B67646" w:rsidRPr="00736D29" w:rsidRDefault="0019599A" w:rsidP="00736D29">
      <w:pPr>
        <w:pStyle w:val="Puesto"/>
        <w:ind w:firstLine="567"/>
      </w:pPr>
      <w:r w:rsidRPr="00736D29">
        <w:rPr>
          <w:b/>
        </w:rPr>
        <w:t>Artículo 59.</w:t>
      </w:r>
      <w:r w:rsidRPr="00736D29">
        <w:t xml:space="preserve"> </w:t>
      </w:r>
      <w:r w:rsidRPr="00736D29">
        <w:rPr>
          <w:b/>
        </w:rPr>
        <w:t>Los servidores públicos habilitados</w:t>
      </w:r>
      <w:r w:rsidRPr="00736D29">
        <w:t xml:space="preserve"> tendrán las funciones siguientes:</w:t>
      </w:r>
    </w:p>
    <w:p w:rsidR="00B67646" w:rsidRPr="00736D29" w:rsidRDefault="0019599A" w:rsidP="00736D29">
      <w:pPr>
        <w:pStyle w:val="Puesto"/>
        <w:ind w:firstLine="567"/>
        <w:rPr>
          <w:b/>
        </w:rPr>
      </w:pPr>
      <w:r w:rsidRPr="00736D29">
        <w:rPr>
          <w:b/>
        </w:rPr>
        <w:t>I. Localizar la información que le solicite la Unidad de Transparencia;</w:t>
      </w:r>
    </w:p>
    <w:p w:rsidR="00B67646" w:rsidRPr="00736D29" w:rsidRDefault="0019599A" w:rsidP="00736D29">
      <w:pPr>
        <w:pStyle w:val="Puesto"/>
        <w:ind w:firstLine="567"/>
        <w:rPr>
          <w:b/>
        </w:rPr>
      </w:pPr>
      <w:r w:rsidRPr="00736D29">
        <w:rPr>
          <w:b/>
        </w:rPr>
        <w:t>II. Proporcionar la información que obre en los archivos y que le sea solicitada por la Unidad de Transparencia;</w:t>
      </w:r>
    </w:p>
    <w:p w:rsidR="00B67646" w:rsidRPr="00736D29" w:rsidRDefault="0019599A" w:rsidP="00736D29">
      <w:pPr>
        <w:pStyle w:val="Puesto"/>
        <w:ind w:firstLine="567"/>
      </w:pPr>
      <w:r w:rsidRPr="00736D29">
        <w:t>III. Apoyar a la Unidad de Transparencia en lo que esta le solicite para el cumplimiento de sus funciones;</w:t>
      </w:r>
    </w:p>
    <w:p w:rsidR="00B67646" w:rsidRPr="00736D29" w:rsidRDefault="0019599A" w:rsidP="00736D29">
      <w:pPr>
        <w:pStyle w:val="Puesto"/>
        <w:ind w:firstLine="567"/>
      </w:pPr>
      <w:r w:rsidRPr="00736D29">
        <w:t>IV. Proporcionar a la Unidad de Transparencia, las modificaciones a la información pública de oficio que obre en su poder;</w:t>
      </w:r>
    </w:p>
    <w:p w:rsidR="00B67646" w:rsidRPr="00736D29" w:rsidRDefault="0019599A" w:rsidP="00736D29">
      <w:pPr>
        <w:pStyle w:val="Puesto"/>
        <w:ind w:firstLine="567"/>
      </w:pPr>
      <w:r w:rsidRPr="00736D29">
        <w:t>V. Integrar y presentar al responsable de la Unidad de Transparencia la propuesta de clasificación de información, la cual tendrá los fundamentos y argumentos en que se basa dicha propuesta;</w:t>
      </w:r>
    </w:p>
    <w:p w:rsidR="00B67646" w:rsidRPr="00736D29" w:rsidRDefault="0019599A" w:rsidP="00736D29">
      <w:pPr>
        <w:pStyle w:val="Puesto"/>
        <w:ind w:firstLine="567"/>
      </w:pPr>
      <w:r w:rsidRPr="00736D29">
        <w:t>VI. Verificar, una vez analizado el contenido de la información, que no se encuentre en los supuestos de información clasificada; y</w:t>
      </w:r>
    </w:p>
    <w:p w:rsidR="00B67646" w:rsidRPr="00736D29" w:rsidRDefault="0019599A" w:rsidP="00736D29">
      <w:pPr>
        <w:pStyle w:val="Puesto"/>
        <w:ind w:firstLine="567"/>
      </w:pPr>
      <w:r w:rsidRPr="00736D29">
        <w:t>VII. Dar cuenta a la Unidad de Transparencia del vencimiento de los plazos de reserva.” (Sic)</w:t>
      </w:r>
    </w:p>
    <w:p w:rsidR="00B67646" w:rsidRPr="00736D29" w:rsidRDefault="00B67646" w:rsidP="00736D29">
      <w:pPr>
        <w:rPr>
          <w:i/>
        </w:rPr>
      </w:pPr>
    </w:p>
    <w:p w:rsidR="00B67646" w:rsidRPr="00736D29" w:rsidRDefault="0019599A" w:rsidP="00736D29">
      <w:r w:rsidRPr="00736D29">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B67646" w:rsidRPr="00736D29" w:rsidRDefault="00B67646" w:rsidP="00736D29"/>
    <w:p w:rsidR="00B67646" w:rsidRPr="00736D29" w:rsidRDefault="0019599A" w:rsidP="00736D29">
      <w:r w:rsidRPr="00736D29">
        <w:t>En ese sentido, podemos dilucidar que, se cumplió con lo dispuesto en el artículo 162 de la Ley de Transparencia y Acceso a la Información Pública del Estado de México y Municipios, que índica:</w:t>
      </w:r>
    </w:p>
    <w:p w:rsidR="00B67646" w:rsidRPr="00736D29" w:rsidRDefault="00B67646" w:rsidP="00736D29"/>
    <w:p w:rsidR="00B67646" w:rsidRPr="00736D29" w:rsidRDefault="0019599A" w:rsidP="00736D29">
      <w:pPr>
        <w:spacing w:line="240" w:lineRule="auto"/>
        <w:ind w:left="567" w:right="539"/>
      </w:pPr>
      <w:r w:rsidRPr="00736D29">
        <w:rPr>
          <w:i/>
        </w:rPr>
        <w:lastRenderedPageBreak/>
        <w:t>“</w:t>
      </w:r>
      <w:r w:rsidRPr="00736D29">
        <w:rPr>
          <w:b/>
          <w:i/>
        </w:rPr>
        <w:t xml:space="preserve">Artículo 162. </w:t>
      </w:r>
      <w:r w:rsidRPr="00736D29">
        <w:rPr>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B67646" w:rsidRPr="00736D29" w:rsidRDefault="00B67646" w:rsidP="00736D29">
      <w:pPr>
        <w:ind w:right="-28"/>
      </w:pPr>
    </w:p>
    <w:p w:rsidR="00B67646" w:rsidRPr="00736D29" w:rsidRDefault="0019599A" w:rsidP="00736D29">
      <w:pPr>
        <w:ind w:right="-28"/>
      </w:pPr>
      <w:r w:rsidRPr="00736D29">
        <w:t>Ahora bien, el artículo 92, fracción XXXII, de la Ley de Transparencia y Acceso a la Información Pública del Estado de México y Municipios, establece:</w:t>
      </w:r>
    </w:p>
    <w:p w:rsidR="00B67646" w:rsidRPr="00736D29" w:rsidRDefault="00B67646" w:rsidP="00736D29">
      <w:pPr>
        <w:ind w:right="-28"/>
      </w:pPr>
    </w:p>
    <w:p w:rsidR="00B67646" w:rsidRPr="00736D29" w:rsidRDefault="0019599A" w:rsidP="00736D29">
      <w:pPr>
        <w:pStyle w:val="Puesto"/>
        <w:ind w:firstLine="567"/>
      </w:pPr>
      <w:r w:rsidRPr="00736D29">
        <w:rPr>
          <w:b/>
        </w:rPr>
        <w:t>“Artículo 92.</w:t>
      </w:r>
      <w:r w:rsidRPr="00736D29">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67646" w:rsidRPr="00736D29" w:rsidRDefault="0019599A" w:rsidP="00736D29">
      <w:pPr>
        <w:pStyle w:val="Puesto"/>
        <w:ind w:firstLine="567"/>
      </w:pPr>
      <w:r w:rsidRPr="00736D29">
        <w:rPr>
          <w:b/>
        </w:rPr>
        <w:t>(…</w:t>
      </w:r>
      <w:r w:rsidRPr="00736D29">
        <w:t>)</w:t>
      </w:r>
    </w:p>
    <w:p w:rsidR="00B67646" w:rsidRPr="00736D29" w:rsidRDefault="0019599A" w:rsidP="00736D29">
      <w:pPr>
        <w:pStyle w:val="Puesto"/>
        <w:ind w:firstLine="567"/>
      </w:pPr>
      <w:r w:rsidRPr="00736D29">
        <w:rPr>
          <w:b/>
        </w:rPr>
        <w:t>XXXII.</w:t>
      </w:r>
      <w:r w:rsidRPr="00736D29">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B67646" w:rsidRPr="00736D29" w:rsidRDefault="00B67646" w:rsidP="00736D29">
      <w:pPr>
        <w:ind w:right="-28"/>
      </w:pPr>
    </w:p>
    <w:p w:rsidR="00B67646" w:rsidRPr="00736D29" w:rsidRDefault="0019599A" w:rsidP="00736D29">
      <w:pPr>
        <w:ind w:right="-28"/>
      </w:pPr>
      <w:r w:rsidRPr="00736D29">
        <w:t>Se robustece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vigentes a la fecha de la solicitud, que establece lo siguiente:</w:t>
      </w:r>
    </w:p>
    <w:p w:rsidR="00B67646" w:rsidRPr="00736D29" w:rsidRDefault="00B67646" w:rsidP="00736D29">
      <w:pPr>
        <w:ind w:right="-28"/>
      </w:pPr>
    </w:p>
    <w:p w:rsidR="00B67646" w:rsidRPr="00736D29" w:rsidRDefault="0019599A" w:rsidP="00736D29">
      <w:pPr>
        <w:pStyle w:val="Puesto"/>
        <w:ind w:firstLine="567"/>
        <w:jc w:val="center"/>
        <w:rPr>
          <w:b/>
        </w:rPr>
      </w:pPr>
      <w:r w:rsidRPr="00736D29">
        <w:rPr>
          <w:b/>
        </w:rPr>
        <w:t>OBLIGACIONES DE TRANSPARENCIA COMUNES</w:t>
      </w:r>
    </w:p>
    <w:p w:rsidR="00B67646" w:rsidRPr="00736D29" w:rsidRDefault="0019599A" w:rsidP="00736D29">
      <w:pPr>
        <w:pStyle w:val="Puesto"/>
        <w:ind w:firstLine="567"/>
        <w:jc w:val="center"/>
      </w:pPr>
      <w:r w:rsidRPr="00736D29">
        <w:rPr>
          <w:b/>
        </w:rPr>
        <w:t>TODOS LOS SUJETOS OBLIGADOS</w:t>
      </w:r>
    </w:p>
    <w:p w:rsidR="00B67646" w:rsidRPr="00736D29" w:rsidRDefault="0019599A" w:rsidP="00736D29">
      <w:pPr>
        <w:pStyle w:val="Puesto"/>
        <w:ind w:firstLine="567"/>
      </w:pPr>
      <w:r w:rsidRPr="00736D29">
        <w:t>Criterios para las obligaciones de transparencia comunes</w:t>
      </w:r>
    </w:p>
    <w:p w:rsidR="00B67646" w:rsidRPr="00736D29" w:rsidRDefault="0019599A" w:rsidP="00736D29">
      <w:pPr>
        <w:pStyle w:val="Puesto"/>
        <w:ind w:firstLine="567"/>
      </w:pPr>
      <w:r w:rsidRPr="00736D29">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p>
    <w:p w:rsidR="00B67646" w:rsidRPr="00736D29" w:rsidRDefault="0019599A" w:rsidP="00736D29">
      <w:pPr>
        <w:pStyle w:val="Puesto"/>
        <w:ind w:firstLine="567"/>
      </w:pPr>
      <w:r w:rsidRPr="00736D29">
        <w:lastRenderedPageBreak/>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B67646" w:rsidRPr="00736D29" w:rsidRDefault="0019599A" w:rsidP="00736D29">
      <w:pPr>
        <w:pStyle w:val="Puesto"/>
        <w:ind w:firstLine="567"/>
      </w:pPr>
      <w:r w:rsidRPr="00736D29">
        <w:t>El artículo 70 dice a la letra:</w:t>
      </w:r>
    </w:p>
    <w:p w:rsidR="00B67646" w:rsidRPr="00736D29" w:rsidRDefault="0019599A" w:rsidP="00736D29">
      <w:pPr>
        <w:pStyle w:val="Puesto"/>
        <w:ind w:firstLine="567"/>
      </w:pPr>
      <w:r w:rsidRPr="00736D29">
        <w:rPr>
          <w:b/>
        </w:rPr>
        <w:t>Artículo 70.</w:t>
      </w:r>
      <w:r w:rsidRPr="00736D29">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B67646" w:rsidRPr="00736D29" w:rsidRDefault="0019599A" w:rsidP="00736D29">
      <w:pPr>
        <w:pStyle w:val="Puesto"/>
        <w:ind w:firstLine="567"/>
      </w:pPr>
      <w:r w:rsidRPr="00736D29">
        <w:t>(…)</w:t>
      </w:r>
    </w:p>
    <w:p w:rsidR="00B67646" w:rsidRPr="00736D29" w:rsidRDefault="0019599A" w:rsidP="00736D29">
      <w:pPr>
        <w:pStyle w:val="Puesto"/>
        <w:ind w:firstLine="567"/>
      </w:pPr>
      <w:r w:rsidRPr="00736D29">
        <w:t>Periodo de actualización: trimestral</w:t>
      </w:r>
    </w:p>
    <w:p w:rsidR="00B67646" w:rsidRPr="00736D29" w:rsidRDefault="0019599A" w:rsidP="00736D29">
      <w:pPr>
        <w:pStyle w:val="Puesto"/>
        <w:ind w:firstLine="567"/>
      </w:pPr>
      <w:r w:rsidRPr="00736D29">
        <w:t>Conservar en el sitio de Internet: información del ejercicio en curso y la correspondiente a dos ejercicios anteriores</w:t>
      </w:r>
    </w:p>
    <w:p w:rsidR="00B67646" w:rsidRPr="00736D29" w:rsidRDefault="0019599A" w:rsidP="00736D29">
      <w:pPr>
        <w:pStyle w:val="Puesto"/>
        <w:ind w:firstLine="567"/>
      </w:pPr>
      <w:r w:rsidRPr="00736D29">
        <w:t>Aplica a: todos los sujetos obligados</w:t>
      </w:r>
    </w:p>
    <w:p w:rsidR="00B67646" w:rsidRPr="00736D29" w:rsidRDefault="00B67646" w:rsidP="00736D29">
      <w:pPr>
        <w:pStyle w:val="Puesto"/>
        <w:ind w:firstLine="567"/>
      </w:pPr>
    </w:p>
    <w:p w:rsidR="00B67646" w:rsidRPr="00736D29" w:rsidRDefault="0019599A" w:rsidP="00736D29">
      <w:pPr>
        <w:pStyle w:val="Puesto"/>
        <w:ind w:firstLine="567"/>
      </w:pPr>
      <w:r w:rsidRPr="00736D29">
        <w:rPr>
          <w:b/>
        </w:rPr>
        <w:t>XXVII.</w:t>
      </w:r>
      <w:r w:rsidRPr="00736D29">
        <w:t xml:space="preserve"> Las concesiones, </w:t>
      </w:r>
      <w:r w:rsidRPr="00736D29">
        <w:rPr>
          <w:u w:val="single"/>
        </w:rPr>
        <w:t>contratos</w:t>
      </w:r>
      <w:r w:rsidRPr="00736D29">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B67646" w:rsidRPr="00736D29" w:rsidRDefault="00B67646" w:rsidP="00736D29">
      <w:pPr>
        <w:ind w:right="-28"/>
      </w:pPr>
    </w:p>
    <w:p w:rsidR="00B67646" w:rsidRPr="00736D29" w:rsidRDefault="0019599A" w:rsidP="00736D29">
      <w:pPr>
        <w:ind w:right="-28"/>
      </w:pPr>
      <w:r w:rsidRPr="00736D29">
        <w:t xml:space="preserve">De lo cual se advierte que los contratos celebrados por </w:t>
      </w:r>
      <w:r w:rsidRPr="00736D29">
        <w:rPr>
          <w:b/>
        </w:rPr>
        <w:t>EL SUJETO OBLIGADO</w:t>
      </w:r>
      <w:r w:rsidRPr="00736D29">
        <w:t>, es información que guarda la naturaleza de pública.</w:t>
      </w:r>
    </w:p>
    <w:p w:rsidR="00B67646" w:rsidRPr="00736D29" w:rsidRDefault="00B67646" w:rsidP="00736D29">
      <w:pPr>
        <w:ind w:right="-28"/>
      </w:pPr>
    </w:p>
    <w:p w:rsidR="00B67646" w:rsidRPr="00736D29" w:rsidRDefault="0019599A" w:rsidP="00736D29">
      <w:pPr>
        <w:ind w:right="-28"/>
      </w:pPr>
      <w:r w:rsidRPr="00736D29">
        <w:t xml:space="preserve">Así mismo, se advierte de la normatividad que los contratos no se adjudican únicamente mediante licitación pública, sino que existen otras modalidades, siendo necesario señalar que la Ley de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entre ellos </w:t>
      </w:r>
      <w:r w:rsidRPr="00736D29">
        <w:rPr>
          <w:b/>
        </w:rPr>
        <w:t>EL SUJETO OBLIGADO</w:t>
      </w:r>
      <w:r w:rsidRPr="00736D29">
        <w:t xml:space="preserve">, los cuales se adjudicarán a través de licitación pública, invitación restringida o </w:t>
      </w:r>
      <w:r w:rsidRPr="00736D29">
        <w:lastRenderedPageBreak/>
        <w:t>adjudicación directa, tal y como lo establecen los artículos 4, 26 y 27 de dicha Ley, los cuales son del tenor siguiente:</w:t>
      </w:r>
    </w:p>
    <w:p w:rsidR="00B67646" w:rsidRPr="00736D29" w:rsidRDefault="00B67646" w:rsidP="00736D29">
      <w:pPr>
        <w:ind w:right="-28"/>
      </w:pPr>
    </w:p>
    <w:p w:rsidR="00B67646" w:rsidRPr="00736D29" w:rsidRDefault="0019599A" w:rsidP="00736D29">
      <w:pPr>
        <w:spacing w:line="240" w:lineRule="auto"/>
        <w:ind w:left="567" w:right="539"/>
        <w:rPr>
          <w:i/>
        </w:rPr>
      </w:pPr>
      <w:r w:rsidRPr="00736D29">
        <w:rPr>
          <w:b/>
          <w:i/>
        </w:rPr>
        <w:t>“Artículo 4.-</w:t>
      </w:r>
      <w:r w:rsidRPr="00736D29">
        <w:rPr>
          <w:i/>
        </w:rPr>
        <w:t xml:space="preserve"> Para los efectos de esta Ley, </w:t>
      </w:r>
      <w:r w:rsidRPr="00736D29">
        <w:rPr>
          <w:b/>
          <w:i/>
        </w:rPr>
        <w:t>en las adquisiciones, enajenaciones, arrendamientos y servicios, quedan comprendidos</w:t>
      </w:r>
      <w:r w:rsidRPr="00736D29">
        <w:rPr>
          <w:i/>
        </w:rPr>
        <w:t>:</w:t>
      </w:r>
    </w:p>
    <w:p w:rsidR="00B67646" w:rsidRPr="00736D29" w:rsidRDefault="0019599A" w:rsidP="00736D29">
      <w:pPr>
        <w:spacing w:line="240" w:lineRule="auto"/>
        <w:ind w:left="567" w:right="539"/>
        <w:rPr>
          <w:i/>
        </w:rPr>
      </w:pPr>
      <w:r w:rsidRPr="00736D29">
        <w:rPr>
          <w:b/>
          <w:i/>
        </w:rPr>
        <w:t>I.</w:t>
      </w:r>
      <w:r w:rsidRPr="00736D29">
        <w:rPr>
          <w:i/>
        </w:rPr>
        <w:t xml:space="preserve"> La adquisición de bienes muebles.</w:t>
      </w:r>
    </w:p>
    <w:p w:rsidR="00B67646" w:rsidRPr="00736D29" w:rsidRDefault="0019599A" w:rsidP="00736D29">
      <w:pPr>
        <w:spacing w:line="240" w:lineRule="auto"/>
        <w:ind w:left="567" w:right="539"/>
        <w:rPr>
          <w:i/>
        </w:rPr>
      </w:pPr>
      <w:r w:rsidRPr="00736D29">
        <w:rPr>
          <w:b/>
          <w:i/>
        </w:rPr>
        <w:t>II</w:t>
      </w:r>
      <w:r w:rsidRPr="00736D29">
        <w:rPr>
          <w:i/>
        </w:rPr>
        <w:t>. La adquisición de bienes inmuebles, a través de compraventa.</w:t>
      </w:r>
    </w:p>
    <w:p w:rsidR="00B67646" w:rsidRPr="00736D29" w:rsidRDefault="0019599A" w:rsidP="00736D29">
      <w:pPr>
        <w:spacing w:line="240" w:lineRule="auto"/>
        <w:ind w:left="567" w:right="539"/>
        <w:rPr>
          <w:i/>
        </w:rPr>
      </w:pPr>
      <w:r w:rsidRPr="00736D29">
        <w:rPr>
          <w:b/>
          <w:i/>
        </w:rPr>
        <w:t>III.</w:t>
      </w:r>
      <w:r w:rsidRPr="00736D29">
        <w:rPr>
          <w:i/>
        </w:rPr>
        <w:t xml:space="preserve"> La enajenación de bienes muebles e inmuebles.</w:t>
      </w:r>
    </w:p>
    <w:p w:rsidR="00B67646" w:rsidRPr="00736D29" w:rsidRDefault="0019599A" w:rsidP="00736D29">
      <w:pPr>
        <w:spacing w:line="240" w:lineRule="auto"/>
        <w:ind w:left="567" w:right="539"/>
        <w:rPr>
          <w:i/>
        </w:rPr>
      </w:pPr>
      <w:r w:rsidRPr="00736D29">
        <w:rPr>
          <w:b/>
          <w:i/>
        </w:rPr>
        <w:t>IV.</w:t>
      </w:r>
      <w:r w:rsidRPr="00736D29">
        <w:rPr>
          <w:i/>
        </w:rPr>
        <w:t xml:space="preserve"> El arrendamiento de bienes muebles e inmuebles. </w:t>
      </w:r>
    </w:p>
    <w:p w:rsidR="00B67646" w:rsidRPr="00736D29" w:rsidRDefault="0019599A" w:rsidP="00736D29">
      <w:pPr>
        <w:spacing w:line="240" w:lineRule="auto"/>
        <w:ind w:left="567" w:right="539"/>
        <w:rPr>
          <w:i/>
        </w:rPr>
      </w:pPr>
      <w:r w:rsidRPr="00736D29">
        <w:rPr>
          <w:b/>
          <w:i/>
        </w:rPr>
        <w:t>V</w:t>
      </w:r>
      <w:r w:rsidRPr="00736D29">
        <w:rPr>
          <w:i/>
        </w:rPr>
        <w:t>. La contratación de los servicios, relacionados con bienes muebles que se encuentran incorporados o adheridos a bienes inmuebles, cuya instalación o mantenimiento no implique modificación al bien inmueble.</w:t>
      </w:r>
    </w:p>
    <w:p w:rsidR="00B67646" w:rsidRPr="00736D29" w:rsidRDefault="0019599A" w:rsidP="00736D29">
      <w:pPr>
        <w:spacing w:line="240" w:lineRule="auto"/>
        <w:ind w:left="567" w:right="539"/>
        <w:rPr>
          <w:i/>
        </w:rPr>
      </w:pPr>
      <w:r w:rsidRPr="00736D29">
        <w:rPr>
          <w:b/>
          <w:i/>
        </w:rPr>
        <w:t>VI.</w:t>
      </w:r>
      <w:r w:rsidRPr="00736D29">
        <w:rPr>
          <w:i/>
        </w:rPr>
        <w:t xml:space="preserve"> La contratación de los servicios de reconstrucción y mantenimiento de bienes muebles. </w:t>
      </w:r>
    </w:p>
    <w:p w:rsidR="00B67646" w:rsidRPr="00736D29" w:rsidRDefault="0019599A" w:rsidP="00736D29">
      <w:pPr>
        <w:spacing w:line="240" w:lineRule="auto"/>
        <w:ind w:left="567" w:right="539"/>
        <w:rPr>
          <w:i/>
        </w:rPr>
      </w:pPr>
      <w:r w:rsidRPr="00736D29">
        <w:rPr>
          <w:b/>
          <w:i/>
        </w:rPr>
        <w:t>VII.</w:t>
      </w:r>
      <w:r w:rsidRPr="00736D29">
        <w:rPr>
          <w:i/>
        </w:rPr>
        <w:t xml:space="preserve"> La contratación de los servicios de maquila, seguros y transportación, así como de los de limpieza y vigilancia de bienes inmuebles. </w:t>
      </w:r>
    </w:p>
    <w:p w:rsidR="00B67646" w:rsidRPr="00736D29" w:rsidRDefault="0019599A" w:rsidP="00736D29">
      <w:pPr>
        <w:spacing w:line="240" w:lineRule="auto"/>
        <w:ind w:left="567" w:right="539"/>
        <w:rPr>
          <w:i/>
        </w:rPr>
      </w:pPr>
      <w:r w:rsidRPr="00736D29">
        <w:rPr>
          <w:b/>
          <w:i/>
        </w:rPr>
        <w:t>VIII.</w:t>
      </w:r>
      <w:r w:rsidRPr="00736D29">
        <w:rPr>
          <w:i/>
        </w:rPr>
        <w:t xml:space="preserve"> La prestación de servicios profesionales, la contratación de consultorías, asesorías y estudios e investigaciones, excepto la contratación de servicios personales de personas físicas bajo el régimen de honorarios. </w:t>
      </w:r>
    </w:p>
    <w:p w:rsidR="00B67646" w:rsidRPr="00736D29" w:rsidRDefault="0019599A" w:rsidP="00736D29">
      <w:pPr>
        <w:spacing w:line="240" w:lineRule="auto"/>
        <w:ind w:left="567" w:right="539"/>
        <w:rPr>
          <w:i/>
        </w:rPr>
      </w:pPr>
      <w:r w:rsidRPr="00736D29">
        <w:rPr>
          <w:i/>
        </w:rPr>
        <w:t>En general, otros actos que impliquen la contratación de servicios de cualquier naturaleza</w:t>
      </w:r>
    </w:p>
    <w:p w:rsidR="00B67646" w:rsidRPr="00736D29" w:rsidRDefault="0019599A" w:rsidP="00736D29">
      <w:pPr>
        <w:spacing w:line="240" w:lineRule="auto"/>
        <w:ind w:left="567" w:right="539"/>
        <w:rPr>
          <w:i/>
        </w:rPr>
      </w:pPr>
      <w:r w:rsidRPr="00736D29">
        <w:rPr>
          <w:b/>
          <w:i/>
        </w:rPr>
        <w:t>Artículo 26.-</w:t>
      </w:r>
      <w:r w:rsidRPr="00736D29">
        <w:rPr>
          <w:i/>
        </w:rPr>
        <w:t xml:space="preserve"> </w:t>
      </w:r>
      <w:r w:rsidRPr="00736D29">
        <w:rPr>
          <w:b/>
          <w:i/>
        </w:rPr>
        <w:t>Las adquisiciones, arrendamientos y servicios se adjudicarán a través de licitaciones públicas</w:t>
      </w:r>
      <w:r w:rsidRPr="00736D29">
        <w:rPr>
          <w:i/>
        </w:rPr>
        <w:t xml:space="preserve">, mediante convocatoria pública. </w:t>
      </w:r>
    </w:p>
    <w:p w:rsidR="00B67646" w:rsidRPr="00736D29" w:rsidRDefault="0019599A" w:rsidP="00736D29">
      <w:pPr>
        <w:spacing w:line="240" w:lineRule="auto"/>
        <w:ind w:left="567" w:right="539"/>
        <w:rPr>
          <w:i/>
        </w:rPr>
      </w:pPr>
      <w:r w:rsidRPr="00736D29">
        <w:rPr>
          <w:b/>
          <w:i/>
        </w:rPr>
        <w:t>Artículo 27.</w:t>
      </w:r>
      <w:r w:rsidRPr="00736D29">
        <w:rPr>
          <w:i/>
        </w:rPr>
        <w:t xml:space="preserve">- La Secretaría, las entidades, los tribunales administrativos y los ayuntamientos podrán </w:t>
      </w:r>
      <w:r w:rsidRPr="00736D29">
        <w:rPr>
          <w:b/>
          <w:i/>
        </w:rPr>
        <w:t>adjudicar adquisiciones, arrendamientos y servicios, mediante las excepciones al procedimiento de licitación</w:t>
      </w:r>
      <w:r w:rsidRPr="00736D29">
        <w:rPr>
          <w:i/>
        </w:rPr>
        <w:t xml:space="preserve"> que a continuación se señalan:</w:t>
      </w:r>
    </w:p>
    <w:p w:rsidR="00B67646" w:rsidRPr="00736D29" w:rsidRDefault="0019599A" w:rsidP="00736D29">
      <w:pPr>
        <w:spacing w:line="240" w:lineRule="auto"/>
        <w:ind w:left="567" w:right="539"/>
        <w:rPr>
          <w:i/>
        </w:rPr>
      </w:pPr>
      <w:r w:rsidRPr="00736D29">
        <w:rPr>
          <w:b/>
          <w:i/>
        </w:rPr>
        <w:t>I</w:t>
      </w:r>
      <w:r w:rsidRPr="00736D29">
        <w:rPr>
          <w:i/>
        </w:rPr>
        <w:t>. Invitación restringida.</w:t>
      </w:r>
    </w:p>
    <w:p w:rsidR="00B67646" w:rsidRPr="00736D29" w:rsidRDefault="0019599A" w:rsidP="00736D29">
      <w:pPr>
        <w:spacing w:line="240" w:lineRule="auto"/>
        <w:ind w:left="567" w:right="539"/>
      </w:pPr>
      <w:r w:rsidRPr="00736D29">
        <w:rPr>
          <w:b/>
          <w:i/>
        </w:rPr>
        <w:t>II.</w:t>
      </w:r>
      <w:r w:rsidRPr="00736D29">
        <w:rPr>
          <w:i/>
        </w:rPr>
        <w:t xml:space="preserve"> Adjudicación directa.”</w:t>
      </w:r>
    </w:p>
    <w:p w:rsidR="00B67646" w:rsidRPr="00736D29" w:rsidRDefault="00B67646" w:rsidP="00736D29">
      <w:pPr>
        <w:ind w:right="-28"/>
      </w:pPr>
    </w:p>
    <w:p w:rsidR="00B67646" w:rsidRPr="00736D29" w:rsidRDefault="0019599A" w:rsidP="00736D29">
      <w:pPr>
        <w:ind w:right="-28"/>
      </w:pPr>
      <w:r w:rsidRPr="00736D29">
        <w:t xml:space="preserve">Una vez sentado lo anterior, es necesario precisar que, en la respuesta primigenia </w:t>
      </w:r>
      <w:r w:rsidRPr="00736D29">
        <w:rPr>
          <w:b/>
        </w:rPr>
        <w:t xml:space="preserve">EL SUJETO OBLIGADO </w:t>
      </w:r>
      <w:r w:rsidRPr="00736D29">
        <w:t>remitió diversas documentales, de las cuales se desprende la información proporcionada por la Dirección de Obras Públicas consistente en los contratos celebrados en el ejercicio fiscal 2024 tal y como podemos visualizar de las siguientes imágenes ilustrativas:</w:t>
      </w:r>
    </w:p>
    <w:p w:rsidR="00B67646" w:rsidRPr="00736D29" w:rsidRDefault="0019599A" w:rsidP="00736D29">
      <w:pPr>
        <w:ind w:right="-28"/>
      </w:pPr>
      <w:r w:rsidRPr="00736D29">
        <w:rPr>
          <w:noProof/>
          <w:lang w:eastAsia="es-MX"/>
        </w:rPr>
        <w:lastRenderedPageBreak/>
        <w:drawing>
          <wp:inline distT="0" distB="0" distL="0" distR="0">
            <wp:extent cx="5687276" cy="1705230"/>
            <wp:effectExtent l="0" t="0" r="0" b="0"/>
            <wp:docPr id="21596444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5687276" cy="1705230"/>
                    </a:xfrm>
                    <a:prstGeom prst="rect">
                      <a:avLst/>
                    </a:prstGeom>
                    <a:ln/>
                  </pic:spPr>
                </pic:pic>
              </a:graphicData>
            </a:graphic>
          </wp:inline>
        </w:drawing>
      </w:r>
    </w:p>
    <w:p w:rsidR="00B67646" w:rsidRPr="00736D29" w:rsidRDefault="0019599A" w:rsidP="00736D29">
      <w:pPr>
        <w:ind w:right="-28"/>
      </w:pPr>
      <w:r w:rsidRPr="00736D29">
        <w:rPr>
          <w:noProof/>
          <w:lang w:eastAsia="es-MX"/>
        </w:rPr>
        <w:drawing>
          <wp:inline distT="0" distB="0" distL="0" distR="0">
            <wp:extent cx="5630086" cy="1867169"/>
            <wp:effectExtent l="0" t="0" r="0" b="0"/>
            <wp:docPr id="2159644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30086" cy="1867169"/>
                    </a:xfrm>
                    <a:prstGeom prst="rect">
                      <a:avLst/>
                    </a:prstGeom>
                    <a:ln/>
                  </pic:spPr>
                </pic:pic>
              </a:graphicData>
            </a:graphic>
          </wp:inline>
        </w:drawing>
      </w:r>
    </w:p>
    <w:p w:rsidR="00B67646" w:rsidRPr="00736D29" w:rsidRDefault="0019599A" w:rsidP="00736D29">
      <w:pPr>
        <w:ind w:right="-28"/>
      </w:pPr>
      <w:r w:rsidRPr="00736D29">
        <w:rPr>
          <w:noProof/>
          <w:lang w:eastAsia="es-MX"/>
        </w:rPr>
        <w:drawing>
          <wp:inline distT="0" distB="0" distL="0" distR="0">
            <wp:extent cx="5620551" cy="1895745"/>
            <wp:effectExtent l="0" t="0" r="0" b="0"/>
            <wp:docPr id="21596445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5620551" cy="1895745"/>
                    </a:xfrm>
                    <a:prstGeom prst="rect">
                      <a:avLst/>
                    </a:prstGeom>
                    <a:ln/>
                  </pic:spPr>
                </pic:pic>
              </a:graphicData>
            </a:graphic>
          </wp:inline>
        </w:drawing>
      </w:r>
    </w:p>
    <w:p w:rsidR="00B67646" w:rsidRPr="00736D29" w:rsidRDefault="00B67646" w:rsidP="00736D29">
      <w:pPr>
        <w:ind w:right="-28"/>
      </w:pPr>
    </w:p>
    <w:p w:rsidR="00B67646" w:rsidRPr="00736D29" w:rsidRDefault="0019599A" w:rsidP="00736D29">
      <w:pPr>
        <w:ind w:right="-28"/>
      </w:pPr>
      <w:r w:rsidRPr="00736D29">
        <w:t xml:space="preserve">Hasta aquí lo expuesto, este Órgano Garante puede advertir que la parte de la información remitida corresponde a la información solicitada por </w:t>
      </w:r>
      <w:r w:rsidRPr="00736D29">
        <w:rPr>
          <w:b/>
        </w:rPr>
        <w:t xml:space="preserve">LA PARTE RECURRENTE, </w:t>
      </w:r>
      <w:r w:rsidRPr="00736D29">
        <w:t xml:space="preserve">sin embargo, también es viable mencionar que, dicha la Dirección de Obras Públicas fue omisa en pronunciarse respecto de la información correspondiente al periodo comprendido del 01 de enero al 18 de febrero de 2025, siendo esta última la fecha en que fue formulada la solicitud de </w:t>
      </w:r>
      <w:r w:rsidRPr="00736D29">
        <w:lastRenderedPageBreak/>
        <w:t xml:space="preserve">información, por lo que no es posible declarar por satisfecho el derecho de acceso a la información de </w:t>
      </w:r>
      <w:r w:rsidRPr="00736D29">
        <w:rPr>
          <w:b/>
        </w:rPr>
        <w:t>LA PARTE RECURRENTE.</w:t>
      </w:r>
    </w:p>
    <w:p w:rsidR="00B67646" w:rsidRPr="00736D29" w:rsidRDefault="00B67646" w:rsidP="00736D29">
      <w:pPr>
        <w:ind w:right="-28"/>
      </w:pPr>
    </w:p>
    <w:p w:rsidR="00B67646" w:rsidRPr="00736D29" w:rsidRDefault="0019599A" w:rsidP="00736D29">
      <w:pPr>
        <w:ind w:right="-28"/>
      </w:pPr>
      <w:r w:rsidRPr="00736D29">
        <w:t xml:space="preserve">Asimismo es necesario precisar que en el documento remitido en calidad de respuesta, por cuanto hace a lo manifestado por la Directora de Administración pretende atender las pretensiones de </w:t>
      </w:r>
      <w:r w:rsidRPr="00736D29">
        <w:rPr>
          <w:b/>
        </w:rPr>
        <w:t>LA PARTE RECURRENTE</w:t>
      </w:r>
      <w:r w:rsidRPr="00736D29">
        <w:t xml:space="preserve"> a través de una liga electrónica en donde puede consultarse la información referente a los contratos, sin embargo aunque dicho vinculo electrónico haya sido proporcionado en datos abiertos, también es cierto que al momento de copiarlo e insertarlo en una página electrónica, nos conduce al siguiente resultado: </w:t>
      </w:r>
    </w:p>
    <w:p w:rsidR="00B67646" w:rsidRPr="00736D29" w:rsidRDefault="00B67646" w:rsidP="00736D29">
      <w:pPr>
        <w:ind w:right="-28"/>
      </w:pPr>
    </w:p>
    <w:p w:rsidR="00B67646" w:rsidRPr="00736D29" w:rsidRDefault="0019599A" w:rsidP="00736D29">
      <w:pPr>
        <w:ind w:right="-28"/>
      </w:pPr>
      <w:r w:rsidRPr="00736D29">
        <w:rPr>
          <w:noProof/>
          <w:lang w:eastAsia="es-MX"/>
        </w:rPr>
        <w:drawing>
          <wp:inline distT="0" distB="0" distL="0" distR="0">
            <wp:extent cx="5582429" cy="885949"/>
            <wp:effectExtent l="0" t="0" r="0" b="0"/>
            <wp:docPr id="2159644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582429" cy="885949"/>
                    </a:xfrm>
                    <a:prstGeom prst="rect">
                      <a:avLst/>
                    </a:prstGeom>
                    <a:ln/>
                  </pic:spPr>
                </pic:pic>
              </a:graphicData>
            </a:graphic>
          </wp:inline>
        </w:drawing>
      </w:r>
    </w:p>
    <w:p w:rsidR="00B67646" w:rsidRPr="00736D29" w:rsidRDefault="0019599A" w:rsidP="00736D29">
      <w:pPr>
        <w:ind w:right="-28"/>
      </w:pPr>
      <w:r w:rsidRPr="00736D29">
        <w:rPr>
          <w:noProof/>
          <w:lang w:eastAsia="es-MX"/>
        </w:rPr>
        <w:drawing>
          <wp:inline distT="0" distB="0" distL="0" distR="0">
            <wp:extent cx="5601482" cy="428685"/>
            <wp:effectExtent l="0" t="0" r="0" b="0"/>
            <wp:docPr id="2159644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601482" cy="428685"/>
                    </a:xfrm>
                    <a:prstGeom prst="rect">
                      <a:avLst/>
                    </a:prstGeom>
                    <a:ln/>
                  </pic:spPr>
                </pic:pic>
              </a:graphicData>
            </a:graphic>
          </wp:inline>
        </w:drawing>
      </w:r>
    </w:p>
    <w:p w:rsidR="00B67646" w:rsidRPr="00736D29" w:rsidRDefault="00B67646" w:rsidP="00736D29">
      <w:pPr>
        <w:ind w:right="-28"/>
      </w:pPr>
    </w:p>
    <w:p w:rsidR="00B67646" w:rsidRPr="00736D29" w:rsidRDefault="0019599A" w:rsidP="00736D29">
      <w:pPr>
        <w:ind w:right="-28"/>
        <w:rPr>
          <w:b/>
        </w:rPr>
      </w:pPr>
      <w:r w:rsidRPr="00736D29">
        <w:t xml:space="preserve">Atento a lo anterior, podemos observar que, la liga electrónica remitida a través de la respuesta, se encuentra interrumpida por espacios entre las letras que integran dicho vínculo, por ello no es posible acceder a este y obtener la información solicitada a través del medio proporcionado por </w:t>
      </w:r>
      <w:r w:rsidRPr="00736D29">
        <w:rPr>
          <w:b/>
        </w:rPr>
        <w:t>EL SUJETO OBLIGADO.</w:t>
      </w:r>
    </w:p>
    <w:p w:rsidR="00B67646" w:rsidRPr="00736D29" w:rsidRDefault="00B67646" w:rsidP="00736D29">
      <w:pPr>
        <w:ind w:right="-28"/>
        <w:rPr>
          <w:b/>
        </w:rPr>
      </w:pPr>
    </w:p>
    <w:p w:rsidR="00B67646" w:rsidRPr="00736D29" w:rsidRDefault="0019599A" w:rsidP="00736D29">
      <w:pPr>
        <w:ind w:right="-28"/>
      </w:pPr>
      <w:r w:rsidRPr="00736D29">
        <w:t xml:space="preserve">No obstante lo anterior, a través de la etapa de manifestaciones </w:t>
      </w:r>
      <w:r w:rsidRPr="00736D29">
        <w:rPr>
          <w:b/>
        </w:rPr>
        <w:t xml:space="preserve">EL SUJETO OBLIGADO </w:t>
      </w:r>
      <w:r w:rsidRPr="00736D29">
        <w:t xml:space="preserve">remitió dos archivos electrónicos, uno de ellos contiene una página simple, sin firma de quien lo emite, con membretes del Ayuntamiento, en donde se remite la información denominada “Artículo 92 Fracción XXIX Resultados de procedimientos de adjudicación directa, licitación pública e invitación restringida” especificándose un link electrónico junto con los pasos a </w:t>
      </w:r>
      <w:r w:rsidRPr="00736D29">
        <w:lastRenderedPageBreak/>
        <w:t>seguir para allegarse de la información referente a los contratos; sirve de sustento la siguiente imagen ilustrativa:</w:t>
      </w:r>
    </w:p>
    <w:p w:rsidR="00B67646" w:rsidRPr="00736D29" w:rsidRDefault="00B67646" w:rsidP="00736D29">
      <w:pPr>
        <w:ind w:right="-28"/>
      </w:pPr>
    </w:p>
    <w:p w:rsidR="00B67646" w:rsidRPr="00736D29" w:rsidRDefault="0019599A" w:rsidP="00736D29">
      <w:pPr>
        <w:ind w:right="-28"/>
      </w:pPr>
      <w:r w:rsidRPr="00736D29">
        <w:rPr>
          <w:noProof/>
          <w:lang w:eastAsia="es-MX"/>
        </w:rPr>
        <w:drawing>
          <wp:inline distT="0" distB="0" distL="0" distR="0">
            <wp:extent cx="5742940" cy="4867275"/>
            <wp:effectExtent l="0" t="0" r="0" b="0"/>
            <wp:docPr id="2159644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742940" cy="4867275"/>
                    </a:xfrm>
                    <a:prstGeom prst="rect">
                      <a:avLst/>
                    </a:prstGeom>
                    <a:ln/>
                  </pic:spPr>
                </pic:pic>
              </a:graphicData>
            </a:graphic>
          </wp:inline>
        </w:drawing>
      </w:r>
    </w:p>
    <w:p w:rsidR="00B67646" w:rsidRPr="00736D29" w:rsidRDefault="00B67646" w:rsidP="00736D29">
      <w:pPr>
        <w:ind w:right="-28"/>
      </w:pPr>
    </w:p>
    <w:p w:rsidR="00B67646" w:rsidRPr="00736D29" w:rsidRDefault="0019599A" w:rsidP="00736D29">
      <w:pPr>
        <w:ind w:right="-28"/>
      </w:pPr>
      <w:r w:rsidRPr="00736D29">
        <w:t>En ese sentido, este Órgano Garante consideró viable ingresar a la liga electrónica remitida, con la intensión de tener certeza de que efectivamente la información solicitada se encuentra en el vínculo electrónico; de lo anterior surgió como resultado lo siguiente:</w:t>
      </w:r>
    </w:p>
    <w:p w:rsidR="00B67646" w:rsidRPr="00736D29" w:rsidRDefault="0019599A" w:rsidP="00736D29">
      <w:pPr>
        <w:ind w:right="-28"/>
      </w:pPr>
      <w:r w:rsidRPr="00736D29">
        <w:rPr>
          <w:noProof/>
          <w:lang w:eastAsia="es-MX"/>
        </w:rPr>
        <w:lastRenderedPageBreak/>
        <w:drawing>
          <wp:inline distT="0" distB="0" distL="0" distR="0">
            <wp:extent cx="5742940" cy="1858010"/>
            <wp:effectExtent l="0" t="0" r="0" b="0"/>
            <wp:docPr id="2159644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742940" cy="1858010"/>
                    </a:xfrm>
                    <a:prstGeom prst="rect">
                      <a:avLst/>
                    </a:prstGeom>
                    <a:ln/>
                  </pic:spPr>
                </pic:pic>
              </a:graphicData>
            </a:graphic>
          </wp:inline>
        </w:drawing>
      </w:r>
    </w:p>
    <w:p w:rsidR="00B67646" w:rsidRPr="00736D29" w:rsidRDefault="00B67646" w:rsidP="00736D29">
      <w:pPr>
        <w:ind w:right="-28"/>
      </w:pPr>
    </w:p>
    <w:p w:rsidR="00B67646" w:rsidRPr="00736D29" w:rsidRDefault="0019599A" w:rsidP="00736D29">
      <w:pPr>
        <w:ind w:right="-28"/>
      </w:pPr>
      <w:r w:rsidRPr="00736D29">
        <w:t xml:space="preserve">De la imagen inserta con antelación es posible visualizar que si bien a través de los datos remitidos en el documento referido dirigen al apartado mencionado del portal Ipomex </w:t>
      </w:r>
      <w:r w:rsidRPr="00736D29">
        <w:rPr>
          <w:b/>
        </w:rPr>
        <w:t xml:space="preserve">DEL SUJETO OBLIGADO </w:t>
      </w:r>
      <w:r w:rsidRPr="00736D29">
        <w:t>también lo es que, no se encuentra dato alguno registrado en la fracción correspondiente.</w:t>
      </w:r>
    </w:p>
    <w:p w:rsidR="00B67646" w:rsidRPr="00736D29" w:rsidRDefault="00B67646" w:rsidP="00736D29">
      <w:pPr>
        <w:ind w:right="-28"/>
      </w:pPr>
    </w:p>
    <w:p w:rsidR="00B67646" w:rsidRPr="00736D29" w:rsidRDefault="0019599A" w:rsidP="00736D29">
      <w:pPr>
        <w:ind w:right="-28"/>
      </w:pPr>
      <w:r w:rsidRPr="00736D29">
        <w:t xml:space="preserve">Por otro lado, a través de la etapa de manifestaciones, </w:t>
      </w:r>
      <w:r w:rsidRPr="00736D29">
        <w:rPr>
          <w:b/>
        </w:rPr>
        <w:t xml:space="preserve">EL SUJETO OBLIGADO </w:t>
      </w:r>
      <w:r w:rsidRPr="00736D29">
        <w:t>rindió su informe justificado en donde refiere que el servidor público habilitado modificó su respuesta inicial, adjuntando a dicho informe un concentrado de diversos contratos de prestación de servicios y adjudicación, sin embargo de la interpretación sistematica a tales documentos, es posible visualizar que estos no fueron remitidos de manera completa ya que en primera instancia, estos corresponden al ejercicio fiscal 2025, sin haber hecho remitido los documentos del ejercicio fiscal 2024 y por otro lado se da inicio con el contrato de nomenclatura No. MA/CAYS/AD/RP/023/2025 dando continuidad con el contrato de adjudicación No. MA/CAYS/AD/RP/008/2025, por lo que se denota que no es posible darle una lectura consecutiva ya que los contratos fueron proporcionados de manera salteada, ya que es posible deducir que estos contienen la misma nomenclatura a excepción del número consecutivo.</w:t>
      </w:r>
    </w:p>
    <w:p w:rsidR="00B67646" w:rsidRPr="00736D29" w:rsidRDefault="00B67646" w:rsidP="00736D29">
      <w:pPr>
        <w:ind w:right="-28"/>
      </w:pPr>
    </w:p>
    <w:p w:rsidR="00B67646" w:rsidRPr="00736D29" w:rsidRDefault="0019599A" w:rsidP="00736D29">
      <w:pPr>
        <w:ind w:right="-28"/>
      </w:pPr>
      <w:r w:rsidRPr="00736D29">
        <w:lastRenderedPageBreak/>
        <w:t xml:space="preserve">Asimismo en el documento en referencia, podemos visualizar que dentro de las fojas 28 a la 50, si se proporcionaron los contratos celebrados de manera consecutiva, esto es del contrato 12 al 14, por lo que este Órgano Garante considera que la información descrita genera incertidumbre y confusión, ya que por un lado se remite parte de la información solicitada, sin tener certeza de que estos sean todos los contratos que obran en los archivos electrónicos y digitales del </w:t>
      </w:r>
      <w:r w:rsidRPr="00736D29">
        <w:rPr>
          <w:b/>
        </w:rPr>
        <w:t xml:space="preserve">SUJETO OBLIGADO </w:t>
      </w:r>
      <w:r w:rsidRPr="00736D29">
        <w:t>al haberse remitido de manera salteada.</w:t>
      </w:r>
    </w:p>
    <w:p w:rsidR="00B67646" w:rsidRPr="00736D29" w:rsidRDefault="00B67646" w:rsidP="00736D29">
      <w:pPr>
        <w:ind w:right="-28"/>
      </w:pPr>
    </w:p>
    <w:p w:rsidR="00B67646" w:rsidRPr="00736D29" w:rsidRDefault="0019599A" w:rsidP="00736D29">
      <w:pPr>
        <w:ind w:right="-28"/>
      </w:pPr>
      <w:r w:rsidRPr="00736D29">
        <w:t xml:space="preserve">Ante tales circunstancias se estima que, </w:t>
      </w:r>
      <w:r w:rsidRPr="00736D29">
        <w:rPr>
          <w:b/>
        </w:rPr>
        <w:t>EL SUJETO OBLIGADO</w:t>
      </w:r>
      <w:r w:rsidRPr="00736D29">
        <w:t xml:space="preserve"> debe proporcionar a </w:t>
      </w:r>
      <w:r w:rsidRPr="00736D29">
        <w:rPr>
          <w:b/>
        </w:rPr>
        <w:t xml:space="preserve">LA PARTE RECURRENTE </w:t>
      </w:r>
      <w:r w:rsidRPr="00736D29">
        <w:t>los contratos que obren dentro de sus archivos, en versión pública de ser procedente.</w:t>
      </w:r>
    </w:p>
    <w:p w:rsidR="00B67646" w:rsidRPr="00736D29" w:rsidRDefault="00B67646" w:rsidP="00736D29">
      <w:pPr>
        <w:ind w:right="-28"/>
      </w:pPr>
    </w:p>
    <w:p w:rsidR="00B67646" w:rsidRPr="00736D29" w:rsidRDefault="0019599A" w:rsidP="00736D29">
      <w:pPr>
        <w:pStyle w:val="Ttulo3"/>
      </w:pPr>
      <w:bookmarkStart w:id="26" w:name="_Toc199350158"/>
      <w:r w:rsidRPr="00736D29">
        <w:t>d) Versión pública</w:t>
      </w:r>
      <w:bookmarkEnd w:id="26"/>
    </w:p>
    <w:p w:rsidR="00B67646" w:rsidRPr="00736D29" w:rsidRDefault="0019599A" w:rsidP="00736D29">
      <w:r w:rsidRPr="00736D29">
        <w:t xml:space="preserve">Para el caso de que el o los documentos de los cuales se ordena su entrega contengan datos personales susceptibles de ser testados, deberán ser entregados en </w:t>
      </w:r>
      <w:r w:rsidRPr="00736D29">
        <w:rPr>
          <w:b/>
        </w:rPr>
        <w:t>versión pública</w:t>
      </w:r>
      <w:r w:rsidRPr="00736D29">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B67646" w:rsidRPr="00736D29" w:rsidRDefault="00B67646" w:rsidP="00736D29"/>
    <w:p w:rsidR="00B67646" w:rsidRPr="00736D29" w:rsidRDefault="0019599A" w:rsidP="00736D29">
      <w:r w:rsidRPr="00736D29">
        <w:t>A este respecto, los artículos 3, fracciones IX, XX, XXI y XLV; 51 y 52 de la Ley de Transparencia y Acceso a la Información Pública del Estado de México y Municipios establecen:</w:t>
      </w:r>
    </w:p>
    <w:p w:rsidR="00B67646" w:rsidRPr="00736D29" w:rsidRDefault="00B67646" w:rsidP="00736D29"/>
    <w:p w:rsidR="00B67646" w:rsidRPr="00736D29" w:rsidRDefault="0019599A" w:rsidP="00736D29">
      <w:pPr>
        <w:pStyle w:val="Puesto"/>
        <w:ind w:firstLine="567"/>
      </w:pPr>
      <w:r w:rsidRPr="00736D29">
        <w:rPr>
          <w:b/>
        </w:rPr>
        <w:lastRenderedPageBreak/>
        <w:t xml:space="preserve">“Artículo 3. </w:t>
      </w:r>
      <w:r w:rsidRPr="00736D29">
        <w:t xml:space="preserve">Para los efectos de la presente Ley se entenderá por: </w:t>
      </w:r>
    </w:p>
    <w:p w:rsidR="00B67646" w:rsidRPr="00736D29" w:rsidRDefault="0019599A" w:rsidP="00736D29">
      <w:pPr>
        <w:pStyle w:val="Puesto"/>
        <w:ind w:firstLine="567"/>
      </w:pPr>
      <w:r w:rsidRPr="00736D29">
        <w:rPr>
          <w:b/>
        </w:rPr>
        <w:t>IX.</w:t>
      </w:r>
      <w:r w:rsidRPr="00736D29">
        <w:t xml:space="preserve"> </w:t>
      </w:r>
      <w:r w:rsidRPr="00736D29">
        <w:rPr>
          <w:b/>
        </w:rPr>
        <w:t xml:space="preserve">Datos personales: </w:t>
      </w:r>
      <w:r w:rsidRPr="00736D29">
        <w:t xml:space="preserve">La información concerniente a una persona, identificada o identificable según lo dispuesto por la Ley de Protección de Datos Personales del Estado de México; </w:t>
      </w:r>
    </w:p>
    <w:p w:rsidR="00B67646" w:rsidRPr="00736D29" w:rsidRDefault="00B67646" w:rsidP="00736D29"/>
    <w:p w:rsidR="00B67646" w:rsidRPr="00736D29" w:rsidRDefault="0019599A" w:rsidP="00736D29">
      <w:pPr>
        <w:pStyle w:val="Puesto"/>
        <w:ind w:firstLine="567"/>
      </w:pPr>
      <w:r w:rsidRPr="00736D29">
        <w:rPr>
          <w:b/>
        </w:rPr>
        <w:t>XX.</w:t>
      </w:r>
      <w:r w:rsidRPr="00736D29">
        <w:t xml:space="preserve"> </w:t>
      </w:r>
      <w:r w:rsidRPr="00736D29">
        <w:rPr>
          <w:b/>
        </w:rPr>
        <w:t>Información clasificada:</w:t>
      </w:r>
      <w:r w:rsidRPr="00736D29">
        <w:t xml:space="preserve"> Aquella considerada por la presente Ley como reservada o confidencial; </w:t>
      </w:r>
    </w:p>
    <w:p w:rsidR="00B67646" w:rsidRPr="00736D29" w:rsidRDefault="00B67646" w:rsidP="00736D29"/>
    <w:p w:rsidR="00B67646" w:rsidRPr="00736D29" w:rsidRDefault="0019599A" w:rsidP="00736D29">
      <w:pPr>
        <w:pStyle w:val="Puesto"/>
        <w:ind w:firstLine="567"/>
      </w:pPr>
      <w:r w:rsidRPr="00736D29">
        <w:rPr>
          <w:b/>
        </w:rPr>
        <w:t>XXI.</w:t>
      </w:r>
      <w:r w:rsidRPr="00736D29">
        <w:t xml:space="preserve"> </w:t>
      </w:r>
      <w:r w:rsidRPr="00736D29">
        <w:rPr>
          <w:b/>
        </w:rPr>
        <w:t>Información confidencial</w:t>
      </w:r>
      <w:r w:rsidRPr="00736D29">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B67646" w:rsidRPr="00736D29" w:rsidRDefault="00B67646" w:rsidP="00736D29"/>
    <w:p w:rsidR="00B67646" w:rsidRPr="00736D29" w:rsidRDefault="0019599A" w:rsidP="00736D29">
      <w:pPr>
        <w:pStyle w:val="Puesto"/>
        <w:ind w:firstLine="567"/>
      </w:pPr>
      <w:r w:rsidRPr="00736D29">
        <w:rPr>
          <w:b/>
        </w:rPr>
        <w:t>XLV. Versión pública:</w:t>
      </w:r>
      <w:r w:rsidRPr="00736D29">
        <w:t xml:space="preserve"> Documento en el que se elimine, suprime o borra la información clasificada como reservada o confidencial para permitir su acceso. </w:t>
      </w:r>
    </w:p>
    <w:p w:rsidR="00B67646" w:rsidRPr="00736D29" w:rsidRDefault="00B67646" w:rsidP="00736D29"/>
    <w:p w:rsidR="00B67646" w:rsidRPr="00736D29" w:rsidRDefault="0019599A" w:rsidP="00736D29">
      <w:pPr>
        <w:pStyle w:val="Puesto"/>
        <w:ind w:firstLine="567"/>
      </w:pPr>
      <w:r w:rsidRPr="00736D29">
        <w:rPr>
          <w:b/>
        </w:rPr>
        <w:t>Artículo 51.</w:t>
      </w:r>
      <w:r w:rsidRPr="00736D29">
        <w:t xml:space="preserve"> Los sujetos obligados designaran a un responsable para atender la Unidad de Transparencia, quien fungirá como enlace entre éstos y los solicitantes. Dicha Unidad será la encargada de tramitar internamente la solicitud de información </w:t>
      </w:r>
      <w:r w:rsidRPr="00736D29">
        <w:rPr>
          <w:b/>
        </w:rPr>
        <w:t xml:space="preserve">y tendrá la responsabilidad de verificar en cada caso que la misma no sea confidencial o reservada. </w:t>
      </w:r>
      <w:r w:rsidRPr="00736D29">
        <w:t>Dicha Unidad contará con las facultades internas necesarias para gestionar la atención a las solicitudes de información en los términos de la Ley General y la presente Ley.</w:t>
      </w:r>
    </w:p>
    <w:p w:rsidR="00B67646" w:rsidRPr="00736D29" w:rsidRDefault="00B67646" w:rsidP="00736D29"/>
    <w:p w:rsidR="00B67646" w:rsidRPr="00736D29" w:rsidRDefault="0019599A" w:rsidP="00736D29">
      <w:pPr>
        <w:pStyle w:val="Puesto"/>
        <w:ind w:firstLine="567"/>
      </w:pPr>
      <w:r w:rsidRPr="00736D29">
        <w:rPr>
          <w:b/>
        </w:rPr>
        <w:t>Artículo 52.</w:t>
      </w:r>
      <w:r w:rsidRPr="00736D29">
        <w:t xml:space="preserve"> Las solicitudes de acceso a la información y las respuestas que se les dé, incluyendo, en su caso, </w:t>
      </w:r>
      <w:r w:rsidRPr="00736D29">
        <w:rPr>
          <w:u w:val="single"/>
        </w:rPr>
        <w:t>la información entregada, así como las resoluciones a los recursos que en su caso se promuevan serán públicas, y de ser el caso que contenga datos personales que deban ser protegidos se podrá dar su acceso en su versión pública</w:t>
      </w:r>
      <w:r w:rsidRPr="00736D29">
        <w:t xml:space="preserve">, siempre y cuando la resolución de referencia se someta a un proceso de disociación, es decir, no haga identificable al titular de tales datos personales.” </w:t>
      </w:r>
      <w:r w:rsidRPr="00736D29">
        <w:rPr>
          <w:i w:val="0"/>
        </w:rPr>
        <w:t>(Énfasis añadido)</w:t>
      </w:r>
    </w:p>
    <w:p w:rsidR="00B67646" w:rsidRPr="00736D29" w:rsidRDefault="00B67646" w:rsidP="00736D29"/>
    <w:p w:rsidR="00B67646" w:rsidRPr="00736D29" w:rsidRDefault="0019599A" w:rsidP="00736D29">
      <w:r w:rsidRPr="00736D29">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r w:rsidRPr="00736D29">
        <w:lastRenderedPageBreak/>
        <w:t xml:space="preserve">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B67646" w:rsidRPr="00736D29" w:rsidRDefault="00B67646" w:rsidP="00736D29"/>
    <w:p w:rsidR="00B67646" w:rsidRPr="00736D29" w:rsidRDefault="0019599A" w:rsidP="00736D29">
      <w:pPr>
        <w:pStyle w:val="Puesto"/>
        <w:ind w:firstLine="567"/>
      </w:pPr>
      <w:r w:rsidRPr="00736D29">
        <w:rPr>
          <w:b/>
        </w:rPr>
        <w:t>“Artículo 22.</w:t>
      </w:r>
      <w:r w:rsidRPr="00736D29">
        <w:t xml:space="preserve"> Todo tratamiento de datos personales que efectúe el responsable deberá estar justificado por finalidades concretas, lícitas, explícitas y legítimas, relacionadas con las atribuciones que la normatividad aplicable les confiera. </w:t>
      </w:r>
    </w:p>
    <w:p w:rsidR="00B67646" w:rsidRPr="00736D29" w:rsidRDefault="00B67646" w:rsidP="00736D29"/>
    <w:p w:rsidR="00B67646" w:rsidRPr="00736D29" w:rsidRDefault="0019599A" w:rsidP="00736D29">
      <w:pPr>
        <w:pStyle w:val="Puesto"/>
        <w:ind w:firstLine="567"/>
      </w:pPr>
      <w:r w:rsidRPr="00736D29">
        <w:rPr>
          <w:b/>
        </w:rPr>
        <w:t>Artículo 38.</w:t>
      </w:r>
      <w:r w:rsidRPr="00736D29">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36D29">
        <w:rPr>
          <w:b/>
        </w:rPr>
        <w:t>”</w:t>
      </w:r>
      <w:r w:rsidRPr="00736D29">
        <w:t xml:space="preserve"> </w:t>
      </w:r>
    </w:p>
    <w:p w:rsidR="00B67646" w:rsidRPr="00736D29" w:rsidRDefault="00B67646" w:rsidP="00736D29">
      <w:pPr>
        <w:rPr>
          <w:i/>
        </w:rPr>
      </w:pPr>
    </w:p>
    <w:p w:rsidR="00B67646" w:rsidRPr="00736D29" w:rsidRDefault="0019599A" w:rsidP="00736D29">
      <w:r w:rsidRPr="00736D29">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B67646" w:rsidRPr="00736D29" w:rsidRDefault="00B67646" w:rsidP="00736D29"/>
    <w:p w:rsidR="00B67646" w:rsidRPr="00736D29" w:rsidRDefault="0019599A" w:rsidP="00736D29">
      <w:r w:rsidRPr="00736D29">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736D29">
        <w:lastRenderedPageBreak/>
        <w:t xml:space="preserve">información confidencial que debe ser protegida por </w:t>
      </w:r>
      <w:r w:rsidRPr="00736D29">
        <w:rPr>
          <w:b/>
        </w:rPr>
        <w:t>EL SUJETO OBLIGADO,</w:t>
      </w:r>
      <w:r w:rsidRPr="00736D29">
        <w:t xml:space="preserve"> por lo que, todo dato personal susceptible de clasificación debe ser protegido.</w:t>
      </w:r>
    </w:p>
    <w:p w:rsidR="00B67646" w:rsidRPr="00736D29" w:rsidRDefault="00B67646" w:rsidP="00736D29"/>
    <w:p w:rsidR="00B67646" w:rsidRPr="00736D29" w:rsidRDefault="0019599A" w:rsidP="00736D29">
      <w:r w:rsidRPr="00736D29">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B67646" w:rsidRPr="00736D29" w:rsidRDefault="00B67646" w:rsidP="00736D29"/>
    <w:p w:rsidR="00B67646" w:rsidRPr="00736D29" w:rsidRDefault="0019599A" w:rsidP="00736D29">
      <w:r w:rsidRPr="00736D29">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67646" w:rsidRPr="00736D29" w:rsidRDefault="00B67646" w:rsidP="00736D29"/>
    <w:p w:rsidR="00B67646" w:rsidRPr="00736D29" w:rsidRDefault="0019599A" w:rsidP="00736D29">
      <w:pPr>
        <w:pStyle w:val="Puesto"/>
        <w:ind w:firstLine="567"/>
        <w:jc w:val="center"/>
        <w:rPr>
          <w:b/>
        </w:rPr>
      </w:pPr>
      <w:r w:rsidRPr="00736D29">
        <w:rPr>
          <w:b/>
        </w:rPr>
        <w:t>Ley de Transparencia y Acceso a la Información Pública del Estado de México y Municipios</w:t>
      </w:r>
    </w:p>
    <w:p w:rsidR="00B67646" w:rsidRPr="00736D29" w:rsidRDefault="00B67646" w:rsidP="00736D29">
      <w:pPr>
        <w:pStyle w:val="Puesto"/>
        <w:ind w:firstLine="567"/>
      </w:pPr>
    </w:p>
    <w:p w:rsidR="00B67646" w:rsidRPr="00736D29" w:rsidRDefault="0019599A" w:rsidP="00736D29">
      <w:pPr>
        <w:pStyle w:val="Puesto"/>
        <w:ind w:firstLine="567"/>
      </w:pPr>
      <w:r w:rsidRPr="00736D29">
        <w:t>“</w:t>
      </w:r>
      <w:r w:rsidRPr="00736D29">
        <w:rPr>
          <w:b/>
        </w:rPr>
        <w:t>Artículo 49.</w:t>
      </w:r>
      <w:r w:rsidRPr="00736D29">
        <w:t xml:space="preserve"> Los Comités de Transparencia tendrán las siguientes atribuciones:</w:t>
      </w:r>
    </w:p>
    <w:p w:rsidR="00B67646" w:rsidRPr="00736D29" w:rsidRDefault="0019599A" w:rsidP="00736D29">
      <w:pPr>
        <w:pStyle w:val="Puesto"/>
        <w:ind w:firstLine="567"/>
      </w:pPr>
      <w:r w:rsidRPr="00736D29">
        <w:t>VIII. Aprobar, modificar o revocar la clasificación de la información;</w:t>
      </w:r>
    </w:p>
    <w:p w:rsidR="00B67646" w:rsidRPr="00736D29" w:rsidRDefault="00B67646" w:rsidP="00736D29">
      <w:pPr>
        <w:pStyle w:val="Puesto"/>
        <w:ind w:firstLine="567"/>
      </w:pPr>
    </w:p>
    <w:p w:rsidR="00B67646" w:rsidRPr="00736D29" w:rsidRDefault="0019599A" w:rsidP="00736D29">
      <w:pPr>
        <w:pStyle w:val="Puesto"/>
        <w:ind w:firstLine="567"/>
      </w:pPr>
      <w:r w:rsidRPr="00736D29">
        <w:rPr>
          <w:b/>
        </w:rPr>
        <w:t>Artículo 132.</w:t>
      </w:r>
      <w:r w:rsidRPr="00736D29">
        <w:t xml:space="preserve"> La clasificación de la información se llevará a cabo en el momento en que:</w:t>
      </w:r>
    </w:p>
    <w:p w:rsidR="00B67646" w:rsidRPr="00736D29" w:rsidRDefault="0019599A" w:rsidP="00736D29">
      <w:pPr>
        <w:pStyle w:val="Puesto"/>
        <w:ind w:firstLine="567"/>
      </w:pPr>
      <w:r w:rsidRPr="00736D29">
        <w:t>I. Se reciba una solicitud de acceso a la información;</w:t>
      </w:r>
    </w:p>
    <w:p w:rsidR="00B67646" w:rsidRPr="00736D29" w:rsidRDefault="0019599A" w:rsidP="00736D29">
      <w:pPr>
        <w:pStyle w:val="Puesto"/>
        <w:ind w:firstLine="567"/>
      </w:pPr>
      <w:r w:rsidRPr="00736D29">
        <w:t>II. Se determine mediante resolución de autoridad competente; o</w:t>
      </w:r>
    </w:p>
    <w:p w:rsidR="00B67646" w:rsidRPr="00736D29" w:rsidRDefault="0019599A" w:rsidP="00736D29">
      <w:pPr>
        <w:pStyle w:val="Puesto"/>
        <w:ind w:firstLine="567"/>
      </w:pPr>
      <w:r w:rsidRPr="00736D29">
        <w:t>III. Se generen versiones públicas para dar cumplimiento a las obligaciones de transparencia previstas en esta Ley.”</w:t>
      </w:r>
    </w:p>
    <w:p w:rsidR="00B67646" w:rsidRPr="00736D29" w:rsidRDefault="00B67646" w:rsidP="00736D29">
      <w:pPr>
        <w:pStyle w:val="Puesto"/>
        <w:ind w:firstLine="567"/>
      </w:pPr>
    </w:p>
    <w:p w:rsidR="00B67646" w:rsidRPr="00736D29" w:rsidRDefault="0019599A" w:rsidP="00736D29">
      <w:pPr>
        <w:pStyle w:val="Puesto"/>
        <w:ind w:firstLine="567"/>
      </w:pPr>
      <w:r w:rsidRPr="00736D29">
        <w:lastRenderedPageBreak/>
        <w:t>“</w:t>
      </w:r>
      <w:r w:rsidRPr="00736D29">
        <w:rPr>
          <w:b/>
        </w:rPr>
        <w:t>Segundo. -</w:t>
      </w:r>
      <w:r w:rsidRPr="00736D29">
        <w:t xml:space="preserve"> Para efectos de los presentes Lineamientos Generales, se entenderá por:</w:t>
      </w:r>
    </w:p>
    <w:p w:rsidR="00B67646" w:rsidRPr="00736D29" w:rsidRDefault="0019599A" w:rsidP="00736D29">
      <w:pPr>
        <w:pStyle w:val="Puesto"/>
        <w:ind w:firstLine="567"/>
      </w:pPr>
      <w:r w:rsidRPr="00736D29">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67646" w:rsidRPr="00736D29" w:rsidRDefault="00B67646" w:rsidP="00736D29">
      <w:pPr>
        <w:pStyle w:val="Puesto"/>
        <w:ind w:firstLine="567"/>
      </w:pPr>
    </w:p>
    <w:p w:rsidR="00B67646" w:rsidRPr="00736D29" w:rsidRDefault="0019599A" w:rsidP="00736D29">
      <w:pPr>
        <w:pStyle w:val="Puesto"/>
        <w:ind w:firstLine="567"/>
        <w:jc w:val="center"/>
        <w:rPr>
          <w:b/>
        </w:rPr>
      </w:pPr>
      <w:r w:rsidRPr="00736D29">
        <w:rPr>
          <w:b/>
        </w:rPr>
        <w:t>Lineamientos Generales en materia de Clasificación y Desclasificación de la Información</w:t>
      </w:r>
    </w:p>
    <w:p w:rsidR="00B67646" w:rsidRPr="00736D29" w:rsidRDefault="00B67646" w:rsidP="00736D29">
      <w:pPr>
        <w:pStyle w:val="Puesto"/>
        <w:ind w:firstLine="567"/>
        <w:jc w:val="center"/>
        <w:rPr>
          <w:b/>
        </w:rPr>
      </w:pPr>
    </w:p>
    <w:p w:rsidR="00B67646" w:rsidRPr="00736D29" w:rsidRDefault="0019599A" w:rsidP="00736D29">
      <w:pPr>
        <w:pStyle w:val="Puesto"/>
        <w:ind w:firstLine="567"/>
      </w:pPr>
      <w:r w:rsidRPr="00736D29">
        <w:rPr>
          <w:b/>
        </w:rPr>
        <w:t>Cuarto.</w:t>
      </w:r>
      <w:r w:rsidRPr="00736D29">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67646" w:rsidRPr="00736D29" w:rsidRDefault="0019599A" w:rsidP="00736D29">
      <w:pPr>
        <w:pStyle w:val="Puesto"/>
        <w:ind w:firstLine="567"/>
      </w:pPr>
      <w:r w:rsidRPr="00736D29">
        <w:t>Los sujetos obligados deberán aplicar, de manera estricta, las excepciones al derecho de acceso a la información y sólo podrán invocarlas cuando acrediten su procedencia.</w:t>
      </w:r>
    </w:p>
    <w:p w:rsidR="00B67646" w:rsidRPr="00736D29" w:rsidRDefault="00B67646" w:rsidP="00736D29">
      <w:pPr>
        <w:pStyle w:val="Puesto"/>
        <w:ind w:firstLine="567"/>
      </w:pPr>
    </w:p>
    <w:p w:rsidR="00B67646" w:rsidRPr="00736D29" w:rsidRDefault="0019599A" w:rsidP="00736D29">
      <w:pPr>
        <w:pStyle w:val="Puesto"/>
        <w:ind w:firstLine="567"/>
      </w:pPr>
      <w:r w:rsidRPr="00736D29">
        <w:rPr>
          <w:b/>
        </w:rPr>
        <w:t>Quinto.</w:t>
      </w:r>
      <w:r w:rsidRPr="00736D29">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67646" w:rsidRPr="00736D29" w:rsidRDefault="00B67646" w:rsidP="00736D29">
      <w:pPr>
        <w:pStyle w:val="Puesto"/>
        <w:ind w:firstLine="567"/>
      </w:pPr>
    </w:p>
    <w:p w:rsidR="00B67646" w:rsidRPr="00736D29" w:rsidRDefault="0019599A" w:rsidP="00736D29">
      <w:pPr>
        <w:pStyle w:val="Puesto"/>
        <w:ind w:firstLine="567"/>
      </w:pPr>
      <w:r w:rsidRPr="00736D29">
        <w:rPr>
          <w:b/>
        </w:rPr>
        <w:t>Sexto.</w:t>
      </w:r>
      <w:r w:rsidRPr="00736D29">
        <w:t xml:space="preserve"> Se deroga.</w:t>
      </w:r>
    </w:p>
    <w:p w:rsidR="00B67646" w:rsidRPr="00736D29" w:rsidRDefault="00B67646" w:rsidP="00736D29">
      <w:pPr>
        <w:pStyle w:val="Puesto"/>
        <w:ind w:firstLine="567"/>
      </w:pPr>
    </w:p>
    <w:p w:rsidR="00B67646" w:rsidRPr="00736D29" w:rsidRDefault="0019599A" w:rsidP="00736D29">
      <w:pPr>
        <w:pStyle w:val="Puesto"/>
        <w:ind w:firstLine="567"/>
      </w:pPr>
      <w:r w:rsidRPr="00736D29">
        <w:rPr>
          <w:b/>
        </w:rPr>
        <w:t>Séptimo.</w:t>
      </w:r>
      <w:r w:rsidRPr="00736D29">
        <w:t xml:space="preserve"> La clasificación de la información se llevará a cabo en el momento en que:</w:t>
      </w:r>
    </w:p>
    <w:p w:rsidR="00B67646" w:rsidRPr="00736D29" w:rsidRDefault="0019599A" w:rsidP="00736D29">
      <w:pPr>
        <w:pStyle w:val="Puesto"/>
        <w:ind w:firstLine="567"/>
      </w:pPr>
      <w:r w:rsidRPr="00736D29">
        <w:t>I.        Se reciba una solicitud de acceso a la información;</w:t>
      </w:r>
    </w:p>
    <w:p w:rsidR="00B67646" w:rsidRPr="00736D29" w:rsidRDefault="0019599A" w:rsidP="00736D29">
      <w:pPr>
        <w:pStyle w:val="Puesto"/>
        <w:ind w:firstLine="567"/>
      </w:pPr>
      <w:r w:rsidRPr="00736D29">
        <w:t>II.       Se determine mediante resolución del Comité de Transparencia, el órgano garante competente, o en cumplimiento a una sentencia del Poder Judicial; o</w:t>
      </w:r>
    </w:p>
    <w:p w:rsidR="00B67646" w:rsidRPr="00736D29" w:rsidRDefault="0019599A" w:rsidP="00736D29">
      <w:pPr>
        <w:pStyle w:val="Puesto"/>
        <w:ind w:firstLine="567"/>
      </w:pPr>
      <w:r w:rsidRPr="00736D29">
        <w:t>III.      Se generen versiones públicas para dar cumplimiento a las obligaciones de transparencia previstas en la Ley General, la Ley Federal y las correspondientes de las entidades federativas.</w:t>
      </w:r>
    </w:p>
    <w:p w:rsidR="00B67646" w:rsidRPr="00736D29" w:rsidRDefault="0019599A" w:rsidP="00736D29">
      <w:pPr>
        <w:pStyle w:val="Puesto"/>
        <w:ind w:firstLine="567"/>
      </w:pPr>
      <w:r w:rsidRPr="00736D29">
        <w:t xml:space="preserve">Los titulares de las áreas deberán revisar la información requerida al momento de la recepción de una solicitud de acceso, para verificar, conforme a su naturaleza, si encuadra en una causal de reserva o de confidencialidad. </w:t>
      </w:r>
    </w:p>
    <w:p w:rsidR="00B67646" w:rsidRPr="00736D29" w:rsidRDefault="00B67646" w:rsidP="00736D29">
      <w:pPr>
        <w:pStyle w:val="Puesto"/>
        <w:ind w:firstLine="567"/>
      </w:pPr>
    </w:p>
    <w:p w:rsidR="00B67646" w:rsidRPr="00736D29" w:rsidRDefault="0019599A" w:rsidP="00736D29">
      <w:pPr>
        <w:pStyle w:val="Puesto"/>
        <w:ind w:firstLine="567"/>
      </w:pPr>
      <w:r w:rsidRPr="00736D29">
        <w:rPr>
          <w:b/>
        </w:rPr>
        <w:lastRenderedPageBreak/>
        <w:t>Octavo.</w:t>
      </w:r>
      <w:r w:rsidRPr="00736D29">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67646" w:rsidRPr="00736D29" w:rsidRDefault="0019599A" w:rsidP="00736D29">
      <w:pPr>
        <w:pStyle w:val="Puesto"/>
        <w:ind w:firstLine="567"/>
      </w:pPr>
      <w:r w:rsidRPr="00736D29">
        <w:t>Para motivar la clasificación se deberán señalar las razones o circunstancias especiales que lo llevaron a concluir que el caso particular se ajusta al supuesto previsto por la norma legal invocada como fundamento.</w:t>
      </w:r>
    </w:p>
    <w:p w:rsidR="00B67646" w:rsidRPr="00736D29" w:rsidRDefault="0019599A" w:rsidP="00736D29">
      <w:pPr>
        <w:pStyle w:val="Puesto"/>
        <w:ind w:firstLine="567"/>
      </w:pPr>
      <w:r w:rsidRPr="00736D29">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B67646" w:rsidRPr="00736D29" w:rsidRDefault="00B67646" w:rsidP="00736D29">
      <w:pPr>
        <w:pStyle w:val="Puesto"/>
        <w:ind w:firstLine="567"/>
      </w:pPr>
    </w:p>
    <w:p w:rsidR="00B67646" w:rsidRPr="00736D29" w:rsidRDefault="0019599A" w:rsidP="00736D29">
      <w:pPr>
        <w:pStyle w:val="Puesto"/>
        <w:ind w:firstLine="567"/>
      </w:pPr>
      <w:r w:rsidRPr="00736D29">
        <w:rPr>
          <w:b/>
        </w:rPr>
        <w:t>Noveno.</w:t>
      </w:r>
      <w:r w:rsidRPr="00736D29">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67646" w:rsidRPr="00736D29" w:rsidRDefault="00B67646" w:rsidP="00736D29">
      <w:pPr>
        <w:pStyle w:val="Puesto"/>
        <w:ind w:firstLine="567"/>
      </w:pPr>
    </w:p>
    <w:p w:rsidR="00B67646" w:rsidRPr="00736D29" w:rsidRDefault="0019599A" w:rsidP="00736D29">
      <w:pPr>
        <w:pStyle w:val="Puesto"/>
        <w:ind w:firstLine="567"/>
      </w:pPr>
      <w:r w:rsidRPr="00736D29">
        <w:rPr>
          <w:b/>
        </w:rPr>
        <w:t>Décimo.</w:t>
      </w:r>
      <w:r w:rsidRPr="00736D29">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B67646" w:rsidRPr="00736D29" w:rsidRDefault="0019599A" w:rsidP="00736D29">
      <w:pPr>
        <w:pStyle w:val="Puesto"/>
        <w:ind w:firstLine="567"/>
      </w:pPr>
      <w:r w:rsidRPr="00736D29">
        <w:t>En ausencia de los titulares de las áreas, la información será clasificada o desclasificada por la persona que lo supla, en términos de la normativa que rija la actuación del sujeto obligado.</w:t>
      </w:r>
    </w:p>
    <w:p w:rsidR="00B67646" w:rsidRPr="00736D29" w:rsidRDefault="0019599A" w:rsidP="00736D29">
      <w:pPr>
        <w:pStyle w:val="Puesto"/>
        <w:ind w:firstLine="567"/>
      </w:pPr>
      <w:r w:rsidRPr="00736D29">
        <w:rPr>
          <w:b/>
        </w:rPr>
        <w:t xml:space="preserve">Décimo primero. </w:t>
      </w:r>
      <w:r w:rsidRPr="00736D29">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B67646" w:rsidRPr="00736D29" w:rsidRDefault="00B67646" w:rsidP="00736D29"/>
    <w:p w:rsidR="00B67646" w:rsidRPr="00736D29" w:rsidRDefault="0019599A" w:rsidP="00736D29">
      <w:r w:rsidRPr="00736D29">
        <w:t xml:space="preserve">Consecuentemente, se destaca que la versión pública que elabore </w:t>
      </w:r>
      <w:r w:rsidRPr="00736D29">
        <w:rPr>
          <w:b/>
        </w:rPr>
        <w:t>EL SUJETO OBLIGADO</w:t>
      </w:r>
      <w:r w:rsidRPr="00736D29">
        <w:t xml:space="preserve"> debe cumplir con las formalidades exigidas en la Ley, por lo que para tal efecto emitirá el </w:t>
      </w:r>
      <w:r w:rsidRPr="00736D29">
        <w:rPr>
          <w:b/>
        </w:rPr>
        <w:t>Acuerdo del Comité de Transparencia</w:t>
      </w:r>
      <w:r w:rsidRPr="00736D29">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w:t>
      </w:r>
      <w:r w:rsidRPr="00736D29">
        <w:lastRenderedPageBreak/>
        <w:t>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rsidR="00B67646" w:rsidRPr="00736D29" w:rsidRDefault="00B67646" w:rsidP="00736D29"/>
    <w:p w:rsidR="00B67646" w:rsidRPr="00736D29" w:rsidRDefault="0019599A" w:rsidP="00736D29">
      <w:pPr>
        <w:ind w:right="113"/>
      </w:pPr>
      <w:r w:rsidRPr="00736D29">
        <w:t>Es importante señalar que, para el caso en concreto, se deben tomar en consideración los siguientes criterios respecto a la información que debe ser, o no, clasificada como confidencial:</w:t>
      </w:r>
    </w:p>
    <w:p w:rsidR="00B67646" w:rsidRPr="00736D29" w:rsidRDefault="00B67646" w:rsidP="00736D29"/>
    <w:p w:rsidR="00B67646" w:rsidRPr="00736D29" w:rsidRDefault="0019599A" w:rsidP="00736D29">
      <w:pPr>
        <w:rPr>
          <w:b/>
        </w:rPr>
      </w:pPr>
      <w:r w:rsidRPr="00736D29">
        <w:t xml:space="preserve">El  </w:t>
      </w:r>
      <w:r w:rsidRPr="00736D29">
        <w:rPr>
          <w:b/>
        </w:rPr>
        <w:t>Nombres de personas que no son servidores públicos</w:t>
      </w:r>
      <w:r w:rsidRPr="00736D29">
        <w:t xml:space="preserve">, 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736D29">
        <w:rPr>
          <w:i/>
        </w:rPr>
        <w:t>per se</w:t>
      </w:r>
      <w:r w:rsidRPr="00736D29">
        <w:t xml:space="preserve"> es un elemento que hace a una persona física identificada o identificable, por lo que, </w:t>
      </w:r>
      <w:r w:rsidRPr="00736D29">
        <w:rPr>
          <w:b/>
        </w:rPr>
        <w:t>se considera un dato personal.</w:t>
      </w:r>
    </w:p>
    <w:p w:rsidR="00B67646" w:rsidRPr="00736D29" w:rsidRDefault="00B67646" w:rsidP="00736D29">
      <w:pPr>
        <w:rPr>
          <w:b/>
        </w:rPr>
      </w:pPr>
    </w:p>
    <w:p w:rsidR="00B67646" w:rsidRPr="00736D29" w:rsidRDefault="0019599A" w:rsidP="00736D29">
      <w:r w:rsidRPr="00736D29">
        <w:t>Con base en lo anterior, procede su eliminación de las versiones públicas, pues se considera un dato personal en términos del artículo 143, fracción I de la Ley de Transparencia y Acceso a la Información Pública del Estado de México y Municipios.</w:t>
      </w:r>
    </w:p>
    <w:p w:rsidR="00B67646" w:rsidRPr="00736D29" w:rsidRDefault="00B67646" w:rsidP="00736D29"/>
    <w:p w:rsidR="00B67646" w:rsidRPr="00736D29" w:rsidRDefault="0019599A" w:rsidP="00736D29">
      <w:pPr>
        <w:ind w:right="-28"/>
      </w:pPr>
      <w:r w:rsidRPr="00736D29">
        <w:t>Es importante señalar que, para el caso de que en las conferencias de las cuales se ordena su entrega, contengan imágenes de personas que no son servidoras públicas, dicho dato debe de clasificarse como información confidencial, en términos del artículo 143, fracción I, de la Ley de Transparencia y Acceso a la Información Pública del Estado de México y Municipios.</w:t>
      </w:r>
    </w:p>
    <w:p w:rsidR="00B67646" w:rsidRPr="00736D29" w:rsidRDefault="00B67646" w:rsidP="00736D29">
      <w:pPr>
        <w:ind w:right="-28"/>
      </w:pPr>
    </w:p>
    <w:p w:rsidR="00B67646" w:rsidRPr="00736D29" w:rsidRDefault="0019599A" w:rsidP="00736D29">
      <w:pPr>
        <w:numPr>
          <w:ilvl w:val="0"/>
          <w:numId w:val="4"/>
        </w:numPr>
        <w:pBdr>
          <w:top w:val="nil"/>
          <w:left w:val="nil"/>
          <w:bottom w:val="nil"/>
          <w:right w:val="nil"/>
          <w:between w:val="nil"/>
        </w:pBdr>
      </w:pPr>
      <w:r w:rsidRPr="00736D29">
        <w:rPr>
          <w:rFonts w:eastAsia="Palatino Linotype" w:cs="Palatino Linotype"/>
          <w:b/>
          <w:szCs w:val="22"/>
        </w:rPr>
        <w:t>Registro Federal de Contribuyentes</w:t>
      </w:r>
      <w:r w:rsidRPr="00736D29">
        <w:rPr>
          <w:rFonts w:eastAsia="Palatino Linotype" w:cs="Palatino Linotype"/>
          <w:szCs w:val="22"/>
        </w:rPr>
        <w:t xml:space="preserve"> </w:t>
      </w:r>
      <w:r w:rsidRPr="00736D29">
        <w:rPr>
          <w:rFonts w:eastAsia="Palatino Linotype" w:cs="Palatino Linotype"/>
          <w:b/>
          <w:szCs w:val="22"/>
        </w:rPr>
        <w:t>de las personas físicas</w:t>
      </w:r>
    </w:p>
    <w:p w:rsidR="00B67646" w:rsidRPr="00736D29" w:rsidRDefault="00B67646" w:rsidP="00736D29">
      <w:pPr>
        <w:pBdr>
          <w:top w:val="nil"/>
          <w:left w:val="nil"/>
          <w:bottom w:val="nil"/>
          <w:right w:val="nil"/>
          <w:between w:val="nil"/>
        </w:pBdr>
        <w:ind w:left="720"/>
        <w:rPr>
          <w:rFonts w:eastAsia="Palatino Linotype" w:cs="Palatino Linotype"/>
          <w:szCs w:val="22"/>
        </w:rPr>
      </w:pPr>
    </w:p>
    <w:p w:rsidR="00B67646" w:rsidRPr="00736D29" w:rsidRDefault="0019599A" w:rsidP="00736D29">
      <w:r w:rsidRPr="00736D29">
        <w:t>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B67646" w:rsidRPr="00736D29" w:rsidRDefault="00B67646" w:rsidP="00736D29"/>
    <w:p w:rsidR="00B67646" w:rsidRPr="00736D29" w:rsidRDefault="0019599A" w:rsidP="00736D29">
      <w:pPr>
        <w:rPr>
          <w:b/>
        </w:rPr>
      </w:pPr>
      <w:r w:rsidRPr="00736D29">
        <w:t>Al respecto, es aplicable el Criterio 19/17 de la Segunda Época, emitido por el Instituto Nacional de Transparencia, Acceso a la Información y Protección de Datos Personales, que dice:</w:t>
      </w:r>
      <w:r w:rsidRPr="00736D29">
        <w:rPr>
          <w:b/>
        </w:rPr>
        <w:t xml:space="preserve"> </w:t>
      </w:r>
    </w:p>
    <w:p w:rsidR="00B67646" w:rsidRPr="00736D29" w:rsidRDefault="00B67646" w:rsidP="00736D29">
      <w:pPr>
        <w:rPr>
          <w:b/>
        </w:rPr>
      </w:pPr>
    </w:p>
    <w:p w:rsidR="00B67646" w:rsidRPr="00736D29" w:rsidRDefault="0019599A" w:rsidP="00736D29">
      <w:pPr>
        <w:pStyle w:val="Puesto"/>
        <w:ind w:firstLine="567"/>
      </w:pPr>
      <w:r w:rsidRPr="00736D29">
        <w:t>“</w:t>
      </w:r>
      <w:r w:rsidRPr="00736D29">
        <w:rPr>
          <w:b/>
        </w:rPr>
        <w:t>Registro Federal de Contribuyentes (RFC) de personas físicas.</w:t>
      </w:r>
      <w:r w:rsidRPr="00736D29">
        <w:t xml:space="preserve"> El RFC es una clave de carácter fiscal, única e irrepetible, que permite identificar al titular, su edad y fecha de nacimiento, por lo que es un dato personal de carácter confidencial.</w:t>
      </w:r>
    </w:p>
    <w:p w:rsidR="00B67646" w:rsidRPr="00736D29" w:rsidRDefault="0019599A" w:rsidP="00736D29">
      <w:pPr>
        <w:pStyle w:val="Puesto"/>
        <w:ind w:firstLine="567"/>
      </w:pPr>
      <w:r w:rsidRPr="00736D29">
        <w:t xml:space="preserve"> (Énfasis añadido)</w:t>
      </w:r>
    </w:p>
    <w:p w:rsidR="00B67646" w:rsidRPr="00736D29" w:rsidRDefault="00B67646" w:rsidP="00736D29">
      <w:pPr>
        <w:ind w:left="851" w:right="899"/>
      </w:pPr>
    </w:p>
    <w:p w:rsidR="00B67646" w:rsidRPr="00736D29" w:rsidRDefault="0019599A" w:rsidP="00736D29">
      <w:r w:rsidRPr="00736D29">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B67646" w:rsidRPr="00736D29" w:rsidRDefault="00B67646" w:rsidP="00736D29"/>
    <w:p w:rsidR="00B67646" w:rsidRPr="00736D29" w:rsidRDefault="0019599A" w:rsidP="00736D29">
      <w:pPr>
        <w:numPr>
          <w:ilvl w:val="0"/>
          <w:numId w:val="4"/>
        </w:numPr>
        <w:pBdr>
          <w:top w:val="nil"/>
          <w:left w:val="nil"/>
          <w:bottom w:val="nil"/>
          <w:right w:val="nil"/>
          <w:between w:val="nil"/>
        </w:pBdr>
        <w:rPr>
          <w:rFonts w:eastAsia="Palatino Linotype" w:cs="Palatino Linotype"/>
          <w:szCs w:val="22"/>
        </w:rPr>
      </w:pPr>
      <w:r w:rsidRPr="00736D29">
        <w:rPr>
          <w:rFonts w:eastAsia="Palatino Linotype" w:cs="Palatino Linotype"/>
          <w:b/>
          <w:szCs w:val="22"/>
        </w:rPr>
        <w:t>Clave Única de Registro de Población</w:t>
      </w:r>
    </w:p>
    <w:p w:rsidR="00B67646" w:rsidRPr="00736D29" w:rsidRDefault="00B67646" w:rsidP="00736D29">
      <w:pPr>
        <w:pBdr>
          <w:top w:val="nil"/>
          <w:left w:val="nil"/>
          <w:bottom w:val="nil"/>
          <w:right w:val="nil"/>
          <w:between w:val="nil"/>
        </w:pBdr>
        <w:ind w:left="720"/>
        <w:rPr>
          <w:rFonts w:eastAsia="Palatino Linotype" w:cs="Palatino Linotype"/>
          <w:szCs w:val="22"/>
        </w:rPr>
      </w:pPr>
    </w:p>
    <w:p w:rsidR="00B67646" w:rsidRPr="00736D29" w:rsidRDefault="0019599A" w:rsidP="00736D29">
      <w:r w:rsidRPr="00736D29">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B67646" w:rsidRPr="00736D29" w:rsidRDefault="00B67646" w:rsidP="00736D29"/>
    <w:p w:rsidR="00B67646" w:rsidRPr="00736D29" w:rsidRDefault="0019599A" w:rsidP="00736D29">
      <w:r w:rsidRPr="00736D29">
        <w:t>Lo anterior, tiene sustento en los artículos 86 y 91 de la Ley General de Población, la cual señala lo siguiente:</w:t>
      </w:r>
    </w:p>
    <w:p w:rsidR="00B67646" w:rsidRPr="00736D29" w:rsidRDefault="00B67646" w:rsidP="00736D29"/>
    <w:p w:rsidR="00B67646" w:rsidRPr="00736D29" w:rsidRDefault="0019599A" w:rsidP="00736D29">
      <w:pPr>
        <w:pStyle w:val="Puesto"/>
        <w:ind w:firstLine="567"/>
      </w:pPr>
      <w:r w:rsidRPr="00736D29">
        <w:t>“</w:t>
      </w:r>
      <w:r w:rsidRPr="00736D29">
        <w:rPr>
          <w:b/>
        </w:rPr>
        <w:t xml:space="preserve">Artículo 86. </w:t>
      </w:r>
      <w:r w:rsidRPr="00736D29">
        <w:t>El Registro Nacional de Población tiene como finalidad registrar a cada una de las personas que integran la población del país, con los datos que permitan certificar y acreditar fehacientemente su identidad.</w:t>
      </w:r>
    </w:p>
    <w:p w:rsidR="00B67646" w:rsidRPr="00736D29" w:rsidRDefault="0019599A" w:rsidP="00736D29">
      <w:pPr>
        <w:pStyle w:val="Puesto"/>
        <w:ind w:firstLine="567"/>
      </w:pPr>
      <w:r w:rsidRPr="00736D29">
        <w:rPr>
          <w:b/>
        </w:rPr>
        <w:t xml:space="preserve">Artículo 91. </w:t>
      </w:r>
      <w:r w:rsidRPr="00736D29">
        <w:rPr>
          <w:b/>
          <w:u w:val="single"/>
        </w:rPr>
        <w:t>Al incorporar a una persona en el Registro Nacional de Población</w:t>
      </w:r>
      <w:r w:rsidRPr="00736D29">
        <w:t xml:space="preserve">, se le asignará una clave </w:t>
      </w:r>
      <w:r w:rsidRPr="00736D29">
        <w:rPr>
          <w:b/>
          <w:u w:val="single"/>
        </w:rPr>
        <w:t>que se denominará Clave Única de Registro de Población</w:t>
      </w:r>
      <w:r w:rsidRPr="00736D29">
        <w:t xml:space="preserve">. </w:t>
      </w:r>
      <w:r w:rsidRPr="00736D29">
        <w:rPr>
          <w:b/>
          <w:u w:val="single"/>
        </w:rPr>
        <w:t>Esta servirá para</w:t>
      </w:r>
      <w:r w:rsidRPr="00736D29">
        <w:t xml:space="preserve"> registrarla e </w:t>
      </w:r>
      <w:r w:rsidRPr="00736D29">
        <w:rPr>
          <w:b/>
          <w:u w:val="single"/>
        </w:rPr>
        <w:t>identificarla en forma individual</w:t>
      </w:r>
      <w:r w:rsidRPr="00736D29">
        <w:t xml:space="preserve">.” </w:t>
      </w:r>
    </w:p>
    <w:p w:rsidR="00B67646" w:rsidRPr="00736D29" w:rsidRDefault="0019599A" w:rsidP="00736D29">
      <w:pPr>
        <w:pStyle w:val="Puesto"/>
        <w:ind w:firstLine="567"/>
      </w:pPr>
      <w:r w:rsidRPr="00736D29">
        <w:t>(Énfasis añadido)</w:t>
      </w:r>
    </w:p>
    <w:p w:rsidR="00B67646" w:rsidRPr="00736D29" w:rsidRDefault="00B67646" w:rsidP="00736D29"/>
    <w:p w:rsidR="00B67646" w:rsidRPr="00736D29" w:rsidRDefault="0019599A" w:rsidP="00736D29">
      <w:r w:rsidRPr="00736D29">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rsidR="00B67646" w:rsidRPr="00736D29" w:rsidRDefault="00B67646" w:rsidP="00736D29"/>
    <w:p w:rsidR="00B67646" w:rsidRPr="00736D29" w:rsidRDefault="0019599A" w:rsidP="00736D29">
      <w:r w:rsidRPr="00736D29">
        <w:lastRenderedPageBreak/>
        <w:t>Al respecto, el Instituto Nacional de Transparencia, Acceso a la Información y Protección de Datos Personales (INAI), a través del Criterio 18/17 de la Segunda Época, señala literalmente lo siguiente:</w:t>
      </w:r>
    </w:p>
    <w:p w:rsidR="00B67646" w:rsidRPr="00736D29" w:rsidRDefault="00B67646" w:rsidP="00736D29"/>
    <w:p w:rsidR="00B67646" w:rsidRPr="00736D29" w:rsidRDefault="0019599A" w:rsidP="00736D29">
      <w:pPr>
        <w:pStyle w:val="Puesto"/>
        <w:ind w:firstLine="567"/>
      </w:pPr>
      <w:r w:rsidRPr="00736D29">
        <w:t>“</w:t>
      </w:r>
      <w:r w:rsidRPr="00736D29">
        <w:rPr>
          <w:b/>
        </w:rPr>
        <w:t>Clave Única de Registro de Población (CURP). La Clave Única de Registro de Población</w:t>
      </w:r>
      <w:r w:rsidRPr="00736D29">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B67646" w:rsidRPr="00736D29" w:rsidRDefault="0019599A" w:rsidP="00736D29">
      <w:pPr>
        <w:pStyle w:val="Puesto"/>
        <w:ind w:firstLine="567"/>
      </w:pPr>
      <w:r w:rsidRPr="00736D29">
        <w:t xml:space="preserve"> (Énfasis añadido)</w:t>
      </w:r>
    </w:p>
    <w:p w:rsidR="00B67646" w:rsidRPr="00736D29" w:rsidRDefault="00B67646" w:rsidP="00736D29">
      <w:pPr>
        <w:ind w:left="851" w:right="902"/>
      </w:pPr>
    </w:p>
    <w:p w:rsidR="00B67646" w:rsidRPr="00736D29" w:rsidRDefault="0019599A" w:rsidP="00736D29">
      <w:r w:rsidRPr="00736D29">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B67646" w:rsidRPr="00736D29" w:rsidRDefault="00B67646" w:rsidP="00736D29"/>
    <w:p w:rsidR="00B67646" w:rsidRPr="00736D29" w:rsidRDefault="0019599A" w:rsidP="00736D29">
      <w:pPr>
        <w:numPr>
          <w:ilvl w:val="0"/>
          <w:numId w:val="4"/>
        </w:numPr>
        <w:pBdr>
          <w:top w:val="nil"/>
          <w:left w:val="nil"/>
          <w:bottom w:val="nil"/>
          <w:right w:val="nil"/>
          <w:between w:val="nil"/>
        </w:pBdr>
        <w:rPr>
          <w:rFonts w:eastAsia="Palatino Linotype" w:cs="Palatino Linotype"/>
          <w:b/>
          <w:szCs w:val="22"/>
        </w:rPr>
      </w:pPr>
      <w:r w:rsidRPr="00736D29">
        <w:rPr>
          <w:rFonts w:eastAsia="Palatino Linotype" w:cs="Palatino Linotype"/>
          <w:b/>
          <w:szCs w:val="22"/>
        </w:rPr>
        <w:t>Clave de cualquier tipo de seguridad social</w:t>
      </w:r>
    </w:p>
    <w:p w:rsidR="00B67646" w:rsidRPr="00736D29" w:rsidRDefault="00B67646" w:rsidP="00736D29"/>
    <w:p w:rsidR="00B67646" w:rsidRPr="00736D29" w:rsidRDefault="0019599A" w:rsidP="00736D29">
      <w:r w:rsidRPr="00736D29">
        <w:t xml:space="preserve">Por cuanto hace a la </w:t>
      </w:r>
      <w:r w:rsidRPr="00736D29">
        <w:rPr>
          <w:b/>
        </w:rPr>
        <w:t>Clave de cualquier tipo de seguridad social</w:t>
      </w:r>
      <w:r w:rsidRPr="00736D29">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w:t>
      </w:r>
      <w:r w:rsidRPr="00736D29">
        <w:lastRenderedPageBreak/>
        <w:t>Ley de Transparencia y Acceso a la Información Pública del Estado de México y Municipios y 4, fracción XI de la Ley de Protección de Datos Personales en Posesión de Sujetos Obligados del Estado de México y Municipios.</w:t>
      </w:r>
    </w:p>
    <w:p w:rsidR="00B67646" w:rsidRPr="00736D29" w:rsidRDefault="00B67646" w:rsidP="00736D29"/>
    <w:p w:rsidR="00B67646" w:rsidRPr="00736D29" w:rsidRDefault="0019599A" w:rsidP="00736D29">
      <w:pPr>
        <w:numPr>
          <w:ilvl w:val="0"/>
          <w:numId w:val="4"/>
        </w:numPr>
        <w:pBdr>
          <w:top w:val="nil"/>
          <w:left w:val="nil"/>
          <w:bottom w:val="nil"/>
          <w:right w:val="nil"/>
          <w:between w:val="nil"/>
        </w:pBdr>
        <w:rPr>
          <w:rFonts w:eastAsia="Palatino Linotype" w:cs="Palatino Linotype"/>
          <w:b/>
          <w:szCs w:val="22"/>
        </w:rPr>
      </w:pPr>
      <w:r w:rsidRPr="00736D29">
        <w:rPr>
          <w:rFonts w:eastAsia="Palatino Linotype" w:cs="Palatino Linotype"/>
          <w:b/>
          <w:szCs w:val="22"/>
        </w:rPr>
        <w:t>Número de cuenta bancaria de los particulares</w:t>
      </w:r>
    </w:p>
    <w:p w:rsidR="00B67646" w:rsidRPr="00736D29" w:rsidRDefault="00B67646" w:rsidP="00736D29">
      <w:pPr>
        <w:pBdr>
          <w:top w:val="nil"/>
          <w:left w:val="nil"/>
          <w:bottom w:val="nil"/>
          <w:right w:val="nil"/>
          <w:between w:val="nil"/>
        </w:pBdr>
        <w:ind w:left="720"/>
        <w:rPr>
          <w:rFonts w:eastAsia="Palatino Linotype" w:cs="Palatino Linotype"/>
          <w:b/>
          <w:szCs w:val="22"/>
        </w:rPr>
      </w:pPr>
    </w:p>
    <w:p w:rsidR="00B67646" w:rsidRPr="00736D29" w:rsidRDefault="0019599A" w:rsidP="00736D29">
      <w:r w:rsidRPr="00736D29">
        <w:t>Por otro lado, es importante señalar que 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rsidR="00B67646" w:rsidRPr="00736D29" w:rsidRDefault="00B67646" w:rsidP="00736D29">
      <w:pPr>
        <w:ind w:right="50"/>
      </w:pPr>
    </w:p>
    <w:p w:rsidR="00B67646" w:rsidRPr="00736D29" w:rsidRDefault="0019599A" w:rsidP="00736D29">
      <w:pPr>
        <w:ind w:right="51"/>
      </w:pPr>
      <w:r w:rsidRPr="00736D29">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B67646" w:rsidRPr="00736D29" w:rsidRDefault="00B67646" w:rsidP="00736D29">
      <w:pPr>
        <w:ind w:right="51"/>
      </w:pPr>
    </w:p>
    <w:p w:rsidR="00B67646" w:rsidRPr="00736D29" w:rsidRDefault="0019599A" w:rsidP="00736D29">
      <w:pPr>
        <w:ind w:right="50"/>
      </w:pPr>
      <w:r w:rsidRPr="00736D29">
        <w:t>Lo anterior encuentra sustento en el criterio 10/17 emitido por el Instituto Nacional de Transparencia y Acceso a la Información Pública del Estado de México y Municipios, que a la letra dicen:</w:t>
      </w:r>
    </w:p>
    <w:p w:rsidR="00B67646" w:rsidRPr="00736D29" w:rsidRDefault="00B67646" w:rsidP="00736D29">
      <w:pPr>
        <w:ind w:right="50"/>
      </w:pPr>
    </w:p>
    <w:p w:rsidR="00B67646" w:rsidRPr="00736D29" w:rsidRDefault="0019599A" w:rsidP="00736D29">
      <w:pPr>
        <w:pStyle w:val="Puesto"/>
        <w:ind w:firstLine="567"/>
      </w:pPr>
      <w:r w:rsidRPr="00736D29">
        <w:rPr>
          <w:b/>
        </w:rPr>
        <w:t>“Cuentas bancarias y/o CLABE interbancaria de personas físicas y morales privadas.</w:t>
      </w:r>
      <w:r w:rsidRPr="00736D29">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w:t>
      </w:r>
      <w:r w:rsidRPr="00736D29">
        <w:lastRenderedPageBreak/>
        <w:t>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B67646" w:rsidRPr="00736D29" w:rsidRDefault="00B67646" w:rsidP="00736D29">
      <w:pPr>
        <w:ind w:right="-28"/>
      </w:pPr>
    </w:p>
    <w:p w:rsidR="00B67646" w:rsidRPr="00736D29" w:rsidRDefault="0019599A" w:rsidP="00736D29">
      <w:pPr>
        <w:numPr>
          <w:ilvl w:val="0"/>
          <w:numId w:val="4"/>
        </w:numPr>
        <w:pBdr>
          <w:top w:val="nil"/>
          <w:left w:val="nil"/>
          <w:bottom w:val="nil"/>
          <w:right w:val="nil"/>
          <w:between w:val="nil"/>
        </w:pBdr>
        <w:ind w:right="51"/>
        <w:rPr>
          <w:rFonts w:eastAsia="Palatino Linotype" w:cs="Palatino Linotype"/>
          <w:b/>
          <w:szCs w:val="22"/>
        </w:rPr>
      </w:pPr>
      <w:r w:rsidRPr="00736D29">
        <w:rPr>
          <w:rFonts w:eastAsia="Palatino Linotype" w:cs="Palatino Linotype"/>
          <w:b/>
          <w:szCs w:val="22"/>
        </w:rPr>
        <w:t xml:space="preserve">Domicilio </w:t>
      </w:r>
    </w:p>
    <w:p w:rsidR="00B67646" w:rsidRPr="00736D29" w:rsidRDefault="00B67646" w:rsidP="00736D29">
      <w:pPr>
        <w:ind w:right="51"/>
      </w:pPr>
    </w:p>
    <w:p w:rsidR="00B67646" w:rsidRPr="00736D29" w:rsidRDefault="0019599A" w:rsidP="00736D29">
      <w:pPr>
        <w:ind w:right="51"/>
      </w:pPr>
      <w:r w:rsidRPr="00736D29">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ahora bien, su inclusión en el Orden de Salida de Planta, sólo tiene como objetivo brindar elementos que permitan conocer y hacer identificable a la persona que se beneficia, sin que esta información sea de relevancia para el interés público, toda vez que se trata de información de un particular y no así, de una persona que ostente el carácter de servidor público. </w:t>
      </w:r>
    </w:p>
    <w:p w:rsidR="00B67646" w:rsidRPr="00736D29" w:rsidRDefault="00B67646" w:rsidP="00736D29">
      <w:pPr>
        <w:ind w:right="51"/>
      </w:pPr>
    </w:p>
    <w:p w:rsidR="00B67646" w:rsidRPr="00736D29" w:rsidRDefault="0019599A" w:rsidP="00736D29">
      <w:pPr>
        <w:ind w:right="51"/>
      </w:pPr>
      <w:r w:rsidRPr="00736D29">
        <w:t>Por lo que el domicilio particular es confidencial, en términos del artículo 143, fracción I de la Ley de Transparencia y Acceso a la Información Pública del Estado de México y Municipios.</w:t>
      </w:r>
    </w:p>
    <w:p w:rsidR="006C6E10" w:rsidRPr="00736D29" w:rsidRDefault="006C6E10" w:rsidP="00736D29">
      <w:pPr>
        <w:ind w:right="51"/>
      </w:pPr>
    </w:p>
    <w:p w:rsidR="006C6E10" w:rsidRPr="00736D29" w:rsidRDefault="006C6E10" w:rsidP="00736D29">
      <w:pPr>
        <w:ind w:right="51"/>
      </w:pPr>
      <w:r w:rsidRPr="00736D29">
        <w:t>Por otro lado, no escapa de la óptica de este Instituto que dentro de la información que se ordena la entrega, se puede encontrar información referente a la adquisición de bienes en materia de seguridad pública, en donde se puede encontrar inmerso los datos, características técnicas o especificaciones de los bienes adquiridos y que sean destinados para tal efecto, por ello, este Órgano Garante considera que dicha información, dadas las características que lo componen, es susceptible de clasificarse como reservada, conforme al propio concepto de versión pública contenido en el artículo 3, fracción XXIV, de la multicitada Ley se define como:</w:t>
      </w:r>
    </w:p>
    <w:p w:rsidR="006C6E10" w:rsidRPr="00736D29" w:rsidRDefault="006C6E10" w:rsidP="00736D29">
      <w:pPr>
        <w:ind w:right="51"/>
      </w:pPr>
    </w:p>
    <w:p w:rsidR="006C6E10" w:rsidRPr="00736D29" w:rsidRDefault="006C6E10" w:rsidP="00736D29">
      <w:pPr>
        <w:ind w:left="567" w:right="567"/>
        <w:rPr>
          <w:i/>
        </w:rPr>
      </w:pPr>
      <w:r w:rsidRPr="00736D29">
        <w:rPr>
          <w:i/>
        </w:rPr>
        <w:t>“</w:t>
      </w:r>
      <w:r w:rsidRPr="00736D29">
        <w:rPr>
          <w:b/>
          <w:i/>
        </w:rPr>
        <w:t>XXIV</w:t>
      </w:r>
      <w:r w:rsidRPr="00736D29">
        <w:rPr>
          <w:i/>
        </w:rPr>
        <w:t xml:space="preserve">. </w:t>
      </w:r>
      <w:r w:rsidRPr="00736D29">
        <w:rPr>
          <w:b/>
          <w:i/>
        </w:rPr>
        <w:t>Información reservada:</w:t>
      </w:r>
      <w:r w:rsidRPr="00736D29">
        <w:rPr>
          <w:i/>
        </w:rPr>
        <w:t xml:space="preserve"> La clasificada con este carácter de manera temporal por las disposiciones de esta Ley, cuya divulgación puede causar daño en términos de lo establecido por esta Ley;”</w:t>
      </w:r>
    </w:p>
    <w:p w:rsidR="00660FDA" w:rsidRPr="00736D29" w:rsidRDefault="006C6E10" w:rsidP="00736D29">
      <w:pPr>
        <w:ind w:right="51"/>
      </w:pPr>
      <w:r w:rsidRPr="00736D29">
        <w:t xml:space="preserve"> </w:t>
      </w:r>
    </w:p>
    <w:p w:rsidR="00B67646" w:rsidRPr="00736D29" w:rsidRDefault="006C6E10" w:rsidP="00736D29">
      <w:pPr>
        <w:ind w:right="51"/>
      </w:pPr>
      <w:r w:rsidRPr="00736D29">
        <w:t>Lo anterior es así, ya que el dar a conocer los datos referidos, con base a los niveles de delincuencia, de cualquier índole y ante las circunstancias severas que enfrente nuestro país, el hacer pública la información referida, menoscabaría la capacidad de las autoridades para preservar la vida y salud de la ciudadanía</w:t>
      </w:r>
      <w:r w:rsidR="00660FDA" w:rsidRPr="00736D29">
        <w:t xml:space="preserve"> y por otro lado se podría vulnerar u obstaculizar operaciones en contra de la delincuencia organizada al conocerse los recursos policiales con los que se cuentan.</w:t>
      </w:r>
    </w:p>
    <w:p w:rsidR="00686327" w:rsidRPr="00736D29" w:rsidRDefault="00686327" w:rsidP="00736D29">
      <w:pPr>
        <w:ind w:right="51"/>
      </w:pPr>
    </w:p>
    <w:p w:rsidR="00686327" w:rsidRPr="00736D29" w:rsidRDefault="00686327" w:rsidP="00736D29">
      <w:pPr>
        <w:ind w:right="51"/>
      </w:pPr>
      <w:r w:rsidRPr="00736D29">
        <w:t>En ese contexto, la información relacionada con las características técnicas de equipamiento empleado por los elementos operativos adscritos a la Dirección de Seguridad Pública o equivalente, específicamente por lo que se refiere a chalecos balísticos, antibalas o tácticos, ya  que el proporcionar dicha información podría comprometer la seguridad pública, al poner en peligro las funciones a cargo del Municipio, tendentes a preservar y resguardar la vida, la salud, la integridad y el ejercicio de los derechos de las personas, así como para el mantenimiento del orden público, toda vez que podría dar cuenta de las tecnologías, equipos y sistemas con los que cuenta la Dirección de Seguridad Pública y por lo tanto, acredita la causal de clasificación prevista en el artículo 140, fracción I de la Ley de Transparencia y Acceso a la Información Pública del Estado de México.</w:t>
      </w:r>
    </w:p>
    <w:p w:rsidR="00686327" w:rsidRPr="00736D29" w:rsidRDefault="00686327" w:rsidP="00736D29">
      <w:pPr>
        <w:ind w:right="51"/>
      </w:pPr>
    </w:p>
    <w:p w:rsidR="00686327" w:rsidRPr="00736D29" w:rsidRDefault="00686327" w:rsidP="00736D29">
      <w:pPr>
        <w:ind w:right="51"/>
      </w:pPr>
      <w:r w:rsidRPr="00736D29">
        <w:t xml:space="preserve">Conforme a lo anterior, de ser el caso, se considera que el Ayuntamiento, deberá entregar el acuerdo de clasificación emitido por el Comité de Transparencia, en donde de manera fundada y motivada, a través de una prueba de daño, confirme la clasificación como </w:t>
      </w:r>
      <w:r w:rsidRPr="00736D29">
        <w:lastRenderedPageBreak/>
        <w:t>reservada, en términos del artículo 140, fracción I de la Ley de Transparencia y Acceso a la Información Pública del Estado de México y Municipios, de las especificaciones técnicas del equipamiento y dispositivos de seguridad, a través de la versión pública que entregue.</w:t>
      </w:r>
    </w:p>
    <w:p w:rsidR="006C6E10" w:rsidRPr="00736D29" w:rsidRDefault="006C6E10" w:rsidP="00736D29">
      <w:pPr>
        <w:ind w:right="51"/>
      </w:pPr>
    </w:p>
    <w:p w:rsidR="00B67646" w:rsidRPr="00736D29" w:rsidRDefault="0019599A" w:rsidP="00736D29">
      <w:pPr>
        <w:pStyle w:val="Ttulo3"/>
      </w:pPr>
      <w:bookmarkStart w:id="27" w:name="_Toc199350159"/>
      <w:r w:rsidRPr="00736D29">
        <w:t>e) Conclusión</w:t>
      </w:r>
      <w:bookmarkEnd w:id="27"/>
    </w:p>
    <w:p w:rsidR="00B67646" w:rsidRPr="00736D29" w:rsidRDefault="0019599A" w:rsidP="00736D29">
      <w:pPr>
        <w:ind w:right="-93"/>
      </w:pPr>
      <w:r w:rsidRPr="00736D29">
        <w:t xml:space="preserve">En razón de lo anteriormente expuesto, este Instituto estima que las razones o motivos de inconformidad hechos valer por </w:t>
      </w:r>
      <w:r w:rsidRPr="00736D29">
        <w:rPr>
          <w:b/>
        </w:rPr>
        <w:t>LA PARTE RECURRENTE</w:t>
      </w:r>
      <w:r w:rsidRPr="00736D29">
        <w:t xml:space="preserve"> devienen </w:t>
      </w:r>
      <w:r w:rsidRPr="00736D29">
        <w:rPr>
          <w:b/>
        </w:rPr>
        <w:t>fundadas</w:t>
      </w:r>
      <w:r w:rsidRPr="00736D29">
        <w:t xml:space="preserve"> y suficientes para </w:t>
      </w:r>
      <w:r w:rsidRPr="00736D29">
        <w:rPr>
          <w:b/>
        </w:rPr>
        <w:t>MODIFICAR</w:t>
      </w:r>
      <w:r w:rsidRPr="00736D29">
        <w:t xml:space="preserve"> la respuesta del </w:t>
      </w:r>
      <w:r w:rsidRPr="00736D29">
        <w:rPr>
          <w:b/>
        </w:rPr>
        <w:t>SUJETO OBLIGADO</w:t>
      </w:r>
      <w:r w:rsidRPr="00736D29">
        <w:t xml:space="preserve"> y ordenarle haga entrega de la información materia de la solicitud.</w:t>
      </w:r>
    </w:p>
    <w:p w:rsidR="00B67646" w:rsidRPr="00736D29" w:rsidRDefault="00B67646" w:rsidP="00736D29">
      <w:pPr>
        <w:ind w:right="-93"/>
      </w:pPr>
    </w:p>
    <w:p w:rsidR="00B67646" w:rsidRPr="00736D29" w:rsidRDefault="0019599A" w:rsidP="00736D29">
      <w:pPr>
        <w:ind w:right="-93"/>
      </w:pPr>
      <w:r w:rsidRPr="00736D29">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B67646" w:rsidRPr="00736D29" w:rsidRDefault="00B67646" w:rsidP="00736D29">
      <w:pPr>
        <w:ind w:right="-93"/>
      </w:pPr>
    </w:p>
    <w:p w:rsidR="00B67646" w:rsidRPr="00736D29" w:rsidRDefault="0019599A" w:rsidP="00736D29">
      <w:pPr>
        <w:pStyle w:val="Ttulo1"/>
      </w:pPr>
      <w:bookmarkStart w:id="28" w:name="_Toc199350160"/>
      <w:r w:rsidRPr="00736D29">
        <w:t>RESUELVE</w:t>
      </w:r>
      <w:bookmarkEnd w:id="28"/>
    </w:p>
    <w:p w:rsidR="00B67646" w:rsidRPr="00736D29" w:rsidRDefault="00B67646" w:rsidP="00736D29">
      <w:pPr>
        <w:ind w:right="113"/>
        <w:rPr>
          <w:b/>
        </w:rPr>
      </w:pPr>
    </w:p>
    <w:p w:rsidR="00B67646" w:rsidRPr="00736D29" w:rsidRDefault="0019599A" w:rsidP="00736D29">
      <w:pPr>
        <w:widowControl w:val="0"/>
      </w:pPr>
      <w:r w:rsidRPr="00736D29">
        <w:rPr>
          <w:b/>
        </w:rPr>
        <w:t>PRIMERO.</w:t>
      </w:r>
      <w:r w:rsidRPr="00736D29">
        <w:t xml:space="preserve"> Se </w:t>
      </w:r>
      <w:r w:rsidRPr="00736D29">
        <w:rPr>
          <w:b/>
        </w:rPr>
        <w:t xml:space="preserve">MODIFICA </w:t>
      </w:r>
      <w:r w:rsidRPr="00736D29">
        <w:t xml:space="preserve">la respuesta entregada por el </w:t>
      </w:r>
      <w:r w:rsidRPr="00736D29">
        <w:rPr>
          <w:b/>
        </w:rPr>
        <w:t>SUJETO OBLIGADO</w:t>
      </w:r>
      <w:r w:rsidRPr="00736D29">
        <w:t xml:space="preserve"> en la solicitud de información </w:t>
      </w:r>
      <w:r w:rsidRPr="00736D29">
        <w:rPr>
          <w:b/>
        </w:rPr>
        <w:t>00158/ATLACOM/IP/2025</w:t>
      </w:r>
      <w:r w:rsidRPr="00736D29">
        <w:t xml:space="preserve">, por resultar parcialmente </w:t>
      </w:r>
      <w:r w:rsidRPr="00736D29">
        <w:rPr>
          <w:b/>
        </w:rPr>
        <w:t>FUNDADAS</w:t>
      </w:r>
      <w:r w:rsidRPr="00736D29">
        <w:t xml:space="preserve"> las razones o motivos de inconformidad hechos valer por </w:t>
      </w:r>
      <w:r w:rsidRPr="00736D29">
        <w:rPr>
          <w:b/>
        </w:rPr>
        <w:t>LA PARTE RECURRENTE</w:t>
      </w:r>
      <w:r w:rsidRPr="00736D29">
        <w:t xml:space="preserve"> en el Recurso de Revisión </w:t>
      </w:r>
      <w:r w:rsidRPr="00736D29">
        <w:rPr>
          <w:b/>
        </w:rPr>
        <w:t>03102/INFOEM/IP/RR/2025</w:t>
      </w:r>
      <w:r w:rsidRPr="00736D29">
        <w:t>,</w:t>
      </w:r>
      <w:r w:rsidRPr="00736D29">
        <w:rPr>
          <w:b/>
        </w:rPr>
        <w:t xml:space="preserve"> </w:t>
      </w:r>
      <w:r w:rsidRPr="00736D29">
        <w:t xml:space="preserve">en términos del considerando </w:t>
      </w:r>
      <w:r w:rsidRPr="00736D29">
        <w:rPr>
          <w:b/>
        </w:rPr>
        <w:t>SEGUNDO</w:t>
      </w:r>
      <w:r w:rsidRPr="00736D29">
        <w:t xml:space="preserve"> de la presente Resolución.</w:t>
      </w:r>
    </w:p>
    <w:p w:rsidR="00B67646" w:rsidRPr="00736D29" w:rsidRDefault="00B67646" w:rsidP="00736D29">
      <w:pPr>
        <w:widowControl w:val="0"/>
      </w:pPr>
    </w:p>
    <w:p w:rsidR="00B67646" w:rsidRPr="00736D29" w:rsidRDefault="0019599A" w:rsidP="00736D29">
      <w:pPr>
        <w:ind w:right="-93"/>
      </w:pPr>
      <w:r w:rsidRPr="00736D29">
        <w:rPr>
          <w:b/>
        </w:rPr>
        <w:t>SEGUNDO.</w:t>
      </w:r>
      <w:r w:rsidRPr="00736D29">
        <w:t xml:space="preserve"> Se </w:t>
      </w:r>
      <w:r w:rsidRPr="00736D29">
        <w:rPr>
          <w:b/>
        </w:rPr>
        <w:t xml:space="preserve">ORDENA </w:t>
      </w:r>
      <w:r w:rsidRPr="00736D29">
        <w:t xml:space="preserve">al </w:t>
      </w:r>
      <w:r w:rsidRPr="00736D29">
        <w:rPr>
          <w:b/>
        </w:rPr>
        <w:t>SUJETO OBLIGADO</w:t>
      </w:r>
      <w:r w:rsidRPr="00736D29">
        <w:t xml:space="preserve">, a efecto de que entregue a través del </w:t>
      </w:r>
      <w:r w:rsidRPr="00736D29">
        <w:rPr>
          <w:b/>
        </w:rPr>
        <w:t>SAIMEX</w:t>
      </w:r>
      <w:r w:rsidRPr="00736D29">
        <w:t xml:space="preserve">, de ser procedente en </w:t>
      </w:r>
      <w:r w:rsidRPr="00736D29">
        <w:rPr>
          <w:b/>
        </w:rPr>
        <w:t>versión pública</w:t>
      </w:r>
      <w:r w:rsidRPr="00736D29">
        <w:t>, lo siguiente:</w:t>
      </w:r>
    </w:p>
    <w:p w:rsidR="00B67646" w:rsidRPr="00736D29" w:rsidRDefault="0019599A" w:rsidP="00736D29">
      <w:pPr>
        <w:pStyle w:val="Puesto"/>
        <w:ind w:firstLine="567"/>
      </w:pPr>
      <w:r w:rsidRPr="00736D29">
        <w:rPr>
          <w:b/>
        </w:rPr>
        <w:lastRenderedPageBreak/>
        <w:t>a)</w:t>
      </w:r>
      <w:r w:rsidRPr="00736D29">
        <w:t xml:space="preserve"> Los contratos celebrados por la Dirección de Obras Públicas del 01 de enero al 17 de febrero de 2025.</w:t>
      </w:r>
    </w:p>
    <w:p w:rsidR="00B67646" w:rsidRPr="00736D29" w:rsidRDefault="00B67646" w:rsidP="00736D29"/>
    <w:p w:rsidR="00B67646" w:rsidRPr="00736D29" w:rsidRDefault="0019599A" w:rsidP="00736D29">
      <w:pPr>
        <w:pStyle w:val="Puesto"/>
        <w:ind w:firstLine="567"/>
      </w:pPr>
      <w:r w:rsidRPr="00736D29">
        <w:rPr>
          <w:b/>
        </w:rPr>
        <w:t>b)</w:t>
      </w:r>
      <w:r w:rsidRPr="00736D29">
        <w:t xml:space="preserve"> Todos los contratos </w:t>
      </w:r>
      <w:r w:rsidRPr="00736D29">
        <w:rPr>
          <w:b/>
        </w:rPr>
        <w:t>faltantes</w:t>
      </w:r>
      <w:r w:rsidRPr="00736D29">
        <w:t xml:space="preserve"> celebrados por el Sujeto Obligado del 01 de enero de 2024 al 17 de febrero de 2025.</w:t>
      </w:r>
    </w:p>
    <w:p w:rsidR="00B67646" w:rsidRPr="00736D29" w:rsidRDefault="00B67646" w:rsidP="00736D29">
      <w:pPr>
        <w:pBdr>
          <w:top w:val="nil"/>
          <w:left w:val="nil"/>
          <w:bottom w:val="nil"/>
          <w:right w:val="nil"/>
          <w:between w:val="nil"/>
        </w:pBdr>
        <w:spacing w:line="276" w:lineRule="auto"/>
        <w:ind w:left="720" w:right="-93"/>
        <w:rPr>
          <w:rFonts w:eastAsia="Palatino Linotype" w:cs="Palatino Linotype"/>
          <w:b/>
          <w:i/>
          <w:szCs w:val="22"/>
        </w:rPr>
      </w:pPr>
    </w:p>
    <w:p w:rsidR="00B67646" w:rsidRPr="00736D29" w:rsidRDefault="0019599A" w:rsidP="00736D29">
      <w:pPr>
        <w:ind w:right="49"/>
      </w:pPr>
      <w:r w:rsidRPr="00736D29">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rsidR="00B67646" w:rsidRPr="00736D29" w:rsidRDefault="00B67646" w:rsidP="00736D29">
      <w:pPr>
        <w:ind w:right="49"/>
      </w:pPr>
    </w:p>
    <w:p w:rsidR="00B67646" w:rsidRPr="00736D29" w:rsidRDefault="0019599A" w:rsidP="00736D29">
      <w:pPr>
        <w:ind w:right="49"/>
      </w:pPr>
      <w:bookmarkStart w:id="29" w:name="_heading=h.75saq9tsfd03" w:colFirst="0" w:colLast="0"/>
      <w:bookmarkEnd w:id="29"/>
      <w:r w:rsidRPr="00736D29">
        <w:t xml:space="preserve">Para el caso en que la información ordenada en el inciso a), no obre en los archivos del </w:t>
      </w:r>
      <w:r w:rsidRPr="00736D29">
        <w:rPr>
          <w:b/>
        </w:rPr>
        <w:t>SUJETO OBLIGADO</w:t>
      </w:r>
      <w:r w:rsidRPr="00736D29">
        <w:t>, por no haber sido generada,</w:t>
      </w:r>
      <w:r w:rsidRPr="00736D29">
        <w:rPr>
          <w:b/>
        </w:rPr>
        <w:t xml:space="preserve"> </w:t>
      </w:r>
      <w:r w:rsidRPr="00736D29">
        <w:t xml:space="preserve">bastará con que así se le haga del conocimiento a </w:t>
      </w:r>
      <w:r w:rsidRPr="00736D29">
        <w:rPr>
          <w:b/>
        </w:rPr>
        <w:t>LA PARTE RECURRENTE</w:t>
      </w:r>
      <w:r w:rsidRPr="00736D29">
        <w:t>.</w:t>
      </w:r>
    </w:p>
    <w:p w:rsidR="00B67646" w:rsidRPr="00736D29" w:rsidRDefault="00B67646" w:rsidP="00736D29">
      <w:pPr>
        <w:ind w:right="-93"/>
      </w:pPr>
    </w:p>
    <w:p w:rsidR="00B67646" w:rsidRPr="00736D29" w:rsidRDefault="0019599A" w:rsidP="00736D29">
      <w:pPr>
        <w:ind w:right="49"/>
      </w:pPr>
      <w:r w:rsidRPr="00736D29">
        <w:rPr>
          <w:b/>
        </w:rPr>
        <w:t>TERCERO.</w:t>
      </w:r>
      <w:r w:rsidRPr="00736D29">
        <w:t xml:space="preserve"> </w:t>
      </w:r>
      <w:r w:rsidRPr="00736D29">
        <w:rPr>
          <w:b/>
        </w:rPr>
        <w:t xml:space="preserve">Notifíquese </w:t>
      </w:r>
      <w:r w:rsidRPr="00736D29">
        <w:t xml:space="preserve">vía Sistema de Acceso a la Información Mexiquense </w:t>
      </w:r>
      <w:r w:rsidRPr="00736D29">
        <w:rPr>
          <w:b/>
        </w:rPr>
        <w:t>(SAIMEX)</w:t>
      </w:r>
      <w:r w:rsidRPr="00736D29">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67646" w:rsidRPr="00736D29" w:rsidRDefault="00B67646" w:rsidP="00736D29"/>
    <w:p w:rsidR="00B67646" w:rsidRPr="00736D29" w:rsidRDefault="0019599A" w:rsidP="00736D29">
      <w:pPr>
        <w:rPr>
          <w:b/>
        </w:rPr>
      </w:pPr>
      <w:r w:rsidRPr="00736D29">
        <w:rPr>
          <w:b/>
        </w:rPr>
        <w:lastRenderedPageBreak/>
        <w:t>CUARTO</w:t>
      </w:r>
      <w:r w:rsidRPr="00736D29">
        <w:t xml:space="preserve">. Notifíquese a </w:t>
      </w:r>
      <w:r w:rsidRPr="00736D29">
        <w:rPr>
          <w:b/>
        </w:rPr>
        <w:t>LA PARTE RECURRENTE</w:t>
      </w:r>
      <w:r w:rsidRPr="00736D29">
        <w:t xml:space="preserve"> la presente resolución vía Sistema de Acceso a la Información Mexiquense </w:t>
      </w:r>
      <w:r w:rsidRPr="00736D29">
        <w:rPr>
          <w:b/>
        </w:rPr>
        <w:t>(SAIMEX).</w:t>
      </w:r>
    </w:p>
    <w:p w:rsidR="00B67646" w:rsidRPr="00736D29" w:rsidRDefault="00B67646" w:rsidP="00736D29">
      <w:pPr>
        <w:rPr>
          <w:b/>
        </w:rPr>
      </w:pPr>
    </w:p>
    <w:p w:rsidR="00B67646" w:rsidRPr="00736D29" w:rsidRDefault="0019599A" w:rsidP="00736D29">
      <w:r w:rsidRPr="00736D29">
        <w:rPr>
          <w:b/>
        </w:rPr>
        <w:t>QUINTO</w:t>
      </w:r>
      <w:r w:rsidRPr="00736D29">
        <w:t xml:space="preserve">. Hágase del conocimiento a </w:t>
      </w:r>
      <w:r w:rsidRPr="00736D29">
        <w:rPr>
          <w:b/>
        </w:rPr>
        <w:t>LA PARTE RECURRENTE</w:t>
      </w:r>
      <w:r w:rsidRPr="00736D2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B67646" w:rsidRPr="00736D29" w:rsidRDefault="00B67646" w:rsidP="00736D29">
      <w:pPr>
        <w:rPr>
          <w:sz w:val="18"/>
          <w:szCs w:val="18"/>
        </w:rPr>
      </w:pPr>
    </w:p>
    <w:p w:rsidR="00B67646" w:rsidRPr="00736D29" w:rsidRDefault="0019599A" w:rsidP="00736D29">
      <w:r w:rsidRPr="00736D29">
        <w:rPr>
          <w:b/>
        </w:rPr>
        <w:t>SEXTO.</w:t>
      </w:r>
      <w:r w:rsidRPr="00736D29">
        <w:t xml:space="preserve"> De conformidad con el artículo 198 de la Ley de Transparencia y Acceso a la Información Pública del Estado de México y Municipios, el </w:t>
      </w:r>
      <w:r w:rsidRPr="00736D29">
        <w:rPr>
          <w:b/>
        </w:rPr>
        <w:t>SUJETO OBLIGADO</w:t>
      </w:r>
      <w:r w:rsidRPr="00736D29">
        <w:t xml:space="preserve"> podrá solicitar una ampliación de plazo de manera fundada y motivada, para el cumplimiento de la presente resolución.</w:t>
      </w:r>
    </w:p>
    <w:p w:rsidR="00B67646" w:rsidRPr="00736D29" w:rsidRDefault="00B67646" w:rsidP="00736D29">
      <w:pPr>
        <w:ind w:right="113"/>
        <w:rPr>
          <w:b/>
        </w:rPr>
      </w:pPr>
    </w:p>
    <w:p w:rsidR="00B67646" w:rsidRPr="00736D29" w:rsidRDefault="00736D29" w:rsidP="00736D29">
      <w:r w:rsidRPr="00652DE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t>, LUIS GUSTAVO PARRA NORIEGA</w:t>
      </w:r>
      <w:r w:rsidRPr="00652DE9">
        <w:t xml:space="preserve"> Y GUADALUPE RAMÍREZ PEÑA, EN LA VIGÉSIMA SESIÓN ORDINARIA, CELEBRADA EL CUATRO DE JUNIO DE DOS MIL VEINTICINCO, ANTE EL SECRETARIO TÉCNICO DEL PLENO, ALEXIS TAPIA RAMÍREZ</w:t>
      </w:r>
      <w:r w:rsidR="0019599A" w:rsidRPr="00736D29">
        <w:t>.</w:t>
      </w:r>
    </w:p>
    <w:p w:rsidR="00B67646" w:rsidRPr="00736D29" w:rsidRDefault="0019599A" w:rsidP="00736D29">
      <w:pPr>
        <w:ind w:right="-93"/>
      </w:pPr>
      <w:r w:rsidRPr="00736D29">
        <w:rPr>
          <w:sz w:val="20"/>
        </w:rPr>
        <w:t>SCMM/AGZ/DEMF/CDFE</w:t>
      </w:r>
    </w:p>
    <w:p w:rsidR="00B67646" w:rsidRPr="00736D29" w:rsidRDefault="00B67646" w:rsidP="00736D29">
      <w:pPr>
        <w:ind w:right="-93"/>
      </w:pPr>
    </w:p>
    <w:p w:rsidR="00B67646" w:rsidRPr="00736D29" w:rsidRDefault="00B67646" w:rsidP="00736D29">
      <w:pPr>
        <w:ind w:right="-93"/>
      </w:pPr>
    </w:p>
    <w:p w:rsidR="00B67646" w:rsidRPr="00736D29" w:rsidRDefault="00B67646" w:rsidP="00736D29">
      <w:pPr>
        <w:ind w:right="-93"/>
      </w:pPr>
    </w:p>
    <w:p w:rsidR="00B67646" w:rsidRPr="00736D29" w:rsidRDefault="00B67646" w:rsidP="00736D29">
      <w:pPr>
        <w:ind w:right="-93"/>
      </w:pPr>
    </w:p>
    <w:p w:rsidR="00B67646" w:rsidRPr="00736D29" w:rsidRDefault="00B67646" w:rsidP="00736D29">
      <w:pPr>
        <w:ind w:right="-93"/>
      </w:pPr>
    </w:p>
    <w:p w:rsidR="00B67646" w:rsidRPr="00736D29" w:rsidRDefault="00B67646" w:rsidP="00736D29">
      <w:pPr>
        <w:ind w:right="-93"/>
      </w:pPr>
    </w:p>
    <w:p w:rsidR="00B67646" w:rsidRPr="00736D29" w:rsidRDefault="00B67646" w:rsidP="00736D29">
      <w:pPr>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pPr>
        <w:tabs>
          <w:tab w:val="center" w:pos="4568"/>
        </w:tabs>
        <w:ind w:right="-93"/>
      </w:pPr>
    </w:p>
    <w:p w:rsidR="00B67646" w:rsidRPr="00736D29" w:rsidRDefault="00B67646" w:rsidP="00736D29"/>
    <w:sectPr w:rsidR="00B67646" w:rsidRPr="00736D29">
      <w:headerReference w:type="default" r:id="rId16"/>
      <w:footerReference w:type="default" r:id="rId17"/>
      <w:headerReference w:type="first" r:id="rId18"/>
      <w:pgSz w:w="12240" w:h="15840"/>
      <w:pgMar w:top="2552" w:right="1608" w:bottom="1701"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3AE" w:rsidRDefault="00B173AE">
      <w:pPr>
        <w:spacing w:line="240" w:lineRule="auto"/>
      </w:pPr>
      <w:r>
        <w:separator/>
      </w:r>
    </w:p>
  </w:endnote>
  <w:endnote w:type="continuationSeparator" w:id="0">
    <w:p w:rsidR="00B173AE" w:rsidRDefault="00B173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646" w:rsidRDefault="00B67646">
    <w:pPr>
      <w:tabs>
        <w:tab w:val="center" w:pos="4550"/>
        <w:tab w:val="left" w:pos="5818"/>
      </w:tabs>
      <w:ind w:right="260"/>
      <w:jc w:val="right"/>
      <w:rPr>
        <w:color w:val="071320"/>
        <w:sz w:val="24"/>
        <w:szCs w:val="24"/>
      </w:rPr>
    </w:pPr>
  </w:p>
  <w:p w:rsidR="00B67646" w:rsidRDefault="00B67646">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3AE" w:rsidRDefault="00B173AE">
      <w:pPr>
        <w:spacing w:line="240" w:lineRule="auto"/>
      </w:pPr>
      <w:r>
        <w:separator/>
      </w:r>
    </w:p>
  </w:footnote>
  <w:footnote w:type="continuationSeparator" w:id="0">
    <w:p w:rsidR="00B173AE" w:rsidRDefault="00B173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646" w:rsidRDefault="00B67646">
    <w:pPr>
      <w:widowControl w:val="0"/>
      <w:pBdr>
        <w:top w:val="nil"/>
        <w:left w:val="nil"/>
        <w:bottom w:val="nil"/>
        <w:right w:val="nil"/>
        <w:between w:val="nil"/>
      </w:pBdr>
      <w:spacing w:line="276" w:lineRule="auto"/>
      <w:jc w:val="left"/>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67646">
      <w:trPr>
        <w:trHeight w:val="144"/>
        <w:jc w:val="right"/>
      </w:trPr>
      <w:tc>
        <w:tcPr>
          <w:tcW w:w="2727" w:type="dxa"/>
        </w:tcPr>
        <w:p w:rsidR="00B67646" w:rsidRDefault="0019599A">
          <w:pPr>
            <w:tabs>
              <w:tab w:val="right" w:pos="8838"/>
            </w:tabs>
            <w:ind w:left="-74" w:right="-105"/>
            <w:rPr>
              <w:b/>
            </w:rPr>
          </w:pPr>
          <w:r>
            <w:rPr>
              <w:b/>
            </w:rPr>
            <w:t>Recurso de Revisión:</w:t>
          </w:r>
        </w:p>
      </w:tc>
      <w:tc>
        <w:tcPr>
          <w:tcW w:w="3402" w:type="dxa"/>
        </w:tcPr>
        <w:p w:rsidR="00B67646" w:rsidRDefault="0019599A">
          <w:pPr>
            <w:tabs>
              <w:tab w:val="right" w:pos="8838"/>
            </w:tabs>
            <w:ind w:left="-74" w:right="-105"/>
          </w:pPr>
          <w:r>
            <w:t>03102/INFOEM/IP/RR/2025</w:t>
          </w:r>
        </w:p>
      </w:tc>
    </w:tr>
    <w:tr w:rsidR="00B67646">
      <w:trPr>
        <w:trHeight w:val="283"/>
        <w:jc w:val="right"/>
      </w:trPr>
      <w:tc>
        <w:tcPr>
          <w:tcW w:w="2727" w:type="dxa"/>
        </w:tcPr>
        <w:p w:rsidR="00B67646" w:rsidRDefault="0019599A">
          <w:pPr>
            <w:tabs>
              <w:tab w:val="right" w:pos="8838"/>
            </w:tabs>
            <w:ind w:left="-74" w:right="-105"/>
            <w:rPr>
              <w:b/>
            </w:rPr>
          </w:pPr>
          <w:r>
            <w:rPr>
              <w:b/>
            </w:rPr>
            <w:t>Sujeto Obligado:</w:t>
          </w:r>
        </w:p>
      </w:tc>
      <w:tc>
        <w:tcPr>
          <w:tcW w:w="3402" w:type="dxa"/>
        </w:tcPr>
        <w:p w:rsidR="00B67646" w:rsidRDefault="0019599A">
          <w:pPr>
            <w:tabs>
              <w:tab w:val="left" w:pos="2834"/>
              <w:tab w:val="right" w:pos="8838"/>
            </w:tabs>
            <w:ind w:left="-108" w:right="-105"/>
          </w:pPr>
          <w:r>
            <w:t>Ayuntamiento de Atlacomulco</w:t>
          </w:r>
        </w:p>
      </w:tc>
    </w:tr>
    <w:tr w:rsidR="00B67646">
      <w:trPr>
        <w:trHeight w:val="283"/>
        <w:jc w:val="right"/>
      </w:trPr>
      <w:tc>
        <w:tcPr>
          <w:tcW w:w="2727" w:type="dxa"/>
        </w:tcPr>
        <w:p w:rsidR="00B67646" w:rsidRDefault="0019599A">
          <w:pPr>
            <w:tabs>
              <w:tab w:val="right" w:pos="8838"/>
            </w:tabs>
            <w:ind w:left="-74" w:right="-105"/>
            <w:rPr>
              <w:b/>
            </w:rPr>
          </w:pPr>
          <w:r>
            <w:rPr>
              <w:b/>
            </w:rPr>
            <w:t>Comisionada Ponente:</w:t>
          </w:r>
        </w:p>
      </w:tc>
      <w:tc>
        <w:tcPr>
          <w:tcW w:w="3402" w:type="dxa"/>
        </w:tcPr>
        <w:p w:rsidR="00B67646" w:rsidRDefault="0019599A">
          <w:pPr>
            <w:tabs>
              <w:tab w:val="right" w:pos="8838"/>
            </w:tabs>
            <w:ind w:left="-108" w:right="-105"/>
          </w:pPr>
          <w:r>
            <w:t>Sharon Cristina Morales Martínez</w:t>
          </w:r>
        </w:p>
      </w:tc>
    </w:tr>
  </w:tbl>
  <w:p w:rsidR="00B67646" w:rsidRDefault="0019599A">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simplePos x="0" y="0"/>
          <wp:positionH relativeFrom="margin">
            <wp:posOffset>-995043</wp:posOffset>
          </wp:positionH>
          <wp:positionV relativeFrom="margin">
            <wp:posOffset>-1782444</wp:posOffset>
          </wp:positionV>
          <wp:extent cx="8426450" cy="10972800"/>
          <wp:effectExtent l="0" t="0" r="0" b="0"/>
          <wp:wrapNone/>
          <wp:docPr id="21596444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646" w:rsidRDefault="00B67646">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B67646">
      <w:trPr>
        <w:trHeight w:val="1435"/>
      </w:trPr>
      <w:tc>
        <w:tcPr>
          <w:tcW w:w="283" w:type="dxa"/>
          <w:shd w:val="clear" w:color="auto" w:fill="auto"/>
        </w:tcPr>
        <w:p w:rsidR="00B67646" w:rsidRDefault="00B67646">
          <w:pPr>
            <w:tabs>
              <w:tab w:val="right" w:pos="4273"/>
            </w:tabs>
            <w:rPr>
              <w:rFonts w:ascii="Garamond" w:eastAsia="Garamond" w:hAnsi="Garamond" w:cs="Garamond"/>
            </w:rPr>
          </w:pPr>
        </w:p>
      </w:tc>
      <w:tc>
        <w:tcPr>
          <w:tcW w:w="6379" w:type="dxa"/>
          <w:shd w:val="clear" w:color="auto" w:fill="auto"/>
        </w:tcPr>
        <w:p w:rsidR="00B67646" w:rsidRDefault="00B67646">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B67646">
            <w:trPr>
              <w:trHeight w:val="144"/>
            </w:trPr>
            <w:tc>
              <w:tcPr>
                <w:tcW w:w="2727" w:type="dxa"/>
              </w:tcPr>
              <w:p w:rsidR="00B67646" w:rsidRDefault="0019599A">
                <w:pPr>
                  <w:tabs>
                    <w:tab w:val="right" w:pos="8838"/>
                  </w:tabs>
                  <w:ind w:left="-74" w:right="-105"/>
                  <w:rPr>
                    <w:b/>
                  </w:rPr>
                </w:pPr>
                <w:bookmarkStart w:id="30" w:name="_heading=h.eq5uvp7dol41" w:colFirst="0" w:colLast="0"/>
                <w:bookmarkEnd w:id="30"/>
                <w:r>
                  <w:rPr>
                    <w:b/>
                  </w:rPr>
                  <w:t>Recurso de Revisión:</w:t>
                </w:r>
              </w:p>
            </w:tc>
            <w:tc>
              <w:tcPr>
                <w:tcW w:w="3402" w:type="dxa"/>
              </w:tcPr>
              <w:p w:rsidR="00B67646" w:rsidRDefault="0019599A">
                <w:pPr>
                  <w:tabs>
                    <w:tab w:val="right" w:pos="8838"/>
                  </w:tabs>
                  <w:ind w:left="-74" w:right="-105"/>
                </w:pPr>
                <w:r>
                  <w:t>03102/INFOEM/IP/RR/2025</w:t>
                </w:r>
              </w:p>
            </w:tc>
            <w:tc>
              <w:tcPr>
                <w:tcW w:w="3402" w:type="dxa"/>
              </w:tcPr>
              <w:p w:rsidR="00B67646" w:rsidRDefault="00B67646">
                <w:pPr>
                  <w:tabs>
                    <w:tab w:val="right" w:pos="8838"/>
                  </w:tabs>
                  <w:ind w:left="-74" w:right="-105"/>
                </w:pPr>
              </w:p>
            </w:tc>
          </w:tr>
          <w:tr w:rsidR="00B67646">
            <w:trPr>
              <w:trHeight w:val="144"/>
            </w:trPr>
            <w:tc>
              <w:tcPr>
                <w:tcW w:w="2727" w:type="dxa"/>
              </w:tcPr>
              <w:p w:rsidR="00B67646" w:rsidRDefault="0019599A">
                <w:pPr>
                  <w:tabs>
                    <w:tab w:val="right" w:pos="8838"/>
                  </w:tabs>
                  <w:ind w:left="-74" w:right="-105"/>
                  <w:rPr>
                    <w:b/>
                  </w:rPr>
                </w:pPr>
                <w:bookmarkStart w:id="31" w:name="_heading=h.y1vhvnycoxr0" w:colFirst="0" w:colLast="0"/>
                <w:bookmarkEnd w:id="31"/>
                <w:r>
                  <w:rPr>
                    <w:b/>
                  </w:rPr>
                  <w:t>Recurrente:</w:t>
                </w:r>
              </w:p>
            </w:tc>
            <w:tc>
              <w:tcPr>
                <w:tcW w:w="3402" w:type="dxa"/>
              </w:tcPr>
              <w:p w:rsidR="00B67646" w:rsidRDefault="00B67646">
                <w:pPr>
                  <w:tabs>
                    <w:tab w:val="left" w:pos="3122"/>
                    <w:tab w:val="right" w:pos="8838"/>
                  </w:tabs>
                  <w:ind w:left="-105" w:right="-105"/>
                </w:pPr>
              </w:p>
            </w:tc>
            <w:tc>
              <w:tcPr>
                <w:tcW w:w="3402" w:type="dxa"/>
              </w:tcPr>
              <w:p w:rsidR="00B67646" w:rsidRDefault="00B67646">
                <w:pPr>
                  <w:tabs>
                    <w:tab w:val="left" w:pos="3122"/>
                    <w:tab w:val="right" w:pos="8838"/>
                  </w:tabs>
                  <w:ind w:left="-105" w:right="-105"/>
                </w:pPr>
              </w:p>
            </w:tc>
          </w:tr>
          <w:tr w:rsidR="00B67646">
            <w:trPr>
              <w:trHeight w:val="283"/>
            </w:trPr>
            <w:tc>
              <w:tcPr>
                <w:tcW w:w="2727" w:type="dxa"/>
              </w:tcPr>
              <w:p w:rsidR="00B67646" w:rsidRDefault="0019599A">
                <w:pPr>
                  <w:tabs>
                    <w:tab w:val="right" w:pos="8838"/>
                  </w:tabs>
                  <w:ind w:left="-74" w:right="-105"/>
                  <w:rPr>
                    <w:b/>
                  </w:rPr>
                </w:pPr>
                <w:r>
                  <w:rPr>
                    <w:b/>
                  </w:rPr>
                  <w:t>Sujeto Obligado:</w:t>
                </w:r>
              </w:p>
            </w:tc>
            <w:tc>
              <w:tcPr>
                <w:tcW w:w="3402" w:type="dxa"/>
              </w:tcPr>
              <w:p w:rsidR="00B67646" w:rsidRDefault="0019599A">
                <w:pPr>
                  <w:tabs>
                    <w:tab w:val="left" w:pos="2834"/>
                    <w:tab w:val="right" w:pos="8838"/>
                  </w:tabs>
                  <w:ind w:left="-108" w:right="-105"/>
                </w:pPr>
                <w:r>
                  <w:t>Ayuntamiento de Atlacomulco</w:t>
                </w:r>
              </w:p>
            </w:tc>
            <w:tc>
              <w:tcPr>
                <w:tcW w:w="3402" w:type="dxa"/>
              </w:tcPr>
              <w:p w:rsidR="00B67646" w:rsidRDefault="00B67646">
                <w:pPr>
                  <w:tabs>
                    <w:tab w:val="left" w:pos="2834"/>
                    <w:tab w:val="right" w:pos="8838"/>
                  </w:tabs>
                  <w:ind w:left="-108" w:right="-105"/>
                </w:pPr>
              </w:p>
            </w:tc>
          </w:tr>
          <w:tr w:rsidR="00B67646">
            <w:trPr>
              <w:trHeight w:val="283"/>
            </w:trPr>
            <w:tc>
              <w:tcPr>
                <w:tcW w:w="2727" w:type="dxa"/>
              </w:tcPr>
              <w:p w:rsidR="00B67646" w:rsidRDefault="0019599A">
                <w:pPr>
                  <w:tabs>
                    <w:tab w:val="right" w:pos="8838"/>
                  </w:tabs>
                  <w:ind w:left="-74" w:right="-105"/>
                  <w:rPr>
                    <w:b/>
                  </w:rPr>
                </w:pPr>
                <w:r>
                  <w:rPr>
                    <w:b/>
                  </w:rPr>
                  <w:t>Comisionada Ponente:</w:t>
                </w:r>
              </w:p>
            </w:tc>
            <w:tc>
              <w:tcPr>
                <w:tcW w:w="3402" w:type="dxa"/>
              </w:tcPr>
              <w:p w:rsidR="00B67646" w:rsidRDefault="0019599A">
                <w:pPr>
                  <w:tabs>
                    <w:tab w:val="right" w:pos="8838"/>
                  </w:tabs>
                  <w:ind w:left="-108" w:right="-105"/>
                </w:pPr>
                <w:r>
                  <w:t>Sharon Cristina Morales Martínez</w:t>
                </w:r>
              </w:p>
            </w:tc>
            <w:tc>
              <w:tcPr>
                <w:tcW w:w="3402" w:type="dxa"/>
              </w:tcPr>
              <w:p w:rsidR="00B67646" w:rsidRDefault="00B67646">
                <w:pPr>
                  <w:tabs>
                    <w:tab w:val="right" w:pos="8838"/>
                  </w:tabs>
                  <w:ind w:left="-108" w:right="-105"/>
                </w:pPr>
              </w:p>
            </w:tc>
          </w:tr>
        </w:tbl>
        <w:p w:rsidR="00B67646" w:rsidRDefault="00B67646">
          <w:pPr>
            <w:tabs>
              <w:tab w:val="right" w:pos="8838"/>
            </w:tabs>
            <w:ind w:left="-28"/>
            <w:rPr>
              <w:rFonts w:ascii="Arial" w:eastAsia="Arial" w:hAnsi="Arial" w:cs="Arial"/>
              <w:b/>
            </w:rPr>
          </w:pPr>
        </w:p>
      </w:tc>
    </w:tr>
  </w:tbl>
  <w:p w:rsidR="00B67646" w:rsidRDefault="00D5510A">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8"/>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D2C78"/>
    <w:multiLevelType w:val="multilevel"/>
    <w:tmpl w:val="79B48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2064DE"/>
    <w:multiLevelType w:val="multilevel"/>
    <w:tmpl w:val="B1769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806175"/>
    <w:multiLevelType w:val="multilevel"/>
    <w:tmpl w:val="FD147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E56AE2"/>
    <w:multiLevelType w:val="multilevel"/>
    <w:tmpl w:val="6B589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646"/>
    <w:rsid w:val="0019599A"/>
    <w:rsid w:val="00585345"/>
    <w:rsid w:val="00660FDA"/>
    <w:rsid w:val="00686327"/>
    <w:rsid w:val="006C6E10"/>
    <w:rsid w:val="00736D29"/>
    <w:rsid w:val="00B173AE"/>
    <w:rsid w:val="00B67646"/>
    <w:rsid w:val="00C234E3"/>
    <w:rsid w:val="00D5510A"/>
    <w:rsid w:val="00EA73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91B6D21-40BC-4969-8DEA-A5537EAC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9E"/>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Textodeglobo">
    <w:name w:val="Balloon Text"/>
    <w:basedOn w:val="Normal"/>
    <w:link w:val="TextodegloboCar"/>
    <w:uiPriority w:val="99"/>
    <w:semiHidden/>
    <w:unhideWhenUsed/>
    <w:rsid w:val="006F36B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6BA"/>
    <w:rPr>
      <w:rFonts w:ascii="Segoe UI" w:eastAsia="Times New Roman" w:hAnsi="Segoe UI" w:cs="Segoe UI"/>
      <w:kern w:val="0"/>
      <w:sz w:val="18"/>
      <w:szCs w:val="18"/>
      <w:lang w:eastAsia="es-ES"/>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bIgE9dDsprLb+SXmRKXQvV9+dw==">CgMxLjAyDmgucGxid3g1d2lubGVxMg5oLmVmcThnamRrZHVzbzIOaC5zb2FhYWd3ZmoyN2oyDmgucmp4ZmFscGc1cmZyMg5oLm5ud3U0dXc3N3M4bDIOaC54ODV4eGRnc2YwejcyDmguOW1qbHNxajk5czlkMg5oLjR5bXo2am11dW0xbDIOaC43cGE4ZDA3cXZib3AyDmgucHJyZjZhanloc2RzMg5oLjZyNWpvYm85NWNtMjIOaC5paDNnMzcyb3Z3MWEyDmguNG5uNHR3NzZ3MnN6Mg5oLjE5dGZ5bnhjOWphNTIOaC5oMXZ2cjRudm1pcnoyDmgudHRobzMwcnR2ZG5qMg5oLm10MHhsNWw0bWR3ODIOaC51bXByamJweHN5bjgyDmguMnB4YzFnZmg2bmxrMg5oLnRpY3oxaDdzNTAyNjIMaC44Mmxtbmw3eTB0Mg5oLmZ5bW9zejc4Z28xZDIJaC4yczhleW8xMg5oLnR4cHl6c2o4eWJmZDIOaC5mbWU2bjg0cDdld3YyDmguM3N2bjc0Z29veGN3Mg5oLjF1bzYyMGh3eDVxaTIOaC5lMml2OWFnY3FrczgyDmguNzVzYXE5dHNmZDAzMg5oLmVxNXV2cDdkb2w0MTIOaC55MXZodm55Y294cjA4AHIhMWs3andiLW9yb2kyZ1FOb3M3dWl6WnNkSEh4TWJfRFc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10537</Words>
  <Characters>57955</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5</cp:revision>
  <cp:lastPrinted>2025-06-05T17:08:00Z</cp:lastPrinted>
  <dcterms:created xsi:type="dcterms:W3CDTF">2025-05-27T00:01:00Z</dcterms:created>
  <dcterms:modified xsi:type="dcterms:W3CDTF">2025-06-05T17:08:00Z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