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50FF" w14:textId="1CB581CD" w:rsidR="006D5E1C" w:rsidRPr="00C74D31" w:rsidRDefault="005204B5" w:rsidP="00D450E9">
      <w:pPr>
        <w:spacing w:line="360" w:lineRule="auto"/>
        <w:jc w:val="both"/>
        <w:rPr>
          <w:rFonts w:ascii="Palatino Linotype" w:eastAsia="Palatino Linotype" w:hAnsi="Palatino Linotype" w:cs="Palatino Linotype"/>
          <w:sz w:val="22"/>
          <w:szCs w:val="22"/>
        </w:rPr>
      </w:pPr>
      <w:bookmarkStart w:id="0" w:name="_heading=h.1fob9te" w:colFirst="0" w:colLast="0"/>
      <w:bookmarkEnd w:id="0"/>
      <w:r w:rsidRPr="00C74D31">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w:t>
      </w:r>
      <w:r w:rsidR="00103AF3" w:rsidRPr="00C74D31">
        <w:rPr>
          <w:rFonts w:ascii="Palatino Linotype" w:eastAsia="Palatino Linotype" w:hAnsi="Palatino Linotype" w:cs="Palatino Linotype"/>
          <w:sz w:val="22"/>
          <w:szCs w:val="22"/>
        </w:rPr>
        <w:t>Municipios</w:t>
      </w:r>
      <w:r w:rsidRPr="00C74D31">
        <w:rPr>
          <w:rFonts w:ascii="Palatino Linotype" w:eastAsia="Palatino Linotype" w:hAnsi="Palatino Linotype" w:cs="Palatino Linotype"/>
          <w:sz w:val="22"/>
          <w:szCs w:val="22"/>
        </w:rPr>
        <w:t xml:space="preserve">, con domicilio en Metepec, Estado de México, a </w:t>
      </w:r>
      <w:r w:rsidR="00126459" w:rsidRPr="00C74D31">
        <w:rPr>
          <w:rFonts w:ascii="Palatino Linotype" w:eastAsia="Palatino Linotype" w:hAnsi="Palatino Linotype" w:cs="Palatino Linotype"/>
          <w:sz w:val="22"/>
          <w:szCs w:val="22"/>
        </w:rPr>
        <w:t>seis</w:t>
      </w:r>
      <w:r w:rsidR="00D450E9" w:rsidRPr="00C74D31">
        <w:rPr>
          <w:rFonts w:ascii="Palatino Linotype" w:eastAsia="Palatino Linotype" w:hAnsi="Palatino Linotype" w:cs="Palatino Linotype"/>
          <w:sz w:val="22"/>
          <w:szCs w:val="22"/>
        </w:rPr>
        <w:t xml:space="preserve"> de </w:t>
      </w:r>
      <w:r w:rsidR="00126459" w:rsidRPr="00C74D31">
        <w:rPr>
          <w:rFonts w:ascii="Palatino Linotype" w:eastAsia="Palatino Linotype" w:hAnsi="Palatino Linotype" w:cs="Palatino Linotype"/>
          <w:sz w:val="22"/>
          <w:szCs w:val="22"/>
        </w:rPr>
        <w:t>febrero</w:t>
      </w:r>
      <w:r w:rsidRPr="00C74D31">
        <w:rPr>
          <w:rFonts w:ascii="Palatino Linotype" w:eastAsia="Palatino Linotype" w:hAnsi="Palatino Linotype" w:cs="Palatino Linotype"/>
          <w:sz w:val="22"/>
          <w:szCs w:val="22"/>
        </w:rPr>
        <w:t xml:space="preserve"> de dos mil veinti</w:t>
      </w:r>
      <w:r w:rsidR="003C18F1" w:rsidRPr="00C74D31">
        <w:rPr>
          <w:rFonts w:ascii="Palatino Linotype" w:eastAsia="Palatino Linotype" w:hAnsi="Palatino Linotype" w:cs="Palatino Linotype"/>
          <w:sz w:val="22"/>
          <w:szCs w:val="22"/>
        </w:rPr>
        <w:t>c</w:t>
      </w:r>
      <w:r w:rsidR="00126459" w:rsidRPr="00C74D31">
        <w:rPr>
          <w:rFonts w:ascii="Palatino Linotype" w:eastAsia="Palatino Linotype" w:hAnsi="Palatino Linotype" w:cs="Palatino Linotype"/>
          <w:sz w:val="22"/>
          <w:szCs w:val="22"/>
        </w:rPr>
        <w:t>inco</w:t>
      </w:r>
      <w:r w:rsidRPr="00C74D31">
        <w:rPr>
          <w:rFonts w:ascii="Palatino Linotype" w:eastAsia="Palatino Linotype" w:hAnsi="Palatino Linotype" w:cs="Palatino Linotype"/>
          <w:sz w:val="22"/>
          <w:szCs w:val="22"/>
        </w:rPr>
        <w:t xml:space="preserve">. </w:t>
      </w:r>
    </w:p>
    <w:p w14:paraId="12CD713E"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0B8C4592" w14:textId="2261E4C5" w:rsidR="006D5E1C" w:rsidRPr="00C74D31" w:rsidRDefault="005204B5"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b/>
          <w:sz w:val="22"/>
          <w:szCs w:val="22"/>
        </w:rPr>
        <w:t>VISTO</w:t>
      </w:r>
      <w:r w:rsidRPr="00C74D31">
        <w:rPr>
          <w:rFonts w:ascii="Palatino Linotype" w:eastAsia="Palatino Linotype" w:hAnsi="Palatino Linotype" w:cs="Palatino Linotype"/>
          <w:sz w:val="22"/>
          <w:szCs w:val="22"/>
        </w:rPr>
        <w:t xml:space="preserve"> el expediente formado con motivo del recurso de revisión </w:t>
      </w:r>
      <w:r w:rsidR="00126459" w:rsidRPr="00C74D31">
        <w:rPr>
          <w:rFonts w:ascii="Palatino Linotype" w:eastAsia="Palatino Linotype" w:hAnsi="Palatino Linotype" w:cs="Palatino Linotype"/>
          <w:b/>
          <w:sz w:val="22"/>
          <w:szCs w:val="22"/>
        </w:rPr>
        <w:t>00089/INFOEM/IP/RR/2025</w:t>
      </w:r>
      <w:r w:rsidRPr="00C74D31">
        <w:rPr>
          <w:rFonts w:ascii="Palatino Linotype" w:eastAsia="Palatino Linotype" w:hAnsi="Palatino Linotype" w:cs="Palatino Linotype"/>
          <w:sz w:val="22"/>
          <w:szCs w:val="22"/>
        </w:rPr>
        <w:t>, interpuesto por</w:t>
      </w:r>
      <w:r w:rsidRPr="00C74D31">
        <w:rPr>
          <w:rFonts w:ascii="Palatino Linotype" w:eastAsia="Palatino Linotype" w:hAnsi="Palatino Linotype" w:cs="Palatino Linotype"/>
          <w:b/>
          <w:sz w:val="22"/>
          <w:szCs w:val="22"/>
        </w:rPr>
        <w:t xml:space="preserve"> </w:t>
      </w:r>
      <w:r w:rsidR="0076596E" w:rsidRPr="0076596E">
        <w:rPr>
          <w:rFonts w:ascii="Palatino Linotype" w:eastAsia="Palatino Linotype" w:hAnsi="Palatino Linotype" w:cs="Palatino Linotype"/>
          <w:b/>
          <w:sz w:val="22"/>
          <w:szCs w:val="22"/>
        </w:rPr>
        <w:t>XXXXX XXXXXXX XXXXXX</w:t>
      </w:r>
      <w:r w:rsidRPr="00C74D31">
        <w:rPr>
          <w:rFonts w:ascii="Palatino Linotype" w:eastAsia="Palatino Linotype" w:hAnsi="Palatino Linotype" w:cs="Palatino Linotype"/>
          <w:b/>
          <w:sz w:val="22"/>
          <w:szCs w:val="22"/>
        </w:rPr>
        <w:t>,</w:t>
      </w:r>
      <w:r w:rsidRPr="00C74D31">
        <w:rPr>
          <w:rFonts w:ascii="Palatino Linotype" w:eastAsia="Palatino Linotype" w:hAnsi="Palatino Linotype" w:cs="Palatino Linotype"/>
          <w:sz w:val="22"/>
          <w:szCs w:val="22"/>
        </w:rPr>
        <w:t xml:space="preserve"> en lo sucesivo</w:t>
      </w:r>
      <w:r w:rsidR="00CF1B07" w:rsidRPr="00C74D31">
        <w:rPr>
          <w:rFonts w:ascii="Palatino Linotype" w:eastAsia="Palatino Linotype" w:hAnsi="Palatino Linotype" w:cs="Palatino Linotype"/>
          <w:sz w:val="22"/>
          <w:szCs w:val="22"/>
        </w:rPr>
        <w:t xml:space="preserve"> será identificada como</w:t>
      </w:r>
      <w:r w:rsidRPr="00C74D31">
        <w:rPr>
          <w:rFonts w:ascii="Palatino Linotype" w:eastAsia="Palatino Linotype" w:hAnsi="Palatino Linotype" w:cs="Palatino Linotype"/>
          <w:b/>
          <w:sz w:val="22"/>
          <w:szCs w:val="22"/>
        </w:rPr>
        <w:t xml:space="preserve"> </w:t>
      </w:r>
      <w:r w:rsidRPr="00C74D31">
        <w:rPr>
          <w:rFonts w:ascii="Palatino Linotype" w:eastAsia="Palatino Linotype" w:hAnsi="Palatino Linotype" w:cs="Palatino Linotype"/>
          <w:sz w:val="22"/>
          <w:szCs w:val="22"/>
        </w:rPr>
        <w:t xml:space="preserve">la parte </w:t>
      </w:r>
      <w:r w:rsidRPr="00C74D31">
        <w:rPr>
          <w:rFonts w:ascii="Palatino Linotype" w:eastAsia="Palatino Linotype" w:hAnsi="Palatino Linotype" w:cs="Palatino Linotype"/>
          <w:b/>
          <w:sz w:val="22"/>
          <w:szCs w:val="22"/>
        </w:rPr>
        <w:t>Recurrente,</w:t>
      </w:r>
      <w:r w:rsidRPr="00C74D31">
        <w:rPr>
          <w:rFonts w:ascii="Palatino Linotype" w:eastAsia="Palatino Linotype" w:hAnsi="Palatino Linotype" w:cs="Palatino Linotype"/>
          <w:sz w:val="22"/>
          <w:szCs w:val="22"/>
        </w:rPr>
        <w:t xml:space="preserve"> en contra de la respuesta a su solicitud</w:t>
      </w:r>
      <w:r w:rsidR="004E09B3" w:rsidRPr="00C74D31">
        <w:rPr>
          <w:rFonts w:ascii="Palatino Linotype" w:eastAsia="Palatino Linotype" w:hAnsi="Palatino Linotype" w:cs="Palatino Linotype"/>
          <w:sz w:val="22"/>
          <w:szCs w:val="22"/>
        </w:rPr>
        <w:t xml:space="preserve"> de información </w:t>
      </w:r>
      <w:r w:rsidRPr="00C74D31">
        <w:rPr>
          <w:rFonts w:ascii="Palatino Linotype" w:eastAsia="Palatino Linotype" w:hAnsi="Palatino Linotype" w:cs="Palatino Linotype"/>
          <w:sz w:val="22"/>
          <w:szCs w:val="22"/>
        </w:rPr>
        <w:t>por parte del</w:t>
      </w:r>
      <w:r w:rsidRPr="00C74D31">
        <w:rPr>
          <w:rFonts w:ascii="Palatino Linotype" w:eastAsia="Palatino Linotype" w:hAnsi="Palatino Linotype" w:cs="Palatino Linotype"/>
          <w:b/>
          <w:sz w:val="22"/>
          <w:szCs w:val="22"/>
        </w:rPr>
        <w:t xml:space="preserve"> </w:t>
      </w:r>
      <w:r w:rsidR="00126459" w:rsidRPr="00C74D31">
        <w:rPr>
          <w:rFonts w:ascii="Palatino Linotype" w:eastAsia="Palatino Linotype" w:hAnsi="Palatino Linotype" w:cs="Palatino Linotype"/>
          <w:b/>
          <w:sz w:val="22"/>
          <w:szCs w:val="22"/>
        </w:rPr>
        <w:t>Instituto de Salud del Estado de México</w:t>
      </w:r>
      <w:r w:rsidRPr="00C74D31">
        <w:rPr>
          <w:rFonts w:ascii="Palatino Linotype" w:eastAsia="Palatino Linotype" w:hAnsi="Palatino Linotype" w:cs="Palatino Linotype"/>
          <w:b/>
          <w:sz w:val="22"/>
          <w:szCs w:val="22"/>
        </w:rPr>
        <w:t xml:space="preserve">, </w:t>
      </w:r>
      <w:r w:rsidRPr="00C74D31">
        <w:rPr>
          <w:rFonts w:ascii="Palatino Linotype" w:eastAsia="Palatino Linotype" w:hAnsi="Palatino Linotype" w:cs="Palatino Linotype"/>
          <w:sz w:val="22"/>
          <w:szCs w:val="22"/>
        </w:rPr>
        <w:t xml:space="preserve">en lo sucesivo el </w:t>
      </w:r>
      <w:r w:rsidRPr="00C74D31">
        <w:rPr>
          <w:rFonts w:ascii="Palatino Linotype" w:eastAsia="Palatino Linotype" w:hAnsi="Palatino Linotype" w:cs="Palatino Linotype"/>
          <w:b/>
          <w:sz w:val="22"/>
          <w:szCs w:val="22"/>
        </w:rPr>
        <w:t xml:space="preserve">Sujeto Obligado, </w:t>
      </w:r>
      <w:r w:rsidRPr="00C74D31">
        <w:rPr>
          <w:rFonts w:ascii="Palatino Linotype" w:eastAsia="Palatino Linotype" w:hAnsi="Palatino Linotype" w:cs="Palatino Linotype"/>
          <w:sz w:val="22"/>
          <w:szCs w:val="22"/>
        </w:rPr>
        <w:t xml:space="preserve">se procede a dictar la presente resolución con base en los siguientes: </w:t>
      </w:r>
    </w:p>
    <w:p w14:paraId="6E7E0993"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1F559A21" w14:textId="77777777" w:rsidR="006D5E1C" w:rsidRPr="00C74D31" w:rsidRDefault="005204B5" w:rsidP="00D450E9">
      <w:pPr>
        <w:spacing w:line="360" w:lineRule="auto"/>
        <w:jc w:val="center"/>
        <w:rPr>
          <w:rFonts w:ascii="Palatino Linotype" w:eastAsia="Palatino Linotype" w:hAnsi="Palatino Linotype" w:cs="Palatino Linotype"/>
          <w:b/>
          <w:sz w:val="22"/>
          <w:szCs w:val="22"/>
        </w:rPr>
      </w:pPr>
      <w:r w:rsidRPr="00C74D31">
        <w:rPr>
          <w:rFonts w:ascii="Palatino Linotype" w:eastAsia="Palatino Linotype" w:hAnsi="Palatino Linotype" w:cs="Palatino Linotype"/>
          <w:b/>
          <w:sz w:val="22"/>
          <w:szCs w:val="22"/>
        </w:rPr>
        <w:t>I. A N T E C E D E N T E S</w:t>
      </w:r>
    </w:p>
    <w:p w14:paraId="74423320" w14:textId="77777777" w:rsidR="00D450E9" w:rsidRPr="00C74D31" w:rsidRDefault="00D450E9" w:rsidP="00D450E9">
      <w:pPr>
        <w:spacing w:line="360" w:lineRule="auto"/>
        <w:jc w:val="center"/>
        <w:rPr>
          <w:rFonts w:ascii="Palatino Linotype" w:eastAsia="Palatino Linotype" w:hAnsi="Palatino Linotype" w:cs="Palatino Linotype"/>
          <w:b/>
          <w:sz w:val="22"/>
          <w:szCs w:val="22"/>
        </w:rPr>
      </w:pPr>
    </w:p>
    <w:p w14:paraId="32069E49" w14:textId="3A68916B" w:rsidR="006D5E1C" w:rsidRPr="00C74D31" w:rsidRDefault="005204B5"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b/>
          <w:sz w:val="22"/>
          <w:szCs w:val="22"/>
        </w:rPr>
        <w:t>1. Solicitud de acceso a la información.</w:t>
      </w:r>
      <w:r w:rsidRPr="00C74D31">
        <w:rPr>
          <w:rFonts w:ascii="Palatino Linotype" w:eastAsia="Palatino Linotype" w:hAnsi="Palatino Linotype" w:cs="Palatino Linotype"/>
          <w:sz w:val="22"/>
          <w:szCs w:val="22"/>
        </w:rPr>
        <w:t xml:space="preserve"> Con fecha </w:t>
      </w:r>
      <w:r w:rsidR="00B068B4" w:rsidRPr="00C74D31">
        <w:rPr>
          <w:rFonts w:ascii="Palatino Linotype" w:eastAsia="Palatino Linotype" w:hAnsi="Palatino Linotype" w:cs="Palatino Linotype"/>
          <w:b/>
          <w:sz w:val="22"/>
          <w:szCs w:val="22"/>
        </w:rPr>
        <w:t>tres</w:t>
      </w:r>
      <w:r w:rsidR="004E09B3" w:rsidRPr="00C74D31">
        <w:rPr>
          <w:rFonts w:ascii="Palatino Linotype" w:eastAsia="Palatino Linotype" w:hAnsi="Palatino Linotype" w:cs="Palatino Linotype"/>
          <w:b/>
          <w:sz w:val="22"/>
          <w:szCs w:val="22"/>
        </w:rPr>
        <w:t xml:space="preserve"> de </w:t>
      </w:r>
      <w:r w:rsidR="00B068B4" w:rsidRPr="00C74D31">
        <w:rPr>
          <w:rFonts w:ascii="Palatino Linotype" w:eastAsia="Palatino Linotype" w:hAnsi="Palatino Linotype" w:cs="Palatino Linotype"/>
          <w:b/>
          <w:sz w:val="22"/>
          <w:szCs w:val="22"/>
        </w:rPr>
        <w:t>diciembre</w:t>
      </w:r>
      <w:r w:rsidR="004E09B3" w:rsidRPr="00C74D31">
        <w:rPr>
          <w:rFonts w:ascii="Palatino Linotype" w:eastAsia="Palatino Linotype" w:hAnsi="Palatino Linotype" w:cs="Palatino Linotype"/>
          <w:b/>
          <w:sz w:val="22"/>
          <w:szCs w:val="22"/>
        </w:rPr>
        <w:t xml:space="preserve"> </w:t>
      </w:r>
      <w:r w:rsidRPr="00C74D31">
        <w:rPr>
          <w:rFonts w:ascii="Palatino Linotype" w:eastAsia="Palatino Linotype" w:hAnsi="Palatino Linotype" w:cs="Palatino Linotype"/>
          <w:b/>
          <w:sz w:val="22"/>
          <w:szCs w:val="22"/>
        </w:rPr>
        <w:t>de</w:t>
      </w:r>
      <w:r w:rsidRPr="00C74D31">
        <w:rPr>
          <w:rFonts w:ascii="Palatino Linotype" w:eastAsia="Palatino Linotype" w:hAnsi="Palatino Linotype" w:cs="Palatino Linotype"/>
          <w:sz w:val="22"/>
          <w:szCs w:val="22"/>
        </w:rPr>
        <w:t xml:space="preserve"> </w:t>
      </w:r>
      <w:r w:rsidRPr="00C74D31">
        <w:rPr>
          <w:rFonts w:ascii="Palatino Linotype" w:eastAsia="Palatino Linotype" w:hAnsi="Palatino Linotype" w:cs="Palatino Linotype"/>
          <w:b/>
          <w:sz w:val="22"/>
          <w:szCs w:val="22"/>
        </w:rPr>
        <w:t>dos mil veinti</w:t>
      </w:r>
      <w:r w:rsidR="004E09B3" w:rsidRPr="00C74D31">
        <w:rPr>
          <w:rFonts w:ascii="Palatino Linotype" w:eastAsia="Palatino Linotype" w:hAnsi="Palatino Linotype" w:cs="Palatino Linotype"/>
          <w:b/>
          <w:sz w:val="22"/>
          <w:szCs w:val="22"/>
        </w:rPr>
        <w:t>cuatro</w:t>
      </w:r>
      <w:r w:rsidRPr="00C74D31">
        <w:rPr>
          <w:rFonts w:ascii="Palatino Linotype" w:eastAsia="Palatino Linotype" w:hAnsi="Palatino Linotype" w:cs="Palatino Linotype"/>
          <w:b/>
          <w:sz w:val="22"/>
          <w:szCs w:val="22"/>
        </w:rPr>
        <w:t>,</w:t>
      </w:r>
      <w:r w:rsidRPr="00C74D31">
        <w:rPr>
          <w:rFonts w:ascii="Palatino Linotype" w:eastAsia="Palatino Linotype" w:hAnsi="Palatino Linotype" w:cs="Palatino Linotype"/>
          <w:sz w:val="22"/>
          <w:szCs w:val="22"/>
        </w:rPr>
        <w:t xml:space="preserve"> la parte </w:t>
      </w:r>
      <w:r w:rsidRPr="00C74D31">
        <w:rPr>
          <w:rFonts w:ascii="Palatino Linotype" w:eastAsia="Palatino Linotype" w:hAnsi="Palatino Linotype" w:cs="Palatino Linotype"/>
          <w:b/>
          <w:sz w:val="22"/>
          <w:szCs w:val="22"/>
        </w:rPr>
        <w:t xml:space="preserve">Recurrente </w:t>
      </w:r>
      <w:r w:rsidRPr="00C74D31">
        <w:rPr>
          <w:rFonts w:ascii="Palatino Linotype" w:eastAsia="Palatino Linotype" w:hAnsi="Palatino Linotype" w:cs="Palatino Linotype"/>
          <w:sz w:val="22"/>
          <w:szCs w:val="22"/>
        </w:rPr>
        <w:t xml:space="preserve">presentó, a través del Sistema de Acceso a la Información Mexiquense, en lo subsecuente el </w:t>
      </w:r>
      <w:r w:rsidRPr="00C74D31">
        <w:rPr>
          <w:rFonts w:ascii="Palatino Linotype" w:eastAsia="Palatino Linotype" w:hAnsi="Palatino Linotype" w:cs="Palatino Linotype"/>
          <w:b/>
          <w:sz w:val="22"/>
          <w:szCs w:val="22"/>
        </w:rPr>
        <w:t>SAIMEX,</w:t>
      </w:r>
      <w:r w:rsidRPr="00C74D31">
        <w:rPr>
          <w:rFonts w:ascii="Palatino Linotype" w:eastAsia="Palatino Linotype" w:hAnsi="Palatino Linotype" w:cs="Palatino Linotype"/>
          <w:sz w:val="22"/>
          <w:szCs w:val="22"/>
        </w:rPr>
        <w:t xml:space="preserve"> ante el </w:t>
      </w:r>
      <w:r w:rsidRPr="00C74D31">
        <w:rPr>
          <w:rFonts w:ascii="Palatino Linotype" w:eastAsia="Palatino Linotype" w:hAnsi="Palatino Linotype" w:cs="Palatino Linotype"/>
          <w:b/>
          <w:sz w:val="22"/>
          <w:szCs w:val="22"/>
        </w:rPr>
        <w:t>Sujeto Obligado</w:t>
      </w:r>
      <w:r w:rsidRPr="00C74D31">
        <w:rPr>
          <w:rFonts w:ascii="Palatino Linotype" w:eastAsia="Palatino Linotype" w:hAnsi="Palatino Linotype" w:cs="Palatino Linotype"/>
          <w:sz w:val="22"/>
          <w:szCs w:val="22"/>
        </w:rPr>
        <w:t>, la solicitud de acceso a la información pública, a la que se le asignó el número</w:t>
      </w:r>
      <w:r w:rsidRPr="00C74D31">
        <w:rPr>
          <w:rFonts w:ascii="Palatino Linotype" w:eastAsia="Palatino Linotype" w:hAnsi="Palatino Linotype" w:cs="Palatino Linotype"/>
          <w:b/>
          <w:sz w:val="22"/>
          <w:szCs w:val="22"/>
        </w:rPr>
        <w:t xml:space="preserve"> </w:t>
      </w:r>
      <w:r w:rsidR="004E09B3" w:rsidRPr="00C74D31">
        <w:rPr>
          <w:rFonts w:ascii="Palatino Linotype" w:eastAsia="Palatino Linotype" w:hAnsi="Palatino Linotype" w:cs="Palatino Linotype"/>
          <w:b/>
          <w:sz w:val="22"/>
          <w:szCs w:val="22"/>
        </w:rPr>
        <w:t>00</w:t>
      </w:r>
      <w:r w:rsidR="00126459" w:rsidRPr="00C74D31">
        <w:rPr>
          <w:rFonts w:ascii="Palatino Linotype" w:eastAsia="Palatino Linotype" w:hAnsi="Palatino Linotype" w:cs="Palatino Linotype"/>
          <w:b/>
          <w:sz w:val="22"/>
          <w:szCs w:val="22"/>
        </w:rPr>
        <w:t>804</w:t>
      </w:r>
      <w:r w:rsidR="004E09B3" w:rsidRPr="00C74D31">
        <w:rPr>
          <w:rFonts w:ascii="Palatino Linotype" w:eastAsia="Palatino Linotype" w:hAnsi="Palatino Linotype" w:cs="Palatino Linotype"/>
          <w:b/>
          <w:sz w:val="22"/>
          <w:szCs w:val="22"/>
        </w:rPr>
        <w:t>/</w:t>
      </w:r>
      <w:r w:rsidR="00126459" w:rsidRPr="00C74D31">
        <w:rPr>
          <w:rFonts w:ascii="Palatino Linotype" w:eastAsia="Palatino Linotype" w:hAnsi="Palatino Linotype" w:cs="Palatino Linotype"/>
          <w:b/>
          <w:sz w:val="22"/>
          <w:szCs w:val="22"/>
        </w:rPr>
        <w:t>ISEM</w:t>
      </w:r>
      <w:r w:rsidR="004E09B3" w:rsidRPr="00C74D31">
        <w:rPr>
          <w:rFonts w:ascii="Palatino Linotype" w:eastAsia="Palatino Linotype" w:hAnsi="Palatino Linotype" w:cs="Palatino Linotype"/>
          <w:b/>
          <w:sz w:val="22"/>
          <w:szCs w:val="22"/>
        </w:rPr>
        <w:t>/IP/2024</w:t>
      </w:r>
      <w:r w:rsidRPr="00C74D31">
        <w:rPr>
          <w:rFonts w:ascii="Palatino Linotype" w:eastAsia="Palatino Linotype" w:hAnsi="Palatino Linotype" w:cs="Palatino Linotype"/>
          <w:b/>
          <w:sz w:val="22"/>
          <w:szCs w:val="22"/>
        </w:rPr>
        <w:t xml:space="preserve">, </w:t>
      </w:r>
      <w:r w:rsidRPr="00C74D31">
        <w:rPr>
          <w:rFonts w:ascii="Palatino Linotype" w:eastAsia="Palatino Linotype" w:hAnsi="Palatino Linotype" w:cs="Palatino Linotype"/>
          <w:sz w:val="22"/>
          <w:szCs w:val="22"/>
        </w:rPr>
        <w:t xml:space="preserve">mediante la cual requirió la información siguiente: </w:t>
      </w:r>
    </w:p>
    <w:p w14:paraId="2AB05407"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42F31622" w14:textId="04EC9545" w:rsidR="006D5E1C" w:rsidRPr="00C74D31" w:rsidRDefault="005204B5" w:rsidP="00D450E9">
      <w:pPr>
        <w:spacing w:line="276" w:lineRule="auto"/>
        <w:ind w:left="851" w:right="902"/>
        <w:jc w:val="both"/>
        <w:rPr>
          <w:rFonts w:ascii="Palatino Linotype" w:eastAsia="Palatino Linotype" w:hAnsi="Palatino Linotype" w:cs="Palatino Linotype"/>
          <w:i/>
          <w:sz w:val="22"/>
          <w:szCs w:val="22"/>
        </w:rPr>
      </w:pPr>
      <w:bookmarkStart w:id="1" w:name="_heading=h.gjdgxs" w:colFirst="0" w:colLast="0"/>
      <w:bookmarkEnd w:id="1"/>
      <w:r w:rsidRPr="00C74D31">
        <w:rPr>
          <w:rFonts w:ascii="Palatino Linotype" w:eastAsia="Palatino Linotype" w:hAnsi="Palatino Linotype" w:cs="Palatino Linotype"/>
          <w:i/>
          <w:sz w:val="22"/>
          <w:szCs w:val="22"/>
        </w:rPr>
        <w:t>“</w:t>
      </w:r>
      <w:r w:rsidR="00126459" w:rsidRPr="00C74D31">
        <w:rPr>
          <w:rFonts w:ascii="Palatino Linotype" w:eastAsia="Palatino Linotype" w:hAnsi="Palatino Linotype" w:cs="Palatino Linotype"/>
          <w:i/>
          <w:sz w:val="22"/>
          <w:szCs w:val="22"/>
        </w:rPr>
        <w:t>Por qué una trabajadora social puede ser jefa de recursos humanos del hospital general de Nicolás San Juan como los es c. Juana Nereida robles castro</w:t>
      </w:r>
      <w:r w:rsidRPr="00C74D31">
        <w:rPr>
          <w:rFonts w:ascii="Palatino Linotype" w:eastAsia="Palatino Linotype" w:hAnsi="Palatino Linotype" w:cs="Palatino Linotype"/>
          <w:i/>
          <w:sz w:val="22"/>
          <w:szCs w:val="22"/>
        </w:rPr>
        <w:t xml:space="preserve">” (sic) </w:t>
      </w:r>
    </w:p>
    <w:p w14:paraId="2131EA75" w14:textId="77777777" w:rsidR="00D450E9" w:rsidRPr="00C74D31" w:rsidRDefault="00D450E9" w:rsidP="00D450E9">
      <w:pPr>
        <w:spacing w:line="276" w:lineRule="auto"/>
        <w:ind w:left="851" w:right="902"/>
        <w:jc w:val="both"/>
        <w:rPr>
          <w:rFonts w:ascii="Palatino Linotype" w:eastAsia="Palatino Linotype" w:hAnsi="Palatino Linotype" w:cs="Palatino Linotype"/>
          <w:b/>
          <w:i/>
          <w:sz w:val="22"/>
          <w:szCs w:val="22"/>
        </w:rPr>
      </w:pPr>
    </w:p>
    <w:p w14:paraId="0DD8AB61" w14:textId="77777777" w:rsidR="006D5E1C" w:rsidRPr="00C74D31" w:rsidRDefault="005204B5" w:rsidP="00D450E9">
      <w:pPr>
        <w:spacing w:line="360" w:lineRule="auto"/>
        <w:jc w:val="both"/>
        <w:rPr>
          <w:rFonts w:ascii="Palatino Linotype" w:eastAsia="Palatino Linotype" w:hAnsi="Palatino Linotype" w:cs="Palatino Linotype"/>
          <w:b/>
          <w:sz w:val="22"/>
          <w:szCs w:val="22"/>
        </w:rPr>
      </w:pPr>
      <w:r w:rsidRPr="00C74D31">
        <w:rPr>
          <w:rFonts w:ascii="Palatino Linotype" w:eastAsia="Palatino Linotype" w:hAnsi="Palatino Linotype" w:cs="Palatino Linotype"/>
          <w:b/>
          <w:sz w:val="22"/>
          <w:szCs w:val="22"/>
        </w:rPr>
        <w:t>Modalidad de Entrega:</w:t>
      </w:r>
      <w:r w:rsidRPr="00C74D31">
        <w:rPr>
          <w:rFonts w:ascii="Palatino Linotype" w:eastAsia="Palatino Linotype" w:hAnsi="Palatino Linotype" w:cs="Palatino Linotype"/>
          <w:sz w:val="22"/>
          <w:szCs w:val="22"/>
        </w:rPr>
        <w:t xml:space="preserve"> a través </w:t>
      </w:r>
      <w:r w:rsidRPr="00C74D31">
        <w:rPr>
          <w:rFonts w:ascii="Palatino Linotype" w:eastAsia="Palatino Linotype" w:hAnsi="Palatino Linotype" w:cs="Palatino Linotype"/>
          <w:b/>
          <w:sz w:val="22"/>
          <w:szCs w:val="22"/>
        </w:rPr>
        <w:t>de SAIMEX</w:t>
      </w:r>
    </w:p>
    <w:p w14:paraId="12FC604D"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4C33666E" w14:textId="2BDA8928" w:rsidR="006D5E1C" w:rsidRPr="00C74D31" w:rsidRDefault="005204B5" w:rsidP="00D450E9">
      <w:pPr>
        <w:spacing w:line="360" w:lineRule="auto"/>
        <w:jc w:val="both"/>
        <w:rPr>
          <w:rFonts w:ascii="Palatino Linotype" w:eastAsia="Palatino Linotype" w:hAnsi="Palatino Linotype" w:cs="Palatino Linotype"/>
          <w:sz w:val="22"/>
          <w:szCs w:val="22"/>
        </w:rPr>
      </w:pPr>
      <w:bookmarkStart w:id="2" w:name="_heading=h.3dy6vkm" w:colFirst="0" w:colLast="0"/>
      <w:bookmarkEnd w:id="2"/>
      <w:r w:rsidRPr="00C74D31">
        <w:rPr>
          <w:rFonts w:ascii="Palatino Linotype" w:eastAsia="Palatino Linotype" w:hAnsi="Palatino Linotype" w:cs="Palatino Linotype"/>
          <w:b/>
          <w:sz w:val="22"/>
          <w:szCs w:val="22"/>
        </w:rPr>
        <w:t xml:space="preserve">2. Respuesta. </w:t>
      </w:r>
      <w:r w:rsidRPr="00C74D31">
        <w:rPr>
          <w:rFonts w:ascii="Palatino Linotype" w:eastAsia="Palatino Linotype" w:hAnsi="Palatino Linotype" w:cs="Palatino Linotype"/>
          <w:sz w:val="22"/>
          <w:szCs w:val="22"/>
        </w:rPr>
        <w:t>Con fecha</w:t>
      </w:r>
      <w:r w:rsidRPr="00C74D31">
        <w:rPr>
          <w:rFonts w:ascii="Palatino Linotype" w:eastAsia="Palatino Linotype" w:hAnsi="Palatino Linotype" w:cs="Palatino Linotype"/>
          <w:b/>
          <w:sz w:val="22"/>
          <w:szCs w:val="22"/>
        </w:rPr>
        <w:t xml:space="preserve"> </w:t>
      </w:r>
      <w:r w:rsidR="00126459" w:rsidRPr="00C74D31">
        <w:rPr>
          <w:rFonts w:ascii="Palatino Linotype" w:eastAsia="Palatino Linotype" w:hAnsi="Palatino Linotype" w:cs="Palatino Linotype"/>
          <w:b/>
          <w:sz w:val="22"/>
          <w:szCs w:val="22"/>
        </w:rPr>
        <w:t>catorce</w:t>
      </w:r>
      <w:r w:rsidR="0059725E" w:rsidRPr="00C74D31">
        <w:rPr>
          <w:rFonts w:ascii="Palatino Linotype" w:eastAsia="Palatino Linotype" w:hAnsi="Palatino Linotype" w:cs="Palatino Linotype"/>
          <w:b/>
          <w:sz w:val="22"/>
          <w:szCs w:val="22"/>
        </w:rPr>
        <w:t xml:space="preserve"> de </w:t>
      </w:r>
      <w:r w:rsidR="00126459" w:rsidRPr="00C74D31">
        <w:rPr>
          <w:rFonts w:ascii="Palatino Linotype" w:eastAsia="Palatino Linotype" w:hAnsi="Palatino Linotype" w:cs="Palatino Linotype"/>
          <w:b/>
          <w:sz w:val="22"/>
          <w:szCs w:val="22"/>
        </w:rPr>
        <w:t>enero</w:t>
      </w:r>
      <w:r w:rsidRPr="00C74D31">
        <w:rPr>
          <w:rFonts w:ascii="Palatino Linotype" w:eastAsia="Palatino Linotype" w:hAnsi="Palatino Linotype" w:cs="Palatino Linotype"/>
          <w:b/>
          <w:sz w:val="22"/>
          <w:szCs w:val="22"/>
        </w:rPr>
        <w:t xml:space="preserve"> de dos mil </w:t>
      </w:r>
      <w:r w:rsidR="004E09B3" w:rsidRPr="00C74D31">
        <w:rPr>
          <w:rFonts w:ascii="Palatino Linotype" w:eastAsia="Palatino Linotype" w:hAnsi="Palatino Linotype" w:cs="Palatino Linotype"/>
          <w:b/>
          <w:sz w:val="22"/>
          <w:szCs w:val="22"/>
        </w:rPr>
        <w:t>veintic</w:t>
      </w:r>
      <w:r w:rsidR="00126459" w:rsidRPr="00C74D31">
        <w:rPr>
          <w:rFonts w:ascii="Palatino Linotype" w:eastAsia="Palatino Linotype" w:hAnsi="Palatino Linotype" w:cs="Palatino Linotype"/>
          <w:b/>
          <w:sz w:val="22"/>
          <w:szCs w:val="22"/>
        </w:rPr>
        <w:t>inco</w:t>
      </w:r>
      <w:r w:rsidRPr="00C74D31">
        <w:rPr>
          <w:rFonts w:ascii="Palatino Linotype" w:eastAsia="Palatino Linotype" w:hAnsi="Palatino Linotype" w:cs="Palatino Linotype"/>
          <w:sz w:val="22"/>
          <w:szCs w:val="22"/>
        </w:rPr>
        <w:t xml:space="preserve">, el </w:t>
      </w:r>
      <w:r w:rsidRPr="00C74D31">
        <w:rPr>
          <w:rFonts w:ascii="Palatino Linotype" w:eastAsia="Palatino Linotype" w:hAnsi="Palatino Linotype" w:cs="Palatino Linotype"/>
          <w:b/>
          <w:sz w:val="22"/>
          <w:szCs w:val="22"/>
        </w:rPr>
        <w:t xml:space="preserve">Sujeto Obligado </w:t>
      </w:r>
      <w:r w:rsidR="007C6717" w:rsidRPr="00C74D31">
        <w:rPr>
          <w:rFonts w:ascii="Palatino Linotype" w:eastAsia="Palatino Linotype" w:hAnsi="Palatino Linotype" w:cs="Palatino Linotype"/>
          <w:sz w:val="22"/>
          <w:szCs w:val="22"/>
        </w:rPr>
        <w:t>respondió</w:t>
      </w:r>
      <w:r w:rsidRPr="00C74D31">
        <w:rPr>
          <w:rFonts w:ascii="Palatino Linotype" w:eastAsia="Palatino Linotype" w:hAnsi="Palatino Linotype" w:cs="Palatino Linotype"/>
          <w:sz w:val="22"/>
          <w:szCs w:val="22"/>
        </w:rPr>
        <w:t xml:space="preserve"> a la solicitud de acceso a la información a través de SAIMEX, sustancialmente en los términos siguientes:   </w:t>
      </w:r>
    </w:p>
    <w:p w14:paraId="77071C9F" w14:textId="77777777" w:rsidR="00D450E9" w:rsidRPr="00C74D31" w:rsidRDefault="00D450E9" w:rsidP="00D450E9">
      <w:pPr>
        <w:spacing w:line="360" w:lineRule="auto"/>
        <w:jc w:val="both"/>
        <w:rPr>
          <w:rFonts w:ascii="Palatino Linotype" w:eastAsia="Palatino Linotype" w:hAnsi="Palatino Linotype" w:cs="Palatino Linotype"/>
          <w:b/>
          <w:sz w:val="22"/>
          <w:szCs w:val="22"/>
        </w:rPr>
      </w:pPr>
    </w:p>
    <w:p w14:paraId="32A8463E" w14:textId="77777777" w:rsidR="00126459" w:rsidRPr="00C74D31" w:rsidRDefault="003C18F1" w:rsidP="00126459">
      <w:pPr>
        <w:spacing w:line="276" w:lineRule="auto"/>
        <w:ind w:left="851" w:right="902"/>
        <w:jc w:val="both"/>
        <w:rPr>
          <w:rFonts w:ascii="Palatino Linotype" w:eastAsia="Palatino Linotype" w:hAnsi="Palatino Linotype" w:cs="Palatino Linotype"/>
          <w:i/>
          <w:sz w:val="22"/>
          <w:szCs w:val="22"/>
        </w:rPr>
      </w:pPr>
      <w:r w:rsidRPr="00C74D31">
        <w:rPr>
          <w:rFonts w:ascii="Palatino Linotype" w:eastAsia="Palatino Linotype" w:hAnsi="Palatino Linotype" w:cs="Palatino Linotype"/>
          <w:i/>
          <w:sz w:val="22"/>
          <w:szCs w:val="22"/>
        </w:rPr>
        <w:t>“</w:t>
      </w:r>
      <w:r w:rsidR="00126459" w:rsidRPr="00C74D31">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AED71A9" w14:textId="7C9B8FA5" w:rsidR="006D5E1C" w:rsidRPr="00C74D31" w:rsidRDefault="00126459" w:rsidP="00126459">
      <w:pPr>
        <w:spacing w:line="276" w:lineRule="auto"/>
        <w:ind w:left="851" w:right="902"/>
        <w:jc w:val="both"/>
        <w:rPr>
          <w:rFonts w:ascii="Palatino Linotype" w:eastAsia="Palatino Linotype" w:hAnsi="Palatino Linotype" w:cs="Palatino Linotype"/>
          <w:i/>
          <w:sz w:val="22"/>
          <w:szCs w:val="22"/>
        </w:rPr>
      </w:pPr>
      <w:r w:rsidRPr="00C74D31">
        <w:rPr>
          <w:rFonts w:ascii="Palatino Linotype" w:eastAsia="Palatino Linotype" w:hAnsi="Palatino Linotype" w:cs="Palatino Linotype"/>
          <w:i/>
          <w:sz w:val="22"/>
          <w:szCs w:val="22"/>
        </w:rPr>
        <w:t>Se da atención a su solicitud.</w:t>
      </w:r>
      <w:r w:rsidR="005204B5" w:rsidRPr="00C74D31">
        <w:rPr>
          <w:rFonts w:ascii="Palatino Linotype" w:eastAsia="Palatino Linotype" w:hAnsi="Palatino Linotype" w:cs="Palatino Linotype"/>
          <w:i/>
          <w:sz w:val="22"/>
          <w:szCs w:val="22"/>
        </w:rPr>
        <w:t>” (sic)</w:t>
      </w:r>
    </w:p>
    <w:p w14:paraId="66E1F7DF" w14:textId="77777777" w:rsidR="00D450E9" w:rsidRPr="00C74D31" w:rsidRDefault="00D450E9" w:rsidP="00D450E9">
      <w:pPr>
        <w:spacing w:line="276" w:lineRule="auto"/>
        <w:ind w:left="851" w:right="902"/>
        <w:jc w:val="both"/>
        <w:rPr>
          <w:rFonts w:ascii="Palatino Linotype" w:eastAsia="Palatino Linotype" w:hAnsi="Palatino Linotype" w:cs="Palatino Linotype"/>
          <w:i/>
          <w:sz w:val="22"/>
          <w:szCs w:val="22"/>
        </w:rPr>
      </w:pPr>
    </w:p>
    <w:p w14:paraId="765600D6" w14:textId="040E60A3" w:rsidR="004E09B3" w:rsidRPr="00C74D31" w:rsidRDefault="004E09B3" w:rsidP="00D450E9">
      <w:pPr>
        <w:spacing w:line="360" w:lineRule="auto"/>
        <w:ind w:right="49"/>
        <w:jc w:val="both"/>
        <w:rPr>
          <w:rFonts w:ascii="Palatino Linotype" w:eastAsia="Palatino Linotype" w:hAnsi="Palatino Linotype" w:cs="Palatino Linotype"/>
          <w:iCs/>
          <w:sz w:val="22"/>
          <w:szCs w:val="22"/>
        </w:rPr>
      </w:pPr>
      <w:r w:rsidRPr="00C74D31">
        <w:rPr>
          <w:rFonts w:ascii="Palatino Linotype" w:eastAsia="Palatino Linotype" w:hAnsi="Palatino Linotype" w:cs="Palatino Linotype"/>
          <w:iCs/>
          <w:sz w:val="22"/>
          <w:szCs w:val="22"/>
        </w:rPr>
        <w:t xml:space="preserve">Pronunciamiento al que el </w:t>
      </w:r>
      <w:r w:rsidRPr="00C74D31">
        <w:rPr>
          <w:rFonts w:ascii="Palatino Linotype" w:eastAsia="Palatino Linotype" w:hAnsi="Palatino Linotype" w:cs="Palatino Linotype"/>
          <w:b/>
          <w:bCs/>
          <w:iCs/>
          <w:sz w:val="22"/>
          <w:szCs w:val="22"/>
        </w:rPr>
        <w:t xml:space="preserve">Sujeto Obligado </w:t>
      </w:r>
      <w:r w:rsidRPr="00C74D31">
        <w:rPr>
          <w:rFonts w:ascii="Palatino Linotype" w:eastAsia="Palatino Linotype" w:hAnsi="Palatino Linotype" w:cs="Palatino Linotype"/>
          <w:iCs/>
          <w:sz w:val="22"/>
          <w:szCs w:val="22"/>
        </w:rPr>
        <w:t xml:space="preserve">adjuntó </w:t>
      </w:r>
      <w:r w:rsidR="00126459" w:rsidRPr="00C74D31">
        <w:rPr>
          <w:rFonts w:ascii="Palatino Linotype" w:eastAsia="Palatino Linotype" w:hAnsi="Palatino Linotype" w:cs="Palatino Linotype"/>
          <w:iCs/>
          <w:sz w:val="22"/>
          <w:szCs w:val="22"/>
        </w:rPr>
        <w:t>los documentos electrónicos siguientes:</w:t>
      </w:r>
      <w:r w:rsidRPr="00C74D31">
        <w:rPr>
          <w:rFonts w:ascii="Palatino Linotype" w:eastAsia="Palatino Linotype" w:hAnsi="Palatino Linotype" w:cs="Palatino Linotype"/>
          <w:iCs/>
          <w:sz w:val="22"/>
          <w:szCs w:val="22"/>
        </w:rPr>
        <w:t xml:space="preserve"> </w:t>
      </w:r>
    </w:p>
    <w:p w14:paraId="05EF0673" w14:textId="77777777" w:rsidR="00D450E9" w:rsidRPr="00C74D31" w:rsidRDefault="00D450E9" w:rsidP="00126459">
      <w:pPr>
        <w:spacing w:line="276" w:lineRule="auto"/>
        <w:ind w:right="902"/>
        <w:jc w:val="both"/>
        <w:rPr>
          <w:rFonts w:ascii="Palatino Linotype" w:eastAsia="Palatino Linotype" w:hAnsi="Palatino Linotype" w:cs="Palatino Linotype"/>
          <w:iCs/>
          <w:sz w:val="22"/>
          <w:szCs w:val="22"/>
        </w:rPr>
      </w:pPr>
    </w:p>
    <w:p w14:paraId="3D0073A6" w14:textId="25A420F3" w:rsidR="00126459" w:rsidRPr="00C74D31" w:rsidRDefault="00126459" w:rsidP="00F800AD">
      <w:pPr>
        <w:pStyle w:val="Prrafodelista"/>
        <w:numPr>
          <w:ilvl w:val="0"/>
          <w:numId w:val="23"/>
        </w:numPr>
        <w:spacing w:line="276" w:lineRule="auto"/>
        <w:ind w:right="49"/>
        <w:jc w:val="both"/>
        <w:rPr>
          <w:rFonts w:ascii="Palatino Linotype" w:eastAsia="Palatino Linotype" w:hAnsi="Palatino Linotype" w:cs="Palatino Linotype"/>
          <w:b/>
          <w:iCs/>
          <w:sz w:val="22"/>
          <w:szCs w:val="22"/>
        </w:rPr>
      </w:pPr>
      <w:r w:rsidRPr="00C74D31">
        <w:rPr>
          <w:rFonts w:ascii="Palatino Linotype" w:eastAsia="Palatino Linotype" w:hAnsi="Palatino Linotype" w:cs="Palatino Linotype"/>
          <w:b/>
          <w:iCs/>
          <w:sz w:val="22"/>
          <w:szCs w:val="22"/>
        </w:rPr>
        <w:t xml:space="preserve">5057 SAIMEX.pdf: </w:t>
      </w:r>
      <w:r w:rsidRPr="00C74D31">
        <w:rPr>
          <w:rFonts w:ascii="Palatino Linotype" w:eastAsia="Palatino Linotype" w:hAnsi="Palatino Linotype" w:cs="Palatino Linotype"/>
          <w:iCs/>
          <w:sz w:val="22"/>
          <w:szCs w:val="22"/>
        </w:rPr>
        <w:t xml:space="preserve">Oficio 208C0101110100T/005057/2024 suscrito por el Director del Hospital Nicolás San Juan </w:t>
      </w:r>
      <w:r w:rsidR="00F800AD" w:rsidRPr="00C74D31">
        <w:rPr>
          <w:rFonts w:ascii="Palatino Linotype" w:eastAsia="Palatino Linotype" w:hAnsi="Palatino Linotype" w:cs="Palatino Linotype"/>
          <w:iCs/>
          <w:sz w:val="22"/>
          <w:szCs w:val="22"/>
        </w:rPr>
        <w:t>en el que expresa las razones por las que la Servidora Pública señalada en la solicitud tiene el cargo de jefa de recursos humanos.</w:t>
      </w:r>
    </w:p>
    <w:p w14:paraId="188753FD" w14:textId="5447BB35" w:rsidR="00126459" w:rsidRPr="00C74D31" w:rsidRDefault="00126459" w:rsidP="00F800AD">
      <w:pPr>
        <w:pStyle w:val="Prrafodelista"/>
        <w:numPr>
          <w:ilvl w:val="0"/>
          <w:numId w:val="23"/>
        </w:numPr>
        <w:spacing w:line="276" w:lineRule="auto"/>
        <w:ind w:right="49"/>
        <w:jc w:val="both"/>
        <w:rPr>
          <w:rFonts w:ascii="Palatino Linotype" w:eastAsia="Palatino Linotype" w:hAnsi="Palatino Linotype" w:cs="Palatino Linotype"/>
          <w:b/>
          <w:iCs/>
          <w:sz w:val="22"/>
          <w:szCs w:val="22"/>
        </w:rPr>
      </w:pPr>
      <w:r w:rsidRPr="00C74D31">
        <w:rPr>
          <w:rFonts w:ascii="Palatino Linotype" w:eastAsia="Palatino Linotype" w:hAnsi="Palatino Linotype" w:cs="Palatino Linotype"/>
          <w:b/>
          <w:iCs/>
          <w:sz w:val="22"/>
          <w:szCs w:val="22"/>
        </w:rPr>
        <w:t>sol 804 2024.pdf</w:t>
      </w:r>
      <w:r w:rsidR="00F800AD" w:rsidRPr="00C74D31">
        <w:rPr>
          <w:rFonts w:ascii="Palatino Linotype" w:eastAsia="Palatino Linotype" w:hAnsi="Palatino Linotype" w:cs="Palatino Linotype"/>
          <w:b/>
          <w:iCs/>
          <w:sz w:val="22"/>
          <w:szCs w:val="22"/>
        </w:rPr>
        <w:t xml:space="preserve">: </w:t>
      </w:r>
      <w:r w:rsidR="00F800AD" w:rsidRPr="00C74D31">
        <w:rPr>
          <w:rFonts w:ascii="Palatino Linotype" w:eastAsia="Palatino Linotype" w:hAnsi="Palatino Linotype" w:cs="Palatino Linotype"/>
          <w:iCs/>
          <w:sz w:val="22"/>
          <w:szCs w:val="22"/>
        </w:rPr>
        <w:t>Documento sin número de oficio suscrito por la Jefa de la Unidad de Información, Planeación, Programación y Evaluación en el ISEM y Titular de la Unidad de Transparencia</w:t>
      </w:r>
      <w:r w:rsidR="00F800AD" w:rsidRPr="00C74D31">
        <w:rPr>
          <w:rFonts w:ascii="Palatino Linotype" w:eastAsia="Palatino Linotype" w:hAnsi="Palatino Linotype" w:cs="Palatino Linotype"/>
          <w:b/>
          <w:iCs/>
          <w:sz w:val="22"/>
          <w:szCs w:val="22"/>
        </w:rPr>
        <w:t xml:space="preserve"> </w:t>
      </w:r>
      <w:r w:rsidR="00F800AD" w:rsidRPr="00C74D31">
        <w:rPr>
          <w:rFonts w:ascii="Palatino Linotype" w:eastAsia="Palatino Linotype" w:hAnsi="Palatino Linotype" w:cs="Palatino Linotype"/>
          <w:iCs/>
          <w:sz w:val="22"/>
          <w:szCs w:val="22"/>
        </w:rPr>
        <w:t>mediante el cual refiere que entrega la información remitida por la Dirección de Servicios de Salud.</w:t>
      </w:r>
    </w:p>
    <w:p w14:paraId="66063E0D" w14:textId="77777777" w:rsidR="00126459" w:rsidRPr="00C74D31" w:rsidRDefault="00126459" w:rsidP="00126459">
      <w:pPr>
        <w:spacing w:line="276" w:lineRule="auto"/>
        <w:ind w:right="902"/>
        <w:jc w:val="both"/>
        <w:rPr>
          <w:rFonts w:ascii="Palatino Linotype" w:eastAsia="Palatino Linotype" w:hAnsi="Palatino Linotype" w:cs="Palatino Linotype"/>
          <w:iCs/>
          <w:sz w:val="22"/>
          <w:szCs w:val="22"/>
        </w:rPr>
      </w:pPr>
    </w:p>
    <w:p w14:paraId="67F48FAF" w14:textId="19609F63" w:rsidR="006D5E1C" w:rsidRPr="00C74D31" w:rsidRDefault="005204B5" w:rsidP="00D450E9">
      <w:pPr>
        <w:spacing w:line="360" w:lineRule="auto"/>
        <w:ind w:right="49"/>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b/>
          <w:sz w:val="22"/>
          <w:szCs w:val="22"/>
        </w:rPr>
        <w:t xml:space="preserve">3. Interposición del recurso de revisión. </w:t>
      </w:r>
      <w:r w:rsidRPr="00C74D31">
        <w:rPr>
          <w:rFonts w:ascii="Palatino Linotype" w:eastAsia="Palatino Linotype" w:hAnsi="Palatino Linotype" w:cs="Palatino Linotype"/>
          <w:sz w:val="22"/>
          <w:szCs w:val="22"/>
        </w:rPr>
        <w:t xml:space="preserve">Inconforme con los términos de la respuesta emitida por parte del </w:t>
      </w:r>
      <w:r w:rsidRPr="00C74D31">
        <w:rPr>
          <w:rFonts w:ascii="Palatino Linotype" w:eastAsia="Palatino Linotype" w:hAnsi="Palatino Linotype" w:cs="Palatino Linotype"/>
          <w:b/>
          <w:sz w:val="22"/>
          <w:szCs w:val="22"/>
        </w:rPr>
        <w:t>Sujeto Obligado</w:t>
      </w:r>
      <w:r w:rsidRPr="00C74D31">
        <w:rPr>
          <w:rFonts w:ascii="Palatino Linotype" w:eastAsia="Palatino Linotype" w:hAnsi="Palatino Linotype" w:cs="Palatino Linotype"/>
          <w:sz w:val="22"/>
          <w:szCs w:val="22"/>
        </w:rPr>
        <w:t>, el</w:t>
      </w:r>
      <w:r w:rsidRPr="00C74D31">
        <w:rPr>
          <w:rFonts w:ascii="Palatino Linotype" w:eastAsia="Palatino Linotype" w:hAnsi="Palatino Linotype" w:cs="Palatino Linotype"/>
          <w:b/>
          <w:sz w:val="22"/>
          <w:szCs w:val="22"/>
        </w:rPr>
        <w:t xml:space="preserve"> </w:t>
      </w:r>
      <w:r w:rsidR="00F800AD" w:rsidRPr="00C74D31">
        <w:rPr>
          <w:rFonts w:ascii="Palatino Linotype" w:eastAsia="Palatino Linotype" w:hAnsi="Palatino Linotype" w:cs="Palatino Linotype"/>
          <w:b/>
          <w:sz w:val="22"/>
          <w:szCs w:val="22"/>
        </w:rPr>
        <w:t>quince</w:t>
      </w:r>
      <w:r w:rsidR="009804D4" w:rsidRPr="00C74D31">
        <w:rPr>
          <w:rFonts w:ascii="Palatino Linotype" w:eastAsia="Palatino Linotype" w:hAnsi="Palatino Linotype" w:cs="Palatino Linotype"/>
          <w:b/>
          <w:sz w:val="22"/>
          <w:szCs w:val="22"/>
        </w:rPr>
        <w:t xml:space="preserve"> de </w:t>
      </w:r>
      <w:r w:rsidR="00F800AD" w:rsidRPr="00C74D31">
        <w:rPr>
          <w:rFonts w:ascii="Palatino Linotype" w:eastAsia="Palatino Linotype" w:hAnsi="Palatino Linotype" w:cs="Palatino Linotype"/>
          <w:b/>
          <w:sz w:val="22"/>
          <w:szCs w:val="22"/>
        </w:rPr>
        <w:t>enero</w:t>
      </w:r>
      <w:r w:rsidR="00B4290B" w:rsidRPr="00C74D31">
        <w:rPr>
          <w:rFonts w:ascii="Palatino Linotype" w:eastAsia="Palatino Linotype" w:hAnsi="Palatino Linotype" w:cs="Palatino Linotype"/>
          <w:b/>
          <w:sz w:val="22"/>
          <w:szCs w:val="22"/>
        </w:rPr>
        <w:t xml:space="preserve"> de </w:t>
      </w:r>
      <w:r w:rsidRPr="00C74D31">
        <w:rPr>
          <w:rFonts w:ascii="Palatino Linotype" w:eastAsia="Palatino Linotype" w:hAnsi="Palatino Linotype" w:cs="Palatino Linotype"/>
          <w:b/>
          <w:sz w:val="22"/>
          <w:szCs w:val="22"/>
        </w:rPr>
        <w:t xml:space="preserve">dos mil </w:t>
      </w:r>
      <w:r w:rsidR="00EC1339" w:rsidRPr="00C74D31">
        <w:rPr>
          <w:rFonts w:ascii="Palatino Linotype" w:eastAsia="Palatino Linotype" w:hAnsi="Palatino Linotype" w:cs="Palatino Linotype"/>
          <w:b/>
          <w:sz w:val="22"/>
          <w:szCs w:val="22"/>
        </w:rPr>
        <w:t>veintic</w:t>
      </w:r>
      <w:r w:rsidR="00F800AD" w:rsidRPr="00C74D31">
        <w:rPr>
          <w:rFonts w:ascii="Palatino Linotype" w:eastAsia="Palatino Linotype" w:hAnsi="Palatino Linotype" w:cs="Palatino Linotype"/>
          <w:b/>
          <w:sz w:val="22"/>
          <w:szCs w:val="22"/>
        </w:rPr>
        <w:t>inco</w:t>
      </w:r>
      <w:r w:rsidRPr="00C74D31">
        <w:rPr>
          <w:rFonts w:ascii="Palatino Linotype" w:eastAsia="Palatino Linotype" w:hAnsi="Palatino Linotype" w:cs="Palatino Linotype"/>
          <w:b/>
          <w:sz w:val="22"/>
          <w:szCs w:val="22"/>
        </w:rPr>
        <w:t>,</w:t>
      </w:r>
      <w:r w:rsidRPr="00C74D31">
        <w:rPr>
          <w:rFonts w:ascii="Palatino Linotype" w:eastAsia="Palatino Linotype" w:hAnsi="Palatino Linotype" w:cs="Palatino Linotype"/>
          <w:sz w:val="22"/>
          <w:szCs w:val="22"/>
        </w:rPr>
        <w:t xml:space="preserve"> la parte </w:t>
      </w:r>
      <w:r w:rsidRPr="00C74D31">
        <w:rPr>
          <w:rFonts w:ascii="Palatino Linotype" w:eastAsia="Palatino Linotype" w:hAnsi="Palatino Linotype" w:cs="Palatino Linotype"/>
          <w:b/>
          <w:sz w:val="22"/>
          <w:szCs w:val="22"/>
        </w:rPr>
        <w:t>Recurrente</w:t>
      </w:r>
      <w:r w:rsidRPr="00C74D31">
        <w:rPr>
          <w:rFonts w:ascii="Palatino Linotype" w:eastAsia="Palatino Linotype" w:hAnsi="Palatino Linotype" w:cs="Palatino Linotype"/>
          <w:sz w:val="22"/>
          <w:szCs w:val="22"/>
        </w:rPr>
        <w:t xml:space="preserve"> interpuso el recurso de revisión a través de </w:t>
      </w:r>
      <w:r w:rsidRPr="00C74D31">
        <w:rPr>
          <w:rFonts w:ascii="Palatino Linotype" w:eastAsia="Palatino Linotype" w:hAnsi="Palatino Linotype" w:cs="Palatino Linotype"/>
          <w:b/>
          <w:sz w:val="22"/>
          <w:szCs w:val="22"/>
        </w:rPr>
        <w:t xml:space="preserve">SAIMEX, </w:t>
      </w:r>
      <w:r w:rsidRPr="00C74D31">
        <w:rPr>
          <w:rFonts w:ascii="Palatino Linotype" w:eastAsia="Palatino Linotype" w:hAnsi="Palatino Linotype" w:cs="Palatino Linotype"/>
          <w:sz w:val="22"/>
          <w:szCs w:val="22"/>
        </w:rPr>
        <w:t>en donde se manifestó de la siguiente manera:</w:t>
      </w:r>
    </w:p>
    <w:p w14:paraId="786F8C9E" w14:textId="77777777" w:rsidR="00D450E9" w:rsidRPr="00C74D31" w:rsidRDefault="00D450E9" w:rsidP="00D450E9">
      <w:pPr>
        <w:spacing w:line="360" w:lineRule="auto"/>
        <w:ind w:right="49"/>
        <w:jc w:val="both"/>
        <w:rPr>
          <w:rFonts w:ascii="Palatino Linotype" w:eastAsia="Palatino Linotype" w:hAnsi="Palatino Linotype" w:cs="Palatino Linotype"/>
          <w:b/>
          <w:sz w:val="22"/>
          <w:szCs w:val="22"/>
        </w:rPr>
      </w:pPr>
    </w:p>
    <w:p w14:paraId="236FD9E8" w14:textId="76322CC9" w:rsidR="006D5E1C" w:rsidRPr="00C74D31" w:rsidRDefault="005204B5" w:rsidP="00D450E9">
      <w:pPr>
        <w:tabs>
          <w:tab w:val="left" w:pos="2745"/>
        </w:tabs>
        <w:spacing w:line="276" w:lineRule="auto"/>
        <w:ind w:left="567"/>
        <w:jc w:val="both"/>
        <w:rPr>
          <w:rFonts w:ascii="Palatino Linotype" w:eastAsia="Palatino Linotype" w:hAnsi="Palatino Linotype" w:cs="Palatino Linotype"/>
          <w:b/>
          <w:sz w:val="22"/>
          <w:szCs w:val="22"/>
        </w:rPr>
      </w:pPr>
      <w:r w:rsidRPr="00C74D31">
        <w:rPr>
          <w:rFonts w:ascii="Palatino Linotype" w:eastAsia="Palatino Linotype" w:hAnsi="Palatino Linotype" w:cs="Palatino Linotype"/>
          <w:b/>
          <w:sz w:val="22"/>
          <w:szCs w:val="22"/>
        </w:rPr>
        <w:t xml:space="preserve">Acto impugnado: </w:t>
      </w:r>
      <w:r w:rsidRPr="00C74D31">
        <w:rPr>
          <w:rFonts w:ascii="Palatino Linotype" w:eastAsia="Palatino Linotype" w:hAnsi="Palatino Linotype" w:cs="Palatino Linotype"/>
          <w:i/>
          <w:sz w:val="22"/>
          <w:szCs w:val="22"/>
        </w:rPr>
        <w:t>“</w:t>
      </w:r>
      <w:r w:rsidR="00F800AD" w:rsidRPr="00C74D31">
        <w:rPr>
          <w:rFonts w:ascii="Palatino Linotype" w:eastAsia="Palatino Linotype" w:hAnsi="Palatino Linotype" w:cs="Palatino Linotype"/>
          <w:i/>
          <w:sz w:val="22"/>
          <w:szCs w:val="22"/>
        </w:rPr>
        <w:t>Folio de la solicitud: 00804/ISEM/IP/2024</w:t>
      </w:r>
      <w:r w:rsidRPr="00C74D31">
        <w:rPr>
          <w:rFonts w:ascii="Palatino Linotype" w:eastAsia="Palatino Linotype" w:hAnsi="Palatino Linotype" w:cs="Palatino Linotype"/>
          <w:i/>
          <w:sz w:val="22"/>
          <w:szCs w:val="22"/>
        </w:rPr>
        <w:t>” (sic)</w:t>
      </w:r>
    </w:p>
    <w:p w14:paraId="5EC518AB" w14:textId="77777777" w:rsidR="00D450E9" w:rsidRPr="00C74D31" w:rsidRDefault="00D450E9" w:rsidP="00D450E9">
      <w:pPr>
        <w:spacing w:line="360" w:lineRule="auto"/>
        <w:ind w:left="567"/>
        <w:jc w:val="both"/>
        <w:rPr>
          <w:rFonts w:ascii="Palatino Linotype" w:eastAsia="Palatino Linotype" w:hAnsi="Palatino Linotype" w:cs="Palatino Linotype"/>
          <w:i/>
          <w:sz w:val="22"/>
          <w:szCs w:val="22"/>
        </w:rPr>
      </w:pPr>
      <w:bookmarkStart w:id="3" w:name="_heading=h.30j0zll" w:colFirst="0" w:colLast="0"/>
      <w:bookmarkEnd w:id="3"/>
    </w:p>
    <w:p w14:paraId="54BF38A6" w14:textId="0DAFECB9" w:rsidR="006D5E1C" w:rsidRPr="00C74D31" w:rsidRDefault="005204B5" w:rsidP="00D450E9">
      <w:pPr>
        <w:spacing w:line="276" w:lineRule="auto"/>
        <w:ind w:left="567"/>
        <w:jc w:val="both"/>
        <w:rPr>
          <w:rFonts w:ascii="Palatino Linotype" w:eastAsia="Palatino Linotype" w:hAnsi="Palatino Linotype" w:cs="Palatino Linotype"/>
          <w:i/>
          <w:sz w:val="22"/>
          <w:szCs w:val="22"/>
        </w:rPr>
      </w:pPr>
      <w:r w:rsidRPr="00C74D31">
        <w:rPr>
          <w:rFonts w:ascii="Palatino Linotype" w:eastAsia="Palatino Linotype" w:hAnsi="Palatino Linotype" w:cs="Palatino Linotype"/>
          <w:b/>
          <w:sz w:val="22"/>
          <w:szCs w:val="22"/>
        </w:rPr>
        <w:t>Razones o motivos de inconformidad</w:t>
      </w:r>
      <w:r w:rsidRPr="00C74D31">
        <w:rPr>
          <w:rFonts w:ascii="Palatino Linotype" w:eastAsia="Palatino Linotype" w:hAnsi="Palatino Linotype" w:cs="Palatino Linotype"/>
          <w:sz w:val="22"/>
          <w:szCs w:val="22"/>
        </w:rPr>
        <w:t xml:space="preserve">: </w:t>
      </w:r>
      <w:r w:rsidRPr="00C74D31">
        <w:rPr>
          <w:rFonts w:ascii="Palatino Linotype" w:eastAsia="Palatino Linotype" w:hAnsi="Palatino Linotype" w:cs="Palatino Linotype"/>
          <w:i/>
          <w:sz w:val="22"/>
          <w:szCs w:val="22"/>
        </w:rPr>
        <w:t>“</w:t>
      </w:r>
      <w:r w:rsidR="00F800AD" w:rsidRPr="00C74D31">
        <w:rPr>
          <w:rFonts w:ascii="Palatino Linotype" w:eastAsia="Palatino Linotype" w:hAnsi="Palatino Linotype" w:cs="Palatino Linotype"/>
          <w:i/>
          <w:sz w:val="22"/>
          <w:szCs w:val="22"/>
        </w:rPr>
        <w:t>no presenta el tabulador de sueldos o en su caso el profesiograma donde indique lo que se argumenta en su oficio</w:t>
      </w:r>
      <w:r w:rsidRPr="00C74D31">
        <w:rPr>
          <w:rFonts w:ascii="Palatino Linotype" w:eastAsia="Palatino Linotype" w:hAnsi="Palatino Linotype" w:cs="Palatino Linotype"/>
          <w:i/>
          <w:sz w:val="22"/>
          <w:szCs w:val="22"/>
        </w:rPr>
        <w:t>” (sic)</w:t>
      </w:r>
    </w:p>
    <w:p w14:paraId="23280464"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0E797727" w14:textId="77777777" w:rsidR="006D5E1C" w:rsidRPr="00C74D31" w:rsidRDefault="005204B5" w:rsidP="00D450E9">
      <w:pPr>
        <w:spacing w:line="360" w:lineRule="auto"/>
        <w:ind w:right="51"/>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b/>
          <w:sz w:val="22"/>
          <w:szCs w:val="22"/>
        </w:rPr>
        <w:t xml:space="preserve">4. Turno. </w:t>
      </w:r>
      <w:r w:rsidRPr="00C74D31">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w:t>
      </w:r>
      <w:r w:rsidRPr="00C74D31">
        <w:rPr>
          <w:rFonts w:ascii="Palatino Linotype" w:eastAsia="Palatino Linotype" w:hAnsi="Palatino Linotype" w:cs="Palatino Linotype"/>
          <w:sz w:val="22"/>
          <w:szCs w:val="22"/>
        </w:rPr>
        <w:lastRenderedPageBreak/>
        <w:t xml:space="preserve">revisión se turnó por el sistema electrónico del Instituto de Transparencia, Acceso a la Información Pública y Protección de Datos Personales del Estado de México y Municipios, a la Comisionada </w:t>
      </w:r>
      <w:r w:rsidRPr="00C74D31">
        <w:rPr>
          <w:rFonts w:ascii="Palatino Linotype" w:eastAsia="Palatino Linotype" w:hAnsi="Palatino Linotype" w:cs="Palatino Linotype"/>
          <w:b/>
          <w:sz w:val="22"/>
          <w:szCs w:val="22"/>
        </w:rPr>
        <w:t xml:space="preserve">Guadalupe Ramírez Peña, </w:t>
      </w:r>
      <w:r w:rsidRPr="00C74D31">
        <w:rPr>
          <w:rFonts w:ascii="Palatino Linotype" w:eastAsia="Palatino Linotype" w:hAnsi="Palatino Linotype" w:cs="Palatino Linotype"/>
          <w:sz w:val="22"/>
          <w:szCs w:val="22"/>
        </w:rPr>
        <w:t>a efecto de que analizara sobre su admisión o su desechamiento.</w:t>
      </w:r>
    </w:p>
    <w:p w14:paraId="513D3F60" w14:textId="77777777" w:rsidR="00D450E9" w:rsidRPr="00C74D31" w:rsidRDefault="00D450E9" w:rsidP="00D450E9">
      <w:pPr>
        <w:spacing w:line="360" w:lineRule="auto"/>
        <w:ind w:right="51"/>
        <w:jc w:val="both"/>
        <w:rPr>
          <w:rFonts w:ascii="Palatino Linotype" w:eastAsia="Palatino Linotype" w:hAnsi="Palatino Linotype" w:cs="Palatino Linotype"/>
          <w:sz w:val="22"/>
          <w:szCs w:val="22"/>
        </w:rPr>
      </w:pPr>
    </w:p>
    <w:p w14:paraId="64DCD27B" w14:textId="7D221EB0" w:rsidR="006D5E1C" w:rsidRPr="00C74D31" w:rsidRDefault="005204B5"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b/>
          <w:sz w:val="22"/>
          <w:szCs w:val="22"/>
        </w:rPr>
        <w:t>5. Admisión del Recurso de revisión.</w:t>
      </w:r>
      <w:r w:rsidRPr="00C74D31">
        <w:rPr>
          <w:rFonts w:ascii="Palatino Linotype" w:eastAsia="Palatino Linotype" w:hAnsi="Palatino Linotype" w:cs="Palatino Linotype"/>
          <w:sz w:val="22"/>
          <w:szCs w:val="22"/>
        </w:rPr>
        <w:t xml:space="preserve"> Con fecha</w:t>
      </w:r>
      <w:r w:rsidRPr="00C74D31">
        <w:rPr>
          <w:rFonts w:ascii="Palatino Linotype" w:eastAsia="Palatino Linotype" w:hAnsi="Palatino Linotype" w:cs="Palatino Linotype"/>
          <w:b/>
          <w:sz w:val="22"/>
          <w:szCs w:val="22"/>
        </w:rPr>
        <w:t xml:space="preserve"> </w:t>
      </w:r>
      <w:r w:rsidR="00F800AD" w:rsidRPr="00C74D31">
        <w:rPr>
          <w:rFonts w:ascii="Palatino Linotype" w:eastAsia="Palatino Linotype" w:hAnsi="Palatino Linotype" w:cs="Palatino Linotype"/>
          <w:b/>
          <w:sz w:val="22"/>
          <w:szCs w:val="22"/>
        </w:rPr>
        <w:t>veinte</w:t>
      </w:r>
      <w:r w:rsidR="00727D09" w:rsidRPr="00C74D31">
        <w:rPr>
          <w:rFonts w:ascii="Palatino Linotype" w:eastAsia="Palatino Linotype" w:hAnsi="Palatino Linotype" w:cs="Palatino Linotype"/>
          <w:b/>
          <w:sz w:val="22"/>
          <w:szCs w:val="22"/>
        </w:rPr>
        <w:t xml:space="preserve"> de </w:t>
      </w:r>
      <w:r w:rsidR="00F800AD" w:rsidRPr="00C74D31">
        <w:rPr>
          <w:rFonts w:ascii="Palatino Linotype" w:eastAsia="Palatino Linotype" w:hAnsi="Palatino Linotype" w:cs="Palatino Linotype"/>
          <w:b/>
          <w:sz w:val="22"/>
          <w:szCs w:val="22"/>
        </w:rPr>
        <w:t>enero</w:t>
      </w:r>
      <w:r w:rsidRPr="00C74D31">
        <w:rPr>
          <w:rFonts w:ascii="Palatino Linotype" w:eastAsia="Palatino Linotype" w:hAnsi="Palatino Linotype" w:cs="Palatino Linotype"/>
          <w:b/>
          <w:sz w:val="22"/>
          <w:szCs w:val="22"/>
        </w:rPr>
        <w:t xml:space="preserve"> de dos mil </w:t>
      </w:r>
      <w:r w:rsidR="00B068B4" w:rsidRPr="00C74D31">
        <w:rPr>
          <w:rFonts w:ascii="Palatino Linotype" w:eastAsia="Palatino Linotype" w:hAnsi="Palatino Linotype" w:cs="Palatino Linotype"/>
          <w:b/>
          <w:sz w:val="22"/>
          <w:szCs w:val="22"/>
        </w:rPr>
        <w:t>veinticinco</w:t>
      </w:r>
      <w:r w:rsidRPr="00C74D31">
        <w:rPr>
          <w:rFonts w:ascii="Palatino Linotype" w:eastAsia="Palatino Linotype" w:hAnsi="Palatino Linotype" w:cs="Palatino Linotype"/>
          <w:b/>
          <w:sz w:val="22"/>
          <w:szCs w:val="22"/>
        </w:rPr>
        <w:t xml:space="preserve">, </w:t>
      </w:r>
      <w:r w:rsidRPr="00C74D31">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C74D31">
        <w:rPr>
          <w:rFonts w:ascii="Palatino Linotype" w:eastAsia="Palatino Linotype" w:hAnsi="Palatino Linotype" w:cs="Palatino Linotype"/>
          <w:b/>
          <w:sz w:val="22"/>
          <w:szCs w:val="22"/>
        </w:rPr>
        <w:t xml:space="preserve">Sujeto Obligado </w:t>
      </w:r>
      <w:r w:rsidRPr="00C74D31">
        <w:rPr>
          <w:rFonts w:ascii="Palatino Linotype" w:eastAsia="Palatino Linotype" w:hAnsi="Palatino Linotype" w:cs="Palatino Linotype"/>
          <w:sz w:val="22"/>
          <w:szCs w:val="22"/>
        </w:rPr>
        <w:t>presentara su informe justificado.</w:t>
      </w:r>
    </w:p>
    <w:p w14:paraId="6F4D9200"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7E3BC20A" w14:textId="75DB3CAA" w:rsidR="00F800AD" w:rsidRPr="00C74D31" w:rsidRDefault="005E53E1" w:rsidP="00EA543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bookmarkStart w:id="4" w:name="_heading=h.2s8eyo1" w:colFirst="0" w:colLast="0"/>
      <w:bookmarkEnd w:id="4"/>
      <w:r w:rsidRPr="00C74D31">
        <w:rPr>
          <w:rFonts w:ascii="Palatino Linotype" w:eastAsia="Palatino Linotype" w:hAnsi="Palatino Linotype" w:cs="Palatino Linotype"/>
          <w:b/>
          <w:sz w:val="22"/>
          <w:szCs w:val="22"/>
        </w:rPr>
        <w:t>6. Manifestaciones</w:t>
      </w:r>
      <w:r w:rsidRPr="00C74D31">
        <w:rPr>
          <w:rFonts w:ascii="Palatino Linotype" w:eastAsia="Palatino Linotype" w:hAnsi="Palatino Linotype" w:cs="Palatino Linotype"/>
          <w:sz w:val="22"/>
          <w:szCs w:val="22"/>
        </w:rPr>
        <w:t xml:space="preserve">: </w:t>
      </w:r>
      <w:r w:rsidR="00F800AD" w:rsidRPr="00C74D31">
        <w:rPr>
          <w:rFonts w:ascii="Palatino Linotype" w:eastAsia="Palatino Linotype" w:hAnsi="Palatino Linotype" w:cs="Palatino Linotype"/>
          <w:sz w:val="22"/>
          <w:szCs w:val="22"/>
        </w:rPr>
        <w:t>De las constancias que obran en el expediente electrónico del SAIMEX, se advierte que, tanto el Sujeto Obligado como el Recurrente, fueron omisos en presentar informe justificado, manifestaciones, pruebas o alegatos que a su derecho convinieran.</w:t>
      </w:r>
    </w:p>
    <w:p w14:paraId="0E6AC430" w14:textId="77777777" w:rsidR="00F800AD" w:rsidRPr="00C74D31" w:rsidRDefault="00F800AD" w:rsidP="00EA543C">
      <w:pPr>
        <w:pBdr>
          <w:top w:val="nil"/>
          <w:left w:val="nil"/>
          <w:bottom w:val="nil"/>
          <w:right w:val="nil"/>
          <w:between w:val="nil"/>
        </w:pBdr>
        <w:tabs>
          <w:tab w:val="left" w:pos="284"/>
        </w:tabs>
        <w:spacing w:line="360" w:lineRule="auto"/>
        <w:ind w:right="49"/>
        <w:jc w:val="both"/>
        <w:rPr>
          <w:rFonts w:ascii="Palatino Linotype" w:eastAsia="Palatino Linotype" w:hAnsi="Palatino Linotype" w:cs="Palatino Linotype"/>
          <w:sz w:val="22"/>
          <w:szCs w:val="22"/>
        </w:rPr>
      </w:pPr>
    </w:p>
    <w:p w14:paraId="2ADD3AF3" w14:textId="3B54F0DD" w:rsidR="00D450E9" w:rsidRPr="00C74D31" w:rsidRDefault="00F800AD" w:rsidP="00D450E9">
      <w:pPr>
        <w:spacing w:line="360" w:lineRule="auto"/>
        <w:jc w:val="both"/>
        <w:rPr>
          <w:rFonts w:ascii="Palatino Linotype" w:eastAsia="Palatino Linotype" w:hAnsi="Palatino Linotype" w:cs="Palatino Linotype"/>
          <w:sz w:val="22"/>
          <w:szCs w:val="22"/>
        </w:rPr>
      </w:pPr>
      <w:bookmarkStart w:id="5" w:name="_Hlk164188018"/>
      <w:r w:rsidRPr="00C74D31">
        <w:rPr>
          <w:rFonts w:ascii="Palatino Linotype" w:eastAsia="Palatino Linotype" w:hAnsi="Palatino Linotype" w:cs="Palatino Linotype"/>
          <w:noProof/>
          <w:sz w:val="22"/>
          <w:szCs w:val="22"/>
        </w:rPr>
        <w:drawing>
          <wp:inline distT="0" distB="0" distL="0" distR="0" wp14:anchorId="44A92F78" wp14:editId="5B2562FC">
            <wp:extent cx="5612130" cy="1802130"/>
            <wp:effectExtent l="0" t="0" r="762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802130"/>
                    </a:xfrm>
                    <a:prstGeom prst="rect">
                      <a:avLst/>
                    </a:prstGeom>
                  </pic:spPr>
                </pic:pic>
              </a:graphicData>
            </a:graphic>
          </wp:inline>
        </w:drawing>
      </w:r>
    </w:p>
    <w:bookmarkEnd w:id="5"/>
    <w:p w14:paraId="0D37EA3C" w14:textId="5A60A7F6" w:rsidR="00AD529B" w:rsidRPr="00C74D31" w:rsidRDefault="0077781F"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b/>
          <w:sz w:val="22"/>
          <w:szCs w:val="22"/>
        </w:rPr>
        <w:t xml:space="preserve">8. </w:t>
      </w:r>
      <w:r w:rsidR="00AD529B" w:rsidRPr="00C74D31">
        <w:rPr>
          <w:rFonts w:ascii="Palatino Linotype" w:eastAsia="Palatino Linotype" w:hAnsi="Palatino Linotype" w:cs="Palatino Linotype"/>
          <w:b/>
          <w:sz w:val="22"/>
          <w:szCs w:val="22"/>
        </w:rPr>
        <w:t xml:space="preserve">Cierre de instrucción. </w:t>
      </w:r>
      <w:r w:rsidR="00AD529B" w:rsidRPr="00C74D31">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fecha </w:t>
      </w:r>
      <w:r w:rsidR="00F800AD" w:rsidRPr="00C74D31">
        <w:rPr>
          <w:rFonts w:ascii="Palatino Linotype" w:eastAsia="Palatino Linotype" w:hAnsi="Palatino Linotype" w:cs="Palatino Linotype"/>
          <w:b/>
          <w:sz w:val="22"/>
          <w:szCs w:val="22"/>
        </w:rPr>
        <w:t>treinta</w:t>
      </w:r>
      <w:r w:rsidR="00D450E9" w:rsidRPr="00C74D31">
        <w:rPr>
          <w:rFonts w:ascii="Palatino Linotype" w:eastAsia="Palatino Linotype" w:hAnsi="Palatino Linotype" w:cs="Palatino Linotype"/>
          <w:b/>
          <w:sz w:val="22"/>
          <w:szCs w:val="22"/>
        </w:rPr>
        <w:t xml:space="preserve"> de </w:t>
      </w:r>
      <w:r w:rsidR="00F800AD" w:rsidRPr="00C74D31">
        <w:rPr>
          <w:rFonts w:ascii="Palatino Linotype" w:eastAsia="Palatino Linotype" w:hAnsi="Palatino Linotype" w:cs="Palatino Linotype"/>
          <w:b/>
          <w:sz w:val="22"/>
          <w:szCs w:val="22"/>
        </w:rPr>
        <w:t xml:space="preserve">enero </w:t>
      </w:r>
      <w:r w:rsidR="00AD529B" w:rsidRPr="00C74D31">
        <w:rPr>
          <w:rFonts w:ascii="Palatino Linotype" w:eastAsia="Palatino Linotype" w:hAnsi="Palatino Linotype" w:cs="Palatino Linotype"/>
          <w:b/>
          <w:sz w:val="22"/>
          <w:szCs w:val="22"/>
        </w:rPr>
        <w:t>de dos mil veintic</w:t>
      </w:r>
      <w:r w:rsidR="00F800AD" w:rsidRPr="00C74D31">
        <w:rPr>
          <w:rFonts w:ascii="Palatino Linotype" w:eastAsia="Palatino Linotype" w:hAnsi="Palatino Linotype" w:cs="Palatino Linotype"/>
          <w:b/>
          <w:sz w:val="22"/>
          <w:szCs w:val="22"/>
        </w:rPr>
        <w:t>inco,</w:t>
      </w:r>
      <w:r w:rsidR="00AD529B" w:rsidRPr="00C74D31">
        <w:rPr>
          <w:rFonts w:ascii="Palatino Linotype" w:eastAsia="Palatino Linotype" w:hAnsi="Palatino Linotype" w:cs="Palatino Linotype"/>
          <w:sz w:val="22"/>
          <w:szCs w:val="22"/>
        </w:rPr>
        <w:t xml:space="preserve"> la Comisionada Ponente determinó el cierre de instrucción </w:t>
      </w:r>
      <w:r w:rsidR="00AD529B" w:rsidRPr="00C74D31">
        <w:rPr>
          <w:rFonts w:ascii="Palatino Linotype" w:eastAsia="Palatino Linotype" w:hAnsi="Palatino Linotype" w:cs="Palatino Linotype"/>
          <w:sz w:val="22"/>
          <w:szCs w:val="22"/>
        </w:rPr>
        <w:lastRenderedPageBreak/>
        <w:t>en términos de la fracción VI del artículo 185 de la Ley de Transparencia y Acceso a la Información Pública del Estado de México y Municipios.</w:t>
      </w:r>
    </w:p>
    <w:p w14:paraId="0213CFAA"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3D7161CA" w14:textId="1317721D" w:rsidR="006D5E1C" w:rsidRPr="00C74D31" w:rsidRDefault="005204B5"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4F05F305"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41C147FE" w14:textId="77777777" w:rsidR="006D5E1C" w:rsidRPr="00C74D31" w:rsidRDefault="005204B5" w:rsidP="00D450E9">
      <w:pPr>
        <w:widowControl w:val="0"/>
        <w:spacing w:line="360" w:lineRule="auto"/>
        <w:jc w:val="center"/>
        <w:rPr>
          <w:rFonts w:ascii="Palatino Linotype" w:eastAsia="Palatino Linotype" w:hAnsi="Palatino Linotype" w:cs="Palatino Linotype"/>
          <w:b/>
          <w:sz w:val="22"/>
          <w:szCs w:val="22"/>
        </w:rPr>
      </w:pPr>
      <w:r w:rsidRPr="00C74D31">
        <w:rPr>
          <w:rFonts w:ascii="Palatino Linotype" w:eastAsia="Palatino Linotype" w:hAnsi="Palatino Linotype" w:cs="Palatino Linotype"/>
          <w:b/>
          <w:sz w:val="22"/>
          <w:szCs w:val="22"/>
        </w:rPr>
        <w:t>II. C O N S I D E R A N D O S</w:t>
      </w:r>
    </w:p>
    <w:p w14:paraId="3248E7A0" w14:textId="77777777" w:rsidR="00D450E9" w:rsidRPr="00C74D31" w:rsidRDefault="00D450E9" w:rsidP="00D450E9">
      <w:pPr>
        <w:widowControl w:val="0"/>
        <w:spacing w:line="360" w:lineRule="auto"/>
        <w:jc w:val="center"/>
        <w:rPr>
          <w:rFonts w:ascii="Palatino Linotype" w:eastAsia="Palatino Linotype" w:hAnsi="Palatino Linotype" w:cs="Palatino Linotype"/>
          <w:b/>
          <w:sz w:val="22"/>
          <w:szCs w:val="22"/>
        </w:rPr>
      </w:pPr>
    </w:p>
    <w:p w14:paraId="04926C27" w14:textId="10F1C01D" w:rsidR="00D450E9" w:rsidRPr="00C74D31" w:rsidRDefault="00D450E9"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b/>
          <w:sz w:val="22"/>
          <w:szCs w:val="22"/>
        </w:rPr>
        <w:t xml:space="preserve">Primero. Competencia. </w:t>
      </w:r>
      <w:r w:rsidRPr="00C74D31">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1EAB2AD"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54FF5C26" w14:textId="77777777" w:rsidR="006D5E1C" w:rsidRPr="00C74D31" w:rsidRDefault="005204B5" w:rsidP="00D450E9">
      <w:pPr>
        <w:spacing w:line="360" w:lineRule="auto"/>
        <w:jc w:val="both"/>
        <w:rPr>
          <w:rFonts w:ascii="Palatino Linotype" w:eastAsia="Palatino Linotype" w:hAnsi="Palatino Linotype" w:cs="Palatino Linotype"/>
          <w:sz w:val="22"/>
          <w:szCs w:val="22"/>
        </w:rPr>
      </w:pPr>
      <w:bookmarkStart w:id="6" w:name="_heading=h.tyjcwt" w:colFirst="0" w:colLast="0"/>
      <w:bookmarkEnd w:id="6"/>
      <w:r w:rsidRPr="00C74D31">
        <w:rPr>
          <w:rFonts w:ascii="Palatino Linotype" w:eastAsia="Palatino Linotype" w:hAnsi="Palatino Linotype" w:cs="Palatino Linotype"/>
          <w:b/>
          <w:sz w:val="22"/>
          <w:szCs w:val="22"/>
        </w:rPr>
        <w:t>Segundo. Oportunidad y Procedibilidad del Recurso de Revisión</w:t>
      </w:r>
      <w:r w:rsidRPr="00C74D31">
        <w:rPr>
          <w:rFonts w:ascii="Palatino Linotype" w:eastAsia="Palatino Linotype" w:hAnsi="Palatino Linotype" w:cs="Palatino Linotype"/>
          <w:sz w:val="22"/>
          <w:szCs w:val="22"/>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13D5709D"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37B4E99A" w14:textId="2B59C25E" w:rsidR="00D450E9" w:rsidRPr="00C74D31" w:rsidRDefault="005204B5"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sz w:val="22"/>
          <w:szCs w:val="22"/>
        </w:rPr>
        <w:lastRenderedPageBreak/>
        <w:t xml:space="preserve">El recurso de revisión fue interpuesto dentro del plazo de quince días hábiles, previsto en el artículo 178 de la Ley de Transparencia y Acceso a la Información Pública del Estado de México y Municipios, toda vez que el </w:t>
      </w:r>
      <w:r w:rsidRPr="00C74D31">
        <w:rPr>
          <w:rFonts w:ascii="Palatino Linotype" w:eastAsia="Palatino Linotype" w:hAnsi="Palatino Linotype" w:cs="Palatino Linotype"/>
          <w:b/>
          <w:sz w:val="22"/>
          <w:szCs w:val="22"/>
        </w:rPr>
        <w:t xml:space="preserve">Sujeto Obligado </w:t>
      </w:r>
      <w:r w:rsidRPr="00C74D31">
        <w:rPr>
          <w:rFonts w:ascii="Palatino Linotype" w:eastAsia="Palatino Linotype" w:hAnsi="Palatino Linotype" w:cs="Palatino Linotype"/>
          <w:sz w:val="22"/>
          <w:szCs w:val="22"/>
        </w:rPr>
        <w:t xml:space="preserve">remitió la respuesta a la solicitud de información el </w:t>
      </w:r>
      <w:r w:rsidR="00174981" w:rsidRPr="00C74D31">
        <w:rPr>
          <w:rFonts w:ascii="Palatino Linotype" w:eastAsia="Palatino Linotype" w:hAnsi="Palatino Linotype" w:cs="Palatino Linotype"/>
          <w:b/>
          <w:bCs/>
          <w:sz w:val="22"/>
          <w:szCs w:val="22"/>
        </w:rPr>
        <w:t>catorce</w:t>
      </w:r>
      <w:r w:rsidR="0040671C" w:rsidRPr="00C74D31">
        <w:rPr>
          <w:rFonts w:ascii="Palatino Linotype" w:eastAsia="Palatino Linotype" w:hAnsi="Palatino Linotype" w:cs="Palatino Linotype"/>
          <w:b/>
          <w:bCs/>
          <w:sz w:val="22"/>
          <w:szCs w:val="22"/>
        </w:rPr>
        <w:t xml:space="preserve"> </w:t>
      </w:r>
      <w:r w:rsidR="0040671C" w:rsidRPr="00C74D31">
        <w:rPr>
          <w:rFonts w:ascii="Palatino Linotype" w:eastAsia="Palatino Linotype" w:hAnsi="Palatino Linotype" w:cs="Palatino Linotype"/>
          <w:b/>
          <w:sz w:val="22"/>
          <w:szCs w:val="22"/>
        </w:rPr>
        <w:t xml:space="preserve">de </w:t>
      </w:r>
      <w:r w:rsidR="00174981" w:rsidRPr="00C74D31">
        <w:rPr>
          <w:rFonts w:ascii="Palatino Linotype" w:eastAsia="Palatino Linotype" w:hAnsi="Palatino Linotype" w:cs="Palatino Linotype"/>
          <w:b/>
          <w:sz w:val="22"/>
          <w:szCs w:val="22"/>
        </w:rPr>
        <w:t>enero</w:t>
      </w:r>
      <w:r w:rsidR="0040671C" w:rsidRPr="00C74D31">
        <w:rPr>
          <w:rFonts w:ascii="Palatino Linotype" w:eastAsia="Palatino Linotype" w:hAnsi="Palatino Linotype" w:cs="Palatino Linotype"/>
          <w:b/>
          <w:sz w:val="22"/>
          <w:szCs w:val="22"/>
        </w:rPr>
        <w:t xml:space="preserve"> de dos mil veintic</w:t>
      </w:r>
      <w:r w:rsidR="00174981" w:rsidRPr="00C74D31">
        <w:rPr>
          <w:rFonts w:ascii="Palatino Linotype" w:eastAsia="Palatino Linotype" w:hAnsi="Palatino Linotype" w:cs="Palatino Linotype"/>
          <w:b/>
          <w:sz w:val="22"/>
          <w:szCs w:val="22"/>
        </w:rPr>
        <w:t>inco</w:t>
      </w:r>
      <w:r w:rsidRPr="00C74D31">
        <w:rPr>
          <w:rFonts w:ascii="Palatino Linotype" w:eastAsia="Palatino Linotype" w:hAnsi="Palatino Linotype" w:cs="Palatino Linotype"/>
          <w:b/>
          <w:sz w:val="22"/>
          <w:szCs w:val="22"/>
        </w:rPr>
        <w:t xml:space="preserve">, </w:t>
      </w:r>
      <w:r w:rsidRPr="00C74D31">
        <w:rPr>
          <w:rFonts w:ascii="Palatino Linotype" w:eastAsia="Palatino Linotype" w:hAnsi="Palatino Linotype" w:cs="Palatino Linotype"/>
          <w:sz w:val="22"/>
          <w:szCs w:val="22"/>
        </w:rPr>
        <w:t xml:space="preserve">mientras que el recurso de revisión interpuesto por la parte </w:t>
      </w:r>
      <w:r w:rsidRPr="00C74D31">
        <w:rPr>
          <w:rFonts w:ascii="Palatino Linotype" w:eastAsia="Palatino Linotype" w:hAnsi="Palatino Linotype" w:cs="Palatino Linotype"/>
          <w:b/>
          <w:sz w:val="22"/>
          <w:szCs w:val="22"/>
        </w:rPr>
        <w:t>Recurrente</w:t>
      </w:r>
      <w:r w:rsidRPr="00C74D31">
        <w:rPr>
          <w:rFonts w:ascii="Palatino Linotype" w:eastAsia="Palatino Linotype" w:hAnsi="Palatino Linotype" w:cs="Palatino Linotype"/>
          <w:sz w:val="22"/>
          <w:szCs w:val="22"/>
        </w:rPr>
        <w:t xml:space="preserve">, se tuvo por presentado el día </w:t>
      </w:r>
      <w:r w:rsidR="00174981" w:rsidRPr="00C74D31">
        <w:rPr>
          <w:rFonts w:ascii="Palatino Linotype" w:eastAsia="Palatino Linotype" w:hAnsi="Palatino Linotype" w:cs="Palatino Linotype"/>
          <w:b/>
          <w:sz w:val="22"/>
          <w:szCs w:val="22"/>
        </w:rPr>
        <w:t>quince</w:t>
      </w:r>
      <w:r w:rsidR="0040671C" w:rsidRPr="00C74D31">
        <w:rPr>
          <w:rFonts w:ascii="Palatino Linotype" w:eastAsia="Palatino Linotype" w:hAnsi="Palatino Linotype" w:cs="Palatino Linotype"/>
          <w:b/>
          <w:sz w:val="22"/>
          <w:szCs w:val="22"/>
        </w:rPr>
        <w:t xml:space="preserve"> de </w:t>
      </w:r>
      <w:r w:rsidR="00174981" w:rsidRPr="00C74D31">
        <w:rPr>
          <w:rFonts w:ascii="Palatino Linotype" w:eastAsia="Palatino Linotype" w:hAnsi="Palatino Linotype" w:cs="Palatino Linotype"/>
          <w:b/>
          <w:sz w:val="22"/>
          <w:szCs w:val="22"/>
        </w:rPr>
        <w:t>enero</w:t>
      </w:r>
      <w:r w:rsidR="0040671C" w:rsidRPr="00C74D31">
        <w:rPr>
          <w:rFonts w:ascii="Palatino Linotype" w:eastAsia="Palatino Linotype" w:hAnsi="Palatino Linotype" w:cs="Palatino Linotype"/>
          <w:b/>
          <w:sz w:val="22"/>
          <w:szCs w:val="22"/>
        </w:rPr>
        <w:t xml:space="preserve"> de dos mil veintic</w:t>
      </w:r>
      <w:r w:rsidR="00174981" w:rsidRPr="00C74D31">
        <w:rPr>
          <w:rFonts w:ascii="Palatino Linotype" w:eastAsia="Palatino Linotype" w:hAnsi="Palatino Linotype" w:cs="Palatino Linotype"/>
          <w:b/>
          <w:sz w:val="22"/>
          <w:szCs w:val="22"/>
        </w:rPr>
        <w:t>inco</w:t>
      </w:r>
      <w:r w:rsidRPr="00C74D31">
        <w:rPr>
          <w:rFonts w:ascii="Palatino Linotype" w:eastAsia="Palatino Linotype" w:hAnsi="Palatino Linotype" w:cs="Palatino Linotype"/>
          <w:b/>
          <w:sz w:val="22"/>
          <w:szCs w:val="22"/>
        </w:rPr>
        <w:t xml:space="preserve">, </w:t>
      </w:r>
      <w:bookmarkStart w:id="7" w:name="_heading=h.3znysh7" w:colFirst="0" w:colLast="0"/>
      <w:bookmarkEnd w:id="7"/>
      <w:r w:rsidR="004F56CA" w:rsidRPr="00C74D31">
        <w:rPr>
          <w:rFonts w:ascii="Palatino Linotype" w:eastAsia="Palatino Linotype" w:hAnsi="Palatino Linotype" w:cs="Palatino Linotype"/>
          <w:sz w:val="22"/>
          <w:szCs w:val="22"/>
        </w:rPr>
        <w:t xml:space="preserve">esto es al </w:t>
      </w:r>
      <w:r w:rsidR="00174981" w:rsidRPr="00C74D31">
        <w:rPr>
          <w:rFonts w:ascii="Palatino Linotype" w:eastAsia="Palatino Linotype" w:hAnsi="Palatino Linotype" w:cs="Palatino Linotype"/>
          <w:sz w:val="22"/>
          <w:szCs w:val="22"/>
        </w:rPr>
        <w:t xml:space="preserve">primer </w:t>
      </w:r>
      <w:r w:rsidR="004F56CA" w:rsidRPr="00C74D31">
        <w:rPr>
          <w:rFonts w:ascii="Palatino Linotype" w:eastAsia="Palatino Linotype" w:hAnsi="Palatino Linotype" w:cs="Palatino Linotype"/>
          <w:sz w:val="22"/>
          <w:szCs w:val="22"/>
        </w:rPr>
        <w:t>día hábil siguiente a aquel en que tuvo conocimiento de la respuesta impugnada.</w:t>
      </w:r>
    </w:p>
    <w:p w14:paraId="71BACC13"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15FB5DF4" w14:textId="32729B41" w:rsidR="004F56CA" w:rsidRPr="00C74D31" w:rsidRDefault="004F56CA"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sz w:val="22"/>
          <w:szCs w:val="22"/>
        </w:rPr>
        <w:t xml:space="preserve"> En este sentido, se concluye que el presente recurso de revisión se encuentra dentro de los márgenes temporales previstos en las disposiciones legales referidas.</w:t>
      </w:r>
    </w:p>
    <w:p w14:paraId="2633EF56"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1948629B" w14:textId="67500A7E" w:rsidR="006D5E1C" w:rsidRPr="00C74D31" w:rsidRDefault="005204B5"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sz w:val="22"/>
          <w:szCs w:val="22"/>
        </w:rPr>
        <w:t>Al mismo tiempo, por cuanto hace a la procedibilidad del recurso de revisión, una vez realizado el análisis del formato de interposición del recurso, se concluye la acreditación plena de los elementos formales precisados por el artículo 180 de la Ley de Transparencia y Acceso a la Información Pública del Estado de México y Municipios, en atención a que fue presentado mediante el formato visible en el SAIMEX.</w:t>
      </w:r>
    </w:p>
    <w:p w14:paraId="2D8268B7" w14:textId="77777777" w:rsidR="00174981" w:rsidRPr="00C74D31" w:rsidRDefault="00174981" w:rsidP="00D450E9">
      <w:pPr>
        <w:spacing w:line="360" w:lineRule="auto"/>
        <w:jc w:val="both"/>
        <w:rPr>
          <w:rFonts w:ascii="Palatino Linotype" w:eastAsia="Palatino Linotype" w:hAnsi="Palatino Linotype" w:cs="Palatino Linotype"/>
          <w:sz w:val="22"/>
          <w:szCs w:val="22"/>
        </w:rPr>
      </w:pPr>
    </w:p>
    <w:p w14:paraId="334C7EDC" w14:textId="7E1B7C8D" w:rsidR="006D5E1C" w:rsidRPr="00C74D31" w:rsidRDefault="005204B5"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sz w:val="22"/>
          <w:szCs w:val="22"/>
        </w:rPr>
        <w:t xml:space="preserve">Finalmente, se </w:t>
      </w:r>
      <w:r w:rsidR="00A93491" w:rsidRPr="00C74D31">
        <w:rPr>
          <w:rFonts w:ascii="Palatino Linotype" w:eastAsia="Palatino Linotype" w:hAnsi="Palatino Linotype" w:cs="Palatino Linotype"/>
          <w:sz w:val="22"/>
          <w:szCs w:val="22"/>
        </w:rPr>
        <w:t>analizará si la presentación del recurso de revisión actualiza la causal de procedencia</w:t>
      </w:r>
      <w:r w:rsidRPr="00C74D31">
        <w:rPr>
          <w:rFonts w:ascii="Palatino Linotype" w:eastAsia="Palatino Linotype" w:hAnsi="Palatino Linotype" w:cs="Palatino Linotype"/>
          <w:sz w:val="22"/>
          <w:szCs w:val="22"/>
        </w:rPr>
        <w:t>, de acuerdo al artículo 179, fracci</w:t>
      </w:r>
      <w:r w:rsidR="00FF5730" w:rsidRPr="00C74D31">
        <w:rPr>
          <w:rFonts w:ascii="Palatino Linotype" w:eastAsia="Palatino Linotype" w:hAnsi="Palatino Linotype" w:cs="Palatino Linotype"/>
          <w:sz w:val="22"/>
          <w:szCs w:val="22"/>
        </w:rPr>
        <w:t>ones</w:t>
      </w:r>
      <w:r w:rsidRPr="00C74D31">
        <w:rPr>
          <w:rFonts w:ascii="Palatino Linotype" w:eastAsia="Palatino Linotype" w:hAnsi="Palatino Linotype" w:cs="Palatino Linotype"/>
          <w:sz w:val="22"/>
          <w:szCs w:val="22"/>
        </w:rPr>
        <w:t xml:space="preserve"> </w:t>
      </w:r>
      <w:r w:rsidR="008F6D36" w:rsidRPr="00C74D31">
        <w:rPr>
          <w:rFonts w:ascii="Palatino Linotype" w:eastAsia="Palatino Linotype" w:hAnsi="Palatino Linotype" w:cs="Palatino Linotype"/>
          <w:sz w:val="22"/>
          <w:szCs w:val="22"/>
        </w:rPr>
        <w:t>I</w:t>
      </w:r>
      <w:r w:rsidR="00FF5730" w:rsidRPr="00C74D31">
        <w:rPr>
          <w:rFonts w:ascii="Palatino Linotype" w:eastAsia="Palatino Linotype" w:hAnsi="Palatino Linotype" w:cs="Palatino Linotype"/>
          <w:sz w:val="22"/>
          <w:szCs w:val="22"/>
        </w:rPr>
        <w:t xml:space="preserve"> </w:t>
      </w:r>
      <w:r w:rsidRPr="00C74D31">
        <w:rPr>
          <w:rFonts w:ascii="Palatino Linotype" w:eastAsia="Palatino Linotype" w:hAnsi="Palatino Linotype" w:cs="Palatino Linotype"/>
          <w:sz w:val="22"/>
          <w:szCs w:val="22"/>
        </w:rPr>
        <w:t>del ordenamiento legal citado, que a la letra dice: </w:t>
      </w:r>
    </w:p>
    <w:p w14:paraId="11A58D2C" w14:textId="77777777" w:rsidR="00D450E9" w:rsidRPr="00C74D31" w:rsidRDefault="00D450E9" w:rsidP="00D450E9">
      <w:pPr>
        <w:spacing w:line="360" w:lineRule="auto"/>
        <w:jc w:val="both"/>
        <w:rPr>
          <w:rFonts w:ascii="Palatino Linotype" w:eastAsia="Palatino Linotype" w:hAnsi="Palatino Linotype" w:cs="Palatino Linotype"/>
          <w:sz w:val="22"/>
          <w:szCs w:val="22"/>
        </w:rPr>
      </w:pPr>
    </w:p>
    <w:p w14:paraId="18AB8C3A" w14:textId="34ACC9BF" w:rsidR="006D5E1C" w:rsidRPr="00C74D31" w:rsidRDefault="005204B5" w:rsidP="00D450E9">
      <w:pPr>
        <w:spacing w:line="276" w:lineRule="auto"/>
        <w:ind w:left="567" w:right="616"/>
        <w:jc w:val="both"/>
        <w:rPr>
          <w:rFonts w:ascii="Palatino Linotype" w:eastAsia="Palatino Linotype" w:hAnsi="Palatino Linotype" w:cs="Palatino Linotype"/>
          <w:i/>
          <w:sz w:val="22"/>
          <w:szCs w:val="22"/>
        </w:rPr>
      </w:pPr>
      <w:r w:rsidRPr="00C74D31">
        <w:rPr>
          <w:rFonts w:ascii="Palatino Linotype" w:eastAsia="Palatino Linotype" w:hAnsi="Palatino Linotype" w:cs="Palatino Linotype"/>
          <w:i/>
          <w:sz w:val="22"/>
          <w:szCs w:val="22"/>
        </w:rPr>
        <w:t>“</w:t>
      </w:r>
      <w:r w:rsidRPr="00C74D31">
        <w:rPr>
          <w:rFonts w:ascii="Palatino Linotype" w:eastAsia="Palatino Linotype" w:hAnsi="Palatino Linotype" w:cs="Palatino Linotype"/>
          <w:b/>
          <w:i/>
          <w:sz w:val="22"/>
          <w:szCs w:val="22"/>
        </w:rPr>
        <w:t>Artículo 179.</w:t>
      </w:r>
      <w:r w:rsidRPr="00C74D31">
        <w:rPr>
          <w:rFonts w:ascii="Palatino Linotype" w:eastAsia="Palatino Linotype" w:hAnsi="Palatino Linotype" w:cs="Palatino Linotype"/>
          <w:i/>
          <w:sz w:val="22"/>
          <w:szCs w:val="22"/>
        </w:rPr>
        <w:t xml:space="preserve"> El recurso de revisión es un medio de protección que la Ley otorga a los particulares, para hacer valer su derecho de acceso a la información pública, y procederá en contra de las siguientes causas:</w:t>
      </w:r>
    </w:p>
    <w:p w14:paraId="63C4777B" w14:textId="1BE25B6B" w:rsidR="0040671C" w:rsidRPr="00C74D31" w:rsidRDefault="0040671C" w:rsidP="00D450E9">
      <w:pPr>
        <w:spacing w:line="276" w:lineRule="auto"/>
        <w:ind w:left="567" w:right="616"/>
        <w:jc w:val="both"/>
        <w:rPr>
          <w:rFonts w:ascii="Palatino Linotype" w:eastAsia="Palatino Linotype" w:hAnsi="Palatino Linotype" w:cs="Palatino Linotype"/>
          <w:i/>
          <w:sz w:val="22"/>
          <w:szCs w:val="22"/>
        </w:rPr>
      </w:pPr>
      <w:r w:rsidRPr="00C74D31">
        <w:rPr>
          <w:rFonts w:ascii="Palatino Linotype" w:eastAsia="Palatino Linotype" w:hAnsi="Palatino Linotype" w:cs="Palatino Linotype"/>
          <w:i/>
          <w:sz w:val="22"/>
          <w:szCs w:val="22"/>
        </w:rPr>
        <w:t>…</w:t>
      </w:r>
    </w:p>
    <w:p w14:paraId="06034326" w14:textId="440CD378" w:rsidR="00D450E9" w:rsidRPr="00C74D31" w:rsidRDefault="00D450E9" w:rsidP="00D450E9">
      <w:pPr>
        <w:spacing w:line="276" w:lineRule="auto"/>
        <w:ind w:left="567" w:right="616"/>
        <w:rPr>
          <w:rFonts w:ascii="Palatino Linotype" w:eastAsia="Palatino Linotype" w:hAnsi="Palatino Linotype" w:cs="Palatino Linotype"/>
          <w:i/>
          <w:sz w:val="22"/>
          <w:szCs w:val="22"/>
        </w:rPr>
      </w:pPr>
      <w:r w:rsidRPr="00C74D31">
        <w:rPr>
          <w:rFonts w:ascii="Palatino Linotype" w:eastAsia="Palatino Linotype" w:hAnsi="Palatino Linotype" w:cs="Palatino Linotype"/>
          <w:i/>
          <w:sz w:val="22"/>
          <w:szCs w:val="22"/>
        </w:rPr>
        <w:t xml:space="preserve">I. </w:t>
      </w:r>
      <w:r w:rsidR="00EA543C" w:rsidRPr="00C74D31">
        <w:rPr>
          <w:rFonts w:ascii="Palatino Linotype" w:eastAsia="Palatino Linotype" w:hAnsi="Palatino Linotype" w:cs="Palatino Linotype"/>
          <w:i/>
          <w:sz w:val="22"/>
          <w:szCs w:val="22"/>
        </w:rPr>
        <w:t>La negativa de la información solicitada.</w:t>
      </w:r>
    </w:p>
    <w:p w14:paraId="5AA60B2E" w14:textId="4633CC04" w:rsidR="00D450E9" w:rsidRPr="00C74D31" w:rsidRDefault="00D450E9" w:rsidP="00D450E9">
      <w:pPr>
        <w:spacing w:line="276" w:lineRule="auto"/>
        <w:ind w:left="567" w:right="616"/>
        <w:rPr>
          <w:rFonts w:ascii="Palatino Linotype" w:eastAsia="Palatino Linotype" w:hAnsi="Palatino Linotype" w:cs="Palatino Linotype"/>
          <w:i/>
          <w:sz w:val="22"/>
          <w:szCs w:val="22"/>
        </w:rPr>
      </w:pPr>
      <w:r w:rsidRPr="00C74D31">
        <w:rPr>
          <w:rFonts w:ascii="Palatino Linotype" w:eastAsia="Palatino Linotype" w:hAnsi="Palatino Linotype" w:cs="Palatino Linotype"/>
          <w:i/>
          <w:sz w:val="22"/>
          <w:szCs w:val="22"/>
        </w:rPr>
        <w:t>…</w:t>
      </w:r>
    </w:p>
    <w:p w14:paraId="6C09F752" w14:textId="77777777" w:rsidR="00D450E9" w:rsidRPr="00C74D31" w:rsidRDefault="00D450E9" w:rsidP="00D450E9">
      <w:pPr>
        <w:spacing w:line="360" w:lineRule="auto"/>
        <w:jc w:val="both"/>
        <w:rPr>
          <w:rFonts w:ascii="Palatino Linotype" w:eastAsia="Palatino Linotype" w:hAnsi="Palatino Linotype" w:cs="Palatino Linotype"/>
          <w:i/>
          <w:sz w:val="22"/>
          <w:szCs w:val="22"/>
        </w:rPr>
      </w:pPr>
    </w:p>
    <w:p w14:paraId="12F6462C" w14:textId="77777777" w:rsidR="00A93491" w:rsidRPr="00C74D31" w:rsidRDefault="00A93491" w:rsidP="00C81082">
      <w:pPr>
        <w:spacing w:line="360" w:lineRule="auto"/>
        <w:jc w:val="both"/>
        <w:rPr>
          <w:rFonts w:ascii="Palatino Linotype" w:eastAsia="Palatino Linotype" w:hAnsi="Palatino Linotype" w:cs="Palatino Linotype"/>
          <w:b/>
          <w:sz w:val="22"/>
        </w:rPr>
      </w:pPr>
    </w:p>
    <w:p w14:paraId="1ED8D4A9" w14:textId="77777777"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b/>
        </w:rPr>
        <w:t>Tercero. Análisis de las causales de improcedencia y sobreseimiento del recurso de revisión.</w:t>
      </w:r>
      <w:r w:rsidRPr="00C74D31">
        <w:t xml:space="preserve"> </w:t>
      </w:r>
      <w:r w:rsidRPr="00C74D31">
        <w:rPr>
          <w:rFonts w:ascii="Palatino Linotype" w:eastAsia="Palatino Linotype" w:hAnsi="Palatino Linotype" w:cs="Palatino Linotype"/>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7F6309E5" w14:textId="77777777" w:rsidR="00A93491" w:rsidRPr="00C74D31" w:rsidRDefault="00A93491" w:rsidP="00A93491">
      <w:pPr>
        <w:spacing w:line="360" w:lineRule="auto"/>
        <w:jc w:val="both"/>
      </w:pPr>
    </w:p>
    <w:p w14:paraId="157F805E" w14:textId="5A1B2D08"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 </w:t>
      </w:r>
    </w:p>
    <w:p w14:paraId="4E02BD0B" w14:textId="77777777" w:rsidR="00A93491" w:rsidRPr="00C74D31" w:rsidRDefault="00A93491" w:rsidP="00A93491">
      <w:pPr>
        <w:spacing w:line="360" w:lineRule="auto"/>
        <w:jc w:val="both"/>
        <w:rPr>
          <w:rFonts w:ascii="Palatino Linotype" w:eastAsia="Palatino Linotype" w:hAnsi="Palatino Linotype" w:cs="Palatino Linotype"/>
        </w:rPr>
      </w:pPr>
    </w:p>
    <w:p w14:paraId="576C5875" w14:textId="77777777" w:rsidR="00A93491" w:rsidRPr="00C74D31" w:rsidRDefault="00A93491" w:rsidP="00A93491">
      <w:pPr>
        <w:spacing w:line="360" w:lineRule="auto"/>
        <w:ind w:right="51"/>
        <w:jc w:val="both"/>
        <w:rPr>
          <w:rFonts w:ascii="Palatino Linotype" w:eastAsia="Palatino Linotype" w:hAnsi="Palatino Linotype" w:cs="Palatino Linotype"/>
        </w:rPr>
      </w:pPr>
      <w:r w:rsidRPr="00C74D31">
        <w:rPr>
          <w:rFonts w:ascii="Palatino Linotype" w:eastAsia="Palatino Linotype" w:hAnsi="Palatino Linotype" w:cs="Palatino Linotype"/>
        </w:rPr>
        <w:t>De manera preliminar en el caso concreto conviene analizar si se actualiza alguna de las causales de sobreseimiento del recurso de revisión.</w:t>
      </w:r>
    </w:p>
    <w:p w14:paraId="728A7730" w14:textId="77777777" w:rsidR="00A93491" w:rsidRPr="00C74D31" w:rsidRDefault="00A93491" w:rsidP="00A93491">
      <w:pPr>
        <w:spacing w:line="360" w:lineRule="auto"/>
        <w:ind w:right="51"/>
        <w:jc w:val="both"/>
        <w:rPr>
          <w:rFonts w:ascii="Palatino Linotype" w:eastAsia="Palatino Linotype" w:hAnsi="Palatino Linotype" w:cs="Palatino Linotype"/>
        </w:rPr>
      </w:pPr>
    </w:p>
    <w:p w14:paraId="450B61DA" w14:textId="77777777" w:rsidR="00A93491" w:rsidRPr="00C74D31" w:rsidRDefault="00A93491" w:rsidP="00A93491">
      <w:pPr>
        <w:spacing w:line="360" w:lineRule="auto"/>
        <w:ind w:right="51"/>
        <w:jc w:val="both"/>
        <w:rPr>
          <w:rFonts w:ascii="Palatino Linotype" w:eastAsia="Palatino Linotype" w:hAnsi="Palatino Linotype" w:cs="Palatino Linotype"/>
        </w:rPr>
      </w:pPr>
      <w:r w:rsidRPr="00C74D31">
        <w:rPr>
          <w:rFonts w:ascii="Palatino Linotype" w:eastAsia="Palatino Linotype" w:hAnsi="Palatino Linotype" w:cs="Palatino Linotype"/>
        </w:rPr>
        <w:t xml:space="preserve">Así, del análisis de la solicitud de información motivo del recurso de revisión que ahora se resuelve, se advierte que la parte Solicitante expuso a través de este medio, lo siguiente: </w:t>
      </w:r>
    </w:p>
    <w:p w14:paraId="60B5B3F2" w14:textId="77777777" w:rsidR="00A93491" w:rsidRPr="00C74D31" w:rsidRDefault="00A93491" w:rsidP="00A93491">
      <w:pPr>
        <w:spacing w:line="360" w:lineRule="auto"/>
        <w:ind w:right="49"/>
        <w:jc w:val="both"/>
        <w:rPr>
          <w:rFonts w:ascii="Palatino Linotype" w:eastAsia="Palatino Linotype" w:hAnsi="Palatino Linotype" w:cs="Palatino Linotype"/>
        </w:rPr>
      </w:pPr>
    </w:p>
    <w:p w14:paraId="35C53D41" w14:textId="22897615" w:rsidR="00A93491" w:rsidRPr="00C74D31" w:rsidRDefault="00EC5D1E" w:rsidP="007C0C79">
      <w:pPr>
        <w:spacing w:line="276" w:lineRule="auto"/>
        <w:ind w:left="567" w:right="560"/>
        <w:jc w:val="both"/>
        <w:rPr>
          <w:rFonts w:ascii="Palatino Linotype" w:eastAsia="Palatino Linotype" w:hAnsi="Palatino Linotype" w:cs="Palatino Linotype"/>
          <w:i/>
        </w:rPr>
      </w:pPr>
      <w:r w:rsidRPr="00C74D31">
        <w:rPr>
          <w:rFonts w:ascii="Palatino Linotype" w:eastAsia="Palatino Linotype" w:hAnsi="Palatino Linotype" w:cs="Palatino Linotype"/>
          <w:i/>
        </w:rPr>
        <w:t>“</w:t>
      </w:r>
      <w:r w:rsidR="00174981" w:rsidRPr="00C74D31">
        <w:rPr>
          <w:rFonts w:ascii="Palatino Linotype" w:eastAsia="Palatino Linotype" w:hAnsi="Palatino Linotype" w:cs="Palatino Linotype"/>
          <w:i/>
        </w:rPr>
        <w:t xml:space="preserve">Por qué una trabajadora social puede ser jefa de recursos humanos del hospital general de Nicolás San Juan como los es c. Juana Nereida robles castro </w:t>
      </w:r>
      <w:r w:rsidR="00A93491" w:rsidRPr="00C74D31">
        <w:rPr>
          <w:rFonts w:ascii="Palatino Linotype" w:eastAsia="Palatino Linotype" w:hAnsi="Palatino Linotype" w:cs="Palatino Linotype"/>
          <w:i/>
        </w:rPr>
        <w:t>".</w:t>
      </w:r>
    </w:p>
    <w:p w14:paraId="6ACBC77E" w14:textId="77777777" w:rsidR="00A93491" w:rsidRPr="00C74D31" w:rsidRDefault="00A93491" w:rsidP="00A93491">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0E83D0F5" w14:textId="03C46201" w:rsidR="00174981" w:rsidRPr="00C74D31" w:rsidRDefault="00A93491" w:rsidP="00EC5D1E">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C74D31">
        <w:rPr>
          <w:rFonts w:ascii="Palatino Linotype" w:eastAsia="Palatino Linotype" w:hAnsi="Palatino Linotype" w:cs="Palatino Linotype"/>
        </w:rPr>
        <w:t>Posteriormente, el Sujeto Obligado</w:t>
      </w:r>
      <w:r w:rsidR="007C0C79" w:rsidRPr="00C74D31">
        <w:rPr>
          <w:rFonts w:ascii="Palatino Linotype" w:eastAsia="Palatino Linotype" w:hAnsi="Palatino Linotype" w:cs="Palatino Linotype"/>
        </w:rPr>
        <w:t>,</w:t>
      </w:r>
      <w:r w:rsidRPr="00C74D31">
        <w:rPr>
          <w:rFonts w:ascii="Palatino Linotype" w:eastAsia="Palatino Linotype" w:hAnsi="Palatino Linotype" w:cs="Palatino Linotype"/>
        </w:rPr>
        <w:t xml:space="preserve"> </w:t>
      </w:r>
      <w:r w:rsidR="00EC5D1E" w:rsidRPr="00C74D31">
        <w:rPr>
          <w:rFonts w:ascii="Palatino Linotype" w:eastAsia="Palatino Linotype" w:hAnsi="Palatino Linotype" w:cs="Palatino Linotype"/>
        </w:rPr>
        <w:t>a través del</w:t>
      </w:r>
      <w:r w:rsidR="00174981" w:rsidRPr="00C74D31">
        <w:rPr>
          <w:rFonts w:ascii="Palatino Linotype" w:eastAsia="Palatino Linotype" w:hAnsi="Palatino Linotype" w:cs="Palatino Linotype"/>
        </w:rPr>
        <w:t xml:space="preserve"> Director del Hospital Nicolás San Juan</w:t>
      </w:r>
      <w:r w:rsidR="006E5CD7" w:rsidRPr="00C74D31">
        <w:rPr>
          <w:rFonts w:ascii="Palatino Linotype" w:eastAsia="Palatino Linotype" w:hAnsi="Palatino Linotype" w:cs="Palatino Linotype"/>
        </w:rPr>
        <w:t xml:space="preserve">, </w:t>
      </w:r>
      <w:r w:rsidR="007C0C79" w:rsidRPr="00C74D31">
        <w:rPr>
          <w:rFonts w:ascii="Palatino Linotype" w:eastAsia="Palatino Linotype" w:hAnsi="Palatino Linotype" w:cs="Palatino Linotype"/>
        </w:rPr>
        <w:t xml:space="preserve">señalo </w:t>
      </w:r>
      <w:r w:rsidR="006E5CD7" w:rsidRPr="00C74D31">
        <w:rPr>
          <w:rFonts w:ascii="Palatino Linotype" w:eastAsia="Palatino Linotype" w:hAnsi="Palatino Linotype" w:cs="Palatino Linotype"/>
        </w:rPr>
        <w:t>lo siguiente:</w:t>
      </w:r>
    </w:p>
    <w:p w14:paraId="26E5FD3C" w14:textId="77777777" w:rsidR="00174981" w:rsidRPr="00C74D31" w:rsidRDefault="00174981" w:rsidP="00EC5D1E">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6FB6C2AF" w14:textId="64B6A943" w:rsidR="00174981" w:rsidRPr="00C74D31" w:rsidRDefault="006E5CD7" w:rsidP="007C0C79">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C74D31">
        <w:rPr>
          <w:rFonts w:ascii="Palatino Linotype" w:eastAsia="Palatino Linotype" w:hAnsi="Palatino Linotype" w:cs="Palatino Linotype"/>
          <w:i/>
          <w:sz w:val="22"/>
        </w:rPr>
        <w:t>…</w:t>
      </w:r>
      <w:r w:rsidR="00174981" w:rsidRPr="00C74D31">
        <w:rPr>
          <w:rFonts w:ascii="Palatino Linotype" w:eastAsia="Palatino Linotype" w:hAnsi="Palatino Linotype" w:cs="Palatino Linotype"/>
          <w:i/>
          <w:sz w:val="22"/>
        </w:rPr>
        <w:t>Una trabajadora social puede ser jefa de recursos humanos por varias razones. En primer lugar, su formación en el ámbito social le proporciona habilidades valiosas en la gestión de personas, la comunicación y la resolución de conflictos. Estas competencias son esenciales en recursos humanos, donde es fundamental entender las necesidades y preocupaciones de los empleados.</w:t>
      </w:r>
    </w:p>
    <w:p w14:paraId="4E884B34" w14:textId="77777777" w:rsidR="006E5CD7" w:rsidRPr="00C74D31" w:rsidRDefault="006E5CD7" w:rsidP="007C0C79">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p>
    <w:p w14:paraId="51579C40" w14:textId="77777777" w:rsidR="00174981" w:rsidRPr="00C74D31" w:rsidRDefault="00174981" w:rsidP="007C0C79">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C74D31">
        <w:rPr>
          <w:rFonts w:ascii="Palatino Linotype" w:eastAsia="Palatino Linotype" w:hAnsi="Palatino Linotype" w:cs="Palatino Linotype"/>
          <w:i/>
          <w:sz w:val="22"/>
        </w:rPr>
        <w:t>Además, las trabajadoras sociales suelen tener una gran empatía y capacidad para trabajar en equipo, lo que les permite crear un ambiente laboral positivo y fomentar la colaboración entre los empleados. También están entrenadas para abordar problemas complejos y desarrollar estrategias de intervención, lo que puede ser muy útil en la gestión del talento y el desarrollo organizacional.</w:t>
      </w:r>
    </w:p>
    <w:p w14:paraId="5DB9D7E4" w14:textId="77777777" w:rsidR="006E5CD7" w:rsidRPr="00C74D31" w:rsidRDefault="006E5CD7" w:rsidP="007C0C79">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p>
    <w:p w14:paraId="6030A6C9" w14:textId="3AADD1E9" w:rsidR="00174981" w:rsidRPr="00C74D31" w:rsidRDefault="00174981" w:rsidP="007C0C79">
      <w:pPr>
        <w:pBdr>
          <w:top w:val="nil"/>
          <w:left w:val="nil"/>
          <w:bottom w:val="nil"/>
          <w:right w:val="nil"/>
          <w:between w:val="nil"/>
        </w:pBdr>
        <w:spacing w:line="276" w:lineRule="auto"/>
        <w:ind w:left="567" w:right="616"/>
        <w:jc w:val="both"/>
        <w:rPr>
          <w:rFonts w:ascii="Palatino Linotype" w:eastAsia="Palatino Linotype" w:hAnsi="Palatino Linotype" w:cs="Palatino Linotype"/>
          <w:i/>
          <w:sz w:val="22"/>
        </w:rPr>
      </w:pPr>
      <w:r w:rsidRPr="00C74D31">
        <w:rPr>
          <w:rFonts w:ascii="Palatino Linotype" w:eastAsia="Palatino Linotype" w:hAnsi="Palatino Linotype" w:cs="Palatino Linotype"/>
          <w:i/>
          <w:sz w:val="22"/>
        </w:rPr>
        <w:t>Por último, su experiencia en la promoción del bienestar y la inclusión puede ayudar a las unidades médicas a construir una cultura organizacional más saludable y equitativa.</w:t>
      </w:r>
      <w:r w:rsidR="006E5CD7" w:rsidRPr="00C74D31">
        <w:rPr>
          <w:rFonts w:ascii="Palatino Linotype" w:eastAsia="Palatino Linotype" w:hAnsi="Palatino Linotype" w:cs="Palatino Linotype"/>
          <w:i/>
          <w:sz w:val="22"/>
        </w:rPr>
        <w:t xml:space="preserve"> </w:t>
      </w:r>
      <w:r w:rsidRPr="00C74D31">
        <w:rPr>
          <w:rFonts w:ascii="Palatino Linotype" w:eastAsia="Palatino Linotype" w:hAnsi="Palatino Linotype" w:cs="Palatino Linotype"/>
          <w:i/>
          <w:sz w:val="22"/>
        </w:rPr>
        <w:t>En resumen, la combinación de habilidades</w:t>
      </w:r>
      <w:r w:rsidR="006E5CD7" w:rsidRPr="00C74D31">
        <w:rPr>
          <w:rFonts w:ascii="Palatino Linotype" w:eastAsia="Palatino Linotype" w:hAnsi="Palatino Linotype" w:cs="Palatino Linotype"/>
          <w:i/>
          <w:sz w:val="22"/>
        </w:rPr>
        <w:t xml:space="preserve"> </w:t>
      </w:r>
      <w:r w:rsidRPr="00C74D31">
        <w:rPr>
          <w:rFonts w:ascii="Palatino Linotype" w:eastAsia="Palatino Linotype" w:hAnsi="Palatino Linotype" w:cs="Palatino Linotype"/>
          <w:i/>
          <w:sz w:val="22"/>
        </w:rPr>
        <w:t>interpersonales, experiencia en la resolución de problemas y un enfoque en el bienestar de las personas hace que una trabajadora social sea una excelente candidata para un puesto de liderazgo en recursos humanos.</w:t>
      </w:r>
    </w:p>
    <w:p w14:paraId="52C04637" w14:textId="77777777" w:rsidR="006E5CD7" w:rsidRPr="00C74D31" w:rsidRDefault="006E5CD7" w:rsidP="007C0C79">
      <w:pPr>
        <w:pBdr>
          <w:top w:val="nil"/>
          <w:left w:val="nil"/>
          <w:bottom w:val="nil"/>
          <w:right w:val="nil"/>
          <w:between w:val="nil"/>
        </w:pBdr>
        <w:spacing w:line="276" w:lineRule="auto"/>
        <w:ind w:right="49"/>
        <w:jc w:val="both"/>
        <w:rPr>
          <w:rFonts w:ascii="Palatino Linotype" w:eastAsia="Palatino Linotype" w:hAnsi="Palatino Linotype" w:cs="Palatino Linotype"/>
        </w:rPr>
      </w:pPr>
    </w:p>
    <w:p w14:paraId="6164E219" w14:textId="5D733F2B" w:rsidR="00A93491" w:rsidRPr="00C74D31" w:rsidRDefault="00EC5D1E" w:rsidP="00A93491">
      <w:pPr>
        <w:pBdr>
          <w:top w:val="nil"/>
          <w:left w:val="nil"/>
          <w:bottom w:val="nil"/>
          <w:right w:val="nil"/>
          <w:between w:val="nil"/>
        </w:pBdr>
        <w:spacing w:line="360" w:lineRule="auto"/>
        <w:ind w:right="49"/>
        <w:jc w:val="both"/>
        <w:rPr>
          <w:rFonts w:ascii="Palatino Linotype" w:eastAsia="Palatino Linotype" w:hAnsi="Palatino Linotype" w:cs="Palatino Linotype"/>
        </w:rPr>
      </w:pPr>
      <w:r w:rsidRPr="00C74D31">
        <w:rPr>
          <w:rFonts w:ascii="Palatino Linotype" w:eastAsia="Palatino Linotype" w:hAnsi="Palatino Linotype" w:cs="Palatino Linotype"/>
        </w:rPr>
        <w:lastRenderedPageBreak/>
        <w:t xml:space="preserve"> </w:t>
      </w:r>
      <w:r w:rsidR="00A93491" w:rsidRPr="00C74D31">
        <w:rPr>
          <w:rFonts w:ascii="Palatino Linotype" w:eastAsia="Palatino Linotype" w:hAnsi="Palatino Linotype" w:cs="Palatino Linotype"/>
        </w:rPr>
        <w:t xml:space="preserve">Derivado de ello, la parte Recurrente, se inconformó </w:t>
      </w:r>
      <w:r w:rsidRPr="00C74D31">
        <w:rPr>
          <w:rFonts w:ascii="Palatino Linotype" w:eastAsia="Palatino Linotype" w:hAnsi="Palatino Linotype" w:cs="Palatino Linotype"/>
        </w:rPr>
        <w:t>manifestando</w:t>
      </w:r>
      <w:r w:rsidR="006E5CD7" w:rsidRPr="00C74D31">
        <w:rPr>
          <w:rFonts w:ascii="Palatino Linotype" w:eastAsia="Palatino Linotype" w:hAnsi="Palatino Linotype" w:cs="Palatino Linotype"/>
        </w:rPr>
        <w:t xml:space="preserve"> que no se presenta el tabulador de sueldos o en su caso el profesiograma donde indique lo que se argumenta en su oficio.</w:t>
      </w:r>
    </w:p>
    <w:p w14:paraId="1CB84894" w14:textId="77777777" w:rsidR="00DD4191" w:rsidRPr="00C74D31" w:rsidRDefault="00DD4191" w:rsidP="00A93491">
      <w:pPr>
        <w:pBdr>
          <w:top w:val="nil"/>
          <w:left w:val="nil"/>
          <w:bottom w:val="nil"/>
          <w:right w:val="nil"/>
          <w:between w:val="nil"/>
        </w:pBdr>
        <w:spacing w:line="360" w:lineRule="auto"/>
        <w:ind w:right="49"/>
        <w:jc w:val="both"/>
        <w:rPr>
          <w:rFonts w:ascii="Palatino Linotype" w:eastAsia="Palatino Linotype" w:hAnsi="Palatino Linotype" w:cs="Palatino Linotype"/>
        </w:rPr>
      </w:pPr>
    </w:p>
    <w:p w14:paraId="481B7F10" w14:textId="34D496A6" w:rsidR="00A93491" w:rsidRPr="00C74D31" w:rsidRDefault="00A93491" w:rsidP="00A93491">
      <w:p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C74D31">
        <w:rPr>
          <w:rFonts w:ascii="Palatino Linotype" w:eastAsia="Palatino Linotype" w:hAnsi="Palatino Linotype" w:cs="Palatino Linotype"/>
        </w:rPr>
        <w:t>Dicho esto, es necesario mencion</w:t>
      </w:r>
      <w:r w:rsidR="006E5CD7" w:rsidRPr="00C74D31">
        <w:rPr>
          <w:rFonts w:ascii="Palatino Linotype" w:eastAsia="Palatino Linotype" w:hAnsi="Palatino Linotype" w:cs="Palatino Linotype"/>
        </w:rPr>
        <w:t>ar que de la lectura realizada a la solicitud de información</w:t>
      </w:r>
      <w:r w:rsidRPr="00C74D31">
        <w:rPr>
          <w:rFonts w:ascii="Palatino Linotype" w:eastAsia="Palatino Linotype" w:hAnsi="Palatino Linotype" w:cs="Palatino Linotype"/>
        </w:rPr>
        <w:t xml:space="preserve">, se advirtió que este versó en cuestionamientos que no pueden ser atendidos a través de la vía del Derecho de Acceso a la Información Pública, </w:t>
      </w:r>
      <w:r w:rsidRPr="00C74D31">
        <w:rPr>
          <w:rFonts w:ascii="Palatino Linotype" w:eastAsia="Palatino Linotype" w:hAnsi="Palatino Linotype" w:cs="Palatino Linotype"/>
          <w:b/>
        </w:rPr>
        <w:t>debido a que se tratan de un ejercicio del derecho de petición de la parte Recurrente.</w:t>
      </w:r>
    </w:p>
    <w:p w14:paraId="7ACEA9D7" w14:textId="77777777" w:rsidR="00DD4191" w:rsidRPr="00C74D31" w:rsidRDefault="00DD4191" w:rsidP="00A93491">
      <w:pPr>
        <w:pBdr>
          <w:top w:val="nil"/>
          <w:left w:val="nil"/>
          <w:bottom w:val="nil"/>
          <w:right w:val="nil"/>
          <w:between w:val="nil"/>
        </w:pBdr>
        <w:spacing w:line="360" w:lineRule="auto"/>
        <w:ind w:right="49"/>
        <w:jc w:val="both"/>
        <w:rPr>
          <w:rFonts w:ascii="Palatino Linotype" w:eastAsia="Palatino Linotype" w:hAnsi="Palatino Linotype" w:cs="Palatino Linotype"/>
          <w:b/>
        </w:rPr>
      </w:pPr>
    </w:p>
    <w:p w14:paraId="5C60E97D" w14:textId="77777777" w:rsidR="00A93491" w:rsidRPr="00C74D31" w:rsidRDefault="00A93491" w:rsidP="00A93491">
      <w:pPr>
        <w:spacing w:line="360" w:lineRule="auto"/>
        <w:jc w:val="both"/>
        <w:rPr>
          <w:rFonts w:ascii="Palatino Linotype" w:eastAsia="Palatino Linotype" w:hAnsi="Palatino Linotype" w:cs="Palatino Linotype"/>
          <w:i/>
        </w:rPr>
      </w:pPr>
      <w:r w:rsidRPr="00C74D31">
        <w:rPr>
          <w:rFonts w:ascii="Palatino Linotype" w:eastAsia="Palatino Linotype" w:hAnsi="Palatino Linotype" w:cs="Palatino Linotype"/>
        </w:rPr>
        <w:t xml:space="preserve">A efecto de sustentar lo anterior, es preciso mencionar que David Cienfuegos Salgado, concibe al derecho de petición como </w:t>
      </w:r>
      <w:r w:rsidRPr="00C74D31">
        <w:rPr>
          <w:rFonts w:ascii="Palatino Linotype" w:eastAsia="Palatino Linotype" w:hAnsi="Palatino Linotype" w:cs="Palatino Linotype"/>
          <w:i/>
        </w:rPr>
        <w:t>“</w:t>
      </w:r>
      <w:r w:rsidRPr="00C74D31">
        <w:rPr>
          <w:rFonts w:ascii="Palatino Linotype" w:eastAsia="Palatino Linotype" w:hAnsi="Palatino Linotype" w:cs="Palatino Linotype"/>
          <w:b/>
          <w:i/>
          <w:u w:val="single"/>
        </w:rPr>
        <w:t>el derecho de toda persona a ser escuchado por quienes ejercen el poder público</w:t>
      </w:r>
      <w:r w:rsidRPr="00C74D31">
        <w:rPr>
          <w:rFonts w:ascii="Palatino Linotype" w:eastAsia="Palatino Linotype" w:hAnsi="Palatino Linotype" w:cs="Palatino Linotype"/>
          <w:i/>
        </w:rPr>
        <w:t xml:space="preserve">”  </w:t>
      </w:r>
    </w:p>
    <w:p w14:paraId="0780C47A" w14:textId="77777777" w:rsidR="009302BC" w:rsidRPr="00C74D31" w:rsidRDefault="009302BC" w:rsidP="00A93491">
      <w:pPr>
        <w:spacing w:line="360" w:lineRule="auto"/>
        <w:jc w:val="both"/>
        <w:rPr>
          <w:rFonts w:ascii="Palatino Linotype" w:eastAsia="Palatino Linotype" w:hAnsi="Palatino Linotype" w:cs="Palatino Linotype"/>
          <w:i/>
        </w:rPr>
      </w:pPr>
    </w:p>
    <w:p w14:paraId="0CEA4292" w14:textId="77777777"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t xml:space="preserve">De la misma manera, Miguel Carbonell en su libro </w:t>
      </w:r>
      <w:r w:rsidRPr="00C74D31">
        <w:rPr>
          <w:rFonts w:ascii="Palatino Linotype" w:eastAsia="Palatino Linotype" w:hAnsi="Palatino Linotype" w:cs="Palatino Linotype"/>
          <w:i/>
        </w:rPr>
        <w:t xml:space="preserve">“Los derechos fundamentales” </w:t>
      </w:r>
      <w:r w:rsidRPr="00C74D31">
        <w:rPr>
          <w:rFonts w:ascii="Palatino Linotype" w:eastAsia="Palatino Linotype" w:hAnsi="Palatino Linotype" w:cs="Palatino Linotype"/>
        </w:rPr>
        <w:t xml:space="preserve">refiere que el derecho de petición se ha entendido de dos distintitas maneras, a saber: como un derecho fundamental de participación política ya que permite a los particulares trasladar a las autoridades sus </w:t>
      </w:r>
      <w:r w:rsidRPr="00C74D31">
        <w:rPr>
          <w:rFonts w:ascii="Palatino Linotype" w:eastAsia="Palatino Linotype" w:hAnsi="Palatino Linotype" w:cs="Palatino Linotype"/>
          <w:b/>
        </w:rPr>
        <w:t>inquietudes, quejas</w:t>
      </w:r>
      <w:r w:rsidRPr="00C74D31">
        <w:rPr>
          <w:rFonts w:ascii="Palatino Linotype" w:eastAsia="Palatino Linotype" w:hAnsi="Palatino Linotype" w:cs="Palatino Linotype"/>
        </w:rPr>
        <w:t xml:space="preserve">, sugerencias y requerimientos en cualquier materia o asunto; y como una </w:t>
      </w:r>
      <w:r w:rsidRPr="00C74D31">
        <w:rPr>
          <w:rFonts w:ascii="Palatino Linotype" w:eastAsia="Palatino Linotype" w:hAnsi="Palatino Linotype" w:cs="Palatino Linotype"/>
          <w:b/>
        </w:rPr>
        <w:t>forma específica de la libertad de expresión</w:t>
      </w:r>
      <w:r w:rsidRPr="00C74D31">
        <w:rPr>
          <w:rFonts w:ascii="Palatino Linotype" w:eastAsia="Palatino Linotype" w:hAnsi="Palatino Linotype" w:cs="Palatino Linotype"/>
        </w:rPr>
        <w:t xml:space="preserve">, en tanto que permite expresarse frente a las autoridades. </w:t>
      </w:r>
    </w:p>
    <w:p w14:paraId="12088C92" w14:textId="77777777" w:rsidR="00A93491" w:rsidRPr="00C74D31" w:rsidRDefault="00A93491" w:rsidP="00A93491">
      <w:pPr>
        <w:spacing w:line="360" w:lineRule="auto"/>
        <w:jc w:val="both"/>
        <w:rPr>
          <w:rFonts w:ascii="Palatino Linotype" w:eastAsia="Palatino Linotype" w:hAnsi="Palatino Linotype" w:cs="Palatino Linotype"/>
        </w:rPr>
      </w:pPr>
    </w:p>
    <w:p w14:paraId="6D0572FC" w14:textId="77777777"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0519255C" w14:textId="77777777" w:rsidR="00A93491" w:rsidRPr="00C74D31" w:rsidRDefault="00A93491" w:rsidP="00A93491">
      <w:pPr>
        <w:spacing w:line="360" w:lineRule="auto"/>
        <w:jc w:val="both"/>
        <w:rPr>
          <w:rFonts w:ascii="Palatino Linotype" w:eastAsia="Palatino Linotype" w:hAnsi="Palatino Linotype" w:cs="Palatino Linotype"/>
          <w:vertAlign w:val="superscript"/>
        </w:rPr>
      </w:pPr>
    </w:p>
    <w:p w14:paraId="30BAFEFC" w14:textId="77777777"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t xml:space="preserve">Por otro lado, el autor anteriormente citado, indica que el </w:t>
      </w:r>
      <w:r w:rsidRPr="00C74D31">
        <w:rPr>
          <w:rFonts w:ascii="Palatino Linotype" w:eastAsia="Palatino Linotype" w:hAnsi="Palatino Linotype" w:cs="Palatino Linotype"/>
          <w:b/>
        </w:rPr>
        <w:t>derecho de acceso a la información pública</w:t>
      </w:r>
      <w:r w:rsidRPr="00C74D31">
        <w:rPr>
          <w:rFonts w:ascii="Palatino Linotype" w:eastAsia="Palatino Linotype" w:hAnsi="Palatino Linotype" w:cs="Palatino Linotype"/>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10D4C4BE" w14:textId="77777777" w:rsidR="00A93491" w:rsidRPr="00C74D31" w:rsidRDefault="00A93491" w:rsidP="00A93491">
      <w:pPr>
        <w:spacing w:line="360" w:lineRule="auto"/>
        <w:jc w:val="both"/>
        <w:rPr>
          <w:rFonts w:ascii="Palatino Linotype" w:eastAsia="Palatino Linotype" w:hAnsi="Palatino Linotype" w:cs="Palatino Linotype"/>
        </w:rPr>
      </w:pPr>
    </w:p>
    <w:p w14:paraId="4D8C7388" w14:textId="77777777"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2038FF53" w14:textId="77777777" w:rsidR="00A93491" w:rsidRPr="00C74D31" w:rsidRDefault="00A93491" w:rsidP="00A93491">
      <w:pPr>
        <w:spacing w:line="360" w:lineRule="auto"/>
        <w:jc w:val="both"/>
        <w:rPr>
          <w:rFonts w:ascii="Palatino Linotype" w:eastAsia="Palatino Linotype" w:hAnsi="Palatino Linotype" w:cs="Palatino Linotype"/>
        </w:rPr>
      </w:pPr>
    </w:p>
    <w:p w14:paraId="45A7E19A" w14:textId="77777777" w:rsidR="00A93491" w:rsidRPr="00C74D31" w:rsidRDefault="00A93491" w:rsidP="00A93491">
      <w:pPr>
        <w:spacing w:line="360" w:lineRule="auto"/>
        <w:ind w:right="99"/>
        <w:jc w:val="both"/>
        <w:rPr>
          <w:rFonts w:ascii="Palatino Linotype" w:eastAsia="Palatino Linotype" w:hAnsi="Palatino Linotype" w:cs="Palatino Linotype"/>
        </w:rPr>
      </w:pPr>
      <w:r w:rsidRPr="00C74D31">
        <w:rPr>
          <w:rFonts w:ascii="Palatino Linotype" w:eastAsia="Palatino Linotype" w:hAnsi="Palatino Linotype" w:cs="Palatino Linotype"/>
        </w:rPr>
        <w:t xml:space="preserve">De lo anterior se puede concluir que la distinción entre el </w:t>
      </w:r>
      <w:r w:rsidRPr="00C74D31">
        <w:rPr>
          <w:rFonts w:ascii="Palatino Linotype" w:eastAsia="Palatino Linotype" w:hAnsi="Palatino Linotype" w:cs="Palatino Linotype"/>
          <w:b/>
        </w:rPr>
        <w:t>derecho de petición</w:t>
      </w:r>
      <w:r w:rsidRPr="00C74D31">
        <w:rPr>
          <w:rFonts w:ascii="Palatino Linotype" w:eastAsia="Palatino Linotype" w:hAnsi="Palatino Linotype" w:cs="Palatino Linotype"/>
        </w:rPr>
        <w:t xml:space="preserve"> y el derecho de acceso a la información descansa, principalmente, en que la pretensión del peticionario consiste generalmente en obligar a la autoridad responsable a que actúe 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14:paraId="5486B19A" w14:textId="77777777" w:rsidR="00A93491" w:rsidRPr="00C74D31" w:rsidRDefault="00A93491" w:rsidP="00A93491">
      <w:pPr>
        <w:spacing w:line="360" w:lineRule="auto"/>
        <w:ind w:right="99"/>
        <w:jc w:val="both"/>
        <w:rPr>
          <w:rFonts w:ascii="Palatino Linotype" w:eastAsia="Palatino Linotype" w:hAnsi="Palatino Linotype" w:cs="Palatino Linotype"/>
        </w:rPr>
      </w:pPr>
    </w:p>
    <w:p w14:paraId="4E5846EC" w14:textId="77777777"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lastRenderedPageBreak/>
        <w:t xml:space="preserve">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03/17 emitido por el Instituto Nacional de Transparencia, Acceso a la Información y Protección de Datos Personales, establece lo siguiente: </w:t>
      </w:r>
    </w:p>
    <w:p w14:paraId="2BA5ADBE" w14:textId="77777777" w:rsidR="00A93491" w:rsidRPr="00C74D31" w:rsidRDefault="00A93491" w:rsidP="00A93491">
      <w:pPr>
        <w:spacing w:line="360" w:lineRule="auto"/>
        <w:jc w:val="both"/>
        <w:rPr>
          <w:rFonts w:ascii="Palatino Linotype" w:eastAsia="Palatino Linotype" w:hAnsi="Palatino Linotype" w:cs="Palatino Linotype"/>
        </w:rPr>
      </w:pPr>
    </w:p>
    <w:p w14:paraId="0E071BFB" w14:textId="77777777" w:rsidR="00A93491" w:rsidRPr="00C74D31" w:rsidRDefault="00A93491" w:rsidP="00A93491">
      <w:pPr>
        <w:spacing w:line="276" w:lineRule="auto"/>
        <w:ind w:left="567" w:right="567"/>
        <w:jc w:val="both"/>
        <w:rPr>
          <w:rFonts w:ascii="Palatino Linotype" w:eastAsia="Arial" w:hAnsi="Palatino Linotype" w:cs="Arial"/>
          <w:i/>
        </w:rPr>
      </w:pPr>
      <w:r w:rsidRPr="00C74D31">
        <w:rPr>
          <w:rFonts w:ascii="Palatino Linotype" w:eastAsia="Arial" w:hAnsi="Palatino Linotype" w:cs="Arial"/>
          <w:b/>
          <w:i/>
        </w:rPr>
        <w:t xml:space="preserve">No existe obligación de elaborar </w:t>
      </w:r>
      <w:r w:rsidRPr="00C74D31">
        <w:rPr>
          <w:rFonts w:ascii="Palatino Linotype" w:eastAsia="Arial" w:hAnsi="Palatino Linotype" w:cs="Arial"/>
          <w:b/>
          <w:i/>
          <w:spacing w:val="-3"/>
        </w:rPr>
        <w:t>d</w:t>
      </w:r>
      <w:r w:rsidRPr="00C74D31">
        <w:rPr>
          <w:rFonts w:ascii="Palatino Linotype" w:eastAsia="Arial" w:hAnsi="Palatino Linotype" w:cs="Arial"/>
          <w:b/>
          <w:i/>
        </w:rPr>
        <w:t>ocum</w:t>
      </w:r>
      <w:r w:rsidRPr="00C74D31">
        <w:rPr>
          <w:rFonts w:ascii="Palatino Linotype" w:eastAsia="Arial" w:hAnsi="Palatino Linotype" w:cs="Arial"/>
          <w:b/>
          <w:i/>
          <w:spacing w:val="1"/>
        </w:rPr>
        <w:t>e</w:t>
      </w:r>
      <w:r w:rsidRPr="00C74D31">
        <w:rPr>
          <w:rFonts w:ascii="Palatino Linotype" w:eastAsia="Arial" w:hAnsi="Palatino Linotype" w:cs="Arial"/>
          <w:b/>
          <w:i/>
        </w:rPr>
        <w:t>n</w:t>
      </w:r>
      <w:r w:rsidRPr="00C74D31">
        <w:rPr>
          <w:rFonts w:ascii="Palatino Linotype" w:eastAsia="Arial" w:hAnsi="Palatino Linotype" w:cs="Arial"/>
          <w:b/>
          <w:i/>
          <w:spacing w:val="-1"/>
        </w:rPr>
        <w:t>t</w:t>
      </w:r>
      <w:r w:rsidRPr="00C74D31">
        <w:rPr>
          <w:rFonts w:ascii="Palatino Linotype" w:eastAsia="Arial" w:hAnsi="Palatino Linotype" w:cs="Arial"/>
          <w:b/>
          <w:i/>
        </w:rPr>
        <w:t>os</w:t>
      </w:r>
      <w:r w:rsidRPr="00C74D31">
        <w:rPr>
          <w:rFonts w:ascii="Palatino Linotype" w:eastAsia="Arial" w:hAnsi="Palatino Linotype" w:cs="Arial"/>
          <w:b/>
          <w:i/>
          <w:spacing w:val="14"/>
        </w:rPr>
        <w:t xml:space="preserve"> </w:t>
      </w:r>
      <w:r w:rsidRPr="00C74D31">
        <w:rPr>
          <w:rFonts w:ascii="Palatino Linotype" w:eastAsia="Arial" w:hAnsi="Palatino Linotype" w:cs="Arial"/>
          <w:b/>
          <w:i/>
          <w:spacing w:val="-1"/>
        </w:rPr>
        <w:t xml:space="preserve">ad </w:t>
      </w:r>
      <w:r w:rsidRPr="00C74D31">
        <w:rPr>
          <w:rFonts w:ascii="Palatino Linotype" w:eastAsia="Arial" w:hAnsi="Palatino Linotype" w:cs="Arial"/>
          <w:b/>
          <w:i/>
        </w:rPr>
        <w:t>hoc</w:t>
      </w:r>
      <w:r w:rsidRPr="00C74D31">
        <w:rPr>
          <w:rFonts w:ascii="Palatino Linotype" w:eastAsia="Arial" w:hAnsi="Palatino Linotype" w:cs="Arial"/>
          <w:b/>
          <w:i/>
          <w:spacing w:val="11"/>
        </w:rPr>
        <w:t xml:space="preserve"> </w:t>
      </w:r>
      <w:r w:rsidRPr="00C74D31">
        <w:rPr>
          <w:rFonts w:ascii="Palatino Linotype" w:eastAsia="Arial" w:hAnsi="Palatino Linotype" w:cs="Arial"/>
          <w:b/>
          <w:i/>
        </w:rPr>
        <w:t>para</w:t>
      </w:r>
      <w:r w:rsidRPr="00C74D31">
        <w:rPr>
          <w:rFonts w:ascii="Palatino Linotype" w:eastAsia="Arial" w:hAnsi="Palatino Linotype" w:cs="Arial"/>
          <w:b/>
          <w:i/>
          <w:spacing w:val="10"/>
        </w:rPr>
        <w:t xml:space="preserve"> </w:t>
      </w:r>
      <w:r w:rsidRPr="00C74D31">
        <w:rPr>
          <w:rFonts w:ascii="Palatino Linotype" w:eastAsia="Arial" w:hAnsi="Palatino Linotype" w:cs="Arial"/>
          <w:b/>
          <w:i/>
        </w:rPr>
        <w:t>atender las sol</w:t>
      </w:r>
      <w:r w:rsidRPr="00C74D31">
        <w:rPr>
          <w:rFonts w:ascii="Palatino Linotype" w:eastAsia="Arial" w:hAnsi="Palatino Linotype" w:cs="Arial"/>
          <w:b/>
          <w:i/>
          <w:spacing w:val="-2"/>
        </w:rPr>
        <w:t>i</w:t>
      </w:r>
      <w:r w:rsidRPr="00C74D31">
        <w:rPr>
          <w:rFonts w:ascii="Palatino Linotype" w:eastAsia="Arial" w:hAnsi="Palatino Linotype" w:cs="Arial"/>
          <w:b/>
          <w:i/>
          <w:spacing w:val="1"/>
        </w:rPr>
        <w:t>c</w:t>
      </w:r>
      <w:r w:rsidRPr="00C74D31">
        <w:rPr>
          <w:rFonts w:ascii="Palatino Linotype" w:eastAsia="Arial" w:hAnsi="Palatino Linotype" w:cs="Arial"/>
          <w:b/>
          <w:i/>
        </w:rPr>
        <w:t>itudes</w:t>
      </w:r>
      <w:r w:rsidRPr="00C74D31">
        <w:rPr>
          <w:rFonts w:ascii="Palatino Linotype" w:eastAsia="Arial" w:hAnsi="Palatino Linotype" w:cs="Arial"/>
          <w:b/>
          <w:i/>
          <w:spacing w:val="10"/>
        </w:rPr>
        <w:t xml:space="preserve"> </w:t>
      </w:r>
      <w:r w:rsidRPr="00C74D31">
        <w:rPr>
          <w:rFonts w:ascii="Palatino Linotype" w:eastAsia="Arial" w:hAnsi="Palatino Linotype" w:cs="Arial"/>
          <w:b/>
          <w:i/>
        </w:rPr>
        <w:t>de</w:t>
      </w:r>
      <w:r w:rsidRPr="00C74D31">
        <w:rPr>
          <w:rFonts w:ascii="Palatino Linotype" w:eastAsia="Arial" w:hAnsi="Palatino Linotype" w:cs="Arial"/>
          <w:b/>
          <w:i/>
          <w:spacing w:val="9"/>
        </w:rPr>
        <w:t xml:space="preserve"> </w:t>
      </w:r>
      <w:r w:rsidRPr="00C74D31">
        <w:rPr>
          <w:rFonts w:ascii="Palatino Linotype" w:eastAsia="Arial" w:hAnsi="Palatino Linotype" w:cs="Arial"/>
          <w:b/>
          <w:i/>
          <w:spacing w:val="1"/>
        </w:rPr>
        <w:t>ac</w:t>
      </w:r>
      <w:r w:rsidRPr="00C74D31">
        <w:rPr>
          <w:rFonts w:ascii="Palatino Linotype" w:eastAsia="Arial" w:hAnsi="Palatino Linotype" w:cs="Arial"/>
          <w:b/>
          <w:i/>
          <w:spacing w:val="-1"/>
        </w:rPr>
        <w:t>c</w:t>
      </w:r>
      <w:r w:rsidRPr="00C74D31">
        <w:rPr>
          <w:rFonts w:ascii="Palatino Linotype" w:eastAsia="Arial" w:hAnsi="Palatino Linotype" w:cs="Arial"/>
          <w:b/>
          <w:i/>
          <w:spacing w:val="1"/>
        </w:rPr>
        <w:t>es</w:t>
      </w:r>
      <w:r w:rsidRPr="00C74D31">
        <w:rPr>
          <w:rFonts w:ascii="Palatino Linotype" w:eastAsia="Arial" w:hAnsi="Palatino Linotype" w:cs="Arial"/>
          <w:b/>
          <w:i/>
        </w:rPr>
        <w:t>o</w:t>
      </w:r>
      <w:r w:rsidRPr="00C74D31">
        <w:rPr>
          <w:rFonts w:ascii="Palatino Linotype" w:eastAsia="Arial" w:hAnsi="Palatino Linotype" w:cs="Arial"/>
          <w:b/>
          <w:i/>
          <w:spacing w:val="11"/>
        </w:rPr>
        <w:t xml:space="preserve"> </w:t>
      </w:r>
      <w:r w:rsidRPr="00C74D31">
        <w:rPr>
          <w:rFonts w:ascii="Palatino Linotype" w:eastAsia="Arial" w:hAnsi="Palatino Linotype" w:cs="Arial"/>
          <w:b/>
          <w:i/>
        </w:rPr>
        <w:t>a</w:t>
      </w:r>
      <w:r w:rsidRPr="00C74D31">
        <w:rPr>
          <w:rFonts w:ascii="Palatino Linotype" w:eastAsia="Arial" w:hAnsi="Palatino Linotype" w:cs="Arial"/>
          <w:b/>
          <w:i/>
          <w:spacing w:val="9"/>
        </w:rPr>
        <w:t xml:space="preserve"> </w:t>
      </w:r>
      <w:r w:rsidRPr="00C74D31">
        <w:rPr>
          <w:rFonts w:ascii="Palatino Linotype" w:eastAsia="Arial" w:hAnsi="Palatino Linotype" w:cs="Arial"/>
          <w:b/>
          <w:i/>
        </w:rPr>
        <w:t>la</w:t>
      </w:r>
      <w:r w:rsidRPr="00C74D31">
        <w:rPr>
          <w:rFonts w:ascii="Palatino Linotype" w:eastAsia="Arial" w:hAnsi="Palatino Linotype" w:cs="Arial"/>
          <w:b/>
          <w:i/>
          <w:spacing w:val="10"/>
        </w:rPr>
        <w:t xml:space="preserve"> </w:t>
      </w:r>
      <w:r w:rsidRPr="00C74D31">
        <w:rPr>
          <w:rFonts w:ascii="Palatino Linotype" w:eastAsia="Arial" w:hAnsi="Palatino Linotype" w:cs="Arial"/>
          <w:b/>
          <w:i/>
        </w:rPr>
        <w:t>informa</w:t>
      </w:r>
      <w:r w:rsidRPr="00C74D31">
        <w:rPr>
          <w:rFonts w:ascii="Palatino Linotype" w:eastAsia="Arial" w:hAnsi="Palatino Linotype" w:cs="Arial"/>
          <w:b/>
          <w:i/>
          <w:spacing w:val="1"/>
        </w:rPr>
        <w:t>c</w:t>
      </w:r>
      <w:r w:rsidRPr="00C74D31">
        <w:rPr>
          <w:rFonts w:ascii="Palatino Linotype" w:eastAsia="Arial" w:hAnsi="Palatino Linotype" w:cs="Arial"/>
          <w:b/>
          <w:i/>
        </w:rPr>
        <w:t>ió</w:t>
      </w:r>
      <w:r w:rsidRPr="00C74D31">
        <w:rPr>
          <w:rFonts w:ascii="Palatino Linotype" w:eastAsia="Arial" w:hAnsi="Palatino Linotype" w:cs="Arial"/>
          <w:b/>
          <w:i/>
          <w:spacing w:val="-2"/>
        </w:rPr>
        <w:t>n</w:t>
      </w:r>
      <w:r w:rsidRPr="00C74D31">
        <w:rPr>
          <w:rFonts w:ascii="Palatino Linotype" w:eastAsia="Arial" w:hAnsi="Palatino Linotype" w:cs="Arial"/>
          <w:b/>
          <w:i/>
        </w:rPr>
        <w:t>.</w:t>
      </w:r>
      <w:r w:rsidRPr="00C74D31">
        <w:rPr>
          <w:rFonts w:ascii="Palatino Linotype" w:eastAsia="Arial" w:hAnsi="Palatino Linotype" w:cs="Arial"/>
          <w:b/>
          <w:i/>
          <w:spacing w:val="18"/>
        </w:rPr>
        <w:t xml:space="preserve"> </w:t>
      </w:r>
      <w:r w:rsidRPr="00C74D31">
        <w:rPr>
          <w:rFonts w:ascii="Palatino Linotype" w:eastAsia="Arial" w:hAnsi="Palatino Linotype" w:cs="Arial"/>
          <w:i/>
          <w:spacing w:val="18"/>
        </w:rPr>
        <w:t>L</w:t>
      </w:r>
      <w:r w:rsidRPr="00C74D31">
        <w:rPr>
          <w:rFonts w:ascii="Palatino Linotype" w:eastAsia="Arial" w:hAnsi="Palatino Linotype" w:cs="Arial"/>
          <w:i/>
          <w:spacing w:val="-1"/>
        </w:rPr>
        <w:t xml:space="preserve">os </w:t>
      </w:r>
      <w:r w:rsidRPr="00C74D31">
        <w:rPr>
          <w:rFonts w:ascii="Palatino Linotype" w:eastAsia="Arial" w:hAnsi="Palatino Linotype" w:cs="Arial"/>
          <w:i/>
          <w:spacing w:val="1"/>
        </w:rPr>
        <w:t>a</w:t>
      </w:r>
      <w:r w:rsidRPr="00C74D31">
        <w:rPr>
          <w:rFonts w:ascii="Palatino Linotype" w:eastAsia="Arial" w:hAnsi="Palatino Linotype" w:cs="Arial"/>
          <w:i/>
        </w:rPr>
        <w:t>rt</w:t>
      </w:r>
      <w:r w:rsidRPr="00C74D31">
        <w:rPr>
          <w:rFonts w:ascii="Palatino Linotype" w:eastAsia="Arial" w:hAnsi="Palatino Linotype" w:cs="Arial"/>
          <w:i/>
          <w:spacing w:val="-2"/>
        </w:rPr>
        <w:t>í</w:t>
      </w:r>
      <w:r w:rsidRPr="00C74D31">
        <w:rPr>
          <w:rFonts w:ascii="Palatino Linotype" w:eastAsia="Arial" w:hAnsi="Palatino Linotype" w:cs="Arial"/>
          <w:i/>
        </w:rPr>
        <w:t>c</w:t>
      </w:r>
      <w:r w:rsidRPr="00C74D31">
        <w:rPr>
          <w:rFonts w:ascii="Palatino Linotype" w:eastAsia="Arial" w:hAnsi="Palatino Linotype" w:cs="Arial"/>
          <w:i/>
          <w:spacing w:val="1"/>
        </w:rPr>
        <w:t>u</w:t>
      </w:r>
      <w:r w:rsidRPr="00C74D31">
        <w:rPr>
          <w:rFonts w:ascii="Palatino Linotype" w:eastAsia="Arial" w:hAnsi="Palatino Linotype" w:cs="Arial"/>
          <w:i/>
        </w:rPr>
        <w:t>los</w:t>
      </w:r>
      <w:r w:rsidRPr="00C74D31">
        <w:rPr>
          <w:rFonts w:ascii="Palatino Linotype" w:eastAsia="Arial" w:hAnsi="Palatino Linotype" w:cs="Arial"/>
          <w:i/>
          <w:spacing w:val="8"/>
        </w:rPr>
        <w:t xml:space="preserve"> 129 </w:t>
      </w:r>
      <w:r w:rsidRPr="00C74D31">
        <w:rPr>
          <w:rFonts w:ascii="Palatino Linotype" w:eastAsia="Arial" w:hAnsi="Palatino Linotype" w:cs="Arial"/>
          <w:i/>
          <w:spacing w:val="1"/>
        </w:rPr>
        <w:t>d</w:t>
      </w:r>
      <w:r w:rsidRPr="00C74D31">
        <w:rPr>
          <w:rFonts w:ascii="Palatino Linotype" w:eastAsia="Arial" w:hAnsi="Palatino Linotype" w:cs="Arial"/>
          <w:i/>
        </w:rPr>
        <w:t>e</w:t>
      </w:r>
      <w:r w:rsidRPr="00C74D31">
        <w:rPr>
          <w:rFonts w:ascii="Palatino Linotype" w:eastAsia="Arial" w:hAnsi="Palatino Linotype" w:cs="Arial"/>
          <w:i/>
          <w:spacing w:val="9"/>
        </w:rPr>
        <w:t xml:space="preserve"> </w:t>
      </w:r>
      <w:r w:rsidRPr="00C74D31">
        <w:rPr>
          <w:rFonts w:ascii="Palatino Linotype" w:eastAsia="Arial" w:hAnsi="Palatino Linotype" w:cs="Arial"/>
          <w:i/>
        </w:rPr>
        <w:t>la</w:t>
      </w:r>
      <w:r w:rsidRPr="00C74D31">
        <w:rPr>
          <w:rFonts w:ascii="Palatino Linotype" w:eastAsia="Arial" w:hAnsi="Palatino Linotype" w:cs="Arial"/>
          <w:i/>
          <w:spacing w:val="10"/>
        </w:rPr>
        <w:t xml:space="preserve"> </w:t>
      </w:r>
      <w:r w:rsidRPr="00C74D31">
        <w:rPr>
          <w:rFonts w:ascii="Palatino Linotype" w:eastAsia="Arial" w:hAnsi="Palatino Linotype" w:cs="Arial"/>
          <w:i/>
          <w:spacing w:val="-1"/>
        </w:rPr>
        <w:t>L</w:t>
      </w:r>
      <w:r w:rsidRPr="00C74D31">
        <w:rPr>
          <w:rFonts w:ascii="Palatino Linotype" w:eastAsia="Arial" w:hAnsi="Palatino Linotype" w:cs="Arial"/>
          <w:i/>
          <w:spacing w:val="1"/>
        </w:rPr>
        <w:t>e</w:t>
      </w:r>
      <w:r w:rsidRPr="00C74D31">
        <w:rPr>
          <w:rFonts w:ascii="Palatino Linotype" w:eastAsia="Arial" w:hAnsi="Palatino Linotype" w:cs="Arial"/>
          <w:i/>
        </w:rPr>
        <w:t>y</w:t>
      </w:r>
      <w:r w:rsidRPr="00C74D31">
        <w:rPr>
          <w:rFonts w:ascii="Palatino Linotype" w:eastAsia="Arial" w:hAnsi="Palatino Linotype" w:cs="Arial"/>
          <w:i/>
          <w:spacing w:val="8"/>
        </w:rPr>
        <w:t xml:space="preserve"> </w:t>
      </w:r>
      <w:r w:rsidRPr="00C74D31">
        <w:rPr>
          <w:rFonts w:ascii="Palatino Linotype" w:eastAsia="Arial" w:hAnsi="Palatino Linotype" w:cs="Arial"/>
          <w:i/>
        </w:rPr>
        <w:t>General</w:t>
      </w:r>
      <w:r w:rsidRPr="00C74D31">
        <w:rPr>
          <w:rFonts w:ascii="Palatino Linotype" w:eastAsia="Arial" w:hAnsi="Palatino Linotype" w:cs="Arial"/>
          <w:i/>
          <w:spacing w:val="10"/>
        </w:rPr>
        <w:t xml:space="preserve"> </w:t>
      </w:r>
      <w:r w:rsidRPr="00C74D31">
        <w:rPr>
          <w:rFonts w:ascii="Palatino Linotype" w:eastAsia="Arial" w:hAnsi="Palatino Linotype" w:cs="Arial"/>
          <w:i/>
          <w:spacing w:val="-1"/>
        </w:rPr>
        <w:t>d</w:t>
      </w:r>
      <w:r w:rsidRPr="00C74D31">
        <w:rPr>
          <w:rFonts w:ascii="Palatino Linotype" w:eastAsia="Arial" w:hAnsi="Palatino Linotype" w:cs="Arial"/>
          <w:i/>
        </w:rPr>
        <w:t>e</w:t>
      </w:r>
      <w:r w:rsidRPr="00C74D31">
        <w:rPr>
          <w:rFonts w:ascii="Palatino Linotype" w:eastAsia="Arial" w:hAnsi="Palatino Linotype" w:cs="Arial"/>
          <w:i/>
          <w:spacing w:val="9"/>
        </w:rPr>
        <w:t xml:space="preserve"> </w:t>
      </w:r>
      <w:r w:rsidRPr="00C74D31">
        <w:rPr>
          <w:rFonts w:ascii="Palatino Linotype" w:eastAsia="Arial" w:hAnsi="Palatino Linotype" w:cs="Arial"/>
          <w:i/>
          <w:spacing w:val="2"/>
        </w:rPr>
        <w:t>T</w:t>
      </w:r>
      <w:r w:rsidRPr="00C74D31">
        <w:rPr>
          <w:rFonts w:ascii="Palatino Linotype" w:eastAsia="Arial" w:hAnsi="Palatino Linotype" w:cs="Arial"/>
          <w:i/>
        </w:rPr>
        <w:t>r</w:t>
      </w:r>
      <w:r w:rsidRPr="00C74D31">
        <w:rPr>
          <w:rFonts w:ascii="Palatino Linotype" w:eastAsia="Arial" w:hAnsi="Palatino Linotype" w:cs="Arial"/>
          <w:i/>
          <w:spacing w:val="-2"/>
        </w:rPr>
        <w:t>a</w:t>
      </w:r>
      <w:r w:rsidRPr="00C74D31">
        <w:rPr>
          <w:rFonts w:ascii="Palatino Linotype" w:eastAsia="Arial" w:hAnsi="Palatino Linotype" w:cs="Arial"/>
          <w:i/>
          <w:spacing w:val="1"/>
        </w:rPr>
        <w:t>n</w:t>
      </w:r>
      <w:r w:rsidRPr="00C74D31">
        <w:rPr>
          <w:rFonts w:ascii="Palatino Linotype" w:eastAsia="Arial" w:hAnsi="Palatino Linotype" w:cs="Arial"/>
          <w:i/>
        </w:rPr>
        <w:t>s</w:t>
      </w:r>
      <w:r w:rsidRPr="00C74D31">
        <w:rPr>
          <w:rFonts w:ascii="Palatino Linotype" w:eastAsia="Arial" w:hAnsi="Palatino Linotype" w:cs="Arial"/>
          <w:i/>
          <w:spacing w:val="1"/>
        </w:rPr>
        <w:t>pa</w:t>
      </w:r>
      <w:r w:rsidRPr="00C74D31">
        <w:rPr>
          <w:rFonts w:ascii="Palatino Linotype" w:eastAsia="Arial" w:hAnsi="Palatino Linotype" w:cs="Arial"/>
          <w:i/>
        </w:rPr>
        <w:t>r</w:t>
      </w:r>
      <w:r w:rsidRPr="00C74D31">
        <w:rPr>
          <w:rFonts w:ascii="Palatino Linotype" w:eastAsia="Arial" w:hAnsi="Palatino Linotype" w:cs="Arial"/>
          <w:i/>
          <w:spacing w:val="-2"/>
        </w:rPr>
        <w:t>e</w:t>
      </w:r>
      <w:r w:rsidRPr="00C74D31">
        <w:rPr>
          <w:rFonts w:ascii="Palatino Linotype" w:eastAsia="Arial" w:hAnsi="Palatino Linotype" w:cs="Arial"/>
          <w:i/>
          <w:spacing w:val="1"/>
        </w:rPr>
        <w:t>n</w:t>
      </w:r>
      <w:r w:rsidRPr="00C74D31">
        <w:rPr>
          <w:rFonts w:ascii="Palatino Linotype" w:eastAsia="Arial" w:hAnsi="Palatino Linotype" w:cs="Arial"/>
          <w:i/>
        </w:rPr>
        <w:t>cia y Acc</w:t>
      </w:r>
      <w:r w:rsidRPr="00C74D31">
        <w:rPr>
          <w:rFonts w:ascii="Palatino Linotype" w:eastAsia="Arial" w:hAnsi="Palatino Linotype" w:cs="Arial"/>
          <w:i/>
          <w:spacing w:val="1"/>
        </w:rPr>
        <w:t>e</w:t>
      </w:r>
      <w:r w:rsidRPr="00C74D31">
        <w:rPr>
          <w:rFonts w:ascii="Palatino Linotype" w:eastAsia="Arial" w:hAnsi="Palatino Linotype" w:cs="Arial"/>
          <w:i/>
        </w:rPr>
        <w:t>so</w:t>
      </w:r>
      <w:r w:rsidRPr="00C74D31">
        <w:rPr>
          <w:rFonts w:ascii="Palatino Linotype" w:eastAsia="Arial" w:hAnsi="Palatino Linotype" w:cs="Arial"/>
          <w:i/>
          <w:spacing w:val="3"/>
        </w:rPr>
        <w:t xml:space="preserve"> </w:t>
      </w:r>
      <w:r w:rsidRPr="00C74D31">
        <w:rPr>
          <w:rFonts w:ascii="Palatino Linotype" w:eastAsia="Arial" w:hAnsi="Palatino Linotype" w:cs="Arial"/>
          <w:i/>
        </w:rPr>
        <w:t>a</w:t>
      </w:r>
      <w:r w:rsidRPr="00C74D31">
        <w:rPr>
          <w:rFonts w:ascii="Palatino Linotype" w:eastAsia="Arial" w:hAnsi="Palatino Linotype" w:cs="Arial"/>
          <w:i/>
          <w:spacing w:val="1"/>
        </w:rPr>
        <w:t xml:space="preserve"> </w:t>
      </w:r>
      <w:r w:rsidRPr="00C74D31">
        <w:rPr>
          <w:rFonts w:ascii="Palatino Linotype" w:eastAsia="Arial" w:hAnsi="Palatino Linotype" w:cs="Arial"/>
          <w:i/>
        </w:rPr>
        <w:t>la I</w:t>
      </w:r>
      <w:r w:rsidRPr="00C74D31">
        <w:rPr>
          <w:rFonts w:ascii="Palatino Linotype" w:eastAsia="Arial" w:hAnsi="Palatino Linotype" w:cs="Arial"/>
          <w:i/>
          <w:spacing w:val="-1"/>
        </w:rPr>
        <w:t>n</w:t>
      </w:r>
      <w:r w:rsidRPr="00C74D31">
        <w:rPr>
          <w:rFonts w:ascii="Palatino Linotype" w:eastAsia="Arial" w:hAnsi="Palatino Linotype" w:cs="Arial"/>
          <w:i/>
        </w:rPr>
        <w:t>f</w:t>
      </w:r>
      <w:r w:rsidRPr="00C74D31">
        <w:rPr>
          <w:rFonts w:ascii="Palatino Linotype" w:eastAsia="Arial" w:hAnsi="Palatino Linotype" w:cs="Arial"/>
          <w:i/>
          <w:spacing w:val="1"/>
        </w:rPr>
        <w:t>o</w:t>
      </w:r>
      <w:r w:rsidRPr="00C74D31">
        <w:rPr>
          <w:rFonts w:ascii="Palatino Linotype" w:eastAsia="Arial" w:hAnsi="Palatino Linotype" w:cs="Arial"/>
          <w:i/>
          <w:spacing w:val="-3"/>
        </w:rPr>
        <w:t>r</w:t>
      </w:r>
      <w:r w:rsidRPr="00C74D31">
        <w:rPr>
          <w:rFonts w:ascii="Palatino Linotype" w:eastAsia="Arial" w:hAnsi="Palatino Linotype" w:cs="Arial"/>
          <w:i/>
          <w:spacing w:val="1"/>
        </w:rPr>
        <w:t>ma</w:t>
      </w:r>
      <w:r w:rsidRPr="00C74D31">
        <w:rPr>
          <w:rFonts w:ascii="Palatino Linotype" w:eastAsia="Arial" w:hAnsi="Palatino Linotype" w:cs="Arial"/>
          <w:i/>
        </w:rPr>
        <w:t>ci</w:t>
      </w:r>
      <w:r w:rsidRPr="00C74D31">
        <w:rPr>
          <w:rFonts w:ascii="Palatino Linotype" w:eastAsia="Arial" w:hAnsi="Palatino Linotype" w:cs="Arial"/>
          <w:i/>
          <w:spacing w:val="-2"/>
        </w:rPr>
        <w:t>ó</w:t>
      </w:r>
      <w:r w:rsidRPr="00C74D31">
        <w:rPr>
          <w:rFonts w:ascii="Palatino Linotype" w:eastAsia="Arial" w:hAnsi="Palatino Linotype" w:cs="Arial"/>
          <w:i/>
        </w:rPr>
        <w:t>n</w:t>
      </w:r>
      <w:r w:rsidRPr="00C74D31">
        <w:rPr>
          <w:rFonts w:ascii="Palatino Linotype" w:eastAsia="Arial" w:hAnsi="Palatino Linotype" w:cs="Arial"/>
          <w:i/>
          <w:spacing w:val="6"/>
        </w:rPr>
        <w:t xml:space="preserve"> </w:t>
      </w:r>
      <w:r w:rsidRPr="00C74D31">
        <w:rPr>
          <w:rFonts w:ascii="Palatino Linotype" w:eastAsia="Arial" w:hAnsi="Palatino Linotype" w:cs="Arial"/>
          <w:i/>
          <w:spacing w:val="-2"/>
        </w:rPr>
        <w:t>P</w:t>
      </w:r>
      <w:r w:rsidRPr="00C74D31">
        <w:rPr>
          <w:rFonts w:ascii="Palatino Linotype" w:eastAsia="Arial" w:hAnsi="Palatino Linotype" w:cs="Arial"/>
          <w:i/>
          <w:spacing w:val="1"/>
        </w:rPr>
        <w:t>úb</w:t>
      </w:r>
      <w:r w:rsidRPr="00C74D31">
        <w:rPr>
          <w:rFonts w:ascii="Palatino Linotype" w:eastAsia="Arial" w:hAnsi="Palatino Linotype" w:cs="Arial"/>
          <w:i/>
        </w:rPr>
        <w:t>l</w:t>
      </w:r>
      <w:r w:rsidRPr="00C74D31">
        <w:rPr>
          <w:rFonts w:ascii="Palatino Linotype" w:eastAsia="Arial" w:hAnsi="Palatino Linotype" w:cs="Arial"/>
          <w:i/>
          <w:spacing w:val="-1"/>
        </w:rPr>
        <w:t>i</w:t>
      </w:r>
      <w:r w:rsidRPr="00C74D31">
        <w:rPr>
          <w:rFonts w:ascii="Palatino Linotype" w:eastAsia="Arial" w:hAnsi="Palatino Linotype" w:cs="Arial"/>
          <w:i/>
        </w:rPr>
        <w:t xml:space="preserve">ca y </w:t>
      </w:r>
      <w:r w:rsidRPr="00C74D31">
        <w:rPr>
          <w:rFonts w:ascii="Palatino Linotype" w:eastAsia="Arial" w:hAnsi="Palatino Linotype" w:cs="Arial"/>
          <w:i/>
          <w:spacing w:val="8"/>
        </w:rPr>
        <w:t xml:space="preserve">130, párrafo cuarto, </w:t>
      </w:r>
      <w:r w:rsidRPr="00C74D31">
        <w:rPr>
          <w:rFonts w:ascii="Palatino Linotype" w:eastAsia="Arial" w:hAnsi="Palatino Linotype" w:cs="Arial"/>
          <w:i/>
          <w:spacing w:val="1"/>
        </w:rPr>
        <w:t>d</w:t>
      </w:r>
      <w:r w:rsidRPr="00C74D31">
        <w:rPr>
          <w:rFonts w:ascii="Palatino Linotype" w:eastAsia="Arial" w:hAnsi="Palatino Linotype" w:cs="Arial"/>
          <w:i/>
        </w:rPr>
        <w:t>e</w:t>
      </w:r>
      <w:r w:rsidRPr="00C74D31">
        <w:rPr>
          <w:rFonts w:ascii="Palatino Linotype" w:eastAsia="Arial" w:hAnsi="Palatino Linotype" w:cs="Arial"/>
          <w:i/>
          <w:spacing w:val="9"/>
        </w:rPr>
        <w:t xml:space="preserve"> </w:t>
      </w:r>
      <w:r w:rsidRPr="00C74D31">
        <w:rPr>
          <w:rFonts w:ascii="Palatino Linotype" w:eastAsia="Arial" w:hAnsi="Palatino Linotype" w:cs="Arial"/>
          <w:i/>
        </w:rPr>
        <w:t>la</w:t>
      </w:r>
      <w:r w:rsidRPr="00C74D31">
        <w:rPr>
          <w:rFonts w:ascii="Palatino Linotype" w:eastAsia="Arial" w:hAnsi="Palatino Linotype" w:cs="Arial"/>
          <w:i/>
          <w:spacing w:val="10"/>
        </w:rPr>
        <w:t xml:space="preserve"> </w:t>
      </w:r>
      <w:r w:rsidRPr="00C74D31">
        <w:rPr>
          <w:rFonts w:ascii="Palatino Linotype" w:eastAsia="Arial" w:hAnsi="Palatino Linotype" w:cs="Arial"/>
          <w:i/>
          <w:spacing w:val="-1"/>
        </w:rPr>
        <w:t>L</w:t>
      </w:r>
      <w:r w:rsidRPr="00C74D31">
        <w:rPr>
          <w:rFonts w:ascii="Palatino Linotype" w:eastAsia="Arial" w:hAnsi="Palatino Linotype" w:cs="Arial"/>
          <w:i/>
          <w:spacing w:val="1"/>
        </w:rPr>
        <w:t>e</w:t>
      </w:r>
      <w:r w:rsidRPr="00C74D31">
        <w:rPr>
          <w:rFonts w:ascii="Palatino Linotype" w:eastAsia="Arial" w:hAnsi="Palatino Linotype" w:cs="Arial"/>
          <w:i/>
        </w:rPr>
        <w:t>y</w:t>
      </w:r>
      <w:r w:rsidRPr="00C74D31">
        <w:rPr>
          <w:rFonts w:ascii="Palatino Linotype" w:eastAsia="Arial" w:hAnsi="Palatino Linotype" w:cs="Arial"/>
          <w:i/>
          <w:spacing w:val="8"/>
        </w:rPr>
        <w:t xml:space="preserve"> </w:t>
      </w:r>
      <w:r w:rsidRPr="00C74D31">
        <w:rPr>
          <w:rFonts w:ascii="Palatino Linotype" w:eastAsia="Arial" w:hAnsi="Palatino Linotype" w:cs="Arial"/>
          <w:i/>
        </w:rPr>
        <w:t>Fe</w:t>
      </w:r>
      <w:r w:rsidRPr="00C74D31">
        <w:rPr>
          <w:rFonts w:ascii="Palatino Linotype" w:eastAsia="Arial" w:hAnsi="Palatino Linotype" w:cs="Arial"/>
          <w:i/>
          <w:spacing w:val="1"/>
        </w:rPr>
        <w:t>de</w:t>
      </w:r>
      <w:r w:rsidRPr="00C74D31">
        <w:rPr>
          <w:rFonts w:ascii="Palatino Linotype" w:eastAsia="Arial" w:hAnsi="Palatino Linotype" w:cs="Arial"/>
          <w:i/>
        </w:rPr>
        <w:t>ral</w:t>
      </w:r>
      <w:r w:rsidRPr="00C74D31">
        <w:rPr>
          <w:rFonts w:ascii="Palatino Linotype" w:eastAsia="Arial" w:hAnsi="Palatino Linotype" w:cs="Arial"/>
          <w:i/>
          <w:spacing w:val="10"/>
        </w:rPr>
        <w:t xml:space="preserve"> </w:t>
      </w:r>
      <w:r w:rsidRPr="00C74D31">
        <w:rPr>
          <w:rFonts w:ascii="Palatino Linotype" w:eastAsia="Arial" w:hAnsi="Palatino Linotype" w:cs="Arial"/>
          <w:i/>
          <w:spacing w:val="-1"/>
        </w:rPr>
        <w:t>d</w:t>
      </w:r>
      <w:r w:rsidRPr="00C74D31">
        <w:rPr>
          <w:rFonts w:ascii="Palatino Linotype" w:eastAsia="Arial" w:hAnsi="Palatino Linotype" w:cs="Arial"/>
          <w:i/>
        </w:rPr>
        <w:t>e</w:t>
      </w:r>
      <w:r w:rsidRPr="00C74D31">
        <w:rPr>
          <w:rFonts w:ascii="Palatino Linotype" w:eastAsia="Arial" w:hAnsi="Palatino Linotype" w:cs="Arial"/>
          <w:i/>
          <w:spacing w:val="9"/>
        </w:rPr>
        <w:t xml:space="preserve"> </w:t>
      </w:r>
      <w:r w:rsidRPr="00C74D31">
        <w:rPr>
          <w:rFonts w:ascii="Palatino Linotype" w:eastAsia="Arial" w:hAnsi="Palatino Linotype" w:cs="Arial"/>
          <w:i/>
          <w:spacing w:val="2"/>
        </w:rPr>
        <w:t>T</w:t>
      </w:r>
      <w:r w:rsidRPr="00C74D31">
        <w:rPr>
          <w:rFonts w:ascii="Palatino Linotype" w:eastAsia="Arial" w:hAnsi="Palatino Linotype" w:cs="Arial"/>
          <w:i/>
        </w:rPr>
        <w:t>r</w:t>
      </w:r>
      <w:r w:rsidRPr="00C74D31">
        <w:rPr>
          <w:rFonts w:ascii="Palatino Linotype" w:eastAsia="Arial" w:hAnsi="Palatino Linotype" w:cs="Arial"/>
          <w:i/>
          <w:spacing w:val="-2"/>
        </w:rPr>
        <w:t>a</w:t>
      </w:r>
      <w:r w:rsidRPr="00C74D31">
        <w:rPr>
          <w:rFonts w:ascii="Palatino Linotype" w:eastAsia="Arial" w:hAnsi="Palatino Linotype" w:cs="Arial"/>
          <w:i/>
          <w:spacing w:val="1"/>
        </w:rPr>
        <w:t>n</w:t>
      </w:r>
      <w:r w:rsidRPr="00C74D31">
        <w:rPr>
          <w:rFonts w:ascii="Palatino Linotype" w:eastAsia="Arial" w:hAnsi="Palatino Linotype" w:cs="Arial"/>
          <w:i/>
        </w:rPr>
        <w:t>s</w:t>
      </w:r>
      <w:r w:rsidRPr="00C74D31">
        <w:rPr>
          <w:rFonts w:ascii="Palatino Linotype" w:eastAsia="Arial" w:hAnsi="Palatino Linotype" w:cs="Arial"/>
          <w:i/>
          <w:spacing w:val="1"/>
        </w:rPr>
        <w:t>pa</w:t>
      </w:r>
      <w:r w:rsidRPr="00C74D31">
        <w:rPr>
          <w:rFonts w:ascii="Palatino Linotype" w:eastAsia="Arial" w:hAnsi="Palatino Linotype" w:cs="Arial"/>
          <w:i/>
        </w:rPr>
        <w:t>r</w:t>
      </w:r>
      <w:r w:rsidRPr="00C74D31">
        <w:rPr>
          <w:rFonts w:ascii="Palatino Linotype" w:eastAsia="Arial" w:hAnsi="Palatino Linotype" w:cs="Arial"/>
          <w:i/>
          <w:spacing w:val="-2"/>
        </w:rPr>
        <w:t>e</w:t>
      </w:r>
      <w:r w:rsidRPr="00C74D31">
        <w:rPr>
          <w:rFonts w:ascii="Palatino Linotype" w:eastAsia="Arial" w:hAnsi="Palatino Linotype" w:cs="Arial"/>
          <w:i/>
          <w:spacing w:val="1"/>
        </w:rPr>
        <w:t>n</w:t>
      </w:r>
      <w:r w:rsidRPr="00C74D31">
        <w:rPr>
          <w:rFonts w:ascii="Palatino Linotype" w:eastAsia="Arial" w:hAnsi="Palatino Linotype" w:cs="Arial"/>
          <w:i/>
        </w:rPr>
        <w:t>cia y Acc</w:t>
      </w:r>
      <w:r w:rsidRPr="00C74D31">
        <w:rPr>
          <w:rFonts w:ascii="Palatino Linotype" w:eastAsia="Arial" w:hAnsi="Palatino Linotype" w:cs="Arial"/>
          <w:i/>
          <w:spacing w:val="1"/>
        </w:rPr>
        <w:t>e</w:t>
      </w:r>
      <w:r w:rsidRPr="00C74D31">
        <w:rPr>
          <w:rFonts w:ascii="Palatino Linotype" w:eastAsia="Arial" w:hAnsi="Palatino Linotype" w:cs="Arial"/>
          <w:i/>
        </w:rPr>
        <w:t>so</w:t>
      </w:r>
      <w:r w:rsidRPr="00C74D31">
        <w:rPr>
          <w:rFonts w:ascii="Palatino Linotype" w:eastAsia="Arial" w:hAnsi="Palatino Linotype" w:cs="Arial"/>
          <w:i/>
          <w:spacing w:val="3"/>
        </w:rPr>
        <w:t xml:space="preserve"> </w:t>
      </w:r>
      <w:r w:rsidRPr="00C74D31">
        <w:rPr>
          <w:rFonts w:ascii="Palatino Linotype" w:eastAsia="Arial" w:hAnsi="Palatino Linotype" w:cs="Arial"/>
          <w:i/>
        </w:rPr>
        <w:t>a</w:t>
      </w:r>
      <w:r w:rsidRPr="00C74D31">
        <w:rPr>
          <w:rFonts w:ascii="Palatino Linotype" w:eastAsia="Arial" w:hAnsi="Palatino Linotype" w:cs="Arial"/>
          <w:i/>
          <w:spacing w:val="1"/>
        </w:rPr>
        <w:t xml:space="preserve"> </w:t>
      </w:r>
      <w:r w:rsidRPr="00C74D31">
        <w:rPr>
          <w:rFonts w:ascii="Palatino Linotype" w:eastAsia="Arial" w:hAnsi="Palatino Linotype" w:cs="Arial"/>
          <w:i/>
        </w:rPr>
        <w:t>la I</w:t>
      </w:r>
      <w:r w:rsidRPr="00C74D31">
        <w:rPr>
          <w:rFonts w:ascii="Palatino Linotype" w:eastAsia="Arial" w:hAnsi="Palatino Linotype" w:cs="Arial"/>
          <w:i/>
          <w:spacing w:val="-1"/>
        </w:rPr>
        <w:t>n</w:t>
      </w:r>
      <w:r w:rsidRPr="00C74D31">
        <w:rPr>
          <w:rFonts w:ascii="Palatino Linotype" w:eastAsia="Arial" w:hAnsi="Palatino Linotype" w:cs="Arial"/>
          <w:i/>
        </w:rPr>
        <w:t>f</w:t>
      </w:r>
      <w:r w:rsidRPr="00C74D31">
        <w:rPr>
          <w:rFonts w:ascii="Palatino Linotype" w:eastAsia="Arial" w:hAnsi="Palatino Linotype" w:cs="Arial"/>
          <w:i/>
          <w:spacing w:val="1"/>
        </w:rPr>
        <w:t>o</w:t>
      </w:r>
      <w:r w:rsidRPr="00C74D31">
        <w:rPr>
          <w:rFonts w:ascii="Palatino Linotype" w:eastAsia="Arial" w:hAnsi="Palatino Linotype" w:cs="Arial"/>
          <w:i/>
          <w:spacing w:val="-3"/>
        </w:rPr>
        <w:t>r</w:t>
      </w:r>
      <w:r w:rsidRPr="00C74D31">
        <w:rPr>
          <w:rFonts w:ascii="Palatino Linotype" w:eastAsia="Arial" w:hAnsi="Palatino Linotype" w:cs="Arial"/>
          <w:i/>
          <w:spacing w:val="1"/>
        </w:rPr>
        <w:t>ma</w:t>
      </w:r>
      <w:r w:rsidRPr="00C74D31">
        <w:rPr>
          <w:rFonts w:ascii="Palatino Linotype" w:eastAsia="Arial" w:hAnsi="Palatino Linotype" w:cs="Arial"/>
          <w:i/>
        </w:rPr>
        <w:t>ci</w:t>
      </w:r>
      <w:r w:rsidRPr="00C74D31">
        <w:rPr>
          <w:rFonts w:ascii="Palatino Linotype" w:eastAsia="Arial" w:hAnsi="Palatino Linotype" w:cs="Arial"/>
          <w:i/>
          <w:spacing w:val="-2"/>
        </w:rPr>
        <w:t>ó</w:t>
      </w:r>
      <w:r w:rsidRPr="00C74D31">
        <w:rPr>
          <w:rFonts w:ascii="Palatino Linotype" w:eastAsia="Arial" w:hAnsi="Palatino Linotype" w:cs="Arial"/>
          <w:i/>
        </w:rPr>
        <w:t>n</w:t>
      </w:r>
      <w:r w:rsidRPr="00C74D31">
        <w:rPr>
          <w:rFonts w:ascii="Palatino Linotype" w:eastAsia="Arial" w:hAnsi="Palatino Linotype" w:cs="Arial"/>
          <w:i/>
          <w:spacing w:val="6"/>
        </w:rPr>
        <w:t xml:space="preserve"> </w:t>
      </w:r>
      <w:r w:rsidRPr="00C74D31">
        <w:rPr>
          <w:rFonts w:ascii="Palatino Linotype" w:eastAsia="Arial" w:hAnsi="Palatino Linotype" w:cs="Arial"/>
          <w:i/>
          <w:spacing w:val="-2"/>
        </w:rPr>
        <w:t>P</w:t>
      </w:r>
      <w:r w:rsidRPr="00C74D31">
        <w:rPr>
          <w:rFonts w:ascii="Palatino Linotype" w:eastAsia="Arial" w:hAnsi="Palatino Linotype" w:cs="Arial"/>
          <w:i/>
          <w:spacing w:val="1"/>
        </w:rPr>
        <w:t>úb</w:t>
      </w:r>
      <w:r w:rsidRPr="00C74D31">
        <w:rPr>
          <w:rFonts w:ascii="Palatino Linotype" w:eastAsia="Arial" w:hAnsi="Palatino Linotype" w:cs="Arial"/>
          <w:i/>
        </w:rPr>
        <w:t>l</w:t>
      </w:r>
      <w:r w:rsidRPr="00C74D31">
        <w:rPr>
          <w:rFonts w:ascii="Palatino Linotype" w:eastAsia="Arial" w:hAnsi="Palatino Linotype" w:cs="Arial"/>
          <w:i/>
          <w:spacing w:val="-1"/>
        </w:rPr>
        <w:t>i</w:t>
      </w:r>
      <w:r w:rsidRPr="00C74D31">
        <w:rPr>
          <w:rFonts w:ascii="Palatino Linotype" w:eastAsia="Arial" w:hAnsi="Palatino Linotype" w:cs="Arial"/>
          <w:i/>
        </w:rPr>
        <w:t xml:space="preserve">ca, </w:t>
      </w:r>
      <w:r w:rsidRPr="00C74D31">
        <w:rPr>
          <w:rFonts w:ascii="Palatino Linotype" w:eastAsia="Arial" w:hAnsi="Palatino Linotype" w:cs="Arial"/>
          <w:i/>
          <w:spacing w:val="-1"/>
        </w:rPr>
        <w:t>señalan</w:t>
      </w:r>
      <w:r w:rsidRPr="00C74D31">
        <w:rPr>
          <w:rFonts w:ascii="Palatino Linotype" w:eastAsia="Arial" w:hAnsi="Palatino Linotype" w:cs="Arial"/>
          <w:i/>
          <w:spacing w:val="1"/>
        </w:rPr>
        <w:t xml:space="preserve"> </w:t>
      </w:r>
      <w:r w:rsidRPr="00C74D31">
        <w:rPr>
          <w:rFonts w:ascii="Palatino Linotype" w:eastAsia="Arial" w:hAnsi="Palatino Linotype" w:cs="Arial"/>
          <w:i/>
          <w:spacing w:val="-1"/>
        </w:rPr>
        <w:t>q</w:t>
      </w:r>
      <w:r w:rsidRPr="00C74D31">
        <w:rPr>
          <w:rFonts w:ascii="Palatino Linotype" w:eastAsia="Arial" w:hAnsi="Palatino Linotype" w:cs="Arial"/>
          <w:i/>
          <w:spacing w:val="1"/>
        </w:rPr>
        <w:t>u</w:t>
      </w:r>
      <w:r w:rsidRPr="00C74D31">
        <w:rPr>
          <w:rFonts w:ascii="Palatino Linotype" w:eastAsia="Arial" w:hAnsi="Palatino Linotype" w:cs="Arial"/>
          <w:i/>
        </w:rPr>
        <w:t>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w:t>
      </w:r>
      <w:r w:rsidRPr="00C74D31">
        <w:rPr>
          <w:rFonts w:ascii="Palatino Linotype" w:eastAsia="Arial" w:hAnsi="Palatino Linotype" w:cs="Arial"/>
          <w:i/>
          <w:spacing w:val="-1"/>
        </w:rPr>
        <w:t xml:space="preserve"> sin necesidad de</w:t>
      </w:r>
      <w:r w:rsidRPr="00C74D31">
        <w:rPr>
          <w:rFonts w:ascii="Palatino Linotype" w:eastAsia="Arial" w:hAnsi="Palatino Linotype" w:cs="Arial"/>
          <w:i/>
          <w:spacing w:val="1"/>
        </w:rPr>
        <w:t xml:space="preserve"> e</w:t>
      </w:r>
      <w:r w:rsidRPr="00C74D31">
        <w:rPr>
          <w:rFonts w:ascii="Palatino Linotype" w:eastAsia="Arial" w:hAnsi="Palatino Linotype" w:cs="Arial"/>
          <w:i/>
        </w:rPr>
        <w:t>la</w:t>
      </w:r>
      <w:r w:rsidRPr="00C74D31">
        <w:rPr>
          <w:rFonts w:ascii="Palatino Linotype" w:eastAsia="Arial" w:hAnsi="Palatino Linotype" w:cs="Arial"/>
          <w:i/>
          <w:spacing w:val="1"/>
        </w:rPr>
        <w:t>bo</w:t>
      </w:r>
      <w:r w:rsidRPr="00C74D31">
        <w:rPr>
          <w:rFonts w:ascii="Palatino Linotype" w:eastAsia="Arial" w:hAnsi="Palatino Linotype" w:cs="Arial"/>
          <w:i/>
        </w:rPr>
        <w:t xml:space="preserve">rar </w:t>
      </w:r>
      <w:r w:rsidRPr="00C74D31">
        <w:rPr>
          <w:rFonts w:ascii="Palatino Linotype" w:eastAsia="Arial" w:hAnsi="Palatino Linotype" w:cs="Arial"/>
          <w:i/>
          <w:spacing w:val="1"/>
        </w:rPr>
        <w:t>do</w:t>
      </w:r>
      <w:r w:rsidRPr="00C74D31">
        <w:rPr>
          <w:rFonts w:ascii="Palatino Linotype" w:eastAsia="Arial" w:hAnsi="Palatino Linotype" w:cs="Arial"/>
          <w:i/>
          <w:spacing w:val="-2"/>
        </w:rPr>
        <w:t>c</w:t>
      </w:r>
      <w:r w:rsidRPr="00C74D31">
        <w:rPr>
          <w:rFonts w:ascii="Palatino Linotype" w:eastAsia="Arial" w:hAnsi="Palatino Linotype" w:cs="Arial"/>
          <w:i/>
          <w:spacing w:val="1"/>
        </w:rPr>
        <w:t>u</w:t>
      </w:r>
      <w:r w:rsidRPr="00C74D31">
        <w:rPr>
          <w:rFonts w:ascii="Palatino Linotype" w:eastAsia="Arial" w:hAnsi="Palatino Linotype" w:cs="Arial"/>
          <w:i/>
          <w:spacing w:val="-1"/>
        </w:rPr>
        <w:t>m</w:t>
      </w:r>
      <w:r w:rsidRPr="00C74D31">
        <w:rPr>
          <w:rFonts w:ascii="Palatino Linotype" w:eastAsia="Arial" w:hAnsi="Palatino Linotype" w:cs="Arial"/>
          <w:i/>
          <w:spacing w:val="1"/>
        </w:rPr>
        <w:t>en</w:t>
      </w:r>
      <w:r w:rsidRPr="00C74D31">
        <w:rPr>
          <w:rFonts w:ascii="Palatino Linotype" w:eastAsia="Arial" w:hAnsi="Palatino Linotype" w:cs="Arial"/>
          <w:i/>
          <w:spacing w:val="-2"/>
        </w:rPr>
        <w:t>t</w:t>
      </w:r>
      <w:r w:rsidRPr="00C74D31">
        <w:rPr>
          <w:rFonts w:ascii="Palatino Linotype" w:eastAsia="Arial" w:hAnsi="Palatino Linotype" w:cs="Arial"/>
          <w:i/>
          <w:spacing w:val="1"/>
        </w:rPr>
        <w:t>o</w:t>
      </w:r>
      <w:r w:rsidRPr="00C74D31">
        <w:rPr>
          <w:rFonts w:ascii="Palatino Linotype" w:eastAsia="Arial" w:hAnsi="Palatino Linotype" w:cs="Arial"/>
          <w:i/>
        </w:rPr>
        <w:t>s</w:t>
      </w:r>
      <w:r w:rsidRPr="00C74D31">
        <w:rPr>
          <w:rFonts w:ascii="Palatino Linotype" w:eastAsia="Arial" w:hAnsi="Palatino Linotype" w:cs="Arial"/>
          <w:i/>
          <w:spacing w:val="3"/>
        </w:rPr>
        <w:t xml:space="preserve"> </w:t>
      </w:r>
      <w:r w:rsidRPr="00C74D31">
        <w:rPr>
          <w:rFonts w:ascii="Palatino Linotype" w:eastAsia="Arial" w:hAnsi="Palatino Linotype" w:cs="Arial"/>
          <w:i/>
          <w:spacing w:val="1"/>
        </w:rPr>
        <w:t>a</w:t>
      </w:r>
      <w:r w:rsidRPr="00C74D31">
        <w:rPr>
          <w:rFonts w:ascii="Palatino Linotype" w:eastAsia="Arial" w:hAnsi="Palatino Linotype" w:cs="Arial"/>
          <w:i/>
        </w:rPr>
        <w:t>d</w:t>
      </w:r>
      <w:r w:rsidRPr="00C74D31">
        <w:rPr>
          <w:rFonts w:ascii="Palatino Linotype" w:eastAsia="Arial" w:hAnsi="Palatino Linotype" w:cs="Arial"/>
          <w:i/>
          <w:spacing w:val="1"/>
        </w:rPr>
        <w:t xml:space="preserve"> ho</w:t>
      </w:r>
      <w:r w:rsidRPr="00C74D31">
        <w:rPr>
          <w:rFonts w:ascii="Palatino Linotype" w:eastAsia="Arial" w:hAnsi="Palatino Linotype" w:cs="Arial"/>
          <w:i/>
        </w:rPr>
        <w:t>c</w:t>
      </w:r>
      <w:r w:rsidRPr="00C74D31">
        <w:rPr>
          <w:rFonts w:ascii="Palatino Linotype" w:eastAsia="Arial" w:hAnsi="Palatino Linotype" w:cs="Arial"/>
          <w:i/>
          <w:spacing w:val="2"/>
        </w:rPr>
        <w:t xml:space="preserve"> </w:t>
      </w:r>
      <w:r w:rsidRPr="00C74D31">
        <w:rPr>
          <w:rFonts w:ascii="Palatino Linotype" w:eastAsia="Arial" w:hAnsi="Palatino Linotype" w:cs="Arial"/>
          <w:i/>
          <w:spacing w:val="1"/>
        </w:rPr>
        <w:t>pa</w:t>
      </w:r>
      <w:r w:rsidRPr="00C74D31">
        <w:rPr>
          <w:rFonts w:ascii="Palatino Linotype" w:eastAsia="Arial" w:hAnsi="Palatino Linotype" w:cs="Arial"/>
          <w:i/>
        </w:rPr>
        <w:t xml:space="preserve">ra </w:t>
      </w:r>
      <w:r w:rsidRPr="00C74D31">
        <w:rPr>
          <w:rFonts w:ascii="Palatino Linotype" w:eastAsia="Arial" w:hAnsi="Palatino Linotype" w:cs="Arial"/>
          <w:i/>
          <w:spacing w:val="1"/>
        </w:rPr>
        <w:t>a</w:t>
      </w:r>
      <w:r w:rsidRPr="00C74D31">
        <w:rPr>
          <w:rFonts w:ascii="Palatino Linotype" w:eastAsia="Arial" w:hAnsi="Palatino Linotype" w:cs="Arial"/>
          <w:i/>
        </w:rPr>
        <w:t>t</w:t>
      </w:r>
      <w:r w:rsidRPr="00C74D31">
        <w:rPr>
          <w:rFonts w:ascii="Palatino Linotype" w:eastAsia="Arial" w:hAnsi="Palatino Linotype" w:cs="Arial"/>
          <w:i/>
          <w:spacing w:val="-1"/>
        </w:rPr>
        <w:t>e</w:t>
      </w:r>
      <w:r w:rsidRPr="00C74D31">
        <w:rPr>
          <w:rFonts w:ascii="Palatino Linotype" w:eastAsia="Arial" w:hAnsi="Palatino Linotype" w:cs="Arial"/>
          <w:i/>
          <w:spacing w:val="1"/>
        </w:rPr>
        <w:t>n</w:t>
      </w:r>
      <w:r w:rsidRPr="00C74D31">
        <w:rPr>
          <w:rFonts w:ascii="Palatino Linotype" w:eastAsia="Arial" w:hAnsi="Palatino Linotype" w:cs="Arial"/>
          <w:i/>
          <w:spacing w:val="-1"/>
        </w:rPr>
        <w:t>d</w:t>
      </w:r>
      <w:r w:rsidRPr="00C74D31">
        <w:rPr>
          <w:rFonts w:ascii="Palatino Linotype" w:eastAsia="Arial" w:hAnsi="Palatino Linotype" w:cs="Arial"/>
          <w:i/>
          <w:spacing w:val="1"/>
        </w:rPr>
        <w:t>e</w:t>
      </w:r>
      <w:r w:rsidRPr="00C74D31">
        <w:rPr>
          <w:rFonts w:ascii="Palatino Linotype" w:eastAsia="Arial" w:hAnsi="Palatino Linotype" w:cs="Arial"/>
          <w:i/>
        </w:rPr>
        <w:t>r</w:t>
      </w:r>
      <w:r w:rsidRPr="00C74D31">
        <w:rPr>
          <w:rFonts w:ascii="Palatino Linotype" w:eastAsia="Arial" w:hAnsi="Palatino Linotype" w:cs="Arial"/>
          <w:i/>
          <w:spacing w:val="2"/>
        </w:rPr>
        <w:t xml:space="preserve"> </w:t>
      </w:r>
      <w:r w:rsidRPr="00C74D31">
        <w:rPr>
          <w:rFonts w:ascii="Palatino Linotype" w:eastAsia="Arial" w:hAnsi="Palatino Linotype" w:cs="Arial"/>
          <w:i/>
        </w:rPr>
        <w:t>l</w:t>
      </w:r>
      <w:r w:rsidRPr="00C74D31">
        <w:rPr>
          <w:rFonts w:ascii="Palatino Linotype" w:eastAsia="Arial" w:hAnsi="Palatino Linotype" w:cs="Arial"/>
          <w:i/>
          <w:spacing w:val="-2"/>
        </w:rPr>
        <w:t>a</w:t>
      </w:r>
      <w:r w:rsidRPr="00C74D31">
        <w:rPr>
          <w:rFonts w:ascii="Palatino Linotype" w:eastAsia="Arial" w:hAnsi="Palatino Linotype" w:cs="Arial"/>
          <w:i/>
        </w:rPr>
        <w:t>s</w:t>
      </w:r>
      <w:r w:rsidRPr="00C74D31">
        <w:rPr>
          <w:rFonts w:ascii="Palatino Linotype" w:eastAsia="Arial" w:hAnsi="Palatino Linotype" w:cs="Arial"/>
          <w:i/>
          <w:spacing w:val="2"/>
        </w:rPr>
        <w:t xml:space="preserve"> </w:t>
      </w:r>
      <w:r w:rsidRPr="00C74D31">
        <w:rPr>
          <w:rFonts w:ascii="Palatino Linotype" w:eastAsia="Arial" w:hAnsi="Palatino Linotype" w:cs="Arial"/>
          <w:i/>
        </w:rPr>
        <w:t>s</w:t>
      </w:r>
      <w:r w:rsidRPr="00C74D31">
        <w:rPr>
          <w:rFonts w:ascii="Palatino Linotype" w:eastAsia="Arial" w:hAnsi="Palatino Linotype" w:cs="Arial"/>
          <w:i/>
          <w:spacing w:val="1"/>
        </w:rPr>
        <w:t>o</w:t>
      </w:r>
      <w:r w:rsidRPr="00C74D31">
        <w:rPr>
          <w:rFonts w:ascii="Palatino Linotype" w:eastAsia="Arial" w:hAnsi="Palatino Linotype" w:cs="Arial"/>
          <w:i/>
        </w:rPr>
        <w:t>l</w:t>
      </w:r>
      <w:r w:rsidRPr="00C74D31">
        <w:rPr>
          <w:rFonts w:ascii="Palatino Linotype" w:eastAsia="Arial" w:hAnsi="Palatino Linotype" w:cs="Arial"/>
          <w:i/>
          <w:spacing w:val="-1"/>
        </w:rPr>
        <w:t>i</w:t>
      </w:r>
      <w:r w:rsidRPr="00C74D31">
        <w:rPr>
          <w:rFonts w:ascii="Palatino Linotype" w:eastAsia="Arial" w:hAnsi="Palatino Linotype" w:cs="Arial"/>
          <w:i/>
        </w:rPr>
        <w:t>cit</w:t>
      </w:r>
      <w:r w:rsidRPr="00C74D31">
        <w:rPr>
          <w:rFonts w:ascii="Palatino Linotype" w:eastAsia="Arial" w:hAnsi="Palatino Linotype" w:cs="Arial"/>
          <w:i/>
          <w:spacing w:val="1"/>
        </w:rPr>
        <w:t>ude</w:t>
      </w:r>
      <w:r w:rsidRPr="00C74D31">
        <w:rPr>
          <w:rFonts w:ascii="Palatino Linotype" w:eastAsia="Arial" w:hAnsi="Palatino Linotype" w:cs="Arial"/>
          <w:i/>
        </w:rPr>
        <w:t>s</w:t>
      </w:r>
      <w:r w:rsidRPr="00C74D31">
        <w:rPr>
          <w:rFonts w:ascii="Palatino Linotype" w:eastAsia="Arial" w:hAnsi="Palatino Linotype" w:cs="Arial"/>
          <w:i/>
          <w:spacing w:val="4"/>
        </w:rPr>
        <w:t xml:space="preserve"> </w:t>
      </w:r>
      <w:r w:rsidRPr="00C74D31">
        <w:rPr>
          <w:rFonts w:ascii="Palatino Linotype" w:eastAsia="Arial" w:hAnsi="Palatino Linotype" w:cs="Arial"/>
          <w:i/>
          <w:spacing w:val="-1"/>
        </w:rPr>
        <w:t>d</w:t>
      </w:r>
      <w:r w:rsidRPr="00C74D31">
        <w:rPr>
          <w:rFonts w:ascii="Palatino Linotype" w:eastAsia="Arial" w:hAnsi="Palatino Linotype" w:cs="Arial"/>
          <w:i/>
        </w:rPr>
        <w:t>e</w:t>
      </w:r>
      <w:r w:rsidRPr="00C74D31">
        <w:rPr>
          <w:rFonts w:ascii="Palatino Linotype" w:eastAsia="Arial" w:hAnsi="Palatino Linotype" w:cs="Arial"/>
          <w:i/>
          <w:spacing w:val="3"/>
        </w:rPr>
        <w:t xml:space="preserve"> </w:t>
      </w:r>
      <w:r w:rsidRPr="00C74D31">
        <w:rPr>
          <w:rFonts w:ascii="Palatino Linotype" w:eastAsia="Arial" w:hAnsi="Palatino Linotype" w:cs="Arial"/>
          <w:i/>
        </w:rPr>
        <w:t>i</w:t>
      </w:r>
      <w:r w:rsidRPr="00C74D31">
        <w:rPr>
          <w:rFonts w:ascii="Palatino Linotype" w:eastAsia="Arial" w:hAnsi="Palatino Linotype" w:cs="Arial"/>
          <w:i/>
          <w:spacing w:val="-2"/>
        </w:rPr>
        <w:t>n</w:t>
      </w:r>
      <w:r w:rsidRPr="00C74D31">
        <w:rPr>
          <w:rFonts w:ascii="Palatino Linotype" w:eastAsia="Arial" w:hAnsi="Palatino Linotype" w:cs="Arial"/>
          <w:i/>
        </w:rPr>
        <w:t>f</w:t>
      </w:r>
      <w:r w:rsidRPr="00C74D31">
        <w:rPr>
          <w:rFonts w:ascii="Palatino Linotype" w:eastAsia="Arial" w:hAnsi="Palatino Linotype" w:cs="Arial"/>
          <w:i/>
          <w:spacing w:val="1"/>
        </w:rPr>
        <w:t>o</w:t>
      </w:r>
      <w:r w:rsidRPr="00C74D31">
        <w:rPr>
          <w:rFonts w:ascii="Palatino Linotype" w:eastAsia="Arial" w:hAnsi="Palatino Linotype" w:cs="Arial"/>
          <w:i/>
        </w:rPr>
        <w:t>r</w:t>
      </w:r>
      <w:r w:rsidRPr="00C74D31">
        <w:rPr>
          <w:rFonts w:ascii="Palatino Linotype" w:eastAsia="Arial" w:hAnsi="Palatino Linotype" w:cs="Arial"/>
          <w:i/>
          <w:spacing w:val="-1"/>
        </w:rPr>
        <w:t>m</w:t>
      </w:r>
      <w:r w:rsidRPr="00C74D31">
        <w:rPr>
          <w:rFonts w:ascii="Palatino Linotype" w:eastAsia="Arial" w:hAnsi="Palatino Linotype" w:cs="Arial"/>
          <w:i/>
          <w:spacing w:val="1"/>
        </w:rPr>
        <w:t>a</w:t>
      </w:r>
      <w:r w:rsidRPr="00C74D31">
        <w:rPr>
          <w:rFonts w:ascii="Palatino Linotype" w:eastAsia="Arial" w:hAnsi="Palatino Linotype" w:cs="Arial"/>
          <w:i/>
        </w:rPr>
        <w:t>ció</w:t>
      </w:r>
      <w:r w:rsidRPr="00C74D31">
        <w:rPr>
          <w:rFonts w:ascii="Palatino Linotype" w:eastAsia="Arial" w:hAnsi="Palatino Linotype" w:cs="Arial"/>
          <w:i/>
          <w:spacing w:val="1"/>
        </w:rPr>
        <w:t>n</w:t>
      </w:r>
      <w:r w:rsidRPr="00C74D31">
        <w:rPr>
          <w:rFonts w:ascii="Palatino Linotype" w:eastAsia="Arial" w:hAnsi="Palatino Linotype" w:cs="Arial"/>
          <w:i/>
        </w:rPr>
        <w:t>.</w:t>
      </w:r>
    </w:p>
    <w:p w14:paraId="41C92A60" w14:textId="77777777" w:rsidR="00A93491" w:rsidRPr="00C74D31" w:rsidRDefault="00A93491" w:rsidP="00A93491">
      <w:pPr>
        <w:spacing w:line="360" w:lineRule="auto"/>
        <w:jc w:val="both"/>
        <w:rPr>
          <w:rFonts w:ascii="Palatino Linotype" w:eastAsia="Palatino Linotype" w:hAnsi="Palatino Linotype" w:cs="Palatino Linotype"/>
        </w:rPr>
      </w:pPr>
    </w:p>
    <w:p w14:paraId="5D6B7592" w14:textId="72C198FF"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t xml:space="preserve">En ese sentido, se tiene que, la solicitud de información se relaciona con el ejercicio del derecho de petición, pues se tratan de expresiones y manifestaciones personales y particulares, de las cuales no se advierte  que se requiera acceder a un documento en posesión de la autoridad, situación que, no es factible atenderse vía acceso a la información pública. </w:t>
      </w:r>
    </w:p>
    <w:p w14:paraId="7E8A53ED" w14:textId="77777777" w:rsidR="00A93491" w:rsidRPr="00C74D31" w:rsidRDefault="00A93491" w:rsidP="00A93491">
      <w:pPr>
        <w:spacing w:line="360" w:lineRule="auto"/>
        <w:jc w:val="both"/>
        <w:rPr>
          <w:rFonts w:ascii="Palatino Linotype" w:eastAsia="Palatino Linotype" w:hAnsi="Palatino Linotype" w:cs="Palatino Linotype"/>
        </w:rPr>
      </w:pPr>
    </w:p>
    <w:p w14:paraId="1BC2AEE6" w14:textId="40B0CA13"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lastRenderedPageBreak/>
        <w:t>Asimismo, de la lectura al medi</w:t>
      </w:r>
      <w:r w:rsidR="00363559" w:rsidRPr="00C74D31">
        <w:rPr>
          <w:rFonts w:ascii="Palatino Linotype" w:eastAsia="Palatino Linotype" w:hAnsi="Palatino Linotype" w:cs="Palatino Linotype"/>
        </w:rPr>
        <w:t xml:space="preserve">o de impugnación se advierte que </w:t>
      </w:r>
      <w:r w:rsidRPr="00C74D31">
        <w:rPr>
          <w:rFonts w:ascii="Palatino Linotype" w:eastAsia="Palatino Linotype" w:hAnsi="Palatino Linotype" w:cs="Palatino Linotype"/>
        </w:rPr>
        <w:t xml:space="preserve">se trata de una ampliación a su solicitud inicial pues en este se </w:t>
      </w:r>
      <w:r w:rsidR="00363559" w:rsidRPr="00C74D31">
        <w:rPr>
          <w:rFonts w:ascii="Palatino Linotype" w:eastAsia="Palatino Linotype" w:hAnsi="Palatino Linotype" w:cs="Palatino Linotype"/>
        </w:rPr>
        <w:t xml:space="preserve">manifiesta lo siguiente </w:t>
      </w:r>
      <w:r w:rsidR="00FD40C9" w:rsidRPr="00C74D31">
        <w:rPr>
          <w:rFonts w:ascii="Palatino Linotype" w:eastAsia="Palatino Linotype" w:hAnsi="Palatino Linotype" w:cs="Palatino Linotype"/>
          <w:i/>
          <w:sz w:val="22"/>
          <w:szCs w:val="22"/>
        </w:rPr>
        <w:t>“</w:t>
      </w:r>
      <w:r w:rsidR="006E5CD7" w:rsidRPr="00C74D31">
        <w:rPr>
          <w:rFonts w:ascii="Palatino Linotype" w:eastAsia="Palatino Linotype" w:hAnsi="Palatino Linotype" w:cs="Palatino Linotype"/>
          <w:i/>
          <w:sz w:val="22"/>
          <w:szCs w:val="22"/>
        </w:rPr>
        <w:t>no se presenta el tabulador de sueldos o en su caso el profesiograma donde indique lo que se argumenta en su oficio</w:t>
      </w:r>
      <w:r w:rsidR="00FD40C9" w:rsidRPr="00C74D31">
        <w:rPr>
          <w:rFonts w:ascii="Palatino Linotype" w:hAnsi="Palatino Linotype"/>
          <w:i/>
          <w:sz w:val="22"/>
          <w:szCs w:val="22"/>
        </w:rPr>
        <w:t>”</w:t>
      </w:r>
      <w:r w:rsidRPr="00C74D31">
        <w:rPr>
          <w:rFonts w:ascii="Palatino Linotype" w:eastAsia="Palatino Linotype" w:hAnsi="Palatino Linotype" w:cs="Palatino Linotype"/>
        </w:rPr>
        <w:t xml:space="preserve"> información que no se requirió en un inicio, </w:t>
      </w:r>
      <w:r w:rsidR="00363559" w:rsidRPr="00C74D31">
        <w:rPr>
          <w:rFonts w:ascii="Palatino Linotype" w:eastAsia="Palatino Linotype" w:hAnsi="Palatino Linotype" w:cs="Palatino Linotype"/>
          <w:b/>
        </w:rPr>
        <w:t xml:space="preserve">ya que en un inicio, únicamente se solicitó que se explicaran las razones por las cuales una servidora pública con cargo de Trabajadora Social puede ser Jefa de Recursos humanos del Hospital General </w:t>
      </w:r>
      <w:r w:rsidR="0057232E" w:rsidRPr="00C74D31">
        <w:rPr>
          <w:rFonts w:ascii="Palatino Linotype" w:eastAsia="Palatino Linotype" w:hAnsi="Palatino Linotype" w:cs="Palatino Linotype"/>
          <w:b/>
        </w:rPr>
        <w:t xml:space="preserve">Nicolás San Juan, </w:t>
      </w:r>
      <w:r w:rsidRPr="00C74D31">
        <w:rPr>
          <w:rFonts w:ascii="Palatino Linotype" w:eastAsia="Palatino Linotype" w:hAnsi="Palatino Linotype" w:cs="Palatino Linotype"/>
        </w:rPr>
        <w:t xml:space="preserve">configurándose así lo que se conoce como </w:t>
      </w:r>
      <w:r w:rsidRPr="00C74D31">
        <w:rPr>
          <w:rFonts w:ascii="Palatino Linotype" w:eastAsia="Palatino Linotype" w:hAnsi="Palatino Linotype" w:cs="Palatino Linotype"/>
          <w:i/>
        </w:rPr>
        <w:t>plus petitio</w:t>
      </w:r>
      <w:r w:rsidR="00363559" w:rsidRPr="00C74D31">
        <w:rPr>
          <w:rFonts w:ascii="Palatino Linotype" w:eastAsia="Palatino Linotype" w:hAnsi="Palatino Linotype" w:cs="Palatino Linotype"/>
          <w:b/>
          <w:i/>
        </w:rPr>
        <w:t xml:space="preserve"> </w:t>
      </w:r>
      <w:r w:rsidR="00363559" w:rsidRPr="00C74D31">
        <w:rPr>
          <w:rFonts w:ascii="Palatino Linotype" w:eastAsia="Palatino Linotype" w:hAnsi="Palatino Linotype" w:cs="Palatino Linotype"/>
        </w:rPr>
        <w:t>que</w:t>
      </w:r>
      <w:r w:rsidRPr="00C74D31">
        <w:rPr>
          <w:rFonts w:ascii="Palatino Linotype" w:eastAsia="Palatino Linotype" w:hAnsi="Palatino Linotype" w:cs="Palatino Linotype"/>
          <w:b/>
          <w:i/>
        </w:rPr>
        <w:t xml:space="preserve"> </w:t>
      </w:r>
      <w:r w:rsidR="00363559" w:rsidRPr="00C74D31">
        <w:rPr>
          <w:rFonts w:ascii="Palatino Linotype" w:eastAsia="Palatino Linotype" w:hAnsi="Palatino Linotype" w:cs="Palatino Linotype"/>
        </w:rPr>
        <w:t>c</w:t>
      </w:r>
      <w:r w:rsidRPr="00C74D31">
        <w:rPr>
          <w:rFonts w:ascii="Palatino Linotype" w:eastAsia="Palatino Linotype" w:hAnsi="Palatino Linotype" w:cs="Palatino Linotype"/>
        </w:rPr>
        <w:t xml:space="preserve">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la parte Recurrente amplíe su solicitud en el Recurso de Revisión, cuestión que tuvo lugar en el presente caso, pues la parte Recurrente formuló nuevos cuestionamientos, en los que solicitó información que no formó parte de su solicitud inicial y por lo tanto son inatendibles a </w:t>
      </w:r>
      <w:r w:rsidR="006E5CD7" w:rsidRPr="00C74D31">
        <w:rPr>
          <w:rFonts w:ascii="Palatino Linotype" w:eastAsia="Palatino Linotype" w:hAnsi="Palatino Linotype" w:cs="Palatino Linotype"/>
        </w:rPr>
        <w:t>través del recurso de revisión.</w:t>
      </w:r>
    </w:p>
    <w:p w14:paraId="16BC7484" w14:textId="77777777" w:rsidR="00A93491" w:rsidRPr="00C74D31" w:rsidRDefault="00A93491" w:rsidP="00A93491">
      <w:pPr>
        <w:spacing w:line="360" w:lineRule="auto"/>
        <w:jc w:val="both"/>
        <w:rPr>
          <w:rFonts w:ascii="Palatino Linotype" w:eastAsia="Palatino Linotype" w:hAnsi="Palatino Linotype" w:cs="Palatino Linotype"/>
          <w:b/>
        </w:rPr>
      </w:pPr>
    </w:p>
    <w:p w14:paraId="56CE9FF4" w14:textId="7F7BB863" w:rsidR="00A93491" w:rsidRPr="00C74D31" w:rsidRDefault="00A93491" w:rsidP="00A93491">
      <w:pPr>
        <w:spacing w:line="360" w:lineRule="auto"/>
        <w:ind w:right="96"/>
        <w:jc w:val="both"/>
        <w:rPr>
          <w:rFonts w:ascii="Palatino Linotype" w:eastAsia="Palatino Linotype" w:hAnsi="Palatino Linotype" w:cs="Palatino Linotype"/>
        </w:rPr>
      </w:pPr>
      <w:r w:rsidRPr="00C74D31">
        <w:rPr>
          <w:rFonts w:ascii="Palatino Linotype" w:eastAsia="Palatino Linotype" w:hAnsi="Palatino Linotype" w:cs="Palatino Linotype"/>
        </w:rPr>
        <w:t xml:space="preserve">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las causales de improcedencia contempladas en las fracciones VI </w:t>
      </w:r>
      <w:r w:rsidR="00FD40C9" w:rsidRPr="00C74D31">
        <w:rPr>
          <w:rFonts w:ascii="Palatino Linotype" w:eastAsia="Palatino Linotype" w:hAnsi="Palatino Linotype" w:cs="Palatino Linotype"/>
        </w:rPr>
        <w:t xml:space="preserve">y VII </w:t>
      </w:r>
      <w:r w:rsidRPr="00C74D31">
        <w:rPr>
          <w:rFonts w:ascii="Palatino Linotype" w:eastAsia="Palatino Linotype" w:hAnsi="Palatino Linotype" w:cs="Palatino Linotype"/>
        </w:rPr>
        <w:t>del artículo 191 del ordenamiento legal en cita, los que se transcriben a continuación, para un mejor entendimiento:</w:t>
      </w:r>
    </w:p>
    <w:p w14:paraId="4FDB2FBA" w14:textId="77777777" w:rsidR="00A93491" w:rsidRPr="00C74D31" w:rsidRDefault="00A93491" w:rsidP="00A93491">
      <w:pPr>
        <w:spacing w:line="360" w:lineRule="auto"/>
        <w:ind w:right="96"/>
        <w:jc w:val="both"/>
        <w:rPr>
          <w:rFonts w:ascii="Palatino Linotype" w:eastAsia="Palatino Linotype" w:hAnsi="Palatino Linotype" w:cs="Palatino Linotype"/>
        </w:rPr>
      </w:pPr>
    </w:p>
    <w:p w14:paraId="26C2D57A" w14:textId="77777777" w:rsidR="00A93491" w:rsidRPr="00C74D31" w:rsidRDefault="00A93491" w:rsidP="00A93491">
      <w:pPr>
        <w:tabs>
          <w:tab w:val="left" w:pos="7938"/>
        </w:tabs>
        <w:spacing w:line="276" w:lineRule="auto"/>
        <w:ind w:left="567" w:right="902"/>
        <w:jc w:val="both"/>
        <w:rPr>
          <w:rFonts w:ascii="Palatino Linotype" w:eastAsia="Palatino Linotype" w:hAnsi="Palatino Linotype" w:cs="Palatino Linotype"/>
          <w:i/>
        </w:rPr>
      </w:pPr>
      <w:r w:rsidRPr="00C74D31">
        <w:rPr>
          <w:rFonts w:ascii="Palatino Linotype" w:eastAsia="Palatino Linotype" w:hAnsi="Palatino Linotype" w:cs="Palatino Linotype"/>
          <w:i/>
        </w:rPr>
        <w:t>“</w:t>
      </w:r>
      <w:r w:rsidRPr="00C74D31">
        <w:rPr>
          <w:rFonts w:ascii="Palatino Linotype" w:eastAsia="Palatino Linotype" w:hAnsi="Palatino Linotype" w:cs="Palatino Linotype"/>
          <w:b/>
          <w:i/>
        </w:rPr>
        <w:t>Artículo 191</w:t>
      </w:r>
      <w:r w:rsidRPr="00C74D31">
        <w:rPr>
          <w:rFonts w:ascii="Palatino Linotype" w:eastAsia="Palatino Linotype" w:hAnsi="Palatino Linotype" w:cs="Palatino Linotype"/>
          <w:i/>
        </w:rPr>
        <w:t xml:space="preserve">. </w:t>
      </w:r>
      <w:r w:rsidRPr="00C74D31">
        <w:rPr>
          <w:rFonts w:ascii="Palatino Linotype" w:eastAsia="Palatino Linotype" w:hAnsi="Palatino Linotype" w:cs="Palatino Linotype"/>
          <w:b/>
          <w:i/>
        </w:rPr>
        <w:t>El recurso</w:t>
      </w:r>
      <w:r w:rsidRPr="00C74D31">
        <w:rPr>
          <w:rFonts w:ascii="Palatino Linotype" w:eastAsia="Palatino Linotype" w:hAnsi="Palatino Linotype" w:cs="Palatino Linotype"/>
          <w:i/>
        </w:rPr>
        <w:t xml:space="preserve"> </w:t>
      </w:r>
      <w:r w:rsidRPr="00C74D31">
        <w:rPr>
          <w:rFonts w:ascii="Palatino Linotype" w:eastAsia="Palatino Linotype" w:hAnsi="Palatino Linotype" w:cs="Palatino Linotype"/>
          <w:b/>
          <w:i/>
        </w:rPr>
        <w:t xml:space="preserve">será </w:t>
      </w:r>
      <w:r w:rsidRPr="00C74D31">
        <w:rPr>
          <w:rFonts w:ascii="Palatino Linotype" w:eastAsia="Palatino Linotype" w:hAnsi="Palatino Linotype" w:cs="Palatino Linotype"/>
          <w:i/>
        </w:rPr>
        <w:t xml:space="preserve">desechado por </w:t>
      </w:r>
      <w:r w:rsidRPr="00C74D31">
        <w:rPr>
          <w:rFonts w:ascii="Palatino Linotype" w:eastAsia="Palatino Linotype" w:hAnsi="Palatino Linotype" w:cs="Palatino Linotype"/>
          <w:b/>
          <w:i/>
        </w:rPr>
        <w:t>improcedente cuando</w:t>
      </w:r>
      <w:r w:rsidRPr="00C74D31">
        <w:rPr>
          <w:rFonts w:ascii="Palatino Linotype" w:eastAsia="Palatino Linotype" w:hAnsi="Palatino Linotype" w:cs="Palatino Linotype"/>
          <w:i/>
        </w:rPr>
        <w:t>:</w:t>
      </w:r>
    </w:p>
    <w:p w14:paraId="1B847A2C" w14:textId="77777777" w:rsidR="00A93491" w:rsidRPr="00C74D31" w:rsidRDefault="00A93491" w:rsidP="00A93491">
      <w:pPr>
        <w:tabs>
          <w:tab w:val="left" w:pos="7938"/>
        </w:tabs>
        <w:spacing w:line="276" w:lineRule="auto"/>
        <w:ind w:left="567" w:right="902"/>
        <w:jc w:val="both"/>
        <w:rPr>
          <w:rFonts w:ascii="Palatino Linotype" w:eastAsia="Palatino Linotype" w:hAnsi="Palatino Linotype" w:cs="Palatino Linotype"/>
          <w:i/>
        </w:rPr>
      </w:pPr>
      <w:r w:rsidRPr="00C74D31">
        <w:rPr>
          <w:rFonts w:ascii="Palatino Linotype" w:eastAsia="Palatino Linotype" w:hAnsi="Palatino Linotype" w:cs="Palatino Linotype"/>
          <w:i/>
        </w:rPr>
        <w:t>…</w:t>
      </w:r>
    </w:p>
    <w:p w14:paraId="444F9D16" w14:textId="77777777" w:rsidR="00A93491" w:rsidRPr="00C74D31" w:rsidRDefault="00A93491" w:rsidP="00A93491">
      <w:pPr>
        <w:tabs>
          <w:tab w:val="left" w:pos="7938"/>
        </w:tabs>
        <w:spacing w:line="276" w:lineRule="auto"/>
        <w:ind w:left="567" w:right="902"/>
        <w:jc w:val="both"/>
        <w:rPr>
          <w:rFonts w:ascii="Palatino Linotype" w:eastAsia="Palatino Linotype" w:hAnsi="Palatino Linotype" w:cs="Palatino Linotype"/>
          <w:b/>
          <w:i/>
        </w:rPr>
      </w:pPr>
      <w:r w:rsidRPr="00C74D31">
        <w:rPr>
          <w:rFonts w:ascii="Palatino Linotype" w:eastAsia="Palatino Linotype" w:hAnsi="Palatino Linotype" w:cs="Palatino Linotype"/>
          <w:b/>
          <w:i/>
        </w:rPr>
        <w:t>VI. Se trate de una consulta</w:t>
      </w:r>
      <w:r w:rsidRPr="00C74D31">
        <w:rPr>
          <w:rFonts w:ascii="Palatino Linotype" w:eastAsia="Palatino Linotype" w:hAnsi="Palatino Linotype" w:cs="Palatino Linotype"/>
          <w:i/>
        </w:rPr>
        <w:t>, o trámite en específico</w:t>
      </w:r>
      <w:r w:rsidRPr="00C74D31">
        <w:rPr>
          <w:rFonts w:ascii="Palatino Linotype" w:eastAsia="Palatino Linotype" w:hAnsi="Palatino Linotype" w:cs="Palatino Linotype"/>
          <w:b/>
          <w:i/>
        </w:rPr>
        <w:t xml:space="preserve">; </w:t>
      </w:r>
    </w:p>
    <w:p w14:paraId="3D4A2A30" w14:textId="77777777" w:rsidR="00A93491" w:rsidRPr="00C74D31" w:rsidRDefault="00A93491" w:rsidP="00A93491">
      <w:pPr>
        <w:tabs>
          <w:tab w:val="left" w:pos="7938"/>
        </w:tabs>
        <w:spacing w:line="276" w:lineRule="auto"/>
        <w:ind w:left="567" w:right="902"/>
        <w:jc w:val="both"/>
        <w:rPr>
          <w:rFonts w:ascii="Palatino Linotype" w:eastAsia="Palatino Linotype" w:hAnsi="Palatino Linotype" w:cs="Palatino Linotype"/>
          <w:b/>
          <w:i/>
        </w:rPr>
      </w:pPr>
      <w:r w:rsidRPr="00C74D31">
        <w:rPr>
          <w:rFonts w:ascii="Palatino Linotype" w:eastAsia="Palatino Linotype" w:hAnsi="Palatino Linotype" w:cs="Palatino Linotype"/>
          <w:b/>
          <w:i/>
        </w:rPr>
        <w:t>…</w:t>
      </w:r>
    </w:p>
    <w:p w14:paraId="61413B11" w14:textId="77777777" w:rsidR="00A93491" w:rsidRPr="00C74D31" w:rsidRDefault="00A93491" w:rsidP="00A93491">
      <w:pPr>
        <w:tabs>
          <w:tab w:val="left" w:pos="7938"/>
        </w:tabs>
        <w:spacing w:line="276" w:lineRule="auto"/>
        <w:ind w:left="567" w:right="902"/>
        <w:jc w:val="both"/>
        <w:rPr>
          <w:rFonts w:ascii="Palatino Linotype" w:eastAsia="Palatino Linotype" w:hAnsi="Palatino Linotype" w:cs="Palatino Linotype"/>
          <w:b/>
          <w:i/>
        </w:rPr>
      </w:pPr>
      <w:r w:rsidRPr="00C74D31">
        <w:rPr>
          <w:rFonts w:ascii="Palatino Linotype" w:eastAsia="Palatino Linotype" w:hAnsi="Palatino Linotype" w:cs="Palatino Linotype"/>
          <w:b/>
          <w:i/>
        </w:rPr>
        <w:t>VII. El recurrente amplíe su solicitud en el recurso de revisión, únicamente respecto de los nuevos contenidos.</w:t>
      </w:r>
    </w:p>
    <w:p w14:paraId="1E83EDE5" w14:textId="77777777" w:rsidR="00A93491" w:rsidRPr="00C74D31" w:rsidRDefault="00A93491" w:rsidP="00A93491">
      <w:pPr>
        <w:tabs>
          <w:tab w:val="left" w:pos="7938"/>
        </w:tabs>
        <w:spacing w:line="276" w:lineRule="auto"/>
        <w:ind w:left="567" w:right="902"/>
        <w:jc w:val="both"/>
        <w:rPr>
          <w:rFonts w:ascii="Palatino Linotype" w:eastAsia="Palatino Linotype" w:hAnsi="Palatino Linotype" w:cs="Palatino Linotype"/>
          <w:b/>
          <w:i/>
        </w:rPr>
      </w:pPr>
    </w:p>
    <w:p w14:paraId="464A2130" w14:textId="77777777" w:rsidR="00A93491" w:rsidRPr="00C74D31" w:rsidRDefault="00A93491" w:rsidP="00A93491">
      <w:pPr>
        <w:tabs>
          <w:tab w:val="left" w:pos="7938"/>
        </w:tabs>
        <w:spacing w:line="276" w:lineRule="auto"/>
        <w:ind w:left="567" w:right="902"/>
        <w:jc w:val="both"/>
        <w:rPr>
          <w:rFonts w:ascii="Palatino Linotype" w:eastAsia="Palatino Linotype" w:hAnsi="Palatino Linotype" w:cs="Palatino Linotype"/>
          <w:i/>
        </w:rPr>
      </w:pPr>
      <w:r w:rsidRPr="00C74D31">
        <w:rPr>
          <w:rFonts w:ascii="Palatino Linotype" w:eastAsia="Palatino Linotype" w:hAnsi="Palatino Linotype" w:cs="Palatino Linotype"/>
          <w:b/>
          <w:i/>
        </w:rPr>
        <w:t>Artículo 192.</w:t>
      </w:r>
      <w:r w:rsidRPr="00C74D31">
        <w:rPr>
          <w:rFonts w:ascii="Palatino Linotype" w:eastAsia="Palatino Linotype" w:hAnsi="Palatino Linotype" w:cs="Palatino Linotype"/>
          <w:i/>
        </w:rPr>
        <w:t xml:space="preserve"> El recurso será sobreseído, en todo o en parte, cuando una vez admitido, se actualicen alguno de los siguientes supuestos:</w:t>
      </w:r>
    </w:p>
    <w:p w14:paraId="24E814B7" w14:textId="77777777" w:rsidR="00A93491" w:rsidRPr="00C74D31" w:rsidRDefault="00A93491" w:rsidP="00A93491">
      <w:pPr>
        <w:tabs>
          <w:tab w:val="left" w:pos="7938"/>
        </w:tabs>
        <w:spacing w:line="276" w:lineRule="auto"/>
        <w:ind w:left="567" w:right="902"/>
        <w:jc w:val="both"/>
        <w:rPr>
          <w:rFonts w:ascii="Palatino Linotype" w:eastAsia="Palatino Linotype" w:hAnsi="Palatino Linotype" w:cs="Palatino Linotype"/>
          <w:i/>
        </w:rPr>
      </w:pPr>
      <w:r w:rsidRPr="00C74D31">
        <w:rPr>
          <w:rFonts w:ascii="Palatino Linotype" w:eastAsia="Palatino Linotype" w:hAnsi="Palatino Linotype" w:cs="Palatino Linotype"/>
          <w:i/>
        </w:rPr>
        <w:t>…</w:t>
      </w:r>
    </w:p>
    <w:p w14:paraId="766F87FE" w14:textId="77777777" w:rsidR="00A93491" w:rsidRPr="00C74D31" w:rsidRDefault="00A93491" w:rsidP="00A93491">
      <w:pPr>
        <w:tabs>
          <w:tab w:val="left" w:pos="7938"/>
        </w:tabs>
        <w:spacing w:line="276" w:lineRule="auto"/>
        <w:ind w:left="567" w:right="902"/>
        <w:jc w:val="both"/>
        <w:rPr>
          <w:rFonts w:ascii="Palatino Linotype" w:eastAsia="Palatino Linotype" w:hAnsi="Palatino Linotype" w:cs="Palatino Linotype"/>
          <w:i/>
        </w:rPr>
      </w:pPr>
      <w:r w:rsidRPr="00C74D31">
        <w:rPr>
          <w:rFonts w:ascii="Palatino Linotype" w:eastAsia="Palatino Linotype" w:hAnsi="Palatino Linotype" w:cs="Palatino Linotype"/>
          <w:b/>
          <w:i/>
        </w:rPr>
        <w:t>IV</w:t>
      </w:r>
      <w:r w:rsidRPr="00C74D31">
        <w:rPr>
          <w:rFonts w:ascii="Palatino Linotype" w:eastAsia="Palatino Linotype" w:hAnsi="Palatino Linotype" w:cs="Palatino Linotype"/>
          <w:i/>
        </w:rPr>
        <w:t xml:space="preserve">. Admitido el recurso de revisión, </w:t>
      </w:r>
      <w:r w:rsidRPr="00C74D31">
        <w:rPr>
          <w:rFonts w:ascii="Palatino Linotype" w:eastAsia="Palatino Linotype" w:hAnsi="Palatino Linotype" w:cs="Palatino Linotype"/>
          <w:b/>
          <w:i/>
        </w:rPr>
        <w:t>aparezca alguna causal de improcedencia</w:t>
      </w:r>
      <w:r w:rsidRPr="00C74D31">
        <w:rPr>
          <w:rFonts w:ascii="Palatino Linotype" w:eastAsia="Palatino Linotype" w:hAnsi="Palatino Linotype" w:cs="Palatino Linotype"/>
          <w:i/>
        </w:rPr>
        <w:t xml:space="preserve"> en los términos de la presente Ley. “</w:t>
      </w:r>
    </w:p>
    <w:p w14:paraId="2FC12179" w14:textId="77777777" w:rsidR="00A93491" w:rsidRPr="00C74D31" w:rsidRDefault="00A93491" w:rsidP="00A93491">
      <w:pPr>
        <w:tabs>
          <w:tab w:val="left" w:pos="7938"/>
        </w:tabs>
        <w:spacing w:line="360" w:lineRule="auto"/>
        <w:ind w:left="567" w:right="902"/>
        <w:jc w:val="both"/>
        <w:rPr>
          <w:rFonts w:ascii="Palatino Linotype" w:eastAsia="Palatino Linotype" w:hAnsi="Palatino Linotype" w:cs="Palatino Linotype"/>
          <w:i/>
        </w:rPr>
      </w:pPr>
    </w:p>
    <w:p w14:paraId="1F2DDEB9" w14:textId="77777777"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t xml:space="preserve">Siendo el </w:t>
      </w:r>
      <w:r w:rsidRPr="00C74D31">
        <w:rPr>
          <w:rFonts w:ascii="Palatino Linotype" w:eastAsia="Palatino Linotype" w:hAnsi="Palatino Linotype" w:cs="Palatino Linotype"/>
          <w:b/>
          <w:i/>
        </w:rPr>
        <w:t>sobreseimiento</w:t>
      </w:r>
      <w:r w:rsidRPr="00C74D31">
        <w:rPr>
          <w:rFonts w:ascii="Palatino Linotype" w:eastAsia="Palatino Linotype" w:hAnsi="Palatino Linotype" w:cs="Palatino Linotype"/>
          <w:b/>
        </w:rPr>
        <w:t xml:space="preserve"> </w:t>
      </w:r>
      <w:r w:rsidRPr="00C74D31">
        <w:rPr>
          <w:rFonts w:ascii="Palatino Linotype" w:eastAsia="Palatino Linotype" w:hAnsi="Palatino Linotype" w:cs="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3DC628C9" w14:textId="77777777" w:rsidR="00A93491" w:rsidRPr="00C74D31" w:rsidRDefault="00A93491" w:rsidP="00A93491">
      <w:pPr>
        <w:spacing w:line="360" w:lineRule="auto"/>
        <w:jc w:val="both"/>
        <w:rPr>
          <w:rFonts w:ascii="Palatino Linotype" w:eastAsia="Palatino Linotype" w:hAnsi="Palatino Linotype" w:cs="Palatino Linotype"/>
        </w:rPr>
      </w:pPr>
    </w:p>
    <w:p w14:paraId="76178F18" w14:textId="77777777" w:rsidR="00A93491" w:rsidRPr="00C74D31" w:rsidRDefault="00A93491" w:rsidP="00A93491">
      <w:pPr>
        <w:spacing w:line="276" w:lineRule="auto"/>
        <w:ind w:left="567" w:right="902"/>
        <w:jc w:val="both"/>
        <w:rPr>
          <w:rFonts w:ascii="Palatino Linotype" w:eastAsia="Palatino Linotype" w:hAnsi="Palatino Linotype" w:cs="Palatino Linotype"/>
          <w:b/>
          <w:i/>
        </w:rPr>
      </w:pPr>
      <w:r w:rsidRPr="00C74D31">
        <w:rPr>
          <w:rFonts w:ascii="Palatino Linotype" w:eastAsia="Palatino Linotype" w:hAnsi="Palatino Linotype" w:cs="Palatino Linotype"/>
          <w:i/>
        </w:rPr>
        <w:t>“</w:t>
      </w:r>
      <w:r w:rsidRPr="00C74D31">
        <w:rPr>
          <w:rFonts w:ascii="Palatino Linotype" w:eastAsia="Palatino Linotype" w:hAnsi="Palatino Linotype" w:cs="Palatino Linotype"/>
          <w:b/>
          <w:i/>
        </w:rPr>
        <w:t xml:space="preserve">SOBRESEIMIENTO, NO PERMITE ENTRAR AL ESTUDIO DE LAS CUESTIONES DE FONDO. </w:t>
      </w:r>
      <w:r w:rsidRPr="00C74D31">
        <w:rPr>
          <w:rFonts w:ascii="Palatino Linotype" w:eastAsia="Palatino Linotype" w:hAnsi="Palatino Linotype" w:cs="Palatino Linotype"/>
          <w:i/>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00D97107" w14:textId="77777777" w:rsidR="00A93491" w:rsidRPr="00C74D31" w:rsidRDefault="00A93491" w:rsidP="00A93491">
      <w:pPr>
        <w:spacing w:line="360" w:lineRule="auto"/>
        <w:jc w:val="both"/>
        <w:rPr>
          <w:rFonts w:ascii="Palatino Linotype" w:eastAsia="Palatino Linotype" w:hAnsi="Palatino Linotype" w:cs="Palatino Linotype"/>
        </w:rPr>
      </w:pPr>
    </w:p>
    <w:p w14:paraId="30D1BCD6" w14:textId="77777777"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14:paraId="7946266C" w14:textId="77777777" w:rsidR="00A93491" w:rsidRPr="00C74D31" w:rsidRDefault="00A93491" w:rsidP="00A93491">
      <w:pPr>
        <w:spacing w:line="360" w:lineRule="auto"/>
        <w:jc w:val="both"/>
        <w:rPr>
          <w:rFonts w:ascii="Palatino Linotype" w:eastAsia="Palatino Linotype" w:hAnsi="Palatino Linotype" w:cs="Palatino Linotype"/>
        </w:rPr>
      </w:pPr>
    </w:p>
    <w:p w14:paraId="133CE9EC" w14:textId="77777777" w:rsidR="00A93491" w:rsidRPr="00C74D31" w:rsidRDefault="00A93491" w:rsidP="00A93491">
      <w:pPr>
        <w:spacing w:line="276" w:lineRule="auto"/>
        <w:ind w:left="567" w:right="567"/>
        <w:jc w:val="both"/>
        <w:rPr>
          <w:rFonts w:ascii="Palatino Linotype" w:eastAsia="Palatino Linotype" w:hAnsi="Palatino Linotype" w:cs="Palatino Linotype"/>
          <w:b/>
          <w:i/>
        </w:rPr>
      </w:pPr>
      <w:r w:rsidRPr="00C74D31">
        <w:rPr>
          <w:rFonts w:ascii="Palatino Linotype" w:eastAsia="Palatino Linotype" w:hAnsi="Palatino Linotype" w:cs="Palatino Linotype"/>
          <w:b/>
          <w:i/>
        </w:rPr>
        <w:t xml:space="preserve">“DESECHAMIENTO O SOBRESEIMIENTO EN EL JUICIO DE AMPARO. NO IMPLICA DENEGACIÓN DE JUSTICIA NI GENERA INSEGURIDAD JURÍDICA” </w:t>
      </w:r>
      <w:r w:rsidRPr="00C74D31">
        <w:rPr>
          <w:rFonts w:ascii="Palatino Linotype" w:eastAsia="Palatino Linotype" w:hAnsi="Palatino Linotype" w:cs="Palatino Linotype"/>
          <w:i/>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2E6B52A" w14:textId="77777777" w:rsidR="00A93491" w:rsidRPr="00C74D31" w:rsidRDefault="00A93491" w:rsidP="00A93491">
      <w:pPr>
        <w:spacing w:line="360" w:lineRule="auto"/>
        <w:jc w:val="both"/>
        <w:rPr>
          <w:rFonts w:ascii="Palatino Linotype" w:eastAsia="Palatino Linotype" w:hAnsi="Palatino Linotype" w:cs="Palatino Linotype"/>
        </w:rPr>
      </w:pPr>
    </w:p>
    <w:p w14:paraId="07C0C91A" w14:textId="77777777" w:rsidR="00A93491" w:rsidRPr="00C74D31" w:rsidRDefault="00A93491" w:rsidP="00A93491">
      <w:pPr>
        <w:spacing w:line="360" w:lineRule="auto"/>
        <w:ind w:right="49"/>
        <w:jc w:val="both"/>
        <w:rPr>
          <w:rFonts w:ascii="Palatino Linotype" w:eastAsia="Palatino Linotype" w:hAnsi="Palatino Linotype" w:cs="Palatino Linotype"/>
        </w:rPr>
      </w:pPr>
      <w:r w:rsidRPr="00C74D31">
        <w:rPr>
          <w:rFonts w:ascii="Palatino Linotype" w:eastAsia="Palatino Linotype" w:hAnsi="Palatino Linotype" w:cs="Palatino Linotype"/>
        </w:rPr>
        <w:t>Así las cosas, con fundamento en lo prescrito en los artículos 5 párrafos trigésimo segundo, trigésimo tercero y trigésimo cuarto de la Constitución Política del Estado Libre y Soberano de México; 2, fracción II; 29, 36 fracciones I y II; 176, 178, 179, 181, 185, 191 fracción VI y 192, fracción IV, de la Ley de Transparencia y Acceso a la Información Pública del Estado de México y Municipios, este Pleno:</w:t>
      </w:r>
    </w:p>
    <w:p w14:paraId="09EFB0CE" w14:textId="77777777" w:rsidR="00A93491" w:rsidRPr="00C74D31" w:rsidRDefault="00A93491" w:rsidP="00A93491">
      <w:pPr>
        <w:spacing w:line="360" w:lineRule="auto"/>
        <w:ind w:right="49"/>
        <w:jc w:val="both"/>
        <w:rPr>
          <w:rFonts w:ascii="Palatino Linotype" w:eastAsia="Palatino Linotype" w:hAnsi="Palatino Linotype" w:cs="Palatino Linotype"/>
        </w:rPr>
      </w:pPr>
    </w:p>
    <w:p w14:paraId="4B5E97D1" w14:textId="77777777" w:rsidR="00A93491" w:rsidRPr="00C74D31" w:rsidRDefault="00A93491" w:rsidP="00A93491">
      <w:pPr>
        <w:spacing w:line="360" w:lineRule="auto"/>
        <w:ind w:left="360"/>
        <w:jc w:val="center"/>
        <w:rPr>
          <w:rFonts w:ascii="Palatino Linotype" w:eastAsia="Palatino Linotype" w:hAnsi="Palatino Linotype" w:cs="Palatino Linotype"/>
          <w:b/>
        </w:rPr>
      </w:pPr>
      <w:r w:rsidRPr="00C74D31">
        <w:rPr>
          <w:rFonts w:ascii="Palatino Linotype" w:eastAsia="Palatino Linotype" w:hAnsi="Palatino Linotype" w:cs="Palatino Linotype"/>
          <w:b/>
        </w:rPr>
        <w:t>III. R E S U E L V E:</w:t>
      </w:r>
    </w:p>
    <w:p w14:paraId="06F3039F" w14:textId="77777777" w:rsidR="00A93491" w:rsidRPr="00C74D31" w:rsidRDefault="00A93491" w:rsidP="00A93491">
      <w:pPr>
        <w:spacing w:line="360" w:lineRule="auto"/>
        <w:ind w:left="360"/>
        <w:jc w:val="center"/>
        <w:rPr>
          <w:rFonts w:ascii="Palatino Linotype" w:eastAsia="Palatino Linotype" w:hAnsi="Palatino Linotype" w:cs="Palatino Linotype"/>
          <w:b/>
        </w:rPr>
      </w:pPr>
    </w:p>
    <w:p w14:paraId="33DEA44F" w14:textId="3369BB94"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b/>
        </w:rPr>
        <w:t>Primero.</w:t>
      </w:r>
      <w:r w:rsidRPr="00C74D31">
        <w:rPr>
          <w:rFonts w:ascii="Palatino Linotype" w:eastAsia="Palatino Linotype" w:hAnsi="Palatino Linotype" w:cs="Palatino Linotype"/>
        </w:rPr>
        <w:t xml:space="preserve"> Se </w:t>
      </w:r>
      <w:r w:rsidRPr="00C74D31">
        <w:rPr>
          <w:rFonts w:ascii="Palatino Linotype" w:eastAsia="Palatino Linotype" w:hAnsi="Palatino Linotype" w:cs="Palatino Linotype"/>
          <w:b/>
        </w:rPr>
        <w:t>SOBRESEE</w:t>
      </w:r>
      <w:r w:rsidRPr="00C74D31">
        <w:rPr>
          <w:rFonts w:ascii="Palatino Linotype" w:eastAsia="Palatino Linotype" w:hAnsi="Palatino Linotype" w:cs="Palatino Linotype"/>
        </w:rPr>
        <w:t xml:space="preserve"> el Recurso de Revisión número </w:t>
      </w:r>
      <w:r w:rsidR="00126459" w:rsidRPr="00C74D31">
        <w:rPr>
          <w:rFonts w:ascii="Palatino Linotype" w:eastAsia="Palatino Linotype" w:hAnsi="Palatino Linotype" w:cs="Palatino Linotype"/>
          <w:b/>
          <w:szCs w:val="22"/>
        </w:rPr>
        <w:t>00089/INFOEM/IP/RR/2025</w:t>
      </w:r>
      <w:r w:rsidRPr="00C74D31">
        <w:rPr>
          <w:rFonts w:ascii="Palatino Linotype" w:eastAsia="Palatino Linotype" w:hAnsi="Palatino Linotype" w:cs="Palatino Linotype"/>
        </w:rPr>
        <w:t xml:space="preserve">, por actualizarse la causal de improcedencia prevista en la fracción IV del artículo 192, en relación con las fracciones VI y VII del artículo 191, ambos de la Ley de Transparencia vigente en la entidad, en términos del Considerando </w:t>
      </w:r>
      <w:r w:rsidRPr="00C74D31">
        <w:rPr>
          <w:rFonts w:ascii="Palatino Linotype" w:eastAsia="Palatino Linotype" w:hAnsi="Palatino Linotype" w:cs="Palatino Linotype"/>
          <w:b/>
        </w:rPr>
        <w:t>TERCERO</w:t>
      </w:r>
      <w:r w:rsidRPr="00C74D31">
        <w:rPr>
          <w:rFonts w:ascii="Palatino Linotype" w:eastAsia="Palatino Linotype" w:hAnsi="Palatino Linotype" w:cs="Palatino Linotype"/>
        </w:rPr>
        <w:t xml:space="preserve"> de la presente resolución.</w:t>
      </w:r>
    </w:p>
    <w:p w14:paraId="7F52315A" w14:textId="77777777" w:rsidR="00A93491" w:rsidRPr="00C74D31" w:rsidRDefault="00A93491" w:rsidP="00A93491">
      <w:pPr>
        <w:spacing w:line="360" w:lineRule="auto"/>
        <w:jc w:val="both"/>
        <w:rPr>
          <w:rFonts w:ascii="Palatino Linotype" w:eastAsia="Palatino Linotype" w:hAnsi="Palatino Linotype" w:cs="Palatino Linotype"/>
        </w:rPr>
      </w:pPr>
    </w:p>
    <w:p w14:paraId="0F3C54EA" w14:textId="77777777" w:rsidR="00A93491" w:rsidRPr="00C74D31" w:rsidRDefault="00A93491" w:rsidP="00A93491">
      <w:pPr>
        <w:spacing w:line="360" w:lineRule="auto"/>
        <w:jc w:val="both"/>
        <w:rPr>
          <w:rFonts w:ascii="Palatino Linotype" w:eastAsia="Palatino Linotype" w:hAnsi="Palatino Linotype" w:cs="Palatino Linotype"/>
          <w:b/>
        </w:rPr>
      </w:pPr>
      <w:r w:rsidRPr="00C74D31">
        <w:rPr>
          <w:rFonts w:ascii="Palatino Linotype" w:eastAsia="Palatino Linotype" w:hAnsi="Palatino Linotype" w:cs="Palatino Linotype"/>
          <w:b/>
        </w:rPr>
        <w:t>Segundo. Notifíquese vía SAIMEX</w:t>
      </w:r>
      <w:r w:rsidRPr="00C74D31">
        <w:rPr>
          <w:rFonts w:ascii="Palatino Linotype" w:eastAsia="Palatino Linotype" w:hAnsi="Palatino Linotype" w:cs="Palatino Linotype"/>
        </w:rPr>
        <w:t>,</w:t>
      </w:r>
      <w:r w:rsidRPr="00C74D31">
        <w:rPr>
          <w:rFonts w:ascii="Palatino Linotype" w:eastAsia="Palatino Linotype" w:hAnsi="Palatino Linotype" w:cs="Palatino Linotype"/>
          <w:b/>
        </w:rPr>
        <w:t xml:space="preserve"> </w:t>
      </w:r>
      <w:r w:rsidRPr="00C74D31">
        <w:rPr>
          <w:rFonts w:ascii="Palatino Linotype" w:eastAsia="Palatino Linotype" w:hAnsi="Palatino Linotype" w:cs="Palatino Linotype"/>
        </w:rPr>
        <w:t>al Responsable de la Unidad de Transparencia del</w:t>
      </w:r>
      <w:r w:rsidRPr="00C74D31">
        <w:rPr>
          <w:rFonts w:ascii="Palatino Linotype" w:eastAsia="Palatino Linotype" w:hAnsi="Palatino Linotype" w:cs="Palatino Linotype"/>
          <w:b/>
        </w:rPr>
        <w:t xml:space="preserve"> SUJETO OBLIGADO </w:t>
      </w:r>
      <w:r w:rsidRPr="00C74D31">
        <w:rPr>
          <w:rFonts w:ascii="Palatino Linotype" w:eastAsia="Palatino Linotype" w:hAnsi="Palatino Linotype" w:cs="Palatino Linotype"/>
        </w:rPr>
        <w:t>la presente resolución, para su conocimiento, lo anterior en términos del artículo 189 de la Ley de Transparencia y Acceso a la Información Pública del Estado de México y Municipios.</w:t>
      </w:r>
    </w:p>
    <w:p w14:paraId="18925B5E" w14:textId="77777777" w:rsidR="00A93491" w:rsidRPr="00C74D31" w:rsidRDefault="00A93491" w:rsidP="00A93491">
      <w:pPr>
        <w:spacing w:line="360" w:lineRule="auto"/>
        <w:jc w:val="both"/>
        <w:rPr>
          <w:rFonts w:ascii="Palatino Linotype" w:eastAsia="Palatino Linotype" w:hAnsi="Palatino Linotype" w:cs="Palatino Linotype"/>
        </w:rPr>
      </w:pPr>
    </w:p>
    <w:p w14:paraId="41C7EE21" w14:textId="77777777" w:rsidR="00A93491" w:rsidRPr="00C74D31" w:rsidRDefault="00A93491" w:rsidP="00A93491">
      <w:pPr>
        <w:spacing w:line="360" w:lineRule="auto"/>
        <w:jc w:val="both"/>
        <w:rPr>
          <w:rFonts w:ascii="Palatino Linotype" w:eastAsia="Palatino Linotype" w:hAnsi="Palatino Linotype" w:cs="Palatino Linotype"/>
        </w:rPr>
      </w:pPr>
      <w:r w:rsidRPr="00C74D31">
        <w:rPr>
          <w:rFonts w:ascii="Palatino Linotype" w:eastAsia="Palatino Linotype" w:hAnsi="Palatino Linotype" w:cs="Palatino Linotype"/>
          <w:b/>
        </w:rPr>
        <w:t xml:space="preserve">Tercero.  Notifíquese vía SAIMEX, </w:t>
      </w:r>
      <w:r w:rsidRPr="00C74D31">
        <w:rPr>
          <w:rFonts w:ascii="Palatino Linotype" w:eastAsia="Palatino Linotype" w:hAnsi="Palatino Linotype" w:cs="Palatino Linotype"/>
        </w:rPr>
        <w:t xml:space="preserve">la presente resolución al </w:t>
      </w:r>
      <w:r w:rsidRPr="00C74D31">
        <w:rPr>
          <w:rFonts w:ascii="Palatino Linotype" w:eastAsia="Palatino Linotype" w:hAnsi="Palatino Linotype" w:cs="Palatino Linotype"/>
          <w:b/>
        </w:rPr>
        <w:t>RECURRENTE</w:t>
      </w:r>
      <w:r w:rsidRPr="00C74D31">
        <w:rPr>
          <w:rFonts w:ascii="Palatino Linotype" w:eastAsia="Palatino Linotype" w:hAnsi="Palatino Linotype" w:cs="Palatino Linotype"/>
        </w:rPr>
        <w:t>, y hágase del conocimiento que en caso de que considere que la presente resolución le causa algún perjuicio, podrá promover el Juicio de Amparo en los términos de las leyes aplicables, de acuerdo con lo estipulado por el artículo 196 de la Ley de Transparencia y Acceso a la Información Pública del Estado de México y Municipios.</w:t>
      </w:r>
    </w:p>
    <w:p w14:paraId="1E28D0A4" w14:textId="77777777" w:rsidR="00A93491" w:rsidRPr="00C74D31" w:rsidRDefault="00A93491" w:rsidP="00C81082">
      <w:pPr>
        <w:spacing w:line="360" w:lineRule="auto"/>
        <w:jc w:val="both"/>
        <w:rPr>
          <w:rFonts w:ascii="Palatino Linotype" w:eastAsia="Palatino Linotype" w:hAnsi="Palatino Linotype" w:cs="Palatino Linotype"/>
          <w:b/>
          <w:sz w:val="22"/>
        </w:rPr>
      </w:pPr>
    </w:p>
    <w:p w14:paraId="01B9F5EC" w14:textId="5D19270E" w:rsidR="006D5E1C" w:rsidRPr="00257E54" w:rsidRDefault="005204B5" w:rsidP="00D450E9">
      <w:pPr>
        <w:spacing w:line="360" w:lineRule="auto"/>
        <w:jc w:val="both"/>
        <w:rPr>
          <w:rFonts w:ascii="Palatino Linotype" w:eastAsia="Palatino Linotype" w:hAnsi="Palatino Linotype" w:cs="Palatino Linotype"/>
          <w:sz w:val="22"/>
          <w:szCs w:val="22"/>
        </w:rPr>
      </w:pPr>
      <w:r w:rsidRPr="00C74D31">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w:t>
      </w:r>
      <w:r w:rsidRPr="00C74D31">
        <w:rPr>
          <w:rFonts w:ascii="Palatino Linotype" w:eastAsia="Palatino Linotype" w:hAnsi="Palatino Linotype" w:cs="Palatino Linotype"/>
          <w:sz w:val="22"/>
          <w:szCs w:val="22"/>
        </w:rPr>
        <w:lastRenderedPageBreak/>
        <w:t xml:space="preserve">AYALA, SHARON CRISTINA MORALES MARTÍNEZ, LUIS GUSTAVO PARRA NORIEGA; Y GUADALUPE RAMÍREZ PEÑA; EN LA </w:t>
      </w:r>
      <w:r w:rsidR="00126459" w:rsidRPr="00C74D31">
        <w:rPr>
          <w:rFonts w:ascii="Palatino Linotype" w:eastAsia="Palatino Linotype" w:hAnsi="Palatino Linotype" w:cs="Palatino Linotype"/>
          <w:sz w:val="22"/>
          <w:szCs w:val="22"/>
        </w:rPr>
        <w:t>CUARTA</w:t>
      </w:r>
      <w:r w:rsidR="00407443" w:rsidRPr="00C74D31">
        <w:rPr>
          <w:rFonts w:ascii="Palatino Linotype" w:eastAsia="Palatino Linotype" w:hAnsi="Palatino Linotype" w:cs="Palatino Linotype"/>
          <w:sz w:val="22"/>
          <w:szCs w:val="22"/>
        </w:rPr>
        <w:t xml:space="preserve"> </w:t>
      </w:r>
      <w:r w:rsidR="00407443" w:rsidRPr="00C74D31">
        <w:rPr>
          <w:rFonts w:ascii="Palatino Linotype" w:eastAsia="Palatino Linotype" w:hAnsi="Palatino Linotype" w:cs="Palatino Linotype"/>
          <w:sz w:val="22"/>
          <w:szCs w:val="22"/>
        </w:rPr>
        <w:br/>
      </w:r>
      <w:r w:rsidRPr="00C74D31">
        <w:rPr>
          <w:rFonts w:ascii="Palatino Linotype" w:eastAsia="Palatino Linotype" w:hAnsi="Palatino Linotype" w:cs="Palatino Linotype"/>
          <w:sz w:val="22"/>
          <w:szCs w:val="22"/>
        </w:rPr>
        <w:t xml:space="preserve">SESIÓN ORDINARIA, CELEBRADA EL </w:t>
      </w:r>
      <w:r w:rsidR="00126459" w:rsidRPr="00C74D31">
        <w:rPr>
          <w:rFonts w:ascii="Palatino Linotype" w:eastAsia="Palatino Linotype" w:hAnsi="Palatino Linotype" w:cs="Palatino Linotype"/>
          <w:sz w:val="22"/>
          <w:szCs w:val="22"/>
        </w:rPr>
        <w:t>SEIS</w:t>
      </w:r>
      <w:r w:rsidR="00407443" w:rsidRPr="00C74D31">
        <w:rPr>
          <w:rFonts w:ascii="Palatino Linotype" w:eastAsia="Palatino Linotype" w:hAnsi="Palatino Linotype" w:cs="Palatino Linotype"/>
          <w:sz w:val="22"/>
          <w:szCs w:val="22"/>
        </w:rPr>
        <w:t xml:space="preserve"> DE </w:t>
      </w:r>
      <w:r w:rsidR="00126459" w:rsidRPr="00C74D31">
        <w:rPr>
          <w:rFonts w:ascii="Palatino Linotype" w:eastAsia="Palatino Linotype" w:hAnsi="Palatino Linotype" w:cs="Palatino Linotype"/>
          <w:sz w:val="22"/>
          <w:szCs w:val="22"/>
        </w:rPr>
        <w:t>FEBRERO</w:t>
      </w:r>
      <w:r w:rsidRPr="00C74D31">
        <w:rPr>
          <w:rFonts w:ascii="Palatino Linotype" w:eastAsia="Palatino Linotype" w:hAnsi="Palatino Linotype" w:cs="Palatino Linotype"/>
          <w:sz w:val="22"/>
          <w:szCs w:val="22"/>
        </w:rPr>
        <w:t xml:space="preserve"> DE DOS MIL VEINTI</w:t>
      </w:r>
      <w:r w:rsidR="00B52617" w:rsidRPr="00C74D31">
        <w:rPr>
          <w:rFonts w:ascii="Palatino Linotype" w:eastAsia="Palatino Linotype" w:hAnsi="Palatino Linotype" w:cs="Palatino Linotype"/>
          <w:sz w:val="22"/>
          <w:szCs w:val="22"/>
        </w:rPr>
        <w:t>C</w:t>
      </w:r>
      <w:r w:rsidR="00126459" w:rsidRPr="00C74D31">
        <w:rPr>
          <w:rFonts w:ascii="Palatino Linotype" w:eastAsia="Palatino Linotype" w:hAnsi="Palatino Linotype" w:cs="Palatino Linotype"/>
          <w:sz w:val="22"/>
          <w:szCs w:val="22"/>
        </w:rPr>
        <w:t>INCO</w:t>
      </w:r>
      <w:r w:rsidRPr="00C74D31">
        <w:rPr>
          <w:rFonts w:ascii="Palatino Linotype" w:eastAsia="Palatino Linotype" w:hAnsi="Palatino Linotype" w:cs="Palatino Linotype"/>
          <w:sz w:val="22"/>
          <w:szCs w:val="22"/>
        </w:rPr>
        <w:t>, ANTE EL SECRETARIO TÉCNICO DEL PLENO ALEXIS TAPIA RAMÍREZ.</w:t>
      </w:r>
      <w:r w:rsidRPr="00257E54">
        <w:rPr>
          <w:rFonts w:ascii="Palatino Linotype" w:eastAsia="Palatino Linotype" w:hAnsi="Palatino Linotype" w:cs="Palatino Linotype"/>
          <w:sz w:val="22"/>
          <w:szCs w:val="22"/>
        </w:rPr>
        <w:t xml:space="preserve"> </w:t>
      </w:r>
    </w:p>
    <w:p w14:paraId="561C1043" w14:textId="395C003A" w:rsidR="006D5E1C" w:rsidRPr="00257E54" w:rsidRDefault="006D5E1C" w:rsidP="00D450E9">
      <w:pPr>
        <w:rPr>
          <w:rFonts w:ascii="Palatino Linotype" w:eastAsia="Palatino Linotype" w:hAnsi="Palatino Linotype" w:cs="Palatino Linotype"/>
          <w:sz w:val="22"/>
          <w:szCs w:val="22"/>
        </w:rPr>
      </w:pPr>
    </w:p>
    <w:p w14:paraId="0DA8B6A8" w14:textId="0964A703" w:rsidR="006D5E1C" w:rsidRPr="00257E54" w:rsidRDefault="006D5E1C" w:rsidP="00D450E9">
      <w:pPr>
        <w:rPr>
          <w:rFonts w:ascii="Palatino Linotype" w:eastAsia="Palatino Linotype" w:hAnsi="Palatino Linotype" w:cs="Palatino Linotype"/>
          <w:sz w:val="22"/>
          <w:szCs w:val="22"/>
        </w:rPr>
      </w:pPr>
    </w:p>
    <w:p w14:paraId="1C740D1F" w14:textId="77777777" w:rsidR="006D5E1C" w:rsidRPr="00257E54" w:rsidRDefault="006D5E1C" w:rsidP="00D450E9">
      <w:pPr>
        <w:rPr>
          <w:rFonts w:ascii="Palatino Linotype" w:eastAsia="Palatino Linotype" w:hAnsi="Palatino Linotype" w:cs="Palatino Linotype"/>
          <w:sz w:val="22"/>
          <w:szCs w:val="22"/>
        </w:rPr>
      </w:pPr>
    </w:p>
    <w:p w14:paraId="2B2819AE" w14:textId="77777777" w:rsidR="006D5E1C" w:rsidRPr="00257E54" w:rsidRDefault="006D5E1C" w:rsidP="00D450E9">
      <w:pPr>
        <w:rPr>
          <w:rFonts w:ascii="Palatino Linotype" w:eastAsia="Palatino Linotype" w:hAnsi="Palatino Linotype" w:cs="Palatino Linotype"/>
          <w:sz w:val="22"/>
          <w:szCs w:val="22"/>
        </w:rPr>
      </w:pPr>
    </w:p>
    <w:p w14:paraId="3C6E03A0" w14:textId="77777777" w:rsidR="006D5E1C" w:rsidRPr="00257E54" w:rsidRDefault="006D5E1C" w:rsidP="00D450E9">
      <w:pPr>
        <w:rPr>
          <w:rFonts w:ascii="Palatino Linotype" w:eastAsia="Palatino Linotype" w:hAnsi="Palatino Linotype" w:cs="Palatino Linotype"/>
          <w:sz w:val="22"/>
          <w:szCs w:val="22"/>
        </w:rPr>
      </w:pPr>
    </w:p>
    <w:p w14:paraId="638DDBAD" w14:textId="77777777" w:rsidR="006D5E1C" w:rsidRPr="00257E54" w:rsidRDefault="006D5E1C" w:rsidP="00D450E9">
      <w:pPr>
        <w:rPr>
          <w:rFonts w:ascii="Palatino Linotype" w:eastAsia="Palatino Linotype" w:hAnsi="Palatino Linotype" w:cs="Palatino Linotype"/>
          <w:sz w:val="22"/>
          <w:szCs w:val="22"/>
        </w:rPr>
      </w:pPr>
    </w:p>
    <w:p w14:paraId="543171C9" w14:textId="77777777" w:rsidR="006D5E1C" w:rsidRPr="00257E54" w:rsidRDefault="006D5E1C" w:rsidP="00D450E9">
      <w:pPr>
        <w:rPr>
          <w:rFonts w:ascii="Palatino Linotype" w:eastAsia="Palatino Linotype" w:hAnsi="Palatino Linotype" w:cs="Palatino Linotype"/>
          <w:sz w:val="22"/>
          <w:szCs w:val="22"/>
        </w:rPr>
      </w:pPr>
    </w:p>
    <w:p w14:paraId="07E7021E" w14:textId="77777777" w:rsidR="006D5E1C" w:rsidRPr="00257E54" w:rsidRDefault="006D5E1C" w:rsidP="00D450E9">
      <w:pPr>
        <w:rPr>
          <w:rFonts w:ascii="Palatino Linotype" w:eastAsia="Palatino Linotype" w:hAnsi="Palatino Linotype" w:cs="Palatino Linotype"/>
          <w:sz w:val="22"/>
          <w:szCs w:val="22"/>
        </w:rPr>
      </w:pPr>
    </w:p>
    <w:p w14:paraId="4448E10F" w14:textId="77777777" w:rsidR="006D5E1C" w:rsidRPr="00257E54" w:rsidRDefault="006D5E1C" w:rsidP="00D450E9">
      <w:pPr>
        <w:rPr>
          <w:rFonts w:ascii="Palatino Linotype" w:eastAsia="Palatino Linotype" w:hAnsi="Palatino Linotype" w:cs="Palatino Linotype"/>
          <w:sz w:val="22"/>
          <w:szCs w:val="22"/>
        </w:rPr>
      </w:pPr>
    </w:p>
    <w:p w14:paraId="3AEEE413" w14:textId="77777777" w:rsidR="006D5E1C" w:rsidRPr="00257E54" w:rsidRDefault="006D5E1C" w:rsidP="00D450E9">
      <w:pPr>
        <w:rPr>
          <w:rFonts w:ascii="Palatino Linotype" w:eastAsia="Palatino Linotype" w:hAnsi="Palatino Linotype" w:cs="Palatino Linotype"/>
          <w:sz w:val="22"/>
          <w:szCs w:val="22"/>
        </w:rPr>
      </w:pPr>
    </w:p>
    <w:p w14:paraId="79B08EC1" w14:textId="77777777" w:rsidR="006D5E1C" w:rsidRPr="00257E54" w:rsidRDefault="006D5E1C" w:rsidP="00D450E9">
      <w:pPr>
        <w:rPr>
          <w:rFonts w:ascii="Palatino Linotype" w:eastAsia="Palatino Linotype" w:hAnsi="Palatino Linotype" w:cs="Palatino Linotype"/>
          <w:sz w:val="22"/>
          <w:szCs w:val="22"/>
        </w:rPr>
      </w:pPr>
    </w:p>
    <w:p w14:paraId="05618ADC"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bookmarkStart w:id="8" w:name="_heading=h.3rdcrjn" w:colFirst="0" w:colLast="0"/>
      <w:bookmarkEnd w:id="8"/>
    </w:p>
    <w:p w14:paraId="0A18E06F"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7766B2E0"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39E93030"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bookmarkStart w:id="9" w:name="_heading=h.1t3h5sf" w:colFirst="0" w:colLast="0"/>
      <w:bookmarkEnd w:id="9"/>
    </w:p>
    <w:p w14:paraId="41EA822C"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5C909891"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3239D090"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6F02EEA4"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5E89EA9C"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6BFA4533"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59DFA98A" w14:textId="77777777" w:rsidR="009C1E08" w:rsidRPr="00257E54" w:rsidRDefault="009C1E08" w:rsidP="00D450E9">
      <w:pPr>
        <w:spacing w:line="360" w:lineRule="auto"/>
        <w:jc w:val="both"/>
        <w:rPr>
          <w:rFonts w:ascii="Palatino Linotype" w:eastAsia="Palatino Linotype" w:hAnsi="Palatino Linotype" w:cs="Palatino Linotype"/>
          <w:sz w:val="22"/>
          <w:szCs w:val="22"/>
        </w:rPr>
      </w:pPr>
    </w:p>
    <w:p w14:paraId="3C6B28D9" w14:textId="77777777" w:rsidR="009C1E08" w:rsidRPr="00257E54" w:rsidRDefault="009C1E08" w:rsidP="00D450E9">
      <w:pPr>
        <w:spacing w:line="360" w:lineRule="auto"/>
        <w:jc w:val="both"/>
        <w:rPr>
          <w:rFonts w:ascii="Palatino Linotype" w:eastAsia="Palatino Linotype" w:hAnsi="Palatino Linotype" w:cs="Palatino Linotype"/>
          <w:sz w:val="22"/>
          <w:szCs w:val="22"/>
        </w:rPr>
      </w:pPr>
    </w:p>
    <w:p w14:paraId="19B937BF" w14:textId="77777777" w:rsidR="009C1E08" w:rsidRPr="00257E54" w:rsidRDefault="009C1E08" w:rsidP="00D450E9">
      <w:pPr>
        <w:spacing w:line="360" w:lineRule="auto"/>
        <w:jc w:val="both"/>
        <w:rPr>
          <w:rFonts w:ascii="Palatino Linotype" w:eastAsia="Palatino Linotype" w:hAnsi="Palatino Linotype" w:cs="Palatino Linotype"/>
          <w:sz w:val="22"/>
          <w:szCs w:val="22"/>
        </w:rPr>
      </w:pPr>
    </w:p>
    <w:p w14:paraId="17D94121" w14:textId="77777777" w:rsidR="009C1E08" w:rsidRPr="00257E54" w:rsidRDefault="009C1E08" w:rsidP="00D450E9">
      <w:pPr>
        <w:spacing w:line="360" w:lineRule="auto"/>
        <w:jc w:val="both"/>
        <w:rPr>
          <w:rFonts w:ascii="Palatino Linotype" w:eastAsia="Palatino Linotype" w:hAnsi="Palatino Linotype" w:cs="Palatino Linotype"/>
          <w:sz w:val="22"/>
          <w:szCs w:val="22"/>
        </w:rPr>
      </w:pPr>
    </w:p>
    <w:p w14:paraId="2C0CA71D" w14:textId="77777777" w:rsidR="009C1E08" w:rsidRPr="00257E54" w:rsidRDefault="009C1E08" w:rsidP="00D450E9">
      <w:pPr>
        <w:spacing w:line="360" w:lineRule="auto"/>
        <w:jc w:val="both"/>
        <w:rPr>
          <w:rFonts w:ascii="Palatino Linotype" w:eastAsia="Palatino Linotype" w:hAnsi="Palatino Linotype" w:cs="Palatino Linotype"/>
          <w:sz w:val="22"/>
          <w:szCs w:val="22"/>
        </w:rPr>
      </w:pPr>
    </w:p>
    <w:p w14:paraId="7F157630" w14:textId="77777777" w:rsidR="009C1E08" w:rsidRPr="00257E54" w:rsidRDefault="009C1E08" w:rsidP="00D450E9">
      <w:pPr>
        <w:spacing w:line="360" w:lineRule="auto"/>
        <w:jc w:val="both"/>
        <w:rPr>
          <w:rFonts w:ascii="Palatino Linotype" w:eastAsia="Palatino Linotype" w:hAnsi="Palatino Linotype" w:cs="Palatino Linotype"/>
          <w:sz w:val="22"/>
          <w:szCs w:val="22"/>
        </w:rPr>
      </w:pPr>
    </w:p>
    <w:p w14:paraId="1AF255BE" w14:textId="77777777" w:rsidR="009C1E08" w:rsidRPr="00257E54" w:rsidRDefault="009C1E08" w:rsidP="00D450E9">
      <w:pPr>
        <w:spacing w:line="360" w:lineRule="auto"/>
        <w:jc w:val="both"/>
        <w:rPr>
          <w:rFonts w:ascii="Palatino Linotype" w:eastAsia="Palatino Linotype" w:hAnsi="Palatino Linotype" w:cs="Palatino Linotype"/>
          <w:sz w:val="22"/>
          <w:szCs w:val="22"/>
        </w:rPr>
      </w:pPr>
    </w:p>
    <w:p w14:paraId="11C537A0" w14:textId="77777777" w:rsidR="009C1E08" w:rsidRPr="00257E54" w:rsidRDefault="009C1E08" w:rsidP="00D450E9">
      <w:pPr>
        <w:spacing w:line="360" w:lineRule="auto"/>
        <w:jc w:val="both"/>
        <w:rPr>
          <w:rFonts w:ascii="Palatino Linotype" w:eastAsia="Palatino Linotype" w:hAnsi="Palatino Linotype" w:cs="Palatino Linotype"/>
          <w:sz w:val="22"/>
          <w:szCs w:val="22"/>
        </w:rPr>
      </w:pPr>
    </w:p>
    <w:p w14:paraId="7B3DB042"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089FC233"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73E9D97E"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6D49B51A"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p w14:paraId="3FB589E0" w14:textId="77777777" w:rsidR="006D5E1C" w:rsidRPr="00257E54" w:rsidRDefault="006D5E1C" w:rsidP="00D450E9">
      <w:pPr>
        <w:spacing w:line="360" w:lineRule="auto"/>
        <w:jc w:val="both"/>
        <w:rPr>
          <w:rFonts w:ascii="Palatino Linotype" w:eastAsia="Palatino Linotype" w:hAnsi="Palatino Linotype" w:cs="Palatino Linotype"/>
          <w:sz w:val="22"/>
          <w:szCs w:val="22"/>
        </w:rPr>
      </w:pPr>
    </w:p>
    <w:sectPr w:rsidR="006D5E1C" w:rsidRPr="00257E54">
      <w:headerReference w:type="default" r:id="rId10"/>
      <w:footerReference w:type="default" r:id="rId11"/>
      <w:headerReference w:type="first" r:id="rId12"/>
      <w:footerReference w:type="first" r:id="rId13"/>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FF6F" w14:textId="77777777" w:rsidR="00317B02" w:rsidRDefault="00317B02">
      <w:r>
        <w:separator/>
      </w:r>
    </w:p>
  </w:endnote>
  <w:endnote w:type="continuationSeparator" w:id="0">
    <w:p w14:paraId="0BED547F" w14:textId="77777777" w:rsidR="00317B02" w:rsidRDefault="0031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CD7B9" w14:textId="4CA91C14" w:rsidR="00F800AD" w:rsidRDefault="00F800A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74D31">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74D31">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5BCCA3C8" w14:textId="77777777" w:rsidR="00F800AD" w:rsidRDefault="00F800AD">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99AE" w14:textId="77777777" w:rsidR="00F800AD" w:rsidRDefault="00F800AD">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C74D3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C74D31">
      <w:rPr>
        <w:rFonts w:ascii="Palatino Linotype" w:eastAsia="Palatino Linotype" w:hAnsi="Palatino Linotype" w:cs="Palatino Linotype"/>
        <w:b/>
        <w:noProof/>
        <w:color w:val="000000"/>
        <w:sz w:val="20"/>
        <w:szCs w:val="20"/>
      </w:rPr>
      <w:t>16</w:t>
    </w:r>
    <w:r>
      <w:rPr>
        <w:rFonts w:ascii="Palatino Linotype" w:eastAsia="Palatino Linotype" w:hAnsi="Palatino Linotype" w:cs="Palatino Linotype"/>
        <w:b/>
        <w:color w:val="000000"/>
        <w:sz w:val="20"/>
        <w:szCs w:val="20"/>
      </w:rPr>
      <w:fldChar w:fldCharType="end"/>
    </w:r>
  </w:p>
  <w:p w14:paraId="4C697443" w14:textId="77777777" w:rsidR="00F800AD" w:rsidRDefault="00F800AD">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65A38" w14:textId="77777777" w:rsidR="00317B02" w:rsidRDefault="00317B02">
      <w:r>
        <w:separator/>
      </w:r>
    </w:p>
  </w:footnote>
  <w:footnote w:type="continuationSeparator" w:id="0">
    <w:p w14:paraId="7AC5D2CE" w14:textId="77777777" w:rsidR="00317B02" w:rsidRDefault="00317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D87C" w14:textId="77777777" w:rsidR="00F800AD" w:rsidRDefault="00F800AD">
    <w:pPr>
      <w:rPr>
        <w:rFonts w:ascii="Cambria" w:eastAsia="Cambria" w:hAnsi="Cambria" w:cs="Cambria"/>
        <w:color w:val="000000"/>
      </w:rPr>
    </w:pPr>
    <w:r>
      <w:rPr>
        <w:noProof/>
      </w:rPr>
      <w:drawing>
        <wp:anchor distT="0" distB="0" distL="0" distR="0" simplePos="0" relativeHeight="251658240" behindDoc="1" locked="0" layoutInCell="1" hidden="0" allowOverlap="1" wp14:anchorId="2FB4488C" wp14:editId="2E93BC6A">
          <wp:simplePos x="0" y="0"/>
          <wp:positionH relativeFrom="column">
            <wp:posOffset>-755650</wp:posOffset>
          </wp:positionH>
          <wp:positionV relativeFrom="paragraph">
            <wp:posOffset>-363855</wp:posOffset>
          </wp:positionV>
          <wp:extent cx="7809865" cy="10165715"/>
          <wp:effectExtent l="0" t="0" r="0" b="0"/>
          <wp:wrapNone/>
          <wp:docPr id="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3"/>
      <w:tblW w:w="5665" w:type="dxa"/>
      <w:tblInd w:w="3814" w:type="dxa"/>
      <w:tblLayout w:type="fixed"/>
      <w:tblLook w:val="0400" w:firstRow="0" w:lastRow="0" w:firstColumn="0" w:lastColumn="0" w:noHBand="0" w:noVBand="1"/>
    </w:tblPr>
    <w:tblGrid>
      <w:gridCol w:w="2489"/>
      <w:gridCol w:w="3176"/>
    </w:tblGrid>
    <w:tr w:rsidR="00F800AD" w14:paraId="6729C947" w14:textId="77777777" w:rsidTr="00D450E9">
      <w:tc>
        <w:tcPr>
          <w:tcW w:w="2489" w:type="dxa"/>
          <w:shd w:val="clear" w:color="auto" w:fill="auto"/>
        </w:tcPr>
        <w:p w14:paraId="1FC2CD6A" w14:textId="77777777" w:rsidR="00F800AD" w:rsidRDefault="00F800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76" w:type="dxa"/>
          <w:shd w:val="clear" w:color="auto" w:fill="auto"/>
          <w:vAlign w:val="center"/>
        </w:tcPr>
        <w:p w14:paraId="0F4F101C" w14:textId="7D52AA4D" w:rsidR="00F800AD" w:rsidRDefault="00F800A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00089/INFOEM/IP/RR/2025</w:t>
          </w:r>
        </w:p>
      </w:tc>
    </w:tr>
    <w:tr w:rsidR="00F800AD" w14:paraId="4FD38CF7" w14:textId="77777777" w:rsidTr="00D450E9">
      <w:trPr>
        <w:trHeight w:val="228"/>
      </w:trPr>
      <w:tc>
        <w:tcPr>
          <w:tcW w:w="2489" w:type="dxa"/>
          <w:shd w:val="clear" w:color="auto" w:fill="auto"/>
          <w:vAlign w:val="center"/>
        </w:tcPr>
        <w:p w14:paraId="491B9118" w14:textId="77777777" w:rsidR="00F800AD" w:rsidRDefault="00F800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76" w:type="dxa"/>
          <w:shd w:val="clear" w:color="auto" w:fill="auto"/>
          <w:vAlign w:val="center"/>
        </w:tcPr>
        <w:p w14:paraId="419A1990" w14:textId="5D889FC0" w:rsidR="00F800AD" w:rsidRDefault="00F800AD">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Salud del Estado de México</w:t>
          </w:r>
        </w:p>
      </w:tc>
    </w:tr>
    <w:tr w:rsidR="00F800AD" w14:paraId="40F74DED" w14:textId="77777777" w:rsidTr="00D450E9">
      <w:tc>
        <w:tcPr>
          <w:tcW w:w="2489" w:type="dxa"/>
          <w:shd w:val="clear" w:color="auto" w:fill="auto"/>
          <w:vAlign w:val="center"/>
        </w:tcPr>
        <w:p w14:paraId="01D3CFE7" w14:textId="77777777" w:rsidR="00F800AD" w:rsidRDefault="00F800AD">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76" w:type="dxa"/>
          <w:shd w:val="clear" w:color="auto" w:fill="auto"/>
          <w:vAlign w:val="center"/>
        </w:tcPr>
        <w:p w14:paraId="35DB812C" w14:textId="77777777" w:rsidR="00F800AD" w:rsidRDefault="00F800AD">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A755EE0" w14:textId="77777777" w:rsidR="00F800AD" w:rsidRDefault="00F800AD">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6547" w14:textId="77777777" w:rsidR="00F800AD" w:rsidRDefault="00F800AD">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3EE0D041" wp14:editId="1DE5AA34">
          <wp:simplePos x="0" y="0"/>
          <wp:positionH relativeFrom="column">
            <wp:posOffset>-688340</wp:posOffset>
          </wp:positionH>
          <wp:positionV relativeFrom="paragraph">
            <wp:posOffset>-156845</wp:posOffset>
          </wp:positionV>
          <wp:extent cx="7809865" cy="10165715"/>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2"/>
      <w:tblW w:w="5883" w:type="dxa"/>
      <w:tblInd w:w="3184" w:type="dxa"/>
      <w:tblLayout w:type="fixed"/>
      <w:tblLook w:val="0400" w:firstRow="0" w:lastRow="0" w:firstColumn="0" w:lastColumn="0" w:noHBand="0" w:noVBand="1"/>
    </w:tblPr>
    <w:tblGrid>
      <w:gridCol w:w="2551"/>
      <w:gridCol w:w="3332"/>
    </w:tblGrid>
    <w:tr w:rsidR="00F800AD" w14:paraId="431817EF" w14:textId="77777777" w:rsidTr="00D450E9">
      <w:tc>
        <w:tcPr>
          <w:tcW w:w="2551" w:type="dxa"/>
          <w:shd w:val="clear" w:color="auto" w:fill="auto"/>
          <w:vAlign w:val="center"/>
        </w:tcPr>
        <w:p w14:paraId="4933160E" w14:textId="77777777" w:rsidR="00F800AD" w:rsidRDefault="00F800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332" w:type="dxa"/>
          <w:shd w:val="clear" w:color="auto" w:fill="auto"/>
          <w:vAlign w:val="center"/>
        </w:tcPr>
        <w:p w14:paraId="47E1F8F1" w14:textId="62BD8C7C" w:rsidR="00F800AD" w:rsidRDefault="00F800AD" w:rsidP="00126459">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00089/INFOEM/IP/RR/2025</w:t>
          </w:r>
        </w:p>
      </w:tc>
    </w:tr>
    <w:tr w:rsidR="00F800AD" w14:paraId="49135FAB" w14:textId="77777777" w:rsidTr="00D450E9">
      <w:trPr>
        <w:trHeight w:val="130"/>
      </w:trPr>
      <w:tc>
        <w:tcPr>
          <w:tcW w:w="2551" w:type="dxa"/>
          <w:shd w:val="clear" w:color="auto" w:fill="auto"/>
          <w:vAlign w:val="center"/>
        </w:tcPr>
        <w:p w14:paraId="0E5AF243" w14:textId="77777777" w:rsidR="00F800AD" w:rsidRDefault="00F800AD">
          <w:pPr>
            <w:rPr>
              <w:rFonts w:ascii="Palatino Linotype" w:eastAsia="Palatino Linotype" w:hAnsi="Palatino Linotype" w:cs="Palatino Linotype"/>
              <w:b/>
              <w:sz w:val="22"/>
              <w:szCs w:val="22"/>
            </w:rPr>
          </w:pPr>
          <w:bookmarkStart w:id="10" w:name="_Hlk162961857"/>
          <w:r>
            <w:rPr>
              <w:rFonts w:ascii="Palatino Linotype" w:eastAsia="Palatino Linotype" w:hAnsi="Palatino Linotype" w:cs="Palatino Linotype"/>
              <w:b/>
              <w:sz w:val="22"/>
              <w:szCs w:val="22"/>
            </w:rPr>
            <w:t>Recurrente:</w:t>
          </w:r>
        </w:p>
      </w:tc>
      <w:tc>
        <w:tcPr>
          <w:tcW w:w="3332" w:type="dxa"/>
          <w:shd w:val="clear" w:color="auto" w:fill="auto"/>
          <w:vAlign w:val="center"/>
        </w:tcPr>
        <w:p w14:paraId="520C9DED" w14:textId="0FEBC988" w:rsidR="00F800AD" w:rsidRDefault="0076596E">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 XXXXXXX XXXXXX </w:t>
          </w:r>
        </w:p>
      </w:tc>
    </w:tr>
    <w:bookmarkEnd w:id="10"/>
    <w:tr w:rsidR="00F800AD" w14:paraId="43DF5A9F" w14:textId="77777777" w:rsidTr="00D450E9">
      <w:trPr>
        <w:trHeight w:val="228"/>
      </w:trPr>
      <w:tc>
        <w:tcPr>
          <w:tcW w:w="2551" w:type="dxa"/>
          <w:shd w:val="clear" w:color="auto" w:fill="auto"/>
          <w:vAlign w:val="center"/>
        </w:tcPr>
        <w:p w14:paraId="074A0368" w14:textId="77777777" w:rsidR="00F800AD" w:rsidRDefault="00F800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332" w:type="dxa"/>
          <w:shd w:val="clear" w:color="auto" w:fill="auto"/>
          <w:vAlign w:val="center"/>
        </w:tcPr>
        <w:p w14:paraId="3D716FEB" w14:textId="723A6F6E" w:rsidR="00F800AD" w:rsidRDefault="00F800AD">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Instituto de Salud del Estado de México</w:t>
          </w:r>
        </w:p>
      </w:tc>
    </w:tr>
    <w:tr w:rsidR="00F800AD" w14:paraId="2A2E46B4" w14:textId="77777777" w:rsidTr="00D450E9">
      <w:tc>
        <w:tcPr>
          <w:tcW w:w="2551" w:type="dxa"/>
          <w:shd w:val="clear" w:color="auto" w:fill="auto"/>
          <w:vAlign w:val="center"/>
        </w:tcPr>
        <w:p w14:paraId="6AA44DD7" w14:textId="77777777" w:rsidR="00F800AD" w:rsidRDefault="00F800AD">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332" w:type="dxa"/>
          <w:shd w:val="clear" w:color="auto" w:fill="auto"/>
          <w:vAlign w:val="center"/>
        </w:tcPr>
        <w:p w14:paraId="3C4B2745" w14:textId="77777777" w:rsidR="00F800AD" w:rsidRDefault="00F800AD">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C5B298D" w14:textId="77777777" w:rsidR="00F800AD" w:rsidRDefault="00F800AD">
    <w:pPr>
      <w:pBdr>
        <w:top w:val="nil"/>
        <w:left w:val="nil"/>
        <w:bottom w:val="nil"/>
        <w:right w:val="nil"/>
        <w:between w:val="nil"/>
      </w:pBdr>
      <w:tabs>
        <w:tab w:val="center" w:pos="4252"/>
        <w:tab w:val="right" w:pos="8504"/>
      </w:tabs>
      <w:rPr>
        <w:rFonts w:ascii="Cambria" w:eastAsia="Cambria" w:hAnsi="Cambria" w:cs="Cambria"/>
        <w:color w:val="000000"/>
      </w:rPr>
    </w:pPr>
  </w:p>
  <w:p w14:paraId="6055EEF9" w14:textId="77777777" w:rsidR="00F800AD" w:rsidRDefault="00F800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7F07"/>
    <w:multiLevelType w:val="hybridMultilevel"/>
    <w:tmpl w:val="B98CCA88"/>
    <w:lvl w:ilvl="0" w:tplc="232CAF2C">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 w15:restartNumberingAfterBreak="0">
    <w:nsid w:val="12CB333E"/>
    <w:multiLevelType w:val="hybridMultilevel"/>
    <w:tmpl w:val="73D06E6C"/>
    <w:lvl w:ilvl="0" w:tplc="7ECAA388">
      <w:start w:val="1"/>
      <w:numFmt w:val="bullet"/>
      <w:lvlText w:val=""/>
      <w:lvlJc w:val="left"/>
      <w:pPr>
        <w:ind w:left="720" w:hanging="360"/>
      </w:pPr>
      <w:rPr>
        <w:rFonts w:ascii="Symbol" w:hAnsi="Symbo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82193B"/>
    <w:multiLevelType w:val="hybridMultilevel"/>
    <w:tmpl w:val="34D43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A31FBE"/>
    <w:multiLevelType w:val="hybridMultilevel"/>
    <w:tmpl w:val="C9F09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C2F3AF9"/>
    <w:multiLevelType w:val="multilevel"/>
    <w:tmpl w:val="25DAA624"/>
    <w:lvl w:ilvl="0">
      <w:start w:val="1"/>
      <w:numFmt w:val="bullet"/>
      <w:pStyle w:val="Listaconvietas2"/>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304E52F3"/>
    <w:multiLevelType w:val="hybridMultilevel"/>
    <w:tmpl w:val="4AA2BAE6"/>
    <w:lvl w:ilvl="0" w:tplc="6CD46F6E">
      <w:start w:val="3"/>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497572"/>
    <w:multiLevelType w:val="hybridMultilevel"/>
    <w:tmpl w:val="B98CCA8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38B23E63"/>
    <w:multiLevelType w:val="hybridMultilevel"/>
    <w:tmpl w:val="C8E0E37C"/>
    <w:lvl w:ilvl="0" w:tplc="723E3DF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7B6A6C"/>
    <w:multiLevelType w:val="hybridMultilevel"/>
    <w:tmpl w:val="F766CC44"/>
    <w:lvl w:ilvl="0" w:tplc="2BD4CA2E">
      <w:start w:val="1"/>
      <w:numFmt w:val="upperRoman"/>
      <w:suff w:val="space"/>
      <w:lvlText w:val="%1."/>
      <w:lvlJc w:val="left"/>
      <w:pPr>
        <w:ind w:left="3479"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74776F"/>
    <w:multiLevelType w:val="multilevel"/>
    <w:tmpl w:val="7564E108"/>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0EA5A3C"/>
    <w:multiLevelType w:val="multilevel"/>
    <w:tmpl w:val="FAE004B8"/>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6F20AD"/>
    <w:multiLevelType w:val="hybridMultilevel"/>
    <w:tmpl w:val="94B67DF6"/>
    <w:lvl w:ilvl="0" w:tplc="8286BBC8">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2051C9"/>
    <w:multiLevelType w:val="multilevel"/>
    <w:tmpl w:val="9402824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63063819"/>
    <w:multiLevelType w:val="hybridMultilevel"/>
    <w:tmpl w:val="2EEC62DA"/>
    <w:lvl w:ilvl="0" w:tplc="C5DE4A7E">
      <w:start w:val="5"/>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13715"/>
    <w:multiLevelType w:val="multilevel"/>
    <w:tmpl w:val="A7D4DD72"/>
    <w:lvl w:ilvl="0">
      <w:start w:val="3"/>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445F8B"/>
    <w:multiLevelType w:val="multilevel"/>
    <w:tmpl w:val="3AB8FC2A"/>
    <w:lvl w:ilvl="0">
      <w:start w:val="2"/>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7D92A5A"/>
    <w:multiLevelType w:val="multilevel"/>
    <w:tmpl w:val="0A221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CD736B4"/>
    <w:multiLevelType w:val="multilevel"/>
    <w:tmpl w:val="ADA085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2AD37CD"/>
    <w:multiLevelType w:val="multilevel"/>
    <w:tmpl w:val="F9BAF19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7CD30FCC"/>
    <w:multiLevelType w:val="hybridMultilevel"/>
    <w:tmpl w:val="85FA706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1"/>
  </w:num>
  <w:num w:numId="9">
    <w:abstractNumId w:val="8"/>
  </w:num>
  <w:num w:numId="10">
    <w:abstractNumId w:val="15"/>
  </w:num>
  <w:num w:numId="11">
    <w:abstractNumId w:val="0"/>
  </w:num>
  <w:num w:numId="12">
    <w:abstractNumId w:val="11"/>
  </w:num>
  <w:num w:numId="13">
    <w:abstractNumId w:val="13"/>
  </w:num>
  <w:num w:numId="14">
    <w:abstractNumId w:val="6"/>
  </w:num>
  <w:num w:numId="15">
    <w:abstractNumId w:val="18"/>
  </w:num>
  <w:num w:numId="16">
    <w:abstractNumId w:val="12"/>
  </w:num>
  <w:num w:numId="17">
    <w:abstractNumId w:val="5"/>
  </w:num>
  <w:num w:numId="18">
    <w:abstractNumId w:val="19"/>
  </w:num>
  <w:num w:numId="19">
    <w:abstractNumId w:val="16"/>
  </w:num>
  <w:num w:numId="20">
    <w:abstractNumId w:val="7"/>
  </w:num>
  <w:num w:numId="21">
    <w:abstractNumId w:val="2"/>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1C"/>
    <w:rsid w:val="000368B8"/>
    <w:rsid w:val="00047781"/>
    <w:rsid w:val="00047800"/>
    <w:rsid w:val="00075CD4"/>
    <w:rsid w:val="00092F36"/>
    <w:rsid w:val="000A582D"/>
    <w:rsid w:val="000B7F3E"/>
    <w:rsid w:val="000D2F00"/>
    <w:rsid w:val="000D7FFE"/>
    <w:rsid w:val="000E6D25"/>
    <w:rsid w:val="000F2FC3"/>
    <w:rsid w:val="00103AF3"/>
    <w:rsid w:val="00114F76"/>
    <w:rsid w:val="00120F5C"/>
    <w:rsid w:val="00126459"/>
    <w:rsid w:val="0014022D"/>
    <w:rsid w:val="00151AD8"/>
    <w:rsid w:val="00161331"/>
    <w:rsid w:val="00162521"/>
    <w:rsid w:val="00165F67"/>
    <w:rsid w:val="00166807"/>
    <w:rsid w:val="001675D2"/>
    <w:rsid w:val="00174981"/>
    <w:rsid w:val="001A052A"/>
    <w:rsid w:val="001B3927"/>
    <w:rsid w:val="001C2B44"/>
    <w:rsid w:val="001C412D"/>
    <w:rsid w:val="001D1352"/>
    <w:rsid w:val="002118A9"/>
    <w:rsid w:val="00232526"/>
    <w:rsid w:val="00257E54"/>
    <w:rsid w:val="00265741"/>
    <w:rsid w:val="00274D0C"/>
    <w:rsid w:val="002858BF"/>
    <w:rsid w:val="002B05EF"/>
    <w:rsid w:val="002B7152"/>
    <w:rsid w:val="002B767E"/>
    <w:rsid w:val="002D41DD"/>
    <w:rsid w:val="003044C2"/>
    <w:rsid w:val="0031031D"/>
    <w:rsid w:val="0031435B"/>
    <w:rsid w:val="00317B02"/>
    <w:rsid w:val="00323B41"/>
    <w:rsid w:val="00330FE8"/>
    <w:rsid w:val="00337990"/>
    <w:rsid w:val="0036285C"/>
    <w:rsid w:val="00363559"/>
    <w:rsid w:val="0037251A"/>
    <w:rsid w:val="003726A3"/>
    <w:rsid w:val="00384458"/>
    <w:rsid w:val="003A0BAC"/>
    <w:rsid w:val="003B79A7"/>
    <w:rsid w:val="003C18F1"/>
    <w:rsid w:val="003C646C"/>
    <w:rsid w:val="003D38EF"/>
    <w:rsid w:val="003F62AF"/>
    <w:rsid w:val="00406515"/>
    <w:rsid w:val="0040671C"/>
    <w:rsid w:val="00407443"/>
    <w:rsid w:val="004130E5"/>
    <w:rsid w:val="00424009"/>
    <w:rsid w:val="004255A4"/>
    <w:rsid w:val="004261A5"/>
    <w:rsid w:val="00434B7D"/>
    <w:rsid w:val="004730A5"/>
    <w:rsid w:val="00484B49"/>
    <w:rsid w:val="0049145A"/>
    <w:rsid w:val="004A7240"/>
    <w:rsid w:val="004B76AF"/>
    <w:rsid w:val="004C110D"/>
    <w:rsid w:val="004C7FF8"/>
    <w:rsid w:val="004D4411"/>
    <w:rsid w:val="004E09B3"/>
    <w:rsid w:val="004F56CA"/>
    <w:rsid w:val="004F640B"/>
    <w:rsid w:val="00500AD9"/>
    <w:rsid w:val="00503C40"/>
    <w:rsid w:val="00503EA7"/>
    <w:rsid w:val="005126E9"/>
    <w:rsid w:val="005135F1"/>
    <w:rsid w:val="005204B5"/>
    <w:rsid w:val="00535227"/>
    <w:rsid w:val="00542750"/>
    <w:rsid w:val="00561B27"/>
    <w:rsid w:val="00561FE6"/>
    <w:rsid w:val="00570FB1"/>
    <w:rsid w:val="0057232E"/>
    <w:rsid w:val="00573905"/>
    <w:rsid w:val="00577252"/>
    <w:rsid w:val="00595088"/>
    <w:rsid w:val="0059725E"/>
    <w:rsid w:val="005B56ED"/>
    <w:rsid w:val="005C01DB"/>
    <w:rsid w:val="005D71E5"/>
    <w:rsid w:val="005E53E1"/>
    <w:rsid w:val="0060227D"/>
    <w:rsid w:val="006031FB"/>
    <w:rsid w:val="00607358"/>
    <w:rsid w:val="00621467"/>
    <w:rsid w:val="0063793E"/>
    <w:rsid w:val="00645ACC"/>
    <w:rsid w:val="006A1446"/>
    <w:rsid w:val="006C1BC7"/>
    <w:rsid w:val="006D221A"/>
    <w:rsid w:val="006D42F0"/>
    <w:rsid w:val="006D5E1C"/>
    <w:rsid w:val="006E3101"/>
    <w:rsid w:val="006E5CD7"/>
    <w:rsid w:val="006E7D09"/>
    <w:rsid w:val="006F67A2"/>
    <w:rsid w:val="0070515B"/>
    <w:rsid w:val="00727D09"/>
    <w:rsid w:val="00731511"/>
    <w:rsid w:val="007508AB"/>
    <w:rsid w:val="00751B37"/>
    <w:rsid w:val="00760572"/>
    <w:rsid w:val="0076503A"/>
    <w:rsid w:val="0076596E"/>
    <w:rsid w:val="00774DBF"/>
    <w:rsid w:val="0077781F"/>
    <w:rsid w:val="00793677"/>
    <w:rsid w:val="007A39E0"/>
    <w:rsid w:val="007B3072"/>
    <w:rsid w:val="007C00E5"/>
    <w:rsid w:val="007C0C79"/>
    <w:rsid w:val="007C6717"/>
    <w:rsid w:val="007D2FD3"/>
    <w:rsid w:val="007D6CFF"/>
    <w:rsid w:val="007F0F1D"/>
    <w:rsid w:val="00814FA6"/>
    <w:rsid w:val="00830C28"/>
    <w:rsid w:val="00875113"/>
    <w:rsid w:val="008D1777"/>
    <w:rsid w:val="008E40FA"/>
    <w:rsid w:val="008F695C"/>
    <w:rsid w:val="008F6D36"/>
    <w:rsid w:val="00914535"/>
    <w:rsid w:val="009302BC"/>
    <w:rsid w:val="009434E5"/>
    <w:rsid w:val="00961FB2"/>
    <w:rsid w:val="00962F4D"/>
    <w:rsid w:val="009804D4"/>
    <w:rsid w:val="009835F4"/>
    <w:rsid w:val="009940A8"/>
    <w:rsid w:val="00995139"/>
    <w:rsid w:val="009B5C25"/>
    <w:rsid w:val="009C1E08"/>
    <w:rsid w:val="009F1E43"/>
    <w:rsid w:val="00A10370"/>
    <w:rsid w:val="00A40CBD"/>
    <w:rsid w:val="00A44626"/>
    <w:rsid w:val="00A93491"/>
    <w:rsid w:val="00A958D0"/>
    <w:rsid w:val="00AB0EBA"/>
    <w:rsid w:val="00AD529B"/>
    <w:rsid w:val="00AD632F"/>
    <w:rsid w:val="00AF648F"/>
    <w:rsid w:val="00B068B4"/>
    <w:rsid w:val="00B2506B"/>
    <w:rsid w:val="00B4290B"/>
    <w:rsid w:val="00B507BA"/>
    <w:rsid w:val="00B52617"/>
    <w:rsid w:val="00B60B99"/>
    <w:rsid w:val="00B731FE"/>
    <w:rsid w:val="00B765E4"/>
    <w:rsid w:val="00BA72C2"/>
    <w:rsid w:val="00BB69C4"/>
    <w:rsid w:val="00C028AE"/>
    <w:rsid w:val="00C24C19"/>
    <w:rsid w:val="00C26F9C"/>
    <w:rsid w:val="00C329F9"/>
    <w:rsid w:val="00C529F0"/>
    <w:rsid w:val="00C539D1"/>
    <w:rsid w:val="00C74D31"/>
    <w:rsid w:val="00C81082"/>
    <w:rsid w:val="00C96A83"/>
    <w:rsid w:val="00CA15E3"/>
    <w:rsid w:val="00CA7A50"/>
    <w:rsid w:val="00CB5FC9"/>
    <w:rsid w:val="00CB6217"/>
    <w:rsid w:val="00CF1B07"/>
    <w:rsid w:val="00CF27C9"/>
    <w:rsid w:val="00CF64A3"/>
    <w:rsid w:val="00D254E0"/>
    <w:rsid w:val="00D3254E"/>
    <w:rsid w:val="00D450E9"/>
    <w:rsid w:val="00D46AE9"/>
    <w:rsid w:val="00D62505"/>
    <w:rsid w:val="00D84B0D"/>
    <w:rsid w:val="00D8777E"/>
    <w:rsid w:val="00D90534"/>
    <w:rsid w:val="00D97203"/>
    <w:rsid w:val="00DB17A7"/>
    <w:rsid w:val="00DB22C8"/>
    <w:rsid w:val="00DB68FD"/>
    <w:rsid w:val="00DC66AC"/>
    <w:rsid w:val="00DD04ED"/>
    <w:rsid w:val="00DD4191"/>
    <w:rsid w:val="00DD5214"/>
    <w:rsid w:val="00E117A2"/>
    <w:rsid w:val="00E13086"/>
    <w:rsid w:val="00E16943"/>
    <w:rsid w:val="00E21127"/>
    <w:rsid w:val="00E30E06"/>
    <w:rsid w:val="00E311A2"/>
    <w:rsid w:val="00E94FB9"/>
    <w:rsid w:val="00EA543C"/>
    <w:rsid w:val="00EC1339"/>
    <w:rsid w:val="00EC5D1E"/>
    <w:rsid w:val="00EE6F40"/>
    <w:rsid w:val="00EF0DD2"/>
    <w:rsid w:val="00F275D5"/>
    <w:rsid w:val="00F3103B"/>
    <w:rsid w:val="00F3605D"/>
    <w:rsid w:val="00F5401B"/>
    <w:rsid w:val="00F800AD"/>
    <w:rsid w:val="00F97B40"/>
    <w:rsid w:val="00FB7CFF"/>
    <w:rsid w:val="00FC528A"/>
    <w:rsid w:val="00FD40C9"/>
    <w:rsid w:val="00FF57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0A53DB"/>
  <w15:docId w15:val="{0650EA7E-0742-4922-80FD-6082F34F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4">
    <w:name w:val="Table Normal1"/>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INAI"/>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INAI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3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
    <w:name w:val="5"/>
    <w:basedOn w:val="TableNormal14"/>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4">
    <w:name w:val="4"/>
    <w:basedOn w:val="TableNormal14"/>
    <w:tblPr>
      <w:tblStyleRowBandSize w:val="1"/>
      <w:tblStyleColBandSize w:val="1"/>
      <w:tblCellMar>
        <w:left w:w="115" w:type="dxa"/>
        <w:right w:w="115" w:type="dxa"/>
      </w:tblCellMar>
    </w:tblPr>
  </w:style>
  <w:style w:type="table" w:customStyle="1" w:styleId="3">
    <w:name w:val="3"/>
    <w:basedOn w:val="TableNormal14"/>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2">
    <w:name w:val="2"/>
    <w:basedOn w:val="TableNormal14"/>
    <w:tblPr>
      <w:tblStyleRowBandSize w:val="1"/>
      <w:tblStyleColBandSize w:val="1"/>
      <w:tblCellMar>
        <w:left w:w="115" w:type="dxa"/>
        <w:right w:w="115" w:type="dxa"/>
      </w:tblCellMar>
    </w:tblPr>
  </w:style>
  <w:style w:type="table" w:customStyle="1" w:styleId="1">
    <w:name w:val="1"/>
    <w:basedOn w:val="TableNormal14"/>
    <w:tblPr>
      <w:tblStyleRowBandSize w:val="1"/>
      <w:tblStyleColBandSize w:val="1"/>
      <w:tblCellMar>
        <w:left w:w="115" w:type="dxa"/>
        <w:right w:w="115" w:type="dxa"/>
      </w:tblCellMar>
    </w:tblPr>
  </w:style>
  <w:style w:type="table" w:customStyle="1" w:styleId="9">
    <w:name w:val="9"/>
    <w:basedOn w:val="TableNormal2"/>
    <w:tblPr>
      <w:tblStyleRowBandSize w:val="1"/>
      <w:tblStyleColBandSize w:val="1"/>
      <w:tblCellMar>
        <w:left w:w="115" w:type="dxa"/>
        <w:right w:w="115" w:type="dxa"/>
      </w:tblCellMar>
    </w:tblPr>
  </w:style>
  <w:style w:type="table" w:customStyle="1" w:styleId="8">
    <w:name w:val="8"/>
    <w:basedOn w:val="TableNormal2"/>
    <w:tblPr>
      <w:tblStyleRowBandSize w:val="1"/>
      <w:tblStyleColBandSize w:val="1"/>
      <w:tblCellMar>
        <w:left w:w="115" w:type="dxa"/>
        <w:right w:w="115" w:type="dxa"/>
      </w:tblCellMar>
    </w:tblPr>
  </w:style>
  <w:style w:type="table" w:customStyle="1" w:styleId="7">
    <w:name w:val="7"/>
    <w:basedOn w:val="TableNormal3"/>
    <w:tblPr>
      <w:tblStyleRowBandSize w:val="1"/>
      <w:tblStyleColBandSize w:val="1"/>
      <w:tblCellMar>
        <w:left w:w="115" w:type="dxa"/>
        <w:right w:w="115" w:type="dxa"/>
      </w:tblCellMar>
    </w:tblPr>
  </w:style>
  <w:style w:type="table" w:customStyle="1" w:styleId="6">
    <w:name w:val="6"/>
    <w:basedOn w:val="TableNormal3"/>
    <w:tblPr>
      <w:tblStyleRowBandSize w:val="1"/>
      <w:tblStyleColBandSize w:val="1"/>
      <w:tblCellMar>
        <w:left w:w="115" w:type="dxa"/>
        <w:right w:w="115" w:type="dxa"/>
      </w:tblCellMar>
    </w:tblPr>
  </w:style>
  <w:style w:type="table" w:customStyle="1" w:styleId="20">
    <w:name w:val="20"/>
    <w:basedOn w:val="TableNormal4"/>
    <w:tblPr>
      <w:tblStyleRowBandSize w:val="1"/>
      <w:tblStyleColBandSize w:val="1"/>
      <w:tblCellMar>
        <w:left w:w="115" w:type="dxa"/>
        <w:right w:w="115" w:type="dxa"/>
      </w:tblCellMar>
    </w:tblPr>
  </w:style>
  <w:style w:type="table" w:customStyle="1" w:styleId="19">
    <w:name w:val="19"/>
    <w:basedOn w:val="TableNormal4"/>
    <w:tblPr>
      <w:tblStyleRowBandSize w:val="1"/>
      <w:tblStyleColBandSize w:val="1"/>
      <w:tblCellMar>
        <w:left w:w="115" w:type="dxa"/>
        <w:right w:w="115" w:type="dxa"/>
      </w:tblCellMar>
    </w:tblPr>
  </w:style>
  <w:style w:type="table" w:customStyle="1" w:styleId="18">
    <w:name w:val="18"/>
    <w:basedOn w:val="TableNormal5"/>
    <w:tblPr>
      <w:tblStyleRowBandSize w:val="1"/>
      <w:tblStyleColBandSize w:val="1"/>
      <w:tblCellMar>
        <w:left w:w="115" w:type="dxa"/>
        <w:right w:w="115" w:type="dxa"/>
      </w:tblCellMar>
    </w:tblPr>
  </w:style>
  <w:style w:type="table" w:customStyle="1" w:styleId="17">
    <w:name w:val="17"/>
    <w:basedOn w:val="TableNormal5"/>
    <w:tblPr>
      <w:tblStyleRowBandSize w:val="1"/>
      <w:tblStyleColBandSize w:val="1"/>
      <w:tblCellMar>
        <w:left w:w="115" w:type="dxa"/>
        <w:right w:w="115" w:type="dxa"/>
      </w:tblCellMar>
    </w:tblPr>
  </w:style>
  <w:style w:type="table" w:customStyle="1" w:styleId="16">
    <w:name w:val="16"/>
    <w:basedOn w:val="TableNormal6"/>
    <w:tblPr>
      <w:tblStyleRowBandSize w:val="1"/>
      <w:tblStyleColBandSize w:val="1"/>
      <w:tblCellMar>
        <w:left w:w="115" w:type="dxa"/>
        <w:right w:w="115" w:type="dxa"/>
      </w:tblCellMar>
    </w:tblPr>
  </w:style>
  <w:style w:type="table" w:customStyle="1" w:styleId="15">
    <w:name w:val="15"/>
    <w:basedOn w:val="TableNormal6"/>
    <w:tblPr>
      <w:tblStyleRowBandSize w:val="1"/>
      <w:tblStyleColBandSize w:val="1"/>
      <w:tblCellMar>
        <w:left w:w="115" w:type="dxa"/>
        <w:right w:w="115" w:type="dxa"/>
      </w:tblCellMar>
    </w:tblPr>
  </w:style>
  <w:style w:type="table" w:customStyle="1" w:styleId="14">
    <w:name w:val="14"/>
    <w:basedOn w:val="TableNormal7"/>
    <w:tblPr>
      <w:tblStyleRowBandSize w:val="1"/>
      <w:tblStyleColBandSize w:val="1"/>
      <w:tblCellMar>
        <w:left w:w="115" w:type="dxa"/>
        <w:right w:w="115" w:type="dxa"/>
      </w:tblCellMar>
    </w:tblPr>
  </w:style>
  <w:style w:type="table" w:customStyle="1" w:styleId="13">
    <w:name w:val="13"/>
    <w:basedOn w:val="TableNormal7"/>
    <w:tblPr>
      <w:tblStyleRowBandSize w:val="1"/>
      <w:tblStyleColBandSize w:val="1"/>
      <w:tblCellMar>
        <w:left w:w="115" w:type="dxa"/>
        <w:right w:w="115" w:type="dxa"/>
      </w:tblCellMar>
    </w:tblPr>
  </w:style>
  <w:style w:type="character" w:customStyle="1" w:styleId="rse6dlih">
    <w:name w:val="rse6dlih"/>
    <w:basedOn w:val="Fuentedeprrafopredeter"/>
    <w:rsid w:val="00190860"/>
  </w:style>
  <w:style w:type="table" w:customStyle="1" w:styleId="12">
    <w:name w:val="12"/>
    <w:basedOn w:val="TableNormal8"/>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11">
    <w:name w:val="11"/>
    <w:basedOn w:val="TableNormal8"/>
    <w:tblPr>
      <w:tblStyleRowBandSize w:val="1"/>
      <w:tblStyleColBandSize w:val="1"/>
      <w:tblCellMar>
        <w:left w:w="115" w:type="dxa"/>
        <w:right w:w="115" w:type="dxa"/>
      </w:tblCellMar>
    </w:tblPr>
  </w:style>
  <w:style w:type="table" w:customStyle="1" w:styleId="10">
    <w:name w:val="10"/>
    <w:basedOn w:val="TableNormal8"/>
    <w:tblPr>
      <w:tblStyleRowBandSize w:val="1"/>
      <w:tblStyleColBandSize w:val="1"/>
      <w:tblCellMar>
        <w:left w:w="115" w:type="dxa"/>
        <w:right w:w="115" w:type="dxa"/>
      </w:tblCellMar>
    </w:tblPr>
  </w:style>
  <w:style w:type="table" w:customStyle="1" w:styleId="24">
    <w:name w:val="24"/>
    <w:basedOn w:val="TableNormal9"/>
    <w:tblPr>
      <w:tblStyleRowBandSize w:val="1"/>
      <w:tblStyleColBandSize w:val="1"/>
      <w:tblCellMar>
        <w:left w:w="115" w:type="dxa"/>
        <w:right w:w="115" w:type="dxa"/>
      </w:tblCellMar>
    </w:tblPr>
  </w:style>
  <w:style w:type="table" w:customStyle="1" w:styleId="23">
    <w:name w:val="23"/>
    <w:basedOn w:val="TableNormal9"/>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2">
    <w:name w:val="22"/>
    <w:basedOn w:val="TableNormal9"/>
    <w:tblPr>
      <w:tblStyleRowBandSize w:val="1"/>
      <w:tblStyleColBandSize w:val="1"/>
      <w:tblCellMar>
        <w:left w:w="115" w:type="dxa"/>
        <w:right w:w="115" w:type="dxa"/>
      </w:tblCellMar>
    </w:tblPr>
  </w:style>
  <w:style w:type="table" w:customStyle="1" w:styleId="21">
    <w:name w:val="21"/>
    <w:basedOn w:val="TableNormal9"/>
    <w:tblPr>
      <w:tblStyleRowBandSize w:val="1"/>
      <w:tblStyleColBandSize w:val="1"/>
      <w:tblCellMar>
        <w:left w:w="115" w:type="dxa"/>
        <w:right w:w="115" w:type="dxa"/>
      </w:tblCellMar>
    </w:tblPr>
  </w:style>
  <w:style w:type="table" w:customStyle="1" w:styleId="35">
    <w:name w:val="35"/>
    <w:basedOn w:val="TableNormal10"/>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4">
    <w:name w:val="34"/>
    <w:basedOn w:val="TableNormal10"/>
    <w:tblPr>
      <w:tblStyleRowBandSize w:val="1"/>
      <w:tblStyleColBandSize w:val="1"/>
      <w:tblCellMar>
        <w:left w:w="115" w:type="dxa"/>
        <w:right w:w="115" w:type="dxa"/>
      </w:tblCellMar>
    </w:tblPr>
  </w:style>
  <w:style w:type="table" w:customStyle="1" w:styleId="33">
    <w:name w:val="33"/>
    <w:basedOn w:val="TableNormal10"/>
    <w:tblPr>
      <w:tblStyleRowBandSize w:val="1"/>
      <w:tblStyleColBandSize w:val="1"/>
      <w:tblCellMar>
        <w:left w:w="115" w:type="dxa"/>
        <w:right w:w="115" w:type="dxa"/>
      </w:tblCellMar>
    </w:tblPr>
  </w:style>
  <w:style w:type="table" w:customStyle="1" w:styleId="32">
    <w:name w:val="32"/>
    <w:basedOn w:val="TableNormal11"/>
    <w:tblPr>
      <w:tblStyleRowBandSize w:val="1"/>
      <w:tblStyleColBandSize w:val="1"/>
      <w:tblCellMar>
        <w:left w:w="115" w:type="dxa"/>
        <w:right w:w="115"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31">
    <w:name w:val="31"/>
    <w:basedOn w:val="TableNormal11"/>
    <w:tblPr>
      <w:tblStyleRowBandSize w:val="1"/>
      <w:tblStyleColBandSize w:val="1"/>
      <w:tblCellMar>
        <w:left w:w="115" w:type="dxa"/>
        <w:right w:w="115" w:type="dxa"/>
      </w:tblCellMar>
    </w:tblPr>
  </w:style>
  <w:style w:type="table" w:customStyle="1" w:styleId="30">
    <w:name w:val="30"/>
    <w:basedOn w:val="TableNormal11"/>
    <w:tblPr>
      <w:tblStyleRowBandSize w:val="1"/>
      <w:tblStyleColBandSize w:val="1"/>
      <w:tblCellMar>
        <w:left w:w="115" w:type="dxa"/>
        <w:right w:w="115" w:type="dxa"/>
      </w:tblCellMar>
    </w:tblPr>
  </w:style>
  <w:style w:type="table" w:customStyle="1" w:styleId="29">
    <w:name w:val="29"/>
    <w:basedOn w:val="TableNormal12"/>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28">
    <w:name w:val="28"/>
    <w:basedOn w:val="TableNormal12"/>
    <w:tblPr>
      <w:tblStyleRowBandSize w:val="1"/>
      <w:tblStyleColBandSize w:val="1"/>
      <w:tblCellMar>
        <w:left w:w="115" w:type="dxa"/>
        <w:right w:w="115" w:type="dxa"/>
      </w:tblCellMar>
    </w:tblPr>
  </w:style>
  <w:style w:type="table" w:customStyle="1" w:styleId="27">
    <w:name w:val="27"/>
    <w:basedOn w:val="TableNormal12"/>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B70D09"/>
    <w:rPr>
      <w:color w:val="605E5C"/>
      <w:shd w:val="clear" w:color="auto" w:fill="E1DFDD"/>
    </w:rPr>
  </w:style>
  <w:style w:type="table" w:customStyle="1" w:styleId="26">
    <w:name w:val="26"/>
    <w:basedOn w:val="TableNormal13"/>
    <w:tblPr>
      <w:tblStyleRowBandSize w:val="1"/>
      <w:tblStyleColBandSize w:val="1"/>
      <w:tblCellMar>
        <w:left w:w="115" w:type="dxa"/>
        <w:right w:w="115" w:type="dxa"/>
      </w:tblCellMar>
    </w:tblPr>
  </w:style>
  <w:style w:type="table" w:customStyle="1" w:styleId="25">
    <w:name w:val="25"/>
    <w:basedOn w:val="TableNormal13"/>
    <w:tblPr>
      <w:tblStyleRowBandSize w:val="1"/>
      <w:tblStyleColBandSize w:val="1"/>
      <w:tblCellMar>
        <w:left w:w="115" w:type="dxa"/>
        <w:right w:w="115" w:type="dxa"/>
      </w:tblCellMar>
    </w:tblPr>
  </w:style>
  <w:style w:type="character" w:customStyle="1" w:styleId="Mencinsinresolver5">
    <w:name w:val="Mención sin resolver5"/>
    <w:basedOn w:val="Fuentedeprrafopredeter"/>
    <w:uiPriority w:val="99"/>
    <w:semiHidden/>
    <w:unhideWhenUsed/>
    <w:rsid w:val="00FD1A55"/>
    <w:rPr>
      <w:color w:val="605E5C"/>
      <w:shd w:val="clear" w:color="auto" w:fill="E1DFDD"/>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paragraph" w:styleId="Listaconvietas2">
    <w:name w:val="List Bullet 2"/>
    <w:basedOn w:val="Normal"/>
    <w:uiPriority w:val="99"/>
    <w:unhideWhenUsed/>
    <w:rsid w:val="001C2B44"/>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808">
      <w:bodyDiv w:val="1"/>
      <w:marLeft w:val="0"/>
      <w:marRight w:val="0"/>
      <w:marTop w:val="0"/>
      <w:marBottom w:val="0"/>
      <w:divBdr>
        <w:top w:val="none" w:sz="0" w:space="0" w:color="auto"/>
        <w:left w:val="none" w:sz="0" w:space="0" w:color="auto"/>
        <w:bottom w:val="none" w:sz="0" w:space="0" w:color="auto"/>
        <w:right w:val="none" w:sz="0" w:space="0" w:color="auto"/>
      </w:divBdr>
    </w:div>
    <w:div w:id="696124740">
      <w:bodyDiv w:val="1"/>
      <w:marLeft w:val="0"/>
      <w:marRight w:val="0"/>
      <w:marTop w:val="0"/>
      <w:marBottom w:val="0"/>
      <w:divBdr>
        <w:top w:val="none" w:sz="0" w:space="0" w:color="auto"/>
        <w:left w:val="none" w:sz="0" w:space="0" w:color="auto"/>
        <w:bottom w:val="none" w:sz="0" w:space="0" w:color="auto"/>
        <w:right w:val="none" w:sz="0" w:space="0" w:color="auto"/>
      </w:divBdr>
    </w:div>
    <w:div w:id="756753020">
      <w:bodyDiv w:val="1"/>
      <w:marLeft w:val="0"/>
      <w:marRight w:val="0"/>
      <w:marTop w:val="0"/>
      <w:marBottom w:val="0"/>
      <w:divBdr>
        <w:top w:val="none" w:sz="0" w:space="0" w:color="auto"/>
        <w:left w:val="none" w:sz="0" w:space="0" w:color="auto"/>
        <w:bottom w:val="none" w:sz="0" w:space="0" w:color="auto"/>
        <w:right w:val="none" w:sz="0" w:space="0" w:color="auto"/>
      </w:divBdr>
    </w:div>
    <w:div w:id="845444455">
      <w:bodyDiv w:val="1"/>
      <w:marLeft w:val="0"/>
      <w:marRight w:val="0"/>
      <w:marTop w:val="0"/>
      <w:marBottom w:val="0"/>
      <w:divBdr>
        <w:top w:val="none" w:sz="0" w:space="0" w:color="auto"/>
        <w:left w:val="none" w:sz="0" w:space="0" w:color="auto"/>
        <w:bottom w:val="none" w:sz="0" w:space="0" w:color="auto"/>
        <w:right w:val="none" w:sz="0" w:space="0" w:color="auto"/>
      </w:divBdr>
    </w:div>
    <w:div w:id="983044767">
      <w:bodyDiv w:val="1"/>
      <w:marLeft w:val="0"/>
      <w:marRight w:val="0"/>
      <w:marTop w:val="0"/>
      <w:marBottom w:val="0"/>
      <w:divBdr>
        <w:top w:val="none" w:sz="0" w:space="0" w:color="auto"/>
        <w:left w:val="none" w:sz="0" w:space="0" w:color="auto"/>
        <w:bottom w:val="none" w:sz="0" w:space="0" w:color="auto"/>
        <w:right w:val="none" w:sz="0" w:space="0" w:color="auto"/>
      </w:divBdr>
    </w:div>
    <w:div w:id="1024988094">
      <w:bodyDiv w:val="1"/>
      <w:marLeft w:val="0"/>
      <w:marRight w:val="0"/>
      <w:marTop w:val="0"/>
      <w:marBottom w:val="0"/>
      <w:divBdr>
        <w:top w:val="none" w:sz="0" w:space="0" w:color="auto"/>
        <w:left w:val="none" w:sz="0" w:space="0" w:color="auto"/>
        <w:bottom w:val="none" w:sz="0" w:space="0" w:color="auto"/>
        <w:right w:val="none" w:sz="0" w:space="0" w:color="auto"/>
      </w:divBdr>
    </w:div>
    <w:div w:id="1101336940">
      <w:bodyDiv w:val="1"/>
      <w:marLeft w:val="0"/>
      <w:marRight w:val="0"/>
      <w:marTop w:val="0"/>
      <w:marBottom w:val="0"/>
      <w:divBdr>
        <w:top w:val="none" w:sz="0" w:space="0" w:color="auto"/>
        <w:left w:val="none" w:sz="0" w:space="0" w:color="auto"/>
        <w:bottom w:val="none" w:sz="0" w:space="0" w:color="auto"/>
        <w:right w:val="none" w:sz="0" w:space="0" w:color="auto"/>
      </w:divBdr>
    </w:div>
    <w:div w:id="1171485184">
      <w:bodyDiv w:val="1"/>
      <w:marLeft w:val="0"/>
      <w:marRight w:val="0"/>
      <w:marTop w:val="0"/>
      <w:marBottom w:val="0"/>
      <w:divBdr>
        <w:top w:val="none" w:sz="0" w:space="0" w:color="auto"/>
        <w:left w:val="none" w:sz="0" w:space="0" w:color="auto"/>
        <w:bottom w:val="none" w:sz="0" w:space="0" w:color="auto"/>
        <w:right w:val="none" w:sz="0" w:space="0" w:color="auto"/>
      </w:divBdr>
    </w:div>
    <w:div w:id="1238710729">
      <w:bodyDiv w:val="1"/>
      <w:marLeft w:val="0"/>
      <w:marRight w:val="0"/>
      <w:marTop w:val="0"/>
      <w:marBottom w:val="0"/>
      <w:divBdr>
        <w:top w:val="none" w:sz="0" w:space="0" w:color="auto"/>
        <w:left w:val="none" w:sz="0" w:space="0" w:color="auto"/>
        <w:bottom w:val="none" w:sz="0" w:space="0" w:color="auto"/>
        <w:right w:val="none" w:sz="0" w:space="0" w:color="auto"/>
      </w:divBdr>
    </w:div>
    <w:div w:id="1290161672">
      <w:bodyDiv w:val="1"/>
      <w:marLeft w:val="0"/>
      <w:marRight w:val="0"/>
      <w:marTop w:val="0"/>
      <w:marBottom w:val="0"/>
      <w:divBdr>
        <w:top w:val="none" w:sz="0" w:space="0" w:color="auto"/>
        <w:left w:val="none" w:sz="0" w:space="0" w:color="auto"/>
        <w:bottom w:val="none" w:sz="0" w:space="0" w:color="auto"/>
        <w:right w:val="none" w:sz="0" w:space="0" w:color="auto"/>
      </w:divBdr>
    </w:div>
    <w:div w:id="1354110597">
      <w:bodyDiv w:val="1"/>
      <w:marLeft w:val="0"/>
      <w:marRight w:val="0"/>
      <w:marTop w:val="0"/>
      <w:marBottom w:val="0"/>
      <w:divBdr>
        <w:top w:val="none" w:sz="0" w:space="0" w:color="auto"/>
        <w:left w:val="none" w:sz="0" w:space="0" w:color="auto"/>
        <w:bottom w:val="none" w:sz="0" w:space="0" w:color="auto"/>
        <w:right w:val="none" w:sz="0" w:space="0" w:color="auto"/>
      </w:divBdr>
    </w:div>
    <w:div w:id="1484732238">
      <w:bodyDiv w:val="1"/>
      <w:marLeft w:val="0"/>
      <w:marRight w:val="0"/>
      <w:marTop w:val="0"/>
      <w:marBottom w:val="0"/>
      <w:divBdr>
        <w:top w:val="none" w:sz="0" w:space="0" w:color="auto"/>
        <w:left w:val="none" w:sz="0" w:space="0" w:color="auto"/>
        <w:bottom w:val="none" w:sz="0" w:space="0" w:color="auto"/>
        <w:right w:val="none" w:sz="0" w:space="0" w:color="auto"/>
      </w:divBdr>
    </w:div>
    <w:div w:id="1513228964">
      <w:bodyDiv w:val="1"/>
      <w:marLeft w:val="0"/>
      <w:marRight w:val="0"/>
      <w:marTop w:val="0"/>
      <w:marBottom w:val="0"/>
      <w:divBdr>
        <w:top w:val="none" w:sz="0" w:space="0" w:color="auto"/>
        <w:left w:val="none" w:sz="0" w:space="0" w:color="auto"/>
        <w:bottom w:val="none" w:sz="0" w:space="0" w:color="auto"/>
        <w:right w:val="none" w:sz="0" w:space="0" w:color="auto"/>
      </w:divBdr>
    </w:div>
    <w:div w:id="1552838304">
      <w:bodyDiv w:val="1"/>
      <w:marLeft w:val="0"/>
      <w:marRight w:val="0"/>
      <w:marTop w:val="0"/>
      <w:marBottom w:val="0"/>
      <w:divBdr>
        <w:top w:val="none" w:sz="0" w:space="0" w:color="auto"/>
        <w:left w:val="none" w:sz="0" w:space="0" w:color="auto"/>
        <w:bottom w:val="none" w:sz="0" w:space="0" w:color="auto"/>
        <w:right w:val="none" w:sz="0" w:space="0" w:color="auto"/>
      </w:divBdr>
    </w:div>
    <w:div w:id="1702122085">
      <w:bodyDiv w:val="1"/>
      <w:marLeft w:val="0"/>
      <w:marRight w:val="0"/>
      <w:marTop w:val="0"/>
      <w:marBottom w:val="0"/>
      <w:divBdr>
        <w:top w:val="none" w:sz="0" w:space="0" w:color="auto"/>
        <w:left w:val="none" w:sz="0" w:space="0" w:color="auto"/>
        <w:bottom w:val="none" w:sz="0" w:space="0" w:color="auto"/>
        <w:right w:val="none" w:sz="0" w:space="0" w:color="auto"/>
      </w:divBdr>
    </w:div>
    <w:div w:id="1715733181">
      <w:bodyDiv w:val="1"/>
      <w:marLeft w:val="0"/>
      <w:marRight w:val="0"/>
      <w:marTop w:val="0"/>
      <w:marBottom w:val="0"/>
      <w:divBdr>
        <w:top w:val="none" w:sz="0" w:space="0" w:color="auto"/>
        <w:left w:val="none" w:sz="0" w:space="0" w:color="auto"/>
        <w:bottom w:val="none" w:sz="0" w:space="0" w:color="auto"/>
        <w:right w:val="none" w:sz="0" w:space="0" w:color="auto"/>
      </w:divBdr>
    </w:div>
    <w:div w:id="1743331084">
      <w:bodyDiv w:val="1"/>
      <w:marLeft w:val="0"/>
      <w:marRight w:val="0"/>
      <w:marTop w:val="0"/>
      <w:marBottom w:val="0"/>
      <w:divBdr>
        <w:top w:val="none" w:sz="0" w:space="0" w:color="auto"/>
        <w:left w:val="none" w:sz="0" w:space="0" w:color="auto"/>
        <w:bottom w:val="none" w:sz="0" w:space="0" w:color="auto"/>
        <w:right w:val="none" w:sz="0" w:space="0" w:color="auto"/>
      </w:divBdr>
    </w:div>
    <w:div w:id="1786342983">
      <w:bodyDiv w:val="1"/>
      <w:marLeft w:val="0"/>
      <w:marRight w:val="0"/>
      <w:marTop w:val="0"/>
      <w:marBottom w:val="0"/>
      <w:divBdr>
        <w:top w:val="none" w:sz="0" w:space="0" w:color="auto"/>
        <w:left w:val="none" w:sz="0" w:space="0" w:color="auto"/>
        <w:bottom w:val="none" w:sz="0" w:space="0" w:color="auto"/>
        <w:right w:val="none" w:sz="0" w:space="0" w:color="auto"/>
      </w:divBdr>
    </w:div>
    <w:div w:id="1816986287">
      <w:bodyDiv w:val="1"/>
      <w:marLeft w:val="0"/>
      <w:marRight w:val="0"/>
      <w:marTop w:val="0"/>
      <w:marBottom w:val="0"/>
      <w:divBdr>
        <w:top w:val="none" w:sz="0" w:space="0" w:color="auto"/>
        <w:left w:val="none" w:sz="0" w:space="0" w:color="auto"/>
        <w:bottom w:val="none" w:sz="0" w:space="0" w:color="auto"/>
        <w:right w:val="none" w:sz="0" w:space="0" w:color="auto"/>
      </w:divBdr>
    </w:div>
    <w:div w:id="1849900987">
      <w:bodyDiv w:val="1"/>
      <w:marLeft w:val="0"/>
      <w:marRight w:val="0"/>
      <w:marTop w:val="0"/>
      <w:marBottom w:val="0"/>
      <w:divBdr>
        <w:top w:val="none" w:sz="0" w:space="0" w:color="auto"/>
        <w:left w:val="none" w:sz="0" w:space="0" w:color="auto"/>
        <w:bottom w:val="none" w:sz="0" w:space="0" w:color="auto"/>
        <w:right w:val="none" w:sz="0" w:space="0" w:color="auto"/>
      </w:divBdr>
    </w:div>
    <w:div w:id="1964769537">
      <w:bodyDiv w:val="1"/>
      <w:marLeft w:val="0"/>
      <w:marRight w:val="0"/>
      <w:marTop w:val="0"/>
      <w:marBottom w:val="0"/>
      <w:divBdr>
        <w:top w:val="none" w:sz="0" w:space="0" w:color="auto"/>
        <w:left w:val="none" w:sz="0" w:space="0" w:color="auto"/>
        <w:bottom w:val="none" w:sz="0" w:space="0" w:color="auto"/>
        <w:right w:val="none" w:sz="0" w:space="0" w:color="auto"/>
      </w:divBdr>
    </w:div>
    <w:div w:id="2130971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Des95</b:Tag>
    <b:SourceType>Report</b:SourceType>
    <b:Guid>{8CF39635-3466-46BF-B622-0D274889218D}</b:Guid>
    <b:Title>Políticas básicas y procedimientos de adquisiciones del BID</b:Title>
    <b:Year>1995</b:Year>
    <b:Author>
      <b:Author>
        <b:NameList>
          <b:Person>
            <b:Last>Desarrollo</b:Last>
            <b:First>Banco</b:First>
            <b:Middle>Interamericano de</b:Middle>
          </b:Person>
        </b:NameList>
      </b:Author>
    </b:Author>
    <b:RefOrder>1</b:RefOrder>
  </b:Source>
</b:Sourc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yp2eh7yw8OjkxNKHfR4my2vgsA==">CgMxLjAyCWguMWZvYjl0ZTIIaC5namRneHMyCWguM2R5NnZrbTIJaC4zMGowemxsMgloLjJzOGV5bzEyCGgudHlqY3d0MgloLjN6bnlzaDcyCWguMmV0OTJwMDIIaC5sbnhiejkyCWguMzVua3VuMjIJaC4xN2RwOHZ1Mg5oLmlqdjk4cG50Y2Q1czIJaC4yNmluMXJnMgloLjRkMzRvZzgyCWguM3JkY3JqbjIJaC4xdDNoNXNmOAByITFSb2dwS0piY0UxaEpveVlOQldQdTlPcU1YbGZpeFNvOA==</go:docsCustomData>
</go:gDocsCustomXmlDataStorage>
</file>

<file path=customXml/itemProps1.xml><?xml version="1.0" encoding="utf-8"?>
<ds:datastoreItem xmlns:ds="http://schemas.openxmlformats.org/officeDocument/2006/customXml" ds:itemID="{B1AC7DA8-D319-4139-B630-C5477877E0E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3410</Words>
  <Characters>18756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2025-02-07T20:54:00Z</cp:lastPrinted>
  <dcterms:created xsi:type="dcterms:W3CDTF">2025-02-24T17:44:00Z</dcterms:created>
  <dcterms:modified xsi:type="dcterms:W3CDTF">2025-02-24T17:44:00Z</dcterms:modified>
</cp:coreProperties>
</file>