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2C00" w14:textId="77777777" w:rsidR="007A2C6F" w:rsidRDefault="007A2C6F">
      <w:pPr>
        <w:widowControl w:val="0"/>
        <w:pBdr>
          <w:top w:val="nil"/>
          <w:left w:val="nil"/>
          <w:bottom w:val="nil"/>
          <w:right w:val="nil"/>
          <w:between w:val="nil"/>
        </w:pBdr>
        <w:spacing w:line="276" w:lineRule="auto"/>
      </w:pPr>
    </w:p>
    <w:p w14:paraId="3C1FA5BC"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BC7456">
        <w:rPr>
          <w:rFonts w:ascii="Palatino Linotype" w:eastAsia="Palatino Linotype" w:hAnsi="Palatino Linotype" w:cs="Palatino Linotype"/>
          <w:b/>
          <w:sz w:val="22"/>
          <w:szCs w:val="22"/>
        </w:rPr>
        <w:t>dos de abril de dos mil veinticinco.</w:t>
      </w:r>
      <w:r w:rsidRPr="00BC7456">
        <w:rPr>
          <w:rFonts w:ascii="Palatino Linotype" w:eastAsia="Palatino Linotype" w:hAnsi="Palatino Linotype" w:cs="Palatino Linotype"/>
          <w:sz w:val="22"/>
          <w:szCs w:val="22"/>
        </w:rPr>
        <w:t xml:space="preserve"> </w:t>
      </w:r>
    </w:p>
    <w:p w14:paraId="2525FDCE"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3D869FE1" w14:textId="4F5219B3"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color w:val="0D0D0D"/>
          <w:sz w:val="22"/>
          <w:szCs w:val="22"/>
        </w:rPr>
        <w:t>VISTO</w:t>
      </w:r>
      <w:r w:rsidRPr="00BC7456">
        <w:rPr>
          <w:rFonts w:ascii="Palatino Linotype" w:eastAsia="Palatino Linotype" w:hAnsi="Palatino Linotype" w:cs="Palatino Linotype"/>
          <w:color w:val="0D0D0D"/>
          <w:sz w:val="22"/>
          <w:szCs w:val="22"/>
        </w:rPr>
        <w:t xml:space="preserve"> el expediente conformado con motivo del Recurso de Revisión </w:t>
      </w:r>
      <w:r w:rsidRPr="00BC7456">
        <w:rPr>
          <w:rFonts w:ascii="Palatino Linotype" w:eastAsia="Palatino Linotype" w:hAnsi="Palatino Linotype" w:cs="Palatino Linotype"/>
          <w:b/>
          <w:sz w:val="22"/>
          <w:szCs w:val="22"/>
        </w:rPr>
        <w:t>01139/INFOEM/IP/RR/2025</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color w:val="0D0D0D"/>
          <w:sz w:val="22"/>
          <w:szCs w:val="22"/>
        </w:rPr>
        <w:t xml:space="preserve">interpuesto por </w:t>
      </w:r>
      <w:r w:rsidR="00830A98" w:rsidRPr="00830A98">
        <w:rPr>
          <w:rFonts w:ascii="Palatino Linotype" w:eastAsia="Palatino Linotype" w:hAnsi="Palatino Linotype" w:cs="Palatino Linotype"/>
          <w:b/>
          <w:color w:val="0D0D0D"/>
          <w:sz w:val="22"/>
          <w:szCs w:val="22"/>
        </w:rPr>
        <w:t>XXXXXXX XXXX XXXXXX</w:t>
      </w:r>
      <w:r w:rsidRPr="00BC7456">
        <w:rPr>
          <w:rFonts w:ascii="Palatino Linotype" w:eastAsia="Palatino Linotype" w:hAnsi="Palatino Linotype" w:cs="Palatino Linotype"/>
          <w:color w:val="0D0D0D"/>
          <w:sz w:val="22"/>
          <w:szCs w:val="22"/>
        </w:rPr>
        <w:t xml:space="preserve">, en lo sucesivo Recurrente o Particular, </w:t>
      </w:r>
      <w:r w:rsidRPr="00BC7456">
        <w:rPr>
          <w:rFonts w:ascii="Palatino Linotype" w:eastAsia="Palatino Linotype" w:hAnsi="Palatino Linotype" w:cs="Palatino Linotype"/>
          <w:sz w:val="22"/>
          <w:szCs w:val="22"/>
        </w:rPr>
        <w:t xml:space="preserve">en contra de la respuesta del Sujeto Obligado, Ayuntamiento de Capulhuac a la solicitud de acceso a la información </w:t>
      </w:r>
      <w:r w:rsidRPr="00BC7456">
        <w:rPr>
          <w:rFonts w:ascii="Palatino Linotype" w:eastAsia="Palatino Linotype" w:hAnsi="Palatino Linotype" w:cs="Palatino Linotype"/>
          <w:b/>
          <w:sz w:val="22"/>
          <w:szCs w:val="22"/>
        </w:rPr>
        <w:t>00008/CAPULHUA/IP/2025</w:t>
      </w:r>
      <w:r w:rsidRPr="00BC7456">
        <w:rPr>
          <w:rFonts w:ascii="Palatino Linotype" w:eastAsia="Palatino Linotype" w:hAnsi="Palatino Linotype" w:cs="Palatino Linotype"/>
          <w:sz w:val="22"/>
          <w:szCs w:val="22"/>
        </w:rPr>
        <w:t>, se emite la presente Resolución, con base en los Antecedentes y Consideraciones que a continuación se exponen:</w:t>
      </w:r>
    </w:p>
    <w:p w14:paraId="70B03E9F" w14:textId="77777777" w:rsidR="007A2C6F" w:rsidRPr="00BC7456" w:rsidRDefault="007A2C6F">
      <w:pPr>
        <w:tabs>
          <w:tab w:val="left" w:pos="2835"/>
        </w:tabs>
        <w:spacing w:line="360" w:lineRule="auto"/>
        <w:ind w:right="-93"/>
        <w:jc w:val="both"/>
        <w:rPr>
          <w:rFonts w:ascii="Palatino Linotype" w:eastAsia="Palatino Linotype" w:hAnsi="Palatino Linotype" w:cs="Palatino Linotype"/>
          <w:b/>
          <w:sz w:val="22"/>
          <w:szCs w:val="22"/>
        </w:rPr>
      </w:pPr>
    </w:p>
    <w:p w14:paraId="345F4955" w14:textId="77777777" w:rsidR="007A2C6F" w:rsidRPr="00BC7456" w:rsidRDefault="00BA6AB5">
      <w:pPr>
        <w:spacing w:line="360" w:lineRule="auto"/>
        <w:ind w:right="-93"/>
        <w:jc w:val="center"/>
        <w:rPr>
          <w:rFonts w:ascii="Palatino Linotype" w:eastAsia="Palatino Linotype" w:hAnsi="Palatino Linotype" w:cs="Palatino Linotype"/>
          <w:b/>
          <w:sz w:val="22"/>
          <w:szCs w:val="22"/>
        </w:rPr>
      </w:pPr>
      <w:r w:rsidRPr="00BC7456">
        <w:rPr>
          <w:rFonts w:ascii="Palatino Linotype" w:eastAsia="Palatino Linotype" w:hAnsi="Palatino Linotype" w:cs="Palatino Linotype"/>
          <w:b/>
          <w:sz w:val="22"/>
          <w:szCs w:val="22"/>
        </w:rPr>
        <w:t>A N T E C E D E N T E S:</w:t>
      </w:r>
    </w:p>
    <w:p w14:paraId="468D0730" w14:textId="77777777" w:rsidR="007A2C6F" w:rsidRPr="00BC7456" w:rsidRDefault="007A2C6F">
      <w:pPr>
        <w:spacing w:line="360" w:lineRule="auto"/>
        <w:ind w:right="-93"/>
        <w:jc w:val="both"/>
        <w:rPr>
          <w:rFonts w:ascii="Palatino Linotype" w:eastAsia="Palatino Linotype" w:hAnsi="Palatino Linotype" w:cs="Palatino Linotype"/>
          <w:sz w:val="22"/>
          <w:szCs w:val="22"/>
        </w:rPr>
      </w:pPr>
    </w:p>
    <w:p w14:paraId="2B5996F4"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 xml:space="preserve">1. Presentación de la solicitud de información. </w:t>
      </w:r>
      <w:r w:rsidRPr="00BC7456">
        <w:rPr>
          <w:rFonts w:ascii="Palatino Linotype" w:eastAsia="Palatino Linotype" w:hAnsi="Palatino Linotype" w:cs="Palatino Linotype"/>
          <w:sz w:val="22"/>
          <w:szCs w:val="22"/>
        </w:rPr>
        <w:t xml:space="preserve">Con fecha </w:t>
      </w:r>
      <w:r w:rsidRPr="00BC7456">
        <w:rPr>
          <w:rFonts w:ascii="Palatino Linotype" w:eastAsia="Palatino Linotype" w:hAnsi="Palatino Linotype" w:cs="Palatino Linotype"/>
          <w:b/>
          <w:sz w:val="22"/>
          <w:szCs w:val="22"/>
        </w:rPr>
        <w:t>tres de enero de dos mil veinticinco</w:t>
      </w:r>
      <w:r w:rsidRPr="00BC7456">
        <w:rPr>
          <w:rFonts w:ascii="Palatino Linotype" w:eastAsia="Palatino Linotype" w:hAnsi="Palatino Linotype" w:cs="Palatino Linotype"/>
          <w:sz w:val="22"/>
          <w:szCs w:val="22"/>
        </w:rPr>
        <w:t xml:space="preserve"> el Recurrente formuló solicitud de acceso a información pública al </w:t>
      </w:r>
      <w:r w:rsidRPr="00BC7456">
        <w:rPr>
          <w:rFonts w:ascii="Palatino Linotype" w:eastAsia="Palatino Linotype" w:hAnsi="Palatino Linotype" w:cs="Palatino Linotype"/>
          <w:b/>
          <w:sz w:val="22"/>
          <w:szCs w:val="22"/>
        </w:rPr>
        <w:t>SUJETO OBLIGADO</w:t>
      </w:r>
      <w:r w:rsidRPr="00BC7456">
        <w:rPr>
          <w:rFonts w:ascii="Palatino Linotype" w:eastAsia="Palatino Linotype" w:hAnsi="Palatino Linotype" w:cs="Palatino Linotype"/>
          <w:sz w:val="22"/>
          <w:szCs w:val="22"/>
        </w:rPr>
        <w:t xml:space="preserve"> a través del Sistema de Acceso a la Información Mexiquense, en adelante </w:t>
      </w:r>
      <w:r w:rsidRPr="00BC7456">
        <w:rPr>
          <w:rFonts w:ascii="Palatino Linotype" w:eastAsia="Palatino Linotype" w:hAnsi="Palatino Linotype" w:cs="Palatino Linotype"/>
          <w:b/>
          <w:sz w:val="22"/>
          <w:szCs w:val="22"/>
        </w:rPr>
        <w:t>SAIMEX</w:t>
      </w:r>
      <w:r w:rsidRPr="00BC7456">
        <w:rPr>
          <w:rFonts w:ascii="Palatino Linotype" w:eastAsia="Palatino Linotype" w:hAnsi="Palatino Linotype" w:cs="Palatino Linotype"/>
          <w:sz w:val="22"/>
          <w:szCs w:val="22"/>
        </w:rPr>
        <w:t xml:space="preserve">; sin embargo, al corresponder a día inhábil se tuvo por presentada el día </w:t>
      </w:r>
      <w:r w:rsidRPr="00BC7456">
        <w:rPr>
          <w:rFonts w:ascii="Palatino Linotype" w:eastAsia="Palatino Linotype" w:hAnsi="Palatino Linotype" w:cs="Palatino Linotype"/>
          <w:b/>
          <w:sz w:val="22"/>
          <w:szCs w:val="22"/>
        </w:rPr>
        <w:t>trece de enero de dos mil veinticinco</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color w:val="000000"/>
          <w:sz w:val="22"/>
          <w:szCs w:val="22"/>
        </w:rPr>
        <w:t>mediante la cual requirió:</w:t>
      </w:r>
    </w:p>
    <w:p w14:paraId="2700D24D" w14:textId="77777777" w:rsidR="007A2C6F" w:rsidRPr="00BC7456" w:rsidRDefault="007A2C6F">
      <w:pPr>
        <w:spacing w:line="360" w:lineRule="auto"/>
        <w:ind w:right="567"/>
        <w:rPr>
          <w:rFonts w:ascii="Palatino Linotype" w:eastAsia="Palatino Linotype" w:hAnsi="Palatino Linotype" w:cs="Palatino Linotype"/>
          <w:b/>
          <w:i/>
        </w:rPr>
      </w:pPr>
    </w:p>
    <w:p w14:paraId="6590AEA2" w14:textId="77777777" w:rsidR="007A2C6F" w:rsidRPr="00BC7456" w:rsidRDefault="00BA6AB5">
      <w:pPr>
        <w:spacing w:line="360" w:lineRule="auto"/>
        <w:ind w:left="567" w:right="567"/>
        <w:jc w:val="both"/>
        <w:rPr>
          <w:rFonts w:ascii="Palatino Linotype" w:eastAsia="Palatino Linotype" w:hAnsi="Palatino Linotype" w:cs="Palatino Linotype"/>
          <w:i/>
          <w:color w:val="000000"/>
          <w:sz w:val="22"/>
          <w:szCs w:val="22"/>
        </w:rPr>
      </w:pPr>
      <w:bookmarkStart w:id="0" w:name="_heading=h.pdd3ozlg778c" w:colFirst="0" w:colLast="0"/>
      <w:bookmarkEnd w:id="0"/>
      <w:r w:rsidRPr="00BC7456">
        <w:rPr>
          <w:rFonts w:ascii="Palatino Linotype" w:eastAsia="Palatino Linotype" w:hAnsi="Palatino Linotype" w:cs="Palatino Linotype"/>
          <w:i/>
          <w:color w:val="000000"/>
          <w:sz w:val="22"/>
          <w:szCs w:val="22"/>
        </w:rPr>
        <w:t xml:space="preserve">“solicitamos en versión publicas durante la administración 2022-2024 las demandas y laudos adquiridos y montos que se </w:t>
      </w:r>
      <w:proofErr w:type="gramStart"/>
      <w:r w:rsidRPr="00BC7456">
        <w:rPr>
          <w:rFonts w:ascii="Palatino Linotype" w:eastAsia="Palatino Linotype" w:hAnsi="Palatino Linotype" w:cs="Palatino Linotype"/>
          <w:i/>
          <w:color w:val="000000"/>
          <w:sz w:val="22"/>
          <w:szCs w:val="22"/>
        </w:rPr>
        <w:t>pagaron“</w:t>
      </w:r>
      <w:proofErr w:type="gramEnd"/>
      <w:r w:rsidRPr="00BC7456">
        <w:rPr>
          <w:rFonts w:ascii="Palatino Linotype" w:eastAsia="Palatino Linotype" w:hAnsi="Palatino Linotype" w:cs="Palatino Linotype"/>
          <w:i/>
          <w:color w:val="000000"/>
          <w:sz w:val="22"/>
          <w:szCs w:val="22"/>
        </w:rPr>
        <w:t>.</w:t>
      </w:r>
    </w:p>
    <w:p w14:paraId="7A8874CF" w14:textId="77777777" w:rsidR="007A2C6F" w:rsidRPr="00BC7456" w:rsidRDefault="007A2C6F">
      <w:pPr>
        <w:spacing w:line="360" w:lineRule="auto"/>
        <w:ind w:left="567" w:right="567"/>
        <w:jc w:val="both"/>
        <w:rPr>
          <w:rFonts w:ascii="Palatino Linotype" w:eastAsia="Palatino Linotype" w:hAnsi="Palatino Linotype" w:cs="Palatino Linotype"/>
          <w:i/>
          <w:color w:val="000000"/>
        </w:rPr>
      </w:pPr>
    </w:p>
    <w:p w14:paraId="5FF621FB" w14:textId="77777777" w:rsidR="007A2C6F" w:rsidRPr="00BC7456" w:rsidRDefault="00BA6AB5">
      <w:pPr>
        <w:tabs>
          <w:tab w:val="left" w:pos="4667"/>
        </w:tabs>
        <w:spacing w:line="360" w:lineRule="auto"/>
        <w:ind w:left="567" w:right="567"/>
        <w:rPr>
          <w:rFonts w:ascii="Palatino Linotype" w:eastAsia="Palatino Linotype" w:hAnsi="Palatino Linotype" w:cs="Palatino Linotype"/>
          <w:b/>
          <w:i/>
        </w:rPr>
      </w:pPr>
      <w:r w:rsidRPr="00BC7456">
        <w:rPr>
          <w:rFonts w:ascii="Palatino Linotype" w:eastAsia="Palatino Linotype" w:hAnsi="Palatino Linotype" w:cs="Palatino Linotype"/>
          <w:b/>
          <w:i/>
        </w:rPr>
        <w:t xml:space="preserve">MODALIDAD DE ENTREGA. </w:t>
      </w:r>
      <w:r w:rsidRPr="00BC7456">
        <w:rPr>
          <w:rFonts w:ascii="Palatino Linotype" w:eastAsia="Palatino Linotype" w:hAnsi="Palatino Linotype" w:cs="Palatino Linotype"/>
          <w:i/>
        </w:rPr>
        <w:t>A través del SAIMEX.</w:t>
      </w:r>
    </w:p>
    <w:p w14:paraId="008292E6" w14:textId="77777777" w:rsidR="007A2C6F" w:rsidRPr="00BC7456" w:rsidRDefault="00BA6AB5">
      <w:pPr>
        <w:spacing w:line="360" w:lineRule="auto"/>
        <w:ind w:left="567" w:right="567"/>
        <w:rPr>
          <w:rFonts w:ascii="Palatino Linotype" w:eastAsia="Palatino Linotype" w:hAnsi="Palatino Linotype" w:cs="Palatino Linotype"/>
          <w:i/>
        </w:rPr>
      </w:pPr>
      <w:r w:rsidRPr="00BC7456">
        <w:rPr>
          <w:rFonts w:ascii="Palatino Linotype" w:eastAsia="Palatino Linotype" w:hAnsi="Palatino Linotype" w:cs="Palatino Linotype"/>
          <w:i/>
        </w:rPr>
        <w:t xml:space="preserve"> </w:t>
      </w:r>
    </w:p>
    <w:p w14:paraId="2C4A2692" w14:textId="77777777" w:rsidR="007A2C6F" w:rsidRPr="00BC7456" w:rsidRDefault="00BA6AB5">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b/>
          <w:color w:val="000000"/>
          <w:sz w:val="22"/>
          <w:szCs w:val="22"/>
        </w:rPr>
        <w:t xml:space="preserve">2. Respuesta del Sujeto Obligado. </w:t>
      </w:r>
      <w:r w:rsidRPr="00BC7456">
        <w:rPr>
          <w:rFonts w:ascii="Palatino Linotype" w:eastAsia="Palatino Linotype" w:hAnsi="Palatino Linotype" w:cs="Palatino Linotype"/>
          <w:color w:val="000000"/>
          <w:sz w:val="22"/>
          <w:szCs w:val="22"/>
        </w:rPr>
        <w:t xml:space="preserve">Con fecha </w:t>
      </w:r>
      <w:r w:rsidRPr="00BC7456">
        <w:rPr>
          <w:rFonts w:ascii="Palatino Linotype" w:eastAsia="Palatino Linotype" w:hAnsi="Palatino Linotype" w:cs="Palatino Linotype"/>
          <w:b/>
          <w:color w:val="000000"/>
          <w:sz w:val="22"/>
          <w:szCs w:val="22"/>
        </w:rPr>
        <w:t>veinticuatro de enero de dos mil veinticinco</w:t>
      </w:r>
      <w:r w:rsidRPr="00BC7456">
        <w:rPr>
          <w:rFonts w:ascii="Palatino Linotype" w:eastAsia="Palatino Linotype" w:hAnsi="Palatino Linotype" w:cs="Palatino Linotype"/>
          <w:color w:val="000000"/>
          <w:sz w:val="22"/>
          <w:szCs w:val="22"/>
        </w:rPr>
        <w:t xml:space="preserve">, el Sujeto Obligado notificó a través del Sistema de Acceso a la Información Mexiquense (SAIMEX), la respuesta a la solicitud de acceso a la información al tenor de lo siguiente: </w:t>
      </w:r>
    </w:p>
    <w:p w14:paraId="33B67E8A" w14:textId="77777777" w:rsidR="007A2C6F" w:rsidRPr="00BC7456" w:rsidRDefault="007A2C6F">
      <w:pPr>
        <w:spacing w:line="360" w:lineRule="auto"/>
        <w:ind w:right="-28"/>
        <w:jc w:val="both"/>
        <w:rPr>
          <w:rFonts w:ascii="Palatino Linotype" w:eastAsia="Palatino Linotype" w:hAnsi="Palatino Linotype" w:cs="Palatino Linotype"/>
          <w:sz w:val="22"/>
          <w:szCs w:val="22"/>
        </w:rPr>
      </w:pPr>
    </w:p>
    <w:p w14:paraId="7B214EC1" w14:textId="77777777" w:rsidR="007A2C6F" w:rsidRPr="00BC7456" w:rsidRDefault="00BA6AB5">
      <w:pPr>
        <w:spacing w:line="360" w:lineRule="auto"/>
        <w:ind w:left="567" w:right="539"/>
        <w:jc w:val="both"/>
        <w:rPr>
          <w:rFonts w:ascii="Palatino Linotype" w:eastAsia="Palatino Linotype" w:hAnsi="Palatino Linotype" w:cs="Palatino Linotype"/>
          <w:i/>
        </w:rPr>
      </w:pPr>
      <w:bookmarkStart w:id="1" w:name="_heading=h.qen0iwjij08z" w:colFirst="0" w:colLast="0"/>
      <w:bookmarkEnd w:id="1"/>
      <w:r w:rsidRPr="00BC7456">
        <w:rPr>
          <w:rFonts w:ascii="Palatino Linotype" w:eastAsia="Palatino Linotype" w:hAnsi="Palatino Linotype" w:cs="Palatino Linotype"/>
          <w:i/>
        </w:rPr>
        <w:t xml:space="preserve">“REMITE CONTESTACION EL SUJETO PUBLICO HABILITADO”. </w:t>
      </w:r>
    </w:p>
    <w:p w14:paraId="47D749C5" w14:textId="77777777" w:rsidR="007A2C6F" w:rsidRPr="00BC7456" w:rsidRDefault="007A2C6F">
      <w:pPr>
        <w:spacing w:line="360" w:lineRule="auto"/>
        <w:ind w:left="567" w:right="539"/>
        <w:jc w:val="both"/>
        <w:rPr>
          <w:rFonts w:ascii="Palatino Linotype" w:eastAsia="Palatino Linotype" w:hAnsi="Palatino Linotype" w:cs="Palatino Linotype"/>
          <w:i/>
        </w:rPr>
      </w:pPr>
    </w:p>
    <w:p w14:paraId="2935F258" w14:textId="77777777" w:rsidR="007A2C6F" w:rsidRPr="00BC7456" w:rsidRDefault="00BA6AB5">
      <w:pPr>
        <w:spacing w:line="360" w:lineRule="auto"/>
        <w:ind w:right="539"/>
        <w:jc w:val="both"/>
        <w:rPr>
          <w:rFonts w:ascii="Palatino Linotype" w:eastAsia="Palatino Linotype" w:hAnsi="Palatino Linotype" w:cs="Palatino Linotype"/>
          <w:sz w:val="22"/>
          <w:szCs w:val="22"/>
        </w:rPr>
      </w:pPr>
      <w:bookmarkStart w:id="2" w:name="_heading=h.de1xb61ecp7w" w:colFirst="0" w:colLast="0"/>
      <w:bookmarkEnd w:id="2"/>
      <w:r w:rsidRPr="00BC7456">
        <w:rPr>
          <w:rFonts w:ascii="Palatino Linotype" w:eastAsia="Palatino Linotype" w:hAnsi="Palatino Linotype" w:cs="Palatino Linotype"/>
          <w:sz w:val="22"/>
          <w:szCs w:val="22"/>
        </w:rPr>
        <w:t xml:space="preserve">Para tales efectos, anexó los archivos que se describen a continuación: </w:t>
      </w:r>
    </w:p>
    <w:p w14:paraId="159EE367" w14:textId="77777777" w:rsidR="007A2C6F" w:rsidRPr="00BC7456" w:rsidRDefault="007A2C6F">
      <w:pPr>
        <w:spacing w:line="360" w:lineRule="auto"/>
        <w:ind w:right="539"/>
        <w:jc w:val="both"/>
        <w:rPr>
          <w:rFonts w:ascii="Palatino Linotype" w:eastAsia="Palatino Linotype" w:hAnsi="Palatino Linotype" w:cs="Palatino Linotype"/>
          <w:sz w:val="22"/>
          <w:szCs w:val="22"/>
        </w:rPr>
      </w:pPr>
    </w:p>
    <w:p w14:paraId="0B869A32" w14:textId="77777777" w:rsidR="007A2C6F" w:rsidRPr="00BC7456" w:rsidRDefault="00BA6AB5">
      <w:pPr>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 xml:space="preserve">Oficio de fecha trece de enero de dos mil veinticinco, signado por el Titular de la Unidad de Transparencia dirigido a la Dirección Jurídica, mediante el cual se solicita de respuesta a la solicitud de información. </w:t>
      </w:r>
    </w:p>
    <w:p w14:paraId="45D63759" w14:textId="77777777" w:rsidR="007A2C6F" w:rsidRPr="00BC7456" w:rsidRDefault="00BA6AB5">
      <w:pPr>
        <w:numPr>
          <w:ilvl w:val="0"/>
          <w:numId w:val="7"/>
        </w:numPr>
        <w:pBdr>
          <w:top w:val="nil"/>
          <w:left w:val="nil"/>
          <w:bottom w:val="nil"/>
          <w:right w:val="nil"/>
          <w:between w:val="nil"/>
        </w:pBdr>
        <w:spacing w:line="360" w:lineRule="auto"/>
        <w:ind w:right="539"/>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 xml:space="preserve">Oficio de fecha veintitrés de enero de dos mil veinticinco, signado por el </w:t>
      </w:r>
      <w:proofErr w:type="gramStart"/>
      <w:r w:rsidRPr="00BC7456">
        <w:rPr>
          <w:rFonts w:ascii="Palatino Linotype" w:eastAsia="Palatino Linotype" w:hAnsi="Palatino Linotype" w:cs="Palatino Linotype"/>
          <w:color w:val="000000"/>
          <w:sz w:val="22"/>
          <w:szCs w:val="22"/>
        </w:rPr>
        <w:t>Director</w:t>
      </w:r>
      <w:proofErr w:type="gramEnd"/>
      <w:r w:rsidRPr="00BC7456">
        <w:rPr>
          <w:rFonts w:ascii="Palatino Linotype" w:eastAsia="Palatino Linotype" w:hAnsi="Palatino Linotype" w:cs="Palatino Linotype"/>
          <w:color w:val="000000"/>
          <w:sz w:val="22"/>
          <w:szCs w:val="22"/>
        </w:rPr>
        <w:t xml:space="preserve"> Jurídico, mediante el cual informa que, se cuenta con 37 demandas laborales en administración 2022-2024.</w:t>
      </w:r>
    </w:p>
    <w:p w14:paraId="46161A3D" w14:textId="77777777" w:rsidR="007A2C6F" w:rsidRPr="00BC7456" w:rsidRDefault="007A2C6F">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sz w:val="22"/>
          <w:szCs w:val="22"/>
        </w:rPr>
      </w:pPr>
    </w:p>
    <w:p w14:paraId="58F965E2" w14:textId="77777777" w:rsidR="007A2C6F" w:rsidRPr="00BC7456" w:rsidRDefault="00BA6AB5">
      <w:pPr>
        <w:spacing w:line="360" w:lineRule="auto"/>
        <w:ind w:right="-28"/>
        <w:jc w:val="both"/>
        <w:rPr>
          <w:rFonts w:ascii="Palatino Linotype" w:eastAsia="Palatino Linotype" w:hAnsi="Palatino Linotype" w:cs="Palatino Linotype"/>
          <w:b/>
          <w:sz w:val="22"/>
          <w:szCs w:val="22"/>
        </w:rPr>
      </w:pPr>
      <w:r w:rsidRPr="00BC7456">
        <w:rPr>
          <w:rFonts w:ascii="Palatino Linotype" w:eastAsia="Palatino Linotype" w:hAnsi="Palatino Linotype" w:cs="Palatino Linotype"/>
          <w:b/>
          <w:sz w:val="22"/>
          <w:szCs w:val="22"/>
        </w:rPr>
        <w:t xml:space="preserve">3. Interposición del Recurso de Revisión. </w:t>
      </w:r>
      <w:r w:rsidRPr="00BC7456">
        <w:rPr>
          <w:rFonts w:ascii="Palatino Linotype" w:eastAsia="Palatino Linotype" w:hAnsi="Palatino Linotype" w:cs="Palatino Linotype"/>
          <w:sz w:val="22"/>
          <w:szCs w:val="22"/>
        </w:rPr>
        <w:t xml:space="preserve">En fecha </w:t>
      </w:r>
      <w:r w:rsidRPr="00BC7456">
        <w:rPr>
          <w:rFonts w:ascii="Palatino Linotype" w:eastAsia="Palatino Linotype" w:hAnsi="Palatino Linotype" w:cs="Palatino Linotype"/>
          <w:b/>
          <w:sz w:val="22"/>
          <w:szCs w:val="22"/>
        </w:rPr>
        <w:t>doce de febrero de dos mil veinticinco</w:t>
      </w:r>
      <w:r w:rsidRPr="00BC7456">
        <w:rPr>
          <w:rFonts w:ascii="Palatino Linotype" w:eastAsia="Palatino Linotype" w:hAnsi="Palatino Linotype" w:cs="Palatino Linotype"/>
          <w:sz w:val="22"/>
          <w:szCs w:val="22"/>
        </w:rPr>
        <w:t>, a través del Sistema de Acceso a la Información Mexiquense (SAIMEX), el Particular interpuso Recurso de Revisión ante este Instituto en contra de la respuesta otorgada por el Sujeto Obligado a la solicitud de información, en los siguientes términos:</w:t>
      </w:r>
    </w:p>
    <w:p w14:paraId="72C67321" w14:textId="77777777" w:rsidR="007A2C6F" w:rsidRPr="00BC7456" w:rsidRDefault="007A2C6F">
      <w:pPr>
        <w:widowControl w:val="0"/>
        <w:spacing w:line="360" w:lineRule="auto"/>
        <w:jc w:val="both"/>
        <w:rPr>
          <w:rFonts w:ascii="Palatino Linotype" w:eastAsia="Palatino Linotype" w:hAnsi="Palatino Linotype" w:cs="Palatino Linotype"/>
          <w:sz w:val="22"/>
          <w:szCs w:val="22"/>
        </w:rPr>
      </w:pPr>
    </w:p>
    <w:p w14:paraId="423BA5A2" w14:textId="77777777" w:rsidR="007A2C6F" w:rsidRPr="00BC7456" w:rsidRDefault="00BA6AB5">
      <w:pPr>
        <w:spacing w:line="360" w:lineRule="auto"/>
        <w:ind w:left="567" w:right="567"/>
        <w:jc w:val="both"/>
        <w:rPr>
          <w:rFonts w:ascii="Palatino Linotype" w:eastAsia="Palatino Linotype" w:hAnsi="Palatino Linotype" w:cs="Palatino Linotype"/>
          <w:b/>
          <w:i/>
        </w:rPr>
      </w:pPr>
      <w:bookmarkStart w:id="3" w:name="_heading=h.7ck2v8vyp7e0" w:colFirst="0" w:colLast="0"/>
      <w:bookmarkEnd w:id="3"/>
      <w:r w:rsidRPr="00BC7456">
        <w:rPr>
          <w:rFonts w:ascii="Palatino Linotype" w:eastAsia="Palatino Linotype" w:hAnsi="Palatino Linotype" w:cs="Palatino Linotype"/>
          <w:b/>
          <w:i/>
        </w:rPr>
        <w:t xml:space="preserve"> ACTO IMPUGNADO. </w:t>
      </w:r>
      <w:r w:rsidRPr="00BC7456">
        <w:rPr>
          <w:rFonts w:ascii="Palatino Linotype" w:eastAsia="Palatino Linotype" w:hAnsi="Palatino Linotype" w:cs="Palatino Linotype"/>
          <w:i/>
        </w:rPr>
        <w:t xml:space="preserve">“negativa de información”. </w:t>
      </w:r>
    </w:p>
    <w:p w14:paraId="054E2061" w14:textId="77777777" w:rsidR="007A2C6F" w:rsidRPr="00BC7456" w:rsidRDefault="007A2C6F">
      <w:pPr>
        <w:spacing w:line="360" w:lineRule="auto"/>
        <w:ind w:left="567" w:right="567"/>
        <w:jc w:val="both"/>
        <w:rPr>
          <w:rFonts w:ascii="Palatino Linotype" w:eastAsia="Palatino Linotype" w:hAnsi="Palatino Linotype" w:cs="Palatino Linotype"/>
          <w:i/>
        </w:rPr>
      </w:pPr>
    </w:p>
    <w:p w14:paraId="213CEBA1" w14:textId="77777777" w:rsidR="007A2C6F" w:rsidRPr="00BC7456" w:rsidRDefault="00BA6AB5">
      <w:pPr>
        <w:spacing w:line="360" w:lineRule="auto"/>
        <w:ind w:left="567" w:right="567"/>
        <w:jc w:val="both"/>
        <w:rPr>
          <w:rFonts w:ascii="Palatino Linotype" w:eastAsia="Palatino Linotype" w:hAnsi="Palatino Linotype" w:cs="Palatino Linotype"/>
          <w:b/>
          <w:i/>
        </w:rPr>
      </w:pPr>
      <w:r w:rsidRPr="00BC7456">
        <w:rPr>
          <w:rFonts w:ascii="Palatino Linotype" w:eastAsia="Palatino Linotype" w:hAnsi="Palatino Linotype" w:cs="Palatino Linotype"/>
          <w:b/>
          <w:i/>
        </w:rPr>
        <w:t xml:space="preserve">RAZONES O MOTIVOS DE LA INCONFORMIDAD. </w:t>
      </w:r>
      <w:r w:rsidRPr="00BC7456">
        <w:rPr>
          <w:rFonts w:ascii="Palatino Linotype" w:eastAsia="Palatino Linotype" w:hAnsi="Palatino Linotype" w:cs="Palatino Linotype"/>
          <w:i/>
        </w:rPr>
        <w:t xml:space="preserve">“negativa de información”. </w:t>
      </w:r>
    </w:p>
    <w:p w14:paraId="3928306B" w14:textId="77777777" w:rsidR="007A2C6F" w:rsidRPr="00BC7456" w:rsidRDefault="007A2C6F">
      <w:pPr>
        <w:tabs>
          <w:tab w:val="left" w:pos="3360"/>
        </w:tabs>
        <w:spacing w:line="360" w:lineRule="auto"/>
        <w:ind w:right="-28"/>
        <w:jc w:val="both"/>
        <w:rPr>
          <w:rFonts w:ascii="Palatino Linotype" w:eastAsia="Palatino Linotype" w:hAnsi="Palatino Linotype" w:cs="Palatino Linotype"/>
          <w:sz w:val="22"/>
          <w:szCs w:val="22"/>
        </w:rPr>
      </w:pPr>
    </w:p>
    <w:p w14:paraId="55D643CC" w14:textId="77777777" w:rsidR="007A2C6F" w:rsidRPr="00BC7456" w:rsidRDefault="00BA6AB5">
      <w:pPr>
        <w:spacing w:line="360" w:lineRule="auto"/>
        <w:jc w:val="both"/>
        <w:rPr>
          <w:rFonts w:ascii="Palatino Linotype" w:eastAsia="Palatino Linotype" w:hAnsi="Palatino Linotype" w:cs="Palatino Linotype"/>
          <w:b/>
          <w:sz w:val="22"/>
          <w:szCs w:val="22"/>
        </w:rPr>
      </w:pPr>
      <w:r w:rsidRPr="00BC7456">
        <w:rPr>
          <w:rFonts w:ascii="Palatino Linotype" w:eastAsia="Palatino Linotype" w:hAnsi="Palatino Linotype" w:cs="Palatino Linotype"/>
          <w:b/>
          <w:sz w:val="22"/>
          <w:szCs w:val="22"/>
        </w:rPr>
        <w:t xml:space="preserve">4. Turno del Recurso de Revisión. </w:t>
      </w:r>
      <w:r w:rsidRPr="00BC7456">
        <w:rPr>
          <w:rFonts w:ascii="Palatino Linotype" w:eastAsia="Palatino Linotype" w:hAnsi="Palatino Linotype" w:cs="Palatino Linotype"/>
          <w:sz w:val="22"/>
          <w:szCs w:val="22"/>
        </w:rPr>
        <w:t xml:space="preserve">El </w:t>
      </w:r>
      <w:r w:rsidRPr="00BC7456">
        <w:rPr>
          <w:rFonts w:ascii="Palatino Linotype" w:eastAsia="Palatino Linotype" w:hAnsi="Palatino Linotype" w:cs="Palatino Linotype"/>
          <w:b/>
          <w:sz w:val="22"/>
          <w:szCs w:val="22"/>
        </w:rPr>
        <w:t>doce de febrero de dos mil veinticinco</w:t>
      </w:r>
      <w:r w:rsidRPr="00BC7456">
        <w:rPr>
          <w:rFonts w:ascii="Palatino Linotype" w:eastAsia="Palatino Linotype" w:hAnsi="Palatino Linotype" w:cs="Palatino Linotype"/>
          <w:sz w:val="22"/>
          <w:szCs w:val="22"/>
        </w:rPr>
        <w:t xml:space="preserve">, el Sistema de Acceso a la Información Mexiquense (SAIMEX), asignó el número de expediente </w:t>
      </w:r>
      <w:r w:rsidRPr="00BC7456">
        <w:rPr>
          <w:rFonts w:ascii="Palatino Linotype" w:eastAsia="Palatino Linotype" w:hAnsi="Palatino Linotype" w:cs="Palatino Linotype"/>
          <w:b/>
          <w:sz w:val="22"/>
          <w:szCs w:val="22"/>
        </w:rPr>
        <w:t>01139/INFOEM/IP/RR/2025</w:t>
      </w:r>
      <w:r w:rsidRPr="00BC7456">
        <w:rPr>
          <w:rFonts w:ascii="Palatino Linotype" w:eastAsia="Palatino Linotype" w:hAnsi="Palatino Linotype" w:cs="Palatino Linotype"/>
          <w:sz w:val="22"/>
          <w:szCs w:val="22"/>
        </w:rPr>
        <w:t xml:space="preserve">, al medio de impugnación que nos ocupa, con base en el sistema aprobado por el Pleno de este Órgano Garante y lo turnó a la Comisionada </w:t>
      </w:r>
      <w:r w:rsidRPr="00BC7456">
        <w:rPr>
          <w:rFonts w:ascii="Palatino Linotype" w:eastAsia="Palatino Linotype" w:hAnsi="Palatino Linotype" w:cs="Palatino Linotype"/>
          <w:b/>
          <w:sz w:val="22"/>
          <w:szCs w:val="22"/>
        </w:rPr>
        <w:t xml:space="preserve">Guadalupe Ramírez Peña </w:t>
      </w:r>
      <w:r w:rsidRPr="00BC7456">
        <w:rPr>
          <w:rFonts w:ascii="Palatino Linotype" w:eastAsia="Palatino Linotype" w:hAnsi="Palatino Linotype" w:cs="Palatino Linotype"/>
          <w:sz w:val="22"/>
          <w:szCs w:val="22"/>
        </w:rPr>
        <w:t>para los efectos del artículo 185, fracción I de la Ley de Transparencia y Acceso a la Información Pública del Estado de México y Municipios.</w:t>
      </w:r>
    </w:p>
    <w:p w14:paraId="17F3DB87" w14:textId="77777777" w:rsidR="007A2C6F" w:rsidRPr="00BC7456" w:rsidRDefault="007A2C6F">
      <w:pPr>
        <w:spacing w:line="360" w:lineRule="auto"/>
        <w:jc w:val="both"/>
        <w:rPr>
          <w:rFonts w:ascii="Palatino Linotype" w:eastAsia="Palatino Linotype" w:hAnsi="Palatino Linotype" w:cs="Palatino Linotype"/>
          <w:b/>
          <w:sz w:val="22"/>
          <w:szCs w:val="22"/>
        </w:rPr>
      </w:pPr>
    </w:p>
    <w:p w14:paraId="01398B89" w14:textId="77777777" w:rsidR="007A2C6F" w:rsidRPr="00BC7456" w:rsidRDefault="00BA6AB5">
      <w:pPr>
        <w:spacing w:line="360" w:lineRule="auto"/>
        <w:jc w:val="both"/>
        <w:rPr>
          <w:rFonts w:ascii="Palatino Linotype" w:eastAsia="Palatino Linotype" w:hAnsi="Palatino Linotype" w:cs="Palatino Linotype"/>
          <w:b/>
          <w:sz w:val="22"/>
          <w:szCs w:val="22"/>
        </w:rPr>
      </w:pPr>
      <w:r w:rsidRPr="00BC7456">
        <w:rPr>
          <w:rFonts w:ascii="Palatino Linotype" w:eastAsia="Palatino Linotype" w:hAnsi="Palatino Linotype" w:cs="Palatino Linotype"/>
          <w:b/>
          <w:sz w:val="22"/>
          <w:szCs w:val="22"/>
        </w:rPr>
        <w:t xml:space="preserve">5. Admisión del Recurso de Revisión. </w:t>
      </w:r>
      <w:r w:rsidRPr="00BC7456">
        <w:rPr>
          <w:rFonts w:ascii="Palatino Linotype" w:eastAsia="Palatino Linotype" w:hAnsi="Palatino Linotype" w:cs="Palatino Linotype"/>
          <w:sz w:val="22"/>
          <w:szCs w:val="22"/>
        </w:rPr>
        <w:t xml:space="preserve">El </w:t>
      </w:r>
      <w:r w:rsidRPr="00BC7456">
        <w:rPr>
          <w:rFonts w:ascii="Palatino Linotype" w:eastAsia="Palatino Linotype" w:hAnsi="Palatino Linotype" w:cs="Palatino Linotype"/>
          <w:b/>
          <w:sz w:val="22"/>
          <w:szCs w:val="22"/>
        </w:rPr>
        <w:t>diecisiete de febrero de dos mil veinticinco</w:t>
      </w:r>
      <w:r w:rsidRPr="00BC7456">
        <w:rPr>
          <w:rFonts w:ascii="Palatino Linotype" w:eastAsia="Palatino Linotype" w:hAnsi="Palatino Linotype" w:cs="Palatino Linotype"/>
          <w:sz w:val="22"/>
          <w:szCs w:val="22"/>
        </w:rPr>
        <w:t>, se acordó la admisión del Recurso de Revisión interpuesto por la Recurrente en contra del Sujeto Obligado, en términos del artículo 185, fracciones I y II de la Ley de Transparencia y Acceso a la Información Pública del Estado de México y Municipios, el cual fue notificado a las partes en mismo día, mes y año, a través del Sistema de Acceso a la Información Mexiquense (SAIMEX), en el que se les otorgó un plazo de siete días hábiles posteriores a la misma, para que manifestaran lo que a su derecho conviniera y formularan alegatos.</w:t>
      </w:r>
    </w:p>
    <w:p w14:paraId="17AAB0CF"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0A4DA4DC" w14:textId="77777777" w:rsidR="007A2C6F" w:rsidRPr="00BC7456" w:rsidRDefault="00BA6AB5">
      <w:pPr>
        <w:widowControl w:val="0"/>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 xml:space="preserve">6. Manifestaciones e Informe Justificado. </w:t>
      </w:r>
      <w:r w:rsidRPr="00BC7456">
        <w:rPr>
          <w:rFonts w:ascii="Palatino Linotype" w:eastAsia="Palatino Linotype" w:hAnsi="Palatino Linotype" w:cs="Palatino Linotype"/>
          <w:sz w:val="22"/>
          <w:szCs w:val="22"/>
        </w:rPr>
        <w:t>Las partes fueron omisas en rendir manifestaciones.</w:t>
      </w:r>
    </w:p>
    <w:p w14:paraId="5FBA389D" w14:textId="77777777" w:rsidR="007A2C6F" w:rsidRPr="00BC7456" w:rsidRDefault="007A2C6F">
      <w:pPr>
        <w:widowControl w:val="0"/>
        <w:spacing w:line="360" w:lineRule="auto"/>
        <w:jc w:val="both"/>
        <w:rPr>
          <w:rFonts w:ascii="Palatino Linotype" w:eastAsia="Palatino Linotype" w:hAnsi="Palatino Linotype" w:cs="Palatino Linotype"/>
          <w:sz w:val="22"/>
          <w:szCs w:val="22"/>
        </w:rPr>
      </w:pPr>
    </w:p>
    <w:p w14:paraId="061AD96F"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7. Cierre de instrucción.</w:t>
      </w:r>
      <w:r w:rsidRPr="00BC7456">
        <w:rPr>
          <w:rFonts w:ascii="Palatino Linotype" w:eastAsia="Palatino Linotype" w:hAnsi="Palatino Linotype" w:cs="Palatino Linotype"/>
          <w:sz w:val="22"/>
          <w:szCs w:val="22"/>
        </w:rPr>
        <w:t xml:space="preserve"> El </w:t>
      </w:r>
      <w:r w:rsidRPr="00BC7456">
        <w:rPr>
          <w:rFonts w:ascii="Palatino Linotype" w:eastAsia="Palatino Linotype" w:hAnsi="Palatino Linotype" w:cs="Palatino Linotype"/>
          <w:b/>
          <w:sz w:val="22"/>
          <w:szCs w:val="22"/>
        </w:rPr>
        <w:t>diecinueve de marzo de dos mil veinticinco</w:t>
      </w:r>
      <w:r w:rsidRPr="00BC7456">
        <w:rPr>
          <w:rFonts w:ascii="Palatino Linotype" w:eastAsia="Palatino Linotype" w:hAnsi="Palatino Linotype" w:cs="Palatino Linotype"/>
          <w:sz w:val="22"/>
          <w:szCs w:val="22"/>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p>
    <w:p w14:paraId="4F1432D1"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54EE5E4E" w14:textId="77777777" w:rsidR="007A2C6F" w:rsidRPr="00BC7456" w:rsidRDefault="00BA6AB5">
      <w:pPr>
        <w:spacing w:line="360" w:lineRule="auto"/>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 xml:space="preserve">En razón de que fue debidamente sustanciado e integrado el expediente electrónico y no existe diligencia pendiente de desahogo, se emite la resolución que conforme a Derecho proceda, de acuerdo con los siguientes: </w:t>
      </w:r>
    </w:p>
    <w:p w14:paraId="57A4C321" w14:textId="77777777" w:rsidR="007A2C6F" w:rsidRPr="00BC7456" w:rsidRDefault="007A2C6F">
      <w:pPr>
        <w:spacing w:line="360" w:lineRule="auto"/>
        <w:jc w:val="both"/>
        <w:rPr>
          <w:rFonts w:ascii="Palatino Linotype" w:eastAsia="Palatino Linotype" w:hAnsi="Palatino Linotype" w:cs="Palatino Linotype"/>
          <w:color w:val="000000"/>
          <w:sz w:val="22"/>
          <w:szCs w:val="22"/>
        </w:rPr>
      </w:pPr>
    </w:p>
    <w:p w14:paraId="66DEBF4C" w14:textId="77777777" w:rsidR="00BA6AB5" w:rsidRPr="00BC7456" w:rsidRDefault="00BA6AB5">
      <w:pPr>
        <w:spacing w:line="360" w:lineRule="auto"/>
        <w:jc w:val="both"/>
        <w:rPr>
          <w:rFonts w:ascii="Palatino Linotype" w:eastAsia="Palatino Linotype" w:hAnsi="Palatino Linotype" w:cs="Palatino Linotype"/>
          <w:color w:val="000000"/>
          <w:sz w:val="22"/>
          <w:szCs w:val="22"/>
        </w:rPr>
      </w:pPr>
    </w:p>
    <w:p w14:paraId="0A5DBF8C" w14:textId="77777777" w:rsidR="007A2C6F" w:rsidRPr="00BC7456" w:rsidRDefault="00BA6AB5">
      <w:pPr>
        <w:spacing w:line="360" w:lineRule="auto"/>
        <w:jc w:val="center"/>
        <w:rPr>
          <w:rFonts w:ascii="Palatino Linotype" w:eastAsia="Palatino Linotype" w:hAnsi="Palatino Linotype" w:cs="Palatino Linotype"/>
          <w:b/>
          <w:sz w:val="22"/>
          <w:szCs w:val="22"/>
        </w:rPr>
      </w:pPr>
      <w:r w:rsidRPr="00BC7456">
        <w:rPr>
          <w:rFonts w:ascii="Palatino Linotype" w:eastAsia="Palatino Linotype" w:hAnsi="Palatino Linotype" w:cs="Palatino Linotype"/>
          <w:b/>
          <w:sz w:val="22"/>
          <w:szCs w:val="22"/>
        </w:rPr>
        <w:t>C O N S I D E R A N D O S:</w:t>
      </w:r>
    </w:p>
    <w:p w14:paraId="498A17C7" w14:textId="77777777" w:rsidR="007A2C6F" w:rsidRPr="00BC7456" w:rsidRDefault="007A2C6F">
      <w:pPr>
        <w:spacing w:line="360" w:lineRule="auto"/>
        <w:rPr>
          <w:rFonts w:ascii="Palatino Linotype" w:eastAsia="Palatino Linotype" w:hAnsi="Palatino Linotype" w:cs="Palatino Linotype"/>
          <w:b/>
          <w:sz w:val="22"/>
          <w:szCs w:val="22"/>
        </w:rPr>
      </w:pPr>
    </w:p>
    <w:p w14:paraId="51BF16CB"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lastRenderedPageBreak/>
        <w:t xml:space="preserve">PRIMERO. Competencia. </w:t>
      </w:r>
      <w:r w:rsidRPr="00BC7456">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3E4042" w:rsidRPr="00BC7456">
        <w:rPr>
          <w:rFonts w:ascii="Palatino Linotype" w:eastAsia="Palatino Linotype" w:hAnsi="Palatino Linotype" w:cs="Palatino Linotype"/>
          <w:sz w:val="22"/>
          <w:szCs w:val="22"/>
        </w:rPr>
        <w:t>séptimo</w:t>
      </w:r>
      <w:r w:rsidRPr="00BC7456">
        <w:rPr>
          <w:rFonts w:ascii="Palatino Linotype" w:eastAsia="Palatino Linotype" w:hAnsi="Palatino Linotype" w:cs="Palatino Linotype"/>
          <w:sz w:val="22"/>
          <w:szCs w:val="22"/>
        </w:rPr>
        <w:t xml:space="preserve">, trigésimo </w:t>
      </w:r>
      <w:r w:rsidR="003E4042" w:rsidRPr="00BC7456">
        <w:rPr>
          <w:rFonts w:ascii="Palatino Linotype" w:eastAsia="Palatino Linotype" w:hAnsi="Palatino Linotype" w:cs="Palatino Linotype"/>
          <w:sz w:val="22"/>
          <w:szCs w:val="22"/>
        </w:rPr>
        <w:t>octavo</w:t>
      </w:r>
      <w:r w:rsidRPr="00BC7456">
        <w:rPr>
          <w:rFonts w:ascii="Palatino Linotype" w:eastAsia="Palatino Linotype" w:hAnsi="Palatino Linotype" w:cs="Palatino Linotype"/>
          <w:sz w:val="22"/>
          <w:szCs w:val="22"/>
        </w:rPr>
        <w:t xml:space="preserve"> y trigésimo </w:t>
      </w:r>
      <w:r w:rsidR="003E4042" w:rsidRPr="00BC7456">
        <w:rPr>
          <w:rFonts w:ascii="Palatino Linotype" w:eastAsia="Palatino Linotype" w:hAnsi="Palatino Linotype" w:cs="Palatino Linotype"/>
          <w:sz w:val="22"/>
          <w:szCs w:val="22"/>
        </w:rPr>
        <w:t>noveno</w:t>
      </w:r>
      <w:r w:rsidRPr="00BC7456">
        <w:rPr>
          <w:rFonts w:ascii="Palatino Linotype" w:eastAsia="Palatino Linotype" w:hAnsi="Palatino Linotype" w:cs="Palatino Linotype"/>
          <w:sz w:val="22"/>
          <w:szCs w:val="22"/>
        </w:rPr>
        <w:t>,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ADA39FF" w14:textId="77777777" w:rsidR="007A2C6F" w:rsidRPr="00BC7456" w:rsidRDefault="007A2C6F">
      <w:pPr>
        <w:spacing w:line="360" w:lineRule="auto"/>
        <w:jc w:val="both"/>
        <w:rPr>
          <w:rFonts w:ascii="Palatino Linotype" w:eastAsia="Palatino Linotype" w:hAnsi="Palatino Linotype" w:cs="Palatino Linotype"/>
          <w:color w:val="000000"/>
          <w:sz w:val="22"/>
          <w:szCs w:val="22"/>
        </w:rPr>
      </w:pPr>
    </w:p>
    <w:p w14:paraId="10EFB3B9"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Segundo. Oportunidad y Procedibilidad del Recurso de Revisión.</w:t>
      </w:r>
      <w:r w:rsidRPr="00BC7456">
        <w:rPr>
          <w:rFonts w:ascii="Palatino Linotype" w:eastAsia="Palatino Linotype" w:hAnsi="Palatino Linotype" w:cs="Palatino Linotype"/>
          <w:sz w:val="22"/>
          <w:szCs w:val="22"/>
        </w:rPr>
        <w:t xml:space="preserve"> Previo al estudio del fondo del asunto, se procede a analizar los requisitos de oportunidad y procedibilidad que deben reunir el recurso de revisión interpuesto, previstos en los artículos 178 y 180 de la Ley de Transparencia y Acceso a la Información Pública del Estado de México y Municipios. </w:t>
      </w:r>
    </w:p>
    <w:p w14:paraId="56CE69A4"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47B7A393"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El recurso de revisión fue interpuesto dentro del plazo de quince días hábiles previstos en el artículo 178 de la Ley de Transparencia y Acceso a la Información Pública del Estado de México y Municipios, toda vez que el </w:t>
      </w:r>
      <w:r w:rsidRPr="00BC7456">
        <w:rPr>
          <w:rFonts w:ascii="Palatino Linotype" w:eastAsia="Palatino Linotype" w:hAnsi="Palatino Linotype" w:cs="Palatino Linotype"/>
          <w:b/>
          <w:sz w:val="22"/>
          <w:szCs w:val="22"/>
        </w:rPr>
        <w:t>SUJETO OBLIGADO</w:t>
      </w:r>
      <w:r w:rsidRPr="00BC7456">
        <w:rPr>
          <w:rFonts w:ascii="Palatino Linotype" w:eastAsia="Palatino Linotype" w:hAnsi="Palatino Linotype" w:cs="Palatino Linotype"/>
          <w:sz w:val="22"/>
          <w:szCs w:val="22"/>
        </w:rPr>
        <w:t xml:space="preserve"> remitió la respuesta a la solicitud de información el </w:t>
      </w:r>
      <w:r w:rsidRPr="00BC7456">
        <w:rPr>
          <w:rFonts w:ascii="Palatino Linotype" w:eastAsia="Palatino Linotype" w:hAnsi="Palatino Linotype" w:cs="Palatino Linotype"/>
          <w:b/>
          <w:sz w:val="22"/>
          <w:szCs w:val="22"/>
        </w:rPr>
        <w:t>veinticuatro de enero de dos mil veinticinco</w:t>
      </w:r>
      <w:r w:rsidRPr="00BC7456">
        <w:rPr>
          <w:rFonts w:ascii="Palatino Linotype" w:eastAsia="Palatino Linotype" w:hAnsi="Palatino Linotype" w:cs="Palatino Linotype"/>
          <w:sz w:val="22"/>
          <w:szCs w:val="22"/>
        </w:rPr>
        <w:t xml:space="preserve">, mientras que el recurso de revisión interpuesto por la parte </w:t>
      </w:r>
      <w:r w:rsidRPr="00BC7456">
        <w:rPr>
          <w:rFonts w:ascii="Palatino Linotype" w:eastAsia="Palatino Linotype" w:hAnsi="Palatino Linotype" w:cs="Palatino Linotype"/>
          <w:b/>
          <w:sz w:val="22"/>
          <w:szCs w:val="22"/>
        </w:rPr>
        <w:t xml:space="preserve">RECURRENTE </w:t>
      </w:r>
      <w:r w:rsidRPr="00BC7456">
        <w:rPr>
          <w:rFonts w:ascii="Palatino Linotype" w:eastAsia="Palatino Linotype" w:hAnsi="Palatino Linotype" w:cs="Palatino Linotype"/>
          <w:sz w:val="22"/>
          <w:szCs w:val="22"/>
        </w:rPr>
        <w:t>se tuvo por presentado el</w:t>
      </w:r>
      <w:r w:rsidRPr="00BC7456">
        <w:rPr>
          <w:rFonts w:ascii="Palatino Linotype" w:eastAsia="Palatino Linotype" w:hAnsi="Palatino Linotype" w:cs="Palatino Linotype"/>
          <w:b/>
          <w:sz w:val="22"/>
          <w:szCs w:val="22"/>
        </w:rPr>
        <w:t xml:space="preserve"> doce de febrero de dos mil veinticinco</w:t>
      </w:r>
      <w:r w:rsidRPr="00BC7456">
        <w:rPr>
          <w:rFonts w:ascii="Palatino Linotype" w:eastAsia="Palatino Linotype" w:hAnsi="Palatino Linotype" w:cs="Palatino Linotype"/>
          <w:sz w:val="22"/>
          <w:szCs w:val="22"/>
        </w:rPr>
        <w:t xml:space="preserve">, esto es al décimo segundo día en que se tuvo conocimiento de la respuesta. </w:t>
      </w:r>
    </w:p>
    <w:p w14:paraId="6B0B26ED"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25E13AD9"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BC7456">
        <w:rPr>
          <w:rFonts w:ascii="Palatino Linotype" w:eastAsia="Palatino Linotype" w:hAnsi="Palatino Linotype" w:cs="Palatino Linotype"/>
          <w:b/>
          <w:sz w:val="22"/>
          <w:szCs w:val="22"/>
        </w:rPr>
        <w:t>SUJETO OBLIGADO</w:t>
      </w:r>
      <w:r w:rsidRPr="00BC7456">
        <w:rPr>
          <w:rFonts w:ascii="Palatino Linotype" w:eastAsia="Palatino Linotype" w:hAnsi="Palatino Linotype" w:cs="Palatino Linotype"/>
          <w:sz w:val="22"/>
          <w:szCs w:val="22"/>
        </w:rPr>
        <w:t xml:space="preserve">; así como la fecha en que se interpuso el recurso de </w:t>
      </w:r>
      <w:r w:rsidRPr="00BC7456">
        <w:rPr>
          <w:rFonts w:ascii="Palatino Linotype" w:eastAsia="Palatino Linotype" w:hAnsi="Palatino Linotype" w:cs="Palatino Linotype"/>
          <w:sz w:val="22"/>
          <w:szCs w:val="22"/>
        </w:rPr>
        <w:lastRenderedPageBreak/>
        <w:t xml:space="preserve">revisión, se concluye que el presente recurso de revisión se encuentra dentro de los márgenes temporales previstos en las disposiciones legales referidas. </w:t>
      </w:r>
    </w:p>
    <w:p w14:paraId="4C9B6E46"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BC7456">
        <w:rPr>
          <w:rFonts w:ascii="Palatino Linotype" w:eastAsia="Palatino Linotype" w:hAnsi="Palatino Linotype" w:cs="Palatino Linotype"/>
          <w:b/>
          <w:sz w:val="22"/>
          <w:szCs w:val="22"/>
        </w:rPr>
        <w:t>SAIMEX</w:t>
      </w:r>
      <w:r w:rsidRPr="00BC7456">
        <w:rPr>
          <w:rFonts w:ascii="Palatino Linotype" w:eastAsia="Palatino Linotype" w:hAnsi="Palatino Linotype" w:cs="Palatino Linotype"/>
          <w:sz w:val="22"/>
          <w:szCs w:val="22"/>
        </w:rPr>
        <w:t xml:space="preserve">. </w:t>
      </w:r>
    </w:p>
    <w:p w14:paraId="01E24C4C"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6195C36B"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Finalmente, resulta procedente la interposición del recurso de revisión al rubro anotado, toda vez que se actualiza la hipótesis de procedencia prevista en el artículo 179, fracción I de la Ley de la materia, que a la letra dice:</w:t>
      </w:r>
    </w:p>
    <w:p w14:paraId="4976C879"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6CF5AA50"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Artículo 179.</w:t>
      </w:r>
      <w:r w:rsidRPr="00BC745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793AF88"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67C1C09B"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 La negativa de entrega de la información;</w:t>
      </w:r>
    </w:p>
    <w:p w14:paraId="0F06F019"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1835B73E"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5FC375ED"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Tercero. Materia de la revisión</w:t>
      </w:r>
      <w:r w:rsidRPr="00BC7456">
        <w:rPr>
          <w:rFonts w:ascii="Palatino Linotype" w:eastAsia="Palatino Linotype" w:hAnsi="Palatino Linotype" w:cs="Palatino Linotype"/>
          <w:sz w:val="22"/>
          <w:szCs w:val="22"/>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I del artículo 179 de la Ley en la materia. </w:t>
      </w:r>
    </w:p>
    <w:p w14:paraId="688FEBF9"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745C985B"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Cuarto.</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b/>
          <w:sz w:val="22"/>
          <w:szCs w:val="22"/>
        </w:rPr>
        <w:t>Estudio de fondo del asunto.</w:t>
      </w:r>
      <w:r w:rsidRPr="00BC7456">
        <w:rPr>
          <w:rFonts w:ascii="Palatino Linotype" w:eastAsia="Palatino Linotype" w:hAnsi="Palatino Linotype" w:cs="Palatino Linotype"/>
          <w:sz w:val="22"/>
          <w:szCs w:val="22"/>
        </w:rPr>
        <w:t xml:space="preserve">  Antes de entrar al análisis de los pronunciamientos del Sujeto Obligado en la respuesta proporcionada, es necesario mencionar que el derecho de acceso a la información está consagrado en instrumentos internacionales de los cuales el Estado Mexicano se ha adherido, sin oponer reserva alguna sobre lo que nos interesa, </w:t>
      </w:r>
      <w:r w:rsidRPr="00BC7456">
        <w:rPr>
          <w:rFonts w:ascii="Palatino Linotype" w:eastAsia="Palatino Linotype" w:hAnsi="Palatino Linotype" w:cs="Palatino Linotype"/>
          <w:sz w:val="22"/>
          <w:szCs w:val="22"/>
        </w:rPr>
        <w:lastRenderedPageBreak/>
        <w:t xml:space="preserve">adoptando dichas disposiciones al Derecho Interno, específicamente a nivel Constitucional, tal y como lo prevén los arábigos 1 párrafos primero, segundo y tercero y 6°. </w:t>
      </w:r>
    </w:p>
    <w:p w14:paraId="1F4DC04A"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4D699A6"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37D122B6"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Artículo 4.</w:t>
      </w:r>
      <w:r w:rsidRPr="00BC745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D2D7CCD"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19B8C4"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46D1E715" w14:textId="77777777" w:rsidR="007A2C6F" w:rsidRPr="00BC7456" w:rsidRDefault="007A2C6F">
      <w:pPr>
        <w:spacing w:line="360" w:lineRule="auto"/>
        <w:ind w:left="567" w:right="560"/>
        <w:jc w:val="both"/>
        <w:rPr>
          <w:rFonts w:ascii="Palatino Linotype" w:eastAsia="Palatino Linotype" w:hAnsi="Palatino Linotype" w:cs="Palatino Linotype"/>
          <w:i/>
          <w:sz w:val="22"/>
          <w:szCs w:val="22"/>
        </w:rPr>
      </w:pPr>
    </w:p>
    <w:p w14:paraId="7D9AED16"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De lo precedente, se desprende que los Sujetos Obligados tienen la obligación o deber de atender las solicitudes de acceso a la información pública que se les hagan de su conocimiento </w:t>
      </w:r>
      <w:r w:rsidRPr="00BC7456">
        <w:rPr>
          <w:rFonts w:ascii="Palatino Linotype" w:eastAsia="Palatino Linotype" w:hAnsi="Palatino Linotype" w:cs="Palatino Linotype"/>
          <w:sz w:val="22"/>
          <w:szCs w:val="22"/>
        </w:rPr>
        <w:lastRenderedPageBreak/>
        <w:t>y proporcionar la información pública que obren en su poder como así lo establece el artículo 12 de la Ley de Transparencia y Acceso a la Información Pública del Estado de México y Municipios, el cual a la letra dice:</w:t>
      </w:r>
    </w:p>
    <w:p w14:paraId="3B866ABD"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2EB9B758"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Artículo 12.</w:t>
      </w:r>
      <w:r w:rsidRPr="00BC745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5BB66EA"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167DE79"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28CE9C07"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entonces Instituto Nacional de Transparencia, Acceso a la Información Pública y Protección de Datos Personales, el cual señala lo siguiente:</w:t>
      </w:r>
    </w:p>
    <w:p w14:paraId="19448ABE"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758B5876" w14:textId="77777777" w:rsidR="007A2C6F" w:rsidRPr="00BC7456" w:rsidRDefault="00BA6AB5">
      <w:pPr>
        <w:spacing w:line="276" w:lineRule="auto"/>
        <w:ind w:left="567" w:right="560"/>
        <w:jc w:val="both"/>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b/>
          <w:i/>
          <w:sz w:val="22"/>
          <w:szCs w:val="22"/>
        </w:rPr>
        <w:t xml:space="preserve">Criterio 03/17. NO EXISTE OBLIGACIÓN DE ELABORAR DOCUMENTOS AD HOC PARA ATENDER LAS SOLICITUDES DE ACCESO A LA INFORMACIÓN. </w:t>
      </w:r>
      <w:r w:rsidRPr="00BC7456">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BC7456">
        <w:rPr>
          <w:rFonts w:ascii="Palatino Linotype" w:eastAsia="Palatino Linotype" w:hAnsi="Palatino Linotype" w:cs="Palatino Linotype"/>
          <w:i/>
          <w:sz w:val="22"/>
          <w:szCs w:val="22"/>
        </w:rPr>
        <w:lastRenderedPageBreak/>
        <w:t>información con la que cuentan en el formato en que la misma obre en sus archivos; sin necesidad de elaborar documentos ad hoc para atender las solicitudes de información."</w:t>
      </w:r>
    </w:p>
    <w:p w14:paraId="7DCDA4F8"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53EB2E8"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61624F03"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37E130A"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66AD1E27"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6AAEDD" w14:textId="77777777" w:rsidR="007A2C6F" w:rsidRPr="00BC7456" w:rsidRDefault="007A2C6F">
      <w:pPr>
        <w:spacing w:line="360" w:lineRule="auto"/>
        <w:ind w:left="567" w:right="560"/>
        <w:jc w:val="both"/>
        <w:rPr>
          <w:rFonts w:ascii="Palatino Linotype" w:eastAsia="Palatino Linotype" w:hAnsi="Palatino Linotype" w:cs="Palatino Linotype"/>
          <w:i/>
          <w:sz w:val="22"/>
          <w:szCs w:val="22"/>
        </w:rPr>
      </w:pPr>
    </w:p>
    <w:p w14:paraId="09C30EF5"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Artículo 3.</w:t>
      </w:r>
      <w:r w:rsidRPr="00BC7456">
        <w:rPr>
          <w:rFonts w:ascii="Palatino Linotype" w:eastAsia="Palatino Linotype" w:hAnsi="Palatino Linotype" w:cs="Palatino Linotype"/>
          <w:i/>
          <w:sz w:val="22"/>
          <w:szCs w:val="22"/>
        </w:rPr>
        <w:t xml:space="preserve"> Para los efectos de la presente Ley se entenderá por:</w:t>
      </w:r>
    </w:p>
    <w:p w14:paraId="1B218919"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7095517B"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lastRenderedPageBreak/>
        <w:t>XI. Documento:</w:t>
      </w:r>
      <w:r w:rsidRPr="00BC7456">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B63CDE0" w14:textId="77777777" w:rsidR="007A2C6F" w:rsidRPr="00BC7456" w:rsidRDefault="007A2C6F">
      <w:pPr>
        <w:spacing w:line="360" w:lineRule="auto"/>
        <w:ind w:left="567" w:right="560"/>
        <w:jc w:val="both"/>
        <w:rPr>
          <w:rFonts w:ascii="Palatino Linotype" w:eastAsia="Palatino Linotype" w:hAnsi="Palatino Linotype" w:cs="Palatino Linotype"/>
          <w:i/>
          <w:sz w:val="22"/>
          <w:szCs w:val="22"/>
        </w:rPr>
      </w:pPr>
    </w:p>
    <w:p w14:paraId="2EDDDD52"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0806F8E"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2A44491E" w14:textId="77777777" w:rsidR="007A2C6F" w:rsidRPr="00BC7456" w:rsidRDefault="00BA6AB5">
      <w:pPr>
        <w:spacing w:line="276" w:lineRule="auto"/>
        <w:ind w:left="567" w:right="560"/>
        <w:jc w:val="both"/>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C745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B5D606"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En </w:t>
      </w:r>
      <w:proofErr w:type="gramStart"/>
      <w:r w:rsidRPr="00BC7456">
        <w:rPr>
          <w:rFonts w:ascii="Palatino Linotype" w:eastAsia="Palatino Linotype" w:hAnsi="Palatino Linotype" w:cs="Palatino Linotype"/>
          <w:i/>
          <w:sz w:val="22"/>
          <w:szCs w:val="22"/>
        </w:rPr>
        <w:t>consecuencia</w:t>
      </w:r>
      <w:proofErr w:type="gramEnd"/>
      <w:r w:rsidRPr="00BC745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2E05AA8"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1)</w:t>
      </w:r>
      <w:r w:rsidRPr="00BC7456">
        <w:rPr>
          <w:rFonts w:ascii="Palatino Linotype" w:eastAsia="Palatino Linotype" w:hAnsi="Palatino Linotype" w:cs="Palatino Linotype"/>
          <w:i/>
          <w:sz w:val="22"/>
          <w:szCs w:val="22"/>
        </w:rPr>
        <w:tab/>
        <w:t xml:space="preserve">Que se trate de información registrada en cualquier soporte documental, </w:t>
      </w:r>
      <w:proofErr w:type="gramStart"/>
      <w:r w:rsidRPr="00BC7456">
        <w:rPr>
          <w:rFonts w:ascii="Palatino Linotype" w:eastAsia="Palatino Linotype" w:hAnsi="Palatino Linotype" w:cs="Palatino Linotype"/>
          <w:i/>
          <w:sz w:val="22"/>
          <w:szCs w:val="22"/>
        </w:rPr>
        <w:t>que</w:t>
      </w:r>
      <w:proofErr w:type="gramEnd"/>
      <w:r w:rsidRPr="00BC7456">
        <w:rPr>
          <w:rFonts w:ascii="Palatino Linotype" w:eastAsia="Palatino Linotype" w:hAnsi="Palatino Linotype" w:cs="Palatino Linotype"/>
          <w:i/>
          <w:sz w:val="22"/>
          <w:szCs w:val="22"/>
        </w:rPr>
        <w:t xml:space="preserve"> en ejercicio de las atribuciones conferidas, sea generada por los Sujetos Obligados;</w:t>
      </w:r>
    </w:p>
    <w:p w14:paraId="44029488"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2)</w:t>
      </w:r>
      <w:r w:rsidRPr="00BC7456">
        <w:rPr>
          <w:rFonts w:ascii="Palatino Linotype" w:eastAsia="Palatino Linotype" w:hAnsi="Palatino Linotype" w:cs="Palatino Linotype"/>
          <w:i/>
          <w:sz w:val="22"/>
          <w:szCs w:val="22"/>
        </w:rPr>
        <w:tab/>
        <w:t xml:space="preserve">Que se trate de información registrada en cualquier soporte documental, </w:t>
      </w:r>
      <w:proofErr w:type="gramStart"/>
      <w:r w:rsidRPr="00BC7456">
        <w:rPr>
          <w:rFonts w:ascii="Palatino Linotype" w:eastAsia="Palatino Linotype" w:hAnsi="Palatino Linotype" w:cs="Palatino Linotype"/>
          <w:i/>
          <w:sz w:val="22"/>
          <w:szCs w:val="22"/>
        </w:rPr>
        <w:t>que</w:t>
      </w:r>
      <w:proofErr w:type="gramEnd"/>
      <w:r w:rsidRPr="00BC7456">
        <w:rPr>
          <w:rFonts w:ascii="Palatino Linotype" w:eastAsia="Palatino Linotype" w:hAnsi="Palatino Linotype" w:cs="Palatino Linotype"/>
          <w:i/>
          <w:sz w:val="22"/>
          <w:szCs w:val="22"/>
        </w:rPr>
        <w:t xml:space="preserve"> en ejercicio de las atribuciones conferidas, sea administrada por los Sujetos Obligados, y</w:t>
      </w:r>
    </w:p>
    <w:p w14:paraId="3208F368" w14:textId="77777777" w:rsidR="007A2C6F" w:rsidRPr="00BC7456" w:rsidRDefault="00BA6AB5">
      <w:pPr>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3) Que se trate de información registrada en cualquier soporte documental, </w:t>
      </w:r>
      <w:proofErr w:type="gramStart"/>
      <w:r w:rsidRPr="00BC7456">
        <w:rPr>
          <w:rFonts w:ascii="Palatino Linotype" w:eastAsia="Palatino Linotype" w:hAnsi="Palatino Linotype" w:cs="Palatino Linotype"/>
          <w:i/>
          <w:sz w:val="22"/>
          <w:szCs w:val="22"/>
        </w:rPr>
        <w:t>que</w:t>
      </w:r>
      <w:proofErr w:type="gramEnd"/>
      <w:r w:rsidRPr="00BC7456">
        <w:rPr>
          <w:rFonts w:ascii="Palatino Linotype" w:eastAsia="Palatino Linotype" w:hAnsi="Palatino Linotype" w:cs="Palatino Linotype"/>
          <w:i/>
          <w:sz w:val="22"/>
          <w:szCs w:val="22"/>
        </w:rPr>
        <w:t xml:space="preserve"> en ejercicio de las atribuciones conferidas, se encuentre en posesión de los Sujetos Obligados.” </w:t>
      </w:r>
    </w:p>
    <w:p w14:paraId="1C6EB9FF"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5EE21D9D"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lastRenderedPageBreak/>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2396EFCC"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707A1DD4"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De las actuaciones que integran el expediente electrónico, se procede al análisis de los agravios hechos valer por la parte Recurrente, relativos a la negativa de entrega de la información, lo que actualiza la causal de procedencia prevista en la fracción I del artículo 179 de la Ley de Transparencia y Acceso a la Información Pública del Estado de México y Municipios.</w:t>
      </w:r>
    </w:p>
    <w:p w14:paraId="17D73B1D"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37038CFF"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Para ello, es de recordar que la parte Recurrente solicitó versión pública de las demandas y laudos adquiridos y montos que se pagaron durante la administración 2022-2024.  </w:t>
      </w:r>
    </w:p>
    <w:p w14:paraId="1E44D4BA"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51A19EFD"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En respuesta, el </w:t>
      </w:r>
      <w:proofErr w:type="gramStart"/>
      <w:r w:rsidRPr="00BC7456">
        <w:rPr>
          <w:rFonts w:ascii="Palatino Linotype" w:eastAsia="Palatino Linotype" w:hAnsi="Palatino Linotype" w:cs="Palatino Linotype"/>
          <w:sz w:val="22"/>
          <w:szCs w:val="22"/>
        </w:rPr>
        <w:t>Director</w:t>
      </w:r>
      <w:proofErr w:type="gramEnd"/>
      <w:r w:rsidRPr="00BC7456">
        <w:rPr>
          <w:rFonts w:ascii="Palatino Linotype" w:eastAsia="Palatino Linotype" w:hAnsi="Palatino Linotype" w:cs="Palatino Linotype"/>
          <w:sz w:val="22"/>
          <w:szCs w:val="22"/>
        </w:rPr>
        <w:t xml:space="preserve"> Jurídico informó que se cuenta con 37 demandas laborales en administración 2022-2024.</w:t>
      </w:r>
    </w:p>
    <w:p w14:paraId="405D2B53"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5153D9B5"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Derivado de ello, la parte Recurrente se inconformó arguyendo la negativa de entrega de la información.</w:t>
      </w:r>
    </w:p>
    <w:p w14:paraId="18D3C455"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0F1FA09D"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Las partes fueron omisas en rendir manifestaciones. </w:t>
      </w:r>
    </w:p>
    <w:p w14:paraId="4B614F32"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6F2818CA" w14:textId="77777777" w:rsidR="007A2C6F" w:rsidRPr="00BC7456" w:rsidRDefault="00BA6AB5">
      <w:pPr>
        <w:spacing w:line="360" w:lineRule="auto"/>
        <w:ind w:right="49"/>
        <w:jc w:val="both"/>
        <w:rPr>
          <w:rFonts w:ascii="Palatino Linotype" w:eastAsia="Palatino Linotype" w:hAnsi="Palatino Linotype" w:cs="Palatino Linotype"/>
          <w:b/>
          <w:sz w:val="22"/>
          <w:szCs w:val="22"/>
        </w:rPr>
      </w:pPr>
      <w:r w:rsidRPr="00BC7456">
        <w:rPr>
          <w:rFonts w:ascii="Palatino Linotype" w:eastAsia="Palatino Linotype" w:hAnsi="Palatino Linotype" w:cs="Palatino Linotype"/>
          <w:sz w:val="22"/>
          <w:szCs w:val="22"/>
        </w:rPr>
        <w:lastRenderedPageBreak/>
        <w:t xml:space="preserve">Ahora bien, para iniciar con el análisis del presente Recurso de Revisión, en principio es de mencionar que, del análisis a la solicitud de información, se advierte que, la parte Recurrente requiere obtener versión pública de las </w:t>
      </w:r>
      <w:r w:rsidRPr="00BC7456">
        <w:rPr>
          <w:rFonts w:ascii="Palatino Linotype" w:eastAsia="Palatino Linotype" w:hAnsi="Palatino Linotype" w:cs="Palatino Linotype"/>
          <w:b/>
          <w:sz w:val="22"/>
          <w:szCs w:val="22"/>
        </w:rPr>
        <w:t>demandas laborales, laudos y montos</w:t>
      </w:r>
      <w:r w:rsidRPr="00BC7456">
        <w:rPr>
          <w:rFonts w:ascii="Palatino Linotype" w:eastAsia="Palatino Linotype" w:hAnsi="Palatino Linotype" w:cs="Palatino Linotype"/>
          <w:sz w:val="22"/>
          <w:szCs w:val="22"/>
        </w:rPr>
        <w:t xml:space="preserve">, todo ello, de la administración 2022-2024. </w:t>
      </w:r>
      <w:r w:rsidRPr="00BC7456">
        <w:rPr>
          <w:rFonts w:ascii="Palatino Linotype" w:eastAsia="Palatino Linotype" w:hAnsi="Palatino Linotype" w:cs="Palatino Linotype"/>
          <w:b/>
          <w:sz w:val="22"/>
          <w:szCs w:val="22"/>
        </w:rPr>
        <w:t xml:space="preserve"> </w:t>
      </w:r>
    </w:p>
    <w:p w14:paraId="704BDF3D" w14:textId="77777777" w:rsidR="007A2C6F" w:rsidRPr="00BC7456" w:rsidRDefault="007A2C6F">
      <w:pPr>
        <w:spacing w:line="360" w:lineRule="auto"/>
        <w:ind w:right="49"/>
        <w:jc w:val="both"/>
        <w:rPr>
          <w:rFonts w:ascii="Palatino Linotype" w:eastAsia="Palatino Linotype" w:hAnsi="Palatino Linotype" w:cs="Palatino Linotype"/>
          <w:b/>
          <w:sz w:val="22"/>
          <w:szCs w:val="22"/>
        </w:rPr>
      </w:pPr>
    </w:p>
    <w:p w14:paraId="29C009B1" w14:textId="77777777" w:rsidR="007A2C6F" w:rsidRPr="00BC7456" w:rsidRDefault="00BA6AB5">
      <w:pPr>
        <w:spacing w:line="360" w:lineRule="auto"/>
        <w:ind w:right="-93"/>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 xml:space="preserve">Asimismo, es de precisar que de las constancias que obran en el expediente se logra vislumbrar que el Sujeto Obligado, turnó la solicitud de información a la unidad administrativa competente, a </w:t>
      </w:r>
      <w:proofErr w:type="gramStart"/>
      <w:r w:rsidRPr="00BC7456">
        <w:rPr>
          <w:rFonts w:ascii="Palatino Linotype" w:eastAsia="Palatino Linotype" w:hAnsi="Palatino Linotype" w:cs="Palatino Linotype"/>
          <w:color w:val="000000"/>
          <w:sz w:val="22"/>
          <w:szCs w:val="22"/>
        </w:rPr>
        <w:t>saber</w:t>
      </w:r>
      <w:proofErr w:type="gramEnd"/>
      <w:r w:rsidRPr="00BC7456">
        <w:rPr>
          <w:rFonts w:ascii="Palatino Linotype" w:eastAsia="Palatino Linotype" w:hAnsi="Palatino Linotype" w:cs="Palatino Linotype"/>
          <w:color w:val="000000"/>
          <w:sz w:val="22"/>
          <w:szCs w:val="22"/>
        </w:rPr>
        <w:t xml:space="preserve"> la Dirección Jurídica, que de conformidad con el artículo 70, fracción VI del Bando Municipal del Municipio cuenta con la siguiente facultad:</w:t>
      </w:r>
    </w:p>
    <w:p w14:paraId="47409FBF" w14:textId="77777777" w:rsidR="007A2C6F" w:rsidRPr="00BC7456" w:rsidRDefault="007A2C6F">
      <w:pPr>
        <w:spacing w:line="360" w:lineRule="auto"/>
        <w:ind w:right="-93"/>
        <w:jc w:val="both"/>
        <w:rPr>
          <w:rFonts w:ascii="Palatino Linotype" w:eastAsia="Palatino Linotype" w:hAnsi="Palatino Linotype" w:cs="Palatino Linotype"/>
          <w:color w:val="000000"/>
          <w:sz w:val="22"/>
          <w:szCs w:val="22"/>
        </w:rPr>
      </w:pPr>
    </w:p>
    <w:p w14:paraId="153D3110" w14:textId="77777777" w:rsidR="007A2C6F" w:rsidRPr="00BC7456" w:rsidRDefault="00BA6AB5">
      <w:pPr>
        <w:spacing w:line="276" w:lineRule="auto"/>
        <w:ind w:left="567" w:right="539"/>
        <w:jc w:val="both"/>
        <w:rPr>
          <w:rFonts w:ascii="Palatino Linotype" w:eastAsia="Palatino Linotype" w:hAnsi="Palatino Linotype" w:cs="Palatino Linotype"/>
          <w:i/>
          <w:color w:val="000000"/>
          <w:sz w:val="22"/>
          <w:szCs w:val="22"/>
        </w:rPr>
      </w:pPr>
      <w:r w:rsidRPr="00BC7456">
        <w:rPr>
          <w:rFonts w:ascii="Palatino Linotype" w:eastAsia="Palatino Linotype" w:hAnsi="Palatino Linotype" w:cs="Palatino Linotype"/>
          <w:b/>
          <w:i/>
          <w:color w:val="000000"/>
          <w:sz w:val="22"/>
          <w:szCs w:val="22"/>
        </w:rPr>
        <w:t>Artículo 70.</w:t>
      </w:r>
      <w:r w:rsidRPr="00BC7456">
        <w:rPr>
          <w:rFonts w:ascii="Palatino Linotype" w:eastAsia="Palatino Linotype" w:hAnsi="Palatino Linotype" w:cs="Palatino Linotype"/>
          <w:i/>
          <w:color w:val="000000"/>
          <w:sz w:val="22"/>
          <w:szCs w:val="22"/>
        </w:rPr>
        <w:t xml:space="preserve"> La Dirección Jurídica tiene las siguientes atribuciones:</w:t>
      </w:r>
      <w:r w:rsidRPr="00BC7456">
        <w:rPr>
          <w:rFonts w:ascii="Palatino Linotype" w:eastAsia="Palatino Linotype" w:hAnsi="Palatino Linotype" w:cs="Palatino Linotype"/>
          <w:i/>
          <w:color w:val="000000"/>
          <w:sz w:val="22"/>
          <w:szCs w:val="22"/>
        </w:rPr>
        <w:br/>
        <w:t>…</w:t>
      </w:r>
    </w:p>
    <w:p w14:paraId="67900202"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VI. Representar al Municipio ante los Tribunales Federales y del fuero común y ante toda autoridad en los trámites jurisdiccionales y cualquier otro asunto de carácter legal en que tenga interés e injerencia el Municipio, con todos los derechos procesales que las leyes reconocen a las personas físicas y morales, tanto para presentar demandas como para contestarlas y reconvenir a la contraparte, ejercitar acciones y oponer excepciones, nombrar peritos, reconocer firmas y documentos, redargüir de falsos a los que presente la contraparte, repregunten y tachen de falsos a testigos o ratificaciones, articulen y absuelvan posiciones, formular denuncias y querellas, desistirse, otorgar perdón, ofrecer y rendir toda clase de pruebas; recusar Jueces inferiores y superiores, apelar, interponer juicio de amparo y los recursos previstos por la ley de la materia y, en general, para que promueva o realice todos los actos permitidos por las leyes, que favorezcan a los derechos del Municipio, así como para sustituir poder en términos de ley a los representantes que para el efecto señale;</w:t>
      </w:r>
    </w:p>
    <w:p w14:paraId="1AAA06B5" w14:textId="77777777" w:rsidR="007A2C6F" w:rsidRPr="00BC7456" w:rsidRDefault="007A2C6F">
      <w:pPr>
        <w:spacing w:line="360" w:lineRule="auto"/>
        <w:ind w:right="113"/>
        <w:jc w:val="both"/>
        <w:rPr>
          <w:rFonts w:ascii="Palatino Linotype" w:eastAsia="Palatino Linotype" w:hAnsi="Palatino Linotype" w:cs="Palatino Linotype"/>
          <w:color w:val="000000"/>
          <w:sz w:val="22"/>
          <w:szCs w:val="22"/>
        </w:rPr>
      </w:pPr>
    </w:p>
    <w:p w14:paraId="07D00A86" w14:textId="77777777" w:rsidR="007A2C6F" w:rsidRPr="00BC7456" w:rsidRDefault="00BA6AB5">
      <w:pPr>
        <w:spacing w:line="360" w:lineRule="auto"/>
        <w:ind w:right="113"/>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color w:val="000000"/>
          <w:sz w:val="22"/>
          <w:szCs w:val="22"/>
        </w:rPr>
        <w:t>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53307611" w14:textId="77777777" w:rsidR="007A2C6F" w:rsidRPr="00BC7456" w:rsidRDefault="007A2C6F">
      <w:pPr>
        <w:spacing w:line="360" w:lineRule="auto"/>
        <w:ind w:right="560"/>
        <w:jc w:val="both"/>
        <w:rPr>
          <w:rFonts w:ascii="Palatino Linotype" w:eastAsia="Palatino Linotype" w:hAnsi="Palatino Linotype" w:cs="Palatino Linotype"/>
          <w:color w:val="000000"/>
          <w:sz w:val="22"/>
          <w:szCs w:val="22"/>
        </w:rPr>
      </w:pPr>
    </w:p>
    <w:p w14:paraId="052E5DA5" w14:textId="77777777" w:rsidR="007A2C6F" w:rsidRPr="00BC7456" w:rsidRDefault="00BA6AB5">
      <w:pPr>
        <w:numPr>
          <w:ilvl w:val="3"/>
          <w:numId w:val="1"/>
        </w:numPr>
        <w:pBdr>
          <w:top w:val="nil"/>
          <w:left w:val="nil"/>
          <w:bottom w:val="nil"/>
          <w:right w:val="nil"/>
          <w:between w:val="nil"/>
        </w:pBdr>
        <w:spacing w:line="360" w:lineRule="auto"/>
        <w:ind w:left="567" w:right="560"/>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ECB32E5" w14:textId="77777777" w:rsidR="007A2C6F" w:rsidRPr="00BC7456" w:rsidRDefault="007A2C6F">
      <w:pPr>
        <w:spacing w:line="360" w:lineRule="auto"/>
        <w:ind w:left="567" w:right="560"/>
        <w:jc w:val="both"/>
        <w:rPr>
          <w:rFonts w:ascii="Palatino Linotype" w:eastAsia="Palatino Linotype" w:hAnsi="Palatino Linotype" w:cs="Palatino Linotype"/>
          <w:color w:val="000000"/>
          <w:sz w:val="22"/>
          <w:szCs w:val="22"/>
        </w:rPr>
      </w:pPr>
    </w:p>
    <w:p w14:paraId="346C5E9F" w14:textId="77777777" w:rsidR="007A2C6F" w:rsidRPr="00BC7456" w:rsidRDefault="00BA6AB5">
      <w:pPr>
        <w:numPr>
          <w:ilvl w:val="3"/>
          <w:numId w:val="1"/>
        </w:numPr>
        <w:pBdr>
          <w:top w:val="nil"/>
          <w:left w:val="nil"/>
          <w:bottom w:val="nil"/>
          <w:right w:val="nil"/>
          <w:between w:val="nil"/>
        </w:pBdr>
        <w:spacing w:line="360" w:lineRule="auto"/>
        <w:ind w:left="567" w:right="560"/>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3C76D506" w14:textId="77777777" w:rsidR="007A2C6F" w:rsidRPr="00BC7456" w:rsidRDefault="007A2C6F">
      <w:pPr>
        <w:spacing w:line="360" w:lineRule="auto"/>
        <w:ind w:right="49"/>
        <w:jc w:val="both"/>
        <w:rPr>
          <w:rFonts w:ascii="Palatino Linotype" w:eastAsia="Palatino Linotype" w:hAnsi="Palatino Linotype" w:cs="Palatino Linotype"/>
          <w:color w:val="000000"/>
          <w:sz w:val="22"/>
          <w:szCs w:val="22"/>
        </w:rPr>
      </w:pPr>
    </w:p>
    <w:p w14:paraId="35D72A29" w14:textId="77777777" w:rsidR="007A2C6F" w:rsidRPr="00BC7456" w:rsidRDefault="00BA6AB5">
      <w:pPr>
        <w:spacing w:line="360" w:lineRule="auto"/>
        <w:ind w:right="49"/>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1A793EB7" w14:textId="77777777" w:rsidR="007A2C6F" w:rsidRPr="00BC7456" w:rsidRDefault="007A2C6F">
      <w:pPr>
        <w:spacing w:line="360" w:lineRule="auto"/>
        <w:ind w:right="49"/>
        <w:jc w:val="both"/>
        <w:rPr>
          <w:rFonts w:ascii="Palatino Linotype" w:eastAsia="Palatino Linotype" w:hAnsi="Palatino Linotype" w:cs="Palatino Linotype"/>
          <w:b/>
          <w:sz w:val="22"/>
          <w:szCs w:val="22"/>
        </w:rPr>
      </w:pPr>
    </w:p>
    <w:p w14:paraId="3867A176"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Dicho esto, resulta necesario contextualizar la información solicitada, para ello, en lo que respecta a las </w:t>
      </w:r>
      <w:proofErr w:type="gramStart"/>
      <w:r w:rsidRPr="00BC7456">
        <w:rPr>
          <w:rFonts w:ascii="Palatino Linotype" w:eastAsia="Palatino Linotype" w:hAnsi="Palatino Linotype" w:cs="Palatino Linotype"/>
          <w:b/>
          <w:sz w:val="22"/>
          <w:szCs w:val="22"/>
          <w:u w:val="single"/>
        </w:rPr>
        <w:t>demandas</w:t>
      </w:r>
      <w:r w:rsidRPr="00BC7456">
        <w:rPr>
          <w:rFonts w:ascii="Palatino Linotype" w:eastAsia="Palatino Linotype" w:hAnsi="Palatino Linotype" w:cs="Palatino Linotype"/>
          <w:sz w:val="22"/>
          <w:szCs w:val="22"/>
        </w:rPr>
        <w:t>,  es</w:t>
      </w:r>
      <w:proofErr w:type="gramEnd"/>
      <w:r w:rsidRPr="00BC7456">
        <w:rPr>
          <w:rFonts w:ascii="Palatino Linotype" w:eastAsia="Palatino Linotype" w:hAnsi="Palatino Linotype" w:cs="Palatino Linotype"/>
          <w:sz w:val="22"/>
          <w:szCs w:val="22"/>
        </w:rPr>
        <w:t xml:space="preserve"> conveniente traer a contexto los artículos 89, 92, 94, 95, 96 y 97 de la Ley de Trabajo de los Servidores Públicos del Estado y Municipios, establece lo siguiente: </w:t>
      </w:r>
    </w:p>
    <w:p w14:paraId="7AAA016F" w14:textId="77777777" w:rsidR="007A2C6F" w:rsidRPr="00BC7456" w:rsidRDefault="007A2C6F">
      <w:pPr>
        <w:ind w:right="49"/>
        <w:jc w:val="both"/>
        <w:rPr>
          <w:rFonts w:ascii="Palatino Linotype" w:eastAsia="Palatino Linotype" w:hAnsi="Palatino Linotype" w:cs="Palatino Linotype"/>
          <w:sz w:val="22"/>
          <w:szCs w:val="22"/>
        </w:rPr>
      </w:pPr>
    </w:p>
    <w:p w14:paraId="6705E9CC"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89.</w:t>
      </w:r>
      <w:r w:rsidRPr="00BC7456">
        <w:rPr>
          <w:rFonts w:ascii="Palatino Linotype" w:eastAsia="Palatino Linotype" w:hAnsi="Palatino Linotype" w:cs="Palatino Linotype"/>
          <w:i/>
          <w:sz w:val="22"/>
          <w:szCs w:val="22"/>
        </w:rPr>
        <w:t xml:space="preserve"> Son </w:t>
      </w:r>
      <w:r w:rsidRPr="00BC7456">
        <w:rPr>
          <w:rFonts w:ascii="Palatino Linotype" w:eastAsia="Palatino Linotype" w:hAnsi="Palatino Linotype" w:cs="Palatino Linotype"/>
          <w:b/>
          <w:i/>
          <w:sz w:val="22"/>
          <w:szCs w:val="22"/>
        </w:rPr>
        <w:t>causas de terminación de la relación laboral</w:t>
      </w:r>
      <w:r w:rsidRPr="00BC7456">
        <w:rPr>
          <w:rFonts w:ascii="Palatino Linotype" w:eastAsia="Palatino Linotype" w:hAnsi="Palatino Linotype" w:cs="Palatino Linotype"/>
          <w:i/>
          <w:sz w:val="22"/>
          <w:szCs w:val="22"/>
        </w:rPr>
        <w:t xml:space="preserve"> sin responsabilidad para las instituciones públicas: </w:t>
      </w:r>
    </w:p>
    <w:p w14:paraId="68E7154B"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I.</w:t>
      </w:r>
      <w:r w:rsidRPr="00BC7456">
        <w:rPr>
          <w:rFonts w:ascii="Palatino Linotype" w:eastAsia="Palatino Linotype" w:hAnsi="Palatino Linotype" w:cs="Palatino Linotype"/>
          <w:i/>
          <w:sz w:val="22"/>
          <w:szCs w:val="22"/>
        </w:rPr>
        <w:t xml:space="preserve"> La renuncia del servidor público; </w:t>
      </w:r>
    </w:p>
    <w:p w14:paraId="0428C474"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II.</w:t>
      </w:r>
      <w:r w:rsidRPr="00BC7456">
        <w:rPr>
          <w:rFonts w:ascii="Palatino Linotype" w:eastAsia="Palatino Linotype" w:hAnsi="Palatino Linotype" w:cs="Palatino Linotype"/>
          <w:i/>
          <w:sz w:val="22"/>
          <w:szCs w:val="22"/>
        </w:rPr>
        <w:t xml:space="preserve"> El mutuo consentimiento de las partes; </w:t>
      </w:r>
    </w:p>
    <w:p w14:paraId="2B054054"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III.</w:t>
      </w:r>
      <w:r w:rsidRPr="00BC7456">
        <w:rPr>
          <w:rFonts w:ascii="Palatino Linotype" w:eastAsia="Palatino Linotype" w:hAnsi="Palatino Linotype" w:cs="Palatino Linotype"/>
          <w:i/>
          <w:sz w:val="22"/>
          <w:szCs w:val="22"/>
        </w:rPr>
        <w:t xml:space="preserve"> El vencimiento del término o conclusión de la obra determinantes de la contratación; </w:t>
      </w:r>
    </w:p>
    <w:p w14:paraId="0381941C"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lastRenderedPageBreak/>
        <w:t>IV.</w:t>
      </w:r>
      <w:r w:rsidRPr="00BC7456">
        <w:rPr>
          <w:rFonts w:ascii="Palatino Linotype" w:eastAsia="Palatino Linotype" w:hAnsi="Palatino Linotype" w:cs="Palatino Linotype"/>
          <w:i/>
          <w:sz w:val="22"/>
          <w:szCs w:val="22"/>
        </w:rPr>
        <w:t xml:space="preserve"> El término o conclusión de la administración en la cual fue contratado el servidor público a que se refiere el artículo 8 de </w:t>
      </w:r>
      <w:proofErr w:type="gramStart"/>
      <w:r w:rsidRPr="00BC7456">
        <w:rPr>
          <w:rFonts w:ascii="Palatino Linotype" w:eastAsia="Palatino Linotype" w:hAnsi="Palatino Linotype" w:cs="Palatino Linotype"/>
          <w:i/>
          <w:sz w:val="22"/>
          <w:szCs w:val="22"/>
        </w:rPr>
        <w:t>ésta</w:t>
      </w:r>
      <w:proofErr w:type="gramEnd"/>
      <w:r w:rsidRPr="00BC7456">
        <w:rPr>
          <w:rFonts w:ascii="Palatino Linotype" w:eastAsia="Palatino Linotype" w:hAnsi="Palatino Linotype" w:cs="Palatino Linotype"/>
          <w:i/>
          <w:sz w:val="22"/>
          <w:szCs w:val="22"/>
        </w:rPr>
        <w:t xml:space="preserve"> Ley; </w:t>
      </w:r>
    </w:p>
    <w:p w14:paraId="1D1BB57D"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V.</w:t>
      </w:r>
      <w:r w:rsidRPr="00BC7456">
        <w:rPr>
          <w:rFonts w:ascii="Palatino Linotype" w:eastAsia="Palatino Linotype" w:hAnsi="Palatino Linotype" w:cs="Palatino Linotype"/>
          <w:i/>
          <w:sz w:val="22"/>
          <w:szCs w:val="22"/>
        </w:rPr>
        <w:t xml:space="preserve"> La muerte del servidor público; y </w:t>
      </w:r>
    </w:p>
    <w:p w14:paraId="4B0E428B"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VI.</w:t>
      </w:r>
      <w:r w:rsidRPr="00BC7456">
        <w:rPr>
          <w:rFonts w:ascii="Palatino Linotype" w:eastAsia="Palatino Linotype" w:hAnsi="Palatino Linotype" w:cs="Palatino Linotype"/>
          <w:i/>
          <w:sz w:val="22"/>
          <w:szCs w:val="22"/>
        </w:rPr>
        <w:t xml:space="preserve"> La incapacidad permanente del servidor público que le impida el desempeño de sus labores.</w:t>
      </w:r>
    </w:p>
    <w:p w14:paraId="7D1BA8EE" w14:textId="77777777" w:rsidR="007A2C6F" w:rsidRPr="00BC7456" w:rsidRDefault="007A2C6F">
      <w:pPr>
        <w:spacing w:line="276" w:lineRule="auto"/>
        <w:ind w:left="567" w:right="539"/>
        <w:jc w:val="both"/>
        <w:rPr>
          <w:rFonts w:ascii="Palatino Linotype" w:eastAsia="Palatino Linotype" w:hAnsi="Palatino Linotype" w:cs="Palatino Linotype"/>
          <w:i/>
          <w:sz w:val="22"/>
          <w:szCs w:val="22"/>
        </w:rPr>
      </w:pPr>
    </w:p>
    <w:p w14:paraId="292CBBE2" w14:textId="77777777" w:rsidR="007A2C6F" w:rsidRPr="00BC7456" w:rsidRDefault="00BA6AB5">
      <w:pPr>
        <w:spacing w:line="276" w:lineRule="auto"/>
        <w:ind w:left="567" w:right="539"/>
        <w:jc w:val="both"/>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b/>
          <w:i/>
          <w:sz w:val="22"/>
          <w:szCs w:val="22"/>
        </w:rPr>
        <w:t>ARTÍCULO 92.</w:t>
      </w:r>
      <w:r w:rsidRPr="00BC7456">
        <w:rPr>
          <w:rFonts w:ascii="Palatino Linotype" w:eastAsia="Palatino Linotype" w:hAnsi="Palatino Linotype" w:cs="Palatino Linotype"/>
          <w:i/>
          <w:sz w:val="22"/>
          <w:szCs w:val="22"/>
        </w:rPr>
        <w:t xml:space="preserve"> </w:t>
      </w:r>
      <w:r w:rsidRPr="00BC7456">
        <w:rPr>
          <w:rFonts w:ascii="Palatino Linotype" w:eastAsia="Palatino Linotype" w:hAnsi="Palatino Linotype" w:cs="Palatino Linotype"/>
          <w:b/>
          <w:i/>
          <w:sz w:val="22"/>
          <w:szCs w:val="22"/>
        </w:rPr>
        <w:t xml:space="preserve">El servidor público o la institución pública podrán rescindir en cualquier tiempo, por causa justificada, la relación laboral. </w:t>
      </w:r>
    </w:p>
    <w:p w14:paraId="343085AC" w14:textId="77777777" w:rsidR="007A2C6F" w:rsidRPr="00BC7456" w:rsidRDefault="007A2C6F">
      <w:pPr>
        <w:spacing w:line="276" w:lineRule="auto"/>
        <w:ind w:left="567" w:right="539"/>
        <w:jc w:val="both"/>
        <w:rPr>
          <w:rFonts w:ascii="Palatino Linotype" w:eastAsia="Palatino Linotype" w:hAnsi="Palatino Linotype" w:cs="Palatino Linotype"/>
          <w:b/>
          <w:i/>
          <w:sz w:val="22"/>
          <w:szCs w:val="22"/>
        </w:rPr>
      </w:pPr>
    </w:p>
    <w:p w14:paraId="4484F6A5"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94.</w:t>
      </w:r>
      <w:r w:rsidRPr="00BC7456">
        <w:rPr>
          <w:rFonts w:ascii="Palatino Linotype" w:eastAsia="Palatino Linotype" w:hAnsi="Palatino Linotype" w:cs="Palatino Linotype"/>
          <w:i/>
          <w:sz w:val="22"/>
          <w:szCs w:val="22"/>
        </w:rPr>
        <w:t xml:space="preserve"> La </w:t>
      </w:r>
      <w:r w:rsidRPr="00BC7456">
        <w:rPr>
          <w:rFonts w:ascii="Palatino Linotype" w:eastAsia="Palatino Linotype" w:hAnsi="Palatino Linotype" w:cs="Palatino Linotype"/>
          <w:b/>
          <w:i/>
          <w:sz w:val="22"/>
          <w:szCs w:val="22"/>
        </w:rPr>
        <w:t>institución pública deberá dar aviso por escrito al servidor público de manera personal, de la fecha y causa o causas de la rescisión de la relación laboral.</w:t>
      </w:r>
      <w:r w:rsidRPr="00BC7456">
        <w:rPr>
          <w:rFonts w:ascii="Palatino Linotype" w:eastAsia="Palatino Linotype" w:hAnsi="Palatino Linotype" w:cs="Palatino Linotype"/>
          <w:i/>
          <w:sz w:val="22"/>
          <w:szCs w:val="22"/>
        </w:rPr>
        <w:t xml:space="preserve"> </w:t>
      </w:r>
    </w:p>
    <w:p w14:paraId="3BF6E5A5"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09D4AC48"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La falta de aviso al servidor público, al Tribunal o a la Sala por sí sola bastará para considerar que el despido fue injustificado.</w:t>
      </w:r>
    </w:p>
    <w:p w14:paraId="3EE2089E" w14:textId="77777777" w:rsidR="007A2C6F" w:rsidRPr="00BC7456" w:rsidRDefault="007A2C6F">
      <w:pPr>
        <w:spacing w:line="276" w:lineRule="auto"/>
        <w:ind w:left="567" w:right="539"/>
        <w:jc w:val="both"/>
        <w:rPr>
          <w:rFonts w:ascii="Palatino Linotype" w:eastAsia="Palatino Linotype" w:hAnsi="Palatino Linotype" w:cs="Palatino Linotype"/>
          <w:i/>
          <w:sz w:val="22"/>
          <w:szCs w:val="22"/>
        </w:rPr>
      </w:pPr>
    </w:p>
    <w:p w14:paraId="007173AA"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95.</w:t>
      </w:r>
      <w:r w:rsidRPr="00BC7456">
        <w:rPr>
          <w:rFonts w:ascii="Palatino Linotype" w:eastAsia="Palatino Linotype" w:hAnsi="Palatino Linotype" w:cs="Palatino Linotype"/>
          <w:i/>
          <w:sz w:val="22"/>
          <w:szCs w:val="22"/>
        </w:rPr>
        <w:t xml:space="preserve"> Son </w:t>
      </w:r>
      <w:r w:rsidRPr="00BC7456">
        <w:rPr>
          <w:rFonts w:ascii="Palatino Linotype" w:eastAsia="Palatino Linotype" w:hAnsi="Palatino Linotype" w:cs="Palatino Linotype"/>
          <w:b/>
          <w:i/>
          <w:sz w:val="22"/>
          <w:szCs w:val="22"/>
        </w:rPr>
        <w:t>causas de rescisión de la relación laboral</w:t>
      </w:r>
      <w:r w:rsidRPr="00BC7456">
        <w:rPr>
          <w:rFonts w:ascii="Palatino Linotype" w:eastAsia="Palatino Linotype" w:hAnsi="Palatino Linotype" w:cs="Palatino Linotype"/>
          <w:i/>
          <w:sz w:val="22"/>
          <w:szCs w:val="22"/>
        </w:rPr>
        <w:t>, sin responsabilidad para el servidor público:</w:t>
      </w:r>
    </w:p>
    <w:p w14:paraId="1B6EE134"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w:t>
      </w:r>
    </w:p>
    <w:p w14:paraId="07C25453"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En estos casos, </w:t>
      </w:r>
      <w:r w:rsidRPr="00BC7456">
        <w:rPr>
          <w:rFonts w:ascii="Palatino Linotype" w:eastAsia="Palatino Linotype" w:hAnsi="Palatino Linotype" w:cs="Palatino Linotype"/>
          <w:b/>
          <w:i/>
          <w:sz w:val="22"/>
          <w:szCs w:val="22"/>
        </w:rPr>
        <w:t xml:space="preserve">el servidor público podrá separarse de su trabajo dentro de los treinta días siguientes a la fecha en que se dé cualquiera de las causas y tendrá derecho a que la institución pública </w:t>
      </w:r>
      <w:r w:rsidRPr="00BC7456">
        <w:rPr>
          <w:rFonts w:ascii="Palatino Linotype" w:eastAsia="Palatino Linotype" w:hAnsi="Palatino Linotype" w:cs="Palatino Linotype"/>
          <w:b/>
          <w:i/>
          <w:sz w:val="22"/>
          <w:szCs w:val="22"/>
          <w:u w:val="single"/>
        </w:rPr>
        <w:t>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w:t>
      </w:r>
      <w:r w:rsidRPr="00BC7456">
        <w:rPr>
          <w:rFonts w:ascii="Palatino Linotype" w:eastAsia="Palatino Linotype" w:hAnsi="Palatino Linotype" w:cs="Palatino Linotype"/>
          <w:i/>
          <w:sz w:val="22"/>
          <w:szCs w:val="22"/>
        </w:rPr>
        <w:t xml:space="preserve"> a laborar en un municipio o institución pública de los poderes del Estado o cualquier organismo estatal, siempre y cuando esto último ocurra en un plazo no mayor a los doce meses antes mencionados, independientemente del tiempo que dure el proceso.</w:t>
      </w:r>
    </w:p>
    <w:p w14:paraId="45299742"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679C896A" w14:textId="77777777" w:rsidR="007A2C6F" w:rsidRPr="00BC7456" w:rsidRDefault="007A2C6F">
      <w:pPr>
        <w:spacing w:line="276" w:lineRule="auto"/>
        <w:ind w:left="567" w:right="539"/>
        <w:jc w:val="both"/>
        <w:rPr>
          <w:rFonts w:ascii="Palatino Linotype" w:eastAsia="Palatino Linotype" w:hAnsi="Palatino Linotype" w:cs="Palatino Linotype"/>
          <w:i/>
          <w:sz w:val="22"/>
          <w:szCs w:val="22"/>
        </w:rPr>
      </w:pPr>
    </w:p>
    <w:p w14:paraId="7B50A622"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96.-</w:t>
      </w:r>
      <w:r w:rsidRPr="00BC7456">
        <w:rPr>
          <w:rFonts w:ascii="Palatino Linotype" w:eastAsia="Palatino Linotype" w:hAnsi="Palatino Linotype" w:cs="Palatino Linotype"/>
          <w:i/>
          <w:sz w:val="22"/>
          <w:szCs w:val="22"/>
        </w:rPr>
        <w:t xml:space="preserve"> El servidor público podrá solicitar ante el Tribunal o la Sala correspondiente, que se le reinstale en el trabajo que desempeñaba, o que se le indemnice. </w:t>
      </w:r>
      <w:r w:rsidRPr="00BC7456">
        <w:rPr>
          <w:rFonts w:ascii="Palatino Linotype" w:eastAsia="Palatino Linotype" w:hAnsi="Palatino Linotype" w:cs="Palatino Linotype"/>
          <w:b/>
          <w:i/>
          <w:sz w:val="22"/>
          <w:szCs w:val="22"/>
        </w:rPr>
        <w:t>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r w:rsidRPr="00BC7456">
        <w:rPr>
          <w:rFonts w:ascii="Palatino Linotype" w:eastAsia="Palatino Linotype" w:hAnsi="Palatino Linotype" w:cs="Palatino Linotype"/>
          <w:i/>
          <w:sz w:val="22"/>
          <w:szCs w:val="22"/>
        </w:rPr>
        <w:t xml:space="preserve"> </w:t>
      </w:r>
    </w:p>
    <w:p w14:paraId="60026581"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No se considerará en el pago de salarios vencidos los aguinaldos e incrementos que se otorguen en el salario de los servidores públicos mientras dure el proceso para objeto de las indemnizaciones a que se refieren los artículos 95, 96 y 97 de esta ley. </w:t>
      </w:r>
    </w:p>
    <w:p w14:paraId="56FCE924"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3F88FDC5"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En cualquier estado del procedimiento el demandado podrá pagar todo o en parte lo reclamado por el actor exhibiendo la cantidad líquida en moneda nacional o en cheque certificado a nombre de éste</w:t>
      </w:r>
      <w:r w:rsidRPr="00BC7456">
        <w:rPr>
          <w:rFonts w:ascii="Palatino Linotype" w:eastAsia="Palatino Linotype" w:hAnsi="Palatino Linotype" w:cs="Palatino Linotype"/>
          <w:i/>
          <w:sz w:val="22"/>
          <w:szCs w:val="22"/>
        </w:rPr>
        <w:t xml:space="preserve">, previa cuantificación que haga el Tribunal o la Sala de que las cantidades cubren las prestaciones señaladas en la demanda y que se encuentren ajustadas a derecho, hasta la fecha en que se exhiba. En el primer supuesto se dará por terminado el juicio liberando a la institución pública de la acción principal y sus accesorias. </w:t>
      </w:r>
    </w:p>
    <w:p w14:paraId="057C336E"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 </w:t>
      </w:r>
    </w:p>
    <w:p w14:paraId="08CDB3AB"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 xml:space="preserve">Excepcionalmente para el efecto de que la cantidad exhibida por la parte demandada sea menor a la que le corresponda al actor, el Tribunal o la Sala le requerirá, para </w:t>
      </w:r>
      <w:proofErr w:type="gramStart"/>
      <w:r w:rsidRPr="00BC7456">
        <w:rPr>
          <w:rFonts w:ascii="Palatino Linotype" w:eastAsia="Palatino Linotype" w:hAnsi="Palatino Linotype" w:cs="Palatino Linotype"/>
          <w:i/>
          <w:sz w:val="22"/>
          <w:szCs w:val="22"/>
        </w:rPr>
        <w:t>que</w:t>
      </w:r>
      <w:proofErr w:type="gramEnd"/>
      <w:r w:rsidRPr="00BC7456">
        <w:rPr>
          <w:rFonts w:ascii="Palatino Linotype" w:eastAsia="Palatino Linotype" w:hAnsi="Palatino Linotype" w:cs="Palatino Linotype"/>
          <w:i/>
          <w:sz w:val="22"/>
          <w:szCs w:val="22"/>
        </w:rPr>
        <w:t xml:space="preserve"> en un término de cinco días hábiles, contados a partir de que surta sus efectos de notificación el acuerdo que recaiga, deposite la cantidad faltante y hecho lo anterior se tendrá por satisfecha la acción legal ejercitada. </w:t>
      </w:r>
    </w:p>
    <w:p w14:paraId="56725D25"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Para la hipótesis de que la demandada sólo exhiba la cantidad por indemnizaciones y sus prestaciones accesorias dejarán de correr los salarios caídos, continuándose con el procedimiento por las prestaciones pendientes de pago. </w:t>
      </w:r>
    </w:p>
    <w:p w14:paraId="7C6C2CDA" w14:textId="77777777" w:rsidR="007A2C6F" w:rsidRPr="00BC7456" w:rsidRDefault="00BA6AB5">
      <w:pPr>
        <w:spacing w:line="276" w:lineRule="auto"/>
        <w:ind w:left="567" w:right="539"/>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En caso de muerte del trabajador, dejarán de computarse los salarios vencidos como parte del conflicto.</w:t>
      </w:r>
    </w:p>
    <w:p w14:paraId="5D01B449" w14:textId="77777777" w:rsidR="007A2C6F" w:rsidRPr="00BC7456" w:rsidRDefault="007A2C6F">
      <w:pPr>
        <w:spacing w:line="276" w:lineRule="auto"/>
        <w:ind w:left="567" w:right="539"/>
        <w:jc w:val="both"/>
        <w:rPr>
          <w:rFonts w:ascii="Palatino Linotype" w:eastAsia="Palatino Linotype" w:hAnsi="Palatino Linotype" w:cs="Palatino Linotype"/>
          <w:i/>
          <w:sz w:val="22"/>
          <w:szCs w:val="22"/>
        </w:rPr>
      </w:pPr>
    </w:p>
    <w:p w14:paraId="256E2F8F" w14:textId="77777777" w:rsidR="007A2C6F" w:rsidRPr="00BC7456" w:rsidRDefault="00BA6AB5">
      <w:pPr>
        <w:spacing w:line="276" w:lineRule="auto"/>
        <w:ind w:left="567" w:right="539"/>
        <w:jc w:val="both"/>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b/>
          <w:i/>
          <w:sz w:val="22"/>
          <w:szCs w:val="22"/>
        </w:rPr>
        <w:t>ARTÍCULO 97.-</w:t>
      </w:r>
      <w:r w:rsidRPr="00BC7456">
        <w:rPr>
          <w:rFonts w:ascii="Palatino Linotype" w:eastAsia="Palatino Linotype" w:hAnsi="Palatino Linotype" w:cs="Palatino Linotype"/>
          <w:i/>
          <w:sz w:val="22"/>
          <w:szCs w:val="22"/>
        </w:rPr>
        <w:t xml:space="preserve"> Las </w:t>
      </w:r>
      <w:r w:rsidRPr="00BC7456">
        <w:rPr>
          <w:rFonts w:ascii="Palatino Linotype" w:eastAsia="Palatino Linotype" w:hAnsi="Palatino Linotype" w:cs="Palatino Linotype"/>
          <w:b/>
          <w:i/>
          <w:sz w:val="22"/>
          <w:szCs w:val="22"/>
        </w:rPr>
        <w:t>instituciones públicas</w:t>
      </w:r>
      <w:r w:rsidRPr="00BC7456">
        <w:rPr>
          <w:rFonts w:ascii="Palatino Linotype" w:eastAsia="Palatino Linotype" w:hAnsi="Palatino Linotype" w:cs="Palatino Linotype"/>
          <w:i/>
          <w:sz w:val="22"/>
          <w:szCs w:val="22"/>
        </w:rPr>
        <w:t xml:space="preserve"> o dependencias no estarán </w:t>
      </w:r>
      <w:r w:rsidRPr="00BC7456">
        <w:rPr>
          <w:rFonts w:ascii="Palatino Linotype" w:eastAsia="Palatino Linotype" w:hAnsi="Palatino Linotype" w:cs="Palatino Linotype"/>
          <w:b/>
          <w:i/>
          <w:sz w:val="22"/>
          <w:szCs w:val="22"/>
        </w:rPr>
        <w:t>obligadas</w:t>
      </w:r>
      <w:r w:rsidRPr="00BC7456">
        <w:rPr>
          <w:rFonts w:ascii="Palatino Linotype" w:eastAsia="Palatino Linotype" w:hAnsi="Palatino Linotype" w:cs="Palatino Linotype"/>
          <w:i/>
          <w:sz w:val="22"/>
          <w:szCs w:val="22"/>
        </w:rPr>
        <w:t xml:space="preserve"> a reinstalar al servidor público, pero sí </w:t>
      </w:r>
      <w:r w:rsidRPr="00BC7456">
        <w:rPr>
          <w:rFonts w:ascii="Palatino Linotype" w:eastAsia="Palatino Linotype" w:hAnsi="Palatino Linotype" w:cs="Palatino Linotype"/>
          <w:b/>
          <w:i/>
          <w:sz w:val="22"/>
          <w:szCs w:val="22"/>
        </w:rPr>
        <w:t>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w:t>
      </w:r>
      <w:r w:rsidRPr="00BC7456">
        <w:rPr>
          <w:rFonts w:ascii="Palatino Linotype" w:eastAsia="Palatino Linotype" w:hAnsi="Palatino Linotype" w:cs="Palatino Linotype"/>
          <w:i/>
          <w:sz w:val="22"/>
          <w:szCs w:val="22"/>
        </w:rPr>
        <w:t xml:space="preserve"> independientemente del tiempo que dure el proceso, exhibiendo la totalidad de la cantidad liquida en moneda nacional o mediante cheque certificado al momento de la negativa de reinstalar al actor.”</w:t>
      </w:r>
    </w:p>
    <w:p w14:paraId="0F234F07" w14:textId="77777777" w:rsidR="007A2C6F" w:rsidRPr="00BC7456" w:rsidRDefault="007A2C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589B7D5C" w14:textId="77777777" w:rsidR="007A2C6F" w:rsidRPr="00BC7456" w:rsidRDefault="00BA6AB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De lo anterior, podemos advertir la existencia de dos supuestos, la terminación de la relación laboral y la rescisión laboral, ello sin dejar de lado la figura enmarcada en el artículo 94 tratándose del despido, o aquéllas derivadas de una sanción administrativa, además, se prevén los supuestos de rescisión laboral sin responsabilidad para los servidores públicos, el plazo en que éste debe separarse del trabajo cuando se actualice; asimismo, señala que en la existencia de alguno de esos supuestos, el servidor público tendrá derecho a que la institución pública lo indemnice con tres meses de sueldo base, veinte días por cada año devengado y a cubrirle las prestaciones a que tenga derecho, así como los salarios vencidos desde la fecha en que el servidor público se haya separado de su trabajo hasta que se cumplimente el laudo, o hasta que el servidor público se incorpore a laborar en un municipio o institución pública de los poderes del Estado, independientemente del tiempo que dure el proceso.</w:t>
      </w:r>
    </w:p>
    <w:p w14:paraId="602506A4"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077CA1B7" w14:textId="77777777" w:rsidR="007A2C6F" w:rsidRPr="00BC7456" w:rsidRDefault="00BA6AB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Por su parte, el artículo 96 del ordenamiento legal en cita, contempla el derecho que le asiste al servidor público para solicitar ante el Tribunal o la Sala Auxiliar correspondiente, que se le reinstale en el trabajo que desempeñaba, o que se le indemnice.</w:t>
      </w:r>
    </w:p>
    <w:p w14:paraId="53549EAE" w14:textId="77777777" w:rsidR="007A2C6F" w:rsidRPr="00BC7456" w:rsidRDefault="007A2C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705851B3" w14:textId="77777777" w:rsidR="007A2C6F" w:rsidRPr="00BC7456" w:rsidRDefault="00BA6AB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Asimismo, se señala  que el servidor público debe o puede optar por la indemnización, ésta será por el equivalente a tres meses de su salario base, del mismo modo que los salarios vencidos desde la fecha del despido hasta que se cumplimente el laudo o que se le reinstale en el trabajo que desempeñaba con el pago de los salarios vencidos desde la fecha del despido hasta que se cumplimente el laudo, o hasta que el servidor público se incorpore a laborar en un municipio o institución pública de los poderes del Estado, independientemente del tiempo que dure el proceso.</w:t>
      </w:r>
    </w:p>
    <w:p w14:paraId="07432DBA" w14:textId="77777777" w:rsidR="007A2C6F" w:rsidRPr="00BC7456" w:rsidRDefault="007A2C6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373DE90D" w14:textId="77777777" w:rsidR="007A2C6F" w:rsidRPr="00BC7456" w:rsidRDefault="00BA6AB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Finalmente, se establece que las instituciones públicas o dependencias no estarán obligadas a reinstalar al servidor público, cuando se actualicen los supuestos previstos en el mismo precepto legal, pero sí tienen la obligación de cubrirle una indemnización por tres meses de salario base, veinte días por cada año de servicios en términos del artículo 95 párrafo segundo de la ley en cita y cubrirle las prestaciones a que tenga derecho, así como los salarios vencidos desde la fecha del despido hasta que se cumplimente el laudo, o hasta que el servidor público se incorpore a laborar en un municipio o institución pública de los poderes del Estado, independientemente del tiempo que dure el proceso.</w:t>
      </w:r>
    </w:p>
    <w:p w14:paraId="5D225F34"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0AAB32AC"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Por lo tanto, para la terminación o rescisión laboral, originado por renuncias o juicios ante órganos jurisdiccionales en materia laboral, de los que derivaran laudos condenando al pago de las prestaciones previstas en ese ordenamiento legal (que se traduce en finiquitos), el Sujeto </w:t>
      </w:r>
      <w:r w:rsidRPr="00BC7456">
        <w:rPr>
          <w:rFonts w:ascii="Palatino Linotype" w:eastAsia="Palatino Linotype" w:hAnsi="Palatino Linotype" w:cs="Palatino Linotype"/>
          <w:sz w:val="22"/>
          <w:szCs w:val="22"/>
        </w:rPr>
        <w:lastRenderedPageBreak/>
        <w:t>Obligado debe efectuar el pago de dichas prestaciones generando necesariamente un soporte documental.</w:t>
      </w:r>
    </w:p>
    <w:p w14:paraId="64C3AFB9"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423931BC"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Por otro lado, de conformidad con lo que establecen los Lineamientos para la entrega del Informe Trimestral emitidos por el Órgano Superior de Fiscalización del Estado de </w:t>
      </w:r>
      <w:proofErr w:type="gramStart"/>
      <w:r w:rsidRPr="00BC7456">
        <w:rPr>
          <w:rFonts w:ascii="Palatino Linotype" w:eastAsia="Palatino Linotype" w:hAnsi="Palatino Linotype" w:cs="Palatino Linotype"/>
          <w:sz w:val="22"/>
          <w:szCs w:val="22"/>
        </w:rPr>
        <w:t>México,  se</w:t>
      </w:r>
      <w:proofErr w:type="gramEnd"/>
      <w:r w:rsidRPr="00BC7456">
        <w:rPr>
          <w:rFonts w:ascii="Palatino Linotype" w:eastAsia="Palatino Linotype" w:hAnsi="Palatino Linotype" w:cs="Palatino Linotype"/>
          <w:sz w:val="22"/>
          <w:szCs w:val="22"/>
        </w:rPr>
        <w:t xml:space="preserve"> advierte lo siguiente:</w:t>
      </w:r>
    </w:p>
    <w:p w14:paraId="2735D7DC"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57A6CF3D"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trike/>
          <w:noProof/>
          <w:color w:val="FF0000"/>
          <w:sz w:val="22"/>
          <w:szCs w:val="22"/>
          <w:lang w:eastAsia="es-MX"/>
        </w:rPr>
        <w:drawing>
          <wp:inline distT="0" distB="0" distL="0" distR="0" wp14:anchorId="1C10D864" wp14:editId="4D4A245B">
            <wp:extent cx="5623303" cy="451494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23303" cy="4514942"/>
                    </a:xfrm>
                    <a:prstGeom prst="rect">
                      <a:avLst/>
                    </a:prstGeom>
                    <a:ln/>
                  </pic:spPr>
                </pic:pic>
              </a:graphicData>
            </a:graphic>
          </wp:inline>
        </w:drawing>
      </w:r>
    </w:p>
    <w:p w14:paraId="35693978"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20CE700F" w14:textId="77777777" w:rsidR="007A2C6F" w:rsidRPr="00BC7456" w:rsidRDefault="00BA6AB5">
      <w:pPr>
        <w:pBdr>
          <w:top w:val="nil"/>
          <w:left w:val="nil"/>
          <w:bottom w:val="nil"/>
          <w:right w:val="nil"/>
          <w:between w:val="nil"/>
        </w:pBdr>
        <w:spacing w:line="360" w:lineRule="auto"/>
        <w:jc w:val="both"/>
        <w:rPr>
          <w:rFonts w:ascii="Palatino Linotype" w:eastAsia="Palatino Linotype" w:hAnsi="Palatino Linotype" w:cs="Palatino Linotype"/>
          <w:strike/>
          <w:color w:val="FF0000"/>
          <w:sz w:val="22"/>
          <w:szCs w:val="22"/>
        </w:rPr>
      </w:pPr>
      <w:r w:rsidRPr="00BC7456">
        <w:rPr>
          <w:rFonts w:ascii="Palatino Linotype" w:eastAsia="Palatino Linotype" w:hAnsi="Palatino Linotype" w:cs="Palatino Linotype"/>
          <w:strike/>
          <w:noProof/>
          <w:color w:val="FF0000"/>
          <w:sz w:val="22"/>
          <w:szCs w:val="22"/>
          <w:lang w:eastAsia="es-MX"/>
        </w:rPr>
        <w:lastRenderedPageBreak/>
        <w:drawing>
          <wp:inline distT="0" distB="0" distL="0" distR="0" wp14:anchorId="3061A175" wp14:editId="2C7BDCA6">
            <wp:extent cx="5614783" cy="3244007"/>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4783" cy="3244007"/>
                    </a:xfrm>
                    <a:prstGeom prst="rect">
                      <a:avLst/>
                    </a:prstGeom>
                    <a:ln/>
                  </pic:spPr>
                </pic:pic>
              </a:graphicData>
            </a:graphic>
          </wp:inline>
        </w:drawing>
      </w:r>
    </w:p>
    <w:p w14:paraId="2AADC385"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67329783"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De lo anterior, se prevé que el Sujeto Obligado debe contar con la información requerida por la parte Solicitante. </w:t>
      </w:r>
    </w:p>
    <w:p w14:paraId="1AEB6066"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52DDDA6E" w14:textId="77777777" w:rsidR="007A2C6F" w:rsidRPr="00BC7456" w:rsidRDefault="00BA6AB5">
      <w:pPr>
        <w:spacing w:line="360" w:lineRule="auto"/>
        <w:ind w:right="49"/>
        <w:jc w:val="both"/>
        <w:rPr>
          <w:rFonts w:ascii="Palatino Linotype" w:eastAsia="Palatino Linotype" w:hAnsi="Palatino Linotype" w:cs="Palatino Linotype"/>
          <w:b/>
          <w:sz w:val="22"/>
          <w:szCs w:val="22"/>
        </w:rPr>
      </w:pPr>
      <w:r w:rsidRPr="00BC7456">
        <w:rPr>
          <w:rFonts w:ascii="Palatino Linotype" w:eastAsia="Palatino Linotype" w:hAnsi="Palatino Linotype" w:cs="Palatino Linotype"/>
          <w:sz w:val="22"/>
          <w:szCs w:val="22"/>
        </w:rPr>
        <w:t xml:space="preserve">Ahora bien, en lo que respecta al agravio </w:t>
      </w:r>
      <w:proofErr w:type="gramStart"/>
      <w:r w:rsidRPr="00BC7456">
        <w:rPr>
          <w:rFonts w:ascii="Palatino Linotype" w:eastAsia="Palatino Linotype" w:hAnsi="Palatino Linotype" w:cs="Palatino Linotype"/>
          <w:sz w:val="22"/>
          <w:szCs w:val="22"/>
        </w:rPr>
        <w:t>de la parte Recurrente relacionado</w:t>
      </w:r>
      <w:proofErr w:type="gramEnd"/>
      <w:r w:rsidRPr="00BC7456">
        <w:rPr>
          <w:rFonts w:ascii="Palatino Linotype" w:eastAsia="Palatino Linotype" w:hAnsi="Palatino Linotype" w:cs="Palatino Linotype"/>
          <w:sz w:val="22"/>
          <w:szCs w:val="22"/>
        </w:rPr>
        <w:t xml:space="preserve"> con las demandas, se tiene que en respuesta, el Sujeto Obligado a través del Director Jurídico informó que, se contaban únicamente con 37 demandas laborales en la administración 2022-2024, no obstante, </w:t>
      </w:r>
      <w:r w:rsidRPr="00BC7456">
        <w:rPr>
          <w:rFonts w:ascii="Palatino Linotype" w:eastAsia="Palatino Linotype" w:hAnsi="Palatino Linotype" w:cs="Palatino Linotype"/>
          <w:b/>
          <w:sz w:val="22"/>
          <w:szCs w:val="22"/>
        </w:rPr>
        <w:t xml:space="preserve">no las proporcionó. </w:t>
      </w:r>
    </w:p>
    <w:p w14:paraId="2411A2B4" w14:textId="77777777" w:rsidR="007A2C6F" w:rsidRPr="00BC7456" w:rsidRDefault="007A2C6F">
      <w:pPr>
        <w:spacing w:line="360" w:lineRule="auto"/>
        <w:ind w:right="49"/>
        <w:jc w:val="both"/>
        <w:rPr>
          <w:rFonts w:ascii="Palatino Linotype" w:eastAsia="Palatino Linotype" w:hAnsi="Palatino Linotype" w:cs="Palatino Linotype"/>
          <w:b/>
          <w:sz w:val="22"/>
          <w:szCs w:val="22"/>
        </w:rPr>
      </w:pPr>
    </w:p>
    <w:p w14:paraId="539B86B7" w14:textId="77777777" w:rsidR="007A2C6F" w:rsidRPr="00BC7456" w:rsidRDefault="00BA6AB5">
      <w:pPr>
        <w:spacing w:line="360" w:lineRule="auto"/>
        <w:ind w:right="49"/>
        <w:jc w:val="both"/>
        <w:rPr>
          <w:rFonts w:ascii="Palatino Linotype" w:eastAsia="Palatino Linotype" w:hAnsi="Palatino Linotype" w:cs="Palatino Linotype"/>
          <w:b/>
          <w:sz w:val="22"/>
          <w:szCs w:val="22"/>
        </w:rPr>
      </w:pPr>
      <w:r w:rsidRPr="00BC7456">
        <w:rPr>
          <w:rFonts w:ascii="Palatino Linotype" w:eastAsia="Palatino Linotype" w:hAnsi="Palatino Linotype" w:cs="Palatino Linotype"/>
          <w:sz w:val="22"/>
          <w:szCs w:val="22"/>
        </w:rPr>
        <w:t xml:space="preserve">De tal forma que, resulta necesario señalar que para el caso de que, las demandas formen parte de un procedimiento en trámite, deberá ser reservada en términos de lo que dispone la fracción VIII del artículo 140 de la Ley de Transparencia y Acceso a la Información Pública del Estado de México y Municipios </w:t>
      </w:r>
      <w:r w:rsidRPr="00BC7456">
        <w:rPr>
          <w:rFonts w:ascii="Palatino Linotype" w:eastAsia="Palatino Linotype" w:hAnsi="Palatino Linotype" w:cs="Palatino Linotype"/>
          <w:color w:val="0D0D0D"/>
          <w:sz w:val="22"/>
          <w:szCs w:val="22"/>
        </w:rPr>
        <w:t xml:space="preserve">y al homologo 113, fracción XI de la entonces vigente Ley General de Transparencia y Acceso a la Información Pública mismo que establece que será </w:t>
      </w:r>
      <w:r w:rsidRPr="00BC7456">
        <w:rPr>
          <w:rFonts w:ascii="Palatino Linotype" w:eastAsia="Palatino Linotype" w:hAnsi="Palatino Linotype" w:cs="Palatino Linotype"/>
          <w:color w:val="0D0D0D"/>
          <w:sz w:val="22"/>
          <w:szCs w:val="22"/>
        </w:rPr>
        <w:lastRenderedPageBreak/>
        <w:t>información reservada aquella que vulnere la conducción de los expedientes judiciales o de los procedimientos administrativos seguidos en forma de juicio, en tanto no hayan causado estado.</w:t>
      </w:r>
    </w:p>
    <w:p w14:paraId="108C0495"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66988365"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En ese sentido, los Lineamientos Generales vigentes a la fecha de la solicitud prevén lo siguiente:</w:t>
      </w:r>
    </w:p>
    <w:p w14:paraId="03F5AD89" w14:textId="77777777" w:rsidR="007A2C6F" w:rsidRPr="00BC7456" w:rsidRDefault="007A2C6F">
      <w:pPr>
        <w:spacing w:line="276" w:lineRule="auto"/>
        <w:jc w:val="both"/>
        <w:rPr>
          <w:rFonts w:ascii="Palatino Linotype" w:eastAsia="Palatino Linotype" w:hAnsi="Palatino Linotype" w:cs="Palatino Linotype"/>
          <w:color w:val="0D0D0D"/>
          <w:sz w:val="22"/>
          <w:szCs w:val="22"/>
        </w:rPr>
      </w:pPr>
    </w:p>
    <w:p w14:paraId="030F0D35"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b/>
          <w:i/>
          <w:color w:val="0D0D0D"/>
          <w:sz w:val="22"/>
          <w:szCs w:val="22"/>
        </w:rPr>
        <w:t>“Trigésimo.</w:t>
      </w:r>
      <w:r w:rsidRPr="00BC7456">
        <w:rPr>
          <w:rFonts w:ascii="Palatino Linotype" w:eastAsia="Palatino Linotype" w:hAnsi="Palatino Linotype" w:cs="Palatino Linotype"/>
          <w:i/>
          <w:color w:val="0D0D0D"/>
          <w:sz w:val="22"/>
          <w:szCs w:val="22"/>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737A52B6" w14:textId="77777777" w:rsidR="007A2C6F" w:rsidRPr="00BC7456" w:rsidRDefault="007A2C6F">
      <w:pPr>
        <w:spacing w:line="276" w:lineRule="auto"/>
        <w:ind w:left="567" w:right="567"/>
        <w:jc w:val="both"/>
        <w:rPr>
          <w:rFonts w:ascii="Palatino Linotype" w:eastAsia="Palatino Linotype" w:hAnsi="Palatino Linotype" w:cs="Palatino Linotype"/>
          <w:i/>
          <w:color w:val="0D0D0D"/>
          <w:sz w:val="22"/>
          <w:szCs w:val="22"/>
        </w:rPr>
      </w:pPr>
    </w:p>
    <w:p w14:paraId="36C4139F"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b/>
          <w:i/>
          <w:color w:val="0D0D0D"/>
          <w:sz w:val="22"/>
          <w:szCs w:val="22"/>
        </w:rPr>
        <w:t>I.</w:t>
      </w:r>
      <w:r w:rsidRPr="00BC7456">
        <w:rPr>
          <w:rFonts w:ascii="Palatino Linotype" w:eastAsia="Palatino Linotype" w:hAnsi="Palatino Linotype" w:cs="Palatino Linotype"/>
          <w:i/>
          <w:color w:val="0D0D0D"/>
          <w:sz w:val="22"/>
          <w:szCs w:val="22"/>
        </w:rPr>
        <w:t xml:space="preserve"> La existencia de un juicio o procedimiento administrativo materialmente jurisdiccional, que se encuentre en trámite, y </w:t>
      </w:r>
    </w:p>
    <w:p w14:paraId="1B317CC7" w14:textId="77777777" w:rsidR="007A2C6F" w:rsidRPr="00BC7456" w:rsidRDefault="007A2C6F">
      <w:pPr>
        <w:spacing w:line="276" w:lineRule="auto"/>
        <w:ind w:left="567" w:right="567"/>
        <w:jc w:val="both"/>
        <w:rPr>
          <w:rFonts w:ascii="Palatino Linotype" w:eastAsia="Palatino Linotype" w:hAnsi="Palatino Linotype" w:cs="Palatino Linotype"/>
          <w:i/>
          <w:color w:val="0D0D0D"/>
          <w:sz w:val="22"/>
          <w:szCs w:val="22"/>
        </w:rPr>
      </w:pPr>
    </w:p>
    <w:p w14:paraId="548C92BE"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b/>
          <w:i/>
          <w:color w:val="0D0D0D"/>
          <w:sz w:val="22"/>
          <w:szCs w:val="22"/>
        </w:rPr>
        <w:t>II.</w:t>
      </w:r>
      <w:r w:rsidRPr="00BC7456">
        <w:rPr>
          <w:rFonts w:ascii="Palatino Linotype" w:eastAsia="Palatino Linotype" w:hAnsi="Palatino Linotype" w:cs="Palatino Linotype"/>
          <w:i/>
          <w:color w:val="0D0D0D"/>
          <w:sz w:val="22"/>
          <w:szCs w:val="22"/>
        </w:rPr>
        <w:t xml:space="preserve"> Que la información solicitada se refiera a actuaciones, diligencias o constancias propias del procedimiento. </w:t>
      </w:r>
    </w:p>
    <w:p w14:paraId="2FE6628F" w14:textId="77777777" w:rsidR="007A2C6F" w:rsidRPr="00BC7456" w:rsidRDefault="007A2C6F">
      <w:pPr>
        <w:spacing w:line="276" w:lineRule="auto"/>
        <w:ind w:left="567" w:right="567"/>
        <w:jc w:val="both"/>
        <w:rPr>
          <w:rFonts w:ascii="Palatino Linotype" w:eastAsia="Palatino Linotype" w:hAnsi="Palatino Linotype" w:cs="Palatino Linotype"/>
          <w:i/>
          <w:color w:val="0D0D0D"/>
          <w:sz w:val="22"/>
          <w:szCs w:val="22"/>
        </w:rPr>
      </w:pPr>
    </w:p>
    <w:p w14:paraId="345FD221"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i/>
          <w:color w:val="0D0D0D"/>
          <w:sz w:val="22"/>
          <w:szCs w:val="22"/>
        </w:rPr>
        <w:t xml:space="preserve">Para los efectos del primer párrafo de este numeral, se considera procedimiento seguido en forma de juicio a aquel formalmente administrativo, pero materialmente jurisdiccional; esto es, en el que concurran los siguientes elementos: </w:t>
      </w:r>
    </w:p>
    <w:p w14:paraId="5B0D0F15" w14:textId="77777777" w:rsidR="007A2C6F" w:rsidRPr="00BC7456" w:rsidRDefault="007A2C6F">
      <w:pPr>
        <w:spacing w:line="276" w:lineRule="auto"/>
        <w:ind w:left="567" w:right="567"/>
        <w:jc w:val="both"/>
        <w:rPr>
          <w:rFonts w:ascii="Palatino Linotype" w:eastAsia="Palatino Linotype" w:hAnsi="Palatino Linotype" w:cs="Palatino Linotype"/>
          <w:i/>
          <w:color w:val="0D0D0D"/>
          <w:sz w:val="22"/>
          <w:szCs w:val="22"/>
        </w:rPr>
      </w:pPr>
    </w:p>
    <w:p w14:paraId="1F088354"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b/>
          <w:i/>
          <w:color w:val="0D0D0D"/>
          <w:sz w:val="22"/>
          <w:szCs w:val="22"/>
        </w:rPr>
        <w:t>1.</w:t>
      </w:r>
      <w:r w:rsidRPr="00BC7456">
        <w:rPr>
          <w:rFonts w:ascii="Palatino Linotype" w:eastAsia="Palatino Linotype" w:hAnsi="Palatino Linotype" w:cs="Palatino Linotype"/>
          <w:i/>
          <w:color w:val="0D0D0D"/>
          <w:sz w:val="22"/>
          <w:szCs w:val="22"/>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24A2FA2B" w14:textId="77777777" w:rsidR="007A2C6F" w:rsidRPr="00BC7456" w:rsidRDefault="007A2C6F">
      <w:pPr>
        <w:spacing w:line="276" w:lineRule="auto"/>
        <w:ind w:left="567" w:right="567"/>
        <w:jc w:val="both"/>
        <w:rPr>
          <w:rFonts w:ascii="Palatino Linotype" w:eastAsia="Palatino Linotype" w:hAnsi="Palatino Linotype" w:cs="Palatino Linotype"/>
          <w:i/>
          <w:color w:val="0D0D0D"/>
          <w:sz w:val="22"/>
          <w:szCs w:val="22"/>
        </w:rPr>
      </w:pPr>
    </w:p>
    <w:p w14:paraId="1B64167F"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b/>
          <w:i/>
          <w:color w:val="0D0D0D"/>
          <w:sz w:val="22"/>
          <w:szCs w:val="22"/>
        </w:rPr>
        <w:t>2.</w:t>
      </w:r>
      <w:r w:rsidRPr="00BC7456">
        <w:rPr>
          <w:rFonts w:ascii="Palatino Linotype" w:eastAsia="Palatino Linotype" w:hAnsi="Palatino Linotype" w:cs="Palatino Linotype"/>
          <w:i/>
          <w:color w:val="0D0D0D"/>
          <w:sz w:val="22"/>
          <w:szCs w:val="22"/>
        </w:rPr>
        <w:t xml:space="preserve"> Que se cumplan las formalidades esenciales del procedimiento. </w:t>
      </w:r>
    </w:p>
    <w:p w14:paraId="69BFB590" w14:textId="77777777" w:rsidR="007A2C6F" w:rsidRPr="00BC7456" w:rsidRDefault="007A2C6F">
      <w:pPr>
        <w:spacing w:line="276" w:lineRule="auto"/>
        <w:ind w:left="567" w:right="567"/>
        <w:jc w:val="both"/>
        <w:rPr>
          <w:rFonts w:ascii="Palatino Linotype" w:eastAsia="Palatino Linotype" w:hAnsi="Palatino Linotype" w:cs="Palatino Linotype"/>
          <w:i/>
          <w:color w:val="0D0D0D"/>
          <w:sz w:val="22"/>
          <w:szCs w:val="22"/>
        </w:rPr>
      </w:pPr>
    </w:p>
    <w:p w14:paraId="7AA554B0"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i/>
          <w:color w:val="0D0D0D"/>
          <w:sz w:val="22"/>
          <w:szCs w:val="22"/>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33AEDC0C"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563C98CB"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De la normatividad citada, se desprende que el supuesto de clasificación invocado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6DBE74D1"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3E94644C" w14:textId="77777777" w:rsidR="007A2C6F" w:rsidRPr="00BC7456" w:rsidRDefault="00BA6AB5">
      <w:pPr>
        <w:numPr>
          <w:ilvl w:val="0"/>
          <w:numId w:val="2"/>
        </w:num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La existencia de un juicio o procedimiento administrativo materialmente jurisdiccional, que se encuentre en trámite, y</w:t>
      </w:r>
    </w:p>
    <w:p w14:paraId="5DD88083"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55C717AD" w14:textId="77777777" w:rsidR="007A2C6F" w:rsidRPr="00BC7456" w:rsidRDefault="00BA6AB5">
      <w:pPr>
        <w:numPr>
          <w:ilvl w:val="0"/>
          <w:numId w:val="2"/>
        </w:num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Que la información solicitada se refiera a actuaciones, diligencias o constancias propias del procedimiento.</w:t>
      </w:r>
    </w:p>
    <w:p w14:paraId="51E42BE0"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39741D06"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Con base en lo expuesto, se advierte que la información susceptible de clasificarse como reservada bajo el supuesto aludido por el sujeto obligado, es aquella cuya difusión vulnere la conducción de los expedientes judiciales o procedimientos administrativos seguidos en forma de juicio, en tanto no hayan causado estado.</w:t>
      </w:r>
    </w:p>
    <w:p w14:paraId="368A3131"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6E8DFF9D"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Por lo cual, se procede analizar cada uno de los requisitos señalados en los Lineamientos Generales vigentes a la fecha de la solicitud, con la finalidad de verificar si se configura la hipótesis de reserva en estudio:</w:t>
      </w:r>
    </w:p>
    <w:p w14:paraId="58940991"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423FF04B"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29F24750"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4EA68847"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65C6D8D1"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1878BFA4" w14:textId="77777777" w:rsidR="007A2C6F" w:rsidRPr="00BC7456" w:rsidRDefault="00BA6AB5">
      <w:pPr>
        <w:numPr>
          <w:ilvl w:val="0"/>
          <w:numId w:val="3"/>
        </w:numPr>
        <w:spacing w:line="360" w:lineRule="auto"/>
        <w:jc w:val="both"/>
        <w:rPr>
          <w:rFonts w:ascii="Palatino Linotype" w:eastAsia="Palatino Linotype" w:hAnsi="Palatino Linotype" w:cs="Palatino Linotype"/>
          <w:b/>
          <w:color w:val="0D0D0D"/>
          <w:sz w:val="22"/>
          <w:szCs w:val="22"/>
        </w:rPr>
      </w:pPr>
      <w:r w:rsidRPr="00BC7456">
        <w:rPr>
          <w:rFonts w:ascii="Palatino Linotype" w:eastAsia="Palatino Linotype" w:hAnsi="Palatino Linotype" w:cs="Palatino Linotype"/>
          <w:b/>
          <w:color w:val="0D0D0D"/>
          <w:sz w:val="22"/>
          <w:szCs w:val="22"/>
        </w:rPr>
        <w:lastRenderedPageBreak/>
        <w:t>La existencia de un juicio o procedimiento administrativo materialmente jurisdiccional, que se encuentre en trámite.</w:t>
      </w:r>
    </w:p>
    <w:p w14:paraId="6B5CB7C3" w14:textId="77777777" w:rsidR="007A2C6F" w:rsidRPr="00BC7456" w:rsidRDefault="007A2C6F">
      <w:pPr>
        <w:spacing w:line="360" w:lineRule="auto"/>
        <w:jc w:val="both"/>
        <w:rPr>
          <w:rFonts w:ascii="Palatino Linotype" w:eastAsia="Palatino Linotype" w:hAnsi="Palatino Linotype" w:cs="Palatino Linotype"/>
          <w:b/>
          <w:color w:val="0D0D0D"/>
          <w:sz w:val="22"/>
          <w:szCs w:val="22"/>
        </w:rPr>
      </w:pPr>
    </w:p>
    <w:p w14:paraId="5F02B517"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 xml:space="preserve">Al respecto, en el presente caso, al tratarse de una demanda que derivó en </w:t>
      </w:r>
      <w:proofErr w:type="gramStart"/>
      <w:r w:rsidRPr="00BC7456">
        <w:rPr>
          <w:rFonts w:ascii="Palatino Linotype" w:eastAsia="Palatino Linotype" w:hAnsi="Palatino Linotype" w:cs="Palatino Linotype"/>
          <w:color w:val="0D0D0D"/>
          <w:sz w:val="22"/>
          <w:szCs w:val="22"/>
        </w:rPr>
        <w:t>un controversia</w:t>
      </w:r>
      <w:proofErr w:type="gramEnd"/>
      <w:r w:rsidRPr="00BC7456">
        <w:rPr>
          <w:rFonts w:ascii="Palatino Linotype" w:eastAsia="Palatino Linotype" w:hAnsi="Palatino Linotype" w:cs="Palatino Linotype"/>
          <w:color w:val="0D0D0D"/>
          <w:sz w:val="22"/>
          <w:szCs w:val="22"/>
        </w:rPr>
        <w:t xml:space="preserve"> ante el Tribunal, iniciado por el servidor público en contra del Ayuntamiento de Capulhuac y que se encuentre en trámite, se estaría actualizando el primero de los elementos. </w:t>
      </w:r>
    </w:p>
    <w:p w14:paraId="05EA19F0"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00F1B2DB"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En relación con lo anterior, es menester precisar que para que se trate de un</w:t>
      </w:r>
      <w:r w:rsidRPr="00BC7456">
        <w:rPr>
          <w:rFonts w:ascii="Palatino Linotype" w:eastAsia="Palatino Linotype" w:hAnsi="Palatino Linotype" w:cs="Palatino Linotype"/>
          <w:b/>
          <w:color w:val="0D0D0D"/>
          <w:sz w:val="22"/>
          <w:szCs w:val="22"/>
        </w:rPr>
        <w:t xml:space="preserve"> </w:t>
      </w:r>
      <w:r w:rsidRPr="00BC7456">
        <w:rPr>
          <w:rFonts w:ascii="Palatino Linotype" w:eastAsia="Palatino Linotype" w:hAnsi="Palatino Linotype" w:cs="Palatino Linotype"/>
          <w:color w:val="0D0D0D"/>
          <w:sz w:val="22"/>
          <w:szCs w:val="22"/>
        </w:rPr>
        <w:t xml:space="preserve">juicio o procedimiento administrativo materialmente jurisdiccional, debe cumplirse con lo dispuesto en los Lineamientos Generales vigentes a la fecha de la solicitud, así como lo sostenido por la Segunda Sala de la Suprema Corte de Justicia de la Nación, en la Tesis 2a./J. 22/2003, consistente en que un “procedimiento en forma de juicio”, debe entenderse </w:t>
      </w:r>
      <w:r w:rsidRPr="00BC7456">
        <w:rPr>
          <w:rFonts w:ascii="Palatino Linotype" w:eastAsia="Palatino Linotype" w:hAnsi="Palatino Linotype" w:cs="Palatino Linotype"/>
          <w:i/>
          <w:color w:val="0D0D0D"/>
          <w:sz w:val="22"/>
          <w:szCs w:val="22"/>
        </w:rPr>
        <w:t>lato sensu</w:t>
      </w:r>
      <w:r w:rsidRPr="00BC7456">
        <w:rPr>
          <w:rFonts w:ascii="Palatino Linotype" w:eastAsia="Palatino Linotype" w:hAnsi="Palatino Linotype" w:cs="Palatino Linotype"/>
          <w:color w:val="0D0D0D"/>
          <w:sz w:val="22"/>
          <w:szCs w:val="22"/>
        </w:rPr>
        <w:t>, no únicamente comprendiendo los procedimientos en que la autoridad dirime una controversia entre las partes, sino que deben incluir todos aquellos procedimientos en que una autoridad frente a la particular, prepara su resolución definitiva, aunque sólo sea un trámite para cumplir con la garantía de audiencia,</w:t>
      </w:r>
      <w:r w:rsidRPr="00BC7456">
        <w:rPr>
          <w:rFonts w:ascii="Palatino Linotype" w:eastAsia="Palatino Linotype" w:hAnsi="Palatino Linotype" w:cs="Palatino Linotype"/>
          <w:b/>
          <w:color w:val="0D0D0D"/>
          <w:sz w:val="22"/>
          <w:szCs w:val="22"/>
        </w:rPr>
        <w:t xml:space="preserve"> </w:t>
      </w:r>
      <w:r w:rsidRPr="00BC7456">
        <w:rPr>
          <w:rFonts w:ascii="Palatino Linotype" w:eastAsia="Palatino Linotype" w:hAnsi="Palatino Linotype" w:cs="Palatino Linotype"/>
          <w:color w:val="0D0D0D"/>
          <w:sz w:val="22"/>
          <w:szCs w:val="22"/>
        </w:rPr>
        <w:t>tal como se muestra a continuación:</w:t>
      </w:r>
    </w:p>
    <w:p w14:paraId="5367248B"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36F1D00D"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color w:val="0D0D0D"/>
          <w:sz w:val="22"/>
          <w:szCs w:val="22"/>
        </w:rPr>
        <w:t>“</w:t>
      </w:r>
      <w:r w:rsidRPr="00BC7456">
        <w:rPr>
          <w:rFonts w:ascii="Palatino Linotype" w:eastAsia="Palatino Linotype" w:hAnsi="Palatino Linotype" w:cs="Palatino Linotype"/>
          <w:b/>
          <w:i/>
          <w:color w:val="0D0D0D"/>
          <w:sz w:val="22"/>
          <w:szCs w:val="22"/>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BC7456">
        <w:rPr>
          <w:rFonts w:ascii="Palatino Linotype" w:eastAsia="Palatino Linotype" w:hAnsi="Palatino Linotype" w:cs="Palatino Linotype"/>
          <w:i/>
          <w:color w:val="0D0D0D"/>
          <w:sz w:val="22"/>
          <w:szCs w:val="22"/>
        </w:rPr>
        <w:t xml:space="preserve">La Ley de Amparo establece </w:t>
      </w:r>
      <w:proofErr w:type="gramStart"/>
      <w:r w:rsidRPr="00BC7456">
        <w:rPr>
          <w:rFonts w:ascii="Palatino Linotype" w:eastAsia="Palatino Linotype" w:hAnsi="Palatino Linotype" w:cs="Palatino Linotype"/>
          <w:i/>
          <w:color w:val="0D0D0D"/>
          <w:sz w:val="22"/>
          <w:szCs w:val="22"/>
        </w:rPr>
        <w:t>que</w:t>
      </w:r>
      <w:proofErr w:type="gramEnd"/>
      <w:r w:rsidRPr="00BC7456">
        <w:rPr>
          <w:rFonts w:ascii="Palatino Linotype" w:eastAsia="Palatino Linotype" w:hAnsi="Palatino Linotype" w:cs="Palatino Linotype"/>
          <w:i/>
          <w:color w:val="0D0D0D"/>
          <w:sz w:val="22"/>
          <w:szCs w:val="22"/>
        </w:rPr>
        <w:t xml:space="preserv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w:t>
      </w:r>
      <w:r w:rsidRPr="00BC7456">
        <w:rPr>
          <w:rFonts w:ascii="Palatino Linotype" w:eastAsia="Palatino Linotype" w:hAnsi="Palatino Linotype" w:cs="Palatino Linotype"/>
          <w:i/>
          <w:color w:val="0D0D0D"/>
          <w:sz w:val="22"/>
          <w:szCs w:val="22"/>
        </w:rPr>
        <w:lastRenderedPageBreak/>
        <w:t xml:space="preserve">de asegurar la </w:t>
      </w:r>
      <w:proofErr w:type="spellStart"/>
      <w:r w:rsidRPr="00BC7456">
        <w:rPr>
          <w:rFonts w:ascii="Palatino Linotype" w:eastAsia="Palatino Linotype" w:hAnsi="Palatino Linotype" w:cs="Palatino Linotype"/>
          <w:i/>
          <w:color w:val="0D0D0D"/>
          <w:sz w:val="22"/>
          <w:szCs w:val="22"/>
        </w:rPr>
        <w:t>expeditez</w:t>
      </w:r>
      <w:proofErr w:type="spellEnd"/>
      <w:r w:rsidRPr="00BC7456">
        <w:rPr>
          <w:rFonts w:ascii="Palatino Linotype" w:eastAsia="Palatino Linotype" w:hAnsi="Palatino Linotype" w:cs="Palatino Linotype"/>
          <w:i/>
          <w:color w:val="0D0D0D"/>
          <w:sz w:val="22"/>
          <w:szCs w:val="22"/>
        </w:rPr>
        <w:t xml:space="preserve"> de las diligencias procedimentales. Tal es la estructura que dicha Ley adopta en el amparo directo, así como en los procedimientos de ejecución y en los procedimientos de remate, como lo establece en sus artículos </w:t>
      </w:r>
      <w:hyperlink r:id="rId10">
        <w:r w:rsidRPr="00BC7456">
          <w:rPr>
            <w:i/>
            <w:color w:val="0D0D0D"/>
            <w:sz w:val="22"/>
            <w:szCs w:val="22"/>
          </w:rPr>
          <w:t>158</w:t>
        </w:r>
      </w:hyperlink>
      <w:r w:rsidRPr="00BC7456">
        <w:rPr>
          <w:rFonts w:ascii="Palatino Linotype" w:eastAsia="Palatino Linotype" w:hAnsi="Palatino Linotype" w:cs="Palatino Linotype"/>
          <w:i/>
          <w:color w:val="0D0D0D"/>
          <w:sz w:val="22"/>
          <w:szCs w:val="22"/>
        </w:rPr>
        <w:t xml:space="preserve"> y </w:t>
      </w:r>
      <w:hyperlink r:id="rId11">
        <w:r w:rsidRPr="00BC7456">
          <w:rPr>
            <w:i/>
            <w:color w:val="0D0D0D"/>
            <w:sz w:val="22"/>
            <w:szCs w:val="22"/>
          </w:rPr>
          <w:t>114, fracción III</w:t>
        </w:r>
      </w:hyperlink>
      <w:r w:rsidRPr="00BC7456">
        <w:rPr>
          <w:rFonts w:ascii="Palatino Linotype" w:eastAsia="Palatino Linotype" w:hAnsi="Palatino Linotype" w:cs="Palatino Linotype"/>
          <w:i/>
          <w:color w:val="0D0D0D"/>
          <w:sz w:val="22"/>
          <w:szCs w:val="22"/>
        </w:rPr>
        <w:t>,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p>
    <w:p w14:paraId="75C742B5" w14:textId="77777777" w:rsidR="007A2C6F" w:rsidRPr="00BC7456" w:rsidRDefault="007A2C6F">
      <w:pPr>
        <w:spacing w:line="360" w:lineRule="auto"/>
        <w:jc w:val="both"/>
        <w:rPr>
          <w:rFonts w:ascii="Palatino Linotype" w:eastAsia="Palatino Linotype" w:hAnsi="Palatino Linotype" w:cs="Palatino Linotype"/>
          <w:b/>
          <w:color w:val="0D0D0D"/>
          <w:sz w:val="22"/>
          <w:szCs w:val="22"/>
        </w:rPr>
      </w:pPr>
    </w:p>
    <w:p w14:paraId="78571E99"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Ahora bien, es necesario señalar que, respecto a las formalidades esenciales del procedimiento, el Pleno de la Suprema de Corte de Justicia de la Nación mediante tesis jurisprudencial P./J.47/95, publicada en el Semanario Judicial de la Federación y su Gaceta, novena época, t. II, diciembre de 1995, página 133; ha sostenido:</w:t>
      </w:r>
    </w:p>
    <w:p w14:paraId="413DD5BC"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7C3D5467" w14:textId="77777777" w:rsidR="007A2C6F" w:rsidRPr="00BC7456" w:rsidRDefault="00BA6AB5">
      <w:pPr>
        <w:spacing w:line="276" w:lineRule="auto"/>
        <w:ind w:left="567" w:right="567"/>
        <w:jc w:val="both"/>
        <w:rPr>
          <w:rFonts w:ascii="Palatino Linotype" w:eastAsia="Palatino Linotype" w:hAnsi="Palatino Linotype" w:cs="Palatino Linotype"/>
          <w:i/>
          <w:color w:val="0D0D0D"/>
          <w:sz w:val="22"/>
          <w:szCs w:val="22"/>
        </w:rPr>
      </w:pPr>
      <w:r w:rsidRPr="00BC7456">
        <w:rPr>
          <w:rFonts w:ascii="Palatino Linotype" w:eastAsia="Palatino Linotype" w:hAnsi="Palatino Linotype" w:cs="Palatino Linotype"/>
          <w:b/>
          <w:i/>
          <w:color w:val="0D0D0D"/>
          <w:sz w:val="22"/>
          <w:szCs w:val="22"/>
        </w:rPr>
        <w:t xml:space="preserve">“FORMALIDADES ESENCIALES DEL PROCEDIMIENTO. SON LAS QUE GARANTIZAN UNA ADECUADA Y OPORTUNA DEFENSA PREVIA AL ACTO PRIVATIVO. </w:t>
      </w:r>
      <w:r w:rsidRPr="00BC7456">
        <w:rPr>
          <w:rFonts w:ascii="Palatino Linotype" w:eastAsia="Palatino Linotype" w:hAnsi="Palatino Linotype" w:cs="Palatino Linotype"/>
          <w:i/>
          <w:color w:val="0D0D0D"/>
          <w:sz w:val="22"/>
          <w:szCs w:val="22"/>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57DBDBB8"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2888F5B1"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Del criterio jurisprudencial citado, se desprende que las formalidades esenciales del procedimiento que exige el párrafo segundo del artículo 14 de la Constitución Política de los Estados Unidos Mexicanos para que se respete la garantía de audiencia, son las que resultan necesarias para garantizar la defensa adecuada antes del acto de privación y que, de manera genérica, se traducen en los siguientes requisitos:</w:t>
      </w:r>
    </w:p>
    <w:p w14:paraId="29464498"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07C24507" w14:textId="77777777" w:rsidR="007A2C6F" w:rsidRPr="00BC7456" w:rsidRDefault="00BA6AB5">
      <w:pPr>
        <w:numPr>
          <w:ilvl w:val="0"/>
          <w:numId w:val="4"/>
        </w:numPr>
        <w:spacing w:line="360" w:lineRule="auto"/>
        <w:ind w:left="851"/>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La notificación del inicio del procedimiento y sus consecuencias;</w:t>
      </w:r>
    </w:p>
    <w:p w14:paraId="42DECDCC" w14:textId="77777777" w:rsidR="007A2C6F" w:rsidRPr="00BC7456" w:rsidRDefault="00BA6AB5">
      <w:pPr>
        <w:numPr>
          <w:ilvl w:val="0"/>
          <w:numId w:val="4"/>
        </w:numPr>
        <w:spacing w:line="360" w:lineRule="auto"/>
        <w:ind w:left="851"/>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 xml:space="preserve">La oportunidad de ofrecer y desahogar pruebas; </w:t>
      </w:r>
    </w:p>
    <w:p w14:paraId="7889E40C" w14:textId="77777777" w:rsidR="007A2C6F" w:rsidRPr="00BC7456" w:rsidRDefault="00BA6AB5">
      <w:pPr>
        <w:numPr>
          <w:ilvl w:val="0"/>
          <w:numId w:val="4"/>
        </w:numPr>
        <w:spacing w:line="360" w:lineRule="auto"/>
        <w:ind w:left="851"/>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La oportunidad de alegar; y</w:t>
      </w:r>
    </w:p>
    <w:p w14:paraId="5CFE9180" w14:textId="77777777" w:rsidR="007A2C6F" w:rsidRPr="00BC7456" w:rsidRDefault="00BA6AB5">
      <w:pPr>
        <w:numPr>
          <w:ilvl w:val="0"/>
          <w:numId w:val="4"/>
        </w:numPr>
        <w:spacing w:line="360" w:lineRule="auto"/>
        <w:ind w:left="851"/>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El dictado de una resolución que dirima las cuestiones debatidas.</w:t>
      </w:r>
    </w:p>
    <w:p w14:paraId="2D20C021"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5C7789A7"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 xml:space="preserve">Por lo que hace a la notificación del inicio del procedimiento y sus consecuencias, es la etapa en la que se hace del concomimiento de una de las partes que se ha instaurado un procedimiento en su contra; por lo que hace la oportunidad de ofrecer y desahogar pruebas, es la instancia en la que se da a las partes de presentar aquellos elementos de convicción que acrediten sus pretensiones; en relación con la fase de alegar, es aquella del proceso en que las partes presentan las manifestaciones que a su derecho convenga; y finalmente, por lo que hace al dictado de la resolución, versa en la determinación de la autoridad competente de las cuestiones debatidas. </w:t>
      </w:r>
    </w:p>
    <w:p w14:paraId="70E8B96F" w14:textId="77777777" w:rsidR="007A2C6F" w:rsidRPr="00BC7456" w:rsidRDefault="007A2C6F">
      <w:pPr>
        <w:spacing w:line="360" w:lineRule="auto"/>
        <w:jc w:val="both"/>
        <w:rPr>
          <w:rFonts w:ascii="Palatino Linotype" w:eastAsia="Palatino Linotype" w:hAnsi="Palatino Linotype" w:cs="Palatino Linotype"/>
          <w:color w:val="0D0D0D"/>
          <w:sz w:val="22"/>
          <w:szCs w:val="22"/>
        </w:rPr>
      </w:pPr>
    </w:p>
    <w:p w14:paraId="2B1EDB80" w14:textId="77777777" w:rsidR="007A2C6F" w:rsidRPr="00BC7456" w:rsidRDefault="00BA6AB5">
      <w:pPr>
        <w:numPr>
          <w:ilvl w:val="0"/>
          <w:numId w:val="3"/>
        </w:numPr>
        <w:pBdr>
          <w:top w:val="nil"/>
          <w:left w:val="nil"/>
          <w:bottom w:val="nil"/>
          <w:right w:val="nil"/>
          <w:between w:val="nil"/>
        </w:pBdr>
        <w:spacing w:line="360" w:lineRule="auto"/>
        <w:rPr>
          <w:rFonts w:ascii="Palatino Linotype" w:eastAsia="Palatino Linotype" w:hAnsi="Palatino Linotype" w:cs="Palatino Linotype"/>
          <w:b/>
          <w:color w:val="0D0D0D"/>
          <w:sz w:val="22"/>
          <w:szCs w:val="22"/>
        </w:rPr>
      </w:pPr>
      <w:r w:rsidRPr="00BC7456">
        <w:rPr>
          <w:rFonts w:ascii="Palatino Linotype" w:eastAsia="Palatino Linotype" w:hAnsi="Palatino Linotype" w:cs="Palatino Linotype"/>
          <w:b/>
          <w:color w:val="0D0D0D"/>
          <w:sz w:val="22"/>
          <w:szCs w:val="22"/>
        </w:rPr>
        <w:t>Que la información solicitada se refiera a actuaciones, diligencias o constancias propias del procedimiento.</w:t>
      </w:r>
    </w:p>
    <w:p w14:paraId="59D780DC"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 xml:space="preserve"> </w:t>
      </w:r>
    </w:p>
    <w:p w14:paraId="3B775D13" w14:textId="77777777" w:rsidR="007A2C6F" w:rsidRPr="00BC7456" w:rsidRDefault="00BA6AB5">
      <w:pPr>
        <w:spacing w:line="360" w:lineRule="auto"/>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 xml:space="preserve">Ahora bien, por lo que hace a que la información se refiera a actuaciones, diligencias o constancias propias del procedimiento, si las demandas laborales son el documento base de </w:t>
      </w:r>
      <w:r w:rsidRPr="00BC7456">
        <w:rPr>
          <w:rFonts w:ascii="Palatino Linotype" w:eastAsia="Palatino Linotype" w:hAnsi="Palatino Linotype" w:cs="Palatino Linotype"/>
          <w:color w:val="0D0D0D"/>
          <w:sz w:val="22"/>
          <w:szCs w:val="22"/>
        </w:rPr>
        <w:lastRenderedPageBreak/>
        <w:t xml:space="preserve">acción para el inicio de un juicio laboral, se colige que, son constancias propias del procedimiento, por lo </w:t>
      </w:r>
      <w:proofErr w:type="gramStart"/>
      <w:r w:rsidRPr="00BC7456">
        <w:rPr>
          <w:rFonts w:ascii="Palatino Linotype" w:eastAsia="Palatino Linotype" w:hAnsi="Palatino Linotype" w:cs="Palatino Linotype"/>
          <w:color w:val="0D0D0D"/>
          <w:sz w:val="22"/>
          <w:szCs w:val="22"/>
        </w:rPr>
        <w:t>tanto</w:t>
      </w:r>
      <w:proofErr w:type="gramEnd"/>
      <w:r w:rsidRPr="00BC7456">
        <w:rPr>
          <w:rFonts w:ascii="Palatino Linotype" w:eastAsia="Palatino Linotype" w:hAnsi="Palatino Linotype" w:cs="Palatino Linotype"/>
          <w:color w:val="0D0D0D"/>
          <w:sz w:val="22"/>
          <w:szCs w:val="22"/>
        </w:rPr>
        <w:t xml:space="preserve"> se actualizaría la segunda hipótesis. </w:t>
      </w:r>
    </w:p>
    <w:p w14:paraId="6D3A83FB" w14:textId="77777777" w:rsidR="007A2C6F" w:rsidRPr="00BC7456" w:rsidRDefault="007A2C6F">
      <w:pPr>
        <w:spacing w:line="360" w:lineRule="auto"/>
        <w:ind w:right="49"/>
        <w:jc w:val="both"/>
        <w:rPr>
          <w:rFonts w:ascii="Palatino Linotype" w:eastAsia="Palatino Linotype" w:hAnsi="Palatino Linotype" w:cs="Palatino Linotype"/>
          <w:color w:val="0D0D0D"/>
          <w:sz w:val="22"/>
          <w:szCs w:val="22"/>
        </w:rPr>
      </w:pPr>
    </w:p>
    <w:p w14:paraId="78E62B77" w14:textId="77777777" w:rsidR="007A2C6F" w:rsidRPr="00BC7456" w:rsidRDefault="00BA6AB5">
      <w:pPr>
        <w:spacing w:line="360" w:lineRule="auto"/>
        <w:ind w:right="49"/>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Con base en lo anterior, para el caso de que existan demandas que hayan derivado en un procedimiento en trámite, son susceptible de clasificarse como reservada en términos de la fracción VIII del artículo 140 de la Ley de Transparencia de la Entidad, en el supuesto de que cuya difusión vulnere la conducción de los expedientes judiciales o procedimientos administrativos seguidos en forma de juicio, en tanto no hayan causado estado.</w:t>
      </w:r>
    </w:p>
    <w:p w14:paraId="311E7B07" w14:textId="77777777" w:rsidR="007A2C6F" w:rsidRPr="00BC7456" w:rsidRDefault="007A2C6F">
      <w:pPr>
        <w:spacing w:line="360" w:lineRule="auto"/>
        <w:ind w:right="49"/>
        <w:jc w:val="both"/>
        <w:rPr>
          <w:rFonts w:ascii="Palatino Linotype" w:eastAsia="Palatino Linotype" w:hAnsi="Palatino Linotype" w:cs="Palatino Linotype"/>
          <w:color w:val="0D0D0D"/>
          <w:sz w:val="22"/>
          <w:szCs w:val="22"/>
        </w:rPr>
      </w:pPr>
    </w:p>
    <w:p w14:paraId="79628CB0" w14:textId="77777777" w:rsidR="007A2C6F" w:rsidRPr="00BC7456" w:rsidRDefault="00BA6AB5">
      <w:pPr>
        <w:spacing w:line="360" w:lineRule="auto"/>
        <w:ind w:right="49"/>
        <w:jc w:val="both"/>
        <w:rPr>
          <w:rFonts w:ascii="Palatino Linotype" w:eastAsia="Palatino Linotype" w:hAnsi="Palatino Linotype" w:cs="Palatino Linotype"/>
          <w:color w:val="0D0D0D"/>
          <w:sz w:val="22"/>
          <w:szCs w:val="22"/>
        </w:rPr>
      </w:pPr>
      <w:r w:rsidRPr="00BC7456">
        <w:rPr>
          <w:rFonts w:ascii="Palatino Linotype" w:eastAsia="Palatino Linotype" w:hAnsi="Palatino Linotype" w:cs="Palatino Linotype"/>
          <w:color w:val="0D0D0D"/>
          <w:sz w:val="22"/>
          <w:szCs w:val="22"/>
        </w:rPr>
        <w:t xml:space="preserve">Por el contrario, para el caso de que las demandas ya cuenten con un laudo, deberán ser proporcionadas en versión pública, en atención al Considerando Quinto de la Versión Pública de la presente Resolución. </w:t>
      </w:r>
    </w:p>
    <w:p w14:paraId="54BC3146"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52BB35A7"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En lo que respecta a los </w:t>
      </w:r>
      <w:r w:rsidRPr="00BC7456">
        <w:rPr>
          <w:rFonts w:ascii="Palatino Linotype" w:eastAsia="Palatino Linotype" w:hAnsi="Palatino Linotype" w:cs="Palatino Linotype"/>
          <w:b/>
          <w:sz w:val="22"/>
          <w:szCs w:val="22"/>
          <w:u w:val="single"/>
        </w:rPr>
        <w:t>laudos laborales y los montos</w:t>
      </w:r>
      <w:r w:rsidRPr="00BC7456">
        <w:rPr>
          <w:rFonts w:ascii="Palatino Linotype" w:eastAsia="Palatino Linotype" w:hAnsi="Palatino Linotype" w:cs="Palatino Linotype"/>
          <w:sz w:val="22"/>
          <w:szCs w:val="22"/>
        </w:rPr>
        <w:t>, en principio, es de mencionar que, el monto se encuentra establecido dentro del laudo, por lo que, el laudo laboral da cuenta de ambos requerimientos.</w:t>
      </w:r>
    </w:p>
    <w:p w14:paraId="73061EBB"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4CD5EEAF"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Acotado lo anterior, resulta procedente el estudio del marco normativo que rige el actuar del Sujeto Obligado, a efecto de determinar si existe facultad, funciones y/o atribución que lo constriña a poseer la información, por ello, se traen a colación los artículos 60 de la Ley Orgánica a de la Administración Pública del Estado de México, 1, 3, 7, 19, 20, 21, 22 y 25 del Reglamento Interior del Tribunal Estatal de Conciliación y Arbitraje que disponen:</w:t>
      </w:r>
    </w:p>
    <w:p w14:paraId="46328811"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1B9ABB83" w14:textId="77777777" w:rsidR="007A2C6F" w:rsidRPr="00BC7456" w:rsidRDefault="00BA6AB5">
      <w:pPr>
        <w:ind w:left="567" w:right="567"/>
        <w:jc w:val="center"/>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b/>
          <w:i/>
          <w:sz w:val="22"/>
          <w:szCs w:val="22"/>
        </w:rPr>
        <w:t>“Ley Orgánica a de la Administración Pública del Estado de México</w:t>
      </w:r>
    </w:p>
    <w:p w14:paraId="1A184112" w14:textId="77777777" w:rsidR="007A2C6F" w:rsidRPr="00BC7456" w:rsidRDefault="007A2C6F">
      <w:pPr>
        <w:ind w:left="567" w:right="567"/>
        <w:jc w:val="both"/>
        <w:rPr>
          <w:rFonts w:ascii="Palatino Linotype" w:eastAsia="Palatino Linotype" w:hAnsi="Palatino Linotype" w:cs="Palatino Linotype"/>
          <w:i/>
          <w:sz w:val="22"/>
          <w:szCs w:val="22"/>
        </w:rPr>
      </w:pPr>
    </w:p>
    <w:p w14:paraId="2F851706"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 xml:space="preserve">Artículo 60. </w:t>
      </w:r>
      <w:r w:rsidRPr="00BC7456">
        <w:rPr>
          <w:rFonts w:ascii="Palatino Linotype" w:eastAsia="Palatino Linotype" w:hAnsi="Palatino Linotype" w:cs="Palatino Linotype"/>
          <w:i/>
          <w:sz w:val="22"/>
          <w:szCs w:val="22"/>
        </w:rPr>
        <w:t xml:space="preserve">Para resolver los conflictos que se presenten en las relaciones laborales entre los Poderes Públicos del Estado y los Municipios, tribunales, organismos descentralizados, fideicomisos de carácter municipal y los órganos autónomos que sus leyes de creación así </w:t>
      </w:r>
      <w:r w:rsidRPr="00BC7456">
        <w:rPr>
          <w:rFonts w:ascii="Palatino Linotype" w:eastAsia="Palatino Linotype" w:hAnsi="Palatino Linotype" w:cs="Palatino Linotype"/>
          <w:i/>
          <w:sz w:val="22"/>
          <w:szCs w:val="22"/>
        </w:rPr>
        <w:lastRenderedPageBreak/>
        <w:t xml:space="preserve">lo determinen y sus respectivas personas servidoras públicas, y entre la Administración Pública del Estado y Municipios y los particulares, </w:t>
      </w:r>
      <w:r w:rsidRPr="00BC7456">
        <w:rPr>
          <w:rFonts w:ascii="Palatino Linotype" w:eastAsia="Palatino Linotype" w:hAnsi="Palatino Linotype" w:cs="Palatino Linotype"/>
          <w:b/>
          <w:i/>
          <w:sz w:val="22"/>
          <w:szCs w:val="22"/>
        </w:rPr>
        <w:t>existirán un Tribunal de Justicia Administrativa y un Tribunal Estatal de Conciliación y Arbitraje</w:t>
      </w:r>
      <w:r w:rsidRPr="00BC7456">
        <w:rPr>
          <w:rFonts w:ascii="Palatino Linotype" w:eastAsia="Palatino Linotype" w:hAnsi="Palatino Linotype" w:cs="Palatino Linotype"/>
          <w:i/>
          <w:sz w:val="22"/>
          <w:szCs w:val="22"/>
        </w:rPr>
        <w:t>.</w:t>
      </w:r>
    </w:p>
    <w:p w14:paraId="1FD0FF99" w14:textId="77777777" w:rsidR="007A2C6F" w:rsidRPr="00BC7456" w:rsidRDefault="007A2C6F">
      <w:pPr>
        <w:ind w:left="567" w:right="567"/>
        <w:jc w:val="both"/>
        <w:rPr>
          <w:rFonts w:ascii="Palatino Linotype" w:eastAsia="Palatino Linotype" w:hAnsi="Palatino Linotype" w:cs="Palatino Linotype"/>
          <w:i/>
          <w:sz w:val="22"/>
          <w:szCs w:val="22"/>
        </w:rPr>
      </w:pPr>
    </w:p>
    <w:p w14:paraId="2FEA4FD3" w14:textId="77777777" w:rsidR="007A2C6F" w:rsidRPr="00BC7456" w:rsidRDefault="007A2C6F">
      <w:pPr>
        <w:ind w:left="567" w:right="567"/>
        <w:jc w:val="both"/>
        <w:rPr>
          <w:rFonts w:ascii="Palatino Linotype" w:eastAsia="Palatino Linotype" w:hAnsi="Palatino Linotype" w:cs="Palatino Linotype"/>
          <w:i/>
          <w:sz w:val="22"/>
          <w:szCs w:val="22"/>
        </w:rPr>
      </w:pPr>
    </w:p>
    <w:p w14:paraId="4B0510D1" w14:textId="77777777" w:rsidR="007A2C6F" w:rsidRPr="00BC7456" w:rsidRDefault="00BA6AB5">
      <w:pPr>
        <w:ind w:left="567" w:right="567"/>
        <w:jc w:val="center"/>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b/>
          <w:i/>
          <w:sz w:val="22"/>
          <w:szCs w:val="22"/>
        </w:rPr>
        <w:t>Reglamento Interior del Tribunal Estatal de Conciliación y Arbitraje</w:t>
      </w:r>
    </w:p>
    <w:p w14:paraId="1C63007D" w14:textId="77777777" w:rsidR="007A2C6F" w:rsidRPr="00BC7456" w:rsidRDefault="007A2C6F">
      <w:pPr>
        <w:ind w:left="567" w:right="567"/>
        <w:jc w:val="both"/>
        <w:rPr>
          <w:rFonts w:ascii="Palatino Linotype" w:eastAsia="Palatino Linotype" w:hAnsi="Palatino Linotype" w:cs="Palatino Linotype"/>
          <w:i/>
          <w:sz w:val="22"/>
          <w:szCs w:val="22"/>
        </w:rPr>
      </w:pPr>
    </w:p>
    <w:p w14:paraId="1D1677BB"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1.-</w:t>
      </w:r>
      <w:r w:rsidRPr="00BC7456">
        <w:rPr>
          <w:rFonts w:ascii="Palatino Linotype" w:eastAsia="Palatino Linotype" w:hAnsi="Palatino Linotype" w:cs="Palatino Linotype"/>
          <w:i/>
          <w:sz w:val="22"/>
          <w:szCs w:val="22"/>
        </w:rPr>
        <w:t xml:space="preserve"> El presente Reglamento tiene por objeto regular la estructura, organización, facultades y obligaciones legales del Tribunal Estatal de Conciliación y Arbitraje, así como de las Salas Auxiliares y de los asuntos que se tramitan ante los mismos.</w:t>
      </w:r>
    </w:p>
    <w:p w14:paraId="01FBFCE1" w14:textId="77777777" w:rsidR="007A2C6F" w:rsidRPr="00BC7456" w:rsidRDefault="007A2C6F">
      <w:pPr>
        <w:ind w:left="567" w:right="567"/>
        <w:jc w:val="both"/>
        <w:rPr>
          <w:rFonts w:ascii="Palatino Linotype" w:eastAsia="Palatino Linotype" w:hAnsi="Palatino Linotype" w:cs="Palatino Linotype"/>
          <w:i/>
          <w:sz w:val="22"/>
          <w:szCs w:val="22"/>
        </w:rPr>
      </w:pPr>
    </w:p>
    <w:p w14:paraId="3B210334"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3.-</w:t>
      </w:r>
      <w:r w:rsidRPr="00BC7456">
        <w:rPr>
          <w:rFonts w:ascii="Palatino Linotype" w:eastAsia="Palatino Linotype" w:hAnsi="Palatino Linotype" w:cs="Palatino Linotype"/>
          <w:i/>
          <w:sz w:val="22"/>
          <w:szCs w:val="22"/>
        </w:rPr>
        <w:t xml:space="preserve"> Para los efectos de este Reglamento Interior, se entiende por:</w:t>
      </w:r>
    </w:p>
    <w:p w14:paraId="7C84B5F6"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0A45879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IV. Salas:</w:t>
      </w:r>
      <w:r w:rsidRPr="00BC7456">
        <w:rPr>
          <w:rFonts w:ascii="Palatino Linotype" w:eastAsia="Palatino Linotype" w:hAnsi="Palatino Linotype" w:cs="Palatino Linotype"/>
          <w:i/>
          <w:sz w:val="22"/>
          <w:szCs w:val="22"/>
        </w:rPr>
        <w:t xml:space="preserve"> a las Salas Auxiliares del Tribunal Estatal de Conciliación y Arbitraje;</w:t>
      </w:r>
    </w:p>
    <w:p w14:paraId="286EA06A" w14:textId="77777777" w:rsidR="007A2C6F" w:rsidRPr="00BC7456" w:rsidRDefault="007A2C6F">
      <w:pPr>
        <w:ind w:left="567" w:right="567"/>
        <w:jc w:val="both"/>
        <w:rPr>
          <w:rFonts w:ascii="Palatino Linotype" w:eastAsia="Palatino Linotype" w:hAnsi="Palatino Linotype" w:cs="Palatino Linotype"/>
          <w:i/>
          <w:sz w:val="22"/>
          <w:szCs w:val="22"/>
        </w:rPr>
      </w:pPr>
    </w:p>
    <w:p w14:paraId="370CDB13" w14:textId="77777777" w:rsidR="007A2C6F" w:rsidRPr="00BC7456" w:rsidRDefault="00BA6AB5">
      <w:pPr>
        <w:ind w:left="567" w:right="567"/>
        <w:jc w:val="both"/>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b/>
          <w:i/>
          <w:sz w:val="22"/>
          <w:szCs w:val="22"/>
        </w:rPr>
        <w:t>Artículo 7.-</w:t>
      </w:r>
      <w:r w:rsidRPr="00BC7456">
        <w:rPr>
          <w:rFonts w:ascii="Palatino Linotype" w:eastAsia="Palatino Linotype" w:hAnsi="Palatino Linotype" w:cs="Palatino Linotype"/>
          <w:i/>
          <w:sz w:val="22"/>
          <w:szCs w:val="22"/>
        </w:rPr>
        <w:t xml:space="preserve"> El Tribunal y las Salas contarán con los servidores públicos y unidades administrativas que sean necesarios y que el presupuesto de egresos permita, como son: A). </w:t>
      </w:r>
      <w:r w:rsidRPr="00BC7456">
        <w:rPr>
          <w:rFonts w:ascii="Palatino Linotype" w:eastAsia="Palatino Linotype" w:hAnsi="Palatino Linotype" w:cs="Palatino Linotype"/>
          <w:b/>
          <w:i/>
          <w:sz w:val="22"/>
          <w:szCs w:val="22"/>
        </w:rPr>
        <w:t xml:space="preserve">PARA EL TRIBUNAL: </w:t>
      </w:r>
    </w:p>
    <w:p w14:paraId="033D3635"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 Pleno del Tribunal; </w:t>
      </w:r>
    </w:p>
    <w:p w14:paraId="5E553B9C"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w:t>
      </w:r>
    </w:p>
    <w:p w14:paraId="06DCBDE6"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III. </w:t>
      </w:r>
      <w:proofErr w:type="gramStart"/>
      <w:r w:rsidRPr="00BC7456">
        <w:rPr>
          <w:rFonts w:ascii="Palatino Linotype" w:eastAsia="Palatino Linotype" w:hAnsi="Palatino Linotype" w:cs="Palatino Linotype"/>
          <w:i/>
          <w:sz w:val="22"/>
          <w:szCs w:val="22"/>
        </w:rPr>
        <w:t>Secretarios Generales</w:t>
      </w:r>
      <w:proofErr w:type="gramEnd"/>
      <w:r w:rsidRPr="00BC7456">
        <w:rPr>
          <w:rFonts w:ascii="Palatino Linotype" w:eastAsia="Palatino Linotype" w:hAnsi="Palatino Linotype" w:cs="Palatino Linotype"/>
          <w:i/>
          <w:sz w:val="22"/>
          <w:szCs w:val="22"/>
        </w:rPr>
        <w:t xml:space="preserve">; </w:t>
      </w:r>
    </w:p>
    <w:p w14:paraId="5D6DCC16"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Auxiliares; </w:t>
      </w:r>
    </w:p>
    <w:p w14:paraId="583B5649"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de Acuerdos; </w:t>
      </w:r>
    </w:p>
    <w:p w14:paraId="776A16BE"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 Actuarios; </w:t>
      </w:r>
    </w:p>
    <w:p w14:paraId="3BF76A44"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VII. Conciliadores; </w:t>
      </w:r>
    </w:p>
    <w:p w14:paraId="1DB47445"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VIII. Unidad de Amparos; </w:t>
      </w:r>
    </w:p>
    <w:p w14:paraId="2EDD2C1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IX. Unidad de Apoyo Administrativo; y </w:t>
      </w:r>
    </w:p>
    <w:p w14:paraId="75F0806F"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 Órgano Interno de Control, dividido en: </w:t>
      </w:r>
    </w:p>
    <w:p w14:paraId="267C109F" w14:textId="77777777" w:rsidR="007A2C6F" w:rsidRPr="00BC7456" w:rsidRDefault="00BA6AB5">
      <w:pPr>
        <w:ind w:left="709"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a) Un Área de Control y Evaluación; </w:t>
      </w:r>
    </w:p>
    <w:p w14:paraId="009665A1" w14:textId="77777777" w:rsidR="007A2C6F" w:rsidRPr="00BC7456" w:rsidRDefault="00BA6AB5">
      <w:pPr>
        <w:ind w:left="709"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b) Un Área de Investigación; </w:t>
      </w:r>
    </w:p>
    <w:p w14:paraId="24C57801" w14:textId="77777777" w:rsidR="007A2C6F" w:rsidRPr="00BC7456" w:rsidRDefault="00BA6AB5">
      <w:pPr>
        <w:ind w:left="709"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c) Un Área de Substanciación; y </w:t>
      </w:r>
    </w:p>
    <w:p w14:paraId="46997FC7" w14:textId="77777777" w:rsidR="007A2C6F" w:rsidRPr="00BC7456" w:rsidRDefault="00BA6AB5">
      <w:pPr>
        <w:ind w:left="709"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d) Un Área de Resolución. </w:t>
      </w:r>
    </w:p>
    <w:p w14:paraId="09C7CA3A" w14:textId="77777777" w:rsidR="007A2C6F" w:rsidRPr="00BC7456" w:rsidRDefault="00BA6AB5">
      <w:pPr>
        <w:ind w:left="567" w:right="567"/>
        <w:jc w:val="both"/>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b/>
          <w:i/>
          <w:sz w:val="22"/>
          <w:szCs w:val="22"/>
        </w:rPr>
        <w:t xml:space="preserve">B). PARA LAS SALAS </w:t>
      </w:r>
    </w:p>
    <w:p w14:paraId="50A5D575"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 Pleno de Sala; </w:t>
      </w:r>
    </w:p>
    <w:p w14:paraId="04FAC0CD"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 Sala; </w:t>
      </w:r>
    </w:p>
    <w:p w14:paraId="22C31D0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III.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Auxiliares; </w:t>
      </w:r>
    </w:p>
    <w:p w14:paraId="323DD4B0"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de Acuerdos; </w:t>
      </w:r>
    </w:p>
    <w:p w14:paraId="0915256E"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 Actuarios; y </w:t>
      </w:r>
    </w:p>
    <w:p w14:paraId="0B499700"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VI. Conciliadores.</w:t>
      </w:r>
    </w:p>
    <w:p w14:paraId="21328AA8" w14:textId="77777777" w:rsidR="007A2C6F" w:rsidRPr="00BC7456" w:rsidRDefault="007A2C6F">
      <w:pPr>
        <w:ind w:left="567" w:right="567"/>
        <w:jc w:val="both"/>
        <w:rPr>
          <w:rFonts w:ascii="Palatino Linotype" w:eastAsia="Palatino Linotype" w:hAnsi="Palatino Linotype" w:cs="Palatino Linotype"/>
          <w:i/>
          <w:sz w:val="22"/>
          <w:szCs w:val="22"/>
        </w:rPr>
      </w:pPr>
    </w:p>
    <w:p w14:paraId="2AFE169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19.-</w:t>
      </w:r>
      <w:r w:rsidRPr="00BC7456">
        <w:rPr>
          <w:rFonts w:ascii="Palatino Linotype" w:eastAsia="Palatino Linotype" w:hAnsi="Palatino Linotype" w:cs="Palatino Linotype"/>
          <w:i/>
          <w:sz w:val="22"/>
          <w:szCs w:val="22"/>
        </w:rPr>
        <w:t xml:space="preserve"> El Tribunal contará para su funcionamiento con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Auxiliares, que tendrán las facultades y obligaciones siguientes: </w:t>
      </w:r>
    </w:p>
    <w:p w14:paraId="70B5643D"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 Procurar la celebración de arreglos conciliatorios entre las partes, en todas y cada una de las fases del procedimiento; </w:t>
      </w:r>
    </w:p>
    <w:p w14:paraId="79D359A3"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Despachar los asuntos en orden cronológico, dando preferencia a los derivados de riesgos de trabajo o de suma urgencia, a juicio del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w:t>
      </w:r>
    </w:p>
    <w:p w14:paraId="3C22CE8E"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III. Vigilar que en todos los procedimientos se haga efectivo el principio de inmediatez; </w:t>
      </w:r>
    </w:p>
    <w:p w14:paraId="1E5AFFAB"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Aplicar las medidas disciplinarias y de apremio que procedan para que se guarde el debido orden y respeto en el desarrollo de las audiencias; </w:t>
      </w:r>
    </w:p>
    <w:p w14:paraId="240F140C"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 Revisar la actuación de los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de Acuerdos, Actuarios y personal administrativo con relación a los expedientes a su cargo; </w:t>
      </w:r>
    </w:p>
    <w:p w14:paraId="7180CA6D"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 Informar al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y a los Secretarios Generales sobre las irregularidades que detecte en la tramitación de los asuntos; </w:t>
      </w:r>
    </w:p>
    <w:p w14:paraId="74E2AF08"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VII. Cuidar que se apliquen la Ley, jurisprudencia y los criterios del Tribunal dentro del procedimiento; </w:t>
      </w:r>
    </w:p>
    <w:p w14:paraId="3761B46D"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VIII. Entregar los valores y documentos para su guarda al </w:t>
      </w:r>
      <w:proofErr w:type="gramStart"/>
      <w:r w:rsidRPr="00BC7456">
        <w:rPr>
          <w:rFonts w:ascii="Palatino Linotype" w:eastAsia="Palatino Linotype" w:hAnsi="Palatino Linotype" w:cs="Palatino Linotype"/>
          <w:i/>
          <w:sz w:val="22"/>
          <w:szCs w:val="22"/>
        </w:rPr>
        <w:t>Secretario General</w:t>
      </w:r>
      <w:proofErr w:type="gramEnd"/>
      <w:r w:rsidRPr="00BC7456">
        <w:rPr>
          <w:rFonts w:ascii="Palatino Linotype" w:eastAsia="Palatino Linotype" w:hAnsi="Palatino Linotype" w:cs="Palatino Linotype"/>
          <w:i/>
          <w:sz w:val="22"/>
          <w:szCs w:val="22"/>
        </w:rPr>
        <w:t xml:space="preserve"> Jurídico y Consultivo, dejando constancia de ese hecho en el expediente; </w:t>
      </w:r>
    </w:p>
    <w:p w14:paraId="3A539071"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IX. Interrogar libremente a las partes, a los testigos y a los peritos que intervengan en el juicio, para el esclarecimiento de la verdad; </w:t>
      </w:r>
    </w:p>
    <w:p w14:paraId="32D90689"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 Cuidar que la celebración de las audiencias esté procedida de notificaciones legalmente realizadas y se acredite debidamente la personalidad de las partes, así como también las cuestiones que se susciten en el proceso; </w:t>
      </w:r>
    </w:p>
    <w:p w14:paraId="4ADC742F"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XI. Fijar el orden de las audiencias diarias que deban practicarse, distribuyendo los expedientes al personal jurídico y administrativo en forma equitativa, procurando que se señale el mayor número de audiencias; </w:t>
      </w:r>
    </w:p>
    <w:p w14:paraId="066214AE"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XII. Habilitar días y horas inhábiles para que se practiquen diligencias cuando haya causa justificada; </w:t>
      </w:r>
    </w:p>
    <w:p w14:paraId="7BC0165F"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XIII. Apoyar en cualquier momento a las diferentes unidades administrativas del Tribunal o de las Salas, para desempeñar la función que por Ley les corresponde; </w:t>
      </w:r>
    </w:p>
    <w:p w14:paraId="13273F70"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XIV. Abstenerse de prestar y dar información a las partes, de los expedientes que se les haya turnado para dictamen y que se encuentren en su poder, salvo petición del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o de los Secretarios Generales; </w:t>
      </w:r>
    </w:p>
    <w:p w14:paraId="63B9682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XV. Presentar un informe semanal de sus labores, al </w:t>
      </w:r>
      <w:proofErr w:type="gramStart"/>
      <w:r w:rsidRPr="00BC7456">
        <w:rPr>
          <w:rFonts w:ascii="Palatino Linotype" w:eastAsia="Palatino Linotype" w:hAnsi="Palatino Linotype" w:cs="Palatino Linotype"/>
          <w:i/>
          <w:sz w:val="22"/>
          <w:szCs w:val="22"/>
        </w:rPr>
        <w:t>Secretario General</w:t>
      </w:r>
      <w:proofErr w:type="gramEnd"/>
      <w:r w:rsidRPr="00BC7456">
        <w:rPr>
          <w:rFonts w:ascii="Palatino Linotype" w:eastAsia="Palatino Linotype" w:hAnsi="Palatino Linotype" w:cs="Palatino Linotype"/>
          <w:i/>
          <w:sz w:val="22"/>
          <w:szCs w:val="22"/>
        </w:rPr>
        <w:t xml:space="preserve"> Jurídico y Consultivo; y </w:t>
      </w:r>
    </w:p>
    <w:p w14:paraId="5ADD9069"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XVI. Las demás que les confiera 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y la Ley. </w:t>
      </w:r>
    </w:p>
    <w:p w14:paraId="00F9E9BC" w14:textId="77777777" w:rsidR="007A2C6F" w:rsidRPr="00BC7456" w:rsidRDefault="007A2C6F">
      <w:pPr>
        <w:ind w:left="567" w:right="567"/>
        <w:jc w:val="both"/>
        <w:rPr>
          <w:rFonts w:ascii="Palatino Linotype" w:eastAsia="Palatino Linotype" w:hAnsi="Palatino Linotype" w:cs="Palatino Linotype"/>
          <w:i/>
          <w:sz w:val="22"/>
          <w:szCs w:val="22"/>
        </w:rPr>
      </w:pPr>
    </w:p>
    <w:p w14:paraId="0E887FC1"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20.-</w:t>
      </w:r>
      <w:r w:rsidRPr="00BC7456">
        <w:rPr>
          <w:rFonts w:ascii="Palatino Linotype" w:eastAsia="Palatino Linotype" w:hAnsi="Palatino Linotype" w:cs="Palatino Linotype"/>
          <w:i/>
          <w:sz w:val="22"/>
          <w:szCs w:val="22"/>
        </w:rPr>
        <w:t xml:space="preserve"> Los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Auxiliares del Tribunal adscritos a la Secretaría General Jurídica y Consultiva, tendrán las facultades y obligaciones siguientes: </w:t>
      </w:r>
    </w:p>
    <w:p w14:paraId="2599DA45"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 xml:space="preserve">I. Firmar el recibo de los expedientes para la celebración del proyecto de laudo, quedando obligados a devolverlos a la brevedad posible; </w:t>
      </w:r>
    </w:p>
    <w:p w14:paraId="1A574F2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w:t>
      </w:r>
      <w:r w:rsidRPr="00BC7456">
        <w:rPr>
          <w:rFonts w:ascii="Palatino Linotype" w:eastAsia="Palatino Linotype" w:hAnsi="Palatino Linotype" w:cs="Palatino Linotype"/>
          <w:i/>
          <w:sz w:val="22"/>
          <w:szCs w:val="22"/>
          <w:u w:val="single"/>
        </w:rPr>
        <w:t xml:space="preserve">Elaborar el proyecto de </w:t>
      </w:r>
      <w:r w:rsidRPr="00BC7456">
        <w:rPr>
          <w:rFonts w:ascii="Palatino Linotype" w:eastAsia="Palatino Linotype" w:hAnsi="Palatino Linotype" w:cs="Palatino Linotype"/>
          <w:b/>
          <w:i/>
          <w:sz w:val="22"/>
          <w:szCs w:val="22"/>
          <w:u w:val="single"/>
        </w:rPr>
        <w:t>laudo</w:t>
      </w:r>
      <w:r w:rsidRPr="00BC7456">
        <w:rPr>
          <w:rFonts w:ascii="Palatino Linotype" w:eastAsia="Palatino Linotype" w:hAnsi="Palatino Linotype" w:cs="Palatino Linotype"/>
          <w:i/>
          <w:sz w:val="22"/>
          <w:szCs w:val="22"/>
          <w:u w:val="single"/>
        </w:rPr>
        <w:t xml:space="preserve"> de los expedientes que se les haya turnado y que se encuentren en su poder, en orden cronológico, dando preferencia a los de suma urgencia, a juicio y a petición del </w:t>
      </w:r>
      <w:proofErr w:type="gramStart"/>
      <w:r w:rsidRPr="00BC7456">
        <w:rPr>
          <w:rFonts w:ascii="Palatino Linotype" w:eastAsia="Palatino Linotype" w:hAnsi="Palatino Linotype" w:cs="Palatino Linotype"/>
          <w:i/>
          <w:sz w:val="22"/>
          <w:szCs w:val="22"/>
          <w:u w:val="single"/>
        </w:rPr>
        <w:t>Presidente</w:t>
      </w:r>
      <w:proofErr w:type="gramEnd"/>
      <w:r w:rsidRPr="00BC7456">
        <w:rPr>
          <w:rFonts w:ascii="Palatino Linotype" w:eastAsia="Palatino Linotype" w:hAnsi="Palatino Linotype" w:cs="Palatino Linotype"/>
          <w:i/>
          <w:sz w:val="22"/>
          <w:szCs w:val="22"/>
          <w:u w:val="single"/>
        </w:rPr>
        <w:t xml:space="preserve"> del Tribunal o de los Secretarios Generales</w:t>
      </w:r>
      <w:r w:rsidRPr="00BC7456">
        <w:rPr>
          <w:rFonts w:ascii="Palatino Linotype" w:eastAsia="Palatino Linotype" w:hAnsi="Palatino Linotype" w:cs="Palatino Linotype"/>
          <w:i/>
          <w:sz w:val="22"/>
          <w:szCs w:val="22"/>
        </w:rPr>
        <w:t xml:space="preserve">; </w:t>
      </w:r>
    </w:p>
    <w:p w14:paraId="2284C208"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III. Apoyar en cualquier momento a las diferentes unidades administrativas del Tribunal o las Salas, para desempeñar la función que por Ley les corresponda; </w:t>
      </w:r>
    </w:p>
    <w:p w14:paraId="5A147ED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Abstenerse de prestar y dar información a las partes, de los expedientes que se les haya turnado para dictamen y que se encuentren en su poder, salvo petición del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o de los Secretarios Generales; </w:t>
      </w:r>
    </w:p>
    <w:p w14:paraId="5F52DCB3"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 Presentar un informe semanal de sus labores; y </w:t>
      </w:r>
    </w:p>
    <w:p w14:paraId="08E9B86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 Las demás que les confiera 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y la Ley.</w:t>
      </w:r>
    </w:p>
    <w:p w14:paraId="095477E1" w14:textId="77777777" w:rsidR="007A2C6F" w:rsidRPr="00BC7456" w:rsidRDefault="007A2C6F">
      <w:pPr>
        <w:ind w:left="567" w:right="567"/>
        <w:jc w:val="both"/>
        <w:rPr>
          <w:rFonts w:ascii="Palatino Linotype" w:eastAsia="Palatino Linotype" w:hAnsi="Palatino Linotype" w:cs="Palatino Linotype"/>
          <w:i/>
          <w:sz w:val="22"/>
          <w:szCs w:val="22"/>
        </w:rPr>
      </w:pPr>
    </w:p>
    <w:p w14:paraId="08879D2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21.-</w:t>
      </w:r>
      <w:r w:rsidRPr="00BC7456">
        <w:rPr>
          <w:rFonts w:ascii="Palatino Linotype" w:eastAsia="Palatino Linotype" w:hAnsi="Palatino Linotype" w:cs="Palatino Linotype"/>
          <w:i/>
          <w:sz w:val="22"/>
          <w:szCs w:val="22"/>
        </w:rPr>
        <w:t xml:space="preserve"> Los </w:t>
      </w:r>
      <w:proofErr w:type="gramStart"/>
      <w:r w:rsidRPr="00BC7456">
        <w:rPr>
          <w:rFonts w:ascii="Palatino Linotype" w:eastAsia="Palatino Linotype" w:hAnsi="Palatino Linotype" w:cs="Palatino Linotype"/>
          <w:i/>
          <w:sz w:val="22"/>
          <w:szCs w:val="22"/>
          <w:u w:val="single"/>
        </w:rPr>
        <w:t>Secretarios</w:t>
      </w:r>
      <w:proofErr w:type="gramEnd"/>
      <w:r w:rsidRPr="00BC7456">
        <w:rPr>
          <w:rFonts w:ascii="Palatino Linotype" w:eastAsia="Palatino Linotype" w:hAnsi="Palatino Linotype" w:cs="Palatino Linotype"/>
          <w:i/>
          <w:sz w:val="22"/>
          <w:szCs w:val="22"/>
          <w:u w:val="single"/>
        </w:rPr>
        <w:t xml:space="preserve"> Auxiliares de las Salas</w:t>
      </w:r>
      <w:r w:rsidRPr="00BC7456">
        <w:rPr>
          <w:rFonts w:ascii="Palatino Linotype" w:eastAsia="Palatino Linotype" w:hAnsi="Palatino Linotype" w:cs="Palatino Linotype"/>
          <w:i/>
          <w:sz w:val="22"/>
          <w:szCs w:val="22"/>
        </w:rPr>
        <w:t xml:space="preserve">, tendrán las facultades y obligaciones que se señalan en los artículos 19 y 20 de este Reglamento y adicionalmente fungirá como Secretario del Pleno de la Sala, previa designación que el Presidente de Sala le otorgue. </w:t>
      </w:r>
    </w:p>
    <w:p w14:paraId="55A48D4D" w14:textId="77777777" w:rsidR="007A2C6F" w:rsidRPr="00BC7456" w:rsidRDefault="007A2C6F">
      <w:pPr>
        <w:ind w:left="567" w:right="567"/>
        <w:jc w:val="both"/>
        <w:rPr>
          <w:rFonts w:ascii="Palatino Linotype" w:eastAsia="Palatino Linotype" w:hAnsi="Palatino Linotype" w:cs="Palatino Linotype"/>
          <w:i/>
          <w:sz w:val="22"/>
          <w:szCs w:val="22"/>
        </w:rPr>
      </w:pPr>
    </w:p>
    <w:p w14:paraId="24CD9C4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22.-</w:t>
      </w:r>
      <w:r w:rsidRPr="00BC7456">
        <w:rPr>
          <w:rFonts w:ascii="Palatino Linotype" w:eastAsia="Palatino Linotype" w:hAnsi="Palatino Linotype" w:cs="Palatino Linotype"/>
          <w:i/>
          <w:sz w:val="22"/>
          <w:szCs w:val="22"/>
        </w:rPr>
        <w:t xml:space="preserve"> Los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Auxiliares de las Salas, además tendrán las facultades y obligaciones siguientes: </w:t>
      </w:r>
    </w:p>
    <w:p w14:paraId="7EF18A23"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 Dictar, revisar y firmar las actas, los acuerdos y resoluciones que emita la Sala; </w:t>
      </w:r>
    </w:p>
    <w:p w14:paraId="134D56F4"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Cuidar que las promociones que reciban las Salas, se acuerden por los </w:t>
      </w:r>
      <w:proofErr w:type="gramStart"/>
      <w:r w:rsidRPr="00BC7456">
        <w:rPr>
          <w:rFonts w:ascii="Palatino Linotype" w:eastAsia="Palatino Linotype" w:hAnsi="Palatino Linotype" w:cs="Palatino Linotype"/>
          <w:i/>
          <w:sz w:val="22"/>
          <w:szCs w:val="22"/>
        </w:rPr>
        <w:t>Secretarios</w:t>
      </w:r>
      <w:proofErr w:type="gramEnd"/>
      <w:r w:rsidRPr="00BC7456">
        <w:rPr>
          <w:rFonts w:ascii="Palatino Linotype" w:eastAsia="Palatino Linotype" w:hAnsi="Palatino Linotype" w:cs="Palatino Linotype"/>
          <w:i/>
          <w:sz w:val="22"/>
          <w:szCs w:val="22"/>
        </w:rPr>
        <w:t xml:space="preserve"> de Acuerdos a la brevedad posible; </w:t>
      </w:r>
    </w:p>
    <w:p w14:paraId="190D9A65"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III.</w:t>
      </w:r>
      <w:r w:rsidRPr="00BC7456">
        <w:rPr>
          <w:rFonts w:ascii="Palatino Linotype" w:eastAsia="Palatino Linotype" w:hAnsi="Palatino Linotype" w:cs="Palatino Linotype"/>
          <w:i/>
          <w:sz w:val="22"/>
          <w:szCs w:val="22"/>
        </w:rPr>
        <w:t xml:space="preserve"> </w:t>
      </w:r>
      <w:r w:rsidRPr="00BC7456">
        <w:rPr>
          <w:rFonts w:ascii="Palatino Linotype" w:eastAsia="Palatino Linotype" w:hAnsi="Palatino Linotype" w:cs="Palatino Linotype"/>
          <w:i/>
          <w:sz w:val="22"/>
          <w:szCs w:val="22"/>
          <w:u w:val="single"/>
        </w:rPr>
        <w:t>Firmar el recibo de los expedientes en el libro de control, para que éste elabore el proyecto de laudo</w:t>
      </w:r>
      <w:r w:rsidRPr="00BC7456">
        <w:rPr>
          <w:rFonts w:ascii="Palatino Linotype" w:eastAsia="Palatino Linotype" w:hAnsi="Palatino Linotype" w:cs="Palatino Linotype"/>
          <w:i/>
          <w:sz w:val="22"/>
          <w:szCs w:val="22"/>
        </w:rPr>
        <w:t xml:space="preserve">, y poder ser presentado al Pleno de la Sala; </w:t>
      </w:r>
    </w:p>
    <w:p w14:paraId="39E8E0AB"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Presentar un informe semanal de sus labores, al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 Sala y cuando así lo requiera el Presidente del Tribunal o los Secretarios Generales del mismo; </w:t>
      </w:r>
    </w:p>
    <w:p w14:paraId="35FFE101"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 Integrar el expediente Toca de Amparo en cada demanda en que participe y realizar todas las acciones y elaborar los acuerdos que señale este Reglamento en lo que corresponde a la Unidad de Amparos; y </w:t>
      </w:r>
    </w:p>
    <w:p w14:paraId="3467B7E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 Las demás que les confiera 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del Tribunal y el Presidente de Sala, así como la Ley.</w:t>
      </w:r>
    </w:p>
    <w:p w14:paraId="0A062EC0" w14:textId="77777777" w:rsidR="007A2C6F" w:rsidRPr="00BC7456" w:rsidRDefault="007A2C6F">
      <w:pPr>
        <w:ind w:left="567" w:right="567"/>
        <w:jc w:val="both"/>
        <w:rPr>
          <w:rFonts w:ascii="Palatino Linotype" w:eastAsia="Palatino Linotype" w:hAnsi="Palatino Linotype" w:cs="Palatino Linotype"/>
          <w:i/>
          <w:sz w:val="22"/>
          <w:szCs w:val="22"/>
        </w:rPr>
      </w:pPr>
    </w:p>
    <w:p w14:paraId="2A3C207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25.-</w:t>
      </w:r>
      <w:r w:rsidRPr="00BC7456">
        <w:rPr>
          <w:rFonts w:ascii="Palatino Linotype" w:eastAsia="Palatino Linotype" w:hAnsi="Palatino Linotype" w:cs="Palatino Linotype"/>
          <w:i/>
          <w:sz w:val="22"/>
          <w:szCs w:val="22"/>
        </w:rPr>
        <w:t xml:space="preserve"> </w:t>
      </w:r>
      <w:r w:rsidRPr="00BC7456">
        <w:rPr>
          <w:rFonts w:ascii="Palatino Linotype" w:eastAsia="Palatino Linotype" w:hAnsi="Palatino Linotype" w:cs="Palatino Linotype"/>
          <w:i/>
          <w:sz w:val="22"/>
          <w:szCs w:val="22"/>
          <w:u w:val="single"/>
        </w:rPr>
        <w:t xml:space="preserve">Los </w:t>
      </w:r>
      <w:proofErr w:type="gramStart"/>
      <w:r w:rsidRPr="00BC7456">
        <w:rPr>
          <w:rFonts w:ascii="Palatino Linotype" w:eastAsia="Palatino Linotype" w:hAnsi="Palatino Linotype" w:cs="Palatino Linotype"/>
          <w:i/>
          <w:sz w:val="22"/>
          <w:szCs w:val="22"/>
          <w:u w:val="single"/>
        </w:rPr>
        <w:t>Secretarios</w:t>
      </w:r>
      <w:proofErr w:type="gramEnd"/>
      <w:r w:rsidRPr="00BC7456">
        <w:rPr>
          <w:rFonts w:ascii="Palatino Linotype" w:eastAsia="Palatino Linotype" w:hAnsi="Palatino Linotype" w:cs="Palatino Linotype"/>
          <w:i/>
          <w:sz w:val="22"/>
          <w:szCs w:val="22"/>
          <w:u w:val="single"/>
        </w:rPr>
        <w:t xml:space="preserve"> de Acuerdos de las Salas</w:t>
      </w:r>
      <w:r w:rsidRPr="00BC7456">
        <w:rPr>
          <w:rFonts w:ascii="Palatino Linotype" w:eastAsia="Palatino Linotype" w:hAnsi="Palatino Linotype" w:cs="Palatino Linotype"/>
          <w:i/>
          <w:sz w:val="22"/>
          <w:szCs w:val="22"/>
        </w:rPr>
        <w:t xml:space="preserve">, tendrán además de las señaladas en el artículo anterior, las facultades y obligaciones siguientes: </w:t>
      </w:r>
    </w:p>
    <w:p w14:paraId="5FB64F38"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 Realizar las notificaciones en el Boletín que ordenen el Pleno o 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 Sala, debiendo conservar copias de ellos hasta por seis meses, estableciéndose un lugar visible en el local de la Sala para su consulta, o bien practicar notificaciones personales cuando las partes concurran al local de la Sala, </w:t>
      </w:r>
    </w:p>
    <w:p w14:paraId="7009F6F3"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Tener bajo su cuidado y responsabilidad los expedientes que se tramiten en las Salas; </w:t>
      </w:r>
    </w:p>
    <w:p w14:paraId="4953BFC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 xml:space="preserve">III. Cuidar que los expedientes que soliciten las partes o peritos previa identificación, no se sustraigan del local de la Sala; </w:t>
      </w:r>
    </w:p>
    <w:p w14:paraId="2CF1776F"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Recabar la firma del </w:t>
      </w:r>
      <w:proofErr w:type="gramStart"/>
      <w:r w:rsidRPr="00BC7456">
        <w:rPr>
          <w:rFonts w:ascii="Palatino Linotype" w:eastAsia="Palatino Linotype" w:hAnsi="Palatino Linotype" w:cs="Palatino Linotype"/>
          <w:i/>
          <w:sz w:val="22"/>
          <w:szCs w:val="22"/>
        </w:rPr>
        <w:t>Secretario</w:t>
      </w:r>
      <w:proofErr w:type="gramEnd"/>
      <w:r w:rsidRPr="00BC7456">
        <w:rPr>
          <w:rFonts w:ascii="Palatino Linotype" w:eastAsia="Palatino Linotype" w:hAnsi="Palatino Linotype" w:cs="Palatino Linotype"/>
          <w:i/>
          <w:sz w:val="22"/>
          <w:szCs w:val="22"/>
        </w:rPr>
        <w:t xml:space="preserve"> Auxiliar de la Sala, en las diversas actuaciones para que éstas sean glosadas en los autos del expediente que corresponda, en forma inmediata; </w:t>
      </w:r>
    </w:p>
    <w:p w14:paraId="467FA900"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 Efectuar las diligencias que le encomiende 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 Sala, cuando éstas se practiquen fuera del local de la misma; y </w:t>
      </w:r>
    </w:p>
    <w:p w14:paraId="2A835060"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VI. Las demás que les confiera el </w:t>
      </w:r>
      <w:proofErr w:type="gramStart"/>
      <w:r w:rsidRPr="00BC7456">
        <w:rPr>
          <w:rFonts w:ascii="Palatino Linotype" w:eastAsia="Palatino Linotype" w:hAnsi="Palatino Linotype" w:cs="Palatino Linotype"/>
          <w:i/>
          <w:sz w:val="22"/>
          <w:szCs w:val="22"/>
        </w:rPr>
        <w:t>Presidente</w:t>
      </w:r>
      <w:proofErr w:type="gramEnd"/>
      <w:r w:rsidRPr="00BC7456">
        <w:rPr>
          <w:rFonts w:ascii="Palatino Linotype" w:eastAsia="Palatino Linotype" w:hAnsi="Palatino Linotype" w:cs="Palatino Linotype"/>
          <w:i/>
          <w:sz w:val="22"/>
          <w:szCs w:val="22"/>
        </w:rPr>
        <w:t xml:space="preserve"> de Sala y la Ley.</w:t>
      </w:r>
    </w:p>
    <w:p w14:paraId="0AAF3185"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7E0B6918"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En ese mismo orden de ideas, los artículos 184, 185 y 186 Bis de la Ley del Trabajo de los Servidores Públicos del Estado de México y Municipios, establecen la competencia del Sujeto Obligado, preceptos que se citan a continuación:</w:t>
      </w:r>
    </w:p>
    <w:p w14:paraId="16CBBD40"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2127F9B9"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ARTÍCULO 184.-</w:t>
      </w:r>
      <w:r w:rsidRPr="00BC7456">
        <w:rPr>
          <w:rFonts w:ascii="Palatino Linotype" w:eastAsia="Palatino Linotype" w:hAnsi="Palatino Linotype" w:cs="Palatino Linotype"/>
          <w:i/>
          <w:sz w:val="22"/>
          <w:szCs w:val="22"/>
        </w:rPr>
        <w:t xml:space="preserve"> El Tribunal Estatal de Conciliación y Arbitraje es un órgano autónomo y dotado de plena jurisdicción, conocerá y resolverá los conflictos laborales individuales y colectivos que se presenten entre los sujetos de esta ley. </w:t>
      </w:r>
    </w:p>
    <w:p w14:paraId="15A3EDE6"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185</w:t>
      </w:r>
      <w:r w:rsidRPr="00BC7456">
        <w:rPr>
          <w:rFonts w:ascii="Palatino Linotype" w:eastAsia="Palatino Linotype" w:hAnsi="Palatino Linotype" w:cs="Palatino Linotype"/>
          <w:i/>
          <w:sz w:val="22"/>
          <w:szCs w:val="22"/>
        </w:rPr>
        <w:t>. El Tribunal será competente para:</w:t>
      </w:r>
    </w:p>
    <w:p w14:paraId="4CEA532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 Conocer y resolver, en conciliación y arbitraje, de los conflictos individuales que se susciten entre las instituciones públicas, dependencias, organismos descentralizados, fideicomisos de carácter Estatal y Municipal, y organismos autónomos que sus leyes de creación así lo determinen y sus servidores públicos que no conozcan las Salas;</w:t>
      </w:r>
    </w:p>
    <w:p w14:paraId="54855E74"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 Conocer y resolver, en conciliación y arbitraje, los conflictos colectivos que surjan entre las instituciones públicas o dependencias y las organizaciones sindicales;</w:t>
      </w:r>
    </w:p>
    <w:p w14:paraId="1B856D1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III. Conceder el registro de los sindicatos y, en su caso, dictar la cancelación de los mismos;</w:t>
      </w:r>
    </w:p>
    <w:p w14:paraId="68B618B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IV. Conocer y resolver, en conciliación y arbitraje, de los conflictos internos de los sindicatos y de los intersindicales;</w:t>
      </w:r>
    </w:p>
    <w:p w14:paraId="2CDF01C5"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V. Efectuar el registro de las condiciones generales de trabajo, de los estatutos de los sindicatos, así como de aquellos otros documentos que por su naturaleza deban obrar en los registros del Tribunal; y</w:t>
      </w:r>
    </w:p>
    <w:p w14:paraId="02539B84"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VI. Llevar los procedimientos para la determinación de dependencia económica de los familiares de los servidores públicos;</w:t>
      </w:r>
    </w:p>
    <w:p w14:paraId="5C81CC3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VII. Dictar la resolución que ordene la suspensión temporal de su cargo de un servidor público en términos de lo dispuesto por el artículo 209 y 253 de esta ley; y</w:t>
      </w:r>
    </w:p>
    <w:p w14:paraId="7A84AC8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VIII. Conocer de cualquier otro asunto relativo, derivado o directamente vinculado con las relaciones de trabajo.</w:t>
      </w:r>
    </w:p>
    <w:p w14:paraId="4EDBB79F"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 xml:space="preserve">ARTÍCULO 186 </w:t>
      </w:r>
      <w:proofErr w:type="gramStart"/>
      <w:r w:rsidRPr="00BC7456">
        <w:rPr>
          <w:rFonts w:ascii="Palatino Linotype" w:eastAsia="Palatino Linotype" w:hAnsi="Palatino Linotype" w:cs="Palatino Linotype"/>
          <w:b/>
          <w:i/>
          <w:sz w:val="22"/>
          <w:szCs w:val="22"/>
        </w:rPr>
        <w:t>BIS.-</w:t>
      </w:r>
      <w:proofErr w:type="gramEnd"/>
      <w:r w:rsidRPr="00BC7456">
        <w:rPr>
          <w:rFonts w:ascii="Palatino Linotype" w:eastAsia="Palatino Linotype" w:hAnsi="Palatino Linotype" w:cs="Palatino Linotype"/>
          <w:i/>
          <w:sz w:val="22"/>
          <w:szCs w:val="22"/>
        </w:rPr>
        <w:t xml:space="preserve"> Las Salas del Tribunal serán competentes para: </w:t>
      </w:r>
    </w:p>
    <w:p w14:paraId="5E201CE9"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u w:val="single"/>
        </w:rPr>
        <w:lastRenderedPageBreak/>
        <w:t>I. Conocer y resolver, en conciliación y arbitraje, de los conflictos individuales con motivo de la relación laboral que se susciten entre las instituciones públicas o dependencias municipales</w:t>
      </w:r>
      <w:r w:rsidRPr="00BC7456">
        <w:rPr>
          <w:rFonts w:ascii="Palatino Linotype" w:eastAsia="Palatino Linotype" w:hAnsi="Palatino Linotype" w:cs="Palatino Linotype"/>
          <w:i/>
          <w:sz w:val="22"/>
          <w:szCs w:val="22"/>
        </w:rPr>
        <w:t xml:space="preserve"> y sus servidores públicos; </w:t>
      </w:r>
    </w:p>
    <w:p w14:paraId="110201CC"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De los procedimientos necesarios para la determinación de dependencia económica de los familiares de los servidores públicos fallecidos. </w:t>
      </w:r>
    </w:p>
    <w:p w14:paraId="150B98D9"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La competencia territorial de las Salas se determinará por el Pleno del Tribunal, en el acuerdo de creación que corresponda. </w:t>
      </w:r>
    </w:p>
    <w:p w14:paraId="78F376F9"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Las resoluciones de las Salas no admiten ningún recurso. </w:t>
      </w:r>
    </w:p>
    <w:p w14:paraId="2F282CDD"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Cuando se demande conjuntamente al Municipio y algún Poder del Estado u órgano sujeto de esta ley de carácter estatal, el Tribunal será el competente.</w:t>
      </w:r>
    </w:p>
    <w:p w14:paraId="334DDE3F"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4D53E70F"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De conformidad con los preceptos legales citados, que establecen las distintas atribuciones y competencia con las que cuenta el Sujeto Obligado, en el caso particular, principalmente las de la emisión de los laudos por los asuntos en los que tenga conocimiento. </w:t>
      </w:r>
    </w:p>
    <w:p w14:paraId="26D411ED"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30C08505"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Ahora bien, en lo que corresponde al tipo de información peticionada, debemos precisar que, por cuanto respecta a los procedimientos laborales con respecto a los servidores públicos, encontramos la recisión laboral, como el origen de estos conflictos laborales, ya sea por imputabilidad al patrón o del trabajador.</w:t>
      </w:r>
    </w:p>
    <w:p w14:paraId="64BBD513"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14EA25F4"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El servidor público, podrá demandar, la reinstalación o el pago de las prestaciones laborales y, por su parte las instituciones públicas deberán cumplir oportunamente los laudos que dicte el Tribunal o la Sala y, pagar el monto de las indemnizaciones y demás prestaciones a que tenga derecho el servidor público de conformidad con los artículos 96 y 98 de la Ley del Trabajo de los Servidores Públicos del Estado y Municipios, que contempla:</w:t>
      </w:r>
    </w:p>
    <w:p w14:paraId="75BEB244"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2FC9D67C"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ARTÍCULO 96.-</w:t>
      </w:r>
      <w:r w:rsidRPr="00BC7456">
        <w:rPr>
          <w:rFonts w:ascii="Palatino Linotype" w:eastAsia="Palatino Linotype" w:hAnsi="Palatino Linotype" w:cs="Palatino Linotype"/>
          <w:i/>
          <w:sz w:val="22"/>
          <w:szCs w:val="22"/>
        </w:rPr>
        <w:t xml:space="preserve"> El servidor público podrá solicitar ante el Tribunal o la Sala correspondiente, que se le reinstale en el trabajo que desempeñaba, o que se le indemnice. </w:t>
      </w:r>
      <w:r w:rsidRPr="00BC7456">
        <w:rPr>
          <w:rFonts w:ascii="Palatino Linotype" w:eastAsia="Palatino Linotype" w:hAnsi="Palatino Linotype" w:cs="Palatino Linotype"/>
          <w:i/>
          <w:sz w:val="22"/>
          <w:szCs w:val="22"/>
          <w:u w:val="single"/>
        </w:rPr>
        <w:t>Cuando el servidor público considere injustificada la causa de rescisión de la relación laboral, o bien lo injustificado del despido podrá demandar ante el Tribunal o en la Sala</w:t>
      </w:r>
      <w:r w:rsidRPr="00BC7456">
        <w:rPr>
          <w:rFonts w:ascii="Palatino Linotype" w:eastAsia="Palatino Linotype" w:hAnsi="Palatino Linotype" w:cs="Palatino Linotype"/>
          <w:i/>
          <w:sz w:val="22"/>
          <w:szCs w:val="22"/>
        </w:rPr>
        <w:t xml:space="preserve"> que se le cubra la indemnización de tres meses de su salario base, así como los salarios vencidos </w:t>
      </w:r>
      <w:r w:rsidRPr="00BC7456">
        <w:rPr>
          <w:rFonts w:ascii="Palatino Linotype" w:eastAsia="Palatino Linotype" w:hAnsi="Palatino Linotype" w:cs="Palatino Linotype"/>
          <w:i/>
          <w:sz w:val="22"/>
          <w:szCs w:val="22"/>
        </w:rPr>
        <w:lastRenderedPageBreak/>
        <w:t>desde la fecha del despido hasta por un periodo máximo de doce meses o que se le reinstale en el trabajo que desempeñaba con el pago de los salarios vencidos desde la fecha del despido hasta por un periodo máximo de doce meses, independientemente del tiempo que , dure el proceso.</w:t>
      </w:r>
    </w:p>
    <w:p w14:paraId="6D362F95"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No se considerará en el pago de salarios vencidos los aguinaldos e incrementos que se otorguen en el salario de los servidores públicos mientras dure el proceso para objeto de las indemnizaciones a que se refieren los artículos 95, 96 y 97 de esta ley.</w:t>
      </w:r>
    </w:p>
    <w:p w14:paraId="52CC4D7B"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02C5465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En cualquier estado del procedimiento el demandado podrá pagar todo o en parte lo reclamado por el actor exhibiendo la cantidad líquida en moneda nacional o en cheque certificado a nombre de éste, previa cuantificación que haga el Tribunal o la Sala de que las cantidades cubren las prestaciones señaladas en la demanda y que se encuentren ajustadas a derecho, hasta la fecha en que se exhiba.</w:t>
      </w:r>
    </w:p>
    <w:p w14:paraId="65277B13"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En el primer supuesto se dará por terminado el juicio liberando a la institución pública de la acción principal y sus accesorias.</w:t>
      </w:r>
    </w:p>
    <w:p w14:paraId="36A9661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El Tribunal o la Sala aprobará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w:t>
      </w:r>
    </w:p>
    <w:p w14:paraId="1BBE5733"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Excepcionalmente para el efecto de que la cantidad exhibida por la parte demandada sea menor a la que le corresponda al actor, el Tribunal o la Sala le requerirá, para </w:t>
      </w:r>
      <w:proofErr w:type="gramStart"/>
      <w:r w:rsidRPr="00BC7456">
        <w:rPr>
          <w:rFonts w:ascii="Palatino Linotype" w:eastAsia="Palatino Linotype" w:hAnsi="Palatino Linotype" w:cs="Palatino Linotype"/>
          <w:i/>
          <w:sz w:val="22"/>
          <w:szCs w:val="22"/>
        </w:rPr>
        <w:t>que</w:t>
      </w:r>
      <w:proofErr w:type="gramEnd"/>
      <w:r w:rsidRPr="00BC7456">
        <w:rPr>
          <w:rFonts w:ascii="Palatino Linotype" w:eastAsia="Palatino Linotype" w:hAnsi="Palatino Linotype" w:cs="Palatino Linotype"/>
          <w:i/>
          <w:sz w:val="22"/>
          <w:szCs w:val="22"/>
        </w:rPr>
        <w:t xml:space="preserve"> en un término de cinco días hábiles, contados a partir de que surta sus efectos de notificación el acuerdo que recaiga, deposite la cantidad faltante y hecho lo anterior se tendrá por satisfecha la acción legal ejercitada.</w:t>
      </w:r>
    </w:p>
    <w:p w14:paraId="7024070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Para la hipótesis de que la demandada sólo exhiba la cantidad por indemnizaciones y sus prestaciones accesorias dejarán de correr los salarios caídos, continuándose con el procedimiento por las prestaciones pendientes de pago.</w:t>
      </w:r>
    </w:p>
    <w:p w14:paraId="312DBC8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En caso de muerte del trabajador, dejarán de computarse los salarios vencidos como parte del conflicto.</w:t>
      </w:r>
    </w:p>
    <w:p w14:paraId="42A5868B" w14:textId="77777777" w:rsidR="007A2C6F" w:rsidRPr="00BC7456" w:rsidRDefault="007A2C6F">
      <w:pPr>
        <w:ind w:left="567" w:right="567"/>
        <w:jc w:val="both"/>
        <w:rPr>
          <w:rFonts w:ascii="Palatino Linotype" w:eastAsia="Palatino Linotype" w:hAnsi="Palatino Linotype" w:cs="Palatino Linotype"/>
          <w:i/>
          <w:sz w:val="22"/>
          <w:szCs w:val="22"/>
        </w:rPr>
      </w:pPr>
    </w:p>
    <w:p w14:paraId="632748A1"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98.</w:t>
      </w:r>
      <w:r w:rsidRPr="00BC7456">
        <w:rPr>
          <w:rFonts w:ascii="Palatino Linotype" w:eastAsia="Palatino Linotype" w:hAnsi="Palatino Linotype" w:cs="Palatino Linotype"/>
          <w:i/>
          <w:sz w:val="22"/>
          <w:szCs w:val="22"/>
        </w:rPr>
        <w:t xml:space="preserve"> Son obligaciones de las instituciones públicas:</w:t>
      </w:r>
    </w:p>
    <w:p w14:paraId="751A22EC"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06BAC128"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VI. Cumplir oportunamente los laudos que dicte el Tribunal o la Sala, y pagar el monto de las indemnizaciones y demás prestaciones a que tenga derecho el servidor público;</w:t>
      </w:r>
    </w:p>
    <w:p w14:paraId="4590D41A"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6025C89A"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lastRenderedPageBreak/>
        <w:t xml:space="preserve">En ese sentido, un proceso laboral inicia con una demanda y se desarrolla en una etapa conciliatoria, el desahogo probatorio, el posicionamiento de alegatos y termina con </w:t>
      </w:r>
      <w:r w:rsidRPr="00BC7456">
        <w:rPr>
          <w:rFonts w:ascii="Palatino Linotype" w:eastAsia="Palatino Linotype" w:hAnsi="Palatino Linotype" w:cs="Palatino Linotype"/>
          <w:b/>
          <w:sz w:val="22"/>
          <w:szCs w:val="22"/>
        </w:rPr>
        <w:t xml:space="preserve">una resolución que en materia laboral y burocrática se denomina </w:t>
      </w:r>
      <w:r w:rsidRPr="00BC7456">
        <w:rPr>
          <w:rFonts w:ascii="Palatino Linotype" w:eastAsia="Palatino Linotype" w:hAnsi="Palatino Linotype" w:cs="Palatino Linotype"/>
          <w:b/>
          <w:sz w:val="22"/>
          <w:szCs w:val="22"/>
          <w:u w:val="single"/>
        </w:rPr>
        <w:t>laudo</w:t>
      </w:r>
      <w:r w:rsidRPr="00BC7456">
        <w:rPr>
          <w:rFonts w:ascii="Palatino Linotype" w:eastAsia="Palatino Linotype" w:hAnsi="Palatino Linotype" w:cs="Palatino Linotype"/>
          <w:sz w:val="22"/>
          <w:szCs w:val="22"/>
        </w:rPr>
        <w:t xml:space="preserve"> el cual deberá ser acatado por la institución pública. </w:t>
      </w:r>
    </w:p>
    <w:p w14:paraId="248DB003"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6AA6246D"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En ese orden de ideas, de conformidad con la fracción XL del artículo 92 de la Ley de Transparencia y Acceso a la Información Pública del Estado de México y Municipios, se establece que los laudos son obligación de transparencia común que debe ser publicada de manera oficiosa sin mediar solicitud de por medio, se cita el ordenamiento para pronta referencia:</w:t>
      </w:r>
    </w:p>
    <w:p w14:paraId="02D0526D"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0CF6D77F"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 xml:space="preserve">Artículo 92. </w:t>
      </w:r>
      <w:r w:rsidRPr="00BC7456">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4B5E9F2"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01DCCC57" w14:textId="77777777" w:rsidR="007A2C6F" w:rsidRPr="00BC7456" w:rsidRDefault="00BA6AB5">
      <w:pPr>
        <w:ind w:left="567" w:right="567"/>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XL.</w:t>
      </w:r>
      <w:r w:rsidRPr="00BC7456">
        <w:rPr>
          <w:rFonts w:ascii="Palatino Linotype" w:eastAsia="Palatino Linotype" w:hAnsi="Palatino Linotype" w:cs="Palatino Linotype"/>
          <w:i/>
          <w:sz w:val="22"/>
          <w:szCs w:val="22"/>
        </w:rPr>
        <w:t xml:space="preserve"> Las resoluciones y </w:t>
      </w:r>
      <w:r w:rsidRPr="00BC7456">
        <w:rPr>
          <w:rFonts w:ascii="Palatino Linotype" w:eastAsia="Palatino Linotype" w:hAnsi="Palatino Linotype" w:cs="Palatino Linotype"/>
          <w:i/>
          <w:sz w:val="22"/>
          <w:szCs w:val="22"/>
          <w:u w:val="single"/>
        </w:rPr>
        <w:t>laudos</w:t>
      </w:r>
      <w:r w:rsidRPr="00BC7456">
        <w:rPr>
          <w:rFonts w:ascii="Palatino Linotype" w:eastAsia="Palatino Linotype" w:hAnsi="Palatino Linotype" w:cs="Palatino Linotype"/>
          <w:i/>
          <w:sz w:val="22"/>
          <w:szCs w:val="22"/>
        </w:rPr>
        <w:t xml:space="preserve"> que se emitan en procesos o procedimientos seguidos en forma de juicio;</w:t>
      </w:r>
    </w:p>
    <w:p w14:paraId="0E97CB4C"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705EE419"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Ahora bien, en lo que compete a los agravios hechos valer por la parte Recurrente, del análisis de la respuesta otorgada por el Sujeto Obligado, se advierte que este fue omiso en pronunciarse sobre los laudos y los montos, por ello es que, es necesario traer a colación lo que señala </w:t>
      </w:r>
      <w:r w:rsidRPr="00BC7456">
        <w:rPr>
          <w:rFonts w:ascii="Palatino Linotype" w:eastAsia="Palatino Linotype" w:hAnsi="Palatino Linotype" w:cs="Palatino Linotype"/>
          <w:color w:val="000000"/>
          <w:sz w:val="22"/>
          <w:szCs w:val="22"/>
        </w:rPr>
        <w:t>el Criterio orientador 02/17 emitido por el entonces Instituto Nacional de Transparencia, Acceso a la Información y Protección de Datos Personales el cual establece lo siguiente:</w:t>
      </w:r>
    </w:p>
    <w:p w14:paraId="03617A7D" w14:textId="77777777" w:rsidR="007A2C6F" w:rsidRPr="00BC7456" w:rsidRDefault="007A2C6F">
      <w:pPr>
        <w:pBdr>
          <w:top w:val="nil"/>
          <w:left w:val="nil"/>
          <w:bottom w:val="nil"/>
          <w:right w:val="nil"/>
          <w:between w:val="nil"/>
        </w:pBdr>
        <w:ind w:left="567" w:right="701"/>
        <w:jc w:val="both"/>
        <w:rPr>
          <w:rFonts w:ascii="Palatino Linotype" w:eastAsia="Palatino Linotype" w:hAnsi="Palatino Linotype" w:cs="Palatino Linotype"/>
          <w:i/>
          <w:color w:val="000000"/>
          <w:sz w:val="22"/>
          <w:szCs w:val="22"/>
        </w:rPr>
      </w:pPr>
    </w:p>
    <w:p w14:paraId="4DA4B3FF" w14:textId="77777777" w:rsidR="007A2C6F" w:rsidRPr="00BC7456" w:rsidRDefault="00BA6AB5">
      <w:pPr>
        <w:pBdr>
          <w:top w:val="nil"/>
          <w:left w:val="nil"/>
          <w:bottom w:val="nil"/>
          <w:right w:val="nil"/>
          <w:between w:val="nil"/>
        </w:pBdr>
        <w:ind w:left="567" w:right="701"/>
        <w:jc w:val="both"/>
        <w:rPr>
          <w:rFonts w:ascii="Palatino Linotype" w:eastAsia="Palatino Linotype" w:hAnsi="Palatino Linotype" w:cs="Palatino Linotype"/>
          <w:i/>
          <w:color w:val="000000"/>
          <w:sz w:val="22"/>
          <w:szCs w:val="22"/>
        </w:rPr>
      </w:pPr>
      <w:r w:rsidRPr="00BC7456">
        <w:rPr>
          <w:rFonts w:ascii="Palatino Linotype" w:eastAsia="Palatino Linotype" w:hAnsi="Palatino Linotype" w:cs="Palatino Linotype"/>
          <w:b/>
          <w:i/>
          <w:color w:val="000000"/>
          <w:sz w:val="22"/>
          <w:szCs w:val="22"/>
        </w:rPr>
        <w:t>Congruencia y exhaustividad. Sus alcances para garantizar el derecho de acceso a la información.</w:t>
      </w:r>
      <w:r w:rsidRPr="00BC7456">
        <w:rPr>
          <w:rFonts w:ascii="Palatino Linotype" w:eastAsia="Palatino Linotype" w:hAnsi="Palatino Linotype" w:cs="Palatino Linotype"/>
          <w:i/>
          <w:color w:val="000000"/>
          <w:sz w:val="22"/>
          <w:szCs w:val="22"/>
        </w:rPr>
        <w:t xml:space="preserve"> De conformidad con el artículo 3 de la Ley Federal de Procedimiento Administrativo, de aplicación supletoria a la Ley Federal de Transparencia y Acceso a la </w:t>
      </w:r>
      <w:r w:rsidRPr="00BC7456">
        <w:rPr>
          <w:rFonts w:ascii="Palatino Linotype" w:eastAsia="Palatino Linotype" w:hAnsi="Palatino Linotype" w:cs="Palatino Linotype"/>
          <w:i/>
          <w:color w:val="000000"/>
          <w:sz w:val="22"/>
          <w:szCs w:val="22"/>
        </w:rPr>
        <w:lastRenderedPageBreak/>
        <w:t>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29A2C62" w14:textId="77777777" w:rsidR="007A2C6F" w:rsidRPr="00BC7456" w:rsidRDefault="007A2C6F">
      <w:pPr>
        <w:pBdr>
          <w:top w:val="nil"/>
          <w:left w:val="nil"/>
          <w:bottom w:val="nil"/>
          <w:right w:val="nil"/>
          <w:between w:val="nil"/>
        </w:pBdr>
        <w:spacing w:line="360" w:lineRule="auto"/>
        <w:ind w:right="-7"/>
        <w:jc w:val="both"/>
        <w:rPr>
          <w:rFonts w:ascii="Palatino Linotype" w:eastAsia="Palatino Linotype" w:hAnsi="Palatino Linotype" w:cs="Palatino Linotype"/>
          <w:color w:val="000000"/>
          <w:sz w:val="22"/>
          <w:szCs w:val="22"/>
        </w:rPr>
      </w:pPr>
    </w:p>
    <w:p w14:paraId="2FA570E9" w14:textId="77777777" w:rsidR="007A2C6F" w:rsidRPr="00BC7456" w:rsidRDefault="00BA6AB5">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u w:val="single"/>
        </w:rPr>
      </w:pPr>
      <w:r w:rsidRPr="00BC7456">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BC7456">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BC7456">
        <w:rPr>
          <w:rFonts w:ascii="Palatino Linotype" w:eastAsia="Palatino Linotype" w:hAnsi="Palatino Linotype" w:cs="Palatino Linotype"/>
          <w:sz w:val="22"/>
          <w:szCs w:val="22"/>
        </w:rPr>
        <w:t xml:space="preserve">, mientras que la exhaustividad establece que el sujeto obligado </w:t>
      </w:r>
      <w:r w:rsidRPr="00BC7456">
        <w:rPr>
          <w:rFonts w:ascii="Palatino Linotype" w:eastAsia="Palatino Linotype" w:hAnsi="Palatino Linotype" w:cs="Palatino Linotype"/>
          <w:b/>
          <w:sz w:val="22"/>
          <w:szCs w:val="22"/>
        </w:rPr>
        <w:t>deberá atender de manera expresa cada uno de los puntos solicitados</w:t>
      </w:r>
      <w:r w:rsidRPr="00BC7456">
        <w:rPr>
          <w:rFonts w:ascii="Palatino Linotype" w:eastAsia="Palatino Linotype" w:hAnsi="Palatino Linotype" w:cs="Palatino Linotype"/>
          <w:sz w:val="22"/>
          <w:szCs w:val="22"/>
        </w:rPr>
        <w:t xml:space="preserve">, situación que en el presente caso </w:t>
      </w:r>
      <w:r w:rsidRPr="00BC7456">
        <w:rPr>
          <w:rFonts w:ascii="Palatino Linotype" w:eastAsia="Palatino Linotype" w:hAnsi="Palatino Linotype" w:cs="Palatino Linotype"/>
          <w:b/>
          <w:sz w:val="22"/>
          <w:szCs w:val="22"/>
        </w:rPr>
        <w:t xml:space="preserve">no aconteció, pues el Sujeto Obligado fue omiso en pronunciarse y en proporcionar los laudos laborales. </w:t>
      </w:r>
    </w:p>
    <w:p w14:paraId="78E97528" w14:textId="77777777" w:rsidR="007A2C6F" w:rsidRPr="00BC7456" w:rsidRDefault="007A2C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F40698E" w14:textId="77777777" w:rsidR="007A2C6F" w:rsidRPr="00BC7456" w:rsidRDefault="00BA6AB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Derivado de lo anterior, debido a que, el Sujeto Obligado no fue exhaustivo con la respuesta proporcionada se determina ordenar los laudos con los que se cuenten del uno de enero de dos mil veintidós al treinta y uno de diciembre de dos mil veinticuatro, en versión pública observando lo que establece el Considerando Quinto de esta Resolución. </w:t>
      </w:r>
    </w:p>
    <w:p w14:paraId="551E4753" w14:textId="77777777" w:rsidR="007A2C6F" w:rsidRPr="00BC7456" w:rsidRDefault="007A2C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5A313B9" w14:textId="77777777" w:rsidR="007A2C6F" w:rsidRPr="00BC7456" w:rsidRDefault="00BA6AB5">
      <w:pPr>
        <w:pBdr>
          <w:top w:val="nil"/>
          <w:left w:val="nil"/>
          <w:bottom w:val="nil"/>
          <w:right w:val="nil"/>
          <w:between w:val="nil"/>
        </w:pBdr>
        <w:spacing w:line="360" w:lineRule="auto"/>
        <w:ind w:right="49"/>
        <w:jc w:val="both"/>
        <w:rPr>
          <w:rFonts w:ascii="Palatino Linotype" w:eastAsia="Palatino Linotype" w:hAnsi="Palatino Linotype" w:cs="Palatino Linotype"/>
          <w:sz w:val="24"/>
          <w:szCs w:val="24"/>
        </w:rPr>
      </w:pPr>
      <w:r w:rsidRPr="00BC7456">
        <w:rPr>
          <w:rFonts w:ascii="Palatino Linotype" w:eastAsia="Palatino Linotype" w:hAnsi="Palatino Linotype" w:cs="Palatino Linotype"/>
          <w:color w:val="000000"/>
          <w:sz w:val="22"/>
          <w:szCs w:val="22"/>
        </w:rPr>
        <w:t xml:space="preserve">En el supuesto de que el Sujeto Obligado no cuente con laudos que se ordenan,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5C384824" w14:textId="77777777" w:rsidR="007A2C6F" w:rsidRPr="00BC7456" w:rsidRDefault="007A2C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6348629"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lastRenderedPageBreak/>
        <w:t xml:space="preserve">Quinto. Versión Pública. </w:t>
      </w:r>
      <w:r w:rsidRPr="00BC7456">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80BC11D"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55FC56DE"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4C9D5A9D"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4BAA1C51"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En lo que respecta al asunto que ahora nos ocupa, es de destacar lo siguiente: </w:t>
      </w:r>
    </w:p>
    <w:p w14:paraId="580D1CC0" w14:textId="77777777" w:rsidR="007A2C6F" w:rsidRPr="00BC7456" w:rsidRDefault="007A2C6F">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A14DCFA" w14:textId="77777777" w:rsidR="007A2C6F" w:rsidRPr="00BC7456" w:rsidRDefault="00BA6AB5">
      <w:pPr>
        <w:numPr>
          <w:ilvl w:val="0"/>
          <w:numId w:val="5"/>
        </w:numPr>
        <w:pBdr>
          <w:top w:val="nil"/>
          <w:left w:val="nil"/>
          <w:bottom w:val="nil"/>
          <w:right w:val="nil"/>
          <w:between w:val="nil"/>
        </w:pBdr>
        <w:spacing w:line="360" w:lineRule="auto"/>
        <w:ind w:left="567" w:firstLine="0"/>
        <w:jc w:val="both"/>
        <w:rPr>
          <w:rFonts w:ascii="Palatino Linotype" w:eastAsia="Palatino Linotype" w:hAnsi="Palatino Linotype" w:cs="Palatino Linotype"/>
          <w:b/>
          <w:color w:val="000000"/>
          <w:sz w:val="22"/>
          <w:szCs w:val="22"/>
        </w:rPr>
      </w:pPr>
      <w:r w:rsidRPr="00BC7456">
        <w:rPr>
          <w:rFonts w:ascii="Palatino Linotype" w:eastAsia="Palatino Linotype" w:hAnsi="Palatino Linotype" w:cs="Palatino Linotype"/>
          <w:b/>
          <w:color w:val="000000"/>
          <w:sz w:val="22"/>
          <w:szCs w:val="22"/>
        </w:rPr>
        <w:t xml:space="preserve">Nombre de actores en juicios laborales que no recibieron recursos públicos. </w:t>
      </w:r>
      <w:r w:rsidRPr="00BC7456">
        <w:rPr>
          <w:rFonts w:ascii="Palatino Linotype" w:eastAsia="Palatino Linotype" w:hAnsi="Palatino Linotype" w:cs="Palatino Linotype"/>
          <w:color w:val="000000"/>
          <w:sz w:val="22"/>
          <w:szCs w:val="22"/>
        </w:rPr>
        <w:t>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w:t>
      </w:r>
    </w:p>
    <w:p w14:paraId="5D6E1386" w14:textId="77777777" w:rsidR="007A2C6F" w:rsidRPr="00BC7456" w:rsidRDefault="00BA6AB5">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r w:rsidRPr="00BC7456">
        <w:rPr>
          <w:rFonts w:ascii="Palatino Linotype" w:eastAsia="Palatino Linotype" w:hAnsi="Palatino Linotype" w:cs="Palatino Linotype"/>
          <w:color w:val="000000"/>
          <w:sz w:val="22"/>
          <w:szCs w:val="22"/>
        </w:rPr>
        <w:t xml:space="preserve">Al respecto, cabe precisar que el nombre de la persona que demandó al Sujeto Obligado y que dicha demanda inició un procedimiento del cual </w:t>
      </w:r>
      <w:r w:rsidRPr="00BC7456">
        <w:rPr>
          <w:rFonts w:ascii="Palatino Linotype" w:eastAsia="Palatino Linotype" w:hAnsi="Palatino Linotype" w:cs="Palatino Linotype"/>
          <w:b/>
          <w:color w:val="000000"/>
          <w:sz w:val="22"/>
          <w:szCs w:val="22"/>
          <w:u w:val="single"/>
        </w:rPr>
        <w:t>no obtuvo algún beneficio</w:t>
      </w:r>
      <w:r w:rsidRPr="00BC7456">
        <w:rPr>
          <w:rFonts w:ascii="Palatino Linotype" w:eastAsia="Palatino Linotype" w:hAnsi="Palatino Linotype" w:cs="Palatino Linotype"/>
          <w:color w:val="000000"/>
          <w:sz w:val="22"/>
          <w:szCs w:val="22"/>
        </w:rPr>
        <w:t>, debe ser motivo de protección, ello en atención a que este Órgano Garante debe ofrecer la mayor protección de una persona que al demandar ejercita su derecho a reclamar ante un órgano el cumplimiento de sus derechos laborales, por lo que, dar a conocer su nombre puede hacerlo identificable.</w:t>
      </w:r>
    </w:p>
    <w:p w14:paraId="62EFD811" w14:textId="77777777" w:rsidR="007A2C6F" w:rsidRPr="00BC7456" w:rsidRDefault="00BA6AB5">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lastRenderedPageBreak/>
        <w:t xml:space="preserve">Sin embargo, para el caso específico, en el que la persona o personas que demandaron al </w:t>
      </w:r>
      <w:r w:rsidRPr="00BC7456">
        <w:rPr>
          <w:rFonts w:ascii="Palatino Linotype" w:eastAsia="Palatino Linotype" w:hAnsi="Palatino Linotype" w:cs="Palatino Linotype"/>
          <w:b/>
          <w:color w:val="000000"/>
          <w:sz w:val="22"/>
          <w:szCs w:val="22"/>
        </w:rPr>
        <w:t>SUJETO OBLIGADO</w:t>
      </w:r>
      <w:r w:rsidRPr="00BC7456">
        <w:rPr>
          <w:rFonts w:ascii="Palatino Linotype" w:eastAsia="Palatino Linotype" w:hAnsi="Palatino Linotype" w:cs="Palatino Linotype"/>
          <w:color w:val="000000"/>
          <w:sz w:val="22"/>
          <w:szCs w:val="22"/>
        </w:rPr>
        <w:t>, hayan recibido recursos públicos, la naturaleza de la información se modificara debido a su interés público; al respecto el entonces Instituto Nacional de Transparencia, Acceso a la Información y Protección de Datos Personales (INAI), emitió un criterio que robustece dicha situación y que más adelante será analizado a detalle.</w:t>
      </w:r>
    </w:p>
    <w:p w14:paraId="2640DC98" w14:textId="77777777" w:rsidR="007A2C6F" w:rsidRPr="00BC7456" w:rsidRDefault="007A2C6F">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p>
    <w:p w14:paraId="215B7396" w14:textId="77777777" w:rsidR="007A2C6F" w:rsidRPr="00BC7456" w:rsidRDefault="00BA6AB5">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2"/>
          <w:szCs w:val="22"/>
        </w:rPr>
      </w:pPr>
      <w:r w:rsidRPr="00BC7456">
        <w:rPr>
          <w:rFonts w:ascii="Palatino Linotype" w:eastAsia="Palatino Linotype" w:hAnsi="Palatino Linotype" w:cs="Palatino Linotype"/>
          <w:color w:val="000000"/>
          <w:sz w:val="22"/>
          <w:szCs w:val="22"/>
        </w:rPr>
        <w:t>Es preciso señalar que el nombre de una persona corresponde su dato personal; sin embargo, acorde a lo que se solicita, se trata del nombre personas que posiblemente fueron servidores públicos aunque también, es posible que entre los demandantes existan servidores públicos, el punto a destacar es que la decisión de una persona de presentar una demanda en contra de su patrón, porque consideran que se violó alguno de sus derechos, constituye una decisión personal, que no está de ninguna manera vinculada con sus funciones ni con ejercicio de recursos públicos hasta en tanto le sea otorgada alguna cantidad derivada de estos recursos.</w:t>
      </w:r>
    </w:p>
    <w:p w14:paraId="4C6DF617" w14:textId="77777777" w:rsidR="007A2C6F" w:rsidRPr="00BC7456" w:rsidRDefault="00BA6AB5">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r w:rsidRPr="00BC7456">
        <w:rPr>
          <w:rFonts w:ascii="Palatino Linotype" w:eastAsia="Palatino Linotype" w:hAnsi="Palatino Linotype" w:cs="Palatino Linotype"/>
          <w:color w:val="000000"/>
          <w:sz w:val="22"/>
          <w:szCs w:val="22"/>
        </w:rPr>
        <w:t>En efecto, si una persona presenta una demanda laboral en contra de un sujeto obligado, y no recibe recursos públicos, constituye un dato personal confidencial y debe ser protegido en términos del artículo 143, fracción I de la Ley de Transparencia y Acceso a la Información Pública del Estado de México y Municipios.</w:t>
      </w:r>
    </w:p>
    <w:p w14:paraId="3186BDD4"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192D2FF5" w14:textId="77777777" w:rsidR="007A2C6F" w:rsidRPr="00BC7456" w:rsidRDefault="00BA6AB5">
      <w:pPr>
        <w:numPr>
          <w:ilvl w:val="0"/>
          <w:numId w:val="5"/>
        </w:numPr>
        <w:pBdr>
          <w:top w:val="nil"/>
          <w:left w:val="nil"/>
          <w:bottom w:val="nil"/>
          <w:right w:val="nil"/>
          <w:between w:val="nil"/>
        </w:pBdr>
        <w:spacing w:line="360" w:lineRule="auto"/>
        <w:ind w:left="567" w:firstLine="0"/>
        <w:jc w:val="both"/>
        <w:rPr>
          <w:rFonts w:ascii="Palatino Linotype" w:eastAsia="Palatino Linotype" w:hAnsi="Palatino Linotype" w:cs="Palatino Linotype"/>
          <w:b/>
          <w:color w:val="000000"/>
          <w:sz w:val="22"/>
          <w:szCs w:val="22"/>
        </w:rPr>
      </w:pPr>
      <w:r w:rsidRPr="00BC7456">
        <w:rPr>
          <w:rFonts w:ascii="Palatino Linotype" w:eastAsia="Palatino Linotype" w:hAnsi="Palatino Linotype" w:cs="Palatino Linotype"/>
          <w:b/>
          <w:color w:val="000000"/>
          <w:sz w:val="22"/>
          <w:szCs w:val="22"/>
        </w:rPr>
        <w:t xml:space="preserve">Del nombre de los actores en juicios laborales que recibieron recursos públicos. </w:t>
      </w:r>
      <w:r w:rsidRPr="00BC7456">
        <w:rPr>
          <w:rFonts w:ascii="Palatino Linotype" w:eastAsia="Palatino Linotype" w:hAnsi="Palatino Linotype" w:cs="Palatino Linotype"/>
          <w:color w:val="000000"/>
          <w:sz w:val="22"/>
          <w:szCs w:val="22"/>
        </w:rPr>
        <w:t xml:space="preserve">Ahora bien, cuando un proceso judicial o cuasi jurisdiccional ha concluido, en la mayoría de los casos, con independencia de la parte a quien el juzgador conceda la razón, se determina el pago de los montos económicos que hayan quedado pendientes al trabajador o los montos que correspondan por haber sido ganador de la controversia o incluso el pago de los montos acordados en conciliación; de tal suerte que si bien, la </w:t>
      </w:r>
      <w:r w:rsidRPr="00BC7456">
        <w:rPr>
          <w:rFonts w:ascii="Palatino Linotype" w:eastAsia="Palatino Linotype" w:hAnsi="Palatino Linotype" w:cs="Palatino Linotype"/>
          <w:color w:val="000000"/>
          <w:sz w:val="22"/>
          <w:szCs w:val="22"/>
        </w:rPr>
        <w:lastRenderedPageBreak/>
        <w:t>demanda inicia con la decisión personal una vez que la autoridad competente emite sentencia, cuando se ordena el pago, por cualquier motivo, se actualiza el supuesto del artículo 23, párrafo segundo, de la Ley de Transparencia y Acceso a la Información Pública del Estado de México y Municipios, por tratarse de la entrega de recursos públicos. Esto nos lleva a que la decisión tuvo consecuencias más allá del ámbito personal del demandante y, al haber la entrega de recursos públicos, se trata de información que se debe hacer pública, ya que existe interés público en conocer la forma en que se ejercen los recursos y porque simple y sencillamente existe disposición legal que obliga a la entrega de la información.</w:t>
      </w:r>
    </w:p>
    <w:p w14:paraId="7595777C" w14:textId="77777777" w:rsidR="007A2C6F" w:rsidRPr="00BC7456" w:rsidRDefault="007A2C6F">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p>
    <w:p w14:paraId="0215B3B5" w14:textId="77777777" w:rsidR="007A2C6F" w:rsidRPr="00BC7456" w:rsidRDefault="00BA6AB5">
      <w:pPr>
        <w:pBdr>
          <w:top w:val="nil"/>
          <w:left w:val="nil"/>
          <w:bottom w:val="nil"/>
          <w:right w:val="nil"/>
          <w:between w:val="nil"/>
        </w:pBdr>
        <w:spacing w:line="360" w:lineRule="auto"/>
        <w:ind w:left="567"/>
        <w:jc w:val="both"/>
        <w:rPr>
          <w:rFonts w:ascii="Palatino Linotype" w:eastAsia="Palatino Linotype" w:hAnsi="Palatino Linotype" w:cs="Palatino Linotype"/>
          <w:b/>
          <w:color w:val="000000"/>
          <w:sz w:val="22"/>
          <w:szCs w:val="22"/>
        </w:rPr>
      </w:pPr>
      <w:r w:rsidRPr="00BC7456">
        <w:rPr>
          <w:rFonts w:ascii="Palatino Linotype" w:eastAsia="Palatino Linotype" w:hAnsi="Palatino Linotype" w:cs="Palatino Linotype"/>
          <w:color w:val="000000"/>
          <w:sz w:val="22"/>
          <w:szCs w:val="22"/>
        </w:rPr>
        <w:t>Asimismo, se advierte que proporcionar el nombre de los actores que ya recibieron recursos públicos con motivo de las demandas interpuestas en contra del Sujeto Obligado, es información, cuya publicidad, puede abonar en la transparencia y rendición de cuentas; por tanto, es necesario, atraer al estudio el criterio 19/13 emitido por el entonces Instituto Nacional de Transparencia, Acceso a la Información y Protección de Datos Personales (INAI), antes IFAI; el cual a la letra precisa:</w:t>
      </w:r>
    </w:p>
    <w:p w14:paraId="159BCA59"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14AE7687" w14:textId="77777777" w:rsidR="007A2C6F" w:rsidRPr="00BC7456" w:rsidRDefault="00BA6AB5">
      <w:pPr>
        <w:spacing w:line="276" w:lineRule="auto"/>
        <w:ind w:left="851"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Nombre de actores en juicios laborales constituye, en principio, información confidencial.</w:t>
      </w:r>
      <w:r w:rsidRPr="00BC7456">
        <w:rPr>
          <w:rFonts w:ascii="Palatino Linotype" w:eastAsia="Palatino Linotype" w:hAnsi="Palatino Linotype" w:cs="Palatino Linotype"/>
          <w:i/>
          <w:sz w:val="22"/>
          <w:szCs w:val="22"/>
        </w:rPr>
        <w:t xml:space="preserve">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w:t>
      </w:r>
      <w:r w:rsidRPr="00BC7456">
        <w:rPr>
          <w:rFonts w:ascii="Palatino Linotype" w:eastAsia="Palatino Linotype" w:hAnsi="Palatino Linotype" w:cs="Palatino Linotype"/>
          <w:b/>
          <w:i/>
          <w:sz w:val="22"/>
          <w:szCs w:val="22"/>
        </w:rPr>
        <w:t xml:space="preserve">En este tenor, el nombre de los actores de los juicios laborales que se encuentran en trámite o que, en su </w:t>
      </w:r>
      <w:r w:rsidRPr="00BC7456">
        <w:rPr>
          <w:rFonts w:ascii="Palatino Linotype" w:eastAsia="Palatino Linotype" w:hAnsi="Palatino Linotype" w:cs="Palatino Linotype"/>
          <w:b/>
          <w:i/>
          <w:sz w:val="22"/>
          <w:szCs w:val="22"/>
        </w:rPr>
        <w:lastRenderedPageBreak/>
        <w:t>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r w:rsidRPr="00BC7456">
        <w:rPr>
          <w:rFonts w:ascii="Palatino Linotype" w:eastAsia="Palatino Linotype" w:hAnsi="Palatino Linotype" w:cs="Palatino Linotype"/>
          <w:i/>
          <w:sz w:val="22"/>
          <w:szCs w:val="22"/>
        </w:rPr>
        <w:t>”</w:t>
      </w:r>
    </w:p>
    <w:p w14:paraId="0405DA62"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6F97A40F" w14:textId="77777777" w:rsidR="007A2C6F" w:rsidRPr="00BC7456" w:rsidRDefault="00BA6AB5">
      <w:pPr>
        <w:spacing w:line="360" w:lineRule="auto"/>
        <w:jc w:val="both"/>
        <w:rPr>
          <w:rFonts w:ascii="Palatino Linotype" w:eastAsia="Palatino Linotype" w:hAnsi="Palatino Linotype" w:cs="Palatino Linotype"/>
          <w:sz w:val="22"/>
          <w:szCs w:val="22"/>
        </w:rPr>
      </w:pPr>
      <w:bookmarkStart w:id="4" w:name="_heading=h.w0sa8iyqsnbt" w:colFirst="0" w:colLast="0"/>
      <w:bookmarkEnd w:id="4"/>
      <w:r w:rsidRPr="00BC7456">
        <w:rPr>
          <w:rFonts w:ascii="Palatino Linotype" w:eastAsia="Palatino Linotype" w:hAnsi="Palatino Linotype" w:cs="Palatino Linotype"/>
          <w:sz w:val="22"/>
          <w:szCs w:val="22"/>
        </w:rPr>
        <w:t>En atención al criterio emitido por el entonces Instituto Nacional de Transparencia, Acceso a la Información y Protección de Datos Personales (INAI), se advierte que el nombre de los actores en los procedimientos laborales, que se concluyeran desfavorables a ellos, es un dato personal confidencial; sin embargo, procede su entrega, siempre que culmine con la entrega a favor de los actores de recurso público, pues se favorece la rendición de cuentas y se puede verificar el cumplimiento que el Sujeto Obligado de a las resoluciones o convenios suscritos ante la autoridad laboral.</w:t>
      </w:r>
    </w:p>
    <w:p w14:paraId="277DD813" w14:textId="77777777" w:rsidR="007A2C6F" w:rsidRPr="00BC7456" w:rsidRDefault="007A2C6F">
      <w:pPr>
        <w:spacing w:line="360" w:lineRule="auto"/>
        <w:ind w:left="567"/>
        <w:jc w:val="both"/>
        <w:rPr>
          <w:rFonts w:ascii="Palatino Linotype" w:eastAsia="Palatino Linotype" w:hAnsi="Palatino Linotype" w:cs="Palatino Linotype"/>
          <w:sz w:val="22"/>
          <w:szCs w:val="22"/>
        </w:rPr>
      </w:pPr>
    </w:p>
    <w:p w14:paraId="21D717DD" w14:textId="77777777" w:rsidR="007A2C6F" w:rsidRPr="00BC7456" w:rsidRDefault="00BA6AB5">
      <w:pPr>
        <w:spacing w:line="360" w:lineRule="auto"/>
        <w:ind w:right="50"/>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53BB2D49" w14:textId="77777777" w:rsidR="007A2C6F" w:rsidRPr="00BC7456" w:rsidRDefault="007A2C6F">
      <w:pPr>
        <w:spacing w:line="360" w:lineRule="auto"/>
        <w:ind w:right="50"/>
        <w:jc w:val="both"/>
        <w:rPr>
          <w:rFonts w:ascii="Palatino Linotype" w:eastAsia="Palatino Linotype" w:hAnsi="Palatino Linotype" w:cs="Palatino Linotype"/>
          <w:sz w:val="22"/>
          <w:szCs w:val="22"/>
        </w:rPr>
      </w:pPr>
    </w:p>
    <w:p w14:paraId="4EC5259B"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Artículo 3.</w:t>
      </w:r>
      <w:r w:rsidRPr="00BC7456">
        <w:rPr>
          <w:rFonts w:ascii="Palatino Linotype" w:eastAsia="Palatino Linotype" w:hAnsi="Palatino Linotype" w:cs="Palatino Linotype"/>
          <w:i/>
          <w:sz w:val="22"/>
          <w:szCs w:val="22"/>
        </w:rPr>
        <w:t xml:space="preserve"> Para los efectos de la presente Ley se entenderá por:</w:t>
      </w:r>
    </w:p>
    <w:p w14:paraId="7C408E36"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539CA4D4"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 xml:space="preserve">IX. Datos personales: La información concerniente a una persona, identificada o identificable según lo dispuesto por la Ley de Protección de Datos Personales del Estado de México; </w:t>
      </w:r>
    </w:p>
    <w:p w14:paraId="3B6C328E"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XX. Información clasificada: Aquella considerada por la presente Ley como reservada o confidencial;</w:t>
      </w:r>
    </w:p>
    <w:p w14:paraId="40DC4DBF"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E9F8242"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28551111"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627C9303"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91.</w:t>
      </w:r>
      <w:r w:rsidRPr="00BC745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6020D220"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132.</w:t>
      </w:r>
      <w:r w:rsidRPr="00BC7456">
        <w:rPr>
          <w:rFonts w:ascii="Palatino Linotype" w:eastAsia="Palatino Linotype" w:hAnsi="Palatino Linotype" w:cs="Palatino Linotype"/>
          <w:i/>
          <w:sz w:val="22"/>
          <w:szCs w:val="22"/>
        </w:rPr>
        <w:t xml:space="preserve"> La clasificación de la información se llevará a cabo en el momento en que:</w:t>
      </w:r>
    </w:p>
    <w:p w14:paraId="6629EF03" w14:textId="77777777" w:rsidR="007A2C6F" w:rsidRPr="00BC7456" w:rsidRDefault="00BA6AB5">
      <w:pPr>
        <w:tabs>
          <w:tab w:val="left" w:pos="1134"/>
        </w:tabs>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 Se reciba una solicitud de acceso a la información;</w:t>
      </w:r>
    </w:p>
    <w:p w14:paraId="71C33AAD" w14:textId="77777777" w:rsidR="007A2C6F" w:rsidRPr="00BC7456" w:rsidRDefault="00BA6AB5">
      <w:pPr>
        <w:tabs>
          <w:tab w:val="left" w:pos="1134"/>
        </w:tabs>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 Se determine mediante resolución de autoridad competente; o</w:t>
      </w:r>
    </w:p>
    <w:p w14:paraId="69AEF0F6" w14:textId="77777777" w:rsidR="007A2C6F" w:rsidRPr="00BC7456" w:rsidRDefault="00BA6AB5">
      <w:pPr>
        <w:tabs>
          <w:tab w:val="left" w:pos="1134"/>
        </w:tabs>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75EFFC8"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12878383"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Artículo 143</w:t>
      </w:r>
      <w:r w:rsidRPr="00BC745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3CCE2C6"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1624A9E3"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79628EF"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76AD0687"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6E0619A"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90D34D3" w14:textId="77777777" w:rsidR="007A2C6F" w:rsidRPr="00BC7456" w:rsidRDefault="007A2C6F">
      <w:pPr>
        <w:ind w:left="567" w:right="616"/>
        <w:jc w:val="both"/>
        <w:rPr>
          <w:rFonts w:ascii="Palatino Linotype" w:eastAsia="Palatino Linotype" w:hAnsi="Palatino Linotype" w:cs="Palatino Linotype"/>
          <w:i/>
          <w:sz w:val="22"/>
          <w:szCs w:val="22"/>
        </w:rPr>
      </w:pPr>
    </w:p>
    <w:p w14:paraId="1AB0615D"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w:t>
      </w:r>
      <w:r w:rsidRPr="00BC7456">
        <w:rPr>
          <w:rFonts w:ascii="Palatino Linotype" w:eastAsia="Palatino Linotype" w:hAnsi="Palatino Linotype" w:cs="Palatino Linotype"/>
          <w:sz w:val="22"/>
          <w:szCs w:val="22"/>
        </w:rPr>
        <w:lastRenderedPageBreak/>
        <w:t>Nacional del Sistema Nacional de Transparencia, Acceso a la Información Pública y Protección de Datos Personales, vigentes a la fecha de la solicitud de información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B93F709" w14:textId="77777777" w:rsidR="007A2C6F" w:rsidRPr="00BC7456" w:rsidRDefault="007A2C6F">
      <w:pPr>
        <w:jc w:val="both"/>
        <w:rPr>
          <w:rFonts w:ascii="Palatino Linotype" w:eastAsia="Palatino Linotype" w:hAnsi="Palatino Linotype" w:cs="Palatino Linotype"/>
          <w:color w:val="000000"/>
          <w:sz w:val="22"/>
          <w:szCs w:val="22"/>
        </w:rPr>
      </w:pPr>
    </w:p>
    <w:p w14:paraId="767914B2"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vigentes a la fecha de la solicitud de información señalan las formalidades que deberá llevar el acuerdo de clasificación que deberá emitir el Sujeto Obligado, siendo estas las siguientes:</w:t>
      </w:r>
    </w:p>
    <w:p w14:paraId="1E1BD765"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2D22F25E"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 “</w:t>
      </w:r>
      <w:r w:rsidRPr="00BC7456">
        <w:rPr>
          <w:rFonts w:ascii="Palatino Linotype" w:eastAsia="Palatino Linotype" w:hAnsi="Palatino Linotype" w:cs="Palatino Linotype"/>
          <w:b/>
          <w:i/>
          <w:sz w:val="22"/>
          <w:szCs w:val="22"/>
        </w:rPr>
        <w:t>Quincuagésimo</w:t>
      </w:r>
      <w:r w:rsidRPr="00BC745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0B8CE3A"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Quincuagésimo primero.</w:t>
      </w:r>
      <w:r w:rsidRPr="00BC7456">
        <w:rPr>
          <w:rFonts w:ascii="Palatino Linotype" w:eastAsia="Palatino Linotype" w:hAnsi="Palatino Linotype" w:cs="Palatino Linotype"/>
          <w:i/>
          <w:sz w:val="22"/>
          <w:szCs w:val="22"/>
        </w:rPr>
        <w:t xml:space="preserve"> Toda acta del Comité de Transparencia deberá contener: </w:t>
      </w:r>
    </w:p>
    <w:p w14:paraId="3CCC44E3"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 El número de sesión y fecha; </w:t>
      </w:r>
    </w:p>
    <w:p w14:paraId="037B8CB0"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El nombre del área que solicitó la clasificación de información; </w:t>
      </w:r>
    </w:p>
    <w:p w14:paraId="35D0F5B5"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III. La fundamentación legal y motivación correspondiente; </w:t>
      </w:r>
    </w:p>
    <w:p w14:paraId="2C6EFC51"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La resolución o resoluciones aprobadas; y </w:t>
      </w:r>
    </w:p>
    <w:p w14:paraId="38D287EB"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V. La rúbrica o firma digital de cada integrante del Comité de Transparencia. </w:t>
      </w:r>
    </w:p>
    <w:p w14:paraId="7FB509B3"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5F42153B"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 Los motivos y razonamientos que sustenten la confirmación o modificación de la prueba de daño;</w:t>
      </w:r>
    </w:p>
    <w:p w14:paraId="0535665B"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 Descripción de las partes o secciones reservadas, en caso de clasificación parcial; </w:t>
      </w:r>
    </w:p>
    <w:p w14:paraId="6CA47671"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III. El periodo por el que mantendrá su clasificación y fecha de expiración; y </w:t>
      </w:r>
    </w:p>
    <w:p w14:paraId="7C60AE87"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24147D63"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11AFAAF"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430FDC7F"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Quincuagésimo segundo.</w:t>
      </w:r>
      <w:r w:rsidRPr="00BC7456">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28AD492"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309B61D"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69C3E8B"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03182355"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III. Señalar las personas o instancias autorizadas a acceder a la información clasificada.</w:t>
      </w:r>
    </w:p>
    <w:p w14:paraId="50101645"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4333D39"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0CC06A42"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 xml:space="preserve">De igual forma, deberá observar </w:t>
      </w:r>
      <w:proofErr w:type="gramStart"/>
      <w:r w:rsidRPr="00BC7456">
        <w:rPr>
          <w:rFonts w:ascii="Palatino Linotype" w:eastAsia="Palatino Linotype" w:hAnsi="Palatino Linotype" w:cs="Palatino Linotype"/>
          <w:sz w:val="22"/>
          <w:szCs w:val="22"/>
        </w:rPr>
        <w:t>los ley</w:t>
      </w:r>
      <w:proofErr w:type="gramEnd"/>
      <w:r w:rsidRPr="00BC7456">
        <w:rPr>
          <w:rFonts w:ascii="Palatino Linotype" w:eastAsia="Palatino Linotype" w:hAnsi="Palatino Linotype" w:cs="Palatino Linotype"/>
          <w:sz w:val="22"/>
          <w:szCs w:val="22"/>
        </w:rPr>
        <w:t xml:space="preserve"> </w:t>
      </w:r>
      <w:proofErr w:type="spellStart"/>
      <w:r w:rsidRPr="00BC7456">
        <w:rPr>
          <w:rFonts w:ascii="Palatino Linotype" w:eastAsia="Palatino Linotype" w:hAnsi="Palatino Linotype" w:cs="Palatino Linotype"/>
          <w:sz w:val="22"/>
          <w:szCs w:val="22"/>
        </w:rPr>
        <w:t>mientos</w:t>
      </w:r>
      <w:proofErr w:type="spellEnd"/>
      <w:r w:rsidRPr="00BC7456">
        <w:rPr>
          <w:rFonts w:ascii="Palatino Linotype" w:eastAsia="Palatino Linotype" w:hAnsi="Palatino Linotype" w:cs="Palatino Linotype"/>
          <w:sz w:val="22"/>
          <w:szCs w:val="22"/>
        </w:rPr>
        <w:t xml:space="preserve"> Quincuagésimo cuarto, Quincuagésimo quinto, Quincuagésimo séptimo y Quincuagésimo octavo, vigentes a la fecha de la solicitud de información, establecen lo siguiente:</w:t>
      </w:r>
    </w:p>
    <w:p w14:paraId="4CB92271"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756B394A" w14:textId="77777777" w:rsidR="007A2C6F" w:rsidRPr="00BC7456" w:rsidRDefault="00BA6AB5">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r w:rsidRPr="00BC7456">
        <w:rPr>
          <w:rFonts w:ascii="Palatino Linotype" w:eastAsia="Palatino Linotype" w:hAnsi="Palatino Linotype" w:cs="Palatino Linotype"/>
          <w:b/>
          <w:i/>
          <w:sz w:val="22"/>
          <w:szCs w:val="22"/>
        </w:rPr>
        <w:t>Quincuagésimo cuarto.</w:t>
      </w:r>
      <w:r w:rsidRPr="00BC7456">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D81CFD5"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Quincuagésimo quinto.</w:t>
      </w:r>
      <w:r w:rsidRPr="00BC7456">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BC7456">
        <w:rPr>
          <w:rFonts w:ascii="Palatino Linotype" w:eastAsia="Palatino Linotype" w:hAnsi="Palatino Linotype" w:cs="Palatino Linotype"/>
          <w:i/>
          <w:sz w:val="22"/>
          <w:szCs w:val="22"/>
        </w:rPr>
        <w:t>testado</w:t>
      </w:r>
      <w:proofErr w:type="spellEnd"/>
      <w:r w:rsidRPr="00BC745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80EF345"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w:t>
      </w:r>
    </w:p>
    <w:p w14:paraId="2097968E"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b/>
          <w:i/>
          <w:sz w:val="22"/>
          <w:szCs w:val="22"/>
        </w:rPr>
        <w:t>Quincuagésimo séptimo.</w:t>
      </w:r>
      <w:r w:rsidRPr="00BC745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2777C0E"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 xml:space="preserve">I. La relativa a las Obligaciones de Transparencia que contempla el Título V de la Ley General y las demás disposiciones legales aplicables; </w:t>
      </w:r>
    </w:p>
    <w:p w14:paraId="6CDF274F"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47F3F636"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53960D6"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544EF2C" w14:textId="77777777" w:rsidR="007A2C6F" w:rsidRPr="00BC7456" w:rsidRDefault="00BA6AB5">
      <w:pPr>
        <w:ind w:left="567" w:right="616"/>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30984786"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5CFC9FAB"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286419B" w14:textId="77777777" w:rsidR="007A2C6F" w:rsidRPr="00BC7456" w:rsidRDefault="007A2C6F">
      <w:pPr>
        <w:spacing w:line="360" w:lineRule="auto"/>
        <w:jc w:val="both"/>
        <w:rPr>
          <w:rFonts w:ascii="Palatino Linotype" w:eastAsia="Palatino Linotype" w:hAnsi="Palatino Linotype" w:cs="Palatino Linotype"/>
          <w:sz w:val="22"/>
          <w:szCs w:val="22"/>
        </w:rPr>
      </w:pPr>
    </w:p>
    <w:p w14:paraId="538FB305" w14:textId="77777777" w:rsidR="007A2C6F" w:rsidRPr="00BC7456" w:rsidRDefault="00BA6AB5">
      <w:pPr>
        <w:spacing w:line="360" w:lineRule="auto"/>
        <w:jc w:val="both"/>
        <w:rPr>
          <w:rFonts w:ascii="Palatino Linotype" w:eastAsia="Palatino Linotype" w:hAnsi="Palatino Linotype" w:cs="Palatino Linotype"/>
          <w:b/>
          <w:sz w:val="22"/>
          <w:szCs w:val="22"/>
        </w:rPr>
      </w:pPr>
      <w:r w:rsidRPr="00BC7456">
        <w:rPr>
          <w:rFonts w:ascii="Palatino Linotype" w:eastAsia="Palatino Linotype" w:hAnsi="Palatino Linotype" w:cs="Palatino Linotype"/>
          <w:sz w:val="22"/>
          <w:szCs w:val="22"/>
        </w:rPr>
        <w:t xml:space="preserve">Es así como, en mérito de lo expuesto en líneas anteriores, resultan fundadas las razones o motivos de inconformidad hechos valer por la parte </w:t>
      </w:r>
      <w:r w:rsidRPr="00BC7456">
        <w:rPr>
          <w:rFonts w:ascii="Palatino Linotype" w:eastAsia="Palatino Linotype" w:hAnsi="Palatino Linotype" w:cs="Palatino Linotype"/>
          <w:b/>
          <w:sz w:val="22"/>
          <w:szCs w:val="22"/>
        </w:rPr>
        <w:t>RECURRENTE</w:t>
      </w:r>
      <w:r w:rsidRPr="00BC7456">
        <w:rPr>
          <w:rFonts w:ascii="Palatino Linotype" w:eastAsia="Palatino Linotype" w:hAnsi="Palatino Linotype" w:cs="Palatino Linotype"/>
          <w:sz w:val="22"/>
          <w:szCs w:val="22"/>
        </w:rPr>
        <w:t xml:space="preserve"> dentro del recurso de revisión </w:t>
      </w:r>
      <w:r w:rsidRPr="00BC7456">
        <w:rPr>
          <w:rFonts w:ascii="Palatino Linotype" w:eastAsia="Palatino Linotype" w:hAnsi="Palatino Linotype" w:cs="Palatino Linotype"/>
          <w:b/>
          <w:sz w:val="22"/>
          <w:szCs w:val="22"/>
        </w:rPr>
        <w:t>01139/INFOEM/IP/RR/2025</w:t>
      </w:r>
      <w:r w:rsidRPr="00BC7456">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BC7456">
        <w:rPr>
          <w:rFonts w:ascii="Palatino Linotype" w:eastAsia="Palatino Linotype" w:hAnsi="Palatino Linotype" w:cs="Palatino Linotype"/>
          <w:b/>
          <w:sz w:val="22"/>
          <w:szCs w:val="22"/>
        </w:rPr>
        <w:t>REVOCA</w:t>
      </w:r>
      <w:r w:rsidRPr="00BC7456">
        <w:rPr>
          <w:rFonts w:ascii="Palatino Linotype" w:eastAsia="Palatino Linotype" w:hAnsi="Palatino Linotype" w:cs="Palatino Linotype"/>
          <w:sz w:val="22"/>
          <w:szCs w:val="22"/>
        </w:rPr>
        <w:t xml:space="preserve"> la respuesta del </w:t>
      </w:r>
      <w:r w:rsidRPr="00BC7456">
        <w:rPr>
          <w:rFonts w:ascii="Palatino Linotype" w:eastAsia="Palatino Linotype" w:hAnsi="Palatino Linotype" w:cs="Palatino Linotype"/>
          <w:b/>
          <w:sz w:val="22"/>
          <w:szCs w:val="22"/>
        </w:rPr>
        <w:t>SUJETO OBLIGADO</w:t>
      </w:r>
      <w:r w:rsidRPr="00BC7456">
        <w:rPr>
          <w:rFonts w:ascii="Palatino Linotype" w:eastAsia="Palatino Linotype" w:hAnsi="Palatino Linotype" w:cs="Palatino Linotype"/>
          <w:sz w:val="22"/>
          <w:szCs w:val="22"/>
        </w:rPr>
        <w:t xml:space="preserve"> a la solicitud de información </w:t>
      </w:r>
      <w:r w:rsidRPr="00BC7456">
        <w:rPr>
          <w:rFonts w:ascii="Palatino Linotype" w:eastAsia="Palatino Linotype" w:hAnsi="Palatino Linotype" w:cs="Palatino Linotype"/>
          <w:b/>
          <w:sz w:val="22"/>
          <w:szCs w:val="22"/>
        </w:rPr>
        <w:t xml:space="preserve">00008/CAPULHUA/IP/2025.  </w:t>
      </w:r>
    </w:p>
    <w:p w14:paraId="4AD3AD3E" w14:textId="77777777" w:rsidR="007A2C6F" w:rsidRPr="00BC7456" w:rsidRDefault="007A2C6F">
      <w:pPr>
        <w:spacing w:line="360" w:lineRule="auto"/>
        <w:jc w:val="both"/>
        <w:rPr>
          <w:rFonts w:ascii="Palatino Linotype" w:eastAsia="Palatino Linotype" w:hAnsi="Palatino Linotype" w:cs="Palatino Linotype"/>
          <w:b/>
          <w:sz w:val="22"/>
          <w:szCs w:val="22"/>
        </w:rPr>
      </w:pPr>
    </w:p>
    <w:p w14:paraId="35AA08FA" w14:textId="77777777" w:rsidR="007A2C6F" w:rsidRPr="00BC7456"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lastRenderedPageBreak/>
        <w:t xml:space="preserve">Así, con fundamento en lo prescrito en los artículos 5 párrafos trigésimo </w:t>
      </w:r>
      <w:r w:rsidR="003E4042" w:rsidRPr="00BC7456">
        <w:rPr>
          <w:rFonts w:ascii="Palatino Linotype" w:eastAsia="Palatino Linotype" w:hAnsi="Palatino Linotype" w:cs="Palatino Linotype"/>
          <w:sz w:val="22"/>
          <w:szCs w:val="22"/>
        </w:rPr>
        <w:t>séptimo</w:t>
      </w:r>
      <w:r w:rsidRPr="00BC7456">
        <w:rPr>
          <w:rFonts w:ascii="Palatino Linotype" w:eastAsia="Palatino Linotype" w:hAnsi="Palatino Linotype" w:cs="Palatino Linotype"/>
          <w:sz w:val="22"/>
          <w:szCs w:val="22"/>
        </w:rPr>
        <w:t xml:space="preserve">, trigésimo </w:t>
      </w:r>
      <w:r w:rsidR="003E4042" w:rsidRPr="00BC7456">
        <w:rPr>
          <w:rFonts w:ascii="Palatino Linotype" w:eastAsia="Palatino Linotype" w:hAnsi="Palatino Linotype" w:cs="Palatino Linotype"/>
          <w:sz w:val="22"/>
          <w:szCs w:val="22"/>
        </w:rPr>
        <w:t>octavo</w:t>
      </w:r>
      <w:r w:rsidRPr="00BC7456">
        <w:rPr>
          <w:rFonts w:ascii="Palatino Linotype" w:eastAsia="Palatino Linotype" w:hAnsi="Palatino Linotype" w:cs="Palatino Linotype"/>
          <w:sz w:val="22"/>
          <w:szCs w:val="22"/>
        </w:rPr>
        <w:t xml:space="preserve"> y trigésimo </w:t>
      </w:r>
      <w:r w:rsidR="003E4042" w:rsidRPr="00BC7456">
        <w:rPr>
          <w:rFonts w:ascii="Palatino Linotype" w:eastAsia="Palatino Linotype" w:hAnsi="Palatino Linotype" w:cs="Palatino Linotype"/>
          <w:sz w:val="22"/>
          <w:szCs w:val="22"/>
        </w:rPr>
        <w:t>noveno</w:t>
      </w:r>
      <w:r w:rsidRPr="00BC7456">
        <w:rPr>
          <w:rFonts w:ascii="Palatino Linotype" w:eastAsia="Palatino Linotype" w:hAnsi="Palatino Linotype" w:cs="Palatino Linotype"/>
          <w:sz w:val="22"/>
          <w:szCs w:val="22"/>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r w:rsidRPr="00BC7456">
        <w:rPr>
          <w:rFonts w:ascii="Palatino Linotype" w:eastAsia="Palatino Linotype" w:hAnsi="Palatino Linotype" w:cs="Palatino Linotype"/>
          <w:b/>
          <w:sz w:val="22"/>
          <w:szCs w:val="22"/>
        </w:rPr>
        <w:t xml:space="preserve"> </w:t>
      </w:r>
    </w:p>
    <w:p w14:paraId="57273669" w14:textId="77777777" w:rsidR="007A2C6F" w:rsidRPr="00BC7456" w:rsidRDefault="00BA6AB5">
      <w:pPr>
        <w:spacing w:line="360" w:lineRule="auto"/>
        <w:ind w:right="-28"/>
        <w:jc w:val="center"/>
        <w:rPr>
          <w:rFonts w:ascii="Palatino Linotype" w:eastAsia="Palatino Linotype" w:hAnsi="Palatino Linotype" w:cs="Palatino Linotype"/>
          <w:b/>
          <w:sz w:val="22"/>
          <w:szCs w:val="22"/>
        </w:rPr>
      </w:pPr>
      <w:r w:rsidRPr="00BC7456">
        <w:rPr>
          <w:rFonts w:ascii="Palatino Linotype" w:eastAsia="Palatino Linotype" w:hAnsi="Palatino Linotype" w:cs="Palatino Linotype"/>
          <w:b/>
          <w:sz w:val="22"/>
          <w:szCs w:val="22"/>
        </w:rPr>
        <w:t>R E S U E L V E:</w:t>
      </w:r>
    </w:p>
    <w:p w14:paraId="165F40F3" w14:textId="77777777" w:rsidR="007A2C6F" w:rsidRPr="00BC7456" w:rsidRDefault="007A2C6F">
      <w:pPr>
        <w:spacing w:line="360" w:lineRule="auto"/>
        <w:ind w:right="-28"/>
        <w:jc w:val="both"/>
        <w:rPr>
          <w:rFonts w:ascii="Palatino Linotype" w:eastAsia="Palatino Linotype" w:hAnsi="Palatino Linotype" w:cs="Palatino Linotype"/>
          <w:b/>
          <w:sz w:val="22"/>
          <w:szCs w:val="22"/>
        </w:rPr>
      </w:pPr>
    </w:p>
    <w:p w14:paraId="5F4B65D8"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Primero.</w:t>
      </w:r>
      <w:r w:rsidRPr="00BC7456">
        <w:rPr>
          <w:rFonts w:ascii="Palatino Linotype" w:eastAsia="Palatino Linotype" w:hAnsi="Palatino Linotype" w:cs="Palatino Linotype"/>
          <w:sz w:val="22"/>
          <w:szCs w:val="22"/>
        </w:rPr>
        <w:t xml:space="preserve"> Resultan</w:t>
      </w:r>
      <w:r w:rsidRPr="00BC7456">
        <w:rPr>
          <w:rFonts w:ascii="Palatino Linotype" w:eastAsia="Palatino Linotype" w:hAnsi="Palatino Linotype" w:cs="Palatino Linotype"/>
          <w:b/>
          <w:sz w:val="22"/>
          <w:szCs w:val="22"/>
        </w:rPr>
        <w:t xml:space="preserve"> fundados</w:t>
      </w:r>
      <w:r w:rsidRPr="00BC7456">
        <w:rPr>
          <w:rFonts w:ascii="Palatino Linotype" w:eastAsia="Palatino Linotype" w:hAnsi="Palatino Linotype" w:cs="Palatino Linotype"/>
          <w:sz w:val="22"/>
          <w:szCs w:val="22"/>
        </w:rPr>
        <w:t xml:space="preserve"> los motivos de inconformidad hechos valer por </w:t>
      </w:r>
      <w:r w:rsidRPr="00BC7456">
        <w:rPr>
          <w:rFonts w:ascii="Palatino Linotype" w:eastAsia="Palatino Linotype" w:hAnsi="Palatino Linotype" w:cs="Palatino Linotype"/>
          <w:b/>
          <w:sz w:val="22"/>
          <w:szCs w:val="22"/>
        </w:rPr>
        <w:t>la parte</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b/>
          <w:sz w:val="22"/>
          <w:szCs w:val="22"/>
        </w:rPr>
        <w:t>Recurrente</w:t>
      </w:r>
      <w:r w:rsidRPr="00BC7456">
        <w:rPr>
          <w:rFonts w:ascii="Palatino Linotype" w:eastAsia="Palatino Linotype" w:hAnsi="Palatino Linotype" w:cs="Palatino Linotype"/>
          <w:sz w:val="22"/>
          <w:szCs w:val="22"/>
        </w:rPr>
        <w:t xml:space="preserve"> en el Recurso de Revisión </w:t>
      </w:r>
      <w:r w:rsidRPr="00BC7456">
        <w:rPr>
          <w:rFonts w:ascii="Palatino Linotype" w:eastAsia="Palatino Linotype" w:hAnsi="Palatino Linotype" w:cs="Palatino Linotype"/>
          <w:b/>
          <w:sz w:val="22"/>
          <w:szCs w:val="22"/>
        </w:rPr>
        <w:t>01139/INFOEM/IP/RR/2025</w:t>
      </w:r>
      <w:r w:rsidRPr="00BC7456">
        <w:rPr>
          <w:rFonts w:ascii="Palatino Linotype" w:eastAsia="Palatino Linotype" w:hAnsi="Palatino Linotype" w:cs="Palatino Linotype"/>
          <w:sz w:val="22"/>
          <w:szCs w:val="22"/>
        </w:rPr>
        <w:t xml:space="preserve">, por lo que, en términos del </w:t>
      </w:r>
      <w:r w:rsidRPr="00BC7456">
        <w:rPr>
          <w:rFonts w:ascii="Palatino Linotype" w:eastAsia="Palatino Linotype" w:hAnsi="Palatino Linotype" w:cs="Palatino Linotype"/>
          <w:b/>
          <w:sz w:val="22"/>
          <w:szCs w:val="22"/>
        </w:rPr>
        <w:t>Considerando Cuarto</w:t>
      </w:r>
      <w:r w:rsidRPr="00BC7456">
        <w:rPr>
          <w:rFonts w:ascii="Palatino Linotype" w:eastAsia="Palatino Linotype" w:hAnsi="Palatino Linotype" w:cs="Palatino Linotype"/>
          <w:sz w:val="22"/>
          <w:szCs w:val="22"/>
        </w:rPr>
        <w:t xml:space="preserve"> de esta resolución, se </w:t>
      </w:r>
      <w:r w:rsidRPr="00BC7456">
        <w:rPr>
          <w:rFonts w:ascii="Palatino Linotype" w:eastAsia="Palatino Linotype" w:hAnsi="Palatino Linotype" w:cs="Palatino Linotype"/>
          <w:b/>
          <w:sz w:val="22"/>
          <w:szCs w:val="22"/>
        </w:rPr>
        <w:t xml:space="preserve">REVOCA </w:t>
      </w:r>
      <w:r w:rsidRPr="00BC7456">
        <w:rPr>
          <w:rFonts w:ascii="Palatino Linotype" w:eastAsia="Palatino Linotype" w:hAnsi="Palatino Linotype" w:cs="Palatino Linotype"/>
          <w:sz w:val="22"/>
          <w:szCs w:val="22"/>
        </w:rPr>
        <w:t xml:space="preserve">la respuesta emitida por el </w:t>
      </w:r>
      <w:r w:rsidRPr="00BC7456">
        <w:rPr>
          <w:rFonts w:ascii="Palatino Linotype" w:eastAsia="Palatino Linotype" w:hAnsi="Palatino Linotype" w:cs="Palatino Linotype"/>
          <w:b/>
          <w:sz w:val="22"/>
          <w:szCs w:val="22"/>
        </w:rPr>
        <w:t>Sujeto Obligado</w:t>
      </w:r>
      <w:r w:rsidRPr="00BC7456">
        <w:rPr>
          <w:rFonts w:ascii="Palatino Linotype" w:eastAsia="Palatino Linotype" w:hAnsi="Palatino Linotype" w:cs="Palatino Linotype"/>
          <w:sz w:val="22"/>
          <w:szCs w:val="22"/>
        </w:rPr>
        <w:t>.</w:t>
      </w:r>
    </w:p>
    <w:p w14:paraId="6A8EF8D1"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09EC529B"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Segundo</w:t>
      </w:r>
      <w:r w:rsidRPr="00BC7456">
        <w:rPr>
          <w:rFonts w:ascii="Palatino Linotype" w:eastAsia="Palatino Linotype" w:hAnsi="Palatino Linotype" w:cs="Palatino Linotype"/>
          <w:sz w:val="22"/>
          <w:szCs w:val="22"/>
        </w:rPr>
        <w:t xml:space="preserve">. Se </w:t>
      </w:r>
      <w:r w:rsidRPr="00BC7456">
        <w:rPr>
          <w:rFonts w:ascii="Palatino Linotype" w:eastAsia="Palatino Linotype" w:hAnsi="Palatino Linotype" w:cs="Palatino Linotype"/>
          <w:b/>
          <w:sz w:val="22"/>
          <w:szCs w:val="22"/>
        </w:rPr>
        <w:t>ORDENA</w:t>
      </w:r>
      <w:r w:rsidRPr="00BC7456">
        <w:rPr>
          <w:rFonts w:ascii="Palatino Linotype" w:eastAsia="Palatino Linotype" w:hAnsi="Palatino Linotype" w:cs="Palatino Linotype"/>
          <w:sz w:val="22"/>
          <w:szCs w:val="22"/>
        </w:rPr>
        <w:t xml:space="preserve"> al </w:t>
      </w:r>
      <w:r w:rsidRPr="00BC7456">
        <w:rPr>
          <w:rFonts w:ascii="Palatino Linotype" w:eastAsia="Palatino Linotype" w:hAnsi="Palatino Linotype" w:cs="Palatino Linotype"/>
          <w:b/>
          <w:sz w:val="22"/>
          <w:szCs w:val="22"/>
        </w:rPr>
        <w:t xml:space="preserve">Sujeto Obligado </w:t>
      </w:r>
      <w:r w:rsidRPr="00BC7456">
        <w:rPr>
          <w:rFonts w:ascii="Palatino Linotype" w:eastAsia="Palatino Linotype" w:hAnsi="Palatino Linotype" w:cs="Palatino Linotype"/>
          <w:sz w:val="22"/>
          <w:szCs w:val="22"/>
        </w:rPr>
        <w:t xml:space="preserve">a que, en observancia de los </w:t>
      </w:r>
      <w:r w:rsidRPr="00BC7456">
        <w:rPr>
          <w:rFonts w:ascii="Palatino Linotype" w:eastAsia="Palatino Linotype" w:hAnsi="Palatino Linotype" w:cs="Palatino Linotype"/>
          <w:b/>
          <w:sz w:val="22"/>
          <w:szCs w:val="22"/>
        </w:rPr>
        <w:t>Considerandos Cuarto y Quinto</w:t>
      </w:r>
      <w:r w:rsidRPr="00BC7456">
        <w:rPr>
          <w:rFonts w:ascii="Palatino Linotype" w:eastAsia="Palatino Linotype" w:hAnsi="Palatino Linotype" w:cs="Palatino Linotype"/>
          <w:sz w:val="22"/>
          <w:szCs w:val="22"/>
        </w:rPr>
        <w:t xml:space="preserve">, hagan entrega, de ser el caso, en versión pública, vía Sistema de Acceso a la Información Mexiquense </w:t>
      </w:r>
      <w:r w:rsidRPr="00BC7456">
        <w:rPr>
          <w:rFonts w:ascii="Palatino Linotype" w:eastAsia="Palatino Linotype" w:hAnsi="Palatino Linotype" w:cs="Palatino Linotype"/>
          <w:b/>
          <w:sz w:val="22"/>
          <w:szCs w:val="22"/>
        </w:rPr>
        <w:t>(SAIMEX)</w:t>
      </w:r>
      <w:r w:rsidRPr="00BC7456">
        <w:rPr>
          <w:rFonts w:ascii="Palatino Linotype" w:eastAsia="Palatino Linotype" w:hAnsi="Palatino Linotype" w:cs="Palatino Linotype"/>
          <w:sz w:val="22"/>
          <w:szCs w:val="22"/>
        </w:rPr>
        <w:t>, de lo siguiente:</w:t>
      </w:r>
    </w:p>
    <w:p w14:paraId="4A29AE45" w14:textId="77777777" w:rsidR="007A2C6F" w:rsidRPr="00BC7456" w:rsidRDefault="007A2C6F">
      <w:pPr>
        <w:spacing w:line="360" w:lineRule="auto"/>
        <w:ind w:right="560"/>
        <w:jc w:val="both"/>
        <w:rPr>
          <w:rFonts w:ascii="Palatino Linotype" w:eastAsia="Palatino Linotype" w:hAnsi="Palatino Linotype" w:cs="Palatino Linotype"/>
          <w:sz w:val="22"/>
          <w:szCs w:val="22"/>
        </w:rPr>
      </w:pPr>
    </w:p>
    <w:p w14:paraId="3C0F5C1E" w14:textId="77777777" w:rsidR="007A2C6F" w:rsidRPr="00BC7456" w:rsidRDefault="00BA6AB5">
      <w:pPr>
        <w:numPr>
          <w:ilvl w:val="0"/>
          <w:numId w:val="6"/>
        </w:numPr>
        <w:pBdr>
          <w:top w:val="nil"/>
          <w:left w:val="nil"/>
          <w:bottom w:val="nil"/>
          <w:right w:val="nil"/>
          <w:between w:val="nil"/>
        </w:pBdr>
        <w:tabs>
          <w:tab w:val="left" w:pos="8080"/>
        </w:tabs>
        <w:spacing w:line="360" w:lineRule="auto"/>
        <w:ind w:right="560"/>
        <w:jc w:val="both"/>
        <w:rPr>
          <w:rFonts w:ascii="Palatino Linotype" w:eastAsia="Palatino Linotype" w:hAnsi="Palatino Linotype" w:cs="Palatino Linotype"/>
          <w:i/>
          <w:color w:val="000000"/>
          <w:sz w:val="22"/>
          <w:szCs w:val="22"/>
        </w:rPr>
      </w:pPr>
      <w:r w:rsidRPr="00BC7456">
        <w:rPr>
          <w:rFonts w:ascii="Palatino Linotype" w:eastAsia="Palatino Linotype" w:hAnsi="Palatino Linotype" w:cs="Palatino Linotype"/>
          <w:color w:val="000000"/>
          <w:sz w:val="22"/>
          <w:szCs w:val="22"/>
        </w:rPr>
        <w:t>Las demandas laborales que se le hayan notificado del uno de enero del dos mil veintidós al treinta y uno de diciembre de dos mil veinticuatro.</w:t>
      </w:r>
    </w:p>
    <w:p w14:paraId="344DB694" w14:textId="77777777" w:rsidR="007A2C6F" w:rsidRPr="00BC7456" w:rsidRDefault="00BA6AB5">
      <w:pPr>
        <w:numPr>
          <w:ilvl w:val="0"/>
          <w:numId w:val="6"/>
        </w:numPr>
        <w:pBdr>
          <w:top w:val="nil"/>
          <w:left w:val="nil"/>
          <w:bottom w:val="nil"/>
          <w:right w:val="nil"/>
          <w:between w:val="nil"/>
        </w:pBdr>
        <w:tabs>
          <w:tab w:val="left" w:pos="8080"/>
        </w:tabs>
        <w:spacing w:line="360" w:lineRule="auto"/>
        <w:ind w:right="560"/>
        <w:jc w:val="both"/>
        <w:rPr>
          <w:rFonts w:ascii="Palatino Linotype" w:eastAsia="Palatino Linotype" w:hAnsi="Palatino Linotype" w:cs="Palatino Linotype"/>
          <w:i/>
          <w:color w:val="000000"/>
          <w:sz w:val="22"/>
          <w:szCs w:val="22"/>
        </w:rPr>
      </w:pPr>
      <w:r w:rsidRPr="00BC7456">
        <w:rPr>
          <w:rFonts w:ascii="Palatino Linotype" w:eastAsia="Palatino Linotype" w:hAnsi="Palatino Linotype" w:cs="Palatino Linotype"/>
          <w:color w:val="000000"/>
          <w:sz w:val="22"/>
          <w:szCs w:val="22"/>
        </w:rPr>
        <w:t xml:space="preserve">Laudos notificados del uno de enero de dos mil veintidós al treinta y uno de enero de dos mil veinticuatro. </w:t>
      </w:r>
    </w:p>
    <w:p w14:paraId="246210C7" w14:textId="77777777" w:rsidR="007A2C6F" w:rsidRPr="00BC7456" w:rsidRDefault="007A2C6F">
      <w:pPr>
        <w:tabs>
          <w:tab w:val="left" w:pos="8080"/>
        </w:tabs>
        <w:ind w:left="567" w:right="560"/>
        <w:jc w:val="both"/>
        <w:rPr>
          <w:rFonts w:ascii="Palatino Linotype" w:eastAsia="Palatino Linotype" w:hAnsi="Palatino Linotype" w:cs="Palatino Linotype"/>
          <w:i/>
        </w:rPr>
      </w:pPr>
    </w:p>
    <w:p w14:paraId="612A60EE" w14:textId="77777777" w:rsidR="007A2C6F" w:rsidRPr="00BC7456" w:rsidRDefault="007A2C6F">
      <w:pPr>
        <w:tabs>
          <w:tab w:val="left" w:pos="8080"/>
        </w:tabs>
        <w:ind w:left="567" w:right="560"/>
        <w:jc w:val="both"/>
        <w:rPr>
          <w:rFonts w:ascii="Palatino Linotype" w:eastAsia="Palatino Linotype" w:hAnsi="Palatino Linotype" w:cs="Palatino Linotype"/>
          <w:i/>
        </w:rPr>
      </w:pPr>
    </w:p>
    <w:p w14:paraId="31D584F8" w14:textId="77777777" w:rsidR="007A2C6F" w:rsidRPr="00BC7456" w:rsidRDefault="00BA6AB5">
      <w:pPr>
        <w:tabs>
          <w:tab w:val="left" w:pos="8080"/>
        </w:tabs>
        <w:spacing w:line="276" w:lineRule="auto"/>
        <w:ind w:left="567" w:right="560"/>
        <w:jc w:val="both"/>
        <w:rPr>
          <w:rFonts w:ascii="Palatino Linotype" w:eastAsia="Palatino Linotype" w:hAnsi="Palatino Linotype" w:cs="Palatino Linotype"/>
          <w:b/>
          <w:i/>
          <w:sz w:val="22"/>
          <w:szCs w:val="22"/>
        </w:rPr>
      </w:pPr>
      <w:r w:rsidRPr="00BC7456">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BC7456">
        <w:rPr>
          <w:rFonts w:ascii="Palatino Linotype" w:eastAsia="Palatino Linotype" w:hAnsi="Palatino Linotype" w:cs="Palatino Linotype"/>
          <w:b/>
          <w:i/>
          <w:sz w:val="22"/>
          <w:szCs w:val="22"/>
        </w:rPr>
        <w:t>la parte Recurrente</w:t>
      </w:r>
      <w:r w:rsidRPr="00BC7456">
        <w:rPr>
          <w:rFonts w:ascii="Palatino Linotype" w:eastAsia="Palatino Linotype" w:hAnsi="Palatino Linotype" w:cs="Palatino Linotype"/>
          <w:i/>
          <w:sz w:val="22"/>
          <w:szCs w:val="22"/>
        </w:rPr>
        <w:t>.</w:t>
      </w:r>
    </w:p>
    <w:p w14:paraId="675AF742" w14:textId="77777777" w:rsidR="007A2C6F" w:rsidRPr="00BC7456" w:rsidRDefault="007A2C6F">
      <w:pPr>
        <w:tabs>
          <w:tab w:val="left" w:pos="8080"/>
        </w:tabs>
        <w:spacing w:line="276" w:lineRule="auto"/>
        <w:ind w:left="567" w:right="560"/>
        <w:jc w:val="both"/>
        <w:rPr>
          <w:rFonts w:ascii="Palatino Linotype" w:eastAsia="Palatino Linotype" w:hAnsi="Palatino Linotype" w:cs="Palatino Linotype"/>
          <w:b/>
          <w:i/>
          <w:sz w:val="22"/>
          <w:szCs w:val="22"/>
        </w:rPr>
      </w:pPr>
    </w:p>
    <w:p w14:paraId="27CC7EA9" w14:textId="77777777" w:rsidR="007A2C6F" w:rsidRPr="00BC7456" w:rsidRDefault="00BA6AB5">
      <w:pPr>
        <w:tabs>
          <w:tab w:val="left" w:pos="8080"/>
        </w:tabs>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sz w:val="22"/>
          <w:szCs w:val="22"/>
        </w:rPr>
        <w:lastRenderedPageBreak/>
        <w:t>Para el caso, de que, alguna demanda laboral forme parte de un procedimiento que se encuentre en trámite, se deberá clasificar en términos el artículo 140, fracción VIII de la Ley de Transparencia y Acceso a la Información Pública del Estado de México y Municipios.</w:t>
      </w:r>
    </w:p>
    <w:p w14:paraId="6B23F182" w14:textId="77777777" w:rsidR="007A2C6F" w:rsidRPr="00BC7456" w:rsidRDefault="007A2C6F">
      <w:pPr>
        <w:tabs>
          <w:tab w:val="left" w:pos="8080"/>
        </w:tabs>
        <w:spacing w:line="276" w:lineRule="auto"/>
        <w:ind w:left="567" w:right="560"/>
        <w:jc w:val="both"/>
        <w:rPr>
          <w:rFonts w:ascii="Palatino Linotype" w:eastAsia="Palatino Linotype" w:hAnsi="Palatino Linotype" w:cs="Palatino Linotype"/>
          <w:i/>
          <w:sz w:val="22"/>
          <w:szCs w:val="22"/>
        </w:rPr>
      </w:pPr>
    </w:p>
    <w:p w14:paraId="5CF4F971" w14:textId="77777777" w:rsidR="007A2C6F" w:rsidRPr="00BC7456" w:rsidRDefault="00BA6AB5">
      <w:pPr>
        <w:tabs>
          <w:tab w:val="left" w:pos="8080"/>
        </w:tabs>
        <w:spacing w:line="276" w:lineRule="auto"/>
        <w:ind w:left="567" w:right="560"/>
        <w:jc w:val="both"/>
        <w:rPr>
          <w:rFonts w:ascii="Palatino Linotype" w:eastAsia="Palatino Linotype" w:hAnsi="Palatino Linotype" w:cs="Palatino Linotype"/>
          <w:i/>
          <w:sz w:val="22"/>
          <w:szCs w:val="22"/>
        </w:rPr>
      </w:pPr>
      <w:r w:rsidRPr="00BC7456">
        <w:rPr>
          <w:rFonts w:ascii="Palatino Linotype" w:eastAsia="Palatino Linotype" w:hAnsi="Palatino Linotype" w:cs="Palatino Linotype"/>
          <w:i/>
          <w:color w:val="000000"/>
          <w:sz w:val="22"/>
          <w:szCs w:val="22"/>
        </w:rPr>
        <w:t xml:space="preserve">En el supuesto de que el Sujeto Obligado no cuente con la información que se ordena en el inciso b),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 </w:t>
      </w:r>
    </w:p>
    <w:p w14:paraId="3D124F93" w14:textId="77777777" w:rsidR="007A2C6F" w:rsidRPr="00BC7456" w:rsidRDefault="007A2C6F">
      <w:pPr>
        <w:pBdr>
          <w:top w:val="nil"/>
          <w:left w:val="nil"/>
          <w:bottom w:val="nil"/>
          <w:right w:val="nil"/>
          <w:between w:val="nil"/>
        </w:pBdr>
        <w:tabs>
          <w:tab w:val="left" w:pos="8080"/>
        </w:tabs>
        <w:ind w:left="927" w:right="560"/>
        <w:jc w:val="both"/>
        <w:rPr>
          <w:rFonts w:ascii="Palatino Linotype" w:eastAsia="Palatino Linotype" w:hAnsi="Palatino Linotype" w:cs="Palatino Linotype"/>
          <w:i/>
          <w:color w:val="000000"/>
          <w:sz w:val="22"/>
          <w:szCs w:val="22"/>
        </w:rPr>
      </w:pPr>
    </w:p>
    <w:p w14:paraId="028386FC" w14:textId="77777777" w:rsidR="007A2C6F" w:rsidRPr="00BC7456" w:rsidRDefault="007A2C6F">
      <w:pPr>
        <w:pBdr>
          <w:top w:val="nil"/>
          <w:left w:val="nil"/>
          <w:bottom w:val="nil"/>
          <w:right w:val="nil"/>
          <w:between w:val="nil"/>
        </w:pBdr>
        <w:tabs>
          <w:tab w:val="left" w:pos="567"/>
          <w:tab w:val="left" w:pos="993"/>
        </w:tabs>
        <w:ind w:right="560"/>
        <w:jc w:val="both"/>
        <w:rPr>
          <w:rFonts w:ascii="Palatino Linotype" w:eastAsia="Palatino Linotype" w:hAnsi="Palatino Linotype" w:cs="Palatino Linotype"/>
          <w:b/>
          <w:i/>
          <w:color w:val="FF0000"/>
          <w:sz w:val="22"/>
          <w:szCs w:val="22"/>
        </w:rPr>
      </w:pPr>
    </w:p>
    <w:p w14:paraId="0ADE1717"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Tercero.</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b/>
          <w:sz w:val="22"/>
          <w:szCs w:val="22"/>
        </w:rPr>
        <w:t xml:space="preserve">Notifíquese vía SAIMEX </w:t>
      </w:r>
      <w:r w:rsidRPr="00BC7456">
        <w:rPr>
          <w:rFonts w:ascii="Palatino Linotype" w:eastAsia="Palatino Linotype" w:hAnsi="Palatino Linotype" w:cs="Palatino Linotype"/>
          <w:sz w:val="22"/>
          <w:szCs w:val="22"/>
        </w:rPr>
        <w:t>la presente resolución al T</w:t>
      </w:r>
      <w:r w:rsidRPr="00BC7456">
        <w:rPr>
          <w:rFonts w:ascii="Palatino Linotype" w:eastAsia="Palatino Linotype" w:hAnsi="Palatino Linotype" w:cs="Palatino Linotype"/>
          <w:b/>
          <w:sz w:val="22"/>
          <w:szCs w:val="22"/>
        </w:rPr>
        <w:t xml:space="preserve">itular de la Unidad de Transparencia </w:t>
      </w:r>
      <w:r w:rsidRPr="00BC7456">
        <w:rPr>
          <w:rFonts w:ascii="Palatino Linotype" w:eastAsia="Palatino Linotype" w:hAnsi="Palatino Linotype" w:cs="Palatino Linotype"/>
          <w:sz w:val="22"/>
          <w:szCs w:val="22"/>
        </w:rPr>
        <w:t xml:space="preserve">del </w:t>
      </w:r>
      <w:r w:rsidRPr="00BC7456">
        <w:rPr>
          <w:rFonts w:ascii="Palatino Linotype" w:eastAsia="Palatino Linotype" w:hAnsi="Palatino Linotype" w:cs="Palatino Linotype"/>
          <w:b/>
          <w:sz w:val="22"/>
          <w:szCs w:val="22"/>
        </w:rPr>
        <w:t>Sujeto Obligado</w:t>
      </w:r>
      <w:r w:rsidRPr="00BC7456">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52880EA"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7DE633E9"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Cuarto.</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b/>
          <w:sz w:val="22"/>
          <w:szCs w:val="22"/>
        </w:rPr>
        <w:t>Notifíquese vía SAIMEX</w:t>
      </w:r>
      <w:r w:rsidRPr="00BC7456">
        <w:rPr>
          <w:rFonts w:ascii="Palatino Linotype" w:eastAsia="Palatino Linotype" w:hAnsi="Palatino Linotype" w:cs="Palatino Linotype"/>
          <w:sz w:val="22"/>
          <w:szCs w:val="22"/>
        </w:rPr>
        <w:t xml:space="preserve"> a </w:t>
      </w:r>
      <w:r w:rsidRPr="00BC7456">
        <w:rPr>
          <w:rFonts w:ascii="Palatino Linotype" w:eastAsia="Palatino Linotype" w:hAnsi="Palatino Linotype" w:cs="Palatino Linotype"/>
          <w:b/>
          <w:sz w:val="22"/>
          <w:szCs w:val="22"/>
        </w:rPr>
        <w:t>la parte</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b/>
          <w:sz w:val="22"/>
          <w:szCs w:val="22"/>
        </w:rPr>
        <w:t xml:space="preserve">Recurrente </w:t>
      </w:r>
      <w:r w:rsidRPr="00BC7456">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03627B52" w14:textId="77777777" w:rsidR="007A2C6F" w:rsidRPr="00BC7456" w:rsidRDefault="007A2C6F">
      <w:pPr>
        <w:spacing w:line="360" w:lineRule="auto"/>
        <w:ind w:right="49"/>
        <w:jc w:val="both"/>
        <w:rPr>
          <w:rFonts w:ascii="Palatino Linotype" w:eastAsia="Palatino Linotype" w:hAnsi="Palatino Linotype" w:cs="Palatino Linotype"/>
          <w:sz w:val="22"/>
          <w:szCs w:val="22"/>
        </w:rPr>
      </w:pPr>
    </w:p>
    <w:p w14:paraId="7421A72B" w14:textId="77777777" w:rsidR="007A2C6F" w:rsidRPr="00BC7456" w:rsidRDefault="00BA6AB5">
      <w:pPr>
        <w:spacing w:line="360" w:lineRule="auto"/>
        <w:ind w:right="49"/>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b/>
          <w:sz w:val="22"/>
          <w:szCs w:val="22"/>
        </w:rPr>
        <w:t>Quinto.</w:t>
      </w:r>
      <w:r w:rsidRPr="00BC7456">
        <w:rPr>
          <w:rFonts w:ascii="Palatino Linotype" w:eastAsia="Palatino Linotype" w:hAnsi="Palatino Linotype" w:cs="Palatino Linotype"/>
          <w:sz w:val="22"/>
          <w:szCs w:val="22"/>
        </w:rPr>
        <w:t xml:space="preserve"> </w:t>
      </w:r>
      <w:r w:rsidRPr="00BC7456">
        <w:rPr>
          <w:rFonts w:ascii="Palatino Linotype" w:eastAsia="Palatino Linotype" w:hAnsi="Palatino Linotype" w:cs="Palatino Linotype"/>
          <w:b/>
          <w:sz w:val="22"/>
          <w:szCs w:val="22"/>
        </w:rPr>
        <w:t xml:space="preserve">Notifíquese vía SAIMEX </w:t>
      </w:r>
      <w:r w:rsidRPr="00BC7456">
        <w:rPr>
          <w:rFonts w:ascii="Palatino Linotype" w:eastAsia="Palatino Linotype" w:hAnsi="Palatino Linotype" w:cs="Palatino Linotype"/>
          <w:sz w:val="22"/>
          <w:szCs w:val="22"/>
        </w:rPr>
        <w:t>la presente resolución al T</w:t>
      </w:r>
      <w:r w:rsidRPr="00BC7456">
        <w:rPr>
          <w:rFonts w:ascii="Palatino Linotype" w:eastAsia="Palatino Linotype" w:hAnsi="Palatino Linotype" w:cs="Palatino Linotype"/>
          <w:b/>
          <w:sz w:val="22"/>
          <w:szCs w:val="22"/>
        </w:rPr>
        <w:t xml:space="preserve">itular de la Unidad de Transparencia </w:t>
      </w:r>
      <w:r w:rsidRPr="00BC7456">
        <w:rPr>
          <w:rFonts w:ascii="Palatino Linotype" w:eastAsia="Palatino Linotype" w:hAnsi="Palatino Linotype" w:cs="Palatino Linotype"/>
          <w:sz w:val="22"/>
          <w:szCs w:val="22"/>
        </w:rPr>
        <w:t xml:space="preserve">del </w:t>
      </w:r>
      <w:r w:rsidRPr="00BC7456">
        <w:rPr>
          <w:rFonts w:ascii="Palatino Linotype" w:eastAsia="Palatino Linotype" w:hAnsi="Palatino Linotype" w:cs="Palatino Linotype"/>
          <w:b/>
          <w:sz w:val="22"/>
          <w:szCs w:val="22"/>
        </w:rPr>
        <w:t>Sujeto Obligado</w:t>
      </w:r>
      <w:r w:rsidRPr="00BC7456">
        <w:rPr>
          <w:rFonts w:ascii="Palatino Linotype" w:eastAsia="Palatino Linotype" w:hAnsi="Palatino Linotype" w:cs="Palatino Linotype"/>
          <w:sz w:val="22"/>
          <w:szCs w:val="22"/>
        </w:rPr>
        <w:t xml:space="preserve"> que, de conformidad con el artículo 198 de la Ley de </w:t>
      </w:r>
      <w:r w:rsidRPr="00BC7456">
        <w:rPr>
          <w:rFonts w:ascii="Palatino Linotype" w:eastAsia="Palatino Linotype" w:hAnsi="Palatino Linotype" w:cs="Palatino Linotype"/>
          <w:sz w:val="22"/>
          <w:szCs w:val="22"/>
        </w:rPr>
        <w:lastRenderedPageBreak/>
        <w:t>Transparencia y Acceso a la Información Pública del Estado de México y Municipios, de considerarlo procedente, de manera fundada y motivada, podrá solicitar una ampliación de plazo para el cumplimiento de la presente resolución.</w:t>
      </w:r>
    </w:p>
    <w:p w14:paraId="4A17072B" w14:textId="77777777" w:rsidR="007A2C6F" w:rsidRDefault="00BA6AB5">
      <w:pPr>
        <w:spacing w:line="360" w:lineRule="auto"/>
        <w:jc w:val="both"/>
        <w:rPr>
          <w:rFonts w:ascii="Palatino Linotype" w:eastAsia="Palatino Linotype" w:hAnsi="Palatino Linotype" w:cs="Palatino Linotype"/>
          <w:sz w:val="22"/>
          <w:szCs w:val="22"/>
        </w:rPr>
      </w:pPr>
      <w:r w:rsidRPr="00BC7456">
        <w:rPr>
          <w:rFonts w:ascii="Palatino Linotype" w:eastAsia="Palatino Linotype" w:hAnsi="Palatino Linotype" w:cs="Palatino Linotype"/>
          <w:sz w:val="22"/>
          <w:szCs w:val="22"/>
        </w:rPr>
        <w:br/>
        <w:t xml:space="preserve">ASÍ, POR UNANIMIDAD DE VOTOS, LO RESOLVIERON Y FIRMAN LOS COMISIONADOS DEL INSTITUTO DE TRANSPARENCIA, ACCESO A LA INFORMACIÓN PÚBLICA Y PROTECCIÓN DE DATOS PERSONALES DEL ESTADO DE MÉXICO Y MUNICIPIOS, CONFORMADO POR LOS COMISIONADOS JOSÉ MARTÍNEZ VILCHIS, MARÍA DEL ROSARIO MEJÍA AYALA, SHARON CRISTINA MORALES MARTÍNEZ </w:t>
      </w:r>
      <w:r w:rsidR="007D1258" w:rsidRPr="00BC7456">
        <w:rPr>
          <w:rFonts w:ascii="Palatino Linotype" w:eastAsia="Palatino Linotype" w:hAnsi="Palatino Linotype" w:cs="Palatino Linotype"/>
          <w:sz w:val="22"/>
          <w:szCs w:val="22"/>
        </w:rPr>
        <w:t>(</w:t>
      </w:r>
      <w:r w:rsidRPr="00BC7456">
        <w:rPr>
          <w:rFonts w:ascii="Palatino Linotype" w:eastAsia="Palatino Linotype" w:hAnsi="Palatino Linotype" w:cs="Palatino Linotype"/>
          <w:sz w:val="22"/>
          <w:szCs w:val="22"/>
        </w:rPr>
        <w:t>EMITIENDO VOTO PARTICULAR</w:t>
      </w:r>
      <w:r w:rsidR="007D1258" w:rsidRPr="00BC7456">
        <w:rPr>
          <w:rFonts w:ascii="Palatino Linotype" w:eastAsia="Palatino Linotype" w:hAnsi="Palatino Linotype" w:cs="Palatino Linotype"/>
          <w:sz w:val="22"/>
          <w:szCs w:val="22"/>
        </w:rPr>
        <w:t>)</w:t>
      </w:r>
      <w:r w:rsidRPr="00BC7456">
        <w:rPr>
          <w:rFonts w:ascii="Palatino Linotype" w:eastAsia="Palatino Linotype" w:hAnsi="Palatino Linotype" w:cs="Palatino Linotype"/>
          <w:sz w:val="22"/>
          <w:szCs w:val="22"/>
        </w:rPr>
        <w:t xml:space="preserve">, LUIS GUSTAVO PARRA NORIEGA </w:t>
      </w:r>
      <w:r w:rsidR="007D1258" w:rsidRPr="00BC7456">
        <w:rPr>
          <w:rFonts w:ascii="Palatino Linotype" w:eastAsia="Palatino Linotype" w:hAnsi="Palatino Linotype" w:cs="Palatino Linotype"/>
          <w:sz w:val="22"/>
          <w:szCs w:val="22"/>
        </w:rPr>
        <w:t>(</w:t>
      </w:r>
      <w:r w:rsidRPr="00BC7456">
        <w:rPr>
          <w:rFonts w:ascii="Palatino Linotype" w:eastAsia="Palatino Linotype" w:hAnsi="Palatino Linotype" w:cs="Palatino Linotype"/>
          <w:sz w:val="22"/>
          <w:szCs w:val="22"/>
        </w:rPr>
        <w:t>EMITIENDO VOTO PARTICULAR</w:t>
      </w:r>
      <w:r w:rsidR="007D1258" w:rsidRPr="00BC7456">
        <w:rPr>
          <w:rFonts w:ascii="Palatino Linotype" w:eastAsia="Palatino Linotype" w:hAnsi="Palatino Linotype" w:cs="Palatino Linotype"/>
          <w:sz w:val="22"/>
          <w:szCs w:val="22"/>
        </w:rPr>
        <w:t>)</w:t>
      </w:r>
      <w:r w:rsidRPr="00BC7456">
        <w:rPr>
          <w:rFonts w:ascii="Palatino Linotype" w:eastAsia="Palatino Linotype" w:hAnsi="Palatino Linotype" w:cs="Palatino Linotype"/>
          <w:sz w:val="22"/>
          <w:szCs w:val="22"/>
        </w:rPr>
        <w:t xml:space="preserve"> Y GUADALUPE RAMÍREZ PEÑA </w:t>
      </w:r>
      <w:r w:rsidR="007D1258" w:rsidRPr="00BC7456">
        <w:rPr>
          <w:rFonts w:ascii="Palatino Linotype" w:eastAsia="Palatino Linotype" w:hAnsi="Palatino Linotype" w:cs="Palatino Linotype"/>
          <w:sz w:val="22"/>
          <w:szCs w:val="22"/>
        </w:rPr>
        <w:t>(</w:t>
      </w:r>
      <w:r w:rsidRPr="00BC7456">
        <w:rPr>
          <w:rFonts w:ascii="Palatino Linotype" w:eastAsia="Palatino Linotype" w:hAnsi="Palatino Linotype" w:cs="Palatino Linotype"/>
          <w:sz w:val="22"/>
          <w:szCs w:val="22"/>
        </w:rPr>
        <w:t>EMITIENDO VOTO PARTICULAR</w:t>
      </w:r>
      <w:r w:rsidR="007D1258" w:rsidRPr="00BC7456">
        <w:rPr>
          <w:rFonts w:ascii="Palatino Linotype" w:eastAsia="Palatino Linotype" w:hAnsi="Palatino Linotype" w:cs="Palatino Linotype"/>
          <w:sz w:val="22"/>
          <w:szCs w:val="22"/>
        </w:rPr>
        <w:t>)</w:t>
      </w:r>
      <w:r w:rsidRPr="00BC7456">
        <w:rPr>
          <w:rFonts w:ascii="Palatino Linotype" w:eastAsia="Palatino Linotype" w:hAnsi="Palatino Linotype" w:cs="Palatino Linotype"/>
          <w:sz w:val="22"/>
          <w:szCs w:val="22"/>
        </w:rPr>
        <w:t>, EN LA DÉCIMA SEGUNDA SESIÓN ORDINARIA, CELEBRADA EL DOS DE ABRIL DE DOS MIL VEINTICINCO ANTE EL SECRETARIO TÉCNICO DEL PLENO, ALEXIS TAPIA RAMÍREZ.</w:t>
      </w:r>
    </w:p>
    <w:p w14:paraId="707AE1D9" w14:textId="77777777" w:rsidR="00632FC9" w:rsidRDefault="00632FC9">
      <w:pPr>
        <w:spacing w:line="360" w:lineRule="auto"/>
        <w:jc w:val="both"/>
        <w:rPr>
          <w:rFonts w:ascii="Palatino Linotype" w:eastAsia="Palatino Linotype" w:hAnsi="Palatino Linotype" w:cs="Palatino Linotype"/>
          <w:sz w:val="22"/>
          <w:szCs w:val="22"/>
        </w:rPr>
      </w:pPr>
    </w:p>
    <w:p w14:paraId="35372AE2" w14:textId="77777777" w:rsidR="00632FC9" w:rsidRDefault="00632FC9">
      <w:pPr>
        <w:spacing w:line="360" w:lineRule="auto"/>
        <w:jc w:val="both"/>
        <w:rPr>
          <w:rFonts w:ascii="Palatino Linotype" w:eastAsia="Palatino Linotype" w:hAnsi="Palatino Linotype" w:cs="Palatino Linotype"/>
          <w:sz w:val="22"/>
          <w:szCs w:val="22"/>
        </w:rPr>
      </w:pPr>
    </w:p>
    <w:p w14:paraId="2074ED0E" w14:textId="77777777" w:rsidR="00632FC9" w:rsidRDefault="00632FC9">
      <w:pPr>
        <w:spacing w:line="360" w:lineRule="auto"/>
        <w:jc w:val="both"/>
        <w:rPr>
          <w:rFonts w:ascii="Palatino Linotype" w:eastAsia="Palatino Linotype" w:hAnsi="Palatino Linotype" w:cs="Palatino Linotype"/>
          <w:sz w:val="22"/>
          <w:szCs w:val="22"/>
        </w:rPr>
      </w:pPr>
    </w:p>
    <w:p w14:paraId="40B6FA78" w14:textId="77777777" w:rsidR="00632FC9" w:rsidRDefault="00632FC9">
      <w:pPr>
        <w:spacing w:line="360" w:lineRule="auto"/>
        <w:jc w:val="both"/>
        <w:rPr>
          <w:rFonts w:ascii="Palatino Linotype" w:eastAsia="Palatino Linotype" w:hAnsi="Palatino Linotype" w:cs="Palatino Linotype"/>
          <w:sz w:val="22"/>
          <w:szCs w:val="22"/>
        </w:rPr>
      </w:pPr>
    </w:p>
    <w:p w14:paraId="46B392E7" w14:textId="77777777" w:rsidR="00632FC9" w:rsidRDefault="00632FC9">
      <w:pPr>
        <w:spacing w:line="360" w:lineRule="auto"/>
        <w:jc w:val="both"/>
        <w:rPr>
          <w:rFonts w:ascii="Palatino Linotype" w:eastAsia="Palatino Linotype" w:hAnsi="Palatino Linotype" w:cs="Palatino Linotype"/>
          <w:sz w:val="22"/>
          <w:szCs w:val="22"/>
        </w:rPr>
      </w:pPr>
    </w:p>
    <w:p w14:paraId="7217826E" w14:textId="77777777" w:rsidR="00632FC9" w:rsidRDefault="00632FC9">
      <w:pPr>
        <w:spacing w:line="360" w:lineRule="auto"/>
        <w:jc w:val="both"/>
        <w:rPr>
          <w:rFonts w:ascii="Palatino Linotype" w:eastAsia="Palatino Linotype" w:hAnsi="Palatino Linotype" w:cs="Palatino Linotype"/>
          <w:sz w:val="22"/>
          <w:szCs w:val="22"/>
        </w:rPr>
      </w:pPr>
    </w:p>
    <w:p w14:paraId="0AF39FFD" w14:textId="77777777" w:rsidR="00632FC9" w:rsidRDefault="00632FC9">
      <w:pPr>
        <w:spacing w:line="360" w:lineRule="auto"/>
        <w:jc w:val="both"/>
        <w:rPr>
          <w:rFonts w:ascii="Palatino Linotype" w:eastAsia="Palatino Linotype" w:hAnsi="Palatino Linotype" w:cs="Palatino Linotype"/>
          <w:sz w:val="22"/>
          <w:szCs w:val="22"/>
        </w:rPr>
      </w:pPr>
    </w:p>
    <w:p w14:paraId="3F4D6149" w14:textId="77777777" w:rsidR="00632FC9" w:rsidRDefault="00632FC9">
      <w:pPr>
        <w:spacing w:line="360" w:lineRule="auto"/>
        <w:jc w:val="both"/>
        <w:rPr>
          <w:rFonts w:ascii="Palatino Linotype" w:eastAsia="Palatino Linotype" w:hAnsi="Palatino Linotype" w:cs="Palatino Linotype"/>
          <w:sz w:val="22"/>
          <w:szCs w:val="22"/>
        </w:rPr>
      </w:pPr>
    </w:p>
    <w:p w14:paraId="169A0616" w14:textId="77777777" w:rsidR="00632FC9" w:rsidRDefault="00632FC9">
      <w:pPr>
        <w:spacing w:line="360" w:lineRule="auto"/>
        <w:jc w:val="both"/>
        <w:rPr>
          <w:rFonts w:ascii="Palatino Linotype" w:eastAsia="Palatino Linotype" w:hAnsi="Palatino Linotype" w:cs="Palatino Linotype"/>
          <w:sz w:val="22"/>
          <w:szCs w:val="22"/>
        </w:rPr>
      </w:pPr>
    </w:p>
    <w:p w14:paraId="2DE8484B" w14:textId="77777777" w:rsidR="00632FC9" w:rsidRDefault="00632FC9">
      <w:pPr>
        <w:spacing w:line="360" w:lineRule="auto"/>
        <w:jc w:val="both"/>
        <w:rPr>
          <w:rFonts w:ascii="Palatino Linotype" w:eastAsia="Palatino Linotype" w:hAnsi="Palatino Linotype" w:cs="Palatino Linotype"/>
          <w:sz w:val="22"/>
          <w:szCs w:val="22"/>
        </w:rPr>
      </w:pPr>
    </w:p>
    <w:p w14:paraId="432A37F8" w14:textId="77777777" w:rsidR="00632FC9" w:rsidRDefault="00632FC9">
      <w:pPr>
        <w:spacing w:line="360" w:lineRule="auto"/>
        <w:jc w:val="both"/>
        <w:rPr>
          <w:rFonts w:ascii="Palatino Linotype" w:eastAsia="Palatino Linotype" w:hAnsi="Palatino Linotype" w:cs="Palatino Linotype"/>
          <w:sz w:val="22"/>
          <w:szCs w:val="22"/>
        </w:rPr>
      </w:pPr>
    </w:p>
    <w:p w14:paraId="45B1ECF3" w14:textId="77777777" w:rsidR="00632FC9" w:rsidRDefault="00632FC9">
      <w:pPr>
        <w:spacing w:line="360" w:lineRule="auto"/>
        <w:jc w:val="both"/>
        <w:rPr>
          <w:rFonts w:ascii="Palatino Linotype" w:eastAsia="Palatino Linotype" w:hAnsi="Palatino Linotype" w:cs="Palatino Linotype"/>
          <w:sz w:val="22"/>
          <w:szCs w:val="22"/>
        </w:rPr>
      </w:pPr>
    </w:p>
    <w:p w14:paraId="55DC0789" w14:textId="77777777" w:rsidR="00632FC9" w:rsidRDefault="00632FC9">
      <w:pPr>
        <w:spacing w:line="360" w:lineRule="auto"/>
        <w:jc w:val="both"/>
        <w:rPr>
          <w:rFonts w:ascii="Palatino Linotype" w:eastAsia="Palatino Linotype" w:hAnsi="Palatino Linotype" w:cs="Palatino Linotype"/>
          <w:sz w:val="22"/>
          <w:szCs w:val="22"/>
        </w:rPr>
      </w:pPr>
    </w:p>
    <w:p w14:paraId="7519E3C4" w14:textId="77777777" w:rsidR="00632FC9" w:rsidRDefault="00632FC9">
      <w:pPr>
        <w:spacing w:line="360" w:lineRule="auto"/>
        <w:jc w:val="both"/>
        <w:rPr>
          <w:rFonts w:ascii="Palatino Linotype" w:eastAsia="Palatino Linotype" w:hAnsi="Palatino Linotype" w:cs="Palatino Linotype"/>
          <w:sz w:val="22"/>
          <w:szCs w:val="22"/>
        </w:rPr>
      </w:pPr>
    </w:p>
    <w:p w14:paraId="7D43BD9A" w14:textId="77777777" w:rsidR="007A2C6F" w:rsidRDefault="007A2C6F">
      <w:pPr>
        <w:spacing w:line="360" w:lineRule="auto"/>
        <w:jc w:val="both"/>
        <w:rPr>
          <w:rFonts w:ascii="Palatino Linotype" w:eastAsia="Palatino Linotype" w:hAnsi="Palatino Linotype" w:cs="Palatino Linotype"/>
          <w:sz w:val="22"/>
          <w:szCs w:val="22"/>
        </w:rPr>
      </w:pPr>
    </w:p>
    <w:p w14:paraId="2ACDB043" w14:textId="77777777" w:rsidR="007A2C6F" w:rsidRDefault="007A2C6F">
      <w:pPr>
        <w:spacing w:line="360" w:lineRule="auto"/>
        <w:jc w:val="both"/>
        <w:rPr>
          <w:rFonts w:ascii="Palatino Linotype" w:eastAsia="Palatino Linotype" w:hAnsi="Palatino Linotype" w:cs="Palatino Linotype"/>
          <w:sz w:val="22"/>
          <w:szCs w:val="22"/>
        </w:rPr>
      </w:pPr>
    </w:p>
    <w:p w14:paraId="2FEFC2CC" w14:textId="77777777" w:rsidR="007A2C6F" w:rsidRDefault="007A2C6F">
      <w:pPr>
        <w:spacing w:line="360" w:lineRule="auto"/>
        <w:jc w:val="both"/>
        <w:rPr>
          <w:rFonts w:ascii="Palatino Linotype" w:eastAsia="Palatino Linotype" w:hAnsi="Palatino Linotype" w:cs="Palatino Linotype"/>
          <w:sz w:val="22"/>
          <w:szCs w:val="22"/>
        </w:rPr>
      </w:pPr>
    </w:p>
    <w:sectPr w:rsidR="007A2C6F">
      <w:headerReference w:type="even" r:id="rId12"/>
      <w:headerReference w:type="default" r:id="rId13"/>
      <w:footerReference w:type="default" r:id="rId14"/>
      <w:headerReference w:type="first" r:id="rId15"/>
      <w:footerReference w:type="first" r:id="rId16"/>
      <w:pgSz w:w="12240" w:h="15840"/>
      <w:pgMar w:top="80" w:right="1608" w:bottom="1134" w:left="1588" w:header="45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F0D7" w14:textId="77777777" w:rsidR="00953524" w:rsidRDefault="00953524">
      <w:r>
        <w:separator/>
      </w:r>
    </w:p>
  </w:endnote>
  <w:endnote w:type="continuationSeparator" w:id="0">
    <w:p w14:paraId="6FD15677" w14:textId="77777777" w:rsidR="00953524" w:rsidRDefault="0095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5258" w14:textId="77777777" w:rsidR="007A2C6F" w:rsidRDefault="007A2C6F">
    <w:pPr>
      <w:pBdr>
        <w:top w:val="nil"/>
        <w:left w:val="nil"/>
        <w:bottom w:val="nil"/>
        <w:right w:val="nil"/>
        <w:between w:val="nil"/>
      </w:pBdr>
      <w:tabs>
        <w:tab w:val="center" w:pos="4419"/>
        <w:tab w:val="right" w:pos="8838"/>
      </w:tabs>
      <w:jc w:val="right"/>
      <w:rPr>
        <w:color w:val="000000"/>
        <w:sz w:val="26"/>
        <w:szCs w:val="26"/>
      </w:rPr>
    </w:pPr>
  </w:p>
  <w:p w14:paraId="1818B6BD" w14:textId="77777777" w:rsidR="007A2C6F" w:rsidRDefault="00BA6AB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C7456">
      <w:rPr>
        <w:b/>
        <w:noProof/>
        <w:color w:val="000000"/>
        <w:sz w:val="24"/>
        <w:szCs w:val="24"/>
      </w:rPr>
      <w:t>43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C7456">
      <w:rPr>
        <w:b/>
        <w:noProof/>
        <w:color w:val="000000"/>
        <w:sz w:val="24"/>
        <w:szCs w:val="24"/>
      </w:rPr>
      <w:t>44</w:t>
    </w:r>
    <w:r>
      <w:rPr>
        <w:b/>
        <w:color w:val="000000"/>
        <w:sz w:val="24"/>
        <w:szCs w:val="24"/>
      </w:rPr>
      <w:fldChar w:fldCharType="end"/>
    </w:r>
  </w:p>
  <w:p w14:paraId="0727300E" w14:textId="77777777" w:rsidR="007A2C6F" w:rsidRDefault="007A2C6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A3B8" w14:textId="77777777" w:rsidR="007A2C6F" w:rsidRDefault="007A2C6F">
    <w:pPr>
      <w:pBdr>
        <w:top w:val="nil"/>
        <w:left w:val="nil"/>
        <w:bottom w:val="nil"/>
        <w:right w:val="nil"/>
        <w:between w:val="nil"/>
      </w:pBdr>
      <w:tabs>
        <w:tab w:val="center" w:pos="4419"/>
        <w:tab w:val="right" w:pos="8838"/>
      </w:tabs>
      <w:jc w:val="right"/>
      <w:rPr>
        <w:color w:val="000000"/>
      </w:rPr>
    </w:pPr>
  </w:p>
  <w:p w14:paraId="26368F4E" w14:textId="77777777" w:rsidR="007A2C6F" w:rsidRDefault="007A2C6F">
    <w:pPr>
      <w:pBdr>
        <w:top w:val="nil"/>
        <w:left w:val="nil"/>
        <w:bottom w:val="nil"/>
        <w:right w:val="nil"/>
        <w:between w:val="nil"/>
      </w:pBdr>
      <w:tabs>
        <w:tab w:val="center" w:pos="4419"/>
        <w:tab w:val="right" w:pos="8838"/>
      </w:tabs>
      <w:jc w:val="right"/>
      <w:rPr>
        <w:color w:val="000000"/>
      </w:rPr>
    </w:pPr>
  </w:p>
  <w:p w14:paraId="1624656D" w14:textId="77777777" w:rsidR="007A2C6F" w:rsidRDefault="007A2C6F">
    <w:pPr>
      <w:pBdr>
        <w:top w:val="nil"/>
        <w:left w:val="nil"/>
        <w:bottom w:val="nil"/>
        <w:right w:val="nil"/>
        <w:between w:val="nil"/>
      </w:pBdr>
      <w:tabs>
        <w:tab w:val="center" w:pos="4419"/>
        <w:tab w:val="right" w:pos="8838"/>
      </w:tabs>
      <w:jc w:val="right"/>
      <w:rPr>
        <w:color w:val="000000"/>
      </w:rPr>
    </w:pPr>
  </w:p>
  <w:p w14:paraId="0D53C205" w14:textId="77777777" w:rsidR="007A2C6F" w:rsidRDefault="00BA6AB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C745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C7456">
      <w:rPr>
        <w:b/>
        <w:noProof/>
        <w:color w:val="000000"/>
        <w:sz w:val="24"/>
        <w:szCs w:val="24"/>
      </w:rPr>
      <w:t>44</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894C" w14:textId="77777777" w:rsidR="00953524" w:rsidRDefault="00953524">
      <w:r>
        <w:separator/>
      </w:r>
    </w:p>
  </w:footnote>
  <w:footnote w:type="continuationSeparator" w:id="0">
    <w:p w14:paraId="39E21105" w14:textId="77777777" w:rsidR="00953524" w:rsidRDefault="0095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6281" w14:textId="77777777" w:rsidR="007A2C6F" w:rsidRDefault="008F57E9">
    <w:pPr>
      <w:pBdr>
        <w:top w:val="nil"/>
        <w:left w:val="nil"/>
        <w:bottom w:val="nil"/>
        <w:right w:val="nil"/>
        <w:between w:val="nil"/>
      </w:pBdr>
      <w:tabs>
        <w:tab w:val="center" w:pos="4419"/>
        <w:tab w:val="right" w:pos="8838"/>
      </w:tabs>
      <w:rPr>
        <w:color w:val="000000"/>
      </w:rPr>
    </w:pPr>
    <w:r>
      <w:rPr>
        <w:color w:val="000000"/>
      </w:rPr>
      <w:pict w14:anchorId="2170E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F157" w14:textId="77777777" w:rsidR="007A2C6F" w:rsidRDefault="008F57E9">
    <w:pPr>
      <w:tabs>
        <w:tab w:val="left" w:pos="3416"/>
      </w:tabs>
      <w:rPr>
        <w:sz w:val="22"/>
        <w:szCs w:val="22"/>
      </w:rPr>
    </w:pPr>
    <w:r>
      <w:rPr>
        <w:sz w:val="14"/>
        <w:szCs w:val="14"/>
      </w:rPr>
      <w:pict w14:anchorId="04060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aguaINFOEM" style="position:absolute;margin-left:-61.4pt;margin-top:-143.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10170" w:type="dxa"/>
      <w:tblInd w:w="0" w:type="dxa"/>
      <w:tblLayout w:type="fixed"/>
      <w:tblLook w:val="0400" w:firstRow="0" w:lastRow="0" w:firstColumn="0" w:lastColumn="0" w:noHBand="0" w:noVBand="1"/>
    </w:tblPr>
    <w:tblGrid>
      <w:gridCol w:w="2977"/>
      <w:gridCol w:w="7193"/>
    </w:tblGrid>
    <w:tr w:rsidR="007A2C6F" w14:paraId="0571CAA4" w14:textId="77777777">
      <w:trPr>
        <w:trHeight w:val="70"/>
      </w:trPr>
      <w:tc>
        <w:tcPr>
          <w:tcW w:w="2977" w:type="dxa"/>
          <w:shd w:val="clear" w:color="auto" w:fill="auto"/>
        </w:tcPr>
        <w:p w14:paraId="5BBA7BE8" w14:textId="77777777" w:rsidR="007A2C6F" w:rsidRDefault="007A2C6F">
          <w:pPr>
            <w:tabs>
              <w:tab w:val="right" w:pos="4273"/>
            </w:tabs>
            <w:rPr>
              <w:rFonts w:ascii="Garamond" w:eastAsia="Garamond" w:hAnsi="Garamond" w:cs="Garamond"/>
              <w:sz w:val="16"/>
              <w:szCs w:val="16"/>
            </w:rPr>
          </w:pPr>
        </w:p>
      </w:tc>
      <w:tc>
        <w:tcPr>
          <w:tcW w:w="7193" w:type="dxa"/>
          <w:shd w:val="clear" w:color="auto" w:fill="auto"/>
        </w:tcPr>
        <w:p w14:paraId="1C30634D" w14:textId="77777777" w:rsidR="007A2C6F" w:rsidRDefault="007A2C6F"/>
        <w:tbl>
          <w:tblPr>
            <w:tblStyle w:val="a0"/>
            <w:tblW w:w="6090" w:type="dxa"/>
            <w:tblInd w:w="874" w:type="dxa"/>
            <w:tblBorders>
              <w:top w:val="nil"/>
              <w:left w:val="nil"/>
              <w:bottom w:val="nil"/>
              <w:right w:val="nil"/>
              <w:insideH w:val="nil"/>
              <w:insideV w:val="nil"/>
            </w:tblBorders>
            <w:tblLayout w:type="fixed"/>
            <w:tblLook w:val="0400" w:firstRow="0" w:lastRow="0" w:firstColumn="0" w:lastColumn="0" w:noHBand="0" w:noVBand="1"/>
          </w:tblPr>
          <w:tblGrid>
            <w:gridCol w:w="2404"/>
            <w:gridCol w:w="3686"/>
          </w:tblGrid>
          <w:tr w:rsidR="007A2C6F" w14:paraId="7428B139" w14:textId="77777777">
            <w:trPr>
              <w:trHeight w:val="329"/>
            </w:trPr>
            <w:tc>
              <w:tcPr>
                <w:tcW w:w="2404" w:type="dxa"/>
                <w:vAlign w:val="bottom"/>
              </w:tcPr>
              <w:p w14:paraId="075E49A8" w14:textId="77777777" w:rsidR="007A2C6F" w:rsidRDefault="00BA6AB5">
                <w:pPr>
                  <w:tabs>
                    <w:tab w:val="right" w:pos="8838"/>
                  </w:tabs>
                  <w:ind w:right="-105"/>
                  <w:rPr>
                    <w:rFonts w:ascii="Palatino Linotype" w:eastAsia="Palatino Linotype" w:hAnsi="Palatino Linotype" w:cs="Palatino Linotype"/>
                    <w:b/>
                    <w:sz w:val="22"/>
                    <w:szCs w:val="22"/>
                  </w:rPr>
                </w:pPr>
                <w:bookmarkStart w:id="5" w:name="_heading=h.cmf30dueaiir" w:colFirst="0" w:colLast="0"/>
                <w:bookmarkEnd w:id="5"/>
                <w:r>
                  <w:rPr>
                    <w:rFonts w:ascii="Palatino Linotype" w:eastAsia="Palatino Linotype" w:hAnsi="Palatino Linotype" w:cs="Palatino Linotype"/>
                    <w:b/>
                    <w:sz w:val="22"/>
                    <w:szCs w:val="22"/>
                  </w:rPr>
                  <w:t>Recurso de Revisión:</w:t>
                </w:r>
              </w:p>
            </w:tc>
            <w:tc>
              <w:tcPr>
                <w:tcW w:w="3686" w:type="dxa"/>
              </w:tcPr>
              <w:p w14:paraId="473C6CDA" w14:textId="77777777" w:rsidR="007A2C6F" w:rsidRDefault="00BA6AB5">
                <w:pPr>
                  <w:tabs>
                    <w:tab w:val="left" w:pos="2294"/>
                    <w:tab w:val="right" w:pos="8838"/>
                  </w:tabs>
                  <w:ind w:right="73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01139/INFOEM/IP/RR/2025</w:t>
                </w:r>
              </w:p>
            </w:tc>
          </w:tr>
          <w:tr w:rsidR="007A2C6F" w14:paraId="404FCDDD" w14:textId="77777777">
            <w:trPr>
              <w:trHeight w:val="244"/>
            </w:trPr>
            <w:tc>
              <w:tcPr>
                <w:tcW w:w="2404" w:type="dxa"/>
              </w:tcPr>
              <w:p w14:paraId="5823C33A" w14:textId="77777777" w:rsidR="007A2C6F" w:rsidRDefault="00BA6A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tcPr>
              <w:p w14:paraId="6F057B15" w14:textId="77777777" w:rsidR="007A2C6F" w:rsidRDefault="00BA6AB5">
                <w:pPr>
                  <w:tabs>
                    <w:tab w:val="right" w:pos="8838"/>
                  </w:tabs>
                  <w:ind w:right="73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Capulhuac</w:t>
                </w:r>
              </w:p>
            </w:tc>
          </w:tr>
          <w:tr w:rsidR="007A2C6F" w14:paraId="07657CB0" w14:textId="77777777">
            <w:trPr>
              <w:trHeight w:val="244"/>
            </w:trPr>
            <w:tc>
              <w:tcPr>
                <w:tcW w:w="2404" w:type="dxa"/>
              </w:tcPr>
              <w:p w14:paraId="50996D3A" w14:textId="77777777" w:rsidR="007A2C6F" w:rsidRDefault="00BA6A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6" w:type="dxa"/>
              </w:tcPr>
              <w:p w14:paraId="29003106" w14:textId="77777777" w:rsidR="007A2C6F" w:rsidRDefault="00BA6AB5">
                <w:pPr>
                  <w:tabs>
                    <w:tab w:val="right" w:pos="8838"/>
                  </w:tabs>
                  <w:ind w:right="731"/>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Guadalupe Ramírez Peña</w:t>
                </w:r>
              </w:p>
            </w:tc>
          </w:tr>
        </w:tbl>
        <w:p w14:paraId="5B6D26AE" w14:textId="77777777" w:rsidR="007A2C6F" w:rsidRDefault="007A2C6F">
          <w:pPr>
            <w:tabs>
              <w:tab w:val="right" w:pos="8838"/>
            </w:tabs>
            <w:ind w:left="-28"/>
            <w:rPr>
              <w:rFonts w:ascii="Arial" w:eastAsia="Arial" w:hAnsi="Arial" w:cs="Arial"/>
              <w:b/>
            </w:rPr>
          </w:pPr>
        </w:p>
      </w:tc>
    </w:tr>
  </w:tbl>
  <w:p w14:paraId="7977987E" w14:textId="77777777" w:rsidR="007A2C6F" w:rsidRDefault="007A2C6F">
    <w:pPr>
      <w:tabs>
        <w:tab w:val="left" w:pos="3416"/>
      </w:tabs>
      <w:rPr>
        <w:sz w:val="22"/>
        <w:szCs w:val="22"/>
      </w:rPr>
    </w:pPr>
  </w:p>
  <w:p w14:paraId="7C220C56" w14:textId="77777777" w:rsidR="007A2C6F" w:rsidRDefault="00BA6AB5">
    <w:pPr>
      <w:pBdr>
        <w:top w:val="nil"/>
        <w:left w:val="nil"/>
        <w:bottom w:val="nil"/>
        <w:right w:val="nil"/>
        <w:between w:val="nil"/>
      </w:pBdr>
      <w:tabs>
        <w:tab w:val="center" w:pos="4419"/>
        <w:tab w:val="right" w:pos="8838"/>
        <w:tab w:val="left" w:pos="1425"/>
      </w:tabs>
      <w:rPr>
        <w:color w:val="000000"/>
        <w:sz w:val="14"/>
        <w:szCs w:val="14"/>
      </w:rPr>
    </w:pPr>
    <w:r>
      <w:rPr>
        <w:color w:val="000000"/>
        <w:sz w:val="14"/>
        <w:szCs w:val="14"/>
      </w:rPr>
      <w:tab/>
    </w:r>
  </w:p>
  <w:p w14:paraId="4140351B" w14:textId="77777777" w:rsidR="007A2C6F" w:rsidRDefault="007A2C6F">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87F7" w14:textId="77777777" w:rsidR="007A2C6F" w:rsidRDefault="007A2C6F">
    <w:pPr>
      <w:widowControl w:val="0"/>
      <w:pBdr>
        <w:top w:val="nil"/>
        <w:left w:val="nil"/>
        <w:bottom w:val="nil"/>
        <w:right w:val="nil"/>
        <w:between w:val="nil"/>
      </w:pBdr>
      <w:spacing w:line="276" w:lineRule="auto"/>
      <w:rPr>
        <w:color w:val="000000"/>
        <w:sz w:val="14"/>
        <w:szCs w:val="14"/>
      </w:rPr>
    </w:pPr>
  </w:p>
  <w:tbl>
    <w:tblPr>
      <w:tblStyle w:val="a1"/>
      <w:tblW w:w="5670" w:type="dxa"/>
      <w:tblInd w:w="3388" w:type="dxa"/>
      <w:tblBorders>
        <w:top w:val="nil"/>
        <w:left w:val="nil"/>
        <w:bottom w:val="nil"/>
        <w:right w:val="nil"/>
        <w:insideH w:val="nil"/>
        <w:insideV w:val="nil"/>
      </w:tblBorders>
      <w:tblLayout w:type="fixed"/>
      <w:tblLook w:val="0400" w:firstRow="0" w:lastRow="0" w:firstColumn="0" w:lastColumn="0" w:noHBand="0" w:noVBand="1"/>
    </w:tblPr>
    <w:tblGrid>
      <w:gridCol w:w="2492"/>
      <w:gridCol w:w="3178"/>
    </w:tblGrid>
    <w:tr w:rsidR="007A2C6F" w14:paraId="25728B67" w14:textId="77777777">
      <w:trPr>
        <w:trHeight w:val="284"/>
      </w:trPr>
      <w:tc>
        <w:tcPr>
          <w:tcW w:w="2492" w:type="dxa"/>
        </w:tcPr>
        <w:p w14:paraId="076B1887" w14:textId="77777777" w:rsidR="007A2C6F" w:rsidRDefault="00BA6A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8" w:type="dxa"/>
        </w:tcPr>
        <w:p w14:paraId="3298A805" w14:textId="77777777" w:rsidR="007A2C6F" w:rsidRDefault="00BA6AB5">
          <w:pPr>
            <w:tabs>
              <w:tab w:val="right" w:pos="8838"/>
            </w:tabs>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01139/INFOEM/IP/RR/2025</w:t>
          </w:r>
        </w:p>
      </w:tc>
    </w:tr>
    <w:tr w:rsidR="007A2C6F" w14:paraId="69A497A8" w14:textId="77777777">
      <w:trPr>
        <w:trHeight w:val="104"/>
      </w:trPr>
      <w:tc>
        <w:tcPr>
          <w:tcW w:w="2492" w:type="dxa"/>
        </w:tcPr>
        <w:p w14:paraId="365AC21D" w14:textId="77777777" w:rsidR="007A2C6F" w:rsidRDefault="00BA6A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78" w:type="dxa"/>
        </w:tcPr>
        <w:p w14:paraId="52D5A841" w14:textId="23C8220F" w:rsidR="007A2C6F" w:rsidRDefault="00830A98">
          <w:pPr>
            <w:tabs>
              <w:tab w:val="right" w:pos="8838"/>
            </w:tabs>
            <w:ind w:left="-28" w:right="31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XXXXXXX XXXX XXXXXX </w:t>
          </w:r>
        </w:p>
      </w:tc>
    </w:tr>
    <w:tr w:rsidR="007A2C6F" w14:paraId="089263C8" w14:textId="77777777">
      <w:trPr>
        <w:trHeight w:val="234"/>
      </w:trPr>
      <w:tc>
        <w:tcPr>
          <w:tcW w:w="2492" w:type="dxa"/>
        </w:tcPr>
        <w:p w14:paraId="6A5B0443" w14:textId="77777777" w:rsidR="007A2C6F" w:rsidRDefault="00BA6A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78" w:type="dxa"/>
        </w:tcPr>
        <w:p w14:paraId="40BF5E53" w14:textId="77777777" w:rsidR="007A2C6F" w:rsidRDefault="00BA6AB5">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Capulhuac </w:t>
          </w:r>
        </w:p>
      </w:tc>
    </w:tr>
    <w:tr w:rsidR="007A2C6F" w14:paraId="054ACAAA" w14:textId="77777777">
      <w:trPr>
        <w:trHeight w:val="234"/>
      </w:trPr>
      <w:tc>
        <w:tcPr>
          <w:tcW w:w="2492" w:type="dxa"/>
        </w:tcPr>
        <w:p w14:paraId="730AAA06" w14:textId="77777777" w:rsidR="007A2C6F" w:rsidRDefault="00BA6A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178" w:type="dxa"/>
        </w:tcPr>
        <w:p w14:paraId="7B29951F" w14:textId="77777777" w:rsidR="007A2C6F" w:rsidRDefault="00BA6AB5">
          <w:pPr>
            <w:tabs>
              <w:tab w:val="right" w:pos="8838"/>
            </w:tabs>
            <w:ind w:left="-2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Guadalupe Ramírez Peña</w:t>
          </w:r>
        </w:p>
      </w:tc>
    </w:tr>
  </w:tbl>
  <w:p w14:paraId="214D8DBD" w14:textId="77777777" w:rsidR="007A2C6F" w:rsidRDefault="008F57E9">
    <w:pPr>
      <w:tabs>
        <w:tab w:val="left" w:pos="1860"/>
      </w:tabs>
    </w:pPr>
    <w:r>
      <w:pict w14:anchorId="76CCA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aguaINFOEM" style="position:absolute;margin-left:-71.9pt;margin-top:-127.7pt;width:663.5pt;height:12in;z-index:-251658752;mso-position-horizontal:absolute;mso-position-horizontal-relative:margin;mso-position-vertical:absolute;mso-position-vertical-relative:margin">
          <v:imagedata r:id="rId1" o:title="image1"/>
          <w10:wrap anchorx="margin" anchory="margin"/>
        </v:shape>
      </w:pict>
    </w:r>
    <w:r w:rsidR="00BA6AB5">
      <w:tab/>
    </w:r>
  </w:p>
  <w:p w14:paraId="3743450E" w14:textId="77777777" w:rsidR="007A2C6F" w:rsidRDefault="00BA6AB5">
    <w:pPr>
      <w:tabs>
        <w:tab w:val="left" w:pos="1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60D"/>
    <w:multiLevelType w:val="multilevel"/>
    <w:tmpl w:val="5C384806"/>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542C2"/>
    <w:multiLevelType w:val="multilevel"/>
    <w:tmpl w:val="7D468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965056"/>
    <w:multiLevelType w:val="multilevel"/>
    <w:tmpl w:val="6418618E"/>
    <w:lvl w:ilvl="0">
      <w:start w:val="1"/>
      <w:numFmt w:val="lowerRoman"/>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A05A8F"/>
    <w:multiLevelType w:val="multilevel"/>
    <w:tmpl w:val="B87E52D6"/>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997DA3"/>
    <w:multiLevelType w:val="multilevel"/>
    <w:tmpl w:val="2DFC76F8"/>
    <w:lvl w:ilvl="0">
      <w:start w:val="1"/>
      <w:numFmt w:val="lowerLetter"/>
      <w:lvlText w:val="%1)"/>
      <w:lvlJc w:val="left"/>
      <w:pPr>
        <w:ind w:left="927" w:hanging="360"/>
      </w:pPr>
      <w:rPr>
        <w:b/>
        <w:i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6D517EDC"/>
    <w:multiLevelType w:val="multilevel"/>
    <w:tmpl w:val="118A3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780654"/>
    <w:multiLevelType w:val="multilevel"/>
    <w:tmpl w:val="E5A461E0"/>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6F"/>
    <w:rsid w:val="003E4042"/>
    <w:rsid w:val="00632FC9"/>
    <w:rsid w:val="006B7129"/>
    <w:rsid w:val="007A2C6F"/>
    <w:rsid w:val="007D1258"/>
    <w:rsid w:val="00830A98"/>
    <w:rsid w:val="00953524"/>
    <w:rsid w:val="009C03FF"/>
    <w:rsid w:val="00BA6AB5"/>
    <w:rsid w:val="00BC7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D0884A"/>
  <w15:docId w15:val="{C5F82F53-54FF-486F-9BEF-464C9E74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72"/>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01872"/>
    <w:pPr>
      <w:tabs>
        <w:tab w:val="center" w:pos="4419"/>
        <w:tab w:val="right" w:pos="8838"/>
      </w:tabs>
    </w:pPr>
  </w:style>
  <w:style w:type="character" w:customStyle="1" w:styleId="EncabezadoCar">
    <w:name w:val="Encabezado Car"/>
    <w:basedOn w:val="Fuentedeprrafopredeter"/>
    <w:link w:val="Encabezado"/>
    <w:uiPriority w:val="99"/>
    <w:rsid w:val="008018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01872"/>
    <w:pPr>
      <w:tabs>
        <w:tab w:val="center" w:pos="4419"/>
        <w:tab w:val="right" w:pos="8838"/>
      </w:tabs>
    </w:pPr>
  </w:style>
  <w:style w:type="character" w:customStyle="1" w:styleId="PiedepginaCar">
    <w:name w:val="Pie de página Car"/>
    <w:basedOn w:val="Fuentedeprrafopredeter"/>
    <w:link w:val="Piedepgina"/>
    <w:uiPriority w:val="99"/>
    <w:rsid w:val="00801872"/>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187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0187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01872"/>
    <w:rPr>
      <w:color w:val="0563C1" w:themeColor="hyperlink"/>
      <w:u w:val="single"/>
    </w:rPr>
  </w:style>
  <w:style w:type="table" w:styleId="Tablaconcuadrcula">
    <w:name w:val="Table Grid"/>
    <w:basedOn w:val="Tablanormal"/>
    <w:uiPriority w:val="59"/>
    <w:rsid w:val="0080187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E73E6"/>
    <w:rPr>
      <w:sz w:val="16"/>
      <w:szCs w:val="16"/>
    </w:rPr>
  </w:style>
  <w:style w:type="paragraph" w:styleId="Textocomentario">
    <w:name w:val="annotation text"/>
    <w:basedOn w:val="Normal"/>
    <w:link w:val="TextocomentarioCar"/>
    <w:uiPriority w:val="99"/>
    <w:semiHidden/>
    <w:unhideWhenUsed/>
    <w:rsid w:val="00BE73E6"/>
  </w:style>
  <w:style w:type="character" w:customStyle="1" w:styleId="TextocomentarioCar">
    <w:name w:val="Texto comentario Car"/>
    <w:basedOn w:val="Fuentedeprrafopredeter"/>
    <w:link w:val="Textocomentario"/>
    <w:uiPriority w:val="99"/>
    <w:semiHidden/>
    <w:rsid w:val="00BE73E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E73E6"/>
    <w:rPr>
      <w:b/>
      <w:bCs/>
    </w:rPr>
  </w:style>
  <w:style w:type="character" w:customStyle="1" w:styleId="AsuntodelcomentarioCar">
    <w:name w:val="Asunto del comentario Car"/>
    <w:basedOn w:val="TextocomentarioCar"/>
    <w:link w:val="Asuntodelcomentario"/>
    <w:uiPriority w:val="99"/>
    <w:semiHidden/>
    <w:rsid w:val="00BE73E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E73E6"/>
    <w:rPr>
      <w:sz w:val="18"/>
      <w:szCs w:val="18"/>
    </w:rPr>
  </w:style>
  <w:style w:type="character" w:customStyle="1" w:styleId="TextodegloboCar">
    <w:name w:val="Texto de globo Car"/>
    <w:basedOn w:val="Fuentedeprrafopredeter"/>
    <w:link w:val="Textodeglobo"/>
    <w:uiPriority w:val="99"/>
    <w:semiHidden/>
    <w:rsid w:val="00BE73E6"/>
    <w:rPr>
      <w:rFonts w:ascii="Times New Roman" w:eastAsia="Times New Roman" w:hAnsi="Times New Roman" w:cs="Times New Roman"/>
      <w:sz w:val="18"/>
      <w:szCs w:val="18"/>
      <w:lang w:eastAsia="es-ES"/>
    </w:rPr>
  </w:style>
  <w:style w:type="character" w:customStyle="1" w:styleId="Mencinsinresolver1">
    <w:name w:val="Mención sin resolver1"/>
    <w:basedOn w:val="Fuentedeprrafopredeter"/>
    <w:uiPriority w:val="99"/>
    <w:semiHidden/>
    <w:unhideWhenUsed/>
    <w:rsid w:val="00B15A0A"/>
    <w:rPr>
      <w:color w:val="605E5C"/>
      <w:shd w:val="clear" w:color="auto" w:fill="E1DFDD"/>
    </w:rPr>
  </w:style>
  <w:style w:type="character" w:styleId="Hipervnculovisitado">
    <w:name w:val="FollowedHyperlink"/>
    <w:basedOn w:val="Fuentedeprrafopredeter"/>
    <w:uiPriority w:val="99"/>
    <w:semiHidden/>
    <w:unhideWhenUsed/>
    <w:rsid w:val="00674438"/>
    <w:rPr>
      <w:color w:val="954F72" w:themeColor="followedHyperlink"/>
      <w:u w:val="single"/>
    </w:rPr>
  </w:style>
  <w:style w:type="paragraph" w:styleId="Revisin">
    <w:name w:val="Revision"/>
    <w:hidden/>
    <w:uiPriority w:val="99"/>
    <w:semiHidden/>
    <w:rsid w:val="00867749"/>
    <w:rPr>
      <w:lang w:eastAsia="es-ES"/>
    </w:rPr>
  </w:style>
  <w:style w:type="character" w:customStyle="1" w:styleId="Mencinsinresolver2">
    <w:name w:val="Mención sin resolver2"/>
    <w:basedOn w:val="Fuentedeprrafopredeter"/>
    <w:uiPriority w:val="99"/>
    <w:semiHidden/>
    <w:unhideWhenUsed/>
    <w:rsid w:val="00F473C4"/>
    <w:rPr>
      <w:color w:val="605E5C"/>
      <w:shd w:val="clear" w:color="auto" w:fill="E1DFDD"/>
    </w:rPr>
  </w:style>
  <w:style w:type="character" w:customStyle="1" w:styleId="normaltextrun">
    <w:name w:val="normaltextrun"/>
    <w:basedOn w:val="Fuentedeprrafopredeter"/>
    <w:rsid w:val="007F5DCD"/>
  </w:style>
  <w:style w:type="character" w:customStyle="1" w:styleId="eop">
    <w:name w:val="eop"/>
    <w:basedOn w:val="Fuentedeprrafopredeter"/>
    <w:rsid w:val="007F5DCD"/>
  </w:style>
  <w:style w:type="character" w:customStyle="1" w:styleId="Mencinsinresolver3">
    <w:name w:val="Mención sin resolver3"/>
    <w:basedOn w:val="Fuentedeprrafopredeter"/>
    <w:uiPriority w:val="99"/>
    <w:semiHidden/>
    <w:unhideWhenUsed/>
    <w:rsid w:val="003E3611"/>
    <w:rPr>
      <w:color w:val="605E5C"/>
      <w:shd w:val="clear" w:color="auto" w:fill="E1DFDD"/>
    </w:rPr>
  </w:style>
  <w:style w:type="character" w:customStyle="1" w:styleId="Mencinsinresolver4">
    <w:name w:val="Mención sin resolver4"/>
    <w:basedOn w:val="Fuentedeprrafopredeter"/>
    <w:uiPriority w:val="99"/>
    <w:semiHidden/>
    <w:unhideWhenUsed/>
    <w:rsid w:val="0028014D"/>
    <w:rPr>
      <w:color w:val="605E5C"/>
      <w:shd w:val="clear" w:color="auto" w:fill="E1DFDD"/>
    </w:rPr>
  </w:style>
  <w:style w:type="paragraph" w:styleId="NormalWeb">
    <w:name w:val="Normal (Web)"/>
    <w:basedOn w:val="Normal"/>
    <w:uiPriority w:val="99"/>
    <w:semiHidden/>
    <w:unhideWhenUsed/>
    <w:rsid w:val="00BE072A"/>
    <w:pPr>
      <w:spacing w:before="100" w:beforeAutospacing="1" w:after="100" w:afterAutospacing="1"/>
    </w:pPr>
    <w:rPr>
      <w:sz w:val="24"/>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647DD"/>
    <w:rPr>
      <w:rFonts w:asciiTheme="minorHAnsi" w:eastAsiaTheme="minorHAnsi" w:hAnsiTheme="minorHAnsi" w:cstheme="minorBid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647DD"/>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M0VaqaIBJ2CpIIxRaWC0fK0NNQ==">CgMxLjAyDmgucGRkM296bGc3NzhjMg5oLnFlbjBpd2ppajA4ejIOaC5kZTF4YjYxZWNwN3cyDmguN2NrMnY4dnlwN2UwMg5oLncwc2E4aXlxc25idDIOaC5jbWYzMGR1ZWFpaXI4AHIhMUJvQVZrNzM1UWJRa3hMZ3lyNzJTcnVmRHJKaktscjFY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12702</Words>
  <Characters>69861</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2025-04-04T15:53:00Z</cp:lastPrinted>
  <dcterms:created xsi:type="dcterms:W3CDTF">2025-04-21T20:16:00Z</dcterms:created>
  <dcterms:modified xsi:type="dcterms:W3CDTF">2025-04-21T20:16:00Z</dcterms:modified>
</cp:coreProperties>
</file>