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8435" w14:textId="77777777" w:rsidR="00197F55" w:rsidRDefault="00505A0B">
      <w:pPr>
        <w:spacing w:before="120" w:after="0" w:line="360" w:lineRule="auto"/>
        <w:ind w:right="49"/>
        <w:jc w:val="both"/>
        <w:rPr>
          <w:rFonts w:ascii="Palatino Linotype" w:eastAsia="Palatino Linotype" w:hAnsi="Palatino Linotype" w:cs="Palatino Linotype"/>
          <w:strik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junio de dos mil veinticinco.</w:t>
      </w:r>
    </w:p>
    <w:p w14:paraId="4201B9A0" w14:textId="77777777" w:rsidR="00197F55" w:rsidRDefault="00197F55">
      <w:pPr>
        <w:spacing w:after="0" w:line="360" w:lineRule="auto"/>
        <w:jc w:val="both"/>
        <w:rPr>
          <w:rFonts w:ascii="Palatino Linotype" w:eastAsia="Palatino Linotype" w:hAnsi="Palatino Linotype" w:cs="Palatino Linotype"/>
          <w:sz w:val="24"/>
          <w:szCs w:val="24"/>
        </w:rPr>
      </w:pPr>
    </w:p>
    <w:p w14:paraId="573AF6D5"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el expedie</w:t>
      </w:r>
      <w:r>
        <w:rPr>
          <w:rFonts w:ascii="Palatino Linotype" w:eastAsia="Palatino Linotype" w:hAnsi="Palatino Linotype" w:cs="Palatino Linotype"/>
          <w:sz w:val="24"/>
          <w:szCs w:val="24"/>
        </w:rPr>
        <w:t xml:space="preserve">nte relativo al recurso de revisión </w:t>
      </w:r>
      <w:r>
        <w:rPr>
          <w:rFonts w:ascii="Palatino Linotype" w:eastAsia="Palatino Linotype" w:hAnsi="Palatino Linotype" w:cs="Palatino Linotype"/>
          <w:b/>
          <w:sz w:val="24"/>
          <w:szCs w:val="24"/>
        </w:rPr>
        <w:t>03089/INFOEM/IP/RR/2025</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sz w:val="24"/>
          <w:szCs w:val="24"/>
        </w:rPr>
        <w:t xml:space="preserve"> un particular de manera anónima</w:t>
      </w:r>
      <w:r>
        <w:rPr>
          <w:rFonts w:ascii="Palatino Linotype" w:eastAsia="Palatino Linotype" w:hAnsi="Palatino Linotype" w:cs="Palatino Linotype"/>
          <w:sz w:val="24"/>
          <w:szCs w:val="24"/>
        </w:rPr>
        <w:t xml:space="preserve">, en lo sucesivo se le denominara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00157/ATLACOM/IP/</w:t>
      </w:r>
      <w:r>
        <w:rPr>
          <w:rFonts w:ascii="Palatino Linotype" w:eastAsia="Palatino Linotype" w:hAnsi="Palatino Linotype" w:cs="Palatino Linotype"/>
          <w:b/>
          <w:sz w:val="24"/>
          <w:szCs w:val="24"/>
        </w:rPr>
        <w:t>2025</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Atlacomulco</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0C1C1CB4" w14:textId="77777777" w:rsidR="00197F55" w:rsidRDefault="00197F55">
      <w:pPr>
        <w:spacing w:after="0" w:line="360" w:lineRule="auto"/>
        <w:jc w:val="both"/>
        <w:rPr>
          <w:rFonts w:ascii="Palatino Linotype" w:eastAsia="Palatino Linotype" w:hAnsi="Palatino Linotype" w:cs="Palatino Linotype"/>
          <w:sz w:val="24"/>
          <w:szCs w:val="24"/>
        </w:rPr>
      </w:pPr>
    </w:p>
    <w:p w14:paraId="2D85D845" w14:textId="77777777" w:rsidR="00197F55" w:rsidRDefault="00505A0B">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02C68F5C" w14:textId="77777777" w:rsidR="00197F55" w:rsidRDefault="00197F55">
      <w:pPr>
        <w:spacing w:after="0" w:line="360" w:lineRule="auto"/>
        <w:ind w:right="49"/>
        <w:jc w:val="center"/>
        <w:rPr>
          <w:rFonts w:ascii="Palatino Linotype" w:eastAsia="Palatino Linotype" w:hAnsi="Palatino Linotype" w:cs="Palatino Linotype"/>
          <w:b/>
          <w:sz w:val="24"/>
          <w:szCs w:val="24"/>
        </w:rPr>
      </w:pPr>
    </w:p>
    <w:p w14:paraId="16766A0E"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Con fecha diecisiete de febrero de dos mil ve</w:t>
      </w:r>
      <w:r>
        <w:rPr>
          <w:rFonts w:ascii="Palatino Linotype" w:eastAsia="Palatino Linotype" w:hAnsi="Palatino Linotype" w:cs="Palatino Linotype"/>
          <w:sz w:val="24"/>
          <w:szCs w:val="24"/>
        </w:rPr>
        <w:t xml:space="preserve">inticinco,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formuló una solicitud, través del Sistema de Acceso a la Información Mexiquense, en lo subsecuente el SAIMEX, ante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solicitud de acceso a la información pública, a la que se le asignó el número </w:t>
      </w:r>
      <w:r>
        <w:rPr>
          <w:rFonts w:ascii="Palatino Linotype" w:eastAsia="Palatino Linotype" w:hAnsi="Palatino Linotype" w:cs="Palatino Linotype"/>
          <w:b/>
          <w:sz w:val="24"/>
          <w:szCs w:val="24"/>
        </w:rPr>
        <w:t>00157/ATL</w:t>
      </w:r>
      <w:r>
        <w:rPr>
          <w:rFonts w:ascii="Palatino Linotype" w:eastAsia="Palatino Linotype" w:hAnsi="Palatino Linotype" w:cs="Palatino Linotype"/>
          <w:b/>
          <w:sz w:val="24"/>
          <w:szCs w:val="24"/>
        </w:rPr>
        <w:t>ACOM/IP/2025</w:t>
      </w:r>
      <w:r>
        <w:rPr>
          <w:rFonts w:ascii="Palatino Linotype" w:eastAsia="Palatino Linotype" w:hAnsi="Palatino Linotype" w:cs="Palatino Linotype"/>
          <w:sz w:val="24"/>
          <w:szCs w:val="24"/>
        </w:rPr>
        <w:t xml:space="preserve">, mediante la cual requirió la información siguiente: </w:t>
      </w:r>
    </w:p>
    <w:p w14:paraId="57CF6651"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4A9509FE" w14:textId="77777777" w:rsidR="00197F55" w:rsidRDefault="00505A0B">
      <w:pPr>
        <w:spacing w:after="0" w:line="276" w:lineRule="auto"/>
        <w:ind w:left="709" w:right="758"/>
        <w:jc w:val="both"/>
        <w:rPr>
          <w:rFonts w:ascii="Palatino Linotype" w:eastAsia="Palatino Linotype" w:hAnsi="Palatino Linotype" w:cs="Palatino Linotype"/>
          <w:i/>
        </w:rPr>
      </w:pPr>
      <w:r>
        <w:rPr>
          <w:rFonts w:ascii="Palatino Linotype" w:eastAsia="Palatino Linotype" w:hAnsi="Palatino Linotype" w:cs="Palatino Linotype"/>
          <w:i/>
        </w:rPr>
        <w:t>“Expedientes de obra completos del año 2025” (Sic).</w:t>
      </w:r>
    </w:p>
    <w:p w14:paraId="52AD2393" w14:textId="77777777" w:rsidR="00197F55" w:rsidRDefault="00197F55">
      <w:pPr>
        <w:spacing w:after="0" w:line="276" w:lineRule="auto"/>
        <w:ind w:left="709" w:right="758"/>
        <w:jc w:val="both"/>
        <w:rPr>
          <w:rFonts w:ascii="Palatino Linotype" w:eastAsia="Palatino Linotype" w:hAnsi="Palatino Linotype" w:cs="Palatino Linotype"/>
          <w:i/>
        </w:rPr>
      </w:pPr>
    </w:p>
    <w:p w14:paraId="573A911F"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SAIMEX. </w:t>
      </w:r>
    </w:p>
    <w:p w14:paraId="7CDE407A"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2. RESPUESTA.  </w:t>
      </w:r>
      <w:r>
        <w:rPr>
          <w:rFonts w:ascii="Palatino Linotype" w:eastAsia="Palatino Linotype" w:hAnsi="Palatino Linotype" w:cs="Palatino Linotype"/>
          <w:sz w:val="24"/>
          <w:szCs w:val="24"/>
        </w:rPr>
        <w:t xml:space="preserve">Con fecha once de marzo del dos mil veinticinco,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w:t>
      </w:r>
      <w:r>
        <w:rPr>
          <w:rFonts w:ascii="Palatino Linotype" w:eastAsia="Palatino Linotype" w:hAnsi="Palatino Linotype" w:cs="Palatino Linotype"/>
          <w:sz w:val="24"/>
          <w:szCs w:val="24"/>
        </w:rPr>
        <w:t xml:space="preserve">a través del SAIMEX, respuesta a la solicitud de acceso a la información en los siguientes términos: </w:t>
      </w:r>
    </w:p>
    <w:p w14:paraId="755C8FF0" w14:textId="77777777" w:rsidR="00197F55" w:rsidRDefault="00197F55">
      <w:pPr>
        <w:spacing w:after="0" w:line="360" w:lineRule="auto"/>
        <w:jc w:val="both"/>
        <w:rPr>
          <w:rFonts w:ascii="Palatino Linotype" w:eastAsia="Palatino Linotype" w:hAnsi="Palatino Linotype" w:cs="Palatino Linotype"/>
          <w:sz w:val="24"/>
          <w:szCs w:val="24"/>
        </w:rPr>
      </w:pPr>
    </w:p>
    <w:p w14:paraId="7B0AE1B2"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w:t>
      </w:r>
      <w:r>
        <w:rPr>
          <w:rFonts w:ascii="Palatino Linotype" w:eastAsia="Palatino Linotype" w:hAnsi="Palatino Linotype" w:cs="Palatino Linotype"/>
          <w:i/>
        </w:rPr>
        <w:t>Transparencia y Acceso a la Información Pública del Estado de México y Municipios, le contestamos que:</w:t>
      </w:r>
    </w:p>
    <w:p w14:paraId="6B815F13"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Se atiende solicitud de información.</w:t>
      </w:r>
    </w:p>
    <w:p w14:paraId="5D294E04"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14A2E1DF"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C. Claudia Monroy Amparo” (Sic).</w:t>
      </w:r>
    </w:p>
    <w:p w14:paraId="47BFE980" w14:textId="77777777" w:rsidR="00197F55" w:rsidRDefault="00197F55">
      <w:pPr>
        <w:spacing w:after="0" w:line="276" w:lineRule="auto"/>
        <w:ind w:right="902"/>
        <w:jc w:val="both"/>
        <w:rPr>
          <w:rFonts w:ascii="Palatino Linotype" w:eastAsia="Palatino Linotype" w:hAnsi="Palatino Linotype" w:cs="Palatino Linotype"/>
          <w:sz w:val="24"/>
          <w:szCs w:val="24"/>
        </w:rPr>
      </w:pPr>
    </w:p>
    <w:p w14:paraId="286DA3E6"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adjuntó para tal efecto los archivos electrónicos:</w:t>
      </w:r>
    </w:p>
    <w:p w14:paraId="11358493"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4D2BC2F5"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DOP_0157_RESPUESTA_001.pdf</w:t>
      </w:r>
      <w:r>
        <w:rPr>
          <w:rFonts w:ascii="Palatino Linotype" w:eastAsia="Palatino Linotype" w:hAnsi="Palatino Linotype" w:cs="Palatino Linotype"/>
          <w:sz w:val="24"/>
          <w:szCs w:val="24"/>
        </w:rPr>
        <w:t>”: Oficio de fecha veintisiete de febrero de dos mil veinticinco, signado por el Encargado de Despacho de la Dirección de Obras Públicas, mediante el cual señala que los expedientes de obra 2025, se encuentran actualmente en proceso de integración de acuer</w:t>
      </w:r>
      <w:r>
        <w:rPr>
          <w:rFonts w:ascii="Palatino Linotype" w:eastAsia="Palatino Linotype" w:hAnsi="Palatino Linotype" w:cs="Palatino Linotype"/>
          <w:sz w:val="24"/>
          <w:szCs w:val="24"/>
        </w:rPr>
        <w:t xml:space="preserve">do a los plazos de la documentación que refiere. </w:t>
      </w:r>
    </w:p>
    <w:p w14:paraId="22E31CC1" w14:textId="77777777" w:rsidR="00197F55" w:rsidRDefault="00197F55">
      <w:pPr>
        <w:spacing w:after="0" w:line="360" w:lineRule="auto"/>
        <w:jc w:val="both"/>
        <w:rPr>
          <w:rFonts w:ascii="Palatino Linotype" w:eastAsia="Palatino Linotype" w:hAnsi="Palatino Linotype" w:cs="Palatino Linotype"/>
          <w:sz w:val="24"/>
          <w:szCs w:val="24"/>
        </w:rPr>
      </w:pPr>
    </w:p>
    <w:p w14:paraId="7DD2D33A"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0157_RESP_UT_2025.pdf</w:t>
      </w:r>
      <w:r>
        <w:rPr>
          <w:rFonts w:ascii="Palatino Linotype" w:eastAsia="Palatino Linotype" w:hAnsi="Palatino Linotype" w:cs="Palatino Linotype"/>
          <w:sz w:val="24"/>
          <w:szCs w:val="24"/>
        </w:rPr>
        <w:t>”: Oficio de fecha once de marzo de dos mil veinticinco, signado por el Titular de la Unidad de Transparencia, mediante el cual señala que remite el oficio que turno la Dirección de O</w:t>
      </w:r>
      <w:r>
        <w:rPr>
          <w:rFonts w:ascii="Palatino Linotype" w:eastAsia="Palatino Linotype" w:hAnsi="Palatino Linotype" w:cs="Palatino Linotype"/>
          <w:sz w:val="24"/>
          <w:szCs w:val="24"/>
        </w:rPr>
        <w:t xml:space="preserve">bras Públicas. </w:t>
      </w:r>
    </w:p>
    <w:p w14:paraId="1BFE6457" w14:textId="77777777" w:rsidR="00197F55" w:rsidRDefault="00197F55">
      <w:pPr>
        <w:spacing w:after="0" w:line="360" w:lineRule="auto"/>
        <w:jc w:val="both"/>
        <w:rPr>
          <w:rFonts w:ascii="Palatino Linotype" w:eastAsia="Palatino Linotype" w:hAnsi="Palatino Linotype" w:cs="Palatino Linotype"/>
          <w:sz w:val="24"/>
          <w:szCs w:val="24"/>
        </w:rPr>
      </w:pPr>
    </w:p>
    <w:p w14:paraId="095C1249" w14:textId="77777777" w:rsidR="00197F55" w:rsidRDefault="00505A0B">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dieciséis de marzo de dos mil veinticinco,</w:t>
      </w:r>
      <w:r>
        <w:rPr>
          <w:rFonts w:ascii="Palatino Linotype" w:eastAsia="Palatino Linotype" w:hAnsi="Palatino Linotype" w:cs="Palatino Linotype"/>
          <w:b/>
          <w:sz w:val="24"/>
          <w:szCs w:val="24"/>
        </w:rPr>
        <w:t xml:space="preserve"> LA PARTE </w:t>
      </w:r>
      <w:r>
        <w:rPr>
          <w:rFonts w:ascii="Palatino Linotype" w:eastAsia="Palatino Linotype" w:hAnsi="Palatino Linotype" w:cs="Palatino Linotype"/>
          <w:b/>
          <w:sz w:val="24"/>
          <w:szCs w:val="24"/>
        </w:rPr>
        <w:lastRenderedPageBreak/>
        <w:t xml:space="preserve">RECURRENTE </w:t>
      </w:r>
      <w:r>
        <w:rPr>
          <w:rFonts w:ascii="Palatino Linotype" w:eastAsia="Palatino Linotype" w:hAnsi="Palatino Linotype" w:cs="Palatino Linotype"/>
          <w:sz w:val="24"/>
          <w:szCs w:val="24"/>
        </w:rPr>
        <w:t>interpuso el recurso de revisión, sin embargo, al corresponder a día inhábil se tuvo por p</w:t>
      </w:r>
      <w:r>
        <w:rPr>
          <w:rFonts w:ascii="Palatino Linotype" w:eastAsia="Palatino Linotype" w:hAnsi="Palatino Linotype" w:cs="Palatino Linotype"/>
          <w:sz w:val="24"/>
          <w:szCs w:val="24"/>
        </w:rPr>
        <w:t>resentada el dieciocho de marzo de dos mil veinticinco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03089/INFOEM/IP/RR/2025</w:t>
      </w:r>
      <w:r>
        <w:rPr>
          <w:rFonts w:ascii="Palatino Linotype" w:eastAsia="Palatino Linotype" w:hAnsi="Palatino Linotype" w:cs="Palatino Linotype"/>
          <w:sz w:val="24"/>
          <w:szCs w:val="24"/>
        </w:rPr>
        <w:t>, en el cual manifiesta, lo siguiente:</w:t>
      </w:r>
    </w:p>
    <w:p w14:paraId="2C36223C" w14:textId="77777777" w:rsidR="00197F55" w:rsidRDefault="00197F55">
      <w:pPr>
        <w:spacing w:after="0" w:line="360" w:lineRule="auto"/>
        <w:ind w:right="-234"/>
        <w:jc w:val="both"/>
        <w:rPr>
          <w:rFonts w:ascii="Palatino Linotype" w:eastAsia="Palatino Linotype" w:hAnsi="Palatino Linotype" w:cs="Palatino Linotype"/>
          <w:sz w:val="24"/>
          <w:szCs w:val="24"/>
        </w:rPr>
      </w:pPr>
    </w:p>
    <w:p w14:paraId="33CC159D" w14:textId="77777777" w:rsidR="00197F55" w:rsidRDefault="00505A0B">
      <w:pPr>
        <w:numPr>
          <w:ilvl w:val="0"/>
          <w:numId w:val="1"/>
        </w:numPr>
        <w:pBdr>
          <w:top w:val="nil"/>
          <w:left w:val="nil"/>
          <w:bottom w:val="nil"/>
          <w:right w:val="nil"/>
          <w:between w:val="nil"/>
        </w:pBdr>
        <w:spacing w:after="0" w:line="276"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Acto Impugnado:</w:t>
      </w:r>
    </w:p>
    <w:p w14:paraId="3765FC41" w14:textId="77777777" w:rsidR="00197F55" w:rsidRDefault="00197F55">
      <w:pPr>
        <w:pBdr>
          <w:top w:val="nil"/>
          <w:left w:val="nil"/>
          <w:bottom w:val="nil"/>
          <w:right w:val="nil"/>
          <w:between w:val="nil"/>
        </w:pBdr>
        <w:spacing w:after="0" w:line="276" w:lineRule="auto"/>
        <w:ind w:left="720"/>
        <w:jc w:val="both"/>
        <w:rPr>
          <w:rFonts w:ascii="Palatino Linotype" w:eastAsia="Palatino Linotype" w:hAnsi="Palatino Linotype" w:cs="Palatino Linotype"/>
          <w:b/>
          <w:i/>
          <w:sz w:val="24"/>
          <w:szCs w:val="24"/>
        </w:rPr>
      </w:pPr>
    </w:p>
    <w:p w14:paraId="5E8B29BF" w14:textId="77777777" w:rsidR="00197F55" w:rsidRDefault="00505A0B">
      <w:pPr>
        <w:tabs>
          <w:tab w:val="left" w:pos="8222"/>
        </w:tabs>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“No entregan información” [sic]</w:t>
      </w:r>
    </w:p>
    <w:p w14:paraId="1BCD5FF4" w14:textId="77777777" w:rsidR="00197F55" w:rsidRDefault="00197F55">
      <w:pPr>
        <w:tabs>
          <w:tab w:val="left" w:pos="8222"/>
        </w:tabs>
        <w:spacing w:after="0" w:line="276" w:lineRule="auto"/>
        <w:ind w:left="851" w:right="616"/>
        <w:jc w:val="both"/>
        <w:rPr>
          <w:rFonts w:ascii="Palatino Linotype" w:eastAsia="Palatino Linotype" w:hAnsi="Palatino Linotype" w:cs="Palatino Linotype"/>
          <w:i/>
        </w:rPr>
      </w:pPr>
    </w:p>
    <w:p w14:paraId="30E6C5C5" w14:textId="77777777" w:rsidR="00197F55" w:rsidRDefault="00505A0B">
      <w:pPr>
        <w:numPr>
          <w:ilvl w:val="0"/>
          <w:numId w:val="1"/>
        </w:numPr>
        <w:pBdr>
          <w:top w:val="nil"/>
          <w:left w:val="nil"/>
          <w:bottom w:val="nil"/>
          <w:right w:val="nil"/>
          <w:between w:val="nil"/>
        </w:pBdr>
        <w:spacing w:after="0" w:line="276" w:lineRule="auto"/>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Razones o Motivos de Inconformidad</w:t>
      </w:r>
      <w:r>
        <w:rPr>
          <w:rFonts w:ascii="Palatino Linotype" w:eastAsia="Palatino Linotype" w:hAnsi="Palatino Linotype" w:cs="Palatino Linotype"/>
          <w:i/>
          <w:sz w:val="24"/>
          <w:szCs w:val="24"/>
        </w:rPr>
        <w:t>:</w:t>
      </w:r>
    </w:p>
    <w:p w14:paraId="203DDDE7" w14:textId="77777777" w:rsidR="00197F55" w:rsidRDefault="00197F55">
      <w:pPr>
        <w:pBdr>
          <w:top w:val="nil"/>
          <w:left w:val="nil"/>
          <w:bottom w:val="nil"/>
          <w:right w:val="nil"/>
          <w:between w:val="nil"/>
        </w:pBdr>
        <w:spacing w:after="0" w:line="276" w:lineRule="auto"/>
        <w:ind w:left="720"/>
        <w:rPr>
          <w:rFonts w:ascii="Palatino Linotype" w:eastAsia="Palatino Linotype" w:hAnsi="Palatino Linotype" w:cs="Palatino Linotype"/>
          <w:i/>
          <w:sz w:val="24"/>
          <w:szCs w:val="24"/>
        </w:rPr>
      </w:pPr>
    </w:p>
    <w:p w14:paraId="00769767" w14:textId="77777777" w:rsidR="00197F55" w:rsidRDefault="00505A0B">
      <w:pPr>
        <w:spacing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sz w:val="24"/>
          <w:szCs w:val="24"/>
        </w:rPr>
        <w:t>“</w:t>
      </w:r>
      <w:r>
        <w:rPr>
          <w:rFonts w:ascii="Palatino Linotype" w:eastAsia="Palatino Linotype" w:hAnsi="Palatino Linotype" w:cs="Palatino Linotype"/>
          <w:i/>
        </w:rPr>
        <w:t>No entregan información” [sic]</w:t>
      </w:r>
    </w:p>
    <w:p w14:paraId="609AEB89" w14:textId="77777777" w:rsidR="00197F55" w:rsidRDefault="00197F55">
      <w:pPr>
        <w:spacing w:after="0" w:line="360" w:lineRule="auto"/>
        <w:jc w:val="both"/>
        <w:rPr>
          <w:rFonts w:ascii="Palatino Linotype" w:eastAsia="Palatino Linotype" w:hAnsi="Palatino Linotype" w:cs="Palatino Linotype"/>
          <w:b/>
          <w:sz w:val="24"/>
          <w:szCs w:val="24"/>
        </w:rPr>
      </w:pPr>
    </w:p>
    <w:p w14:paraId="324ACB8D"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sz w:val="24"/>
          <w:szCs w:val="24"/>
        </w:rPr>
        <w:t xml:space="preserve">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7A6FAAEC" w14:textId="77777777" w:rsidR="00197F55" w:rsidRDefault="00197F55">
      <w:pPr>
        <w:spacing w:after="0" w:line="360" w:lineRule="auto"/>
        <w:jc w:val="both"/>
        <w:rPr>
          <w:rFonts w:ascii="Palatino Linotype" w:eastAsia="Palatino Linotype" w:hAnsi="Palatino Linotype" w:cs="Palatino Linotype"/>
          <w:sz w:val="24"/>
          <w:szCs w:val="24"/>
        </w:rPr>
      </w:pPr>
    </w:p>
    <w:p w14:paraId="28FD239C"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veintiuno</w:t>
      </w:r>
      <w:r>
        <w:rPr>
          <w:rFonts w:ascii="Palatino Linotype" w:eastAsia="Palatino Linotype" w:hAnsi="Palatino Linotype" w:cs="Palatino Linotype"/>
          <w:b/>
          <w:sz w:val="24"/>
          <w:szCs w:val="24"/>
        </w:rPr>
        <w:t xml:space="preserve"> de marzo de dos mil veinticinco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Pr>
          <w:rFonts w:ascii="Palatino Linotype" w:eastAsia="Palatino Linotype" w:hAnsi="Palatino Linotype" w:cs="Palatino Linotype"/>
          <w:sz w:val="24"/>
          <w:szCs w:val="24"/>
        </w:rPr>
        <w:t xml:space="preserve">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presentará su informe justificado.</w:t>
      </w:r>
    </w:p>
    <w:p w14:paraId="124BE587" w14:textId="77777777" w:rsidR="00197F55" w:rsidRDefault="00197F55">
      <w:pPr>
        <w:spacing w:after="0" w:line="360" w:lineRule="auto"/>
        <w:jc w:val="both"/>
        <w:rPr>
          <w:rFonts w:ascii="Palatino Linotype" w:eastAsia="Palatino Linotype" w:hAnsi="Palatino Linotype" w:cs="Palatino Linotype"/>
          <w:sz w:val="24"/>
          <w:szCs w:val="24"/>
        </w:rPr>
      </w:pPr>
    </w:p>
    <w:p w14:paraId="04B114F5"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Con fecha treinta y uno de marzo de dos mil </w:t>
      </w:r>
      <w:r>
        <w:rPr>
          <w:rFonts w:ascii="Palatino Linotype" w:eastAsia="Palatino Linotype" w:hAnsi="Palatino Linotype" w:cs="Palatino Linotype"/>
          <w:sz w:val="24"/>
          <w:szCs w:val="24"/>
        </w:rPr>
        <w:t xml:space="preserve">veinticinco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14:paraId="187DB53A"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299E2AB8"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r>
        <w:rPr>
          <w:rFonts w:ascii="Palatino Linotype" w:eastAsia="Palatino Linotype" w:hAnsi="Palatino Linotype" w:cs="Palatino Linotype"/>
          <w:b/>
          <w:i/>
          <w:sz w:val="24"/>
          <w:szCs w:val="24"/>
          <w:u w:val="single"/>
        </w:rPr>
        <w:t>03089_RR_IFJ_2025.pdf</w:t>
      </w:r>
      <w:r>
        <w:rPr>
          <w:rFonts w:ascii="Palatino Linotype" w:eastAsia="Palatino Linotype" w:hAnsi="Palatino Linotype" w:cs="Palatino Linotype"/>
          <w:sz w:val="24"/>
          <w:szCs w:val="24"/>
        </w:rPr>
        <w:t>”: Oficio signado por la Titular de la Unidad de Tr</w:t>
      </w:r>
      <w:r>
        <w:rPr>
          <w:rFonts w:ascii="Palatino Linotype" w:eastAsia="Palatino Linotype" w:hAnsi="Palatino Linotype" w:cs="Palatino Linotype"/>
          <w:sz w:val="24"/>
          <w:szCs w:val="24"/>
        </w:rPr>
        <w:t>ansparencia, mediante el cual describe las constancias que obran en el SAIMEX, ratificando en términos generales su respuesta inicial.</w:t>
      </w:r>
    </w:p>
    <w:p w14:paraId="33D9949C" w14:textId="77777777" w:rsidR="00197F55" w:rsidRDefault="00197F55">
      <w:pPr>
        <w:spacing w:after="0" w:line="360" w:lineRule="auto"/>
        <w:jc w:val="both"/>
        <w:rPr>
          <w:rFonts w:ascii="Palatino Linotype" w:eastAsia="Palatino Linotype" w:hAnsi="Palatino Linotype" w:cs="Palatino Linotype"/>
          <w:sz w:val="24"/>
          <w:szCs w:val="24"/>
        </w:rPr>
      </w:pPr>
    </w:p>
    <w:p w14:paraId="3D26EE41"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Oficio de fecha veinticinco de marzo de dos mil veinticinco, signado por el </w:t>
      </w:r>
      <w:proofErr w:type="gramStart"/>
      <w:r>
        <w:rPr>
          <w:rFonts w:ascii="Palatino Linotype" w:eastAsia="Palatino Linotype" w:hAnsi="Palatino Linotype" w:cs="Palatino Linotype"/>
          <w:sz w:val="24"/>
          <w:szCs w:val="24"/>
        </w:rPr>
        <w:t>Director</w:t>
      </w:r>
      <w:proofErr w:type="gramEnd"/>
      <w:r>
        <w:rPr>
          <w:rFonts w:ascii="Palatino Linotype" w:eastAsia="Palatino Linotype" w:hAnsi="Palatino Linotype" w:cs="Palatino Linotype"/>
          <w:sz w:val="24"/>
          <w:szCs w:val="24"/>
        </w:rPr>
        <w:t xml:space="preserve"> de Obras Públicas, mediante el cual</w:t>
      </w:r>
      <w:r>
        <w:rPr>
          <w:rFonts w:ascii="Palatino Linotype" w:eastAsia="Palatino Linotype" w:hAnsi="Palatino Linotype" w:cs="Palatino Linotype"/>
          <w:sz w:val="24"/>
          <w:szCs w:val="24"/>
        </w:rPr>
        <w:t xml:space="preserve"> ratifica en términos generales su respuesta inicial. </w:t>
      </w:r>
    </w:p>
    <w:p w14:paraId="198EF554" w14:textId="77777777" w:rsidR="00197F55" w:rsidRDefault="00197F55">
      <w:pPr>
        <w:spacing w:after="0" w:line="360" w:lineRule="auto"/>
        <w:jc w:val="both"/>
        <w:rPr>
          <w:rFonts w:ascii="Palatino Linotype" w:eastAsia="Palatino Linotype" w:hAnsi="Palatino Linotype" w:cs="Palatino Linotype"/>
          <w:sz w:val="24"/>
          <w:szCs w:val="24"/>
        </w:rPr>
      </w:pPr>
    </w:p>
    <w:p w14:paraId="1C665675"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Documentos que se pusieron a la vista de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en fecha veinte de mayo de dos mil veinticinco sin que el particular emitiera manifestación alguna.</w:t>
      </w:r>
    </w:p>
    <w:p w14:paraId="1D0F9029"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791A3D92"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w:t>
      </w:r>
      <w:r>
        <w:rPr>
          <w:rFonts w:ascii="Palatino Linotype" w:eastAsia="Palatino Linotype" w:hAnsi="Palatino Linotype" w:cs="Palatino Linotype"/>
          <w:b/>
          <w:sz w:val="24"/>
          <w:szCs w:val="24"/>
        </w:rPr>
        <w:t>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El veintiuno de mayo de dos mil veinticinco, se amplió el término para resolver el recurso de revisión en </w:t>
      </w:r>
      <w:r>
        <w:rPr>
          <w:rFonts w:ascii="Palatino Linotype" w:eastAsia="Palatino Linotype" w:hAnsi="Palatino Linotype" w:cs="Palatino Linotype"/>
          <w:sz w:val="24"/>
          <w:szCs w:val="24"/>
        </w:rPr>
        <w:lastRenderedPageBreak/>
        <w:t xml:space="preserve">términos del artículo 181 párrafo tercero de la Ley de Transparencia y Acceso a la Información Pública del Estado de México y Municipios. </w:t>
      </w:r>
    </w:p>
    <w:p w14:paraId="7EB91195" w14:textId="77777777" w:rsidR="00197F55" w:rsidRDefault="00197F55">
      <w:pPr>
        <w:spacing w:after="0" w:line="360" w:lineRule="auto"/>
        <w:jc w:val="both"/>
        <w:rPr>
          <w:rFonts w:ascii="Palatino Linotype" w:eastAsia="Palatino Linotype" w:hAnsi="Palatino Linotype" w:cs="Palatino Linotype"/>
          <w:sz w:val="24"/>
          <w:szCs w:val="24"/>
        </w:rPr>
      </w:pPr>
    </w:p>
    <w:p w14:paraId="1CE47199"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w:t>
      </w:r>
      <w:r>
        <w:rPr>
          <w:rFonts w:ascii="Palatino Linotype" w:eastAsia="Palatino Linotype" w:hAnsi="Palatino Linotype" w:cs="Palatino Linotype"/>
          <w:sz w:val="24"/>
          <w:szCs w:val="24"/>
        </w:rPr>
        <w:t xml:space="preserve"> organismo garante no pasa por alto justificar, que el plazo para emitir la resolución en el presente asunto encuentra justificación en el alto número de recursos de revisión recibidos, circunstancia atípica que ha rebasado las capacidades técnicas y human</w:t>
      </w:r>
      <w:r>
        <w:rPr>
          <w:rFonts w:ascii="Palatino Linotype" w:eastAsia="Palatino Linotype" w:hAnsi="Palatino Linotype" w:cs="Palatino Linotype"/>
          <w:sz w:val="24"/>
          <w:szCs w:val="24"/>
        </w:rPr>
        <w:t>as del personal encargado de la proyección de las resoluciones a dichos medios de impugnación.</w:t>
      </w:r>
    </w:p>
    <w:p w14:paraId="02E6C6CA" w14:textId="77777777" w:rsidR="00197F55" w:rsidRDefault="00197F55">
      <w:pPr>
        <w:spacing w:after="0" w:line="360" w:lineRule="auto"/>
        <w:jc w:val="both"/>
        <w:rPr>
          <w:rFonts w:ascii="Palatino Linotype" w:eastAsia="Palatino Linotype" w:hAnsi="Palatino Linotype" w:cs="Palatino Linotype"/>
          <w:sz w:val="24"/>
          <w:szCs w:val="24"/>
        </w:rPr>
      </w:pPr>
    </w:p>
    <w:p w14:paraId="6A64DC71"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w:t>
      </w:r>
      <w:r>
        <w:rPr>
          <w:rFonts w:ascii="Palatino Linotype" w:eastAsia="Palatino Linotype" w:hAnsi="Palatino Linotype" w:cs="Palatino Linotype"/>
          <w:sz w:val="24"/>
          <w:szCs w:val="24"/>
        </w:rPr>
        <w:t>lazo para emitir la resolución se encuentra justificado en los elementos para medir la razonabilidad de asuntos conforme a los parámetros establecidos por diversos órganos jurisdiccionales federales, aplicables también en procedimientos análogos, como el q</w:t>
      </w:r>
      <w:r>
        <w:rPr>
          <w:rFonts w:ascii="Palatino Linotype" w:eastAsia="Palatino Linotype" w:hAnsi="Palatino Linotype" w:cs="Palatino Linotype"/>
          <w:sz w:val="24"/>
          <w:szCs w:val="24"/>
        </w:rPr>
        <w:t>ue nos ocupa.</w:t>
      </w:r>
    </w:p>
    <w:p w14:paraId="3A69C993" w14:textId="77777777" w:rsidR="00197F55" w:rsidRDefault="00197F55">
      <w:pPr>
        <w:spacing w:after="0" w:line="360" w:lineRule="auto"/>
        <w:jc w:val="both"/>
        <w:rPr>
          <w:rFonts w:ascii="Palatino Linotype" w:eastAsia="Palatino Linotype" w:hAnsi="Palatino Linotype" w:cs="Palatino Linotype"/>
          <w:sz w:val="24"/>
          <w:szCs w:val="24"/>
        </w:rPr>
      </w:pPr>
    </w:p>
    <w:p w14:paraId="0766D3D0"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w:t>
      </w:r>
      <w:r>
        <w:rPr>
          <w:rFonts w:ascii="Palatino Linotype" w:eastAsia="Palatino Linotype" w:hAnsi="Palatino Linotype" w:cs="Palatino Linotype"/>
          <w:sz w:val="24"/>
          <w:szCs w:val="24"/>
        </w:rPr>
        <w:t>iento; esto es, en un plazo razonable.</w:t>
      </w:r>
    </w:p>
    <w:p w14:paraId="0ED88A03" w14:textId="77777777" w:rsidR="00197F55" w:rsidRDefault="00197F55">
      <w:pPr>
        <w:spacing w:after="0" w:line="360" w:lineRule="auto"/>
        <w:jc w:val="both"/>
        <w:rPr>
          <w:rFonts w:ascii="Palatino Linotype" w:eastAsia="Palatino Linotype" w:hAnsi="Palatino Linotype" w:cs="Palatino Linotype"/>
          <w:sz w:val="24"/>
          <w:szCs w:val="24"/>
        </w:rPr>
      </w:pPr>
    </w:p>
    <w:p w14:paraId="24335874"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sz w:val="24"/>
          <w:szCs w:val="24"/>
        </w:rPr>
        <w:lastRenderedPageBreak/>
        <w:t>órganos jurisdiccionales o cuasi jurisdiccionales,</w:t>
      </w:r>
      <w:r>
        <w:rPr>
          <w:rFonts w:ascii="Palatino Linotype" w:eastAsia="Palatino Linotype" w:hAnsi="Palatino Linotype" w:cs="Palatino Linotype"/>
          <w:sz w:val="24"/>
          <w:szCs w:val="24"/>
        </w:rPr>
        <w:t xml:space="preserve"> tanto por la complejidad de los hechos, como por el número de casos que conocen. </w:t>
      </w:r>
    </w:p>
    <w:p w14:paraId="60D518EE" w14:textId="77777777" w:rsidR="00197F55" w:rsidRDefault="00197F55">
      <w:pPr>
        <w:spacing w:after="0" w:line="360" w:lineRule="auto"/>
        <w:jc w:val="both"/>
        <w:rPr>
          <w:rFonts w:ascii="Palatino Linotype" w:eastAsia="Palatino Linotype" w:hAnsi="Palatino Linotype" w:cs="Palatino Linotype"/>
          <w:sz w:val="24"/>
          <w:szCs w:val="24"/>
        </w:rPr>
      </w:pPr>
    </w:p>
    <w:p w14:paraId="6A2A448A"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excepcionalmente, si un asunto es resuelto con posterioridad a los plazos señalados por la norma debe analizarse la razonabilidad del tiempo necesario para su res</w:t>
      </w:r>
      <w:r>
        <w:rPr>
          <w:rFonts w:ascii="Palatino Linotype" w:eastAsia="Palatino Linotype" w:hAnsi="Palatino Linotype" w:cs="Palatino Linotype"/>
          <w:sz w:val="24"/>
          <w:szCs w:val="24"/>
        </w:rPr>
        <w:t xml:space="preserve">olución, atentos a los siguientes criterios: </w:t>
      </w:r>
    </w:p>
    <w:p w14:paraId="7294596A" w14:textId="77777777" w:rsidR="00197F55" w:rsidRDefault="00197F55">
      <w:pPr>
        <w:spacing w:after="0" w:line="360" w:lineRule="auto"/>
        <w:jc w:val="both"/>
        <w:rPr>
          <w:rFonts w:ascii="Palatino Linotype" w:eastAsia="Palatino Linotype" w:hAnsi="Palatino Linotype" w:cs="Palatino Linotype"/>
          <w:sz w:val="24"/>
          <w:szCs w:val="24"/>
        </w:rPr>
      </w:pPr>
    </w:p>
    <w:p w14:paraId="40373E4E" w14:textId="77777777" w:rsidR="00197F55" w:rsidRDefault="00505A0B">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25E077C" w14:textId="77777777" w:rsidR="00197F55" w:rsidRDefault="00505A0B">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0C51EF06" w14:textId="77777777" w:rsidR="00197F55" w:rsidRDefault="00505A0B">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w:t>
      </w:r>
      <w:r>
        <w:rPr>
          <w:rFonts w:ascii="Palatino Linotype" w:eastAsia="Palatino Linotype" w:hAnsi="Palatino Linotype" w:cs="Palatino Linotype"/>
          <w:sz w:val="24"/>
          <w:szCs w:val="24"/>
        </w:rPr>
        <w:t xml:space="preserve"> Las Acciones u omisiones realizadas en el procedimiento. Así como si la autoridad actuó con la debida diligencia.</w:t>
      </w:r>
    </w:p>
    <w:p w14:paraId="3E4B7DE4" w14:textId="77777777" w:rsidR="00197F55" w:rsidRDefault="00197F55">
      <w:pPr>
        <w:spacing w:after="0" w:line="360" w:lineRule="auto"/>
        <w:ind w:left="708"/>
        <w:rPr>
          <w:rFonts w:ascii="Palatino Linotype" w:eastAsia="Palatino Linotype" w:hAnsi="Palatino Linotype" w:cs="Palatino Linotype"/>
          <w:sz w:val="24"/>
          <w:szCs w:val="24"/>
        </w:rPr>
      </w:pPr>
    </w:p>
    <w:p w14:paraId="71295CF5" w14:textId="77777777" w:rsidR="00197F55" w:rsidRDefault="00505A0B">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5AE007A2" w14:textId="77777777" w:rsidR="00197F55" w:rsidRDefault="00197F55">
      <w:pPr>
        <w:spacing w:after="0" w:line="360" w:lineRule="auto"/>
        <w:jc w:val="both"/>
        <w:rPr>
          <w:rFonts w:ascii="Palatino Linotype" w:eastAsia="Palatino Linotype" w:hAnsi="Palatino Linotype" w:cs="Palatino Linotype"/>
          <w:sz w:val="24"/>
          <w:szCs w:val="24"/>
        </w:rPr>
      </w:pPr>
    </w:p>
    <w:p w14:paraId="5F91A997"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w:t>
      </w:r>
      <w:r>
        <w:rPr>
          <w:rFonts w:ascii="Palatino Linotype" w:eastAsia="Palatino Linotype" w:hAnsi="Palatino Linotype" w:cs="Palatino Linotype"/>
          <w:sz w:val="24"/>
          <w:szCs w:val="24"/>
        </w:rPr>
        <w:t>ndo se trate de un asunto excepcional, por alguna o todas las características mencionadas; o bien, cuando el ingreso de asuntos al órgano jurisdiccional o cuasi jurisdiccional respectivo supere notoriamente al que podría considerarse normal, debe concluirs</w:t>
      </w:r>
      <w:r>
        <w:rPr>
          <w:rFonts w:ascii="Palatino Linotype" w:eastAsia="Palatino Linotype" w:hAnsi="Palatino Linotype" w:cs="Palatino Linotype"/>
          <w:sz w:val="24"/>
          <w:szCs w:val="24"/>
        </w:rPr>
        <w:t>e que es una excluyente de responsabilidad en relación con la actuación del funcionario, como ha acontecido en el caso que nos ocupa.</w:t>
      </w:r>
    </w:p>
    <w:p w14:paraId="7223FA97" w14:textId="77777777" w:rsidR="00197F55" w:rsidRDefault="00197F55">
      <w:pPr>
        <w:spacing w:after="0" w:line="360" w:lineRule="auto"/>
        <w:jc w:val="both"/>
        <w:rPr>
          <w:rFonts w:ascii="Palatino Linotype" w:eastAsia="Palatino Linotype" w:hAnsi="Palatino Linotype" w:cs="Palatino Linotype"/>
          <w:sz w:val="24"/>
          <w:szCs w:val="24"/>
        </w:rPr>
      </w:pPr>
    </w:p>
    <w:p w14:paraId="695172E8"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P./J. 32/92 emitida por el Pleno de la Suprema Corte de Justicia de</w:t>
      </w:r>
      <w:r>
        <w:rPr>
          <w:rFonts w:ascii="Palatino Linotype" w:eastAsia="Palatino Linotype" w:hAnsi="Palatino Linotype" w:cs="Palatino Linotype"/>
          <w:sz w:val="24"/>
          <w:szCs w:val="24"/>
        </w:rPr>
        <w:t xml:space="preserv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74B21874" w14:textId="77777777" w:rsidR="00197F55" w:rsidRDefault="00197F55">
      <w:pPr>
        <w:spacing w:after="0" w:line="360" w:lineRule="auto"/>
        <w:jc w:val="both"/>
        <w:rPr>
          <w:rFonts w:ascii="Palatino Linotype" w:eastAsia="Palatino Linotype" w:hAnsi="Palatino Linotype" w:cs="Palatino Linotype"/>
          <w:b/>
          <w:sz w:val="24"/>
          <w:szCs w:val="24"/>
        </w:rPr>
      </w:pPr>
    </w:p>
    <w:p w14:paraId="6F6102BD"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w:t>
      </w:r>
      <w:r>
        <w:rPr>
          <w:rFonts w:ascii="Palatino Linotype" w:eastAsia="Palatino Linotype" w:hAnsi="Palatino Linotype" w:cs="Palatino Linotype"/>
          <w:sz w:val="24"/>
          <w:szCs w:val="24"/>
        </w:rPr>
        <w:t>n desproporción a la capacidad de los recursos materiales y humanos con que cuenta este Instituto para atender la enorme demanda de usuarios que acuden para que se les garantice su Derecho de acceso a la información Pública y Protección de Datos Personales</w:t>
      </w:r>
      <w:r>
        <w:rPr>
          <w:rFonts w:ascii="Palatino Linotype" w:eastAsia="Palatino Linotype" w:hAnsi="Palatino Linotype" w:cs="Palatino Linotype"/>
          <w:sz w:val="24"/>
          <w:szCs w:val="24"/>
        </w:rPr>
        <w:t>, aunado a la complejidad de los hechos a los que se refieren, así como al volumen del expediente, la extensión de los escritos y pruebas aportadas y desahogadas por las partes; lo que impide la tramitación de los recursos dentro de los términos legales pr</w:t>
      </w:r>
      <w:r>
        <w:rPr>
          <w:rFonts w:ascii="Palatino Linotype" w:eastAsia="Palatino Linotype" w:hAnsi="Palatino Linotype" w:cs="Palatino Linotype"/>
          <w:sz w:val="24"/>
          <w:szCs w:val="24"/>
        </w:rPr>
        <w:t>eviamente establecidos por la Ley, por tratarse de causas de fuerza mayor.</w:t>
      </w:r>
    </w:p>
    <w:p w14:paraId="77B2FC60" w14:textId="77777777" w:rsidR="00197F55" w:rsidRDefault="00197F55">
      <w:pPr>
        <w:spacing w:after="0" w:line="360" w:lineRule="auto"/>
        <w:jc w:val="both"/>
        <w:rPr>
          <w:rFonts w:ascii="Palatino Linotype" w:eastAsia="Palatino Linotype" w:hAnsi="Palatino Linotype" w:cs="Palatino Linotype"/>
          <w:sz w:val="24"/>
          <w:szCs w:val="24"/>
        </w:rPr>
      </w:pPr>
    </w:p>
    <w:p w14:paraId="2888E87C"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w:t>
      </w:r>
      <w:r>
        <w:rPr>
          <w:rFonts w:ascii="Palatino Linotype" w:eastAsia="Palatino Linotype" w:hAnsi="Palatino Linotype" w:cs="Palatino Linotype"/>
          <w:sz w:val="24"/>
          <w:szCs w:val="24"/>
        </w:rPr>
        <w:t>ón son los siguientes:</w:t>
      </w:r>
    </w:p>
    <w:p w14:paraId="274BAF65" w14:textId="77777777" w:rsidR="00197F55" w:rsidRDefault="00197F55">
      <w:pPr>
        <w:spacing w:after="0" w:line="360" w:lineRule="auto"/>
        <w:jc w:val="both"/>
        <w:rPr>
          <w:rFonts w:ascii="Palatino Linotype" w:eastAsia="Palatino Linotype" w:hAnsi="Palatino Linotype" w:cs="Palatino Linotype"/>
          <w:sz w:val="24"/>
          <w:szCs w:val="24"/>
        </w:rPr>
      </w:pPr>
    </w:p>
    <w:p w14:paraId="1D948112"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65285F09" w14:textId="77777777" w:rsidR="00197F55" w:rsidRDefault="00197F55">
      <w:pPr>
        <w:spacing w:after="0" w:line="360" w:lineRule="auto"/>
        <w:jc w:val="both"/>
        <w:rPr>
          <w:rFonts w:ascii="Palatino Linotype" w:eastAsia="Palatino Linotype" w:hAnsi="Palatino Linotype" w:cs="Palatino Linotype"/>
          <w:sz w:val="24"/>
          <w:szCs w:val="24"/>
        </w:rPr>
      </w:pPr>
    </w:p>
    <w:p w14:paraId="58D2D1C2"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 xml:space="preserve">“PLAZO RAZONABLE </w:t>
      </w:r>
      <w:r>
        <w:rPr>
          <w:rFonts w:ascii="Palatino Linotype" w:eastAsia="Palatino Linotype" w:hAnsi="Palatino Linotype" w:cs="Palatino Linotype"/>
          <w:i/>
          <w:sz w:val="24"/>
          <w:szCs w:val="24"/>
        </w:rPr>
        <w:t>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2AC5D220" w14:textId="77777777" w:rsidR="00197F55" w:rsidRDefault="00197F55">
      <w:pPr>
        <w:spacing w:after="0" w:line="360" w:lineRule="auto"/>
        <w:jc w:val="both"/>
        <w:rPr>
          <w:rFonts w:ascii="Palatino Linotype" w:eastAsia="Palatino Linotype" w:hAnsi="Palatino Linotype" w:cs="Palatino Linotype"/>
          <w:sz w:val="24"/>
          <w:szCs w:val="24"/>
        </w:rPr>
      </w:pPr>
    </w:p>
    <w:p w14:paraId="021AD684"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w:t>
      </w:r>
      <w:r>
        <w:rPr>
          <w:rFonts w:ascii="Palatino Linotype" w:eastAsia="Palatino Linotype" w:hAnsi="Palatino Linotype" w:cs="Palatino Linotype"/>
          <w:sz w:val="24"/>
          <w:szCs w:val="24"/>
        </w:rPr>
        <w:t xml:space="preserve"> con la tutela de los derechos humanos confiados, señala que este exceso del plazo legal para resolver el presente asunto, resulta de carácter excepcional.</w:t>
      </w:r>
    </w:p>
    <w:p w14:paraId="5AA444F7" w14:textId="77777777" w:rsidR="00197F55" w:rsidRDefault="00197F55">
      <w:pPr>
        <w:spacing w:after="0" w:line="360" w:lineRule="auto"/>
        <w:jc w:val="both"/>
        <w:rPr>
          <w:rFonts w:ascii="Palatino Linotype" w:eastAsia="Palatino Linotype" w:hAnsi="Palatino Linotype" w:cs="Palatino Linotype"/>
          <w:sz w:val="24"/>
          <w:szCs w:val="24"/>
        </w:rPr>
      </w:pPr>
    </w:p>
    <w:p w14:paraId="6AF6AEB7"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sz w:val="24"/>
          <w:szCs w:val="24"/>
        </w:rPr>
        <w:t>El veintiocho de mayo de dos mil veinticinco al no existir diligencias pendientes por desahogar, se emitió el acuerdo por medio del cual se declaró cerrada la instrucción y se determinó pasar el expediente a resolución, en términos del artículo 185 fracció</w:t>
      </w:r>
      <w:r>
        <w:rPr>
          <w:rFonts w:ascii="Palatino Linotype" w:eastAsia="Palatino Linotype" w:hAnsi="Palatino Linotype" w:cs="Palatino Linotype"/>
          <w:sz w:val="24"/>
          <w:szCs w:val="24"/>
        </w:rPr>
        <w:t>n VI y VIII de la Ley de Transparencia y Acceso a la Información Pública del Estado de México y Municipios, iniciando el término legal para dictar resolución definitiva del asunto.</w:t>
      </w:r>
    </w:p>
    <w:p w14:paraId="1499A469" w14:textId="77777777" w:rsidR="00197F55" w:rsidRDefault="00197F55">
      <w:pPr>
        <w:spacing w:after="0" w:line="360" w:lineRule="auto"/>
        <w:jc w:val="both"/>
        <w:rPr>
          <w:rFonts w:ascii="Palatino Linotype" w:eastAsia="Palatino Linotype" w:hAnsi="Palatino Linotype" w:cs="Palatino Linotype"/>
          <w:sz w:val="24"/>
          <w:szCs w:val="24"/>
        </w:rPr>
      </w:pPr>
    </w:p>
    <w:p w14:paraId="6545026B"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razón de que fue debidamente sustanciado el expediente electrónico y no</w:t>
      </w:r>
      <w:r>
        <w:rPr>
          <w:rFonts w:ascii="Palatino Linotype" w:eastAsia="Palatino Linotype" w:hAnsi="Palatino Linotype" w:cs="Palatino Linotype"/>
          <w:sz w:val="24"/>
          <w:szCs w:val="24"/>
        </w:rPr>
        <w:t xml:space="preserve"> existe diligencia pendiente de desahogo, se emite la Resolución que conforme a Derecho proceda, de acuerdo con los siguientes:</w:t>
      </w:r>
    </w:p>
    <w:p w14:paraId="237ABE81" w14:textId="77777777" w:rsidR="00197F55" w:rsidRDefault="00197F55">
      <w:pPr>
        <w:spacing w:after="0" w:line="360" w:lineRule="auto"/>
        <w:jc w:val="both"/>
        <w:rPr>
          <w:rFonts w:ascii="Palatino Linotype" w:eastAsia="Palatino Linotype" w:hAnsi="Palatino Linotype" w:cs="Palatino Linotype"/>
          <w:sz w:val="24"/>
          <w:szCs w:val="24"/>
        </w:rPr>
      </w:pPr>
    </w:p>
    <w:p w14:paraId="36EB2977" w14:textId="77777777" w:rsidR="00197F55" w:rsidRDefault="00505A0B">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76A28275" w14:textId="77777777" w:rsidR="00197F55" w:rsidRDefault="00197F55">
      <w:pPr>
        <w:widowControl w:val="0"/>
        <w:spacing w:after="0" w:line="360" w:lineRule="auto"/>
        <w:jc w:val="center"/>
        <w:rPr>
          <w:rFonts w:ascii="Palatino Linotype" w:eastAsia="Palatino Linotype" w:hAnsi="Palatino Linotype" w:cs="Palatino Linotype"/>
          <w:b/>
          <w:sz w:val="24"/>
          <w:szCs w:val="24"/>
        </w:rPr>
      </w:pPr>
    </w:p>
    <w:p w14:paraId="5373C69A"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w:t>
      </w:r>
      <w:r>
        <w:rPr>
          <w:rFonts w:ascii="Palatino Linotype" w:eastAsia="Palatino Linotype" w:hAnsi="Palatino Linotype" w:cs="Palatino Linotype"/>
          <w:sz w:val="24"/>
          <w:szCs w:val="24"/>
        </w:rPr>
        <w:t xml:space="preserve"> Datos Personales del Estado de México y Municipios, es competente para conocer y resolver el presente recurso de revisión interpuesto por la parte recurrente, conforme a lo dispuesto en los artículos 6, apartado A de la Constitución Política de los Estado</w:t>
      </w:r>
      <w:r>
        <w:rPr>
          <w:rFonts w:ascii="Palatino Linotype" w:eastAsia="Palatino Linotype" w:hAnsi="Palatino Linotype" w:cs="Palatino Linotype"/>
          <w:sz w:val="24"/>
          <w:szCs w:val="24"/>
        </w:rPr>
        <w:t xml:space="preserve">s Unidos Mexicanos; 5 párrafos trigésimo séptimo, trigésimo octavo y trigésimo noveno, fracciones IV y V de la Constitución Política del Estado Libre y Soberano de México; 2, fracción II; 29, 36 fracciones I y II; 176, 178, 181, 185, fracción I, 186 y 188 </w:t>
      </w:r>
      <w:r>
        <w:rPr>
          <w:rFonts w:ascii="Palatino Linotype" w:eastAsia="Palatino Linotype" w:hAnsi="Palatino Linotype" w:cs="Palatino Linotype"/>
          <w:sz w:val="24"/>
          <w:szCs w:val="24"/>
        </w:rPr>
        <w:t>de la Ley Transparencia y Acceso a la Información Pública del Estado de México y Municipios; 9, fracciones I y XXIII y 11 del Reglamento Interior del Instituto de Transparencia, Acceso a la Información Pública y Protección de Datos Personales del Estado de</w:t>
      </w:r>
      <w:r>
        <w:rPr>
          <w:rFonts w:ascii="Palatino Linotype" w:eastAsia="Palatino Linotype" w:hAnsi="Palatino Linotype" w:cs="Palatino Linotype"/>
          <w:sz w:val="24"/>
          <w:szCs w:val="24"/>
        </w:rPr>
        <w:t xml:space="preserve"> México y Municipios.</w:t>
      </w:r>
    </w:p>
    <w:p w14:paraId="1B96E4C7" w14:textId="77777777" w:rsidR="00197F55" w:rsidRDefault="00197F55">
      <w:pPr>
        <w:spacing w:after="0" w:line="360" w:lineRule="auto"/>
        <w:jc w:val="both"/>
        <w:rPr>
          <w:rFonts w:ascii="Palatino Linotype" w:eastAsia="Palatino Linotype" w:hAnsi="Palatino Linotype" w:cs="Palatino Linotype"/>
          <w:sz w:val="24"/>
          <w:szCs w:val="24"/>
        </w:rPr>
      </w:pPr>
    </w:p>
    <w:p w14:paraId="06D3702D"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Pr>
          <w:rFonts w:ascii="Palatino Linotype" w:eastAsia="Palatino Linotype" w:hAnsi="Palatino Linotype" w:cs="Palatino Linotype"/>
          <w:sz w:val="24"/>
          <w:szCs w:val="24"/>
        </w:rPr>
        <w:lastRenderedPageBreak/>
        <w:t>interpuesto, previsto</w:t>
      </w:r>
      <w:r>
        <w:rPr>
          <w:rFonts w:ascii="Palatino Linotype" w:eastAsia="Palatino Linotype" w:hAnsi="Palatino Linotype" w:cs="Palatino Linotype"/>
          <w:sz w:val="24"/>
          <w:szCs w:val="24"/>
        </w:rPr>
        <w:t xml:space="preserve"> en el artículo 178 y 180 de la Ley de Transparencia y Acceso a la Información Pública del Estado de México y Municipios.</w:t>
      </w:r>
    </w:p>
    <w:p w14:paraId="78832591" w14:textId="77777777" w:rsidR="00197F55" w:rsidRDefault="00197F55">
      <w:pPr>
        <w:spacing w:after="0" w:line="360" w:lineRule="auto"/>
        <w:jc w:val="both"/>
        <w:rPr>
          <w:rFonts w:ascii="Palatino Linotype" w:eastAsia="Palatino Linotype" w:hAnsi="Palatino Linotype" w:cs="Palatino Linotype"/>
          <w:sz w:val="24"/>
          <w:szCs w:val="24"/>
        </w:rPr>
      </w:pPr>
    </w:p>
    <w:p w14:paraId="5A4526DB"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w:t>
      </w:r>
      <w:r>
        <w:rPr>
          <w:rFonts w:ascii="Palatino Linotype" w:eastAsia="Palatino Linotype" w:hAnsi="Palatino Linotype" w:cs="Palatino Linotype"/>
          <w:sz w:val="24"/>
          <w:szCs w:val="24"/>
        </w:rPr>
        <w:t xml:space="preserve">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once de marzo del año dos mil veinticinco, mientras 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w:t>
      </w:r>
      <w:r>
        <w:rPr>
          <w:rFonts w:ascii="Palatino Linotype" w:eastAsia="Palatino Linotype" w:hAnsi="Palatino Linotype" w:cs="Palatino Linotype"/>
          <w:b/>
          <w:sz w:val="24"/>
          <w:szCs w:val="24"/>
        </w:rPr>
        <w:t>URRENTE</w:t>
      </w:r>
      <w:r>
        <w:rPr>
          <w:rFonts w:ascii="Palatino Linotype" w:eastAsia="Palatino Linotype" w:hAnsi="Palatino Linotype" w:cs="Palatino Linotype"/>
          <w:sz w:val="24"/>
          <w:szCs w:val="24"/>
        </w:rPr>
        <w:t xml:space="preserve"> interpuso el recurso de revisión en fecha dieciocho de marzo de dos mil veinticinco, es decir, al cuarto día hábil de haber recibido la respuesta. </w:t>
      </w:r>
    </w:p>
    <w:p w14:paraId="29F09114"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w:t>
      </w:r>
      <w:r>
        <w:rPr>
          <w:rFonts w:ascii="Palatino Linotype" w:eastAsia="Palatino Linotype" w:hAnsi="Palatino Linotype" w:cs="Palatino Linotype"/>
          <w:sz w:val="24"/>
          <w:szCs w:val="24"/>
        </w:rPr>
        <w:t xml:space="preserve">que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proporcionó un nombre como se advierte en el detalle de seguimiento del SAIMEX, lo anterior no es motivo para archivar la solicitud de acceso a la información pública como concluida, conforme a lo previsto en el artículo 155, pe</w:t>
      </w:r>
      <w:r>
        <w:rPr>
          <w:rFonts w:ascii="Palatino Linotype" w:eastAsia="Palatino Linotype" w:hAnsi="Palatino Linotype" w:cs="Palatino Linotype"/>
          <w:sz w:val="24"/>
          <w:szCs w:val="24"/>
        </w:rPr>
        <w:t>núltimo párrafo de la Ley de Transparencia y Acceso a la Información Pública del Estado de México y Municipios que establece lo siguiente:</w:t>
      </w:r>
    </w:p>
    <w:p w14:paraId="0CFA66DD" w14:textId="77777777" w:rsidR="00197F55" w:rsidRDefault="00197F55">
      <w:pPr>
        <w:spacing w:after="0" w:line="360" w:lineRule="auto"/>
        <w:jc w:val="both"/>
        <w:rPr>
          <w:rFonts w:ascii="Palatino Linotype" w:eastAsia="Palatino Linotype" w:hAnsi="Palatino Linotype" w:cs="Palatino Linotype"/>
          <w:sz w:val="24"/>
          <w:szCs w:val="24"/>
        </w:rPr>
      </w:pPr>
    </w:p>
    <w:p w14:paraId="7D48E168" w14:textId="77777777" w:rsidR="00197F55" w:rsidRDefault="00505A0B">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"Las solicitudes anónimas, con nombre incompleto o seudónimo serán procedentes para su trámite por parte del sujeto </w:t>
      </w:r>
      <w:r>
        <w:rPr>
          <w:rFonts w:ascii="Palatino Linotype" w:eastAsia="Palatino Linotype" w:hAnsi="Palatino Linotype" w:cs="Palatino Linotype"/>
          <w:b/>
          <w:i/>
        </w:rPr>
        <w:t>obligado ante quien se presente. No podrá requerirse información adicional con motivo del nombre proporcionado por el solicitante."</w:t>
      </w:r>
    </w:p>
    <w:p w14:paraId="6FFC4AAA" w14:textId="77777777" w:rsidR="00197F55" w:rsidRDefault="00197F55">
      <w:pPr>
        <w:spacing w:after="0" w:line="360" w:lineRule="auto"/>
        <w:ind w:left="851" w:right="902"/>
        <w:jc w:val="both"/>
        <w:rPr>
          <w:rFonts w:ascii="Palatino Linotype" w:eastAsia="Palatino Linotype" w:hAnsi="Palatino Linotype" w:cs="Palatino Linotype"/>
          <w:sz w:val="24"/>
          <w:szCs w:val="24"/>
        </w:rPr>
      </w:pPr>
    </w:p>
    <w:p w14:paraId="3CC94D93" w14:textId="77777777" w:rsidR="00197F55" w:rsidRDefault="00505A0B">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Ahora bien, del análisis efectuado se advierte que resulta procedente la interposición del recurso y se concluye la acredit</w:t>
      </w:r>
      <w:r>
        <w:rPr>
          <w:rFonts w:ascii="Palatino Linotype" w:eastAsia="Palatino Linotype" w:hAnsi="Palatino Linotype" w:cs="Palatino Linotype"/>
          <w:sz w:val="24"/>
          <w:szCs w:val="24"/>
        </w:rPr>
        <w:t xml:space="preserve">ación plena de todos y cada uno de los elementos </w:t>
      </w:r>
      <w:r>
        <w:rPr>
          <w:rFonts w:ascii="Palatino Linotype" w:eastAsia="Palatino Linotype" w:hAnsi="Palatino Linotype" w:cs="Palatino Linotype"/>
          <w:sz w:val="24"/>
          <w:szCs w:val="24"/>
        </w:rPr>
        <w:lastRenderedPageBreak/>
        <w:t xml:space="preserve">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w:t>
      </w:r>
      <w:r>
        <w:rPr>
          <w:rFonts w:ascii="Palatino Linotype" w:eastAsia="Palatino Linotype" w:hAnsi="Palatino Linotype" w:cs="Palatino Linotype"/>
          <w:b/>
          <w:sz w:val="24"/>
          <w:szCs w:val="24"/>
        </w:rPr>
        <w:t xml:space="preserve">SAIMEX.  </w:t>
      </w:r>
    </w:p>
    <w:p w14:paraId="11B1D6F3" w14:textId="77777777" w:rsidR="00197F55" w:rsidRDefault="00197F55">
      <w:pPr>
        <w:spacing w:after="0" w:line="360" w:lineRule="auto"/>
        <w:jc w:val="both"/>
        <w:rPr>
          <w:rFonts w:ascii="Palatino Linotype" w:eastAsia="Palatino Linotype" w:hAnsi="Palatino Linotype" w:cs="Palatino Linotype"/>
          <w:b/>
          <w:sz w:val="24"/>
          <w:szCs w:val="24"/>
        </w:rPr>
      </w:pPr>
    </w:p>
    <w:p w14:paraId="6E8FD3E2" w14:textId="77777777" w:rsidR="00197F55" w:rsidRDefault="00505A0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1EC07A5E" w14:textId="77777777" w:rsidR="00197F55" w:rsidRDefault="00197F5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592325F7" w14:textId="77777777" w:rsidR="00197F55" w:rsidRDefault="00505A0B">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347448F3" w14:textId="77777777" w:rsidR="00197F55" w:rsidRDefault="00505A0B">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Pr>
          <w:rFonts w:ascii="Palatino Linotype" w:eastAsia="Palatino Linotype" w:hAnsi="Palatino Linotype" w:cs="Palatino Linotype"/>
          <w:i/>
        </w:rPr>
        <w:t>I. La negativa a la información solicitada;”</w:t>
      </w:r>
    </w:p>
    <w:p w14:paraId="6C1F7268" w14:textId="77777777" w:rsidR="00197F55" w:rsidRDefault="00197F55">
      <w:pPr>
        <w:spacing w:after="0" w:line="360" w:lineRule="auto"/>
        <w:jc w:val="both"/>
        <w:rPr>
          <w:rFonts w:ascii="Palatino Linotype" w:eastAsia="Palatino Linotype" w:hAnsi="Palatino Linotype" w:cs="Palatino Linotype"/>
          <w:sz w:val="24"/>
          <w:szCs w:val="24"/>
        </w:rPr>
      </w:pPr>
    </w:p>
    <w:p w14:paraId="0D7501B6"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MA</w:t>
      </w:r>
      <w:r>
        <w:rPr>
          <w:rFonts w:ascii="Palatino Linotype" w:eastAsia="Palatino Linotype" w:hAnsi="Palatino Linotype" w:cs="Palatino Linotype"/>
          <w:b/>
          <w:sz w:val="24"/>
          <w:szCs w:val="24"/>
        </w:rPr>
        <w:t xml:space="preserve">TERIA DE LA REVISIÓN. </w:t>
      </w:r>
      <w:r>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w:t>
      </w:r>
      <w:r>
        <w:rPr>
          <w:rFonts w:ascii="Palatino Linotype" w:eastAsia="Palatino Linotype" w:hAnsi="Palatino Linotype" w:cs="Palatino Linotype"/>
          <w:sz w:val="24"/>
          <w:szCs w:val="24"/>
        </w:rPr>
        <w:t xml:space="preserve">a e informe justificado otorgado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5CCF5565" w14:textId="77777777" w:rsidR="00197F55" w:rsidRDefault="00197F55">
      <w:pPr>
        <w:spacing w:after="0" w:line="360" w:lineRule="auto"/>
        <w:jc w:val="both"/>
        <w:rPr>
          <w:rFonts w:ascii="Palatino Linotype" w:eastAsia="Palatino Linotype" w:hAnsi="Palatino Linotype" w:cs="Palatino Linotype"/>
          <w:sz w:val="24"/>
          <w:szCs w:val="24"/>
        </w:rPr>
      </w:pPr>
    </w:p>
    <w:p w14:paraId="190BD8F6"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 ESTUDIO Y RESOLUCIÓN DEL ASUNTO.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w:t>
      </w:r>
      <w:r>
        <w:rPr>
          <w:rFonts w:ascii="Palatino Linotype" w:eastAsia="Palatino Linotype" w:hAnsi="Palatino Linotype" w:cs="Palatino Linotype"/>
          <w:sz w:val="24"/>
          <w:szCs w:val="24"/>
        </w:rPr>
        <w:lastRenderedPageBreak/>
        <w:t>adherido, sin oponer reserva alguna sobre lo que nos interesa, adoptando di</w:t>
      </w:r>
      <w:r>
        <w:rPr>
          <w:rFonts w:ascii="Palatino Linotype" w:eastAsia="Palatino Linotype" w:hAnsi="Palatino Linotype" w:cs="Palatino Linotype"/>
          <w:sz w:val="24"/>
          <w:szCs w:val="24"/>
        </w:rPr>
        <w:t>chas disposiciones al Derecho Interno, específicamente a nivel Constitucional, tal y como lo prevén los arábigos 1 párrafos primero, segundo y tercero y 6 apartado A fracciones I, II, III, IV, V, VI y VII que a la letra señalan:</w:t>
      </w:r>
    </w:p>
    <w:p w14:paraId="768F23F7" w14:textId="77777777" w:rsidR="00197F55" w:rsidRDefault="00197F55">
      <w:pPr>
        <w:spacing w:after="0" w:line="360" w:lineRule="auto"/>
        <w:jc w:val="both"/>
        <w:rPr>
          <w:rFonts w:ascii="Palatino Linotype" w:eastAsia="Palatino Linotype" w:hAnsi="Palatino Linotype" w:cs="Palatino Linotype"/>
          <w:sz w:val="24"/>
          <w:szCs w:val="24"/>
        </w:rPr>
      </w:pPr>
    </w:p>
    <w:p w14:paraId="6C63A952" w14:textId="77777777" w:rsidR="00197F55" w:rsidRDefault="00505A0B">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w:t>
      </w:r>
      <w:r>
        <w:rPr>
          <w:rFonts w:ascii="Palatino Linotype" w:eastAsia="Palatino Linotype" w:hAnsi="Palatino Linotype" w:cs="Palatino Linotype"/>
          <w:b/>
          <w:i/>
          <w:u w:val="single"/>
        </w:rPr>
        <w:t>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w:t>
      </w:r>
      <w:r>
        <w:rPr>
          <w:rFonts w:ascii="Palatino Linotype" w:eastAsia="Palatino Linotype" w:hAnsi="Palatino Linotype" w:cs="Palatino Linotype"/>
          <w:i/>
        </w:rPr>
        <w:t>girse ni suspenderse, salvo en los casos y bajo las condiciones que esta Constitución establece.</w:t>
      </w:r>
    </w:p>
    <w:p w14:paraId="4663B2E3" w14:textId="77777777" w:rsidR="00197F55" w:rsidRDefault="00505A0B">
      <w:pPr>
        <w:tabs>
          <w:tab w:val="left" w:pos="709"/>
        </w:tabs>
        <w:spacing w:after="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w:t>
      </w:r>
      <w:r>
        <w:rPr>
          <w:rFonts w:ascii="Palatino Linotype" w:eastAsia="Palatino Linotype" w:hAnsi="Palatino Linotype" w:cs="Palatino Linotype"/>
          <w:b/>
          <w:i/>
        </w:rPr>
        <w:t xml:space="preserve"> en todo tiempo a las personas la protección más amplia.</w:t>
      </w:r>
    </w:p>
    <w:p w14:paraId="79D2914B" w14:textId="77777777" w:rsidR="00197F55" w:rsidRDefault="00505A0B">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w:t>
      </w:r>
      <w:r>
        <w:rPr>
          <w:rFonts w:ascii="Palatino Linotype" w:eastAsia="Palatino Linotype" w:hAnsi="Palatino Linotype" w:cs="Palatino Linotype"/>
          <w:b/>
          <w:i/>
          <w:u w:val="single"/>
        </w:rPr>
        <w: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E1CDA7E" w14:textId="77777777" w:rsidR="00197F55" w:rsidRDefault="00505A0B">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3F6CB25" w14:textId="77777777" w:rsidR="00197F55" w:rsidRDefault="00505A0B">
      <w:pPr>
        <w:spacing w:after="0" w:line="276" w:lineRule="auto"/>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“Artículo 6o.</w:t>
      </w:r>
    </w:p>
    <w:p w14:paraId="3DDC2D33" w14:textId="77777777" w:rsidR="00197F55" w:rsidRDefault="00505A0B">
      <w:pPr>
        <w:spacing w:after="0" w:line="276" w:lineRule="auto"/>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42BEC070"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w:t>
      </w:r>
      <w:r>
        <w:rPr>
          <w:rFonts w:ascii="Palatino Linotype" w:eastAsia="Palatino Linotype" w:hAnsi="Palatino Linotype" w:cs="Palatino Linotype"/>
          <w:i/>
        </w:rPr>
        <w:t>y las entidades federativas, en el ámbito de sus respectivas competencias, se regirán por los siguientes principios y bases:</w:t>
      </w:r>
    </w:p>
    <w:p w14:paraId="2AE96A65"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I. Toda la información en posesión de cualquier autorida</w:t>
      </w:r>
      <w:r>
        <w:rPr>
          <w:rFonts w:ascii="Palatino Linotype" w:eastAsia="Palatino Linotype" w:hAnsi="Palatino Linotype" w:cs="Palatino Linotype"/>
          <w:i/>
        </w:rPr>
        <w:t xml:space="preserve">d, entidad, órgano y organismo de los Poderes Ejecutivo, Legislativo y Judicial, órganos autónomos, partidos políticos, fideicomisos y fondos públicos, así como de cualquier persona física, moral o sindicato que reciba y ejerza recursos públicos o realice </w:t>
      </w:r>
      <w:r>
        <w:rPr>
          <w:rFonts w:ascii="Palatino Linotype" w:eastAsia="Palatino Linotype" w:hAnsi="Palatino Linotype" w:cs="Palatino Linotype"/>
          <w:i/>
        </w:rPr>
        <w:t xml:space="preserve">actos de </w:t>
      </w:r>
      <w:r>
        <w:rPr>
          <w:rFonts w:ascii="Palatino Linotype" w:eastAsia="Palatino Linotype" w:hAnsi="Palatino Linotype" w:cs="Palatino Linotype"/>
          <w:i/>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w:t>
      </w:r>
      <w:r>
        <w:rPr>
          <w:rFonts w:ascii="Palatino Linotype" w:eastAsia="Palatino Linotype" w:hAnsi="Palatino Linotype" w:cs="Palatino Linotype"/>
          <w:i/>
        </w:rPr>
        <w:t>er el principio de máxima publicidad. Los sujetos obligados deberán documentar todo acto que derive del ejercicio de sus facultades, competencias o funciones, la ley determinará los supuestos específicos bajo los cuales procederá la declaración de inexiste</w:t>
      </w:r>
      <w:r>
        <w:rPr>
          <w:rFonts w:ascii="Palatino Linotype" w:eastAsia="Palatino Linotype" w:hAnsi="Palatino Linotype" w:cs="Palatino Linotype"/>
          <w:i/>
        </w:rPr>
        <w:t>ncia de la información.</w:t>
      </w:r>
    </w:p>
    <w:p w14:paraId="57A37922"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II. La información que se refiere a la vida privada y los datos personales será protegida en los términos y con las excepciones que fijen las leyes. Para tal efecto, los sujetos obligados contarán con las facultades suficientes para</w:t>
      </w:r>
      <w:r>
        <w:rPr>
          <w:rFonts w:ascii="Palatino Linotype" w:eastAsia="Palatino Linotype" w:hAnsi="Palatino Linotype" w:cs="Palatino Linotype"/>
          <w:i/>
        </w:rPr>
        <w:t xml:space="preserve"> su atención.</w:t>
      </w:r>
    </w:p>
    <w:p w14:paraId="356B0264"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w:t>
      </w:r>
      <w:r>
        <w:rPr>
          <w:rFonts w:ascii="Palatino Linotype" w:eastAsia="Palatino Linotype" w:hAnsi="Palatino Linotype" w:cs="Palatino Linotype"/>
          <w:i/>
        </w:rPr>
        <w:t>tección, verificación e imposición de sanciones.</w:t>
      </w:r>
    </w:p>
    <w:p w14:paraId="65478586"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03DA65A9"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IV. Se estable</w:t>
      </w:r>
      <w:r>
        <w:rPr>
          <w:rFonts w:ascii="Palatino Linotype" w:eastAsia="Palatino Linotype" w:hAnsi="Palatino Linotype" w:cs="Palatino Linotype"/>
          <w:i/>
        </w:rPr>
        <w:t>cerán mecanismos de acceso a la información pública y procedimientos de revisión expeditos que se sustanciarán ante las instancias competentes en los términos que fija esta Constitución y las leyes.</w:t>
      </w:r>
    </w:p>
    <w:p w14:paraId="6C7AC129"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V. Los sujetos obligados deberán preservar sus documentos</w:t>
      </w:r>
      <w:r>
        <w:rPr>
          <w:rFonts w:ascii="Palatino Linotype" w:eastAsia="Palatino Linotype" w:hAnsi="Palatino Linotype" w:cs="Palatino Linotype"/>
          <w:i/>
        </w:rPr>
        <w:t xml:space="preserve"> en archivos administrativos actualizados y publicarán, a través de los medios electrónicos disponibles, la información completa y actualizada sobre el ejercicio de los recursos públicos y los indicadores que permitan rendir cuenta del cumplimiento de sus </w:t>
      </w:r>
      <w:r>
        <w:rPr>
          <w:rFonts w:ascii="Palatino Linotype" w:eastAsia="Palatino Linotype" w:hAnsi="Palatino Linotype" w:cs="Palatino Linotype"/>
          <w:i/>
        </w:rPr>
        <w:t>objetivos y de los resultados obtenidos.</w:t>
      </w:r>
    </w:p>
    <w:p w14:paraId="3C5127A6"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VI. Las leyes determinarán la manera en que los sujetos obligados deberán hacer pública la información relativa a los recursos públicos que entreguen a personas físicas o morales. </w:t>
      </w:r>
    </w:p>
    <w:p w14:paraId="106AD88F"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VII. La inobservancia a las disposiciones en materia de acceso a la información pública será sancionada en los términos que dispongan las leyes. </w:t>
      </w:r>
    </w:p>
    <w:p w14:paraId="6E02A3D6"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VIII. Los sujetos obligados deberán promover, respetar, proteger y garantizar los derechos de acceso a la info</w:t>
      </w:r>
      <w:r>
        <w:rPr>
          <w:rFonts w:ascii="Palatino Linotype" w:eastAsia="Palatino Linotype" w:hAnsi="Palatino Linotype" w:cs="Palatino Linotype"/>
          <w:i/>
        </w:rPr>
        <w:t xml:space="preserve">rmación pública y a la protección de datos personales. Las leyes en la materia determinarán las bases, principios generales y </w:t>
      </w:r>
      <w:r>
        <w:rPr>
          <w:rFonts w:ascii="Palatino Linotype" w:eastAsia="Palatino Linotype" w:hAnsi="Palatino Linotype" w:cs="Palatino Linotype"/>
          <w:i/>
        </w:rPr>
        <w:lastRenderedPageBreak/>
        <w:t>procedimientos del ejercicio de estos derechos, así como la competencia de las autoridades de control interno y vigilancia u homól</w:t>
      </w:r>
      <w:r>
        <w:rPr>
          <w:rFonts w:ascii="Palatino Linotype" w:eastAsia="Palatino Linotype" w:hAnsi="Palatino Linotype" w:cs="Palatino Linotype"/>
          <w:i/>
        </w:rPr>
        <w:t>ogos en el ámbito federal y local para conocer de los procedimientos de revisión contra los actos que emitan</w:t>
      </w:r>
    </w:p>
    <w:p w14:paraId="76544A4A"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los sujetos obligados.</w:t>
      </w:r>
    </w:p>
    <w:p w14:paraId="1AB2FB56" w14:textId="77777777" w:rsidR="00197F55" w:rsidRDefault="00197F55">
      <w:pPr>
        <w:spacing w:after="0" w:line="276" w:lineRule="auto"/>
        <w:ind w:left="851" w:right="901"/>
        <w:jc w:val="both"/>
        <w:rPr>
          <w:rFonts w:ascii="Palatino Linotype" w:eastAsia="Palatino Linotype" w:hAnsi="Palatino Linotype" w:cs="Palatino Linotype"/>
          <w:i/>
        </w:rPr>
      </w:pPr>
    </w:p>
    <w:p w14:paraId="5F60CEDC" w14:textId="77777777" w:rsidR="00197F55" w:rsidRDefault="00505A0B">
      <w:pPr>
        <w:spacing w:after="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se regirán por la ley general en materia de transparencia y acceso a la información pública y protecc</w:t>
      </w:r>
      <w:r>
        <w:rPr>
          <w:rFonts w:ascii="Palatino Linotype" w:eastAsia="Palatino Linotype" w:hAnsi="Palatino Linotype" w:cs="Palatino Linotype"/>
          <w:i/>
        </w:rPr>
        <w:t>ión de datos personales, en los términos que ésta se emita por el Congreso de la Unión para establecer las bases, principios generales y procedimientos del ejercicio de este derecho.</w:t>
      </w:r>
    </w:p>
    <w:p w14:paraId="1FECA5BD" w14:textId="77777777" w:rsidR="00197F55" w:rsidRDefault="00197F55">
      <w:pPr>
        <w:spacing w:after="0" w:line="276" w:lineRule="auto"/>
        <w:ind w:left="851" w:right="901"/>
        <w:jc w:val="both"/>
        <w:rPr>
          <w:rFonts w:ascii="Palatino Linotype" w:eastAsia="Palatino Linotype" w:hAnsi="Palatino Linotype" w:cs="Palatino Linotype"/>
          <w:i/>
        </w:rPr>
      </w:pPr>
    </w:p>
    <w:p w14:paraId="549F1901" w14:textId="77777777" w:rsidR="00197F55" w:rsidRDefault="00505A0B">
      <w:pPr>
        <w:spacing w:after="0" w:line="276" w:lineRule="auto"/>
        <w:ind w:left="851" w:right="901"/>
        <w:jc w:val="both"/>
        <w:rPr>
          <w:rFonts w:ascii="Palatino Linotype" w:eastAsia="Palatino Linotype" w:hAnsi="Palatino Linotype" w:cs="Palatino Linotype"/>
          <w:sz w:val="24"/>
          <w:szCs w:val="24"/>
        </w:rPr>
      </w:pPr>
      <w:r>
        <w:rPr>
          <w:rFonts w:ascii="Palatino Linotype" w:eastAsia="Palatino Linotype" w:hAnsi="Palatino Linotype" w:cs="Palatino Linotype"/>
          <w:i/>
        </w:rPr>
        <w:t>El ejercicio de este derecho se regirá por los principios de certeza, le</w:t>
      </w:r>
      <w:r>
        <w:rPr>
          <w:rFonts w:ascii="Palatino Linotype" w:eastAsia="Palatino Linotype" w:hAnsi="Palatino Linotype" w:cs="Palatino Linotype"/>
          <w:i/>
        </w:rPr>
        <w:t>galidad, independencia, imparcialidad, eficacia, objetividad, profesionalismo, transparencia y máxima publicidad.</w:t>
      </w:r>
      <w:r>
        <w:rPr>
          <w:rFonts w:ascii="Palatino Linotype" w:eastAsia="Palatino Linotype" w:hAnsi="Palatino Linotype" w:cs="Palatino Linotype"/>
          <w:sz w:val="24"/>
          <w:szCs w:val="24"/>
        </w:rPr>
        <w:t xml:space="preserve"> </w:t>
      </w:r>
    </w:p>
    <w:p w14:paraId="768F10EE" w14:textId="77777777" w:rsidR="00197F55" w:rsidRDefault="00197F55">
      <w:pPr>
        <w:spacing w:after="0" w:line="276" w:lineRule="auto"/>
        <w:ind w:left="851" w:right="851"/>
        <w:jc w:val="both"/>
        <w:rPr>
          <w:rFonts w:ascii="Palatino Linotype" w:eastAsia="Palatino Linotype" w:hAnsi="Palatino Linotype" w:cs="Palatino Linotype"/>
          <w:sz w:val="24"/>
          <w:szCs w:val="24"/>
        </w:rPr>
      </w:pPr>
    </w:p>
    <w:p w14:paraId="698964EF" w14:textId="77777777" w:rsidR="00197F55" w:rsidRDefault="00505A0B">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w:t>
      </w:r>
      <w:r>
        <w:rPr>
          <w:rFonts w:ascii="Palatino Linotype" w:eastAsia="Palatino Linotype" w:hAnsi="Palatino Linotype" w:cs="Palatino Linotype"/>
          <w:sz w:val="24"/>
          <w:szCs w:val="24"/>
        </w:rPr>
        <w:t xml:space="preserve"> la información es un derecho del cual goza toda persona sin discriminación alguna, el cual se ejerce ante los Poderes del Estado, entidades, dependencias o cualquiera persona física o moral que reciba y ejerza recursos públicos, siendo pública toda la inf</w:t>
      </w:r>
      <w:r>
        <w:rPr>
          <w:rFonts w:ascii="Palatino Linotype" w:eastAsia="Palatino Linotype" w:hAnsi="Palatino Linotype" w:cs="Palatino Linotype"/>
          <w:sz w:val="24"/>
          <w:szCs w:val="24"/>
        </w:rPr>
        <w:t>ormación que posean con las excepciones enmarcadas, para lo cual queda demostrado que el presente sujeto obligado debe cumplir con dichos dispositivos legales.</w:t>
      </w:r>
    </w:p>
    <w:p w14:paraId="56F20302" w14:textId="77777777" w:rsidR="00197F55" w:rsidRDefault="00197F55">
      <w:pPr>
        <w:tabs>
          <w:tab w:val="left" w:pos="709"/>
        </w:tabs>
        <w:spacing w:after="0" w:line="360" w:lineRule="auto"/>
        <w:jc w:val="both"/>
        <w:rPr>
          <w:rFonts w:ascii="Palatino Linotype" w:eastAsia="Palatino Linotype" w:hAnsi="Palatino Linotype" w:cs="Palatino Linotype"/>
          <w:sz w:val="24"/>
          <w:szCs w:val="24"/>
        </w:rPr>
      </w:pPr>
    </w:p>
    <w:p w14:paraId="1D6A49EE" w14:textId="77777777" w:rsidR="00197F55" w:rsidRDefault="00505A0B">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w:t>
      </w:r>
      <w:r>
        <w:rPr>
          <w:rFonts w:ascii="Palatino Linotype" w:eastAsia="Palatino Linotype" w:hAnsi="Palatino Linotype" w:cs="Palatino Linotype"/>
          <w:sz w:val="24"/>
          <w:szCs w:val="24"/>
        </w:rPr>
        <w:t xml:space="preserve">o de México y Municipios en su artículo 4, dice que toda la información generada, obtenida, adquirida, transformada, administrada o en </w:t>
      </w:r>
      <w:r>
        <w:rPr>
          <w:rFonts w:ascii="Palatino Linotype" w:eastAsia="Palatino Linotype" w:hAnsi="Palatino Linotype" w:cs="Palatino Linotype"/>
          <w:sz w:val="24"/>
          <w:szCs w:val="24"/>
        </w:rPr>
        <w:lastRenderedPageBreak/>
        <w:t>posesión de los Sujetos Obligados es pública y accesible de manera permanente a cualquier persona, privilegiando el princ</w:t>
      </w:r>
      <w:r>
        <w:rPr>
          <w:rFonts w:ascii="Palatino Linotype" w:eastAsia="Palatino Linotype" w:hAnsi="Palatino Linotype" w:cs="Palatino Linotype"/>
          <w:sz w:val="24"/>
          <w:szCs w:val="24"/>
        </w:rPr>
        <w:t>ipio de máxima publicidad, como así lo establece dicha determinación, que a continuación se transcribe para un mejor entendimiento:</w:t>
      </w:r>
    </w:p>
    <w:p w14:paraId="11A30003" w14:textId="77777777" w:rsidR="00197F55" w:rsidRDefault="00197F55">
      <w:pPr>
        <w:tabs>
          <w:tab w:val="left" w:pos="709"/>
        </w:tabs>
        <w:spacing w:after="0" w:line="360" w:lineRule="auto"/>
        <w:jc w:val="both"/>
        <w:rPr>
          <w:rFonts w:ascii="Palatino Linotype" w:eastAsia="Palatino Linotype" w:hAnsi="Palatino Linotype" w:cs="Palatino Linotype"/>
          <w:sz w:val="24"/>
          <w:szCs w:val="24"/>
        </w:rPr>
      </w:pPr>
    </w:p>
    <w:p w14:paraId="354430AF" w14:textId="77777777" w:rsidR="00197F55" w:rsidRDefault="00505A0B">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w:t>
      </w:r>
      <w:r>
        <w:rPr>
          <w:rFonts w:ascii="Palatino Linotype" w:eastAsia="Palatino Linotype" w:hAnsi="Palatino Linotype" w:cs="Palatino Linotype"/>
          <w:i/>
        </w:rPr>
        <w:t xml:space="preserve"> investigar, recabar, recibir y solicitar información pública, sin necesidad de acreditar personalidad ni interés jurídico. </w:t>
      </w:r>
    </w:p>
    <w:p w14:paraId="140C68E4" w14:textId="77777777" w:rsidR="00197F55" w:rsidRDefault="00505A0B">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w:t>
      </w:r>
      <w:r>
        <w:rPr>
          <w:rFonts w:ascii="Palatino Linotype" w:eastAsia="Palatino Linotype" w:hAnsi="Palatino Linotype" w:cs="Palatino Linotype"/>
          <w:b/>
          <w:i/>
        </w:rPr>
        <w:t>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w:t>
      </w:r>
      <w:r>
        <w:rPr>
          <w:rFonts w:ascii="Palatino Linotype" w:eastAsia="Palatino Linotype" w:hAnsi="Palatino Linotype" w:cs="Palatino Linotype"/>
          <w:i/>
        </w:rPr>
        <w:t xml:space="preserve">do el principio de máxima publicidad de la información. Solo podrá ser clasificada excepcionalmente Ley de Transparencia y Acceso a la Información Pública del Estado de México y Municipios 29 como reservada temporalmente por razones de interés público, en </w:t>
      </w:r>
      <w:r>
        <w:rPr>
          <w:rFonts w:ascii="Palatino Linotype" w:eastAsia="Palatino Linotype" w:hAnsi="Palatino Linotype" w:cs="Palatino Linotype"/>
          <w:i/>
        </w:rPr>
        <w:t>los términos de las causas legítimas y estrictamente necesarias previstas por esta Ley.</w:t>
      </w:r>
    </w:p>
    <w:p w14:paraId="3B20B8F6" w14:textId="77777777" w:rsidR="00197F55" w:rsidRDefault="00505A0B">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w:t>
      </w:r>
      <w:r>
        <w:rPr>
          <w:rFonts w:ascii="Palatino Linotype" w:eastAsia="Palatino Linotype" w:hAnsi="Palatino Linotype" w:cs="Palatino Linotype"/>
          <w:b/>
          <w:i/>
        </w:rPr>
        <w:t>ión y suficiencia en beneficio de los solicitantes</w:t>
      </w:r>
      <w:r>
        <w:rPr>
          <w:rFonts w:ascii="Palatino Linotype" w:eastAsia="Palatino Linotype" w:hAnsi="Palatino Linotype" w:cs="Palatino Linotype"/>
          <w:i/>
        </w:rPr>
        <w:t>.”</w:t>
      </w:r>
    </w:p>
    <w:p w14:paraId="71648FCE" w14:textId="77777777" w:rsidR="00197F55" w:rsidRDefault="00197F55">
      <w:pPr>
        <w:spacing w:after="0" w:line="276" w:lineRule="auto"/>
        <w:ind w:left="709" w:right="760"/>
        <w:jc w:val="both"/>
        <w:rPr>
          <w:rFonts w:ascii="Palatino Linotype" w:eastAsia="Palatino Linotype" w:hAnsi="Palatino Linotype" w:cs="Palatino Linotype"/>
          <w:sz w:val="24"/>
          <w:szCs w:val="24"/>
        </w:rPr>
      </w:pPr>
    </w:p>
    <w:p w14:paraId="39EDB4E4"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w:t>
      </w:r>
      <w:r>
        <w:rPr>
          <w:rFonts w:ascii="Palatino Linotype" w:eastAsia="Palatino Linotype" w:hAnsi="Palatino Linotype" w:cs="Palatino Linotype"/>
          <w:sz w:val="24"/>
          <w:szCs w:val="24"/>
        </w:rPr>
        <w:t xml:space="preserve">lica que obre en su poder conforme el estado que se encuentra y no hacer un procesamiento de la misma, ni presentarla conforme al interés del solicitante; como así lo establece el artículo 12 de la Ley de Transparencia </w:t>
      </w:r>
      <w:r>
        <w:rPr>
          <w:rFonts w:ascii="Palatino Linotype" w:eastAsia="Palatino Linotype" w:hAnsi="Palatino Linotype" w:cs="Palatino Linotype"/>
          <w:sz w:val="24"/>
          <w:szCs w:val="24"/>
        </w:rPr>
        <w:lastRenderedPageBreak/>
        <w:t>y Acceso a la Información Pública del</w:t>
      </w:r>
      <w:r>
        <w:rPr>
          <w:rFonts w:ascii="Palatino Linotype" w:eastAsia="Palatino Linotype" w:hAnsi="Palatino Linotype" w:cs="Palatino Linotype"/>
          <w:sz w:val="24"/>
          <w:szCs w:val="24"/>
        </w:rPr>
        <w:t xml:space="preserve"> Estado de México y Municipios, el cual a la letra dice:</w:t>
      </w:r>
    </w:p>
    <w:p w14:paraId="6F416DC2" w14:textId="77777777" w:rsidR="00197F55" w:rsidRDefault="00197F55">
      <w:pPr>
        <w:spacing w:after="0" w:line="360" w:lineRule="auto"/>
        <w:jc w:val="both"/>
        <w:rPr>
          <w:rFonts w:ascii="Palatino Linotype" w:eastAsia="Palatino Linotype" w:hAnsi="Palatino Linotype" w:cs="Palatino Linotype"/>
          <w:sz w:val="24"/>
          <w:szCs w:val="24"/>
        </w:rPr>
      </w:pPr>
    </w:p>
    <w:p w14:paraId="3C1CB100" w14:textId="77777777" w:rsidR="00197F55" w:rsidRDefault="00505A0B">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w:t>
      </w:r>
      <w:r>
        <w:rPr>
          <w:rFonts w:ascii="Palatino Linotype" w:eastAsia="Palatino Linotype" w:hAnsi="Palatino Linotype" w:cs="Palatino Linotype"/>
          <w:i/>
        </w:rPr>
        <w:t xml:space="preserve">cables. </w:t>
      </w:r>
    </w:p>
    <w:p w14:paraId="33BF1ADA" w14:textId="77777777" w:rsidR="00197F55" w:rsidRDefault="00505A0B">
      <w:pPr>
        <w:spacing w:after="0" w:line="276" w:lineRule="auto"/>
        <w:ind w:left="567"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w:t>
      </w:r>
      <w:r>
        <w:rPr>
          <w:rFonts w:ascii="Palatino Linotype" w:eastAsia="Palatino Linotype" w:hAnsi="Palatino Linotype" w:cs="Palatino Linotype"/>
          <w:b/>
          <w:i/>
        </w:rPr>
        <w:t xml:space="preserve">sentarla conforme al interés del solicitante; no estarán obligados a generarla, resumirla, efectuar cálculos o practicar investigaciones.” </w:t>
      </w:r>
    </w:p>
    <w:p w14:paraId="4575EC78" w14:textId="77777777" w:rsidR="00197F55" w:rsidRDefault="00197F55">
      <w:pPr>
        <w:spacing w:after="0" w:line="360" w:lineRule="auto"/>
        <w:jc w:val="both"/>
        <w:rPr>
          <w:rFonts w:ascii="Palatino Linotype" w:eastAsia="Palatino Linotype" w:hAnsi="Palatino Linotype" w:cs="Palatino Linotype"/>
          <w:sz w:val="24"/>
          <w:szCs w:val="24"/>
        </w:rPr>
      </w:pPr>
    </w:p>
    <w:p w14:paraId="57FD982D" w14:textId="77777777" w:rsidR="00197F55" w:rsidRDefault="00505A0B">
      <w:pPr>
        <w:spacing w:after="0" w:line="360" w:lineRule="auto"/>
        <w:jc w:val="both"/>
        <w:rPr>
          <w:rFonts w:ascii="Palatino Linotype" w:eastAsia="Palatino Linotype" w:hAnsi="Palatino Linotype" w:cs="Palatino Linotype"/>
          <w:strike/>
          <w:sz w:val="24"/>
          <w:szCs w:val="24"/>
        </w:rPr>
      </w:pPr>
      <w:r>
        <w:rPr>
          <w:rFonts w:ascii="Palatino Linotype" w:eastAsia="Palatino Linotype" w:hAnsi="Palatino Linotype" w:cs="Palatino Linotype"/>
          <w:sz w:val="24"/>
          <w:szCs w:val="24"/>
        </w:rPr>
        <w:t>En esa tesitura, el artículo 24 en su último párrafo de la Ley de la Materia, dispone que los Sujetos Obligados sól</w:t>
      </w:r>
      <w:r>
        <w:rPr>
          <w:rFonts w:ascii="Palatino Linotype" w:eastAsia="Palatino Linotype" w:hAnsi="Palatino Linotype" w:cs="Palatino Linotype"/>
          <w:sz w:val="24"/>
          <w:szCs w:val="24"/>
        </w:rPr>
        <w:t>o proporcionarán la información pública que generen, administren o posean en el ejercicio de sus atribuciones; por consiguiente, la información pública se encuentra a disposición de cualquier persona, lo que implica que es deber de los Sujetos Obligados, g</w:t>
      </w:r>
      <w:r>
        <w:rPr>
          <w:rFonts w:ascii="Palatino Linotype" w:eastAsia="Palatino Linotype" w:hAnsi="Palatino Linotype" w:cs="Palatino Linotype"/>
          <w:sz w:val="24"/>
          <w:szCs w:val="24"/>
        </w:rPr>
        <w:t>arantizar el Derecho de Acceso a la Información Pública.</w:t>
      </w:r>
      <w:r>
        <w:rPr>
          <w:rFonts w:ascii="Palatino Linotype" w:eastAsia="Palatino Linotype" w:hAnsi="Palatino Linotype" w:cs="Palatino Linotype"/>
          <w:strike/>
          <w:sz w:val="24"/>
          <w:szCs w:val="24"/>
        </w:rPr>
        <w:t xml:space="preserve"> </w:t>
      </w:r>
    </w:p>
    <w:p w14:paraId="36C3D55C" w14:textId="77777777" w:rsidR="00197F55" w:rsidRDefault="00197F55">
      <w:pPr>
        <w:spacing w:after="0" w:line="360" w:lineRule="auto"/>
        <w:jc w:val="both"/>
        <w:rPr>
          <w:rFonts w:ascii="Palatino Linotype" w:eastAsia="Palatino Linotype" w:hAnsi="Palatino Linotype" w:cs="Palatino Linotype"/>
          <w:strike/>
          <w:sz w:val="24"/>
          <w:szCs w:val="24"/>
        </w:rPr>
      </w:pPr>
    </w:p>
    <w:p w14:paraId="11DCEA30"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w:t>
      </w:r>
      <w:r>
        <w:rPr>
          <w:rFonts w:ascii="Palatino Linotype" w:eastAsia="Palatino Linotype" w:hAnsi="Palatino Linotype" w:cs="Palatino Linotype"/>
          <w:sz w:val="24"/>
          <w:szCs w:val="24"/>
        </w:rPr>
        <w:t xml:space="preserve">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sz w:val="24"/>
          <w:szCs w:val="24"/>
        </w:rPr>
        <w:lastRenderedPageBreak/>
        <w:t>Ley de Transparencia y Acceso a la I</w:t>
      </w:r>
      <w:r>
        <w:rPr>
          <w:rFonts w:ascii="Palatino Linotype" w:eastAsia="Palatino Linotype" w:hAnsi="Palatino Linotype" w:cs="Palatino Linotype"/>
          <w:sz w:val="24"/>
          <w:szCs w:val="24"/>
        </w:rPr>
        <w:t>nformación Pública del Estado de México y Municipios.</w:t>
      </w:r>
    </w:p>
    <w:p w14:paraId="6310FD04"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1DC76A88"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64EA25A" w14:textId="77777777" w:rsidR="00197F55" w:rsidRDefault="00197F55">
      <w:pPr>
        <w:spacing w:after="0" w:line="360" w:lineRule="auto"/>
        <w:jc w:val="both"/>
        <w:rPr>
          <w:rFonts w:ascii="Palatino Linotype" w:eastAsia="Palatino Linotype" w:hAnsi="Palatino Linotype" w:cs="Palatino Linotype"/>
          <w:sz w:val="24"/>
          <w:szCs w:val="24"/>
        </w:rPr>
      </w:pPr>
    </w:p>
    <w:p w14:paraId="11B6F9FD" w14:textId="77777777" w:rsidR="00197F55" w:rsidRDefault="00505A0B">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w:t>
      </w:r>
      <w:r>
        <w:rPr>
          <w:rFonts w:ascii="Palatino Linotype" w:eastAsia="Palatino Linotype" w:hAnsi="Palatino Linotype" w:cs="Palatino Linotype"/>
          <w:b/>
          <w:i/>
          <w:u w:val="single"/>
        </w:rPr>
        <w:t xml:space="preserve">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33A12797" w14:textId="77777777" w:rsidR="00197F55" w:rsidRDefault="00505A0B">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4878AD0A" w14:textId="77777777" w:rsidR="00197F55" w:rsidRDefault="00505A0B">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En los casos en que ciertas facultades, competencias o funciones no se hayan eje</w:t>
      </w:r>
      <w:r>
        <w:rPr>
          <w:rFonts w:ascii="Palatino Linotype" w:eastAsia="Palatino Linotype" w:hAnsi="Palatino Linotype" w:cs="Palatino Linotype"/>
          <w:i/>
        </w:rPr>
        <w:t xml:space="preserve">rcido, se debe motivar la respuesta en función de las causas que motiven tal circunstancia. </w:t>
      </w:r>
    </w:p>
    <w:p w14:paraId="589322A9" w14:textId="77777777" w:rsidR="00197F55" w:rsidRDefault="00505A0B">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w:t>
      </w:r>
      <w:r>
        <w:rPr>
          <w:rFonts w:ascii="Palatino Linotype" w:eastAsia="Palatino Linotype" w:hAnsi="Palatino Linotype" w:cs="Palatino Linotype"/>
          <w:i/>
        </w:rPr>
        <w:t>ia deberá emitir un acuerdo de inexistencia, debidamente fundado y motivado, en el que detalle las razones del por qué no obra en sus archivos.”</w:t>
      </w:r>
    </w:p>
    <w:p w14:paraId="1FA598EB" w14:textId="77777777" w:rsidR="00197F55" w:rsidRDefault="00197F55">
      <w:pPr>
        <w:spacing w:after="0" w:line="276" w:lineRule="auto"/>
        <w:ind w:left="851" w:right="851"/>
        <w:jc w:val="both"/>
        <w:rPr>
          <w:rFonts w:ascii="Palatino Linotype" w:eastAsia="Palatino Linotype" w:hAnsi="Palatino Linotype" w:cs="Palatino Linotype"/>
          <w:i/>
          <w:sz w:val="24"/>
          <w:szCs w:val="24"/>
        </w:rPr>
      </w:pPr>
    </w:p>
    <w:p w14:paraId="2EE83BF3"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w:t>
      </w:r>
      <w:r>
        <w:rPr>
          <w:rFonts w:ascii="Palatino Linotype" w:eastAsia="Palatino Linotype" w:hAnsi="Palatino Linotype" w:cs="Palatino Linotype"/>
          <w:sz w:val="24"/>
          <w:szCs w:val="24"/>
        </w:rPr>
        <w:t xml:space="preserve"> y atribuciones debe estar documentado, por lo que para dar atención a una solicitud de información el Sujeto Obligado debe entregar el soporte documental en donde conste la información requerida, debiendo contemplar que no se trate de información reservad</w:t>
      </w:r>
      <w:r>
        <w:rPr>
          <w:rFonts w:ascii="Palatino Linotype" w:eastAsia="Palatino Linotype" w:hAnsi="Palatino Linotype" w:cs="Palatino Linotype"/>
          <w:sz w:val="24"/>
          <w:szCs w:val="24"/>
        </w:rPr>
        <w:t xml:space="preserve">a o confidencial, por lo que debe cuidar dicha información a través del acuerdo clasificatorio del comité de transparencia y la versión pública que emita cada Sujeto Obligado; como así se </w:t>
      </w:r>
      <w:r>
        <w:rPr>
          <w:rFonts w:ascii="Palatino Linotype" w:eastAsia="Palatino Linotype" w:hAnsi="Palatino Linotype" w:cs="Palatino Linotype"/>
          <w:sz w:val="24"/>
          <w:szCs w:val="24"/>
        </w:rPr>
        <w:lastRenderedPageBreak/>
        <w:t>establece en la Ley de Transparencia y Acceso a la Información Públi</w:t>
      </w:r>
      <w:r>
        <w:rPr>
          <w:rFonts w:ascii="Palatino Linotype" w:eastAsia="Palatino Linotype" w:hAnsi="Palatino Linotype" w:cs="Palatino Linotype"/>
          <w:sz w:val="24"/>
          <w:szCs w:val="24"/>
        </w:rPr>
        <w:t>ca del Estado de México y Municipios.</w:t>
      </w:r>
    </w:p>
    <w:p w14:paraId="1E50A52F" w14:textId="77777777" w:rsidR="00197F55" w:rsidRDefault="00197F55">
      <w:pPr>
        <w:spacing w:after="0" w:line="360" w:lineRule="auto"/>
        <w:jc w:val="both"/>
        <w:rPr>
          <w:rFonts w:ascii="Palatino Linotype" w:eastAsia="Palatino Linotype" w:hAnsi="Palatino Linotype" w:cs="Palatino Linotype"/>
          <w:sz w:val="24"/>
          <w:szCs w:val="24"/>
        </w:rPr>
      </w:pPr>
    </w:p>
    <w:p w14:paraId="16DDAFA1"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conclusión, el derecho de acceso a la información pública, consiste en que la información solicitada conste en un documento en cualquiera de sus formas, a saber: expedientes, reportes, estudios, actas, resoluciones</w:t>
      </w:r>
      <w:r>
        <w:rPr>
          <w:rFonts w:ascii="Palatino Linotype" w:eastAsia="Palatino Linotype" w:hAnsi="Palatino Linotype" w:cs="Palatino Linotype"/>
          <w:sz w:val="24"/>
          <w:szCs w:val="24"/>
        </w:rPr>
        <w:t>, oficios, correspondencia, acuerdos, directivas, directrices, circulares, contratos, convenios, instructivos, notas, memorandos, estadísticas o bien, cualquier otro registro que documente el ejercicio de las facultades, funciones y competencias de los Suj</w:t>
      </w:r>
      <w:r>
        <w:rPr>
          <w:rFonts w:ascii="Palatino Linotype" w:eastAsia="Palatino Linotype" w:hAnsi="Palatino Linotype" w:cs="Palatino Linotype"/>
          <w:sz w:val="24"/>
          <w:szCs w:val="24"/>
        </w:rPr>
        <w:t xml:space="preserve">etos Obligados; los que, podrán estar en cualquier medio, sea escrito, impreso, sonoro, visual, electrónico, informático u holográfico de conformidad con el artículo 3, fracción XI de la Ley de la materia, el cual señala lo siguiente: </w:t>
      </w:r>
    </w:p>
    <w:p w14:paraId="51A765C4" w14:textId="77777777" w:rsidR="00197F55" w:rsidRDefault="00197F55">
      <w:pPr>
        <w:spacing w:after="0" w:line="360" w:lineRule="auto"/>
        <w:jc w:val="both"/>
        <w:rPr>
          <w:rFonts w:ascii="Palatino Linotype" w:eastAsia="Palatino Linotype" w:hAnsi="Palatino Linotype" w:cs="Palatino Linotype"/>
          <w:sz w:val="24"/>
          <w:szCs w:val="24"/>
        </w:rPr>
      </w:pPr>
    </w:p>
    <w:p w14:paraId="1DF7E579"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w:t>
      </w:r>
      <w:r>
        <w:rPr>
          <w:rFonts w:ascii="Palatino Linotype" w:eastAsia="Palatino Linotype" w:hAnsi="Palatino Linotype" w:cs="Palatino Linotype"/>
          <w:i/>
        </w:rPr>
        <w:t>os efectos de la presente Ley se entenderá por:</w:t>
      </w:r>
    </w:p>
    <w:p w14:paraId="4A2B218E"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3B3332D" w14:textId="77777777" w:rsidR="00197F55" w:rsidRDefault="00505A0B">
      <w:pPr>
        <w:spacing w:after="0" w:line="276" w:lineRule="auto"/>
        <w:ind w:left="851" w:right="902"/>
        <w:jc w:val="both"/>
        <w:rPr>
          <w:rFonts w:ascii="Palatino Linotype" w:eastAsia="Palatino Linotype" w:hAnsi="Palatino Linotype" w:cs="Palatino Linotype"/>
          <w:i/>
        </w:rPr>
      </w:pPr>
      <w:bookmarkStart w:id="0" w:name="_heading=h.fbja274willi" w:colFirst="0" w:colLast="0"/>
      <w:bookmarkEnd w:id="0"/>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w:t>
      </w:r>
      <w:r>
        <w:rPr>
          <w:rFonts w:ascii="Palatino Linotype" w:eastAsia="Palatino Linotype" w:hAnsi="Palatino Linotype" w:cs="Palatino Linotype"/>
          <w:i/>
        </w:rPr>
        <w:t>ísticas o bien, cualquier otro registro que documente el ejercicio de las facultades, funciones y competencias de los sujetos obligados, sus servidores públicos e integrantes, sin importar su fuente o fecha de elaboración. Los documentos podrán estar en cu</w:t>
      </w:r>
      <w:r>
        <w:rPr>
          <w:rFonts w:ascii="Palatino Linotype" w:eastAsia="Palatino Linotype" w:hAnsi="Palatino Linotype" w:cs="Palatino Linotype"/>
          <w:i/>
        </w:rPr>
        <w:t xml:space="preserve">alquier medio, sea escrito, impreso, sonoro, visual, electrónico, informático u holográfico…” </w:t>
      </w:r>
    </w:p>
    <w:p w14:paraId="3CBF4972" w14:textId="77777777" w:rsidR="00197F55" w:rsidRDefault="00197F55">
      <w:pPr>
        <w:spacing w:after="0" w:line="360" w:lineRule="auto"/>
        <w:ind w:left="851" w:right="899"/>
        <w:jc w:val="both"/>
        <w:rPr>
          <w:rFonts w:ascii="Palatino Linotype" w:eastAsia="Palatino Linotype" w:hAnsi="Palatino Linotype" w:cs="Palatino Linotype"/>
          <w:sz w:val="24"/>
          <w:szCs w:val="24"/>
        </w:rPr>
      </w:pPr>
    </w:p>
    <w:p w14:paraId="11717D3F"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w:t>
      </w:r>
      <w:r>
        <w:rPr>
          <w:rFonts w:ascii="Palatino Linotype" w:eastAsia="Palatino Linotype" w:hAnsi="Palatino Linotype" w:cs="Palatino Linotype"/>
          <w:sz w:val="24"/>
          <w:szCs w:val="24"/>
        </w:rPr>
        <w:t xml:space="preserve"> a la Información Pública del Estado de México y Municipios; publicado en el Periódico </w:t>
      </w:r>
      <w:r>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49DEA3C4" w14:textId="77777777" w:rsidR="00197F55" w:rsidRDefault="00197F55">
      <w:pPr>
        <w:spacing w:after="0" w:line="360" w:lineRule="auto"/>
        <w:jc w:val="both"/>
        <w:rPr>
          <w:rFonts w:ascii="Palatino Linotype" w:eastAsia="Palatino Linotype" w:hAnsi="Palatino Linotype" w:cs="Palatino Linotype"/>
          <w:sz w:val="24"/>
          <w:szCs w:val="24"/>
        </w:rPr>
      </w:pPr>
    </w:p>
    <w:p w14:paraId="7D3D73C9" w14:textId="77777777" w:rsidR="00197F55" w:rsidRDefault="00505A0B">
      <w:pPr>
        <w:spacing w:after="0" w:line="276"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w:t>
      </w:r>
      <w:r>
        <w:rPr>
          <w:rFonts w:ascii="Palatino Linotype" w:eastAsia="Palatino Linotype" w:hAnsi="Palatino Linotype" w:cs="Palatino Linotype"/>
          <w:b/>
          <w:i/>
        </w:rPr>
        <w:t>RITERIO 0002-11</w:t>
      </w:r>
    </w:p>
    <w:p w14:paraId="398FE134"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w:t>
      </w:r>
      <w:r>
        <w:rPr>
          <w:rFonts w:ascii="Palatino Linotype" w:eastAsia="Palatino Linotype" w:hAnsi="Palatino Linotype" w:cs="Palatino Linotype"/>
          <w:i/>
        </w:rPr>
        <w:t>ública, se define en cuanto a su alcance y resultado material, el acceso a los archivos, registros y documentos públicos, administrados, generados o en posesión de los órganos u organismos públicos, en virtud del ejercicio de sus funciones de derecho públi</w:t>
      </w:r>
      <w:r>
        <w:rPr>
          <w:rFonts w:ascii="Palatino Linotype" w:eastAsia="Palatino Linotype" w:hAnsi="Palatino Linotype" w:cs="Palatino Linotype"/>
          <w:i/>
        </w:rPr>
        <w:t>co, sin importar su fuente, soporte o fecha de elaboración.</w:t>
      </w:r>
    </w:p>
    <w:p w14:paraId="5FBF530B"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49E1ADF4"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w:t>
      </w:r>
      <w:r>
        <w:rPr>
          <w:rFonts w:ascii="Palatino Linotype" w:eastAsia="Palatino Linotype" w:hAnsi="Palatino Linotype" w:cs="Palatino Linotype"/>
          <w:i/>
        </w:rPr>
        <w:t>n ejercicio de las atribuciones conferidas, sea generada por los Sujetos Obligados;</w:t>
      </w:r>
    </w:p>
    <w:p w14:paraId="71DB4520"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2)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03F7D484"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3)</w:t>
      </w:r>
      <w:r>
        <w:rPr>
          <w:rFonts w:ascii="Palatino Linotype" w:eastAsia="Palatino Linotype" w:hAnsi="Palatino Linotype" w:cs="Palatino Linotype"/>
          <w:i/>
        </w:rPr>
        <w:t xml:space="preserve">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 </w:t>
      </w:r>
    </w:p>
    <w:p w14:paraId="55A0710B" w14:textId="77777777" w:rsidR="00197F55" w:rsidRDefault="00197F55">
      <w:pPr>
        <w:spacing w:after="0" w:line="276" w:lineRule="auto"/>
        <w:ind w:left="851" w:right="899"/>
        <w:jc w:val="both"/>
        <w:rPr>
          <w:rFonts w:ascii="Palatino Linotype" w:eastAsia="Palatino Linotype" w:hAnsi="Palatino Linotype" w:cs="Palatino Linotype"/>
          <w:sz w:val="24"/>
          <w:szCs w:val="24"/>
        </w:rPr>
      </w:pPr>
    </w:p>
    <w:p w14:paraId="071D8978"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w:t>
      </w:r>
      <w:r>
        <w:rPr>
          <w:rFonts w:ascii="Palatino Linotype" w:eastAsia="Palatino Linotype" w:hAnsi="Palatino Linotype" w:cs="Palatino Linotype"/>
          <w:sz w:val="24"/>
          <w:szCs w:val="24"/>
        </w:rPr>
        <w:t xml:space="preserve">aciones de transparencia, la cual se relaciona con aquella que se genere de acuerdo con sus facultades, atribuciones y obligaciones </w:t>
      </w:r>
      <w:r>
        <w:rPr>
          <w:rFonts w:ascii="Palatino Linotype" w:eastAsia="Palatino Linotype" w:hAnsi="Palatino Linotype" w:cs="Palatino Linotype"/>
          <w:sz w:val="24"/>
          <w:szCs w:val="24"/>
        </w:rPr>
        <w:lastRenderedPageBreak/>
        <w:t>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w:t>
      </w:r>
      <w:r>
        <w:rPr>
          <w:rFonts w:ascii="Palatino Linotype" w:eastAsia="Palatino Linotype" w:hAnsi="Palatino Linotype" w:cs="Palatino Linotype"/>
          <w:sz w:val="24"/>
          <w:szCs w:val="24"/>
        </w:rPr>
        <w:t>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w:t>
      </w:r>
      <w:r>
        <w:rPr>
          <w:rFonts w:ascii="Palatino Linotype" w:eastAsia="Palatino Linotype" w:hAnsi="Palatino Linotype" w:cs="Palatino Linotype"/>
          <w:sz w:val="24"/>
          <w:szCs w:val="24"/>
        </w:rPr>
        <w:t>a señaladas en los artículos 92 de la Ley de la Materia.</w:t>
      </w:r>
    </w:p>
    <w:p w14:paraId="132F653D" w14:textId="77777777" w:rsidR="00197F55" w:rsidRDefault="00197F55">
      <w:pPr>
        <w:spacing w:after="0" w:line="360" w:lineRule="auto"/>
        <w:jc w:val="both"/>
        <w:rPr>
          <w:rFonts w:ascii="Palatino Linotype" w:eastAsia="Palatino Linotype" w:hAnsi="Palatino Linotype" w:cs="Palatino Linotype"/>
          <w:sz w:val="24"/>
          <w:szCs w:val="24"/>
        </w:rPr>
      </w:pPr>
    </w:p>
    <w:p w14:paraId="1C4B81D2"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Aclarado lo anterior, de esta manera, se procede al análisis de la respuesta proporcionada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efecto de determinar si es suficiente para tener por colmado el derecho de acceso</w:t>
      </w:r>
      <w:r>
        <w:rPr>
          <w:rFonts w:ascii="Palatino Linotype" w:eastAsia="Palatino Linotype" w:hAnsi="Palatino Linotype" w:cs="Palatino Linotype"/>
          <w:sz w:val="24"/>
          <w:szCs w:val="24"/>
        </w:rPr>
        <w:t xml:space="preserve"> a la información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ordenar la entrega del o los documentos que lo satisfagan.</w:t>
      </w:r>
    </w:p>
    <w:p w14:paraId="17C012A8" w14:textId="77777777" w:rsidR="00197F55" w:rsidRDefault="00197F55">
      <w:pPr>
        <w:spacing w:after="0" w:line="360" w:lineRule="auto"/>
        <w:jc w:val="both"/>
        <w:rPr>
          <w:rFonts w:ascii="Palatino Linotype" w:eastAsia="Palatino Linotype" w:hAnsi="Palatino Linotype" w:cs="Palatino Linotype"/>
          <w:sz w:val="24"/>
          <w:szCs w:val="24"/>
        </w:rPr>
      </w:pPr>
    </w:p>
    <w:tbl>
      <w:tblPr>
        <w:tblStyle w:val="a1"/>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103"/>
        <w:gridCol w:w="1276"/>
      </w:tblGrid>
      <w:tr w:rsidR="00197F55" w14:paraId="0D115F6D" w14:textId="77777777">
        <w:tc>
          <w:tcPr>
            <w:tcW w:w="2263" w:type="dxa"/>
            <w:shd w:val="clear" w:color="auto" w:fill="AEAAAA"/>
          </w:tcPr>
          <w:p w14:paraId="3E9887CE" w14:textId="77777777" w:rsidR="00197F55" w:rsidRDefault="00505A0B">
            <w:pPr>
              <w:spacing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w:t>
            </w:r>
          </w:p>
        </w:tc>
        <w:tc>
          <w:tcPr>
            <w:tcW w:w="5103" w:type="dxa"/>
            <w:shd w:val="clear" w:color="auto" w:fill="AEAAAA"/>
          </w:tcPr>
          <w:p w14:paraId="7C9EBC54" w14:textId="77777777" w:rsidR="00197F55" w:rsidRDefault="00505A0B">
            <w:pPr>
              <w:spacing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1276" w:type="dxa"/>
            <w:shd w:val="clear" w:color="auto" w:fill="AEAAAA"/>
          </w:tcPr>
          <w:p w14:paraId="70ABE231" w14:textId="77777777" w:rsidR="00197F55" w:rsidRDefault="00505A0B">
            <w:pPr>
              <w:spacing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r>
      <w:tr w:rsidR="00197F55" w14:paraId="4406166F" w14:textId="77777777">
        <w:tc>
          <w:tcPr>
            <w:tcW w:w="2263" w:type="dxa"/>
            <w:shd w:val="clear" w:color="auto" w:fill="auto"/>
          </w:tcPr>
          <w:p w14:paraId="6E86822E" w14:textId="77777777" w:rsidR="00197F55" w:rsidRDefault="00505A0B">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Expedientes de obra completos del año 2025</w:t>
            </w:r>
          </w:p>
        </w:tc>
        <w:tc>
          <w:tcPr>
            <w:tcW w:w="5103" w:type="dxa"/>
            <w:shd w:val="clear" w:color="auto" w:fill="auto"/>
          </w:tcPr>
          <w:p w14:paraId="393D17A5" w14:textId="77777777" w:rsidR="00197F55" w:rsidRDefault="00505A0B">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Encargado de Despacho de la Dirección de Obras Públ</w:t>
            </w:r>
            <w:r>
              <w:rPr>
                <w:rFonts w:ascii="Palatino Linotype" w:eastAsia="Palatino Linotype" w:hAnsi="Palatino Linotype" w:cs="Palatino Linotype"/>
                <w:sz w:val="20"/>
                <w:szCs w:val="20"/>
              </w:rPr>
              <w:t>icas, señala que los expedientes de obra 2025, se encuentran actualmente en proceso de integración de acuerdo a los plazos de la documentación que refiere.</w:t>
            </w:r>
          </w:p>
        </w:tc>
        <w:tc>
          <w:tcPr>
            <w:tcW w:w="1276" w:type="dxa"/>
          </w:tcPr>
          <w:p w14:paraId="77C0F55F" w14:textId="77777777" w:rsidR="00197F55" w:rsidRDefault="00505A0B">
            <w:pPr>
              <w:spacing w:line="24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Ratifica.</w:t>
            </w:r>
          </w:p>
          <w:p w14:paraId="409234F3" w14:textId="77777777" w:rsidR="00197F55" w:rsidRDefault="00197F55">
            <w:pPr>
              <w:spacing w:line="240" w:lineRule="auto"/>
              <w:jc w:val="both"/>
              <w:rPr>
                <w:rFonts w:ascii="Palatino Linotype" w:eastAsia="Palatino Linotype" w:hAnsi="Palatino Linotype" w:cs="Palatino Linotype"/>
                <w:sz w:val="20"/>
                <w:szCs w:val="20"/>
              </w:rPr>
            </w:pPr>
          </w:p>
        </w:tc>
      </w:tr>
    </w:tbl>
    <w:p w14:paraId="38977718" w14:textId="77777777" w:rsidR="00197F55" w:rsidRDefault="00197F55">
      <w:pPr>
        <w:spacing w:after="0" w:line="360" w:lineRule="auto"/>
        <w:jc w:val="both"/>
        <w:rPr>
          <w:rFonts w:ascii="Palatino Linotype" w:eastAsia="Palatino Linotype" w:hAnsi="Palatino Linotype" w:cs="Palatino Linotype"/>
          <w:sz w:val="24"/>
          <w:szCs w:val="24"/>
        </w:rPr>
      </w:pPr>
    </w:p>
    <w:p w14:paraId="25C0943C"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Una vez expuestas las posturas de las partes, resulta importante señalar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procedió a turnar la solicitud a la Dirección de Obras Públicas, misma que cuenta con las siguientes atribuciones:</w:t>
      </w:r>
    </w:p>
    <w:p w14:paraId="68038455" w14:textId="77777777" w:rsidR="00197F55" w:rsidRDefault="00197F55">
      <w:pPr>
        <w:spacing w:after="0" w:line="360" w:lineRule="auto"/>
        <w:jc w:val="both"/>
        <w:rPr>
          <w:rFonts w:ascii="Palatino Linotype" w:eastAsia="Palatino Linotype" w:hAnsi="Palatino Linotype" w:cs="Palatino Linotype"/>
          <w:sz w:val="24"/>
          <w:szCs w:val="24"/>
        </w:rPr>
      </w:pPr>
    </w:p>
    <w:p w14:paraId="69F8961B"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LEY ORGÁNICA MUNICIPAL DEL ESTADO DE MÉXICO</w:t>
      </w:r>
    </w:p>
    <w:p w14:paraId="00A372DD"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96. </w:t>
      </w:r>
      <w:proofErr w:type="gramStart"/>
      <w:r>
        <w:rPr>
          <w:rFonts w:ascii="Palatino Linotype" w:eastAsia="Palatino Linotype" w:hAnsi="Palatino Linotype" w:cs="Palatino Linotype"/>
          <w:b/>
          <w:i/>
        </w:rPr>
        <w:t>Bis.-</w:t>
      </w:r>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i/>
        </w:rPr>
        <w:t>El Director de Obras Públicas o el Titular de la Unidad Administrativa equivalente, tiene las siguientes atribuciones:</w:t>
      </w:r>
    </w:p>
    <w:p w14:paraId="197A2EBA"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Realizar la programación y ejecución de las obras públicas y servicios relacionados, que por orden expresa del Ayu</w:t>
      </w:r>
      <w:r>
        <w:rPr>
          <w:rFonts w:ascii="Palatino Linotype" w:eastAsia="Palatino Linotype" w:hAnsi="Palatino Linotype" w:cs="Palatino Linotype"/>
          <w:i/>
        </w:rPr>
        <w:t>ntamiento requieran prioridad;</w:t>
      </w:r>
    </w:p>
    <w:p w14:paraId="7F5F5003"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 Planear y coordinar los proyectos de obras públicas y servicios relacionados con las mismas que autorice el Ayuntamiento, una vez que se cumplan los requisitos de licitación y otros que determine la ley de la materia;</w:t>
      </w:r>
    </w:p>
    <w:p w14:paraId="068D8282"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w:t>
      </w:r>
      <w:r>
        <w:rPr>
          <w:rFonts w:ascii="Palatino Linotype" w:eastAsia="Palatino Linotype" w:hAnsi="Palatino Linotype" w:cs="Palatino Linotype"/>
          <w:i/>
        </w:rPr>
        <w:t xml:space="preserve"> Vigilar que se cumplan y lleven a cabo los programas de construcción y mantenimiento de obras públicas y servicios relacionados;</w:t>
      </w:r>
    </w:p>
    <w:p w14:paraId="7DD47763" w14:textId="77777777" w:rsidR="00197F55" w:rsidRDefault="00505A0B">
      <w:pPr>
        <w:spacing w:after="0" w:line="276"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IX. Administrar y ejercer, en el ámbito de su competencia, de manera coordinada con el Tesorero municipal, los recursos públic</w:t>
      </w:r>
      <w:r>
        <w:rPr>
          <w:rFonts w:ascii="Palatino Linotype" w:eastAsia="Palatino Linotype" w:hAnsi="Palatino Linotype" w:cs="Palatino Linotype"/>
          <w:i/>
        </w:rPr>
        <w:t>os destinados a la planeación, programación, presupuestación, adjudicación, contratación, ejecución y control de la obra pública, conforme a las disposiciones legales aplicables y en congruencia con los planes, programas, especificaciones técnicas, control</w:t>
      </w:r>
      <w:r>
        <w:rPr>
          <w:rFonts w:ascii="Palatino Linotype" w:eastAsia="Palatino Linotype" w:hAnsi="Palatino Linotype" w:cs="Palatino Linotype"/>
          <w:i/>
        </w:rPr>
        <w:t>es y procedimientos administrativos aprobados;”</w:t>
      </w:r>
    </w:p>
    <w:p w14:paraId="5AF4F9B7" w14:textId="77777777" w:rsidR="00197F55" w:rsidRDefault="00197F55">
      <w:pPr>
        <w:spacing w:after="0" w:line="360" w:lineRule="auto"/>
        <w:jc w:val="both"/>
        <w:rPr>
          <w:rFonts w:ascii="Palatino Linotype" w:eastAsia="Palatino Linotype" w:hAnsi="Palatino Linotype" w:cs="Palatino Linotype"/>
          <w:sz w:val="24"/>
          <w:szCs w:val="24"/>
        </w:rPr>
      </w:pPr>
    </w:p>
    <w:p w14:paraId="031CB8ED"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acuerdo a lo anterior, el </w:t>
      </w:r>
      <w:proofErr w:type="gramStart"/>
      <w:r>
        <w:rPr>
          <w:rFonts w:ascii="Palatino Linotype" w:eastAsia="Palatino Linotype" w:hAnsi="Palatino Linotype" w:cs="Palatino Linotype"/>
          <w:sz w:val="24"/>
          <w:szCs w:val="24"/>
        </w:rPr>
        <w:t>Director</w:t>
      </w:r>
      <w:proofErr w:type="gramEnd"/>
      <w:r>
        <w:rPr>
          <w:rFonts w:ascii="Palatino Linotype" w:eastAsia="Palatino Linotype" w:hAnsi="Palatino Linotype" w:cs="Palatino Linotype"/>
          <w:sz w:val="24"/>
          <w:szCs w:val="24"/>
        </w:rPr>
        <w:t xml:space="preserve"> de Obras Públicas, realiza la programación y ejecución de las obras públicas y servicios relacionados, que por orden expresa del Ayuntamiento, planeando y coordinando lo</w:t>
      </w:r>
      <w:r>
        <w:rPr>
          <w:rFonts w:ascii="Palatino Linotype" w:eastAsia="Palatino Linotype" w:hAnsi="Palatino Linotype" w:cs="Palatino Linotype"/>
          <w:sz w:val="24"/>
          <w:szCs w:val="24"/>
        </w:rPr>
        <w:t>s proyectos de obras públicas y servicios relacionados con las mismas que autorice el Ayuntamiento, una vez que se cumplan los requisitos de licitación, vigilando que se cumplan y lleven a cabo los programas de construcción y mantenimiento de obras pública</w:t>
      </w:r>
      <w:r>
        <w:rPr>
          <w:rFonts w:ascii="Palatino Linotype" w:eastAsia="Palatino Linotype" w:hAnsi="Palatino Linotype" w:cs="Palatino Linotype"/>
          <w:sz w:val="24"/>
          <w:szCs w:val="24"/>
        </w:rPr>
        <w:t xml:space="preserve">s y servicios relacionados. Administrando y ejerciendo en el ámbito de su competencia, de </w:t>
      </w:r>
      <w:r>
        <w:rPr>
          <w:rFonts w:ascii="Palatino Linotype" w:eastAsia="Palatino Linotype" w:hAnsi="Palatino Linotype" w:cs="Palatino Linotype"/>
          <w:sz w:val="24"/>
          <w:szCs w:val="24"/>
        </w:rPr>
        <w:lastRenderedPageBreak/>
        <w:t xml:space="preserve">manera coordinada con el Tesorero municipal, los recursos públicos destinados a la planeación, programación, presupuestación, adjudicación, contratación, ejecución y </w:t>
      </w:r>
      <w:r>
        <w:rPr>
          <w:rFonts w:ascii="Palatino Linotype" w:eastAsia="Palatino Linotype" w:hAnsi="Palatino Linotype" w:cs="Palatino Linotype"/>
          <w:sz w:val="24"/>
          <w:szCs w:val="24"/>
        </w:rPr>
        <w:t>control de la obra pública en congruencia con los planes, programas, especificaciones técnicas, controles y procedimientos administrativos aprobados.</w:t>
      </w:r>
    </w:p>
    <w:p w14:paraId="7FEF0E99"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110FEDC3"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ende, se determina que la respuesta fue proporcionada por la Unidad Administrativa Competente, siguiendo el procedimiento establecido por el artículo 162 de la Ley de Transparencia y Acceso a la Información Pública del Estado de México y Municipios, ya</w:t>
      </w:r>
      <w:r>
        <w:rPr>
          <w:rFonts w:ascii="Palatino Linotype" w:eastAsia="Palatino Linotype" w:hAnsi="Palatino Linotype" w:cs="Palatino Linotype"/>
          <w:sz w:val="24"/>
          <w:szCs w:val="24"/>
        </w:rPr>
        <w:t xml:space="preserve"> que turnó la solicitud al área en la que podría obrar la información de conformidad con la fracción XXXIX del artículo tercero de la legislación local vigente en materia de transparencia: </w:t>
      </w:r>
    </w:p>
    <w:p w14:paraId="2B2104B8"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2CBEC722" w14:textId="77777777" w:rsidR="00197F55" w:rsidRDefault="00505A0B">
      <w:pPr>
        <w:pBdr>
          <w:top w:val="nil"/>
          <w:left w:val="nil"/>
          <w:bottom w:val="nil"/>
          <w:right w:val="nil"/>
          <w:between w:val="nil"/>
        </w:pBdr>
        <w:spacing w:after="0" w:line="276" w:lineRule="auto"/>
        <w:ind w:left="862" w:right="862"/>
        <w:jc w:val="both"/>
      </w:pPr>
      <w:r>
        <w:rPr>
          <w:rFonts w:ascii="Palatino Linotype" w:eastAsia="Palatino Linotype" w:hAnsi="Palatino Linotype" w:cs="Palatino Linotype"/>
          <w:i/>
        </w:rPr>
        <w:t>XXXIX. Servidor público habilitado: Persona encargada dentro de l</w:t>
      </w:r>
      <w:r>
        <w:rPr>
          <w:rFonts w:ascii="Palatino Linotype" w:eastAsia="Palatino Linotype" w:hAnsi="Palatino Linotype" w:cs="Palatino Linotype"/>
          <w:i/>
        </w:rPr>
        <w:t>as diversas unidades administrativas o áreas del sujeto obligado, de apoyar, gestionar y entregar la información o datos personales que se ubiquen en la misma, a sus respectivas unidades de transparencia; respecto de las solicitudes presentadas y aportar e</w:t>
      </w:r>
      <w:r>
        <w:rPr>
          <w:rFonts w:ascii="Palatino Linotype" w:eastAsia="Palatino Linotype" w:hAnsi="Palatino Linotype" w:cs="Palatino Linotype"/>
          <w:i/>
        </w:rPr>
        <w:t>n primera instancia el fundamento y motivación de la clasificación de la información. </w:t>
      </w:r>
    </w:p>
    <w:p w14:paraId="2DEA3759" w14:textId="77777777" w:rsidR="00197F55" w:rsidRDefault="00197F55">
      <w:pPr>
        <w:spacing w:after="0" w:line="360" w:lineRule="auto"/>
        <w:rPr>
          <w:rFonts w:ascii="Palatino Linotype" w:eastAsia="Palatino Linotype" w:hAnsi="Palatino Linotype" w:cs="Palatino Linotype"/>
          <w:sz w:val="24"/>
          <w:szCs w:val="24"/>
        </w:rPr>
      </w:pPr>
    </w:p>
    <w:p w14:paraId="0D5A1C90" w14:textId="77777777" w:rsidR="00197F55" w:rsidRDefault="00505A0B">
      <w:pPr>
        <w:pBdr>
          <w:top w:val="nil"/>
          <w:left w:val="nil"/>
          <w:bottom w:val="nil"/>
          <w:right w:val="nil"/>
          <w:between w:val="nil"/>
        </w:pBdr>
        <w:shd w:val="clear" w:color="auto" w:fill="FFFFFF"/>
        <w:spacing w:after="0" w:line="360" w:lineRule="auto"/>
        <w:jc w:val="both"/>
        <w:rPr>
          <w:sz w:val="24"/>
          <w:szCs w:val="24"/>
        </w:rPr>
      </w:pPr>
      <w:r>
        <w:rPr>
          <w:rFonts w:ascii="Palatino Linotype" w:eastAsia="Palatino Linotype" w:hAnsi="Palatino Linotype" w:cs="Palatino Linotype"/>
          <w:sz w:val="24"/>
          <w:szCs w:val="24"/>
        </w:rPr>
        <w:t>En este orden de ideas, se advierte que efectivamente la Unidad de Transparencia cumplió con lo expresado en el artículo 162 de la Ley de Transparencia y Acceso a la In</w:t>
      </w:r>
      <w:r>
        <w:rPr>
          <w:rFonts w:ascii="Palatino Linotype" w:eastAsia="Palatino Linotype" w:hAnsi="Palatino Linotype" w:cs="Palatino Linotype"/>
          <w:sz w:val="24"/>
          <w:szCs w:val="24"/>
        </w:rPr>
        <w:t>formación Pública del Estado de México y Municipios, el cual menciona lo siguiente:</w:t>
      </w:r>
    </w:p>
    <w:p w14:paraId="550681E0" w14:textId="77777777" w:rsidR="00197F55" w:rsidRDefault="00197F55">
      <w:pPr>
        <w:spacing w:after="0" w:line="360" w:lineRule="auto"/>
        <w:rPr>
          <w:rFonts w:ascii="Palatino Linotype" w:eastAsia="Palatino Linotype" w:hAnsi="Palatino Linotype" w:cs="Palatino Linotype"/>
          <w:sz w:val="24"/>
          <w:szCs w:val="24"/>
        </w:rPr>
      </w:pPr>
    </w:p>
    <w:p w14:paraId="75B145BD" w14:textId="77777777" w:rsidR="00197F55" w:rsidRDefault="00505A0B">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lastRenderedPageBreak/>
        <w:t>“</w:t>
      </w:r>
      <w:r>
        <w:rPr>
          <w:rFonts w:ascii="Palatino Linotype" w:eastAsia="Palatino Linotype" w:hAnsi="Palatino Linotype" w:cs="Palatino Linotype"/>
          <w:i/>
        </w:rPr>
        <w:t xml:space="preserve">Artículo 162. Las unidades de transparencia deberán garantizar que las solicitudes </w:t>
      </w:r>
      <w:r>
        <w:rPr>
          <w:rFonts w:ascii="Palatino Linotype" w:eastAsia="Palatino Linotype" w:hAnsi="Palatino Linotype" w:cs="Palatino Linotype"/>
          <w:b/>
          <w:i/>
        </w:rPr>
        <w:t xml:space="preserve">se turnen a todas las Áreas competentes </w:t>
      </w:r>
      <w:r>
        <w:rPr>
          <w:rFonts w:ascii="Palatino Linotype" w:eastAsia="Palatino Linotype" w:hAnsi="Palatino Linotype" w:cs="Palatino Linotype"/>
          <w:i/>
        </w:rPr>
        <w:t xml:space="preserve">que cuenten con la información o deban tenerla </w:t>
      </w:r>
      <w:r>
        <w:rPr>
          <w:rFonts w:ascii="Palatino Linotype" w:eastAsia="Palatino Linotype" w:hAnsi="Palatino Linotype" w:cs="Palatino Linotype"/>
          <w:i/>
        </w:rPr>
        <w:t>de acuerdo a sus facultades, competencias y funciones, con el objeto de que realicen una búsqueda exhaustiva y razonable de la información solicitada</w:t>
      </w:r>
      <w:r>
        <w:rPr>
          <w:rFonts w:ascii="Palatino Linotype" w:eastAsia="Palatino Linotype" w:hAnsi="Palatino Linotype" w:cs="Palatino Linotype"/>
          <w:i/>
          <w:sz w:val="24"/>
          <w:szCs w:val="24"/>
        </w:rPr>
        <w:t>.”</w:t>
      </w:r>
    </w:p>
    <w:p w14:paraId="2CCD5BEC" w14:textId="77777777" w:rsidR="00197F55" w:rsidRDefault="00197F55">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sz w:val="24"/>
          <w:szCs w:val="24"/>
        </w:rPr>
      </w:pPr>
    </w:p>
    <w:p w14:paraId="5D4C34BD"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consiguiente, se tiene que el procedimiento de búsqueda de la información se ejecutó conforme a derecho.</w:t>
      </w:r>
    </w:p>
    <w:p w14:paraId="4F9025DA" w14:textId="77777777" w:rsidR="00197F55" w:rsidRDefault="00197F55">
      <w:pPr>
        <w:spacing w:after="0" w:line="360" w:lineRule="auto"/>
        <w:jc w:val="both"/>
        <w:rPr>
          <w:rFonts w:ascii="Palatino Linotype" w:eastAsia="Palatino Linotype" w:hAnsi="Palatino Linotype" w:cs="Palatino Linotype"/>
          <w:sz w:val="24"/>
          <w:szCs w:val="24"/>
        </w:rPr>
      </w:pPr>
    </w:p>
    <w:p w14:paraId="68090B50"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Establecido lo anterior, procedemos al análisis de la naturaleza de la información, para ello debemos observar lo dispuesto por la Ley de Contrata</w:t>
      </w:r>
      <w:r>
        <w:rPr>
          <w:rFonts w:ascii="Palatino Linotype" w:eastAsia="Palatino Linotype" w:hAnsi="Palatino Linotype" w:cs="Palatino Linotype"/>
          <w:sz w:val="24"/>
          <w:szCs w:val="24"/>
        </w:rPr>
        <w:t>ción Pública del Estado de México y Municipios, la cual tiene por objeto regular los actos relativos a la planeación, programación, presupuestación, ejecución y control de la adquisición, enajenación y arrendamiento de bienes, y la contratación de servicio</w:t>
      </w:r>
      <w:r>
        <w:rPr>
          <w:rFonts w:ascii="Palatino Linotype" w:eastAsia="Palatino Linotype" w:hAnsi="Palatino Linotype" w:cs="Palatino Linotype"/>
          <w:sz w:val="24"/>
          <w:szCs w:val="24"/>
        </w:rPr>
        <w:t xml:space="preserve">s de cualquier naturaleza, que realicen los Ayuntamientos del Estado; entre ellos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los cuales se adjudicarán a través de licitación pública, invitación restringida o adjudicación directa, tal y como lo establecen los artículos 4, 26 y 27</w:t>
      </w:r>
      <w:r>
        <w:rPr>
          <w:rFonts w:ascii="Palatino Linotype" w:eastAsia="Palatino Linotype" w:hAnsi="Palatino Linotype" w:cs="Palatino Linotype"/>
          <w:sz w:val="24"/>
          <w:szCs w:val="24"/>
        </w:rPr>
        <w:t xml:space="preserve"> de dicha Ley, los cuales son del tenor siguiente:</w:t>
      </w:r>
    </w:p>
    <w:p w14:paraId="3E03E437" w14:textId="77777777" w:rsidR="00197F55" w:rsidRDefault="00197F55">
      <w:pPr>
        <w:spacing w:after="0" w:line="360" w:lineRule="auto"/>
        <w:jc w:val="both"/>
        <w:rPr>
          <w:rFonts w:ascii="Palatino Linotype" w:eastAsia="Palatino Linotype" w:hAnsi="Palatino Linotype" w:cs="Palatino Linotype"/>
          <w:sz w:val="24"/>
          <w:szCs w:val="24"/>
        </w:rPr>
      </w:pPr>
    </w:p>
    <w:p w14:paraId="3656D7E4"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Para los efectos de esta Ley, </w:t>
      </w:r>
      <w:r>
        <w:rPr>
          <w:rFonts w:ascii="Palatino Linotype" w:eastAsia="Palatino Linotype" w:hAnsi="Palatino Linotype" w:cs="Palatino Linotype"/>
          <w:b/>
          <w:i/>
        </w:rPr>
        <w:t>en las adquisiciones, enajenaciones, arrendamientos y servicios, quedan comprendidos</w:t>
      </w:r>
      <w:r>
        <w:rPr>
          <w:rFonts w:ascii="Palatino Linotype" w:eastAsia="Palatino Linotype" w:hAnsi="Palatino Linotype" w:cs="Palatino Linotype"/>
          <w:i/>
        </w:rPr>
        <w:t>:</w:t>
      </w:r>
    </w:p>
    <w:p w14:paraId="3CA50B5D"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adquisición de bienes muebles.</w:t>
      </w:r>
    </w:p>
    <w:p w14:paraId="22B1B7D8"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La adquisición de bienes inmueble</w:t>
      </w:r>
      <w:r>
        <w:rPr>
          <w:rFonts w:ascii="Palatino Linotype" w:eastAsia="Palatino Linotype" w:hAnsi="Palatino Linotype" w:cs="Palatino Linotype"/>
          <w:i/>
        </w:rPr>
        <w:t>s, a través de compraventa.</w:t>
      </w:r>
    </w:p>
    <w:p w14:paraId="16E690C5"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enajenación de bienes muebles e inmuebles.</w:t>
      </w:r>
    </w:p>
    <w:p w14:paraId="264C8AFE"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arrendamiento de bienes muebles e inmuebles. </w:t>
      </w:r>
    </w:p>
    <w:p w14:paraId="617CF94E"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V</w:t>
      </w:r>
      <w:r>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127506AC"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xml:space="preserve"> La contratación de los servicios de reconstru</w:t>
      </w:r>
      <w:r>
        <w:rPr>
          <w:rFonts w:ascii="Palatino Linotype" w:eastAsia="Palatino Linotype" w:hAnsi="Palatino Linotype" w:cs="Palatino Linotype"/>
          <w:i/>
        </w:rPr>
        <w:t xml:space="preserve">cción y mantenimiento de bienes muebles. </w:t>
      </w:r>
    </w:p>
    <w:p w14:paraId="2E8DA617"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0B297D47"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La prestación de servicios profesionales, la contratación de consulto</w:t>
      </w:r>
      <w:r>
        <w:rPr>
          <w:rFonts w:ascii="Palatino Linotype" w:eastAsia="Palatino Linotype" w:hAnsi="Palatino Linotype" w:cs="Palatino Linotype"/>
          <w:i/>
        </w:rPr>
        <w:t xml:space="preserve">rías, asesorías y estudios e investigaciones, excepto la contratación de servicios personales de personas físicas bajo el régimen de honorarios. </w:t>
      </w:r>
    </w:p>
    <w:p w14:paraId="51B7B3C1"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general, otros actos que impliquen la contratación de servicios de cualquier naturaleza</w:t>
      </w:r>
    </w:p>
    <w:p w14:paraId="0F77DE57"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26.-</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a</w:t>
      </w:r>
      <w:r>
        <w:rPr>
          <w:rFonts w:ascii="Palatino Linotype" w:eastAsia="Palatino Linotype" w:hAnsi="Palatino Linotype" w:cs="Palatino Linotype"/>
          <w:b/>
          <w:i/>
        </w:rPr>
        <w:t>dquisiciones, arrendamientos y servicios se adjudicarán a través de licitaciones públicas</w:t>
      </w:r>
      <w:r>
        <w:rPr>
          <w:rFonts w:ascii="Palatino Linotype" w:eastAsia="Palatino Linotype" w:hAnsi="Palatino Linotype" w:cs="Palatino Linotype"/>
          <w:i/>
        </w:rPr>
        <w:t xml:space="preserve">, mediante convocatoria pública. </w:t>
      </w:r>
    </w:p>
    <w:p w14:paraId="04996050"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xml:space="preserve">- La Secretaría, las entidades, los tribunales administrativos y los ayuntamientos podrán </w:t>
      </w:r>
      <w:r>
        <w:rPr>
          <w:rFonts w:ascii="Palatino Linotype" w:eastAsia="Palatino Linotype" w:hAnsi="Palatino Linotype" w:cs="Palatino Linotype"/>
          <w:b/>
          <w:i/>
        </w:rPr>
        <w:t>adjudicar adquisiciones, arrend</w:t>
      </w:r>
      <w:r>
        <w:rPr>
          <w:rFonts w:ascii="Palatino Linotype" w:eastAsia="Palatino Linotype" w:hAnsi="Palatino Linotype" w:cs="Palatino Linotype"/>
          <w:b/>
          <w:i/>
        </w:rPr>
        <w:t>amientos y servicios, mediante las excepciones al procedimiento de licitación</w:t>
      </w:r>
      <w:r>
        <w:rPr>
          <w:rFonts w:ascii="Palatino Linotype" w:eastAsia="Palatino Linotype" w:hAnsi="Palatino Linotype" w:cs="Palatino Linotype"/>
          <w:i/>
        </w:rPr>
        <w:t xml:space="preserve"> que a continuación se señalan:</w:t>
      </w:r>
    </w:p>
    <w:p w14:paraId="0B109317"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Invitación restringida.</w:t>
      </w:r>
    </w:p>
    <w:p w14:paraId="15E78B69" w14:textId="77777777" w:rsidR="00197F55" w:rsidRDefault="00505A0B">
      <w:pPr>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Adjudicación directa.”</w:t>
      </w:r>
    </w:p>
    <w:p w14:paraId="6EDBFB81" w14:textId="77777777" w:rsidR="00197F55" w:rsidRDefault="00197F55">
      <w:pPr>
        <w:spacing w:after="0" w:line="276" w:lineRule="auto"/>
        <w:ind w:left="1134" w:right="902"/>
        <w:jc w:val="both"/>
        <w:rPr>
          <w:rFonts w:ascii="Palatino Linotype" w:eastAsia="Palatino Linotype" w:hAnsi="Palatino Linotype" w:cs="Palatino Linotype"/>
          <w:i/>
          <w:sz w:val="24"/>
          <w:szCs w:val="24"/>
        </w:rPr>
      </w:pPr>
    </w:p>
    <w:p w14:paraId="084C8531"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 base en los preceptos citados se advierte que, por regla general, las adquisiciones, que celebren los entes públicos, deben adjudicarse mediante licitación pública, sin embargo, también se contemplan como excepciones a dicho proceso, la invitación rest</w:t>
      </w:r>
      <w:r>
        <w:rPr>
          <w:rFonts w:ascii="Palatino Linotype" w:eastAsia="Palatino Linotype" w:hAnsi="Palatino Linotype" w:cs="Palatino Linotype"/>
          <w:sz w:val="24"/>
          <w:szCs w:val="24"/>
        </w:rPr>
        <w:t>ringida y la adjudicación directa, procedimientos que son materia de la solicitud presentada por el particular.</w:t>
      </w:r>
    </w:p>
    <w:p w14:paraId="7A9E700E" w14:textId="77777777" w:rsidR="00197F55" w:rsidRDefault="00197F55">
      <w:pPr>
        <w:spacing w:after="0" w:line="360" w:lineRule="auto"/>
        <w:jc w:val="both"/>
        <w:rPr>
          <w:rFonts w:ascii="Palatino Linotype" w:eastAsia="Palatino Linotype" w:hAnsi="Palatino Linotype" w:cs="Palatino Linotype"/>
          <w:sz w:val="24"/>
          <w:szCs w:val="24"/>
        </w:rPr>
      </w:pPr>
    </w:p>
    <w:p w14:paraId="2B3DBF53"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a través del cumplimiento a la obligación de transparencia señalada en la fracción XIX del artículo 92 de la Ley de la Materia, los</w:t>
      </w:r>
      <w:r>
        <w:rPr>
          <w:rFonts w:ascii="Palatino Linotype" w:eastAsia="Palatino Linotype" w:hAnsi="Palatino Linotype" w:cs="Palatino Linotype"/>
          <w:sz w:val="24"/>
          <w:szCs w:val="24"/>
        </w:rPr>
        <w:t xml:space="preserve"> sujetos obligados deben </w:t>
      </w:r>
      <w:r>
        <w:rPr>
          <w:rFonts w:ascii="Palatino Linotype" w:eastAsia="Palatino Linotype" w:hAnsi="Palatino Linotype" w:cs="Palatino Linotype"/>
          <w:sz w:val="24"/>
          <w:szCs w:val="24"/>
        </w:rPr>
        <w:lastRenderedPageBreak/>
        <w:t>poner a disposición del público de manera constante y actualizada, de forma sencilla, precisa y entendible, en los respectivos medios electrónicos, información relativa a los procesos y resultados sobre procedimientos de adjudicaci</w:t>
      </w:r>
      <w:r>
        <w:rPr>
          <w:rFonts w:ascii="Palatino Linotype" w:eastAsia="Palatino Linotype" w:hAnsi="Palatino Linotype" w:cs="Palatino Linotype"/>
          <w:sz w:val="24"/>
          <w:szCs w:val="24"/>
        </w:rPr>
        <w:t>ón directa, invitación restringida, y licitación de cualquier naturaleza, incluyendo la versión pública del expediente respectivo y de los contratos celebrados, a saber:</w:t>
      </w:r>
    </w:p>
    <w:p w14:paraId="7AE19EE7"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3C99F642" w14:textId="77777777" w:rsidR="00197F55" w:rsidRDefault="00505A0B">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92</w:t>
      </w:r>
      <w:r>
        <w:rPr>
          <w:rFonts w:ascii="Palatino Linotype" w:eastAsia="Palatino Linotype" w:hAnsi="Palatino Linotype" w:cs="Palatino Linotype"/>
          <w:i/>
        </w:rPr>
        <w:t>. Los sujetos obligados deberán poner a disposición del público de manera</w:t>
      </w:r>
      <w:r>
        <w:rPr>
          <w:rFonts w:ascii="Palatino Linotype" w:eastAsia="Palatino Linotype" w:hAnsi="Palatino Linotype" w:cs="Palatino Linotype"/>
          <w:i/>
        </w:rPr>
        <w:t xml:space="preserve"> permanente y actualizada de forma sencilla, precisa y entendible, en los respectivos medios electrónicos, de acuerdo con sus facultades, atribuciones, funciones u objeto social, según corresponda, la información, por lo menos, de los temas, documentos y p</w:t>
      </w:r>
      <w:r>
        <w:rPr>
          <w:rFonts w:ascii="Palatino Linotype" w:eastAsia="Palatino Linotype" w:hAnsi="Palatino Linotype" w:cs="Palatino Linotype"/>
          <w:i/>
        </w:rPr>
        <w:t>olíticas que a continuación se señalan:</w:t>
      </w:r>
    </w:p>
    <w:p w14:paraId="79892301" w14:textId="77777777" w:rsidR="00197F55" w:rsidRDefault="00505A0B">
      <w:pPr>
        <w:tabs>
          <w:tab w:val="left" w:pos="426"/>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10E62F" w14:textId="77777777" w:rsidR="00197F55" w:rsidRDefault="00505A0B">
      <w:pPr>
        <w:tabs>
          <w:tab w:val="left" w:pos="426"/>
        </w:tabs>
        <w:spacing w:after="0" w:line="276"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 xml:space="preserve">información sobre los procesos y resultados </w:t>
      </w:r>
      <w:r>
        <w:rPr>
          <w:rFonts w:ascii="Palatino Linotype" w:eastAsia="Palatino Linotype" w:hAnsi="Palatino Linotype" w:cs="Palatino Linotype"/>
          <w:b/>
          <w:i/>
          <w:u w:val="single"/>
        </w:rPr>
        <w:t>sobre procedimientos de adjudicación directa, invitación restringida y licitación de cualquier naturaleza</w:t>
      </w:r>
      <w:r>
        <w:rPr>
          <w:rFonts w:ascii="Palatino Linotype" w:eastAsia="Palatino Linotype" w:hAnsi="Palatino Linotype" w:cs="Palatino Linotype"/>
          <w:i/>
          <w:u w:val="single"/>
        </w:rPr>
        <w:t xml:space="preserve">, </w:t>
      </w:r>
      <w:r>
        <w:rPr>
          <w:rFonts w:ascii="Palatino Linotype" w:eastAsia="Palatino Linotype" w:hAnsi="Palatino Linotype" w:cs="Palatino Linotype"/>
          <w:b/>
          <w:i/>
        </w:rPr>
        <w:t>incluyendo la versión pública</w:t>
      </w:r>
      <w:r>
        <w:rPr>
          <w:rFonts w:ascii="Palatino Linotype" w:eastAsia="Palatino Linotype" w:hAnsi="Palatino Linotype" w:cs="Palatino Linotype"/>
          <w:i/>
        </w:rPr>
        <w:t xml:space="preserve"> del expediente respect</w:t>
      </w:r>
      <w:r>
        <w:rPr>
          <w:rFonts w:ascii="Palatino Linotype" w:eastAsia="Palatino Linotype" w:hAnsi="Palatino Linotype" w:cs="Palatino Linotype"/>
          <w:i/>
        </w:rPr>
        <w:t xml:space="preserve">ivo y </w:t>
      </w:r>
      <w:r>
        <w:rPr>
          <w:rFonts w:ascii="Palatino Linotype" w:eastAsia="Palatino Linotype" w:hAnsi="Palatino Linotype" w:cs="Palatino Linotype"/>
          <w:b/>
          <w:i/>
        </w:rPr>
        <w:t>de los contratos celebrados</w:t>
      </w:r>
      <w:r>
        <w:rPr>
          <w:rFonts w:ascii="Palatino Linotype" w:eastAsia="Palatino Linotype" w:hAnsi="Palatino Linotype" w:cs="Palatino Linotype"/>
          <w:i/>
        </w:rPr>
        <w:t>, que deberán contener, por los menos, lo siguiente:</w:t>
      </w:r>
    </w:p>
    <w:p w14:paraId="2C5B66A0" w14:textId="77777777" w:rsidR="00197F55" w:rsidRDefault="00505A0B">
      <w:pPr>
        <w:tabs>
          <w:tab w:val="left" w:pos="426"/>
        </w:tabs>
        <w:spacing w:after="0" w:line="276" w:lineRule="auto"/>
        <w:ind w:left="1418" w:right="902"/>
        <w:jc w:val="both"/>
        <w:rPr>
          <w:rFonts w:ascii="Palatino Linotype" w:eastAsia="Palatino Linotype" w:hAnsi="Palatino Linotype" w:cs="Palatino Linotype"/>
          <w:b/>
          <w:i/>
        </w:rPr>
      </w:pPr>
      <w:r>
        <w:rPr>
          <w:rFonts w:ascii="Palatino Linotype" w:eastAsia="Palatino Linotype" w:hAnsi="Palatino Linotype" w:cs="Palatino Linotype"/>
          <w:b/>
          <w:i/>
        </w:rPr>
        <w:t>a) De licitaciones públicas o procedimientos de invitación restringida:</w:t>
      </w:r>
    </w:p>
    <w:p w14:paraId="497CE1E4"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convocatoria o invitación emitida, así como los fundamentos legales aplicados para llevarla a cabo;</w:t>
      </w:r>
    </w:p>
    <w:p w14:paraId="56F2B288"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nombres de los participantes o invitados;</w:t>
      </w:r>
    </w:p>
    <w:p w14:paraId="37B7E8EB"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El nombre del ganador y las razones que lo justifican;</w:t>
      </w:r>
    </w:p>
    <w:p w14:paraId="256F4D39"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4)</w:t>
      </w:r>
      <w:r>
        <w:rPr>
          <w:rFonts w:ascii="Palatino Linotype" w:eastAsia="Palatino Linotype" w:hAnsi="Palatino Linotype" w:cs="Palatino Linotype"/>
          <w:i/>
        </w:rPr>
        <w:t xml:space="preserve"> El área solicitante y la responsable de su ejecución;</w:t>
      </w:r>
    </w:p>
    <w:p w14:paraId="39F252FB"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Las convocatorias e invitaciones emitidas; </w:t>
      </w:r>
    </w:p>
    <w:p w14:paraId="206647C5"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6) Los dictámenes y fallo de adjudicación;</w:t>
      </w:r>
    </w:p>
    <w:p w14:paraId="0EDC0937"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7) El contrato y, en su caso, sus anexos; </w:t>
      </w:r>
    </w:p>
    <w:p w14:paraId="2A5A42BF"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Los mecanismos de vigilancia y supervisión, incluyendo en su caso</w:t>
      </w:r>
      <w:r>
        <w:rPr>
          <w:rFonts w:ascii="Palatino Linotype" w:eastAsia="Palatino Linotype" w:hAnsi="Palatino Linotype" w:cs="Palatino Linotype"/>
          <w:i/>
        </w:rPr>
        <w:t>, los estudios de impacto urbano y ambiental, según corresponda;</w:t>
      </w:r>
    </w:p>
    <w:p w14:paraId="63BF62F7"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La partida presupuestal, de conformidad con el clasificador por objeto del gasto, en el caso de ser aplicable; </w:t>
      </w:r>
    </w:p>
    <w:p w14:paraId="404485CE"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10)</w:t>
      </w:r>
      <w:r>
        <w:rPr>
          <w:rFonts w:ascii="Palatino Linotype" w:eastAsia="Palatino Linotype" w:hAnsi="Palatino Linotype" w:cs="Palatino Linotype"/>
          <w:i/>
        </w:rPr>
        <w:t xml:space="preserve"> Origen de los recursos especificando si son federales, estatales o munic</w:t>
      </w:r>
      <w:r>
        <w:rPr>
          <w:rFonts w:ascii="Palatino Linotype" w:eastAsia="Palatino Linotype" w:hAnsi="Palatino Linotype" w:cs="Palatino Linotype"/>
          <w:i/>
        </w:rPr>
        <w:t>ipales, así como el tipo de fondo de participación o aportación respectiva;</w:t>
      </w:r>
    </w:p>
    <w:p w14:paraId="1FCE1524"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11)</w:t>
      </w:r>
      <w:r>
        <w:rPr>
          <w:rFonts w:ascii="Palatino Linotype" w:eastAsia="Palatino Linotype" w:hAnsi="Palatino Linotype" w:cs="Palatino Linotype"/>
          <w:i/>
        </w:rPr>
        <w:t xml:space="preserve"> Los convenios modificatorios que, en su caso, sean firmados, precisando el objeto y la fecha de celebración;</w:t>
      </w:r>
    </w:p>
    <w:p w14:paraId="400DCFBC"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12)</w:t>
      </w:r>
      <w:r>
        <w:rPr>
          <w:rFonts w:ascii="Palatino Linotype" w:eastAsia="Palatino Linotype" w:hAnsi="Palatino Linotype" w:cs="Palatino Linotype"/>
          <w:i/>
        </w:rPr>
        <w:t xml:space="preserve"> Los informes de avance físico y financiero sobre las obras o se</w:t>
      </w:r>
      <w:r>
        <w:rPr>
          <w:rFonts w:ascii="Palatino Linotype" w:eastAsia="Palatino Linotype" w:hAnsi="Palatino Linotype" w:cs="Palatino Linotype"/>
          <w:i/>
        </w:rPr>
        <w:t xml:space="preserve">rvicios contratados; </w:t>
      </w:r>
    </w:p>
    <w:p w14:paraId="6CE727FA"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13) El convenio de terminación; </w:t>
      </w:r>
    </w:p>
    <w:p w14:paraId="7AF58300"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14) El finiquito.</w:t>
      </w:r>
    </w:p>
    <w:p w14:paraId="37AF8778" w14:textId="77777777" w:rsidR="00197F55" w:rsidRDefault="00505A0B">
      <w:pPr>
        <w:tabs>
          <w:tab w:val="left" w:pos="426"/>
        </w:tabs>
        <w:spacing w:after="0" w:line="276" w:lineRule="auto"/>
        <w:ind w:left="1418"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b) De las adjudicaciones directas: </w:t>
      </w:r>
    </w:p>
    <w:p w14:paraId="63ECD2CB"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propuesta enviada por el participante; </w:t>
      </w:r>
    </w:p>
    <w:p w14:paraId="0F5FAB89"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motivos y fundamentos legales aplicados para llevarla a cabo;</w:t>
      </w:r>
    </w:p>
    <w:p w14:paraId="64446EEC"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La autorización del ejercicio</w:t>
      </w:r>
      <w:r>
        <w:rPr>
          <w:rFonts w:ascii="Palatino Linotype" w:eastAsia="Palatino Linotype" w:hAnsi="Palatino Linotype" w:cs="Palatino Linotype"/>
          <w:i/>
        </w:rPr>
        <w:t xml:space="preserve"> de la opción; </w:t>
      </w:r>
    </w:p>
    <w:p w14:paraId="306050DE"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4) </w:t>
      </w:r>
      <w:r>
        <w:rPr>
          <w:rFonts w:ascii="Palatino Linotype" w:eastAsia="Palatino Linotype" w:hAnsi="Palatino Linotype" w:cs="Palatino Linotype"/>
          <w:i/>
        </w:rPr>
        <w:t>En su caso, las cotizaciones consideradas, especificando los nombres de los proveedores y sus montos;</w:t>
      </w:r>
      <w:r>
        <w:rPr>
          <w:rFonts w:ascii="Palatino Linotype" w:eastAsia="Palatino Linotype" w:hAnsi="Palatino Linotype" w:cs="Palatino Linotype"/>
          <w:b/>
          <w:i/>
        </w:rPr>
        <w:t xml:space="preserve"> </w:t>
      </w:r>
    </w:p>
    <w:p w14:paraId="7A0B1529"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El nombre de la persona física o jurídica colectiva adjudicada; </w:t>
      </w:r>
    </w:p>
    <w:p w14:paraId="1637AECC"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6)</w:t>
      </w:r>
      <w:r>
        <w:rPr>
          <w:rFonts w:ascii="Palatino Linotype" w:eastAsia="Palatino Linotype" w:hAnsi="Palatino Linotype" w:cs="Palatino Linotype"/>
          <w:i/>
        </w:rPr>
        <w:t xml:space="preserve"> La unidad administrativa solicitante y la responsable de su eje</w:t>
      </w:r>
      <w:r>
        <w:rPr>
          <w:rFonts w:ascii="Palatino Linotype" w:eastAsia="Palatino Linotype" w:hAnsi="Palatino Linotype" w:cs="Palatino Linotype"/>
          <w:i/>
        </w:rPr>
        <w:t xml:space="preserve">cución; </w:t>
      </w:r>
    </w:p>
    <w:p w14:paraId="713986F9"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7</w:t>
      </w:r>
      <w:r>
        <w:rPr>
          <w:rFonts w:ascii="Palatino Linotype" w:eastAsia="Palatino Linotype" w:hAnsi="Palatino Linotype" w:cs="Palatino Linotype"/>
          <w:i/>
        </w:rPr>
        <w:t xml:space="preserve">) El número, fecha, el monto del contrato y el plazo de entrega o de ejecución de los servicios u obra; </w:t>
      </w:r>
    </w:p>
    <w:p w14:paraId="46FBE782"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48ED332D"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Los</w:t>
      </w:r>
      <w:r>
        <w:rPr>
          <w:rFonts w:ascii="Palatino Linotype" w:eastAsia="Palatino Linotype" w:hAnsi="Palatino Linotype" w:cs="Palatino Linotype"/>
          <w:i/>
        </w:rPr>
        <w:t xml:space="preserve"> informes de avance sobre las obras o servicios contratados; </w:t>
      </w:r>
    </w:p>
    <w:p w14:paraId="4ED13417"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10) El convenio de terminación; y </w:t>
      </w:r>
    </w:p>
    <w:p w14:paraId="4AC84207" w14:textId="77777777" w:rsidR="00197F55" w:rsidRDefault="00505A0B">
      <w:pPr>
        <w:tabs>
          <w:tab w:val="left" w:pos="426"/>
        </w:tabs>
        <w:spacing w:after="0" w:line="276" w:lineRule="auto"/>
        <w:ind w:left="1701" w:right="902"/>
        <w:jc w:val="both"/>
        <w:rPr>
          <w:rFonts w:ascii="Palatino Linotype" w:eastAsia="Palatino Linotype" w:hAnsi="Palatino Linotype" w:cs="Palatino Linotype"/>
          <w:i/>
        </w:rPr>
      </w:pPr>
      <w:r>
        <w:rPr>
          <w:rFonts w:ascii="Palatino Linotype" w:eastAsia="Palatino Linotype" w:hAnsi="Palatino Linotype" w:cs="Palatino Linotype"/>
          <w:i/>
        </w:rPr>
        <w:t>11) El finiquito;”</w:t>
      </w:r>
    </w:p>
    <w:p w14:paraId="7F99E10E" w14:textId="77777777" w:rsidR="00197F55" w:rsidRDefault="00197F55">
      <w:pPr>
        <w:tabs>
          <w:tab w:val="left" w:pos="426"/>
        </w:tabs>
        <w:spacing w:after="120"/>
        <w:ind w:left="1701" w:right="902"/>
        <w:jc w:val="both"/>
        <w:rPr>
          <w:rFonts w:ascii="Palatino Linotype" w:eastAsia="Palatino Linotype" w:hAnsi="Palatino Linotype" w:cs="Palatino Linotype"/>
          <w:sz w:val="24"/>
          <w:szCs w:val="24"/>
        </w:rPr>
      </w:pPr>
    </w:p>
    <w:p w14:paraId="4D5BC01C" w14:textId="77777777" w:rsidR="00197F55" w:rsidRDefault="00505A0B">
      <w:pPr>
        <w:spacing w:before="120"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ende, de acuerdo a los </w:t>
      </w:r>
      <w:r>
        <w:rPr>
          <w:rFonts w:ascii="Palatino Linotype" w:eastAsia="Palatino Linotype" w:hAnsi="Palatino Linotype" w:cs="Palatino Linotype"/>
          <w:i/>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w:t>
      </w:r>
      <w:r>
        <w:rPr>
          <w:rFonts w:ascii="Palatino Linotype" w:eastAsia="Palatino Linotype" w:hAnsi="Palatino Linotype" w:cs="Palatino Linotype"/>
          <w:i/>
          <w:sz w:val="24"/>
          <w:szCs w:val="24"/>
        </w:rPr>
        <w:t>ica</w:t>
      </w:r>
      <w:r>
        <w:rPr>
          <w:rFonts w:ascii="Palatino Linotype" w:eastAsia="Palatino Linotype" w:hAnsi="Palatino Linotype" w:cs="Palatino Linotype"/>
          <w:sz w:val="24"/>
          <w:szCs w:val="24"/>
        </w:rPr>
        <w:t xml:space="preserve">, que deben de difundir los sujetos obligados en los portales de Internet y en la Plataforma Nacional de Transparencia, para el cumplimiento de la obligación de transparencia señalada en el artículo 70  fracción XXVIII de la </w:t>
      </w:r>
      <w:r>
        <w:rPr>
          <w:rFonts w:ascii="Palatino Linotype" w:eastAsia="Palatino Linotype" w:hAnsi="Palatino Linotype" w:cs="Palatino Linotype"/>
          <w:i/>
          <w:sz w:val="24"/>
          <w:szCs w:val="24"/>
        </w:rPr>
        <w:t xml:space="preserve">Ley </w:t>
      </w:r>
      <w:r>
        <w:rPr>
          <w:rFonts w:ascii="Palatino Linotype" w:eastAsia="Palatino Linotype" w:hAnsi="Palatino Linotype" w:cs="Palatino Linotype"/>
          <w:i/>
          <w:sz w:val="24"/>
          <w:szCs w:val="24"/>
        </w:rPr>
        <w:lastRenderedPageBreak/>
        <w:t>General de Transparencia</w:t>
      </w:r>
      <w:r>
        <w:rPr>
          <w:rFonts w:ascii="Palatino Linotype" w:eastAsia="Palatino Linotype" w:hAnsi="Palatino Linotype" w:cs="Palatino Linotype"/>
          <w:i/>
          <w:sz w:val="24"/>
          <w:szCs w:val="24"/>
        </w:rPr>
        <w:t xml:space="preserve"> y Acceso a la Información Pública</w:t>
      </w:r>
      <w:r>
        <w:rPr>
          <w:rFonts w:ascii="Palatino Linotype" w:eastAsia="Palatino Linotype" w:hAnsi="Palatino Linotype" w:cs="Palatino Linotype"/>
          <w:sz w:val="24"/>
          <w:szCs w:val="24"/>
        </w:rPr>
        <w:t xml:space="preserve">, los sujetos obligados deben publicar información sobre los actos, contratos y convenios celebrados, misma que </w:t>
      </w:r>
      <w:r>
        <w:rPr>
          <w:rFonts w:ascii="Palatino Linotype" w:eastAsia="Palatino Linotype" w:hAnsi="Palatino Linotype" w:cs="Palatino Linotype"/>
          <w:b/>
          <w:sz w:val="24"/>
          <w:szCs w:val="24"/>
        </w:rPr>
        <w:t>debe presentarse en una base de datos en la que cada registro se hará por tipo de procedimiento, ya sea licita</w:t>
      </w:r>
      <w:r>
        <w:rPr>
          <w:rFonts w:ascii="Palatino Linotype" w:eastAsia="Palatino Linotype" w:hAnsi="Palatino Linotype" w:cs="Palatino Linotype"/>
          <w:b/>
          <w:sz w:val="24"/>
          <w:szCs w:val="24"/>
        </w:rPr>
        <w:t xml:space="preserve">ción pública, invitación restringida </w:t>
      </w:r>
      <w:r>
        <w:rPr>
          <w:rFonts w:ascii="Palatino Linotype" w:eastAsia="Palatino Linotype" w:hAnsi="Palatino Linotype" w:cs="Palatino Linotype"/>
          <w:sz w:val="24"/>
          <w:szCs w:val="24"/>
        </w:rPr>
        <w:t>o adjudicación directa, especificando para cada tipo de procedimiento la materia, pudiendo ser obra pública, servicios relacionados con obra pública, , así como el carácter de cada uno, es decir, nacional o internaciona</w:t>
      </w:r>
      <w:r>
        <w:rPr>
          <w:rFonts w:ascii="Palatino Linotype" w:eastAsia="Palatino Linotype" w:hAnsi="Palatino Linotype" w:cs="Palatino Linotype"/>
          <w:sz w:val="24"/>
          <w:szCs w:val="24"/>
        </w:rPr>
        <w:t xml:space="preserve">l, además se debe elaborar versión pública los documentos fuente que deban ser publicados en este apartado, tales como contratos, facturas, registros contables, pólizas, finiquitos, los dictámenes y fallo de adjudicación,  la autorización del ejercicio de </w:t>
      </w:r>
      <w:r>
        <w:rPr>
          <w:rFonts w:ascii="Palatino Linotype" w:eastAsia="Palatino Linotype" w:hAnsi="Palatino Linotype" w:cs="Palatino Linotype"/>
          <w:sz w:val="24"/>
          <w:szCs w:val="24"/>
        </w:rPr>
        <w:t>la opción entre otros, incluyendo sus anexos correspondientes, información que debe ser actualizada de manera trimestral, y conservarse la generada en el ejercicio en curso y la correspondiente a dos ejercicios anteriores</w:t>
      </w:r>
    </w:p>
    <w:p w14:paraId="53E5CCE9"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31F2DF36"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lo anterior, se establec</w:t>
      </w:r>
      <w:r>
        <w:rPr>
          <w:rFonts w:ascii="Palatino Linotype" w:eastAsia="Palatino Linotype" w:hAnsi="Palatino Linotype" w:cs="Palatino Linotype"/>
          <w:sz w:val="24"/>
          <w:szCs w:val="24"/>
        </w:rPr>
        <w:t>e el índice de Expediente Único de Obra Pública e Instructivos de Llenado en las modalidades de Adjudicación Directa, Invitación Restringida y Licitación Pública, el cual refiere que dichos expedientes se conforman de la siguiente manera:</w:t>
      </w:r>
    </w:p>
    <w:p w14:paraId="4D69E8EB" w14:textId="77777777" w:rsidR="00197F55" w:rsidRDefault="00197F55">
      <w:pPr>
        <w:spacing w:after="0" w:line="360" w:lineRule="auto"/>
        <w:jc w:val="both"/>
        <w:rPr>
          <w:rFonts w:ascii="Palatino Linotype" w:eastAsia="Palatino Linotype" w:hAnsi="Palatino Linotype" w:cs="Palatino Linotype"/>
          <w:sz w:val="24"/>
          <w:szCs w:val="24"/>
        </w:rPr>
      </w:pPr>
    </w:p>
    <w:p w14:paraId="73195217" w14:textId="77777777" w:rsidR="00197F55" w:rsidRDefault="00505A0B">
      <w:pPr>
        <w:spacing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E62AF71" wp14:editId="5AF16EC5">
            <wp:extent cx="5164992" cy="4492967"/>
            <wp:effectExtent l="0" t="0" r="0" b="0"/>
            <wp:docPr id="1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r="3689"/>
                    <a:stretch>
                      <a:fillRect/>
                    </a:stretch>
                  </pic:blipFill>
                  <pic:spPr>
                    <a:xfrm>
                      <a:off x="0" y="0"/>
                      <a:ext cx="5164992" cy="4492967"/>
                    </a:xfrm>
                    <a:prstGeom prst="rect">
                      <a:avLst/>
                    </a:prstGeom>
                    <a:ln/>
                  </pic:spPr>
                </pic:pic>
              </a:graphicData>
            </a:graphic>
          </wp:inline>
        </w:drawing>
      </w:r>
    </w:p>
    <w:p w14:paraId="2D6F2A94" w14:textId="77777777" w:rsidR="00197F55" w:rsidRDefault="00505A0B">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B336AFB" wp14:editId="7E9C2334">
            <wp:extent cx="5135156" cy="2705722"/>
            <wp:effectExtent l="0" t="0" r="0" b="0"/>
            <wp:docPr id="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092" r="1639"/>
                    <a:stretch>
                      <a:fillRect/>
                    </a:stretch>
                  </pic:blipFill>
                  <pic:spPr>
                    <a:xfrm>
                      <a:off x="0" y="0"/>
                      <a:ext cx="5135156" cy="2705722"/>
                    </a:xfrm>
                    <a:prstGeom prst="rect">
                      <a:avLst/>
                    </a:prstGeom>
                    <a:ln/>
                  </pic:spPr>
                </pic:pic>
              </a:graphicData>
            </a:graphic>
          </wp:inline>
        </w:drawing>
      </w:r>
    </w:p>
    <w:p w14:paraId="1CC12ABD" w14:textId="77777777" w:rsidR="00197F55" w:rsidRDefault="00505A0B">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6FF8431" wp14:editId="537F20D8">
            <wp:extent cx="5353050" cy="7448550"/>
            <wp:effectExtent l="0" t="0" r="0" b="0"/>
            <wp:docPr id="1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272" r="1817"/>
                    <a:stretch>
                      <a:fillRect/>
                    </a:stretch>
                  </pic:blipFill>
                  <pic:spPr>
                    <a:xfrm>
                      <a:off x="0" y="0"/>
                      <a:ext cx="5353050" cy="7448550"/>
                    </a:xfrm>
                    <a:prstGeom prst="rect">
                      <a:avLst/>
                    </a:prstGeom>
                    <a:ln/>
                  </pic:spPr>
                </pic:pic>
              </a:graphicData>
            </a:graphic>
          </wp:inline>
        </w:drawing>
      </w:r>
    </w:p>
    <w:p w14:paraId="39914643" w14:textId="77777777" w:rsidR="00197F55" w:rsidRDefault="00505A0B">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F1BDE87" wp14:editId="7B34B5A2">
            <wp:extent cx="5372311" cy="3591066"/>
            <wp:effectExtent l="0" t="0" r="0" b="0"/>
            <wp:docPr id="1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372311" cy="3591066"/>
                    </a:xfrm>
                    <a:prstGeom prst="rect">
                      <a:avLst/>
                    </a:prstGeom>
                    <a:ln/>
                  </pic:spPr>
                </pic:pic>
              </a:graphicData>
            </a:graphic>
          </wp:inline>
        </w:drawing>
      </w:r>
      <w:r>
        <w:rPr>
          <w:rFonts w:ascii="Palatino Linotype" w:eastAsia="Palatino Linotype" w:hAnsi="Palatino Linotype" w:cs="Palatino Linotype"/>
          <w:noProof/>
        </w:rPr>
        <w:lastRenderedPageBreak/>
        <w:drawing>
          <wp:inline distT="0" distB="0" distL="0" distR="0" wp14:anchorId="30290AD4" wp14:editId="31912DF9">
            <wp:extent cx="5544405" cy="3620058"/>
            <wp:effectExtent l="0" t="0" r="0" b="0"/>
            <wp:docPr id="1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44405" cy="3620058"/>
                    </a:xfrm>
                    <a:prstGeom prst="rect">
                      <a:avLst/>
                    </a:prstGeom>
                    <a:ln/>
                  </pic:spPr>
                </pic:pic>
              </a:graphicData>
            </a:graphic>
          </wp:inline>
        </w:drawing>
      </w:r>
    </w:p>
    <w:p w14:paraId="15415B9F" w14:textId="77777777" w:rsidR="00197F55" w:rsidRDefault="00505A0B">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99D83D2" wp14:editId="1AD6EB61">
            <wp:extent cx="4500000" cy="5889077"/>
            <wp:effectExtent l="0" t="0" r="0" b="0"/>
            <wp:docPr id="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1431"/>
                    <a:stretch>
                      <a:fillRect/>
                    </a:stretch>
                  </pic:blipFill>
                  <pic:spPr>
                    <a:xfrm>
                      <a:off x="0" y="0"/>
                      <a:ext cx="4500000" cy="5889077"/>
                    </a:xfrm>
                    <a:prstGeom prst="rect">
                      <a:avLst/>
                    </a:prstGeom>
                    <a:ln/>
                  </pic:spPr>
                </pic:pic>
              </a:graphicData>
            </a:graphic>
          </wp:inline>
        </w:drawing>
      </w:r>
    </w:p>
    <w:p w14:paraId="0764B017" w14:textId="77777777" w:rsidR="00197F55" w:rsidRDefault="00505A0B">
      <w:pPr>
        <w:spacing w:before="240"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w:t>
      </w:r>
      <w:r>
        <w:rPr>
          <w:rFonts w:ascii="Palatino Linotype" w:eastAsia="Palatino Linotype" w:hAnsi="Palatino Linotype" w:cs="Palatino Linotype"/>
          <w:sz w:val="24"/>
          <w:szCs w:val="24"/>
        </w:rPr>
        <w:t xml:space="preserve">o anterior, observamos cada uno de los documentos que obra en los expedientes de obra pública, como lo es expediente técnico, aviso de inicio de obra, </w:t>
      </w:r>
      <w:r>
        <w:rPr>
          <w:rFonts w:ascii="Palatino Linotype" w:eastAsia="Palatino Linotype" w:hAnsi="Palatino Linotype" w:cs="Palatino Linotype"/>
          <w:sz w:val="24"/>
          <w:szCs w:val="24"/>
        </w:rPr>
        <w:lastRenderedPageBreak/>
        <w:t>planos actualizados definitivos y el acta de entrega a la instancia encargada de su operación, por mencio</w:t>
      </w:r>
      <w:r>
        <w:rPr>
          <w:rFonts w:ascii="Palatino Linotype" w:eastAsia="Palatino Linotype" w:hAnsi="Palatino Linotype" w:cs="Palatino Linotype"/>
          <w:sz w:val="24"/>
          <w:szCs w:val="24"/>
        </w:rPr>
        <w:t xml:space="preserve">nar algunos. </w:t>
      </w:r>
    </w:p>
    <w:p w14:paraId="3CC42737" w14:textId="77777777" w:rsidR="00197F55" w:rsidRDefault="00197F55">
      <w:pPr>
        <w:spacing w:before="240" w:after="0" w:line="360" w:lineRule="auto"/>
        <w:ind w:right="51"/>
        <w:jc w:val="both"/>
        <w:rPr>
          <w:rFonts w:ascii="Palatino Linotype" w:eastAsia="Palatino Linotype" w:hAnsi="Palatino Linotype" w:cs="Palatino Linotype"/>
          <w:sz w:val="24"/>
          <w:szCs w:val="24"/>
        </w:rPr>
      </w:pPr>
    </w:p>
    <w:p w14:paraId="4C21400C"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w:t>
      </w:r>
      <w:proofErr w:type="gramStart"/>
      <w:r>
        <w:rPr>
          <w:rFonts w:ascii="Palatino Linotype" w:eastAsia="Palatino Linotype" w:hAnsi="Palatino Linotype" w:cs="Palatino Linotype"/>
          <w:sz w:val="24"/>
          <w:szCs w:val="24"/>
        </w:rPr>
        <w:t>obstante</w:t>
      </w:r>
      <w:proofErr w:type="gramEnd"/>
      <w:r>
        <w:rPr>
          <w:rFonts w:ascii="Palatino Linotype" w:eastAsia="Palatino Linotype" w:hAnsi="Palatino Linotype" w:cs="Palatino Linotype"/>
          <w:sz w:val="24"/>
          <w:szCs w:val="24"/>
        </w:rPr>
        <w:t xml:space="preserve"> en atención a la respuesta vertida por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es necesario señalar que el Código Administrativo del Estado de México, específicamente en su artículo 12.15 que establece que corresponde a los Ayuntamientos formular los</w:t>
      </w:r>
      <w:r>
        <w:rPr>
          <w:rFonts w:ascii="Palatino Linotype" w:eastAsia="Palatino Linotype" w:hAnsi="Palatino Linotype" w:cs="Palatino Linotype"/>
          <w:sz w:val="24"/>
          <w:szCs w:val="24"/>
        </w:rPr>
        <w:t xml:space="preserve"> programas de obra pública o de servicios relacionados con la misma, con base en las políticas, objetivos y prioridades de la planeación del desarrollo del Municipio. </w:t>
      </w:r>
    </w:p>
    <w:p w14:paraId="32A2E8BF" w14:textId="77777777" w:rsidR="00197F55" w:rsidRDefault="00197F55">
      <w:pPr>
        <w:spacing w:after="0" w:line="360" w:lineRule="auto"/>
        <w:jc w:val="both"/>
        <w:rPr>
          <w:rFonts w:ascii="Palatino Linotype" w:eastAsia="Palatino Linotype" w:hAnsi="Palatino Linotype" w:cs="Palatino Linotype"/>
          <w:sz w:val="24"/>
          <w:szCs w:val="24"/>
        </w:rPr>
      </w:pPr>
    </w:p>
    <w:p w14:paraId="2EC7BFCE" w14:textId="77777777" w:rsidR="00197F55" w:rsidRDefault="00505A0B">
      <w:pPr>
        <w:tabs>
          <w:tab w:val="left" w:pos="255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lo anterior, el Manual para la Planeación, Programación y Presupuestación Muni</w:t>
      </w:r>
      <w:r>
        <w:rPr>
          <w:rFonts w:ascii="Palatino Linotype" w:eastAsia="Palatino Linotype" w:hAnsi="Palatino Linotype" w:cs="Palatino Linotype"/>
          <w:sz w:val="24"/>
          <w:szCs w:val="24"/>
        </w:rPr>
        <w:t xml:space="preserve">cipal para el Ejercicio Fiscal 2025, el cual garantiza realizar la integración del proyecto de presupuesto de egresos municipal, que sustente programas y proyectos que se ejecutarán en el ejercicio fiscal, orientando éstos a la realización de acciones que </w:t>
      </w:r>
      <w:r>
        <w:rPr>
          <w:rFonts w:ascii="Palatino Linotype" w:eastAsia="Palatino Linotype" w:hAnsi="Palatino Linotype" w:cs="Palatino Linotype"/>
          <w:sz w:val="24"/>
          <w:szCs w:val="24"/>
        </w:rPr>
        <w:t>den cumplimiento a objetivos preestablecidos en el Plan de Desarrollo Municipal (PDM), los cuales serán verificados a través de indicadores y metas previstas a alcanzar; además en el cual se determinan los formatos impresos que deben integrarse, como se il</w:t>
      </w:r>
      <w:r>
        <w:rPr>
          <w:rFonts w:ascii="Palatino Linotype" w:eastAsia="Palatino Linotype" w:hAnsi="Palatino Linotype" w:cs="Palatino Linotype"/>
          <w:sz w:val="24"/>
          <w:szCs w:val="24"/>
        </w:rPr>
        <w:t>ustra a continuación:</w:t>
      </w:r>
    </w:p>
    <w:p w14:paraId="40160233" w14:textId="77777777" w:rsidR="00197F55" w:rsidRDefault="00505A0B">
      <w:pPr>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210A4C8" wp14:editId="138E5D82">
            <wp:extent cx="3962966" cy="2765330"/>
            <wp:effectExtent l="0" t="0" r="0" b="0"/>
            <wp:docPr id="1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962966" cy="2765330"/>
                    </a:xfrm>
                    <a:prstGeom prst="rect">
                      <a:avLst/>
                    </a:prstGeom>
                    <a:ln/>
                  </pic:spPr>
                </pic:pic>
              </a:graphicData>
            </a:graphic>
          </wp:inline>
        </w:drawing>
      </w:r>
    </w:p>
    <w:p w14:paraId="275F397E" w14:textId="77777777" w:rsidR="00197F55" w:rsidRDefault="00505A0B">
      <w:pPr>
        <w:tabs>
          <w:tab w:val="left" w:pos="2552"/>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Mismo que se maneja con el formato siguiente:</w:t>
      </w:r>
    </w:p>
    <w:p w14:paraId="0B2D5DE2" w14:textId="77777777" w:rsidR="00197F55" w:rsidRDefault="00505A0B">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7A5F754" wp14:editId="150E26B6">
            <wp:extent cx="4610820" cy="3304473"/>
            <wp:effectExtent l="0" t="0" r="0" b="0"/>
            <wp:docPr id="1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610820" cy="3304473"/>
                    </a:xfrm>
                    <a:prstGeom prst="rect">
                      <a:avLst/>
                    </a:prstGeom>
                    <a:ln/>
                  </pic:spPr>
                </pic:pic>
              </a:graphicData>
            </a:graphic>
          </wp:inline>
        </w:drawing>
      </w:r>
    </w:p>
    <w:p w14:paraId="66776909" w14:textId="77777777" w:rsidR="00197F55" w:rsidRDefault="00505A0B">
      <w:pPr>
        <w:spacing w:before="160"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Como se ha expuesto en líneas anteriores, el Programa Anual de Obras, se encuentra vinculado con el Presupuesto de Egresos Municipal; para argumentar lo anterior, es indispensable citar lo ordenado por el artículo 125 de la Constitución Política del Estado</w:t>
      </w:r>
      <w:r>
        <w:rPr>
          <w:rFonts w:ascii="Palatino Linotype" w:eastAsia="Palatino Linotype" w:hAnsi="Palatino Linotype" w:cs="Palatino Linotype"/>
          <w:sz w:val="24"/>
          <w:szCs w:val="24"/>
        </w:rPr>
        <w:t xml:space="preserve"> Libre y Soberano de México, que en su penúltimo párrafo establece que el</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 xml:space="preserve">Presidente Municipal, promulgará y publicará el Presupuesto de Egresos Municipal, a más tardar el día 25 de febrero de cada año debiendo enviarlo al Órgano Superior de Fiscalización </w:t>
      </w:r>
      <w:r>
        <w:rPr>
          <w:rFonts w:ascii="Palatino Linotype" w:eastAsia="Palatino Linotype" w:hAnsi="Palatino Linotype" w:cs="Palatino Linotype"/>
          <w:sz w:val="24"/>
          <w:szCs w:val="24"/>
        </w:rPr>
        <w:t>en la misma fecha</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de lo cual se colige que deberá presentar la propuesta correspondiente, a fin de que el día veinticinco de febrero de cada año pueda llevarse a cabo su promulgación y publicación e informar al Órgano Superior de Fiscalización del Estado</w:t>
      </w:r>
      <w:r>
        <w:rPr>
          <w:rFonts w:ascii="Palatino Linotype" w:eastAsia="Palatino Linotype" w:hAnsi="Palatino Linotype" w:cs="Palatino Linotype"/>
          <w:sz w:val="24"/>
          <w:szCs w:val="24"/>
        </w:rPr>
        <w:t xml:space="preserve"> de México.</w:t>
      </w:r>
    </w:p>
    <w:p w14:paraId="0E05787B"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02EBC3FB"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w:t>
      </w:r>
      <w:proofErr w:type="gramStart"/>
      <w:r>
        <w:rPr>
          <w:rFonts w:ascii="Palatino Linotype" w:eastAsia="Palatino Linotype" w:hAnsi="Palatino Linotype" w:cs="Palatino Linotype"/>
          <w:sz w:val="24"/>
          <w:szCs w:val="24"/>
        </w:rPr>
        <w:t>que</w:t>
      </w:r>
      <w:proofErr w:type="gramEnd"/>
      <w:r>
        <w:rPr>
          <w:rFonts w:ascii="Palatino Linotype" w:eastAsia="Palatino Linotype" w:hAnsi="Palatino Linotype" w:cs="Palatino Linotype"/>
          <w:sz w:val="24"/>
          <w:szCs w:val="24"/>
        </w:rPr>
        <w:t xml:space="preserve"> de una búsqueda al Programa Anual de Obra Pública de 2025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advierte que dicho documento se generó el veinticuatro de febrero de dos mil veinticinco, como se advierte en la siguiente imagen:</w:t>
      </w:r>
    </w:p>
    <w:p w14:paraId="29CA17A0"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5AEFDBBF" wp14:editId="3ECE211A">
            <wp:extent cx="5661886" cy="1382857"/>
            <wp:effectExtent l="0" t="0" r="0" b="0"/>
            <wp:docPr id="1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61886" cy="1382857"/>
                    </a:xfrm>
                    <a:prstGeom prst="rect">
                      <a:avLst/>
                    </a:prstGeom>
                    <a:ln/>
                  </pic:spPr>
                </pic:pic>
              </a:graphicData>
            </a:graphic>
          </wp:inline>
        </w:drawing>
      </w:r>
    </w:p>
    <w:p w14:paraId="48F92BBF"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orden de i</w:t>
      </w:r>
      <w:r>
        <w:rPr>
          <w:rFonts w:ascii="Palatino Linotype" w:eastAsia="Palatino Linotype" w:hAnsi="Palatino Linotype" w:cs="Palatino Linotype"/>
          <w:sz w:val="24"/>
          <w:szCs w:val="24"/>
        </w:rPr>
        <w:t xml:space="preserve">deas, se colige que a la fecha de la solicitud de información; es decir, al diecisiete de febrero de dos mil veinticinco,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se encontraba en término para la aprobación del Programa Anual de Obra, por tal motivo, al informar que lo requerido aún se encuentra en proceso de integración, se </w:t>
      </w:r>
      <w:r>
        <w:rPr>
          <w:rFonts w:ascii="Palatino Linotype" w:eastAsia="Palatino Linotype" w:hAnsi="Palatino Linotype" w:cs="Palatino Linotype"/>
          <w:sz w:val="24"/>
          <w:szCs w:val="24"/>
        </w:rPr>
        <w:lastRenderedPageBreak/>
        <w:t>colige que no existe ni ha existido registro de la información antes señalada y por ende</w:t>
      </w:r>
      <w:r>
        <w:t xml:space="preserve"> </w:t>
      </w:r>
      <w:r>
        <w:rPr>
          <w:rFonts w:ascii="Palatino Linotype" w:eastAsia="Palatino Linotype" w:hAnsi="Palatino Linotype" w:cs="Palatino Linotype"/>
          <w:sz w:val="24"/>
          <w:szCs w:val="24"/>
        </w:rPr>
        <w:t>no</w:t>
      </w:r>
      <w:r>
        <w:rPr>
          <w:rFonts w:ascii="Palatino Linotype" w:eastAsia="Palatino Linotype" w:hAnsi="Palatino Linotype" w:cs="Palatino Linotype"/>
          <w:sz w:val="24"/>
          <w:szCs w:val="24"/>
        </w:rPr>
        <w:t xml:space="preserve"> pueden existir los documentos requeridos por el particular.</w:t>
      </w:r>
    </w:p>
    <w:p w14:paraId="1A1007F8"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740E76CE"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en dicho Programa Anual de Obra Pública, respecto a los meses de enero y febrero, se advierte que no se programó gasto en relación a la obra pública, situación que se ejemplifica con la </w:t>
      </w:r>
      <w:r>
        <w:rPr>
          <w:rFonts w:ascii="Palatino Linotype" w:eastAsia="Palatino Linotype" w:hAnsi="Palatino Linotype" w:cs="Palatino Linotype"/>
          <w:sz w:val="24"/>
          <w:szCs w:val="24"/>
        </w:rPr>
        <w:t xml:space="preserve">siguiente imagen: </w:t>
      </w:r>
    </w:p>
    <w:p w14:paraId="69F0A223"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04D8BFCF" wp14:editId="0A43281E">
            <wp:extent cx="5612130" cy="4669155"/>
            <wp:effectExtent l="0" t="0" r="0" b="0"/>
            <wp:docPr id="1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612130" cy="4669155"/>
                    </a:xfrm>
                    <a:prstGeom prst="rect">
                      <a:avLst/>
                    </a:prstGeom>
                    <a:ln/>
                  </pic:spPr>
                </pic:pic>
              </a:graphicData>
            </a:graphic>
          </wp:inline>
        </w:drawing>
      </w:r>
    </w:p>
    <w:p w14:paraId="4F8908BB" w14:textId="77777777" w:rsidR="00197F55" w:rsidRDefault="00197F55">
      <w:pPr>
        <w:spacing w:after="0" w:line="360" w:lineRule="auto"/>
        <w:ind w:right="51"/>
        <w:jc w:val="both"/>
        <w:rPr>
          <w:rFonts w:ascii="Palatino Linotype" w:eastAsia="Palatino Linotype" w:hAnsi="Palatino Linotype" w:cs="Palatino Linotype"/>
          <w:sz w:val="28"/>
          <w:szCs w:val="28"/>
        </w:rPr>
      </w:pPr>
    </w:p>
    <w:p w14:paraId="5720DCFA" w14:textId="77777777" w:rsidR="00197F55" w:rsidRDefault="00505A0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este Organismo Garante no está facultado para pronunciarse sobre la veracidad de la información que los Sujetos Obligados ponen a disposición de los solicitantes; situación que se aleja de las atribuciones de este Insti</w:t>
      </w:r>
      <w:r>
        <w:rPr>
          <w:rFonts w:ascii="Palatino Linotype" w:eastAsia="Palatino Linotype" w:hAnsi="Palatino Linotype" w:cs="Palatino Linotype"/>
          <w:sz w:val="24"/>
          <w:szCs w:val="24"/>
        </w:rPr>
        <w:t>tuto máxime que al momento que ponen a disposición esta, la misma tiene el carácter oficial y se presume veraz, tan es así que la misma queda registrada en el Sistema de Acceso a la Información Mexiquense (SAIMEX).</w:t>
      </w:r>
    </w:p>
    <w:p w14:paraId="22CA4401" w14:textId="77777777" w:rsidR="00197F55" w:rsidRDefault="00197F55">
      <w:pPr>
        <w:spacing w:after="0" w:line="360" w:lineRule="auto"/>
        <w:jc w:val="both"/>
        <w:rPr>
          <w:rFonts w:ascii="Palatino Linotype" w:eastAsia="Palatino Linotype" w:hAnsi="Palatino Linotype" w:cs="Palatino Linotype"/>
          <w:sz w:val="24"/>
          <w:szCs w:val="24"/>
        </w:rPr>
      </w:pPr>
    </w:p>
    <w:p w14:paraId="449FA464" w14:textId="77777777" w:rsidR="00197F55" w:rsidRDefault="00505A0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Sirviendo de apoyo a lo anterior por ana</w:t>
      </w:r>
      <w:r>
        <w:rPr>
          <w:rFonts w:ascii="Palatino Linotype" w:eastAsia="Palatino Linotype" w:hAnsi="Palatino Linotype" w:cs="Palatino Linotype"/>
          <w:sz w:val="24"/>
          <w:szCs w:val="24"/>
        </w:rPr>
        <w:t>logía, el criterio orientador 31-10 emitido por el entonces Instituto Nacional de Transparencia, Acceso a la Información y Protección de Datos Personales, que a la letra dice:</w:t>
      </w:r>
    </w:p>
    <w:p w14:paraId="3B727BDA" w14:textId="77777777" w:rsidR="00197F55" w:rsidRDefault="00197F5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20626C6" w14:textId="77777777" w:rsidR="00197F55" w:rsidRDefault="00505A0B">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w:t>
      </w:r>
      <w:r>
        <w:rPr>
          <w:rFonts w:ascii="Palatino Linotype" w:eastAsia="Palatino Linotype" w:hAnsi="Palatino Linotype" w:cs="Palatino Linotype"/>
          <w:i/>
        </w:rPr>
        <w:t>ón de Datos es un órgano de la Administración Pública Federal con autonomía operativa, presupuestaria y de decisión, encargado de promover y difundir el ejercicio del derecho de acceso a la información; resolver sobre la negativa de las solicitudes de acce</w:t>
      </w:r>
      <w:r>
        <w:rPr>
          <w:rFonts w:ascii="Palatino Linotype" w:eastAsia="Palatino Linotype" w:hAnsi="Palatino Linotype" w:cs="Palatino Linotype"/>
          <w:i/>
        </w:rPr>
        <w:t>so a la información; y proteger los datos personales en poder de las dependencias y entidades. Sin embargo, no está facultado para pronunciarse sobre la veracidad de la información proporcionada por las autoridades en respuesta a las solicitudes de informa</w:t>
      </w:r>
      <w:r>
        <w:rPr>
          <w:rFonts w:ascii="Palatino Linotype" w:eastAsia="Palatino Linotype" w:hAnsi="Palatino Linotype" w:cs="Palatino Linotype"/>
          <w:i/>
        </w:rPr>
        <w:t>ción que les presentan los particulares, en virtud de que en los artículos 49 y 50 de la Ley Federal de Transparencia y Acceso a la Información Pública Gubernamental no se prevé una causal que permita al Instituto Federal de Acceso a la Información y Prote</w:t>
      </w:r>
      <w:r>
        <w:rPr>
          <w:rFonts w:ascii="Palatino Linotype" w:eastAsia="Palatino Linotype" w:hAnsi="Palatino Linotype" w:cs="Palatino Linotype"/>
          <w:i/>
        </w:rPr>
        <w:t>cción de Datos conocer, vía recurso revisión, al respecto.</w:t>
      </w:r>
    </w:p>
    <w:p w14:paraId="310A45D5" w14:textId="77777777" w:rsidR="00197F55" w:rsidRDefault="00197F55">
      <w:pPr>
        <w:spacing w:after="0" w:line="360" w:lineRule="auto"/>
        <w:jc w:val="both"/>
        <w:rPr>
          <w:rFonts w:ascii="Palatino Linotype" w:eastAsia="Palatino Linotype" w:hAnsi="Palatino Linotype" w:cs="Palatino Linotype"/>
          <w:sz w:val="24"/>
          <w:szCs w:val="24"/>
        </w:rPr>
      </w:pPr>
    </w:p>
    <w:p w14:paraId="7225D64A" w14:textId="77777777" w:rsidR="00197F55" w:rsidRDefault="00505A0B">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anterior, lo procedente es </w:t>
      </w:r>
      <w:r>
        <w:rPr>
          <w:rFonts w:ascii="Palatino Linotype" w:eastAsia="Palatino Linotype" w:hAnsi="Palatino Linotype" w:cs="Palatino Linotype"/>
          <w:b/>
          <w:sz w:val="24"/>
          <w:szCs w:val="24"/>
        </w:rPr>
        <w:t xml:space="preserve">CONFIRMAR </w:t>
      </w:r>
      <w:r>
        <w:rPr>
          <w:rFonts w:ascii="Palatino Linotype" w:eastAsia="Palatino Linotype" w:hAnsi="Palatino Linotype" w:cs="Palatino Linotype"/>
          <w:sz w:val="24"/>
          <w:szCs w:val="24"/>
        </w:rPr>
        <w:t xml:space="preserve">la respuesta brindada al requerimiento de información de la solicitud de información </w:t>
      </w:r>
      <w:r>
        <w:rPr>
          <w:rFonts w:ascii="Palatino Linotype" w:eastAsia="Palatino Linotype" w:hAnsi="Palatino Linotype" w:cs="Palatino Linotype"/>
          <w:b/>
          <w:sz w:val="24"/>
          <w:szCs w:val="24"/>
        </w:rPr>
        <w:t>00157/ATLACOM/IP/2025</w:t>
      </w:r>
      <w:r>
        <w:rPr>
          <w:rFonts w:ascii="Palatino Linotype" w:eastAsia="Palatino Linotype" w:hAnsi="Palatino Linotype" w:cs="Palatino Linotype"/>
          <w:sz w:val="24"/>
          <w:szCs w:val="24"/>
        </w:rPr>
        <w:t>.</w:t>
      </w:r>
    </w:p>
    <w:p w14:paraId="309AD3E3" w14:textId="77777777" w:rsidR="00197F55" w:rsidRDefault="00197F55">
      <w:pPr>
        <w:spacing w:after="0" w:line="360" w:lineRule="auto"/>
        <w:ind w:right="49"/>
        <w:jc w:val="both"/>
        <w:rPr>
          <w:rFonts w:ascii="Palatino Linotype" w:eastAsia="Palatino Linotype" w:hAnsi="Palatino Linotype" w:cs="Palatino Linotype"/>
          <w:sz w:val="24"/>
          <w:szCs w:val="24"/>
        </w:rPr>
      </w:pPr>
    </w:p>
    <w:p w14:paraId="3EBF80CF"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w:t>
      </w:r>
      <w:r>
        <w:rPr>
          <w:rFonts w:ascii="Palatino Linotype" w:eastAsia="Palatino Linotype" w:hAnsi="Palatino Linotype" w:cs="Palatino Linotype"/>
          <w:sz w:val="24"/>
          <w:szCs w:val="24"/>
        </w:rPr>
        <w:t>artículos 5 párrafos trigésimo séptimo, trigésimo octavo y trigésimo noveno de la Constitución Política del Estado Libre y</w:t>
      </w:r>
    </w:p>
    <w:p w14:paraId="53BD5AC4" w14:textId="77777777" w:rsidR="00197F55" w:rsidRDefault="00505A0B">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Soberano de México; 2, fracción II; 29, 36 fracciones I y II; 176, 178, 181, 185 y 186 fracción II de la Ley de Transparencia y Acces</w:t>
      </w:r>
      <w:r>
        <w:rPr>
          <w:rFonts w:ascii="Palatino Linotype" w:eastAsia="Palatino Linotype" w:hAnsi="Palatino Linotype" w:cs="Palatino Linotype"/>
          <w:sz w:val="24"/>
          <w:szCs w:val="24"/>
        </w:rPr>
        <w:t>o a la Información Pública del Estado de México y Municipios, este Pleno:</w:t>
      </w:r>
    </w:p>
    <w:p w14:paraId="224FFBAE" w14:textId="77777777" w:rsidR="00197F55" w:rsidRDefault="00197F55">
      <w:pPr>
        <w:spacing w:after="0" w:line="360" w:lineRule="auto"/>
        <w:jc w:val="both"/>
        <w:rPr>
          <w:rFonts w:ascii="Palatino Linotype" w:eastAsia="Palatino Linotype" w:hAnsi="Palatino Linotype" w:cs="Palatino Linotype"/>
          <w:sz w:val="24"/>
          <w:szCs w:val="24"/>
        </w:rPr>
      </w:pPr>
    </w:p>
    <w:p w14:paraId="7176F9F4" w14:textId="77777777" w:rsidR="00197F55" w:rsidRDefault="00505A0B">
      <w:pPr>
        <w:spacing w:after="0" w:line="360" w:lineRule="auto"/>
        <w:ind w:right="-93"/>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 E S U E L V E:</w:t>
      </w:r>
    </w:p>
    <w:p w14:paraId="7C600B3C" w14:textId="77777777" w:rsidR="00197F55" w:rsidRDefault="00197F55">
      <w:pPr>
        <w:spacing w:after="0" w:line="360" w:lineRule="auto"/>
        <w:ind w:right="-93"/>
        <w:jc w:val="center"/>
        <w:rPr>
          <w:rFonts w:ascii="Palatino Linotype" w:eastAsia="Palatino Linotype" w:hAnsi="Palatino Linotype" w:cs="Palatino Linotype"/>
          <w:b/>
          <w:sz w:val="24"/>
          <w:szCs w:val="24"/>
        </w:rPr>
      </w:pPr>
    </w:p>
    <w:p w14:paraId="0B9BF7E8" w14:textId="77777777" w:rsidR="00197F55" w:rsidRDefault="00505A0B">
      <w:pPr>
        <w:spacing w:after="0" w:line="360" w:lineRule="auto"/>
        <w:ind w:right="51"/>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infundados los motivos de inconformidad aducidos por </w:t>
      </w:r>
      <w:r>
        <w:rPr>
          <w:rFonts w:ascii="Palatino Linotype" w:eastAsia="Palatino Linotype" w:hAnsi="Palatino Linotype" w:cs="Palatino Linotype"/>
          <w:b/>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03089/INFOEM/IP/RR/2025 </w:t>
      </w:r>
      <w:r>
        <w:rPr>
          <w:rFonts w:ascii="Palatino Linotype" w:eastAsia="Palatino Linotype" w:hAnsi="Palatino Linotype" w:cs="Palatino Linotype"/>
          <w:sz w:val="24"/>
          <w:szCs w:val="24"/>
        </w:rPr>
        <w:t xml:space="preserve">por lo que, en términos del </w:t>
      </w:r>
      <w:r>
        <w:rPr>
          <w:rFonts w:ascii="Palatino Linotype" w:eastAsia="Palatino Linotype" w:hAnsi="Palatino Linotype" w:cs="Palatino Linotype"/>
          <w:sz w:val="24"/>
          <w:szCs w:val="24"/>
        </w:rPr>
        <w:t xml:space="preserve">Considerando Cuarto de esta resolución, se </w:t>
      </w:r>
      <w:r>
        <w:rPr>
          <w:rFonts w:ascii="Palatino Linotype" w:eastAsia="Palatino Linotype" w:hAnsi="Palatino Linotype" w:cs="Palatino Linotype"/>
          <w:b/>
          <w:sz w:val="24"/>
          <w:szCs w:val="24"/>
        </w:rPr>
        <w:t>CONFIRMA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p>
    <w:p w14:paraId="7982438A" w14:textId="77777777" w:rsidR="00197F55" w:rsidRDefault="00197F55">
      <w:pPr>
        <w:spacing w:after="0" w:line="360" w:lineRule="auto"/>
        <w:ind w:right="51"/>
        <w:jc w:val="both"/>
        <w:rPr>
          <w:rFonts w:ascii="Palatino Linotype" w:eastAsia="Palatino Linotype" w:hAnsi="Palatino Linotype" w:cs="Palatino Linotype"/>
          <w:b/>
          <w:sz w:val="24"/>
          <w:szCs w:val="24"/>
        </w:rPr>
      </w:pPr>
    </w:p>
    <w:p w14:paraId="1565F12F"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14:paraId="02E248DB" w14:textId="77777777" w:rsidR="00197F55" w:rsidRDefault="00197F55">
      <w:pPr>
        <w:spacing w:after="0" w:line="360" w:lineRule="auto"/>
        <w:ind w:right="51"/>
        <w:jc w:val="both"/>
        <w:rPr>
          <w:rFonts w:ascii="Palatino Linotype" w:eastAsia="Palatino Linotype" w:hAnsi="Palatino Linotype" w:cs="Palatino Linotype"/>
          <w:sz w:val="24"/>
          <w:szCs w:val="24"/>
        </w:rPr>
      </w:pPr>
    </w:p>
    <w:p w14:paraId="3E11B68D" w14:textId="77777777" w:rsidR="00197F55" w:rsidRDefault="00505A0B">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 vía SAIM</w:t>
      </w:r>
      <w:r>
        <w:rPr>
          <w:rFonts w:ascii="Palatino Linotype" w:eastAsia="Palatino Linotype" w:hAnsi="Palatino Linotype" w:cs="Palatino Linotype"/>
          <w:b/>
          <w:sz w:val="24"/>
          <w:szCs w:val="24"/>
        </w:rPr>
        <w:t xml:space="preserve">EX </w:t>
      </w:r>
      <w:r>
        <w:rPr>
          <w:rFonts w:ascii="Palatino Linotype" w:eastAsia="Palatino Linotype" w:hAnsi="Palatino Linotype" w:cs="Palatino Linotype"/>
          <w:sz w:val="24"/>
          <w:szCs w:val="24"/>
        </w:rPr>
        <w:t>a</w:t>
      </w:r>
      <w:r>
        <w:rPr>
          <w:rFonts w:ascii="Palatino Linotype" w:eastAsia="Palatino Linotype" w:hAnsi="Palatino Linotype" w:cs="Palatino Linotype"/>
          <w:b/>
          <w:sz w:val="24"/>
          <w:szCs w:val="24"/>
        </w:rPr>
        <w:t xml:space="preserve"> LA PARTE RECURRENTE</w:t>
      </w:r>
      <w:r>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Pr>
          <w:rFonts w:ascii="Palatino Linotype" w:eastAsia="Palatino Linotype" w:hAnsi="Palatino Linotype" w:cs="Palatino Linotype"/>
          <w:sz w:val="24"/>
          <w:szCs w:val="24"/>
        </w:rPr>
        <w:lastRenderedPageBreak/>
        <w:t>Municipios, podrá impugnarla vía Juicio de Amparo en los términos de las leyes apl</w:t>
      </w:r>
      <w:r>
        <w:rPr>
          <w:rFonts w:ascii="Palatino Linotype" w:eastAsia="Palatino Linotype" w:hAnsi="Palatino Linotype" w:cs="Palatino Linotype"/>
          <w:sz w:val="24"/>
          <w:szCs w:val="24"/>
        </w:rPr>
        <w:t>icables.</w:t>
      </w:r>
    </w:p>
    <w:p w14:paraId="48951385" w14:textId="77777777" w:rsidR="00197F55" w:rsidRDefault="00197F55">
      <w:pPr>
        <w:spacing w:after="0" w:line="360" w:lineRule="auto"/>
        <w:ind w:right="51"/>
        <w:jc w:val="both"/>
        <w:rPr>
          <w:rFonts w:ascii="Palatino Linotype" w:eastAsia="Palatino Linotype" w:hAnsi="Palatino Linotype" w:cs="Palatino Linotype"/>
          <w:sz w:val="28"/>
          <w:szCs w:val="28"/>
        </w:rPr>
      </w:pPr>
    </w:p>
    <w:p w14:paraId="1A1AAD0F" w14:textId="77777777" w:rsidR="00197F55" w:rsidRDefault="00505A0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bookmarkStart w:id="1" w:name="_heading=h.1f2voa61v720" w:colFirst="0" w:colLast="0"/>
      <w:bookmarkEnd w:id="1"/>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sz w:val="24"/>
          <w:szCs w:val="24"/>
        </w:rPr>
        <w:t>MEJÍA AYALA, SHARON CRISTINA MORALES MARTÍNEZ, LUIS GUSTAVO PARRA NORIEGA Y GUADALUPE RAMÍREZ PEÑA; EN LA VIGÉSIMA SESIÓN ORDINARIA CELEBRADA EL CUATRO DE JUNIO DE DOS MIL VEINTICINCO, ANTE EL SECRETARIO TÉCNICO DEL PLENO ALEXIS TAPIA RAMÍREZ.</w:t>
      </w:r>
    </w:p>
    <w:p w14:paraId="0C6DE6D4"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6F3D0657"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132921B5"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2BFED806"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6AB22BA7"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50419ED4"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0076F9D8"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6F5B8A3D"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25D33DE6"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33FA699C"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28B26356"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5E998FAA"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44295A27"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01746B81"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6A4CE577"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230BE984" w14:textId="77777777" w:rsidR="00197F55" w:rsidRDefault="00197F55">
      <w:pPr>
        <w:spacing w:after="240" w:line="360" w:lineRule="auto"/>
        <w:ind w:right="51"/>
        <w:jc w:val="both"/>
        <w:rPr>
          <w:rFonts w:ascii="Palatino Linotype" w:eastAsia="Palatino Linotype" w:hAnsi="Palatino Linotype" w:cs="Palatino Linotype"/>
          <w:sz w:val="28"/>
          <w:szCs w:val="28"/>
        </w:rPr>
      </w:pPr>
    </w:p>
    <w:p w14:paraId="1B0A1F62" w14:textId="77777777" w:rsidR="00197F55" w:rsidRDefault="00197F55">
      <w:pPr>
        <w:spacing w:after="240" w:line="360" w:lineRule="auto"/>
        <w:ind w:right="51"/>
        <w:jc w:val="both"/>
        <w:rPr>
          <w:rFonts w:ascii="Palatino Linotype" w:eastAsia="Palatino Linotype" w:hAnsi="Palatino Linotype" w:cs="Palatino Linotype"/>
          <w:sz w:val="28"/>
          <w:szCs w:val="28"/>
        </w:rPr>
      </w:pPr>
    </w:p>
    <w:sectPr w:rsidR="00197F55">
      <w:headerReference w:type="default" r:id="rId18"/>
      <w:footerReference w:type="default" r:id="rId1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AC260" w14:textId="77777777" w:rsidR="00000000" w:rsidRDefault="00505A0B">
      <w:pPr>
        <w:spacing w:after="0" w:line="240" w:lineRule="auto"/>
      </w:pPr>
      <w:r>
        <w:separator/>
      </w:r>
    </w:p>
  </w:endnote>
  <w:endnote w:type="continuationSeparator" w:id="0">
    <w:p w14:paraId="253E973D" w14:textId="77777777" w:rsidR="00000000" w:rsidRDefault="0050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8FED" w14:textId="77777777" w:rsidR="00197F55" w:rsidRDefault="00505A0B">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03032781" w14:textId="77777777" w:rsidR="00197F55" w:rsidRDefault="00197F5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B80D" w14:textId="77777777" w:rsidR="00000000" w:rsidRDefault="00505A0B">
      <w:pPr>
        <w:spacing w:after="0" w:line="240" w:lineRule="auto"/>
      </w:pPr>
      <w:r>
        <w:separator/>
      </w:r>
    </w:p>
  </w:footnote>
  <w:footnote w:type="continuationSeparator" w:id="0">
    <w:p w14:paraId="062EEFA4" w14:textId="77777777" w:rsidR="00000000" w:rsidRDefault="00505A0B">
      <w:pPr>
        <w:spacing w:after="0" w:line="240" w:lineRule="auto"/>
      </w:pPr>
      <w:r>
        <w:continuationSeparator/>
      </w:r>
    </w:p>
  </w:footnote>
  <w:footnote w:id="1">
    <w:p w14:paraId="6388AF5D" w14:textId="77777777" w:rsidR="00197F55" w:rsidRDefault="00505A0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color w:val="000000"/>
          <w:sz w:val="20"/>
          <w:szCs w:val="20"/>
        </w:rPr>
        <w:t xml:space="preserve"> (…)</w:t>
      </w:r>
    </w:p>
  </w:footnote>
  <w:footnote w:id="2">
    <w:p w14:paraId="0DBC80D1" w14:textId="77777777" w:rsidR="00197F55" w:rsidRDefault="00505A0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w:t>
      </w:r>
      <w:r>
        <w:rPr>
          <w:rFonts w:ascii="Palatino Linotype" w:eastAsia="Palatino Linotype" w:hAnsi="Palatino Linotype" w:cs="Palatino Linotype"/>
          <w:color w:val="000000"/>
          <w:sz w:val="16"/>
          <w:szCs w:val="16"/>
        </w:rPr>
        <w:t>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ACE1" w14:textId="77777777" w:rsidR="00197F55" w:rsidRDefault="00197F55">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2"/>
      <w:tblW w:w="10273" w:type="dxa"/>
      <w:tblInd w:w="-1281" w:type="dxa"/>
      <w:tblLayout w:type="fixed"/>
      <w:tblLook w:val="0400" w:firstRow="0" w:lastRow="0" w:firstColumn="0" w:lastColumn="0" w:noHBand="0" w:noVBand="1"/>
    </w:tblPr>
    <w:tblGrid>
      <w:gridCol w:w="5716"/>
      <w:gridCol w:w="4557"/>
    </w:tblGrid>
    <w:tr w:rsidR="00197F55" w14:paraId="08B4E9C5" w14:textId="77777777">
      <w:trPr>
        <w:trHeight w:val="246"/>
      </w:trPr>
      <w:tc>
        <w:tcPr>
          <w:tcW w:w="5716" w:type="dxa"/>
        </w:tcPr>
        <w:p w14:paraId="409C1346" w14:textId="77777777" w:rsidR="00197F55" w:rsidRDefault="00505A0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3E9C2E9C" w14:textId="77777777" w:rsidR="00197F55" w:rsidRDefault="00505A0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03089/INFOEM/IP/RR/2025.</w:t>
          </w:r>
        </w:p>
      </w:tc>
    </w:tr>
    <w:tr w:rsidR="00197F55" w14:paraId="14C113EA" w14:textId="77777777">
      <w:trPr>
        <w:trHeight w:val="212"/>
      </w:trPr>
      <w:tc>
        <w:tcPr>
          <w:tcW w:w="5716" w:type="dxa"/>
        </w:tcPr>
        <w:p w14:paraId="1F78EEE7" w14:textId="77777777" w:rsidR="00197F55" w:rsidRDefault="00505A0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7D71E091" w14:textId="77777777" w:rsidR="00197F55" w:rsidRDefault="00197F55">
          <w:pPr>
            <w:spacing w:after="120"/>
            <w:ind w:left="-486" w:right="214" w:firstLine="567"/>
            <w:jc w:val="right"/>
            <w:rPr>
              <w:rFonts w:ascii="Palatino Linotype" w:eastAsia="Palatino Linotype" w:hAnsi="Palatino Linotype" w:cs="Palatino Linotype"/>
              <w:sz w:val="24"/>
              <w:szCs w:val="24"/>
            </w:rPr>
          </w:pPr>
        </w:p>
      </w:tc>
    </w:tr>
    <w:tr w:rsidR="00197F55" w14:paraId="78393AEA" w14:textId="77777777">
      <w:trPr>
        <w:trHeight w:val="264"/>
      </w:trPr>
      <w:tc>
        <w:tcPr>
          <w:tcW w:w="5716" w:type="dxa"/>
        </w:tcPr>
        <w:p w14:paraId="4E25A796" w14:textId="77777777" w:rsidR="00197F55" w:rsidRDefault="00505A0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59B0C72" w14:textId="77777777" w:rsidR="00197F55" w:rsidRDefault="00505A0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Atlacomulco.</w:t>
          </w:r>
        </w:p>
      </w:tc>
    </w:tr>
    <w:tr w:rsidR="00197F55" w14:paraId="35AD2FAB" w14:textId="77777777">
      <w:trPr>
        <w:trHeight w:val="373"/>
      </w:trPr>
      <w:tc>
        <w:tcPr>
          <w:tcW w:w="5716" w:type="dxa"/>
        </w:tcPr>
        <w:p w14:paraId="46962A7A" w14:textId="77777777" w:rsidR="00197F55" w:rsidRDefault="00505A0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09E873BF" w14:textId="77777777" w:rsidR="00197F55" w:rsidRDefault="00505A0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00A7F53" w14:textId="77777777" w:rsidR="00197F55" w:rsidRDefault="00505A0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2702729" wp14:editId="339B2FE2">
          <wp:simplePos x="0" y="0"/>
          <wp:positionH relativeFrom="column">
            <wp:posOffset>-1080132</wp:posOffset>
          </wp:positionH>
          <wp:positionV relativeFrom="paragraph">
            <wp:posOffset>-1359533</wp:posOffset>
          </wp:positionV>
          <wp:extent cx="7353300" cy="8658225"/>
          <wp:effectExtent l="0" t="0" r="0" b="0"/>
          <wp:wrapNone/>
          <wp:docPr id="17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811D7"/>
    <w:multiLevelType w:val="multilevel"/>
    <w:tmpl w:val="314C9B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B11242"/>
    <w:multiLevelType w:val="multilevel"/>
    <w:tmpl w:val="286881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55"/>
    <w:rsid w:val="00197F55"/>
    <w:rsid w:val="00505A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5CA9"/>
  <w15:docId w15:val="{0274EDF2-9AD4-4F04-A7A8-D8596DF2E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D2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00D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0D20"/>
  </w:style>
  <w:style w:type="paragraph" w:styleId="Piedepgina">
    <w:name w:val="footer"/>
    <w:basedOn w:val="Normal"/>
    <w:link w:val="PiedepginaCar"/>
    <w:uiPriority w:val="99"/>
    <w:unhideWhenUsed/>
    <w:rsid w:val="00600D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0D2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0n8jDi/k8lix9avua4PBlrztw==">CgMxLjAyDmguZmJqYTI3NHdpbGxpMg5oLjFmMnZvYTYxdjcyMDgAciExMDNPQ25ycW1tZFlidk5nZ05oZXVPNW9KZHFHZy1xek0=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7360</Words>
  <Characters>40485</Characters>
  <Application>Microsoft Office Word</Application>
  <DocSecurity>0</DocSecurity>
  <Lines>337</Lines>
  <Paragraphs>95</Paragraphs>
  <ScaleCrop>false</ScaleCrop>
  <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dcterms:created xsi:type="dcterms:W3CDTF">2025-06-27T03:45:00Z</dcterms:created>
  <dcterms:modified xsi:type="dcterms:W3CDTF">2025-06-27T03:45:00Z</dcterms:modified>
</cp:coreProperties>
</file>