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282" w:rsidRPr="006F331B" w:rsidRDefault="00265282">
      <w:pPr>
        <w:widowControl w:val="0"/>
        <w:pBdr>
          <w:top w:val="nil"/>
          <w:left w:val="nil"/>
          <w:bottom w:val="nil"/>
          <w:right w:val="nil"/>
          <w:between w:val="nil"/>
        </w:pBdr>
        <w:spacing w:line="276" w:lineRule="auto"/>
        <w:rPr>
          <w:rFonts w:ascii="Palatino Linotype" w:hAnsi="Palatino Linotype"/>
        </w:rPr>
      </w:pPr>
    </w:p>
    <w:p w:rsidR="00265282" w:rsidRPr="00D013DC" w:rsidRDefault="004154F8">
      <w:pPr>
        <w:tabs>
          <w:tab w:val="left" w:pos="3465"/>
        </w:tabs>
        <w:spacing w:line="360" w:lineRule="auto"/>
        <w:ind w:right="-787"/>
        <w:jc w:val="both"/>
        <w:rPr>
          <w:rFonts w:ascii="Palatino Linotype" w:eastAsia="Palatino Linotype" w:hAnsi="Palatino Linotype" w:cs="Palatino Linotype"/>
        </w:rPr>
      </w:pPr>
      <w:r w:rsidRPr="00D013D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1F5A60" w:rsidRPr="00D013DC">
        <w:rPr>
          <w:rFonts w:ascii="Palatino Linotype" w:eastAsia="Palatino Linotype" w:hAnsi="Palatino Linotype" w:cs="Palatino Linotype"/>
        </w:rPr>
        <w:t>veinte (20)</w:t>
      </w:r>
      <w:r w:rsidRPr="00D013DC">
        <w:rPr>
          <w:rFonts w:ascii="Palatino Linotype" w:eastAsia="Palatino Linotype" w:hAnsi="Palatino Linotype" w:cs="Palatino Linotype"/>
        </w:rPr>
        <w:t xml:space="preserve"> de marzo de dos mil veinticinco.</w:t>
      </w:r>
    </w:p>
    <w:p w:rsidR="00265282" w:rsidRPr="00D013DC" w:rsidRDefault="00265282">
      <w:pPr>
        <w:tabs>
          <w:tab w:val="left" w:pos="3465"/>
        </w:tabs>
        <w:spacing w:line="360" w:lineRule="auto"/>
        <w:ind w:right="-787"/>
        <w:jc w:val="both"/>
        <w:rPr>
          <w:rFonts w:ascii="Palatino Linotype" w:eastAsia="Palatino Linotype" w:hAnsi="Palatino Linotype" w:cs="Palatino Linotype"/>
        </w:rPr>
      </w:pPr>
    </w:p>
    <w:p w:rsidR="00265282" w:rsidRPr="00D013DC" w:rsidRDefault="004154F8">
      <w:pPr>
        <w:spacing w:line="360" w:lineRule="auto"/>
        <w:ind w:right="-787"/>
        <w:jc w:val="both"/>
        <w:rPr>
          <w:rFonts w:ascii="Palatino Linotype" w:eastAsia="Palatino Linotype" w:hAnsi="Palatino Linotype" w:cs="Palatino Linotype"/>
        </w:rPr>
      </w:pPr>
      <w:r w:rsidRPr="00D013DC">
        <w:rPr>
          <w:rFonts w:ascii="Palatino Linotype" w:eastAsia="Palatino Linotype" w:hAnsi="Palatino Linotype" w:cs="Palatino Linotype"/>
          <w:b/>
        </w:rPr>
        <w:t xml:space="preserve">VISTAS </w:t>
      </w:r>
      <w:r w:rsidRPr="00D013DC">
        <w:rPr>
          <w:rFonts w:ascii="Palatino Linotype" w:eastAsia="Palatino Linotype" w:hAnsi="Palatino Linotype" w:cs="Palatino Linotype"/>
        </w:rPr>
        <w:t xml:space="preserve">las constancias para resolver </w:t>
      </w:r>
      <w:r w:rsidRPr="00D013DC">
        <w:rPr>
          <w:rFonts w:ascii="Palatino Linotype" w:eastAsia="Palatino Linotype" w:hAnsi="Palatino Linotype" w:cs="Palatino Linotype"/>
          <w:color w:val="000000"/>
        </w:rPr>
        <w:t xml:space="preserve">el Recurso de Revisión </w:t>
      </w:r>
      <w:r w:rsidR="001F5A60" w:rsidRPr="00D013DC">
        <w:rPr>
          <w:rFonts w:ascii="Palatino Linotype" w:eastAsia="Palatino Linotype" w:hAnsi="Palatino Linotype" w:cs="Palatino Linotype"/>
          <w:b/>
          <w:color w:val="000000"/>
        </w:rPr>
        <w:t>05888</w:t>
      </w:r>
      <w:r w:rsidRPr="00D013DC">
        <w:rPr>
          <w:rFonts w:ascii="Palatino Linotype" w:eastAsia="Palatino Linotype" w:hAnsi="Palatino Linotype" w:cs="Palatino Linotype"/>
          <w:b/>
          <w:color w:val="000000"/>
        </w:rPr>
        <w:t>/INFOEM/IP/RR/2024</w:t>
      </w:r>
      <w:r w:rsidRPr="00D013DC">
        <w:rPr>
          <w:rFonts w:ascii="Palatino Linotype" w:eastAsia="Palatino Linotype" w:hAnsi="Palatino Linotype" w:cs="Palatino Linotype"/>
          <w:color w:val="000000"/>
        </w:rPr>
        <w:t xml:space="preserve">, promovido </w:t>
      </w:r>
      <w:r w:rsidRPr="00D013DC">
        <w:rPr>
          <w:rFonts w:ascii="Palatino Linotype" w:eastAsia="Palatino Linotype" w:hAnsi="Palatino Linotype" w:cs="Palatino Linotype"/>
        </w:rPr>
        <w:t xml:space="preserve">por </w:t>
      </w:r>
      <w:r w:rsidR="00276046">
        <w:rPr>
          <w:rFonts w:ascii="Palatino Linotype" w:eastAsia="Palatino Linotype" w:hAnsi="Palatino Linotype" w:cs="Palatino Linotype"/>
          <w:b/>
          <w:bCs/>
        </w:rPr>
        <w:t>XXXX</w:t>
      </w:r>
      <w:r w:rsidR="000D22C5" w:rsidRPr="00D013DC">
        <w:rPr>
          <w:rFonts w:ascii="Palatino Linotype" w:eastAsia="Palatino Linotype" w:hAnsi="Palatino Linotype" w:cs="Palatino Linotype"/>
        </w:rPr>
        <w:t xml:space="preserve">, </w:t>
      </w:r>
      <w:r w:rsidRPr="00D013DC">
        <w:rPr>
          <w:rFonts w:ascii="Palatino Linotype" w:eastAsia="Palatino Linotype" w:hAnsi="Palatino Linotype" w:cs="Palatino Linotype"/>
        </w:rPr>
        <w:t>a quien en lo sucesivo se denominará  el</w:t>
      </w:r>
      <w:r w:rsidRPr="00D013DC">
        <w:rPr>
          <w:rFonts w:ascii="Palatino Linotype" w:eastAsia="Palatino Linotype" w:hAnsi="Palatino Linotype" w:cs="Palatino Linotype"/>
          <w:b/>
        </w:rPr>
        <w:t xml:space="preserve"> RECURRENTE</w:t>
      </w:r>
      <w:r w:rsidRPr="00D013DC">
        <w:rPr>
          <w:rFonts w:ascii="Palatino Linotype" w:eastAsia="Palatino Linotype" w:hAnsi="Palatino Linotype" w:cs="Palatino Linotype"/>
        </w:rPr>
        <w:t xml:space="preserve">, en contra de la respuesta otorgada a la solicitud de información </w:t>
      </w:r>
      <w:r w:rsidR="00487CFC" w:rsidRPr="00D013DC">
        <w:rPr>
          <w:rFonts w:ascii="Palatino Linotype" w:eastAsia="Palatino Linotype" w:hAnsi="Palatino Linotype" w:cs="Palatino Linotype"/>
          <w:b/>
        </w:rPr>
        <w:t>00029/OASZINACAN/IP/2024</w:t>
      </w:r>
      <w:r w:rsidRPr="00D013DC">
        <w:rPr>
          <w:rFonts w:ascii="Palatino Linotype" w:eastAsia="Palatino Linotype" w:hAnsi="Palatino Linotype" w:cs="Palatino Linotype"/>
        </w:rPr>
        <w:t xml:space="preserve">, por parte del </w:t>
      </w:r>
      <w:r w:rsidR="00487CFC" w:rsidRPr="00D013DC">
        <w:rPr>
          <w:rFonts w:ascii="Palatino Linotype" w:eastAsia="Palatino Linotype" w:hAnsi="Palatino Linotype" w:cs="Palatino Linotype"/>
          <w:b/>
        </w:rPr>
        <w:t>Organismo Público Descent</w:t>
      </w:r>
      <w:r w:rsidR="006F331B" w:rsidRPr="00D013DC">
        <w:rPr>
          <w:rFonts w:ascii="Palatino Linotype" w:eastAsia="Palatino Linotype" w:hAnsi="Palatino Linotype" w:cs="Palatino Linotype"/>
          <w:b/>
        </w:rPr>
        <w:t>ralizado para la Prestación de l</w:t>
      </w:r>
      <w:r w:rsidR="00487CFC" w:rsidRPr="00D013DC">
        <w:rPr>
          <w:rFonts w:ascii="Palatino Linotype" w:eastAsia="Palatino Linotype" w:hAnsi="Palatino Linotype" w:cs="Palatino Linotype"/>
          <w:b/>
        </w:rPr>
        <w:t>os Servicios de Agua Potable Alcantarillado y Saneamiento de Zinacantepec</w:t>
      </w:r>
      <w:r w:rsidRPr="00D013DC">
        <w:rPr>
          <w:rFonts w:ascii="Palatino Linotype" w:eastAsia="Palatino Linotype" w:hAnsi="Palatino Linotype" w:cs="Palatino Linotype"/>
        </w:rPr>
        <w:t xml:space="preserve">, en adelante el </w:t>
      </w:r>
      <w:r w:rsidRPr="00D013DC">
        <w:rPr>
          <w:rFonts w:ascii="Palatino Linotype" w:eastAsia="Palatino Linotype" w:hAnsi="Palatino Linotype" w:cs="Palatino Linotype"/>
          <w:b/>
        </w:rPr>
        <w:t>SUJETO OBLIGADO,</w:t>
      </w:r>
      <w:r w:rsidRPr="00D013DC">
        <w:rPr>
          <w:rFonts w:ascii="Palatino Linotype" w:eastAsia="Palatino Linotype" w:hAnsi="Palatino Linotype" w:cs="Palatino Linotype"/>
        </w:rPr>
        <w:t xml:space="preserve"> se emite la presente resolución con base en los siguientes:</w:t>
      </w:r>
    </w:p>
    <w:p w:rsidR="00265282" w:rsidRPr="00D013DC" w:rsidRDefault="00265282">
      <w:pPr>
        <w:spacing w:line="360" w:lineRule="auto"/>
        <w:ind w:right="-787"/>
        <w:jc w:val="both"/>
        <w:rPr>
          <w:rFonts w:ascii="Palatino Linotype" w:eastAsia="Palatino Linotype" w:hAnsi="Palatino Linotype" w:cs="Palatino Linotype"/>
        </w:rPr>
      </w:pPr>
    </w:p>
    <w:p w:rsidR="00265282" w:rsidRPr="00D013DC" w:rsidRDefault="004154F8">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D013DC">
        <w:rPr>
          <w:rFonts w:ascii="Palatino Linotype" w:eastAsia="Palatino Linotype" w:hAnsi="Palatino Linotype" w:cs="Palatino Linotype"/>
          <w:b/>
          <w:color w:val="000000"/>
          <w:sz w:val="24"/>
          <w:szCs w:val="24"/>
        </w:rPr>
        <w:t>A N T E C E D E N T E S</w:t>
      </w:r>
    </w:p>
    <w:p w:rsidR="00265282" w:rsidRPr="00D013DC" w:rsidRDefault="00265282">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265282" w:rsidRPr="00D013DC" w:rsidRDefault="004154F8">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 xml:space="preserve">El </w:t>
      </w:r>
      <w:r w:rsidR="00487CFC" w:rsidRPr="00D013DC">
        <w:rPr>
          <w:rFonts w:ascii="Palatino Linotype" w:eastAsia="Palatino Linotype" w:hAnsi="Palatino Linotype" w:cs="Palatino Linotype"/>
          <w:b/>
          <w:color w:val="000000"/>
        </w:rPr>
        <w:t>diecinueve de agosto</w:t>
      </w:r>
      <w:r w:rsidRPr="00D013DC">
        <w:rPr>
          <w:rFonts w:ascii="Palatino Linotype" w:eastAsia="Palatino Linotype" w:hAnsi="Palatino Linotype" w:cs="Palatino Linotype"/>
          <w:b/>
          <w:color w:val="000000"/>
        </w:rPr>
        <w:t xml:space="preserve"> de dos mil veinticuatro</w:t>
      </w:r>
      <w:r w:rsidRPr="00D013DC">
        <w:rPr>
          <w:rFonts w:ascii="Palatino Linotype" w:eastAsia="Palatino Linotype" w:hAnsi="Palatino Linotype" w:cs="Palatino Linotype"/>
          <w:color w:val="000000"/>
        </w:rPr>
        <w:t>,</w:t>
      </w:r>
      <w:r w:rsidRPr="00D013DC">
        <w:rPr>
          <w:rFonts w:ascii="Palatino Linotype" w:eastAsia="Palatino Linotype" w:hAnsi="Palatino Linotype" w:cs="Palatino Linotype"/>
          <w:b/>
          <w:color w:val="000000"/>
        </w:rPr>
        <w:t xml:space="preserve"> </w:t>
      </w:r>
      <w:r w:rsidRPr="00D013DC">
        <w:rPr>
          <w:rFonts w:ascii="Palatino Linotype" w:eastAsia="Palatino Linotype" w:hAnsi="Palatino Linotype" w:cs="Palatino Linotype"/>
          <w:color w:val="000000"/>
        </w:rPr>
        <w:t>se presentó ante</w:t>
      </w:r>
      <w:r w:rsidR="000D22C5" w:rsidRPr="00D013DC">
        <w:rPr>
          <w:rFonts w:ascii="Palatino Linotype" w:eastAsia="Palatino Linotype" w:hAnsi="Palatino Linotype" w:cs="Palatino Linotype"/>
          <w:color w:val="000000"/>
        </w:rPr>
        <w:t xml:space="preserve"> el Sujeto Obligado a través del </w:t>
      </w:r>
      <w:r w:rsidRPr="00D013DC">
        <w:rPr>
          <w:rFonts w:ascii="Palatino Linotype" w:eastAsia="Palatino Linotype" w:hAnsi="Palatino Linotype" w:cs="Palatino Linotype"/>
          <w:color w:val="000000"/>
        </w:rPr>
        <w:t>Sistema de Acceso a la Información Mexiquense (SAIMEX), la siguiente solicitud de información pública:</w:t>
      </w:r>
    </w:p>
    <w:p w:rsidR="00265282" w:rsidRPr="00D013DC" w:rsidRDefault="00265282">
      <w:pPr>
        <w:pBdr>
          <w:top w:val="nil"/>
          <w:left w:val="nil"/>
          <w:bottom w:val="nil"/>
          <w:right w:val="nil"/>
          <w:between w:val="nil"/>
        </w:pBdr>
        <w:ind w:right="-787"/>
        <w:jc w:val="both"/>
        <w:rPr>
          <w:rFonts w:ascii="Palatino Linotype" w:eastAsia="Palatino Linotype" w:hAnsi="Palatino Linotype" w:cs="Palatino Linotype"/>
          <w:color w:val="000000"/>
        </w:rPr>
      </w:pPr>
    </w:p>
    <w:p w:rsidR="00265282" w:rsidRPr="00D013DC" w:rsidRDefault="004154F8" w:rsidP="006F331B">
      <w:pPr>
        <w:pBdr>
          <w:top w:val="nil"/>
          <w:left w:val="nil"/>
          <w:bottom w:val="nil"/>
          <w:right w:val="nil"/>
          <w:between w:val="nil"/>
        </w:pBdr>
        <w:ind w:left="567" w:right="-93"/>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w:t>
      </w:r>
      <w:r w:rsidR="00487CFC" w:rsidRPr="00D013DC">
        <w:rPr>
          <w:rFonts w:ascii="Palatino Linotype" w:eastAsia="Palatino Linotype" w:hAnsi="Palatino Linotype" w:cs="Palatino Linotype"/>
          <w:i/>
          <w:color w:val="000000"/>
        </w:rPr>
        <w:t xml:space="preserve">Buena tarde: Solicito respetuosamente la siguiente información: 1. El oficio No. OPDAPAS/DG/COO/DPC/107/2017 de fecha dieciséis de febrero de dos mil diecisiete, expedido por la Dirección General del Organismo Público Descentralizado para la Prestación de los Servicios de Agua Potable, Alcantarillado y Saneamiento del municipio de Zinacantepec, por el cual se emitió la factibilidad de dotación de los servicios de agua potable y drenaje para el desarrollo en comento. 2. Indique si la empresa “CASAS PROCSA”, S.A. de C.V. ejecutó y entregó las instalaciones y de las obras de </w:t>
      </w:r>
      <w:r w:rsidR="00487CFC" w:rsidRPr="00D013DC">
        <w:rPr>
          <w:rFonts w:ascii="Palatino Linotype" w:eastAsia="Palatino Linotype" w:hAnsi="Palatino Linotype" w:cs="Palatino Linotype"/>
          <w:i/>
          <w:color w:val="000000"/>
        </w:rPr>
        <w:lastRenderedPageBreak/>
        <w:t>infraestructura complementarias para la operación del desarrollo, tales como pozo profundo, tanque elevado de agua potable, cárcamo, pozos de absorción y demás que sean necesarias, así como de las obras de infraestructura primaria. 3. Solicito los oficios y/o documentos generados por la supervisión de las instalaciones y de las obras de infraestructura complementarias para la operación del desarrollo en comento, tales como pozo profundo, tanque elevado de agua potable, cárcamo, pozos de absorción y demás, por parte de esta autoridad. 4. En relación con el Decreto Número 187, del Poder Ejecutivo del Estado, publicado en el periódico oficial “Gaceta del Gobierno” del Estado de México el 21 de diciembre de 2016 y la cláusula novena del acuerdo publicado en “Gaceta de Gobierno” de fecha 14 de febrero de 2017, solicito copia de los pagos realizados por la empresa “CASAS PROCSA”, S.A. de C.V. al Municipio de Zinacantepec por el control para el establecimiento de los sistemas de agua potable y de alcantarillado, por las viviendas tipo medio previstas en el desarrollo. 5. En relación con el Decreto Número 187, del Poder Ejecutivo del Estado, publicado en el periódico oficial “Gaceta del Gobierno” del Estado de México el 21 de diciembre de 2016 y la cláusula novena del acuerdo publicado en “Gaceta de Gobierno” de fecha 14 de febrero de 2017, solicito copia de los pagos realizados por la empresa “CASAS PROCSA”, S.A. de C.V. por la conexión de la toma para el suministro de agua en bloque proporcionada por las autoridades correspondientes. 6. Los reportes, registros, seguimientos, evaluaciones y/o cualquier otro documento por virtud del cual, el H. Gobierno del Estado de México haya verificado, supervisado y auditado el cumplimiento a las disposiciones legales conducentes en referencia con el Conjunto Urbano antes indicado</w:t>
      </w:r>
      <w:r w:rsidR="000D22C5" w:rsidRPr="00D013DC">
        <w:rPr>
          <w:rFonts w:ascii="Palatino Linotype" w:eastAsia="Palatino Linotype" w:hAnsi="Palatino Linotype" w:cs="Palatino Linotype"/>
          <w:i/>
          <w:color w:val="000000"/>
        </w:rPr>
        <w:t xml:space="preserve">” </w:t>
      </w:r>
      <w:r w:rsidRPr="00D013DC">
        <w:rPr>
          <w:rFonts w:ascii="Palatino Linotype" w:eastAsia="Palatino Linotype" w:hAnsi="Palatino Linotype" w:cs="Palatino Linotype"/>
          <w:i/>
          <w:color w:val="000000"/>
        </w:rPr>
        <w:t>(Sic)</w:t>
      </w:r>
    </w:p>
    <w:p w:rsidR="00265282" w:rsidRPr="00D013DC" w:rsidRDefault="00265282">
      <w:pPr>
        <w:spacing w:line="360" w:lineRule="auto"/>
        <w:ind w:right="-787"/>
        <w:jc w:val="both"/>
        <w:rPr>
          <w:rFonts w:ascii="Palatino Linotype" w:eastAsia="Palatino Linotype" w:hAnsi="Palatino Linotype" w:cs="Palatino Linotype"/>
        </w:rPr>
      </w:pPr>
    </w:p>
    <w:p w:rsidR="00265282" w:rsidRPr="00D013DC" w:rsidRDefault="004154F8">
      <w:pPr>
        <w:numPr>
          <w:ilvl w:val="0"/>
          <w:numId w:val="5"/>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Se eligió como modalidad de entrega de la información: A través del </w:t>
      </w:r>
      <w:r w:rsidRPr="00D013DC">
        <w:rPr>
          <w:rFonts w:ascii="Palatino Linotype" w:eastAsia="Palatino Linotype" w:hAnsi="Palatino Linotype" w:cs="Palatino Linotype"/>
          <w:b/>
          <w:color w:val="000000"/>
        </w:rPr>
        <w:t>SAIMEX.</w:t>
      </w:r>
    </w:p>
    <w:p w:rsidR="00265282" w:rsidRPr="00D013DC" w:rsidRDefault="00265282">
      <w:p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El</w:t>
      </w:r>
      <w:r w:rsidRPr="00D013DC">
        <w:rPr>
          <w:rFonts w:ascii="Palatino Linotype" w:eastAsia="Palatino Linotype" w:hAnsi="Palatino Linotype" w:cs="Palatino Linotype"/>
          <w:b/>
          <w:color w:val="000000"/>
        </w:rPr>
        <w:t xml:space="preserve"> </w:t>
      </w:r>
      <w:r w:rsidR="00487CFC" w:rsidRPr="00D013DC">
        <w:rPr>
          <w:rFonts w:ascii="Palatino Linotype" w:eastAsia="Palatino Linotype" w:hAnsi="Palatino Linotype" w:cs="Palatino Linotype"/>
          <w:b/>
          <w:color w:val="000000"/>
        </w:rPr>
        <w:t>nueve de septiembre</w:t>
      </w:r>
      <w:r w:rsidRPr="00D013DC">
        <w:rPr>
          <w:rFonts w:ascii="Palatino Linotype" w:eastAsia="Palatino Linotype" w:hAnsi="Palatino Linotype" w:cs="Palatino Linotype"/>
          <w:b/>
          <w:color w:val="000000"/>
        </w:rPr>
        <w:t xml:space="preserve"> de dos mil veinticuatro</w:t>
      </w:r>
      <w:r w:rsidRPr="00D013DC">
        <w:rPr>
          <w:rFonts w:ascii="Palatino Linotype" w:eastAsia="Palatino Linotype" w:hAnsi="Palatino Linotype" w:cs="Palatino Linotype"/>
          <w:color w:val="000000"/>
        </w:rPr>
        <w:t>, el Sujeto Obligado</w:t>
      </w:r>
      <w:r w:rsidRPr="00D013DC">
        <w:rPr>
          <w:rFonts w:ascii="Palatino Linotype" w:eastAsia="Palatino Linotype" w:hAnsi="Palatino Linotype" w:cs="Palatino Linotype"/>
          <w:b/>
          <w:color w:val="000000"/>
        </w:rPr>
        <w:t>,</w:t>
      </w:r>
      <w:r w:rsidRPr="00D013DC">
        <w:rPr>
          <w:rFonts w:ascii="Palatino Linotype" w:eastAsia="Palatino Linotype" w:hAnsi="Palatino Linotype" w:cs="Palatino Linotype"/>
          <w:color w:val="000000"/>
        </w:rPr>
        <w:t xml:space="preserve"> dio respuesta </w:t>
      </w:r>
      <w:r w:rsidR="00487CFC" w:rsidRPr="00D013DC">
        <w:rPr>
          <w:rFonts w:ascii="Palatino Linotype" w:eastAsia="Palatino Linotype" w:hAnsi="Palatino Linotype" w:cs="Palatino Linotype"/>
          <w:color w:val="000000"/>
        </w:rPr>
        <w:t>a través de los archivos electrónicos siguientes</w:t>
      </w:r>
      <w:r w:rsidR="004C075F" w:rsidRPr="00D013DC">
        <w:rPr>
          <w:rFonts w:ascii="Palatino Linotype" w:eastAsia="Palatino Linotype" w:hAnsi="Palatino Linotype" w:cs="Palatino Linotype"/>
          <w:color w:val="000000"/>
        </w:rPr>
        <w:t>:</w:t>
      </w:r>
    </w:p>
    <w:p w:rsidR="00265282" w:rsidRPr="00D013DC" w:rsidRDefault="00265282" w:rsidP="007B5395">
      <w:pPr>
        <w:pBdr>
          <w:top w:val="nil"/>
          <w:left w:val="nil"/>
          <w:bottom w:val="nil"/>
          <w:right w:val="nil"/>
          <w:between w:val="nil"/>
        </w:pBdr>
        <w:tabs>
          <w:tab w:val="left" w:pos="567"/>
        </w:tabs>
        <w:ind w:right="-788"/>
        <w:jc w:val="both"/>
        <w:rPr>
          <w:rFonts w:ascii="Palatino Linotype" w:eastAsia="Palatino Linotype" w:hAnsi="Palatino Linotype" w:cs="Palatino Linotype"/>
          <w:b/>
          <w:i/>
          <w:color w:val="000000"/>
        </w:rPr>
      </w:pPr>
    </w:p>
    <w:p w:rsidR="007B5395" w:rsidRPr="00D013DC" w:rsidRDefault="007B5395"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b/>
          <w:i/>
          <w:color w:val="000000"/>
        </w:rPr>
      </w:pPr>
      <w:r w:rsidRPr="00D013DC">
        <w:rPr>
          <w:rFonts w:ascii="Palatino Linotype" w:eastAsia="Palatino Linotype" w:hAnsi="Palatino Linotype" w:cs="Palatino Linotype"/>
          <w:b/>
          <w:i/>
          <w:color w:val="000000"/>
        </w:rPr>
        <w:t>Acta (2).pdf</w:t>
      </w:r>
    </w:p>
    <w:p w:rsidR="007B5395" w:rsidRPr="00D013DC" w:rsidRDefault="007B5395"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Acta del Comité de Transparencia CT/OPDAPASZIN/014/2024 de la Décima Primer Sesión Extraordinaria del Comité de Transparencia, de </w:t>
      </w:r>
      <w:r w:rsidRPr="00D013DC">
        <w:rPr>
          <w:rFonts w:ascii="Palatino Linotype" w:eastAsia="Palatino Linotype" w:hAnsi="Palatino Linotype" w:cs="Palatino Linotype"/>
          <w:color w:val="000000"/>
        </w:rPr>
        <w:lastRenderedPageBreak/>
        <w:t>fecha 16 de julio de 2024, en la que se propone la clasificación de la información como reservada respecto de la solicitud de información ingresada de manera física ante el Sujeto Obligado por una ciudadana el 26 de junio de 2024.</w:t>
      </w:r>
    </w:p>
    <w:p w:rsidR="007B5395" w:rsidRPr="00D013DC" w:rsidRDefault="007B5395"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8B78F8" w:rsidRPr="00D013DC" w:rsidRDefault="008B78F8" w:rsidP="008B78F8">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El Presidente del Comité de Transparencia presentó la propuesta de clasificación de la información y la prueba de daño en relación a los requerimientos del solicitante., ya que señala actualizan los supuestos de reserva establecidos en la Ley de la materia.</w:t>
      </w:r>
    </w:p>
    <w:p w:rsidR="008B78F8" w:rsidRPr="00D013DC" w:rsidRDefault="008B78F8" w:rsidP="008B78F8">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8B78F8" w:rsidRPr="00D013DC" w:rsidRDefault="008B78F8" w:rsidP="008B78F8">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EL Presidente del Comité de Transparencia, hizo del conocimiento a los integrantes del Comité la propuesta de clasificación y la prueba de daño emitida por el Coordinador de Planeación, Obra y Operación, en el que afirma se actualizan los supuestos de reserva, por un año y medio, siendo estrictamente necesario sal</w:t>
      </w:r>
      <w:r w:rsidR="00F04C39" w:rsidRPr="00D013DC">
        <w:rPr>
          <w:rFonts w:ascii="Palatino Linotype" w:eastAsia="Palatino Linotype" w:hAnsi="Palatino Linotype" w:cs="Palatino Linotype"/>
          <w:color w:val="000000"/>
        </w:rPr>
        <w:t>vaguardar la información.</w:t>
      </w:r>
    </w:p>
    <w:p w:rsidR="00F04C39" w:rsidRPr="00D013DC" w:rsidRDefault="00CD79B3" w:rsidP="00CD79B3">
      <w:pPr>
        <w:pBdr>
          <w:top w:val="nil"/>
          <w:left w:val="nil"/>
          <w:bottom w:val="nil"/>
          <w:right w:val="nil"/>
          <w:between w:val="nil"/>
        </w:pBdr>
        <w:tabs>
          <w:tab w:val="left" w:pos="567"/>
          <w:tab w:val="left" w:pos="2670"/>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ab/>
      </w:r>
    </w:p>
    <w:p w:rsidR="00F04C39" w:rsidRPr="00D013DC" w:rsidRDefault="00F04C39" w:rsidP="008B78F8">
      <w:pPr>
        <w:pBdr>
          <w:top w:val="nil"/>
          <w:left w:val="nil"/>
          <w:bottom w:val="nil"/>
          <w:right w:val="nil"/>
          <w:between w:val="nil"/>
        </w:pBdr>
        <w:tabs>
          <w:tab w:val="left" w:pos="567"/>
        </w:tabs>
        <w:ind w:left="993" w:right="49"/>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ACUERDO AE11/02/CT/2024 se aprueba la clasificación de la información como reservada.</w:t>
      </w:r>
    </w:p>
    <w:p w:rsidR="007B5395" w:rsidRPr="00D013DC" w:rsidRDefault="007B5395"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7B5395" w:rsidRPr="00D013DC" w:rsidRDefault="007B5395"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b/>
          <w:i/>
          <w:color w:val="000000"/>
        </w:rPr>
      </w:pPr>
      <w:r w:rsidRPr="00D013DC">
        <w:rPr>
          <w:rFonts w:ascii="Palatino Linotype" w:eastAsia="Palatino Linotype" w:hAnsi="Palatino Linotype" w:cs="Palatino Linotype"/>
          <w:b/>
          <w:i/>
          <w:color w:val="000000"/>
        </w:rPr>
        <w:t>Res15643125433.pdf</w:t>
      </w:r>
    </w:p>
    <w:p w:rsidR="00F04C39" w:rsidRPr="00D013DC" w:rsidRDefault="00F04C39"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Memorándum OPDAPAS/CPOO/025/2024 </w:t>
      </w:r>
      <w:r w:rsidR="00CD79B3" w:rsidRPr="00D013DC">
        <w:rPr>
          <w:rFonts w:ascii="Palatino Linotype" w:eastAsia="Palatino Linotype" w:hAnsi="Palatino Linotype" w:cs="Palatino Linotype"/>
          <w:color w:val="000000"/>
        </w:rPr>
        <w:t xml:space="preserve">de fecha 09 de septiembre de 2024, </w:t>
      </w:r>
      <w:r w:rsidRPr="00D013DC">
        <w:rPr>
          <w:rFonts w:ascii="Palatino Linotype" w:eastAsia="Palatino Linotype" w:hAnsi="Palatino Linotype" w:cs="Palatino Linotype"/>
          <w:color w:val="000000"/>
        </w:rPr>
        <w:t>firmado por el Coordinador de Planeación, Obra y Operación, en el que hace referencia respecto de la información solicitada relati</w:t>
      </w:r>
      <w:r w:rsidR="00CD79B3" w:rsidRPr="00D013DC">
        <w:rPr>
          <w:rFonts w:ascii="Palatino Linotype" w:eastAsia="Palatino Linotype" w:hAnsi="Palatino Linotype" w:cs="Palatino Linotype"/>
          <w:color w:val="000000"/>
        </w:rPr>
        <w:t>va al desarrollo del Conjunto Urbano denominado Idílica Reserva Serratón, se realizaron las actuaciones correspondientes para responder cada uno de los planteamientos expuestos:</w:t>
      </w:r>
    </w:p>
    <w:p w:rsidR="006F331B" w:rsidRPr="00D013DC" w:rsidRDefault="006F331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CD79B3" w:rsidRPr="00D013DC" w:rsidRDefault="00CD79B3" w:rsidP="00CD79B3">
      <w:pPr>
        <w:pStyle w:val="Prrafodelista"/>
        <w:numPr>
          <w:ilvl w:val="0"/>
          <w:numId w:val="20"/>
        </w:numPr>
        <w:pBdr>
          <w:top w:val="nil"/>
          <w:left w:val="nil"/>
          <w:bottom w:val="nil"/>
          <w:right w:val="nil"/>
          <w:between w:val="nil"/>
        </w:pBdr>
        <w:tabs>
          <w:tab w:val="left" w:pos="567"/>
        </w:tabs>
        <w:ind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Propuesta de clasificación de la información.</w:t>
      </w:r>
    </w:p>
    <w:p w:rsidR="00CD79B3" w:rsidRPr="00D013DC" w:rsidRDefault="00CD79B3" w:rsidP="00CD79B3">
      <w:pPr>
        <w:pStyle w:val="Prrafodelista"/>
        <w:numPr>
          <w:ilvl w:val="0"/>
          <w:numId w:val="20"/>
        </w:numPr>
        <w:pBdr>
          <w:top w:val="nil"/>
          <w:left w:val="nil"/>
          <w:bottom w:val="nil"/>
          <w:right w:val="nil"/>
          <w:between w:val="nil"/>
        </w:pBdr>
        <w:tabs>
          <w:tab w:val="left" w:pos="567"/>
        </w:tabs>
        <w:ind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Cuadro de clasificación de información.</w:t>
      </w:r>
    </w:p>
    <w:p w:rsidR="00CD79B3" w:rsidRPr="00D013DC" w:rsidRDefault="00CD79B3" w:rsidP="00CD79B3">
      <w:pPr>
        <w:pStyle w:val="Prrafodelista"/>
        <w:numPr>
          <w:ilvl w:val="0"/>
          <w:numId w:val="20"/>
        </w:numPr>
        <w:pBdr>
          <w:top w:val="nil"/>
          <w:left w:val="nil"/>
          <w:bottom w:val="nil"/>
          <w:right w:val="nil"/>
          <w:between w:val="nil"/>
        </w:pBdr>
        <w:tabs>
          <w:tab w:val="left" w:pos="567"/>
        </w:tabs>
        <w:ind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Prueba de daño.</w:t>
      </w:r>
    </w:p>
    <w:p w:rsidR="00CD79B3" w:rsidRPr="00D013DC" w:rsidRDefault="00CD79B3" w:rsidP="00CD79B3">
      <w:pPr>
        <w:pStyle w:val="Prrafodelista"/>
        <w:numPr>
          <w:ilvl w:val="0"/>
          <w:numId w:val="20"/>
        </w:numPr>
        <w:pBdr>
          <w:top w:val="nil"/>
          <w:left w:val="nil"/>
          <w:bottom w:val="nil"/>
          <w:right w:val="nil"/>
          <w:between w:val="nil"/>
        </w:pBdr>
        <w:tabs>
          <w:tab w:val="left" w:pos="567"/>
        </w:tabs>
        <w:ind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Acta de la Décima Primera Sesión Extraordinaria del Comité de Transparencia.</w:t>
      </w:r>
    </w:p>
    <w:p w:rsidR="00F04C39" w:rsidRPr="00D013DC" w:rsidRDefault="00F04C39"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7B5395" w:rsidRPr="00D013DC" w:rsidRDefault="007B5395"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b/>
          <w:i/>
          <w:color w:val="000000"/>
        </w:rPr>
      </w:pPr>
      <w:r w:rsidRPr="00D013DC">
        <w:rPr>
          <w:rFonts w:ascii="Palatino Linotype" w:eastAsia="Palatino Linotype" w:hAnsi="Palatino Linotype" w:cs="Palatino Linotype"/>
          <w:b/>
          <w:i/>
          <w:color w:val="000000"/>
        </w:rPr>
        <w:t>Prueba y propuesta .pdf</w:t>
      </w:r>
    </w:p>
    <w:p w:rsidR="00CD79B3" w:rsidRPr="00D013DC" w:rsidRDefault="00CD79B3"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lastRenderedPageBreak/>
        <w:t xml:space="preserve">Memorándum OPDAPAS/CPOO/005/2024 de fecha 03 de julio de 2024, firmado por el Coordinador de Planeación, Obra y Operación, en el que señala que los requerimientos realizados en la solicitud de información, </w:t>
      </w:r>
      <w:r w:rsidRPr="00D013DC">
        <w:rPr>
          <w:rFonts w:ascii="Palatino Linotype" w:eastAsia="Palatino Linotype" w:hAnsi="Palatino Linotype" w:cs="Palatino Linotype"/>
          <w:b/>
          <w:color w:val="000000"/>
        </w:rPr>
        <w:t>se encuentra en trámite para su entrega a las autoridades competentes</w:t>
      </w:r>
      <w:r w:rsidRPr="00D013DC">
        <w:rPr>
          <w:rFonts w:ascii="Palatino Linotype" w:eastAsia="Palatino Linotype" w:hAnsi="Palatino Linotype" w:cs="Palatino Linotype"/>
          <w:color w:val="000000"/>
        </w:rPr>
        <w:t>, por lo que se menoscabaría el derecho al debido proceso, por lo cual se somete a consideración del Comité de Transparencia la reserva de dicha información, ya que de hacerse pública podría ocasionar un perjuicio real y directo a la empresa desarrolladora, al Sujeto Obligado y a los propietarios del fraccionamiento, por poner en riesgo la estabilidad del proceso de entrega de dicho desarrollo.</w:t>
      </w:r>
    </w:p>
    <w:p w:rsidR="00FD02A1" w:rsidRPr="00D013DC" w:rsidRDefault="00FD02A1"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FD02A1" w:rsidRPr="00D013DC" w:rsidRDefault="00FD02A1"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Señalando que se presenta y aplica la prueba de daño,</w:t>
      </w:r>
      <w:r w:rsidR="00753907" w:rsidRPr="00D013DC">
        <w:rPr>
          <w:rFonts w:ascii="Palatino Linotype" w:eastAsia="Palatino Linotype" w:hAnsi="Palatino Linotype" w:cs="Palatino Linotype"/>
          <w:color w:val="000000"/>
        </w:rPr>
        <w:t xml:space="preserve"> entendiéndose como la demostración de manera fundada y motivada que con la divulgación de la información el daño es mayor que el interés de conocerla ya que generaría una afectación real a las partes involucradas.</w:t>
      </w:r>
    </w:p>
    <w:p w:rsidR="00753907" w:rsidRPr="00D013DC" w:rsidRDefault="00753907"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753907" w:rsidRPr="00D013DC" w:rsidRDefault="00753907"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Fundamentando la clasificación de la información en la Ley General en la Materia, los Lineamientos Generales de Clasificación y Desclasificación de Información, así como para la Elaboración de Versiones Públicas, y la Ley de Transparencia Local, manifestando lo siguiente:</w:t>
      </w:r>
    </w:p>
    <w:p w:rsidR="00753907" w:rsidRPr="00D013DC" w:rsidRDefault="00753907"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753907" w:rsidRPr="00D013DC" w:rsidRDefault="00753907"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1</w:t>
      </w:r>
      <w:r w:rsidR="0014037B" w:rsidRPr="00D013DC">
        <w:rPr>
          <w:rFonts w:ascii="Palatino Linotype" w:eastAsia="Palatino Linotype" w:hAnsi="Palatino Linotype" w:cs="Palatino Linotype"/>
          <w:color w:val="000000"/>
        </w:rPr>
        <w:t xml:space="preserve">. </w:t>
      </w:r>
      <w:r w:rsidRPr="00D013DC">
        <w:rPr>
          <w:rFonts w:ascii="Palatino Linotype" w:eastAsia="Palatino Linotype" w:hAnsi="Palatino Linotype" w:cs="Palatino Linotype"/>
          <w:color w:val="000000"/>
        </w:rPr>
        <w:t xml:space="preserve">Por comprometerse el derecho al debido proceso en relación al desarrollo inmobiliario, el cual aún </w:t>
      </w:r>
      <w:r w:rsidR="0014037B" w:rsidRPr="00D013DC">
        <w:rPr>
          <w:rFonts w:ascii="Palatino Linotype" w:eastAsia="Palatino Linotype" w:hAnsi="Palatino Linotype" w:cs="Palatino Linotype"/>
          <w:color w:val="000000"/>
        </w:rPr>
        <w:t>está</w:t>
      </w:r>
      <w:r w:rsidRPr="00D013DC">
        <w:rPr>
          <w:rFonts w:ascii="Palatino Linotype" w:eastAsia="Palatino Linotype" w:hAnsi="Palatino Linotype" w:cs="Palatino Linotype"/>
          <w:color w:val="000000"/>
        </w:rPr>
        <w:t xml:space="preserve"> en proceso de entrega a las autoridades municipales</w:t>
      </w:r>
      <w:r w:rsidR="0014037B" w:rsidRPr="00D013DC">
        <w:rPr>
          <w:rFonts w:ascii="Palatino Linotype" w:eastAsia="Palatino Linotype" w:hAnsi="Palatino Linotype" w:cs="Palatino Linotype"/>
          <w:color w:val="000000"/>
        </w:rPr>
        <w:t>.</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2. Dicho desarrollo no se ha entregado en su totalidad a las autoridades municipales, es decir, el proceso de entrega está inconcluso, por lo tanto, la entrega de información supondría un sabotaje o sesgo a las actuaciones finales a las que se pretende llegar y su divulgación menoscaba el debido proceso.</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3. Entregar la información incide en posibles alteraciones al debido proceso, a fin de que la entrega se realice sin alteración o riesgo de perjuicio alguno.</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4. Se precisan las razones del porque la apertura de la información generaría una afectación, a través de los elementos de riesgo real, demostrable e identificable:</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ab/>
        <w:t>Riesgo Real. Que la información sea conocida sin culminar la entrega del Conjunto Urbano antes mencionado.</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ab/>
        <w:t xml:space="preserve">Riesgo Demostrable. La solicitante propietaria de una casa dentro del conjunto urbano, requiere información del estatus que guarda el desarrollo en comento, así como pagos realizados por la empresa al Municipio de </w:t>
      </w:r>
      <w:r w:rsidR="006F331B" w:rsidRPr="00D013DC">
        <w:rPr>
          <w:rFonts w:ascii="Palatino Linotype" w:eastAsia="Palatino Linotype" w:hAnsi="Palatino Linotype" w:cs="Palatino Linotype"/>
          <w:color w:val="000000"/>
        </w:rPr>
        <w:t>Zinacantepec</w:t>
      </w:r>
      <w:r w:rsidRPr="00D013DC">
        <w:rPr>
          <w:rFonts w:ascii="Palatino Linotype" w:eastAsia="Palatino Linotype" w:hAnsi="Palatino Linotype" w:cs="Palatino Linotype"/>
          <w:color w:val="000000"/>
        </w:rPr>
        <w:t>, a su vez obras de infraestructura complementarias para la operación del fraccionamiento, realizadas por la empresa y la documentación que sustente la construcción y supervisión del fraccionamiento.</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ab/>
        <w:t>Riesgo Identificable. Menoscabo del derecho al debido proceso y supondría un riesgo de perjuicio para la entrega del desarrollo, para los propietarios, la empresa y el Sujeto Obligado.</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Por otra parte, las circunstancias de modo supondrían un riesgo para la entrega del desarrollo, </w:t>
      </w:r>
      <w:r w:rsidR="00F70C81" w:rsidRPr="00D013DC">
        <w:rPr>
          <w:rFonts w:ascii="Palatino Linotype" w:eastAsia="Palatino Linotype" w:hAnsi="Palatino Linotype" w:cs="Palatino Linotype"/>
          <w:color w:val="000000"/>
        </w:rPr>
        <w:t>afectando</w:t>
      </w:r>
      <w:r w:rsidRPr="00D013DC">
        <w:rPr>
          <w:rFonts w:ascii="Palatino Linotype" w:eastAsia="Palatino Linotype" w:hAnsi="Palatino Linotype" w:cs="Palatino Linotype"/>
          <w:color w:val="000000"/>
        </w:rPr>
        <w:t xml:space="preserve"> a los demás </w:t>
      </w:r>
      <w:r w:rsidR="00F70C81" w:rsidRPr="00D013DC">
        <w:rPr>
          <w:rFonts w:ascii="Palatino Linotype" w:eastAsia="Palatino Linotype" w:hAnsi="Palatino Linotype" w:cs="Palatino Linotype"/>
          <w:color w:val="000000"/>
        </w:rPr>
        <w:t>propietarios. Es decir, el riesgo estaría latente hasta que el proceso se concluya satisfactoriamente y no se afecte el derecho al debido proceso de los propietarios del fraccionamiento “Idílica Reserva Serratón”.</w:t>
      </w:r>
    </w:p>
    <w:p w:rsidR="00F70C81" w:rsidRPr="00D013DC" w:rsidRDefault="00F70C81"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F70C81" w:rsidRPr="00D013DC" w:rsidRDefault="00F70C81"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Por lo anterior </w:t>
      </w:r>
      <w:r w:rsidRPr="00D013DC">
        <w:rPr>
          <w:rFonts w:ascii="Palatino Linotype" w:eastAsia="Palatino Linotype" w:hAnsi="Palatino Linotype" w:cs="Palatino Linotype"/>
          <w:b/>
          <w:color w:val="000000"/>
        </w:rPr>
        <w:t>se considera reserva total de la información por un periodo de un año y medio respecto al expediente que integra la construcción y entrega del fraccionamiento “Idílica Reserva Serratón”</w:t>
      </w:r>
    </w:p>
    <w:p w:rsidR="0014037B" w:rsidRPr="00D013DC" w:rsidRDefault="0014037B"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F70C81" w:rsidRPr="00D013DC" w:rsidRDefault="00F70C81"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Solicitante someter al Comité de Transparencia la clasificación de información antes referida.</w:t>
      </w:r>
    </w:p>
    <w:p w:rsidR="00CD79B3" w:rsidRPr="00D013DC" w:rsidRDefault="00CD79B3"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p>
    <w:p w:rsidR="004C075F" w:rsidRPr="00D013DC" w:rsidRDefault="007B5395"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b/>
          <w:i/>
          <w:color w:val="000000"/>
        </w:rPr>
      </w:pPr>
      <w:r w:rsidRPr="00D013DC">
        <w:rPr>
          <w:rFonts w:ascii="Palatino Linotype" w:eastAsia="Palatino Linotype" w:hAnsi="Palatino Linotype" w:cs="Palatino Linotype"/>
          <w:b/>
          <w:i/>
          <w:color w:val="000000"/>
        </w:rPr>
        <w:t xml:space="preserve">Cuadro de </w:t>
      </w:r>
      <w:r w:rsidR="006F331B" w:rsidRPr="00D013DC">
        <w:rPr>
          <w:rFonts w:ascii="Palatino Linotype" w:eastAsia="Palatino Linotype" w:hAnsi="Palatino Linotype" w:cs="Palatino Linotype"/>
          <w:b/>
          <w:i/>
          <w:color w:val="000000"/>
        </w:rPr>
        <w:t>clasificación</w:t>
      </w:r>
      <w:r w:rsidRPr="00D013DC">
        <w:rPr>
          <w:rFonts w:ascii="Palatino Linotype" w:eastAsia="Palatino Linotype" w:hAnsi="Palatino Linotype" w:cs="Palatino Linotype"/>
          <w:b/>
          <w:i/>
          <w:color w:val="000000"/>
        </w:rPr>
        <w:t xml:space="preserve"> .pdf</w:t>
      </w:r>
    </w:p>
    <w:p w:rsidR="004B7E04" w:rsidRPr="00D013DC" w:rsidRDefault="004B7E04" w:rsidP="007B5395">
      <w:pPr>
        <w:pBdr>
          <w:top w:val="nil"/>
          <w:left w:val="nil"/>
          <w:bottom w:val="nil"/>
          <w:right w:val="nil"/>
          <w:between w:val="nil"/>
        </w:pBdr>
        <w:tabs>
          <w:tab w:val="left" w:pos="567"/>
        </w:tabs>
        <w:ind w:left="993"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lastRenderedPageBreak/>
        <w:t>Cuadro de clasificación como información reservada del “Expediente sobre la construcción del fraccionamiento “Idílica Reserva Serratón” en el cual se establece la construcción del citado fraccionamiento con la empresa “CASAS PROCSA S.A. de C.V”</w:t>
      </w:r>
      <w:bookmarkStart w:id="1" w:name="_GoBack"/>
      <w:bookmarkEnd w:id="1"/>
    </w:p>
    <w:p w:rsidR="00265282" w:rsidRPr="00D013DC" w:rsidRDefault="00265282">
      <w:pPr>
        <w:pBdr>
          <w:top w:val="nil"/>
          <w:left w:val="nil"/>
          <w:bottom w:val="nil"/>
          <w:right w:val="nil"/>
          <w:between w:val="nil"/>
        </w:pBdr>
        <w:tabs>
          <w:tab w:val="left" w:pos="567"/>
        </w:tabs>
        <w:ind w:right="-787"/>
        <w:jc w:val="both"/>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El</w:t>
      </w:r>
      <w:r w:rsidRPr="00D013DC">
        <w:rPr>
          <w:rFonts w:ascii="Palatino Linotype" w:eastAsia="Palatino Linotype" w:hAnsi="Palatino Linotype" w:cs="Palatino Linotype"/>
          <w:b/>
          <w:color w:val="000000"/>
        </w:rPr>
        <w:t xml:space="preserve"> </w:t>
      </w:r>
      <w:r w:rsidR="00A3751D" w:rsidRPr="00D013DC">
        <w:rPr>
          <w:rFonts w:ascii="Palatino Linotype" w:eastAsia="Palatino Linotype" w:hAnsi="Palatino Linotype" w:cs="Palatino Linotype"/>
          <w:b/>
          <w:color w:val="000000"/>
        </w:rPr>
        <w:t>veintisiete de septiembre</w:t>
      </w:r>
      <w:r w:rsidRPr="00D013DC">
        <w:rPr>
          <w:rFonts w:ascii="Palatino Linotype" w:eastAsia="Palatino Linotype" w:hAnsi="Palatino Linotype" w:cs="Palatino Linotype"/>
          <w:b/>
          <w:color w:val="000000"/>
        </w:rPr>
        <w:t xml:space="preserve"> de dos mil veinticuatro</w:t>
      </w:r>
      <w:r w:rsidRPr="00D013DC">
        <w:rPr>
          <w:rFonts w:ascii="Palatino Linotype" w:eastAsia="Palatino Linotype" w:hAnsi="Palatino Linotype" w:cs="Palatino Linotype"/>
          <w:color w:val="000000"/>
        </w:rPr>
        <w:t>, el particular interpuso el recurso de revisión en contra de la respuesta otorgada por el Sujeto Obligado, realizando las siguientes manifestaciones:</w:t>
      </w:r>
    </w:p>
    <w:p w:rsidR="00F26496" w:rsidRPr="00D013DC" w:rsidRDefault="00F26496" w:rsidP="00F26496">
      <w:pPr>
        <w:pBdr>
          <w:top w:val="nil"/>
          <w:left w:val="nil"/>
          <w:bottom w:val="nil"/>
          <w:right w:val="nil"/>
          <w:between w:val="nil"/>
        </w:pBdr>
        <w:tabs>
          <w:tab w:val="left" w:pos="0"/>
        </w:tabs>
        <w:ind w:right="-788"/>
        <w:jc w:val="both"/>
        <w:rPr>
          <w:rFonts w:ascii="Palatino Linotype" w:hAnsi="Palatino Linotype"/>
          <w:color w:val="000000"/>
        </w:rPr>
      </w:pPr>
    </w:p>
    <w:p w:rsidR="00265282" w:rsidRPr="00D013DC" w:rsidRDefault="004154F8">
      <w:pPr>
        <w:numPr>
          <w:ilvl w:val="0"/>
          <w:numId w:val="4"/>
        </w:numPr>
        <w:pBdr>
          <w:top w:val="nil"/>
          <w:left w:val="nil"/>
          <w:bottom w:val="nil"/>
          <w:right w:val="nil"/>
          <w:between w:val="nil"/>
        </w:pBdr>
        <w:ind w:left="850" w:right="-220"/>
        <w:jc w:val="both"/>
        <w:rPr>
          <w:rFonts w:ascii="Palatino Linotype" w:eastAsia="Palatino Linotype" w:hAnsi="Palatino Linotype" w:cs="Palatino Linotype"/>
          <w:i/>
          <w:color w:val="000000"/>
        </w:rPr>
      </w:pPr>
      <w:bookmarkStart w:id="2" w:name="_heading=h.30j0zll" w:colFirst="0" w:colLast="0"/>
      <w:bookmarkEnd w:id="2"/>
      <w:r w:rsidRPr="00D013DC">
        <w:rPr>
          <w:rFonts w:ascii="Palatino Linotype" w:eastAsia="Palatino Linotype" w:hAnsi="Palatino Linotype" w:cs="Palatino Linotype"/>
          <w:b/>
          <w:color w:val="000000"/>
        </w:rPr>
        <w:t xml:space="preserve">Acto impugnado: </w:t>
      </w:r>
    </w:p>
    <w:p w:rsidR="00265282" w:rsidRPr="00D013DC" w:rsidRDefault="004154F8" w:rsidP="00F26496">
      <w:pPr>
        <w:pBdr>
          <w:top w:val="nil"/>
          <w:left w:val="nil"/>
          <w:bottom w:val="nil"/>
          <w:right w:val="nil"/>
          <w:between w:val="nil"/>
        </w:pBdr>
        <w:ind w:left="850" w:right="-220" w:hanging="130"/>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w:t>
      </w:r>
      <w:r w:rsidR="00A3751D" w:rsidRPr="00D013DC">
        <w:rPr>
          <w:rFonts w:ascii="Palatino Linotype" w:eastAsia="Palatino Linotype" w:hAnsi="Palatino Linotype" w:cs="Palatino Linotype"/>
          <w:i/>
          <w:color w:val="000000"/>
        </w:rPr>
        <w:t>La respuesta entregada por la responsable en este sistema de SAIMEX</w:t>
      </w:r>
      <w:r w:rsidRPr="00D013DC">
        <w:rPr>
          <w:rFonts w:ascii="Palatino Linotype" w:eastAsia="Palatino Linotype" w:hAnsi="Palatino Linotype" w:cs="Palatino Linotype"/>
          <w:i/>
          <w:color w:val="000000"/>
        </w:rPr>
        <w:t>” (Sic)</w:t>
      </w:r>
    </w:p>
    <w:p w:rsidR="00F26496" w:rsidRPr="00D013DC" w:rsidRDefault="00F26496">
      <w:pPr>
        <w:pBdr>
          <w:top w:val="nil"/>
          <w:left w:val="nil"/>
          <w:bottom w:val="nil"/>
          <w:right w:val="nil"/>
          <w:between w:val="nil"/>
        </w:pBdr>
        <w:ind w:left="850" w:right="-220" w:hanging="360"/>
        <w:jc w:val="both"/>
        <w:rPr>
          <w:rFonts w:ascii="Palatino Linotype" w:eastAsia="Palatino Linotype" w:hAnsi="Palatino Linotype" w:cs="Palatino Linotype"/>
          <w:i/>
          <w:color w:val="000000"/>
        </w:rPr>
      </w:pPr>
    </w:p>
    <w:p w:rsidR="00265282" w:rsidRPr="00D013DC" w:rsidRDefault="004154F8">
      <w:pPr>
        <w:numPr>
          <w:ilvl w:val="0"/>
          <w:numId w:val="4"/>
        </w:numPr>
        <w:pBdr>
          <w:top w:val="nil"/>
          <w:left w:val="nil"/>
          <w:bottom w:val="nil"/>
          <w:right w:val="nil"/>
          <w:between w:val="nil"/>
        </w:pBdr>
        <w:ind w:left="850" w:right="-220"/>
        <w:jc w:val="both"/>
        <w:rPr>
          <w:rFonts w:ascii="Palatino Linotype" w:eastAsia="Palatino Linotype" w:hAnsi="Palatino Linotype" w:cs="Palatino Linotype"/>
          <w:i/>
          <w:color w:val="000000"/>
        </w:rPr>
      </w:pPr>
      <w:bookmarkStart w:id="3" w:name="_heading=h.1fob9te" w:colFirst="0" w:colLast="0"/>
      <w:bookmarkEnd w:id="3"/>
      <w:r w:rsidRPr="00D013DC">
        <w:rPr>
          <w:rFonts w:ascii="Palatino Linotype" w:eastAsia="Palatino Linotype" w:hAnsi="Palatino Linotype" w:cs="Palatino Linotype"/>
          <w:b/>
          <w:color w:val="000000"/>
        </w:rPr>
        <w:t>Razones o Motivos de inconformidad:</w:t>
      </w:r>
    </w:p>
    <w:p w:rsidR="00265282" w:rsidRPr="00D013DC" w:rsidRDefault="004154F8" w:rsidP="00F26496">
      <w:pPr>
        <w:pBdr>
          <w:top w:val="nil"/>
          <w:left w:val="nil"/>
          <w:bottom w:val="nil"/>
          <w:right w:val="nil"/>
          <w:between w:val="nil"/>
        </w:pBdr>
        <w:ind w:left="850" w:right="-220" w:hanging="130"/>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w:t>
      </w:r>
      <w:r w:rsidR="00A3751D" w:rsidRPr="00D013DC">
        <w:rPr>
          <w:rFonts w:ascii="Palatino Linotype" w:eastAsia="Palatino Linotype" w:hAnsi="Palatino Linotype" w:cs="Palatino Linotype"/>
          <w:i/>
          <w:color w:val="000000"/>
        </w:rPr>
        <w:t xml:space="preserve">La respuesta que se solicitó no puede ser motivo de clasificación como incorrectamente pretende el Organismo en razón de lo siguiente: 1. La información solicitada en principio es DOCUMENTACIÓN QUE YA OBRA EN LOS ARCHIVOS DE DICHA AUTORIDAD, por lo que la consulta y entrega de la misma, debe ser autorizada para cualquier persona pues es información generada hace más de siete años como lo es por ejemplo el oficio No. OPDAPAS/DG/COO/DPC/107/2017 de fecha dieciséis de febrero de dos mil diecisiete. Luego entonces, es inverosímil que después de todo este tiempo, la información se pretenda clasificar. 2. Refiere la autoridad que la información no puede ser entregada porque se violenta el debido proceso, sin embargo, dicha afirmación carece de documento comprobatorio que sostenga dicha afirmación, pues además de que esto es falso al no indicarse de forma circunstanciada la forma en que la entrega de la información viciaría el “supuesto” proceso; tampoco se evidencia que tipo de proceso y/o juicio se está realizando, las partes involucradas, el expediente y/o número de causa; o cualquier otro tipo de información que permita corroborar dicha información. Así como tampoco se detalla la forma en como la divulgación de la información solicitada, menoscabaría los derechos del debido proceso pues se debe recordar que el debido proceso es para garantizar derechos del justiciable de conformidad con la constitución y los tratados internacionales en un proceso seguido en forma de juicio y/o que menoscabe su esfera jurídica; y no como parte de del </w:t>
      </w:r>
      <w:r w:rsidR="00A3751D" w:rsidRPr="00D013DC">
        <w:rPr>
          <w:rFonts w:ascii="Palatino Linotype" w:eastAsia="Palatino Linotype" w:hAnsi="Palatino Linotype" w:cs="Palatino Linotype"/>
          <w:i/>
          <w:color w:val="000000"/>
        </w:rPr>
        <w:lastRenderedPageBreak/>
        <w:t xml:space="preserve">procedimiento de un trámite administrativo. Luego entonces, pretender que la suscrita no pueda acceder a la documentación bajo el argumento de que la información sea conocida sin culminar la entrega del Conjunto, es inexacto; pues por un lado la entrega de la documentación a la autoridad correspondiente (que debió haberse realizado en los plazos que marcan las disposiciones legales correspondientes y que es materia de responsabilidad) y la entrega de la información a la suscrita, son temas equidistantes e independientes entre sí; PUES DE TOMAR EN CUENTA ESTE ARGUMENTO, SUPONDRÍA QUE LA AUTORIDAD DEJARA TODOS LOS PROCEDIMIENTOS ADMINISTRATIVOS INCONCLUSOS CON EL AFÁN DE NO ENTREGAR LA INFORMACIÓN QUE SE LES SOLICITA A LOS GOBERNADOS. 3. Por otro lado, es inexacto que la entrega de la información vulnere el debido proceso, pues en ningún momento la suscrita participo de forma directa o indirecta en el “supuesto” proceso que existe, y que, en caso de ser así, la calidad de la suscrita sería considerada como de tercera interesada, misma que deberá de ser previamente calificada por la autoridad correspondiente para en su caso, acreditar una personalidad en el proceso correspondiente. 4. Así mismo, tampoco se advierte con documento fehaciente que así lo acredite, que la información que se solicita, se encuentre en trámite de entrega a las autoridades competentes, pues como se ha indicado, se solicitan documentos elaborados desde hace más de 7 años, motivo por el cual es inverosímil el argumento de que la información apenas se vaya a entregar apenas a una diversa autoridad; siendo esta declaración, el elemento con el cual se realizarán las denuncias que proceden ante las autoridades competentes por motivo de dicha negligencia y omisión. 5. Tampoco se indica la forma en que se pone en riesgo la estabilidad del proceso de entrega de dicho desarrollo (SIENDO ESTO UNA DECLARACIÓN CONFESA DE QUE EL MISMO NO HA SIDO ENTREGADO), motivo por el cual la prueba de daño que refiere la autoridad pudiera generarse, no se encuentra debidamente motivada; pues carece de elementos objetivos y sobre todo, de una relatoría circunstanciada que permita entender como la información que se solicita, pone en riesgo la estabilidad del proceso de entrega; pues en ningún momento se solicitan fechas, lugares, personas, momentos y/o cualquier otra información que permitieran inferir realmente un riesgo. 6. Finalmente y, redundando sobre lo mismo, no se indica de forma exacta, motivada y fehaciente la forma en como la divulgación de la información representa un riesgo real, demostrable e identificable del perjuicio al interés público o a la seguridad pública; pues la </w:t>
      </w:r>
      <w:r w:rsidR="00A3751D" w:rsidRPr="00D013DC">
        <w:rPr>
          <w:rFonts w:ascii="Palatino Linotype" w:eastAsia="Palatino Linotype" w:hAnsi="Palatino Linotype" w:cs="Palatino Linotype"/>
          <w:i/>
          <w:color w:val="000000"/>
        </w:rPr>
        <w:lastRenderedPageBreak/>
        <w:t xml:space="preserve">información que se solicita es meramente de documentos que deben obrar en los archivos de la obligada y, que hacen referencia a la forma en que fue autorizada la construcción de un conjunto urbano, es decir, la relación y la traza de la documentación que debió existir entre el Estado con un particular de conformidad con las leyes administrativas correspondientes, por lo que no guardan relación con temas de seguridad y/o de temas considerados sensibles y/o de riesgo como ilógicamente pretende la responsable hacer creer. Por lo anterior se solicita se ordene la entrega de lo siguiente: 1. El oficio No. OPDAPAS/DG/COO/DPC/107/2017 de fecha dieciséis de febrero de dos mil diecisiete, expedido por la Dirección General del Organismo Público Descentralizado para la Prestación de los Servicios de Agua Potable, Alcantarillado y Saneamiento del municipio de Zinacantepec, por el cual se emitió la factibilidad de dotación de los servicios de agua potable y drenaje para el desarrollo en comento. 2. Indique si la empresa “CASAS PROCSA”, S.A. de C.V. ejecutó y entregó las instalaciones y de las obras de infraestructura complementarias para la operación del desarrollo, tales como pozo profundo, tanque elevado de agua potable, cárcamo, pozos de absorción y demás que sean necesarias, así como de las obras de infraestructura primaria. 3. Solicito los oficios y/o documentos generados por la supervisión de las instalaciones y de las obras de infraestructura complementarias para la operación del desarrollo en comento, tales como pozo profundo, tanque elevado de agua potable, cárcamo, pozos de absorción y demás, por parte de esta autoridad. 4. En relación con el Decreto Número 187, del Poder Ejecutivo del Estado, publicado en el periódico oficial “Gaceta del Gobierno” del Estado de México el 21 de diciembre de 2016 y la cláusula novena del acuerdo publicado en “Gaceta de Gobierno” de fecha 14 de febrero de 2017, solicito copia de los pagos realizados por la empresa “CASAS PROCSA”, S.A. de C.V. al Municipio de Zinacantepec por el control para el establecimiento de los sistemas de agua potable y de alcantarillado, por las viviendas tipo medio previstas en el desarrollo. 5. En relación con el Decreto Número 187, del Poder Ejecutivo del Estado, publicado en el periódico oficial “Gaceta del Gobierno” del Estado de México el 21 de diciembre de 2016 y la cláusula novena del acuerdo publicado en “Gaceta de Gobierno” de fecha 14 de febrero de 2017, solicito copia de los pagos realizados por la empresa “CASAS PROCSA”, S.A. de C.V. por la conexión de la toma para el suministro de agua en bloque proporcionada por las autoridades correspondientes. 6. Los reportes, registros, seguimientos, evaluaciones y/o cualquier otro documento por virtud del cual, el H. Gobierno del Estado de México haya </w:t>
      </w:r>
      <w:r w:rsidR="00A3751D" w:rsidRPr="00D013DC">
        <w:rPr>
          <w:rFonts w:ascii="Palatino Linotype" w:eastAsia="Palatino Linotype" w:hAnsi="Palatino Linotype" w:cs="Palatino Linotype"/>
          <w:i/>
          <w:color w:val="000000"/>
        </w:rPr>
        <w:lastRenderedPageBreak/>
        <w:t>verificado, supervisado y auditado el cumplimiento a las disposiciones legales conducentes en referencia con el Conjunto Urbano antes indicado</w:t>
      </w:r>
      <w:r w:rsidR="00F26496" w:rsidRPr="00D013DC">
        <w:rPr>
          <w:rFonts w:ascii="Palatino Linotype" w:eastAsia="Palatino Linotype" w:hAnsi="Palatino Linotype" w:cs="Palatino Linotype"/>
          <w:i/>
          <w:color w:val="000000"/>
        </w:rPr>
        <w:t>”</w:t>
      </w:r>
      <w:r w:rsidRPr="00D013DC">
        <w:rPr>
          <w:rFonts w:ascii="Palatino Linotype" w:eastAsia="Palatino Linotype" w:hAnsi="Palatino Linotype" w:cs="Palatino Linotype"/>
          <w:i/>
          <w:color w:val="000000"/>
        </w:rPr>
        <w:t xml:space="preserve"> (Sic)</w:t>
      </w:r>
    </w:p>
    <w:p w:rsidR="00265282" w:rsidRPr="00D013DC" w:rsidRDefault="00265282">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u w:val="single"/>
        </w:rPr>
      </w:pPr>
    </w:p>
    <w:p w:rsidR="0035009A" w:rsidRPr="00D013DC" w:rsidRDefault="0035009A">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265282" w:rsidRPr="00D013DC" w:rsidRDefault="004154F8">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D013DC">
        <w:rPr>
          <w:rFonts w:ascii="Palatino Linotype" w:eastAsia="Palatino Linotype" w:hAnsi="Palatino Linotype" w:cs="Palatino Linotype"/>
          <w:b/>
          <w:color w:val="000000"/>
        </w:rPr>
        <w:t xml:space="preserve">acuerdo de admisión </w:t>
      </w:r>
      <w:r w:rsidRPr="00D013DC">
        <w:rPr>
          <w:rFonts w:ascii="Palatino Linotype" w:eastAsia="Palatino Linotype" w:hAnsi="Palatino Linotype" w:cs="Palatino Linotype"/>
          <w:color w:val="000000"/>
        </w:rPr>
        <w:t xml:space="preserve">de fecha </w:t>
      </w:r>
      <w:r w:rsidR="0027785E" w:rsidRPr="00D013DC">
        <w:rPr>
          <w:rFonts w:ascii="Palatino Linotype" w:eastAsia="Palatino Linotype" w:hAnsi="Palatino Linotype" w:cs="Palatino Linotype"/>
          <w:b/>
          <w:color w:val="000000"/>
        </w:rPr>
        <w:t>dos</w:t>
      </w:r>
      <w:r w:rsidR="00EF7E49" w:rsidRPr="00D013DC">
        <w:rPr>
          <w:rFonts w:ascii="Palatino Linotype" w:eastAsia="Palatino Linotype" w:hAnsi="Palatino Linotype" w:cs="Palatino Linotype"/>
          <w:b/>
          <w:color w:val="000000"/>
        </w:rPr>
        <w:t xml:space="preserve"> de octubre</w:t>
      </w:r>
      <w:r w:rsidRPr="00D013DC">
        <w:rPr>
          <w:rFonts w:ascii="Palatino Linotype" w:eastAsia="Palatino Linotype" w:hAnsi="Palatino Linotype" w:cs="Palatino Linotype"/>
          <w:b/>
          <w:color w:val="000000"/>
        </w:rPr>
        <w:t xml:space="preserve"> de dos mil veinticuatro, </w:t>
      </w:r>
      <w:r w:rsidRPr="00D013DC">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D013DC">
        <w:rPr>
          <w:rFonts w:ascii="Palatino Linotype" w:eastAsia="Palatino Linotype" w:hAnsi="Palatino Linotype" w:cs="Palatino Linotype"/>
        </w:rPr>
        <w:t>manifestara</w:t>
      </w:r>
      <w:r w:rsidRPr="00D013DC">
        <w:rPr>
          <w:rFonts w:ascii="Palatino Linotype" w:eastAsia="Palatino Linotype" w:hAnsi="Palatino Linotype" w:cs="Palatino Linotype"/>
          <w:color w:val="000000"/>
        </w:rPr>
        <w:t xml:space="preserve"> lo que a su derecho conviniera, </w:t>
      </w:r>
      <w:r w:rsidRPr="00D013DC">
        <w:rPr>
          <w:rFonts w:ascii="Palatino Linotype" w:eastAsia="Palatino Linotype" w:hAnsi="Palatino Linotype" w:cs="Palatino Linotype"/>
        </w:rPr>
        <w:t>ofreciera</w:t>
      </w:r>
      <w:r w:rsidRPr="00D013DC">
        <w:rPr>
          <w:rFonts w:ascii="Palatino Linotype" w:eastAsia="Palatino Linotype" w:hAnsi="Palatino Linotype" w:cs="Palatino Linotype"/>
          <w:color w:val="000000"/>
        </w:rPr>
        <w:t xml:space="preserve"> pruebas y alegatos según corresponda al caso concreto, de esta forma para que el </w:t>
      </w:r>
      <w:r w:rsidRPr="00D013DC">
        <w:rPr>
          <w:rFonts w:ascii="Palatino Linotype" w:eastAsia="Palatino Linotype" w:hAnsi="Palatino Linotype" w:cs="Palatino Linotype"/>
          <w:b/>
          <w:color w:val="000000"/>
        </w:rPr>
        <w:t xml:space="preserve">SUJETO OBLIGADO </w:t>
      </w:r>
      <w:r w:rsidR="00EF7E49" w:rsidRPr="00D013DC">
        <w:rPr>
          <w:rFonts w:ascii="Palatino Linotype" w:eastAsia="Palatino Linotype" w:hAnsi="Palatino Linotype" w:cs="Palatino Linotype"/>
        </w:rPr>
        <w:t>presentara</w:t>
      </w:r>
      <w:r w:rsidRPr="00D013DC">
        <w:rPr>
          <w:rFonts w:ascii="Palatino Linotype" w:eastAsia="Palatino Linotype" w:hAnsi="Palatino Linotype" w:cs="Palatino Linotype"/>
          <w:color w:val="000000"/>
        </w:rPr>
        <w:t xml:space="preserve"> el Informe Justificado procedente.</w:t>
      </w:r>
    </w:p>
    <w:p w:rsidR="00265282" w:rsidRPr="00D013DC" w:rsidRDefault="00265282">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color w:val="000000"/>
        </w:rPr>
        <w:t>El Recurrente</w:t>
      </w:r>
      <w:r w:rsidRPr="00D013DC">
        <w:rPr>
          <w:rFonts w:ascii="Palatino Linotype" w:eastAsia="Palatino Linotype" w:hAnsi="Palatino Linotype" w:cs="Palatino Linotype"/>
          <w:b/>
          <w:color w:val="000000"/>
        </w:rPr>
        <w:t xml:space="preserve"> </w:t>
      </w:r>
      <w:r w:rsidRPr="00D013DC">
        <w:rPr>
          <w:rFonts w:ascii="Palatino Linotype" w:eastAsia="Palatino Linotype" w:hAnsi="Palatino Linotype" w:cs="Palatino Linotype"/>
          <w:color w:val="000000"/>
        </w:rPr>
        <w:t>dejó de realizar manifestaciones que a su derecho conviniera y asistiera. Por su parte, el Sujeto Obligado,</w:t>
      </w:r>
      <w:r w:rsidRPr="00D013DC">
        <w:rPr>
          <w:rFonts w:ascii="Palatino Linotype" w:eastAsia="Palatino Linotype" w:hAnsi="Palatino Linotype" w:cs="Palatino Linotype"/>
          <w:b/>
          <w:color w:val="000000"/>
        </w:rPr>
        <w:t xml:space="preserve"> </w:t>
      </w:r>
      <w:r w:rsidR="0027785E" w:rsidRPr="00D013DC">
        <w:rPr>
          <w:rFonts w:ascii="Palatino Linotype" w:eastAsia="Palatino Linotype" w:hAnsi="Palatino Linotype" w:cs="Palatino Linotype"/>
          <w:color w:val="000000"/>
        </w:rPr>
        <w:t>tampoco rindió informe justificado, tal como se muestra en la imagen siguiente</w:t>
      </w:r>
      <w:r w:rsidRPr="00D013DC">
        <w:rPr>
          <w:rFonts w:ascii="Palatino Linotype" w:eastAsia="Palatino Linotype" w:hAnsi="Palatino Linotype" w:cs="Palatino Linotype"/>
          <w:color w:val="000000"/>
        </w:rPr>
        <w:t>:</w:t>
      </w:r>
    </w:p>
    <w:p w:rsidR="00182905" w:rsidRPr="00D013DC" w:rsidRDefault="00182905" w:rsidP="00182905">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5519C6" w:rsidRPr="00D013DC" w:rsidRDefault="0027785E" w:rsidP="00EF7E49">
      <w:pPr>
        <w:pBdr>
          <w:top w:val="nil"/>
          <w:left w:val="nil"/>
          <w:bottom w:val="nil"/>
          <w:right w:val="nil"/>
          <w:between w:val="nil"/>
        </w:pBdr>
        <w:ind w:left="567" w:right="-220"/>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noProof/>
          <w:color w:val="000000"/>
          <w:lang w:val="es-MX" w:eastAsia="es-MX"/>
        </w:rPr>
        <w:drawing>
          <wp:inline distT="0" distB="0" distL="0" distR="0" wp14:anchorId="31CB0BA5" wp14:editId="16C1D8B7">
            <wp:extent cx="4697730" cy="1147058"/>
            <wp:effectExtent l="152400" t="152400" r="369570" b="3581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7633" cy="1156801"/>
                    </a:xfrm>
                    <a:prstGeom prst="rect">
                      <a:avLst/>
                    </a:prstGeom>
                    <a:ln>
                      <a:noFill/>
                    </a:ln>
                    <a:effectLst>
                      <a:outerShdw blurRad="292100" dist="139700" dir="2700000" algn="tl" rotWithShape="0">
                        <a:srgbClr val="333333">
                          <a:alpha val="65000"/>
                        </a:srgbClr>
                      </a:outerShdw>
                    </a:effectLst>
                  </pic:spPr>
                </pic:pic>
              </a:graphicData>
            </a:graphic>
          </wp:inline>
        </w:drawing>
      </w:r>
    </w:p>
    <w:p w:rsidR="00265282" w:rsidRPr="00D013DC" w:rsidRDefault="00265282">
      <w:pPr>
        <w:pBdr>
          <w:top w:val="nil"/>
          <w:left w:val="nil"/>
          <w:bottom w:val="nil"/>
          <w:right w:val="nil"/>
          <w:between w:val="nil"/>
        </w:pBdr>
        <w:spacing w:line="360" w:lineRule="auto"/>
        <w:ind w:right="-787"/>
        <w:jc w:val="both"/>
        <w:rPr>
          <w:rFonts w:ascii="Palatino Linotype" w:hAnsi="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bookmarkStart w:id="4" w:name="_heading=h.r0t3k3jgqo1b" w:colFirst="0" w:colLast="0"/>
      <w:bookmarkEnd w:id="4"/>
      <w:r w:rsidRPr="00D013DC">
        <w:rPr>
          <w:rFonts w:ascii="Palatino Linotype" w:eastAsia="Palatino Linotype" w:hAnsi="Palatino Linotype" w:cs="Palatino Linotype"/>
          <w:color w:val="000000"/>
        </w:rPr>
        <w:t xml:space="preserve">Este Órgano Garante no pasa por alto justificar, que la dilación en la resolución del presente asunto, encuentra justificación en el incremento de recursos de revisión a </w:t>
      </w:r>
      <w:r w:rsidRPr="00D013DC">
        <w:rPr>
          <w:rFonts w:ascii="Palatino Linotype" w:eastAsia="Palatino Linotype" w:hAnsi="Palatino Linotype" w:cs="Palatino Linotype"/>
          <w:color w:val="000000"/>
        </w:rPr>
        <w:lastRenderedPageBreak/>
        <w:t>resolverse por este Instituto, circunstancia atípica que ha rebasado las capacidades técnicas y humanas para la emisión de las resoluciones a dichos medios de impugnación, motivo por el que el</w:t>
      </w:r>
      <w:r w:rsidRPr="00D013DC">
        <w:rPr>
          <w:rFonts w:ascii="Palatino Linotype" w:eastAsia="Palatino Linotype" w:hAnsi="Palatino Linotype" w:cs="Palatino Linotype"/>
          <w:b/>
          <w:color w:val="000000"/>
        </w:rPr>
        <w:t xml:space="preserve"> </w:t>
      </w:r>
      <w:r w:rsidR="00C927EB" w:rsidRPr="00D013DC">
        <w:rPr>
          <w:rFonts w:ascii="Palatino Linotype" w:eastAsia="Palatino Linotype" w:hAnsi="Palatino Linotype" w:cs="Palatino Linotype"/>
          <w:b/>
          <w:color w:val="000000"/>
        </w:rPr>
        <w:t>cinco</w:t>
      </w:r>
      <w:r w:rsidR="00986E76" w:rsidRPr="00D013DC">
        <w:rPr>
          <w:rFonts w:ascii="Palatino Linotype" w:eastAsia="Palatino Linotype" w:hAnsi="Palatino Linotype" w:cs="Palatino Linotype"/>
          <w:b/>
          <w:color w:val="000000"/>
        </w:rPr>
        <w:t xml:space="preserve"> de marzo de dos mil veinticinco</w:t>
      </w:r>
      <w:r w:rsidRPr="00D013DC">
        <w:rPr>
          <w:rFonts w:ascii="Palatino Linotype" w:eastAsia="Palatino Linotype" w:hAnsi="Palatino Linotype" w:cs="Palatino Linotype"/>
          <w:color w:val="000000"/>
        </w:rPr>
        <w:t xml:space="preserve"> se acordó ampliar el término para resolver el presente asunto.</w:t>
      </w:r>
    </w:p>
    <w:p w:rsidR="00265282" w:rsidRPr="00D013DC" w:rsidRDefault="00265282">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265282" w:rsidRPr="00D013DC" w:rsidRDefault="00265282">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65282" w:rsidRPr="00D013DC" w:rsidRDefault="00265282">
      <w:pPr>
        <w:pBdr>
          <w:top w:val="nil"/>
          <w:left w:val="nil"/>
          <w:bottom w:val="nil"/>
          <w:right w:val="nil"/>
          <w:between w:val="nil"/>
        </w:pBdr>
        <w:ind w:left="720" w:right="-787"/>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65282" w:rsidRPr="00D013DC" w:rsidRDefault="00265282">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lastRenderedPageBreak/>
        <w:t xml:space="preserve">Por ello, excepcionalmente, si un asunto es resuelto con posterioridad a los plazos señalados por la norma debe analizarse la razonabilidad de dicha dilación atendiendo a los siguientes criterios:   </w:t>
      </w:r>
    </w:p>
    <w:p w:rsidR="00265282" w:rsidRPr="00D013DC" w:rsidRDefault="004154F8">
      <w:pPr>
        <w:numPr>
          <w:ilvl w:val="0"/>
          <w:numId w:val="6"/>
        </w:numPr>
        <w:pBdr>
          <w:top w:val="nil"/>
          <w:left w:val="nil"/>
          <w:bottom w:val="nil"/>
          <w:right w:val="nil"/>
          <w:between w:val="nil"/>
        </w:pBdr>
        <w:ind w:right="-7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Complejidad del </w:t>
      </w:r>
      <w:r w:rsidRPr="00D013DC">
        <w:rPr>
          <w:rFonts w:ascii="Palatino Linotype" w:eastAsia="Palatino Linotype" w:hAnsi="Palatino Linotype" w:cs="Palatino Linotype"/>
        </w:rPr>
        <w:t>asunto</w:t>
      </w:r>
      <w:r w:rsidRPr="00D013DC">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265282" w:rsidRPr="00D013DC" w:rsidRDefault="004154F8">
      <w:pPr>
        <w:numPr>
          <w:ilvl w:val="0"/>
          <w:numId w:val="6"/>
        </w:numPr>
        <w:pBdr>
          <w:top w:val="nil"/>
          <w:left w:val="nil"/>
          <w:bottom w:val="nil"/>
          <w:right w:val="nil"/>
          <w:between w:val="nil"/>
        </w:pBdr>
        <w:ind w:right="-7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Actividad Procesal del interesado. Acciones u omisiones del interesado.</w:t>
      </w:r>
    </w:p>
    <w:p w:rsidR="00265282" w:rsidRPr="00D013DC" w:rsidRDefault="004154F8">
      <w:pPr>
        <w:numPr>
          <w:ilvl w:val="0"/>
          <w:numId w:val="6"/>
        </w:numPr>
        <w:pBdr>
          <w:top w:val="nil"/>
          <w:left w:val="nil"/>
          <w:bottom w:val="nil"/>
          <w:right w:val="nil"/>
          <w:between w:val="nil"/>
        </w:pBdr>
        <w:ind w:right="-7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265282" w:rsidRPr="00D013DC" w:rsidRDefault="004154F8">
      <w:pPr>
        <w:ind w:left="851" w:right="-79" w:hanging="284"/>
        <w:jc w:val="both"/>
        <w:rPr>
          <w:rFonts w:ascii="Palatino Linotype" w:eastAsia="Palatino Linotype" w:hAnsi="Palatino Linotype" w:cs="Palatino Linotype"/>
        </w:rPr>
      </w:pPr>
      <w:r w:rsidRPr="00D013DC">
        <w:rPr>
          <w:rFonts w:ascii="Palatino Linotype" w:eastAsia="Palatino Linotype" w:hAnsi="Palatino Linotype" w:cs="Palatino Linotype"/>
        </w:rPr>
        <w:t>d) La afectación generada en la situación jurídica de la persona involucrada en el proceso: Violación a sus derechos humanos.</w:t>
      </w:r>
    </w:p>
    <w:p w:rsidR="00265282" w:rsidRPr="00D013DC" w:rsidRDefault="00265282">
      <w:pPr>
        <w:spacing w:line="360" w:lineRule="auto"/>
        <w:ind w:left="851" w:right="-787" w:hanging="284"/>
        <w:jc w:val="both"/>
        <w:rPr>
          <w:rFonts w:ascii="Palatino Linotype" w:eastAsia="Palatino Linotype" w:hAnsi="Palatino Linotype" w:cs="Palatino Linotype"/>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65282" w:rsidRPr="00D013DC" w:rsidRDefault="00265282">
      <w:pPr>
        <w:pBdr>
          <w:top w:val="nil"/>
          <w:left w:val="nil"/>
          <w:bottom w:val="nil"/>
          <w:right w:val="nil"/>
          <w:between w:val="nil"/>
        </w:pBdr>
        <w:spacing w:line="360" w:lineRule="auto"/>
        <w:ind w:right="-787"/>
        <w:jc w:val="both"/>
        <w:rPr>
          <w:rFonts w:ascii="Palatino Linotype" w:hAnsi="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D013DC">
        <w:rPr>
          <w:rFonts w:ascii="Palatino Linotype" w:eastAsia="Palatino Linotype" w:hAnsi="Palatino Linotype" w:cs="Palatino Linotype"/>
        </w:rPr>
        <w:t>del rubro</w:t>
      </w:r>
      <w:r w:rsidRPr="00D013DC">
        <w:rPr>
          <w:rFonts w:ascii="Palatino Linotype" w:eastAsia="Palatino Linotype" w:hAnsi="Palatino Linotype" w:cs="Palatino Linotype"/>
          <w:color w:val="000000"/>
        </w:rPr>
        <w:t xml:space="preserve"> </w:t>
      </w:r>
      <w:r w:rsidRPr="00D013DC">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D013DC">
        <w:rPr>
          <w:rFonts w:ascii="Palatino Linotype" w:eastAsia="Palatino Linotype" w:hAnsi="Palatino Linotype" w:cs="Palatino Linotype"/>
          <w:color w:val="000000"/>
        </w:rPr>
        <w:t xml:space="preserve">, visible en la Gaceta del </w:t>
      </w:r>
      <w:r w:rsidRPr="00D013DC">
        <w:rPr>
          <w:rFonts w:ascii="Palatino Linotype" w:eastAsia="Palatino Linotype" w:hAnsi="Palatino Linotype" w:cs="Palatino Linotype"/>
        </w:rPr>
        <w:t>Semanario</w:t>
      </w:r>
      <w:r w:rsidRPr="00D013DC">
        <w:rPr>
          <w:rFonts w:ascii="Palatino Linotype" w:eastAsia="Palatino Linotype" w:hAnsi="Palatino Linotype" w:cs="Palatino Linotype"/>
          <w:color w:val="000000"/>
        </w:rPr>
        <w:t xml:space="preserve"> Judicial de la Federación con el registro digital 205635.</w:t>
      </w:r>
    </w:p>
    <w:p w:rsidR="00265282" w:rsidRPr="00D013DC" w:rsidRDefault="00265282">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5" w:name="_heading=h.3znysh7" w:colFirst="0" w:colLast="0"/>
      <w:bookmarkEnd w:id="5"/>
      <w:r w:rsidRPr="00D013DC">
        <w:rPr>
          <w:rFonts w:ascii="Palatino Linotype" w:eastAsia="Palatino Linotype" w:hAnsi="Palatino Linotype" w:cs="Palatino Linotype"/>
          <w:color w:val="000000"/>
        </w:rPr>
        <w:lastRenderedPageBreak/>
        <w:t xml:space="preserve">Seguidamente, en fecha </w:t>
      </w:r>
      <w:r w:rsidR="004C6356" w:rsidRPr="00D013DC">
        <w:rPr>
          <w:rFonts w:ascii="Palatino Linotype" w:eastAsia="Palatino Linotype" w:hAnsi="Palatino Linotype" w:cs="Palatino Linotype"/>
          <w:b/>
          <w:color w:val="000000"/>
        </w:rPr>
        <w:t>cinco</w:t>
      </w:r>
      <w:r w:rsidRPr="00D013DC">
        <w:rPr>
          <w:rFonts w:ascii="Palatino Linotype" w:eastAsia="Palatino Linotype" w:hAnsi="Palatino Linotype" w:cs="Palatino Linotype"/>
          <w:b/>
          <w:color w:val="000000"/>
        </w:rPr>
        <w:t xml:space="preserve"> de marzo de dos mil veinticinco</w:t>
      </w:r>
      <w:r w:rsidRPr="00D013DC">
        <w:rPr>
          <w:rFonts w:ascii="Palatino Linotype" w:eastAsia="Palatino Linotype" w:hAnsi="Palatino Linotype" w:cs="Palatino Linotype"/>
          <w:color w:val="000000"/>
        </w:rPr>
        <w:t xml:space="preserve">, la Comisionada Ponente dictó el </w:t>
      </w:r>
      <w:r w:rsidRPr="00D013DC">
        <w:rPr>
          <w:rFonts w:ascii="Palatino Linotype" w:eastAsia="Palatino Linotype" w:hAnsi="Palatino Linotype" w:cs="Palatino Linotype"/>
          <w:b/>
          <w:color w:val="000000"/>
        </w:rPr>
        <w:t>cierre del periodo de instrucción</w:t>
      </w:r>
      <w:r w:rsidRPr="00D013DC">
        <w:rPr>
          <w:rFonts w:ascii="Palatino Linotype" w:eastAsia="Palatino Linotype" w:hAnsi="Palatino Linotype" w:cs="Palatino Linotype"/>
          <w:color w:val="000000"/>
        </w:rPr>
        <w:t xml:space="preserve"> y, ordenó la resolución que conforme a Derecho proceda. </w:t>
      </w:r>
    </w:p>
    <w:p w:rsidR="00265282" w:rsidRPr="00D013DC" w:rsidRDefault="00265282">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bookmarkStart w:id="6" w:name="_heading=h.c04asdm0qq3m" w:colFirst="0" w:colLast="0"/>
      <w:bookmarkEnd w:id="6"/>
    </w:p>
    <w:p w:rsidR="00265282" w:rsidRPr="00D013DC" w:rsidRDefault="004154F8">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C O N S I D E R A C I O N E S</w:t>
      </w:r>
    </w:p>
    <w:p w:rsidR="00265282" w:rsidRPr="00D013DC" w:rsidRDefault="00265282">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rsidR="00265282" w:rsidRPr="00D013DC" w:rsidRDefault="004154F8">
      <w:pPr>
        <w:pStyle w:val="Ttulo2"/>
        <w:spacing w:before="0" w:line="360" w:lineRule="auto"/>
        <w:ind w:right="-787"/>
        <w:rPr>
          <w:rFonts w:ascii="Palatino Linotype" w:eastAsia="Palatino Linotype" w:hAnsi="Palatino Linotype" w:cs="Palatino Linotype"/>
          <w:b/>
          <w:color w:val="000000"/>
          <w:sz w:val="24"/>
          <w:szCs w:val="24"/>
        </w:rPr>
      </w:pPr>
      <w:bookmarkStart w:id="7" w:name="_heading=h.2et92p0" w:colFirst="0" w:colLast="0"/>
      <w:bookmarkEnd w:id="7"/>
      <w:r w:rsidRPr="00D013DC">
        <w:rPr>
          <w:rFonts w:ascii="Palatino Linotype" w:eastAsia="Palatino Linotype" w:hAnsi="Palatino Linotype" w:cs="Palatino Linotype"/>
          <w:b/>
          <w:color w:val="000000"/>
          <w:sz w:val="24"/>
          <w:szCs w:val="24"/>
        </w:rPr>
        <w:t>PRIMER</w:t>
      </w:r>
      <w:r w:rsidR="006F331B" w:rsidRPr="00D013DC">
        <w:rPr>
          <w:rFonts w:ascii="Palatino Linotype" w:eastAsia="Palatino Linotype" w:hAnsi="Palatino Linotype" w:cs="Palatino Linotype"/>
          <w:b/>
          <w:color w:val="000000"/>
          <w:sz w:val="24"/>
          <w:szCs w:val="24"/>
        </w:rPr>
        <w:t>O</w:t>
      </w:r>
      <w:r w:rsidRPr="00D013DC">
        <w:rPr>
          <w:rFonts w:ascii="Palatino Linotype" w:eastAsia="Palatino Linotype" w:hAnsi="Palatino Linotype" w:cs="Palatino Linotype"/>
          <w:b/>
          <w:color w:val="000000"/>
          <w:sz w:val="24"/>
          <w:szCs w:val="24"/>
        </w:rPr>
        <w:t>. Competencia</w:t>
      </w: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265282" w:rsidRPr="00D013DC" w:rsidRDefault="00265282">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265282" w:rsidRPr="00D013DC" w:rsidRDefault="006F331B">
      <w:pPr>
        <w:pStyle w:val="Ttulo2"/>
        <w:spacing w:before="0" w:line="360" w:lineRule="auto"/>
        <w:ind w:right="-787"/>
        <w:rPr>
          <w:rFonts w:ascii="Palatino Linotype" w:eastAsia="Palatino Linotype" w:hAnsi="Palatino Linotype" w:cs="Palatino Linotype"/>
          <w:b/>
          <w:color w:val="000000"/>
          <w:sz w:val="24"/>
          <w:szCs w:val="24"/>
        </w:rPr>
      </w:pPr>
      <w:bookmarkStart w:id="8" w:name="_heading=h.tyjcwt" w:colFirst="0" w:colLast="0"/>
      <w:bookmarkEnd w:id="8"/>
      <w:r w:rsidRPr="00D013DC">
        <w:rPr>
          <w:rFonts w:ascii="Palatino Linotype" w:eastAsia="Palatino Linotype" w:hAnsi="Palatino Linotype" w:cs="Palatino Linotype"/>
          <w:b/>
          <w:color w:val="000000"/>
          <w:sz w:val="24"/>
          <w:szCs w:val="24"/>
        </w:rPr>
        <w:t>SEGUNDO</w:t>
      </w:r>
      <w:r w:rsidR="004154F8" w:rsidRPr="00D013DC">
        <w:rPr>
          <w:rFonts w:ascii="Palatino Linotype" w:eastAsia="Palatino Linotype" w:hAnsi="Palatino Linotype" w:cs="Palatino Linotype"/>
          <w:b/>
          <w:color w:val="000000"/>
          <w:sz w:val="24"/>
          <w:szCs w:val="24"/>
        </w:rPr>
        <w:t>. Procedencia</w:t>
      </w:r>
    </w:p>
    <w:p w:rsidR="00265282" w:rsidRPr="00D013DC" w:rsidRDefault="004154F8">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 xml:space="preserve">Este Órgano Garante considera que el medio de impugnación reúne los requisitos de procedencia </w:t>
      </w:r>
      <w:r w:rsidRPr="00D013DC">
        <w:rPr>
          <w:rFonts w:ascii="Palatino Linotype" w:eastAsia="Palatino Linotype" w:hAnsi="Palatino Linotype" w:cs="Palatino Linotype"/>
          <w:color w:val="000000"/>
        </w:rPr>
        <w:t xml:space="preserve">toda vez que: el recurso fue presentado dentro del plazo establecido en el </w:t>
      </w:r>
      <w:r w:rsidRPr="00D013DC">
        <w:rPr>
          <w:rFonts w:ascii="Palatino Linotype" w:eastAsia="Palatino Linotype" w:hAnsi="Palatino Linotype" w:cs="Palatino Linotype"/>
          <w:color w:val="000000"/>
        </w:rPr>
        <w:lastRenderedPageBreak/>
        <w:t>artículo 178, de la Ley de Transparencia y Acceso a la Información Pública del Estado de México y Municipios; asimismo no se tiene conocimiento de que se encuentre en trámite algún medio de defensa presentado por el Recurrente ante otra instancia.</w:t>
      </w:r>
    </w:p>
    <w:p w:rsidR="00265282" w:rsidRPr="00D013DC" w:rsidRDefault="00265282">
      <w:pPr>
        <w:spacing w:line="360" w:lineRule="auto"/>
        <w:ind w:right="-787"/>
        <w:jc w:val="both"/>
        <w:rPr>
          <w:rFonts w:ascii="Palatino Linotype" w:eastAsia="Palatino Linotype" w:hAnsi="Palatino Linotype" w:cs="Palatino Linotype"/>
        </w:rPr>
      </w:pPr>
    </w:p>
    <w:p w:rsidR="00265282" w:rsidRPr="00D013DC" w:rsidRDefault="004154F8">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Por otro lado, el escrito contiene las formalidades previstas por el artículo 180, último párrafo, de la citada Ley de la materia, por lo que es procedente que este Instituto conozca y resuelva el presente recurso.</w:t>
      </w:r>
    </w:p>
    <w:p w:rsidR="00265282" w:rsidRPr="00D013DC" w:rsidRDefault="00265282">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rsidR="00265282" w:rsidRPr="00D013DC" w:rsidRDefault="006F331B">
      <w:pPr>
        <w:pStyle w:val="Ttulo1"/>
        <w:spacing w:before="0" w:line="360" w:lineRule="auto"/>
        <w:ind w:right="-787"/>
        <w:rPr>
          <w:rFonts w:ascii="Palatino Linotype" w:eastAsia="Palatino Linotype" w:hAnsi="Palatino Linotype" w:cs="Palatino Linotype"/>
          <w:b/>
          <w:color w:val="000000"/>
          <w:sz w:val="24"/>
          <w:szCs w:val="24"/>
        </w:rPr>
      </w:pPr>
      <w:bookmarkStart w:id="9" w:name="_heading=h.3dy6vkm" w:colFirst="0" w:colLast="0"/>
      <w:bookmarkEnd w:id="9"/>
      <w:r w:rsidRPr="00D013DC">
        <w:rPr>
          <w:rFonts w:ascii="Palatino Linotype" w:eastAsia="Palatino Linotype" w:hAnsi="Palatino Linotype" w:cs="Palatino Linotype"/>
          <w:b/>
          <w:color w:val="000000"/>
          <w:sz w:val="24"/>
          <w:szCs w:val="24"/>
        </w:rPr>
        <w:t>TERCERO</w:t>
      </w:r>
      <w:r w:rsidR="004154F8" w:rsidRPr="00D013DC">
        <w:rPr>
          <w:rFonts w:ascii="Palatino Linotype" w:eastAsia="Palatino Linotype" w:hAnsi="Palatino Linotype" w:cs="Palatino Linotype"/>
          <w:b/>
          <w:color w:val="000000"/>
          <w:sz w:val="24"/>
          <w:szCs w:val="24"/>
        </w:rPr>
        <w:t>. Descripción de hechos y planteamiento de la controversia.</w:t>
      </w: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Se solicitó tener acceso, a la información que a continuación se describe:</w:t>
      </w:r>
    </w:p>
    <w:p w:rsidR="002C36CC" w:rsidRPr="00D013DC" w:rsidRDefault="002C36CC" w:rsidP="004C6356">
      <w:pPr>
        <w:pBdr>
          <w:top w:val="nil"/>
          <w:left w:val="nil"/>
          <w:bottom w:val="nil"/>
          <w:right w:val="nil"/>
          <w:between w:val="nil"/>
        </w:pBdr>
        <w:ind w:left="1134" w:right="-788"/>
        <w:jc w:val="both"/>
        <w:rPr>
          <w:rFonts w:ascii="Palatino Linotype" w:eastAsia="Palatino Linotype" w:hAnsi="Palatino Linotype" w:cs="Palatino Linotype"/>
          <w:i/>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 xml:space="preserve">1. El oficio No. OPDAPAS/DG/COO/DPC/107/2017 de fecha dieciséis de febrero de dos mil diecisiete, expedido por la Dirección General del Organismo Público Descentralizado para la Prestación de los Servicios de Agua Potable, Alcantarillado y Saneamiento del municipio de Zinacantepec, por el cual se emitió la factibilidad de dotación de los servicios de agua potable y drenaje para el desarrollo en comento. </w:t>
      </w: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 xml:space="preserve">2. Indique si la empresa “CASAS PROCSA”, S.A. de C.V. ejecutó y entregó las instalaciones y de las obras de infraestructura complementarias para la operación del desarrollo, tales como pozo profundo, tanque elevado de agua potable, cárcamo, pozos de absorción y demás que sean necesarias, así como de las obras de infraestructura primaria. </w:t>
      </w: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 xml:space="preserve">3. Solicito los oficios y/o documentos generados por la supervisión de las instalaciones y de las obras de infraestructura complementarias para la operación del desarrollo en comento, tales como pozo profundo, tanque elevado de agua potable, cárcamo, pozos de absorción y demás, por parte de esta autoridad. </w:t>
      </w: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En relación con el Decreto Número 187, del Poder Ejecutivo del Estado, publicado en el periódico oficial “Gaceta del Gobierno” del Estado de México el 21 de </w:t>
      </w:r>
      <w:r w:rsidRPr="00D013DC">
        <w:rPr>
          <w:rFonts w:ascii="Palatino Linotype" w:eastAsia="Palatino Linotype" w:hAnsi="Palatino Linotype" w:cs="Palatino Linotype"/>
          <w:color w:val="000000"/>
        </w:rPr>
        <w:lastRenderedPageBreak/>
        <w:t>diciembre de 2016 y la cláusula novena del acuerdo publicado en “Gaceta de Gobierno” de fecha 14 de febrero de 201.</w:t>
      </w: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Los pagos realizados por la empresa “CASAS PROCSA”, S.A. de C.V:</w:t>
      </w: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 xml:space="preserve">4. Por el control para el establecimiento de los sistemas de agua potable y de alcantarillado, por las viviendas tipo medio previstas en el desarrollo. </w:t>
      </w: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 xml:space="preserve">5. Por la conexión de la toma para el suministro de agua en bloque proporcionada por las autoridades correspondientes. </w:t>
      </w: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4C6356" w:rsidRPr="00D013DC" w:rsidRDefault="004C6356" w:rsidP="004C6356">
      <w:pPr>
        <w:pBdr>
          <w:top w:val="nil"/>
          <w:left w:val="nil"/>
          <w:bottom w:val="nil"/>
          <w:right w:val="nil"/>
          <w:between w:val="nil"/>
        </w:pBdr>
        <w:ind w:left="851" w:right="-787"/>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6. Los reportes, registros, seguimientos, evaluaciones y/o cualquier otro documento por virtud del cual, el Gobierno del Estado de México haya verificado, supervisado y auditado el cumplimiento a las disposiciones legales conducentes en referencia al Conjunto Urbano antes indicado.</w:t>
      </w:r>
    </w:p>
    <w:p w:rsidR="00182905" w:rsidRPr="00D013DC" w:rsidRDefault="00182905" w:rsidP="00182905">
      <w:pPr>
        <w:pBdr>
          <w:top w:val="nil"/>
          <w:left w:val="nil"/>
          <w:bottom w:val="nil"/>
          <w:right w:val="nil"/>
          <w:between w:val="nil"/>
        </w:pBdr>
        <w:spacing w:line="360" w:lineRule="auto"/>
        <w:ind w:left="1134" w:right="-787"/>
        <w:jc w:val="both"/>
        <w:rPr>
          <w:rFonts w:ascii="Palatino Linotype" w:eastAsia="Palatino Linotype" w:hAnsi="Palatino Linotype" w:cs="Palatino Linotype"/>
          <w:i/>
          <w:color w:val="000000"/>
        </w:rPr>
      </w:pPr>
    </w:p>
    <w:p w:rsidR="00265282" w:rsidRPr="00D013DC" w:rsidRDefault="004154F8" w:rsidP="00720510">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rPr>
        <w:t>En respuesta, el Sujeto Obligado</w:t>
      </w:r>
      <w:r w:rsidRPr="00D013DC">
        <w:rPr>
          <w:rFonts w:ascii="Palatino Linotype" w:eastAsia="Palatino Linotype" w:hAnsi="Palatino Linotype" w:cs="Palatino Linotype"/>
          <w:b/>
        </w:rPr>
        <w:t xml:space="preserve"> </w:t>
      </w:r>
      <w:r w:rsidR="002C36CC" w:rsidRPr="00D013DC">
        <w:rPr>
          <w:rFonts w:ascii="Palatino Linotype" w:eastAsia="Palatino Linotype" w:hAnsi="Palatino Linotype" w:cs="Palatino Linotype"/>
        </w:rPr>
        <w:t>se pronunció como ya se plasmó</w:t>
      </w:r>
      <w:r w:rsidRPr="00D013DC">
        <w:rPr>
          <w:rFonts w:ascii="Palatino Linotype" w:eastAsia="Palatino Linotype" w:hAnsi="Palatino Linotype" w:cs="Palatino Linotype"/>
        </w:rPr>
        <w:t xml:space="preserve"> en el anterior párrafo 2, inconforme con la respuesta, se interpuso Recu</w:t>
      </w:r>
      <w:r w:rsidR="002C36CC" w:rsidRPr="00D013DC">
        <w:rPr>
          <w:rFonts w:ascii="Palatino Linotype" w:eastAsia="Palatino Linotype" w:hAnsi="Palatino Linotype" w:cs="Palatino Linotype"/>
        </w:rPr>
        <w:t xml:space="preserve">rso de Revisión </w:t>
      </w:r>
      <w:r w:rsidR="00565AAE" w:rsidRPr="00D013DC">
        <w:rPr>
          <w:rFonts w:ascii="Palatino Linotype" w:eastAsia="Palatino Linotype" w:hAnsi="Palatino Linotype" w:cs="Palatino Linotype"/>
        </w:rPr>
        <w:t>manifestando</w:t>
      </w:r>
      <w:r w:rsidR="002C36CC" w:rsidRPr="00D013DC">
        <w:rPr>
          <w:rFonts w:ascii="Palatino Linotype" w:eastAsia="Palatino Linotype" w:hAnsi="Palatino Linotype" w:cs="Palatino Linotype"/>
        </w:rPr>
        <w:t xml:space="preserve"> la negativa de la </w:t>
      </w:r>
      <w:r w:rsidR="00EF45D5" w:rsidRPr="00D013DC">
        <w:rPr>
          <w:rFonts w:ascii="Palatino Linotype" w:eastAsia="Palatino Linotype" w:hAnsi="Palatino Linotype" w:cs="Palatino Linotype"/>
        </w:rPr>
        <w:t>información</w:t>
      </w:r>
      <w:r w:rsidR="00565AAE" w:rsidRPr="00D013DC">
        <w:rPr>
          <w:rFonts w:ascii="Palatino Linotype" w:eastAsia="Palatino Linotype" w:hAnsi="Palatino Linotype" w:cs="Palatino Linotype"/>
        </w:rPr>
        <w:t xml:space="preserve"> solicitada, y doliéndose del argumento del Sujeto Obligado en relación a la vulneración al debido proceso y la clasificación de la información como reservada.</w:t>
      </w:r>
    </w:p>
    <w:p w:rsidR="00265282" w:rsidRPr="00D013DC" w:rsidRDefault="00265282">
      <w:pPr>
        <w:spacing w:line="360" w:lineRule="auto"/>
        <w:ind w:right="-787"/>
        <w:jc w:val="both"/>
        <w:rPr>
          <w:rFonts w:ascii="Palatino Linotype" w:eastAsia="Palatino Linotype" w:hAnsi="Palatino Linotype" w:cs="Palatino Linotype"/>
          <w:i/>
          <w:color w:val="000000"/>
        </w:rPr>
      </w:pPr>
    </w:p>
    <w:p w:rsidR="00265282" w:rsidRPr="00D013DC" w:rsidRDefault="004154F8">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w:t>
      </w:r>
      <w:r w:rsidR="00C47F43" w:rsidRPr="00D013DC">
        <w:rPr>
          <w:rFonts w:ascii="Palatino Linotype" w:eastAsia="Palatino Linotype" w:hAnsi="Palatino Linotype" w:cs="Palatino Linotype"/>
        </w:rPr>
        <w:t>I</w:t>
      </w:r>
      <w:r w:rsidR="00EF45D5" w:rsidRPr="00D013DC">
        <w:rPr>
          <w:rFonts w:ascii="Palatino Linotype" w:eastAsia="Palatino Linotype" w:hAnsi="Palatino Linotype" w:cs="Palatino Linotype"/>
        </w:rPr>
        <w:t>I</w:t>
      </w:r>
      <w:r w:rsidRPr="00D013DC">
        <w:rPr>
          <w:rFonts w:ascii="Palatino Linotype" w:eastAsia="Palatino Linotype" w:hAnsi="Palatino Linotype" w:cs="Palatino Linotype"/>
        </w:rPr>
        <w:t>,</w:t>
      </w:r>
      <w:r w:rsidRPr="00D013DC">
        <w:rPr>
          <w:rFonts w:ascii="Palatino Linotype" w:eastAsia="Palatino Linotype" w:hAnsi="Palatino Linotype" w:cs="Palatino Linotype"/>
          <w:b/>
        </w:rPr>
        <w:t xml:space="preserve"> </w:t>
      </w:r>
      <w:r w:rsidRPr="00D013DC">
        <w:rPr>
          <w:rFonts w:ascii="Palatino Linotype" w:eastAsia="Palatino Linotype" w:hAnsi="Palatino Linotype" w:cs="Palatino Linotype"/>
        </w:rPr>
        <w:t>de la Ley de Transparencia y Acceso a la Información Pública del Estado de</w:t>
      </w:r>
      <w:r w:rsidRPr="00D013DC">
        <w:rPr>
          <w:rFonts w:ascii="Palatino Linotype" w:eastAsia="Palatino Linotype" w:hAnsi="Palatino Linotype" w:cs="Palatino Linotype"/>
          <w:b/>
        </w:rPr>
        <w:t xml:space="preserve"> </w:t>
      </w:r>
      <w:r w:rsidRPr="00D013DC">
        <w:rPr>
          <w:rFonts w:ascii="Palatino Linotype" w:eastAsia="Palatino Linotype" w:hAnsi="Palatino Linotype" w:cs="Palatino Linotype"/>
        </w:rPr>
        <w:t>México</w:t>
      </w:r>
      <w:r w:rsidRPr="00D013DC">
        <w:rPr>
          <w:rFonts w:ascii="Palatino Linotype" w:eastAsia="Palatino Linotype" w:hAnsi="Palatino Linotype" w:cs="Palatino Linotype"/>
          <w:b/>
        </w:rPr>
        <w:t xml:space="preserve"> </w:t>
      </w:r>
      <w:r w:rsidRPr="00D013DC">
        <w:rPr>
          <w:rFonts w:ascii="Palatino Linotype" w:eastAsia="Palatino Linotype" w:hAnsi="Palatino Linotype" w:cs="Palatino Linotype"/>
        </w:rPr>
        <w:t>y</w:t>
      </w:r>
      <w:r w:rsidRPr="00D013DC">
        <w:rPr>
          <w:rFonts w:ascii="Palatino Linotype" w:eastAsia="Palatino Linotype" w:hAnsi="Palatino Linotype" w:cs="Palatino Linotype"/>
          <w:b/>
        </w:rPr>
        <w:t xml:space="preserve"> </w:t>
      </w:r>
      <w:r w:rsidRPr="00D013DC">
        <w:rPr>
          <w:rFonts w:ascii="Palatino Linotype" w:eastAsia="Palatino Linotype" w:hAnsi="Palatino Linotype" w:cs="Palatino Linotype"/>
        </w:rPr>
        <w:t xml:space="preserve">Municipios; </w:t>
      </w:r>
      <w:r w:rsidRPr="00D013DC">
        <w:rPr>
          <w:rFonts w:ascii="Palatino Linotype" w:eastAsia="Palatino Linotype" w:hAnsi="Palatino Linotype" w:cs="Palatino Linotype"/>
          <w:color w:val="000000"/>
        </w:rPr>
        <w:t>fracción que de</w:t>
      </w:r>
      <w:r w:rsidR="00EF45D5" w:rsidRPr="00D013DC">
        <w:rPr>
          <w:rFonts w:ascii="Palatino Linotype" w:eastAsia="Palatino Linotype" w:hAnsi="Palatino Linotype" w:cs="Palatino Linotype"/>
          <w:color w:val="000000"/>
        </w:rPr>
        <w:t xml:space="preserve">termina la hipótesis relativa a la </w:t>
      </w:r>
      <w:r w:rsidR="00C47F43" w:rsidRPr="00D013DC">
        <w:rPr>
          <w:rFonts w:ascii="Palatino Linotype" w:eastAsia="Palatino Linotype" w:hAnsi="Palatino Linotype" w:cs="Palatino Linotype"/>
          <w:color w:val="000000"/>
        </w:rPr>
        <w:t>clasificación de la información</w:t>
      </w:r>
      <w:r w:rsidRPr="00D013DC">
        <w:rPr>
          <w:rFonts w:ascii="Palatino Linotype" w:eastAsia="Palatino Linotype" w:hAnsi="Palatino Linotype" w:cs="Palatino Linotype"/>
          <w:color w:val="000000"/>
        </w:rPr>
        <w:t xml:space="preserve">; </w:t>
      </w:r>
      <w:r w:rsidRPr="00D013DC">
        <w:rPr>
          <w:rFonts w:ascii="Palatino Linotype" w:eastAsia="Palatino Linotype" w:hAnsi="Palatino Linotype" w:cs="Palatino Linotype"/>
        </w:rPr>
        <w:t>contexto del cual se dolió el Recurrente al momento de impugnar el acto.</w:t>
      </w:r>
      <w:r w:rsidRPr="00D013DC">
        <w:rPr>
          <w:rFonts w:ascii="Palatino Linotype" w:eastAsia="Palatino Linotype" w:hAnsi="Palatino Linotype" w:cs="Palatino Linotype"/>
          <w:color w:val="000000"/>
        </w:rPr>
        <w:t xml:space="preserve"> De </w:t>
      </w:r>
      <w:r w:rsidRPr="00D013DC">
        <w:rPr>
          <w:rFonts w:ascii="Palatino Linotype" w:eastAsia="Palatino Linotype" w:hAnsi="Palatino Linotype" w:cs="Palatino Linotype"/>
          <w:color w:val="000000"/>
        </w:rPr>
        <w:lastRenderedPageBreak/>
        <w:t xml:space="preserve">modo tal que el presente recurso de revisión se </w:t>
      </w:r>
      <w:r w:rsidRPr="00D013DC">
        <w:rPr>
          <w:rFonts w:ascii="Palatino Linotype" w:eastAsia="Palatino Linotype" w:hAnsi="Palatino Linotype" w:cs="Palatino Linotype"/>
        </w:rPr>
        <w:t>abocará</w:t>
      </w:r>
      <w:r w:rsidRPr="00D013DC">
        <w:rPr>
          <w:rFonts w:ascii="Palatino Linotype" w:eastAsia="Palatino Linotype" w:hAnsi="Palatino Linotype" w:cs="Palatino Linotype"/>
          <w:color w:val="000000"/>
        </w:rPr>
        <w:t xml:space="preserve"> en determinar si el Sujeto Obligado con su respuesta ciertamente actualiza la causal de procedencia</w:t>
      </w:r>
      <w:r w:rsidRPr="00D013DC">
        <w:rPr>
          <w:rFonts w:ascii="Palatino Linotype" w:eastAsia="Palatino Linotype" w:hAnsi="Palatino Linotype" w:cs="Palatino Linotype"/>
          <w:b/>
          <w:color w:val="000000"/>
        </w:rPr>
        <w:t xml:space="preserve"> </w:t>
      </w:r>
      <w:r w:rsidRPr="00D013DC">
        <w:rPr>
          <w:rFonts w:ascii="Palatino Linotype" w:eastAsia="Palatino Linotype" w:hAnsi="Palatino Linotype" w:cs="Palatino Linotype"/>
          <w:color w:val="000000"/>
        </w:rPr>
        <w:t xml:space="preserve">señalada. </w:t>
      </w:r>
    </w:p>
    <w:p w:rsidR="00265282" w:rsidRPr="00D013DC" w:rsidRDefault="00265282">
      <w:pPr>
        <w:spacing w:line="360" w:lineRule="auto"/>
        <w:ind w:right="-787"/>
        <w:rPr>
          <w:rFonts w:ascii="Palatino Linotype" w:eastAsia="Palatino Linotype" w:hAnsi="Palatino Linotype" w:cs="Palatino Linotype"/>
        </w:rPr>
      </w:pPr>
    </w:p>
    <w:p w:rsidR="00265282" w:rsidRPr="00D013DC" w:rsidRDefault="006F331B">
      <w:pPr>
        <w:pStyle w:val="Ttulo2"/>
        <w:spacing w:before="0" w:line="360" w:lineRule="auto"/>
        <w:ind w:right="-787"/>
        <w:rPr>
          <w:rFonts w:ascii="Palatino Linotype" w:eastAsia="Palatino Linotype" w:hAnsi="Palatino Linotype" w:cs="Palatino Linotype"/>
          <w:b/>
          <w:color w:val="000000"/>
          <w:sz w:val="24"/>
          <w:szCs w:val="24"/>
        </w:rPr>
      </w:pPr>
      <w:bookmarkStart w:id="10" w:name="_heading=h.1t3h5sf" w:colFirst="0" w:colLast="0"/>
      <w:bookmarkEnd w:id="10"/>
      <w:r w:rsidRPr="00D013DC">
        <w:rPr>
          <w:rFonts w:ascii="Palatino Linotype" w:eastAsia="Palatino Linotype" w:hAnsi="Palatino Linotype" w:cs="Palatino Linotype"/>
          <w:b/>
          <w:color w:val="000000"/>
          <w:sz w:val="24"/>
          <w:szCs w:val="24"/>
        </w:rPr>
        <w:t>CUARTO</w:t>
      </w:r>
      <w:r w:rsidR="004154F8" w:rsidRPr="00D013DC">
        <w:rPr>
          <w:rFonts w:ascii="Palatino Linotype" w:eastAsia="Palatino Linotype" w:hAnsi="Palatino Linotype" w:cs="Palatino Linotype"/>
          <w:b/>
          <w:color w:val="000000"/>
          <w:sz w:val="24"/>
          <w:szCs w:val="24"/>
        </w:rPr>
        <w:t>. Estudio de la controversia.</w:t>
      </w:r>
    </w:p>
    <w:p w:rsidR="00265282" w:rsidRPr="00D013DC" w:rsidRDefault="004154F8">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65282" w:rsidRPr="00D013DC" w:rsidRDefault="00265282">
      <w:pPr>
        <w:spacing w:line="360" w:lineRule="auto"/>
        <w:ind w:right="-787"/>
        <w:jc w:val="both"/>
        <w:rPr>
          <w:rFonts w:ascii="Palatino Linotype" w:eastAsia="Palatino Linotype" w:hAnsi="Palatino Linotype" w:cs="Palatino Linotype"/>
        </w:rPr>
      </w:pPr>
    </w:p>
    <w:p w:rsidR="00265282" w:rsidRPr="00D013DC" w:rsidRDefault="004154F8">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65282" w:rsidRPr="00D013DC" w:rsidRDefault="00265282">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65282" w:rsidRPr="00D013DC" w:rsidRDefault="004154F8">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w:t>
      </w:r>
      <w:r w:rsidRPr="00D013DC">
        <w:rPr>
          <w:rFonts w:ascii="Palatino Linotype" w:eastAsia="Palatino Linotype" w:hAnsi="Palatino Linotype" w:cs="Palatino Linotype"/>
        </w:rPr>
        <w:lastRenderedPageBreak/>
        <w:t>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65282" w:rsidRPr="00D013DC" w:rsidRDefault="00265282">
      <w:pPr>
        <w:spacing w:line="360" w:lineRule="auto"/>
        <w:ind w:right="-787"/>
        <w:jc w:val="both"/>
        <w:rPr>
          <w:rFonts w:ascii="Palatino Linotype" w:eastAsia="Palatino Linotype" w:hAnsi="Palatino Linotype" w:cs="Palatino Linotype"/>
        </w:rPr>
      </w:pPr>
    </w:p>
    <w:p w:rsidR="00265282" w:rsidRPr="00D013DC" w:rsidRDefault="004154F8" w:rsidP="007B1B63">
      <w:pPr>
        <w:numPr>
          <w:ilvl w:val="0"/>
          <w:numId w:val="3"/>
        </w:numPr>
        <w:pBdr>
          <w:top w:val="nil"/>
          <w:left w:val="nil"/>
          <w:bottom w:val="nil"/>
          <w:right w:val="nil"/>
          <w:between w:val="nil"/>
        </w:pBdr>
        <w:spacing w:line="360" w:lineRule="auto"/>
        <w:ind w:left="0" w:right="-787" w:firstLine="66"/>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Del Sujeto Obligado.</w:t>
      </w:r>
    </w:p>
    <w:p w:rsidR="00265282" w:rsidRPr="00D013DC" w:rsidRDefault="00B877F9">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Para el despacho de los asuntos municipales, el Ayuntamiento se auxiliará de diversas dependencias, organismos públicos descentralizados, desconcentrados y autónomos de la administración pública municipal, necesarios para el desarrollo de sus actividades, entre ellos, el Organismo Público Descentralizado para la Prestación de Servicios de Agua Potable, Alcantarillado y Saneamiento de Zinacantepec, de conformidad con lo establecido en el Banco Municipal 2024, artículo 21, fracción II, numeral 2.</w:t>
      </w:r>
    </w:p>
    <w:p w:rsidR="00B877F9" w:rsidRPr="00D013DC" w:rsidRDefault="00B877F9" w:rsidP="00B877F9">
      <w:pPr>
        <w:spacing w:line="360" w:lineRule="auto"/>
        <w:ind w:right="-787"/>
        <w:jc w:val="both"/>
        <w:rPr>
          <w:rFonts w:ascii="Palatino Linotype" w:hAnsi="Palatino Linotype"/>
        </w:rPr>
      </w:pPr>
    </w:p>
    <w:p w:rsidR="00B877F9" w:rsidRPr="00D013DC" w:rsidRDefault="00B877F9">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La prestación, control y vigilancia de los servicios de suministro de agua potable, drenaje, alcantarillado, tratamiento y disposición de aguas residuales, dentro del territorio municipal, se realizará a través del Organismo Público Descentralizado para la Prestación de los Servicios de Agua Potable, Alcantarillado y Saneamiento del Municipio de Zinacantepec, mismo que dentro de sus funciones tendrá las siguientes:</w:t>
      </w:r>
    </w:p>
    <w:p w:rsidR="00B877F9" w:rsidRPr="00D013DC" w:rsidRDefault="00B877F9" w:rsidP="00B877F9">
      <w:pPr>
        <w:spacing w:line="360" w:lineRule="auto"/>
        <w:ind w:right="-787"/>
        <w:jc w:val="both"/>
        <w:rPr>
          <w:rFonts w:ascii="Palatino Linotype" w:hAnsi="Palatino Linotype"/>
        </w:rPr>
      </w:pPr>
    </w:p>
    <w:p w:rsidR="00265282" w:rsidRPr="00D013DC" w:rsidRDefault="00B877F9">
      <w:pPr>
        <w:ind w:left="566" w:right="-220"/>
        <w:jc w:val="center"/>
        <w:rPr>
          <w:rFonts w:ascii="Palatino Linotype" w:eastAsia="Palatino Linotype" w:hAnsi="Palatino Linotype" w:cs="Palatino Linotype"/>
          <w:b/>
          <w:i/>
        </w:rPr>
      </w:pPr>
      <w:r w:rsidRPr="00D013DC">
        <w:rPr>
          <w:rFonts w:ascii="Palatino Linotype" w:eastAsia="Palatino Linotype" w:hAnsi="Palatino Linotype" w:cs="Palatino Linotype"/>
          <w:b/>
          <w:i/>
        </w:rPr>
        <w:t>Bando Municipal 2024</w:t>
      </w:r>
    </w:p>
    <w:p w:rsidR="003E460C" w:rsidRPr="00D013DC" w:rsidRDefault="003E460C">
      <w:pPr>
        <w:ind w:left="566" w:right="-220"/>
        <w:jc w:val="center"/>
        <w:rPr>
          <w:rFonts w:ascii="Palatino Linotype" w:eastAsia="Palatino Linotype" w:hAnsi="Palatino Linotype" w:cs="Palatino Linotype"/>
          <w:b/>
          <w:i/>
        </w:rPr>
      </w:pPr>
    </w:p>
    <w:p w:rsidR="00B877F9" w:rsidRPr="00D013DC" w:rsidRDefault="00B877F9">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b/>
          <w:i/>
        </w:rPr>
        <w:t xml:space="preserve">Artículo 85. </w:t>
      </w:r>
      <w:r w:rsidRPr="00D013DC">
        <w:rPr>
          <w:rFonts w:ascii="Palatino Linotype" w:eastAsia="Palatino Linotype" w:hAnsi="Palatino Linotype" w:cs="Palatino Linotype"/>
          <w:i/>
        </w:rPr>
        <w:t>El O.P.D.A.P.AS. tendrá las siguientes funciones:</w:t>
      </w:r>
    </w:p>
    <w:p w:rsidR="00B877F9" w:rsidRPr="00D013DC" w:rsidRDefault="00B877F9">
      <w:pPr>
        <w:ind w:left="566" w:right="-220"/>
        <w:jc w:val="both"/>
        <w:rPr>
          <w:rFonts w:ascii="Palatino Linotype" w:eastAsia="Palatino Linotype" w:hAnsi="Palatino Linotype" w:cs="Palatino Linotype"/>
          <w:i/>
        </w:rPr>
      </w:pPr>
    </w:p>
    <w:p w:rsidR="00B877F9" w:rsidRPr="00D013DC" w:rsidRDefault="00B877F9">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 xml:space="preserve"> I. Administrar y conservar este servicio. </w:t>
      </w:r>
    </w:p>
    <w:p w:rsidR="00B877F9" w:rsidRPr="00D013DC" w:rsidRDefault="00B877F9">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 xml:space="preserve">II. Construir, operar y mantener la infraestructura hidráulica. </w:t>
      </w:r>
    </w:p>
    <w:p w:rsidR="00E21233" w:rsidRPr="00D013DC" w:rsidRDefault="00B877F9">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III. Planear y programar los servicios de suministro de agua potable y aguas residuales.</w:t>
      </w:r>
    </w:p>
    <w:p w:rsidR="00E21233" w:rsidRPr="00D013DC" w:rsidRDefault="00E21233">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B877F9" w:rsidRPr="00D013DC" w:rsidRDefault="00B877F9">
      <w:pPr>
        <w:ind w:left="566" w:right="-220"/>
        <w:jc w:val="both"/>
        <w:rPr>
          <w:rFonts w:ascii="Palatino Linotype" w:eastAsia="Palatino Linotype" w:hAnsi="Palatino Linotype" w:cs="Palatino Linotype"/>
          <w:i/>
        </w:rPr>
      </w:pPr>
    </w:p>
    <w:p w:rsidR="00B877F9" w:rsidRPr="00D013DC" w:rsidRDefault="00B877F9">
      <w:pPr>
        <w:ind w:left="566"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Artículo 87</w:t>
      </w:r>
      <w:r w:rsidRPr="00D013DC">
        <w:rPr>
          <w:rFonts w:ascii="Palatino Linotype" w:eastAsia="Palatino Linotype" w:hAnsi="Palatino Linotype" w:cs="Palatino Linotype"/>
          <w:i/>
        </w:rPr>
        <w:t xml:space="preserve">. El O.P.D.A.P.A.S., tiene personalidad jurídica, patrimonio propio, autonomía en el manejo de sus recursos y el carácter de autoridad fiscal por conducto de su director, </w:t>
      </w:r>
      <w:r w:rsidRPr="00D013DC">
        <w:rPr>
          <w:rFonts w:ascii="Palatino Linotype" w:eastAsia="Palatino Linotype" w:hAnsi="Palatino Linotype" w:cs="Palatino Linotype"/>
          <w:b/>
          <w:i/>
        </w:rPr>
        <w:t>en relación a la recaudación y administración de las contribuciones derivadas de los servicios que presta, por lo que podrá realizar los actos de notificación, verificación, inspección, vigilancia y ejecución…</w:t>
      </w:r>
    </w:p>
    <w:p w:rsidR="00B877F9" w:rsidRPr="00D013DC" w:rsidRDefault="00B877F9">
      <w:pPr>
        <w:ind w:left="566" w:right="-220"/>
        <w:jc w:val="both"/>
        <w:rPr>
          <w:rFonts w:ascii="Palatino Linotype" w:eastAsia="Palatino Linotype" w:hAnsi="Palatino Linotype" w:cs="Palatino Linotype"/>
          <w:b/>
          <w:i/>
        </w:rPr>
      </w:pPr>
    </w:p>
    <w:p w:rsidR="00B877F9" w:rsidRPr="00D013DC" w:rsidRDefault="00B877F9">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Artículo 87. El O.P.D.A.P.A.S., tiene personalidad jurídica, patrimonio propio, autonomía en el manejo de sus recursos y el carácter de autoridad fiscal por conducto de su director, en relación a la recaudación y administración de las contribuciones derivadas de los servicios que presta, por lo que podrá realizar los actos de notificación, verificación, inspección, vigilancia y ejecución…</w:t>
      </w:r>
    </w:p>
    <w:p w:rsidR="00B877F9" w:rsidRPr="00D013DC" w:rsidRDefault="00B877F9">
      <w:pPr>
        <w:ind w:left="566" w:right="-220"/>
        <w:jc w:val="both"/>
        <w:rPr>
          <w:rFonts w:ascii="Palatino Linotype" w:eastAsia="Palatino Linotype" w:hAnsi="Palatino Linotype" w:cs="Palatino Linotype"/>
          <w:i/>
        </w:rPr>
      </w:pPr>
    </w:p>
    <w:p w:rsidR="00B877F9" w:rsidRPr="00D013DC" w:rsidRDefault="00B877F9">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B877F9" w:rsidRPr="00D013DC" w:rsidRDefault="00B877F9">
      <w:pPr>
        <w:ind w:left="566" w:right="-220"/>
        <w:jc w:val="both"/>
        <w:rPr>
          <w:rFonts w:ascii="Palatino Linotype" w:eastAsia="Palatino Linotype" w:hAnsi="Palatino Linotype" w:cs="Palatino Linotype"/>
          <w:i/>
        </w:rPr>
      </w:pPr>
    </w:p>
    <w:p w:rsidR="00B877F9" w:rsidRPr="00D013DC" w:rsidRDefault="00B877F9">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Es obligación de los desarrolladores de vivienda, constructores o propietarios de conjuntos habitacionales, industriales o de servicios, la construcción de sus redes de distribución y sistemas de drenaje, alcantarillado y saneamiento, conforme a lo que establece la normatividad vigente en la materia, así como la conexión de las mismas, a la infraestructura hidráulica municipal.</w:t>
      </w:r>
    </w:p>
    <w:p w:rsidR="00265282" w:rsidRPr="00D013DC" w:rsidRDefault="00265282">
      <w:pPr>
        <w:spacing w:line="360" w:lineRule="auto"/>
        <w:ind w:right="-787"/>
        <w:jc w:val="both"/>
        <w:rPr>
          <w:rFonts w:ascii="Palatino Linotype" w:hAnsi="Palatino Linotype"/>
        </w:rPr>
      </w:pPr>
    </w:p>
    <w:p w:rsidR="00265282" w:rsidRPr="00D013DC" w:rsidRDefault="00011C5E">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En este orden de ideas, la estructura orgánica del</w:t>
      </w:r>
      <w:r w:rsidR="00C53AB6" w:rsidRPr="00D013DC">
        <w:rPr>
          <w:rFonts w:ascii="Palatino Linotype" w:eastAsia="Palatino Linotype" w:hAnsi="Palatino Linotype" w:cs="Palatino Linotype"/>
        </w:rPr>
        <w:t xml:space="preserve"> Organismo Público Descentralizado para la Prestación de los Servicios de Agua Potable, Alcantarillado y Saneamiento del Municipio de Zinacantepec, consta de diversas unidades administrativas, entre ellas la Coordinación de Planeación, Obra y Operación, misma que a su vez cuenta </w:t>
      </w:r>
      <w:r w:rsidR="00C53AB6" w:rsidRPr="00D013DC">
        <w:rPr>
          <w:rFonts w:ascii="Palatino Linotype" w:eastAsia="Palatino Linotype" w:hAnsi="Palatino Linotype" w:cs="Palatino Linotype"/>
        </w:rPr>
        <w:lastRenderedPageBreak/>
        <w:t>con el Departamento de Planeación y Construcción y el de Operación y Mantenimiento, cuyos objetivos y funciones son los siguientes:</w:t>
      </w:r>
    </w:p>
    <w:p w:rsidR="00E21233" w:rsidRPr="00D013DC" w:rsidRDefault="00E21233" w:rsidP="00E21233">
      <w:pPr>
        <w:spacing w:line="360" w:lineRule="auto"/>
        <w:ind w:right="-787"/>
        <w:jc w:val="both"/>
        <w:rPr>
          <w:rFonts w:ascii="Palatino Linotype" w:hAnsi="Palatino Linotype"/>
        </w:rPr>
      </w:pPr>
    </w:p>
    <w:p w:rsidR="00265282" w:rsidRPr="00D013DC" w:rsidRDefault="00C53AB6" w:rsidP="00C53AB6">
      <w:pPr>
        <w:ind w:left="708" w:right="-220"/>
        <w:jc w:val="center"/>
        <w:rPr>
          <w:rFonts w:ascii="Palatino Linotype" w:eastAsia="Palatino Linotype" w:hAnsi="Palatino Linotype" w:cs="Palatino Linotype"/>
          <w:b/>
          <w:i/>
        </w:rPr>
      </w:pPr>
      <w:r w:rsidRPr="00D013DC">
        <w:rPr>
          <w:rFonts w:ascii="Palatino Linotype" w:eastAsia="Palatino Linotype" w:hAnsi="Palatino Linotype" w:cs="Palatino Linotype"/>
          <w:b/>
          <w:i/>
        </w:rPr>
        <w:t>MANUAL DE ORGANIZACIÓN DEL ORGANISMO PÚBLICO DESCENTRALIZADO PARA LA PRESTACIÓN DE LOS SERVICIOS DE AGUA POTABLE, ALCANTARILLADO Y SANEAMIENTO</w:t>
      </w:r>
    </w:p>
    <w:p w:rsidR="00265282" w:rsidRPr="00D013DC" w:rsidRDefault="00265282">
      <w:pPr>
        <w:ind w:left="708" w:right="-220"/>
        <w:jc w:val="center"/>
        <w:rPr>
          <w:rFonts w:ascii="Palatino Linotype" w:eastAsia="Palatino Linotype" w:hAnsi="Palatino Linotype" w:cs="Palatino Linotype"/>
          <w:b/>
          <w:i/>
        </w:rPr>
      </w:pPr>
    </w:p>
    <w:p w:rsidR="00C53AB6" w:rsidRPr="00D013DC" w:rsidRDefault="00C53AB6" w:rsidP="00C53AB6">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1.9 COORDINACIÓN DE PLANEACIÓN, OBRA Y OPERACIÓN.</w:t>
      </w:r>
    </w:p>
    <w:p w:rsidR="00C53AB6" w:rsidRPr="00D013DC" w:rsidRDefault="00C53AB6" w:rsidP="00C53AB6">
      <w:pPr>
        <w:ind w:left="708" w:right="-220"/>
        <w:jc w:val="both"/>
        <w:rPr>
          <w:rFonts w:ascii="Palatino Linotype" w:eastAsia="Palatino Linotype" w:hAnsi="Palatino Linotype" w:cs="Palatino Linotype"/>
          <w:b/>
          <w:i/>
        </w:rPr>
      </w:pPr>
    </w:p>
    <w:p w:rsidR="00C53AB6" w:rsidRPr="00D013DC" w:rsidRDefault="00C53AB6" w:rsidP="00C53AB6">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OBJETIVO:</w:t>
      </w:r>
    </w:p>
    <w:p w:rsidR="00E21233"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Elaborar programas y desarrollar proyectos hidráulicos sustentables; así como determinar factibilidades de servicio de agua potable y drenaje, con base al crecimiento poblacional del Municipio, con apego a las leyes y normas aplicables; así como proponer y administrar el proceso de construcción de obras hidráulicas para ampliar y mejorar los servicios de agua potable, alcantarillado y saneamiento, de acuerdo al crecimiento normal de la mancha urbana del municipio.</w:t>
      </w:r>
    </w:p>
    <w:p w:rsidR="00C53AB6" w:rsidRPr="00D013DC" w:rsidRDefault="00C53AB6" w:rsidP="00C53AB6">
      <w:pPr>
        <w:ind w:left="708" w:right="-220"/>
        <w:jc w:val="both"/>
        <w:rPr>
          <w:rFonts w:ascii="Palatino Linotype" w:eastAsia="Palatino Linotype" w:hAnsi="Palatino Linotype" w:cs="Palatino Linotype"/>
          <w:i/>
        </w:rPr>
      </w:pPr>
    </w:p>
    <w:p w:rsidR="00C53AB6" w:rsidRPr="00D013DC" w:rsidRDefault="00C53AB6" w:rsidP="00C53AB6">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FUNCIONES:</w:t>
      </w:r>
    </w:p>
    <w:p w:rsidR="00C53AB6" w:rsidRPr="00D013DC" w:rsidRDefault="00C53AB6" w:rsidP="00C53AB6">
      <w:pPr>
        <w:ind w:left="708" w:right="-220"/>
        <w:jc w:val="both"/>
        <w:rPr>
          <w:rFonts w:ascii="Palatino Linotype" w:eastAsia="Palatino Linotype" w:hAnsi="Palatino Linotype" w:cs="Palatino Linotype"/>
          <w:b/>
          <w:i/>
        </w:rPr>
      </w:pP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b/>
          <w:i/>
        </w:rPr>
        <w:t xml:space="preserve">1. </w:t>
      </w:r>
      <w:r w:rsidRPr="00D013DC">
        <w:rPr>
          <w:rFonts w:ascii="Palatino Linotype" w:eastAsia="Palatino Linotype" w:hAnsi="Palatino Linotype" w:cs="Palatino Linotype"/>
          <w:i/>
        </w:rPr>
        <w:t>Observar, proyectar y supervisar la planeación, construcción, operación y mantenimiento en cada caso los servicios de agua potable, alcantarillado y saneamiento del área Urbana del municipio;</w:t>
      </w:r>
    </w:p>
    <w:p w:rsidR="00C53AB6" w:rsidRPr="00D013DC" w:rsidRDefault="00C53AB6" w:rsidP="00C53AB6">
      <w:pPr>
        <w:ind w:left="708" w:right="-220"/>
        <w:jc w:val="both"/>
        <w:rPr>
          <w:rFonts w:ascii="Palatino Linotype" w:eastAsia="Palatino Linotype" w:hAnsi="Palatino Linotype" w:cs="Palatino Linotype"/>
          <w:i/>
        </w:rPr>
      </w:pP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2. Dirigir y supervisar el desarrollo de planes, programas, estudios y proyectos para la detección de necesidades de infraestructura en agua potable, alcantarillado y saneamiento, así como estudiar y proponer los dictámenes de factibilidad para la prestación de los servicios;</w:t>
      </w:r>
    </w:p>
    <w:p w:rsidR="00C53AB6" w:rsidRPr="00D013DC" w:rsidRDefault="00C53AB6" w:rsidP="00C53AB6">
      <w:pPr>
        <w:ind w:left="708" w:right="-220"/>
        <w:jc w:val="both"/>
        <w:rPr>
          <w:rFonts w:ascii="Palatino Linotype" w:eastAsia="Palatino Linotype" w:hAnsi="Palatino Linotype" w:cs="Palatino Linotype"/>
          <w:i/>
        </w:rPr>
      </w:pP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3. Dirigir y desarrollar el diseño y aplicación de las políticas, proyectos de acuerdo a las normas y lineamientos técnicos, para el buen manejo de los sistemas de producción, conducción y distribución de agua potable; así como los procesos del sistema de alcantarillado, así como los procesos para el saneamiento de aguas residuales;</w:t>
      </w: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lastRenderedPageBreak/>
        <w:t>…</w:t>
      </w:r>
    </w:p>
    <w:p w:rsidR="00C53AB6" w:rsidRPr="00D013DC" w:rsidRDefault="00C53AB6" w:rsidP="00C53AB6">
      <w:pPr>
        <w:ind w:left="708" w:right="-220"/>
        <w:jc w:val="both"/>
        <w:rPr>
          <w:rFonts w:ascii="Palatino Linotype" w:eastAsia="Palatino Linotype" w:hAnsi="Palatino Linotype" w:cs="Palatino Linotype"/>
          <w:i/>
        </w:rPr>
      </w:pP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9. Coordinar y vigilar el seguimiento de la operación eficiente de las fuentes de abastecimiento, líneas de conducción, redes primarias y secundarias de agua potable para el suministro del recurso, así como la recuperación de caudales;</w:t>
      </w: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C53AB6" w:rsidRPr="00D013DC" w:rsidRDefault="00C53AB6" w:rsidP="00C53AB6">
      <w:pPr>
        <w:ind w:left="708" w:right="-220"/>
        <w:jc w:val="both"/>
        <w:rPr>
          <w:rFonts w:ascii="Palatino Linotype" w:eastAsia="Palatino Linotype" w:hAnsi="Palatino Linotype" w:cs="Palatino Linotype"/>
          <w:i/>
        </w:rPr>
      </w:pPr>
    </w:p>
    <w:p w:rsidR="00C53AB6" w:rsidRPr="00D013DC" w:rsidRDefault="00C53AB6" w:rsidP="00C53AB6">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1.9.1. DEPARTAMENTO DE PLANEACIÓN Y CONSTRUCCIÓN (DT-</w:t>
      </w:r>
    </w:p>
    <w:p w:rsidR="00C53AB6" w:rsidRPr="00D013DC" w:rsidRDefault="00C53AB6" w:rsidP="00C53AB6">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DPyC)</w:t>
      </w:r>
    </w:p>
    <w:p w:rsidR="00C53AB6" w:rsidRPr="00D013DC" w:rsidRDefault="00C53AB6" w:rsidP="00C53AB6">
      <w:pPr>
        <w:ind w:left="708" w:right="-220"/>
        <w:jc w:val="both"/>
        <w:rPr>
          <w:rFonts w:ascii="Palatino Linotype" w:eastAsia="Palatino Linotype" w:hAnsi="Palatino Linotype" w:cs="Palatino Linotype"/>
          <w:b/>
          <w:i/>
        </w:rPr>
      </w:pPr>
    </w:p>
    <w:p w:rsidR="00C53AB6" w:rsidRPr="00D013DC" w:rsidRDefault="00C53AB6" w:rsidP="00C53AB6">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OBJETIVO:</w:t>
      </w:r>
    </w:p>
    <w:p w:rsidR="00C53AB6" w:rsidRPr="00D013DC" w:rsidRDefault="00C53AB6" w:rsidP="00C53AB6">
      <w:pPr>
        <w:ind w:left="708" w:right="-220"/>
        <w:jc w:val="both"/>
        <w:rPr>
          <w:rFonts w:ascii="Palatino Linotype" w:eastAsia="Palatino Linotype" w:hAnsi="Palatino Linotype" w:cs="Palatino Linotype"/>
          <w:b/>
          <w:i/>
        </w:rPr>
      </w:pP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Coadyuvar en la Elaboración de programas y supervisar el desarrollo de proyectos hidráulicos sustentables; así como revisar factibilidades de servicio de agua potable y drenaje, con base al crecimiento poblacional del Municipio, con apego a las leyes y normas aplicables; así como administrar el proceso de construcción de obras hidráulicas para ampliar y mejorar los servicios de agua potable, alcantarillado y saneamiento del municipio.</w:t>
      </w:r>
    </w:p>
    <w:p w:rsidR="00C53AB6" w:rsidRPr="00D013DC" w:rsidRDefault="00C53AB6" w:rsidP="00C53AB6">
      <w:pPr>
        <w:ind w:left="708" w:right="-220"/>
        <w:jc w:val="both"/>
        <w:rPr>
          <w:rFonts w:ascii="Palatino Linotype" w:eastAsia="Palatino Linotype" w:hAnsi="Palatino Linotype" w:cs="Palatino Linotype"/>
          <w:i/>
        </w:rPr>
      </w:pPr>
    </w:p>
    <w:p w:rsidR="00C53AB6" w:rsidRPr="00D013DC" w:rsidRDefault="00C53AB6" w:rsidP="00C53AB6">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FUNCIONES:</w:t>
      </w:r>
    </w:p>
    <w:p w:rsidR="00C53AB6" w:rsidRPr="00D013DC" w:rsidRDefault="00C53AB6" w:rsidP="00C53AB6">
      <w:pPr>
        <w:ind w:left="708" w:right="-220"/>
        <w:jc w:val="both"/>
        <w:rPr>
          <w:rFonts w:ascii="Palatino Linotype" w:eastAsia="Palatino Linotype" w:hAnsi="Palatino Linotype" w:cs="Palatino Linotype"/>
          <w:b/>
          <w:i/>
        </w:rPr>
      </w:pP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1. Supervisar la planeación, construcción, operación y mantenimiento de los servicios de agua potable, alcantarillado y saneamiento del municipio</w:t>
      </w:r>
    </w:p>
    <w:p w:rsidR="00C53AB6" w:rsidRPr="00D013DC" w:rsidRDefault="00C53AB6" w:rsidP="00C53AB6">
      <w:pPr>
        <w:ind w:left="708" w:right="-220"/>
        <w:jc w:val="both"/>
        <w:rPr>
          <w:rFonts w:ascii="Palatino Linotype" w:eastAsia="Palatino Linotype" w:hAnsi="Palatino Linotype" w:cs="Palatino Linotype"/>
          <w:i/>
        </w:rPr>
      </w:pPr>
    </w:p>
    <w:p w:rsidR="00C53AB6" w:rsidRPr="00D013DC" w:rsidRDefault="00C53AB6"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2. Supervisar el desarrollo de planes, programas, estudios y proyectos para la detección de necesidades de infraestructura hidráulica, alcantarillado y saneamiento, así como los dictámenes de factibilidad para la prestación de los servicios</w:t>
      </w:r>
    </w:p>
    <w:p w:rsidR="002F7BA1" w:rsidRPr="00D013DC" w:rsidRDefault="002F7BA1" w:rsidP="00C53AB6">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2F7BA1" w:rsidRPr="00D013DC" w:rsidRDefault="002F7BA1" w:rsidP="00C53AB6">
      <w:pPr>
        <w:ind w:left="708" w:right="-220"/>
        <w:jc w:val="both"/>
        <w:rPr>
          <w:rFonts w:ascii="Palatino Linotype" w:eastAsia="Palatino Linotype" w:hAnsi="Palatino Linotype" w:cs="Palatino Linotype"/>
          <w:i/>
        </w:rPr>
      </w:pPr>
    </w:p>
    <w:p w:rsidR="002F7BA1" w:rsidRPr="00D013DC" w:rsidRDefault="002F7BA1" w:rsidP="002F7BA1">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1.9.2. DEPARTAMENTO DE OPERACIÓN Y MANTENIMINETO (DT-</w:t>
      </w:r>
    </w:p>
    <w:p w:rsidR="002F7BA1" w:rsidRPr="00D013DC" w:rsidRDefault="002F7BA1" w:rsidP="002F7BA1">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DOyM)</w:t>
      </w:r>
    </w:p>
    <w:p w:rsidR="002F7BA1" w:rsidRPr="00D013DC" w:rsidRDefault="002F7BA1" w:rsidP="002F7BA1">
      <w:pPr>
        <w:ind w:left="708" w:right="-220"/>
        <w:jc w:val="both"/>
        <w:rPr>
          <w:rFonts w:ascii="Palatino Linotype" w:eastAsia="Palatino Linotype" w:hAnsi="Palatino Linotype" w:cs="Palatino Linotype"/>
          <w:b/>
          <w:i/>
        </w:rPr>
      </w:pPr>
    </w:p>
    <w:p w:rsidR="002F7BA1" w:rsidRPr="00D013DC" w:rsidRDefault="002F7BA1" w:rsidP="002F7BA1">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OBJETIVO:</w:t>
      </w:r>
    </w:p>
    <w:p w:rsidR="002F7BA1" w:rsidRPr="00D013DC" w:rsidRDefault="002F7BA1" w:rsidP="002F7BA1">
      <w:pPr>
        <w:ind w:left="708" w:right="-220"/>
        <w:jc w:val="both"/>
        <w:rPr>
          <w:rFonts w:ascii="Palatino Linotype" w:eastAsia="Palatino Linotype" w:hAnsi="Palatino Linotype" w:cs="Palatino Linotype"/>
          <w:b/>
          <w:i/>
        </w:rPr>
      </w:pP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lastRenderedPageBreak/>
        <w:t>Supervisar y controlar la operación, mantenimiento de instalaciones, de las fuentes de abastecimiento, sistemas de bombeo y tanques de regulación requeridos para el suministro de agua potable y tratamiento de aguas residuales, así como.</w:t>
      </w:r>
    </w:p>
    <w:p w:rsidR="002F7BA1" w:rsidRPr="00D013DC" w:rsidRDefault="002F7BA1" w:rsidP="002F7BA1">
      <w:pPr>
        <w:ind w:left="708" w:right="-220"/>
        <w:jc w:val="both"/>
        <w:rPr>
          <w:rFonts w:ascii="Palatino Linotype" w:eastAsia="Palatino Linotype" w:hAnsi="Palatino Linotype" w:cs="Palatino Linotype"/>
          <w:i/>
        </w:rPr>
      </w:pPr>
    </w:p>
    <w:p w:rsidR="002F7BA1" w:rsidRPr="00D013DC" w:rsidRDefault="002F7BA1" w:rsidP="002F7BA1">
      <w:pPr>
        <w:ind w:left="708"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FUNCIONES:</w:t>
      </w:r>
    </w:p>
    <w:p w:rsidR="002F7BA1" w:rsidRPr="00D013DC" w:rsidRDefault="002F7BA1" w:rsidP="002F7BA1">
      <w:pPr>
        <w:ind w:left="708" w:right="-220"/>
        <w:jc w:val="both"/>
        <w:rPr>
          <w:rFonts w:ascii="Palatino Linotype" w:eastAsia="Palatino Linotype" w:hAnsi="Palatino Linotype" w:cs="Palatino Linotype"/>
          <w:i/>
        </w:rPr>
      </w:pP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1. Verificar el funcionamiento óptimo de los sistemas de bombeo, tanques de regulación de agua potable;</w:t>
      </w: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6. Reparar y supervisar el mantenimiento de los sistemas de bombeo y pozos;</w:t>
      </w: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8. Integrar y actualizar los expedientes técnicos de los pozos de agua y equipos de bombeo, así como realizar reportes e informes del suministro de agua potable de dichos equipos;</w:t>
      </w: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20. Administrar el suministro del agua potable procedente de pozos y tanques de regulación en los sistemas de distribución, mediante la determinación técnica de los caudales disponibles;</w:t>
      </w:r>
    </w:p>
    <w:p w:rsidR="002F7BA1" w:rsidRPr="00D013DC" w:rsidRDefault="002F7BA1" w:rsidP="002F7BA1">
      <w:pPr>
        <w:ind w:left="708"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p>
    <w:p w:rsidR="00C55155" w:rsidRPr="00D013DC" w:rsidRDefault="00C55155" w:rsidP="00C55155">
      <w:pPr>
        <w:spacing w:line="360" w:lineRule="auto"/>
        <w:jc w:val="both"/>
        <w:rPr>
          <w:rFonts w:ascii="Palatino Linotype" w:eastAsia="Palatino Linotype" w:hAnsi="Palatino Linotype" w:cs="Palatino Linotype"/>
        </w:rPr>
      </w:pPr>
    </w:p>
    <w:p w:rsidR="00C55155" w:rsidRPr="00D013DC" w:rsidRDefault="00C55155" w:rsidP="00C51E51">
      <w:pPr>
        <w:numPr>
          <w:ilvl w:val="0"/>
          <w:numId w:val="1"/>
        </w:numPr>
        <w:spacing w:line="360" w:lineRule="auto"/>
        <w:ind w:left="0" w:right="-787" w:firstLine="0"/>
        <w:jc w:val="both"/>
        <w:rPr>
          <w:rFonts w:ascii="Palatino Linotype" w:eastAsia="Palatino Linotype" w:hAnsi="Palatino Linotype" w:cs="Palatino Linotype"/>
        </w:rPr>
      </w:pPr>
      <w:r w:rsidRPr="00D013DC">
        <w:rPr>
          <w:rFonts w:ascii="Palatino Linotype" w:eastAsia="Palatino Linotype" w:hAnsi="Palatino Linotype" w:cs="Palatino Linotype"/>
        </w:rPr>
        <w:t xml:space="preserve">Al respecto, podemos advertir que </w:t>
      </w:r>
      <w:r w:rsidRPr="00D013DC">
        <w:rPr>
          <w:rFonts w:ascii="Palatino Linotype" w:eastAsia="Palatino Linotype" w:hAnsi="Palatino Linotype" w:cs="Palatino Linotype"/>
          <w:b/>
        </w:rPr>
        <w:t xml:space="preserve">EL SUJETO OBLIGADO </w:t>
      </w:r>
      <w:r w:rsidRPr="00D013DC">
        <w:rPr>
          <w:rFonts w:ascii="Palatino Linotype" w:eastAsia="Palatino Linotype" w:hAnsi="Palatino Linotype" w:cs="Palatino Linotype"/>
        </w:rPr>
        <w:t xml:space="preserve">siguió el procedimiento inmerso en la normatividad aplicable, ya que turno </w:t>
      </w:r>
      <w:r w:rsidR="002D2B6A" w:rsidRPr="00D013DC">
        <w:rPr>
          <w:rFonts w:ascii="Palatino Linotype" w:eastAsia="Palatino Linotype" w:hAnsi="Palatino Linotype" w:cs="Palatino Linotype"/>
        </w:rPr>
        <w:t>el requerimiento</w:t>
      </w:r>
      <w:r w:rsidRPr="00D013DC">
        <w:rPr>
          <w:rFonts w:ascii="Palatino Linotype" w:eastAsia="Palatino Linotype" w:hAnsi="Palatino Linotype" w:cs="Palatino Linotype"/>
        </w:rPr>
        <w:t xml:space="preserve"> de información a </w:t>
      </w:r>
      <w:r w:rsidR="00C82817" w:rsidRPr="00D013DC">
        <w:rPr>
          <w:rFonts w:ascii="Palatino Linotype" w:eastAsia="Palatino Linotype" w:hAnsi="Palatino Linotype" w:cs="Palatino Linotype"/>
        </w:rPr>
        <w:t>la</w:t>
      </w:r>
      <w:r w:rsidRPr="00D013DC">
        <w:rPr>
          <w:rFonts w:ascii="Palatino Linotype" w:eastAsia="Palatino Linotype" w:hAnsi="Palatino Linotype" w:cs="Palatino Linotype"/>
        </w:rPr>
        <w:t xml:space="preserve"> dependencia administrativa competente, </w:t>
      </w:r>
      <w:r w:rsidR="002D2B6A" w:rsidRPr="00D013DC">
        <w:rPr>
          <w:rFonts w:ascii="Palatino Linotype" w:eastAsia="Palatino Linotype" w:hAnsi="Palatino Linotype" w:cs="Palatino Linotype"/>
        </w:rPr>
        <w:t>conforme a</w:t>
      </w:r>
      <w:r w:rsidRPr="00D013DC">
        <w:rPr>
          <w:rFonts w:ascii="Palatino Linotype" w:eastAsia="Palatino Linotype" w:hAnsi="Palatino Linotype" w:cs="Palatino Linotype"/>
        </w:rPr>
        <w:t xml:space="preserve"> lo establecido por el artículo 162 de la Ley de Transparencia y Acceso a la Información Pública del Estado de México y Municipios, al turnar la solicitud de información </w:t>
      </w:r>
      <w:r w:rsidR="00C82817" w:rsidRPr="00D013DC">
        <w:rPr>
          <w:rFonts w:ascii="Palatino Linotype" w:eastAsia="Palatino Linotype" w:hAnsi="Palatino Linotype" w:cs="Palatino Linotype"/>
        </w:rPr>
        <w:t>al área en la</w:t>
      </w:r>
      <w:r w:rsidRPr="00D013DC">
        <w:rPr>
          <w:rFonts w:ascii="Palatino Linotype" w:eastAsia="Palatino Linotype" w:hAnsi="Palatino Linotype" w:cs="Palatino Linotype"/>
        </w:rPr>
        <w:t xml:space="preserve"> que pudiera obrar la información de conformidad con la fracción XXXIX del artículo tercero de la legislación local vigente en materia de transparencia:</w:t>
      </w:r>
    </w:p>
    <w:p w:rsidR="00C55155" w:rsidRPr="00D013DC" w:rsidRDefault="00C55155" w:rsidP="002D2B6A">
      <w:pPr>
        <w:jc w:val="both"/>
        <w:rPr>
          <w:rFonts w:ascii="Palatino Linotype" w:eastAsia="Palatino Linotype" w:hAnsi="Palatino Linotype" w:cs="Palatino Linotype"/>
        </w:rPr>
      </w:pPr>
    </w:p>
    <w:p w:rsidR="00C55155" w:rsidRPr="00D013DC" w:rsidRDefault="00C55155" w:rsidP="002D2B6A">
      <w:pPr>
        <w:ind w:left="1134" w:right="900"/>
        <w:jc w:val="both"/>
        <w:rPr>
          <w:rFonts w:ascii="Palatino Linotype" w:eastAsia="Palatino Linotype" w:hAnsi="Palatino Linotype" w:cs="Palatino Linotype"/>
          <w:i/>
        </w:rPr>
      </w:pPr>
      <w:r w:rsidRPr="00D013DC">
        <w:rPr>
          <w:rFonts w:ascii="Palatino Linotype" w:eastAsia="Palatino Linotype" w:hAnsi="Palatino Linotype" w:cs="Palatino Linotype"/>
          <w:b/>
          <w:i/>
        </w:rPr>
        <w:t>XXXIX.</w:t>
      </w:r>
      <w:r w:rsidRPr="00D013DC">
        <w:rPr>
          <w:rFonts w:ascii="Palatino Linotype" w:eastAsia="Palatino Linotype" w:hAnsi="Palatino Linotype" w:cs="Palatino Linotype"/>
          <w:i/>
        </w:rPr>
        <w:t xml:space="preserve"> </w:t>
      </w:r>
      <w:r w:rsidRPr="00D013DC">
        <w:rPr>
          <w:rFonts w:ascii="Palatino Linotype" w:eastAsia="Palatino Linotype" w:hAnsi="Palatino Linotype" w:cs="Palatino Linotype"/>
          <w:b/>
          <w:i/>
        </w:rPr>
        <w:t>Servidor público habilitado</w:t>
      </w:r>
      <w:r w:rsidRPr="00D013DC">
        <w:rPr>
          <w:rFonts w:ascii="Palatino Linotype" w:eastAsia="Palatino Linotype" w:hAnsi="Palatino Linotype" w:cs="Palatino Linotype"/>
          <w:i/>
        </w:rPr>
        <w:t xml:space="preserve">: Persona encargada dentro de las diversas unidades administrativas o áreas del sujeto obligado, de </w:t>
      </w:r>
      <w:r w:rsidRPr="00D013DC">
        <w:rPr>
          <w:rFonts w:ascii="Palatino Linotype" w:eastAsia="Palatino Linotype" w:hAnsi="Palatino Linotype" w:cs="Palatino Linotype"/>
          <w:i/>
        </w:rPr>
        <w:lastRenderedPageBreak/>
        <w:t>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55155" w:rsidRPr="00D013DC" w:rsidRDefault="00C55155" w:rsidP="00C55155">
      <w:pPr>
        <w:spacing w:line="360" w:lineRule="auto"/>
        <w:jc w:val="both"/>
        <w:rPr>
          <w:rFonts w:ascii="Palatino Linotype" w:eastAsia="Palatino Linotype" w:hAnsi="Palatino Linotype" w:cs="Palatino Linotype"/>
        </w:rPr>
      </w:pPr>
    </w:p>
    <w:p w:rsidR="00C55155" w:rsidRPr="00D013DC" w:rsidRDefault="00C55155" w:rsidP="00862C83">
      <w:pPr>
        <w:numPr>
          <w:ilvl w:val="0"/>
          <w:numId w:val="1"/>
        </w:numPr>
        <w:spacing w:line="360" w:lineRule="auto"/>
        <w:ind w:left="0" w:right="-787" w:firstLine="0"/>
        <w:jc w:val="both"/>
        <w:rPr>
          <w:rFonts w:ascii="Palatino Linotype" w:eastAsia="Palatino Linotype" w:hAnsi="Palatino Linotype" w:cs="Palatino Linotype"/>
        </w:rPr>
      </w:pPr>
      <w:r w:rsidRPr="00D013DC">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862C83" w:rsidRPr="00D013DC" w:rsidRDefault="00C55155" w:rsidP="00862C83">
      <w:pPr>
        <w:ind w:left="1134" w:right="902"/>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r w:rsidRPr="00D013DC">
        <w:rPr>
          <w:rFonts w:ascii="Palatino Linotype" w:eastAsia="Palatino Linotype" w:hAnsi="Palatino Linotype" w:cs="Palatino Linotype"/>
          <w:b/>
          <w:i/>
        </w:rPr>
        <w:t>Artículo 162.</w:t>
      </w:r>
      <w:r w:rsidRPr="00D013DC">
        <w:rPr>
          <w:rFonts w:ascii="Palatino Linotype" w:eastAsia="Palatino Linotype" w:hAnsi="Palatino Linotype" w:cs="Palatino Linotype"/>
          <w:i/>
        </w:rPr>
        <w:t xml:space="preserve"> Las unidades de transparencia deberán garantizar que las solicitudes se turnen a </w:t>
      </w:r>
      <w:r w:rsidRPr="00D013DC">
        <w:rPr>
          <w:rFonts w:ascii="Palatino Linotype" w:eastAsia="Palatino Linotype" w:hAnsi="Palatino Linotype" w:cs="Palatino Linotype"/>
          <w:b/>
          <w:i/>
        </w:rPr>
        <w:t>todas las Áreas competentes</w:t>
      </w:r>
      <w:r w:rsidRPr="00D013DC">
        <w:rPr>
          <w:rFonts w:ascii="Palatino Linotype" w:eastAsia="Palatino Linotype" w:hAnsi="Palatino Linotype" w:cs="Palatino Linotype"/>
          <w:i/>
        </w:rPr>
        <w:t xml:space="preserve"> que cuenten con la información o deban tenerla de acuerdo a sus facultades, competencias y funciones, con el objeto de que realicen una búsqueda exhaustiva y razonable</w:t>
      </w:r>
      <w:r w:rsidR="00862C83" w:rsidRPr="00D013DC">
        <w:rPr>
          <w:rFonts w:ascii="Palatino Linotype" w:eastAsia="Palatino Linotype" w:hAnsi="Palatino Linotype" w:cs="Palatino Linotype"/>
          <w:i/>
        </w:rPr>
        <w:t xml:space="preserve"> de la información solicitada.”</w:t>
      </w:r>
    </w:p>
    <w:p w:rsidR="00862C83" w:rsidRPr="00D013DC" w:rsidRDefault="00862C83" w:rsidP="00862C83">
      <w:pPr>
        <w:ind w:right="902"/>
        <w:jc w:val="both"/>
        <w:rPr>
          <w:rFonts w:ascii="Palatino Linotype" w:eastAsia="Palatino Linotype" w:hAnsi="Palatino Linotype" w:cs="Palatino Linotype"/>
          <w:i/>
        </w:rPr>
      </w:pPr>
    </w:p>
    <w:p w:rsidR="00862C83" w:rsidRPr="00D013DC" w:rsidRDefault="00862C83" w:rsidP="00862C83">
      <w:pPr>
        <w:spacing w:line="360" w:lineRule="auto"/>
        <w:ind w:right="-787"/>
        <w:jc w:val="both"/>
        <w:rPr>
          <w:rFonts w:ascii="Palatino Linotype" w:eastAsia="Palatino Linotype" w:hAnsi="Palatino Linotype" w:cs="Palatino Linotype"/>
          <w:i/>
        </w:rPr>
      </w:pPr>
    </w:p>
    <w:p w:rsidR="00862C83" w:rsidRPr="00D013DC" w:rsidRDefault="00862C83" w:rsidP="00862C83">
      <w:pPr>
        <w:numPr>
          <w:ilvl w:val="0"/>
          <w:numId w:val="1"/>
        </w:numPr>
        <w:spacing w:line="360" w:lineRule="auto"/>
        <w:ind w:left="0" w:right="-787" w:firstLine="0"/>
        <w:jc w:val="both"/>
        <w:rPr>
          <w:rFonts w:ascii="Palatino Linotype" w:eastAsia="Palatino Linotype" w:hAnsi="Palatino Linotype" w:cs="Palatino Linotype"/>
          <w:i/>
        </w:rPr>
      </w:pPr>
      <w:r w:rsidRPr="00D013DC">
        <w:rPr>
          <w:rFonts w:ascii="Palatino Linotype" w:eastAsia="Palatino Linotype" w:hAnsi="Palatino Linotype" w:cs="Palatino Linotype"/>
        </w:rPr>
        <w:t xml:space="preserve">Es de señalar que de la respuesta emitida el particular se dolió de la clasificación de información como reservada. Posteriormente durante la etapa de manifestaciones </w:t>
      </w:r>
      <w:r w:rsidRPr="00D013DC">
        <w:rPr>
          <w:rFonts w:ascii="Palatino Linotype" w:eastAsia="Palatino Linotype" w:hAnsi="Palatino Linotype" w:cs="Palatino Linotype"/>
          <w:color w:val="000000"/>
        </w:rPr>
        <w:t>el Recurrente</w:t>
      </w:r>
      <w:r w:rsidRPr="00D013DC">
        <w:rPr>
          <w:rFonts w:ascii="Palatino Linotype" w:eastAsia="Palatino Linotype" w:hAnsi="Palatino Linotype" w:cs="Palatino Linotype"/>
          <w:b/>
          <w:color w:val="000000"/>
        </w:rPr>
        <w:t xml:space="preserve"> </w:t>
      </w:r>
      <w:r w:rsidRPr="00D013DC">
        <w:rPr>
          <w:rFonts w:ascii="Palatino Linotype" w:eastAsia="Palatino Linotype" w:hAnsi="Palatino Linotype" w:cs="Palatino Linotype"/>
          <w:color w:val="000000"/>
        </w:rPr>
        <w:t>dejó de realizar las que a su derecho conviniera y asistiera;  por su parte, el Sujeto Obligado,</w:t>
      </w:r>
      <w:r w:rsidRPr="00D013DC">
        <w:rPr>
          <w:rFonts w:ascii="Palatino Linotype" w:eastAsia="Palatino Linotype" w:hAnsi="Palatino Linotype" w:cs="Palatino Linotype"/>
          <w:b/>
          <w:color w:val="000000"/>
        </w:rPr>
        <w:t xml:space="preserve"> </w:t>
      </w:r>
      <w:r w:rsidRPr="00D013DC">
        <w:rPr>
          <w:rFonts w:ascii="Palatino Linotype" w:eastAsia="Palatino Linotype" w:hAnsi="Palatino Linotype" w:cs="Palatino Linotype"/>
          <w:color w:val="000000"/>
        </w:rPr>
        <w:t>no presentó informe justificado.</w:t>
      </w:r>
    </w:p>
    <w:p w:rsidR="007B1B63" w:rsidRPr="00D013DC" w:rsidRDefault="007B1B63" w:rsidP="007B1B63">
      <w:pPr>
        <w:spacing w:line="360" w:lineRule="auto"/>
        <w:ind w:right="-787"/>
        <w:jc w:val="both"/>
        <w:rPr>
          <w:rFonts w:ascii="Palatino Linotype" w:eastAsia="Palatino Linotype" w:hAnsi="Palatino Linotype" w:cs="Palatino Linotype"/>
          <w:i/>
        </w:rPr>
      </w:pPr>
    </w:p>
    <w:p w:rsidR="00862C83" w:rsidRPr="00D013DC" w:rsidRDefault="00862C83" w:rsidP="007B1B63">
      <w:pPr>
        <w:numPr>
          <w:ilvl w:val="0"/>
          <w:numId w:val="24"/>
        </w:numPr>
        <w:pBdr>
          <w:top w:val="nil"/>
          <w:left w:val="nil"/>
          <w:bottom w:val="nil"/>
          <w:right w:val="nil"/>
          <w:between w:val="nil"/>
        </w:pBdr>
        <w:tabs>
          <w:tab w:val="left" w:pos="0"/>
          <w:tab w:val="left" w:pos="567"/>
        </w:tabs>
        <w:spacing w:before="240" w:after="240" w:line="360" w:lineRule="auto"/>
        <w:ind w:left="0" w:right="-787" w:firstLine="0"/>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b/>
          <w:color w:val="000000"/>
        </w:rPr>
        <w:t xml:space="preserve">De la naturaleza de la información solicitada. </w:t>
      </w:r>
    </w:p>
    <w:p w:rsidR="00862C83" w:rsidRPr="00D013DC" w:rsidRDefault="00862C83" w:rsidP="00862C83">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 xml:space="preserve">Primeramente, se precisa que se obvia el análisis de la competencia por parte del </w:t>
      </w:r>
      <w:r w:rsidRPr="00D013DC">
        <w:rPr>
          <w:rFonts w:ascii="Palatino Linotype" w:eastAsia="Palatino Linotype" w:hAnsi="Palatino Linotype" w:cs="Palatino Linotype"/>
          <w:b/>
        </w:rPr>
        <w:t>SUJETO OBLIGADO</w:t>
      </w:r>
      <w:r w:rsidRPr="00D013DC">
        <w:rPr>
          <w:rFonts w:ascii="Palatino Linotype" w:eastAsia="Palatino Linotype" w:hAnsi="Palatino Linotype" w:cs="Palatino Linotype"/>
        </w:rPr>
        <w:t xml:space="preserve">, para generar, administrar o poseer la información solicitada, dado que éste ha asumido la misma, en razón de que en su respuesta admitió contar con dicha información, tan es así que realizó </w:t>
      </w:r>
      <w:r w:rsidR="007B1B63" w:rsidRPr="00D013DC">
        <w:rPr>
          <w:rFonts w:ascii="Palatino Linotype" w:eastAsia="Palatino Linotype" w:hAnsi="Palatino Linotype" w:cs="Palatino Linotype"/>
        </w:rPr>
        <w:t>el acuerdo del Comité de Transparencia en el que</w:t>
      </w:r>
      <w:r w:rsidRPr="00D013DC">
        <w:rPr>
          <w:rFonts w:ascii="Palatino Linotype" w:eastAsia="Palatino Linotype" w:hAnsi="Palatino Linotype" w:cs="Palatino Linotype"/>
        </w:rPr>
        <w:t xml:space="preserve"> </w:t>
      </w:r>
      <w:r w:rsidR="007B1B63" w:rsidRPr="00D013DC">
        <w:rPr>
          <w:rFonts w:ascii="Palatino Linotype" w:eastAsia="Palatino Linotype" w:hAnsi="Palatino Linotype" w:cs="Palatino Linotype"/>
        </w:rPr>
        <w:t>clasifica</w:t>
      </w:r>
      <w:r w:rsidRPr="00D013DC">
        <w:rPr>
          <w:rFonts w:ascii="Palatino Linotype" w:eastAsia="Palatino Linotype" w:hAnsi="Palatino Linotype" w:cs="Palatino Linotype"/>
        </w:rPr>
        <w:t xml:space="preserve"> </w:t>
      </w:r>
      <w:r w:rsidRPr="00D013DC">
        <w:rPr>
          <w:rFonts w:ascii="Palatino Linotype" w:eastAsia="Palatino Linotype" w:hAnsi="Palatino Linotype" w:cs="Palatino Linotype"/>
        </w:rPr>
        <w:lastRenderedPageBreak/>
        <w:t>la información como reservada</w:t>
      </w:r>
      <w:r w:rsidR="007B1B63" w:rsidRPr="00D013DC">
        <w:rPr>
          <w:rFonts w:ascii="Palatino Linotype" w:eastAsia="Palatino Linotype" w:hAnsi="Palatino Linotype" w:cs="Palatino Linotype"/>
        </w:rPr>
        <w:t>, fundamentando la afectación al derecho del debido proceso y argumentando la prueba de daño respectiva.</w:t>
      </w:r>
    </w:p>
    <w:p w:rsidR="00862C83" w:rsidRPr="00D013DC" w:rsidRDefault="00862C83" w:rsidP="00862C83">
      <w:pPr>
        <w:tabs>
          <w:tab w:val="left" w:pos="0"/>
          <w:tab w:val="left" w:pos="567"/>
        </w:tabs>
        <w:spacing w:line="360" w:lineRule="auto"/>
        <w:ind w:left="-566" w:right="-787"/>
        <w:jc w:val="both"/>
        <w:rPr>
          <w:rFonts w:ascii="Palatino Linotype" w:eastAsia="Palatino Linotype" w:hAnsi="Palatino Linotype" w:cs="Palatino Linotype"/>
        </w:rPr>
      </w:pPr>
    </w:p>
    <w:p w:rsidR="00862C83" w:rsidRPr="00D013DC" w:rsidRDefault="00862C83" w:rsidP="007B1B63">
      <w:pPr>
        <w:numPr>
          <w:ilvl w:val="0"/>
          <w:numId w:val="1"/>
        </w:numPr>
        <w:spacing w:line="360" w:lineRule="auto"/>
        <w:ind w:left="0" w:right="-787" w:firstLine="0"/>
        <w:jc w:val="both"/>
        <w:rPr>
          <w:rFonts w:ascii="Palatino Linotype" w:hAnsi="Palatino Linotype"/>
        </w:rPr>
      </w:pPr>
      <w:bookmarkStart w:id="11" w:name="_heading=h.2s8eyo1" w:colFirst="0" w:colLast="0"/>
      <w:bookmarkEnd w:id="11"/>
      <w:r w:rsidRPr="00D013DC">
        <w:rPr>
          <w:rFonts w:ascii="Palatino Linotype" w:eastAsia="Palatino Linotype" w:hAnsi="Palatino Linotype" w:cs="Palatino Linotype"/>
        </w:rPr>
        <w:t xml:space="preserve">En efecto, el hecho de que </w:t>
      </w:r>
      <w:r w:rsidRPr="00D013DC">
        <w:rPr>
          <w:rFonts w:ascii="Palatino Linotype" w:eastAsia="Palatino Linotype" w:hAnsi="Palatino Linotype" w:cs="Palatino Linotype"/>
          <w:b/>
        </w:rPr>
        <w:t>EL SUJETO OBLIGADO</w:t>
      </w:r>
      <w:r w:rsidRPr="00D013DC">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F331B" w:rsidRPr="00D013DC" w:rsidRDefault="006F331B" w:rsidP="006F331B">
      <w:pPr>
        <w:spacing w:line="360" w:lineRule="auto"/>
        <w:ind w:right="-787"/>
        <w:jc w:val="both"/>
        <w:rPr>
          <w:rFonts w:ascii="Palatino Linotype" w:hAnsi="Palatino Linotype"/>
        </w:rPr>
      </w:pPr>
    </w:p>
    <w:p w:rsidR="00862C83" w:rsidRPr="00D013DC" w:rsidRDefault="00862C83" w:rsidP="00862C83">
      <w:pPr>
        <w:tabs>
          <w:tab w:val="left" w:pos="8505"/>
        </w:tabs>
        <w:ind w:left="141" w:right="-222"/>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r w:rsidRPr="00D013DC">
        <w:rPr>
          <w:rFonts w:ascii="Palatino Linotype" w:eastAsia="Palatino Linotype" w:hAnsi="Palatino Linotype" w:cs="Palatino Linotype"/>
          <w:b/>
          <w:i/>
        </w:rPr>
        <w:t>Artículo 12.</w:t>
      </w:r>
      <w:r w:rsidRPr="00D013DC">
        <w:rPr>
          <w:rFonts w:ascii="Palatino Linotype" w:eastAsia="Palatino Linotype" w:hAnsi="Palatino Linotype" w:cs="Palatino Linotype"/>
          <w:i/>
        </w:rPr>
        <w:t> Quienes generen, recopilen, administren, manejen, procesen, archiven o conserven información pública serán responsables de la misma en los términos de las disposiciones jurídicas aplicables.</w:t>
      </w:r>
    </w:p>
    <w:p w:rsidR="00862C83" w:rsidRPr="00D013DC" w:rsidRDefault="00862C83" w:rsidP="00862C83">
      <w:pPr>
        <w:tabs>
          <w:tab w:val="left" w:pos="8505"/>
        </w:tabs>
        <w:ind w:left="141" w:right="-222"/>
        <w:jc w:val="both"/>
        <w:rPr>
          <w:rFonts w:ascii="Palatino Linotype" w:eastAsia="Palatino Linotype" w:hAnsi="Palatino Linotype" w:cs="Palatino Linotype"/>
          <w:i/>
        </w:rPr>
      </w:pPr>
    </w:p>
    <w:p w:rsidR="00862C83" w:rsidRPr="00D013DC" w:rsidRDefault="00862C83" w:rsidP="00862C83">
      <w:pPr>
        <w:tabs>
          <w:tab w:val="left" w:pos="8505"/>
        </w:tabs>
        <w:ind w:left="141" w:right="-222"/>
        <w:jc w:val="both"/>
        <w:rPr>
          <w:rFonts w:ascii="Palatino Linotype" w:eastAsia="Palatino Linotype" w:hAnsi="Palatino Linotype" w:cs="Palatino Linotype"/>
          <w:i/>
        </w:rPr>
      </w:pPr>
      <w:r w:rsidRPr="00D013DC">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62C83" w:rsidRPr="00D013DC" w:rsidRDefault="00862C83" w:rsidP="00862C83">
      <w:pPr>
        <w:pBdr>
          <w:top w:val="nil"/>
          <w:left w:val="nil"/>
          <w:bottom w:val="nil"/>
          <w:right w:val="nil"/>
          <w:between w:val="nil"/>
        </w:pBdr>
        <w:ind w:left="-566" w:right="-787"/>
        <w:rPr>
          <w:rFonts w:ascii="Palatino Linotype" w:eastAsia="Palatino Linotype" w:hAnsi="Palatino Linotype" w:cs="Palatino Linotype"/>
          <w:color w:val="000000"/>
        </w:rPr>
      </w:pPr>
    </w:p>
    <w:p w:rsidR="007B1B63" w:rsidRPr="00D013DC" w:rsidRDefault="00862C83" w:rsidP="007B1B63">
      <w:pPr>
        <w:numPr>
          <w:ilvl w:val="0"/>
          <w:numId w:val="1"/>
        </w:numP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Así, el estudio de la naturaleza jurídica de la información pública solicitada, tiene por objeto determinar si ésta la genera, posee o administra </w:t>
      </w:r>
      <w:r w:rsidRPr="00D013DC">
        <w:rPr>
          <w:rFonts w:ascii="Palatino Linotype" w:eastAsia="Palatino Linotype" w:hAnsi="Palatino Linotype" w:cs="Palatino Linotype"/>
          <w:b/>
        </w:rPr>
        <w:t>EL SUJETO OBLIGADO</w:t>
      </w:r>
      <w:r w:rsidRPr="00D013DC">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7B1B63" w:rsidRPr="00D013DC" w:rsidRDefault="007B1B63" w:rsidP="007B1B63">
      <w:pPr>
        <w:spacing w:line="360" w:lineRule="auto"/>
        <w:ind w:right="-787"/>
        <w:jc w:val="both"/>
        <w:rPr>
          <w:rFonts w:ascii="Palatino Linotype" w:hAnsi="Palatino Linotype"/>
        </w:rPr>
      </w:pPr>
    </w:p>
    <w:p w:rsidR="00265282" w:rsidRPr="00D013DC" w:rsidRDefault="00862C83" w:rsidP="007B1B63">
      <w:pPr>
        <w:numPr>
          <w:ilvl w:val="0"/>
          <w:numId w:val="24"/>
        </w:numPr>
        <w:pBdr>
          <w:top w:val="nil"/>
          <w:left w:val="nil"/>
          <w:bottom w:val="nil"/>
          <w:right w:val="nil"/>
          <w:between w:val="nil"/>
        </w:pBdr>
        <w:tabs>
          <w:tab w:val="left" w:pos="0"/>
          <w:tab w:val="left" w:pos="567"/>
        </w:tabs>
        <w:spacing w:before="240" w:after="240" w:line="360" w:lineRule="auto"/>
        <w:ind w:left="0" w:right="-787" w:firstLine="0"/>
        <w:jc w:val="both"/>
        <w:rPr>
          <w:rFonts w:ascii="Palatino Linotype" w:eastAsia="Palatino Linotype" w:hAnsi="Palatino Linotype" w:cs="Palatino Linotype"/>
        </w:rPr>
      </w:pPr>
      <w:r w:rsidRPr="00D013DC">
        <w:rPr>
          <w:rFonts w:ascii="Palatino Linotype" w:eastAsia="Palatino Linotype" w:hAnsi="Palatino Linotype" w:cs="Palatino Linotype"/>
          <w:b/>
          <w:color w:val="000000"/>
        </w:rPr>
        <w:t xml:space="preserve">De la </w:t>
      </w:r>
      <w:r w:rsidR="007B1B63" w:rsidRPr="00D013DC">
        <w:rPr>
          <w:rFonts w:ascii="Palatino Linotype" w:eastAsia="Palatino Linotype" w:hAnsi="Palatino Linotype" w:cs="Palatino Linotype"/>
          <w:b/>
          <w:color w:val="000000"/>
        </w:rPr>
        <w:t>clasificación de la información</w:t>
      </w:r>
      <w:r w:rsidRPr="00D013DC">
        <w:rPr>
          <w:rFonts w:ascii="Palatino Linotype" w:eastAsia="Palatino Linotype" w:hAnsi="Palatino Linotype" w:cs="Palatino Linotype"/>
          <w:b/>
          <w:color w:val="000000"/>
        </w:rPr>
        <w:t>.</w:t>
      </w:r>
    </w:p>
    <w:p w:rsidR="00862C83" w:rsidRPr="00D013DC" w:rsidRDefault="00862C83" w:rsidP="007B1B63">
      <w:pPr>
        <w:numPr>
          <w:ilvl w:val="0"/>
          <w:numId w:val="1"/>
        </w:numPr>
        <w:spacing w:line="360" w:lineRule="auto"/>
        <w:ind w:left="0" w:right="-787" w:firstLine="0"/>
        <w:jc w:val="both"/>
        <w:rPr>
          <w:rFonts w:ascii="Palatino Linotype" w:hAnsi="Palatino Linotype" w:cs="Tahoma"/>
          <w:bCs/>
          <w:iCs/>
          <w:lang w:val="es-ES" w:eastAsia="es-MX"/>
        </w:rPr>
      </w:pPr>
      <w:r w:rsidRPr="00D013DC">
        <w:rPr>
          <w:rFonts w:ascii="Palatino Linotype" w:eastAsia="Calibri" w:hAnsi="Palatino Linotype" w:cs="Tahoma"/>
          <w:bCs/>
          <w:lang w:eastAsia="en-US"/>
        </w:rPr>
        <w:t xml:space="preserve">Ahora bien, </w:t>
      </w:r>
      <w:r w:rsidRPr="00D013DC">
        <w:rPr>
          <w:rFonts w:ascii="Palatino Linotype" w:hAnsi="Palatino Linotype" w:cs="Tahoma"/>
          <w:lang w:eastAsia="es-MX"/>
        </w:rPr>
        <w:t>resulta necesario señalar que l</w:t>
      </w:r>
      <w:r w:rsidRPr="00D013DC">
        <w:rPr>
          <w:rFonts w:ascii="Palatino Linotype" w:hAnsi="Palatino Linotype" w:cs="Tahoma"/>
          <w:lang w:val="es-ES" w:eastAsia="es-MX"/>
        </w:rPr>
        <w:t xml:space="preserve">as </w:t>
      </w:r>
      <w:r w:rsidRPr="00D013DC">
        <w:rPr>
          <w:rFonts w:ascii="Palatino Linotype" w:hAnsi="Palatino Linotype" w:cs="Tahoma"/>
          <w:bCs/>
          <w:iCs/>
          <w:lang w:val="es-ES" w:eastAsia="es-MX"/>
        </w:rPr>
        <w:t xml:space="preserve">excepciones al derecho de acceso a la información, consisten en que la documentación sea inexistente o </w:t>
      </w:r>
      <w:r w:rsidRPr="00D013DC">
        <w:rPr>
          <w:rFonts w:ascii="Palatino Linotype" w:hAnsi="Palatino Linotype" w:cs="Tahoma"/>
          <w:b/>
          <w:bCs/>
          <w:iCs/>
          <w:lang w:val="es-ES" w:eastAsia="es-MX"/>
        </w:rPr>
        <w:t>se encuentre clasificada como se pretende en el caso concreto</w:t>
      </w:r>
      <w:r w:rsidRPr="00D013DC">
        <w:rPr>
          <w:rFonts w:ascii="Palatino Linotype" w:hAnsi="Palatino Linotype" w:cs="Tahoma"/>
          <w:bCs/>
          <w:iCs/>
          <w:lang w:val="es-ES" w:eastAsia="es-MX"/>
        </w:rPr>
        <w:t>; es decir, la negativa de acceso a la información, recae cuando la documentación no se encuentre en los archivos del sujeto obligado, o bien exista, pero no pueda proporcionar por ser confidencial o reservada.</w:t>
      </w:r>
    </w:p>
    <w:p w:rsidR="00862C83" w:rsidRPr="00D013DC" w:rsidRDefault="00862C83" w:rsidP="00862C83">
      <w:pPr>
        <w:pStyle w:val="Prrafodelista"/>
        <w:spacing w:line="360" w:lineRule="auto"/>
        <w:ind w:left="644"/>
        <w:jc w:val="both"/>
        <w:rPr>
          <w:rFonts w:ascii="Palatino Linotype" w:hAnsi="Palatino Linotype" w:cs="Tahoma"/>
          <w:lang w:eastAsia="es-MX"/>
        </w:rPr>
      </w:pPr>
    </w:p>
    <w:p w:rsidR="00862C83" w:rsidRPr="00D013DC" w:rsidRDefault="00862C83" w:rsidP="00764396">
      <w:pPr>
        <w:numPr>
          <w:ilvl w:val="0"/>
          <w:numId w:val="1"/>
        </w:numPr>
        <w:spacing w:line="360" w:lineRule="auto"/>
        <w:ind w:left="0" w:right="-787" w:firstLine="0"/>
        <w:jc w:val="both"/>
        <w:rPr>
          <w:rFonts w:ascii="Palatino Linotype" w:hAnsi="Palatino Linotype" w:cs="Tahoma"/>
          <w:lang w:val="es-ES" w:eastAsia="es-MX"/>
        </w:rPr>
      </w:pPr>
      <w:r w:rsidRPr="00D013DC">
        <w:rPr>
          <w:rFonts w:ascii="Palatino Linotype" w:hAnsi="Palatino Linotype" w:cs="Tahoma"/>
          <w:lang w:eastAsia="es-MX"/>
        </w:rPr>
        <w:t xml:space="preserve">Así, en los artículos 122, 128 y 130 de la Ley de la materia, se prevé que </w:t>
      </w:r>
      <w:r w:rsidRPr="00D013DC">
        <w:rPr>
          <w:rFonts w:ascii="Palatino Linotype" w:hAnsi="Palatino Linotype" w:cs="Tahoma"/>
          <w:b/>
          <w:lang w:eastAsia="es-MX"/>
        </w:rPr>
        <w:t xml:space="preserve">la clasificación </w:t>
      </w:r>
      <w:r w:rsidRPr="00D013DC">
        <w:rPr>
          <w:rFonts w:ascii="Palatino Linotype" w:hAnsi="Palatino Linotype" w:cs="Tahoma"/>
          <w:lang w:eastAsia="es-MX"/>
        </w:rPr>
        <w:t xml:space="preserve">es el proceso mediante el cual el Sujeto Obligado determina que la información en su poder, actualiza </w:t>
      </w:r>
      <w:r w:rsidRPr="00D013DC">
        <w:rPr>
          <w:rFonts w:ascii="Palatino Linotype" w:eastAsia="Calibri" w:hAnsi="Palatino Linotype" w:cs="Tahoma"/>
          <w:bCs/>
          <w:lang w:eastAsia="en-US"/>
        </w:rPr>
        <w:t>alguno</w:t>
      </w:r>
      <w:r w:rsidRPr="00D013DC">
        <w:rPr>
          <w:rFonts w:ascii="Palatino Linotype" w:hAnsi="Palatino Linotype" w:cs="Tahoma"/>
          <w:lang w:eastAsia="es-MX"/>
        </w:rPr>
        <w:t xml:space="preserve"> de los supuestos de reserva o confidencialidad. </w:t>
      </w:r>
      <w:r w:rsidRPr="00D013DC">
        <w:rPr>
          <w:rFonts w:ascii="Palatino Linotype" w:hAnsi="Palatino Linotype" w:cs="Tahoma"/>
          <w:lang w:val="es-ES" w:eastAsia="es-MX"/>
        </w:rPr>
        <w:t xml:space="preserve">Además, que dichos entes deberán aplicar de manera restrictiva y limitada, las excepciones al derecho de acceso a la información, por lo que, tendrán que acreditar la procedencia. </w:t>
      </w:r>
    </w:p>
    <w:p w:rsidR="00862C83" w:rsidRPr="00D013DC" w:rsidRDefault="00862C83" w:rsidP="00862C83">
      <w:pPr>
        <w:pStyle w:val="Prrafodelista"/>
        <w:spacing w:line="360" w:lineRule="auto"/>
        <w:ind w:left="644"/>
        <w:jc w:val="both"/>
        <w:rPr>
          <w:rFonts w:ascii="Palatino Linotype" w:hAnsi="Palatino Linotype" w:cs="Tahoma"/>
          <w:lang w:eastAsia="es-MX"/>
        </w:rPr>
      </w:pPr>
    </w:p>
    <w:p w:rsidR="00862C83" w:rsidRPr="00D013DC" w:rsidRDefault="00862C83" w:rsidP="00764396">
      <w:pPr>
        <w:numPr>
          <w:ilvl w:val="0"/>
          <w:numId w:val="1"/>
        </w:numPr>
        <w:spacing w:line="360" w:lineRule="auto"/>
        <w:ind w:left="0" w:right="-787" w:firstLine="0"/>
        <w:jc w:val="both"/>
        <w:rPr>
          <w:rFonts w:ascii="Palatino Linotype" w:hAnsi="Palatino Linotype" w:cs="Tahoma"/>
          <w:lang w:val="es-ES" w:eastAsia="es-MX"/>
        </w:rPr>
      </w:pPr>
      <w:r w:rsidRPr="00D013DC">
        <w:rPr>
          <w:rFonts w:ascii="Palatino Linotype" w:hAnsi="Palatino Linotype" w:cs="Tahoma"/>
          <w:lang w:val="es-ES" w:eastAsia="es-MX"/>
        </w:rPr>
        <w:t xml:space="preserve">Asimismo, en los casos en que se niegue el acceso a la información, por actualizarse alguno de los supuestos de clasificación, </w:t>
      </w:r>
      <w:r w:rsidRPr="00D013DC">
        <w:rPr>
          <w:rFonts w:ascii="Palatino Linotype" w:hAnsi="Palatino Linotype" w:cs="Tahoma"/>
          <w:b/>
          <w:lang w:val="es-ES" w:eastAsia="es-MX"/>
        </w:rPr>
        <w:t xml:space="preserve">el Comité de Transparencia deberá confirmar, modificar o revocar la decisión; </w:t>
      </w:r>
      <w:r w:rsidRPr="00D013DC">
        <w:rPr>
          <w:rFonts w:ascii="Palatino Linotype" w:hAnsi="Palatino Linotype" w:cs="Tahoma"/>
          <w:lang w:val="es-ES" w:eastAsia="es-MX"/>
        </w:rPr>
        <w:t xml:space="preserve">por lo que deberá motivar la confirmación de dicha situación, señalando las razones, </w:t>
      </w:r>
      <w:r w:rsidRPr="00D013DC">
        <w:rPr>
          <w:rFonts w:ascii="Palatino Linotype" w:hAnsi="Palatino Linotype" w:cs="Tahoma"/>
          <w:lang w:eastAsia="es-MX"/>
        </w:rPr>
        <w:t>motivos</w:t>
      </w:r>
      <w:r w:rsidRPr="00D013DC">
        <w:rPr>
          <w:rFonts w:ascii="Palatino Linotype" w:hAnsi="Palatino Linotype" w:cs="Tahoma"/>
          <w:lang w:val="es-ES" w:eastAsia="es-MX"/>
        </w:rPr>
        <w:t xml:space="preserve"> o circunstancias especiales que llevaron al sujeto obligado a concluir que en el caso particular se ajusta al supuesto previsto por la norma legal invocada como fundamento.</w:t>
      </w:r>
    </w:p>
    <w:p w:rsidR="00764396" w:rsidRPr="00D013DC" w:rsidRDefault="00764396" w:rsidP="00764396">
      <w:pPr>
        <w:spacing w:line="360" w:lineRule="auto"/>
        <w:ind w:right="-787"/>
        <w:jc w:val="both"/>
        <w:rPr>
          <w:rFonts w:ascii="Palatino Linotype" w:hAnsi="Palatino Linotype" w:cs="Tahoma"/>
          <w:lang w:val="es-ES" w:eastAsia="es-MX"/>
        </w:rPr>
      </w:pPr>
    </w:p>
    <w:p w:rsidR="00764396" w:rsidRPr="00D013DC" w:rsidRDefault="00764396" w:rsidP="00764396">
      <w:pPr>
        <w:numPr>
          <w:ilvl w:val="0"/>
          <w:numId w:val="1"/>
        </w:numPr>
        <w:spacing w:line="360" w:lineRule="auto"/>
        <w:ind w:left="0" w:right="-787" w:firstLine="0"/>
        <w:jc w:val="both"/>
        <w:rPr>
          <w:rFonts w:ascii="Palatino Linotype" w:hAnsi="Palatino Linotype" w:cs="Tahoma"/>
          <w:lang w:val="es-ES" w:eastAsia="es-MX"/>
        </w:rPr>
      </w:pPr>
      <w:r w:rsidRPr="00D013DC">
        <w:rPr>
          <w:rFonts w:ascii="Palatino Linotype" w:hAnsi="Palatino Linotype" w:cs="Tahoma"/>
          <w:lang w:val="es-ES" w:eastAsia="es-MX"/>
        </w:rPr>
        <w:lastRenderedPageBreak/>
        <w:t xml:space="preserve">Ahora bien, es de señalar que la totalidad de los argumentos plasmados en el </w:t>
      </w:r>
      <w:r w:rsidRPr="00D013DC">
        <w:rPr>
          <w:rFonts w:ascii="Palatino Linotype" w:hAnsi="Palatino Linotype" w:cs="Tahoma"/>
          <w:lang w:eastAsia="es-MX"/>
        </w:rPr>
        <w:t>Memorándum OPDAPAS/CPOO/005/2024 en el que el Servidor Público Habilitado de la unidad administrativa competente solicita al Titular de la Unidad de Información, Planeación, Programación, Evaluación y Transparencia, someterlos  a consideración del comité de Transparencia, no fueron plasmados de manera íntegra en el Acuerdo del Comité de Transparencia correspondiente, sin embargo los mismos también serán analizados para determinar la validación o no del mismo.</w:t>
      </w:r>
    </w:p>
    <w:p w:rsidR="00862C83" w:rsidRPr="00D013DC" w:rsidRDefault="00862C83" w:rsidP="00862C83">
      <w:pPr>
        <w:pStyle w:val="Prrafodelista"/>
        <w:spacing w:line="360" w:lineRule="auto"/>
        <w:rPr>
          <w:rFonts w:ascii="Palatino Linotype" w:hAnsi="Palatino Linotype" w:cs="Tahoma"/>
          <w:lang w:val="es-ES" w:eastAsia="es-MX"/>
        </w:rPr>
      </w:pPr>
    </w:p>
    <w:p w:rsidR="00381765" w:rsidRPr="00D013DC" w:rsidRDefault="00381765" w:rsidP="00764396">
      <w:pPr>
        <w:numPr>
          <w:ilvl w:val="0"/>
          <w:numId w:val="1"/>
        </w:numPr>
        <w:spacing w:line="360" w:lineRule="auto"/>
        <w:ind w:left="0" w:right="-787" w:firstLine="0"/>
        <w:jc w:val="both"/>
        <w:rPr>
          <w:rFonts w:ascii="Palatino Linotype" w:eastAsia="Palatino Linotype" w:hAnsi="Palatino Linotype" w:cs="Palatino Linotype"/>
          <w:color w:val="000000"/>
        </w:rPr>
      </w:pPr>
      <w:r w:rsidRPr="00D013DC">
        <w:rPr>
          <w:rFonts w:ascii="Palatino Linotype" w:hAnsi="Palatino Linotype" w:cs="Tahoma"/>
          <w:lang w:val="es-ES" w:eastAsia="es-MX"/>
        </w:rPr>
        <w:t xml:space="preserve">Es de resaltar que el argumento principal de la clasificación de información se basa en que la información se encuentra en trámite, invocando la fracción X, del artículo 113, de la Ley </w:t>
      </w:r>
      <w:r w:rsidRPr="00D013DC">
        <w:rPr>
          <w:rFonts w:ascii="Palatino Linotype" w:hAnsi="Palatino Linotype" w:cs="Tahoma"/>
          <w:lang w:eastAsia="es-MX"/>
        </w:rPr>
        <w:t>General de Transparencia y Acceso a la Información Pública; y el 140, fracción X, de la Ley en la materia local:</w:t>
      </w:r>
    </w:p>
    <w:p w:rsidR="00381765" w:rsidRPr="00D013DC" w:rsidRDefault="00381765" w:rsidP="00381765">
      <w:pPr>
        <w:ind w:left="851" w:right="-788"/>
        <w:jc w:val="center"/>
        <w:rPr>
          <w:rFonts w:ascii="Palatino Linotype" w:hAnsi="Palatino Linotype" w:cs="Tahoma"/>
          <w:b/>
          <w:i/>
          <w:lang w:eastAsia="es-MX"/>
        </w:rPr>
      </w:pPr>
      <w:r w:rsidRPr="00D013DC">
        <w:rPr>
          <w:rFonts w:ascii="Palatino Linotype" w:hAnsi="Palatino Linotype" w:cs="Tahoma"/>
          <w:b/>
          <w:i/>
          <w:lang w:val="es-ES" w:eastAsia="es-MX"/>
        </w:rPr>
        <w:t xml:space="preserve">Ley </w:t>
      </w:r>
      <w:r w:rsidRPr="00D013DC">
        <w:rPr>
          <w:rFonts w:ascii="Palatino Linotype" w:hAnsi="Palatino Linotype" w:cs="Tahoma"/>
          <w:b/>
          <w:i/>
          <w:lang w:eastAsia="es-MX"/>
        </w:rPr>
        <w:t>General de Transparencia y Acceso a la Información Pública</w:t>
      </w:r>
    </w:p>
    <w:p w:rsidR="00381765" w:rsidRPr="00D013DC" w:rsidRDefault="00381765" w:rsidP="00381765">
      <w:pPr>
        <w:ind w:left="851" w:right="-788"/>
        <w:jc w:val="center"/>
        <w:rPr>
          <w:rFonts w:ascii="Palatino Linotype" w:hAnsi="Palatino Linotype" w:cs="Tahoma"/>
          <w:b/>
          <w:i/>
          <w:lang w:eastAsia="es-MX"/>
        </w:rPr>
      </w:pPr>
      <w:r w:rsidRPr="00D013DC">
        <w:rPr>
          <w:rFonts w:ascii="Palatino Linotype" w:hAnsi="Palatino Linotype" w:cs="Tahoma"/>
          <w:b/>
          <w:i/>
          <w:lang w:eastAsia="es-MX"/>
        </w:rPr>
        <w:t>Capítulo II</w:t>
      </w:r>
    </w:p>
    <w:p w:rsidR="00381765" w:rsidRPr="00D013DC" w:rsidRDefault="00381765" w:rsidP="00381765">
      <w:pPr>
        <w:ind w:left="851" w:right="-788"/>
        <w:jc w:val="center"/>
        <w:rPr>
          <w:rFonts w:ascii="Palatino Linotype" w:hAnsi="Palatino Linotype" w:cs="Tahoma"/>
          <w:b/>
          <w:i/>
          <w:lang w:eastAsia="es-MX"/>
        </w:rPr>
      </w:pPr>
      <w:r w:rsidRPr="00D013DC">
        <w:rPr>
          <w:rFonts w:ascii="Palatino Linotype" w:hAnsi="Palatino Linotype" w:cs="Tahoma"/>
          <w:b/>
          <w:i/>
          <w:lang w:eastAsia="es-MX"/>
        </w:rPr>
        <w:t>De la Información Reservada</w:t>
      </w:r>
    </w:p>
    <w:p w:rsidR="00381765" w:rsidRPr="00D013DC" w:rsidRDefault="00381765" w:rsidP="00381765">
      <w:pPr>
        <w:ind w:left="851" w:right="-788"/>
        <w:jc w:val="both"/>
        <w:rPr>
          <w:rFonts w:ascii="Palatino Linotype" w:hAnsi="Palatino Linotype" w:cs="Tahoma"/>
          <w:i/>
          <w:lang w:eastAsia="es-MX"/>
        </w:rPr>
      </w:pPr>
    </w:p>
    <w:p w:rsidR="00381765" w:rsidRPr="00D013DC" w:rsidRDefault="00381765" w:rsidP="00381765">
      <w:pPr>
        <w:ind w:left="851" w:right="-788"/>
        <w:jc w:val="both"/>
        <w:rPr>
          <w:rFonts w:ascii="Palatino Linotype" w:hAnsi="Palatino Linotype" w:cs="Tahoma"/>
          <w:i/>
          <w:lang w:eastAsia="es-MX"/>
        </w:rPr>
      </w:pPr>
      <w:r w:rsidRPr="00D013DC">
        <w:rPr>
          <w:rFonts w:ascii="Palatino Linotype" w:hAnsi="Palatino Linotype" w:cs="Tahoma"/>
          <w:b/>
          <w:i/>
          <w:lang w:eastAsia="es-MX"/>
        </w:rPr>
        <w:t>Artículo 113</w:t>
      </w:r>
      <w:r w:rsidRPr="00D013DC">
        <w:rPr>
          <w:rFonts w:ascii="Palatino Linotype" w:hAnsi="Palatino Linotype" w:cs="Tahoma"/>
          <w:i/>
          <w:lang w:eastAsia="es-MX"/>
        </w:rPr>
        <w:t>. Como información reservada podrá clasificarse aquella cuya publicación:</w:t>
      </w:r>
    </w:p>
    <w:p w:rsidR="00381765" w:rsidRPr="00D013DC" w:rsidRDefault="00381765" w:rsidP="00381765">
      <w:pPr>
        <w:ind w:left="851" w:right="-788"/>
        <w:jc w:val="both"/>
        <w:rPr>
          <w:rFonts w:ascii="Palatino Linotype" w:hAnsi="Palatino Linotype" w:cs="Tahoma"/>
          <w:i/>
          <w:lang w:eastAsia="es-MX"/>
        </w:rPr>
      </w:pPr>
      <w:r w:rsidRPr="00D013DC">
        <w:rPr>
          <w:rFonts w:ascii="Palatino Linotype" w:hAnsi="Palatino Linotype" w:cs="Tahoma"/>
          <w:i/>
          <w:lang w:eastAsia="es-MX"/>
        </w:rPr>
        <w:t>…</w:t>
      </w:r>
    </w:p>
    <w:p w:rsidR="00381765" w:rsidRPr="00D013DC" w:rsidRDefault="00381765" w:rsidP="00381765">
      <w:pPr>
        <w:ind w:left="851" w:right="-788"/>
        <w:jc w:val="both"/>
        <w:rPr>
          <w:rFonts w:ascii="Palatino Linotype" w:hAnsi="Palatino Linotype" w:cs="Tahoma"/>
          <w:b/>
          <w:i/>
          <w:lang w:eastAsia="es-MX"/>
        </w:rPr>
      </w:pPr>
      <w:r w:rsidRPr="00D013DC">
        <w:rPr>
          <w:rFonts w:ascii="Palatino Linotype" w:hAnsi="Palatino Linotype" w:cs="Tahoma"/>
          <w:b/>
          <w:i/>
          <w:lang w:eastAsia="es-MX"/>
        </w:rPr>
        <w:t>X. Afecte los derechos del debido proceso;</w:t>
      </w:r>
    </w:p>
    <w:p w:rsidR="00381765" w:rsidRPr="00D013DC" w:rsidRDefault="00381765" w:rsidP="00381765">
      <w:pPr>
        <w:ind w:left="851" w:right="-788"/>
        <w:jc w:val="both"/>
        <w:rPr>
          <w:rFonts w:ascii="Palatino Linotype" w:hAnsi="Palatino Linotype" w:cs="Tahoma"/>
          <w:b/>
          <w:i/>
          <w:lang w:eastAsia="es-MX"/>
        </w:rPr>
      </w:pPr>
      <w:r w:rsidRPr="00D013DC">
        <w:rPr>
          <w:rFonts w:ascii="Palatino Linotype" w:hAnsi="Palatino Linotype" w:cs="Tahoma"/>
          <w:b/>
          <w:i/>
          <w:lang w:eastAsia="es-MX"/>
        </w:rPr>
        <w:t>…</w:t>
      </w:r>
    </w:p>
    <w:p w:rsidR="00381765" w:rsidRPr="00D013DC" w:rsidRDefault="00381765" w:rsidP="00381765">
      <w:pPr>
        <w:ind w:left="851" w:right="-788"/>
        <w:jc w:val="both"/>
        <w:rPr>
          <w:rFonts w:ascii="Palatino Linotype" w:hAnsi="Palatino Linotype" w:cs="Tahoma"/>
          <w:b/>
          <w:i/>
          <w:lang w:eastAsia="es-MX"/>
        </w:rPr>
      </w:pPr>
    </w:p>
    <w:p w:rsidR="00381765" w:rsidRPr="00D013DC" w:rsidRDefault="00381765" w:rsidP="00381765">
      <w:pPr>
        <w:ind w:left="851" w:right="-788"/>
        <w:jc w:val="center"/>
        <w:rPr>
          <w:rFonts w:ascii="Palatino Linotype" w:hAnsi="Palatino Linotype" w:cs="Tahoma"/>
          <w:b/>
          <w:i/>
          <w:lang w:val="es-ES" w:eastAsia="es-MX"/>
        </w:rPr>
      </w:pPr>
      <w:r w:rsidRPr="00D013DC">
        <w:rPr>
          <w:rFonts w:ascii="Palatino Linotype" w:hAnsi="Palatino Linotype" w:cs="Tahoma"/>
          <w:b/>
          <w:i/>
          <w:lang w:val="es-ES" w:eastAsia="es-MX"/>
        </w:rPr>
        <w:t>Ley de Transparencia y Acceso a la Información Pública del Estado de México y Municipios</w:t>
      </w:r>
    </w:p>
    <w:p w:rsidR="00381765" w:rsidRPr="00D013DC" w:rsidRDefault="00381765" w:rsidP="00381765">
      <w:pPr>
        <w:ind w:left="851" w:right="-788"/>
        <w:jc w:val="center"/>
        <w:rPr>
          <w:rFonts w:ascii="Palatino Linotype" w:hAnsi="Palatino Linotype" w:cs="Tahoma"/>
          <w:b/>
          <w:i/>
          <w:lang w:val="es-ES" w:eastAsia="es-MX"/>
        </w:rPr>
      </w:pPr>
    </w:p>
    <w:p w:rsidR="00381765" w:rsidRPr="00D013DC" w:rsidRDefault="00381765" w:rsidP="00381765">
      <w:pPr>
        <w:ind w:left="851" w:right="-788"/>
        <w:jc w:val="center"/>
        <w:rPr>
          <w:rFonts w:ascii="Palatino Linotype" w:hAnsi="Palatino Linotype" w:cs="Tahoma"/>
          <w:b/>
          <w:i/>
          <w:lang w:eastAsia="es-MX"/>
        </w:rPr>
      </w:pPr>
      <w:r w:rsidRPr="00D013DC">
        <w:rPr>
          <w:rFonts w:ascii="Palatino Linotype" w:hAnsi="Palatino Linotype" w:cs="Tahoma"/>
          <w:b/>
          <w:i/>
          <w:lang w:eastAsia="es-MX"/>
        </w:rPr>
        <w:t xml:space="preserve">Capítulo II </w:t>
      </w:r>
    </w:p>
    <w:p w:rsidR="00381765" w:rsidRPr="00D013DC" w:rsidRDefault="00381765" w:rsidP="00381765">
      <w:pPr>
        <w:ind w:left="851" w:right="-788"/>
        <w:jc w:val="center"/>
        <w:rPr>
          <w:rFonts w:ascii="Palatino Linotype" w:hAnsi="Palatino Linotype" w:cs="Tahoma"/>
          <w:b/>
          <w:i/>
          <w:lang w:eastAsia="es-MX"/>
        </w:rPr>
      </w:pPr>
      <w:r w:rsidRPr="00D013DC">
        <w:rPr>
          <w:rFonts w:ascii="Palatino Linotype" w:hAnsi="Palatino Linotype" w:cs="Tahoma"/>
          <w:b/>
          <w:i/>
          <w:lang w:eastAsia="es-MX"/>
        </w:rPr>
        <w:t>De la Información Reservada</w:t>
      </w:r>
    </w:p>
    <w:p w:rsidR="00381765" w:rsidRPr="00D013DC" w:rsidRDefault="00381765" w:rsidP="00381765">
      <w:pPr>
        <w:ind w:left="851" w:right="-788"/>
        <w:jc w:val="center"/>
        <w:rPr>
          <w:rFonts w:ascii="Palatino Linotype" w:hAnsi="Palatino Linotype" w:cs="Tahoma"/>
          <w:b/>
          <w:i/>
          <w:lang w:eastAsia="es-MX"/>
        </w:rPr>
      </w:pPr>
    </w:p>
    <w:p w:rsidR="00381765" w:rsidRPr="00D013DC" w:rsidRDefault="00381765" w:rsidP="00381765">
      <w:pPr>
        <w:ind w:left="851" w:right="-788"/>
        <w:jc w:val="both"/>
        <w:rPr>
          <w:rFonts w:ascii="Palatino Linotype" w:hAnsi="Palatino Linotype" w:cs="Tahoma"/>
          <w:i/>
          <w:lang w:eastAsia="es-MX"/>
        </w:rPr>
      </w:pPr>
      <w:r w:rsidRPr="00D013DC">
        <w:rPr>
          <w:rFonts w:ascii="Palatino Linotype" w:hAnsi="Palatino Linotype" w:cs="Tahoma"/>
          <w:b/>
          <w:i/>
          <w:lang w:eastAsia="es-MX"/>
        </w:rPr>
        <w:lastRenderedPageBreak/>
        <w:t xml:space="preserve">Artículo 140. </w:t>
      </w:r>
      <w:r w:rsidRPr="00D013DC">
        <w:rPr>
          <w:rFonts w:ascii="Palatino Linotype" w:hAnsi="Palatino Linotype" w:cs="Tahoma"/>
          <w:i/>
          <w:lang w:eastAsia="es-MX"/>
        </w:rPr>
        <w:t>El acceso a la información pública será restringido excepcionalmente, cuando por razones de interés público, ésta sea clasificada como reservada, conforme a los criterios siguientes:</w:t>
      </w:r>
    </w:p>
    <w:p w:rsidR="00381765" w:rsidRPr="00D013DC" w:rsidRDefault="00381765" w:rsidP="00381765">
      <w:pPr>
        <w:ind w:left="851" w:right="-788"/>
        <w:jc w:val="both"/>
        <w:rPr>
          <w:rFonts w:ascii="Palatino Linotype" w:hAnsi="Palatino Linotype" w:cs="Tahoma"/>
          <w:i/>
          <w:lang w:eastAsia="es-MX"/>
        </w:rPr>
      </w:pPr>
      <w:r w:rsidRPr="00D013DC">
        <w:rPr>
          <w:rFonts w:ascii="Palatino Linotype" w:hAnsi="Palatino Linotype" w:cs="Tahoma"/>
          <w:i/>
          <w:lang w:eastAsia="es-MX"/>
        </w:rPr>
        <w:t>…</w:t>
      </w:r>
    </w:p>
    <w:p w:rsidR="00381765" w:rsidRPr="00D013DC" w:rsidRDefault="00381765" w:rsidP="00381765">
      <w:pPr>
        <w:ind w:left="851" w:right="-788"/>
        <w:jc w:val="both"/>
        <w:rPr>
          <w:rFonts w:ascii="Palatino Linotype" w:hAnsi="Palatino Linotype" w:cs="Tahoma"/>
          <w:i/>
          <w:lang w:eastAsia="es-MX"/>
        </w:rPr>
      </w:pPr>
      <w:r w:rsidRPr="00D013DC">
        <w:rPr>
          <w:rFonts w:ascii="Palatino Linotype" w:hAnsi="Palatino Linotype" w:cs="Tahoma"/>
          <w:b/>
          <w:i/>
          <w:lang w:eastAsia="es-MX"/>
        </w:rPr>
        <w:t xml:space="preserve">X. </w:t>
      </w:r>
      <w:r w:rsidRPr="00D013DC">
        <w:rPr>
          <w:rFonts w:ascii="Palatino Linotype" w:hAnsi="Palatino Linotype" w:cs="Tahoma"/>
          <w:i/>
          <w:lang w:eastAsia="es-MX"/>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381765" w:rsidRPr="00D013DC" w:rsidRDefault="00381765" w:rsidP="00381765">
      <w:pPr>
        <w:ind w:left="851" w:right="-788"/>
        <w:jc w:val="both"/>
        <w:rPr>
          <w:rFonts w:ascii="Palatino Linotype" w:hAnsi="Palatino Linotype" w:cs="Tahoma"/>
          <w:i/>
          <w:lang w:eastAsia="es-MX"/>
        </w:rPr>
      </w:pPr>
    </w:p>
    <w:p w:rsidR="00381765" w:rsidRPr="00D013DC" w:rsidRDefault="00381765" w:rsidP="00381765">
      <w:pPr>
        <w:ind w:left="851" w:right="-788"/>
        <w:jc w:val="both"/>
        <w:rPr>
          <w:rFonts w:ascii="Palatino Linotype" w:hAnsi="Palatino Linotype" w:cs="Tahoma"/>
          <w:b/>
          <w:i/>
          <w:lang w:val="es-ES" w:eastAsia="es-MX"/>
        </w:rPr>
      </w:pPr>
      <w:r w:rsidRPr="00D013DC">
        <w:rPr>
          <w:rFonts w:ascii="Palatino Linotype" w:hAnsi="Palatino Linotype" w:cs="Tahoma"/>
          <w:i/>
          <w:lang w:eastAsia="es-MX"/>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381765" w:rsidRPr="00D013DC" w:rsidRDefault="00381765" w:rsidP="00381765">
      <w:pPr>
        <w:spacing w:line="360" w:lineRule="auto"/>
        <w:ind w:right="-787"/>
        <w:jc w:val="both"/>
        <w:rPr>
          <w:rFonts w:ascii="Palatino Linotype" w:eastAsia="Palatino Linotype" w:hAnsi="Palatino Linotype" w:cs="Palatino Linotype"/>
          <w:color w:val="000000"/>
        </w:rPr>
      </w:pPr>
    </w:p>
    <w:p w:rsidR="009558FA" w:rsidRPr="00D013DC" w:rsidRDefault="00381765" w:rsidP="008E3343">
      <w:pPr>
        <w:numPr>
          <w:ilvl w:val="0"/>
          <w:numId w:val="1"/>
        </w:numPr>
        <w:spacing w:line="360" w:lineRule="auto"/>
        <w:ind w:left="0" w:right="-787" w:firstLine="0"/>
        <w:jc w:val="both"/>
        <w:rPr>
          <w:rFonts w:ascii="Palatino Linotype" w:eastAsia="Palatino Linotype" w:hAnsi="Palatino Linotype" w:cs="Palatino Linotype"/>
        </w:rPr>
      </w:pPr>
      <w:r w:rsidRPr="00D013DC">
        <w:rPr>
          <w:rFonts w:ascii="Palatino Linotype" w:hAnsi="Palatino Linotype" w:cs="Tahoma"/>
          <w:lang w:eastAsia="es-MX"/>
        </w:rPr>
        <w:t xml:space="preserve"> </w:t>
      </w:r>
      <w:r w:rsidR="009558FA" w:rsidRPr="00D013DC">
        <w:rPr>
          <w:rFonts w:ascii="Palatino Linotype" w:eastAsia="Palatino Linotype" w:hAnsi="Palatino Linotype" w:cs="Palatino Linotype"/>
        </w:rPr>
        <w:t xml:space="preserve">Por lo anterior, y es de precisar contrario a lo manifestado por el Sujeto Obligado, la información solicitada no versa sobre </w:t>
      </w:r>
      <w:r w:rsidR="009558FA" w:rsidRPr="00D013DC">
        <w:rPr>
          <w:rFonts w:ascii="Palatino Linotype" w:hAnsi="Palatino Linotype" w:cs="Arial"/>
          <w:bCs/>
          <w:color w:val="000000" w:themeColor="text1"/>
        </w:rPr>
        <w:t>procedimientos administrativos o judiciales en trámite</w:t>
      </w:r>
      <w:r w:rsidR="00ED78C8" w:rsidRPr="00D013DC">
        <w:rPr>
          <w:rFonts w:ascii="Palatino Linotype" w:hAnsi="Palatino Linotype" w:cs="Arial"/>
          <w:bCs/>
          <w:color w:val="000000" w:themeColor="text1"/>
        </w:rPr>
        <w:t xml:space="preserve">, sino de la obra de un fraccionamiento en relación a acciones de </w:t>
      </w:r>
      <w:r w:rsidR="00ED78C8" w:rsidRPr="00D013DC">
        <w:rPr>
          <w:rFonts w:ascii="Palatino Linotype" w:hAnsi="Palatino Linotype" w:cs="Tahoma"/>
          <w:b/>
          <w:lang w:eastAsia="es-MX"/>
        </w:rPr>
        <w:t>agua potable, drenaje y alcantarillado</w:t>
      </w:r>
      <w:r w:rsidR="009558FA" w:rsidRPr="00D013DC">
        <w:rPr>
          <w:rFonts w:ascii="Palatino Linotype" w:hAnsi="Palatino Linotype" w:cs="Arial"/>
          <w:bCs/>
          <w:color w:val="000000" w:themeColor="text1"/>
        </w:rPr>
        <w:t xml:space="preserve">. En sentido estricto, la normatividad establece </w:t>
      </w:r>
      <w:r w:rsidR="009558FA" w:rsidRPr="00D013DC">
        <w:rPr>
          <w:rFonts w:ascii="Palatino Linotype" w:eastAsia="Palatino Linotype" w:hAnsi="Palatino Linotype" w:cs="Palatino Linotype"/>
          <w:color w:val="000000" w:themeColor="text1"/>
          <w:lang w:val="es-MX" w:eastAsia="es-MX"/>
        </w:rPr>
        <w:t xml:space="preserve">que </w:t>
      </w:r>
      <w:r w:rsidR="009558FA" w:rsidRPr="00D013DC">
        <w:rPr>
          <w:rFonts w:ascii="Palatino Linotype" w:eastAsia="Palatino Linotype" w:hAnsi="Palatino Linotype" w:cs="Palatino Linotype"/>
          <w:lang w:val="es-MX" w:eastAsia="es-MX"/>
        </w:rPr>
        <w:t xml:space="preserve">el realizar un pronunciamiento sobre la existencia de un procedimiento administrativo o judicial en trámite, podría afectar a los posibles responsables o las partes, </w:t>
      </w:r>
      <w:r w:rsidR="009558FA" w:rsidRPr="00D013DC">
        <w:rPr>
          <w:rFonts w:ascii="Palatino Linotype" w:eastAsia="Palatino Linotype" w:hAnsi="Palatino Linotype" w:cs="Palatino Linotype"/>
          <w:b/>
          <w:u w:val="single"/>
          <w:lang w:val="es-MX" w:eastAsia="es-MX"/>
        </w:rPr>
        <w:t xml:space="preserve">ya que se daría a conocer la existencia de una investigación en su contra o siendo parte de un proceso jurisdiccional, lo cual, generaría una percepción negativa de estos, sin que se hubiere probado su responsabilidad o culpabilidad, o la resolución de un proceso judicial, lo cual dañaría, su honor y su derecho a la presunción de inocencia. </w:t>
      </w:r>
    </w:p>
    <w:p w:rsidR="009558FA" w:rsidRPr="00D013DC" w:rsidRDefault="009558FA" w:rsidP="009558FA">
      <w:pPr>
        <w:tabs>
          <w:tab w:val="left" w:pos="3962"/>
        </w:tabs>
        <w:spacing w:after="160" w:line="360" w:lineRule="auto"/>
        <w:contextualSpacing/>
        <w:jc w:val="both"/>
        <w:rPr>
          <w:rFonts w:ascii="Palatino Linotype" w:eastAsia="Palatino Linotype" w:hAnsi="Palatino Linotype" w:cs="Palatino Linotype"/>
          <w:lang w:val="es-MX" w:eastAsia="es-MX"/>
        </w:rPr>
      </w:pPr>
    </w:p>
    <w:p w:rsidR="009558FA" w:rsidRPr="00D013DC" w:rsidRDefault="009558FA" w:rsidP="008E3343">
      <w:pPr>
        <w:numPr>
          <w:ilvl w:val="0"/>
          <w:numId w:val="1"/>
        </w:numPr>
        <w:spacing w:line="360" w:lineRule="auto"/>
        <w:ind w:left="0" w:right="-787" w:firstLine="0"/>
        <w:jc w:val="both"/>
        <w:rPr>
          <w:rFonts w:ascii="Palatino Linotype" w:eastAsia="Palatino Linotype" w:hAnsi="Palatino Linotype" w:cs="Palatino Linotype"/>
          <w:b/>
        </w:rPr>
      </w:pPr>
      <w:r w:rsidRPr="00D013DC">
        <w:rPr>
          <w:rFonts w:ascii="Palatino Linotype" w:eastAsia="Palatino Linotype" w:hAnsi="Palatino Linotype" w:cs="Palatino Linotype"/>
          <w:lang w:val="es-MX" w:eastAsia="es-MX"/>
        </w:rPr>
        <w:t xml:space="preserve">En otras palabras, dar a conocer la existencia de un procedimiento administrativo o judicial en trámite, vulneraría la protección de su privacidad, honor y presunción de </w:t>
      </w:r>
      <w:r w:rsidRPr="00D013DC">
        <w:rPr>
          <w:rFonts w:ascii="Palatino Linotype" w:eastAsia="Palatino Linotype" w:hAnsi="Palatino Linotype" w:cs="Palatino Linotype"/>
          <w:lang w:val="es-MX" w:eastAsia="es-MX"/>
        </w:rPr>
        <w:lastRenderedPageBreak/>
        <w:t>inocencia, ya que podría generar un juicio a priori por parte de la sociedad, sin que se tenga una determinación firme, donde haya quedada acreditada su responsabilidad o la resolución de un proceso judicial.</w:t>
      </w:r>
    </w:p>
    <w:p w:rsidR="009558FA" w:rsidRPr="00D013DC" w:rsidRDefault="009558FA" w:rsidP="009558FA">
      <w:pPr>
        <w:pBdr>
          <w:top w:val="nil"/>
          <w:left w:val="nil"/>
          <w:bottom w:val="nil"/>
          <w:right w:val="nil"/>
          <w:between w:val="nil"/>
        </w:pBdr>
        <w:tabs>
          <w:tab w:val="left" w:pos="142"/>
        </w:tabs>
        <w:spacing w:line="360" w:lineRule="auto"/>
        <w:ind w:right="49"/>
        <w:jc w:val="both"/>
        <w:rPr>
          <w:rFonts w:ascii="Palatino Linotype" w:eastAsia="Palatino Linotype" w:hAnsi="Palatino Linotype" w:cs="Palatino Linotype"/>
          <w:b/>
        </w:rPr>
      </w:pPr>
    </w:p>
    <w:p w:rsidR="009558FA" w:rsidRPr="00D013DC" w:rsidRDefault="009558FA" w:rsidP="008E3343">
      <w:pPr>
        <w:numPr>
          <w:ilvl w:val="0"/>
          <w:numId w:val="1"/>
        </w:numPr>
        <w:spacing w:line="360" w:lineRule="auto"/>
        <w:ind w:left="0" w:right="-787" w:firstLine="0"/>
        <w:jc w:val="both"/>
        <w:rPr>
          <w:rFonts w:ascii="Palatino Linotype" w:eastAsia="Palatino Linotype" w:hAnsi="Palatino Linotype" w:cs="Palatino Linotype"/>
          <w:b/>
        </w:rPr>
      </w:pPr>
      <w:r w:rsidRPr="00D013DC">
        <w:rPr>
          <w:rFonts w:ascii="Palatino Linotype" w:eastAsia="Palatino Linotype" w:hAnsi="Palatino Linotype" w:cs="Palatino Linotype"/>
        </w:rPr>
        <w:t xml:space="preserve">Ahora bien, es de señalar que para aquellas resoluciones que no han quedado firmes o no han causado estado, se debe elaborar un acuerdo de clasificación de la información como reservada, bajo las causales establecidas en los artículos 113, fracciones X y XI de la Ley General de Transparencia, y 140, fracciones VI y VIII de la Ley de Transparencia del Estado, correlativo con los numerales Vigésimo noveno y Trigésimo de los Lineamientos de Clasificación; insistiendo que ello es </w:t>
      </w:r>
      <w:r w:rsidRPr="00D013DC">
        <w:rPr>
          <w:rFonts w:ascii="Palatino Linotype" w:eastAsia="Palatino Linotype" w:hAnsi="Palatino Linotype" w:cs="Palatino Linotype"/>
          <w:b/>
        </w:rPr>
        <w:t>siempre y cuando el sujeto obligado acredite de manera fundada y motivada</w:t>
      </w:r>
      <w:r w:rsidRPr="00D013DC">
        <w:rPr>
          <w:rFonts w:ascii="Palatino Linotype" w:eastAsia="Palatino Linotype" w:hAnsi="Palatino Linotype" w:cs="Palatino Linotype"/>
        </w:rPr>
        <w:t xml:space="preserve"> que los procedimientos administrativos señalados en la solicitud de información, </w:t>
      </w:r>
      <w:r w:rsidRPr="00D013DC">
        <w:rPr>
          <w:rFonts w:ascii="Palatino Linotype" w:eastAsia="Palatino Linotype" w:hAnsi="Palatino Linotype" w:cs="Palatino Linotype"/>
          <w:b/>
        </w:rPr>
        <w:t xml:space="preserve">no estén firmes. </w:t>
      </w:r>
    </w:p>
    <w:p w:rsidR="009558FA" w:rsidRPr="00D013DC" w:rsidRDefault="009558FA" w:rsidP="009558FA">
      <w:pPr>
        <w:pBdr>
          <w:top w:val="nil"/>
          <w:left w:val="nil"/>
          <w:bottom w:val="nil"/>
          <w:right w:val="nil"/>
          <w:between w:val="nil"/>
        </w:pBdr>
        <w:tabs>
          <w:tab w:val="left" w:pos="142"/>
        </w:tabs>
        <w:spacing w:line="360" w:lineRule="auto"/>
        <w:ind w:right="49"/>
        <w:jc w:val="both"/>
        <w:rPr>
          <w:rFonts w:ascii="Palatino Linotype" w:eastAsia="Palatino Linotype" w:hAnsi="Palatino Linotype" w:cs="Palatino Linotype"/>
          <w:b/>
        </w:rPr>
      </w:pPr>
    </w:p>
    <w:p w:rsidR="009558FA" w:rsidRPr="00D013DC" w:rsidRDefault="009558FA" w:rsidP="008E3343">
      <w:pPr>
        <w:numPr>
          <w:ilvl w:val="0"/>
          <w:numId w:val="1"/>
        </w:numPr>
        <w:spacing w:line="360" w:lineRule="auto"/>
        <w:ind w:left="0" w:right="-787" w:firstLine="0"/>
        <w:jc w:val="both"/>
        <w:rPr>
          <w:rFonts w:ascii="Palatino Linotype" w:eastAsia="Palatino Linotype" w:hAnsi="Palatino Linotype" w:cs="Palatino Linotype"/>
          <w:b/>
        </w:rPr>
      </w:pPr>
      <w:r w:rsidRPr="00D013DC">
        <w:rPr>
          <w:rFonts w:ascii="Palatino Linotype" w:eastAsia="Palatino Linotype" w:hAnsi="Palatino Linotype" w:cs="Palatino Linotype"/>
        </w:rPr>
        <w:t xml:space="preserve">Por lo anterior, es de puntualizar  que la clasificación de la información como reservada corresponde a procedimientos administrativos o judiciales en trámite, por lo que </w:t>
      </w:r>
      <w:r w:rsidRPr="00D013DC">
        <w:rPr>
          <w:rFonts w:ascii="Palatino Linotype" w:eastAsia="Palatino Linotype" w:hAnsi="Palatino Linotype" w:cs="Palatino Linotype"/>
          <w:b/>
        </w:rPr>
        <w:t>contrario a lo manifestado por el Sujeto Obligado, lo argumentado tanto en el Memorándum ya referido y en el acuerdo de clasificación no satisface</w:t>
      </w:r>
      <w:r w:rsidR="00F452A6" w:rsidRPr="00D013DC">
        <w:rPr>
          <w:rFonts w:ascii="Palatino Linotype" w:eastAsia="Palatino Linotype" w:hAnsi="Palatino Linotype" w:cs="Palatino Linotype"/>
          <w:b/>
        </w:rPr>
        <w:t>n los elementos que actualizan la reserva de la información solicitada.</w:t>
      </w:r>
    </w:p>
    <w:p w:rsidR="009558FA" w:rsidRPr="00D013DC" w:rsidRDefault="009558FA" w:rsidP="00F452A6">
      <w:pPr>
        <w:spacing w:line="360" w:lineRule="auto"/>
        <w:ind w:right="-787"/>
        <w:jc w:val="both"/>
        <w:rPr>
          <w:rFonts w:ascii="Palatino Linotype" w:eastAsia="Palatino Linotype" w:hAnsi="Palatino Linotype" w:cs="Palatino Linotype"/>
          <w:color w:val="000000"/>
        </w:rPr>
      </w:pPr>
    </w:p>
    <w:p w:rsidR="00F452A6" w:rsidRPr="00D013DC" w:rsidRDefault="00F452A6" w:rsidP="00764396">
      <w:pPr>
        <w:numPr>
          <w:ilvl w:val="0"/>
          <w:numId w:val="1"/>
        </w:numPr>
        <w:spacing w:line="360" w:lineRule="auto"/>
        <w:ind w:left="0" w:right="-787" w:firstLine="0"/>
        <w:jc w:val="both"/>
        <w:rPr>
          <w:rFonts w:ascii="Palatino Linotype" w:eastAsia="Palatino Linotype" w:hAnsi="Palatino Linotype" w:cs="Palatino Linotype"/>
          <w:color w:val="000000"/>
        </w:rPr>
      </w:pPr>
      <w:r w:rsidRPr="00D013DC">
        <w:rPr>
          <w:rFonts w:ascii="Palatino Linotype" w:hAnsi="Palatino Linotype" w:cs="Tahoma"/>
          <w:lang w:val="es-ES" w:eastAsia="es-MX"/>
        </w:rPr>
        <w:t xml:space="preserve">A pesar de lo expuesto, es de recordar que el Sujeto Obligado a través de la unidad administrativa competente refirió que </w:t>
      </w:r>
      <w:r w:rsidRPr="00D013DC">
        <w:rPr>
          <w:rFonts w:ascii="Palatino Linotype" w:hAnsi="Palatino Linotype" w:cs="Tahoma"/>
          <w:lang w:eastAsia="es-MX"/>
        </w:rPr>
        <w:t>con la divulgación de la información el daño es mayor que el interés de conocerla ya que generaría una afectación real a las partes involucradas, por las consideraciones siguientes:</w:t>
      </w:r>
    </w:p>
    <w:p w:rsidR="00F452A6" w:rsidRPr="00D013DC" w:rsidRDefault="00F452A6" w:rsidP="00F452A6">
      <w:pPr>
        <w:pStyle w:val="Prrafodelista"/>
        <w:numPr>
          <w:ilvl w:val="0"/>
          <w:numId w:val="26"/>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lastRenderedPageBreak/>
        <w:t>Por comprometerse el derecho al debido proceso en relación al desarrollo inmobiliario, el cual aún está en proceso de entrega a las autoridades municipales.</w:t>
      </w:r>
    </w:p>
    <w:p w:rsidR="00F452A6" w:rsidRPr="00D013DC" w:rsidRDefault="00F452A6" w:rsidP="00F452A6">
      <w:p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p>
    <w:p w:rsidR="00F452A6" w:rsidRPr="00D013DC" w:rsidRDefault="00F452A6" w:rsidP="00F452A6">
      <w:pPr>
        <w:pStyle w:val="Prrafodelista"/>
        <w:numPr>
          <w:ilvl w:val="0"/>
          <w:numId w:val="26"/>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Dicho desarrollo no se ha entregado en su totalidad a las autoridades municipales, es decir, el proceso de entrega está inconcluso, por lo tanto, la entrega de información supondría un sabotaje o sesgo a las actuaciones finales a las que se pretende llegar y su divulgación menoscaba el debido proceso.</w:t>
      </w:r>
    </w:p>
    <w:p w:rsidR="00F452A6" w:rsidRPr="00D013DC" w:rsidRDefault="00F452A6" w:rsidP="00F452A6">
      <w:p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p>
    <w:p w:rsidR="00F452A6" w:rsidRPr="00D013DC" w:rsidRDefault="00F452A6" w:rsidP="00F452A6">
      <w:pPr>
        <w:pStyle w:val="Prrafodelista"/>
        <w:numPr>
          <w:ilvl w:val="0"/>
          <w:numId w:val="26"/>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Entregar la información incide en posibles alteraciones al debido proceso, a fin de que la entrega se realice sin alteración o riesgo de perjuicio alguno.</w:t>
      </w:r>
    </w:p>
    <w:p w:rsidR="00F452A6" w:rsidRPr="00D013DC" w:rsidRDefault="00F452A6" w:rsidP="00F452A6">
      <w:p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p>
    <w:p w:rsidR="00F452A6" w:rsidRPr="00D013DC" w:rsidRDefault="00F452A6" w:rsidP="00F452A6">
      <w:pPr>
        <w:pStyle w:val="Prrafodelista"/>
        <w:numPr>
          <w:ilvl w:val="0"/>
          <w:numId w:val="26"/>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Razones del porque la apertura de la información generaría una afectación, a través de los elementos de riesgo real, demostrable e identificable:</w:t>
      </w:r>
    </w:p>
    <w:p w:rsidR="00F452A6" w:rsidRPr="00D013DC" w:rsidRDefault="00F452A6" w:rsidP="00F452A6">
      <w:p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p>
    <w:p w:rsidR="00F452A6" w:rsidRPr="00D013DC" w:rsidRDefault="00F452A6" w:rsidP="00F452A6">
      <w:pPr>
        <w:pStyle w:val="Prrafodelista"/>
        <w:numPr>
          <w:ilvl w:val="0"/>
          <w:numId w:val="27"/>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Riesgo Real. Que la información sea conocida sin culminar la entrega del Conjunto Urbano antes mencionado.</w:t>
      </w:r>
    </w:p>
    <w:p w:rsidR="00F452A6" w:rsidRPr="00D013DC" w:rsidRDefault="00F452A6" w:rsidP="00F452A6">
      <w:p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p>
    <w:p w:rsidR="00F452A6" w:rsidRPr="00D013DC" w:rsidRDefault="00F452A6" w:rsidP="00F452A6">
      <w:pPr>
        <w:pStyle w:val="Prrafodelista"/>
        <w:numPr>
          <w:ilvl w:val="0"/>
          <w:numId w:val="27"/>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Riesgo Demostrable. La solicitante propietaria de una casa dentro del conjunto urbano, requiere información del estatus que guarda el desarrollo en comento, así como pagos realizados por la empresa al Municipio de </w:t>
      </w:r>
      <w:r w:rsidR="006F331B" w:rsidRPr="00D013DC">
        <w:rPr>
          <w:rFonts w:ascii="Palatino Linotype" w:eastAsia="Palatino Linotype" w:hAnsi="Palatino Linotype" w:cs="Palatino Linotype"/>
          <w:color w:val="000000"/>
        </w:rPr>
        <w:t>Zinacantepec</w:t>
      </w:r>
      <w:r w:rsidRPr="00D013DC">
        <w:rPr>
          <w:rFonts w:ascii="Palatino Linotype" w:eastAsia="Palatino Linotype" w:hAnsi="Palatino Linotype" w:cs="Palatino Linotype"/>
          <w:color w:val="000000"/>
        </w:rPr>
        <w:t>, a su vez obras de infraestructura complementarias para la operación del fraccionamiento, realizadas por la empresa y la documentación que sustente la construcción y supervisión del fraccionamiento.</w:t>
      </w:r>
    </w:p>
    <w:p w:rsidR="00F452A6" w:rsidRPr="00D013DC" w:rsidRDefault="00F452A6" w:rsidP="00F452A6">
      <w:p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p>
    <w:p w:rsidR="00F452A6" w:rsidRPr="00D013DC" w:rsidRDefault="00F452A6" w:rsidP="00F452A6">
      <w:pPr>
        <w:pStyle w:val="Prrafodelista"/>
        <w:numPr>
          <w:ilvl w:val="0"/>
          <w:numId w:val="27"/>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Riesgo Identificable. Menoscabo del derecho al debido proceso y supondría un riesgo de perjuicio para la entrega del desarrollo, para los propietarios, la empresa y el Sujeto Obligado.</w:t>
      </w:r>
    </w:p>
    <w:p w:rsidR="00F452A6" w:rsidRPr="00D013DC" w:rsidRDefault="00F452A6" w:rsidP="00F452A6">
      <w:p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p>
    <w:p w:rsidR="00F452A6" w:rsidRPr="00D013DC" w:rsidRDefault="00F452A6" w:rsidP="00F452A6">
      <w:pPr>
        <w:pStyle w:val="Prrafodelista"/>
        <w:numPr>
          <w:ilvl w:val="0"/>
          <w:numId w:val="26"/>
        </w:numPr>
        <w:pBdr>
          <w:top w:val="nil"/>
          <w:left w:val="nil"/>
          <w:bottom w:val="nil"/>
          <w:right w:val="nil"/>
          <w:between w:val="nil"/>
        </w:pBdr>
        <w:tabs>
          <w:tab w:val="left" w:pos="567"/>
        </w:tabs>
        <w:ind w:left="851" w:right="49"/>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Por otra parte, las circunstancias de modo supondrían un riesgo para la entrega del desarrollo, afectando a los demás propietarios. Es decir, el riesgo estaría latente hasta que el proceso se concluya satisfactoriamente y </w:t>
      </w:r>
      <w:r w:rsidRPr="00D013DC">
        <w:rPr>
          <w:rFonts w:ascii="Palatino Linotype" w:eastAsia="Palatino Linotype" w:hAnsi="Palatino Linotype" w:cs="Palatino Linotype"/>
          <w:color w:val="000000"/>
        </w:rPr>
        <w:lastRenderedPageBreak/>
        <w:t>no se afecte el derecho al debido proceso de los propietarios del fraccionamiento “Idílica Reserva Serratón”.</w:t>
      </w:r>
    </w:p>
    <w:p w:rsidR="00F452A6" w:rsidRPr="00D013DC" w:rsidRDefault="00F452A6" w:rsidP="00F452A6">
      <w:pPr>
        <w:spacing w:line="360" w:lineRule="auto"/>
        <w:ind w:right="-787"/>
        <w:jc w:val="both"/>
        <w:rPr>
          <w:rFonts w:ascii="Palatino Linotype" w:eastAsia="Palatino Linotype" w:hAnsi="Palatino Linotype" w:cs="Palatino Linotype"/>
          <w:color w:val="000000"/>
        </w:rPr>
      </w:pPr>
    </w:p>
    <w:p w:rsidR="00D92A6F" w:rsidRPr="00D013DC" w:rsidRDefault="00F452A6" w:rsidP="00D92A6F">
      <w:pPr>
        <w:numPr>
          <w:ilvl w:val="0"/>
          <w:numId w:val="1"/>
        </w:numPr>
        <w:spacing w:line="360" w:lineRule="auto"/>
        <w:ind w:left="0" w:right="-787" w:firstLine="0"/>
        <w:jc w:val="both"/>
        <w:rPr>
          <w:rFonts w:ascii="Palatino Linotype" w:hAnsi="Palatino Linotype" w:cs="Tahoma"/>
          <w:lang w:val="es-ES" w:eastAsia="es-MX"/>
        </w:rPr>
      </w:pPr>
      <w:r w:rsidRPr="00D013DC">
        <w:rPr>
          <w:rFonts w:ascii="Palatino Linotype" w:hAnsi="Palatino Linotype" w:cs="Tahoma"/>
          <w:lang w:val="es-ES" w:eastAsia="es-MX"/>
        </w:rPr>
        <w:t>En lo que</w:t>
      </w:r>
      <w:r w:rsidR="00862C83" w:rsidRPr="00D013DC">
        <w:rPr>
          <w:rFonts w:ascii="Palatino Linotype" w:hAnsi="Palatino Linotype" w:cs="Tahoma"/>
          <w:lang w:val="es-ES" w:eastAsia="es-MX"/>
        </w:rPr>
        <w:t xml:space="preserve"> </w:t>
      </w:r>
      <w:r w:rsidRPr="00D013DC">
        <w:rPr>
          <w:rFonts w:ascii="Palatino Linotype" w:hAnsi="Palatino Linotype" w:cs="Tahoma"/>
          <w:lang w:val="es-ES" w:eastAsia="es-MX"/>
        </w:rPr>
        <w:t xml:space="preserve">respecta al Acta del Comité en </w:t>
      </w:r>
      <w:r w:rsidR="00627B60" w:rsidRPr="00D013DC">
        <w:rPr>
          <w:rFonts w:ascii="Palatino Linotype" w:hAnsi="Palatino Linotype" w:cs="Tahoma"/>
          <w:lang w:val="es-ES" w:eastAsia="es-MX"/>
        </w:rPr>
        <w:t>la</w:t>
      </w:r>
      <w:r w:rsidRPr="00D013DC">
        <w:rPr>
          <w:rFonts w:ascii="Palatino Linotype" w:hAnsi="Palatino Linotype" w:cs="Tahoma"/>
          <w:lang w:val="es-ES" w:eastAsia="es-MX"/>
        </w:rPr>
        <w:t xml:space="preserve"> que se aprueba la Clasificación de la información como reservada, es de señalar que el Sujeto Obligado invoca los fundamentos jurídicos ya señalados con antelación, además de los </w:t>
      </w:r>
      <w:r w:rsidRPr="00D013DC">
        <w:rPr>
          <w:rFonts w:ascii="Palatino Linotype" w:hAnsi="Palatino Linotype" w:cs="Tahoma"/>
          <w:lang w:eastAsia="es-MX"/>
        </w:rPr>
        <w:t>Lineamientos Generales de Clasificación y D</w:t>
      </w:r>
      <w:r w:rsidR="002A0F81" w:rsidRPr="00D013DC">
        <w:rPr>
          <w:rFonts w:ascii="Palatino Linotype" w:hAnsi="Palatino Linotype" w:cs="Tahoma"/>
          <w:lang w:eastAsia="es-MX"/>
        </w:rPr>
        <w:t>esclasificación de Información:</w:t>
      </w:r>
    </w:p>
    <w:p w:rsidR="002A0F81" w:rsidRPr="00D013DC" w:rsidRDefault="002A0F81" w:rsidP="002A0F81">
      <w:pPr>
        <w:spacing w:line="360" w:lineRule="auto"/>
        <w:ind w:right="-787"/>
        <w:jc w:val="both"/>
        <w:rPr>
          <w:rFonts w:ascii="Palatino Linotype" w:hAnsi="Palatino Linotype" w:cs="Tahoma"/>
          <w:lang w:val="es-ES" w:eastAsia="es-MX"/>
        </w:rPr>
      </w:pPr>
    </w:p>
    <w:p w:rsidR="00D92A6F" w:rsidRPr="00D013DC" w:rsidRDefault="00D92A6F" w:rsidP="00D92A6F">
      <w:pPr>
        <w:ind w:left="851" w:right="-518"/>
        <w:jc w:val="both"/>
        <w:rPr>
          <w:rFonts w:ascii="Palatino Linotype" w:hAnsi="Palatino Linotype" w:cs="Tahoma"/>
          <w:i/>
          <w:lang w:val="es-MX" w:eastAsia="es-MX"/>
        </w:rPr>
      </w:pPr>
      <w:r w:rsidRPr="00D013DC">
        <w:rPr>
          <w:rFonts w:ascii="Palatino Linotype" w:hAnsi="Palatino Linotype" w:cs="Tahoma"/>
          <w:b/>
          <w:bCs/>
          <w:i/>
          <w:lang w:val="es-MX" w:eastAsia="es-MX"/>
        </w:rPr>
        <w:t>Vigésimo noveno.</w:t>
      </w:r>
      <w:r w:rsidRPr="00D013DC">
        <w:rPr>
          <w:rFonts w:ascii="Palatino Linotype" w:hAnsi="Palatino Linotype" w:cs="Tahoma"/>
          <w:i/>
          <w:lang w:val="es-MX" w:eastAsia="es-MX"/>
        </w:rPr>
        <w:t> De conformidad con el artículo 113, fracción X de la Ley General, podrá considerarse como información reservada, aquella que de divulgarse afecte el debido proceso al actualizarse los siguientes elementos:</w:t>
      </w:r>
    </w:p>
    <w:p w:rsidR="00D92A6F" w:rsidRPr="00D013DC" w:rsidRDefault="00D92A6F" w:rsidP="00D92A6F">
      <w:pPr>
        <w:ind w:left="851" w:right="-518"/>
        <w:jc w:val="both"/>
        <w:rPr>
          <w:rFonts w:ascii="Palatino Linotype" w:hAnsi="Palatino Linotype" w:cs="Tahoma"/>
          <w:i/>
          <w:lang w:val="es-MX" w:eastAsia="es-MX"/>
        </w:rPr>
      </w:pPr>
    </w:p>
    <w:p w:rsidR="00D92A6F" w:rsidRPr="00D013DC" w:rsidRDefault="00D92A6F" w:rsidP="00D92A6F">
      <w:pPr>
        <w:ind w:left="851" w:right="-518"/>
        <w:jc w:val="both"/>
        <w:rPr>
          <w:rFonts w:ascii="Palatino Linotype" w:hAnsi="Palatino Linotype" w:cs="Tahoma"/>
          <w:i/>
          <w:lang w:val="es-MX" w:eastAsia="es-MX"/>
        </w:rPr>
      </w:pPr>
      <w:r w:rsidRPr="00D013DC">
        <w:rPr>
          <w:rFonts w:ascii="Palatino Linotype" w:hAnsi="Palatino Linotype" w:cs="Tahoma"/>
          <w:b/>
          <w:bCs/>
          <w:i/>
          <w:lang w:val="es-MX" w:eastAsia="es-MX"/>
        </w:rPr>
        <w:t>I.</w:t>
      </w:r>
      <w:r w:rsidRPr="00D013DC">
        <w:rPr>
          <w:rFonts w:ascii="Palatino Linotype" w:hAnsi="Palatino Linotype" w:cs="Tahoma"/>
          <w:i/>
          <w:lang w:val="es-MX" w:eastAsia="es-MX"/>
        </w:rPr>
        <w:t>        La existencia de un procedimiento judicial, administrativo o arbitral en trámite;</w:t>
      </w:r>
    </w:p>
    <w:p w:rsidR="00D92A6F" w:rsidRPr="00D013DC" w:rsidRDefault="00D92A6F" w:rsidP="00D92A6F">
      <w:pPr>
        <w:ind w:left="851" w:right="-518"/>
        <w:jc w:val="both"/>
        <w:rPr>
          <w:rFonts w:ascii="Palatino Linotype" w:hAnsi="Palatino Linotype" w:cs="Tahoma"/>
          <w:i/>
          <w:lang w:val="es-MX" w:eastAsia="es-MX"/>
        </w:rPr>
      </w:pPr>
      <w:r w:rsidRPr="00D013DC">
        <w:rPr>
          <w:rFonts w:ascii="Palatino Linotype" w:hAnsi="Palatino Linotype" w:cs="Tahoma"/>
          <w:b/>
          <w:bCs/>
          <w:i/>
          <w:lang w:val="es-MX" w:eastAsia="es-MX"/>
        </w:rPr>
        <w:t>II.</w:t>
      </w:r>
      <w:r w:rsidRPr="00D013DC">
        <w:rPr>
          <w:rFonts w:ascii="Palatino Linotype" w:hAnsi="Palatino Linotype" w:cs="Tahoma"/>
          <w:i/>
          <w:lang w:val="es-MX" w:eastAsia="es-MX"/>
        </w:rPr>
        <w:t>       Que el sujeto obligado sea parte en ese procedimiento;</w:t>
      </w:r>
    </w:p>
    <w:p w:rsidR="00D92A6F" w:rsidRPr="00D013DC" w:rsidRDefault="00D92A6F" w:rsidP="00D92A6F">
      <w:pPr>
        <w:ind w:left="851" w:right="-518"/>
        <w:jc w:val="both"/>
        <w:rPr>
          <w:rFonts w:ascii="Palatino Linotype" w:hAnsi="Palatino Linotype" w:cs="Tahoma"/>
          <w:i/>
          <w:lang w:val="es-MX" w:eastAsia="es-MX"/>
        </w:rPr>
      </w:pPr>
      <w:r w:rsidRPr="00D013DC">
        <w:rPr>
          <w:rFonts w:ascii="Palatino Linotype" w:hAnsi="Palatino Linotype" w:cs="Tahoma"/>
          <w:b/>
          <w:bCs/>
          <w:i/>
          <w:lang w:val="es-MX" w:eastAsia="es-MX"/>
        </w:rPr>
        <w:t>III.</w:t>
      </w:r>
      <w:r w:rsidRPr="00D013DC">
        <w:rPr>
          <w:rFonts w:ascii="Palatino Linotype" w:hAnsi="Palatino Linotype" w:cs="Tahoma"/>
          <w:i/>
          <w:lang w:val="es-MX" w:eastAsia="es-MX"/>
        </w:rPr>
        <w:t>      Que la información no sea conocida por la contraparte antes de la presentación de la misma en el proceso, y</w:t>
      </w:r>
    </w:p>
    <w:p w:rsidR="00D92A6F" w:rsidRPr="00D013DC" w:rsidRDefault="00D92A6F" w:rsidP="00D92A6F">
      <w:pPr>
        <w:ind w:left="851" w:right="-518"/>
        <w:jc w:val="both"/>
        <w:rPr>
          <w:rFonts w:ascii="Palatino Linotype" w:hAnsi="Palatino Linotype" w:cs="Tahoma"/>
          <w:i/>
          <w:lang w:val="es-MX" w:eastAsia="es-MX"/>
        </w:rPr>
      </w:pPr>
      <w:r w:rsidRPr="00D013DC">
        <w:rPr>
          <w:rFonts w:ascii="Palatino Linotype" w:hAnsi="Palatino Linotype" w:cs="Tahoma"/>
          <w:b/>
          <w:bCs/>
          <w:i/>
          <w:lang w:val="es-MX" w:eastAsia="es-MX"/>
        </w:rPr>
        <w:t>IV.</w:t>
      </w:r>
      <w:r w:rsidRPr="00D013DC">
        <w:rPr>
          <w:rFonts w:ascii="Palatino Linotype" w:hAnsi="Palatino Linotype" w:cs="Tahoma"/>
          <w:i/>
          <w:lang w:val="es-MX" w:eastAsia="es-MX"/>
        </w:rPr>
        <w:t>      Que con su divulgación se afecte la oportunidad de llevar a cabo alguna de las garantías del debido proceso.</w:t>
      </w:r>
    </w:p>
    <w:p w:rsidR="0085605F" w:rsidRPr="00D013DC" w:rsidRDefault="0085605F" w:rsidP="00D92A6F">
      <w:pPr>
        <w:spacing w:line="360" w:lineRule="auto"/>
        <w:ind w:right="-787"/>
        <w:jc w:val="both"/>
        <w:rPr>
          <w:rFonts w:ascii="Palatino Linotype" w:hAnsi="Palatino Linotype" w:cs="Tahoma"/>
          <w:lang w:val="es-ES" w:eastAsia="es-MX"/>
        </w:rPr>
      </w:pPr>
    </w:p>
    <w:p w:rsidR="00862C83" w:rsidRPr="00D013DC" w:rsidRDefault="0085605F" w:rsidP="002A0F81">
      <w:pPr>
        <w:numPr>
          <w:ilvl w:val="0"/>
          <w:numId w:val="1"/>
        </w:numPr>
        <w:spacing w:line="360" w:lineRule="auto"/>
        <w:ind w:left="0" w:right="-787" w:firstLine="0"/>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Por lo que como ya </w:t>
      </w:r>
      <w:r w:rsidR="00627B60" w:rsidRPr="00D013DC">
        <w:rPr>
          <w:rFonts w:ascii="Palatino Linotype" w:eastAsia="Palatino Linotype" w:hAnsi="Palatino Linotype" w:cs="Palatino Linotype"/>
          <w:color w:val="000000"/>
        </w:rPr>
        <w:t>quedó</w:t>
      </w:r>
      <w:r w:rsidRPr="00D013DC">
        <w:rPr>
          <w:rFonts w:ascii="Palatino Linotype" w:eastAsia="Palatino Linotype" w:hAnsi="Palatino Linotype" w:cs="Palatino Linotype"/>
          <w:color w:val="000000"/>
        </w:rPr>
        <w:t xml:space="preserve"> plasmado en párrafos anteriores, con los argumentos vertidos por el </w:t>
      </w:r>
      <w:r w:rsidR="00862C83" w:rsidRPr="00D013DC">
        <w:rPr>
          <w:rFonts w:ascii="Palatino Linotype" w:hAnsi="Palatino Linotype" w:cs="Tahoma"/>
          <w:b/>
          <w:lang w:val="es-ES" w:eastAsia="es-MX"/>
        </w:rPr>
        <w:t>SUJETO OBLIGADO,</w:t>
      </w:r>
      <w:r w:rsidR="00862C83" w:rsidRPr="00D013DC">
        <w:rPr>
          <w:rFonts w:ascii="Palatino Linotype" w:hAnsi="Palatino Linotype" w:cs="Tahoma"/>
          <w:lang w:val="es-ES" w:eastAsia="es-MX"/>
        </w:rPr>
        <w:t xml:space="preserve"> no se advierte que con </w:t>
      </w:r>
      <w:r w:rsidRPr="00D013DC">
        <w:rPr>
          <w:rFonts w:ascii="Palatino Linotype" w:hAnsi="Palatino Linotype" w:cs="Tahoma"/>
          <w:lang w:val="es-ES" w:eastAsia="es-MX"/>
        </w:rPr>
        <w:t>la entrega de la información solicitada</w:t>
      </w:r>
      <w:r w:rsidR="00862C83" w:rsidRPr="00D013DC">
        <w:rPr>
          <w:rFonts w:ascii="Palatino Linotype" w:hAnsi="Palatino Linotype" w:cs="Tahoma"/>
          <w:lang w:val="es-ES" w:eastAsia="es-MX"/>
        </w:rPr>
        <w:t xml:space="preserve"> </w:t>
      </w:r>
      <w:r w:rsidRPr="00D013DC">
        <w:rPr>
          <w:rFonts w:ascii="Palatino Linotype" w:hAnsi="Palatino Linotype" w:cs="Tahoma"/>
          <w:lang w:val="es-ES" w:eastAsia="es-MX"/>
        </w:rPr>
        <w:t>se afecte el derecho al debido proceso</w:t>
      </w:r>
      <w:r w:rsidR="002A0F81" w:rsidRPr="00D013DC">
        <w:rPr>
          <w:rFonts w:ascii="Palatino Linotype" w:hAnsi="Palatino Linotype" w:cs="Tahoma"/>
          <w:lang w:val="es-ES" w:eastAsia="es-MX"/>
        </w:rPr>
        <w:t xml:space="preserve"> al no actualizarse ninguno de los elementos señalados en el lineamiento vigésimo noveno de los Lineamientos Generales ya establecidos. La prueba de daño realizada por el Sujeto Obligado no demuestra ni precisa las razones por las que la entrega de la información generaría una afectación o perjuicio al interés público o la seguridad pública.</w:t>
      </w:r>
    </w:p>
    <w:p w:rsidR="002A0F81" w:rsidRPr="00D013DC" w:rsidRDefault="002A0F81" w:rsidP="002A0F81">
      <w:pPr>
        <w:spacing w:line="360" w:lineRule="auto"/>
        <w:ind w:right="-787"/>
        <w:jc w:val="both"/>
        <w:rPr>
          <w:rFonts w:ascii="Palatino Linotype" w:eastAsia="Palatino Linotype" w:hAnsi="Palatino Linotype" w:cs="Palatino Linotype"/>
          <w:color w:val="000000"/>
        </w:rPr>
      </w:pPr>
    </w:p>
    <w:p w:rsidR="00862C83" w:rsidRPr="00D013DC" w:rsidRDefault="00862C83" w:rsidP="002A0F81">
      <w:pPr>
        <w:numPr>
          <w:ilvl w:val="0"/>
          <w:numId w:val="1"/>
        </w:numPr>
        <w:spacing w:line="360" w:lineRule="auto"/>
        <w:ind w:left="0" w:right="-787" w:firstLine="0"/>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lastRenderedPageBreak/>
        <w:t xml:space="preserve">Luego entonces, </w:t>
      </w:r>
      <w:r w:rsidRPr="00D013DC">
        <w:rPr>
          <w:rFonts w:ascii="Palatino Linotype" w:hAnsi="Palatino Linotype"/>
        </w:rPr>
        <w:t xml:space="preserve">el Sujeto Obligado al momento de desarrollar </w:t>
      </w:r>
      <w:r w:rsidR="002A0F81" w:rsidRPr="00D013DC">
        <w:rPr>
          <w:rFonts w:ascii="Palatino Linotype" w:hAnsi="Palatino Linotype"/>
        </w:rPr>
        <w:t>la</w:t>
      </w:r>
      <w:r w:rsidRPr="00D013DC">
        <w:rPr>
          <w:rFonts w:ascii="Palatino Linotype" w:hAnsi="Palatino Linotype"/>
        </w:rPr>
        <w:t xml:space="preserve"> prueba de daño específica, no </w:t>
      </w:r>
      <w:r w:rsidR="002A0F81" w:rsidRPr="00D013DC">
        <w:rPr>
          <w:rFonts w:ascii="Palatino Linotype" w:hAnsi="Palatino Linotype"/>
        </w:rPr>
        <w:t>logra</w:t>
      </w:r>
      <w:r w:rsidRPr="00D013DC">
        <w:rPr>
          <w:rFonts w:ascii="Palatino Linotype" w:hAnsi="Palatino Linotype"/>
        </w:rPr>
        <w:t xml:space="preserve"> acreditar las circunstancias analizadas como se pretende en </w:t>
      </w:r>
      <w:r w:rsidR="002A0F81" w:rsidRPr="00D013DC">
        <w:rPr>
          <w:rFonts w:ascii="Palatino Linotype" w:hAnsi="Palatino Linotype"/>
        </w:rPr>
        <w:t xml:space="preserve">el acuerdo remitido, al no poderse </w:t>
      </w:r>
      <w:r w:rsidRPr="00D013DC">
        <w:rPr>
          <w:rFonts w:ascii="Palatino Linotype" w:hAnsi="Palatino Linotype"/>
        </w:rPr>
        <w:t xml:space="preserve">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 </w:t>
      </w:r>
    </w:p>
    <w:p w:rsidR="00862C83" w:rsidRPr="00D013DC" w:rsidRDefault="00862C83" w:rsidP="00862C83">
      <w:pPr>
        <w:pStyle w:val="Prrafodelista"/>
        <w:spacing w:line="360" w:lineRule="auto"/>
        <w:ind w:left="1440"/>
        <w:rPr>
          <w:rFonts w:ascii="Palatino Linotype" w:hAnsi="Palatino Linotype"/>
        </w:rPr>
      </w:pPr>
    </w:p>
    <w:p w:rsidR="00862C83" w:rsidRPr="00D013DC" w:rsidRDefault="00862C83" w:rsidP="00862C83">
      <w:pPr>
        <w:pStyle w:val="Prrafodelista"/>
        <w:numPr>
          <w:ilvl w:val="0"/>
          <w:numId w:val="22"/>
        </w:numPr>
        <w:pBdr>
          <w:top w:val="nil"/>
          <w:left w:val="nil"/>
          <w:bottom w:val="nil"/>
          <w:right w:val="nil"/>
          <w:between w:val="nil"/>
        </w:pBdr>
        <w:spacing w:line="360" w:lineRule="auto"/>
        <w:jc w:val="both"/>
        <w:rPr>
          <w:rFonts w:ascii="Palatino Linotype" w:hAnsi="Palatino Linotype"/>
        </w:rPr>
      </w:pPr>
      <w:r w:rsidRPr="00D013DC">
        <w:rPr>
          <w:rFonts w:ascii="Palatino Linotype" w:hAnsi="Palatino Linotype"/>
        </w:rPr>
        <w:t>La divulgación de la información representa un riesgo real, demostrable e identificable de perjuicio significativo al interés público o a la seguridad nacional.</w:t>
      </w:r>
    </w:p>
    <w:p w:rsidR="00862C83" w:rsidRPr="00D013DC" w:rsidRDefault="00862C83" w:rsidP="00862C83">
      <w:pPr>
        <w:pStyle w:val="Prrafodelista"/>
        <w:numPr>
          <w:ilvl w:val="0"/>
          <w:numId w:val="22"/>
        </w:numPr>
        <w:pBdr>
          <w:top w:val="nil"/>
          <w:left w:val="nil"/>
          <w:bottom w:val="nil"/>
          <w:right w:val="nil"/>
          <w:between w:val="nil"/>
        </w:pBdr>
        <w:spacing w:line="360" w:lineRule="auto"/>
        <w:jc w:val="both"/>
        <w:rPr>
          <w:rFonts w:ascii="Palatino Linotype" w:hAnsi="Palatino Linotype"/>
        </w:rPr>
      </w:pPr>
      <w:r w:rsidRPr="00D013DC">
        <w:rPr>
          <w:rFonts w:ascii="Palatino Linotype" w:hAnsi="Palatino Linotype"/>
        </w:rPr>
        <w:t>El riesgo de perjuicio supera el interés público general de que se difunda.</w:t>
      </w:r>
    </w:p>
    <w:p w:rsidR="00862C83" w:rsidRPr="00D013DC" w:rsidRDefault="00862C83" w:rsidP="00862C83">
      <w:pPr>
        <w:pStyle w:val="Prrafodelista"/>
        <w:numPr>
          <w:ilvl w:val="0"/>
          <w:numId w:val="22"/>
        </w:numPr>
        <w:pBdr>
          <w:top w:val="nil"/>
          <w:left w:val="nil"/>
          <w:bottom w:val="nil"/>
          <w:right w:val="nil"/>
          <w:between w:val="nil"/>
        </w:pBdr>
        <w:spacing w:line="360" w:lineRule="auto"/>
        <w:jc w:val="both"/>
        <w:rPr>
          <w:rFonts w:ascii="Palatino Linotype" w:hAnsi="Palatino Linotype"/>
        </w:rPr>
      </w:pPr>
      <w:r w:rsidRPr="00D013DC">
        <w:rPr>
          <w:rFonts w:ascii="Palatino Linotype" w:hAnsi="Palatino Linotype"/>
        </w:rPr>
        <w:t xml:space="preserve">Que la limitación se adecua al principio de proporcionalidad y representa el medio menos restrictivo disponible para evitar el perjuicio. </w:t>
      </w:r>
    </w:p>
    <w:p w:rsidR="002A0F81" w:rsidRPr="00D013DC" w:rsidRDefault="002A0F81" w:rsidP="002A0F81">
      <w:pPr>
        <w:pStyle w:val="Prrafodelista"/>
        <w:pBdr>
          <w:top w:val="nil"/>
          <w:left w:val="nil"/>
          <w:bottom w:val="nil"/>
          <w:right w:val="nil"/>
          <w:between w:val="nil"/>
        </w:pBdr>
        <w:spacing w:line="360" w:lineRule="auto"/>
        <w:ind w:left="1440"/>
        <w:jc w:val="both"/>
        <w:rPr>
          <w:rFonts w:ascii="Palatino Linotype" w:hAnsi="Palatino Linotype"/>
        </w:rPr>
      </w:pPr>
    </w:p>
    <w:p w:rsidR="007D69A8" w:rsidRPr="00D013DC" w:rsidRDefault="007D69A8" w:rsidP="007D69A8">
      <w:pPr>
        <w:numPr>
          <w:ilvl w:val="0"/>
          <w:numId w:val="1"/>
        </w:numPr>
        <w:spacing w:line="360" w:lineRule="auto"/>
        <w:ind w:left="0" w:right="-787" w:firstLine="0"/>
        <w:jc w:val="both"/>
        <w:rPr>
          <w:rFonts w:ascii="Palatino Linotype" w:hAnsi="Palatino Linotype" w:cs="Arial"/>
          <w:color w:val="000000" w:themeColor="text1"/>
        </w:rPr>
      </w:pPr>
      <w:r w:rsidRPr="00D013DC">
        <w:rPr>
          <w:rFonts w:ascii="Palatino Linotype" w:eastAsia="Palatino Linotype" w:hAnsi="Palatino Linotype" w:cs="Palatino Linotype"/>
        </w:rPr>
        <w:t xml:space="preserve">Ahora bien, resulta necesario, analizar dicho Acuerdo de Reserva de la información antes referido, entregado por el </w:t>
      </w:r>
      <w:r w:rsidRPr="00D013DC">
        <w:rPr>
          <w:rFonts w:ascii="Palatino Linotype" w:eastAsia="Palatino Linotype" w:hAnsi="Palatino Linotype" w:cs="Palatino Linotype"/>
          <w:b/>
        </w:rPr>
        <w:t>SUJETO OBLIGADO</w:t>
      </w:r>
      <w:r w:rsidRPr="00D013DC">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w:t>
      </w:r>
      <w:r w:rsidRPr="00D013DC">
        <w:rPr>
          <w:rFonts w:ascii="Palatino Linotype" w:eastAsia="Palatino Linotype" w:hAnsi="Palatino Linotype" w:cs="Palatino Linotype"/>
        </w:rPr>
        <w:lastRenderedPageBreak/>
        <w:t xml:space="preserve">como los artículos 91, 128, 129, 140, fracción I, VI y VIII de la ley local,  y 141, de la Ley de Transparencia y Acceso a la Información Pública del Estado de México y Municipios, relacionadas con las fracciones X y XI de la Ley General y Numerales Vigésimo Noveno y Trigésimo de los lineamientos: </w:t>
      </w:r>
    </w:p>
    <w:p w:rsidR="007D69A8" w:rsidRPr="00D013DC" w:rsidRDefault="007D69A8" w:rsidP="007D69A8">
      <w:pPr>
        <w:shd w:val="clear" w:color="auto" w:fill="FFFFFF"/>
        <w:spacing w:before="240" w:after="160" w:afterAutospacing="1" w:line="360" w:lineRule="auto"/>
        <w:contextualSpacing/>
        <w:jc w:val="both"/>
        <w:textAlignment w:val="baseline"/>
        <w:rPr>
          <w:rFonts w:ascii="Palatino Linotype" w:hAnsi="Palatino Linotype" w:cs="Arial"/>
          <w:color w:val="000000" w:themeColor="text1"/>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387"/>
        <w:gridCol w:w="1603"/>
      </w:tblGrid>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shd w:val="clear" w:color="auto" w:fill="7B7B7B"/>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Elementos del acuerdo de clasificación</w:t>
            </w:r>
          </w:p>
        </w:tc>
        <w:tc>
          <w:tcPr>
            <w:tcW w:w="5387" w:type="dxa"/>
            <w:tcBorders>
              <w:top w:val="single" w:sz="4" w:space="0" w:color="000000"/>
              <w:left w:val="single" w:sz="4" w:space="0" w:color="000000"/>
              <w:bottom w:val="single" w:sz="4" w:space="0" w:color="000000"/>
              <w:right w:val="single" w:sz="4" w:space="0" w:color="000000"/>
            </w:tcBorders>
            <w:shd w:val="clear" w:color="auto" w:fill="7B7B7B"/>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Cumple</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rPr>
            </w:pPr>
            <w:r w:rsidRPr="00D013DC">
              <w:rPr>
                <w:rFonts w:ascii="Palatino Linotype" w:eastAsia="Palatino Linotype" w:hAnsi="Palatino Linotype" w:cs="Palatino Linotype"/>
                <w:b/>
              </w:rPr>
              <w:t>Número de folio de la solicitud</w:t>
            </w:r>
          </w:p>
        </w:tc>
        <w:tc>
          <w:tcPr>
            <w:tcW w:w="5387"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rPr>
                <w:rFonts w:ascii="Palatino Linotype" w:hAnsi="Palatino Linotype"/>
              </w:rPr>
            </w:pPr>
            <w:r w:rsidRPr="00D013DC">
              <w:rPr>
                <w:rFonts w:ascii="Palatino Linotype" w:hAnsi="Palatino Linotype"/>
              </w:rPr>
              <w:t xml:space="preserve"> </w:t>
            </w:r>
            <w:r w:rsidRPr="00D013DC">
              <w:rPr>
                <w:rFonts w:ascii="Palatino Linotype" w:hAnsi="Palatino Linotype"/>
                <w:noProof/>
                <w:lang w:val="es-MX" w:eastAsia="es-MX"/>
              </w:rPr>
              <w:drawing>
                <wp:inline distT="0" distB="0" distL="0" distR="0" wp14:anchorId="0912118C" wp14:editId="3E7724C0">
                  <wp:extent cx="3283585" cy="6819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3585" cy="68199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NO</w:t>
            </w:r>
          </w:p>
          <w:p w:rsidR="007D69A8" w:rsidRPr="00D013DC" w:rsidRDefault="007D69A8" w:rsidP="007D69A8">
            <w:pPr>
              <w:spacing w:before="100" w:after="200" w:line="276" w:lineRule="auto"/>
              <w:jc w:val="center"/>
              <w:rPr>
                <w:rFonts w:ascii="Palatino Linotype" w:eastAsia="Palatino Linotype" w:hAnsi="Palatino Linotype" w:cs="Palatino Linotype"/>
              </w:rPr>
            </w:pPr>
            <w:r w:rsidRPr="00D013DC">
              <w:rPr>
                <w:rFonts w:ascii="Palatino Linotype" w:eastAsia="Palatino Linotype" w:hAnsi="Palatino Linotype" w:cs="Palatino Linotype"/>
              </w:rPr>
              <w:t>Señala haberse recibido de manera física ante el Sujeto Obligado</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rPr>
            </w:pPr>
            <w:r w:rsidRPr="00D013DC">
              <w:rPr>
                <w:rFonts w:ascii="Palatino Linotype" w:eastAsia="Palatino Linotype" w:hAnsi="Palatino Linotype" w:cs="Palatino Linotype"/>
                <w:b/>
              </w:rPr>
              <w:lastRenderedPageBreak/>
              <w:t>Referencia de la información solicitada</w:t>
            </w:r>
          </w:p>
        </w:tc>
        <w:tc>
          <w:tcPr>
            <w:tcW w:w="5387"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hAnsi="Palatino Linotype"/>
              </w:rPr>
            </w:pPr>
            <w:r w:rsidRPr="00D013DC">
              <w:rPr>
                <w:rFonts w:ascii="Palatino Linotype" w:hAnsi="Palatino Linotype"/>
                <w:noProof/>
                <w:lang w:val="es-MX" w:eastAsia="es-MX"/>
              </w:rPr>
              <w:drawing>
                <wp:inline distT="0" distB="0" distL="0" distR="0" wp14:anchorId="43D84A1F" wp14:editId="14E307C9">
                  <wp:extent cx="3283585" cy="51606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3585" cy="5160645"/>
                          </a:xfrm>
                          <a:prstGeom prst="rect">
                            <a:avLst/>
                          </a:prstGeom>
                        </pic:spPr>
                      </pic:pic>
                    </a:graphicData>
                  </a:graphic>
                </wp:inline>
              </w:drawing>
            </w:r>
            <w:r w:rsidRPr="00D013DC">
              <w:rPr>
                <w:rFonts w:ascii="Palatino Linotype" w:hAnsi="Palatino Linotype"/>
              </w:rPr>
              <w:t xml:space="preserve"> </w:t>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rPr>
            </w:pPr>
            <w:r w:rsidRPr="00D013DC">
              <w:rPr>
                <w:rFonts w:ascii="Palatino Linotype" w:eastAsia="Palatino Linotype" w:hAnsi="Palatino Linotype" w:cs="Palatino Linotype"/>
                <w:b/>
              </w:rPr>
              <w:t>Sí</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rPr>
            </w:pPr>
            <w:r w:rsidRPr="00D013DC">
              <w:rPr>
                <w:rFonts w:ascii="Palatino Linotype" w:eastAsia="Palatino Linotype" w:hAnsi="Palatino Linotype" w:cs="Palatino Linotype"/>
                <w:b/>
              </w:rPr>
              <w:t xml:space="preserve">Causal aplicable del artículo 113 de la Ley General, vinculándola </w:t>
            </w:r>
            <w:r w:rsidRPr="00D013DC">
              <w:rPr>
                <w:rFonts w:ascii="Palatino Linotype" w:eastAsia="Palatino Linotype" w:hAnsi="Palatino Linotype" w:cs="Palatino Linotype"/>
                <w:b/>
              </w:rPr>
              <w:lastRenderedPageBreak/>
              <w:t>con el Lineamiento específico del presente ordenamiento y, cuando corresponda, el supuesto normativo que expresamente le otorga el carácter de información reservada</w:t>
            </w:r>
          </w:p>
        </w:tc>
        <w:tc>
          <w:tcPr>
            <w:tcW w:w="5387" w:type="dxa"/>
            <w:tcBorders>
              <w:top w:val="single" w:sz="4" w:space="0" w:color="000000"/>
              <w:left w:val="single" w:sz="4" w:space="0" w:color="000000"/>
              <w:bottom w:val="single" w:sz="4" w:space="0" w:color="000000"/>
              <w:right w:val="single" w:sz="4" w:space="0" w:color="000000"/>
            </w:tcBorders>
          </w:tcPr>
          <w:p w:rsidR="002F2BFA" w:rsidRPr="00D013DC" w:rsidRDefault="002F2BFA" w:rsidP="002F2BFA">
            <w:pPr>
              <w:spacing w:before="100" w:after="200" w:line="276" w:lineRule="auto"/>
              <w:rPr>
                <w:rFonts w:ascii="Palatino Linotype" w:hAnsi="Palatino Linotype"/>
              </w:rPr>
            </w:pPr>
          </w:p>
          <w:p w:rsidR="007D69A8" w:rsidRPr="00D013DC" w:rsidRDefault="002F2BFA" w:rsidP="002F2BFA">
            <w:pPr>
              <w:spacing w:before="100" w:after="200" w:line="276" w:lineRule="auto"/>
              <w:rPr>
                <w:rFonts w:ascii="Palatino Linotype" w:hAnsi="Palatino Linotype"/>
              </w:rPr>
            </w:pPr>
            <w:r w:rsidRPr="00D013DC">
              <w:rPr>
                <w:rFonts w:ascii="Palatino Linotype" w:hAnsi="Palatino Linotype"/>
                <w:noProof/>
                <w:lang w:val="es-MX" w:eastAsia="es-MX"/>
              </w:rPr>
              <w:lastRenderedPageBreak/>
              <w:drawing>
                <wp:inline distT="0" distB="0" distL="0" distR="0" wp14:anchorId="04F4B4F7" wp14:editId="3ACF1044">
                  <wp:extent cx="3283585" cy="15341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3585" cy="1534160"/>
                          </a:xfrm>
                          <a:prstGeom prst="rect">
                            <a:avLst/>
                          </a:prstGeom>
                        </pic:spPr>
                      </pic:pic>
                    </a:graphicData>
                  </a:graphic>
                </wp:inline>
              </w:drawing>
            </w:r>
            <w:r w:rsidR="007D69A8" w:rsidRPr="00D013DC">
              <w:rPr>
                <w:rFonts w:ascii="Palatino Linotype" w:hAnsi="Palatino Linotype"/>
                <w:noProof/>
                <w:lang w:val="es-MX" w:eastAsia="es-MX"/>
              </w:rPr>
              <w:drawing>
                <wp:anchor distT="0" distB="0" distL="114300" distR="114300" simplePos="0" relativeHeight="251658240" behindDoc="0" locked="0" layoutInCell="1" allowOverlap="1">
                  <wp:simplePos x="0" y="0"/>
                  <wp:positionH relativeFrom="column">
                    <wp:posOffset>-4445</wp:posOffset>
                  </wp:positionH>
                  <wp:positionV relativeFrom="paragraph">
                    <wp:posOffset>61595</wp:posOffset>
                  </wp:positionV>
                  <wp:extent cx="3283585" cy="5577205"/>
                  <wp:effectExtent l="0" t="0" r="0"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83585" cy="5577205"/>
                          </a:xfrm>
                          <a:prstGeom prst="rect">
                            <a:avLst/>
                          </a:prstGeom>
                        </pic:spPr>
                      </pic:pic>
                    </a:graphicData>
                  </a:graphic>
                  <wp14:sizeRelH relativeFrom="page">
                    <wp14:pctWidth>0</wp14:pctWidth>
                  </wp14:sizeRelH>
                  <wp14:sizeRelV relativeFrom="page">
                    <wp14:pctHeight>0</wp14:pctHeight>
                  </wp14:sizeRelV>
                </wp:anchor>
              </w:drawing>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114197"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lastRenderedPageBreak/>
              <w:t>NO</w:t>
            </w:r>
          </w:p>
          <w:p w:rsidR="007D69A8" w:rsidRPr="00D013DC" w:rsidRDefault="00114197" w:rsidP="00114197">
            <w:pPr>
              <w:spacing w:before="100" w:after="200" w:line="276" w:lineRule="auto"/>
              <w:jc w:val="center"/>
              <w:rPr>
                <w:rFonts w:ascii="Palatino Linotype" w:eastAsia="Palatino Linotype" w:hAnsi="Palatino Linotype" w:cs="Palatino Linotype"/>
              </w:rPr>
            </w:pPr>
            <w:r w:rsidRPr="00D013DC">
              <w:rPr>
                <w:rFonts w:ascii="Palatino Linotype" w:eastAsia="Palatino Linotype" w:hAnsi="Palatino Linotype" w:cs="Palatino Linotype"/>
              </w:rPr>
              <w:t xml:space="preserve">La </w:t>
            </w:r>
            <w:r w:rsidR="002F2BFA" w:rsidRPr="00D013DC">
              <w:rPr>
                <w:rFonts w:ascii="Palatino Linotype" w:eastAsia="Palatino Linotype" w:hAnsi="Palatino Linotype" w:cs="Palatino Linotype"/>
              </w:rPr>
              <w:t xml:space="preserve">fracción X, del </w:t>
            </w:r>
            <w:r w:rsidR="007D69A8" w:rsidRPr="00D013DC">
              <w:rPr>
                <w:rFonts w:ascii="Palatino Linotype" w:eastAsia="Palatino Linotype" w:hAnsi="Palatino Linotype" w:cs="Palatino Linotype"/>
              </w:rPr>
              <w:t xml:space="preserve"> 113 de la Ley General c</w:t>
            </w:r>
            <w:r w:rsidR="002F2BFA" w:rsidRPr="00D013DC">
              <w:rPr>
                <w:rFonts w:ascii="Palatino Linotype" w:eastAsia="Palatino Linotype" w:hAnsi="Palatino Linotype" w:cs="Palatino Linotype"/>
              </w:rPr>
              <w:t xml:space="preserve">on los </w:t>
            </w:r>
            <w:r w:rsidR="002F2BFA" w:rsidRPr="00D013DC">
              <w:rPr>
                <w:rFonts w:ascii="Palatino Linotype" w:eastAsia="Palatino Linotype" w:hAnsi="Palatino Linotype" w:cs="Palatino Linotype"/>
              </w:rPr>
              <w:lastRenderedPageBreak/>
              <w:t>lineamientos Generales,</w:t>
            </w:r>
            <w:r w:rsidRPr="00D013DC">
              <w:rPr>
                <w:rFonts w:ascii="Palatino Linotype" w:eastAsia="Palatino Linotype" w:hAnsi="Palatino Linotype" w:cs="Palatino Linotype"/>
              </w:rPr>
              <w:t xml:space="preserve"> invocada,</w:t>
            </w:r>
            <w:r w:rsidR="002F2BFA" w:rsidRPr="00D013DC">
              <w:rPr>
                <w:rFonts w:ascii="Palatino Linotype" w:eastAsia="Palatino Linotype" w:hAnsi="Palatino Linotype" w:cs="Palatino Linotype"/>
              </w:rPr>
              <w:t xml:space="preserve"> es inaplicable</w:t>
            </w:r>
            <w:r w:rsidRPr="00D013DC">
              <w:rPr>
                <w:rFonts w:ascii="Palatino Linotype" w:eastAsia="Palatino Linotype" w:hAnsi="Palatino Linotype" w:cs="Palatino Linotype"/>
              </w:rPr>
              <w:t xml:space="preserve">, toda vez que la información solicitada no versa sobre </w:t>
            </w:r>
            <w:r w:rsidRPr="00D013DC">
              <w:rPr>
                <w:rFonts w:ascii="Palatino Linotype" w:eastAsia="Palatino Linotype" w:hAnsi="Palatino Linotype" w:cs="Palatino Linotype"/>
                <w:bCs/>
              </w:rPr>
              <w:t xml:space="preserve">procedimientos administrativos o judiciales en trámite, sino de la obra de un fraccionamiento en relación a acciones de </w:t>
            </w:r>
            <w:r w:rsidRPr="00D013DC">
              <w:rPr>
                <w:rFonts w:ascii="Palatino Linotype" w:eastAsia="Palatino Linotype" w:hAnsi="Palatino Linotype" w:cs="Palatino Linotype"/>
                <w:b/>
              </w:rPr>
              <w:t xml:space="preserve">agua potable, drenaje y alcantarillado, </w:t>
            </w:r>
            <w:r w:rsidRPr="00D013DC">
              <w:rPr>
                <w:rFonts w:ascii="Palatino Linotype" w:eastAsia="Palatino Linotype" w:hAnsi="Palatino Linotype" w:cs="Palatino Linotype"/>
              </w:rPr>
              <w:t xml:space="preserve">misma que menciona el Sujeto </w:t>
            </w:r>
            <w:r w:rsidRPr="00D013DC">
              <w:rPr>
                <w:rFonts w:ascii="Palatino Linotype" w:eastAsia="Palatino Linotype" w:hAnsi="Palatino Linotype" w:cs="Palatino Linotype"/>
              </w:rPr>
              <w:lastRenderedPageBreak/>
              <w:t>Obligado, encontrarse en proceso de entrega.</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rPr>
            </w:pPr>
            <w:r w:rsidRPr="00D013DC">
              <w:rPr>
                <w:rFonts w:ascii="Palatino Linotype" w:eastAsia="Palatino Linotype" w:hAnsi="Palatino Linotype" w:cs="Palatino Linotype"/>
                <w:b/>
              </w:rPr>
              <w:lastRenderedPageBreak/>
              <w:t>Fundamento y Motivación Legal</w:t>
            </w:r>
          </w:p>
        </w:tc>
        <w:tc>
          <w:tcPr>
            <w:tcW w:w="5387"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rPr>
                <w:rFonts w:ascii="Palatino Linotype" w:hAnsi="Palatino Linotype"/>
              </w:rPr>
            </w:pPr>
          </w:p>
          <w:p w:rsidR="007D69A8" w:rsidRPr="00D013DC" w:rsidRDefault="00114197" w:rsidP="00114197">
            <w:pPr>
              <w:spacing w:before="100" w:after="200" w:line="276" w:lineRule="auto"/>
              <w:rPr>
                <w:rFonts w:ascii="Palatino Linotype" w:hAnsi="Palatino Linotype"/>
              </w:rPr>
            </w:pPr>
            <w:r w:rsidRPr="00D013DC">
              <w:rPr>
                <w:rFonts w:ascii="Palatino Linotype" w:hAnsi="Palatino Linotype"/>
                <w:noProof/>
                <w:lang w:val="es-MX" w:eastAsia="es-MX"/>
              </w:rPr>
              <w:drawing>
                <wp:inline distT="0" distB="0" distL="0" distR="0" wp14:anchorId="4A60F012" wp14:editId="30711209">
                  <wp:extent cx="3283585" cy="36029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3585" cy="3602990"/>
                          </a:xfrm>
                          <a:prstGeom prst="rect">
                            <a:avLst/>
                          </a:prstGeom>
                        </pic:spPr>
                      </pic:pic>
                    </a:graphicData>
                  </a:graphic>
                </wp:inline>
              </w:drawing>
            </w:r>
          </w:p>
          <w:p w:rsidR="001E173D" w:rsidRPr="00D013DC" w:rsidRDefault="001E173D" w:rsidP="00114197">
            <w:pPr>
              <w:spacing w:before="100" w:after="200" w:line="276" w:lineRule="auto"/>
              <w:rPr>
                <w:rFonts w:ascii="Palatino Linotype" w:hAnsi="Palatino Linotype"/>
              </w:rPr>
            </w:pPr>
            <w:r w:rsidRPr="00D013DC">
              <w:rPr>
                <w:rFonts w:ascii="Palatino Linotype" w:hAnsi="Palatino Linotype"/>
                <w:noProof/>
                <w:lang w:val="es-MX" w:eastAsia="es-MX"/>
              </w:rPr>
              <w:lastRenderedPageBreak/>
              <w:drawing>
                <wp:inline distT="0" distB="0" distL="0" distR="0" wp14:anchorId="197A0F9D" wp14:editId="081FEAE4">
                  <wp:extent cx="3283585" cy="37617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3585" cy="3761740"/>
                          </a:xfrm>
                          <a:prstGeom prst="rect">
                            <a:avLst/>
                          </a:prstGeom>
                        </pic:spPr>
                      </pic:pic>
                    </a:graphicData>
                  </a:graphic>
                </wp:inline>
              </w:drawing>
            </w:r>
          </w:p>
          <w:p w:rsidR="001E173D" w:rsidRPr="00D013DC" w:rsidRDefault="001E173D" w:rsidP="00114197">
            <w:pPr>
              <w:spacing w:before="100" w:after="200" w:line="276" w:lineRule="auto"/>
              <w:rPr>
                <w:rFonts w:ascii="Palatino Linotype" w:hAnsi="Palatino Linotype"/>
              </w:rPr>
            </w:pPr>
            <w:r w:rsidRPr="00D013DC">
              <w:rPr>
                <w:rFonts w:ascii="Palatino Linotype" w:hAnsi="Palatino Linotype"/>
                <w:noProof/>
                <w:lang w:val="es-MX" w:eastAsia="es-MX"/>
              </w:rPr>
              <w:drawing>
                <wp:inline distT="0" distB="0" distL="0" distR="0" wp14:anchorId="2A6C366F" wp14:editId="66DF5B57">
                  <wp:extent cx="3283585" cy="25501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3585" cy="255016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lastRenderedPageBreak/>
              <w:t>NO</w:t>
            </w:r>
          </w:p>
          <w:p w:rsidR="007D69A8" w:rsidRPr="00D013DC" w:rsidRDefault="007D69A8" w:rsidP="00114197">
            <w:pPr>
              <w:spacing w:before="100" w:after="200"/>
              <w:jc w:val="both"/>
              <w:rPr>
                <w:rFonts w:ascii="Palatino Linotype" w:eastAsia="Palatino Linotype" w:hAnsi="Palatino Linotype" w:cs="Palatino Linotype"/>
              </w:rPr>
            </w:pPr>
            <w:r w:rsidRPr="00D013DC">
              <w:rPr>
                <w:rFonts w:ascii="Palatino Linotype" w:eastAsia="Palatino Linotype" w:hAnsi="Palatino Linotype" w:cs="Palatino Linotype"/>
              </w:rPr>
              <w:t xml:space="preserve">Porque dicha fundamentación y motivación no se refieren al caso específico que nos ocupa. </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rPr>
                <w:rFonts w:ascii="Palatino Linotype" w:eastAsia="Palatino Linotype" w:hAnsi="Palatino Linotype" w:cs="Palatino Linotype"/>
                <w:b/>
              </w:rPr>
            </w:pPr>
            <w:r w:rsidRPr="00D013DC">
              <w:rPr>
                <w:rFonts w:ascii="Palatino Linotype" w:eastAsia="Palatino Linotype" w:hAnsi="Palatino Linotype" w:cs="Palatino Linotype"/>
                <w:b/>
              </w:rPr>
              <w:lastRenderedPageBreak/>
              <w:t>Conexión entre los fundamentos y motivos que dieron origen a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rsidR="007D69A8" w:rsidRPr="00D013DC" w:rsidRDefault="001E173D" w:rsidP="00114197">
            <w:pPr>
              <w:spacing w:before="100" w:after="200" w:line="276" w:lineRule="auto"/>
              <w:rPr>
                <w:rFonts w:ascii="Palatino Linotype" w:hAnsi="Palatino Linotype"/>
              </w:rPr>
            </w:pPr>
            <w:r w:rsidRPr="00D013DC">
              <w:rPr>
                <w:rFonts w:ascii="Palatino Linotype" w:hAnsi="Palatino Linotype"/>
                <w:noProof/>
                <w:lang w:val="es-MX" w:eastAsia="es-MX"/>
              </w:rPr>
              <w:drawing>
                <wp:inline distT="0" distB="0" distL="0" distR="0" wp14:anchorId="03B26D29" wp14:editId="1A60280B">
                  <wp:extent cx="3283585" cy="12204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3585" cy="122047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NO</w:t>
            </w:r>
          </w:p>
          <w:p w:rsidR="007D69A8" w:rsidRPr="00D013DC" w:rsidRDefault="001E173D" w:rsidP="00322375">
            <w:pPr>
              <w:spacing w:before="100" w:after="200" w:line="276" w:lineRule="auto"/>
              <w:jc w:val="both"/>
              <w:rPr>
                <w:rFonts w:ascii="Palatino Linotype" w:eastAsia="Palatino Linotype" w:hAnsi="Palatino Linotype" w:cs="Palatino Linotype"/>
                <w:b/>
              </w:rPr>
            </w:pPr>
            <w:r w:rsidRPr="00D013DC">
              <w:rPr>
                <w:rFonts w:ascii="Palatino Linotype" w:eastAsia="Palatino Linotype" w:hAnsi="Palatino Linotype" w:cs="Palatino Linotype"/>
              </w:rPr>
              <w:t>Toda vez que dicha fundamentación y motivación no guarda relación con la causal invocada para la reserva de información, la cual se acoge el Sujeto Obligado de manera incorrecta, ya que como se estableció</w:t>
            </w:r>
            <w:r w:rsidR="00322375" w:rsidRPr="00D013DC">
              <w:rPr>
                <w:rFonts w:ascii="Palatino Linotype" w:eastAsia="Palatino Linotype" w:hAnsi="Palatino Linotype" w:cs="Palatino Linotype"/>
              </w:rPr>
              <w:t>,</w:t>
            </w:r>
            <w:r w:rsidRPr="00D013DC">
              <w:rPr>
                <w:rFonts w:ascii="Palatino Linotype" w:eastAsia="Palatino Linotype" w:hAnsi="Palatino Linotype" w:cs="Palatino Linotype"/>
              </w:rPr>
              <w:t xml:space="preserve"> la información solicitada no es referente a procedimientos administrati</w:t>
            </w:r>
            <w:r w:rsidRPr="00D013DC">
              <w:rPr>
                <w:rFonts w:ascii="Palatino Linotype" w:eastAsia="Palatino Linotype" w:hAnsi="Palatino Linotype" w:cs="Palatino Linotype"/>
              </w:rPr>
              <w:lastRenderedPageBreak/>
              <w:t>vos o judiciales en trámite</w:t>
            </w:r>
            <w:r w:rsidR="00322375" w:rsidRPr="00D013DC">
              <w:rPr>
                <w:rFonts w:ascii="Palatino Linotype" w:eastAsia="Palatino Linotype" w:hAnsi="Palatino Linotype" w:cs="Palatino Linotype"/>
              </w:rPr>
              <w:t>, sino a diversos elementos relativos a la construcción de un fraccionamiento.</w:t>
            </w:r>
          </w:p>
        </w:tc>
      </w:tr>
      <w:tr w:rsidR="007D69A8" w:rsidRPr="00D013DC" w:rsidTr="0011419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lastRenderedPageBreak/>
              <w:t>Elementos de la prueba de daño</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after="120" w:line="25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Riesgo Real, Demostrable e Identificable</w:t>
            </w:r>
          </w:p>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(Modo, Tiempo y Lugar)</w:t>
            </w:r>
          </w:p>
        </w:tc>
        <w:tc>
          <w:tcPr>
            <w:tcW w:w="5387" w:type="dxa"/>
            <w:tcBorders>
              <w:top w:val="single" w:sz="4" w:space="0" w:color="000000"/>
              <w:left w:val="single" w:sz="4" w:space="0" w:color="000000"/>
              <w:bottom w:val="single" w:sz="4" w:space="0" w:color="000000"/>
              <w:right w:val="single" w:sz="4" w:space="0" w:color="000000"/>
            </w:tcBorders>
          </w:tcPr>
          <w:p w:rsidR="007D69A8" w:rsidRPr="00D013DC" w:rsidRDefault="00F420FA" w:rsidP="00114197">
            <w:pPr>
              <w:spacing w:before="100" w:after="200" w:line="276" w:lineRule="auto"/>
              <w:rPr>
                <w:rFonts w:ascii="Palatino Linotype" w:eastAsia="Palatino Linotype" w:hAnsi="Palatino Linotype" w:cs="Palatino Linotype"/>
                <w:b/>
              </w:rPr>
            </w:pPr>
            <w:r w:rsidRPr="00D013DC">
              <w:rPr>
                <w:rFonts w:ascii="Palatino Linotype" w:eastAsia="Palatino Linotype" w:hAnsi="Palatino Linotype" w:cs="Palatino Linotype"/>
                <w:b/>
                <w:noProof/>
                <w:lang w:val="es-MX" w:eastAsia="es-MX"/>
              </w:rPr>
              <w:drawing>
                <wp:inline distT="0" distB="0" distL="0" distR="0" wp14:anchorId="357F6DCF" wp14:editId="64154A6A">
                  <wp:extent cx="3283585" cy="190373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3585" cy="1903730"/>
                          </a:xfrm>
                          <a:prstGeom prst="rect">
                            <a:avLst/>
                          </a:prstGeom>
                        </pic:spPr>
                      </pic:pic>
                    </a:graphicData>
                  </a:graphic>
                </wp:inline>
              </w:drawing>
            </w:r>
            <w:r w:rsidRPr="00D013DC">
              <w:rPr>
                <w:rFonts w:ascii="Palatino Linotype" w:eastAsia="Palatino Linotype" w:hAnsi="Palatino Linotype" w:cs="Palatino Linotype"/>
                <w:b/>
              </w:rPr>
              <w:t xml:space="preserve"> </w:t>
            </w:r>
            <w:r w:rsidR="001E173D" w:rsidRPr="00D013DC">
              <w:rPr>
                <w:rFonts w:ascii="Palatino Linotype" w:eastAsia="Palatino Linotype" w:hAnsi="Palatino Linotype" w:cs="Palatino Linotype"/>
                <w:b/>
                <w:noProof/>
                <w:lang w:val="es-MX" w:eastAsia="es-MX"/>
              </w:rPr>
              <w:drawing>
                <wp:anchor distT="0" distB="0" distL="114300" distR="114300" simplePos="0" relativeHeight="251659264" behindDoc="0" locked="0" layoutInCell="1" allowOverlap="1">
                  <wp:simplePos x="0" y="0"/>
                  <wp:positionH relativeFrom="column">
                    <wp:posOffset>-4445</wp:posOffset>
                  </wp:positionH>
                  <wp:positionV relativeFrom="paragraph">
                    <wp:posOffset>59055</wp:posOffset>
                  </wp:positionV>
                  <wp:extent cx="3283585" cy="513080"/>
                  <wp:effectExtent l="0" t="0" r="0" b="12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83585" cy="513080"/>
                          </a:xfrm>
                          <a:prstGeom prst="rect">
                            <a:avLst/>
                          </a:prstGeom>
                        </pic:spPr>
                      </pic:pic>
                    </a:graphicData>
                  </a:graphic>
                  <wp14:sizeRelH relativeFrom="page">
                    <wp14:pctWidth>0</wp14:pctWidth>
                  </wp14:sizeRelH>
                  <wp14:sizeRelV relativeFrom="page">
                    <wp14:pctHeight>0</wp14:pctHeight>
                  </wp14:sizeRelV>
                </wp:anchor>
              </w:drawing>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No</w:t>
            </w:r>
          </w:p>
          <w:p w:rsidR="00F420FA" w:rsidRPr="00D013DC" w:rsidRDefault="001E173D" w:rsidP="00114197">
            <w:pPr>
              <w:spacing w:before="100" w:after="200" w:line="276" w:lineRule="auto"/>
              <w:jc w:val="both"/>
              <w:rPr>
                <w:rFonts w:ascii="Palatino Linotype" w:eastAsia="Palatino Linotype" w:hAnsi="Palatino Linotype" w:cs="Palatino Linotype"/>
              </w:rPr>
            </w:pPr>
            <w:r w:rsidRPr="00D013DC">
              <w:rPr>
                <w:rFonts w:ascii="Palatino Linotype" w:eastAsia="Palatino Linotype" w:hAnsi="Palatino Linotype" w:cs="Palatino Linotype"/>
              </w:rPr>
              <w:t xml:space="preserve">No fueron establecidos en el acta del Comité de Transparencia; sin embargo, se advierte que la unidad administrativa competente lo pone a consideración en el </w:t>
            </w:r>
            <w:r w:rsidRPr="00D013DC">
              <w:rPr>
                <w:rFonts w:ascii="Palatino Linotype" w:eastAsia="Palatino Linotype" w:hAnsi="Palatino Linotype" w:cs="Palatino Linotype"/>
              </w:rPr>
              <w:lastRenderedPageBreak/>
              <w:t>Memorándum OPDAPAS/CPOO/005/2024 de fecha 03 de julio de 2024, firmado por el Coordinador de Planeación, Obra y Operación</w:t>
            </w:r>
            <w:r w:rsidR="00F420FA" w:rsidRPr="00D013DC">
              <w:rPr>
                <w:rFonts w:ascii="Palatino Linotype" w:eastAsia="Palatino Linotype" w:hAnsi="Palatino Linotype" w:cs="Palatino Linotype"/>
              </w:rPr>
              <w:t>.</w:t>
            </w:r>
          </w:p>
          <w:p w:rsidR="007D69A8" w:rsidRPr="00D013DC" w:rsidRDefault="00F420FA" w:rsidP="00F420FA">
            <w:pPr>
              <w:spacing w:before="100" w:after="200" w:line="276" w:lineRule="auto"/>
              <w:jc w:val="both"/>
              <w:rPr>
                <w:rFonts w:ascii="Palatino Linotype" w:eastAsia="Palatino Linotype" w:hAnsi="Palatino Linotype" w:cs="Palatino Linotype"/>
              </w:rPr>
            </w:pPr>
            <w:r w:rsidRPr="00D013DC">
              <w:rPr>
                <w:rFonts w:ascii="Palatino Linotype" w:eastAsia="Palatino Linotype" w:hAnsi="Palatino Linotype" w:cs="Palatino Linotype"/>
              </w:rPr>
              <w:t>Ahora bien de los mismos se advierte que los argumentos vertidos por el Sujeto Obligado, no acreditan  el riesgo al ni perjuicio al interés público.</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lastRenderedPageBreak/>
              <w:t>Temporalidad de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rsidR="007D69A8" w:rsidRPr="00D013DC" w:rsidRDefault="00F420FA" w:rsidP="00114197">
            <w:pPr>
              <w:spacing w:before="100" w:after="200" w:line="276" w:lineRule="auto"/>
              <w:rPr>
                <w:rFonts w:ascii="Palatino Linotype" w:eastAsia="Palatino Linotype" w:hAnsi="Palatino Linotype" w:cs="Palatino Linotype"/>
                <w:b/>
              </w:rPr>
            </w:pPr>
            <w:r w:rsidRPr="00D013DC">
              <w:rPr>
                <w:rFonts w:ascii="Palatino Linotype" w:eastAsia="Palatino Linotype" w:hAnsi="Palatino Linotype" w:cs="Palatino Linotype"/>
                <w:b/>
                <w:noProof/>
                <w:lang w:val="es-MX" w:eastAsia="es-MX"/>
              </w:rPr>
              <w:drawing>
                <wp:inline distT="0" distB="0" distL="0" distR="0" wp14:anchorId="2742C989" wp14:editId="602859BF">
                  <wp:extent cx="3283585" cy="1720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7208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 xml:space="preserve">Sí </w:t>
            </w:r>
          </w:p>
        </w:tc>
      </w:tr>
      <w:tr w:rsidR="007D69A8" w:rsidRPr="00D013DC" w:rsidTr="00114197">
        <w:tc>
          <w:tcPr>
            <w:tcW w:w="1838"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Autoridades competentes.</w:t>
            </w:r>
          </w:p>
        </w:tc>
        <w:tc>
          <w:tcPr>
            <w:tcW w:w="5387"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rPr>
                <w:rFonts w:ascii="Palatino Linotype" w:hAnsi="Palatino Linotype"/>
              </w:rPr>
            </w:pPr>
          </w:p>
          <w:p w:rsidR="007D69A8" w:rsidRPr="00D013DC" w:rsidRDefault="00F420FA" w:rsidP="00114197">
            <w:pPr>
              <w:spacing w:before="100" w:after="200" w:line="276" w:lineRule="auto"/>
              <w:rPr>
                <w:rFonts w:ascii="Palatino Linotype" w:hAnsi="Palatino Linotype"/>
              </w:rPr>
            </w:pPr>
            <w:r w:rsidRPr="00D013DC">
              <w:rPr>
                <w:rFonts w:ascii="Palatino Linotype" w:hAnsi="Palatino Linotype"/>
                <w:noProof/>
                <w:lang w:val="es-MX" w:eastAsia="es-MX"/>
              </w:rPr>
              <w:drawing>
                <wp:inline distT="0" distB="0" distL="0" distR="0" wp14:anchorId="1C555EFA" wp14:editId="55C185FC">
                  <wp:extent cx="3283585" cy="26911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3585" cy="269113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D69A8" w:rsidRPr="00D013DC" w:rsidRDefault="007D69A8" w:rsidP="00114197">
            <w:pPr>
              <w:spacing w:before="100" w:after="200" w:line="276" w:lineRule="auto"/>
              <w:jc w:val="center"/>
              <w:rPr>
                <w:rFonts w:ascii="Palatino Linotype" w:eastAsia="Palatino Linotype" w:hAnsi="Palatino Linotype" w:cs="Palatino Linotype"/>
                <w:b/>
              </w:rPr>
            </w:pPr>
            <w:r w:rsidRPr="00D013DC">
              <w:rPr>
                <w:rFonts w:ascii="Palatino Linotype" w:eastAsia="Palatino Linotype" w:hAnsi="Palatino Linotype" w:cs="Palatino Linotype"/>
                <w:b/>
              </w:rPr>
              <w:t>Sí</w:t>
            </w:r>
          </w:p>
        </w:tc>
      </w:tr>
    </w:tbl>
    <w:p w:rsidR="007D69A8" w:rsidRPr="00D013DC" w:rsidRDefault="007D69A8" w:rsidP="007D69A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7D69A8" w:rsidRPr="00D013DC" w:rsidRDefault="007D69A8" w:rsidP="00EE389D">
      <w:pPr>
        <w:numPr>
          <w:ilvl w:val="0"/>
          <w:numId w:val="1"/>
        </w:numPr>
        <w:spacing w:line="360" w:lineRule="auto"/>
        <w:ind w:left="0" w:right="-787" w:firstLine="0"/>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rPr>
        <w:t xml:space="preserve">Como se vislumbró en páginas previas, el </w:t>
      </w:r>
      <w:r w:rsidRPr="00D013DC">
        <w:rPr>
          <w:rFonts w:ascii="Palatino Linotype" w:eastAsia="Palatino Linotype" w:hAnsi="Palatino Linotype" w:cs="Palatino Linotype"/>
          <w:b/>
        </w:rPr>
        <w:t>SUJETO OBLIGADO</w:t>
      </w:r>
      <w:r w:rsidRPr="00D013DC">
        <w:rPr>
          <w:rFonts w:ascii="Palatino Linotype" w:eastAsia="Palatino Linotype" w:hAnsi="Palatino Linotype" w:cs="Palatino Linotype"/>
        </w:rPr>
        <w:t xml:space="preserve">, realizó la prueba de daño y precisó las razones por las cuales la apertura de la información generaría una afectación, sin embargo, no está debidamente fundado y motivado aplicable al caso en concreto. Del análisis del acuerdo de reserva, se advierte que el sujeto obligado no funda y motiva adecuadamente la clasificación de la información como reservada, toda vez que de conformidad con lo establecido en el artículo 141 de la Ley de Transparencia del Estado, las </w:t>
      </w:r>
      <w:r w:rsidRPr="00D013DC">
        <w:rPr>
          <w:rFonts w:ascii="Palatino Linotype" w:eastAsia="Palatino Linotype" w:hAnsi="Palatino Linotype" w:cs="Palatino Linotype"/>
        </w:rPr>
        <w:lastRenderedPageBreak/>
        <w:t>causales de reserva se deberán fundar y motivar, a través de la aplicación de la prueba de daño.</w:t>
      </w:r>
    </w:p>
    <w:p w:rsidR="007D69A8" w:rsidRPr="00D013DC" w:rsidRDefault="007D69A8" w:rsidP="007D69A8">
      <w:pPr>
        <w:spacing w:line="360" w:lineRule="auto"/>
        <w:ind w:right="-787"/>
        <w:jc w:val="both"/>
        <w:rPr>
          <w:rFonts w:ascii="Palatino Linotype" w:hAnsi="Palatino Linotype" w:cs="Tahoma"/>
          <w:lang w:val="es-ES" w:eastAsia="es-MX"/>
        </w:rPr>
      </w:pPr>
    </w:p>
    <w:p w:rsidR="00862C83" w:rsidRPr="00D013DC" w:rsidRDefault="00862C83" w:rsidP="00501939">
      <w:pPr>
        <w:numPr>
          <w:ilvl w:val="0"/>
          <w:numId w:val="1"/>
        </w:numPr>
        <w:spacing w:line="360" w:lineRule="auto"/>
        <w:ind w:left="0" w:right="-787" w:firstLine="0"/>
        <w:jc w:val="both"/>
        <w:rPr>
          <w:rFonts w:ascii="Palatino Linotype" w:hAnsi="Palatino Linotype" w:cs="Tahoma"/>
          <w:lang w:val="es-ES" w:eastAsia="es-MX"/>
        </w:rPr>
      </w:pPr>
      <w:r w:rsidRPr="00D013DC">
        <w:rPr>
          <w:rFonts w:ascii="Palatino Linotype" w:hAnsi="Palatino Linotype"/>
        </w:rPr>
        <w:t>Reiterando que</w:t>
      </w:r>
      <w:r w:rsidR="00EE389D" w:rsidRPr="00D013DC">
        <w:rPr>
          <w:rFonts w:ascii="Palatino Linotype" w:hAnsi="Palatino Linotype"/>
        </w:rPr>
        <w:t>,</w:t>
      </w:r>
      <w:r w:rsidRPr="00D013DC">
        <w:rPr>
          <w:rFonts w:ascii="Palatino Linotype" w:hAnsi="Palatino Linotype"/>
        </w:rPr>
        <w:t xml:space="preserve"> </w:t>
      </w:r>
      <w:r w:rsidR="002A0F81" w:rsidRPr="00D013DC">
        <w:rPr>
          <w:rFonts w:ascii="Palatino Linotype" w:hAnsi="Palatino Linotype"/>
        </w:rPr>
        <w:t xml:space="preserve">contrario a lo manifestado por el Sujeto Obligado, </w:t>
      </w:r>
      <w:r w:rsidRPr="00D013DC">
        <w:rPr>
          <w:rFonts w:ascii="Palatino Linotype" w:hAnsi="Palatino Linotype" w:cs="Tahoma"/>
          <w:lang w:val="es-ES" w:eastAsia="es-MX"/>
        </w:rPr>
        <w:t xml:space="preserve">la entrega de la información </w:t>
      </w:r>
      <w:r w:rsidR="002A0F81" w:rsidRPr="00D013DC">
        <w:rPr>
          <w:rFonts w:ascii="Palatino Linotype" w:hAnsi="Palatino Linotype" w:cs="Tahoma"/>
          <w:lang w:val="es-ES" w:eastAsia="es-MX"/>
        </w:rPr>
        <w:t>abona a la t</w:t>
      </w:r>
      <w:r w:rsidRPr="00D013DC">
        <w:rPr>
          <w:rFonts w:ascii="Palatino Linotype" w:hAnsi="Palatino Linotype" w:cs="Tahoma"/>
          <w:lang w:val="es-ES" w:eastAsia="es-MX"/>
        </w:rPr>
        <w:t xml:space="preserve">ransparencia y rendición de cuentas, en virtud que los documentos </w:t>
      </w:r>
      <w:r w:rsidR="002A0F81" w:rsidRPr="00D013DC">
        <w:rPr>
          <w:rFonts w:ascii="Palatino Linotype" w:hAnsi="Palatino Linotype" w:cs="Tahoma"/>
          <w:lang w:val="es-ES" w:eastAsia="es-MX"/>
        </w:rPr>
        <w:t>solicitados</w:t>
      </w:r>
      <w:r w:rsidRPr="00D013DC">
        <w:rPr>
          <w:rFonts w:ascii="Palatino Linotype" w:hAnsi="Palatino Linotype" w:cs="Tahoma"/>
          <w:lang w:val="es-ES" w:eastAsia="es-MX"/>
        </w:rPr>
        <w:t xml:space="preserve">, </w:t>
      </w:r>
      <w:r w:rsidR="002A0F81" w:rsidRPr="00D013DC">
        <w:rPr>
          <w:rFonts w:ascii="Palatino Linotype" w:hAnsi="Palatino Linotype" w:cs="Tahoma"/>
          <w:lang w:val="es-ES" w:eastAsia="es-MX"/>
        </w:rPr>
        <w:t xml:space="preserve">como la emisión de </w:t>
      </w:r>
      <w:r w:rsidR="002A0F81" w:rsidRPr="00D013DC">
        <w:rPr>
          <w:rFonts w:ascii="Palatino Linotype" w:hAnsi="Palatino Linotype" w:cs="Tahoma"/>
          <w:lang w:eastAsia="es-MX"/>
        </w:rPr>
        <w:t>dictamen de factibilidad de los servicios de agua potable y drenaje para nuevos fraccionamientos, conjuntos habitacionales</w:t>
      </w:r>
      <w:r w:rsidR="00DC3128" w:rsidRPr="00D013DC">
        <w:rPr>
          <w:rFonts w:ascii="Palatino Linotype" w:hAnsi="Palatino Linotype" w:cs="Tahoma"/>
          <w:lang w:eastAsia="es-MX"/>
        </w:rPr>
        <w:t>; las obras de infraestructura complementarias de obras de urbanización contempladas en el Reglamento del Libro Quinto del Código Administrativo del Estado de México</w:t>
      </w:r>
      <w:r w:rsidR="00DC3128" w:rsidRPr="00D013DC">
        <w:rPr>
          <w:rFonts w:ascii="Palatino Linotype" w:hAnsi="Palatino Linotype" w:cs="Tahoma"/>
          <w:lang w:val="es-ES" w:eastAsia="es-MX"/>
        </w:rPr>
        <w:t>; las relativas a la supervisión de la planeación, construcción, operación y mantenimiento de los servicios de agua potable, alcantarillado y saneamiento</w:t>
      </w:r>
      <w:r w:rsidR="00501939" w:rsidRPr="00D013DC">
        <w:rPr>
          <w:rFonts w:ascii="Palatino Linotype" w:hAnsi="Palatino Linotype" w:cs="Tahoma"/>
          <w:lang w:val="es-ES" w:eastAsia="es-MX"/>
        </w:rPr>
        <w:t xml:space="preserve">; del pago de derechos establecidos en el </w:t>
      </w:r>
      <w:r w:rsidR="00501939" w:rsidRPr="00D013DC">
        <w:rPr>
          <w:rFonts w:ascii="Palatino Linotype" w:hAnsi="Palatino Linotype" w:cs="Tahoma"/>
          <w:lang w:eastAsia="es-MX"/>
        </w:rPr>
        <w:t>Código Financiero del Estado de México y Municipios en relación al “control para el establecimiento del sistema de agua potable y alcantarillado de conjuntos urbanos y lotificaciones para condominio” y “</w:t>
      </w:r>
      <w:r w:rsidR="00C87D64" w:rsidRPr="00D013DC">
        <w:rPr>
          <w:rFonts w:ascii="Palatino Linotype" w:hAnsi="Palatino Linotype" w:cs="Tahoma"/>
          <w:lang w:eastAsia="es-MX"/>
        </w:rPr>
        <w:t>Conexión de la toma para el suministro de agua en bloque proporcionada por autoridades municipales o sus descentralizadas</w:t>
      </w:r>
      <w:r w:rsidR="00501939" w:rsidRPr="00D013DC">
        <w:rPr>
          <w:rFonts w:ascii="Palatino Linotype" w:hAnsi="Palatino Linotype" w:cs="Tahoma"/>
          <w:lang w:eastAsia="es-MX"/>
        </w:rPr>
        <w:t>”, así como en su caso los documentos en los que se adviertan las visitas de supervisión realizadas por la Secretaría de Desarrollo Urbano e Infraestructura, realizadas al fraccionamiento señalado en la solicitud de información</w:t>
      </w:r>
      <w:r w:rsidR="00501939" w:rsidRPr="00D013DC">
        <w:rPr>
          <w:rFonts w:ascii="Palatino Linotype" w:hAnsi="Palatino Linotype" w:cs="Tahoma"/>
          <w:lang w:val="es-ES" w:eastAsia="es-MX"/>
        </w:rPr>
        <w:t xml:space="preserve">, </w:t>
      </w:r>
      <w:r w:rsidRPr="00D013DC">
        <w:rPr>
          <w:rFonts w:ascii="Palatino Linotype" w:hAnsi="Palatino Linotype" w:cs="Tahoma"/>
          <w:lang w:val="es-ES" w:eastAsia="es-MX"/>
        </w:rPr>
        <w:t xml:space="preserve">deben ser accesibles para los ciudadanos </w:t>
      </w:r>
      <w:r w:rsidR="00501939" w:rsidRPr="00D013DC">
        <w:rPr>
          <w:rFonts w:ascii="Palatino Linotype" w:hAnsi="Palatino Linotype" w:cs="Tahoma"/>
          <w:lang w:val="es-ES" w:eastAsia="es-MX"/>
        </w:rPr>
        <w:t>poder</w:t>
      </w:r>
      <w:r w:rsidRPr="00D013DC">
        <w:rPr>
          <w:rFonts w:ascii="Palatino Linotype" w:hAnsi="Palatino Linotype" w:cs="Tahoma"/>
          <w:lang w:val="es-ES" w:eastAsia="es-MX"/>
        </w:rPr>
        <w:t xml:space="preserve"> supervisar el uso de los recursos públicos, las decisiones gubernamentales y el cumplimiento de los procedimientos legales, garantizando que los ciudadanos tengan el derecho de conocer la información relacionada con la administración pública, excepto en casos muy específicos (seguridad nacional, etc.), por lo que documentos </w:t>
      </w:r>
      <w:r w:rsidR="00501939" w:rsidRPr="00D013DC">
        <w:rPr>
          <w:rFonts w:ascii="Palatino Linotype" w:hAnsi="Palatino Linotype" w:cs="Tahoma"/>
          <w:lang w:val="es-ES" w:eastAsia="es-MX"/>
        </w:rPr>
        <w:t>ya señalados en el presente párrafo,</w:t>
      </w:r>
      <w:r w:rsidRPr="00D013DC">
        <w:rPr>
          <w:rFonts w:ascii="Palatino Linotype" w:hAnsi="Palatino Linotype" w:cs="Tahoma"/>
          <w:lang w:val="es-ES" w:eastAsia="es-MX"/>
        </w:rPr>
        <w:t xml:space="preserve"> no suelen entrar en esas excepciones.</w:t>
      </w:r>
    </w:p>
    <w:p w:rsidR="00862C83" w:rsidRPr="00D013DC" w:rsidRDefault="00862C83" w:rsidP="00862C83">
      <w:pPr>
        <w:pStyle w:val="Prrafodelista"/>
        <w:spacing w:line="360" w:lineRule="auto"/>
        <w:ind w:left="501"/>
        <w:jc w:val="both"/>
        <w:rPr>
          <w:rFonts w:ascii="Palatino Linotype" w:hAnsi="Palatino Linotype" w:cs="Tahoma"/>
          <w:lang w:val="es-ES" w:eastAsia="es-MX"/>
        </w:rPr>
      </w:pPr>
    </w:p>
    <w:p w:rsidR="00862C83" w:rsidRPr="00D013DC" w:rsidRDefault="00862C83" w:rsidP="00375F67">
      <w:pPr>
        <w:numPr>
          <w:ilvl w:val="0"/>
          <w:numId w:val="1"/>
        </w:numPr>
        <w:spacing w:line="360" w:lineRule="auto"/>
        <w:ind w:left="0" w:right="-787" w:firstLine="0"/>
        <w:jc w:val="both"/>
        <w:rPr>
          <w:rFonts w:ascii="Palatino Linotype" w:hAnsi="Palatino Linotype" w:cs="Tahoma"/>
          <w:lang w:val="es-ES" w:eastAsia="es-MX"/>
        </w:rPr>
      </w:pPr>
      <w:r w:rsidRPr="00D013DC">
        <w:rPr>
          <w:rFonts w:ascii="Palatino Linotype" w:hAnsi="Palatino Linotype" w:cs="Tahoma"/>
          <w:lang w:val="es-ES" w:eastAsia="es-MX"/>
        </w:rPr>
        <w:t xml:space="preserve">Por otro lado, mantener los documentos </w:t>
      </w:r>
      <w:r w:rsidR="00375F67" w:rsidRPr="00D013DC">
        <w:rPr>
          <w:rFonts w:ascii="Palatino Linotype" w:hAnsi="Palatino Linotype" w:cs="Tahoma"/>
          <w:lang w:val="es-ES" w:eastAsia="es-MX"/>
        </w:rPr>
        <w:t>referidos</w:t>
      </w:r>
      <w:r w:rsidRPr="00D013DC">
        <w:rPr>
          <w:rFonts w:ascii="Palatino Linotype" w:hAnsi="Palatino Linotype" w:cs="Tahoma"/>
          <w:lang w:val="es-ES" w:eastAsia="es-MX"/>
        </w:rPr>
        <w:t xml:space="preserve"> accesibles ayuda a prevenir la </w:t>
      </w:r>
      <w:r w:rsidRPr="00D013DC">
        <w:rPr>
          <w:rFonts w:ascii="Palatino Linotype" w:hAnsi="Palatino Linotype"/>
        </w:rPr>
        <w:t>corrupción, s</w:t>
      </w:r>
      <w:r w:rsidRPr="00D013DC">
        <w:rPr>
          <w:rFonts w:ascii="Palatino Linotype" w:hAnsi="Palatino Linotype" w:cs="Tahoma"/>
          <w:lang w:val="es-ES" w:eastAsia="es-MX"/>
        </w:rPr>
        <w:t xml:space="preserve">i los documentos fueran reservados, se permitiría encubrir decisiones, pagos o </w:t>
      </w:r>
      <w:r w:rsidR="00375F67" w:rsidRPr="00D013DC">
        <w:rPr>
          <w:rFonts w:ascii="Palatino Linotype" w:hAnsi="Palatino Linotype" w:cs="Tahoma"/>
          <w:lang w:val="es-ES" w:eastAsia="es-MX"/>
        </w:rPr>
        <w:t>actuaciones</w:t>
      </w:r>
      <w:r w:rsidRPr="00D013DC">
        <w:rPr>
          <w:rFonts w:ascii="Palatino Linotype" w:hAnsi="Palatino Linotype" w:cs="Tahoma"/>
          <w:lang w:val="es-ES" w:eastAsia="es-MX"/>
        </w:rPr>
        <w:t xml:space="preserve"> irregulares aun y cuando estas ya fueron </w:t>
      </w:r>
      <w:r w:rsidR="00375F67" w:rsidRPr="00D013DC">
        <w:rPr>
          <w:rFonts w:ascii="Palatino Linotype" w:hAnsi="Palatino Linotype" w:cs="Tahoma"/>
          <w:lang w:val="es-ES" w:eastAsia="es-MX"/>
        </w:rPr>
        <w:t xml:space="preserve">o no </w:t>
      </w:r>
      <w:r w:rsidRPr="00D013DC">
        <w:rPr>
          <w:rFonts w:ascii="Palatino Linotype" w:hAnsi="Palatino Linotype" w:cs="Tahoma"/>
          <w:lang w:val="es-ES" w:eastAsia="es-MX"/>
        </w:rPr>
        <w:t xml:space="preserve">consumadas, por lo que </w:t>
      </w:r>
      <w:r w:rsidR="00375F67" w:rsidRPr="00D013DC">
        <w:rPr>
          <w:rFonts w:ascii="Palatino Linotype" w:hAnsi="Palatino Linotype" w:cs="Tahoma"/>
          <w:lang w:val="es-ES" w:eastAsia="es-MX"/>
        </w:rPr>
        <w:t>la entrega de tal información</w:t>
      </w:r>
      <w:r w:rsidRPr="00D013DC">
        <w:rPr>
          <w:rFonts w:ascii="Palatino Linotype" w:hAnsi="Palatino Linotype" w:cs="Tahoma"/>
          <w:lang w:val="es-ES" w:eastAsia="es-MX"/>
        </w:rPr>
        <w:t xml:space="preserve"> aumenta la confianza de los ciudadanos en las instituciones, ya que se demuestra que las decisiones se han tomado de manera abierta y conforme a la ley, luego entonces </w:t>
      </w:r>
      <w:r w:rsidR="00375F67" w:rsidRPr="00D013DC">
        <w:rPr>
          <w:rFonts w:ascii="Palatino Linotype" w:hAnsi="Palatino Linotype" w:cs="Tahoma"/>
          <w:lang w:val="es-ES" w:eastAsia="es-MX"/>
        </w:rPr>
        <w:t>la información requerida se considera</w:t>
      </w:r>
      <w:r w:rsidRPr="00D013DC">
        <w:rPr>
          <w:rFonts w:ascii="Palatino Linotype" w:hAnsi="Palatino Linotype" w:cs="Tahoma"/>
          <w:lang w:val="es-ES" w:eastAsia="es-MX"/>
        </w:rPr>
        <w:t xml:space="preserve"> el resultado de pro</w:t>
      </w:r>
      <w:r w:rsidR="00375F67" w:rsidRPr="00D013DC">
        <w:rPr>
          <w:rFonts w:ascii="Palatino Linotype" w:hAnsi="Palatino Linotype" w:cs="Tahoma"/>
          <w:lang w:val="es-ES" w:eastAsia="es-MX"/>
        </w:rPr>
        <w:t xml:space="preserve">cesos que deben ser conocidos </w:t>
      </w:r>
      <w:r w:rsidRPr="00D013DC">
        <w:rPr>
          <w:rFonts w:ascii="Palatino Linotype" w:hAnsi="Palatino Linotype" w:cs="Tahoma"/>
          <w:lang w:val="es-ES" w:eastAsia="es-MX"/>
        </w:rPr>
        <w:t xml:space="preserve">por la sociedad, </w:t>
      </w:r>
      <w:r w:rsidR="00543E61" w:rsidRPr="00D013DC">
        <w:rPr>
          <w:rFonts w:ascii="Palatino Linotype" w:hAnsi="Palatino Linotype" w:cs="Tahoma"/>
          <w:lang w:val="es-ES" w:eastAsia="es-MX"/>
        </w:rPr>
        <w:t>razón por la que</w:t>
      </w:r>
      <w:r w:rsidRPr="00D013DC">
        <w:rPr>
          <w:rFonts w:ascii="Palatino Linotype" w:hAnsi="Palatino Linotype" w:cs="Tahoma"/>
          <w:lang w:val="es-ES" w:eastAsia="es-MX"/>
        </w:rPr>
        <w:t xml:space="preserve"> no se clasifican como reservados, </w:t>
      </w:r>
      <w:r w:rsidRPr="00D013DC">
        <w:rPr>
          <w:rFonts w:ascii="Palatino Linotype" w:hAnsi="Palatino Linotype" w:cs="Tahoma"/>
          <w:b/>
          <w:lang w:val="es-ES" w:eastAsia="es-MX"/>
        </w:rPr>
        <w:t>por lo que se desestima la pretendida clasificación</w:t>
      </w:r>
      <w:r w:rsidR="00543E61" w:rsidRPr="00D013DC">
        <w:rPr>
          <w:rFonts w:ascii="Palatino Linotype" w:hAnsi="Palatino Linotype" w:cs="Tahoma"/>
          <w:b/>
          <w:lang w:val="es-ES" w:eastAsia="es-MX"/>
        </w:rPr>
        <w:t xml:space="preserve"> de reserva de la información</w:t>
      </w:r>
      <w:r w:rsidRPr="00D013DC">
        <w:rPr>
          <w:rFonts w:ascii="Palatino Linotype" w:hAnsi="Palatino Linotype" w:cs="Tahoma"/>
          <w:lang w:val="es-ES" w:eastAsia="es-MX"/>
        </w:rPr>
        <w:t xml:space="preserve"> propuesta por el </w:t>
      </w:r>
      <w:r w:rsidRPr="00D013DC">
        <w:rPr>
          <w:rFonts w:ascii="Palatino Linotype" w:hAnsi="Palatino Linotype" w:cs="Tahoma"/>
          <w:b/>
          <w:lang w:val="es-ES" w:eastAsia="es-MX"/>
        </w:rPr>
        <w:t>SUJETO OBLIGADO.</w:t>
      </w:r>
    </w:p>
    <w:p w:rsidR="00862C83" w:rsidRPr="00D013DC" w:rsidRDefault="00862C83" w:rsidP="00862C83">
      <w:pPr>
        <w:pBdr>
          <w:top w:val="nil"/>
          <w:left w:val="nil"/>
          <w:bottom w:val="nil"/>
          <w:right w:val="nil"/>
          <w:between w:val="nil"/>
        </w:pBdr>
        <w:spacing w:line="360" w:lineRule="auto"/>
        <w:jc w:val="both"/>
        <w:rPr>
          <w:rFonts w:ascii="Palatino Linotype" w:hAnsi="Palatino Linotype"/>
          <w:i/>
        </w:rPr>
      </w:pPr>
    </w:p>
    <w:p w:rsidR="00862C83" w:rsidRPr="00D013DC" w:rsidRDefault="00862C83" w:rsidP="001822CE">
      <w:pPr>
        <w:numPr>
          <w:ilvl w:val="0"/>
          <w:numId w:val="1"/>
        </w:numPr>
        <w:spacing w:line="360" w:lineRule="auto"/>
        <w:ind w:left="0" w:right="-787" w:firstLine="0"/>
        <w:jc w:val="both"/>
        <w:rPr>
          <w:rFonts w:ascii="Palatino Linotype" w:hAnsi="Palatino Linotype"/>
          <w:lang w:val="es-ES"/>
        </w:rPr>
      </w:pPr>
      <w:r w:rsidRPr="00D013DC">
        <w:rPr>
          <w:rFonts w:ascii="Palatino Linotype" w:hAnsi="Palatino Linotype"/>
          <w:lang w:val="es-ES"/>
        </w:rPr>
        <w:t>Por otro lado, cabe subrayar lo dispuesto por la Ley de Transparencia y Acceso a la Información Pública del Estado de México y Municipios, que prevé en su artículo 23 fracción IV,</w:t>
      </w:r>
      <w:r w:rsidRPr="00D013DC">
        <w:rPr>
          <w:rFonts w:ascii="Palatino Linotype" w:hAnsi="Palatino Linotype"/>
        </w:rPr>
        <w:t xml:space="preserve"> </w:t>
      </w:r>
      <w:r w:rsidRPr="00D013DC">
        <w:rPr>
          <w:rFonts w:ascii="Palatino Linotype" w:hAnsi="Palatino Linotype"/>
          <w:lang w:val="es-ES"/>
        </w:rPr>
        <w:t xml:space="preserve">que los Ayuntamientos </w:t>
      </w:r>
      <w:r w:rsidRPr="00D013DC">
        <w:rPr>
          <w:rFonts w:ascii="Palatino Linotype" w:hAnsi="Palatino Linotype" w:cs="Tahoma"/>
          <w:lang w:val="es-ES" w:eastAsia="es-MX"/>
        </w:rPr>
        <w:t>se</w:t>
      </w:r>
      <w:r w:rsidRPr="00D013DC">
        <w:rPr>
          <w:rFonts w:ascii="Palatino Linotype" w:hAnsi="Palatino Linotype"/>
          <w:lang w:val="es-ES"/>
        </w:rPr>
        <w:t xml:space="preserve"> encuentran obligados a transparentar y permitir el acceso a la información que generen, posean o administren; de ahí que la Ley de la materia delimita perfectamente los alcances de las obligaciones que corresponden a los Ayuntamientos, como se advierte enseguida:</w:t>
      </w:r>
    </w:p>
    <w:p w:rsidR="00862C83" w:rsidRPr="00D013DC" w:rsidRDefault="00862C83" w:rsidP="00862C83">
      <w:pPr>
        <w:spacing w:line="360" w:lineRule="auto"/>
        <w:jc w:val="both"/>
        <w:rPr>
          <w:rFonts w:ascii="Palatino Linotype" w:hAnsi="Palatino Linotype"/>
          <w:lang w:val="es-ES"/>
        </w:rPr>
      </w:pPr>
    </w:p>
    <w:p w:rsidR="00862C83" w:rsidRPr="00D013DC" w:rsidRDefault="00862C83" w:rsidP="000852B5">
      <w:pPr>
        <w:ind w:left="567" w:right="567"/>
        <w:jc w:val="both"/>
        <w:rPr>
          <w:rFonts w:ascii="Palatino Linotype" w:hAnsi="Palatino Linotype" w:cs="Arial"/>
          <w:i/>
          <w:lang w:val="es-ES"/>
        </w:rPr>
      </w:pPr>
      <w:r w:rsidRPr="00D013DC">
        <w:rPr>
          <w:rFonts w:ascii="Palatino Linotype" w:hAnsi="Palatino Linotype" w:cs="Arial"/>
          <w:b/>
          <w:i/>
          <w:lang w:val="es-ES"/>
        </w:rPr>
        <w:t>“Artículo 23.</w:t>
      </w:r>
      <w:r w:rsidRPr="00D013DC">
        <w:rPr>
          <w:rFonts w:ascii="Palatino Linotype" w:hAnsi="Palatino Linotype" w:cs="Arial"/>
          <w:i/>
          <w:lang w:val="es-ES"/>
        </w:rPr>
        <w:t xml:space="preserve"> Son sujetos obligados a transparentar y permitir el acceso a su información y proteger los datos personales que obren en su poder:</w:t>
      </w:r>
    </w:p>
    <w:p w:rsidR="00862C83" w:rsidRPr="00D013DC" w:rsidRDefault="00862C83" w:rsidP="000852B5">
      <w:pPr>
        <w:ind w:left="567" w:right="567"/>
        <w:jc w:val="both"/>
        <w:rPr>
          <w:rFonts w:ascii="Palatino Linotype" w:hAnsi="Palatino Linotype" w:cs="Arial"/>
          <w:i/>
          <w:lang w:val="es-ES"/>
        </w:rPr>
      </w:pPr>
      <w:r w:rsidRPr="00D013DC">
        <w:rPr>
          <w:rFonts w:ascii="Palatino Linotype" w:hAnsi="Palatino Linotype" w:cs="Arial"/>
          <w:b/>
          <w:i/>
          <w:lang w:val="es-ES"/>
        </w:rPr>
        <w:t>IV. Los ayuntamientos y las dependencias, organismos, órganos y entidades de la administración municipal</w:t>
      </w:r>
      <w:r w:rsidRPr="00D013DC">
        <w:rPr>
          <w:rFonts w:ascii="Palatino Linotype" w:hAnsi="Palatino Linotype" w:cs="Arial"/>
          <w:i/>
          <w:lang w:val="es-ES"/>
        </w:rPr>
        <w:t>;”</w:t>
      </w:r>
    </w:p>
    <w:p w:rsidR="00862C83" w:rsidRPr="00D013DC" w:rsidRDefault="00862C83" w:rsidP="00862C83">
      <w:pPr>
        <w:autoSpaceDE w:val="0"/>
        <w:autoSpaceDN w:val="0"/>
        <w:adjustRightInd w:val="0"/>
        <w:spacing w:line="360" w:lineRule="auto"/>
        <w:jc w:val="both"/>
        <w:rPr>
          <w:rFonts w:ascii="Palatino Linotype" w:hAnsi="Palatino Linotype" w:cs="Arial"/>
          <w:lang w:val="es-ES"/>
        </w:rPr>
      </w:pPr>
    </w:p>
    <w:p w:rsidR="000852B5" w:rsidRPr="00D013DC" w:rsidRDefault="00862C83" w:rsidP="008E3343">
      <w:pPr>
        <w:numPr>
          <w:ilvl w:val="0"/>
          <w:numId w:val="1"/>
        </w:numPr>
        <w:spacing w:line="360" w:lineRule="auto"/>
        <w:ind w:left="0" w:right="-787" w:firstLine="0"/>
        <w:jc w:val="both"/>
        <w:rPr>
          <w:rFonts w:ascii="Palatino Linotype" w:hAnsi="Palatino Linotype" w:cs="Arial"/>
        </w:rPr>
      </w:pPr>
      <w:r w:rsidRPr="00D013DC">
        <w:rPr>
          <w:rFonts w:ascii="Palatino Linotype" w:hAnsi="Palatino Linotype" w:cs="Arial"/>
          <w:lang w:val="es-ES"/>
        </w:rPr>
        <w:lastRenderedPageBreak/>
        <w:t xml:space="preserve">Del precepto legal en cita se establece que los ayuntamientos, y las dependencias, organismos, </w:t>
      </w:r>
      <w:r w:rsidRPr="00D013DC">
        <w:rPr>
          <w:rFonts w:ascii="Palatino Linotype" w:hAnsi="Palatino Linotype"/>
          <w:lang w:val="es-ES"/>
        </w:rPr>
        <w:t>órganos</w:t>
      </w:r>
      <w:r w:rsidRPr="00D013DC">
        <w:rPr>
          <w:rFonts w:ascii="Palatino Linotype" w:hAnsi="Palatino Linotype" w:cs="Arial"/>
          <w:lang w:val="es-ES"/>
        </w:rPr>
        <w:t xml:space="preserve"> y entidades de la administración municipal se encuentran obligados a transparentar y permitir el acceso a la información que generen, posean o administren; de ahí que la Ley de la materia delimita perfectamente los alcances de las obligaciones que corresponden a los Ayuntamientos y las dependencias, organismos, órganos y entidades de la administración municipal.</w:t>
      </w:r>
    </w:p>
    <w:p w:rsidR="00862C83" w:rsidRPr="00D013DC" w:rsidRDefault="00862C83" w:rsidP="00862C83">
      <w:pPr>
        <w:spacing w:line="360" w:lineRule="auto"/>
        <w:jc w:val="both"/>
        <w:rPr>
          <w:rFonts w:ascii="Palatino Linotype" w:hAnsi="Palatino Linotype" w:cs="Arial"/>
        </w:rPr>
      </w:pPr>
    </w:p>
    <w:p w:rsidR="00862C83" w:rsidRPr="00D013DC" w:rsidRDefault="00862C83" w:rsidP="008E3343">
      <w:pPr>
        <w:numPr>
          <w:ilvl w:val="0"/>
          <w:numId w:val="1"/>
        </w:numPr>
        <w:spacing w:line="360" w:lineRule="auto"/>
        <w:ind w:left="0" w:right="-787" w:firstLine="0"/>
        <w:jc w:val="both"/>
        <w:rPr>
          <w:rFonts w:ascii="Palatino Linotype" w:hAnsi="Palatino Linotype"/>
          <w:i/>
        </w:rPr>
      </w:pPr>
      <w:r w:rsidRPr="00D013DC">
        <w:rPr>
          <w:rFonts w:ascii="Palatino Linotype" w:hAnsi="Palatino Linotype"/>
        </w:rPr>
        <w:t xml:space="preserve">En conclusión, a todo lo antes expuesto, se colige que la respuesta del Sujeto Obligado no satisface el derecho de acceso a la información, por ello resulta procedente determinar que el motivo de agravio hecho valer por la parte Recurrente resulta </w:t>
      </w:r>
      <w:r w:rsidRPr="00D013DC">
        <w:rPr>
          <w:rFonts w:ascii="Palatino Linotype" w:hAnsi="Palatino Linotype"/>
          <w:b/>
        </w:rPr>
        <w:t>FUNDADO</w:t>
      </w:r>
      <w:r w:rsidRPr="00D013DC">
        <w:rPr>
          <w:rFonts w:ascii="Palatino Linotype" w:hAnsi="Palatino Linotype"/>
        </w:rPr>
        <w:t>.</w:t>
      </w:r>
    </w:p>
    <w:p w:rsidR="000852B5" w:rsidRPr="00D013DC" w:rsidRDefault="000852B5" w:rsidP="000852B5">
      <w:pPr>
        <w:pBdr>
          <w:top w:val="nil"/>
          <w:left w:val="nil"/>
          <w:bottom w:val="nil"/>
          <w:right w:val="nil"/>
          <w:between w:val="nil"/>
        </w:pBdr>
        <w:spacing w:line="360" w:lineRule="auto"/>
        <w:jc w:val="both"/>
        <w:rPr>
          <w:rFonts w:ascii="Palatino Linotype" w:hAnsi="Palatino Linotype"/>
          <w:i/>
        </w:rPr>
      </w:pPr>
    </w:p>
    <w:p w:rsidR="000852B5" w:rsidRPr="00D013DC" w:rsidRDefault="000852B5" w:rsidP="008E3343">
      <w:pPr>
        <w:numPr>
          <w:ilvl w:val="0"/>
          <w:numId w:val="1"/>
        </w:numP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6F331B" w:rsidRPr="00D013DC" w:rsidRDefault="006F331B" w:rsidP="006F331B">
      <w:pPr>
        <w:spacing w:line="360" w:lineRule="auto"/>
        <w:ind w:right="-787"/>
        <w:jc w:val="both"/>
        <w:rPr>
          <w:rFonts w:ascii="Palatino Linotype" w:hAnsi="Palatino Linotype"/>
          <w:color w:val="000000"/>
        </w:rPr>
      </w:pPr>
    </w:p>
    <w:p w:rsidR="000852B5" w:rsidRPr="00D013DC" w:rsidRDefault="000852B5" w:rsidP="000852B5">
      <w:pPr>
        <w:ind w:left="1134" w:right="-220"/>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w:t>
      </w:r>
      <w:r w:rsidRPr="00D013DC">
        <w:rPr>
          <w:rFonts w:ascii="Palatino Linotype" w:eastAsia="Palatino Linotype" w:hAnsi="Palatino Linotype" w:cs="Palatino Linotype"/>
          <w:b/>
          <w:i/>
          <w:color w:val="000000"/>
        </w:rPr>
        <w:t xml:space="preserve">Artículo 3. </w:t>
      </w:r>
      <w:r w:rsidRPr="00D013DC">
        <w:rPr>
          <w:rFonts w:ascii="Palatino Linotype" w:eastAsia="Palatino Linotype" w:hAnsi="Palatino Linotype" w:cs="Palatino Linotype"/>
          <w:i/>
          <w:color w:val="000000"/>
        </w:rPr>
        <w:t>Para los efectos de la presente Ley se entenderá por:</w:t>
      </w:r>
    </w:p>
    <w:p w:rsidR="000852B5" w:rsidRPr="00D013DC" w:rsidRDefault="000852B5" w:rsidP="000852B5">
      <w:pPr>
        <w:ind w:left="1134" w:right="-220"/>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lastRenderedPageBreak/>
        <w:t>(…)</w:t>
      </w:r>
    </w:p>
    <w:p w:rsidR="000852B5" w:rsidRPr="00D013DC" w:rsidRDefault="000852B5" w:rsidP="000852B5">
      <w:pPr>
        <w:ind w:left="1134" w:right="-220"/>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b/>
          <w:i/>
          <w:color w:val="000000"/>
        </w:rPr>
        <w:t>XI. Documento:</w:t>
      </w:r>
      <w:r w:rsidRPr="00D013DC">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852B5" w:rsidRPr="00D013DC" w:rsidRDefault="000852B5" w:rsidP="000852B5">
      <w:pPr>
        <w:spacing w:line="360" w:lineRule="auto"/>
        <w:ind w:left="1134" w:right="-220"/>
        <w:jc w:val="both"/>
        <w:rPr>
          <w:rFonts w:ascii="Palatino Linotype" w:eastAsia="Palatino Linotype" w:hAnsi="Palatino Linotype" w:cs="Palatino Linotype"/>
          <w:i/>
          <w:color w:val="000000"/>
        </w:rPr>
      </w:pPr>
      <w:r w:rsidRPr="00D013DC">
        <w:rPr>
          <w:rFonts w:ascii="Palatino Linotype" w:eastAsia="Palatino Linotype" w:hAnsi="Palatino Linotype" w:cs="Palatino Linotype"/>
          <w:i/>
          <w:color w:val="000000"/>
        </w:rPr>
        <w:t>(…)”</w:t>
      </w:r>
    </w:p>
    <w:p w:rsidR="000852B5" w:rsidRPr="00D013DC" w:rsidRDefault="000852B5" w:rsidP="000852B5">
      <w:pPr>
        <w:ind w:right="-787"/>
        <w:jc w:val="both"/>
        <w:rPr>
          <w:rFonts w:ascii="Palatino Linotype" w:eastAsia="Palatino Linotype" w:hAnsi="Palatino Linotype" w:cs="Palatino Linotype"/>
        </w:rPr>
      </w:pPr>
    </w:p>
    <w:p w:rsidR="000852B5" w:rsidRPr="00D013DC" w:rsidRDefault="000852B5" w:rsidP="008E3343">
      <w:pPr>
        <w:numPr>
          <w:ilvl w:val="0"/>
          <w:numId w:val="1"/>
        </w:numP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852B5" w:rsidRPr="00D013DC" w:rsidRDefault="000852B5" w:rsidP="000852B5">
      <w:pPr>
        <w:pBdr>
          <w:top w:val="nil"/>
          <w:left w:val="nil"/>
          <w:bottom w:val="nil"/>
          <w:right w:val="nil"/>
          <w:between w:val="nil"/>
        </w:pBdr>
        <w:spacing w:line="360" w:lineRule="auto"/>
        <w:ind w:left="501" w:right="-787"/>
        <w:jc w:val="both"/>
        <w:rPr>
          <w:rFonts w:ascii="Palatino Linotype" w:hAnsi="Palatino Linotype"/>
          <w:color w:val="000000"/>
        </w:rPr>
      </w:pPr>
    </w:p>
    <w:p w:rsidR="000852B5" w:rsidRPr="00D013DC" w:rsidRDefault="000852B5" w:rsidP="000852B5">
      <w:pPr>
        <w:ind w:left="850"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rPr>
        <w:t>“</w:t>
      </w:r>
      <w:r w:rsidRPr="00D013DC">
        <w:rPr>
          <w:rFonts w:ascii="Palatino Linotype" w:eastAsia="Palatino Linotype" w:hAnsi="Palatino Linotype" w:cs="Palatino Linotype"/>
          <w:b/>
          <w:i/>
        </w:rPr>
        <w:t>CRITERIO 0002-11</w:t>
      </w:r>
    </w:p>
    <w:p w:rsidR="000852B5" w:rsidRPr="00D013DC" w:rsidRDefault="000852B5" w:rsidP="000852B5">
      <w:pPr>
        <w:ind w:left="850" w:right="-220"/>
        <w:jc w:val="both"/>
        <w:rPr>
          <w:rFonts w:ascii="Palatino Linotype" w:eastAsia="Palatino Linotype" w:hAnsi="Palatino Linotype" w:cs="Palatino Linotype"/>
          <w:i/>
        </w:rPr>
      </w:pPr>
      <w:r w:rsidRPr="00D013D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013D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52B5" w:rsidRPr="00D013DC" w:rsidRDefault="000852B5" w:rsidP="000852B5">
      <w:pPr>
        <w:ind w:left="850"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En consecuencia el acceso a la información se refiere a que se cumplan cualquiera de los siguientes tres supuestos:</w:t>
      </w:r>
    </w:p>
    <w:p w:rsidR="000852B5" w:rsidRPr="00D013DC" w:rsidRDefault="000852B5" w:rsidP="000852B5">
      <w:pPr>
        <w:ind w:left="850" w:right="-220"/>
        <w:jc w:val="both"/>
        <w:rPr>
          <w:rFonts w:ascii="Palatino Linotype" w:eastAsia="Palatino Linotype" w:hAnsi="Palatino Linotype" w:cs="Palatino Linotype"/>
          <w:b/>
          <w:i/>
        </w:rPr>
      </w:pPr>
      <w:r w:rsidRPr="00D013DC">
        <w:rPr>
          <w:rFonts w:ascii="Palatino Linotype" w:eastAsia="Palatino Linotype" w:hAnsi="Palatino Linotype" w:cs="Palatino Linotype"/>
          <w:b/>
          <w:i/>
        </w:rPr>
        <w:t xml:space="preserve">1) </w:t>
      </w:r>
      <w:r w:rsidRPr="00D013DC">
        <w:rPr>
          <w:rFonts w:ascii="Palatino Linotype" w:eastAsia="Palatino Linotype" w:hAnsi="Palatino Linotype" w:cs="Palatino Linotype"/>
          <w:b/>
          <w:i/>
          <w:u w:val="single"/>
        </w:rPr>
        <w:t>Que se trate de información registrada en cualquier soporte documental, que en ejercicio de las atribuciones conferidas, sea generada por los Sujetos Obligados;</w:t>
      </w:r>
    </w:p>
    <w:p w:rsidR="000852B5" w:rsidRPr="00D013DC" w:rsidRDefault="000852B5" w:rsidP="000852B5">
      <w:pPr>
        <w:ind w:left="850"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lastRenderedPageBreak/>
        <w:t>2) Que se trate de información registrada en cualquier soporte documental, que en ejercicio de las atribuciones conferidas, sea administrada por los Sujetos Obligados, y</w:t>
      </w:r>
    </w:p>
    <w:p w:rsidR="000852B5" w:rsidRPr="00D013DC" w:rsidRDefault="000852B5" w:rsidP="000852B5">
      <w:pPr>
        <w:ind w:left="850"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0852B5" w:rsidRPr="00D013DC" w:rsidRDefault="000852B5" w:rsidP="000852B5">
      <w:pPr>
        <w:tabs>
          <w:tab w:val="left" w:pos="851"/>
        </w:tabs>
        <w:spacing w:line="360" w:lineRule="auto"/>
        <w:ind w:left="850" w:right="-220"/>
        <w:rPr>
          <w:rFonts w:ascii="Palatino Linotype" w:eastAsia="Palatino Linotype" w:hAnsi="Palatino Linotype" w:cs="Palatino Linotype"/>
        </w:rPr>
      </w:pPr>
      <w:r w:rsidRPr="00D013DC">
        <w:rPr>
          <w:rFonts w:ascii="Palatino Linotype" w:eastAsia="Palatino Linotype" w:hAnsi="Palatino Linotype" w:cs="Palatino Linotype"/>
        </w:rPr>
        <w:t>(Énfasis Añadido)</w:t>
      </w:r>
    </w:p>
    <w:p w:rsidR="000852B5" w:rsidRPr="00D013DC" w:rsidRDefault="000852B5" w:rsidP="000852B5">
      <w:pPr>
        <w:pBdr>
          <w:top w:val="nil"/>
          <w:left w:val="nil"/>
          <w:bottom w:val="nil"/>
          <w:right w:val="nil"/>
          <w:between w:val="nil"/>
        </w:pBdr>
        <w:ind w:right="-787"/>
        <w:jc w:val="both"/>
        <w:rPr>
          <w:rFonts w:ascii="Palatino Linotype" w:eastAsia="Palatino Linotype" w:hAnsi="Palatino Linotype" w:cs="Palatino Linotype"/>
          <w:color w:val="000000"/>
        </w:rPr>
      </w:pPr>
    </w:p>
    <w:p w:rsidR="000852B5" w:rsidRPr="00D013DC" w:rsidRDefault="000852B5" w:rsidP="008E3343">
      <w:pPr>
        <w:numPr>
          <w:ilvl w:val="0"/>
          <w:numId w:val="1"/>
        </w:numP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Por su parte los artículos 160 y 166, de la Ley local en la materia, que se reproduce de la siguiente forma:</w:t>
      </w:r>
    </w:p>
    <w:p w:rsidR="000852B5" w:rsidRPr="00D013DC" w:rsidRDefault="000852B5" w:rsidP="000852B5">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w:t>
      </w:r>
      <w:r w:rsidRPr="00D013DC">
        <w:rPr>
          <w:rFonts w:ascii="Palatino Linotype" w:eastAsia="Palatino Linotype" w:hAnsi="Palatino Linotype" w:cs="Palatino Linotype"/>
          <w:b/>
          <w:i/>
        </w:rPr>
        <w:t>Artículo 160.</w:t>
      </w:r>
      <w:r w:rsidRPr="00D013DC">
        <w:rPr>
          <w:rFonts w:ascii="Palatino Linotype" w:eastAsia="Palatino Linotype" w:hAnsi="Palatino Linotype" w:cs="Palatino Linotype"/>
          <w:i/>
        </w:rPr>
        <w:t xml:space="preserve"> </w:t>
      </w:r>
      <w:r w:rsidRPr="00D013DC">
        <w:rPr>
          <w:rFonts w:ascii="Palatino Linotype" w:eastAsia="Palatino Linotype" w:hAnsi="Palatino Linotype" w:cs="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013DC">
        <w:rPr>
          <w:rFonts w:ascii="Palatino Linotype" w:eastAsia="Palatino Linotype" w:hAnsi="Palatino Linotype" w:cs="Palatino Linotype"/>
          <w:i/>
        </w:rPr>
        <w:t>.</w:t>
      </w:r>
    </w:p>
    <w:p w:rsidR="000852B5" w:rsidRPr="00D013DC" w:rsidRDefault="000852B5" w:rsidP="000852B5">
      <w:pPr>
        <w:ind w:left="566" w:right="-220"/>
        <w:jc w:val="both"/>
        <w:rPr>
          <w:rFonts w:ascii="Palatino Linotype" w:eastAsia="Palatino Linotype" w:hAnsi="Palatino Linotype" w:cs="Palatino Linotype"/>
          <w:i/>
        </w:rPr>
      </w:pPr>
    </w:p>
    <w:p w:rsidR="000852B5" w:rsidRPr="00D013DC" w:rsidRDefault="000852B5" w:rsidP="000852B5">
      <w:pPr>
        <w:ind w:left="566" w:right="-220"/>
        <w:jc w:val="both"/>
        <w:rPr>
          <w:rFonts w:ascii="Palatino Linotype" w:eastAsia="Palatino Linotype" w:hAnsi="Palatino Linotype" w:cs="Palatino Linotype"/>
          <w:i/>
        </w:rPr>
      </w:pPr>
      <w:r w:rsidRPr="00D013DC">
        <w:rPr>
          <w:rFonts w:ascii="Palatino Linotype" w:eastAsia="Palatino Linotype" w:hAnsi="Palatino Linotype" w:cs="Palatino Linotype"/>
          <w:i/>
        </w:rPr>
        <w:t>En caso que la información solicitada consista en bases de datos se deberá privilegiar la entrega de la misma en formatos abiertos.</w:t>
      </w:r>
    </w:p>
    <w:p w:rsidR="000852B5" w:rsidRPr="00D013DC" w:rsidRDefault="000852B5" w:rsidP="000852B5">
      <w:pPr>
        <w:ind w:left="566" w:right="-220"/>
        <w:jc w:val="both"/>
        <w:rPr>
          <w:rFonts w:ascii="Palatino Linotype" w:eastAsia="Palatino Linotype" w:hAnsi="Palatino Linotype" w:cs="Palatino Linotype"/>
          <w:i/>
          <w:u w:val="single"/>
        </w:rPr>
      </w:pPr>
      <w:r w:rsidRPr="00D013DC">
        <w:rPr>
          <w:rFonts w:ascii="Palatino Linotype" w:eastAsia="Palatino Linotype" w:hAnsi="Palatino Linotype" w:cs="Palatino Linotype"/>
          <w:b/>
          <w:i/>
        </w:rPr>
        <w:t>Artículo 166.</w:t>
      </w:r>
      <w:r w:rsidRPr="00D013DC">
        <w:rPr>
          <w:rFonts w:ascii="Palatino Linotype" w:eastAsia="Palatino Linotype" w:hAnsi="Palatino Linotype" w:cs="Palatino Linotype"/>
          <w:i/>
        </w:rPr>
        <w:t xml:space="preserve"> </w:t>
      </w:r>
      <w:r w:rsidRPr="00D013DC">
        <w:rPr>
          <w:rFonts w:ascii="Palatino Linotype" w:eastAsia="Palatino Linotype" w:hAnsi="Palatino Linotype" w:cs="Palatino Linotype"/>
          <w:i/>
          <w:u w:val="single"/>
        </w:rPr>
        <w:t>La obligación de acceso a la información pública se tendrá por cumplida cuando el solicitante tenga a su disposición la información requerida, o cuando realice la consulta de la misma en el lugar en el que ésta se localice.</w:t>
      </w:r>
    </w:p>
    <w:p w:rsidR="000852B5" w:rsidRPr="00D013DC" w:rsidRDefault="000852B5" w:rsidP="000852B5">
      <w:pPr>
        <w:spacing w:line="360" w:lineRule="auto"/>
        <w:ind w:left="566" w:right="-220"/>
        <w:jc w:val="both"/>
        <w:rPr>
          <w:rFonts w:ascii="Palatino Linotype" w:eastAsia="Palatino Linotype" w:hAnsi="Palatino Linotype" w:cs="Palatino Linotype"/>
        </w:rPr>
      </w:pPr>
      <w:r w:rsidRPr="00D013DC">
        <w:rPr>
          <w:rFonts w:ascii="Palatino Linotype" w:eastAsia="Palatino Linotype" w:hAnsi="Palatino Linotype" w:cs="Palatino Linotype"/>
        </w:rPr>
        <w:t>(Énfasis añadido)</w:t>
      </w:r>
    </w:p>
    <w:p w:rsidR="000852B5" w:rsidRPr="00D013DC" w:rsidRDefault="000852B5" w:rsidP="000852B5">
      <w:pPr>
        <w:ind w:right="-787"/>
        <w:jc w:val="both"/>
        <w:rPr>
          <w:rFonts w:ascii="Palatino Linotype" w:eastAsia="Palatino Linotype" w:hAnsi="Palatino Linotype" w:cs="Palatino Linotype"/>
        </w:rPr>
      </w:pPr>
    </w:p>
    <w:p w:rsidR="000852B5" w:rsidRPr="00D013DC" w:rsidRDefault="000852B5" w:rsidP="008E3343">
      <w:pPr>
        <w:numPr>
          <w:ilvl w:val="0"/>
          <w:numId w:val="1"/>
        </w:numP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265282" w:rsidRPr="00D013DC" w:rsidRDefault="00265282">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265282" w:rsidRPr="00D013DC" w:rsidRDefault="00002A9D">
      <w:pPr>
        <w:keepNext/>
        <w:keepLines/>
        <w:spacing w:after="160" w:line="360" w:lineRule="auto"/>
        <w:ind w:right="-787"/>
        <w:rPr>
          <w:rFonts w:ascii="Palatino Linotype" w:eastAsia="Palatino Linotype" w:hAnsi="Palatino Linotype" w:cs="Palatino Linotype"/>
          <w:b/>
          <w:color w:val="000000"/>
        </w:rPr>
      </w:pPr>
      <w:r w:rsidRPr="00D013DC">
        <w:rPr>
          <w:rFonts w:ascii="Palatino Linotype" w:eastAsia="Palatino Linotype" w:hAnsi="Palatino Linotype" w:cs="Palatino Linotype"/>
          <w:b/>
        </w:rPr>
        <w:lastRenderedPageBreak/>
        <w:t>QUINT</w:t>
      </w:r>
      <w:r w:rsidR="006F331B" w:rsidRPr="00D013DC">
        <w:rPr>
          <w:rFonts w:ascii="Palatino Linotype" w:eastAsia="Palatino Linotype" w:hAnsi="Palatino Linotype" w:cs="Palatino Linotype"/>
          <w:b/>
        </w:rPr>
        <w:t>O</w:t>
      </w:r>
      <w:r w:rsidR="004154F8" w:rsidRPr="00D013DC">
        <w:rPr>
          <w:rFonts w:ascii="Palatino Linotype" w:eastAsia="Palatino Linotype" w:hAnsi="Palatino Linotype" w:cs="Palatino Linotype"/>
          <w:b/>
          <w:color w:val="000000"/>
        </w:rPr>
        <w:t>. De la versión pública.</w:t>
      </w:r>
    </w:p>
    <w:p w:rsidR="00265282" w:rsidRPr="00D013DC" w:rsidRDefault="004154F8">
      <w:pPr>
        <w:keepNext/>
        <w:keepLines/>
        <w:numPr>
          <w:ilvl w:val="0"/>
          <w:numId w:val="2"/>
        </w:numPr>
        <w:tabs>
          <w:tab w:val="left" w:pos="284"/>
        </w:tabs>
        <w:spacing w:after="160" w:line="360" w:lineRule="auto"/>
        <w:ind w:left="0" w:right="-787" w:firstLine="0"/>
        <w:rPr>
          <w:rFonts w:ascii="Palatino Linotype" w:eastAsia="Palatino Linotype" w:hAnsi="Palatino Linotype" w:cs="Palatino Linotype"/>
          <w:b/>
          <w:color w:val="000000"/>
        </w:rPr>
      </w:pPr>
      <w:bookmarkStart w:id="12" w:name="_heading=h.26in1rg" w:colFirst="0" w:colLast="0"/>
      <w:bookmarkEnd w:id="12"/>
      <w:r w:rsidRPr="00D013DC">
        <w:rPr>
          <w:rFonts w:ascii="Palatino Linotype" w:eastAsia="Palatino Linotype" w:hAnsi="Palatino Linotype" w:cs="Palatino Linotype"/>
          <w:b/>
          <w:color w:val="000000"/>
        </w:rPr>
        <w:t xml:space="preserve">Nociones generales. </w:t>
      </w: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 xml:space="preserve">Debe destacarse, que debido a la información solicitada por el </w:t>
      </w:r>
      <w:r w:rsidRPr="00D013DC">
        <w:rPr>
          <w:rFonts w:ascii="Palatino Linotype" w:eastAsia="Palatino Linotype" w:hAnsi="Palatino Linotype" w:cs="Palatino Linotype"/>
          <w:b/>
          <w:color w:val="000000"/>
        </w:rPr>
        <w:t xml:space="preserve">RECURRENTE, </w:t>
      </w:r>
      <w:r w:rsidRPr="00D013DC">
        <w:rPr>
          <w:rFonts w:ascii="Palatino Linotype" w:eastAsia="Palatino Linotype" w:hAnsi="Palatino Linotype" w:cs="Palatino Linotype"/>
          <w:color w:val="000000"/>
        </w:rPr>
        <w:t xml:space="preserve">obran datos personales susceptibles de protegerse, así como información susceptible de clasificarse como confidencial,  por lo que, el </w:t>
      </w:r>
      <w:r w:rsidRPr="00D013DC">
        <w:rPr>
          <w:rFonts w:ascii="Palatino Linotype" w:eastAsia="Palatino Linotype" w:hAnsi="Palatino Linotype" w:cs="Palatino Linotype"/>
          <w:b/>
          <w:color w:val="000000"/>
        </w:rPr>
        <w:t xml:space="preserve">SUJETO OBLIGADO </w:t>
      </w:r>
      <w:r w:rsidRPr="00D013DC">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265282" w:rsidRPr="00D013DC" w:rsidRDefault="00265282">
      <w:pPr>
        <w:tabs>
          <w:tab w:val="left" w:pos="0"/>
          <w:tab w:val="left" w:pos="284"/>
        </w:tabs>
        <w:spacing w:line="360" w:lineRule="auto"/>
        <w:ind w:right="-787"/>
        <w:jc w:val="both"/>
        <w:rPr>
          <w:rFonts w:ascii="Palatino Linotype" w:eastAsia="Palatino Linotype" w:hAnsi="Palatino Linotype" w:cs="Palatino Linotype"/>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color w:val="000000"/>
        </w:rPr>
        <w:t>No pasa desapercibido para este Órgano Garante que los sujetos obligados</w:t>
      </w:r>
      <w:r w:rsidRPr="00D013DC">
        <w:rPr>
          <w:rFonts w:ascii="Palatino Linotype" w:eastAsia="Palatino Linotype" w:hAnsi="Palatino Linotype" w:cs="Palatino Linotype"/>
          <w:b/>
          <w:color w:val="000000"/>
        </w:rPr>
        <w:t xml:space="preserve"> </w:t>
      </w:r>
      <w:r w:rsidRPr="00D013DC">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65282" w:rsidRPr="00D013DC" w:rsidRDefault="00265282">
      <w:pPr>
        <w:tabs>
          <w:tab w:val="left" w:pos="284"/>
        </w:tabs>
        <w:spacing w:after="160" w:line="360" w:lineRule="auto"/>
        <w:ind w:right="-787"/>
        <w:jc w:val="both"/>
        <w:rPr>
          <w:rFonts w:ascii="Palatino Linotype" w:eastAsia="Palatino Linotype" w:hAnsi="Palatino Linotype" w:cs="Palatino Linotype"/>
          <w:color w:val="000000"/>
        </w:rPr>
      </w:pPr>
    </w:p>
    <w:tbl>
      <w:tblPr>
        <w:tblStyle w:val="ac"/>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020"/>
      </w:tblGrid>
      <w:tr w:rsidR="00265282" w:rsidRPr="00D013DC">
        <w:tc>
          <w:tcPr>
            <w:tcW w:w="2880" w:type="dxa"/>
          </w:tcPr>
          <w:p w:rsidR="00265282" w:rsidRPr="00D013DC" w:rsidRDefault="004154F8">
            <w:pPr>
              <w:tabs>
                <w:tab w:val="left" w:pos="284"/>
              </w:tabs>
              <w:spacing w:line="360" w:lineRule="auto"/>
              <w:ind w:right="88"/>
              <w:rPr>
                <w:rFonts w:ascii="Palatino Linotype" w:eastAsia="Palatino Linotype" w:hAnsi="Palatino Linotype" w:cs="Palatino Linotype"/>
              </w:rPr>
            </w:pPr>
            <w:r w:rsidRPr="00D013DC">
              <w:rPr>
                <w:rFonts w:ascii="Palatino Linotype" w:eastAsia="Palatino Linotype" w:hAnsi="Palatino Linotype" w:cs="Palatino Linotype"/>
              </w:rPr>
              <w:t>a) Requisitos previos.</w:t>
            </w:r>
          </w:p>
        </w:tc>
        <w:tc>
          <w:tcPr>
            <w:tcW w:w="7020" w:type="dxa"/>
          </w:tcPr>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265282" w:rsidRPr="00D013DC" w:rsidRDefault="004154F8">
            <w:pPr>
              <w:tabs>
                <w:tab w:val="left" w:pos="284"/>
              </w:tabs>
              <w:spacing w:line="360" w:lineRule="auto"/>
              <w:ind w:right="88"/>
              <w:jc w:val="both"/>
              <w:rPr>
                <w:rFonts w:ascii="Palatino Linotype" w:eastAsia="Palatino Linotype" w:hAnsi="Palatino Linotype" w:cs="Palatino Linotype"/>
              </w:rPr>
            </w:pPr>
            <w:r w:rsidRPr="00D013DC">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013DC">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013DC">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265282" w:rsidRPr="00D013DC">
        <w:tc>
          <w:tcPr>
            <w:tcW w:w="2880" w:type="dxa"/>
          </w:tcPr>
          <w:p w:rsidR="00265282" w:rsidRPr="00D013DC" w:rsidRDefault="004154F8">
            <w:pPr>
              <w:tabs>
                <w:tab w:val="left" w:pos="284"/>
              </w:tabs>
              <w:spacing w:line="360" w:lineRule="auto"/>
              <w:ind w:right="88"/>
              <w:rPr>
                <w:rFonts w:ascii="Palatino Linotype" w:eastAsia="Palatino Linotype" w:hAnsi="Palatino Linotype" w:cs="Palatino Linotype"/>
              </w:rPr>
            </w:pPr>
            <w:r w:rsidRPr="00D013DC">
              <w:rPr>
                <w:rFonts w:ascii="Palatino Linotype" w:eastAsia="Palatino Linotype" w:hAnsi="Palatino Linotype" w:cs="Palatino Linotype"/>
              </w:rPr>
              <w:lastRenderedPageBreak/>
              <w:t>b) Supuestos de clasificación.</w:t>
            </w:r>
          </w:p>
        </w:tc>
        <w:tc>
          <w:tcPr>
            <w:tcW w:w="7020" w:type="dxa"/>
          </w:tcPr>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w:t>
            </w:r>
            <w:r w:rsidRPr="00D013DC">
              <w:rPr>
                <w:rFonts w:ascii="Palatino Linotype" w:eastAsia="Palatino Linotype" w:hAnsi="Palatino Linotype" w:cs="Palatino Linotype"/>
                <w:color w:val="000000"/>
              </w:rPr>
              <w:lastRenderedPageBreak/>
              <w:t>acreditarse que se cumple con esta condición y no se pueden ampliar las excepciones o supuestos de clasificación aduciendo analogía o mayoría de razón.</w:t>
            </w:r>
          </w:p>
          <w:p w:rsidR="00265282" w:rsidRPr="00D013DC" w:rsidRDefault="004154F8">
            <w:pPr>
              <w:tabs>
                <w:tab w:val="left" w:pos="284"/>
              </w:tabs>
              <w:spacing w:line="360" w:lineRule="auto"/>
              <w:ind w:right="88"/>
              <w:jc w:val="both"/>
              <w:rPr>
                <w:rFonts w:ascii="Palatino Linotype" w:eastAsia="Palatino Linotype" w:hAnsi="Palatino Linotype" w:cs="Palatino Linotype"/>
              </w:rPr>
            </w:pPr>
            <w:r w:rsidRPr="00D013DC">
              <w:rPr>
                <w:rFonts w:ascii="Palatino Linotype" w:eastAsia="Palatino Linotype" w:hAnsi="Palatino Linotype" w:cs="Palatino Linotype"/>
                <w:color w:val="000000"/>
              </w:rPr>
              <w:t xml:space="preserve">El </w:t>
            </w:r>
            <w:r w:rsidRPr="00D013DC">
              <w:rPr>
                <w:rFonts w:ascii="Palatino Linotype" w:eastAsia="Palatino Linotype" w:hAnsi="Palatino Linotype" w:cs="Palatino Linotype"/>
                <w:b/>
                <w:color w:val="000000"/>
              </w:rPr>
              <w:t>Sujeto Obligado</w:t>
            </w:r>
            <w:r w:rsidRPr="00D013DC">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65282" w:rsidRPr="00D013DC">
        <w:tc>
          <w:tcPr>
            <w:tcW w:w="2880" w:type="dxa"/>
          </w:tcPr>
          <w:p w:rsidR="00265282" w:rsidRPr="00D013DC" w:rsidRDefault="004154F8">
            <w:pPr>
              <w:tabs>
                <w:tab w:val="left" w:pos="284"/>
              </w:tabs>
              <w:spacing w:line="360" w:lineRule="auto"/>
              <w:ind w:right="88"/>
              <w:rPr>
                <w:rFonts w:ascii="Palatino Linotype" w:eastAsia="Palatino Linotype" w:hAnsi="Palatino Linotype" w:cs="Palatino Linotype"/>
              </w:rPr>
            </w:pPr>
            <w:r w:rsidRPr="00D013DC">
              <w:rPr>
                <w:rFonts w:ascii="Palatino Linotype" w:eastAsia="Palatino Linotype" w:hAnsi="Palatino Linotype" w:cs="Palatino Linotype"/>
              </w:rPr>
              <w:lastRenderedPageBreak/>
              <w:t>c) Formalidades para emitir el acuerdo de clasificación.</w:t>
            </w:r>
          </w:p>
        </w:tc>
        <w:tc>
          <w:tcPr>
            <w:tcW w:w="7020" w:type="dxa"/>
          </w:tcPr>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Es necesario que </w:t>
            </w:r>
            <w:r w:rsidRPr="00D013DC">
              <w:rPr>
                <w:rFonts w:ascii="Palatino Linotype" w:eastAsia="Palatino Linotype" w:hAnsi="Palatino Linotype" w:cs="Palatino Linotype"/>
                <w:b/>
                <w:color w:val="000000"/>
                <w:u w:val="single"/>
              </w:rPr>
              <w:t>el acto reúna con los requisitos elementales</w:t>
            </w:r>
            <w:r w:rsidRPr="00D013DC">
              <w:rPr>
                <w:rFonts w:ascii="Palatino Linotype" w:eastAsia="Palatino Linotype" w:hAnsi="Palatino Linotype" w:cs="Palatino Linotype"/>
                <w:color w:val="000000"/>
              </w:rPr>
              <w:t>, entre ellos, que la autoridad que va a emitir el acto de autoridad sea la legalmente facultada para ello.</w:t>
            </w:r>
          </w:p>
          <w:p w:rsidR="00265282" w:rsidRPr="00D013DC" w:rsidRDefault="004154F8">
            <w:pPr>
              <w:tabs>
                <w:tab w:val="left" w:pos="284"/>
              </w:tabs>
              <w:spacing w:line="360" w:lineRule="auto"/>
              <w:ind w:right="88"/>
              <w:jc w:val="both"/>
              <w:rPr>
                <w:rFonts w:ascii="Palatino Linotype" w:eastAsia="Palatino Linotype" w:hAnsi="Palatino Linotype" w:cs="Palatino Linotype"/>
              </w:rPr>
            </w:pPr>
            <w:r w:rsidRPr="00D013DC">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D013DC">
              <w:rPr>
                <w:rFonts w:ascii="Palatino Linotype" w:eastAsia="Palatino Linotype" w:hAnsi="Palatino Linotype" w:cs="Palatino Linotype"/>
              </w:rPr>
              <w:t>El área</w:t>
            </w:r>
            <w:r w:rsidRPr="00D013DC">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titulares </w:t>
            </w:r>
            <w:r w:rsidRPr="00D013DC">
              <w:rPr>
                <w:rFonts w:ascii="Palatino Linotype" w:eastAsia="Palatino Linotype" w:hAnsi="Palatino Linotype" w:cs="Palatino Linotype"/>
                <w:color w:val="000000"/>
              </w:rPr>
              <w:lastRenderedPageBreak/>
              <w:t>de áreas y que son sujetas a control, en primera instancia, por el Comité de Transparencia.</w:t>
            </w:r>
          </w:p>
        </w:tc>
      </w:tr>
      <w:tr w:rsidR="00265282" w:rsidRPr="00D013DC">
        <w:tc>
          <w:tcPr>
            <w:tcW w:w="2880" w:type="dxa"/>
          </w:tcPr>
          <w:p w:rsidR="00265282" w:rsidRPr="00D013DC" w:rsidRDefault="00265282">
            <w:pPr>
              <w:tabs>
                <w:tab w:val="left" w:pos="284"/>
              </w:tabs>
              <w:spacing w:line="360" w:lineRule="auto"/>
              <w:ind w:right="88"/>
              <w:rPr>
                <w:rFonts w:ascii="Palatino Linotype" w:eastAsia="Palatino Linotype" w:hAnsi="Palatino Linotype" w:cs="Palatino Linotype"/>
              </w:rPr>
            </w:pPr>
          </w:p>
          <w:p w:rsidR="00265282" w:rsidRPr="00D013DC" w:rsidRDefault="004154F8">
            <w:pPr>
              <w:tabs>
                <w:tab w:val="left" w:pos="284"/>
              </w:tabs>
              <w:spacing w:line="360" w:lineRule="auto"/>
              <w:ind w:right="88"/>
              <w:jc w:val="both"/>
              <w:rPr>
                <w:rFonts w:ascii="Palatino Linotype" w:eastAsia="Palatino Linotype" w:hAnsi="Palatino Linotype" w:cs="Palatino Linotype"/>
              </w:rPr>
            </w:pPr>
            <w:r w:rsidRPr="00D013DC">
              <w:rPr>
                <w:rFonts w:ascii="Palatino Linotype" w:eastAsia="Palatino Linotype" w:hAnsi="Palatino Linotype" w:cs="Palatino Linotype"/>
                <w:color w:val="000000"/>
              </w:rPr>
              <w:t xml:space="preserve">d) Requisitos de fondo del acuerdo de clasificación. </w:t>
            </w:r>
          </w:p>
        </w:tc>
        <w:tc>
          <w:tcPr>
            <w:tcW w:w="7020" w:type="dxa"/>
          </w:tcPr>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013DC">
              <w:rPr>
                <w:rFonts w:ascii="Palatino Linotype" w:eastAsia="Palatino Linotype" w:hAnsi="Palatino Linotype" w:cs="Palatino Linotype"/>
                <w:b/>
                <w:color w:val="000000"/>
              </w:rPr>
              <w:t>Sujetos Obligados</w:t>
            </w:r>
            <w:r w:rsidRPr="00D013DC">
              <w:rPr>
                <w:rFonts w:ascii="Palatino Linotype" w:eastAsia="Palatino Linotype" w:hAnsi="Palatino Linotype" w:cs="Palatino Linotype"/>
                <w:color w:val="000000"/>
              </w:rPr>
              <w:t xml:space="preserve">, por lo que deberán fundar y motivar debidamente la clasificación. </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De lo anterior, se desprende que para una correcta </w:t>
            </w:r>
            <w:r w:rsidRPr="00D013DC">
              <w:rPr>
                <w:rFonts w:ascii="Palatino Linotype" w:eastAsia="Palatino Linotype" w:hAnsi="Palatino Linotype" w:cs="Palatino Linotype"/>
                <w:b/>
                <w:color w:val="000000"/>
              </w:rPr>
              <w:t>clasificación total o parcial</w:t>
            </w:r>
            <w:r w:rsidRPr="00D013DC">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w:t>
            </w:r>
            <w:r w:rsidRPr="00D013DC">
              <w:rPr>
                <w:rFonts w:ascii="Palatino Linotype" w:eastAsia="Palatino Linotype" w:hAnsi="Palatino Linotype" w:cs="Palatino Linotype"/>
                <w:color w:val="000000"/>
              </w:rPr>
              <w:lastRenderedPageBreak/>
              <w:t>De este modo, la persona que se sienta afectada pueda impugnar la decisión, permitiéndole una real y auténtica defensa.</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Ahora bien, </w:t>
            </w:r>
            <w:r w:rsidRPr="00D013DC">
              <w:rPr>
                <w:rFonts w:ascii="Palatino Linotype" w:eastAsia="Palatino Linotype" w:hAnsi="Palatino Linotype" w:cs="Palatino Linotype"/>
                <w:b/>
                <w:color w:val="000000"/>
                <w:u w:val="single"/>
              </w:rPr>
              <w:t>para cada caso además de fundar y motivar</w:t>
            </w:r>
            <w:r w:rsidRPr="00D013DC">
              <w:rPr>
                <w:rFonts w:ascii="Palatino Linotype" w:eastAsia="Palatino Linotype" w:hAnsi="Palatino Linotype" w:cs="Palatino Linotype"/>
                <w:color w:val="000000"/>
              </w:rPr>
              <w:t xml:space="preserve">, se debe identificar con claridad </w:t>
            </w:r>
            <w:r w:rsidRPr="00D013DC">
              <w:rPr>
                <w:rFonts w:ascii="Palatino Linotype" w:eastAsia="Palatino Linotype" w:hAnsi="Palatino Linotype" w:cs="Palatino Linotype"/>
              </w:rPr>
              <w:t>qué</w:t>
            </w:r>
            <w:r w:rsidRPr="00D013DC">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65282" w:rsidRPr="00D013DC">
        <w:tc>
          <w:tcPr>
            <w:tcW w:w="2880" w:type="dxa"/>
          </w:tcPr>
          <w:p w:rsidR="00265282" w:rsidRPr="00D013DC" w:rsidRDefault="004154F8">
            <w:pPr>
              <w:tabs>
                <w:tab w:val="left" w:pos="284"/>
              </w:tabs>
              <w:spacing w:line="360" w:lineRule="auto"/>
              <w:ind w:right="88"/>
              <w:jc w:val="both"/>
              <w:rPr>
                <w:rFonts w:ascii="Palatino Linotype" w:eastAsia="Palatino Linotype" w:hAnsi="Palatino Linotype" w:cs="Palatino Linotype"/>
              </w:rPr>
            </w:pPr>
            <w:r w:rsidRPr="00D013DC">
              <w:rPr>
                <w:rFonts w:ascii="Palatino Linotype" w:eastAsia="Palatino Linotype" w:hAnsi="Palatino Linotype" w:cs="Palatino Linotype"/>
              </w:rPr>
              <w:lastRenderedPageBreak/>
              <w:t xml:space="preserve">e) Condiciones especiales de la clasificación de la información como confidencial. </w:t>
            </w:r>
          </w:p>
        </w:tc>
        <w:tc>
          <w:tcPr>
            <w:tcW w:w="7020" w:type="dxa"/>
          </w:tcPr>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265282" w:rsidRPr="00D013DC" w:rsidRDefault="004154F8">
            <w:pPr>
              <w:tabs>
                <w:tab w:val="left" w:pos="284"/>
              </w:tabs>
              <w:spacing w:line="360" w:lineRule="auto"/>
              <w:ind w:right="88"/>
              <w:jc w:val="both"/>
              <w:rPr>
                <w:rFonts w:ascii="Palatino Linotype" w:eastAsia="Palatino Linotype" w:hAnsi="Palatino Linotype" w:cs="Palatino Linotype"/>
                <w:color w:val="000000"/>
              </w:rPr>
            </w:pPr>
            <w:r w:rsidRPr="00D013DC">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w:t>
            </w:r>
            <w:r w:rsidRPr="00D013DC">
              <w:rPr>
                <w:rFonts w:ascii="Palatino Linotype" w:eastAsia="Palatino Linotype" w:hAnsi="Palatino Linotype" w:cs="Palatino Linotype"/>
                <w:color w:val="000000"/>
              </w:rPr>
              <w:lastRenderedPageBreak/>
              <w:t xml:space="preserve">Justicia de la Nación, los servidores públicos nos encontramos sujetos a un régimen menor de protección. </w:t>
            </w:r>
          </w:p>
          <w:p w:rsidR="00265282" w:rsidRPr="00D013DC" w:rsidRDefault="004154F8">
            <w:pPr>
              <w:tabs>
                <w:tab w:val="left" w:pos="284"/>
              </w:tabs>
              <w:spacing w:line="360" w:lineRule="auto"/>
              <w:ind w:right="88"/>
              <w:rPr>
                <w:rFonts w:ascii="Palatino Linotype" w:eastAsia="Palatino Linotype" w:hAnsi="Palatino Linotype" w:cs="Palatino Linotype"/>
              </w:rPr>
            </w:pPr>
            <w:r w:rsidRPr="00D013DC">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65282" w:rsidRPr="00D013DC" w:rsidRDefault="00265282">
      <w:pPr>
        <w:tabs>
          <w:tab w:val="left" w:pos="284"/>
        </w:tabs>
        <w:spacing w:line="360" w:lineRule="auto"/>
        <w:ind w:right="-787"/>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rPr>
      </w:pPr>
      <w:r w:rsidRPr="00D013DC">
        <w:rPr>
          <w:rFonts w:ascii="Palatino Linotype" w:eastAsia="Palatino Linotype" w:hAnsi="Palatino Linotype" w:cs="Palatino Linotype"/>
        </w:rPr>
        <w:t xml:space="preserve">De lo anterior, se debe de mencionar que el </w:t>
      </w:r>
      <w:r w:rsidRPr="00D013DC">
        <w:rPr>
          <w:rFonts w:ascii="Palatino Linotype" w:eastAsia="Palatino Linotype" w:hAnsi="Palatino Linotype" w:cs="Palatino Linotype"/>
          <w:b/>
        </w:rPr>
        <w:t xml:space="preserve">SUJETO OBLIGADO </w:t>
      </w:r>
      <w:r w:rsidRPr="00D013DC">
        <w:rPr>
          <w:rFonts w:ascii="Palatino Linotype" w:eastAsia="Palatino Linotype" w:hAnsi="Palatino Linotype" w:cs="Palatino Linotype"/>
        </w:rPr>
        <w:t>deberá de realizar un análisis respecto al contenido de los documentos a entregar, ya que estos solo deberán de ser clasificados como confidenciales si tiene relación con datos personales.</w:t>
      </w:r>
    </w:p>
    <w:p w:rsidR="00265282" w:rsidRPr="00D013DC" w:rsidRDefault="00265282">
      <w:pPr>
        <w:tabs>
          <w:tab w:val="left" w:pos="284"/>
        </w:tabs>
        <w:ind w:right="-787"/>
        <w:jc w:val="both"/>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rPr>
        <w:t xml:space="preserve">Derivado de lo establecido en párrafos anteriores, si el </w:t>
      </w:r>
      <w:r w:rsidRPr="00D013DC">
        <w:rPr>
          <w:rFonts w:ascii="Palatino Linotype" w:eastAsia="Palatino Linotype" w:hAnsi="Palatino Linotype" w:cs="Palatino Linotype"/>
          <w:b/>
        </w:rPr>
        <w:t>SUJETO OBLIGADO</w:t>
      </w:r>
      <w:r w:rsidRPr="00D013DC">
        <w:rPr>
          <w:rFonts w:ascii="Palatino Linotype" w:eastAsia="Palatino Linotype" w:hAnsi="Palatino Linotype" w:cs="Palatino Linotype"/>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rsidR="00265282" w:rsidRPr="00D013DC" w:rsidRDefault="00265282">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265282" w:rsidRPr="00D013DC" w:rsidRDefault="004154F8">
      <w:pPr>
        <w:numPr>
          <w:ilvl w:val="0"/>
          <w:numId w:val="7"/>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u w:val="single"/>
        </w:rPr>
        <w:t xml:space="preserve">Conclusión </w:t>
      </w: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hAnsi="Palatino Linotype"/>
          <w:color w:val="000000"/>
        </w:rPr>
      </w:pPr>
      <w:r w:rsidRPr="00D013DC">
        <w:rPr>
          <w:rFonts w:ascii="Palatino Linotype" w:eastAsia="Palatino Linotype" w:hAnsi="Palatino Linotype" w:cs="Palatino Linotype"/>
        </w:rPr>
        <w:t>En consecuencia, se consideran fundadas las razones o motivos de inconformidad que plantea el</w:t>
      </w:r>
      <w:r w:rsidRPr="00D013DC">
        <w:rPr>
          <w:rFonts w:ascii="Palatino Linotype" w:eastAsia="Palatino Linotype" w:hAnsi="Palatino Linotype" w:cs="Palatino Linotype"/>
          <w:b/>
        </w:rPr>
        <w:t xml:space="preserve"> RECURRENTE</w:t>
      </w:r>
      <w:r w:rsidRPr="00D013DC">
        <w:rPr>
          <w:rFonts w:ascii="Palatino Linotype" w:eastAsia="Palatino Linotype" w:hAnsi="Palatino Linotype" w:cs="Palatino Linotype"/>
        </w:rPr>
        <w:t>.</w:t>
      </w:r>
    </w:p>
    <w:p w:rsidR="00265282" w:rsidRPr="00D013DC" w:rsidRDefault="00265282">
      <w:pPr>
        <w:ind w:right="-787"/>
        <w:jc w:val="both"/>
        <w:rPr>
          <w:rFonts w:ascii="Palatino Linotype" w:eastAsia="Palatino Linotype" w:hAnsi="Palatino Linotype" w:cs="Palatino Linotype"/>
          <w:color w:val="000000"/>
        </w:rPr>
      </w:pPr>
    </w:p>
    <w:p w:rsidR="00265282" w:rsidRPr="00D013DC" w:rsidRDefault="004154F8">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222222"/>
        </w:rPr>
      </w:pPr>
      <w:r w:rsidRPr="00D013DC">
        <w:rPr>
          <w:rFonts w:ascii="Palatino Linotype" w:eastAsia="Palatino Linotype" w:hAnsi="Palatino Linotype" w:cs="Palatino Linotype"/>
          <w:color w:val="000000"/>
        </w:rPr>
        <w:lastRenderedPageBreak/>
        <w:t xml:space="preserve">Así, con fundamento en lo prescrito en los artículos 5 párrafos trigésimo segundo, trigésimo tercero y trigésimo cuarto de la Constitución Política del Estado Libre y Soberano de México; 2, fracción II; 29, 36 fracciones I y II; 176, 178, 181, 185 y 186 de la Ley de Transparencia y Acceso a la Información Pública del Estado de México y Municipios, este </w:t>
      </w:r>
      <w:r w:rsidRPr="00D013DC">
        <w:rPr>
          <w:rFonts w:ascii="Palatino Linotype" w:eastAsia="Palatino Linotype" w:hAnsi="Palatino Linotype" w:cs="Palatino Linotype"/>
          <w:b/>
          <w:color w:val="000000"/>
        </w:rPr>
        <w:t>ÓRGANO GARANTE</w:t>
      </w:r>
      <w:r w:rsidRPr="00D013DC">
        <w:rPr>
          <w:rFonts w:ascii="Palatino Linotype" w:eastAsia="Palatino Linotype" w:hAnsi="Palatino Linotype" w:cs="Palatino Linotype"/>
          <w:color w:val="000000"/>
        </w:rPr>
        <w:t xml:space="preserve"> emite los siguientes</w:t>
      </w:r>
      <w:r w:rsidRPr="00D013DC">
        <w:rPr>
          <w:rFonts w:ascii="Palatino Linotype" w:eastAsia="Palatino Linotype" w:hAnsi="Palatino Linotype" w:cs="Palatino Linotype"/>
          <w:color w:val="222222"/>
        </w:rPr>
        <w:t xml:space="preserve">: </w:t>
      </w:r>
    </w:p>
    <w:p w:rsidR="00265282" w:rsidRPr="00D013DC" w:rsidRDefault="00265282">
      <w:pPr>
        <w:keepNext/>
        <w:keepLines/>
        <w:spacing w:line="360" w:lineRule="auto"/>
        <w:ind w:right="-787"/>
        <w:rPr>
          <w:rFonts w:ascii="Palatino Linotype" w:eastAsia="Palatino Linotype" w:hAnsi="Palatino Linotype" w:cs="Palatino Linotype"/>
          <w:b/>
          <w:color w:val="000000"/>
        </w:rPr>
      </w:pPr>
    </w:p>
    <w:p w:rsidR="00265282" w:rsidRPr="00D013DC" w:rsidRDefault="004154F8">
      <w:pPr>
        <w:keepNext/>
        <w:keepLines/>
        <w:spacing w:line="360" w:lineRule="auto"/>
        <w:ind w:right="-787"/>
        <w:jc w:val="center"/>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R E S O L U T I V O S</w:t>
      </w:r>
    </w:p>
    <w:p w:rsidR="00265282" w:rsidRPr="00D013DC" w:rsidRDefault="00265282">
      <w:pPr>
        <w:ind w:right="-787"/>
        <w:rPr>
          <w:rFonts w:ascii="Palatino Linotype" w:eastAsia="Palatino Linotype" w:hAnsi="Palatino Linotype" w:cs="Palatino Linotype"/>
          <w:b/>
        </w:rPr>
      </w:pPr>
    </w:p>
    <w:p w:rsidR="00265282" w:rsidRPr="00D013DC" w:rsidRDefault="004154F8">
      <w:pPr>
        <w:spacing w:line="360" w:lineRule="auto"/>
        <w:ind w:right="-787"/>
        <w:jc w:val="both"/>
        <w:rPr>
          <w:rFonts w:ascii="Palatino Linotype" w:eastAsia="Palatino Linotype" w:hAnsi="Palatino Linotype" w:cs="Palatino Linotype"/>
        </w:rPr>
      </w:pPr>
      <w:r w:rsidRPr="00D013DC">
        <w:rPr>
          <w:rFonts w:ascii="Palatino Linotype" w:eastAsia="Palatino Linotype" w:hAnsi="Palatino Linotype" w:cs="Palatino Linotype"/>
          <w:b/>
        </w:rPr>
        <w:t xml:space="preserve">PRIMERO. </w:t>
      </w:r>
      <w:r w:rsidRPr="00D013DC">
        <w:rPr>
          <w:rFonts w:ascii="Palatino Linotype" w:eastAsia="Palatino Linotype" w:hAnsi="Palatino Linotype" w:cs="Palatino Linotype"/>
        </w:rPr>
        <w:t>Resultan fundadas las</w:t>
      </w:r>
      <w:r w:rsidRPr="00D013DC">
        <w:rPr>
          <w:rFonts w:ascii="Palatino Linotype" w:eastAsia="Palatino Linotype" w:hAnsi="Palatino Linotype" w:cs="Palatino Linotype"/>
          <w:b/>
        </w:rPr>
        <w:t xml:space="preserve"> </w:t>
      </w:r>
      <w:r w:rsidRPr="00D013DC">
        <w:rPr>
          <w:rFonts w:ascii="Palatino Linotype" w:eastAsia="Palatino Linotype" w:hAnsi="Palatino Linotype" w:cs="Palatino Linotype"/>
        </w:rPr>
        <w:t>razones o motivos de inconformidad hechos valer en el Recurso de Revisión</w:t>
      </w:r>
      <w:r w:rsidRPr="00D013DC">
        <w:rPr>
          <w:rFonts w:ascii="Palatino Linotype" w:eastAsia="Palatino Linotype" w:hAnsi="Palatino Linotype" w:cs="Palatino Linotype"/>
          <w:b/>
        </w:rPr>
        <w:t> </w:t>
      </w:r>
      <w:r w:rsidR="00002A9D" w:rsidRPr="00D013DC">
        <w:rPr>
          <w:rFonts w:ascii="Palatino Linotype" w:eastAsia="Palatino Linotype" w:hAnsi="Palatino Linotype" w:cs="Palatino Linotype"/>
          <w:b/>
          <w:color w:val="000000"/>
        </w:rPr>
        <w:t xml:space="preserve">05888/INFOEM/IP/RR/2024 </w:t>
      </w:r>
      <w:r w:rsidRPr="00D013DC">
        <w:rPr>
          <w:rFonts w:ascii="Palatino Linotype" w:eastAsia="Palatino Linotype" w:hAnsi="Palatino Linotype" w:cs="Palatino Linotype"/>
        </w:rPr>
        <w:t xml:space="preserve">en términos </w:t>
      </w:r>
      <w:r w:rsidR="00FD2146" w:rsidRPr="00D013DC">
        <w:rPr>
          <w:rFonts w:ascii="Palatino Linotype" w:eastAsia="Palatino Linotype" w:hAnsi="Palatino Linotype" w:cs="Palatino Linotype"/>
        </w:rPr>
        <w:t>de los</w:t>
      </w:r>
      <w:r w:rsidRPr="00D013DC">
        <w:rPr>
          <w:rFonts w:ascii="Palatino Linotype" w:eastAsia="Palatino Linotype" w:hAnsi="Palatino Linotype" w:cs="Palatino Linotype"/>
        </w:rPr>
        <w:t xml:space="preserve"> </w:t>
      </w:r>
      <w:r w:rsidRPr="00D013DC">
        <w:rPr>
          <w:rFonts w:ascii="Palatino Linotype" w:eastAsia="Palatino Linotype" w:hAnsi="Palatino Linotype" w:cs="Palatino Linotype"/>
          <w:b/>
        </w:rPr>
        <w:t>Considerando</w:t>
      </w:r>
      <w:r w:rsidR="00FD2146" w:rsidRPr="00D013DC">
        <w:rPr>
          <w:rFonts w:ascii="Palatino Linotype" w:eastAsia="Palatino Linotype" w:hAnsi="Palatino Linotype" w:cs="Palatino Linotype"/>
          <w:b/>
        </w:rPr>
        <w:t>s</w:t>
      </w:r>
      <w:r w:rsidRPr="00D013DC">
        <w:rPr>
          <w:rFonts w:ascii="Palatino Linotype" w:eastAsia="Palatino Linotype" w:hAnsi="Palatino Linotype" w:cs="Palatino Linotype"/>
          <w:b/>
        </w:rPr>
        <w:t xml:space="preserve"> CUARTO Y QUINTO </w:t>
      </w:r>
      <w:r w:rsidRPr="00D013DC">
        <w:rPr>
          <w:rFonts w:ascii="Palatino Linotype" w:eastAsia="Palatino Linotype" w:hAnsi="Palatino Linotype" w:cs="Palatino Linotype"/>
        </w:rPr>
        <w:t>de la presente resolución.</w:t>
      </w:r>
    </w:p>
    <w:p w:rsidR="00265282" w:rsidRPr="00D013DC" w:rsidRDefault="00265282">
      <w:pPr>
        <w:spacing w:line="360" w:lineRule="auto"/>
        <w:ind w:right="-787"/>
        <w:jc w:val="both"/>
        <w:rPr>
          <w:rFonts w:ascii="Palatino Linotype" w:eastAsia="Palatino Linotype" w:hAnsi="Palatino Linotype" w:cs="Palatino Linotype"/>
          <w:b/>
        </w:rPr>
      </w:pPr>
    </w:p>
    <w:p w:rsidR="00265282" w:rsidRPr="00D013DC" w:rsidRDefault="004154F8">
      <w:pPr>
        <w:spacing w:line="360" w:lineRule="auto"/>
        <w:ind w:right="-787"/>
        <w:jc w:val="both"/>
        <w:rPr>
          <w:rFonts w:ascii="Palatino Linotype" w:eastAsia="Palatino Linotype" w:hAnsi="Palatino Linotype" w:cs="Palatino Linotype"/>
        </w:rPr>
      </w:pPr>
      <w:bookmarkStart w:id="13" w:name="_heading=h.17dp8vu" w:colFirst="0" w:colLast="0"/>
      <w:bookmarkEnd w:id="13"/>
      <w:r w:rsidRPr="00D013DC">
        <w:rPr>
          <w:rFonts w:ascii="Palatino Linotype" w:eastAsia="Palatino Linotype" w:hAnsi="Palatino Linotype" w:cs="Palatino Linotype"/>
          <w:b/>
        </w:rPr>
        <w:t>SEGUNDO.</w:t>
      </w:r>
      <w:r w:rsidRPr="00D013DC">
        <w:rPr>
          <w:rFonts w:ascii="Palatino Linotype" w:eastAsia="Palatino Linotype" w:hAnsi="Palatino Linotype" w:cs="Palatino Linotype"/>
          <w:color w:val="2F5496"/>
        </w:rPr>
        <w:t xml:space="preserve"> </w:t>
      </w:r>
      <w:r w:rsidRPr="00D013DC">
        <w:rPr>
          <w:rFonts w:ascii="Palatino Linotype" w:eastAsia="Palatino Linotype" w:hAnsi="Palatino Linotype" w:cs="Palatino Linotype"/>
          <w:color w:val="000000"/>
        </w:rPr>
        <w:t xml:space="preserve">Se </w:t>
      </w:r>
      <w:r w:rsidR="008829DE" w:rsidRPr="00D013DC">
        <w:rPr>
          <w:rFonts w:ascii="Palatino Linotype" w:eastAsia="Palatino Linotype" w:hAnsi="Palatino Linotype" w:cs="Palatino Linotype"/>
          <w:b/>
          <w:color w:val="000000"/>
        </w:rPr>
        <w:t>REVOCA</w:t>
      </w:r>
      <w:r w:rsidRPr="00D013DC">
        <w:rPr>
          <w:rFonts w:ascii="Palatino Linotype" w:eastAsia="Palatino Linotype" w:hAnsi="Palatino Linotype" w:cs="Palatino Linotype"/>
          <w:b/>
          <w:color w:val="000000"/>
        </w:rPr>
        <w:t xml:space="preserve"> </w:t>
      </w:r>
      <w:r w:rsidRPr="00D013DC">
        <w:rPr>
          <w:rFonts w:ascii="Palatino Linotype" w:eastAsia="Palatino Linotype" w:hAnsi="Palatino Linotype" w:cs="Palatino Linotype"/>
          <w:color w:val="000000"/>
        </w:rPr>
        <w:t xml:space="preserve">la respuesta emitida por el </w:t>
      </w:r>
      <w:r w:rsidR="00E565BA" w:rsidRPr="00D013DC">
        <w:rPr>
          <w:rFonts w:ascii="Palatino Linotype" w:eastAsia="Palatino Linotype" w:hAnsi="Palatino Linotype" w:cs="Palatino Linotype"/>
          <w:b/>
        </w:rPr>
        <w:t xml:space="preserve">Organismo Público Descentralizado para la Prestación de Los Servicios de Agua Potable Alcantarillado y Saneamiento de Zinacantepec </w:t>
      </w:r>
      <w:r w:rsidRPr="00D013DC">
        <w:rPr>
          <w:rFonts w:ascii="Palatino Linotype" w:eastAsia="Palatino Linotype" w:hAnsi="Palatino Linotype" w:cs="Palatino Linotype"/>
          <w:color w:val="000000"/>
        </w:rPr>
        <w:t xml:space="preserve">y se </w:t>
      </w:r>
      <w:r w:rsidRPr="00D013DC">
        <w:rPr>
          <w:rFonts w:ascii="Palatino Linotype" w:eastAsia="Palatino Linotype" w:hAnsi="Palatino Linotype" w:cs="Palatino Linotype"/>
          <w:b/>
          <w:color w:val="000000"/>
        </w:rPr>
        <w:t>ORDENA</w:t>
      </w:r>
      <w:r w:rsidRPr="00D013DC">
        <w:rPr>
          <w:rFonts w:ascii="Palatino Linotype" w:eastAsia="Palatino Linotype" w:hAnsi="Palatino Linotype" w:cs="Palatino Linotype"/>
          <w:color w:val="000000"/>
        </w:rPr>
        <w:t xml:space="preserve"> entregar, vía Sistema de Acceso a la Información Mexiquense </w:t>
      </w:r>
      <w:r w:rsidRPr="00D013DC">
        <w:rPr>
          <w:rFonts w:ascii="Palatino Linotype" w:eastAsia="Palatino Linotype" w:hAnsi="Palatino Linotype" w:cs="Palatino Linotype"/>
          <w:b/>
          <w:color w:val="000000"/>
        </w:rPr>
        <w:t>(SAIMEX)</w:t>
      </w:r>
      <w:r w:rsidRPr="00D013DC">
        <w:rPr>
          <w:rFonts w:ascii="Palatino Linotype" w:eastAsia="Palatino Linotype" w:hAnsi="Palatino Linotype" w:cs="Palatino Linotype"/>
        </w:rPr>
        <w:t xml:space="preserve">, la siguiente información, </w:t>
      </w:r>
      <w:r w:rsidR="008829DE" w:rsidRPr="00D013DC">
        <w:rPr>
          <w:rFonts w:ascii="Palatino Linotype" w:eastAsia="Palatino Linotype" w:hAnsi="Palatino Linotype" w:cs="Palatino Linotype"/>
        </w:rPr>
        <w:t>de ser el caso en versión pública</w:t>
      </w:r>
      <w:r w:rsidR="00EE1A01" w:rsidRPr="00D013DC">
        <w:rPr>
          <w:rFonts w:ascii="Palatino Linotype" w:eastAsia="Palatino Linotype" w:hAnsi="Palatino Linotype" w:cs="Palatino Linotype"/>
        </w:rPr>
        <w:t xml:space="preserve">, </w:t>
      </w:r>
      <w:r w:rsidR="00EE1A01" w:rsidRPr="00D013DC">
        <w:rPr>
          <w:rFonts w:ascii="Palatino Linotype" w:eastAsia="Palatino Linotype" w:hAnsi="Palatino Linotype" w:cs="Palatino Linotype"/>
          <w:b/>
        </w:rPr>
        <w:t>al diecinueve de agosto de dos mil veinticuatro</w:t>
      </w:r>
      <w:r w:rsidRPr="00D013DC">
        <w:rPr>
          <w:rFonts w:ascii="Palatino Linotype" w:eastAsia="Palatino Linotype" w:hAnsi="Palatino Linotype" w:cs="Palatino Linotype"/>
        </w:rPr>
        <w:t>:</w:t>
      </w:r>
    </w:p>
    <w:p w:rsidR="00E565BA" w:rsidRPr="00D013DC" w:rsidRDefault="00E565BA">
      <w:pPr>
        <w:spacing w:line="360" w:lineRule="auto"/>
        <w:ind w:right="-787"/>
        <w:jc w:val="both"/>
        <w:rPr>
          <w:rFonts w:ascii="Palatino Linotype" w:eastAsia="Palatino Linotype" w:hAnsi="Palatino Linotype" w:cs="Palatino Linotype"/>
        </w:rPr>
      </w:pPr>
    </w:p>
    <w:p w:rsidR="00E565BA" w:rsidRPr="00D013DC" w:rsidRDefault="00E565BA" w:rsidP="00F253A0">
      <w:pPr>
        <w:pBdr>
          <w:top w:val="nil"/>
          <w:left w:val="nil"/>
          <w:bottom w:val="nil"/>
          <w:right w:val="nil"/>
          <w:between w:val="nil"/>
        </w:pBdr>
        <w:spacing w:line="360" w:lineRule="auto"/>
        <w:ind w:left="851"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Del fraccionamiento “Idílica Reserva Serratón” construido por la empresa “CASAS PROCSA S.A. de C.V”</w:t>
      </w:r>
      <w:r w:rsidR="00F253A0" w:rsidRPr="00D013DC">
        <w:rPr>
          <w:rFonts w:ascii="Palatino Linotype" w:eastAsia="Palatino Linotype" w:hAnsi="Palatino Linotype" w:cs="Palatino Linotype"/>
          <w:b/>
          <w:color w:val="000000"/>
        </w:rPr>
        <w:t>:</w:t>
      </w:r>
    </w:p>
    <w:p w:rsidR="00F253A0" w:rsidRPr="00D013DC" w:rsidRDefault="00F253A0" w:rsidP="008829DE">
      <w:pPr>
        <w:pBdr>
          <w:top w:val="nil"/>
          <w:left w:val="nil"/>
          <w:bottom w:val="nil"/>
          <w:right w:val="nil"/>
          <w:between w:val="nil"/>
        </w:pBdr>
        <w:spacing w:line="360" w:lineRule="auto"/>
        <w:ind w:left="1134" w:right="-787"/>
        <w:jc w:val="both"/>
        <w:rPr>
          <w:rFonts w:ascii="Palatino Linotype" w:eastAsia="Palatino Linotype" w:hAnsi="Palatino Linotype" w:cs="Palatino Linotype"/>
          <w:b/>
          <w:color w:val="000000"/>
        </w:rPr>
      </w:pPr>
    </w:p>
    <w:p w:rsidR="00F253A0" w:rsidRPr="00D013DC" w:rsidRDefault="00F253A0" w:rsidP="00F253A0">
      <w:pPr>
        <w:pStyle w:val="Prrafodelista"/>
        <w:numPr>
          <w:ilvl w:val="0"/>
          <w:numId w:val="28"/>
        </w:numPr>
        <w:pBdr>
          <w:top w:val="nil"/>
          <w:left w:val="nil"/>
          <w:bottom w:val="nil"/>
          <w:right w:val="nil"/>
          <w:between w:val="nil"/>
        </w:pBdr>
        <w:spacing w:line="360" w:lineRule="auto"/>
        <w:ind w:left="1276"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 xml:space="preserve">Oficio No. OPDAPAS/DG/COO/DPC/107/2017 de fecha dieciséis de febrero de dos mil diecisiete, expedido por la Dirección General del Sujeto Obligado, </w:t>
      </w:r>
      <w:r w:rsidRPr="00D013DC">
        <w:rPr>
          <w:rFonts w:ascii="Palatino Linotype" w:eastAsia="Palatino Linotype" w:hAnsi="Palatino Linotype" w:cs="Palatino Linotype"/>
          <w:b/>
          <w:color w:val="000000"/>
        </w:rPr>
        <w:lastRenderedPageBreak/>
        <w:t>por el cual se emitió la factibilidad de dotación de los servicios de agua potable y drenaje sanitario</w:t>
      </w:r>
      <w:r w:rsidR="005F7A3D" w:rsidRPr="00D013DC">
        <w:rPr>
          <w:rFonts w:ascii="Palatino Linotype" w:eastAsia="Palatino Linotype" w:hAnsi="Palatino Linotype" w:cs="Palatino Linotype"/>
          <w:b/>
          <w:color w:val="000000"/>
        </w:rPr>
        <w:t>.</w:t>
      </w:r>
    </w:p>
    <w:p w:rsidR="00F253A0" w:rsidRPr="00D013DC" w:rsidRDefault="00F253A0" w:rsidP="00F253A0">
      <w:pPr>
        <w:pStyle w:val="Prrafodelista"/>
        <w:numPr>
          <w:ilvl w:val="0"/>
          <w:numId w:val="28"/>
        </w:numPr>
        <w:pBdr>
          <w:top w:val="nil"/>
          <w:left w:val="nil"/>
          <w:bottom w:val="nil"/>
          <w:right w:val="nil"/>
          <w:between w:val="nil"/>
        </w:pBdr>
        <w:spacing w:line="360" w:lineRule="auto"/>
        <w:ind w:left="1276"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 xml:space="preserve">Documento en el que conste o se advierta </w:t>
      </w:r>
      <w:r w:rsidR="005471A9" w:rsidRPr="00D013DC">
        <w:rPr>
          <w:rFonts w:ascii="Palatino Linotype" w:eastAsia="Palatino Linotype" w:hAnsi="Palatino Linotype" w:cs="Palatino Linotype"/>
          <w:b/>
          <w:color w:val="000000"/>
        </w:rPr>
        <w:t>la ejecución y/o entrega de</w:t>
      </w:r>
      <w:r w:rsidRPr="00D013DC">
        <w:rPr>
          <w:rFonts w:ascii="Palatino Linotype" w:eastAsia="Palatino Linotype" w:hAnsi="Palatino Linotype" w:cs="Palatino Linotype"/>
          <w:b/>
          <w:color w:val="000000"/>
        </w:rPr>
        <w:t xml:space="preserve"> las obras complementarias necesarias para el adecuado funcionamiento de los servicios públicos.</w:t>
      </w:r>
    </w:p>
    <w:p w:rsidR="005F7A3D" w:rsidRPr="00D013DC" w:rsidRDefault="005F7A3D" w:rsidP="00F253A0">
      <w:pPr>
        <w:pStyle w:val="Prrafodelista"/>
        <w:numPr>
          <w:ilvl w:val="0"/>
          <w:numId w:val="28"/>
        </w:numPr>
        <w:pBdr>
          <w:top w:val="nil"/>
          <w:left w:val="nil"/>
          <w:bottom w:val="nil"/>
          <w:right w:val="nil"/>
          <w:between w:val="nil"/>
        </w:pBdr>
        <w:spacing w:line="360" w:lineRule="auto"/>
        <w:ind w:left="1276"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 xml:space="preserve">Documento en el que conste o se advierta la o las visitas de supervisión de </w:t>
      </w:r>
      <w:r w:rsidR="004C5E2E" w:rsidRPr="00D013DC">
        <w:rPr>
          <w:rFonts w:ascii="Palatino Linotype" w:eastAsia="Palatino Linotype" w:hAnsi="Palatino Linotype" w:cs="Palatino Linotype"/>
          <w:b/>
          <w:color w:val="000000"/>
        </w:rPr>
        <w:t>realizadas a las obras complementarias necesarias para el adecuado funcionamiento de los servicios públicos.</w:t>
      </w:r>
    </w:p>
    <w:p w:rsidR="004C5E2E" w:rsidRPr="00D013DC" w:rsidRDefault="004C5E2E" w:rsidP="00F253A0">
      <w:pPr>
        <w:pStyle w:val="Prrafodelista"/>
        <w:numPr>
          <w:ilvl w:val="0"/>
          <w:numId w:val="28"/>
        </w:numPr>
        <w:pBdr>
          <w:top w:val="nil"/>
          <w:left w:val="nil"/>
          <w:bottom w:val="nil"/>
          <w:right w:val="nil"/>
          <w:between w:val="nil"/>
        </w:pBdr>
        <w:spacing w:line="360" w:lineRule="auto"/>
        <w:ind w:left="1276"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Documento en el que conste o se advierta el pago de derechos realizado por la empresa al Sujeto Obligado, por:</w:t>
      </w:r>
    </w:p>
    <w:p w:rsidR="004C5E2E" w:rsidRPr="00D013DC" w:rsidRDefault="004C5E2E" w:rsidP="004C5E2E">
      <w:pPr>
        <w:pStyle w:val="Prrafodelista"/>
        <w:numPr>
          <w:ilvl w:val="1"/>
          <w:numId w:val="28"/>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D013DC">
        <w:rPr>
          <w:rFonts w:ascii="Palatino Linotype" w:hAnsi="Palatino Linotype" w:cs="Tahoma"/>
          <w:b/>
          <w:lang w:eastAsia="es-MX"/>
        </w:rPr>
        <w:t>El control para el establecimiento del sistema de agua potable y alcantarillado de conjuntos urbanos y lotificaciones para condominio, para tipo de conjuntos “medio”.</w:t>
      </w:r>
    </w:p>
    <w:p w:rsidR="004C5E2E" w:rsidRPr="00D013DC" w:rsidRDefault="00EE1A01" w:rsidP="004C5E2E">
      <w:pPr>
        <w:pStyle w:val="Prrafodelista"/>
        <w:numPr>
          <w:ilvl w:val="1"/>
          <w:numId w:val="28"/>
        </w:num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Conexión de la toma para el suministro de agua en bloque proporcionada por autoridades municipales o sus descentralizadas.</w:t>
      </w:r>
    </w:p>
    <w:p w:rsidR="00EE1A01" w:rsidRPr="00D013DC" w:rsidRDefault="00EE1A01" w:rsidP="00EE1A01">
      <w:pPr>
        <w:pStyle w:val="Prrafodelista"/>
        <w:numPr>
          <w:ilvl w:val="0"/>
          <w:numId w:val="28"/>
        </w:numPr>
        <w:pBdr>
          <w:top w:val="nil"/>
          <w:left w:val="nil"/>
          <w:bottom w:val="nil"/>
          <w:right w:val="nil"/>
          <w:between w:val="nil"/>
        </w:pBdr>
        <w:spacing w:line="360" w:lineRule="auto"/>
        <w:ind w:left="1276" w:right="-787"/>
        <w:jc w:val="both"/>
        <w:rPr>
          <w:rFonts w:ascii="Palatino Linotype" w:eastAsia="Palatino Linotype" w:hAnsi="Palatino Linotype" w:cs="Palatino Linotype"/>
          <w:b/>
          <w:color w:val="000000"/>
        </w:rPr>
      </w:pPr>
      <w:r w:rsidRPr="00D013DC">
        <w:rPr>
          <w:rFonts w:ascii="Palatino Linotype" w:eastAsia="Palatino Linotype" w:hAnsi="Palatino Linotype" w:cs="Palatino Linotype"/>
          <w:b/>
          <w:color w:val="000000"/>
        </w:rPr>
        <w:t>Documento en el que conste o se adviertan las visitas de supervisión realizadas por la Secretaría de Desarrollo Urbano e Infraestructura, al cumplimiento de las obligaciones correspondientes.</w:t>
      </w:r>
    </w:p>
    <w:p w:rsidR="008829DE" w:rsidRPr="00D013DC" w:rsidRDefault="008829DE">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265282" w:rsidRPr="00D013DC" w:rsidRDefault="004154F8">
      <w:pPr>
        <w:tabs>
          <w:tab w:val="left" w:pos="8080"/>
        </w:tabs>
        <w:spacing w:line="360" w:lineRule="auto"/>
        <w:ind w:left="426" w:right="-787"/>
        <w:jc w:val="both"/>
        <w:rPr>
          <w:rFonts w:ascii="Palatino Linotype" w:eastAsia="Palatino Linotype" w:hAnsi="Palatino Linotype" w:cs="Palatino Linotype"/>
          <w:b/>
        </w:rPr>
      </w:pPr>
      <w:bookmarkStart w:id="14" w:name="_heading=h.4d34og8" w:colFirst="0" w:colLast="0"/>
      <w:bookmarkEnd w:id="14"/>
      <w:r w:rsidRPr="00D013DC">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w:t>
      </w:r>
      <w:r w:rsidRPr="00D013DC">
        <w:rPr>
          <w:rFonts w:ascii="Palatino Linotype" w:eastAsia="Palatino Linotype" w:hAnsi="Palatino Linotype" w:cs="Palatino Linotype"/>
        </w:rPr>
        <w:lastRenderedPageBreak/>
        <w:t xml:space="preserve">y motive las razones sobre los datos que se supriman o eliminen dentro del soporte documental respectivo objeto de las versiones públicas que se formulen y se pongan a disposición del </w:t>
      </w:r>
      <w:r w:rsidRPr="00D013DC">
        <w:rPr>
          <w:rFonts w:ascii="Palatino Linotype" w:eastAsia="Palatino Linotype" w:hAnsi="Palatino Linotype" w:cs="Palatino Linotype"/>
          <w:b/>
        </w:rPr>
        <w:t>RECURRENTE.</w:t>
      </w:r>
    </w:p>
    <w:p w:rsidR="008829DE" w:rsidRPr="00D013DC" w:rsidRDefault="008829DE">
      <w:pPr>
        <w:tabs>
          <w:tab w:val="left" w:pos="8080"/>
        </w:tabs>
        <w:spacing w:line="360" w:lineRule="auto"/>
        <w:ind w:left="426" w:right="-787"/>
        <w:jc w:val="both"/>
        <w:rPr>
          <w:rFonts w:ascii="Palatino Linotype" w:eastAsia="Palatino Linotype" w:hAnsi="Palatino Linotype" w:cs="Palatino Linotype"/>
          <w:b/>
        </w:rPr>
      </w:pPr>
    </w:p>
    <w:p w:rsidR="001F3A8D" w:rsidRPr="00D013DC" w:rsidRDefault="001F3A8D" w:rsidP="001F3A8D">
      <w:pPr>
        <w:tabs>
          <w:tab w:val="left" w:pos="8080"/>
        </w:tabs>
        <w:spacing w:line="360" w:lineRule="auto"/>
        <w:ind w:left="426" w:right="-929"/>
        <w:jc w:val="both"/>
        <w:rPr>
          <w:rFonts w:ascii="Palatino Linotype" w:eastAsia="Palatino Linotype" w:hAnsi="Palatino Linotype" w:cs="Palatino Linotype"/>
        </w:rPr>
      </w:pPr>
      <w:r w:rsidRPr="00D013DC">
        <w:rPr>
          <w:rFonts w:ascii="Palatino Linotype" w:eastAsia="Palatino Linotype" w:hAnsi="Palatino Linotype" w:cs="Palatino Linotype"/>
        </w:rPr>
        <w:t>Para el caso que el Sujeto Obligado no cuente la información que se ordena su entrega en los numerales 2 y 4 del presente Resolutivo, porque la obra se encuentra en proceso y no se ha generado, bastará con que lo haga del conocimiento de la parte Recurrente al momento de dar cumplimiento a la presente resolución, en términos del artículo 19 párrafo segundo de la Ley de Transparencia y Acceso a la Información Pública del Estado de México y Municipios.</w:t>
      </w:r>
    </w:p>
    <w:p w:rsidR="001F3A8D" w:rsidRPr="00D013DC" w:rsidRDefault="001F3A8D" w:rsidP="001F3A8D">
      <w:pPr>
        <w:tabs>
          <w:tab w:val="left" w:pos="8080"/>
        </w:tabs>
        <w:spacing w:line="360" w:lineRule="auto"/>
        <w:ind w:left="426" w:right="-929"/>
        <w:jc w:val="both"/>
        <w:rPr>
          <w:rFonts w:ascii="Palatino Linotype" w:eastAsia="Palatino Linotype" w:hAnsi="Palatino Linotype" w:cs="Palatino Linotype"/>
        </w:rPr>
      </w:pPr>
    </w:p>
    <w:p w:rsidR="001F3A8D" w:rsidRPr="00D013DC" w:rsidRDefault="001F3A8D" w:rsidP="001F3A8D">
      <w:pPr>
        <w:tabs>
          <w:tab w:val="left" w:pos="8080"/>
        </w:tabs>
        <w:spacing w:line="360" w:lineRule="auto"/>
        <w:ind w:left="426" w:right="-929"/>
        <w:jc w:val="both"/>
        <w:rPr>
          <w:rFonts w:ascii="Palatino Linotype" w:eastAsia="Palatino Linotype" w:hAnsi="Palatino Linotype" w:cs="Palatino Linotype"/>
        </w:rPr>
      </w:pPr>
      <w:r w:rsidRPr="00D013DC">
        <w:rPr>
          <w:rFonts w:ascii="Palatino Linotype" w:eastAsia="Palatino Linotype" w:hAnsi="Palatino Linotype" w:cs="Palatino Linotype"/>
        </w:rPr>
        <w:t xml:space="preserve">Para el caso que el Sujeto Obligado no cuente la información que se ordena su entrega en los numerales 3 y 5 del presente Resolutivo, </w:t>
      </w:r>
      <w:r w:rsidR="00D9566B" w:rsidRPr="00D013DC">
        <w:rPr>
          <w:rFonts w:ascii="Palatino Linotype" w:eastAsia="Palatino Linotype" w:hAnsi="Palatino Linotype" w:cs="Palatino Linotype"/>
        </w:rPr>
        <w:t>por</w:t>
      </w:r>
      <w:r w:rsidRPr="00D013DC">
        <w:rPr>
          <w:rFonts w:ascii="Palatino Linotype" w:eastAsia="Palatino Linotype" w:hAnsi="Palatino Linotype" w:cs="Palatino Linotype"/>
        </w:rPr>
        <w:t xml:space="preserve"> no haberse realizado visitas de supervisión, bastará con que lo haga del conocimiento de la parte Recurrente al momento de dar cumplimiento a la presente resolución, en términos del artículo 19 párrafo segundo de la Ley de Transparencia y Acceso a la Información Pública del Estado de México y Municipios.</w:t>
      </w:r>
    </w:p>
    <w:p w:rsidR="00265282" w:rsidRPr="00D013DC" w:rsidRDefault="00265282" w:rsidP="00357C9A">
      <w:pPr>
        <w:tabs>
          <w:tab w:val="left" w:pos="8080"/>
        </w:tabs>
        <w:spacing w:line="360" w:lineRule="auto"/>
        <w:ind w:right="-787"/>
        <w:jc w:val="both"/>
        <w:rPr>
          <w:rFonts w:ascii="Palatino Linotype" w:eastAsia="Palatino Linotype" w:hAnsi="Palatino Linotype" w:cs="Palatino Linotype"/>
          <w:b/>
        </w:rPr>
      </w:pPr>
    </w:p>
    <w:p w:rsidR="00265282" w:rsidRPr="00D013DC" w:rsidRDefault="004154F8">
      <w:pPr>
        <w:tabs>
          <w:tab w:val="left" w:pos="8080"/>
        </w:tabs>
        <w:spacing w:line="360" w:lineRule="auto"/>
        <w:ind w:right="-787"/>
        <w:jc w:val="both"/>
        <w:rPr>
          <w:rFonts w:ascii="Palatino Linotype" w:eastAsia="Palatino Linotype" w:hAnsi="Palatino Linotype" w:cs="Palatino Linotype"/>
        </w:rPr>
      </w:pPr>
      <w:r w:rsidRPr="00D013DC">
        <w:rPr>
          <w:rFonts w:ascii="Palatino Linotype" w:eastAsia="Palatino Linotype" w:hAnsi="Palatino Linotype" w:cs="Palatino Linotype"/>
          <w:b/>
        </w:rPr>
        <w:t xml:space="preserve">TERCERO. </w:t>
      </w:r>
      <w:r w:rsidRPr="00D013DC">
        <w:rPr>
          <w:rFonts w:ascii="Palatino Linotype" w:eastAsia="Palatino Linotype" w:hAnsi="Palatino Linotype" w:cs="Palatino Linotype"/>
          <w:b/>
          <w:color w:val="000000"/>
        </w:rPr>
        <w:t>Notifíquese</w:t>
      </w:r>
      <w:r w:rsidRPr="00D013DC">
        <w:rPr>
          <w:rFonts w:ascii="Palatino Linotype" w:eastAsia="Palatino Linotype" w:hAnsi="Palatino Linotype" w:cs="Palatino Linotype"/>
          <w:color w:val="000000"/>
        </w:rPr>
        <w:t xml:space="preserve"> al </w:t>
      </w:r>
      <w:r w:rsidRPr="00D013DC">
        <w:rPr>
          <w:rFonts w:ascii="Palatino Linotype" w:eastAsia="Palatino Linotype" w:hAnsi="Palatino Linotype" w:cs="Palatino Linotype"/>
          <w:color w:val="222222"/>
        </w:rPr>
        <w:t xml:space="preserve">Titular de la Unidad de Transparencia del </w:t>
      </w:r>
      <w:r w:rsidRPr="00D013DC">
        <w:rPr>
          <w:rFonts w:ascii="Palatino Linotype" w:eastAsia="Palatino Linotype" w:hAnsi="Palatino Linotype" w:cs="Palatino Linotype"/>
          <w:b/>
          <w:color w:val="222222"/>
        </w:rPr>
        <w:t>SUJETO OBLIGADO</w:t>
      </w:r>
      <w:r w:rsidRPr="00D013DC">
        <w:rPr>
          <w:rFonts w:ascii="Palatino Linotype" w:eastAsia="Palatino Linotype" w:hAnsi="Palatino Linotype" w:cs="Palatino Linotype"/>
          <w:color w:val="222222"/>
        </w:rPr>
        <w:t xml:space="preserve">, vía SAIMEX, la presente resolución, para que conforme al artículo 186 último párrafo, 189 segundo párrafo y 194 de la Ley de Transparencia y Acceso a la Información Pública del Estado de México y Municipios </w:t>
      </w:r>
      <w:r w:rsidRPr="00D013DC">
        <w:rPr>
          <w:rFonts w:ascii="Palatino Linotype" w:eastAsia="Palatino Linotype" w:hAnsi="Palatino Linotype" w:cs="Palatino Linotype"/>
          <w:b/>
          <w:color w:val="222222"/>
        </w:rPr>
        <w:t>de cumplimiento a lo ordenado dentro del plazo de diez días hábiles,</w:t>
      </w:r>
      <w:r w:rsidRPr="00D013DC">
        <w:rPr>
          <w:rFonts w:ascii="Palatino Linotype" w:eastAsia="Palatino Linotype" w:hAnsi="Palatino Linotype" w:cs="Palatino Linotype"/>
          <w:color w:val="222222"/>
        </w:rPr>
        <w:t xml:space="preserve"> e informe a este Instituto en un plazo de tres días hábiles </w:t>
      </w:r>
      <w:r w:rsidRPr="00D013DC">
        <w:rPr>
          <w:rFonts w:ascii="Palatino Linotype" w:eastAsia="Palatino Linotype" w:hAnsi="Palatino Linotype" w:cs="Palatino Linotype"/>
          <w:color w:val="222222"/>
        </w:rPr>
        <w:lastRenderedPageBreak/>
        <w:t>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D013DC">
        <w:rPr>
          <w:rFonts w:ascii="Palatino Linotype" w:eastAsia="Palatino Linotype" w:hAnsi="Palatino Linotype" w:cs="Palatino Linotype"/>
        </w:rPr>
        <w:t>.</w:t>
      </w:r>
    </w:p>
    <w:p w:rsidR="00265282" w:rsidRPr="00D013DC" w:rsidRDefault="00265282">
      <w:pPr>
        <w:tabs>
          <w:tab w:val="left" w:pos="8080"/>
        </w:tabs>
        <w:spacing w:line="360" w:lineRule="auto"/>
        <w:ind w:right="-787"/>
        <w:jc w:val="both"/>
        <w:rPr>
          <w:rFonts w:ascii="Palatino Linotype" w:eastAsia="Palatino Linotype" w:hAnsi="Palatino Linotype" w:cs="Palatino Linotype"/>
        </w:rPr>
      </w:pPr>
    </w:p>
    <w:p w:rsidR="00265282" w:rsidRPr="00D013DC" w:rsidRDefault="004154F8">
      <w:pPr>
        <w:spacing w:line="360" w:lineRule="auto"/>
        <w:ind w:right="-787"/>
        <w:jc w:val="both"/>
        <w:rPr>
          <w:rFonts w:ascii="Palatino Linotype" w:eastAsia="Palatino Linotype" w:hAnsi="Palatino Linotype" w:cs="Palatino Linotype"/>
        </w:rPr>
      </w:pPr>
      <w:r w:rsidRPr="00D013DC">
        <w:rPr>
          <w:rFonts w:ascii="Palatino Linotype" w:eastAsia="Palatino Linotype" w:hAnsi="Palatino Linotype" w:cs="Palatino Linotype"/>
          <w:b/>
        </w:rPr>
        <w:t xml:space="preserve">CUARTO. </w:t>
      </w:r>
      <w:r w:rsidRPr="00D013D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013DC">
        <w:rPr>
          <w:rFonts w:ascii="Palatino Linotype" w:eastAsia="Palatino Linotype" w:hAnsi="Palatino Linotype" w:cs="Palatino Linotype"/>
          <w:b/>
        </w:rPr>
        <w:t>SUJETO OBLIGADO</w:t>
      </w:r>
      <w:r w:rsidRPr="00D013DC">
        <w:rPr>
          <w:rFonts w:ascii="Palatino Linotype" w:eastAsia="Palatino Linotype" w:hAnsi="Palatino Linotype" w:cs="Palatino Linotype"/>
        </w:rPr>
        <w:t xml:space="preserve"> de manera fundada y motivada, podrá solicitar una ampliación de plazo para el cumplimiento de la presente resolución.</w:t>
      </w:r>
    </w:p>
    <w:p w:rsidR="00265282" w:rsidRPr="00D013DC" w:rsidRDefault="00265282">
      <w:pPr>
        <w:shd w:val="clear" w:color="auto" w:fill="FFFFFF"/>
        <w:spacing w:line="360" w:lineRule="auto"/>
        <w:ind w:right="-787"/>
        <w:jc w:val="both"/>
        <w:rPr>
          <w:rFonts w:ascii="Palatino Linotype" w:eastAsia="Palatino Linotype" w:hAnsi="Palatino Linotype" w:cs="Palatino Linotype"/>
          <w:b/>
        </w:rPr>
      </w:pPr>
    </w:p>
    <w:p w:rsidR="00265282" w:rsidRPr="00D013DC" w:rsidRDefault="004154F8">
      <w:pPr>
        <w:shd w:val="clear" w:color="auto" w:fill="FFFFFF"/>
        <w:spacing w:line="360" w:lineRule="auto"/>
        <w:ind w:right="-787"/>
        <w:jc w:val="both"/>
        <w:rPr>
          <w:rFonts w:ascii="Palatino Linotype" w:eastAsia="Palatino Linotype" w:hAnsi="Palatino Linotype" w:cs="Palatino Linotype"/>
        </w:rPr>
      </w:pPr>
      <w:r w:rsidRPr="00D013DC">
        <w:rPr>
          <w:rFonts w:ascii="Palatino Linotype" w:eastAsia="Palatino Linotype" w:hAnsi="Palatino Linotype" w:cs="Palatino Linotype"/>
          <w:b/>
        </w:rPr>
        <w:t xml:space="preserve">QUINTO. </w:t>
      </w:r>
      <w:r w:rsidRPr="00D013DC">
        <w:rPr>
          <w:rFonts w:ascii="Palatino Linotype" w:eastAsia="Palatino Linotype" w:hAnsi="Palatino Linotype" w:cs="Palatino Linotype"/>
        </w:rPr>
        <w:t xml:space="preserve">Notifíquese al </w:t>
      </w:r>
      <w:r w:rsidRPr="00D013DC">
        <w:rPr>
          <w:rFonts w:ascii="Palatino Linotype" w:eastAsia="Palatino Linotype" w:hAnsi="Palatino Linotype" w:cs="Palatino Linotype"/>
          <w:b/>
        </w:rPr>
        <w:t xml:space="preserve">RECURRENTE </w:t>
      </w:r>
      <w:r w:rsidRPr="00D013DC">
        <w:rPr>
          <w:rFonts w:ascii="Palatino Linotype" w:eastAsia="Palatino Linotype" w:hAnsi="Palatino Linotype" w:cs="Palatino Linotype"/>
        </w:rPr>
        <w:t>la presente resolución vía Sistema de Acceso a Información Mexiquense (SAIMEX)</w:t>
      </w:r>
      <w:r w:rsidRPr="00D013DC">
        <w:rPr>
          <w:rFonts w:ascii="Palatino Linotype" w:eastAsia="Palatino Linotype" w:hAnsi="Palatino Linotype" w:cs="Palatino Linotype"/>
          <w:b/>
        </w:rPr>
        <w:t xml:space="preserve"> </w:t>
      </w:r>
      <w:r w:rsidRPr="00D013DC">
        <w:rPr>
          <w:rFonts w:ascii="Palatino Linotype" w:eastAsia="Palatino Linotype" w:hAnsi="Palatino Linotype" w:cs="Palatino Linotype"/>
        </w:rPr>
        <w:t>y se hace de su conocimiento</w:t>
      </w:r>
      <w:r w:rsidRPr="00D013DC">
        <w:rPr>
          <w:rFonts w:ascii="Palatino Linotype" w:eastAsia="Palatino Linotype" w:hAnsi="Palatino Linotype" w:cs="Palatino Linotype"/>
          <w:b/>
        </w:rPr>
        <w:t xml:space="preserve"> </w:t>
      </w:r>
      <w:r w:rsidRPr="00D013DC">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6F331B" w:rsidRPr="00D013DC" w:rsidRDefault="006F331B">
      <w:pPr>
        <w:spacing w:before="240" w:after="240" w:line="360" w:lineRule="auto"/>
        <w:ind w:right="-800"/>
        <w:jc w:val="both"/>
        <w:rPr>
          <w:rFonts w:ascii="Palatino Linotype" w:eastAsia="Palatino Linotype" w:hAnsi="Palatino Linotype" w:cs="Palatino Linotype"/>
        </w:rPr>
      </w:pPr>
    </w:p>
    <w:p w:rsidR="00265282" w:rsidRPr="006F331B" w:rsidRDefault="006F331B">
      <w:pPr>
        <w:spacing w:before="240" w:after="240" w:line="360" w:lineRule="auto"/>
        <w:ind w:right="-800"/>
        <w:jc w:val="both"/>
        <w:rPr>
          <w:rFonts w:ascii="Palatino Linotype" w:eastAsia="Palatino Linotype" w:hAnsi="Palatino Linotype" w:cs="Palatino Linotype"/>
        </w:rPr>
      </w:pPr>
      <w:r w:rsidRPr="00D013D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D013DC">
        <w:rPr>
          <w:rFonts w:ascii="Palatino Linotype" w:eastAsia="Palatino Linotype" w:hAnsi="Palatino Linotype" w:cs="Palatino Linotype"/>
        </w:rPr>
        <w:lastRenderedPageBreak/>
        <w:t>AYALA, SHARON CRISTINA MORALES MARTÍNEZ, LUIS GUSTAVO PARRA NORIEGA Y GUADALUPE RAMÍREZ PEÑA; EN LA DÉCIMA SESIÓN ORDINARIA, CELEBRADA EL VEINTE (20) DE MARZO DE DOS MIL VEINTICINCO, ANTE EL SECRETARIO TÉCNICO DEL PLENO ALEXIS TAPIA RAMÍREZ.</w:t>
      </w:r>
      <w:r w:rsidR="003331E2" w:rsidRPr="006F331B">
        <w:rPr>
          <w:rFonts w:ascii="Palatino Linotype" w:eastAsia="Palatino Linotype" w:hAnsi="Palatino Linotype" w:cs="Palatino Linotype"/>
        </w:rPr>
        <w:tab/>
      </w: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265282">
      <w:pPr>
        <w:spacing w:before="240" w:after="240" w:line="360" w:lineRule="auto"/>
        <w:ind w:right="-787"/>
        <w:jc w:val="both"/>
        <w:rPr>
          <w:rFonts w:ascii="Palatino Linotype" w:eastAsia="Palatino Linotype" w:hAnsi="Palatino Linotype" w:cs="Palatino Linotype"/>
        </w:rPr>
      </w:pPr>
    </w:p>
    <w:p w:rsidR="00265282" w:rsidRPr="006F331B" w:rsidRDefault="004154F8">
      <w:pPr>
        <w:tabs>
          <w:tab w:val="left" w:pos="3374"/>
        </w:tabs>
        <w:spacing w:line="360" w:lineRule="auto"/>
        <w:ind w:right="-787"/>
        <w:rPr>
          <w:rFonts w:ascii="Palatino Linotype" w:eastAsia="Palatino Linotype" w:hAnsi="Palatino Linotype" w:cs="Palatino Linotype"/>
        </w:rPr>
      </w:pPr>
      <w:r w:rsidRPr="006F331B">
        <w:rPr>
          <w:rFonts w:ascii="Palatino Linotype" w:eastAsia="Palatino Linotype" w:hAnsi="Palatino Linotype" w:cs="Palatino Linotype"/>
        </w:rPr>
        <w:lastRenderedPageBreak/>
        <w:tab/>
      </w:r>
    </w:p>
    <w:sectPr w:rsidR="00265282" w:rsidRPr="006F331B">
      <w:headerReference w:type="even" r:id="rId21"/>
      <w:headerReference w:type="default" r:id="rId22"/>
      <w:footerReference w:type="default" r:id="rId23"/>
      <w:headerReference w:type="first" r:id="rId24"/>
      <w:footerReference w:type="first" r:id="rId25"/>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59C" w:rsidRDefault="0035659C">
      <w:r>
        <w:separator/>
      </w:r>
    </w:p>
  </w:endnote>
  <w:endnote w:type="continuationSeparator" w:id="0">
    <w:p w:rsidR="0035659C" w:rsidRDefault="0035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97" w:rsidRDefault="0011419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76046">
      <w:rPr>
        <w:rFonts w:ascii="Palatino Linotype" w:eastAsia="Palatino Linotype" w:hAnsi="Palatino Linotype" w:cs="Palatino Linotype"/>
        <w:noProof/>
        <w:color w:val="000000"/>
        <w:sz w:val="20"/>
        <w:szCs w:val="20"/>
      </w:rPr>
      <w:t>15</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76046">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rsidR="00114197" w:rsidRDefault="0011419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97" w:rsidRDefault="0011419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76046">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76046">
      <w:rPr>
        <w:rFonts w:ascii="Palatino Linotype" w:eastAsia="Palatino Linotype" w:hAnsi="Palatino Linotype" w:cs="Palatino Linotype"/>
        <w:noProof/>
        <w:color w:val="000000"/>
        <w:sz w:val="20"/>
        <w:szCs w:val="20"/>
      </w:rPr>
      <w:t>55</w:t>
    </w:r>
    <w:r>
      <w:rPr>
        <w:rFonts w:ascii="Palatino Linotype" w:eastAsia="Palatino Linotype" w:hAnsi="Palatino Linotype" w:cs="Palatino Linotype"/>
        <w:color w:val="000000"/>
        <w:sz w:val="20"/>
        <w:szCs w:val="20"/>
      </w:rPr>
      <w:fldChar w:fldCharType="end"/>
    </w:r>
  </w:p>
  <w:p w:rsidR="00114197" w:rsidRDefault="0011419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59C" w:rsidRDefault="0035659C">
      <w:r>
        <w:separator/>
      </w:r>
    </w:p>
  </w:footnote>
  <w:footnote w:type="continuationSeparator" w:id="0">
    <w:p w:rsidR="0035659C" w:rsidRDefault="00356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97" w:rsidRDefault="0035659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97" w:rsidRDefault="00114197">
    <w:pPr>
      <w:widowControl w:val="0"/>
      <w:pBdr>
        <w:top w:val="nil"/>
        <w:left w:val="nil"/>
        <w:bottom w:val="nil"/>
        <w:right w:val="nil"/>
        <w:between w:val="nil"/>
      </w:pBdr>
      <w:spacing w:line="276" w:lineRule="auto"/>
      <w:rPr>
        <w:color w:val="000000"/>
      </w:rPr>
    </w:pPr>
  </w:p>
  <w:tbl>
    <w:tblPr>
      <w:tblStyle w:val="ae"/>
      <w:tblW w:w="7513" w:type="dxa"/>
      <w:tblInd w:w="2268" w:type="dxa"/>
      <w:tblLayout w:type="fixed"/>
      <w:tblLook w:val="0400" w:firstRow="0" w:lastRow="0" w:firstColumn="0" w:lastColumn="0" w:noHBand="0" w:noVBand="1"/>
    </w:tblPr>
    <w:tblGrid>
      <w:gridCol w:w="3402"/>
      <w:gridCol w:w="4111"/>
    </w:tblGrid>
    <w:tr w:rsidR="00114197" w:rsidTr="006F331B">
      <w:trPr>
        <w:trHeight w:val="281"/>
      </w:trPr>
      <w:tc>
        <w:tcPr>
          <w:tcW w:w="3402" w:type="dxa"/>
          <w:vAlign w:val="center"/>
        </w:tcPr>
        <w:p w:rsidR="00114197" w:rsidRDefault="00114197" w:rsidP="001F5A60">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rsidR="00114197" w:rsidRDefault="00114197" w:rsidP="001F5A60">
          <w:pPr>
            <w:pBdr>
              <w:top w:val="nil"/>
              <w:left w:val="nil"/>
              <w:bottom w:val="nil"/>
              <w:right w:val="nil"/>
              <w:between w:val="nil"/>
            </w:pBdr>
            <w:tabs>
              <w:tab w:val="left" w:pos="521"/>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sz w:val="22"/>
              <w:szCs w:val="22"/>
            </w:rPr>
            <w:t>05888</w:t>
          </w:r>
          <w:r w:rsidRPr="000F2DC6">
            <w:rPr>
              <w:rFonts w:ascii="Palatino Linotype" w:eastAsia="Palatino Linotype" w:hAnsi="Palatino Linotype" w:cs="Palatino Linotype"/>
              <w:sz w:val="22"/>
              <w:szCs w:val="22"/>
            </w:rPr>
            <w:t>/INFOEM/IP/RR/2024</w:t>
          </w:r>
        </w:p>
      </w:tc>
    </w:tr>
    <w:tr w:rsidR="00114197" w:rsidTr="006F331B">
      <w:trPr>
        <w:trHeight w:val="342"/>
      </w:trPr>
      <w:tc>
        <w:tcPr>
          <w:tcW w:w="3402" w:type="dxa"/>
        </w:tcPr>
        <w:p w:rsidR="00114197" w:rsidRDefault="00114197" w:rsidP="001F5A60">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rsidR="00114197" w:rsidRDefault="00114197" w:rsidP="001F5A60">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sidRPr="001F5A60">
            <w:rPr>
              <w:rFonts w:ascii="Palatino Linotype" w:eastAsia="Palatino Linotype" w:hAnsi="Palatino Linotype" w:cs="Palatino Linotype"/>
              <w:color w:val="000000"/>
              <w:sz w:val="22"/>
              <w:szCs w:val="22"/>
            </w:rPr>
            <w:t>Organismo Público Descent</w:t>
          </w:r>
          <w:r w:rsidR="006F331B">
            <w:rPr>
              <w:rFonts w:ascii="Palatino Linotype" w:eastAsia="Palatino Linotype" w:hAnsi="Palatino Linotype" w:cs="Palatino Linotype"/>
              <w:color w:val="000000"/>
              <w:sz w:val="22"/>
              <w:szCs w:val="22"/>
            </w:rPr>
            <w:t>ralizado para la Prestación de l</w:t>
          </w:r>
          <w:r w:rsidRPr="001F5A60">
            <w:rPr>
              <w:rFonts w:ascii="Palatino Linotype" w:eastAsia="Palatino Linotype" w:hAnsi="Palatino Linotype" w:cs="Palatino Linotype"/>
              <w:color w:val="000000"/>
              <w:sz w:val="22"/>
              <w:szCs w:val="22"/>
            </w:rPr>
            <w:t>os Servicios de Agua Potable Alcantarillado y Saneamiento de Zinacantepec</w:t>
          </w:r>
        </w:p>
      </w:tc>
    </w:tr>
    <w:tr w:rsidR="00114197" w:rsidTr="006F331B">
      <w:trPr>
        <w:trHeight w:val="342"/>
      </w:trPr>
      <w:tc>
        <w:tcPr>
          <w:tcW w:w="3402" w:type="dxa"/>
          <w:vAlign w:val="center"/>
        </w:tcPr>
        <w:p w:rsidR="00114197" w:rsidRDefault="00114197" w:rsidP="001F5A60">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rsidR="00114197" w:rsidRDefault="00114197" w:rsidP="001F5A60">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114197" w:rsidRDefault="0035659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97" w:rsidRDefault="00114197">
    <w:pPr>
      <w:widowControl w:val="0"/>
      <w:pBdr>
        <w:top w:val="nil"/>
        <w:left w:val="nil"/>
        <w:bottom w:val="nil"/>
        <w:right w:val="nil"/>
        <w:between w:val="nil"/>
      </w:pBdr>
      <w:spacing w:line="276" w:lineRule="auto"/>
      <w:rPr>
        <w:color w:val="000000"/>
        <w:sz w:val="14"/>
        <w:szCs w:val="14"/>
      </w:rPr>
    </w:pPr>
  </w:p>
  <w:tbl>
    <w:tblPr>
      <w:tblStyle w:val="ae"/>
      <w:tblW w:w="7371" w:type="dxa"/>
      <w:tblInd w:w="2552" w:type="dxa"/>
      <w:tblLayout w:type="fixed"/>
      <w:tblLook w:val="0400" w:firstRow="0" w:lastRow="0" w:firstColumn="0" w:lastColumn="0" w:noHBand="0" w:noVBand="1"/>
    </w:tblPr>
    <w:tblGrid>
      <w:gridCol w:w="3260"/>
      <w:gridCol w:w="4111"/>
    </w:tblGrid>
    <w:tr w:rsidR="00114197" w:rsidTr="006F331B">
      <w:trPr>
        <w:trHeight w:val="281"/>
      </w:trPr>
      <w:tc>
        <w:tcPr>
          <w:tcW w:w="3260" w:type="dxa"/>
          <w:vAlign w:val="center"/>
        </w:tcPr>
        <w:p w:rsidR="00114197" w:rsidRDefault="00114197">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rsidR="00114197" w:rsidRDefault="00114197" w:rsidP="000F2DC6">
          <w:pPr>
            <w:pBdr>
              <w:top w:val="nil"/>
              <w:left w:val="nil"/>
              <w:bottom w:val="nil"/>
              <w:right w:val="nil"/>
              <w:between w:val="nil"/>
            </w:pBdr>
            <w:tabs>
              <w:tab w:val="left" w:pos="521"/>
              <w:tab w:val="right" w:pos="8838"/>
            </w:tabs>
            <w:ind w:right="-190"/>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sz w:val="22"/>
              <w:szCs w:val="22"/>
            </w:rPr>
            <w:t>05888</w:t>
          </w:r>
          <w:r w:rsidRPr="000F2DC6">
            <w:rPr>
              <w:rFonts w:ascii="Palatino Linotype" w:eastAsia="Palatino Linotype" w:hAnsi="Palatino Linotype" w:cs="Palatino Linotype"/>
              <w:sz w:val="22"/>
              <w:szCs w:val="22"/>
            </w:rPr>
            <w:t>/INFOEM/IP/RR/2024</w:t>
          </w:r>
        </w:p>
      </w:tc>
    </w:tr>
    <w:tr w:rsidR="00114197" w:rsidTr="006F331B">
      <w:trPr>
        <w:trHeight w:val="242"/>
      </w:trPr>
      <w:tc>
        <w:tcPr>
          <w:tcW w:w="3260" w:type="dxa"/>
          <w:vAlign w:val="center"/>
        </w:tcPr>
        <w:p w:rsidR="00114197" w:rsidRDefault="00114197">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tcPr>
        <w:p w:rsidR="00114197" w:rsidRDefault="00276046">
          <w:pPr>
            <w:pBdr>
              <w:top w:val="nil"/>
              <w:left w:val="nil"/>
              <w:bottom w:val="nil"/>
              <w:right w:val="nil"/>
              <w:between w:val="nil"/>
            </w:pBdr>
            <w:tabs>
              <w:tab w:val="right" w:pos="8838"/>
              <w:tab w:val="left" w:pos="521"/>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XXXX</w:t>
          </w:r>
        </w:p>
      </w:tc>
    </w:tr>
    <w:tr w:rsidR="00114197" w:rsidTr="006F331B">
      <w:trPr>
        <w:trHeight w:val="342"/>
      </w:trPr>
      <w:tc>
        <w:tcPr>
          <w:tcW w:w="3260" w:type="dxa"/>
        </w:tcPr>
        <w:p w:rsidR="00114197" w:rsidRDefault="00114197">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rsidR="00114197" w:rsidRDefault="00114197">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highlight w:val="green"/>
            </w:rPr>
          </w:pPr>
          <w:r w:rsidRPr="001F5A60">
            <w:rPr>
              <w:rFonts w:ascii="Palatino Linotype" w:eastAsia="Palatino Linotype" w:hAnsi="Palatino Linotype" w:cs="Palatino Linotype"/>
              <w:color w:val="000000"/>
              <w:sz w:val="22"/>
              <w:szCs w:val="22"/>
            </w:rPr>
            <w:t>Organismo Público Descent</w:t>
          </w:r>
          <w:r w:rsidR="006F331B">
            <w:rPr>
              <w:rFonts w:ascii="Palatino Linotype" w:eastAsia="Palatino Linotype" w:hAnsi="Palatino Linotype" w:cs="Palatino Linotype"/>
              <w:color w:val="000000"/>
              <w:sz w:val="22"/>
              <w:szCs w:val="22"/>
            </w:rPr>
            <w:t>ralizado para la Prestación de l</w:t>
          </w:r>
          <w:r w:rsidRPr="001F5A60">
            <w:rPr>
              <w:rFonts w:ascii="Palatino Linotype" w:eastAsia="Palatino Linotype" w:hAnsi="Palatino Linotype" w:cs="Palatino Linotype"/>
              <w:color w:val="000000"/>
              <w:sz w:val="22"/>
              <w:szCs w:val="22"/>
            </w:rPr>
            <w:t>os Servicios de Agua Potable Alcantarillado y Saneamiento de Zinacantepec</w:t>
          </w:r>
        </w:p>
      </w:tc>
    </w:tr>
    <w:tr w:rsidR="00114197" w:rsidTr="006F331B">
      <w:trPr>
        <w:trHeight w:val="342"/>
      </w:trPr>
      <w:tc>
        <w:tcPr>
          <w:tcW w:w="3260" w:type="dxa"/>
          <w:vAlign w:val="center"/>
        </w:tcPr>
        <w:p w:rsidR="00114197" w:rsidRDefault="00114197">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rsidR="00114197" w:rsidRDefault="00114197">
          <w:pPr>
            <w:pBdr>
              <w:top w:val="nil"/>
              <w:left w:val="nil"/>
              <w:bottom w:val="nil"/>
              <w:right w:val="nil"/>
              <w:between w:val="nil"/>
            </w:pBdr>
            <w:tabs>
              <w:tab w:val="right" w:pos="8838"/>
            </w:tabs>
            <w:ind w:right="-19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114197" w:rsidRDefault="0035659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4B1F"/>
    <w:multiLevelType w:val="hybridMultilevel"/>
    <w:tmpl w:val="5710680C"/>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060F0DAD"/>
    <w:multiLevelType w:val="multilevel"/>
    <w:tmpl w:val="BC9C23AC"/>
    <w:lvl w:ilvl="0">
      <w:start w:val="1"/>
      <w:numFmt w:val="decimal"/>
      <w:lvlText w:val="%1."/>
      <w:lvlJc w:val="left"/>
      <w:pPr>
        <w:ind w:left="1778"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7306E5"/>
    <w:multiLevelType w:val="hybridMultilevel"/>
    <w:tmpl w:val="4CCCA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CD04D9"/>
    <w:multiLevelType w:val="hybridMultilevel"/>
    <w:tmpl w:val="46A8E85C"/>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 w15:restartNumberingAfterBreak="0">
    <w:nsid w:val="151800C1"/>
    <w:multiLevelType w:val="multilevel"/>
    <w:tmpl w:val="2852507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154B1937"/>
    <w:multiLevelType w:val="hybridMultilevel"/>
    <w:tmpl w:val="A230A4A0"/>
    <w:lvl w:ilvl="0" w:tplc="080A000F">
      <w:start w:val="1"/>
      <w:numFmt w:val="decimal"/>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157F4ED1"/>
    <w:multiLevelType w:val="multilevel"/>
    <w:tmpl w:val="010455B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16807332"/>
    <w:multiLevelType w:val="hybridMultilevel"/>
    <w:tmpl w:val="4C3294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425745"/>
    <w:multiLevelType w:val="hybridMultilevel"/>
    <w:tmpl w:val="8042E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DD051D"/>
    <w:multiLevelType w:val="multilevel"/>
    <w:tmpl w:val="ABD6D96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EA65B2"/>
    <w:multiLevelType w:val="multilevel"/>
    <w:tmpl w:val="3DC86DA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8F6C74"/>
    <w:multiLevelType w:val="hybridMultilevel"/>
    <w:tmpl w:val="E5E876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D1D7AD3"/>
    <w:multiLevelType w:val="hybridMultilevel"/>
    <w:tmpl w:val="63A07722"/>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4" w15:restartNumberingAfterBreak="0">
    <w:nsid w:val="34304DB3"/>
    <w:multiLevelType w:val="hybridMultilevel"/>
    <w:tmpl w:val="2D381860"/>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15:restartNumberingAfterBreak="0">
    <w:nsid w:val="34317490"/>
    <w:multiLevelType w:val="hybridMultilevel"/>
    <w:tmpl w:val="8C3AF8E8"/>
    <w:lvl w:ilvl="0" w:tplc="96E8B0D4">
      <w:start w:val="1"/>
      <w:numFmt w:val="decimal"/>
      <w:lvlText w:val="%1."/>
      <w:lvlJc w:val="left"/>
      <w:pPr>
        <w:ind w:left="502" w:hanging="360"/>
      </w:pPr>
      <w:rPr>
        <w:rFonts w:ascii="Palatino Linotype" w:hAnsi="Palatino Linotype" w:hint="default"/>
        <w:b/>
        <w:i w:val="0"/>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EB6406"/>
    <w:multiLevelType w:val="multilevel"/>
    <w:tmpl w:val="17BC015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CC37CE"/>
    <w:multiLevelType w:val="hybridMultilevel"/>
    <w:tmpl w:val="D7EE659C"/>
    <w:lvl w:ilvl="0" w:tplc="B2A27AA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5A22DD3"/>
    <w:multiLevelType w:val="multilevel"/>
    <w:tmpl w:val="6C9C26F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4023F9"/>
    <w:multiLevelType w:val="multilevel"/>
    <w:tmpl w:val="9B8E27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54789F"/>
    <w:multiLevelType w:val="multilevel"/>
    <w:tmpl w:val="986AAC4E"/>
    <w:lvl w:ilvl="0">
      <w:start w:val="1"/>
      <w:numFmt w:val="decimal"/>
      <w:lvlText w:val="%1."/>
      <w:lvlJc w:val="left"/>
      <w:pPr>
        <w:ind w:left="1637"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B069FF"/>
    <w:multiLevelType w:val="hybridMultilevel"/>
    <w:tmpl w:val="5710680C"/>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3" w15:restartNumberingAfterBreak="0">
    <w:nsid w:val="615130F8"/>
    <w:multiLevelType w:val="multilevel"/>
    <w:tmpl w:val="98D0E45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664A60F7"/>
    <w:multiLevelType w:val="hybridMultilevel"/>
    <w:tmpl w:val="2AB0E63C"/>
    <w:lvl w:ilvl="0" w:tplc="701098CE">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5" w15:restartNumberingAfterBreak="0">
    <w:nsid w:val="681422DD"/>
    <w:multiLevelType w:val="multilevel"/>
    <w:tmpl w:val="6A0CD13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1B3368F"/>
    <w:multiLevelType w:val="hybridMultilevel"/>
    <w:tmpl w:val="6EECB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9C5653"/>
    <w:multiLevelType w:val="hybridMultilevel"/>
    <w:tmpl w:val="F5CAF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A1473C"/>
    <w:multiLevelType w:val="multilevel"/>
    <w:tmpl w:val="123E47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20"/>
  </w:num>
  <w:num w:numId="3">
    <w:abstractNumId w:val="4"/>
  </w:num>
  <w:num w:numId="4">
    <w:abstractNumId w:val="23"/>
  </w:num>
  <w:num w:numId="5">
    <w:abstractNumId w:val="10"/>
  </w:num>
  <w:num w:numId="6">
    <w:abstractNumId w:val="16"/>
  </w:num>
  <w:num w:numId="7">
    <w:abstractNumId w:val="28"/>
  </w:num>
  <w:num w:numId="8">
    <w:abstractNumId w:val="6"/>
  </w:num>
  <w:num w:numId="9">
    <w:abstractNumId w:val="22"/>
  </w:num>
  <w:num w:numId="10">
    <w:abstractNumId w:val="1"/>
  </w:num>
  <w:num w:numId="11">
    <w:abstractNumId w:val="26"/>
  </w:num>
  <w:num w:numId="12">
    <w:abstractNumId w:val="2"/>
  </w:num>
  <w:num w:numId="13">
    <w:abstractNumId w:val="8"/>
  </w:num>
  <w:num w:numId="14">
    <w:abstractNumId w:val="27"/>
  </w:num>
  <w:num w:numId="15">
    <w:abstractNumId w:val="0"/>
  </w:num>
  <w:num w:numId="16">
    <w:abstractNumId w:val="21"/>
  </w:num>
  <w:num w:numId="17">
    <w:abstractNumId w:val="9"/>
  </w:num>
  <w:num w:numId="18">
    <w:abstractNumId w:val="12"/>
  </w:num>
  <w:num w:numId="19">
    <w:abstractNumId w:val="13"/>
  </w:num>
  <w:num w:numId="20">
    <w:abstractNumId w:val="24"/>
  </w:num>
  <w:num w:numId="21">
    <w:abstractNumId w:val="25"/>
  </w:num>
  <w:num w:numId="22">
    <w:abstractNumId w:val="18"/>
  </w:num>
  <w:num w:numId="23">
    <w:abstractNumId w:val="19"/>
  </w:num>
  <w:num w:numId="24">
    <w:abstractNumId w:val="11"/>
  </w:num>
  <w:num w:numId="25">
    <w:abstractNumId w:val="15"/>
  </w:num>
  <w:num w:numId="26">
    <w:abstractNumId w:val="14"/>
  </w:num>
  <w:num w:numId="27">
    <w:abstractNumId w:val="3"/>
  </w:num>
  <w:num w:numId="28">
    <w:abstractNumId w:val="5"/>
  </w:num>
  <w:num w:numId="29">
    <w:abstractNumId w:val="7"/>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282"/>
    <w:rsid w:val="00002A9D"/>
    <w:rsid w:val="00005EE7"/>
    <w:rsid w:val="00011C5E"/>
    <w:rsid w:val="0003414C"/>
    <w:rsid w:val="00044D85"/>
    <w:rsid w:val="000852B5"/>
    <w:rsid w:val="000A4AE5"/>
    <w:rsid w:val="000A62EF"/>
    <w:rsid w:val="000C1030"/>
    <w:rsid w:val="000D22C5"/>
    <w:rsid w:val="000F2DC6"/>
    <w:rsid w:val="00101766"/>
    <w:rsid w:val="00114197"/>
    <w:rsid w:val="0014037B"/>
    <w:rsid w:val="001822CE"/>
    <w:rsid w:val="00182905"/>
    <w:rsid w:val="001B665A"/>
    <w:rsid w:val="001D27D3"/>
    <w:rsid w:val="001E173D"/>
    <w:rsid w:val="001E2041"/>
    <w:rsid w:val="001F3A8D"/>
    <w:rsid w:val="001F5A60"/>
    <w:rsid w:val="00202C81"/>
    <w:rsid w:val="00202DCC"/>
    <w:rsid w:val="002415A8"/>
    <w:rsid w:val="00260A75"/>
    <w:rsid w:val="00265282"/>
    <w:rsid w:val="002725D8"/>
    <w:rsid w:val="00276046"/>
    <w:rsid w:val="0027785E"/>
    <w:rsid w:val="002A0F81"/>
    <w:rsid w:val="002C36CC"/>
    <w:rsid w:val="002D2B6A"/>
    <w:rsid w:val="002E6CF5"/>
    <w:rsid w:val="002F2BFA"/>
    <w:rsid w:val="002F67C2"/>
    <w:rsid w:val="002F7BA1"/>
    <w:rsid w:val="00322375"/>
    <w:rsid w:val="003331E2"/>
    <w:rsid w:val="0035009A"/>
    <w:rsid w:val="003522E6"/>
    <w:rsid w:val="0035659C"/>
    <w:rsid w:val="00357C9A"/>
    <w:rsid w:val="00375F67"/>
    <w:rsid w:val="00381765"/>
    <w:rsid w:val="00392085"/>
    <w:rsid w:val="003E460C"/>
    <w:rsid w:val="003E5887"/>
    <w:rsid w:val="003F3389"/>
    <w:rsid w:val="00401466"/>
    <w:rsid w:val="004154F8"/>
    <w:rsid w:val="00465987"/>
    <w:rsid w:val="00487CFC"/>
    <w:rsid w:val="00496774"/>
    <w:rsid w:val="004B7E04"/>
    <w:rsid w:val="004C075F"/>
    <w:rsid w:val="004C5E2E"/>
    <w:rsid w:val="004C6356"/>
    <w:rsid w:val="004E70FC"/>
    <w:rsid w:val="00501939"/>
    <w:rsid w:val="00517158"/>
    <w:rsid w:val="00543E61"/>
    <w:rsid w:val="005471A9"/>
    <w:rsid w:val="005519C6"/>
    <w:rsid w:val="005545C8"/>
    <w:rsid w:val="00565AAE"/>
    <w:rsid w:val="005F7A3D"/>
    <w:rsid w:val="00627B60"/>
    <w:rsid w:val="00653E57"/>
    <w:rsid w:val="006F331B"/>
    <w:rsid w:val="00720510"/>
    <w:rsid w:val="00753907"/>
    <w:rsid w:val="00764396"/>
    <w:rsid w:val="007A446B"/>
    <w:rsid w:val="007B1B63"/>
    <w:rsid w:val="007B5395"/>
    <w:rsid w:val="007D69A8"/>
    <w:rsid w:val="00806DDC"/>
    <w:rsid w:val="00811B3A"/>
    <w:rsid w:val="00812780"/>
    <w:rsid w:val="008420AE"/>
    <w:rsid w:val="0085605F"/>
    <w:rsid w:val="00862C83"/>
    <w:rsid w:val="008829DE"/>
    <w:rsid w:val="008B78F8"/>
    <w:rsid w:val="008E3343"/>
    <w:rsid w:val="009023D6"/>
    <w:rsid w:val="009558FA"/>
    <w:rsid w:val="0096728E"/>
    <w:rsid w:val="00986E76"/>
    <w:rsid w:val="009A4256"/>
    <w:rsid w:val="009F4D0A"/>
    <w:rsid w:val="00A3751D"/>
    <w:rsid w:val="00AB3C33"/>
    <w:rsid w:val="00AC0700"/>
    <w:rsid w:val="00B45F7B"/>
    <w:rsid w:val="00B571D3"/>
    <w:rsid w:val="00B576AC"/>
    <w:rsid w:val="00B764E2"/>
    <w:rsid w:val="00B877F9"/>
    <w:rsid w:val="00BB0F01"/>
    <w:rsid w:val="00C47F43"/>
    <w:rsid w:val="00C51E51"/>
    <w:rsid w:val="00C53AB6"/>
    <w:rsid w:val="00C55155"/>
    <w:rsid w:val="00C82817"/>
    <w:rsid w:val="00C87D64"/>
    <w:rsid w:val="00C927EB"/>
    <w:rsid w:val="00CC3BED"/>
    <w:rsid w:val="00CD79B3"/>
    <w:rsid w:val="00D013DC"/>
    <w:rsid w:val="00D110AA"/>
    <w:rsid w:val="00D23AB4"/>
    <w:rsid w:val="00D443D1"/>
    <w:rsid w:val="00D92A6F"/>
    <w:rsid w:val="00D9383D"/>
    <w:rsid w:val="00D9566B"/>
    <w:rsid w:val="00DC3128"/>
    <w:rsid w:val="00DD1647"/>
    <w:rsid w:val="00DE33B1"/>
    <w:rsid w:val="00DF74DF"/>
    <w:rsid w:val="00E204A7"/>
    <w:rsid w:val="00E21154"/>
    <w:rsid w:val="00E21233"/>
    <w:rsid w:val="00E2260C"/>
    <w:rsid w:val="00E562CF"/>
    <w:rsid w:val="00E565BA"/>
    <w:rsid w:val="00E8094B"/>
    <w:rsid w:val="00EB4806"/>
    <w:rsid w:val="00ED78C8"/>
    <w:rsid w:val="00EE1A01"/>
    <w:rsid w:val="00EE389D"/>
    <w:rsid w:val="00EF45D5"/>
    <w:rsid w:val="00EF7E49"/>
    <w:rsid w:val="00F04C39"/>
    <w:rsid w:val="00F253A0"/>
    <w:rsid w:val="00F26496"/>
    <w:rsid w:val="00F420FA"/>
    <w:rsid w:val="00F452A6"/>
    <w:rsid w:val="00F70C81"/>
    <w:rsid w:val="00FA21FF"/>
    <w:rsid w:val="00FD02A1"/>
    <w:rsid w:val="00FD0A73"/>
    <w:rsid w:val="00FD2146"/>
    <w:rsid w:val="00FD43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B910061-99AB-4347-B9B0-C91EFF24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C21"/>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character" w:styleId="Textoennegrita">
    <w:name w:val="Strong"/>
    <w:basedOn w:val="Fuentedeprrafopredeter"/>
    <w:uiPriority w:val="22"/>
    <w:qFormat/>
    <w:rsid w:val="007F0536"/>
    <w:rPr>
      <w:b/>
      <w:bCs/>
    </w:rPr>
  </w:style>
  <w:style w:type="paragraph" w:styleId="NormalWeb">
    <w:name w:val="Normal (Web)"/>
    <w:basedOn w:val="Normal"/>
    <w:uiPriority w:val="99"/>
    <w:unhideWhenUsed/>
    <w:rsid w:val="007F0536"/>
    <w:rPr>
      <w:rFonts w:ascii="Times New Roman" w:hAnsi="Times New Roman" w:cs="Times New Roman"/>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69476">
      <w:bodyDiv w:val="1"/>
      <w:marLeft w:val="0"/>
      <w:marRight w:val="0"/>
      <w:marTop w:val="0"/>
      <w:marBottom w:val="0"/>
      <w:divBdr>
        <w:top w:val="none" w:sz="0" w:space="0" w:color="auto"/>
        <w:left w:val="none" w:sz="0" w:space="0" w:color="auto"/>
        <w:bottom w:val="none" w:sz="0" w:space="0" w:color="auto"/>
        <w:right w:val="none" w:sz="0" w:space="0" w:color="auto"/>
      </w:divBdr>
    </w:div>
    <w:div w:id="640768708">
      <w:bodyDiv w:val="1"/>
      <w:marLeft w:val="0"/>
      <w:marRight w:val="0"/>
      <w:marTop w:val="0"/>
      <w:marBottom w:val="0"/>
      <w:divBdr>
        <w:top w:val="none" w:sz="0" w:space="0" w:color="auto"/>
        <w:left w:val="none" w:sz="0" w:space="0" w:color="auto"/>
        <w:bottom w:val="none" w:sz="0" w:space="0" w:color="auto"/>
        <w:right w:val="none" w:sz="0" w:space="0" w:color="auto"/>
      </w:divBdr>
    </w:div>
    <w:div w:id="739909653">
      <w:bodyDiv w:val="1"/>
      <w:marLeft w:val="0"/>
      <w:marRight w:val="0"/>
      <w:marTop w:val="0"/>
      <w:marBottom w:val="0"/>
      <w:divBdr>
        <w:top w:val="none" w:sz="0" w:space="0" w:color="auto"/>
        <w:left w:val="none" w:sz="0" w:space="0" w:color="auto"/>
        <w:bottom w:val="none" w:sz="0" w:space="0" w:color="auto"/>
        <w:right w:val="none" w:sz="0" w:space="0" w:color="auto"/>
      </w:divBdr>
    </w:div>
    <w:div w:id="810362171">
      <w:bodyDiv w:val="1"/>
      <w:marLeft w:val="0"/>
      <w:marRight w:val="0"/>
      <w:marTop w:val="0"/>
      <w:marBottom w:val="0"/>
      <w:divBdr>
        <w:top w:val="none" w:sz="0" w:space="0" w:color="auto"/>
        <w:left w:val="none" w:sz="0" w:space="0" w:color="auto"/>
        <w:bottom w:val="none" w:sz="0" w:space="0" w:color="auto"/>
        <w:right w:val="none" w:sz="0" w:space="0" w:color="auto"/>
      </w:divBdr>
    </w:div>
    <w:div w:id="1162043744">
      <w:bodyDiv w:val="1"/>
      <w:marLeft w:val="0"/>
      <w:marRight w:val="0"/>
      <w:marTop w:val="0"/>
      <w:marBottom w:val="0"/>
      <w:divBdr>
        <w:top w:val="none" w:sz="0" w:space="0" w:color="auto"/>
        <w:left w:val="none" w:sz="0" w:space="0" w:color="auto"/>
        <w:bottom w:val="none" w:sz="0" w:space="0" w:color="auto"/>
        <w:right w:val="none" w:sz="0" w:space="0" w:color="auto"/>
      </w:divBdr>
    </w:div>
    <w:div w:id="1244492183">
      <w:bodyDiv w:val="1"/>
      <w:marLeft w:val="0"/>
      <w:marRight w:val="0"/>
      <w:marTop w:val="0"/>
      <w:marBottom w:val="0"/>
      <w:divBdr>
        <w:top w:val="none" w:sz="0" w:space="0" w:color="auto"/>
        <w:left w:val="none" w:sz="0" w:space="0" w:color="auto"/>
        <w:bottom w:val="none" w:sz="0" w:space="0" w:color="auto"/>
        <w:right w:val="none" w:sz="0" w:space="0" w:color="auto"/>
      </w:divBdr>
      <w:divsChild>
        <w:div w:id="1632512032">
          <w:marLeft w:val="0"/>
          <w:marRight w:val="0"/>
          <w:marTop w:val="0"/>
          <w:marBottom w:val="101"/>
          <w:divBdr>
            <w:top w:val="none" w:sz="0" w:space="0" w:color="auto"/>
            <w:left w:val="none" w:sz="0" w:space="0" w:color="auto"/>
            <w:bottom w:val="none" w:sz="0" w:space="0" w:color="auto"/>
            <w:right w:val="none" w:sz="0" w:space="0" w:color="auto"/>
          </w:divBdr>
        </w:div>
        <w:div w:id="1577664315">
          <w:marLeft w:val="864"/>
          <w:marRight w:val="0"/>
          <w:marTop w:val="0"/>
          <w:marBottom w:val="101"/>
          <w:divBdr>
            <w:top w:val="none" w:sz="0" w:space="0" w:color="auto"/>
            <w:left w:val="none" w:sz="0" w:space="0" w:color="auto"/>
            <w:bottom w:val="none" w:sz="0" w:space="0" w:color="auto"/>
            <w:right w:val="none" w:sz="0" w:space="0" w:color="auto"/>
          </w:divBdr>
        </w:div>
        <w:div w:id="1316569830">
          <w:marLeft w:val="864"/>
          <w:marRight w:val="0"/>
          <w:marTop w:val="0"/>
          <w:marBottom w:val="101"/>
          <w:divBdr>
            <w:top w:val="none" w:sz="0" w:space="0" w:color="auto"/>
            <w:left w:val="none" w:sz="0" w:space="0" w:color="auto"/>
            <w:bottom w:val="none" w:sz="0" w:space="0" w:color="auto"/>
            <w:right w:val="none" w:sz="0" w:space="0" w:color="auto"/>
          </w:divBdr>
        </w:div>
        <w:div w:id="529881780">
          <w:marLeft w:val="864"/>
          <w:marRight w:val="0"/>
          <w:marTop w:val="0"/>
          <w:marBottom w:val="101"/>
          <w:divBdr>
            <w:top w:val="none" w:sz="0" w:space="0" w:color="auto"/>
            <w:left w:val="none" w:sz="0" w:space="0" w:color="auto"/>
            <w:bottom w:val="none" w:sz="0" w:space="0" w:color="auto"/>
            <w:right w:val="none" w:sz="0" w:space="0" w:color="auto"/>
          </w:divBdr>
        </w:div>
        <w:div w:id="1522471372">
          <w:marLeft w:val="864"/>
          <w:marRight w:val="0"/>
          <w:marTop w:val="0"/>
          <w:marBottom w:val="101"/>
          <w:divBdr>
            <w:top w:val="none" w:sz="0" w:space="0" w:color="auto"/>
            <w:left w:val="none" w:sz="0" w:space="0" w:color="auto"/>
            <w:bottom w:val="none" w:sz="0" w:space="0" w:color="auto"/>
            <w:right w:val="none" w:sz="0" w:space="0" w:color="auto"/>
          </w:divBdr>
        </w:div>
      </w:divsChild>
    </w:div>
    <w:div w:id="1247232556">
      <w:bodyDiv w:val="1"/>
      <w:marLeft w:val="0"/>
      <w:marRight w:val="0"/>
      <w:marTop w:val="0"/>
      <w:marBottom w:val="0"/>
      <w:divBdr>
        <w:top w:val="none" w:sz="0" w:space="0" w:color="auto"/>
        <w:left w:val="none" w:sz="0" w:space="0" w:color="auto"/>
        <w:bottom w:val="none" w:sz="0" w:space="0" w:color="auto"/>
        <w:right w:val="none" w:sz="0" w:space="0" w:color="auto"/>
      </w:divBdr>
    </w:div>
    <w:div w:id="1526481583">
      <w:bodyDiv w:val="1"/>
      <w:marLeft w:val="0"/>
      <w:marRight w:val="0"/>
      <w:marTop w:val="0"/>
      <w:marBottom w:val="0"/>
      <w:divBdr>
        <w:top w:val="none" w:sz="0" w:space="0" w:color="auto"/>
        <w:left w:val="none" w:sz="0" w:space="0" w:color="auto"/>
        <w:bottom w:val="none" w:sz="0" w:space="0" w:color="auto"/>
        <w:right w:val="none" w:sz="0" w:space="0" w:color="auto"/>
      </w:divBdr>
    </w:div>
    <w:div w:id="1539973291">
      <w:bodyDiv w:val="1"/>
      <w:marLeft w:val="0"/>
      <w:marRight w:val="0"/>
      <w:marTop w:val="0"/>
      <w:marBottom w:val="0"/>
      <w:divBdr>
        <w:top w:val="none" w:sz="0" w:space="0" w:color="auto"/>
        <w:left w:val="none" w:sz="0" w:space="0" w:color="auto"/>
        <w:bottom w:val="none" w:sz="0" w:space="0" w:color="auto"/>
        <w:right w:val="none" w:sz="0" w:space="0" w:color="auto"/>
      </w:divBdr>
    </w:div>
    <w:div w:id="1899510055">
      <w:bodyDiv w:val="1"/>
      <w:marLeft w:val="0"/>
      <w:marRight w:val="0"/>
      <w:marTop w:val="0"/>
      <w:marBottom w:val="0"/>
      <w:divBdr>
        <w:top w:val="none" w:sz="0" w:space="0" w:color="auto"/>
        <w:left w:val="none" w:sz="0" w:space="0" w:color="auto"/>
        <w:bottom w:val="none" w:sz="0" w:space="0" w:color="auto"/>
        <w:right w:val="none" w:sz="0" w:space="0" w:color="auto"/>
      </w:divBdr>
    </w:div>
    <w:div w:id="1927376063">
      <w:bodyDiv w:val="1"/>
      <w:marLeft w:val="0"/>
      <w:marRight w:val="0"/>
      <w:marTop w:val="0"/>
      <w:marBottom w:val="0"/>
      <w:divBdr>
        <w:top w:val="none" w:sz="0" w:space="0" w:color="auto"/>
        <w:left w:val="none" w:sz="0" w:space="0" w:color="auto"/>
        <w:bottom w:val="none" w:sz="0" w:space="0" w:color="auto"/>
        <w:right w:val="none" w:sz="0" w:space="0" w:color="auto"/>
      </w:divBdr>
    </w:div>
    <w:div w:id="2092388840">
      <w:bodyDiv w:val="1"/>
      <w:marLeft w:val="0"/>
      <w:marRight w:val="0"/>
      <w:marTop w:val="0"/>
      <w:marBottom w:val="0"/>
      <w:divBdr>
        <w:top w:val="none" w:sz="0" w:space="0" w:color="auto"/>
        <w:left w:val="none" w:sz="0" w:space="0" w:color="auto"/>
        <w:bottom w:val="none" w:sz="0" w:space="0" w:color="auto"/>
        <w:right w:val="none" w:sz="0" w:space="0" w:color="auto"/>
      </w:divBdr>
      <w:divsChild>
        <w:div w:id="552809087">
          <w:marLeft w:val="0"/>
          <w:marRight w:val="0"/>
          <w:marTop w:val="0"/>
          <w:marBottom w:val="101"/>
          <w:divBdr>
            <w:top w:val="none" w:sz="0" w:space="0" w:color="auto"/>
            <w:left w:val="none" w:sz="0" w:space="0" w:color="auto"/>
            <w:bottom w:val="none" w:sz="0" w:space="0" w:color="auto"/>
            <w:right w:val="none" w:sz="0" w:space="0" w:color="auto"/>
          </w:divBdr>
        </w:div>
        <w:div w:id="1492138583">
          <w:marLeft w:val="864"/>
          <w:marRight w:val="0"/>
          <w:marTop w:val="0"/>
          <w:marBottom w:val="101"/>
          <w:divBdr>
            <w:top w:val="none" w:sz="0" w:space="0" w:color="auto"/>
            <w:left w:val="none" w:sz="0" w:space="0" w:color="auto"/>
            <w:bottom w:val="none" w:sz="0" w:space="0" w:color="auto"/>
            <w:right w:val="none" w:sz="0" w:space="0" w:color="auto"/>
          </w:divBdr>
        </w:div>
        <w:div w:id="775255443">
          <w:marLeft w:val="864"/>
          <w:marRight w:val="0"/>
          <w:marTop w:val="0"/>
          <w:marBottom w:val="101"/>
          <w:divBdr>
            <w:top w:val="none" w:sz="0" w:space="0" w:color="auto"/>
            <w:left w:val="none" w:sz="0" w:space="0" w:color="auto"/>
            <w:bottom w:val="none" w:sz="0" w:space="0" w:color="auto"/>
            <w:right w:val="none" w:sz="0" w:space="0" w:color="auto"/>
          </w:divBdr>
        </w:div>
        <w:div w:id="922376190">
          <w:marLeft w:val="864"/>
          <w:marRight w:val="0"/>
          <w:marTop w:val="0"/>
          <w:marBottom w:val="101"/>
          <w:divBdr>
            <w:top w:val="none" w:sz="0" w:space="0" w:color="auto"/>
            <w:left w:val="none" w:sz="0" w:space="0" w:color="auto"/>
            <w:bottom w:val="none" w:sz="0" w:space="0" w:color="auto"/>
            <w:right w:val="none" w:sz="0" w:space="0" w:color="auto"/>
          </w:divBdr>
        </w:div>
        <w:div w:id="1121143209">
          <w:marLeft w:val="864"/>
          <w:marRight w:val="0"/>
          <w:marTop w:val="0"/>
          <w:marBottom w:val="101"/>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GIap4qYzN+OY/j8h9FT7y39NiA==">CgMxLjAyCGguZ2pkZ3hzMgloLjMwajB6bGwyCWguMWZvYjl0ZTIOaC5yMHQzazNqZ3FvMWIyCWguM3pueXNoNzIOaC5jMDRhc2RtMHFxM20yCWguMmV0OTJwMDIIaC50eWpjd3QyCWguM2R5NnZrbTIJaC4xdDNoNXNmMgloLjI2aW4xcmcyCWguMTdkcDh2dTIJaC40ZDM0b2c4OAByITFFQzU2ODNmNEd0RWhTTGxuSk55Z2N5dmlZYUVSQVVzTw==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55</Pages>
  <Words>11139</Words>
  <Characters>61270</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48</cp:revision>
  <cp:lastPrinted>2025-03-24T16:04:00Z</cp:lastPrinted>
  <dcterms:created xsi:type="dcterms:W3CDTF">2025-03-12T21:59:00Z</dcterms:created>
  <dcterms:modified xsi:type="dcterms:W3CDTF">2025-04-01T19:15:00Z</dcterms:modified>
</cp:coreProperties>
</file>