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C680" w14:textId="77777777" w:rsidR="00482906" w:rsidRDefault="00482906" w:rsidP="000A303E"/>
    <w:p w14:paraId="4A6503E7" w14:textId="77777777" w:rsidR="00482906" w:rsidRDefault="00482906">
      <w:pPr>
        <w:widowControl w:val="0"/>
        <w:pBdr>
          <w:top w:val="nil"/>
          <w:left w:val="nil"/>
          <w:bottom w:val="nil"/>
          <w:right w:val="nil"/>
          <w:between w:val="nil"/>
        </w:pBdr>
        <w:spacing w:after="0" w:line="360" w:lineRule="auto"/>
        <w:jc w:val="left"/>
      </w:pPr>
    </w:p>
    <w:bookmarkStart w:id="0" w:name="_heading=h.x61aj1z3q2az" w:colFirst="0" w:colLast="0" w:displacedByCustomXml="next"/>
    <w:bookmarkEnd w:id="0" w:displacedByCustomXml="next"/>
    <w:sdt>
      <w:sdtPr>
        <w:rPr>
          <w:rFonts w:ascii="Palatino Linotype" w:eastAsia="Palatino Linotype" w:hAnsi="Palatino Linotype" w:cs="Palatino Linotype"/>
          <w:color w:val="auto"/>
          <w:sz w:val="22"/>
          <w:szCs w:val="22"/>
          <w:lang w:val="es-ES"/>
        </w:rPr>
        <w:id w:val="1255408578"/>
        <w:docPartObj>
          <w:docPartGallery w:val="Table of Contents"/>
          <w:docPartUnique/>
        </w:docPartObj>
      </w:sdtPr>
      <w:sdtEndPr>
        <w:rPr>
          <w:b/>
          <w:bCs/>
        </w:rPr>
      </w:sdtEndPr>
      <w:sdtContent>
        <w:p w14:paraId="17707493" w14:textId="43FEEA2C" w:rsidR="000A303E" w:rsidRDefault="000A303E">
          <w:pPr>
            <w:pStyle w:val="TtuloTDC"/>
          </w:pPr>
          <w:r>
            <w:rPr>
              <w:lang w:val="es-ES"/>
            </w:rPr>
            <w:t>Tabla de contenido</w:t>
          </w:r>
        </w:p>
        <w:p w14:paraId="0007BFFF" w14:textId="77777777" w:rsidR="000A303E" w:rsidRDefault="000A303E">
          <w:pPr>
            <w:pStyle w:val="TDC1"/>
            <w:tabs>
              <w:tab w:val="right" w:leader="dot" w:pos="9204"/>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10916364" w:history="1">
            <w:r w:rsidRPr="00EC5EAE">
              <w:rPr>
                <w:rStyle w:val="Hipervnculo"/>
                <w:noProof/>
              </w:rPr>
              <w:t>A N T E C E D E N T E S</w:t>
            </w:r>
            <w:r>
              <w:rPr>
                <w:noProof/>
                <w:webHidden/>
              </w:rPr>
              <w:tab/>
            </w:r>
            <w:r>
              <w:rPr>
                <w:noProof/>
                <w:webHidden/>
              </w:rPr>
              <w:fldChar w:fldCharType="begin"/>
            </w:r>
            <w:r>
              <w:rPr>
                <w:noProof/>
                <w:webHidden/>
              </w:rPr>
              <w:instrText xml:space="preserve"> PAGEREF _Toc210916364 \h </w:instrText>
            </w:r>
            <w:r>
              <w:rPr>
                <w:noProof/>
                <w:webHidden/>
              </w:rPr>
            </w:r>
            <w:r>
              <w:rPr>
                <w:noProof/>
                <w:webHidden/>
              </w:rPr>
              <w:fldChar w:fldCharType="separate"/>
            </w:r>
            <w:r w:rsidR="003016FF">
              <w:rPr>
                <w:noProof/>
                <w:webHidden/>
              </w:rPr>
              <w:t>2</w:t>
            </w:r>
            <w:r>
              <w:rPr>
                <w:noProof/>
                <w:webHidden/>
              </w:rPr>
              <w:fldChar w:fldCharType="end"/>
            </w:r>
          </w:hyperlink>
        </w:p>
        <w:p w14:paraId="445D4698" w14:textId="77777777" w:rsidR="000A303E" w:rsidRDefault="000A303E">
          <w:pPr>
            <w:pStyle w:val="TDC2"/>
            <w:tabs>
              <w:tab w:val="right" w:leader="dot" w:pos="9204"/>
            </w:tabs>
            <w:rPr>
              <w:rFonts w:asciiTheme="minorHAnsi" w:eastAsiaTheme="minorEastAsia" w:hAnsiTheme="minorHAnsi" w:cstheme="minorBidi"/>
              <w:noProof/>
            </w:rPr>
          </w:pPr>
          <w:hyperlink w:anchor="_Toc210916365" w:history="1">
            <w:r w:rsidRPr="00EC5EAE">
              <w:rPr>
                <w:rStyle w:val="Hipervnculo"/>
                <w:noProof/>
              </w:rPr>
              <w:t>I. Presentación de la solicitud de información</w:t>
            </w:r>
            <w:r>
              <w:rPr>
                <w:noProof/>
                <w:webHidden/>
              </w:rPr>
              <w:tab/>
            </w:r>
            <w:r>
              <w:rPr>
                <w:noProof/>
                <w:webHidden/>
              </w:rPr>
              <w:fldChar w:fldCharType="begin"/>
            </w:r>
            <w:r>
              <w:rPr>
                <w:noProof/>
                <w:webHidden/>
              </w:rPr>
              <w:instrText xml:space="preserve"> PAGEREF _Toc210916365 \h </w:instrText>
            </w:r>
            <w:r>
              <w:rPr>
                <w:noProof/>
                <w:webHidden/>
              </w:rPr>
            </w:r>
            <w:r>
              <w:rPr>
                <w:noProof/>
                <w:webHidden/>
              </w:rPr>
              <w:fldChar w:fldCharType="separate"/>
            </w:r>
            <w:r w:rsidR="003016FF">
              <w:rPr>
                <w:noProof/>
                <w:webHidden/>
              </w:rPr>
              <w:t>2</w:t>
            </w:r>
            <w:r>
              <w:rPr>
                <w:noProof/>
                <w:webHidden/>
              </w:rPr>
              <w:fldChar w:fldCharType="end"/>
            </w:r>
          </w:hyperlink>
        </w:p>
        <w:p w14:paraId="496A0E76" w14:textId="77777777" w:rsidR="000A303E" w:rsidRDefault="000A303E">
          <w:pPr>
            <w:pStyle w:val="TDC2"/>
            <w:tabs>
              <w:tab w:val="right" w:leader="dot" w:pos="9204"/>
            </w:tabs>
            <w:rPr>
              <w:rFonts w:asciiTheme="minorHAnsi" w:eastAsiaTheme="minorEastAsia" w:hAnsiTheme="minorHAnsi" w:cstheme="minorBidi"/>
              <w:noProof/>
            </w:rPr>
          </w:pPr>
          <w:hyperlink w:anchor="_Toc210916366" w:history="1">
            <w:r w:rsidRPr="00EC5EAE">
              <w:rPr>
                <w:rStyle w:val="Hipervnculo"/>
                <w:noProof/>
              </w:rPr>
              <w:t>II. Respuesta del Sujeto Obligado</w:t>
            </w:r>
            <w:r>
              <w:rPr>
                <w:noProof/>
                <w:webHidden/>
              </w:rPr>
              <w:tab/>
            </w:r>
            <w:r>
              <w:rPr>
                <w:noProof/>
                <w:webHidden/>
              </w:rPr>
              <w:fldChar w:fldCharType="begin"/>
            </w:r>
            <w:r>
              <w:rPr>
                <w:noProof/>
                <w:webHidden/>
              </w:rPr>
              <w:instrText xml:space="preserve"> PAGEREF _Toc210916366 \h </w:instrText>
            </w:r>
            <w:r>
              <w:rPr>
                <w:noProof/>
                <w:webHidden/>
              </w:rPr>
            </w:r>
            <w:r>
              <w:rPr>
                <w:noProof/>
                <w:webHidden/>
              </w:rPr>
              <w:fldChar w:fldCharType="separate"/>
            </w:r>
            <w:r w:rsidR="003016FF">
              <w:rPr>
                <w:noProof/>
                <w:webHidden/>
              </w:rPr>
              <w:t>3</w:t>
            </w:r>
            <w:r>
              <w:rPr>
                <w:noProof/>
                <w:webHidden/>
              </w:rPr>
              <w:fldChar w:fldCharType="end"/>
            </w:r>
          </w:hyperlink>
        </w:p>
        <w:p w14:paraId="04B992CC" w14:textId="77777777" w:rsidR="000A303E" w:rsidRDefault="000A303E">
          <w:pPr>
            <w:pStyle w:val="TDC2"/>
            <w:tabs>
              <w:tab w:val="right" w:leader="dot" w:pos="9204"/>
            </w:tabs>
            <w:rPr>
              <w:rFonts w:asciiTheme="minorHAnsi" w:eastAsiaTheme="minorEastAsia" w:hAnsiTheme="minorHAnsi" w:cstheme="minorBidi"/>
              <w:noProof/>
            </w:rPr>
          </w:pPr>
          <w:hyperlink w:anchor="_Toc210916367" w:history="1">
            <w:r w:rsidRPr="00EC5EAE">
              <w:rPr>
                <w:rStyle w:val="Hipervnculo"/>
                <w:noProof/>
              </w:rPr>
              <w:t>III. Interposición del Recurso de Revisión</w:t>
            </w:r>
            <w:r>
              <w:rPr>
                <w:noProof/>
                <w:webHidden/>
              </w:rPr>
              <w:tab/>
            </w:r>
            <w:r>
              <w:rPr>
                <w:noProof/>
                <w:webHidden/>
              </w:rPr>
              <w:fldChar w:fldCharType="begin"/>
            </w:r>
            <w:r>
              <w:rPr>
                <w:noProof/>
                <w:webHidden/>
              </w:rPr>
              <w:instrText xml:space="preserve"> PAGEREF _Toc210916367 \h </w:instrText>
            </w:r>
            <w:r>
              <w:rPr>
                <w:noProof/>
                <w:webHidden/>
              </w:rPr>
            </w:r>
            <w:r>
              <w:rPr>
                <w:noProof/>
                <w:webHidden/>
              </w:rPr>
              <w:fldChar w:fldCharType="separate"/>
            </w:r>
            <w:r w:rsidR="003016FF">
              <w:rPr>
                <w:noProof/>
                <w:webHidden/>
              </w:rPr>
              <w:t>3</w:t>
            </w:r>
            <w:r>
              <w:rPr>
                <w:noProof/>
                <w:webHidden/>
              </w:rPr>
              <w:fldChar w:fldCharType="end"/>
            </w:r>
          </w:hyperlink>
        </w:p>
        <w:p w14:paraId="5E414BFD" w14:textId="77777777" w:rsidR="000A303E" w:rsidRDefault="000A303E">
          <w:pPr>
            <w:pStyle w:val="TDC2"/>
            <w:tabs>
              <w:tab w:val="right" w:leader="dot" w:pos="9204"/>
            </w:tabs>
            <w:rPr>
              <w:rFonts w:asciiTheme="minorHAnsi" w:eastAsiaTheme="minorEastAsia" w:hAnsiTheme="minorHAnsi" w:cstheme="minorBidi"/>
              <w:noProof/>
            </w:rPr>
          </w:pPr>
          <w:hyperlink w:anchor="_Toc210916368" w:history="1">
            <w:r w:rsidRPr="00EC5EAE">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_Toc210916368 \h </w:instrText>
            </w:r>
            <w:r>
              <w:rPr>
                <w:noProof/>
                <w:webHidden/>
              </w:rPr>
            </w:r>
            <w:r>
              <w:rPr>
                <w:noProof/>
                <w:webHidden/>
              </w:rPr>
              <w:fldChar w:fldCharType="separate"/>
            </w:r>
            <w:r w:rsidR="003016FF">
              <w:rPr>
                <w:noProof/>
                <w:webHidden/>
              </w:rPr>
              <w:t>3</w:t>
            </w:r>
            <w:r>
              <w:rPr>
                <w:noProof/>
                <w:webHidden/>
              </w:rPr>
              <w:fldChar w:fldCharType="end"/>
            </w:r>
          </w:hyperlink>
        </w:p>
        <w:p w14:paraId="0A0D0560" w14:textId="77777777" w:rsidR="000A303E" w:rsidRDefault="000A303E">
          <w:pPr>
            <w:pStyle w:val="TDC1"/>
            <w:tabs>
              <w:tab w:val="right" w:leader="dot" w:pos="9204"/>
            </w:tabs>
            <w:rPr>
              <w:rFonts w:asciiTheme="minorHAnsi" w:eastAsiaTheme="minorEastAsia" w:hAnsiTheme="minorHAnsi" w:cstheme="minorBidi"/>
              <w:noProof/>
            </w:rPr>
          </w:pPr>
          <w:hyperlink w:anchor="_Toc210916369" w:history="1">
            <w:r w:rsidRPr="00EC5EAE">
              <w:rPr>
                <w:rStyle w:val="Hipervnculo"/>
                <w:noProof/>
              </w:rPr>
              <w:t>C O N S I D E R A N D O S</w:t>
            </w:r>
            <w:r>
              <w:rPr>
                <w:noProof/>
                <w:webHidden/>
              </w:rPr>
              <w:tab/>
            </w:r>
            <w:r>
              <w:rPr>
                <w:noProof/>
                <w:webHidden/>
              </w:rPr>
              <w:fldChar w:fldCharType="begin"/>
            </w:r>
            <w:r>
              <w:rPr>
                <w:noProof/>
                <w:webHidden/>
              </w:rPr>
              <w:instrText xml:space="preserve"> PAGEREF _Toc210916369 \h </w:instrText>
            </w:r>
            <w:r>
              <w:rPr>
                <w:noProof/>
                <w:webHidden/>
              </w:rPr>
            </w:r>
            <w:r>
              <w:rPr>
                <w:noProof/>
                <w:webHidden/>
              </w:rPr>
              <w:fldChar w:fldCharType="separate"/>
            </w:r>
            <w:r w:rsidR="003016FF">
              <w:rPr>
                <w:noProof/>
                <w:webHidden/>
              </w:rPr>
              <w:t>5</w:t>
            </w:r>
            <w:r>
              <w:rPr>
                <w:noProof/>
                <w:webHidden/>
              </w:rPr>
              <w:fldChar w:fldCharType="end"/>
            </w:r>
          </w:hyperlink>
        </w:p>
        <w:p w14:paraId="3093ECE6" w14:textId="77777777" w:rsidR="000A303E" w:rsidRDefault="000A303E">
          <w:pPr>
            <w:pStyle w:val="TDC2"/>
            <w:tabs>
              <w:tab w:val="right" w:leader="dot" w:pos="9204"/>
            </w:tabs>
            <w:rPr>
              <w:rFonts w:asciiTheme="minorHAnsi" w:eastAsiaTheme="minorEastAsia" w:hAnsiTheme="minorHAnsi" w:cstheme="minorBidi"/>
              <w:noProof/>
            </w:rPr>
          </w:pPr>
          <w:hyperlink w:anchor="_Toc210916370" w:history="1">
            <w:r w:rsidRPr="00EC5EAE">
              <w:rPr>
                <w:rStyle w:val="Hipervnculo"/>
                <w:noProof/>
              </w:rPr>
              <w:t>PRIMERO. Competencia</w:t>
            </w:r>
            <w:r>
              <w:rPr>
                <w:noProof/>
                <w:webHidden/>
              </w:rPr>
              <w:tab/>
            </w:r>
            <w:r>
              <w:rPr>
                <w:noProof/>
                <w:webHidden/>
              </w:rPr>
              <w:fldChar w:fldCharType="begin"/>
            </w:r>
            <w:r>
              <w:rPr>
                <w:noProof/>
                <w:webHidden/>
              </w:rPr>
              <w:instrText xml:space="preserve"> PAGEREF _Toc210916370 \h </w:instrText>
            </w:r>
            <w:r>
              <w:rPr>
                <w:noProof/>
                <w:webHidden/>
              </w:rPr>
            </w:r>
            <w:r>
              <w:rPr>
                <w:noProof/>
                <w:webHidden/>
              </w:rPr>
              <w:fldChar w:fldCharType="separate"/>
            </w:r>
            <w:r w:rsidR="003016FF">
              <w:rPr>
                <w:noProof/>
                <w:webHidden/>
              </w:rPr>
              <w:t>5</w:t>
            </w:r>
            <w:r>
              <w:rPr>
                <w:noProof/>
                <w:webHidden/>
              </w:rPr>
              <w:fldChar w:fldCharType="end"/>
            </w:r>
          </w:hyperlink>
        </w:p>
        <w:p w14:paraId="35F3EFCC" w14:textId="77777777" w:rsidR="000A303E" w:rsidRDefault="000A303E">
          <w:pPr>
            <w:pStyle w:val="TDC2"/>
            <w:tabs>
              <w:tab w:val="right" w:leader="dot" w:pos="9204"/>
            </w:tabs>
            <w:rPr>
              <w:rFonts w:asciiTheme="minorHAnsi" w:eastAsiaTheme="minorEastAsia" w:hAnsiTheme="minorHAnsi" w:cstheme="minorBidi"/>
              <w:noProof/>
            </w:rPr>
          </w:pPr>
          <w:hyperlink w:anchor="_Toc210916371" w:history="1">
            <w:r w:rsidRPr="00EC5EAE">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_Toc210916371 \h </w:instrText>
            </w:r>
            <w:r>
              <w:rPr>
                <w:noProof/>
                <w:webHidden/>
              </w:rPr>
            </w:r>
            <w:r>
              <w:rPr>
                <w:noProof/>
                <w:webHidden/>
              </w:rPr>
              <w:fldChar w:fldCharType="separate"/>
            </w:r>
            <w:r w:rsidR="003016FF">
              <w:rPr>
                <w:noProof/>
                <w:webHidden/>
              </w:rPr>
              <w:t>6</w:t>
            </w:r>
            <w:r>
              <w:rPr>
                <w:noProof/>
                <w:webHidden/>
              </w:rPr>
              <w:fldChar w:fldCharType="end"/>
            </w:r>
          </w:hyperlink>
        </w:p>
        <w:p w14:paraId="6A434072" w14:textId="77777777" w:rsidR="000A303E" w:rsidRDefault="000A303E">
          <w:pPr>
            <w:pStyle w:val="TDC2"/>
            <w:tabs>
              <w:tab w:val="right" w:leader="dot" w:pos="9204"/>
            </w:tabs>
            <w:rPr>
              <w:rFonts w:asciiTheme="minorHAnsi" w:eastAsiaTheme="minorEastAsia" w:hAnsiTheme="minorHAnsi" w:cstheme="minorBidi"/>
              <w:noProof/>
            </w:rPr>
          </w:pPr>
          <w:hyperlink w:anchor="_Toc210916372" w:history="1">
            <w:r w:rsidRPr="00EC5EAE">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_Toc210916372 \h </w:instrText>
            </w:r>
            <w:r>
              <w:rPr>
                <w:noProof/>
                <w:webHidden/>
              </w:rPr>
            </w:r>
            <w:r>
              <w:rPr>
                <w:noProof/>
                <w:webHidden/>
              </w:rPr>
              <w:fldChar w:fldCharType="separate"/>
            </w:r>
            <w:r w:rsidR="003016FF">
              <w:rPr>
                <w:noProof/>
                <w:webHidden/>
              </w:rPr>
              <w:t>8</w:t>
            </w:r>
            <w:r>
              <w:rPr>
                <w:noProof/>
                <w:webHidden/>
              </w:rPr>
              <w:fldChar w:fldCharType="end"/>
            </w:r>
          </w:hyperlink>
        </w:p>
        <w:p w14:paraId="310C3F5D" w14:textId="77777777" w:rsidR="000A303E" w:rsidRDefault="000A303E">
          <w:pPr>
            <w:pStyle w:val="TDC2"/>
            <w:tabs>
              <w:tab w:val="right" w:leader="dot" w:pos="9204"/>
            </w:tabs>
            <w:rPr>
              <w:rFonts w:asciiTheme="minorHAnsi" w:eastAsiaTheme="minorEastAsia" w:hAnsiTheme="minorHAnsi" w:cstheme="minorBidi"/>
              <w:noProof/>
            </w:rPr>
          </w:pPr>
          <w:hyperlink w:anchor="_Toc210916373" w:history="1">
            <w:r w:rsidRPr="00EC5EAE">
              <w:rPr>
                <w:rStyle w:val="Hipervnculo"/>
                <w:smallCaps/>
                <w:noProof/>
              </w:rPr>
              <w:t>QUINTO.</w:t>
            </w:r>
            <w:r w:rsidRPr="00EC5EAE">
              <w:rPr>
                <w:rStyle w:val="Hipervnculo"/>
                <w:noProof/>
              </w:rPr>
              <w:t xml:space="preserve"> Estudio de Fondo</w:t>
            </w:r>
            <w:r>
              <w:rPr>
                <w:noProof/>
                <w:webHidden/>
              </w:rPr>
              <w:tab/>
            </w:r>
            <w:r>
              <w:rPr>
                <w:noProof/>
                <w:webHidden/>
              </w:rPr>
              <w:fldChar w:fldCharType="begin"/>
            </w:r>
            <w:r>
              <w:rPr>
                <w:noProof/>
                <w:webHidden/>
              </w:rPr>
              <w:instrText xml:space="preserve"> PAGEREF _Toc210916373 \h </w:instrText>
            </w:r>
            <w:r>
              <w:rPr>
                <w:noProof/>
                <w:webHidden/>
              </w:rPr>
            </w:r>
            <w:r>
              <w:rPr>
                <w:noProof/>
                <w:webHidden/>
              </w:rPr>
              <w:fldChar w:fldCharType="separate"/>
            </w:r>
            <w:r w:rsidR="003016FF">
              <w:rPr>
                <w:noProof/>
                <w:webHidden/>
              </w:rPr>
              <w:t>9</w:t>
            </w:r>
            <w:r>
              <w:rPr>
                <w:noProof/>
                <w:webHidden/>
              </w:rPr>
              <w:fldChar w:fldCharType="end"/>
            </w:r>
          </w:hyperlink>
        </w:p>
        <w:p w14:paraId="3DE7A67B" w14:textId="77777777" w:rsidR="000A303E" w:rsidRDefault="000A303E">
          <w:pPr>
            <w:pStyle w:val="TDC2"/>
            <w:tabs>
              <w:tab w:val="right" w:leader="dot" w:pos="9204"/>
            </w:tabs>
            <w:rPr>
              <w:rFonts w:asciiTheme="minorHAnsi" w:eastAsiaTheme="minorEastAsia" w:hAnsiTheme="minorHAnsi" w:cstheme="minorBidi"/>
              <w:noProof/>
            </w:rPr>
          </w:pPr>
          <w:hyperlink w:anchor="_Toc210916374" w:history="1">
            <w:r w:rsidRPr="00EC5EAE">
              <w:rPr>
                <w:rStyle w:val="Hipervnculo"/>
                <w:noProof/>
              </w:rPr>
              <w:t>SEXTO. Decisión</w:t>
            </w:r>
            <w:r>
              <w:rPr>
                <w:noProof/>
                <w:webHidden/>
              </w:rPr>
              <w:tab/>
            </w:r>
            <w:r>
              <w:rPr>
                <w:noProof/>
                <w:webHidden/>
              </w:rPr>
              <w:fldChar w:fldCharType="begin"/>
            </w:r>
            <w:r>
              <w:rPr>
                <w:noProof/>
                <w:webHidden/>
              </w:rPr>
              <w:instrText xml:space="preserve"> PAGEREF _Toc210916374 \h </w:instrText>
            </w:r>
            <w:r>
              <w:rPr>
                <w:noProof/>
                <w:webHidden/>
              </w:rPr>
            </w:r>
            <w:r>
              <w:rPr>
                <w:noProof/>
                <w:webHidden/>
              </w:rPr>
              <w:fldChar w:fldCharType="separate"/>
            </w:r>
            <w:r w:rsidR="003016FF">
              <w:rPr>
                <w:noProof/>
                <w:webHidden/>
              </w:rPr>
              <w:t>17</w:t>
            </w:r>
            <w:r>
              <w:rPr>
                <w:noProof/>
                <w:webHidden/>
              </w:rPr>
              <w:fldChar w:fldCharType="end"/>
            </w:r>
          </w:hyperlink>
        </w:p>
        <w:p w14:paraId="7AEA9266" w14:textId="77777777" w:rsidR="000A303E" w:rsidRDefault="000A303E">
          <w:pPr>
            <w:pStyle w:val="TDC1"/>
            <w:tabs>
              <w:tab w:val="right" w:leader="dot" w:pos="9204"/>
            </w:tabs>
            <w:rPr>
              <w:rFonts w:asciiTheme="minorHAnsi" w:eastAsiaTheme="minorEastAsia" w:hAnsiTheme="minorHAnsi" w:cstheme="minorBidi"/>
              <w:noProof/>
            </w:rPr>
          </w:pPr>
          <w:hyperlink w:anchor="_Toc210916375" w:history="1">
            <w:r w:rsidRPr="00EC5EAE">
              <w:rPr>
                <w:rStyle w:val="Hipervnculo"/>
                <w:noProof/>
              </w:rPr>
              <w:t>R E S U E L V E</w:t>
            </w:r>
            <w:r>
              <w:rPr>
                <w:noProof/>
                <w:webHidden/>
              </w:rPr>
              <w:tab/>
            </w:r>
            <w:r>
              <w:rPr>
                <w:noProof/>
                <w:webHidden/>
              </w:rPr>
              <w:fldChar w:fldCharType="begin"/>
            </w:r>
            <w:r>
              <w:rPr>
                <w:noProof/>
                <w:webHidden/>
              </w:rPr>
              <w:instrText xml:space="preserve"> PAGEREF _Toc210916375 \h </w:instrText>
            </w:r>
            <w:r>
              <w:rPr>
                <w:noProof/>
                <w:webHidden/>
              </w:rPr>
            </w:r>
            <w:r>
              <w:rPr>
                <w:noProof/>
                <w:webHidden/>
              </w:rPr>
              <w:fldChar w:fldCharType="separate"/>
            </w:r>
            <w:r w:rsidR="003016FF">
              <w:rPr>
                <w:noProof/>
                <w:webHidden/>
              </w:rPr>
              <w:t>18</w:t>
            </w:r>
            <w:r>
              <w:rPr>
                <w:noProof/>
                <w:webHidden/>
              </w:rPr>
              <w:fldChar w:fldCharType="end"/>
            </w:r>
          </w:hyperlink>
        </w:p>
        <w:p w14:paraId="5034E4F2" w14:textId="13FF4B78" w:rsidR="000A303E" w:rsidRDefault="000A303E">
          <w:r>
            <w:rPr>
              <w:b/>
              <w:bCs/>
              <w:lang w:val="es-ES"/>
            </w:rPr>
            <w:fldChar w:fldCharType="end"/>
          </w:r>
        </w:p>
      </w:sdtContent>
    </w:sdt>
    <w:p w14:paraId="349BE285" w14:textId="77777777" w:rsidR="00482906" w:rsidRPr="000A303E" w:rsidRDefault="00933E24">
      <w:pPr>
        <w:pStyle w:val="Ttulo2"/>
        <w:spacing w:before="0" w:after="0"/>
        <w:rPr>
          <w:color w:val="2F5496"/>
        </w:rPr>
      </w:pPr>
      <w:r w:rsidRPr="000A303E">
        <w:br w:type="page"/>
      </w:r>
    </w:p>
    <w:p w14:paraId="5B4DEAFF" w14:textId="77777777" w:rsidR="00482906" w:rsidRPr="000A303E" w:rsidRDefault="00482906">
      <w:pPr>
        <w:widowControl w:val="0"/>
        <w:pBdr>
          <w:top w:val="nil"/>
          <w:left w:val="nil"/>
          <w:bottom w:val="nil"/>
          <w:right w:val="nil"/>
          <w:between w:val="nil"/>
        </w:pBdr>
        <w:spacing w:after="0" w:line="360" w:lineRule="auto"/>
        <w:jc w:val="left"/>
      </w:pPr>
    </w:p>
    <w:p w14:paraId="573D1AF1" w14:textId="77777777" w:rsidR="00482906" w:rsidRPr="000A303E" w:rsidRDefault="00933E24">
      <w:pPr>
        <w:spacing w:after="0" w:line="360" w:lineRule="auto"/>
      </w:pPr>
      <w:r w:rsidRPr="000A303E">
        <w:t>Resolución del Pleno del Instituto de Transparencia, Acceso a la Información Pública y Protección de Datos Personales del Estado de México y Municipios, con domicilio en Metepec, Estado de México, de fecha ocho de octubre de dos mil veinticinco.</w:t>
      </w:r>
    </w:p>
    <w:p w14:paraId="5E3F7560" w14:textId="77777777" w:rsidR="00482906" w:rsidRPr="000A303E" w:rsidRDefault="00482906">
      <w:pPr>
        <w:spacing w:after="0" w:line="360" w:lineRule="auto"/>
        <w:rPr>
          <w:b/>
        </w:rPr>
      </w:pPr>
    </w:p>
    <w:p w14:paraId="4386DE4F" w14:textId="554C50C2" w:rsidR="00482906" w:rsidRPr="000A303E" w:rsidRDefault="00933E24">
      <w:pPr>
        <w:spacing w:after="0" w:line="360" w:lineRule="auto"/>
      </w:pPr>
      <w:r w:rsidRPr="000A303E">
        <w:rPr>
          <w:b/>
        </w:rPr>
        <w:t>VISTO</w:t>
      </w:r>
      <w:r w:rsidRPr="000A303E">
        <w:t xml:space="preserve"> el expediente conformado con motivo del Recurso de Revisión </w:t>
      </w:r>
      <w:r w:rsidRPr="000A303E">
        <w:rPr>
          <w:b/>
        </w:rPr>
        <w:t>10191/INFOEM/IP/RR/2025</w:t>
      </w:r>
      <w:r w:rsidRPr="000A303E">
        <w:t>, interpuesto por</w:t>
      </w:r>
      <w:r w:rsidRPr="000A303E">
        <w:rPr>
          <w:b/>
        </w:rPr>
        <w:t xml:space="preserve"> </w:t>
      </w:r>
      <w:r w:rsidR="00A337E4" w:rsidRPr="00A337E4">
        <w:rPr>
          <w:b/>
          <w:bCs/>
          <w:highlight w:val="black"/>
        </w:rPr>
        <w:t>XXXXXXXXXXXXXXX</w:t>
      </w:r>
      <w:r w:rsidRPr="000A303E">
        <w:t xml:space="preserve">, en lo sucesivo, la persona Recurrente o Particular, en contra de la respuesta del Sujeto Obligado, </w:t>
      </w:r>
      <w:r w:rsidRPr="000A303E">
        <w:rPr>
          <w:b/>
        </w:rPr>
        <w:t>Ayuntamiento de Mexicaltzingo</w:t>
      </w:r>
      <w:r w:rsidRPr="000A303E">
        <w:t xml:space="preserve"> se emite la presente Resolución, con base en los antecedentes y considerandos que se exponen a continuación:</w:t>
      </w:r>
    </w:p>
    <w:p w14:paraId="280B4EE6" w14:textId="77777777" w:rsidR="00482906" w:rsidRPr="000A303E" w:rsidRDefault="00482906">
      <w:pPr>
        <w:spacing w:after="0" w:line="360" w:lineRule="auto"/>
      </w:pPr>
    </w:p>
    <w:p w14:paraId="54DE8AFF" w14:textId="77777777" w:rsidR="00482906" w:rsidRPr="000A303E" w:rsidRDefault="00933E24">
      <w:pPr>
        <w:pStyle w:val="Ttulo1"/>
        <w:spacing w:before="0" w:after="0"/>
        <w:rPr>
          <w:sz w:val="22"/>
          <w:szCs w:val="22"/>
        </w:rPr>
      </w:pPr>
      <w:bookmarkStart w:id="1" w:name="_Toc210916364"/>
      <w:r w:rsidRPr="000A303E">
        <w:rPr>
          <w:sz w:val="22"/>
          <w:szCs w:val="22"/>
        </w:rPr>
        <w:t>A N T E C E D E N T E S</w:t>
      </w:r>
      <w:bookmarkEnd w:id="1"/>
    </w:p>
    <w:p w14:paraId="78873060" w14:textId="77777777" w:rsidR="00482906" w:rsidRPr="000A303E" w:rsidRDefault="00482906">
      <w:pPr>
        <w:spacing w:after="0" w:line="360" w:lineRule="auto"/>
      </w:pPr>
      <w:bookmarkStart w:id="2" w:name="_heading=h.gjdgxs" w:colFirst="0" w:colLast="0"/>
      <w:bookmarkEnd w:id="2"/>
    </w:p>
    <w:p w14:paraId="7557C79C" w14:textId="77777777" w:rsidR="00482906" w:rsidRPr="000A303E" w:rsidRDefault="00933E24">
      <w:pPr>
        <w:pStyle w:val="Ttulo2"/>
        <w:spacing w:before="0" w:after="0"/>
      </w:pPr>
      <w:bookmarkStart w:id="3" w:name="_Toc210916365"/>
      <w:r w:rsidRPr="000A303E">
        <w:t>I. Presentación de la solicitud de información</w:t>
      </w:r>
      <w:bookmarkEnd w:id="3"/>
    </w:p>
    <w:p w14:paraId="4391ABE0" w14:textId="77777777" w:rsidR="00482906" w:rsidRPr="000A303E" w:rsidRDefault="00482906">
      <w:pPr>
        <w:tabs>
          <w:tab w:val="left" w:pos="567"/>
        </w:tabs>
        <w:spacing w:after="0" w:line="360" w:lineRule="auto"/>
      </w:pPr>
    </w:p>
    <w:p w14:paraId="467B821F" w14:textId="77777777" w:rsidR="00482906" w:rsidRPr="000A303E" w:rsidRDefault="00933E24">
      <w:pPr>
        <w:spacing w:after="0" w:line="360" w:lineRule="auto"/>
        <w:rPr>
          <w:color w:val="000000"/>
        </w:rPr>
      </w:pPr>
      <w:r w:rsidRPr="000A303E">
        <w:t xml:space="preserve">Con fecha dieciocho de julio de dos mil veinticinco, </w:t>
      </w:r>
      <w:r w:rsidRPr="000A303E">
        <w:rPr>
          <w:color w:val="000000"/>
        </w:rPr>
        <w:t>la parte Solicitante presentó una solicitud de acceso a la información pública,</w:t>
      </w:r>
      <w:r w:rsidRPr="000A303E">
        <w:t xml:space="preserve"> a través del</w:t>
      </w:r>
      <w:r w:rsidRPr="000A303E">
        <w:rPr>
          <w:color w:val="000000"/>
        </w:rPr>
        <w:t xml:space="preserve"> Sistema de Acceso a la Información Mexiquense, en lo sucesivo el SAIMEX, ante el </w:t>
      </w:r>
      <w:r w:rsidRPr="000A303E">
        <w:rPr>
          <w:b/>
          <w:color w:val="000000"/>
        </w:rPr>
        <w:t>Ayuntamiento de Mexicaltzingo</w:t>
      </w:r>
      <w:r w:rsidRPr="000A303E">
        <w:rPr>
          <w:color w:val="000000"/>
        </w:rPr>
        <w:t xml:space="preserve"> en la que requirió lo siguiente:</w:t>
      </w:r>
    </w:p>
    <w:p w14:paraId="0B3BBFA0" w14:textId="77777777" w:rsidR="00482906" w:rsidRPr="000A303E" w:rsidRDefault="00482906">
      <w:pPr>
        <w:spacing w:after="0" w:line="360" w:lineRule="auto"/>
        <w:rPr>
          <w:color w:val="000000"/>
        </w:rPr>
      </w:pPr>
    </w:p>
    <w:p w14:paraId="0E3300DF" w14:textId="77777777" w:rsidR="00482906" w:rsidRPr="000A303E" w:rsidRDefault="00933E24">
      <w:pPr>
        <w:tabs>
          <w:tab w:val="left" w:pos="567"/>
        </w:tabs>
        <w:spacing w:after="0" w:line="360" w:lineRule="auto"/>
        <w:ind w:left="567" w:right="709"/>
        <w:rPr>
          <w:b/>
          <w:sz w:val="20"/>
          <w:szCs w:val="20"/>
        </w:rPr>
      </w:pPr>
      <w:r w:rsidRPr="000A303E">
        <w:rPr>
          <w:b/>
          <w:sz w:val="20"/>
          <w:szCs w:val="20"/>
        </w:rPr>
        <w:t>Folio de la solicitud: 00430/MEXICAL/IP/2025</w:t>
      </w:r>
    </w:p>
    <w:p w14:paraId="55B510C6" w14:textId="77777777" w:rsidR="00482906" w:rsidRPr="000A303E" w:rsidRDefault="00933E24">
      <w:pPr>
        <w:tabs>
          <w:tab w:val="left" w:pos="567"/>
        </w:tabs>
        <w:spacing w:after="0" w:line="360" w:lineRule="auto"/>
        <w:ind w:left="567" w:right="709"/>
        <w:rPr>
          <w:b/>
          <w:sz w:val="20"/>
          <w:szCs w:val="20"/>
        </w:rPr>
      </w:pPr>
      <w:r w:rsidRPr="000A303E">
        <w:rPr>
          <w:b/>
          <w:sz w:val="20"/>
          <w:szCs w:val="20"/>
        </w:rPr>
        <w:t>DESCRIPCIÓN CLARA Y PRECISA DE LA INFORMACIÓN SOLICITADA</w:t>
      </w:r>
    </w:p>
    <w:p w14:paraId="1E516AC0" w14:textId="77777777" w:rsidR="00482906" w:rsidRPr="000A303E" w:rsidRDefault="00933E24">
      <w:pPr>
        <w:tabs>
          <w:tab w:val="left" w:pos="4667"/>
        </w:tabs>
        <w:spacing w:after="0" w:line="360" w:lineRule="auto"/>
        <w:ind w:left="567" w:right="709"/>
        <w:rPr>
          <w:i/>
          <w:sz w:val="20"/>
          <w:szCs w:val="20"/>
        </w:rPr>
      </w:pPr>
      <w:r w:rsidRPr="000A303E">
        <w:rPr>
          <w:i/>
          <w:sz w:val="20"/>
          <w:szCs w:val="20"/>
        </w:rPr>
        <w:t xml:space="preserve">“A cuanto </w:t>
      </w:r>
      <w:proofErr w:type="spellStart"/>
      <w:r w:rsidRPr="000A303E">
        <w:rPr>
          <w:i/>
          <w:sz w:val="20"/>
          <w:szCs w:val="20"/>
        </w:rPr>
        <w:t>asienden</w:t>
      </w:r>
      <w:proofErr w:type="spellEnd"/>
      <w:r w:rsidRPr="000A303E">
        <w:rPr>
          <w:i/>
          <w:sz w:val="20"/>
          <w:szCs w:val="20"/>
        </w:rPr>
        <w:t xml:space="preserve"> los pasivos en 2025” (Sic).</w:t>
      </w:r>
    </w:p>
    <w:p w14:paraId="34791407" w14:textId="77777777" w:rsidR="00482906" w:rsidRPr="000A303E" w:rsidRDefault="00482906">
      <w:pPr>
        <w:tabs>
          <w:tab w:val="left" w:pos="4667"/>
        </w:tabs>
        <w:spacing w:after="0" w:line="360" w:lineRule="auto"/>
        <w:ind w:left="567" w:right="709"/>
        <w:rPr>
          <w:b/>
          <w:sz w:val="20"/>
          <w:szCs w:val="20"/>
        </w:rPr>
      </w:pPr>
    </w:p>
    <w:p w14:paraId="240226F0" w14:textId="77777777" w:rsidR="00482906" w:rsidRPr="000A303E" w:rsidRDefault="00933E24">
      <w:pPr>
        <w:tabs>
          <w:tab w:val="left" w:pos="4667"/>
        </w:tabs>
        <w:spacing w:after="0" w:line="360" w:lineRule="auto"/>
        <w:ind w:left="567" w:right="709"/>
        <w:rPr>
          <w:i/>
        </w:rPr>
      </w:pPr>
      <w:r w:rsidRPr="000A303E">
        <w:rPr>
          <w:b/>
          <w:sz w:val="20"/>
          <w:szCs w:val="20"/>
        </w:rPr>
        <w:t xml:space="preserve">MODALIDAD DE ENTREGA </w:t>
      </w:r>
      <w:r w:rsidRPr="000A303E">
        <w:rPr>
          <w:i/>
          <w:sz w:val="20"/>
          <w:szCs w:val="20"/>
        </w:rPr>
        <w:t>“A través del SAIMEX.”</w:t>
      </w:r>
    </w:p>
    <w:p w14:paraId="019C893A" w14:textId="77777777" w:rsidR="00482906" w:rsidRPr="000A303E" w:rsidRDefault="00482906">
      <w:pPr>
        <w:tabs>
          <w:tab w:val="left" w:pos="4667"/>
        </w:tabs>
        <w:spacing w:after="0" w:line="360" w:lineRule="auto"/>
        <w:ind w:left="567" w:right="709"/>
        <w:rPr>
          <w:b/>
        </w:rPr>
      </w:pPr>
    </w:p>
    <w:p w14:paraId="6D4926D9" w14:textId="77777777" w:rsidR="00482906" w:rsidRPr="000A303E" w:rsidRDefault="00933E24">
      <w:pPr>
        <w:pStyle w:val="Ttulo2"/>
        <w:spacing w:before="0" w:after="0"/>
      </w:pPr>
      <w:bookmarkStart w:id="4" w:name="_Toc210916366"/>
      <w:r w:rsidRPr="000A303E">
        <w:lastRenderedPageBreak/>
        <w:t>II. Respuesta del Sujeto Obligado</w:t>
      </w:r>
      <w:bookmarkEnd w:id="4"/>
    </w:p>
    <w:p w14:paraId="2A643631" w14:textId="77777777" w:rsidR="00482906" w:rsidRPr="000A303E" w:rsidRDefault="00482906">
      <w:pPr>
        <w:spacing w:after="0" w:line="360" w:lineRule="auto"/>
      </w:pPr>
    </w:p>
    <w:p w14:paraId="617FAF45" w14:textId="77777777" w:rsidR="00482906" w:rsidRPr="000A303E" w:rsidRDefault="00933E24">
      <w:pPr>
        <w:spacing w:after="0" w:line="360" w:lineRule="auto"/>
      </w:pPr>
      <w:r w:rsidRPr="000A303E">
        <w:t>El veintidós de agosto de dos mil veinticinco, el Sujeto Obligado a través de SAIMEX, dio respuesta mediante un oficio emitido por la Tesorería Municipal, en los siguientes términos:</w:t>
      </w:r>
    </w:p>
    <w:p w14:paraId="7A73D01E" w14:textId="77777777" w:rsidR="00482906" w:rsidRPr="000A303E" w:rsidRDefault="00482906">
      <w:pPr>
        <w:spacing w:after="0" w:line="360" w:lineRule="auto"/>
      </w:pPr>
    </w:p>
    <w:p w14:paraId="4803F7DF" w14:textId="77777777" w:rsidR="00482906" w:rsidRPr="000A303E" w:rsidRDefault="00933E24" w:rsidP="001661B9">
      <w:pPr>
        <w:spacing w:after="0" w:line="360" w:lineRule="auto"/>
        <w:ind w:left="567" w:right="567"/>
        <w:rPr>
          <w:i/>
          <w:sz w:val="20"/>
          <w:szCs w:val="20"/>
        </w:rPr>
      </w:pPr>
      <w:r w:rsidRPr="000A303E">
        <w:rPr>
          <w:i/>
          <w:sz w:val="20"/>
          <w:szCs w:val="20"/>
        </w:rPr>
        <w:t xml:space="preserve">“En atención a su solicitud y conforme al artículo 12 párrafo segundo de la Ley de Transparencia y Acceso a la Información Pública del Estado de México y Municipios, comparto liga de acceso a la página oficial del Municipio de Mexicaltzingo “Endeudamiento Neto”. </w:t>
      </w:r>
      <w:hyperlink r:id="rId9">
        <w:r w:rsidRPr="000A303E">
          <w:rPr>
            <w:i/>
            <w:color w:val="0563C1"/>
            <w:sz w:val="20"/>
            <w:szCs w:val="20"/>
            <w:u w:val="single"/>
          </w:rPr>
          <w:t>https://www.mexicaltzingo.gob.mx/wp-content/uploads/2025/08/Endeudamiento-Neto.pdf</w:t>
        </w:r>
      </w:hyperlink>
      <w:r w:rsidRPr="000A303E">
        <w:rPr>
          <w:i/>
          <w:sz w:val="20"/>
          <w:szCs w:val="20"/>
        </w:rPr>
        <w:t>“</w:t>
      </w:r>
    </w:p>
    <w:p w14:paraId="5B491248" w14:textId="77777777" w:rsidR="00482906" w:rsidRPr="000A303E" w:rsidRDefault="00482906" w:rsidP="001661B9">
      <w:pPr>
        <w:pBdr>
          <w:top w:val="nil"/>
          <w:left w:val="nil"/>
          <w:bottom w:val="nil"/>
          <w:right w:val="nil"/>
          <w:between w:val="nil"/>
        </w:pBdr>
        <w:spacing w:after="0" w:line="360" w:lineRule="auto"/>
        <w:ind w:left="567"/>
        <w:rPr>
          <w:i/>
          <w:color w:val="000000"/>
        </w:rPr>
      </w:pPr>
    </w:p>
    <w:p w14:paraId="1D4F400E" w14:textId="77777777" w:rsidR="00482906" w:rsidRPr="000A303E" w:rsidRDefault="00933E24">
      <w:pPr>
        <w:pStyle w:val="Ttulo2"/>
        <w:spacing w:before="0" w:after="0"/>
      </w:pPr>
      <w:bookmarkStart w:id="5" w:name="_Toc210916367"/>
      <w:r w:rsidRPr="000A303E">
        <w:t>III. Interposición del Recurso de Revisión</w:t>
      </w:r>
      <w:bookmarkEnd w:id="5"/>
    </w:p>
    <w:p w14:paraId="04592225" w14:textId="77777777" w:rsidR="00482906" w:rsidRPr="000A303E" w:rsidRDefault="00482906">
      <w:pPr>
        <w:spacing w:after="0" w:line="360" w:lineRule="auto"/>
        <w:rPr>
          <w:b/>
        </w:rPr>
      </w:pPr>
    </w:p>
    <w:p w14:paraId="6A7F9CBC" w14:textId="77777777" w:rsidR="00482906" w:rsidRPr="000A303E" w:rsidRDefault="00933E24">
      <w:pPr>
        <w:spacing w:after="0" w:line="360" w:lineRule="auto"/>
      </w:pPr>
      <w:bookmarkStart w:id="6" w:name="_heading=h.2et92p0" w:colFirst="0" w:colLast="0"/>
      <w:bookmarkEnd w:id="6"/>
      <w:r w:rsidRPr="000A303E">
        <w:t>Con fecha veintinueve de agosto dos mil veinticinco, se recibió en este Instituto, a través del SAIMEX, el Recurso de Revisión interpuesto por la persona Recurrente, en los siguientes términos:</w:t>
      </w:r>
    </w:p>
    <w:p w14:paraId="3CACDA73" w14:textId="77777777" w:rsidR="00482906" w:rsidRPr="000A303E" w:rsidRDefault="00482906">
      <w:pPr>
        <w:spacing w:after="0" w:line="360" w:lineRule="auto"/>
      </w:pPr>
    </w:p>
    <w:p w14:paraId="4E4534CF" w14:textId="77777777" w:rsidR="00482906" w:rsidRPr="000A303E" w:rsidRDefault="00933E24">
      <w:pPr>
        <w:spacing w:after="0" w:line="360" w:lineRule="auto"/>
        <w:ind w:left="567" w:right="709"/>
        <w:rPr>
          <w:b/>
          <w:sz w:val="20"/>
          <w:szCs w:val="20"/>
        </w:rPr>
      </w:pPr>
      <w:r w:rsidRPr="000A303E">
        <w:rPr>
          <w:b/>
          <w:sz w:val="20"/>
          <w:szCs w:val="20"/>
        </w:rPr>
        <w:t>ACTO IMPUGNADO</w:t>
      </w:r>
      <w:r w:rsidRPr="000A303E">
        <w:rPr>
          <w:b/>
          <w:sz w:val="20"/>
          <w:szCs w:val="20"/>
        </w:rPr>
        <w:tab/>
      </w:r>
    </w:p>
    <w:p w14:paraId="5007CA88" w14:textId="77777777" w:rsidR="00482906" w:rsidRPr="000A303E" w:rsidRDefault="00933E24">
      <w:pPr>
        <w:spacing w:after="0" w:line="360" w:lineRule="auto"/>
        <w:ind w:left="567" w:right="709"/>
        <w:rPr>
          <w:i/>
          <w:sz w:val="20"/>
          <w:szCs w:val="20"/>
        </w:rPr>
      </w:pPr>
      <w:r w:rsidRPr="000A303E">
        <w:rPr>
          <w:i/>
          <w:sz w:val="20"/>
          <w:szCs w:val="20"/>
        </w:rPr>
        <w:t>“La información solicitada no es clara ni fue entregada. No se entregó lo que solicite” (Sic).</w:t>
      </w:r>
    </w:p>
    <w:p w14:paraId="55F19B5F" w14:textId="77777777" w:rsidR="00482906" w:rsidRPr="000A303E" w:rsidRDefault="00482906">
      <w:pPr>
        <w:spacing w:after="0" w:line="360" w:lineRule="auto"/>
        <w:ind w:left="567" w:right="709"/>
        <w:rPr>
          <w:sz w:val="20"/>
          <w:szCs w:val="20"/>
        </w:rPr>
      </w:pPr>
    </w:p>
    <w:p w14:paraId="30E26ECB" w14:textId="77777777" w:rsidR="00482906" w:rsidRPr="000A303E" w:rsidRDefault="00933E24">
      <w:pPr>
        <w:spacing w:after="0" w:line="360" w:lineRule="auto"/>
        <w:ind w:left="567" w:right="709"/>
        <w:rPr>
          <w:b/>
          <w:sz w:val="20"/>
          <w:szCs w:val="20"/>
        </w:rPr>
      </w:pPr>
      <w:r w:rsidRPr="000A303E">
        <w:rPr>
          <w:b/>
          <w:sz w:val="20"/>
          <w:szCs w:val="20"/>
        </w:rPr>
        <w:t>RAZONES O MOTIVOS DE LA INCONFORMIDAD</w:t>
      </w:r>
      <w:r w:rsidRPr="000A303E">
        <w:rPr>
          <w:b/>
          <w:sz w:val="20"/>
          <w:szCs w:val="20"/>
        </w:rPr>
        <w:tab/>
      </w:r>
    </w:p>
    <w:p w14:paraId="79C12F12" w14:textId="77777777" w:rsidR="00482906" w:rsidRPr="000A303E" w:rsidRDefault="00933E24">
      <w:pPr>
        <w:tabs>
          <w:tab w:val="left" w:pos="4667"/>
        </w:tabs>
        <w:spacing w:after="0" w:line="360" w:lineRule="auto"/>
        <w:ind w:left="567" w:right="709"/>
        <w:rPr>
          <w:i/>
          <w:sz w:val="20"/>
          <w:szCs w:val="20"/>
        </w:rPr>
      </w:pPr>
      <w:r w:rsidRPr="000A303E">
        <w:rPr>
          <w:i/>
          <w:sz w:val="20"/>
          <w:szCs w:val="20"/>
        </w:rPr>
        <w:t>“La información solicitada no es clara ni fue entregada. No se entregó lo que solicite” (Sic).</w:t>
      </w:r>
    </w:p>
    <w:p w14:paraId="0337B0C4" w14:textId="77777777" w:rsidR="00482906" w:rsidRPr="000A303E" w:rsidRDefault="00482906">
      <w:pPr>
        <w:pBdr>
          <w:top w:val="nil"/>
          <w:left w:val="nil"/>
          <w:bottom w:val="nil"/>
          <w:right w:val="nil"/>
          <w:between w:val="nil"/>
        </w:pBdr>
        <w:spacing w:after="0" w:line="360" w:lineRule="auto"/>
        <w:rPr>
          <w:color w:val="000000"/>
        </w:rPr>
      </w:pPr>
    </w:p>
    <w:p w14:paraId="0A84FFFC" w14:textId="77777777" w:rsidR="00482906" w:rsidRPr="000A303E" w:rsidRDefault="00933E24">
      <w:pPr>
        <w:pStyle w:val="Ttulo2"/>
        <w:spacing w:before="0" w:after="0"/>
      </w:pPr>
      <w:bookmarkStart w:id="7" w:name="_Toc210916368"/>
      <w:r w:rsidRPr="000A303E">
        <w:t>IV. Trámite del Recurso de Revisión ante este Instituto</w:t>
      </w:r>
      <w:bookmarkEnd w:id="7"/>
    </w:p>
    <w:p w14:paraId="2B5D238B" w14:textId="77777777" w:rsidR="00482906" w:rsidRPr="000A303E" w:rsidRDefault="00482906">
      <w:pPr>
        <w:spacing w:after="0" w:line="360" w:lineRule="auto"/>
        <w:rPr>
          <w:b/>
        </w:rPr>
      </w:pPr>
    </w:p>
    <w:p w14:paraId="2F29506C" w14:textId="77777777" w:rsidR="00482906" w:rsidRPr="000A303E" w:rsidRDefault="00933E24">
      <w:pPr>
        <w:spacing w:after="0" w:line="360" w:lineRule="auto"/>
        <w:rPr>
          <w:color w:val="000000"/>
        </w:rPr>
      </w:pPr>
      <w:r w:rsidRPr="000A303E">
        <w:rPr>
          <w:b/>
        </w:rPr>
        <w:t>a) Turno del Medio de Impugnación.</w:t>
      </w:r>
      <w:r w:rsidRPr="000A303E">
        <w:t xml:space="preserve"> </w:t>
      </w:r>
      <w:r w:rsidRPr="000A303E">
        <w:rPr>
          <w:color w:val="000000"/>
        </w:rPr>
        <w:t>El veintinueve de agosto de dos mil veinticinco, el SAIMEX, asignó el número de expediente</w:t>
      </w:r>
      <w:r w:rsidRPr="000A303E">
        <w:rPr>
          <w:b/>
          <w:color w:val="000000"/>
        </w:rPr>
        <w:t xml:space="preserve"> 10191/INFOEM/IP/RR/2025, </w:t>
      </w:r>
      <w:r w:rsidRPr="000A303E">
        <w:rPr>
          <w:color w:val="000000"/>
        </w:rPr>
        <w:t xml:space="preserve">al medio de impugnación que nos ocupan, con base en el sistema aprobado por el Pleno de este Órgano </w:t>
      </w:r>
      <w:r w:rsidRPr="000A303E">
        <w:rPr>
          <w:color w:val="000000"/>
        </w:rPr>
        <w:lastRenderedPageBreak/>
        <w:t>Garante y se turnó al Comisionado Ponente Luis Gustavo Parra Noriega, para los efectos del artículo 185, fracción I de la Ley de Transparencia y Acceso a la Información Pública del Estado de México y Municipios.</w:t>
      </w:r>
    </w:p>
    <w:p w14:paraId="5EFF0E05" w14:textId="77777777" w:rsidR="00482906" w:rsidRPr="000A303E" w:rsidRDefault="00482906">
      <w:pPr>
        <w:spacing w:after="0" w:line="360" w:lineRule="auto"/>
      </w:pPr>
    </w:p>
    <w:p w14:paraId="79C9C2A6" w14:textId="77777777" w:rsidR="00482906" w:rsidRPr="000A303E" w:rsidRDefault="00933E24">
      <w:pPr>
        <w:spacing w:after="0" w:line="360" w:lineRule="auto"/>
        <w:rPr>
          <w:color w:val="000000"/>
        </w:rPr>
      </w:pPr>
      <w:r w:rsidRPr="000A303E">
        <w:rPr>
          <w:b/>
        </w:rPr>
        <w:t>b) Admisión del Recurso de Revisión.</w:t>
      </w:r>
      <w:r w:rsidRPr="000A303E">
        <w:t xml:space="preserve"> </w:t>
      </w:r>
      <w:r w:rsidRPr="000A303E">
        <w:rPr>
          <w:color w:val="000000"/>
        </w:rPr>
        <w:t xml:space="preserve">El </w:t>
      </w:r>
      <w:r w:rsidRPr="000A303E">
        <w:t>tres de septiembre de dos mil veinticinco</w:t>
      </w:r>
      <w:r w:rsidRPr="000A303E">
        <w:rPr>
          <w:color w:val="000000"/>
        </w:rPr>
        <w:t xml:space="preserve">,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notificada a las partes en la misma fecha, a través del SAIMEX, en el que se les otorgó un plazo de siete días hábiles posteriores a la misma, para que </w:t>
      </w:r>
      <w:r w:rsidRPr="000A303E">
        <w:t>manifestara</w:t>
      </w:r>
      <w:r w:rsidRPr="000A303E">
        <w:rPr>
          <w:color w:val="000000"/>
        </w:rPr>
        <w:t xml:space="preserve"> lo que a su derecho conviniera y </w:t>
      </w:r>
      <w:r w:rsidRPr="000A303E">
        <w:t>formularán</w:t>
      </w:r>
      <w:r w:rsidRPr="000A303E">
        <w:rPr>
          <w:color w:val="000000"/>
        </w:rPr>
        <w:t xml:space="preserve"> alegatos.</w:t>
      </w:r>
    </w:p>
    <w:p w14:paraId="4C3D40F5" w14:textId="77777777" w:rsidR="00482906" w:rsidRPr="000A303E" w:rsidRDefault="00482906">
      <w:pPr>
        <w:spacing w:after="0" w:line="360" w:lineRule="auto"/>
        <w:rPr>
          <w:color w:val="000000"/>
        </w:rPr>
      </w:pPr>
    </w:p>
    <w:p w14:paraId="64F1CB25" w14:textId="77777777" w:rsidR="00482906" w:rsidRPr="000A303E" w:rsidRDefault="00933E24">
      <w:pPr>
        <w:spacing w:after="0" w:line="360" w:lineRule="auto"/>
        <w:rPr>
          <w:color w:val="000000"/>
        </w:rPr>
      </w:pPr>
      <w:r w:rsidRPr="000A303E">
        <w:rPr>
          <w:b/>
          <w:color w:val="000000"/>
        </w:rPr>
        <w:t xml:space="preserve">c) Informe Justificado. </w:t>
      </w:r>
      <w:r w:rsidRPr="000A303E">
        <w:rPr>
          <w:color w:val="000000"/>
        </w:rPr>
        <w:t>En fecha</w:t>
      </w:r>
      <w:r w:rsidRPr="000A303E">
        <w:rPr>
          <w:b/>
          <w:color w:val="000000"/>
        </w:rPr>
        <w:t xml:space="preserve"> </w:t>
      </w:r>
      <w:r w:rsidRPr="000A303E">
        <w:rPr>
          <w:color w:val="000000"/>
        </w:rPr>
        <w:t>once de septiembre de dos mil veinticinco, el Sujeto Obligado rindió informe justificado a través de SAIMEX, mediante un oficio emitido por la Tesorería Municipal, en el que ratificó la respuesta en los siguientes términos:</w:t>
      </w:r>
    </w:p>
    <w:p w14:paraId="2B0B49F9" w14:textId="77777777" w:rsidR="00482906" w:rsidRPr="000A303E" w:rsidRDefault="00482906">
      <w:pPr>
        <w:spacing w:after="0" w:line="360" w:lineRule="auto"/>
        <w:rPr>
          <w:color w:val="000000"/>
        </w:rPr>
      </w:pPr>
    </w:p>
    <w:p w14:paraId="6B218EC6" w14:textId="77777777" w:rsidR="00482906" w:rsidRPr="000A303E" w:rsidRDefault="00933E24" w:rsidP="001661B9">
      <w:pPr>
        <w:spacing w:after="0" w:line="360" w:lineRule="auto"/>
        <w:ind w:left="567" w:right="567"/>
        <w:rPr>
          <w:i/>
          <w:color w:val="000000"/>
          <w:sz w:val="20"/>
          <w:szCs w:val="20"/>
        </w:rPr>
      </w:pPr>
      <w:r w:rsidRPr="000A303E">
        <w:rPr>
          <w:i/>
          <w:sz w:val="20"/>
          <w:szCs w:val="20"/>
        </w:rPr>
        <w:t xml:space="preserve">“En atención a su solicitud y conforme al artículo 12 párrafo segundo de la Ley de Transparencia y Acceso a la Información Pública del Estado de México y Municipios, comparto liga de acceso a la página oficial del Municipio de Mexicaltzingo “Endeudamiento Neto”. </w:t>
      </w:r>
      <w:hyperlink r:id="rId10">
        <w:r w:rsidRPr="000A303E">
          <w:rPr>
            <w:i/>
            <w:color w:val="0563C1"/>
            <w:sz w:val="20"/>
            <w:szCs w:val="20"/>
            <w:u w:val="single"/>
          </w:rPr>
          <w:t>https://www.mexicaltzingo.gob.mx/wp-content/uploads/2025/08/Endeudamiento-Neto.pdf</w:t>
        </w:r>
      </w:hyperlink>
      <w:r w:rsidRPr="000A303E">
        <w:rPr>
          <w:i/>
          <w:sz w:val="20"/>
          <w:szCs w:val="20"/>
        </w:rPr>
        <w:t>”</w:t>
      </w:r>
    </w:p>
    <w:p w14:paraId="016F406A" w14:textId="77777777" w:rsidR="00482906" w:rsidRPr="000A303E" w:rsidRDefault="00482906">
      <w:pPr>
        <w:spacing w:after="0" w:line="360" w:lineRule="auto"/>
        <w:rPr>
          <w:color w:val="000000"/>
        </w:rPr>
      </w:pPr>
    </w:p>
    <w:p w14:paraId="2406C700" w14:textId="77777777" w:rsidR="00482906" w:rsidRPr="000A303E" w:rsidRDefault="00933E24">
      <w:pPr>
        <w:spacing w:after="0" w:line="360" w:lineRule="auto"/>
        <w:rPr>
          <w:b/>
        </w:rPr>
      </w:pPr>
      <w:r w:rsidRPr="000A303E">
        <w:rPr>
          <w:b/>
          <w:color w:val="000000"/>
        </w:rPr>
        <w:t>d) Vista del Informe Justificado.</w:t>
      </w:r>
      <w:r w:rsidRPr="000A303E">
        <w:t xml:space="preserve"> El dos de octubre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w:t>
      </w:r>
    </w:p>
    <w:p w14:paraId="330D1016" w14:textId="77777777" w:rsidR="00482906" w:rsidRPr="000A303E" w:rsidRDefault="00482906">
      <w:pPr>
        <w:spacing w:after="0" w:line="360" w:lineRule="auto"/>
        <w:rPr>
          <w:b/>
        </w:rPr>
      </w:pPr>
    </w:p>
    <w:p w14:paraId="172EED1B" w14:textId="77777777" w:rsidR="00482906" w:rsidRPr="000A303E" w:rsidRDefault="00933E24">
      <w:pPr>
        <w:spacing w:after="0" w:line="360" w:lineRule="auto"/>
        <w:rPr>
          <w:color w:val="000000"/>
        </w:rPr>
      </w:pPr>
      <w:r w:rsidRPr="000A303E">
        <w:rPr>
          <w:b/>
        </w:rPr>
        <w:lastRenderedPageBreak/>
        <w:t xml:space="preserve">e) Manifestaciones de la parte Recurrente. </w:t>
      </w:r>
      <w:r w:rsidRPr="000A303E">
        <w:t xml:space="preserve">De las constancias que obran en el expediente en el que nos ocupa, se aprecia que la parte Recurrente no añadió elementos de análisis. </w:t>
      </w:r>
    </w:p>
    <w:p w14:paraId="7E4ADD1D" w14:textId="77777777" w:rsidR="00482906" w:rsidRPr="000A303E" w:rsidRDefault="00482906">
      <w:pPr>
        <w:pBdr>
          <w:top w:val="nil"/>
          <w:left w:val="nil"/>
          <w:bottom w:val="nil"/>
          <w:right w:val="nil"/>
          <w:between w:val="nil"/>
        </w:pBdr>
        <w:tabs>
          <w:tab w:val="left" w:pos="426"/>
        </w:tabs>
        <w:spacing w:after="0" w:line="360" w:lineRule="auto"/>
        <w:rPr>
          <w:b/>
          <w:color w:val="000000"/>
        </w:rPr>
      </w:pPr>
    </w:p>
    <w:p w14:paraId="1911A1DA" w14:textId="77777777" w:rsidR="00482906" w:rsidRPr="000A303E" w:rsidRDefault="00933E24">
      <w:pPr>
        <w:spacing w:after="0" w:line="360" w:lineRule="auto"/>
      </w:pPr>
      <w:r w:rsidRPr="000A303E">
        <w:rPr>
          <w:b/>
        </w:rPr>
        <w:t>f) Cierre de instrucción.</w:t>
      </w:r>
      <w:r w:rsidRPr="000A303E">
        <w:t xml:space="preserve"> El ocho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en la misma fecha, mediante el SAIMEX.</w:t>
      </w:r>
    </w:p>
    <w:p w14:paraId="547AF140" w14:textId="77777777" w:rsidR="00482906" w:rsidRPr="000A303E" w:rsidRDefault="00482906">
      <w:pPr>
        <w:spacing w:after="0" w:line="360" w:lineRule="auto"/>
      </w:pPr>
    </w:p>
    <w:p w14:paraId="0B8601EA" w14:textId="77777777" w:rsidR="00482906" w:rsidRPr="000A303E" w:rsidRDefault="00933E24">
      <w:pPr>
        <w:spacing w:after="0" w:line="360" w:lineRule="auto"/>
      </w:pPr>
      <w:r w:rsidRPr="000A303E">
        <w:t xml:space="preserve">En razón de que fue debidamente sustanciado e integrado el expediente electrónico y no existir diligencia pendiente de desahogo, se emite la resolución que conforme a Derecho proceda, de acuerdo a los siguientes: </w:t>
      </w:r>
    </w:p>
    <w:p w14:paraId="2F04236F" w14:textId="77777777" w:rsidR="00482906" w:rsidRPr="000A303E" w:rsidRDefault="00482906">
      <w:pPr>
        <w:spacing w:after="0" w:line="360" w:lineRule="auto"/>
      </w:pPr>
    </w:p>
    <w:p w14:paraId="4CD0205B" w14:textId="77777777" w:rsidR="00482906" w:rsidRPr="000A303E" w:rsidRDefault="00933E24">
      <w:pPr>
        <w:pStyle w:val="Ttulo1"/>
        <w:spacing w:before="0" w:after="0"/>
        <w:rPr>
          <w:sz w:val="22"/>
          <w:szCs w:val="22"/>
        </w:rPr>
      </w:pPr>
      <w:bookmarkStart w:id="8" w:name="_Toc210916369"/>
      <w:r w:rsidRPr="000A303E">
        <w:rPr>
          <w:sz w:val="22"/>
          <w:szCs w:val="22"/>
        </w:rPr>
        <w:t>C O N S I D E R A N D O S</w:t>
      </w:r>
      <w:bookmarkEnd w:id="8"/>
    </w:p>
    <w:p w14:paraId="67762463" w14:textId="77777777" w:rsidR="00482906" w:rsidRPr="000A303E" w:rsidRDefault="00482906">
      <w:pPr>
        <w:spacing w:after="0" w:line="360" w:lineRule="auto"/>
        <w:rPr>
          <w:b/>
        </w:rPr>
      </w:pPr>
    </w:p>
    <w:p w14:paraId="3A5EE84B" w14:textId="77777777" w:rsidR="00482906" w:rsidRPr="000A303E" w:rsidRDefault="00933E24">
      <w:pPr>
        <w:pStyle w:val="Ttulo2"/>
        <w:spacing w:before="0" w:after="0"/>
      </w:pPr>
      <w:bookmarkStart w:id="9" w:name="_Toc210916370"/>
      <w:r w:rsidRPr="000A303E">
        <w:t>PRIMERO. Competencia</w:t>
      </w:r>
      <w:bookmarkEnd w:id="9"/>
    </w:p>
    <w:p w14:paraId="66026886" w14:textId="77777777" w:rsidR="00482906" w:rsidRPr="000A303E" w:rsidRDefault="00482906">
      <w:pPr>
        <w:spacing w:after="0" w:line="360" w:lineRule="auto"/>
      </w:pPr>
    </w:p>
    <w:p w14:paraId="0570D05F" w14:textId="77777777" w:rsidR="00482906" w:rsidRPr="000A303E" w:rsidRDefault="00933E24">
      <w:pPr>
        <w:spacing w:after="0" w:line="360" w:lineRule="auto"/>
      </w:pPr>
      <w:r w:rsidRPr="000A303E">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3F6915F" w14:textId="77777777" w:rsidR="00482906" w:rsidRPr="000A303E" w:rsidRDefault="00482906">
      <w:pPr>
        <w:spacing w:after="0" w:line="360" w:lineRule="auto"/>
      </w:pPr>
    </w:p>
    <w:p w14:paraId="3533C094" w14:textId="77777777" w:rsidR="00482906" w:rsidRPr="000A303E" w:rsidRDefault="00933E24">
      <w:pPr>
        <w:pStyle w:val="Ttulo2"/>
        <w:spacing w:before="0" w:after="0"/>
      </w:pPr>
      <w:bookmarkStart w:id="10" w:name="_Toc210916371"/>
      <w:r w:rsidRPr="000A303E">
        <w:t>SEGUNDO. Causales de improcedencia y sobreseimiento</w:t>
      </w:r>
      <w:bookmarkEnd w:id="10"/>
    </w:p>
    <w:p w14:paraId="1D6FCA28" w14:textId="77777777" w:rsidR="00482906" w:rsidRPr="000A303E" w:rsidRDefault="00482906">
      <w:pPr>
        <w:spacing w:after="0" w:line="360" w:lineRule="auto"/>
      </w:pPr>
    </w:p>
    <w:p w14:paraId="64AB1295" w14:textId="77777777" w:rsidR="00482906" w:rsidRPr="000A303E" w:rsidRDefault="00933E24">
      <w:pPr>
        <w:spacing w:after="0" w:line="360" w:lineRule="auto"/>
      </w:pPr>
      <w:r w:rsidRPr="000A303E">
        <w:t xml:space="preserve">De las constancias que forman parte del Recurso de Revisión que se analiza, se advierte que previo al estudio del fondo de la </w:t>
      </w:r>
      <w:r w:rsidRPr="000A303E">
        <w:rPr>
          <w:i/>
        </w:rPr>
        <w:t>litis</w:t>
      </w:r>
      <w:r w:rsidRPr="000A303E">
        <w:t>, es necesario estudiar las causales de improcedencia y sobreseimiento que se adviertan, para determinar lo que en Derecho proceda.</w:t>
      </w:r>
    </w:p>
    <w:p w14:paraId="11F4C4DC" w14:textId="77777777" w:rsidR="00482906" w:rsidRPr="000A303E" w:rsidRDefault="00482906">
      <w:pPr>
        <w:spacing w:after="0" w:line="360" w:lineRule="auto"/>
      </w:pPr>
    </w:p>
    <w:p w14:paraId="7630E085" w14:textId="77777777" w:rsidR="00482906" w:rsidRPr="000A303E" w:rsidRDefault="00933E24">
      <w:pPr>
        <w:spacing w:after="0" w:line="360" w:lineRule="auto"/>
        <w:rPr>
          <w:b/>
        </w:rPr>
      </w:pPr>
      <w:r w:rsidRPr="000A303E">
        <w:rPr>
          <w:b/>
        </w:rPr>
        <w:t>Causales de improcedencia</w:t>
      </w:r>
    </w:p>
    <w:p w14:paraId="4C223BC9" w14:textId="77777777" w:rsidR="00482906" w:rsidRPr="000A303E" w:rsidRDefault="00482906">
      <w:pPr>
        <w:spacing w:after="0" w:line="360" w:lineRule="auto"/>
      </w:pPr>
    </w:p>
    <w:p w14:paraId="585C7665" w14:textId="77777777" w:rsidR="00482906" w:rsidRPr="000A303E" w:rsidRDefault="00933E24">
      <w:pPr>
        <w:spacing w:after="0" w:line="360" w:lineRule="auto"/>
      </w:pPr>
      <w:r w:rsidRPr="000A303E">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0A303E">
        <w:rPr>
          <w:b/>
        </w:rPr>
        <w:t xml:space="preserve"> </w:t>
      </w:r>
      <w:r w:rsidRPr="000A303E">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6E36DB81" w14:textId="77777777" w:rsidR="00482906" w:rsidRPr="000A303E" w:rsidRDefault="00482906">
      <w:pPr>
        <w:spacing w:after="0" w:line="360" w:lineRule="auto"/>
      </w:pPr>
    </w:p>
    <w:p w14:paraId="498FC366" w14:textId="77777777" w:rsidR="00482906" w:rsidRPr="000A303E" w:rsidRDefault="00933E24">
      <w:pPr>
        <w:spacing w:after="0" w:line="360" w:lineRule="auto"/>
      </w:pPr>
      <w:r w:rsidRPr="000A303E">
        <w:t xml:space="preserve">En el presente caso, </w:t>
      </w:r>
      <w:r w:rsidRPr="000A303E">
        <w:rPr>
          <w:b/>
        </w:rPr>
        <w:t>no se actualiza ninguna de las causales de improcedencia</w:t>
      </w:r>
      <w:r w:rsidRPr="000A303E">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2B47EA4F" w14:textId="77777777" w:rsidR="00482906" w:rsidRPr="000A303E" w:rsidRDefault="00482906">
      <w:pPr>
        <w:spacing w:after="0" w:line="360" w:lineRule="auto"/>
        <w:rPr>
          <w:b/>
        </w:rPr>
      </w:pPr>
    </w:p>
    <w:p w14:paraId="00F4B2C4" w14:textId="77777777" w:rsidR="00482906" w:rsidRPr="000A303E" w:rsidRDefault="00933E24">
      <w:pPr>
        <w:spacing w:after="0" w:line="360" w:lineRule="auto"/>
        <w:ind w:right="-28"/>
        <w:rPr>
          <w:b/>
          <w:color w:val="000000"/>
        </w:rPr>
      </w:pPr>
      <w:r w:rsidRPr="000A303E">
        <w:rPr>
          <w:b/>
          <w:color w:val="000000"/>
        </w:rPr>
        <w:t>Causales de sobreseimiento</w:t>
      </w:r>
    </w:p>
    <w:p w14:paraId="467AC96B" w14:textId="77777777" w:rsidR="00482906" w:rsidRPr="000A303E" w:rsidRDefault="00482906">
      <w:pPr>
        <w:spacing w:after="0" w:line="360" w:lineRule="auto"/>
        <w:ind w:right="-28"/>
        <w:rPr>
          <w:color w:val="000000"/>
        </w:rPr>
      </w:pPr>
    </w:p>
    <w:p w14:paraId="6F8DDAE5" w14:textId="77777777" w:rsidR="00482906" w:rsidRPr="000A303E" w:rsidRDefault="00933E24">
      <w:pPr>
        <w:spacing w:after="0" w:line="360" w:lineRule="auto"/>
        <w:rPr>
          <w:color w:val="000000"/>
        </w:rPr>
      </w:pPr>
      <w:r w:rsidRPr="000A303E">
        <w:rPr>
          <w:color w:val="0D0D0D"/>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IV y V,</w:t>
      </w:r>
      <w:r w:rsidRPr="000A303E">
        <w:rPr>
          <w:b/>
          <w:color w:val="0D0D0D"/>
        </w:rPr>
        <w:t xml:space="preserve"> </w:t>
      </w:r>
      <w:r w:rsidRPr="000A303E">
        <w:rPr>
          <w:color w:val="0D0D0D"/>
        </w:rPr>
        <w:t>toda vez que no hay constancias en el expediente en que se actúa, de que la persona Recurrente se haya desistido, fallecido, que el Sujeto Obligado hubiese modificado o revocado el acto impugnado o bien,</w:t>
      </w:r>
      <w:r w:rsidRPr="000A303E">
        <w:t xml:space="preserve"> </w:t>
      </w:r>
      <w:r w:rsidRPr="000A303E">
        <w:rPr>
          <w:color w:val="0D0D0D"/>
        </w:rPr>
        <w:t>que admitido una vez admitido el Recurso de Revisión, aparezca alguna causal de improcedencia o haya quedado sin materia.</w:t>
      </w:r>
    </w:p>
    <w:p w14:paraId="3013845E" w14:textId="77777777" w:rsidR="00482906" w:rsidRPr="000A303E" w:rsidRDefault="00482906">
      <w:pPr>
        <w:spacing w:after="0" w:line="360" w:lineRule="auto"/>
        <w:rPr>
          <w:color w:val="000000"/>
        </w:rPr>
      </w:pPr>
    </w:p>
    <w:p w14:paraId="77C9E9AE" w14:textId="77777777" w:rsidR="00482906" w:rsidRPr="000A303E" w:rsidRDefault="00933E24">
      <w:pPr>
        <w:keepNext/>
        <w:keepLines/>
        <w:spacing w:after="0" w:line="360" w:lineRule="auto"/>
        <w:rPr>
          <w:b/>
        </w:rPr>
      </w:pPr>
      <w:r w:rsidRPr="000A303E">
        <w:rPr>
          <w:b/>
        </w:rPr>
        <w:t>TERCERO. Determinación de la Controversia</w:t>
      </w:r>
    </w:p>
    <w:p w14:paraId="1816A8C2" w14:textId="77777777" w:rsidR="00482906" w:rsidRPr="000A303E" w:rsidRDefault="00482906">
      <w:pPr>
        <w:spacing w:after="0" w:line="360" w:lineRule="auto"/>
      </w:pPr>
    </w:p>
    <w:p w14:paraId="314EFF13" w14:textId="333FD598" w:rsidR="00482906" w:rsidRPr="000A303E" w:rsidRDefault="00933E24" w:rsidP="001661B9">
      <w:pPr>
        <w:spacing w:after="0" w:line="360" w:lineRule="auto"/>
        <w:rPr>
          <w:bCs/>
        </w:rPr>
      </w:pPr>
      <w:r w:rsidRPr="000A303E">
        <w:t xml:space="preserve">Así, se realizará la relatoría de las actuaciones efectuadas por las partes durante el procedimiento de acceso a la información pública con el propósito de dar claridad en el tratamiento del tema en estudio; por lo que en primer término tenemos que la parte Recurrente solicitó la entrega </w:t>
      </w:r>
      <w:r w:rsidR="001661B9" w:rsidRPr="000A303E">
        <w:t>del monto total que ascendían</w:t>
      </w:r>
      <w:r w:rsidRPr="000A303E">
        <w:rPr>
          <w:b/>
        </w:rPr>
        <w:t xml:space="preserve"> </w:t>
      </w:r>
      <w:r w:rsidRPr="000A303E">
        <w:rPr>
          <w:bCs/>
        </w:rPr>
        <w:t>los pasivos al 18 de julio de 2025.</w:t>
      </w:r>
    </w:p>
    <w:p w14:paraId="3E9C4F86" w14:textId="77777777" w:rsidR="00482906" w:rsidRPr="000A303E" w:rsidRDefault="00482906">
      <w:pPr>
        <w:spacing w:after="0" w:line="360" w:lineRule="auto"/>
        <w:ind w:left="360"/>
      </w:pPr>
    </w:p>
    <w:p w14:paraId="0DA3966F" w14:textId="77777777" w:rsidR="00482906" w:rsidRPr="000A303E" w:rsidRDefault="00933E24">
      <w:pPr>
        <w:spacing w:after="0" w:line="360" w:lineRule="auto"/>
      </w:pPr>
      <w:r w:rsidRPr="000A303E">
        <w:t>En este tenor, en respuesta el Sujeto Obligado</w:t>
      </w:r>
      <w:r w:rsidRPr="000A303E">
        <w:rPr>
          <w:b/>
        </w:rPr>
        <w:t xml:space="preserve">, </w:t>
      </w:r>
      <w:r w:rsidRPr="000A303E">
        <w:t xml:space="preserve">remitió un oficio emitido por la Tesorería Municipal en el que informó que el endeudamiento neto se puede consultar en una liga de </w:t>
      </w:r>
      <w:r w:rsidRPr="000A303E">
        <w:rPr>
          <w:i/>
        </w:rPr>
        <w:t xml:space="preserve">Internet </w:t>
      </w:r>
      <w:r w:rsidRPr="000A303E">
        <w:t xml:space="preserve">proporcionada en datos abiertos, es decir que se puede acceder a ella con solo seleccionarla, o bien copiarla y pegarla en el buscador. </w:t>
      </w:r>
    </w:p>
    <w:p w14:paraId="57CED021" w14:textId="77777777" w:rsidR="00482906" w:rsidRPr="000A303E" w:rsidRDefault="00482906">
      <w:pPr>
        <w:spacing w:after="0" w:line="360" w:lineRule="auto"/>
      </w:pPr>
    </w:p>
    <w:p w14:paraId="3413577C" w14:textId="77777777" w:rsidR="00482906" w:rsidRPr="000A303E" w:rsidRDefault="00933E24">
      <w:pPr>
        <w:spacing w:after="0" w:line="360" w:lineRule="auto"/>
      </w:pPr>
      <w:r w:rsidRPr="000A303E">
        <w:t xml:space="preserve">Derivado de ello, la parte </w:t>
      </w:r>
      <w:r w:rsidRPr="000A303E">
        <w:rPr>
          <w:b/>
        </w:rPr>
        <w:t xml:space="preserve">Recurrente </w:t>
      </w:r>
      <w:r w:rsidRPr="000A303E">
        <w:t xml:space="preserve">se inconformó bajo el argumento de que la información no fue clara, no fue entregada y que no corresponde con lo solicitado.  Durante la etapa de manifestaciones el </w:t>
      </w:r>
      <w:r w:rsidRPr="000A303E">
        <w:rPr>
          <w:b/>
        </w:rPr>
        <w:t xml:space="preserve">Sujeto Obligado </w:t>
      </w:r>
      <w:r w:rsidRPr="000A303E">
        <w:t xml:space="preserve">ratificó la respuesta inicial, mientras que a parte </w:t>
      </w:r>
      <w:r w:rsidRPr="000A303E">
        <w:rPr>
          <w:b/>
        </w:rPr>
        <w:t xml:space="preserve">Recurrente </w:t>
      </w:r>
      <w:r w:rsidRPr="000A303E">
        <w:t>fue omisa en añadir manifestaciones.</w:t>
      </w:r>
    </w:p>
    <w:p w14:paraId="650FED30" w14:textId="77777777" w:rsidR="00482906" w:rsidRPr="000A303E" w:rsidRDefault="00933E24">
      <w:pPr>
        <w:tabs>
          <w:tab w:val="left" w:pos="4962"/>
        </w:tabs>
        <w:spacing w:after="0" w:line="360" w:lineRule="auto"/>
      </w:pPr>
      <w:r w:rsidRPr="000A303E">
        <w:lastRenderedPageBreak/>
        <w:t xml:space="preserve">Así pues, de las constancias que integran el expediente, se advierte que en el asunto que nos ocupa se actualiza la causal de procedencia señalada en el artículo 179, fracciones VI, de la Ley de la materia; por la entrega de información que no corresponde con lo solicitado. </w:t>
      </w:r>
    </w:p>
    <w:p w14:paraId="2F0B2CAB" w14:textId="77777777" w:rsidR="00482906" w:rsidRPr="000A303E" w:rsidRDefault="00482906">
      <w:pPr>
        <w:tabs>
          <w:tab w:val="left" w:pos="4962"/>
        </w:tabs>
        <w:spacing w:after="0" w:line="360" w:lineRule="auto"/>
      </w:pPr>
    </w:p>
    <w:p w14:paraId="5ABD7AFB" w14:textId="77777777" w:rsidR="00482906" w:rsidRPr="000A303E" w:rsidRDefault="00933E24">
      <w:pPr>
        <w:tabs>
          <w:tab w:val="left" w:pos="4962"/>
        </w:tabs>
        <w:spacing w:after="0" w:line="360" w:lineRule="auto"/>
      </w:pPr>
      <w:r w:rsidRPr="000A303E">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3223C760" w14:textId="77777777" w:rsidR="00482906" w:rsidRPr="000A303E" w:rsidRDefault="00482906">
      <w:pPr>
        <w:spacing w:after="0" w:line="360" w:lineRule="auto"/>
      </w:pPr>
    </w:p>
    <w:p w14:paraId="21A47FB3" w14:textId="77777777" w:rsidR="00482906" w:rsidRPr="000A303E" w:rsidRDefault="00933E24">
      <w:pPr>
        <w:pStyle w:val="Ttulo2"/>
        <w:spacing w:before="0" w:after="0"/>
      </w:pPr>
      <w:bookmarkStart w:id="11" w:name="_Toc210916372"/>
      <w:r w:rsidRPr="000A303E">
        <w:t>CUARTO. Marco normativo aplicable en materia de transparencia y acceso a la información pública</w:t>
      </w:r>
      <w:bookmarkEnd w:id="11"/>
    </w:p>
    <w:p w14:paraId="3EC3B6FE" w14:textId="77777777" w:rsidR="00482906" w:rsidRPr="000A303E" w:rsidRDefault="00482906">
      <w:pPr>
        <w:spacing w:after="0" w:line="360" w:lineRule="auto"/>
        <w:rPr>
          <w:color w:val="000000"/>
        </w:rPr>
      </w:pPr>
    </w:p>
    <w:p w14:paraId="754FF441" w14:textId="77777777" w:rsidR="00482906" w:rsidRPr="000A303E" w:rsidRDefault="00933E24">
      <w:pPr>
        <w:spacing w:after="0" w:line="360" w:lineRule="auto"/>
        <w:rPr>
          <w:color w:val="000000"/>
        </w:rPr>
      </w:pPr>
      <w:r w:rsidRPr="000A303E">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75A547B" w14:textId="77777777" w:rsidR="00482906" w:rsidRPr="000A303E" w:rsidRDefault="00482906">
      <w:pPr>
        <w:spacing w:after="0" w:line="360" w:lineRule="auto"/>
        <w:rPr>
          <w:color w:val="000000"/>
        </w:rPr>
      </w:pPr>
    </w:p>
    <w:p w14:paraId="7F67B7B0" w14:textId="77777777" w:rsidR="00482906" w:rsidRPr="000A303E" w:rsidRDefault="00933E24">
      <w:pPr>
        <w:spacing w:after="0" w:line="360" w:lineRule="auto"/>
        <w:rPr>
          <w:color w:val="000000"/>
        </w:rPr>
      </w:pPr>
      <w:r w:rsidRPr="000A303E">
        <w:rPr>
          <w:color w:val="000000"/>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8FEE64E" w14:textId="77777777" w:rsidR="00482906" w:rsidRPr="000A303E" w:rsidRDefault="00482906">
      <w:pPr>
        <w:spacing w:after="0" w:line="360" w:lineRule="auto"/>
        <w:rPr>
          <w:color w:val="000000"/>
        </w:rPr>
      </w:pPr>
    </w:p>
    <w:p w14:paraId="75D6127A" w14:textId="77777777" w:rsidR="00482906" w:rsidRPr="000A303E" w:rsidRDefault="00933E24">
      <w:pPr>
        <w:spacing w:after="0" w:line="360" w:lineRule="auto"/>
        <w:rPr>
          <w:color w:val="000000"/>
        </w:rPr>
      </w:pPr>
      <w:r w:rsidRPr="000A303E">
        <w:rPr>
          <w:color w:val="000000"/>
        </w:rPr>
        <w:t>Por su parte, la Ley de Transparencia y Acceso a la Información Pública del Estado de México y Municipios (Reglamentaria del artículo 5° de la Constitución Local), establece lo siguiente:</w:t>
      </w:r>
    </w:p>
    <w:p w14:paraId="308FD1D9" w14:textId="77777777" w:rsidR="00482906" w:rsidRPr="000A303E" w:rsidRDefault="00482906">
      <w:pPr>
        <w:spacing w:after="0" w:line="360" w:lineRule="auto"/>
        <w:rPr>
          <w:color w:val="000000"/>
        </w:rPr>
      </w:pPr>
    </w:p>
    <w:p w14:paraId="187251AB" w14:textId="77777777" w:rsidR="00482906" w:rsidRPr="000A303E" w:rsidRDefault="00933E24">
      <w:pPr>
        <w:spacing w:after="0" w:line="360" w:lineRule="auto"/>
        <w:rPr>
          <w:color w:val="000000"/>
        </w:rPr>
      </w:pPr>
      <w:r w:rsidRPr="000A303E">
        <w:rPr>
          <w:color w:val="000000"/>
        </w:rPr>
        <w:t xml:space="preserve">El artículo </w:t>
      </w:r>
      <w:r w:rsidRPr="000A303E">
        <w:t>12 dice que</w:t>
      </w:r>
      <w:r w:rsidRPr="000A303E">
        <w:rPr>
          <w:color w:val="000000"/>
        </w:rPr>
        <w:t>, quienes generen, recopilen, administren, manejen, procesen, archiven o conserven información pública serán responsables de la misma.</w:t>
      </w:r>
    </w:p>
    <w:p w14:paraId="74B3CCCF" w14:textId="77777777" w:rsidR="00482906" w:rsidRPr="000A303E" w:rsidRDefault="00482906">
      <w:pPr>
        <w:spacing w:after="0" w:line="360" w:lineRule="auto"/>
        <w:rPr>
          <w:color w:val="000000"/>
        </w:rPr>
      </w:pPr>
    </w:p>
    <w:p w14:paraId="30C50A2D" w14:textId="77777777" w:rsidR="00482906" w:rsidRPr="000A303E" w:rsidRDefault="00933E24">
      <w:pPr>
        <w:spacing w:after="0" w:line="360" w:lineRule="auto"/>
        <w:rPr>
          <w:color w:val="000000"/>
        </w:rPr>
      </w:pPr>
      <w:r w:rsidRPr="000A303E">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2242642" w14:textId="77777777" w:rsidR="00482906" w:rsidRPr="000A303E" w:rsidRDefault="00482906">
      <w:pPr>
        <w:spacing w:after="0" w:line="360" w:lineRule="auto"/>
        <w:rPr>
          <w:color w:val="000000"/>
        </w:rPr>
      </w:pPr>
    </w:p>
    <w:p w14:paraId="0FDC7783" w14:textId="77777777" w:rsidR="00482906" w:rsidRPr="000A303E" w:rsidRDefault="00933E24">
      <w:pPr>
        <w:spacing w:after="0" w:line="360" w:lineRule="auto"/>
        <w:rPr>
          <w:color w:val="000000"/>
        </w:rPr>
      </w:pPr>
      <w:r w:rsidRPr="000A303E">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7E1A5A6" w14:textId="77777777" w:rsidR="00482906" w:rsidRPr="000A303E" w:rsidRDefault="00482906">
      <w:pPr>
        <w:pStyle w:val="Ttulo2"/>
        <w:spacing w:before="0" w:after="0"/>
        <w:rPr>
          <w:smallCaps/>
        </w:rPr>
      </w:pPr>
    </w:p>
    <w:p w14:paraId="469C889A" w14:textId="77777777" w:rsidR="00482906" w:rsidRPr="000A303E" w:rsidRDefault="00933E24">
      <w:pPr>
        <w:pStyle w:val="Ttulo2"/>
        <w:spacing w:before="0" w:after="0"/>
      </w:pPr>
      <w:bookmarkStart w:id="12" w:name="_Toc210916373"/>
      <w:r w:rsidRPr="000A303E">
        <w:rPr>
          <w:smallCaps/>
        </w:rPr>
        <w:t>QUINTO.</w:t>
      </w:r>
      <w:r w:rsidRPr="000A303E">
        <w:t xml:space="preserve"> Estudio de Fondo</w:t>
      </w:r>
      <w:bookmarkEnd w:id="12"/>
    </w:p>
    <w:p w14:paraId="7E3157BB" w14:textId="77777777" w:rsidR="00482906" w:rsidRPr="000A303E" w:rsidRDefault="00482906">
      <w:pPr>
        <w:spacing w:after="0" w:line="360" w:lineRule="auto"/>
      </w:pPr>
    </w:p>
    <w:p w14:paraId="45FF8E54" w14:textId="77777777" w:rsidR="00482906" w:rsidRPr="000A303E" w:rsidRDefault="00933E24">
      <w:pPr>
        <w:spacing w:after="0" w:line="360" w:lineRule="auto"/>
      </w:pPr>
      <w:r w:rsidRPr="000A303E">
        <w:t xml:space="preserve">Al respecto, vale la pena contextualizar la solicitud de información, la cual versa sobre el monto de endeudamiento o pasivos del Sujeto Obligado. </w:t>
      </w:r>
    </w:p>
    <w:p w14:paraId="78040DD8" w14:textId="77777777" w:rsidR="00482906" w:rsidRPr="000A303E" w:rsidRDefault="00482906">
      <w:pPr>
        <w:spacing w:after="0" w:line="360" w:lineRule="auto"/>
      </w:pPr>
    </w:p>
    <w:p w14:paraId="4E9415CC" w14:textId="3A906D70" w:rsidR="00482906" w:rsidRPr="000A303E" w:rsidRDefault="00933E24">
      <w:pPr>
        <w:spacing w:after="0" w:line="360" w:lineRule="auto"/>
        <w:rPr>
          <w:b/>
        </w:rPr>
      </w:pPr>
      <w:r w:rsidRPr="000A303E">
        <w:t xml:space="preserve">Al respecto, la Ley Orgánica Municipal del Estado de México, establece en su artículo 102 que los Municipios podrán contar obligaciones directas y contingentes derivadas de créditos en términos de la Ley de Deuda Pública Municipal del </w:t>
      </w:r>
      <w:r w:rsidR="001661B9" w:rsidRPr="000A303E">
        <w:t xml:space="preserve">Estado, </w:t>
      </w:r>
      <w:r w:rsidR="001661B9" w:rsidRPr="000A303E">
        <w:rPr>
          <w:b/>
        </w:rPr>
        <w:t>en</w:t>
      </w:r>
      <w:r w:rsidRPr="000A303E">
        <w:rPr>
          <w:b/>
        </w:rPr>
        <w:t xml:space="preserve"> atención a ello, los Ayuntamientos están facultados para contratar o adquirir deudas.</w:t>
      </w:r>
    </w:p>
    <w:p w14:paraId="2215168B" w14:textId="77777777" w:rsidR="00482906" w:rsidRPr="000A303E" w:rsidRDefault="00482906">
      <w:pPr>
        <w:spacing w:after="0" w:line="360" w:lineRule="auto"/>
      </w:pPr>
    </w:p>
    <w:p w14:paraId="1E0E8766" w14:textId="77777777" w:rsidR="00482906" w:rsidRPr="000A303E" w:rsidRDefault="00933E24">
      <w:pPr>
        <w:spacing w:after="0" w:line="360" w:lineRule="auto"/>
        <w:rPr>
          <w:b/>
        </w:rPr>
      </w:pPr>
      <w:r w:rsidRPr="000A303E">
        <w:t xml:space="preserve">Dicha Ley establece también en su artículo 101, que el proyecto del presupuesto de egresos se integrará básicamente con diversos aspectos, entre ellos, la situación de la deuda pública, incluyendo el contingente económico de los litigios laborales en los que el ayuntamiento forme parte, </w:t>
      </w:r>
      <w:r w:rsidRPr="000A303E">
        <w:rPr>
          <w:b/>
        </w:rPr>
        <w:t xml:space="preserve">en atención a ello, se advierte que el Sujeto Obligado puede conocer de la información de la deuda pública en cada uno de los presupuestos de egresos. </w:t>
      </w:r>
    </w:p>
    <w:p w14:paraId="2E6D10AC" w14:textId="77777777" w:rsidR="00482906" w:rsidRPr="000A303E" w:rsidRDefault="00482906">
      <w:pPr>
        <w:spacing w:after="0" w:line="360" w:lineRule="auto"/>
      </w:pPr>
    </w:p>
    <w:p w14:paraId="29256E4D" w14:textId="77777777" w:rsidR="00482906" w:rsidRPr="000A303E" w:rsidRDefault="00933E24">
      <w:pPr>
        <w:spacing w:after="0" w:line="360" w:lineRule="auto"/>
      </w:pPr>
      <w:r w:rsidRPr="000A303E">
        <w:lastRenderedPageBreak/>
        <w:t>Asimismo, el artículo 341 del Código Financiero del Estado de México y Municipios, precisa que, la Cuenta Pública es el informe que rinda anualmente el Presidente Municipal a la Legislatura, respecto de los resultados y la situación financiera del ejercicio fiscal inmediato anterior, dichos documentos contarán de la máxima publicidad y será información pública de oficio que deberá difundirse en las páginas electrónicas oficiales de los Municipios, respectivamente, una vez que se haya entregado a la Legislatura.</w:t>
      </w:r>
    </w:p>
    <w:p w14:paraId="1C055552" w14:textId="77777777" w:rsidR="00482906" w:rsidRPr="000A303E" w:rsidRDefault="00482906">
      <w:pPr>
        <w:spacing w:after="0" w:line="360" w:lineRule="auto"/>
      </w:pPr>
    </w:p>
    <w:p w14:paraId="13A6D9FF" w14:textId="77777777" w:rsidR="00482906" w:rsidRPr="000A303E" w:rsidRDefault="00933E24">
      <w:pPr>
        <w:spacing w:after="0" w:line="360" w:lineRule="auto"/>
      </w:pPr>
      <w:r w:rsidRPr="000A303E">
        <w:t xml:space="preserve">En ese contexto, el artículo 352 del Código mencionado, establece que la cuenta pública se conforma por la información económica, patrimonial, presupuestal, programática, cualitativa y cuantitativa que muestre los resultados de la ejecución de la Ley de Ingresos y del Presupuesto de Egresos.  </w:t>
      </w:r>
    </w:p>
    <w:p w14:paraId="0305CFC0" w14:textId="77777777" w:rsidR="00482906" w:rsidRPr="000A303E" w:rsidRDefault="00482906">
      <w:pPr>
        <w:spacing w:after="0" w:line="360" w:lineRule="auto"/>
      </w:pPr>
    </w:p>
    <w:p w14:paraId="10FFB080" w14:textId="77777777" w:rsidR="00482906" w:rsidRPr="000A303E" w:rsidRDefault="00933E24">
      <w:pPr>
        <w:spacing w:after="0" w:line="360" w:lineRule="auto"/>
        <w:rPr>
          <w:b/>
        </w:rPr>
      </w:pPr>
      <w:r w:rsidRPr="000A303E">
        <w:t xml:space="preserve">Por su parte, el artículo 302 de la misma Ley prevé que los ayuntamientos tienen entre otras atribuciones, la de aprobar anualmente a más tardar el 20 de diciembre, su Presupuesto de Egresos, </w:t>
      </w:r>
      <w:r w:rsidRPr="000A303E">
        <w:rPr>
          <w:b/>
        </w:rPr>
        <w:t xml:space="preserve">en atención a ello, los Ayuntamientos deben aprobar anualmente su presupuesto de egresos, que debe integrar la deuda pública. </w:t>
      </w:r>
    </w:p>
    <w:p w14:paraId="3C22D760" w14:textId="77777777" w:rsidR="00482906" w:rsidRPr="000A303E" w:rsidRDefault="00482906">
      <w:pPr>
        <w:spacing w:after="0" w:line="360" w:lineRule="auto"/>
      </w:pPr>
    </w:p>
    <w:p w14:paraId="1FAD4330" w14:textId="77777777" w:rsidR="00482906" w:rsidRPr="000A303E" w:rsidRDefault="00933E24">
      <w:pPr>
        <w:spacing w:after="0" w:line="360" w:lineRule="auto"/>
      </w:pPr>
      <w:r w:rsidRPr="000A303E">
        <w:t>Aunado a ello, el artículo 95, fracción IV de la Ley Orgánica Municipal del Estado, también prevé dentro de las atribuciones del Tesorero Municipal, la de administrar la hacienda pública municipal; “</w:t>
      </w:r>
      <w:r w:rsidRPr="000A303E">
        <w:rPr>
          <w:i/>
        </w:rPr>
        <w:t xml:space="preserve">llevar los registros contables, financieros y administrativos de los ingresos, egresos, e inventarios; presentar anualmente al ayuntamiento un informe de la situación contable financiera de la Tesorería Municipal; y proporcionar para la formulación del proyecto de Presupuesto de Egresos Municipales la información financiera relativa a la solución o en su caso, el pago de los litigios laborales;” </w:t>
      </w:r>
      <w:r w:rsidRPr="000A303E">
        <w:t xml:space="preserve">en consecuencia </w:t>
      </w:r>
      <w:r w:rsidRPr="000A303E">
        <w:rPr>
          <w:b/>
        </w:rPr>
        <w:t xml:space="preserve">la Tesorería Municipal es el área competente para conocer de la información solicitada. </w:t>
      </w:r>
    </w:p>
    <w:p w14:paraId="54F73C96" w14:textId="77777777" w:rsidR="00482906" w:rsidRPr="000A303E" w:rsidRDefault="00482906">
      <w:pPr>
        <w:spacing w:after="0" w:line="360" w:lineRule="auto"/>
      </w:pPr>
    </w:p>
    <w:p w14:paraId="2BDC3084" w14:textId="77777777" w:rsidR="00482906" w:rsidRPr="000A303E" w:rsidRDefault="00933E24">
      <w:pPr>
        <w:spacing w:after="0" w:line="360" w:lineRule="auto"/>
      </w:pPr>
      <w:r w:rsidRPr="000A303E">
        <w:lastRenderedPageBreak/>
        <w:t xml:space="preserve">Aunado a lo anterior la información relativa a la deuda pública se relaciona con las obligaciones comunes en materia de transparencia, dispuestas en el artículo 92 fracción XXVI de la Ley de Transparencia y Acceso a la Información Pública del Estado de México y Municipios, en el que se establece que debe publicarse la información relativa a la deuda pública, en consecuencia, se trata de información que tiene el carácter de pública. </w:t>
      </w:r>
    </w:p>
    <w:p w14:paraId="47F810ED" w14:textId="77777777" w:rsidR="001661B9" w:rsidRPr="000A303E" w:rsidRDefault="001661B9">
      <w:pPr>
        <w:spacing w:after="0" w:line="360" w:lineRule="auto"/>
      </w:pPr>
    </w:p>
    <w:p w14:paraId="3CE07BFC" w14:textId="2F35B35A" w:rsidR="001661B9" w:rsidRPr="000A303E" w:rsidRDefault="001661B9">
      <w:pPr>
        <w:spacing w:after="0" w:line="360" w:lineRule="auto"/>
      </w:pPr>
      <w:r w:rsidRPr="000A303E">
        <w:t xml:space="preserve">Además, resulta necesario traer a colación el </w:t>
      </w:r>
      <w:r w:rsidR="00DA39E7" w:rsidRPr="000A303E">
        <w:t>Glosario de Términos más Usuales en la Administración Pública Federal, emitido por la Secretaría de Hacienda y Crédito Público, el cual establece lo siguiente:</w:t>
      </w:r>
    </w:p>
    <w:p w14:paraId="1B85B375" w14:textId="77777777" w:rsidR="00DA39E7" w:rsidRPr="000A303E" w:rsidRDefault="00DA39E7">
      <w:pPr>
        <w:spacing w:after="0" w:line="360" w:lineRule="auto"/>
      </w:pPr>
    </w:p>
    <w:p w14:paraId="54185A6D" w14:textId="575D4399" w:rsidR="00DA39E7" w:rsidRPr="000A303E" w:rsidRDefault="00DA39E7" w:rsidP="00DA39E7">
      <w:pPr>
        <w:pStyle w:val="Prrafodelista"/>
        <w:numPr>
          <w:ilvl w:val="0"/>
          <w:numId w:val="4"/>
        </w:numPr>
        <w:spacing w:line="360" w:lineRule="auto"/>
      </w:pPr>
      <w:r w:rsidRPr="000A303E">
        <w:rPr>
          <w:b/>
          <w:bCs/>
        </w:rPr>
        <w:t xml:space="preserve">Pasivo: </w:t>
      </w:r>
      <w:r w:rsidRPr="000A303E">
        <w:t>Conjunto de obligaciones contraídas con terceros por una persona, empresa o entidad.</w:t>
      </w:r>
    </w:p>
    <w:p w14:paraId="424C5EA8" w14:textId="09309DEA" w:rsidR="00DA39E7" w:rsidRPr="000A303E" w:rsidRDefault="00DA39E7" w:rsidP="00DA39E7">
      <w:pPr>
        <w:pStyle w:val="Prrafodelista"/>
        <w:numPr>
          <w:ilvl w:val="0"/>
          <w:numId w:val="4"/>
        </w:numPr>
        <w:spacing w:line="360" w:lineRule="auto"/>
      </w:pPr>
      <w:r w:rsidRPr="000A303E">
        <w:rPr>
          <w:b/>
          <w:bCs/>
        </w:rPr>
        <w:t xml:space="preserve">Pasivo Asumido: </w:t>
      </w:r>
      <w:r w:rsidRPr="000A303E">
        <w:t>Obligaciones a cargo de otros y que un ente toma por su cuenta, debido a alguna razón o convenio. Esta expresión se aplica especialmente en el caso de reorganizaciones, fusiones y de otras operaciones que implican a la vez, la adquisición del activo de otras compañías o empresas.</w:t>
      </w:r>
    </w:p>
    <w:p w14:paraId="631D9740" w14:textId="6CC53E4D" w:rsidR="00DA39E7" w:rsidRPr="000A303E" w:rsidRDefault="00DA39E7" w:rsidP="00DA39E7">
      <w:pPr>
        <w:pStyle w:val="Prrafodelista"/>
        <w:numPr>
          <w:ilvl w:val="0"/>
          <w:numId w:val="4"/>
        </w:numPr>
        <w:spacing w:line="360" w:lineRule="auto"/>
      </w:pPr>
      <w:r w:rsidRPr="000A303E">
        <w:rPr>
          <w:b/>
          <w:bCs/>
        </w:rPr>
        <w:t xml:space="preserve">Pasivo Circulante: </w:t>
      </w:r>
      <w:r w:rsidRPr="000A303E">
        <w:t>Deudas u obligaciones que son exigibles en un plazo no mayor de un año, con la característica principal de que se encuentra en constante movimiento o rotación.</w:t>
      </w:r>
    </w:p>
    <w:p w14:paraId="477E385A" w14:textId="5519FFF7" w:rsidR="00DA39E7" w:rsidRPr="000A303E" w:rsidRDefault="00DA39E7" w:rsidP="00DA39E7">
      <w:pPr>
        <w:pStyle w:val="Prrafodelista"/>
        <w:numPr>
          <w:ilvl w:val="0"/>
          <w:numId w:val="4"/>
        </w:numPr>
        <w:spacing w:line="360" w:lineRule="auto"/>
      </w:pPr>
      <w:r w:rsidRPr="000A303E">
        <w:rPr>
          <w:b/>
          <w:bCs/>
        </w:rPr>
        <w:t xml:space="preserve">Pasivo Contingente: </w:t>
      </w:r>
      <w:r w:rsidRPr="000A303E">
        <w:t>Obligaciones relacionadas con transacciones que involucran un cierto grado de incertidumbre y que pueden presentarse como consecuencia de un suceso futuro.</w:t>
      </w:r>
    </w:p>
    <w:p w14:paraId="27ED5B8A" w14:textId="29CB32E7" w:rsidR="00DA39E7" w:rsidRPr="000A303E" w:rsidRDefault="00DA39E7" w:rsidP="00DA39E7">
      <w:pPr>
        <w:pStyle w:val="Prrafodelista"/>
        <w:numPr>
          <w:ilvl w:val="0"/>
          <w:numId w:val="4"/>
        </w:numPr>
        <w:spacing w:line="360" w:lineRule="auto"/>
      </w:pPr>
      <w:r w:rsidRPr="000A303E">
        <w:rPr>
          <w:b/>
          <w:bCs/>
        </w:rPr>
        <w:t>Pasivo Diferido:</w:t>
      </w:r>
      <w:r w:rsidRPr="000A303E">
        <w:t xml:space="preserve"> Clasificación de las obligaciones donde se incluyen los adeudos, cuya aplicación corresponde a los resultados del o de los ejercicios futuros a la fecha del balance que los contenga.</w:t>
      </w:r>
    </w:p>
    <w:p w14:paraId="4FA9AF0D" w14:textId="11154BB6" w:rsidR="00DA39E7" w:rsidRPr="000A303E" w:rsidRDefault="00DA39E7" w:rsidP="00DA39E7">
      <w:pPr>
        <w:pStyle w:val="Prrafodelista"/>
        <w:numPr>
          <w:ilvl w:val="0"/>
          <w:numId w:val="4"/>
        </w:numPr>
        <w:spacing w:line="360" w:lineRule="auto"/>
      </w:pPr>
      <w:r w:rsidRPr="000A303E">
        <w:rPr>
          <w:b/>
          <w:bCs/>
        </w:rPr>
        <w:t xml:space="preserve">Pasivo Fijo: </w:t>
      </w:r>
      <w:r w:rsidRPr="000A303E">
        <w:t>Deudas u obligaciones que son exigibles en un plazo mayor de un año, a partir de la fecha de su contratación.</w:t>
      </w:r>
    </w:p>
    <w:p w14:paraId="1D5D08FF" w14:textId="3CEFE561" w:rsidR="00482906" w:rsidRPr="000A303E" w:rsidRDefault="00DA39E7" w:rsidP="00DA39E7">
      <w:pPr>
        <w:spacing w:after="0" w:line="360" w:lineRule="auto"/>
        <w:ind w:right="-93"/>
      </w:pPr>
      <w:r w:rsidRPr="000A303E">
        <w:lastRenderedPageBreak/>
        <w:t xml:space="preserve">Conforme a lo anterior, se logra vislumbrar que la pretensión del ahora Recurrente, es obtener el monto total del pasivo con el que contaba el Ayuntamiento al </w:t>
      </w:r>
      <w:r w:rsidRPr="000A303E">
        <w:rPr>
          <w:bCs/>
        </w:rPr>
        <w:t xml:space="preserve">18 de julio de 2025. </w:t>
      </w:r>
      <w:r w:rsidRPr="000A303E">
        <w:rPr>
          <w:color w:val="000000"/>
        </w:rPr>
        <w:t xml:space="preserve">Así, se procede analizar la información proporcionada por el Sujeto Obligado, para lo cual, cabe señalar que este dio respuesta a través de la Tesorería Municipal; por lo que, </w:t>
      </w:r>
      <w:r w:rsidRPr="000A303E">
        <w:t xml:space="preserve">es oportuno hacer referencia al </w:t>
      </w:r>
      <w:r w:rsidRPr="000A303E">
        <w:rPr>
          <w:b/>
        </w:rPr>
        <w:t>procedimiento de búsqueda que deben de seguir los Sujetos Obligados para localizar la información</w:t>
      </w:r>
      <w:r w:rsidRPr="000A303E">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requerido.</w:t>
      </w:r>
    </w:p>
    <w:p w14:paraId="152EF110" w14:textId="77777777" w:rsidR="00482906" w:rsidRPr="000A303E" w:rsidRDefault="00482906">
      <w:pPr>
        <w:spacing w:after="0" w:line="360" w:lineRule="auto"/>
      </w:pPr>
    </w:p>
    <w:p w14:paraId="1DA81CF2" w14:textId="5302EFDF" w:rsidR="00482906" w:rsidRPr="000A303E" w:rsidRDefault="00933E24" w:rsidP="00DA39E7">
      <w:pPr>
        <w:spacing w:after="0" w:line="360" w:lineRule="auto"/>
        <w:ind w:right="-93"/>
      </w:pPr>
      <w:r w:rsidRPr="000A303E">
        <w:t xml:space="preserve">Así y de lo plasmado en párrafos anteriores, </w:t>
      </w:r>
      <w:r w:rsidRPr="000A303E">
        <w:rPr>
          <w:color w:val="000000"/>
        </w:rPr>
        <w:t xml:space="preserve">se advierte que el Sujeto Obligado </w:t>
      </w:r>
      <w:r w:rsidRPr="000A303E">
        <w:rPr>
          <w:b/>
          <w:color w:val="000000"/>
        </w:rPr>
        <w:t>cumplió con el procedimiento de búsqueda referido</w:t>
      </w:r>
      <w:r w:rsidRPr="000A303E">
        <w:rPr>
          <w:color w:val="000000"/>
        </w:rPr>
        <w:t>, pues turnó la solicitud de información al área competente de conocer lo solicitado.</w:t>
      </w:r>
      <w:r w:rsidR="00DA39E7" w:rsidRPr="000A303E">
        <w:rPr>
          <w:color w:val="000000"/>
        </w:rPr>
        <w:t xml:space="preserve"> Ahora bien,</w:t>
      </w:r>
      <w:r w:rsidRPr="000A303E">
        <w:t xml:space="preserve"> la Tesorería Municipal proporcionó una liga de </w:t>
      </w:r>
      <w:r w:rsidRPr="000A303E">
        <w:rPr>
          <w:i/>
        </w:rPr>
        <w:t xml:space="preserve">Internet </w:t>
      </w:r>
      <w:r w:rsidRPr="000A303E">
        <w:t>en datos abiertos, la cual remite de forma directa con el solo hecho de seleccionarla o bien, es posible copiarla y pegarla; la cual, remite a la siguiente información:</w:t>
      </w:r>
    </w:p>
    <w:p w14:paraId="526E8877" w14:textId="77777777" w:rsidR="00DA39E7" w:rsidRPr="000A303E" w:rsidRDefault="00DA39E7" w:rsidP="00DA39E7">
      <w:pPr>
        <w:spacing w:after="0" w:line="360" w:lineRule="auto"/>
        <w:ind w:right="-93"/>
      </w:pPr>
    </w:p>
    <w:p w14:paraId="556B35E5" w14:textId="77777777" w:rsidR="00482906" w:rsidRPr="000A303E" w:rsidRDefault="00933E24" w:rsidP="00DA39E7">
      <w:pPr>
        <w:tabs>
          <w:tab w:val="left" w:pos="3962"/>
        </w:tabs>
        <w:spacing w:after="0" w:line="360" w:lineRule="auto"/>
        <w:jc w:val="center"/>
      </w:pPr>
      <w:r w:rsidRPr="000A303E">
        <w:rPr>
          <w:noProof/>
        </w:rPr>
        <w:drawing>
          <wp:inline distT="0" distB="0" distL="0" distR="0" wp14:anchorId="1A670D24" wp14:editId="18A0C6B2">
            <wp:extent cx="4638675" cy="2533650"/>
            <wp:effectExtent l="0" t="0" r="9525"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1"/>
                    <a:srcRect l="1953" t="2727" r="2648" b="6932"/>
                    <a:stretch/>
                  </pic:blipFill>
                  <pic:spPr bwMode="auto">
                    <a:xfrm>
                      <a:off x="0" y="0"/>
                      <a:ext cx="4638675" cy="2533650"/>
                    </a:xfrm>
                    <a:prstGeom prst="rect">
                      <a:avLst/>
                    </a:prstGeom>
                    <a:ln>
                      <a:noFill/>
                    </a:ln>
                    <a:extLst>
                      <a:ext uri="{53640926-AAD7-44D8-BBD7-CCE9431645EC}">
                        <a14:shadowObscured xmlns:a14="http://schemas.microsoft.com/office/drawing/2010/main"/>
                      </a:ext>
                    </a:extLst>
                  </pic:spPr>
                </pic:pic>
              </a:graphicData>
            </a:graphic>
          </wp:inline>
        </w:drawing>
      </w:r>
    </w:p>
    <w:p w14:paraId="0CFF850F" w14:textId="0B6425E0" w:rsidR="00482906" w:rsidRPr="000A303E" w:rsidRDefault="00933E24">
      <w:pPr>
        <w:tabs>
          <w:tab w:val="left" w:pos="3962"/>
        </w:tabs>
        <w:spacing w:after="0" w:line="360" w:lineRule="auto"/>
      </w:pPr>
      <w:r w:rsidRPr="000A303E">
        <w:lastRenderedPageBreak/>
        <w:t>Ahora bien, de la respuesta proporcionada por el Sujeto Obligado se advierte que se proporciona un listado de Endeudamiento Neto del segundo trimestre de 2025, sin embargo, no se aprecia que de aquél se desprendan o desglosen la totalidad de pasivos, puesto que únicamente se precisan cuentas por pagar a corto plazo sin considerar otros pasivos</w:t>
      </w:r>
      <w:r w:rsidR="00DA39E7" w:rsidRPr="000A303E">
        <w:t>; es decir, dicha documental únicamente completa una clase de pasivos, sin tomar en cuenta los demás existentes.</w:t>
      </w:r>
    </w:p>
    <w:p w14:paraId="41A05562" w14:textId="77777777" w:rsidR="00482906" w:rsidRPr="000A303E" w:rsidRDefault="00482906">
      <w:pPr>
        <w:tabs>
          <w:tab w:val="left" w:pos="3962"/>
        </w:tabs>
        <w:spacing w:after="0" w:line="360" w:lineRule="auto"/>
      </w:pPr>
    </w:p>
    <w:p w14:paraId="3EF86EA3" w14:textId="77777777" w:rsidR="00482906" w:rsidRPr="000A303E" w:rsidRDefault="00933E24">
      <w:pPr>
        <w:tabs>
          <w:tab w:val="left" w:pos="3962"/>
        </w:tabs>
        <w:spacing w:after="0" w:line="360" w:lineRule="auto"/>
      </w:pPr>
      <w:r w:rsidRPr="000A303E">
        <w:t xml:space="preserve">En este tenor, el artículo 350 del Código Financiero del Estado de México y Municipios, prevé que las tesorerías municipales enviarán al Órgano Superior de Fiscalización del Estado de México, en lo subsecuente OSFEM de manera trimestral, información presupuestal, dentro de las que se encuentran los pasivos o deudas. </w:t>
      </w:r>
    </w:p>
    <w:p w14:paraId="5BB93B7B" w14:textId="77777777" w:rsidR="00482906" w:rsidRPr="000A303E" w:rsidRDefault="00482906">
      <w:pPr>
        <w:tabs>
          <w:tab w:val="left" w:pos="3962"/>
        </w:tabs>
        <w:spacing w:after="0" w:line="360" w:lineRule="auto"/>
      </w:pPr>
    </w:p>
    <w:p w14:paraId="6C2BB679" w14:textId="77777777" w:rsidR="00482906" w:rsidRPr="000A303E" w:rsidRDefault="00933E24">
      <w:pPr>
        <w:tabs>
          <w:tab w:val="left" w:pos="3962"/>
        </w:tabs>
        <w:spacing w:after="0" w:line="360" w:lineRule="auto"/>
      </w:pPr>
      <w:r w:rsidRPr="000A303E">
        <w:t>Para dichos efectos el OSFEM emite diversos documentos normativos, dentro de ellos, los instrumentos de llenado de cada módulo, cabe precisar que el módulo 1, se refiere a Información Contable y Financiera, dentro de la que destacan diversos formatos que permiten observar los pasivos del Sujeto Obligado, como lo pueden ser los siguientes:</w:t>
      </w:r>
    </w:p>
    <w:p w14:paraId="64042329" w14:textId="77777777" w:rsidR="00482906" w:rsidRPr="000A303E" w:rsidRDefault="00482906">
      <w:pPr>
        <w:tabs>
          <w:tab w:val="left" w:pos="3962"/>
        </w:tabs>
        <w:spacing w:after="0" w:line="360" w:lineRule="auto"/>
      </w:pPr>
    </w:p>
    <w:p w14:paraId="0DC5C89E" w14:textId="77777777" w:rsidR="00482906" w:rsidRPr="000A303E" w:rsidRDefault="00933E24">
      <w:pPr>
        <w:numPr>
          <w:ilvl w:val="0"/>
          <w:numId w:val="2"/>
        </w:numPr>
        <w:pBdr>
          <w:top w:val="nil"/>
          <w:left w:val="nil"/>
          <w:bottom w:val="nil"/>
          <w:right w:val="nil"/>
          <w:between w:val="nil"/>
        </w:pBdr>
        <w:tabs>
          <w:tab w:val="left" w:pos="3962"/>
        </w:tabs>
        <w:spacing w:after="0" w:line="360" w:lineRule="auto"/>
        <w:rPr>
          <w:color w:val="000000"/>
        </w:rPr>
      </w:pPr>
      <w:r w:rsidRPr="000A303E">
        <w:rPr>
          <w:b/>
          <w:color w:val="000000"/>
        </w:rPr>
        <w:t>Estado de Situación Financiera</w:t>
      </w:r>
      <w:r w:rsidRPr="000A303E">
        <w:rPr>
          <w:color w:val="000000"/>
        </w:rPr>
        <w:t xml:space="preserve">: que se realiza de forma mensual y cuya finalidad es </w:t>
      </w:r>
      <w:r w:rsidRPr="000A303E">
        <w:rPr>
          <w:i/>
          <w:color w:val="000000"/>
        </w:rPr>
        <w:t>“Mostrar información de la posición financiera de un ente público, a una fecha determinada, sobre los recursos y obligaciones financieras presentando su estructura en Activos, Pasivos y Hacienda Pública/Patrimonio.”,</w:t>
      </w:r>
      <w:r w:rsidRPr="000A303E">
        <w:rPr>
          <w:color w:val="000000"/>
        </w:rPr>
        <w:t xml:space="preserve"> que en su parte de interés, prevé los siguientes pasivos:</w:t>
      </w:r>
    </w:p>
    <w:p w14:paraId="77AE1E60" w14:textId="77777777" w:rsidR="00482906" w:rsidRPr="000A303E" w:rsidRDefault="00933E24">
      <w:pPr>
        <w:tabs>
          <w:tab w:val="left" w:pos="3962"/>
        </w:tabs>
        <w:spacing w:after="0" w:line="360" w:lineRule="auto"/>
      </w:pPr>
      <w:r w:rsidRPr="000A303E">
        <w:rPr>
          <w:noProof/>
        </w:rPr>
        <w:lastRenderedPageBreak/>
        <w:drawing>
          <wp:inline distT="0" distB="0" distL="0" distR="0" wp14:anchorId="240EB784" wp14:editId="63A312E6">
            <wp:extent cx="5850890" cy="415036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850890" cy="4150360"/>
                    </a:xfrm>
                    <a:prstGeom prst="rect">
                      <a:avLst/>
                    </a:prstGeom>
                    <a:ln/>
                  </pic:spPr>
                </pic:pic>
              </a:graphicData>
            </a:graphic>
          </wp:inline>
        </w:drawing>
      </w:r>
    </w:p>
    <w:p w14:paraId="6DD045EE" w14:textId="77777777" w:rsidR="00482906" w:rsidRPr="000A303E" w:rsidRDefault="00933E24">
      <w:pPr>
        <w:tabs>
          <w:tab w:val="left" w:pos="3962"/>
        </w:tabs>
        <w:spacing w:after="0" w:line="360" w:lineRule="auto"/>
      </w:pPr>
      <w:r w:rsidRPr="000A303E">
        <w:rPr>
          <w:noProof/>
        </w:rPr>
        <w:drawing>
          <wp:inline distT="0" distB="0" distL="0" distR="0" wp14:anchorId="0218FA7E" wp14:editId="7AB7678C">
            <wp:extent cx="5850890" cy="2924175"/>
            <wp:effectExtent l="0" t="0" r="0" b="9525"/>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3"/>
                    <a:srcRect b="12949"/>
                    <a:stretch/>
                  </pic:blipFill>
                  <pic:spPr bwMode="auto">
                    <a:xfrm>
                      <a:off x="0" y="0"/>
                      <a:ext cx="5850890" cy="2924175"/>
                    </a:xfrm>
                    <a:prstGeom prst="rect">
                      <a:avLst/>
                    </a:prstGeom>
                    <a:ln>
                      <a:noFill/>
                    </a:ln>
                    <a:extLst>
                      <a:ext uri="{53640926-AAD7-44D8-BBD7-CCE9431645EC}">
                        <a14:shadowObscured xmlns:a14="http://schemas.microsoft.com/office/drawing/2010/main"/>
                      </a:ext>
                    </a:extLst>
                  </pic:spPr>
                </pic:pic>
              </a:graphicData>
            </a:graphic>
          </wp:inline>
        </w:drawing>
      </w:r>
    </w:p>
    <w:p w14:paraId="6A179B71" w14:textId="77777777" w:rsidR="00482906" w:rsidRPr="000A303E" w:rsidRDefault="00482906">
      <w:pPr>
        <w:tabs>
          <w:tab w:val="left" w:pos="3962"/>
        </w:tabs>
        <w:spacing w:after="0" w:line="360" w:lineRule="auto"/>
      </w:pPr>
    </w:p>
    <w:p w14:paraId="26B3321E" w14:textId="77777777" w:rsidR="00482906" w:rsidRPr="000A303E" w:rsidRDefault="00933E24">
      <w:pPr>
        <w:numPr>
          <w:ilvl w:val="0"/>
          <w:numId w:val="2"/>
        </w:numPr>
        <w:pBdr>
          <w:top w:val="nil"/>
          <w:left w:val="nil"/>
          <w:bottom w:val="nil"/>
          <w:right w:val="nil"/>
          <w:between w:val="nil"/>
        </w:pBdr>
        <w:tabs>
          <w:tab w:val="left" w:pos="3962"/>
        </w:tabs>
        <w:spacing w:after="0" w:line="360" w:lineRule="auto"/>
        <w:rPr>
          <w:color w:val="000000"/>
        </w:rPr>
      </w:pPr>
      <w:r w:rsidRPr="000A303E">
        <w:rPr>
          <w:color w:val="000000"/>
        </w:rPr>
        <w:lastRenderedPageBreak/>
        <w:t xml:space="preserve">Estado analítico de la Deuda y Otros Pasivos, que se realiza de forma mensual y cuya finalidad es  </w:t>
      </w:r>
      <w:r w:rsidRPr="000A303E">
        <w:rPr>
          <w:i/>
          <w:color w:val="000000"/>
        </w:rPr>
        <w:t xml:space="preserve">“Mostrar las obligaciones insolutas de los entes públicos, al inicio y fin de cada periodo, derivadas del endeudamiento interno y externo, realizado en el marco de la legislación vigente, así como suministrar a los usuarios información analítica relevante sobre la variación de la deuda del ente público entre el inicio y el fin del periodo, ya sea que tenga su origen en operaciones de crédito público (deuda pública) o en cualquier otro tipo de financiamiento. Las operaciones de crédito público, se muestran clasificadas a corto o largo plazo, en interna o externa, originadas en la colocación de títulos y valores o en contratos de préstamo y según el país o institución acreedora. Finalmente, el formato presenta el concepto de “Total de Otros Pasivos” que muestra en forma agregada el endeudamiento u obligaciones restantes del ente público, no originado en operaciones de crédito público.” </w:t>
      </w:r>
      <w:r w:rsidRPr="000A303E">
        <w:rPr>
          <w:color w:val="000000"/>
        </w:rPr>
        <w:t>Cuyo formato es el siguiente:</w:t>
      </w:r>
    </w:p>
    <w:p w14:paraId="19ED990B" w14:textId="77777777" w:rsidR="00DA39E7" w:rsidRPr="000A303E" w:rsidRDefault="00DA39E7" w:rsidP="00DA39E7">
      <w:pPr>
        <w:pBdr>
          <w:top w:val="nil"/>
          <w:left w:val="nil"/>
          <w:bottom w:val="nil"/>
          <w:right w:val="nil"/>
          <w:between w:val="nil"/>
        </w:pBdr>
        <w:tabs>
          <w:tab w:val="left" w:pos="3962"/>
        </w:tabs>
        <w:spacing w:after="0" w:line="360" w:lineRule="auto"/>
        <w:ind w:left="720"/>
        <w:rPr>
          <w:color w:val="000000"/>
        </w:rPr>
      </w:pPr>
    </w:p>
    <w:p w14:paraId="43966A3C" w14:textId="77777777" w:rsidR="00482906" w:rsidRPr="000A303E" w:rsidRDefault="00933E24">
      <w:pPr>
        <w:tabs>
          <w:tab w:val="left" w:pos="3962"/>
        </w:tabs>
        <w:spacing w:after="0" w:line="360" w:lineRule="auto"/>
      </w:pPr>
      <w:r w:rsidRPr="000A303E">
        <w:rPr>
          <w:noProof/>
        </w:rPr>
        <w:drawing>
          <wp:inline distT="0" distB="0" distL="0" distR="0" wp14:anchorId="42D308CD" wp14:editId="2AD0E825">
            <wp:extent cx="5850890" cy="3857625"/>
            <wp:effectExtent l="0" t="0" r="0" b="9525"/>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14"/>
                    <a:srcRect b="10319"/>
                    <a:stretch/>
                  </pic:blipFill>
                  <pic:spPr bwMode="auto">
                    <a:xfrm>
                      <a:off x="0" y="0"/>
                      <a:ext cx="5850890" cy="3857625"/>
                    </a:xfrm>
                    <a:prstGeom prst="rect">
                      <a:avLst/>
                    </a:prstGeom>
                    <a:ln>
                      <a:noFill/>
                    </a:ln>
                    <a:extLst>
                      <a:ext uri="{53640926-AAD7-44D8-BBD7-CCE9431645EC}">
                        <a14:shadowObscured xmlns:a14="http://schemas.microsoft.com/office/drawing/2010/main"/>
                      </a:ext>
                    </a:extLst>
                  </pic:spPr>
                </pic:pic>
              </a:graphicData>
            </a:graphic>
          </wp:inline>
        </w:drawing>
      </w:r>
    </w:p>
    <w:p w14:paraId="7C76689E" w14:textId="77777777" w:rsidR="00482906" w:rsidRPr="000A303E" w:rsidRDefault="00933E24">
      <w:pPr>
        <w:tabs>
          <w:tab w:val="left" w:pos="3962"/>
        </w:tabs>
        <w:spacing w:after="0" w:line="360" w:lineRule="auto"/>
      </w:pPr>
      <w:r w:rsidRPr="000A303E">
        <w:lastRenderedPageBreak/>
        <w:t xml:space="preserve">De los anteriores se advierte que existen diversos documentos idóneos que son realizados por el Sujeto Obligado a través de la Tesorería Municipal en los que se deben reflejar los pasivos del Ayuntamiento de Mexicaltzingo, por tanto, se advierte procedente la entrega de la documentación que dé cuenta de todos los pasivos del Sujeto Obligado durante la temporalidad requerida. </w:t>
      </w:r>
    </w:p>
    <w:p w14:paraId="65987A05" w14:textId="77777777" w:rsidR="00482906" w:rsidRPr="000A303E" w:rsidRDefault="00482906">
      <w:pPr>
        <w:tabs>
          <w:tab w:val="left" w:pos="3962"/>
        </w:tabs>
        <w:spacing w:after="0" w:line="360" w:lineRule="auto"/>
      </w:pPr>
    </w:p>
    <w:p w14:paraId="258DFF24" w14:textId="77777777" w:rsidR="00482906" w:rsidRPr="000A303E" w:rsidRDefault="00933E24">
      <w:pPr>
        <w:tabs>
          <w:tab w:val="left" w:pos="3962"/>
        </w:tabs>
        <w:spacing w:after="0" w:line="360" w:lineRule="auto"/>
      </w:pPr>
      <w:r w:rsidRPr="000A303E">
        <w:t>Cabe precisar que de conformidad con lo dispuesto en los artículos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5381BC14" w14:textId="77777777" w:rsidR="00482906" w:rsidRPr="000A303E" w:rsidRDefault="00482906">
      <w:pPr>
        <w:spacing w:after="0" w:line="360" w:lineRule="auto"/>
      </w:pPr>
    </w:p>
    <w:p w14:paraId="3319275B" w14:textId="77777777" w:rsidR="00482906" w:rsidRPr="000A303E" w:rsidRDefault="00933E24">
      <w:pPr>
        <w:spacing w:after="0" w:line="360" w:lineRule="auto"/>
      </w:pPr>
      <w:r w:rsidRPr="000A303E">
        <w:t xml:space="preserve">De tales circunstancias, se colige que los sujetos obligados únicamente están constreñidos a proporcionar </w:t>
      </w:r>
      <w:r w:rsidRPr="000A303E">
        <w:rPr>
          <w:b/>
        </w:rPr>
        <w:t>la documentación que obre en sus archivos</w:t>
      </w:r>
      <w:r w:rsidRPr="000A303E">
        <w:t>; por lo que, no están obligados a generar o elaborar documentos </w:t>
      </w:r>
      <w:r w:rsidRPr="000A303E">
        <w:rPr>
          <w:i/>
        </w:rPr>
        <w:t>ad hoc, </w:t>
      </w:r>
      <w:r w:rsidRPr="000A303E">
        <w:t>como es el caso de proporcionar respuesta a un cuestionamiento. Robustece lo anterior el Criterio de Interpretación, con clave de control SO/013/2017, de la Segunda Época, emitido por el Instituto Nacional de Transparencia, Acceso a la Información y Protección de Datos Personales, que a continuación se cita:</w:t>
      </w:r>
    </w:p>
    <w:p w14:paraId="67078A99" w14:textId="77777777" w:rsidR="00482906" w:rsidRPr="000A303E" w:rsidRDefault="00482906">
      <w:pPr>
        <w:spacing w:after="0" w:line="360" w:lineRule="auto"/>
      </w:pPr>
    </w:p>
    <w:p w14:paraId="275D06CB" w14:textId="77777777" w:rsidR="00482906" w:rsidRPr="000A303E" w:rsidRDefault="00933E24">
      <w:pPr>
        <w:spacing w:after="0" w:line="360" w:lineRule="auto"/>
        <w:ind w:left="567" w:right="567"/>
        <w:rPr>
          <w:i/>
          <w:sz w:val="20"/>
          <w:szCs w:val="20"/>
        </w:rPr>
      </w:pPr>
      <w:r w:rsidRPr="000A303E">
        <w:rPr>
          <w:b/>
          <w:i/>
          <w:sz w:val="20"/>
          <w:szCs w:val="20"/>
        </w:rPr>
        <w:t xml:space="preserve">“No existe obligación de elaborar documentos ad hoc para atender las solicitudes de acceso a la información. </w:t>
      </w:r>
      <w:r w:rsidRPr="000A303E">
        <w:rPr>
          <w:i/>
          <w:sz w:val="20"/>
          <w:szCs w:val="20"/>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36DA7336" w14:textId="77777777" w:rsidR="00482906" w:rsidRPr="000A303E" w:rsidRDefault="00482906">
      <w:pPr>
        <w:spacing w:after="0" w:line="360" w:lineRule="auto"/>
        <w:ind w:left="567" w:right="567"/>
        <w:rPr>
          <w:i/>
          <w:sz w:val="20"/>
          <w:szCs w:val="20"/>
        </w:rPr>
      </w:pPr>
    </w:p>
    <w:p w14:paraId="7582B3CF" w14:textId="77777777" w:rsidR="00482906" w:rsidRPr="000A303E" w:rsidRDefault="00933E24">
      <w:pPr>
        <w:spacing w:after="0" w:line="360" w:lineRule="auto"/>
      </w:pPr>
      <w:r w:rsidRPr="000A303E">
        <w:t xml:space="preserve">Conforme a lo anterior, se advierte que el Sujeto Obligado en atención a la solicitud deberá entregar los documentos que den cuenta, sin que ello implique realizar nueva documentación, explicar, resumir o cualquier otro ejercicio que implique procesar la información, sino que debe entregar la documentación tal y como obre en sus archivos. </w:t>
      </w:r>
    </w:p>
    <w:p w14:paraId="3238FA32" w14:textId="77777777" w:rsidR="00482906" w:rsidRPr="000A303E" w:rsidRDefault="00482906">
      <w:pPr>
        <w:spacing w:after="0" w:line="360" w:lineRule="auto"/>
      </w:pPr>
    </w:p>
    <w:p w14:paraId="4EE31C84" w14:textId="77777777" w:rsidR="00482906" w:rsidRPr="000A303E" w:rsidRDefault="00933E24">
      <w:pPr>
        <w:tabs>
          <w:tab w:val="left" w:pos="3962"/>
        </w:tabs>
        <w:spacing w:after="0" w:line="360" w:lineRule="auto"/>
      </w:pPr>
      <w:r w:rsidRPr="000A303E">
        <w:t xml:space="preserve">En consecuencia, resultan </w:t>
      </w:r>
      <w:r w:rsidRPr="000A303E">
        <w:rPr>
          <w:b/>
        </w:rPr>
        <w:t>FUNDADOS</w:t>
      </w:r>
      <w:r w:rsidRPr="000A303E">
        <w:t xml:space="preserve"> los motivos de inconformidad y es procedente </w:t>
      </w:r>
      <w:r w:rsidRPr="000A303E">
        <w:rPr>
          <w:b/>
        </w:rPr>
        <w:t xml:space="preserve">MODIFICAR </w:t>
      </w:r>
      <w:r w:rsidRPr="000A303E">
        <w:t xml:space="preserve">la respuesta inicial y ordenar la entrega de la información requerida. </w:t>
      </w:r>
    </w:p>
    <w:p w14:paraId="79C9D150" w14:textId="77777777" w:rsidR="00482906" w:rsidRPr="000A303E" w:rsidRDefault="00482906">
      <w:pPr>
        <w:tabs>
          <w:tab w:val="left" w:pos="3962"/>
        </w:tabs>
        <w:spacing w:after="0" w:line="360" w:lineRule="auto"/>
      </w:pPr>
    </w:p>
    <w:p w14:paraId="4E6FD057" w14:textId="7E396513" w:rsidR="00482906" w:rsidRPr="000A303E" w:rsidRDefault="00933E24">
      <w:pPr>
        <w:tabs>
          <w:tab w:val="left" w:pos="3962"/>
        </w:tabs>
        <w:spacing w:after="0" w:line="360" w:lineRule="auto"/>
      </w:pPr>
      <w:r w:rsidRPr="000A303E">
        <w:t xml:space="preserve">De la información que se ordena, se aprecia que no existe indicio alguno que implique que la documentación pueda tener datos personales confidenciales, por tanto, no se considera la posible entrega de la información en versión </w:t>
      </w:r>
      <w:r w:rsidR="00DA39E7" w:rsidRPr="000A303E">
        <w:t>íntegra</w:t>
      </w:r>
      <w:r w:rsidRPr="000A303E">
        <w:t>, dado que lo requerido robustece la debida transparencia y rendición de cuentas</w:t>
      </w:r>
      <w:r w:rsidR="00DA39E7" w:rsidRPr="000A303E">
        <w:t>.</w:t>
      </w:r>
      <w:r w:rsidRPr="000A303E">
        <w:t xml:space="preserve"> </w:t>
      </w:r>
    </w:p>
    <w:p w14:paraId="32987133" w14:textId="77777777" w:rsidR="00482906" w:rsidRPr="000A303E" w:rsidRDefault="00933E24">
      <w:pPr>
        <w:pStyle w:val="Ttulo2"/>
        <w:spacing w:before="0" w:after="0"/>
        <w:rPr>
          <w:b w:val="0"/>
        </w:rPr>
      </w:pPr>
      <w:r w:rsidRPr="000A303E">
        <w:br/>
      </w:r>
      <w:bookmarkStart w:id="13" w:name="_Toc210916374"/>
      <w:r w:rsidRPr="000A303E">
        <w:t>SEXTO. Decisión</w:t>
      </w:r>
      <w:bookmarkEnd w:id="13"/>
    </w:p>
    <w:p w14:paraId="1D3B71F8" w14:textId="77777777" w:rsidR="00482906" w:rsidRPr="000A303E" w:rsidRDefault="00482906">
      <w:pPr>
        <w:spacing w:after="0" w:line="360" w:lineRule="auto"/>
        <w:rPr>
          <w:b/>
        </w:rPr>
      </w:pPr>
    </w:p>
    <w:p w14:paraId="0C8FF2AA" w14:textId="77777777" w:rsidR="00482906" w:rsidRPr="000A303E" w:rsidRDefault="00933E24">
      <w:pPr>
        <w:spacing w:after="0" w:line="360" w:lineRule="auto"/>
      </w:pPr>
      <w:r w:rsidRPr="000A303E">
        <w:t xml:space="preserve">Con fundamento en el artículo 186, fracción III, de la Ley de Transparencia y Acceso a la Información Pública del Estado de México y Municipios, este Instituto considera procedente </w:t>
      </w:r>
      <w:r w:rsidRPr="000A303E">
        <w:rPr>
          <w:b/>
        </w:rPr>
        <w:t>MODIFICAR</w:t>
      </w:r>
      <w:r w:rsidRPr="000A303E">
        <w:t xml:space="preserve"> la respuesta otorgada por el Sujeto Obligado a la solicitud de información </w:t>
      </w:r>
      <w:r w:rsidRPr="000A303E">
        <w:rPr>
          <w:bCs/>
        </w:rPr>
        <w:t>00430/MEXICAL/IP/2025, por resultar fundadas las razones o motivos de inconformidad hechos valer por la parte Recurrente, en el Recurso de Revisión 10191/INFOEM/IP/RR/2025</w:t>
      </w:r>
      <w:r w:rsidRPr="000A303E">
        <w:t xml:space="preserve">, en consecuencia procede </w:t>
      </w:r>
      <w:r w:rsidRPr="000A303E">
        <w:rPr>
          <w:b/>
        </w:rPr>
        <w:t xml:space="preserve">ORDENAR, </w:t>
      </w:r>
      <w:r w:rsidRPr="000A303E">
        <w:t>la entrega de la información en los términos expuestos.</w:t>
      </w:r>
    </w:p>
    <w:p w14:paraId="095D26BF" w14:textId="77777777" w:rsidR="00482906" w:rsidRPr="000A303E" w:rsidRDefault="00482906">
      <w:pPr>
        <w:spacing w:after="0" w:line="360" w:lineRule="auto"/>
      </w:pPr>
    </w:p>
    <w:p w14:paraId="55A42FB2" w14:textId="77777777" w:rsidR="00482906" w:rsidRPr="000A303E" w:rsidRDefault="00933E24">
      <w:pPr>
        <w:spacing w:after="0" w:line="360" w:lineRule="auto"/>
        <w:rPr>
          <w:b/>
          <w:u w:val="single"/>
        </w:rPr>
      </w:pPr>
      <w:r w:rsidRPr="000A303E">
        <w:rPr>
          <w:b/>
          <w:u w:val="single"/>
        </w:rPr>
        <w:t>Términos de la Resolución para la parte Recurrente:</w:t>
      </w:r>
    </w:p>
    <w:p w14:paraId="16C6B65A" w14:textId="77777777" w:rsidR="00482906" w:rsidRPr="000A303E" w:rsidRDefault="00482906">
      <w:pPr>
        <w:spacing w:after="0" w:line="360" w:lineRule="auto"/>
      </w:pPr>
    </w:p>
    <w:p w14:paraId="604E69BE" w14:textId="77777777" w:rsidR="00482906" w:rsidRPr="000A303E" w:rsidRDefault="00933E24">
      <w:pPr>
        <w:spacing w:after="0" w:line="360" w:lineRule="auto"/>
        <w:rPr>
          <w:u w:val="single"/>
        </w:rPr>
      </w:pPr>
      <w:r w:rsidRPr="000A303E">
        <w:rPr>
          <w:u w:val="single"/>
        </w:rPr>
        <w:lastRenderedPageBreak/>
        <w:t xml:space="preserve">Se hace del conocimiento de parte Recurrente que este Organismo Garante determinó concederle la razón, puesto que el Sujeto Obligado no entregó la documentación que da cuenta de todos los pasivos, por tanto, se procede a ordenar la entrega de lo solicitado. </w:t>
      </w:r>
    </w:p>
    <w:p w14:paraId="3B3B9011" w14:textId="77777777" w:rsidR="00482906" w:rsidRPr="000A303E" w:rsidRDefault="00482906">
      <w:pPr>
        <w:spacing w:after="0" w:line="360" w:lineRule="auto"/>
        <w:rPr>
          <w:u w:val="single"/>
        </w:rPr>
      </w:pPr>
    </w:p>
    <w:p w14:paraId="7712A12F" w14:textId="77777777" w:rsidR="00482906" w:rsidRPr="000A303E" w:rsidRDefault="00933E24">
      <w:pPr>
        <w:spacing w:after="0" w:line="360" w:lineRule="auto"/>
        <w:rPr>
          <w:u w:val="single"/>
        </w:rPr>
      </w:pPr>
      <w:r w:rsidRPr="000A303E">
        <w:rPr>
          <w:u w:val="single"/>
        </w:rPr>
        <w:t>La labor del INFOEM, es apoyar a la población para acceder a la información pública y garantizar la protección de sus datos personales.</w:t>
      </w:r>
    </w:p>
    <w:p w14:paraId="20BE6D14" w14:textId="77777777" w:rsidR="00482906" w:rsidRPr="000A303E" w:rsidRDefault="00482906">
      <w:pPr>
        <w:spacing w:after="0" w:line="360" w:lineRule="auto"/>
        <w:rPr>
          <w:u w:val="single"/>
        </w:rPr>
      </w:pPr>
    </w:p>
    <w:p w14:paraId="446B6C69" w14:textId="77777777" w:rsidR="00482906" w:rsidRPr="000A303E" w:rsidRDefault="00482906">
      <w:pPr>
        <w:spacing w:after="0" w:line="360" w:lineRule="auto"/>
        <w:rPr>
          <w:u w:val="single"/>
        </w:rPr>
      </w:pPr>
    </w:p>
    <w:p w14:paraId="682AD14F" w14:textId="77777777" w:rsidR="00482906" w:rsidRPr="000A303E" w:rsidRDefault="00933E24">
      <w:pPr>
        <w:pStyle w:val="Ttulo1"/>
        <w:spacing w:before="0" w:after="0"/>
        <w:rPr>
          <w:b w:val="0"/>
          <w:sz w:val="22"/>
          <w:szCs w:val="22"/>
        </w:rPr>
      </w:pPr>
      <w:bookmarkStart w:id="14" w:name="_Toc210916375"/>
      <w:r w:rsidRPr="000A303E">
        <w:rPr>
          <w:sz w:val="22"/>
          <w:szCs w:val="22"/>
        </w:rPr>
        <w:t>R E S U E L V E</w:t>
      </w:r>
      <w:bookmarkEnd w:id="14"/>
    </w:p>
    <w:p w14:paraId="4DACA362" w14:textId="77777777" w:rsidR="00482906" w:rsidRPr="000A303E" w:rsidRDefault="00482906">
      <w:pPr>
        <w:spacing w:after="0" w:line="360" w:lineRule="auto"/>
        <w:rPr>
          <w:b/>
        </w:rPr>
      </w:pPr>
    </w:p>
    <w:p w14:paraId="7304BEB7" w14:textId="77777777" w:rsidR="00482906" w:rsidRPr="000A303E" w:rsidRDefault="00933E24">
      <w:pPr>
        <w:spacing w:after="0" w:line="360" w:lineRule="auto"/>
      </w:pPr>
      <w:r w:rsidRPr="000A303E">
        <w:rPr>
          <w:b/>
        </w:rPr>
        <w:t xml:space="preserve">PRIMERO. </w:t>
      </w:r>
      <w:r w:rsidRPr="000A303E">
        <w:t xml:space="preserve">Se </w:t>
      </w:r>
      <w:r w:rsidRPr="000A303E">
        <w:rPr>
          <w:b/>
        </w:rPr>
        <w:t>MODIFICA</w:t>
      </w:r>
      <w:r w:rsidRPr="000A303E">
        <w:t xml:space="preserve"> la respuesta entregada por el Sujeto Obligado a la solicitud de información 00430/MEXICAL/IP/2025</w:t>
      </w:r>
      <w:r w:rsidRPr="000A303E">
        <w:rPr>
          <w:b/>
        </w:rPr>
        <w:t xml:space="preserve"> </w:t>
      </w:r>
      <w:r w:rsidRPr="000A303E">
        <w:t xml:space="preserve">por resultar </w:t>
      </w:r>
      <w:r w:rsidRPr="000A303E">
        <w:rPr>
          <w:b/>
        </w:rPr>
        <w:t>FUNDADAS</w:t>
      </w:r>
      <w:r w:rsidRPr="000A303E">
        <w:t xml:space="preserve"> las razones o motivos de inconformidad hechos valer por la persona Recurrente en el Recurso de Revisión 10191/INFOEM/IP/RR/2025, en términos de los considerandos </w:t>
      </w:r>
      <w:r w:rsidRPr="000A303E">
        <w:rPr>
          <w:b/>
          <w:bCs/>
        </w:rPr>
        <w:t>QUINTO y SEXTO</w:t>
      </w:r>
      <w:r w:rsidRPr="000A303E">
        <w:t xml:space="preserve"> de la presente Resolución.</w:t>
      </w:r>
    </w:p>
    <w:p w14:paraId="181563B3" w14:textId="77777777" w:rsidR="00482906" w:rsidRPr="000A303E" w:rsidRDefault="00482906">
      <w:pPr>
        <w:spacing w:after="0" w:line="360" w:lineRule="auto"/>
      </w:pPr>
    </w:p>
    <w:p w14:paraId="079E8F31" w14:textId="722AA617" w:rsidR="00482906" w:rsidRPr="000A303E" w:rsidRDefault="00933E24">
      <w:pPr>
        <w:spacing w:after="0" w:line="360" w:lineRule="auto"/>
      </w:pPr>
      <w:r w:rsidRPr="000A303E">
        <w:rPr>
          <w:b/>
        </w:rPr>
        <w:t xml:space="preserve">SEGUNDO. </w:t>
      </w:r>
      <w:r w:rsidRPr="000A303E">
        <w:t xml:space="preserve">Se </w:t>
      </w:r>
      <w:r w:rsidRPr="000A303E">
        <w:rPr>
          <w:b/>
        </w:rPr>
        <w:t>ORDENA</w:t>
      </w:r>
      <w:r w:rsidRPr="000A303E">
        <w:t xml:space="preserve"> al Sujeto Obligado, a efecto de entregue, previa búsqueda exhaustiva y razonable, a través del SAIMEX, los documentos que den cuenta de lo siguiente:</w:t>
      </w:r>
    </w:p>
    <w:p w14:paraId="68E7F103" w14:textId="77777777" w:rsidR="00482906" w:rsidRPr="000A303E" w:rsidRDefault="00482906">
      <w:pPr>
        <w:spacing w:after="0" w:line="360" w:lineRule="auto"/>
      </w:pPr>
    </w:p>
    <w:p w14:paraId="55FF66F9" w14:textId="44A33037" w:rsidR="00482906" w:rsidRPr="000A303E" w:rsidRDefault="00DA39E7" w:rsidP="00DA39E7">
      <w:pPr>
        <w:numPr>
          <w:ilvl w:val="0"/>
          <w:numId w:val="3"/>
        </w:numPr>
        <w:spacing w:after="0" w:line="360" w:lineRule="auto"/>
      </w:pPr>
      <w:r w:rsidRPr="000A303E">
        <w:rPr>
          <w:bCs/>
        </w:rPr>
        <w:t xml:space="preserve">El </w:t>
      </w:r>
      <w:r w:rsidRPr="000A303E">
        <w:t>monto total de pasivos con el que contaba el Ayuntamiento al dieciocho de julio de dos mil veinticinco.</w:t>
      </w:r>
    </w:p>
    <w:p w14:paraId="26D01114" w14:textId="77777777" w:rsidR="00DA39E7" w:rsidRPr="000A303E" w:rsidRDefault="00DA39E7" w:rsidP="00DA39E7">
      <w:pPr>
        <w:spacing w:after="0" w:line="360" w:lineRule="auto"/>
        <w:ind w:left="720"/>
      </w:pPr>
    </w:p>
    <w:p w14:paraId="421E3719" w14:textId="77777777" w:rsidR="00482906" w:rsidRPr="000A303E" w:rsidRDefault="00933E24">
      <w:pPr>
        <w:spacing w:after="0" w:line="360" w:lineRule="auto"/>
      </w:pPr>
      <w:r w:rsidRPr="000A303E">
        <w:rPr>
          <w:b/>
        </w:rPr>
        <w:t xml:space="preserve">TERCERO. NOTIFÍQUESE POR SAIMEX </w:t>
      </w:r>
      <w:r w:rsidRPr="000A303E">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w:t>
      </w:r>
      <w:r w:rsidRPr="000A303E">
        <w:lastRenderedPageBreak/>
        <w:t>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348F5A" w14:textId="77777777" w:rsidR="00482906" w:rsidRPr="000A303E" w:rsidRDefault="00482906">
      <w:pPr>
        <w:spacing w:after="0" w:line="360" w:lineRule="auto"/>
      </w:pPr>
    </w:p>
    <w:p w14:paraId="276C3E4C" w14:textId="77777777" w:rsidR="00482906" w:rsidRPr="000A303E" w:rsidRDefault="00933E24">
      <w:pPr>
        <w:spacing w:after="0" w:line="360" w:lineRule="auto"/>
      </w:pPr>
      <w:r w:rsidRPr="000A303E">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E9EB1D6" w14:textId="77777777" w:rsidR="00482906" w:rsidRPr="000A303E" w:rsidRDefault="00482906">
      <w:pPr>
        <w:spacing w:after="0" w:line="360" w:lineRule="auto"/>
      </w:pPr>
    </w:p>
    <w:p w14:paraId="291962D8" w14:textId="77777777" w:rsidR="00482906" w:rsidRPr="000A303E" w:rsidRDefault="00933E24">
      <w:pPr>
        <w:spacing w:after="0" w:line="360" w:lineRule="auto"/>
      </w:pPr>
      <w:r w:rsidRPr="000A303E">
        <w:rPr>
          <w:b/>
        </w:rPr>
        <w:t>CUARTO. NOTIFÍQUESE</w:t>
      </w:r>
      <w:r w:rsidRPr="000A303E">
        <w:t xml:space="preserve"> </w:t>
      </w:r>
      <w:r w:rsidRPr="000A303E">
        <w:rPr>
          <w:b/>
        </w:rPr>
        <w:t xml:space="preserve">POR SAIMEX </w:t>
      </w:r>
      <w:r w:rsidRPr="000A303E">
        <w:t>a la parte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915DAC3" w14:textId="77777777" w:rsidR="00482906" w:rsidRDefault="00482906">
      <w:pPr>
        <w:pStyle w:val="Ttulo2"/>
        <w:spacing w:before="0" w:after="0"/>
        <w:rPr>
          <w:b w:val="0"/>
        </w:rPr>
      </w:pPr>
    </w:p>
    <w:p w14:paraId="7A9031D1" w14:textId="2FB1D3FA" w:rsidR="000A303E" w:rsidRPr="000A303E" w:rsidRDefault="000A303E" w:rsidP="000A303E">
      <w:pPr>
        <w:spacing w:line="360" w:lineRule="auto"/>
      </w:pPr>
      <w:r w:rsidRPr="000A303E">
        <w:t xml:space="preserve">ASÍ LO RESUELVE, POR </w:t>
      </w:r>
      <w:r w:rsidRPr="000A303E">
        <w:rPr>
          <w:b/>
        </w:rPr>
        <w:t>UNANIMIDAD</w:t>
      </w:r>
      <w:r w:rsidRPr="000A303E">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w:t>
      </w:r>
      <w:r w:rsidR="008543A6">
        <w:t xml:space="preserve">, </w:t>
      </w:r>
      <w:r w:rsidRPr="000A303E">
        <w:t xml:space="preserve"> EN SUPLENCIA DEL SECRETARIO TÉCNICO DEL PLENO ALEXIS TAPIA RAMÍREZ.</w:t>
      </w:r>
    </w:p>
    <w:p w14:paraId="721068C5" w14:textId="77777777" w:rsidR="000A303E" w:rsidRPr="000A303E" w:rsidRDefault="000A303E" w:rsidP="000A303E"/>
    <w:p w14:paraId="46763FA9" w14:textId="77777777" w:rsidR="00482906" w:rsidRDefault="00482906">
      <w:pPr>
        <w:spacing w:after="0" w:line="360" w:lineRule="auto"/>
      </w:pPr>
    </w:p>
    <w:p w14:paraId="4175018C" w14:textId="77777777" w:rsidR="00482906" w:rsidRDefault="00482906">
      <w:pPr>
        <w:spacing w:after="0" w:line="360" w:lineRule="auto"/>
      </w:pPr>
    </w:p>
    <w:p w14:paraId="40C938D1" w14:textId="77777777" w:rsidR="00482906" w:rsidRDefault="00482906">
      <w:pPr>
        <w:spacing w:after="0" w:line="360" w:lineRule="auto"/>
      </w:pPr>
    </w:p>
    <w:p w14:paraId="0295856B" w14:textId="77777777" w:rsidR="00482906" w:rsidRDefault="00482906">
      <w:pPr>
        <w:spacing w:after="0" w:line="360" w:lineRule="auto"/>
      </w:pPr>
    </w:p>
    <w:p w14:paraId="3D2C0508" w14:textId="77777777" w:rsidR="00482906" w:rsidRDefault="00482906">
      <w:pPr>
        <w:spacing w:after="0" w:line="360" w:lineRule="auto"/>
      </w:pPr>
    </w:p>
    <w:p w14:paraId="5CC9CF5C" w14:textId="77777777" w:rsidR="00482906" w:rsidRDefault="00482906">
      <w:pPr>
        <w:spacing w:after="0" w:line="360" w:lineRule="auto"/>
      </w:pPr>
    </w:p>
    <w:p w14:paraId="4524E9E4" w14:textId="77777777" w:rsidR="00482906" w:rsidRDefault="00482906">
      <w:pPr>
        <w:spacing w:after="0" w:line="360" w:lineRule="auto"/>
      </w:pPr>
    </w:p>
    <w:p w14:paraId="342DB821" w14:textId="77777777" w:rsidR="00482906" w:rsidRDefault="00482906">
      <w:pPr>
        <w:spacing w:after="0" w:line="360" w:lineRule="auto"/>
      </w:pPr>
    </w:p>
    <w:p w14:paraId="58FD9DD5" w14:textId="77777777" w:rsidR="00482906" w:rsidRDefault="00482906">
      <w:pPr>
        <w:spacing w:after="0" w:line="360" w:lineRule="auto"/>
      </w:pPr>
    </w:p>
    <w:p w14:paraId="149CD809" w14:textId="77777777" w:rsidR="00482906" w:rsidRDefault="00482906">
      <w:pPr>
        <w:spacing w:after="0" w:line="360" w:lineRule="auto"/>
      </w:pPr>
    </w:p>
    <w:p w14:paraId="60189B13" w14:textId="77777777" w:rsidR="00482906" w:rsidRDefault="00482906">
      <w:pPr>
        <w:spacing w:after="0" w:line="360" w:lineRule="auto"/>
      </w:pPr>
    </w:p>
    <w:p w14:paraId="2B01FE85" w14:textId="77777777" w:rsidR="00482906" w:rsidRDefault="00482906">
      <w:pPr>
        <w:spacing w:after="0" w:line="360" w:lineRule="auto"/>
      </w:pPr>
    </w:p>
    <w:p w14:paraId="068E0D43" w14:textId="77777777" w:rsidR="00482906" w:rsidRDefault="00482906">
      <w:pPr>
        <w:spacing w:after="0" w:line="360" w:lineRule="auto"/>
      </w:pPr>
    </w:p>
    <w:p w14:paraId="129F67C2" w14:textId="77777777" w:rsidR="00482906" w:rsidRDefault="00482906">
      <w:pPr>
        <w:spacing w:after="0" w:line="360" w:lineRule="auto"/>
      </w:pPr>
    </w:p>
    <w:p w14:paraId="085C3B99" w14:textId="77777777" w:rsidR="00482906" w:rsidRDefault="00482906">
      <w:pPr>
        <w:spacing w:after="0" w:line="360" w:lineRule="auto"/>
      </w:pPr>
    </w:p>
    <w:p w14:paraId="5566FFF2" w14:textId="77777777" w:rsidR="00482906" w:rsidRDefault="00482906">
      <w:pPr>
        <w:spacing w:after="0" w:line="360" w:lineRule="auto"/>
      </w:pPr>
    </w:p>
    <w:p w14:paraId="6B75DCEC" w14:textId="77777777" w:rsidR="00482906" w:rsidRDefault="00482906">
      <w:pPr>
        <w:spacing w:after="0" w:line="360" w:lineRule="auto"/>
      </w:pPr>
    </w:p>
    <w:p w14:paraId="23A94D29" w14:textId="77777777" w:rsidR="00482906" w:rsidRDefault="00482906">
      <w:pPr>
        <w:spacing w:after="0" w:line="360" w:lineRule="auto"/>
      </w:pPr>
    </w:p>
    <w:p w14:paraId="3101E873" w14:textId="77777777" w:rsidR="00482906" w:rsidRDefault="00482906">
      <w:pPr>
        <w:spacing w:after="0" w:line="360" w:lineRule="auto"/>
      </w:pPr>
    </w:p>
    <w:p w14:paraId="313F535A" w14:textId="77777777" w:rsidR="00482906" w:rsidRDefault="00482906">
      <w:pPr>
        <w:spacing w:after="0" w:line="360" w:lineRule="auto"/>
      </w:pPr>
    </w:p>
    <w:p w14:paraId="656D79C9" w14:textId="77777777" w:rsidR="00482906" w:rsidRDefault="00482906">
      <w:pPr>
        <w:spacing w:after="0" w:line="360" w:lineRule="auto"/>
      </w:pPr>
    </w:p>
    <w:p w14:paraId="33E608E9" w14:textId="77777777" w:rsidR="00482906" w:rsidRDefault="00482906">
      <w:pPr>
        <w:spacing w:after="0" w:line="360" w:lineRule="auto"/>
      </w:pPr>
    </w:p>
    <w:p w14:paraId="1AF093E9" w14:textId="77777777" w:rsidR="00482906" w:rsidRDefault="00482906">
      <w:pPr>
        <w:spacing w:after="0" w:line="360" w:lineRule="auto"/>
      </w:pPr>
    </w:p>
    <w:sectPr w:rsidR="00482906">
      <w:headerReference w:type="even" r:id="rId15"/>
      <w:headerReference w:type="default" r:id="rId16"/>
      <w:footerReference w:type="even" r:id="rId17"/>
      <w:footerReference w:type="default" r:id="rId18"/>
      <w:headerReference w:type="first" r:id="rId19"/>
      <w:footerReference w:type="first" r:id="rId20"/>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8021" w14:textId="77777777" w:rsidR="00C86782" w:rsidRDefault="00C86782">
      <w:pPr>
        <w:spacing w:after="0" w:line="240" w:lineRule="auto"/>
      </w:pPr>
      <w:r>
        <w:separator/>
      </w:r>
    </w:p>
  </w:endnote>
  <w:endnote w:type="continuationSeparator" w:id="0">
    <w:p w14:paraId="3620FB0C" w14:textId="77777777" w:rsidR="00C86782" w:rsidRDefault="00C8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B720" w14:textId="77777777" w:rsidR="00482906" w:rsidRDefault="00933E2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016FF">
      <w:rPr>
        <w:b/>
        <w:noProof/>
        <w:color w:val="000000"/>
        <w:sz w:val="24"/>
        <w:szCs w:val="24"/>
      </w:rPr>
      <w:t>20</w:t>
    </w:r>
    <w:r>
      <w:rPr>
        <w:b/>
        <w:color w:val="000000"/>
        <w:sz w:val="24"/>
        <w:szCs w:val="24"/>
      </w:rPr>
      <w:fldChar w:fldCharType="end"/>
    </w:r>
  </w:p>
  <w:p w14:paraId="6A793824" w14:textId="77777777" w:rsidR="00482906" w:rsidRDefault="0048290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7AA2" w14:textId="77777777" w:rsidR="00482906" w:rsidRDefault="00933E2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016FF">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016FF">
      <w:rPr>
        <w:b/>
        <w:noProof/>
        <w:color w:val="000000"/>
        <w:sz w:val="24"/>
        <w:szCs w:val="24"/>
      </w:rPr>
      <w:t>20</w:t>
    </w:r>
    <w:r>
      <w:rPr>
        <w:b/>
        <w:color w:val="000000"/>
        <w:sz w:val="24"/>
        <w:szCs w:val="24"/>
      </w:rPr>
      <w:fldChar w:fldCharType="end"/>
    </w:r>
  </w:p>
  <w:p w14:paraId="62763FE3" w14:textId="77777777" w:rsidR="00482906" w:rsidRDefault="00482906">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4333" w14:textId="77777777" w:rsidR="00482906" w:rsidRDefault="00933E2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016F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016FF">
      <w:rPr>
        <w:b/>
        <w:noProof/>
        <w:color w:val="000000"/>
        <w:sz w:val="24"/>
        <w:szCs w:val="24"/>
      </w:rPr>
      <w:t>20</w:t>
    </w:r>
    <w:r>
      <w:rPr>
        <w:b/>
        <w:color w:val="000000"/>
        <w:sz w:val="24"/>
        <w:szCs w:val="24"/>
      </w:rPr>
      <w:fldChar w:fldCharType="end"/>
    </w:r>
  </w:p>
  <w:p w14:paraId="4828CB7A" w14:textId="77777777" w:rsidR="00482906" w:rsidRDefault="0048290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9AA04" w14:textId="77777777" w:rsidR="00C86782" w:rsidRDefault="00C86782">
      <w:pPr>
        <w:spacing w:after="0" w:line="240" w:lineRule="auto"/>
      </w:pPr>
      <w:r>
        <w:separator/>
      </w:r>
    </w:p>
  </w:footnote>
  <w:footnote w:type="continuationSeparator" w:id="0">
    <w:p w14:paraId="75EBE30E" w14:textId="77777777" w:rsidR="00C86782" w:rsidRDefault="00C8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61E8" w14:textId="77777777" w:rsidR="00482906" w:rsidRDefault="00482906">
    <w:pPr>
      <w:widowControl w:val="0"/>
      <w:pBdr>
        <w:top w:val="nil"/>
        <w:left w:val="nil"/>
        <w:bottom w:val="nil"/>
        <w:right w:val="nil"/>
        <w:between w:val="nil"/>
      </w:pBdr>
      <w:spacing w:after="0" w:line="276" w:lineRule="auto"/>
      <w:jc w:val="left"/>
      <w:rPr>
        <w:color w:val="000000"/>
      </w:rPr>
    </w:pPr>
  </w:p>
  <w:tbl>
    <w:tblPr>
      <w:tblStyle w:val="afffff3"/>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482906" w14:paraId="568B16FB" w14:textId="77777777">
      <w:trPr>
        <w:trHeight w:val="141"/>
      </w:trPr>
      <w:tc>
        <w:tcPr>
          <w:tcW w:w="2404" w:type="dxa"/>
        </w:tcPr>
        <w:p w14:paraId="5F50B9B3" w14:textId="77777777" w:rsidR="00482906" w:rsidRDefault="00933E24">
          <w:pPr>
            <w:tabs>
              <w:tab w:val="right" w:pos="8838"/>
            </w:tabs>
            <w:ind w:right="-105"/>
            <w:rPr>
              <w:b/>
            </w:rPr>
          </w:pPr>
          <w:r>
            <w:rPr>
              <w:b/>
            </w:rPr>
            <w:t>Recurso de Revisión:</w:t>
          </w:r>
        </w:p>
      </w:tc>
      <w:tc>
        <w:tcPr>
          <w:tcW w:w="3587" w:type="dxa"/>
        </w:tcPr>
        <w:p w14:paraId="36F0FF9E" w14:textId="77777777" w:rsidR="00482906" w:rsidRDefault="00933E24">
          <w:pPr>
            <w:tabs>
              <w:tab w:val="right" w:pos="8838"/>
            </w:tabs>
            <w:ind w:left="-28" w:right="683"/>
          </w:pPr>
          <w:r>
            <w:t>04196/INFOEM/IP/RR/2020</w:t>
          </w:r>
        </w:p>
      </w:tc>
    </w:tr>
    <w:tr w:rsidR="00482906" w14:paraId="1C8F32AF" w14:textId="77777777">
      <w:trPr>
        <w:trHeight w:val="276"/>
      </w:trPr>
      <w:tc>
        <w:tcPr>
          <w:tcW w:w="2404" w:type="dxa"/>
        </w:tcPr>
        <w:p w14:paraId="30FD7912" w14:textId="77777777" w:rsidR="00482906" w:rsidRDefault="00933E24">
          <w:pPr>
            <w:tabs>
              <w:tab w:val="right" w:pos="8838"/>
            </w:tabs>
            <w:ind w:right="-105"/>
            <w:rPr>
              <w:b/>
            </w:rPr>
          </w:pPr>
          <w:r>
            <w:rPr>
              <w:b/>
            </w:rPr>
            <w:t>Sujeto Obligado:</w:t>
          </w:r>
        </w:p>
      </w:tc>
      <w:tc>
        <w:tcPr>
          <w:tcW w:w="3587" w:type="dxa"/>
        </w:tcPr>
        <w:p w14:paraId="071A71DF" w14:textId="77777777" w:rsidR="00482906" w:rsidRDefault="00933E24">
          <w:pPr>
            <w:tabs>
              <w:tab w:val="right" w:pos="8838"/>
            </w:tabs>
            <w:ind w:right="116"/>
          </w:pPr>
          <w:r>
            <w:t>Ayuntamiento de Chapultepec</w:t>
          </w:r>
        </w:p>
      </w:tc>
    </w:tr>
    <w:tr w:rsidR="00482906" w14:paraId="2F97D082" w14:textId="77777777">
      <w:trPr>
        <w:trHeight w:val="276"/>
      </w:trPr>
      <w:tc>
        <w:tcPr>
          <w:tcW w:w="2404" w:type="dxa"/>
        </w:tcPr>
        <w:p w14:paraId="3C981FAB" w14:textId="77777777" w:rsidR="00482906" w:rsidRDefault="00933E24">
          <w:pPr>
            <w:tabs>
              <w:tab w:val="right" w:pos="8838"/>
            </w:tabs>
            <w:ind w:right="-105"/>
            <w:rPr>
              <w:b/>
            </w:rPr>
          </w:pPr>
          <w:r>
            <w:rPr>
              <w:b/>
            </w:rPr>
            <w:t>Comisionado Ponente:</w:t>
          </w:r>
        </w:p>
      </w:tc>
      <w:tc>
        <w:tcPr>
          <w:tcW w:w="3587" w:type="dxa"/>
        </w:tcPr>
        <w:p w14:paraId="3303B086" w14:textId="77777777" w:rsidR="00482906" w:rsidRDefault="00933E24">
          <w:pPr>
            <w:tabs>
              <w:tab w:val="right" w:pos="8838"/>
            </w:tabs>
            <w:ind w:right="-32"/>
          </w:pPr>
          <w:r>
            <w:t>Luis Gustavo Parra Noriega</w:t>
          </w:r>
        </w:p>
      </w:tc>
    </w:tr>
  </w:tbl>
  <w:p w14:paraId="6E26DE2B" w14:textId="77777777" w:rsidR="00482906" w:rsidRDefault="00A337E4">
    <w:pPr>
      <w:pBdr>
        <w:top w:val="nil"/>
        <w:left w:val="nil"/>
        <w:bottom w:val="nil"/>
        <w:right w:val="nil"/>
        <w:between w:val="nil"/>
      </w:pBdr>
      <w:tabs>
        <w:tab w:val="center" w:pos="4419"/>
        <w:tab w:val="right" w:pos="8838"/>
      </w:tabs>
      <w:spacing w:after="0" w:line="240" w:lineRule="auto"/>
      <w:rPr>
        <w:color w:val="000000"/>
      </w:rPr>
    </w:pPr>
    <w:r>
      <w:rPr>
        <w:color w:val="000000"/>
      </w:rPr>
      <w:pict w14:anchorId="36CB7B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E66F" w14:textId="77777777" w:rsidR="00482906" w:rsidRDefault="00482906">
    <w:pPr>
      <w:rPr>
        <w:sz w:val="16"/>
        <w:szCs w:val="16"/>
      </w:rPr>
    </w:pPr>
  </w:p>
  <w:tbl>
    <w:tblPr>
      <w:tblStyle w:val="afffff4"/>
      <w:tblW w:w="609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409"/>
      <w:gridCol w:w="3686"/>
    </w:tblGrid>
    <w:tr w:rsidR="00482906" w14:paraId="6BFD16C1" w14:textId="77777777">
      <w:trPr>
        <w:trHeight w:val="141"/>
      </w:trPr>
      <w:tc>
        <w:tcPr>
          <w:tcW w:w="2409" w:type="dxa"/>
        </w:tcPr>
        <w:p w14:paraId="4980EA05" w14:textId="77777777" w:rsidR="00482906" w:rsidRDefault="00933E24">
          <w:pPr>
            <w:tabs>
              <w:tab w:val="right" w:pos="8838"/>
            </w:tabs>
            <w:ind w:left="-395" w:right="-105" w:firstLine="395"/>
            <w:rPr>
              <w:b/>
            </w:rPr>
          </w:pPr>
          <w:r>
            <w:rPr>
              <w:b/>
            </w:rPr>
            <w:t>Recurso de Revisión:</w:t>
          </w:r>
        </w:p>
      </w:tc>
      <w:tc>
        <w:tcPr>
          <w:tcW w:w="3686" w:type="dxa"/>
        </w:tcPr>
        <w:p w14:paraId="719E9668" w14:textId="77777777" w:rsidR="00482906" w:rsidRDefault="00933E24">
          <w:pPr>
            <w:tabs>
              <w:tab w:val="right" w:pos="8838"/>
            </w:tabs>
            <w:ind w:right="176"/>
          </w:pPr>
          <w:r>
            <w:t>10191/INFOEM/IP/RR/2025</w:t>
          </w:r>
        </w:p>
      </w:tc>
    </w:tr>
    <w:tr w:rsidR="00482906" w14:paraId="6C79F6E5" w14:textId="77777777">
      <w:trPr>
        <w:trHeight w:val="276"/>
      </w:trPr>
      <w:tc>
        <w:tcPr>
          <w:tcW w:w="2409" w:type="dxa"/>
        </w:tcPr>
        <w:p w14:paraId="675ED76E" w14:textId="77777777" w:rsidR="00482906" w:rsidRDefault="00933E24">
          <w:pPr>
            <w:tabs>
              <w:tab w:val="right" w:pos="8838"/>
            </w:tabs>
            <w:ind w:right="-105"/>
            <w:rPr>
              <w:b/>
            </w:rPr>
          </w:pPr>
          <w:r>
            <w:rPr>
              <w:b/>
            </w:rPr>
            <w:t>Sujeto Obligado:</w:t>
          </w:r>
        </w:p>
      </w:tc>
      <w:tc>
        <w:tcPr>
          <w:tcW w:w="3686" w:type="dxa"/>
        </w:tcPr>
        <w:p w14:paraId="3C7B97C3" w14:textId="77777777" w:rsidR="00482906" w:rsidRDefault="00933E24">
          <w:pPr>
            <w:tabs>
              <w:tab w:val="left" w:pos="3158"/>
              <w:tab w:val="left" w:pos="4292"/>
              <w:tab w:val="right" w:pos="8838"/>
            </w:tabs>
            <w:ind w:right="176"/>
          </w:pPr>
          <w:r>
            <w:t>Ayuntamiento de Mexicaltzingo</w:t>
          </w:r>
        </w:p>
      </w:tc>
    </w:tr>
    <w:tr w:rsidR="00482906" w14:paraId="38CE4008" w14:textId="77777777">
      <w:trPr>
        <w:trHeight w:val="276"/>
      </w:trPr>
      <w:tc>
        <w:tcPr>
          <w:tcW w:w="2409" w:type="dxa"/>
        </w:tcPr>
        <w:p w14:paraId="1E018DFA" w14:textId="77777777" w:rsidR="00482906" w:rsidRDefault="00933E24">
          <w:pPr>
            <w:tabs>
              <w:tab w:val="right" w:pos="8838"/>
            </w:tabs>
            <w:ind w:right="-105"/>
            <w:rPr>
              <w:b/>
            </w:rPr>
          </w:pPr>
          <w:r>
            <w:rPr>
              <w:b/>
            </w:rPr>
            <w:t>Comisionado Ponente:</w:t>
          </w:r>
        </w:p>
      </w:tc>
      <w:tc>
        <w:tcPr>
          <w:tcW w:w="3686" w:type="dxa"/>
        </w:tcPr>
        <w:p w14:paraId="3CB0811E" w14:textId="77777777" w:rsidR="00482906" w:rsidRDefault="00933E24">
          <w:pPr>
            <w:tabs>
              <w:tab w:val="right" w:pos="8838"/>
            </w:tabs>
            <w:ind w:right="176"/>
          </w:pPr>
          <w:r>
            <w:t>Luis Gustavo Parra Noriega</w:t>
          </w:r>
        </w:p>
        <w:p w14:paraId="5A5638CF" w14:textId="77777777" w:rsidR="00482906" w:rsidRDefault="00482906">
          <w:pPr>
            <w:tabs>
              <w:tab w:val="right" w:pos="8838"/>
            </w:tabs>
            <w:ind w:right="176"/>
          </w:pPr>
        </w:p>
      </w:tc>
    </w:tr>
  </w:tbl>
  <w:p w14:paraId="5B7B3CC9" w14:textId="77777777" w:rsidR="00482906" w:rsidRDefault="00A337E4">
    <w:pPr>
      <w:pBdr>
        <w:top w:val="nil"/>
        <w:left w:val="nil"/>
        <w:bottom w:val="nil"/>
        <w:right w:val="nil"/>
        <w:between w:val="nil"/>
      </w:pBdr>
      <w:tabs>
        <w:tab w:val="center" w:pos="4419"/>
        <w:tab w:val="right" w:pos="8838"/>
      </w:tabs>
      <w:spacing w:after="0" w:line="240" w:lineRule="auto"/>
      <w:rPr>
        <w:color w:val="000000"/>
      </w:rPr>
    </w:pPr>
    <w:r>
      <w:rPr>
        <w:color w:val="000000"/>
      </w:rPr>
      <w:pict w14:anchorId="37544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MARCA DE AGUA - HOJA RESOLUCIÓN" style="position:absolute;left:0;text-align:left;margin-left:0;margin-top:0;width:663.5pt;height:12in;z-index:-251659776;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D4FB" w14:textId="77777777" w:rsidR="00482906" w:rsidRDefault="00A337E4">
    <w:pPr>
      <w:widowControl w:val="0"/>
      <w:pBdr>
        <w:top w:val="nil"/>
        <w:left w:val="nil"/>
        <w:bottom w:val="nil"/>
        <w:right w:val="nil"/>
        <w:between w:val="nil"/>
      </w:pBdr>
      <w:spacing w:after="0" w:line="276" w:lineRule="auto"/>
      <w:jc w:val="left"/>
      <w:rPr>
        <w:color w:val="000000"/>
      </w:rPr>
    </w:pPr>
    <w:r>
      <w:rPr>
        <w:color w:val="000000"/>
      </w:rPr>
      <w:pict w14:anchorId="37040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MARCA DE AGUA - HOJA RESOLUCIÓN" style="position:absolute;margin-left:-97.1pt;margin-top:-123.85pt;width:663.5pt;height:12in;z-index:-251658752;mso-position-horizontal:absolute;mso-position-horizontal-relative:margin;mso-position-vertical:absolute;mso-position-vertical-relative:margin">
          <v:imagedata r:id="rId1" o:title="image1"/>
          <w10:wrap anchorx="margin" anchory="margin"/>
        </v:shape>
      </w:pict>
    </w:r>
  </w:p>
  <w:tbl>
    <w:tblPr>
      <w:tblStyle w:val="afffff5"/>
      <w:tblW w:w="9214" w:type="dxa"/>
      <w:tblInd w:w="0" w:type="dxa"/>
      <w:tblLayout w:type="fixed"/>
      <w:tblLook w:val="0400" w:firstRow="0" w:lastRow="0" w:firstColumn="0" w:lastColumn="0" w:noHBand="0" w:noVBand="1"/>
    </w:tblPr>
    <w:tblGrid>
      <w:gridCol w:w="2127"/>
      <w:gridCol w:w="7087"/>
    </w:tblGrid>
    <w:tr w:rsidR="00482906" w14:paraId="64A86B0B" w14:textId="77777777">
      <w:trPr>
        <w:trHeight w:val="1546"/>
      </w:trPr>
      <w:tc>
        <w:tcPr>
          <w:tcW w:w="2127" w:type="dxa"/>
        </w:tcPr>
        <w:p w14:paraId="63DE57A8" w14:textId="77777777" w:rsidR="00482906" w:rsidRDefault="00482906">
          <w:pPr>
            <w:tabs>
              <w:tab w:val="right" w:pos="4273"/>
            </w:tabs>
            <w:rPr>
              <w:rFonts w:ascii="Garamond" w:eastAsia="Garamond" w:hAnsi="Garamond" w:cs="Garamond"/>
              <w:sz w:val="16"/>
              <w:szCs w:val="16"/>
            </w:rPr>
          </w:pPr>
        </w:p>
      </w:tc>
      <w:tc>
        <w:tcPr>
          <w:tcW w:w="7087" w:type="dxa"/>
        </w:tcPr>
        <w:p w14:paraId="63D5A3E4" w14:textId="77777777" w:rsidR="00482906" w:rsidRDefault="00482906">
          <w:pPr>
            <w:rPr>
              <w:sz w:val="10"/>
              <w:szCs w:val="10"/>
            </w:rPr>
          </w:pPr>
        </w:p>
        <w:tbl>
          <w:tblPr>
            <w:tblStyle w:val="afffff6"/>
            <w:tblW w:w="5812" w:type="dxa"/>
            <w:tblInd w:w="1167" w:type="dxa"/>
            <w:tblLayout w:type="fixed"/>
            <w:tblLook w:val="0400" w:firstRow="0" w:lastRow="0" w:firstColumn="0" w:lastColumn="0" w:noHBand="0" w:noVBand="1"/>
          </w:tblPr>
          <w:tblGrid>
            <w:gridCol w:w="2410"/>
            <w:gridCol w:w="3402"/>
          </w:tblGrid>
          <w:tr w:rsidR="00482906" w14:paraId="5C34E5B8" w14:textId="77777777">
            <w:trPr>
              <w:trHeight w:val="427"/>
            </w:trPr>
            <w:tc>
              <w:tcPr>
                <w:tcW w:w="2410" w:type="dxa"/>
                <w:vAlign w:val="bottom"/>
              </w:tcPr>
              <w:p w14:paraId="15FD5632" w14:textId="77777777" w:rsidR="00482906" w:rsidRDefault="00933E24">
                <w:pPr>
                  <w:tabs>
                    <w:tab w:val="right" w:pos="8838"/>
                  </w:tabs>
                  <w:ind w:right="-105"/>
                  <w:rPr>
                    <w:b/>
                  </w:rPr>
                </w:pPr>
                <w:r>
                  <w:rPr>
                    <w:b/>
                  </w:rPr>
                  <w:t>Recurso de Revisión:</w:t>
                </w:r>
              </w:p>
            </w:tc>
            <w:tc>
              <w:tcPr>
                <w:tcW w:w="3402" w:type="dxa"/>
              </w:tcPr>
              <w:p w14:paraId="32E07303" w14:textId="77777777" w:rsidR="00482906" w:rsidRDefault="00482906">
                <w:pPr>
                  <w:tabs>
                    <w:tab w:val="right" w:pos="8838"/>
                  </w:tabs>
                  <w:ind w:left="-28" w:right="-107"/>
                  <w:rPr>
                    <w:b/>
                  </w:rPr>
                </w:pPr>
              </w:p>
              <w:p w14:paraId="67A9126E" w14:textId="77777777" w:rsidR="00482906" w:rsidRDefault="00933E24">
                <w:pPr>
                  <w:tabs>
                    <w:tab w:val="right" w:pos="8838"/>
                  </w:tabs>
                  <w:ind w:left="-28" w:right="-107"/>
                  <w:rPr>
                    <w:b/>
                  </w:rPr>
                </w:pPr>
                <w:r>
                  <w:rPr>
                    <w:b/>
                  </w:rPr>
                  <w:t>10191/INFOEM/IP/RR/2025</w:t>
                </w:r>
              </w:p>
            </w:tc>
          </w:tr>
          <w:tr w:rsidR="00482906" w14:paraId="089182A0" w14:textId="77777777">
            <w:trPr>
              <w:trHeight w:val="141"/>
            </w:trPr>
            <w:tc>
              <w:tcPr>
                <w:tcW w:w="2410" w:type="dxa"/>
              </w:tcPr>
              <w:p w14:paraId="745DA2ED" w14:textId="77777777" w:rsidR="00482906" w:rsidRDefault="00933E24">
                <w:pPr>
                  <w:tabs>
                    <w:tab w:val="right" w:pos="8838"/>
                  </w:tabs>
                  <w:ind w:right="-105"/>
                  <w:rPr>
                    <w:b/>
                  </w:rPr>
                </w:pPr>
                <w:r>
                  <w:rPr>
                    <w:b/>
                  </w:rPr>
                  <w:t>Recurrente:</w:t>
                </w:r>
              </w:p>
            </w:tc>
            <w:tc>
              <w:tcPr>
                <w:tcW w:w="3402" w:type="dxa"/>
              </w:tcPr>
              <w:p w14:paraId="47404B31" w14:textId="1D8543AA" w:rsidR="00482906" w:rsidRDefault="00A337E4">
                <w:pPr>
                  <w:tabs>
                    <w:tab w:val="right" w:pos="8838"/>
                  </w:tabs>
                  <w:ind w:right="-107"/>
                </w:pPr>
                <w:r w:rsidRPr="00A337E4">
                  <w:rPr>
                    <w:b/>
                    <w:bCs/>
                    <w:highlight w:val="black"/>
                  </w:rPr>
                  <w:t>XXXXXXXXXXXXXXXXXXXX</w:t>
                </w:r>
              </w:p>
            </w:tc>
          </w:tr>
          <w:tr w:rsidR="00482906" w14:paraId="3FBBBF78" w14:textId="77777777">
            <w:trPr>
              <w:trHeight w:val="276"/>
            </w:trPr>
            <w:tc>
              <w:tcPr>
                <w:tcW w:w="2410" w:type="dxa"/>
              </w:tcPr>
              <w:p w14:paraId="514CF636" w14:textId="77777777" w:rsidR="00482906" w:rsidRDefault="00933E24">
                <w:pPr>
                  <w:tabs>
                    <w:tab w:val="right" w:pos="8838"/>
                  </w:tabs>
                  <w:ind w:right="-105"/>
                  <w:rPr>
                    <w:b/>
                  </w:rPr>
                </w:pPr>
                <w:r>
                  <w:rPr>
                    <w:b/>
                  </w:rPr>
                  <w:t>Sujeto Obligado:</w:t>
                </w:r>
              </w:p>
            </w:tc>
            <w:tc>
              <w:tcPr>
                <w:tcW w:w="3402" w:type="dxa"/>
              </w:tcPr>
              <w:p w14:paraId="108E5767" w14:textId="77777777" w:rsidR="00482906" w:rsidRDefault="00933E24">
                <w:pPr>
                  <w:tabs>
                    <w:tab w:val="right" w:pos="8838"/>
                  </w:tabs>
                  <w:ind w:right="33"/>
                </w:pPr>
                <w:r>
                  <w:t>Ayuntamiento de Mexicaltzingo</w:t>
                </w:r>
              </w:p>
            </w:tc>
          </w:tr>
          <w:tr w:rsidR="00482906" w14:paraId="46346D55" w14:textId="77777777">
            <w:trPr>
              <w:trHeight w:val="276"/>
            </w:trPr>
            <w:tc>
              <w:tcPr>
                <w:tcW w:w="2410" w:type="dxa"/>
              </w:tcPr>
              <w:p w14:paraId="20AD2926" w14:textId="77777777" w:rsidR="00482906" w:rsidRDefault="00933E24">
                <w:pPr>
                  <w:tabs>
                    <w:tab w:val="right" w:pos="8838"/>
                  </w:tabs>
                  <w:ind w:right="-105"/>
                  <w:rPr>
                    <w:b/>
                  </w:rPr>
                </w:pPr>
                <w:r>
                  <w:rPr>
                    <w:b/>
                  </w:rPr>
                  <w:t>Comisionado Ponente:</w:t>
                </w:r>
              </w:p>
            </w:tc>
            <w:tc>
              <w:tcPr>
                <w:tcW w:w="3402" w:type="dxa"/>
              </w:tcPr>
              <w:p w14:paraId="2E106661" w14:textId="77777777" w:rsidR="00482906" w:rsidRDefault="00933E24">
                <w:pPr>
                  <w:tabs>
                    <w:tab w:val="right" w:pos="8838"/>
                  </w:tabs>
                  <w:ind w:right="-107"/>
                </w:pPr>
                <w:r>
                  <w:t>Luis Gustavo Parra Noriega</w:t>
                </w:r>
              </w:p>
            </w:tc>
          </w:tr>
        </w:tbl>
        <w:p w14:paraId="64532467" w14:textId="77777777" w:rsidR="00482906" w:rsidRDefault="00482906">
          <w:pPr>
            <w:tabs>
              <w:tab w:val="right" w:pos="8838"/>
            </w:tabs>
            <w:ind w:left="-28"/>
            <w:rPr>
              <w:rFonts w:ascii="Arial" w:eastAsia="Arial" w:hAnsi="Arial" w:cs="Arial"/>
              <w:b/>
            </w:rPr>
          </w:pPr>
        </w:p>
      </w:tc>
    </w:tr>
  </w:tbl>
  <w:p w14:paraId="2C1F66DB" w14:textId="77777777" w:rsidR="00482906" w:rsidRDefault="00482906">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4F99"/>
    <w:multiLevelType w:val="multilevel"/>
    <w:tmpl w:val="DF0C7FF2"/>
    <w:lvl w:ilvl="0">
      <w:start w:val="6"/>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740D99"/>
    <w:multiLevelType w:val="hybridMultilevel"/>
    <w:tmpl w:val="8CECA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34709F6"/>
    <w:multiLevelType w:val="multilevel"/>
    <w:tmpl w:val="BEF65520"/>
    <w:lvl w:ilvl="0">
      <w:start w:val="6"/>
      <w:numFmt w:val="bullet"/>
      <w:lvlText w:val="●"/>
      <w:lvlJc w:val="left"/>
      <w:pPr>
        <w:ind w:left="720"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C25B7B"/>
    <w:multiLevelType w:val="multilevel"/>
    <w:tmpl w:val="7060996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7174969">
    <w:abstractNumId w:val="3"/>
  </w:num>
  <w:num w:numId="2" w16cid:durableId="128060041">
    <w:abstractNumId w:val="0"/>
  </w:num>
  <w:num w:numId="3" w16cid:durableId="988747631">
    <w:abstractNumId w:val="2"/>
  </w:num>
  <w:num w:numId="4" w16cid:durableId="1964801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06"/>
    <w:rsid w:val="000A303E"/>
    <w:rsid w:val="001661B9"/>
    <w:rsid w:val="001B63E4"/>
    <w:rsid w:val="002D3528"/>
    <w:rsid w:val="003016FF"/>
    <w:rsid w:val="00482906"/>
    <w:rsid w:val="00513B50"/>
    <w:rsid w:val="008543A6"/>
    <w:rsid w:val="00933E24"/>
    <w:rsid w:val="00A337E4"/>
    <w:rsid w:val="00B72680"/>
    <w:rsid w:val="00BB0430"/>
    <w:rsid w:val="00C86782"/>
    <w:rsid w:val="00DA39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0C8644"/>
  <w15:docId w15:val="{AF3DFC2F-494D-4231-B84D-4627AB81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line="360" w:lineRule="auto"/>
      <w:jc w:val="center"/>
      <w:outlineLvl w:val="0"/>
    </w:pPr>
    <w:rPr>
      <w:b/>
      <w:sz w:val="24"/>
      <w:szCs w:val="24"/>
    </w:rPr>
  </w:style>
  <w:style w:type="paragraph" w:styleId="Ttulo2">
    <w:name w:val="heading 2"/>
    <w:basedOn w:val="Normal"/>
    <w:next w:val="Normal"/>
    <w:uiPriority w:val="9"/>
    <w:unhideWhenUsed/>
    <w:qFormat/>
    <w:pPr>
      <w:keepNext/>
      <w:keepLines/>
      <w:spacing w:before="360" w:after="80" w:line="360" w:lineRule="auto"/>
      <w:jc w:val="left"/>
      <w:outlineLvl w:val="1"/>
    </w:pPr>
    <w:rPr>
      <w:b/>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qFormat/>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f"/>
    <w:pPr>
      <w:spacing w:after="0" w:line="240" w:lineRule="auto"/>
    </w:pPr>
    <w:tblPr>
      <w:tblStyleRowBandSize w:val="1"/>
      <w:tblStyleColBandSize w:val="1"/>
      <w:tblCellMar>
        <w:left w:w="108" w:type="dxa"/>
        <w:right w:w="108" w:type="dxa"/>
      </w:tblCellMar>
    </w:tblPr>
  </w:style>
  <w:style w:type="table" w:customStyle="1" w:styleId="a0">
    <w:basedOn w:val="TableNormalf"/>
    <w:pPr>
      <w:spacing w:after="0" w:line="240" w:lineRule="auto"/>
    </w:pPr>
    <w:tblPr>
      <w:tblStyleRowBandSize w:val="1"/>
      <w:tblStyleColBandSize w:val="1"/>
      <w:tblCellMar>
        <w:left w:w="108" w:type="dxa"/>
        <w:right w:w="108" w:type="dxa"/>
      </w:tblCellMar>
    </w:tblPr>
  </w:style>
  <w:style w:type="table" w:customStyle="1" w:styleId="a1">
    <w:basedOn w:val="TableNormalf"/>
    <w:tblPr>
      <w:tblStyleRowBandSize w:val="1"/>
      <w:tblStyleColBandSize w:val="1"/>
      <w:tblCellMar>
        <w:left w:w="115" w:type="dxa"/>
        <w:right w:w="115" w:type="dxa"/>
      </w:tblCellMar>
    </w:tblPr>
  </w:style>
  <w:style w:type="table" w:customStyle="1" w:styleId="a2">
    <w:basedOn w:val="TableNormalf"/>
    <w:pPr>
      <w:spacing w:after="0" w:line="240" w:lineRule="auto"/>
    </w:pPr>
    <w:tblPr>
      <w:tblStyleRowBandSize w:val="1"/>
      <w:tblStyleColBandSize w:val="1"/>
      <w:tblCellMar>
        <w:left w:w="108" w:type="dxa"/>
        <w:right w:w="108" w:type="dxa"/>
      </w:tblCellMar>
    </w:tblPr>
  </w:style>
  <w:style w:type="paragraph" w:styleId="Ttulo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BE1DC0"/>
    <w:rPr>
      <w:color w:val="605E5C"/>
      <w:shd w:val="clear" w:color="auto" w:fill="E1DFDD"/>
    </w:rPr>
  </w:style>
  <w:style w:type="table" w:customStyle="1" w:styleId="a3">
    <w:basedOn w:val="TableNormalf"/>
    <w:pPr>
      <w:spacing w:after="0" w:line="240" w:lineRule="auto"/>
    </w:pPr>
    <w:tblPr>
      <w:tblStyleRowBandSize w:val="1"/>
      <w:tblStyleColBandSize w:val="1"/>
      <w:tblCellMar>
        <w:left w:w="108" w:type="dxa"/>
        <w:right w:w="108" w:type="dxa"/>
      </w:tblCellMar>
    </w:tblPr>
  </w:style>
  <w:style w:type="table" w:customStyle="1" w:styleId="a4">
    <w:basedOn w:val="TableNormalf"/>
    <w:pPr>
      <w:spacing w:after="0" w:line="240" w:lineRule="auto"/>
    </w:pPr>
    <w:tblPr>
      <w:tblStyleRowBandSize w:val="1"/>
      <w:tblStyleColBandSize w:val="1"/>
      <w:tblCellMar>
        <w:left w:w="108" w:type="dxa"/>
        <w:right w:w="108" w:type="dxa"/>
      </w:tblCellMar>
    </w:tblPr>
  </w:style>
  <w:style w:type="table" w:customStyle="1" w:styleId="a5">
    <w:basedOn w:val="TableNormalf"/>
    <w:pPr>
      <w:spacing w:after="0" w:line="240" w:lineRule="auto"/>
    </w:pPr>
    <w:tblPr>
      <w:tblStyleRowBandSize w:val="1"/>
      <w:tblStyleColBandSize w:val="1"/>
      <w:tblCellMar>
        <w:left w:w="108" w:type="dxa"/>
        <w:right w:w="108" w:type="dxa"/>
      </w:tblCellMar>
    </w:tblPr>
  </w:style>
  <w:style w:type="table" w:customStyle="1" w:styleId="a6">
    <w:basedOn w:val="TableNormalf"/>
    <w:pPr>
      <w:spacing w:after="0" w:line="240" w:lineRule="auto"/>
    </w:pPr>
    <w:tblPr>
      <w:tblStyleRowBandSize w:val="1"/>
      <w:tblStyleColBandSize w:val="1"/>
      <w:tblCellMar>
        <w:left w:w="108" w:type="dxa"/>
        <w:right w:w="108" w:type="dxa"/>
      </w:tblCellMar>
    </w:tblPr>
  </w:style>
  <w:style w:type="table" w:customStyle="1" w:styleId="a7">
    <w:basedOn w:val="TableNormale"/>
    <w:pPr>
      <w:spacing w:after="0" w:line="240" w:lineRule="auto"/>
    </w:pPr>
    <w:tblPr>
      <w:tblStyleRowBandSize w:val="1"/>
      <w:tblStyleColBandSize w:val="1"/>
      <w:tblCellMar>
        <w:left w:w="108" w:type="dxa"/>
        <w:right w:w="108" w:type="dxa"/>
      </w:tblCellMar>
    </w:tblPr>
  </w:style>
  <w:style w:type="table" w:customStyle="1" w:styleId="a8">
    <w:basedOn w:val="TableNormale"/>
    <w:pPr>
      <w:spacing w:after="0" w:line="240" w:lineRule="auto"/>
    </w:pPr>
    <w:tblPr>
      <w:tblStyleRowBandSize w:val="1"/>
      <w:tblStyleColBandSize w:val="1"/>
      <w:tblCellMar>
        <w:left w:w="108" w:type="dxa"/>
        <w:right w:w="108" w:type="dxa"/>
      </w:tblCellMar>
    </w:tblPr>
  </w:style>
  <w:style w:type="table" w:customStyle="1" w:styleId="a9">
    <w:basedOn w:val="TableNormale"/>
    <w:pPr>
      <w:spacing w:after="0" w:line="240" w:lineRule="auto"/>
    </w:pPr>
    <w:tblPr>
      <w:tblStyleRowBandSize w:val="1"/>
      <w:tblStyleColBandSize w:val="1"/>
      <w:tblCellMar>
        <w:left w:w="108" w:type="dxa"/>
        <w:right w:w="108" w:type="dxa"/>
      </w:tblCellMar>
    </w:tblPr>
  </w:style>
  <w:style w:type="table" w:customStyle="1" w:styleId="aa">
    <w:basedOn w:val="TableNormale"/>
    <w:pPr>
      <w:spacing w:after="0" w:line="240" w:lineRule="auto"/>
    </w:pPr>
    <w:tblPr>
      <w:tblStyleRowBandSize w:val="1"/>
      <w:tblStyleColBandSize w:val="1"/>
      <w:tblCellMar>
        <w:left w:w="108" w:type="dxa"/>
        <w:right w:w="108" w:type="dxa"/>
      </w:tblCellMar>
    </w:tblPr>
  </w:style>
  <w:style w:type="table" w:customStyle="1" w:styleId="ab">
    <w:basedOn w:val="TableNormald"/>
    <w:pPr>
      <w:spacing w:after="0" w:line="240" w:lineRule="auto"/>
    </w:pPr>
    <w:tblPr>
      <w:tblStyleRowBandSize w:val="1"/>
      <w:tblStyleColBandSize w:val="1"/>
      <w:tblCellMar>
        <w:left w:w="108" w:type="dxa"/>
        <w:right w:w="108" w:type="dxa"/>
      </w:tblCellMar>
    </w:tblPr>
  </w:style>
  <w:style w:type="table" w:customStyle="1" w:styleId="ac">
    <w:basedOn w:val="TableNormald"/>
    <w:pPr>
      <w:spacing w:after="0" w:line="240" w:lineRule="auto"/>
    </w:pPr>
    <w:tblPr>
      <w:tblStyleRowBandSize w:val="1"/>
      <w:tblStyleColBandSize w:val="1"/>
      <w:tblCellMar>
        <w:left w:w="108" w:type="dxa"/>
        <w:right w:w="108" w:type="dxa"/>
      </w:tblCellMar>
    </w:tblPr>
  </w:style>
  <w:style w:type="table" w:customStyle="1" w:styleId="ad">
    <w:basedOn w:val="TableNormald"/>
    <w:pPr>
      <w:spacing w:after="0" w:line="240" w:lineRule="auto"/>
    </w:pPr>
    <w:tblPr>
      <w:tblStyleRowBandSize w:val="1"/>
      <w:tblStyleColBandSize w:val="1"/>
      <w:tblCellMar>
        <w:left w:w="108" w:type="dxa"/>
        <w:right w:w="108" w:type="dxa"/>
      </w:tblCellMar>
    </w:tblPr>
  </w:style>
  <w:style w:type="table" w:customStyle="1" w:styleId="ae">
    <w:basedOn w:val="TableNormald"/>
    <w:pPr>
      <w:spacing w:after="0" w:line="240" w:lineRule="auto"/>
    </w:pPr>
    <w:tblPr>
      <w:tblStyleRowBandSize w:val="1"/>
      <w:tblStyleColBandSize w:val="1"/>
      <w:tblCellMar>
        <w:left w:w="108" w:type="dxa"/>
        <w:right w:w="108" w:type="dxa"/>
      </w:tblCellMar>
    </w:tblPr>
  </w:style>
  <w:style w:type="table" w:customStyle="1" w:styleId="af">
    <w:basedOn w:val="TableNormalc"/>
    <w:pPr>
      <w:spacing w:after="0" w:line="240" w:lineRule="auto"/>
    </w:pPr>
    <w:tblPr>
      <w:tblStyleRowBandSize w:val="1"/>
      <w:tblStyleColBandSize w:val="1"/>
      <w:tblCellMar>
        <w:left w:w="108" w:type="dxa"/>
        <w:right w:w="108" w:type="dxa"/>
      </w:tblCellMar>
    </w:tbl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customStyle="1" w:styleId="af1">
    <w:basedOn w:val="TableNormalc"/>
    <w:pPr>
      <w:spacing w:after="0" w:line="240" w:lineRule="auto"/>
    </w:pPr>
    <w:tblPr>
      <w:tblStyleRowBandSize w:val="1"/>
      <w:tblStyleColBandSize w:val="1"/>
      <w:tblCellMar>
        <w:left w:w="108" w:type="dxa"/>
        <w:right w:w="108" w:type="dxa"/>
      </w:tblCellMar>
    </w:tblPr>
  </w:style>
  <w:style w:type="table" w:customStyle="1" w:styleId="af2">
    <w:basedOn w:val="TableNormalc"/>
    <w:pPr>
      <w:spacing w:after="0" w:line="240" w:lineRule="auto"/>
    </w:pPr>
    <w:tblPr>
      <w:tblStyleRowBandSize w:val="1"/>
      <w:tblStyleColBandSize w:val="1"/>
      <w:tblCellMar>
        <w:left w:w="108" w:type="dxa"/>
        <w:right w:w="108" w:type="dxa"/>
      </w:tblCellMar>
    </w:tblPr>
  </w:style>
  <w:style w:type="table" w:customStyle="1" w:styleId="af3">
    <w:basedOn w:val="TableNormalb"/>
    <w:pPr>
      <w:spacing w:after="0" w:line="240" w:lineRule="auto"/>
    </w:pPr>
    <w:tblPr>
      <w:tblStyleRowBandSize w:val="1"/>
      <w:tblStyleColBandSize w:val="1"/>
      <w:tblCellMar>
        <w:left w:w="108" w:type="dxa"/>
        <w:right w:w="108" w:type="dxa"/>
      </w:tblCellMar>
    </w:tblPr>
  </w:style>
  <w:style w:type="table" w:customStyle="1" w:styleId="af4">
    <w:basedOn w:val="TableNormalb"/>
    <w:pPr>
      <w:spacing w:after="0" w:line="240" w:lineRule="auto"/>
    </w:pPr>
    <w:tblPr>
      <w:tblStyleRowBandSize w:val="1"/>
      <w:tblStyleColBandSize w:val="1"/>
      <w:tblCellMar>
        <w:left w:w="108" w:type="dxa"/>
        <w:right w:w="108" w:type="dxa"/>
      </w:tblCellMar>
    </w:tblPr>
  </w:style>
  <w:style w:type="table" w:customStyle="1" w:styleId="af5">
    <w:basedOn w:val="TableNormalb"/>
    <w:pPr>
      <w:spacing w:after="0" w:line="240" w:lineRule="auto"/>
    </w:pPr>
    <w:tblPr>
      <w:tblStyleRowBandSize w:val="1"/>
      <w:tblStyleColBandSize w:val="1"/>
      <w:tblCellMar>
        <w:left w:w="108" w:type="dxa"/>
        <w:right w:w="108" w:type="dxa"/>
      </w:tblCellMar>
    </w:tblPr>
  </w:style>
  <w:style w:type="table" w:customStyle="1" w:styleId="af6">
    <w:basedOn w:val="TableNormalb"/>
    <w:pPr>
      <w:spacing w:after="0" w:line="240" w:lineRule="auto"/>
    </w:pPr>
    <w:tblPr>
      <w:tblStyleRowBandSize w:val="1"/>
      <w:tblStyleColBandSize w:val="1"/>
      <w:tblCellMar>
        <w:left w:w="108" w:type="dxa"/>
        <w:right w:w="108" w:type="dxa"/>
      </w:tblCellMar>
    </w:tblPr>
  </w:style>
  <w:style w:type="table" w:customStyle="1" w:styleId="af7">
    <w:basedOn w:val="TableNormala"/>
    <w:pPr>
      <w:spacing w:after="0" w:line="240" w:lineRule="auto"/>
    </w:pPr>
    <w:tblPr>
      <w:tblStyleRowBandSize w:val="1"/>
      <w:tblStyleColBandSize w:val="1"/>
      <w:tblCellMar>
        <w:left w:w="108" w:type="dxa"/>
        <w:right w:w="108" w:type="dxa"/>
      </w:tblCellMar>
    </w:tblPr>
  </w:style>
  <w:style w:type="table" w:customStyle="1" w:styleId="af8">
    <w:basedOn w:val="TableNormala"/>
    <w:pPr>
      <w:spacing w:after="0" w:line="240" w:lineRule="auto"/>
    </w:pPr>
    <w:tblPr>
      <w:tblStyleRowBandSize w:val="1"/>
      <w:tblStyleColBandSize w:val="1"/>
      <w:tblCellMar>
        <w:left w:w="108" w:type="dxa"/>
        <w:right w:w="108" w:type="dxa"/>
      </w:tblCellMar>
    </w:tblPr>
  </w:style>
  <w:style w:type="table" w:customStyle="1" w:styleId="af9">
    <w:basedOn w:val="TableNormala"/>
    <w:pPr>
      <w:spacing w:after="0" w:line="240" w:lineRule="auto"/>
    </w:pPr>
    <w:tblPr>
      <w:tblStyleRowBandSize w:val="1"/>
      <w:tblStyleColBandSize w:val="1"/>
      <w:tblCellMar>
        <w:left w:w="108" w:type="dxa"/>
        <w:right w:w="108" w:type="dxa"/>
      </w:tblCellMar>
    </w:tblPr>
  </w:style>
  <w:style w:type="table" w:customStyle="1" w:styleId="afa">
    <w:basedOn w:val="TableNormala"/>
    <w:pPr>
      <w:spacing w:after="0" w:line="240" w:lineRule="auto"/>
    </w:pPr>
    <w:tblPr>
      <w:tblStyleRowBandSize w:val="1"/>
      <w:tblStyleColBandSize w:val="1"/>
      <w:tblCellMar>
        <w:left w:w="108" w:type="dxa"/>
        <w:right w:w="108" w:type="dxa"/>
      </w:tblCellMar>
    </w:tblPr>
  </w:style>
  <w:style w:type="table" w:customStyle="1" w:styleId="afb">
    <w:basedOn w:val="TableNormal9"/>
    <w:pPr>
      <w:spacing w:after="0" w:line="240" w:lineRule="auto"/>
    </w:pPr>
    <w:tblPr>
      <w:tblStyleRowBandSize w:val="1"/>
      <w:tblStyleColBandSize w:val="1"/>
      <w:tblCellMar>
        <w:left w:w="108" w:type="dxa"/>
        <w:right w:w="108" w:type="dxa"/>
      </w:tblCellMar>
    </w:tblPr>
  </w:style>
  <w:style w:type="table" w:customStyle="1" w:styleId="afc">
    <w:basedOn w:val="TableNormal9"/>
    <w:pPr>
      <w:spacing w:after="0" w:line="240" w:lineRule="auto"/>
    </w:pPr>
    <w:tblPr>
      <w:tblStyleRowBandSize w:val="1"/>
      <w:tblStyleColBandSize w:val="1"/>
      <w:tblCellMar>
        <w:left w:w="108" w:type="dxa"/>
        <w:right w:w="108" w:type="dxa"/>
      </w:tblCellMar>
    </w:tblPr>
  </w:style>
  <w:style w:type="table" w:customStyle="1" w:styleId="afd">
    <w:basedOn w:val="TableNormal9"/>
    <w:pPr>
      <w:spacing w:after="0" w:line="240" w:lineRule="auto"/>
    </w:pPr>
    <w:tblPr>
      <w:tblStyleRowBandSize w:val="1"/>
      <w:tblStyleColBandSize w:val="1"/>
      <w:tblCellMar>
        <w:left w:w="108" w:type="dxa"/>
        <w:right w:w="108" w:type="dxa"/>
      </w:tblCellMar>
    </w:tblPr>
  </w:style>
  <w:style w:type="table" w:customStyle="1" w:styleId="afe">
    <w:basedOn w:val="TableNormal9"/>
    <w:pPr>
      <w:spacing w:after="0" w:line="240" w:lineRule="auto"/>
    </w:pPr>
    <w:tblPr>
      <w:tblStyleRowBandSize w:val="1"/>
      <w:tblStyleColBandSize w:val="1"/>
      <w:tblCellMar>
        <w:left w:w="108" w:type="dxa"/>
        <w:right w:w="108" w:type="dxa"/>
      </w:tblCellMar>
    </w:tblPr>
  </w:style>
  <w:style w:type="table" w:customStyle="1" w:styleId="aff">
    <w:basedOn w:val="TableNormal8"/>
    <w:pPr>
      <w:spacing w:after="0" w:line="240" w:lineRule="auto"/>
    </w:pPr>
    <w:tblPr>
      <w:tblStyleRowBandSize w:val="1"/>
      <w:tblStyleColBandSize w:val="1"/>
      <w:tblCellMar>
        <w:left w:w="108" w:type="dxa"/>
        <w:right w:w="108" w:type="dxa"/>
      </w:tblCellMar>
    </w:tblPr>
  </w:style>
  <w:style w:type="table" w:customStyle="1" w:styleId="aff0">
    <w:basedOn w:val="TableNormal8"/>
    <w:pPr>
      <w:spacing w:after="0" w:line="240" w:lineRule="auto"/>
    </w:pPr>
    <w:tblPr>
      <w:tblStyleRowBandSize w:val="1"/>
      <w:tblStyleColBandSize w:val="1"/>
      <w:tblCellMar>
        <w:left w:w="108" w:type="dxa"/>
        <w:right w:w="108" w:type="dxa"/>
      </w:tblCellMar>
    </w:tblPr>
  </w:style>
  <w:style w:type="table" w:customStyle="1" w:styleId="aff1">
    <w:basedOn w:val="TableNormal8"/>
    <w:pPr>
      <w:spacing w:after="0" w:line="240" w:lineRule="auto"/>
    </w:pPr>
    <w:tblPr>
      <w:tblStyleRowBandSize w:val="1"/>
      <w:tblStyleColBandSize w:val="1"/>
      <w:tblCellMar>
        <w:left w:w="108" w:type="dxa"/>
        <w:right w:w="108" w:type="dxa"/>
      </w:tblCellMar>
    </w:tblPr>
  </w:style>
  <w:style w:type="table" w:customStyle="1" w:styleId="aff2">
    <w:basedOn w:val="TableNormal8"/>
    <w:pPr>
      <w:spacing w:after="0" w:line="240" w:lineRule="auto"/>
    </w:pPr>
    <w:tblPr>
      <w:tblStyleRowBandSize w:val="1"/>
      <w:tblStyleColBandSize w:val="1"/>
      <w:tblCellMar>
        <w:left w:w="108" w:type="dxa"/>
        <w:right w:w="108" w:type="dxa"/>
      </w:tblCellMar>
    </w:tblPr>
  </w:style>
  <w:style w:type="table" w:customStyle="1" w:styleId="aff3">
    <w:basedOn w:val="TableNormal7"/>
    <w:pPr>
      <w:spacing w:after="0" w:line="240" w:lineRule="auto"/>
    </w:pPr>
    <w:tblPr>
      <w:tblStyleRowBandSize w:val="1"/>
      <w:tblStyleColBandSize w:val="1"/>
      <w:tblCellMar>
        <w:left w:w="108" w:type="dxa"/>
        <w:right w:w="108" w:type="dxa"/>
      </w:tblCellMar>
    </w:tblPr>
  </w:style>
  <w:style w:type="table" w:customStyle="1" w:styleId="aff4">
    <w:basedOn w:val="TableNormal7"/>
    <w:pPr>
      <w:spacing w:after="0" w:line="240" w:lineRule="auto"/>
    </w:pPr>
    <w:tblPr>
      <w:tblStyleRowBandSize w:val="1"/>
      <w:tblStyleColBandSize w:val="1"/>
      <w:tblCellMar>
        <w:left w:w="108" w:type="dxa"/>
        <w:right w:w="108" w:type="dxa"/>
      </w:tblCellMar>
    </w:tblPr>
  </w:style>
  <w:style w:type="table" w:customStyle="1" w:styleId="aff5">
    <w:basedOn w:val="TableNormal7"/>
    <w:pPr>
      <w:spacing w:after="0" w:line="240" w:lineRule="auto"/>
    </w:pPr>
    <w:tblPr>
      <w:tblStyleRowBandSize w:val="1"/>
      <w:tblStyleColBandSize w:val="1"/>
      <w:tblCellMar>
        <w:left w:w="108" w:type="dxa"/>
        <w:right w:w="108" w:type="dxa"/>
      </w:tblCellMar>
    </w:tblPr>
  </w:style>
  <w:style w:type="table" w:customStyle="1" w:styleId="aff6">
    <w:basedOn w:val="TableNormal7"/>
    <w:pPr>
      <w:spacing w:after="0" w:line="240" w:lineRule="auto"/>
    </w:pPr>
    <w:tblPr>
      <w:tblStyleRowBandSize w:val="1"/>
      <w:tblStyleColBandSize w:val="1"/>
      <w:tblCellMar>
        <w:left w:w="108" w:type="dxa"/>
        <w:right w:w="108" w:type="dxa"/>
      </w:tblCellMar>
    </w:tblPr>
  </w:style>
  <w:style w:type="table" w:customStyle="1" w:styleId="aff7">
    <w:basedOn w:val="TableNormal6"/>
    <w:pPr>
      <w:spacing w:after="0" w:line="240" w:lineRule="auto"/>
    </w:pPr>
    <w:tblPr>
      <w:tblStyleRowBandSize w:val="1"/>
      <w:tblStyleColBandSize w:val="1"/>
      <w:tblCellMar>
        <w:left w:w="108" w:type="dxa"/>
        <w:right w:w="108" w:type="dxa"/>
      </w:tblCellMar>
    </w:tblPr>
  </w:style>
  <w:style w:type="table" w:customStyle="1" w:styleId="aff8">
    <w:basedOn w:val="TableNormal6"/>
    <w:pPr>
      <w:spacing w:after="0" w:line="240" w:lineRule="auto"/>
    </w:pPr>
    <w:tblPr>
      <w:tblStyleRowBandSize w:val="1"/>
      <w:tblStyleColBandSize w:val="1"/>
      <w:tblCellMar>
        <w:left w:w="108" w:type="dxa"/>
        <w:right w:w="108" w:type="dxa"/>
      </w:tblCellMar>
    </w:tblPr>
  </w:style>
  <w:style w:type="table" w:customStyle="1" w:styleId="aff9">
    <w:basedOn w:val="TableNormal6"/>
    <w:pPr>
      <w:spacing w:after="0" w:line="240" w:lineRule="auto"/>
    </w:pPr>
    <w:tblPr>
      <w:tblStyleRowBandSize w:val="1"/>
      <w:tblStyleColBandSize w:val="1"/>
      <w:tblCellMar>
        <w:left w:w="108" w:type="dxa"/>
        <w:right w:w="108" w:type="dxa"/>
      </w:tblCellMar>
    </w:tblPr>
  </w:style>
  <w:style w:type="table" w:customStyle="1" w:styleId="affa">
    <w:basedOn w:val="TableNormal6"/>
    <w:pPr>
      <w:spacing w:after="0" w:line="240" w:lineRule="auto"/>
    </w:pPr>
    <w:tblPr>
      <w:tblStyleRowBandSize w:val="1"/>
      <w:tblStyleColBandSize w:val="1"/>
      <w:tblCellMar>
        <w:left w:w="108" w:type="dxa"/>
        <w:right w:w="108" w:type="dxa"/>
      </w:tblCellMar>
    </w:tblPr>
  </w:style>
  <w:style w:type="table" w:customStyle="1" w:styleId="affb">
    <w:basedOn w:val="TableNormal6"/>
    <w:pPr>
      <w:spacing w:after="0" w:line="240" w:lineRule="auto"/>
    </w:pPr>
    <w:tblPr>
      <w:tblStyleRowBandSize w:val="1"/>
      <w:tblStyleColBandSize w:val="1"/>
      <w:tblCellMar>
        <w:left w:w="108" w:type="dxa"/>
        <w:right w:w="108" w:type="dxa"/>
      </w:tblCellMar>
    </w:tblPr>
  </w:style>
  <w:style w:type="table" w:customStyle="1" w:styleId="affc">
    <w:basedOn w:val="TableNormal6"/>
    <w:pPr>
      <w:spacing w:after="0" w:line="240" w:lineRule="auto"/>
    </w:pPr>
    <w:tblPr>
      <w:tblStyleRowBandSize w:val="1"/>
      <w:tblStyleColBandSize w:val="1"/>
      <w:tblCellMar>
        <w:left w:w="108" w:type="dxa"/>
        <w:right w:w="108" w:type="dxa"/>
      </w:tblCellMar>
    </w:tblPr>
  </w:style>
  <w:style w:type="table" w:customStyle="1" w:styleId="affd">
    <w:basedOn w:val="TableNormal6"/>
    <w:pPr>
      <w:spacing w:after="0" w:line="240" w:lineRule="auto"/>
    </w:pPr>
    <w:tblPr>
      <w:tblStyleRowBandSize w:val="1"/>
      <w:tblStyleColBandSize w:val="1"/>
      <w:tblCellMar>
        <w:left w:w="108" w:type="dxa"/>
        <w:right w:w="108" w:type="dxa"/>
      </w:tblCellMar>
    </w:tblPr>
  </w:style>
  <w:style w:type="table" w:customStyle="1" w:styleId="affe">
    <w:basedOn w:val="TableNormal6"/>
    <w:pPr>
      <w:spacing w:after="0" w:line="240" w:lineRule="auto"/>
    </w:pPr>
    <w:tblPr>
      <w:tblStyleRowBandSize w:val="1"/>
      <w:tblStyleColBandSize w:val="1"/>
      <w:tblCellMar>
        <w:left w:w="108" w:type="dxa"/>
        <w:right w:w="108" w:type="dxa"/>
      </w:tblCellMar>
    </w:tblPr>
  </w:style>
  <w:style w:type="table" w:customStyle="1" w:styleId="afff">
    <w:basedOn w:val="TableNormal6"/>
    <w:pPr>
      <w:spacing w:after="0" w:line="240" w:lineRule="auto"/>
    </w:pPr>
    <w:tblPr>
      <w:tblStyleRowBandSize w:val="1"/>
      <w:tblStyleColBandSize w:val="1"/>
      <w:tblCellMar>
        <w:left w:w="108" w:type="dxa"/>
        <w:right w:w="108" w:type="dxa"/>
      </w:tblCellMar>
    </w:tblPr>
  </w:style>
  <w:style w:type="table" w:customStyle="1" w:styleId="afff0">
    <w:basedOn w:val="TableNormal6"/>
    <w:pPr>
      <w:spacing w:after="0" w:line="240" w:lineRule="auto"/>
    </w:pPr>
    <w:tblPr>
      <w:tblStyleRowBandSize w:val="1"/>
      <w:tblStyleColBandSize w:val="1"/>
      <w:tblCellMar>
        <w:left w:w="108" w:type="dxa"/>
        <w:right w:w="108" w:type="dxa"/>
      </w:tblCellMar>
    </w:tblPr>
  </w:style>
  <w:style w:type="table" w:customStyle="1" w:styleId="afff1">
    <w:basedOn w:val="TableNormal6"/>
    <w:pPr>
      <w:spacing w:after="0" w:line="240" w:lineRule="auto"/>
    </w:pPr>
    <w:tblPr>
      <w:tblStyleRowBandSize w:val="1"/>
      <w:tblStyleColBandSize w:val="1"/>
      <w:tblCellMar>
        <w:left w:w="108" w:type="dxa"/>
        <w:right w:w="108" w:type="dxa"/>
      </w:tblCellMar>
    </w:tblPr>
  </w:style>
  <w:style w:type="table" w:customStyle="1" w:styleId="afff2">
    <w:basedOn w:val="TableNormal6"/>
    <w:pPr>
      <w:spacing w:after="0" w:line="240" w:lineRule="auto"/>
    </w:pPr>
    <w:tblPr>
      <w:tblStyleRowBandSize w:val="1"/>
      <w:tblStyleColBandSize w:val="1"/>
      <w:tblCellMar>
        <w:left w:w="108" w:type="dxa"/>
        <w:right w:w="108" w:type="dxa"/>
      </w:tblCellMar>
    </w:tblPr>
  </w:style>
  <w:style w:type="table" w:customStyle="1" w:styleId="afff3">
    <w:basedOn w:val="TableNormal6"/>
    <w:pPr>
      <w:spacing w:after="0" w:line="240" w:lineRule="auto"/>
    </w:pPr>
    <w:tblPr>
      <w:tblStyleRowBandSize w:val="1"/>
      <w:tblStyleColBandSize w:val="1"/>
      <w:tblCellMar>
        <w:left w:w="108" w:type="dxa"/>
        <w:right w:w="108" w:type="dxa"/>
      </w:tblCellMar>
    </w:tblPr>
  </w:style>
  <w:style w:type="table" w:customStyle="1" w:styleId="afff4">
    <w:basedOn w:val="TableNormal6"/>
    <w:pPr>
      <w:spacing w:after="0" w:line="240" w:lineRule="auto"/>
    </w:pPr>
    <w:tblPr>
      <w:tblStyleRowBandSize w:val="1"/>
      <w:tblStyleColBandSize w:val="1"/>
      <w:tblCellMar>
        <w:left w:w="108" w:type="dxa"/>
        <w:right w:w="108" w:type="dxa"/>
      </w:tblCellMar>
    </w:tblPr>
  </w:style>
  <w:style w:type="table" w:customStyle="1" w:styleId="afff5">
    <w:basedOn w:val="TableNormal6"/>
    <w:pPr>
      <w:spacing w:after="0" w:line="240" w:lineRule="auto"/>
    </w:pPr>
    <w:tblPr>
      <w:tblStyleRowBandSize w:val="1"/>
      <w:tblStyleColBandSize w:val="1"/>
      <w:tblCellMar>
        <w:left w:w="108" w:type="dxa"/>
        <w:right w:w="108" w:type="dxa"/>
      </w:tblCellMar>
    </w:tblPr>
  </w:style>
  <w:style w:type="table" w:customStyle="1" w:styleId="afff6">
    <w:basedOn w:val="TableNormal6"/>
    <w:pPr>
      <w:spacing w:after="0" w:line="240" w:lineRule="auto"/>
    </w:pPr>
    <w:tblPr>
      <w:tblStyleRowBandSize w:val="1"/>
      <w:tblStyleColBandSize w:val="1"/>
      <w:tblCellMar>
        <w:left w:w="108" w:type="dxa"/>
        <w:right w:w="108" w:type="dxa"/>
      </w:tblCellMar>
    </w:tblPr>
  </w:style>
  <w:style w:type="table" w:customStyle="1" w:styleId="afff7">
    <w:basedOn w:val="TableNormal6"/>
    <w:pPr>
      <w:spacing w:after="0" w:line="240" w:lineRule="auto"/>
    </w:pPr>
    <w:tblPr>
      <w:tblStyleRowBandSize w:val="1"/>
      <w:tblStyleColBandSize w:val="1"/>
      <w:tblCellMar>
        <w:left w:w="108" w:type="dxa"/>
        <w:right w:w="108" w:type="dxa"/>
      </w:tblCellMar>
    </w:tblPr>
  </w:style>
  <w:style w:type="table" w:customStyle="1" w:styleId="afff8">
    <w:basedOn w:val="TableNormal6"/>
    <w:pPr>
      <w:spacing w:after="0" w:line="240" w:lineRule="auto"/>
    </w:pPr>
    <w:tblPr>
      <w:tblStyleRowBandSize w:val="1"/>
      <w:tblStyleColBandSize w:val="1"/>
      <w:tblCellMar>
        <w:left w:w="108" w:type="dxa"/>
        <w:right w:w="108" w:type="dxa"/>
      </w:tblCellMar>
    </w:tblPr>
  </w:style>
  <w:style w:type="table" w:customStyle="1" w:styleId="afff9">
    <w:basedOn w:val="TableNormal6"/>
    <w:pPr>
      <w:spacing w:after="0" w:line="240" w:lineRule="auto"/>
    </w:pPr>
    <w:tblPr>
      <w:tblStyleRowBandSize w:val="1"/>
      <w:tblStyleColBandSize w:val="1"/>
      <w:tblCellMar>
        <w:left w:w="108" w:type="dxa"/>
        <w:right w:w="108" w:type="dxa"/>
      </w:tblCellMar>
    </w:tblPr>
  </w:style>
  <w:style w:type="table" w:customStyle="1" w:styleId="afffa">
    <w:basedOn w:val="TableNormal6"/>
    <w:pPr>
      <w:spacing w:after="0" w:line="240" w:lineRule="auto"/>
    </w:pPr>
    <w:tblPr>
      <w:tblStyleRowBandSize w:val="1"/>
      <w:tblStyleColBandSize w:val="1"/>
      <w:tblCellMar>
        <w:left w:w="108" w:type="dxa"/>
        <w:right w:w="108" w:type="dxa"/>
      </w:tblCellMar>
    </w:tblPr>
  </w:style>
  <w:style w:type="table" w:customStyle="1" w:styleId="afffb">
    <w:basedOn w:val="TableNormal6"/>
    <w:pPr>
      <w:spacing w:after="0" w:line="240" w:lineRule="auto"/>
    </w:pPr>
    <w:tblPr>
      <w:tblStyleRowBandSize w:val="1"/>
      <w:tblStyleColBandSize w:val="1"/>
      <w:tblCellMar>
        <w:left w:w="108" w:type="dxa"/>
        <w:right w:w="108" w:type="dxa"/>
      </w:tblCellMar>
    </w:tblPr>
  </w:style>
  <w:style w:type="table" w:customStyle="1" w:styleId="afffc">
    <w:basedOn w:val="TableNormal6"/>
    <w:pPr>
      <w:spacing w:after="0" w:line="240" w:lineRule="auto"/>
    </w:pPr>
    <w:tblPr>
      <w:tblStyleRowBandSize w:val="1"/>
      <w:tblStyleColBandSize w:val="1"/>
      <w:tblCellMar>
        <w:left w:w="108" w:type="dxa"/>
        <w:right w:w="108" w:type="dxa"/>
      </w:tblCellMar>
    </w:tblPr>
  </w:style>
  <w:style w:type="table" w:customStyle="1" w:styleId="afffd">
    <w:basedOn w:val="TableNormal5"/>
    <w:pPr>
      <w:spacing w:after="0" w:line="240" w:lineRule="auto"/>
    </w:pPr>
    <w:tblPr>
      <w:tblStyleRowBandSize w:val="1"/>
      <w:tblStyleColBandSize w:val="1"/>
      <w:tblCellMar>
        <w:left w:w="108" w:type="dxa"/>
        <w:right w:w="108" w:type="dxa"/>
      </w:tblCellMar>
    </w:tblPr>
  </w:style>
  <w:style w:type="table" w:customStyle="1" w:styleId="afffe">
    <w:basedOn w:val="TableNormal5"/>
    <w:pPr>
      <w:spacing w:after="0" w:line="240" w:lineRule="auto"/>
    </w:pPr>
    <w:tblPr>
      <w:tblStyleRowBandSize w:val="1"/>
      <w:tblStyleColBandSize w:val="1"/>
      <w:tblCellMar>
        <w:left w:w="108" w:type="dxa"/>
        <w:right w:w="108" w:type="dxa"/>
      </w:tblCellMar>
    </w:tblPr>
  </w:style>
  <w:style w:type="table" w:customStyle="1" w:styleId="affff">
    <w:basedOn w:val="TableNormal5"/>
    <w:pPr>
      <w:spacing w:after="0" w:line="240" w:lineRule="auto"/>
    </w:pPr>
    <w:tblPr>
      <w:tblStyleRowBandSize w:val="1"/>
      <w:tblStyleColBandSize w:val="1"/>
      <w:tblCellMar>
        <w:left w:w="108" w:type="dxa"/>
        <w:right w:w="108" w:type="dxa"/>
      </w:tblCellMar>
    </w:tblPr>
  </w:style>
  <w:style w:type="table" w:customStyle="1" w:styleId="affff0">
    <w:basedOn w:val="TableNormal5"/>
    <w:pPr>
      <w:spacing w:after="0" w:line="240" w:lineRule="auto"/>
    </w:pPr>
    <w:tblPr>
      <w:tblStyleRowBandSize w:val="1"/>
      <w:tblStyleColBandSize w:val="1"/>
      <w:tblCellMar>
        <w:left w:w="108" w:type="dxa"/>
        <w:right w:w="108" w:type="dxa"/>
      </w:tblCellMar>
    </w:tblPr>
  </w:style>
  <w:style w:type="table" w:customStyle="1" w:styleId="affff1">
    <w:basedOn w:val="TableNormal5"/>
    <w:pPr>
      <w:spacing w:after="0" w:line="240" w:lineRule="auto"/>
    </w:pPr>
    <w:tblPr>
      <w:tblStyleRowBandSize w:val="1"/>
      <w:tblStyleColBandSize w:val="1"/>
      <w:tblCellMar>
        <w:left w:w="108" w:type="dxa"/>
        <w:right w:w="108" w:type="dxa"/>
      </w:tblCellMar>
    </w:tblPr>
  </w:style>
  <w:style w:type="character" w:customStyle="1" w:styleId="Mencinsinresolver4">
    <w:name w:val="Mención sin resolver4"/>
    <w:basedOn w:val="Fuentedeprrafopredeter"/>
    <w:uiPriority w:val="99"/>
    <w:semiHidden/>
    <w:unhideWhenUsed/>
    <w:rsid w:val="001C2C58"/>
    <w:rPr>
      <w:color w:val="605E5C"/>
      <w:shd w:val="clear" w:color="auto" w:fill="E1DFDD"/>
    </w:rPr>
  </w:style>
  <w:style w:type="table" w:customStyle="1" w:styleId="affff2">
    <w:basedOn w:val="TableNormal4"/>
    <w:pPr>
      <w:spacing w:after="0" w:line="240" w:lineRule="auto"/>
    </w:pPr>
    <w:tblPr>
      <w:tblStyleRowBandSize w:val="1"/>
      <w:tblStyleColBandSize w:val="1"/>
      <w:tblCellMar>
        <w:left w:w="108" w:type="dxa"/>
        <w:right w:w="108" w:type="dxa"/>
      </w:tblCellMar>
    </w:tblPr>
  </w:style>
  <w:style w:type="table" w:customStyle="1" w:styleId="affff3">
    <w:basedOn w:val="TableNormal4"/>
    <w:pPr>
      <w:spacing w:after="0" w:line="240" w:lineRule="auto"/>
    </w:pPr>
    <w:tblPr>
      <w:tblStyleRowBandSize w:val="1"/>
      <w:tblStyleColBandSize w:val="1"/>
      <w:tblCellMar>
        <w:left w:w="108" w:type="dxa"/>
        <w:right w:w="108" w:type="dxa"/>
      </w:tblCellMar>
    </w:tblPr>
  </w:style>
  <w:style w:type="table" w:customStyle="1" w:styleId="affff4">
    <w:basedOn w:val="TableNormal4"/>
    <w:pPr>
      <w:spacing w:after="0" w:line="240" w:lineRule="auto"/>
    </w:pPr>
    <w:tblPr>
      <w:tblStyleRowBandSize w:val="1"/>
      <w:tblStyleColBandSize w:val="1"/>
      <w:tblCellMar>
        <w:left w:w="108" w:type="dxa"/>
        <w:right w:w="108" w:type="dxa"/>
      </w:tblCellMar>
    </w:tblPr>
  </w:style>
  <w:style w:type="table" w:customStyle="1" w:styleId="affff5">
    <w:basedOn w:val="TableNormal4"/>
    <w:pPr>
      <w:spacing w:after="0" w:line="240" w:lineRule="auto"/>
    </w:pPr>
    <w:tblPr>
      <w:tblStyleRowBandSize w:val="1"/>
      <w:tblStyleColBandSize w:val="1"/>
      <w:tblCellMar>
        <w:left w:w="108" w:type="dxa"/>
        <w:right w:w="108" w:type="dxa"/>
      </w:tblCellMar>
    </w:tblPr>
  </w:style>
  <w:style w:type="character" w:customStyle="1" w:styleId="Mencinsinresolver5">
    <w:name w:val="Mención sin resolver5"/>
    <w:basedOn w:val="Fuentedeprrafopredeter"/>
    <w:uiPriority w:val="99"/>
    <w:semiHidden/>
    <w:unhideWhenUsed/>
    <w:rsid w:val="0058145F"/>
    <w:rPr>
      <w:color w:val="605E5C"/>
      <w:shd w:val="clear" w:color="auto" w:fill="E1DFDD"/>
    </w:rPr>
  </w:style>
  <w:style w:type="table" w:customStyle="1" w:styleId="affff6">
    <w:basedOn w:val="TableNormal3"/>
    <w:pPr>
      <w:spacing w:after="0" w:line="240" w:lineRule="auto"/>
    </w:pPr>
    <w:tblPr>
      <w:tblStyleRowBandSize w:val="1"/>
      <w:tblStyleColBandSize w:val="1"/>
      <w:tblCellMar>
        <w:left w:w="108" w:type="dxa"/>
        <w:right w:w="108" w:type="dxa"/>
      </w:tblCellMar>
    </w:tblPr>
  </w:style>
  <w:style w:type="table" w:customStyle="1" w:styleId="affff7">
    <w:basedOn w:val="TableNormal3"/>
    <w:pPr>
      <w:spacing w:after="0" w:line="240" w:lineRule="auto"/>
    </w:pPr>
    <w:tblPr>
      <w:tblStyleRowBandSize w:val="1"/>
      <w:tblStyleColBandSize w:val="1"/>
      <w:tblCellMar>
        <w:left w:w="108" w:type="dxa"/>
        <w:right w:w="108" w:type="dxa"/>
      </w:tblCellMar>
    </w:tblPr>
  </w:style>
  <w:style w:type="table" w:customStyle="1" w:styleId="affff8">
    <w:basedOn w:val="TableNormal3"/>
    <w:pPr>
      <w:spacing w:after="0" w:line="240" w:lineRule="auto"/>
    </w:pPr>
    <w:tblPr>
      <w:tblStyleRowBandSize w:val="1"/>
      <w:tblStyleColBandSize w:val="1"/>
      <w:tblCellMar>
        <w:left w:w="108" w:type="dxa"/>
        <w:right w:w="108" w:type="dxa"/>
      </w:tblCellMar>
    </w:tblPr>
  </w:style>
  <w:style w:type="table" w:customStyle="1" w:styleId="affff9">
    <w:basedOn w:val="TableNormal3"/>
    <w:pPr>
      <w:spacing w:after="0" w:line="240" w:lineRule="auto"/>
    </w:pPr>
    <w:tblPr>
      <w:tblStyleRowBandSize w:val="1"/>
      <w:tblStyleColBandSize w:val="1"/>
      <w:tblCellMar>
        <w:left w:w="108" w:type="dxa"/>
        <w:right w:w="108" w:type="dxa"/>
      </w:tblCellMar>
    </w:tblPr>
  </w:style>
  <w:style w:type="table" w:customStyle="1" w:styleId="affffa">
    <w:basedOn w:val="TableNormal3"/>
    <w:pPr>
      <w:spacing w:after="0" w:line="240" w:lineRule="auto"/>
    </w:pPr>
    <w:tblPr>
      <w:tblStyleRowBandSize w:val="1"/>
      <w:tblStyleColBandSize w:val="1"/>
      <w:tblCellMar>
        <w:left w:w="108" w:type="dxa"/>
        <w:right w:w="108" w:type="dxa"/>
      </w:tblCellMar>
    </w:tblPr>
  </w:style>
  <w:style w:type="character" w:customStyle="1" w:styleId="Mencinsinresolver6">
    <w:name w:val="Mención sin resolver6"/>
    <w:basedOn w:val="Fuentedeprrafopredeter"/>
    <w:uiPriority w:val="99"/>
    <w:semiHidden/>
    <w:unhideWhenUsed/>
    <w:rsid w:val="00745900"/>
    <w:rPr>
      <w:color w:val="605E5C"/>
      <w:shd w:val="clear" w:color="auto" w:fill="E1DFDD"/>
    </w:rPr>
  </w:style>
  <w:style w:type="table" w:customStyle="1" w:styleId="affffb">
    <w:basedOn w:val="TableNormal2"/>
    <w:pPr>
      <w:spacing w:after="0" w:line="240" w:lineRule="auto"/>
    </w:pPr>
    <w:tblPr>
      <w:tblStyleRowBandSize w:val="1"/>
      <w:tblStyleColBandSize w:val="1"/>
      <w:tblCellMar>
        <w:left w:w="108" w:type="dxa"/>
        <w:right w:w="108" w:type="dxa"/>
      </w:tblCellMar>
    </w:tblPr>
  </w:style>
  <w:style w:type="table" w:customStyle="1" w:styleId="affffc">
    <w:basedOn w:val="TableNormal2"/>
    <w:pPr>
      <w:spacing w:after="0" w:line="240" w:lineRule="auto"/>
    </w:pPr>
    <w:tblPr>
      <w:tblStyleRowBandSize w:val="1"/>
      <w:tblStyleColBandSize w:val="1"/>
      <w:tblCellMar>
        <w:left w:w="108" w:type="dxa"/>
        <w:right w:w="108" w:type="dxa"/>
      </w:tblCellMar>
    </w:tblPr>
  </w:style>
  <w:style w:type="table" w:customStyle="1" w:styleId="affffd">
    <w:basedOn w:val="TableNormal2"/>
    <w:pPr>
      <w:spacing w:after="0" w:line="240" w:lineRule="auto"/>
    </w:pPr>
    <w:tblPr>
      <w:tblStyleRowBandSize w:val="1"/>
      <w:tblStyleColBandSize w:val="1"/>
      <w:tblCellMar>
        <w:left w:w="108" w:type="dxa"/>
        <w:right w:w="108" w:type="dxa"/>
      </w:tblCellMar>
    </w:tblPr>
  </w:style>
  <w:style w:type="table" w:customStyle="1" w:styleId="affffe">
    <w:basedOn w:val="TableNormal2"/>
    <w:pPr>
      <w:spacing w:after="0" w:line="240" w:lineRule="auto"/>
    </w:pPr>
    <w:tblPr>
      <w:tblStyleRowBandSize w:val="1"/>
      <w:tblStyleColBandSize w:val="1"/>
      <w:tblCellMar>
        <w:left w:w="108" w:type="dxa"/>
        <w:right w:w="108" w:type="dxa"/>
      </w:tblCellMar>
    </w:tblPr>
  </w:style>
  <w:style w:type="character" w:customStyle="1" w:styleId="Mencinsinresolver7">
    <w:name w:val="Mención sin resolver7"/>
    <w:basedOn w:val="Fuentedeprrafopredeter"/>
    <w:uiPriority w:val="99"/>
    <w:semiHidden/>
    <w:unhideWhenUsed/>
    <w:rsid w:val="000B755C"/>
    <w:rPr>
      <w:color w:val="605E5C"/>
      <w:shd w:val="clear" w:color="auto" w:fill="E1DFDD"/>
    </w:rPr>
  </w:style>
  <w:style w:type="table" w:customStyle="1" w:styleId="afffff">
    <w:basedOn w:val="TableNormal1"/>
    <w:pPr>
      <w:spacing w:after="0" w:line="240" w:lineRule="auto"/>
    </w:pPr>
    <w:tblPr>
      <w:tblStyleRowBandSize w:val="1"/>
      <w:tblStyleColBandSize w:val="1"/>
      <w:tblCellMar>
        <w:left w:w="108" w:type="dxa"/>
        <w:right w:w="108" w:type="dxa"/>
      </w:tblCellMar>
    </w:tblPr>
  </w:style>
  <w:style w:type="table" w:customStyle="1" w:styleId="afffff0">
    <w:basedOn w:val="TableNormal1"/>
    <w:pPr>
      <w:spacing w:after="0" w:line="240" w:lineRule="auto"/>
    </w:pPr>
    <w:tblPr>
      <w:tblStyleRowBandSize w:val="1"/>
      <w:tblStyleColBandSize w:val="1"/>
      <w:tblCellMar>
        <w:left w:w="108" w:type="dxa"/>
        <w:right w:w="108" w:type="dxa"/>
      </w:tblCellMar>
    </w:tblPr>
  </w:style>
  <w:style w:type="table" w:customStyle="1" w:styleId="afffff1">
    <w:basedOn w:val="TableNormal1"/>
    <w:pPr>
      <w:spacing w:after="0" w:line="240" w:lineRule="auto"/>
    </w:pPr>
    <w:tblPr>
      <w:tblStyleRowBandSize w:val="1"/>
      <w:tblStyleColBandSize w:val="1"/>
      <w:tblCellMar>
        <w:left w:w="108" w:type="dxa"/>
        <w:right w:w="108" w:type="dxa"/>
      </w:tblCellMar>
    </w:tblPr>
  </w:style>
  <w:style w:type="table" w:customStyle="1" w:styleId="afffff2">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3">
    <w:basedOn w:val="TableNormal0"/>
    <w:pPr>
      <w:spacing w:after="0" w:line="240" w:lineRule="auto"/>
    </w:pPr>
    <w:tblPr>
      <w:tblStyleRowBandSize w:val="1"/>
      <w:tblStyleColBandSize w:val="1"/>
      <w:tblCellMar>
        <w:left w:w="108" w:type="dxa"/>
        <w:right w:w="108" w:type="dxa"/>
      </w:tblCellMar>
    </w:tblPr>
  </w:style>
  <w:style w:type="table" w:customStyle="1" w:styleId="afffff4">
    <w:basedOn w:val="TableNormal0"/>
    <w:pPr>
      <w:spacing w:after="0" w:line="240" w:lineRule="auto"/>
    </w:pPr>
    <w:tblPr>
      <w:tblStyleRowBandSize w:val="1"/>
      <w:tblStyleColBandSize w:val="1"/>
      <w:tblCellMar>
        <w:left w:w="108" w:type="dxa"/>
        <w:right w:w="108" w:type="dxa"/>
      </w:tblCellMar>
    </w:tblPr>
  </w:style>
  <w:style w:type="table" w:customStyle="1" w:styleId="afffff5">
    <w:basedOn w:val="TableNormal0"/>
    <w:pPr>
      <w:spacing w:after="0" w:line="240" w:lineRule="auto"/>
    </w:pPr>
    <w:tblPr>
      <w:tblStyleRowBandSize w:val="1"/>
      <w:tblStyleColBandSize w:val="1"/>
      <w:tblCellMar>
        <w:left w:w="108" w:type="dxa"/>
        <w:right w:w="108" w:type="dxa"/>
      </w:tblCellMar>
    </w:tblPr>
  </w:style>
  <w:style w:type="table" w:customStyle="1" w:styleId="afffff6">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mexicaltzingo.gob.mx/wp-content/uploads/2025/08/Endeudamiento-Neto.pdf"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mexicaltzingo.gob.mx/wp-content/uploads/2025/08/Endeudamiento-Neto.pdf" TargetMode="Externa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bUOmfMcMk3V5l+Uh+7N47YtXzg==">CgMxLjAyDmgueDYxYWoxejNxMmF6Mg5oLnRlcWN2YTd5c2NldTIOaC5xbDhncGgzYXNzMTIyCGguZ2pkZ3hzMg5oLmR0NHVvNHJqdHp5bzIOaC54NXUwMXBhMnF2aHkyDmguNnA0ajE4eGQxOTZoMgloLjJldDkycDAyDmgub2hsZ2Vpb3Y0OHBoMg5oLjlyZ2J4ajFvdWU4OTIOaC5jZGphMTc2dm4zNDYyDmgubXdybW0wMm50bm5mMg5oLmp4aGN1ajJvcjh6YTIOaC40bThpejcxZmlrMGkyDmgua3dsdmEyZzBvdWszMg5oLmY5cWp3bDhhN2trODIOaC5nczljdHRtaGhyZzY4AHIhMVdPalBfQi1WWFRaUUNER2FfZUR0RDlnM0ZqWmFmOWp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731573-D59F-4FA4-BF7D-468BF9A30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4346</Words>
  <Characters>23909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USUARIO</cp:lastModifiedBy>
  <cp:revision>4</cp:revision>
  <cp:lastPrinted>2025-10-10T00:05:00Z</cp:lastPrinted>
  <dcterms:created xsi:type="dcterms:W3CDTF">2025-10-10T00:05:00Z</dcterms:created>
  <dcterms:modified xsi:type="dcterms:W3CDTF">2025-10-31T22:02:00Z</dcterms:modified>
</cp:coreProperties>
</file>