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de fecha trece de agosto de dos mil veinticinco. </w:t>
      </w:r>
    </w:p>
    <w:p w:rsidR="00000000" w:rsidDel="00000000" w:rsidP="00000000" w:rsidRDefault="00000000" w:rsidRPr="00000000" w14:paraId="0000000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relativo al recurso de revisión </w:t>
      </w:r>
      <w:r w:rsidDel="00000000" w:rsidR="00000000" w:rsidRPr="00000000">
        <w:rPr>
          <w:rFonts w:ascii="Palatino Linotype" w:cs="Palatino Linotype" w:eastAsia="Palatino Linotype" w:hAnsi="Palatino Linotype"/>
          <w:b w:val="1"/>
          <w:sz w:val="22"/>
          <w:szCs w:val="22"/>
          <w:rtl w:val="0"/>
        </w:rPr>
        <w:t xml:space="preserve">06539/INFOEM/IP/RR/2025</w:t>
      </w:r>
      <w:r w:rsidDel="00000000" w:rsidR="00000000" w:rsidRPr="00000000">
        <w:rPr>
          <w:rFonts w:ascii="Palatino Linotype" w:cs="Palatino Linotype" w:eastAsia="Palatino Linotype" w:hAnsi="Palatino Linotype"/>
          <w:sz w:val="22"/>
          <w:szCs w:val="22"/>
          <w:rtl w:val="0"/>
        </w:rPr>
        <w:t xml:space="preserve">, interpuesto por </w:t>
      </w:r>
      <w:r w:rsidDel="00000000" w:rsidR="00000000" w:rsidRPr="00000000">
        <w:rPr>
          <w:rFonts w:ascii="Palatino Linotype" w:cs="Palatino Linotype" w:eastAsia="Palatino Linotype" w:hAnsi="Palatino Linotype"/>
          <w:b w:val="1"/>
          <w:sz w:val="22"/>
          <w:szCs w:val="22"/>
          <w:rtl w:val="0"/>
        </w:rPr>
        <w:t xml:space="preserve">XXXXXXX XXXXX, </w:t>
      </w:r>
      <w:r w:rsidDel="00000000" w:rsidR="00000000" w:rsidRPr="00000000">
        <w:rPr>
          <w:rFonts w:ascii="Palatino Linotype" w:cs="Palatino Linotype" w:eastAsia="Palatino Linotype" w:hAnsi="Palatino Linotype"/>
          <w:sz w:val="22"/>
          <w:szCs w:val="22"/>
          <w:rtl w:val="0"/>
        </w:rPr>
        <w:t xml:space="preserve">en lo sucesivo se le denominará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contra de la respuesta a su solicitud de información con número de folio</w:t>
      </w:r>
      <w:r w:rsidDel="00000000" w:rsidR="00000000" w:rsidRPr="00000000">
        <w:rPr>
          <w:rFonts w:ascii="Palatino Linotype" w:cs="Palatino Linotype" w:eastAsia="Palatino Linotype" w:hAnsi="Palatino Linotype"/>
          <w:b w:val="1"/>
          <w:sz w:val="22"/>
          <w:szCs w:val="22"/>
          <w:rtl w:val="0"/>
        </w:rPr>
        <w:t xml:space="preserve"> 00015/OASTULTIT/IP/2025</w:t>
      </w:r>
      <w:r w:rsidDel="00000000" w:rsidR="00000000" w:rsidRPr="00000000">
        <w:rPr>
          <w:rFonts w:ascii="Palatino Linotype" w:cs="Palatino Linotype" w:eastAsia="Palatino Linotype" w:hAnsi="Palatino Linotype"/>
          <w:sz w:val="22"/>
          <w:szCs w:val="22"/>
          <w:rtl w:val="0"/>
        </w:rPr>
        <w:t xml:space="preserve">, por parte del </w:t>
      </w:r>
      <w:r w:rsidDel="00000000" w:rsidR="00000000" w:rsidRPr="00000000">
        <w:rPr>
          <w:rFonts w:ascii="Palatino Linotype" w:cs="Palatino Linotype" w:eastAsia="Palatino Linotype" w:hAnsi="Palatino Linotype"/>
          <w:b w:val="1"/>
          <w:sz w:val="22"/>
          <w:szCs w:val="22"/>
          <w:rtl w:val="0"/>
        </w:rPr>
        <w:t xml:space="preserve">Organismo Público Descentralizado para la Prestación de Los Servicios de Agua Potable Alcantarillado y Saneamiento del Municipio de Tultitlan,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w:t>
      </w:r>
    </w:p>
    <w:p w:rsidR="00000000" w:rsidDel="00000000" w:rsidP="00000000" w:rsidRDefault="00000000" w:rsidRPr="00000000" w14:paraId="00000004">
      <w:pPr>
        <w:numPr>
          <w:ilvl w:val="0"/>
          <w:numId w:val="2"/>
        </w:numPr>
        <w:pBdr>
          <w:top w:space="0" w:sz="0" w:val="nil"/>
          <w:left w:space="0" w:sz="0" w:val="nil"/>
          <w:bottom w:space="0" w:sz="0" w:val="nil"/>
          <w:right w:space="0" w:sz="0" w:val="nil"/>
          <w:between w:space="0" w:sz="0" w:val="nil"/>
        </w:pBdr>
        <w:spacing w:line="360" w:lineRule="auto"/>
        <w:ind w:left="993" w:hanging="276.0000000000001"/>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 N T E C E D E N T E S:</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360" w:lineRule="auto"/>
        <w:ind w:left="1077" w:firstLine="0"/>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6">
      <w:pPr>
        <w:numPr>
          <w:ilvl w:val="1"/>
          <w:numId w:val="3"/>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Solicitud de acceso a la información.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catorce de mayo de dos mil veinticinco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formuló solicitud de acceso a información pública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requiriéndole lo siguiente:</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0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“Experiencia laboral en especifico del área en recursos humanos de la titular del área de recursos humanos actual en el Organismo de agua de Tultitlán, ya que La contadora Laura Rodríguez es apática con el personal, grosera y carece de conocimiento en su totalidad del área. Asimismo cual fue el mecanismo utilizado para autorizar la contratación de esa persona.”</w:t>
      </w:r>
    </w:p>
    <w:p w:rsidR="00000000" w:rsidDel="00000000" w:rsidP="00000000" w:rsidRDefault="00000000" w:rsidRPr="00000000" w14:paraId="00000009">
      <w:pPr>
        <w:spacing w:line="360" w:lineRule="auto"/>
        <w:ind w:left="709" w:right="90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0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elegida para la entrega de la información: </w:t>
      </w:r>
      <w:r w:rsidDel="00000000" w:rsidR="00000000" w:rsidRPr="00000000">
        <w:rPr>
          <w:rFonts w:ascii="Palatino Linotype" w:cs="Palatino Linotype" w:eastAsia="Palatino Linotype" w:hAnsi="Palatino Linotype"/>
          <w:sz w:val="22"/>
          <w:szCs w:val="22"/>
          <w:rtl w:val="0"/>
        </w:rPr>
        <w:t xml:space="preserve">a través del Sistema de Acceso a la Información Mexiquense. </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C">
      <w:pPr>
        <w:numPr>
          <w:ilvl w:val="0"/>
          <w:numId w:val="3"/>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Respuesta. </w:t>
      </w:r>
      <w:r w:rsidDel="00000000" w:rsidR="00000000" w:rsidRPr="00000000">
        <w:rPr>
          <w:rFonts w:ascii="Palatino Linotype" w:cs="Palatino Linotype" w:eastAsia="Palatino Linotype" w:hAnsi="Palatino Linotype"/>
          <w:sz w:val="22"/>
          <w:szCs w:val="22"/>
          <w:rtl w:val="0"/>
        </w:rPr>
        <w:t xml:space="preserve">Con fecha </w:t>
      </w:r>
      <w:r w:rsidDel="00000000" w:rsidR="00000000" w:rsidRPr="00000000">
        <w:rPr>
          <w:rFonts w:ascii="Palatino Linotype" w:cs="Palatino Linotype" w:eastAsia="Palatino Linotype" w:hAnsi="Palatino Linotype"/>
          <w:b w:val="1"/>
          <w:sz w:val="22"/>
          <w:szCs w:val="22"/>
          <w:rtl w:val="0"/>
        </w:rPr>
        <w:t xml:space="preserve">tres de junio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envió su respuesta a la solicitud de acceso a la información a través del SAIMEX, la cual versa como sigue: </w:t>
      </w:r>
    </w:p>
    <w:p w:rsidR="00000000" w:rsidDel="00000000" w:rsidP="00000000" w:rsidRDefault="00000000" w:rsidRPr="00000000" w14:paraId="0000000D">
      <w:pPr>
        <w:tabs>
          <w:tab w:val="left" w:leader="none" w:pos="7371"/>
        </w:tabs>
        <w:spacing w:line="360" w:lineRule="auto"/>
        <w:ind w:left="567" w:right="616" w:firstLine="0"/>
        <w:jc w:val="both"/>
        <w:rPr>
          <w:rFonts w:ascii="Palatino Linotype" w:cs="Palatino Linotype" w:eastAsia="Palatino Linotype" w:hAnsi="Palatino Linotype"/>
          <w:i w:val="1"/>
          <w:sz w:val="22"/>
          <w:szCs w:val="22"/>
        </w:rPr>
      </w:pPr>
      <w:bookmarkStart w:colFirst="0" w:colLast="0" w:name="_heading=h.3znysh7" w:id="0"/>
      <w:bookmarkEnd w:id="0"/>
      <w:r w:rsidDel="00000000" w:rsidR="00000000" w:rsidRPr="00000000">
        <w:rPr>
          <w:rtl w:val="0"/>
        </w:rPr>
      </w:r>
    </w:p>
    <w:p w:rsidR="00000000" w:rsidDel="00000000" w:rsidP="00000000" w:rsidRDefault="00000000" w:rsidRPr="00000000" w14:paraId="0000000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lo que respecta a su solicitud en cuanto a la experiencia laboral del área de recursos humanos de la Titular del área de Recursos Humanos de este Organismo Público Descentralizado Municipal, </w:t>
      </w:r>
      <w:r w:rsidDel="00000000" w:rsidR="00000000" w:rsidRPr="00000000">
        <w:rPr>
          <w:rFonts w:ascii="Palatino Linotype" w:cs="Palatino Linotype" w:eastAsia="Palatino Linotype" w:hAnsi="Palatino Linotype"/>
          <w:b w:val="1"/>
          <w:i w:val="1"/>
          <w:sz w:val="22"/>
          <w:szCs w:val="22"/>
          <w:rtl w:val="0"/>
        </w:rPr>
        <w:t xml:space="preserve">se informa que la actual titular es la C.P. Laura Rodríguez Rodríguez, de su currículo vitae actualizado, se desprende que colaboró con la Coordinación de Administración, Recursos Humanos y Servicios Generales en el año 2024, así mismo cuenta con experiencia en departamento de patrimonio tanto de este Organismo como del Ayuntamiento de Tultitlan, cuenta con experiencia en manejo de sistemas gubernamentales de información de bienes y bases de datos, así como ser titulada en Contaduría Pública.</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Por lo que hace al mecanismo utilizado para autorizar su contratación, en términos de los artículos 32 de la Ley Orgánica Municipal del Estado de México; 24 y 25 del Reglamento Interno de Organización y Funcionamiento del Organismo Público Descentralizado Para la Prestación de los Servicios de Agua Potable, Alcantarillado y Saneamiento del Municipio de Tultitlán</w:t>
      </w:r>
      <w:r w:rsidDel="00000000" w:rsidR="00000000" w:rsidRPr="00000000">
        <w:rPr>
          <w:rFonts w:ascii="Palatino Linotype" w:cs="Palatino Linotype" w:eastAsia="Palatino Linotype" w:hAnsi="Palatino Linotype"/>
          <w:i w:val="1"/>
          <w:sz w:val="22"/>
          <w:szCs w:val="22"/>
          <w:rtl w:val="0"/>
        </w:rPr>
        <w:t xml:space="preserve">, México.</w:t>
      </w:r>
    </w:p>
    <w:p w:rsidR="00000000" w:rsidDel="00000000" w:rsidP="00000000" w:rsidRDefault="00000000" w:rsidRPr="00000000" w14:paraId="0000001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1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LIC. ANGEL ARMANDO GUERRA FLORES” (Sic)</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3">
      <w:pPr>
        <w:numPr>
          <w:ilvl w:val="0"/>
          <w:numId w:val="3"/>
        </w:numPr>
        <w:pBdr>
          <w:top w:space="0" w:sz="0" w:val="nil"/>
          <w:left w:space="0" w:sz="0" w:val="nil"/>
          <w:bottom w:space="0" w:sz="0" w:val="nil"/>
          <w:right w:space="0" w:sz="0" w:val="nil"/>
          <w:between w:space="0" w:sz="0" w:val="nil"/>
        </w:pBdr>
        <w:tabs>
          <w:tab w:val="left" w:leader="none" w:pos="426"/>
        </w:tabs>
        <w:spacing w:line="360" w:lineRule="auto"/>
        <w:ind w:left="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la respuesta del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interpuso recurso de revisión a través del SAIMEX en fecha </w:t>
      </w:r>
      <w:r w:rsidDel="00000000" w:rsidR="00000000" w:rsidRPr="00000000">
        <w:rPr>
          <w:rFonts w:ascii="Palatino Linotype" w:cs="Palatino Linotype" w:eastAsia="Palatino Linotype" w:hAnsi="Palatino Linotype"/>
          <w:b w:val="1"/>
          <w:sz w:val="22"/>
          <w:szCs w:val="22"/>
          <w:rtl w:val="0"/>
        </w:rPr>
        <w:t xml:space="preserve">cuatro de junio de dos mil veinticinco</w:t>
      </w:r>
      <w:r w:rsidDel="00000000" w:rsidR="00000000" w:rsidRPr="00000000">
        <w:rPr>
          <w:rFonts w:ascii="Palatino Linotype" w:cs="Palatino Linotype" w:eastAsia="Palatino Linotype" w:hAnsi="Palatino Linotype"/>
          <w:sz w:val="22"/>
          <w:szCs w:val="22"/>
          <w:rtl w:val="0"/>
        </w:rPr>
        <w:t xml:space="preserve">, a través del cual expresó lo siguiente:</w:t>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Acto impugnado. </w:t>
      </w:r>
      <w:r w:rsidDel="00000000" w:rsidR="00000000" w:rsidRPr="00000000">
        <w:rPr>
          <w:rFonts w:ascii="Palatino Linotype" w:cs="Palatino Linotype" w:eastAsia="Palatino Linotype" w:hAnsi="Palatino Linotype"/>
          <w:i w:val="1"/>
          <w:sz w:val="22"/>
          <w:szCs w:val="22"/>
          <w:rtl w:val="0"/>
        </w:rPr>
        <w:t xml:space="preserve">“No indica en especifico la experiencia en el área de recursos humanos.” </w:t>
      </w:r>
    </w:p>
    <w:p w:rsidR="00000000" w:rsidDel="00000000" w:rsidP="00000000" w:rsidRDefault="00000000" w:rsidRPr="00000000" w14:paraId="00000016">
      <w:pPr>
        <w:spacing w:line="276" w:lineRule="auto"/>
        <w:ind w:left="851" w:right="616"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sz w:val="22"/>
          <w:szCs w:val="22"/>
          <w:rtl w:val="0"/>
        </w:rPr>
        <w:t xml:space="preserve">Motivos de inconformidad. </w:t>
      </w:r>
      <w:r w:rsidDel="00000000" w:rsidR="00000000" w:rsidRPr="00000000">
        <w:rPr>
          <w:rFonts w:ascii="Palatino Linotype" w:cs="Palatino Linotype" w:eastAsia="Palatino Linotype" w:hAnsi="Palatino Linotype"/>
          <w:i w:val="1"/>
          <w:sz w:val="22"/>
          <w:szCs w:val="22"/>
          <w:rtl w:val="0"/>
        </w:rPr>
        <w:t xml:space="preserve">“Su curriculum no indica que tenga experiencia en el área de recursos humanos, indica que colaboró en el año 2024 con el área, por lo que se solicita envié evidencia de ello, como es posible que la contadora Laura Rodríguez, sea tan inhumana con el personal de campo, grosera y déspota y que no les de vacaciones o tenga la intención de arreglar con ellos sus vacaciones y pensiones, se le pregunta algo y desconoce total de cualquier tema.”</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9">
      <w:pPr>
        <w:numPr>
          <w:ilvl w:val="0"/>
          <w:numId w:val="3"/>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sz w:val="22"/>
          <w:szCs w:val="22"/>
          <w:rtl w:val="0"/>
        </w:rPr>
        <w:t xml:space="preserve">06539/INFOEM/IP/RR/2025</w:t>
      </w:r>
      <w:r w:rsidDel="00000000" w:rsidR="00000000" w:rsidRPr="00000000">
        <w:rPr>
          <w:rFonts w:ascii="Palatino Linotype" w:cs="Palatino Linotype" w:eastAsia="Palatino Linotype" w:hAnsi="Palatino Linotype"/>
          <w:sz w:val="22"/>
          <w:szCs w:val="22"/>
          <w:rtl w:val="0"/>
        </w:rPr>
        <w:t xml:space="preserve">,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w:t>
      </w:r>
      <w:r w:rsidDel="00000000" w:rsidR="00000000" w:rsidRPr="00000000">
        <w:rPr>
          <w:rFonts w:ascii="Palatino Linotype" w:cs="Palatino Linotype" w:eastAsia="Palatino Linotype" w:hAnsi="Palatino Linotype"/>
          <w:sz w:val="22"/>
          <w:szCs w:val="22"/>
          <w:rtl w:val="0"/>
        </w:rPr>
        <w:t xml:space="preserve">, para su análisis, estudio, elaboración del proyecto y presentación ante el Pleno de este Instituto.</w:t>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B">
      <w:pPr>
        <w:numPr>
          <w:ilvl w:val="0"/>
          <w:numId w:val="3"/>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bookmarkStart w:colFirst="0" w:colLast="0" w:name="_heading=h.gjdgxs" w:id="1"/>
      <w:bookmarkEnd w:id="1"/>
      <w:r w:rsidDel="00000000" w:rsidR="00000000" w:rsidRPr="00000000">
        <w:rPr>
          <w:rFonts w:ascii="Palatino Linotype" w:cs="Palatino Linotype" w:eastAsia="Palatino Linotype" w:hAnsi="Palatino Linotype"/>
          <w:b w:val="1"/>
          <w:sz w:val="22"/>
          <w:szCs w:val="22"/>
          <w:rtl w:val="0"/>
        </w:rPr>
        <w:t xml:space="preserve">Admisión del recurso de revisión: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sz w:val="22"/>
          <w:szCs w:val="22"/>
          <w:rtl w:val="0"/>
        </w:rPr>
        <w:t xml:space="preserve">nueve de junio de dos mil veinticinco, </w:t>
      </w:r>
      <w:r w:rsidDel="00000000" w:rsidR="00000000" w:rsidRPr="00000000">
        <w:rPr>
          <w:rFonts w:ascii="Palatino Linotype" w:cs="Palatino Linotype" w:eastAsia="Palatino Linotype" w:hAnsi="Palatino Linotype"/>
          <w:sz w:val="22"/>
          <w:szCs w:val="22"/>
          <w:rtl w:val="0"/>
        </w:rPr>
        <w:t xml:space="preserve">la Comisionada Ponente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presentara su informe justificado.</w:t>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D">
      <w:pPr>
        <w:numPr>
          <w:ilvl w:val="0"/>
          <w:numId w:val="3"/>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Manifestaciones</w:t>
      </w:r>
      <w:r w:rsidDel="00000000" w:rsidR="00000000" w:rsidRPr="00000000">
        <w:rPr>
          <w:rFonts w:ascii="Palatino Linotype" w:cs="Palatino Linotype" w:eastAsia="Palatino Linotype" w:hAnsi="Palatino Linotype"/>
          <w:sz w:val="22"/>
          <w:szCs w:val="22"/>
          <w:rtl w:val="0"/>
        </w:rPr>
        <w:t xml:space="preserve">: De las constancias que obran en el expediente electrónico, se advierte que el día </w:t>
      </w:r>
      <w:r w:rsidDel="00000000" w:rsidR="00000000" w:rsidRPr="00000000">
        <w:rPr>
          <w:rFonts w:ascii="Palatino Linotype" w:cs="Palatino Linotype" w:eastAsia="Palatino Linotype" w:hAnsi="Palatino Linotype"/>
          <w:b w:val="1"/>
          <w:sz w:val="22"/>
          <w:szCs w:val="22"/>
          <w:rtl w:val="0"/>
        </w:rPr>
        <w:t xml:space="preserve">diecisiete de junio de dos mil veinticinco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remitió el siguiente archivo electrónico</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el cual se describe el contenido a continuación:</w:t>
      </w:r>
    </w:p>
    <w:p w:rsidR="00000000" w:rsidDel="00000000" w:rsidP="00000000" w:rsidRDefault="00000000" w:rsidRPr="00000000" w14:paraId="0000001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851" w:right="617"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SE REMITEN MANIFESTACIONES..pdf:</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Oficio de fecha diecisiete de junio de dos mil veinticinco, signado por el Titular de la Unidad de Transparencia, quien refirió que el Recurso de Revisión resulta improcedente en virtud de que el mismo no se encuentra apegado a alguna de las causales contempladas por el artículo 179 de la Ley de Transparencia y Acceso a la información Pública del Estado de México y Municipios, ya que resulta evidente que el solicitante solo efectúa señalamientos personales subjetivos, respecto al personal de este Sujeto Obligado, y de las cuales no se desprende alguna intención respecto a obtener información que sea de su interés y que se encuentre en posesión de este Organismo Público Descentralizado, por tanto resulta procedente su sobreseimiento en términos del artículo 192 Ley de Transparencia y Acceso a la información Pública del Estado de México y Municipios.</w:t>
      </w:r>
    </w:p>
    <w:p w:rsidR="00000000" w:rsidDel="00000000" w:rsidP="00000000" w:rsidRDefault="00000000" w:rsidRPr="00000000" w14:paraId="0000001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 precisar que una vez analizada la documentación remitida, se determinó ponerla a disposición de </w:t>
      </w:r>
      <w:r w:rsidDel="00000000" w:rsidR="00000000" w:rsidRPr="00000000">
        <w:rPr>
          <w:rFonts w:ascii="Palatino Linotype" w:cs="Palatino Linotype" w:eastAsia="Palatino Linotype" w:hAnsi="Palatino Linotype"/>
          <w:b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mediante acuerdo signado por la Comisionada Ponente el </w:t>
      </w:r>
      <w:r w:rsidDel="00000000" w:rsidR="00000000" w:rsidRPr="00000000">
        <w:rPr>
          <w:rFonts w:ascii="Palatino Linotype" w:cs="Palatino Linotype" w:eastAsia="Palatino Linotype" w:hAnsi="Palatino Linotype"/>
          <w:b w:val="1"/>
          <w:sz w:val="22"/>
          <w:szCs w:val="22"/>
          <w:rtl w:val="0"/>
        </w:rPr>
        <w:t xml:space="preserve">seis de agosto de dos mil veinticinco</w:t>
      </w:r>
      <w:r w:rsidDel="00000000" w:rsidR="00000000" w:rsidRPr="00000000">
        <w:rPr>
          <w:rFonts w:ascii="Palatino Linotype" w:cs="Palatino Linotype" w:eastAsia="Palatino Linotype" w:hAnsi="Palatino Linotype"/>
          <w:sz w:val="22"/>
          <w:szCs w:val="22"/>
          <w:rtl w:val="0"/>
        </w:rPr>
        <w:t xml:space="preserve">; es de precisar que de las constancias que obran en el expediente electrónico, no se tienen constancias de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hubiere emitido pronunciamiento alguno, por lo que se tiene por precluido su derecho para tal efecto</w:t>
      </w:r>
    </w:p>
    <w:p w:rsidR="00000000" w:rsidDel="00000000" w:rsidP="00000000" w:rsidRDefault="00000000" w:rsidRPr="00000000" w14:paraId="0000002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2">
      <w:pPr>
        <w:widowControl w:val="0"/>
        <w:numPr>
          <w:ilvl w:val="0"/>
          <w:numId w:val="3"/>
        </w:numPr>
        <w:pBdr>
          <w:top w:space="0" w:sz="0" w:val="nil"/>
          <w:left w:space="0" w:sz="0" w:val="nil"/>
          <w:bottom w:space="0" w:sz="0" w:val="nil"/>
          <w:right w:space="0" w:sz="0" w:val="nil"/>
          <w:between w:space="0" w:sz="0" w:val="nil"/>
        </w:pBdr>
        <w:tabs>
          <w:tab w:val="left" w:leader="none" w:pos="426"/>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Ampliación del plazo para emitir resolución.</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seis de agosto de dos mil veinticinco</w:t>
      </w:r>
      <w:r w:rsidDel="00000000" w:rsidR="00000000" w:rsidRPr="00000000">
        <w:rPr>
          <w:rFonts w:ascii="Palatino Linotype" w:cs="Palatino Linotype" w:eastAsia="Palatino Linotype" w:hAnsi="Palatino Linotype"/>
          <w:sz w:val="22"/>
          <w:szCs w:val="22"/>
          <w:rtl w:val="0"/>
        </w:rPr>
        <w:t xml:space="preserve">, con fundamento en el artículo 181, párrafo tercero de la Ley de Transparencia y Acceso a la Información Pública del Estado de México y Municipios, se acordó la ampliación del plazo para su resolución.</w:t>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4">
      <w:pPr>
        <w:numPr>
          <w:ilvl w:val="0"/>
          <w:numId w:val="3"/>
        </w:numPr>
        <w:pBdr>
          <w:top w:space="0" w:sz="0" w:val="nil"/>
          <w:left w:space="0" w:sz="0" w:val="nil"/>
          <w:bottom w:space="0" w:sz="0" w:val="nil"/>
          <w:right w:space="0" w:sz="0" w:val="nil"/>
          <w:between w:space="0" w:sz="0" w:val="nil"/>
        </w:pBdr>
        <w:tabs>
          <w:tab w:val="left" w:leader="none" w:pos="426"/>
        </w:tabs>
        <w:spacing w:line="360" w:lineRule="auto"/>
        <w:ind w:left="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Cierre de instrucción.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doce de agosto de dos mil veinticinco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2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8">
      <w:pPr>
        <w:numPr>
          <w:ilvl w:val="0"/>
          <w:numId w:val="2"/>
        </w:numPr>
        <w:pBdr>
          <w:top w:space="0" w:sz="0" w:val="nil"/>
          <w:left w:space="0" w:sz="0" w:val="nil"/>
          <w:bottom w:space="0" w:sz="0" w:val="nil"/>
          <w:right w:space="0" w:sz="0" w:val="nil"/>
          <w:between w:space="0" w:sz="0" w:val="nil"/>
        </w:pBdr>
        <w:spacing w:line="360" w:lineRule="auto"/>
        <w:ind w:left="1077" w:hanging="360"/>
        <w:jc w:val="center"/>
        <w:rPr>
          <w:rFonts w:ascii="Palatino Linotype" w:cs="Palatino Linotype" w:eastAsia="Palatino Linotype" w:hAnsi="Palatino Linotype"/>
          <w:b w:val="1"/>
          <w:sz w:val="22"/>
          <w:szCs w:val="22"/>
        </w:rPr>
      </w:pPr>
      <w:bookmarkStart w:colFirst="0" w:colLast="0" w:name="_heading=h.30j0zll" w:id="2"/>
      <w:bookmarkEnd w:id="2"/>
      <w:r w:rsidDel="00000000" w:rsidR="00000000" w:rsidRPr="00000000">
        <w:rPr>
          <w:rFonts w:ascii="Palatino Linotype" w:cs="Palatino Linotype" w:eastAsia="Palatino Linotype" w:hAnsi="Palatino Linotype"/>
          <w:b w:val="1"/>
          <w:sz w:val="22"/>
          <w:szCs w:val="22"/>
          <w:rtl w:val="0"/>
        </w:rPr>
        <w:t xml:space="preserve">C O N S I D E R A N D O:</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360" w:lineRule="auto"/>
        <w:ind w:left="1077" w:firstLine="0"/>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2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 </w:t>
      </w:r>
      <w:r w:rsidDel="00000000" w:rsidR="00000000" w:rsidRPr="00000000">
        <w:rPr>
          <w:rFonts w:ascii="Palatino Linotype" w:cs="Palatino Linotype" w:eastAsia="Palatino Linotype" w:hAnsi="Palatino Linotype"/>
          <w:sz w:val="22"/>
          <w:szCs w:val="22"/>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2B">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2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2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E">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ya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proporcionó su respuesta a la solicitud de información el </w:t>
      </w:r>
      <w:r w:rsidDel="00000000" w:rsidR="00000000" w:rsidRPr="00000000">
        <w:rPr>
          <w:rFonts w:ascii="Palatino Linotype" w:cs="Palatino Linotype" w:eastAsia="Palatino Linotype" w:hAnsi="Palatino Linotype"/>
          <w:b w:val="1"/>
          <w:sz w:val="22"/>
          <w:szCs w:val="22"/>
          <w:rtl w:val="0"/>
        </w:rPr>
        <w:t xml:space="preserve">tres de junio de dos mil veinticinco</w:t>
      </w:r>
      <w:r w:rsidDel="00000000" w:rsidR="00000000" w:rsidRPr="00000000">
        <w:rPr>
          <w:rFonts w:ascii="Palatino Linotype" w:cs="Palatino Linotype" w:eastAsia="Palatino Linotype" w:hAnsi="Palatino Linotype"/>
          <w:sz w:val="22"/>
          <w:szCs w:val="22"/>
          <w:rtl w:val="0"/>
        </w:rPr>
        <w:t xml:space="preserve">, y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presentó su recurso de revisión el </w:t>
      </w:r>
      <w:r w:rsidDel="00000000" w:rsidR="00000000" w:rsidRPr="00000000">
        <w:rPr>
          <w:rFonts w:ascii="Palatino Linotype" w:cs="Palatino Linotype" w:eastAsia="Palatino Linotype" w:hAnsi="Palatino Linotype"/>
          <w:b w:val="1"/>
          <w:sz w:val="22"/>
          <w:szCs w:val="22"/>
          <w:rtl w:val="0"/>
        </w:rPr>
        <w:t xml:space="preserve">cuatro de junio de dos mil veinticinco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esto es al día hábil siguiente en que tuvo conocimiento de la respuesta. </w:t>
      </w:r>
    </w:p>
    <w:p w:rsidR="00000000" w:rsidDel="00000000" w:rsidP="00000000" w:rsidRDefault="00000000" w:rsidRPr="00000000" w14:paraId="0000002F">
      <w:pPr>
        <w:spacing w:line="360" w:lineRule="auto"/>
        <w:ind w:right="843"/>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30">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Del="00000000" w:rsidR="00000000" w:rsidRPr="00000000">
        <w:rPr>
          <w:rFonts w:ascii="Palatino Linotype" w:cs="Palatino Linotype" w:eastAsia="Palatino Linotype" w:hAnsi="Palatino Linotype"/>
          <w:b w:val="1"/>
          <w:sz w:val="22"/>
          <w:szCs w:val="22"/>
          <w:rtl w:val="0"/>
        </w:rPr>
        <w:t xml:space="preserve">EL SAIMEX.</w:t>
      </w:r>
    </w:p>
    <w:p w:rsidR="00000000" w:rsidDel="00000000" w:rsidP="00000000" w:rsidRDefault="00000000" w:rsidRPr="00000000" w14:paraId="0000003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procedente la interposición del recurso de revisión al rubro anotado, toda vez que se actualiza las hipótesis previstas en el artículo 179, fracción I de la ley de la materia, que a la letra dice:</w:t>
      </w:r>
    </w:p>
    <w:p w:rsidR="00000000" w:rsidDel="00000000" w:rsidP="00000000" w:rsidRDefault="00000000" w:rsidRPr="00000000" w14:paraId="0000003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4">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35">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negativa a la información solicitada;…” </w:t>
      </w:r>
    </w:p>
    <w:p w:rsidR="00000000" w:rsidDel="00000000" w:rsidP="00000000" w:rsidRDefault="00000000" w:rsidRPr="00000000" w14:paraId="00000036">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3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Materia de Revisión</w:t>
      </w:r>
      <w:r w:rsidDel="00000000" w:rsidR="00000000" w:rsidRPr="00000000">
        <w:rPr>
          <w:rFonts w:ascii="Palatino Linotype" w:cs="Palatino Linotype" w:eastAsia="Palatino Linotype" w:hAnsi="Palatino Linotype"/>
          <w:sz w:val="22"/>
          <w:szCs w:val="22"/>
          <w:rtl w:val="0"/>
        </w:rPr>
        <w:t xml:space="preserve">: De las constancias que integran el expediente electrónico se advierte que el tema sobre el que este Instituto se pronunciará será en determinar si se actualiza la fracción I del artículo 179 de la Ley de Transparencia y Acceso a la Información Pública del Estado de México y Municipios.  </w:t>
      </w:r>
    </w:p>
    <w:p w:rsidR="00000000" w:rsidDel="00000000" w:rsidP="00000000" w:rsidRDefault="00000000" w:rsidRPr="00000000" w14:paraId="0000003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Estudio de fondo del asunto. </w:t>
      </w:r>
      <w:r w:rsidDel="00000000" w:rsidR="00000000" w:rsidRPr="00000000">
        <w:rPr>
          <w:rFonts w:ascii="Palatino Linotype" w:cs="Palatino Linotype" w:eastAsia="Palatino Linotype" w:hAnsi="Palatino Linotype"/>
          <w:sz w:val="22"/>
          <w:szCs w:val="22"/>
          <w:rtl w:val="0"/>
        </w:rPr>
        <w:t xml:space="preserve">Es conveniente analizar si la respuesta del Sujeto Obligado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3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B">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3C">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3D">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03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40">
      <w:pPr>
        <w:spacing w:line="276" w:lineRule="auto"/>
        <w:ind w:left="567"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42">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3">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44">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5">
      <w:pPr>
        <w:spacing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46">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7">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03-17, expuesto por el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048">
      <w:pPr>
        <w:spacing w:line="276" w:lineRule="auto"/>
        <w:ind w:left="851" w:right="85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9">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4A">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4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4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5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000000" w:rsidDel="00000000" w:rsidP="00000000" w:rsidRDefault="00000000" w:rsidRPr="00000000" w14:paraId="00000052">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54">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5">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5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5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58">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59">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 (Sic)</w:t>
      </w:r>
    </w:p>
    <w:p w:rsidR="00000000" w:rsidDel="00000000" w:rsidP="00000000" w:rsidRDefault="00000000" w:rsidRPr="00000000" w14:paraId="0000005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B">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5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00000" w:rsidDel="00000000" w:rsidP="00000000" w:rsidRDefault="00000000" w:rsidRPr="00000000" w14:paraId="0000005E">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del análisis de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requirió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lo siguiente: </w:t>
      </w:r>
    </w:p>
    <w:p w:rsidR="00000000" w:rsidDel="00000000" w:rsidP="00000000" w:rsidRDefault="00000000" w:rsidRPr="00000000" w14:paraId="0000005F">
      <w:pPr>
        <w:numPr>
          <w:ilvl w:val="0"/>
          <w:numId w:val="1"/>
        </w:numPr>
        <w:pBdr>
          <w:top w:space="0" w:sz="0" w:val="nil"/>
          <w:left w:space="0" w:sz="0" w:val="nil"/>
          <w:bottom w:space="0" w:sz="0" w:val="nil"/>
          <w:right w:space="0" w:sz="0" w:val="nil"/>
          <w:between w:space="0" w:sz="0" w:val="nil"/>
        </w:pBdr>
        <w:spacing w:line="360" w:lineRule="auto"/>
        <w:ind w:left="720" w:right="616"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 la titular del área de recursos humanos actual: </w:t>
      </w:r>
    </w:p>
    <w:p w:rsidR="00000000" w:rsidDel="00000000" w:rsidP="00000000" w:rsidRDefault="00000000" w:rsidRPr="00000000" w14:paraId="0000006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40" w:right="616"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Experiencia laboral en específico del área en recursos humanos.</w:t>
      </w:r>
    </w:p>
    <w:p w:rsidR="00000000" w:rsidDel="00000000" w:rsidP="00000000" w:rsidRDefault="00000000" w:rsidRPr="00000000" w14:paraId="0000006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40"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Mecanismo utilizado para autorizar la contratación de dicha</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persona</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62">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del Titular de la Unidad de Transparencia informó: </w:t>
      </w:r>
    </w:p>
    <w:p w:rsidR="00000000" w:rsidDel="00000000" w:rsidP="00000000" w:rsidRDefault="00000000" w:rsidRPr="00000000" w14:paraId="0000006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51"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Que la actual titular es la C.P. Laura Rodríguez Rodríguez, </w:t>
      </w:r>
    </w:p>
    <w:p w:rsidR="00000000" w:rsidDel="00000000" w:rsidP="00000000" w:rsidRDefault="00000000" w:rsidRPr="00000000" w14:paraId="0000006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51"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Que de su currículo vitae actualizado, se desprende que colaboró con la Coordinación de Administración, Recursos Humanos y Servicios Generales en el año 2024, así mismo cuenta con experiencia en departamento de patrimonio tanto del Organismo como del Ayuntamiento de </w:t>
      </w:r>
      <w:r w:rsidDel="00000000" w:rsidR="00000000" w:rsidRPr="00000000">
        <w:rPr>
          <w:rFonts w:ascii="Palatino Linotype" w:cs="Palatino Linotype" w:eastAsia="Palatino Linotype" w:hAnsi="Palatino Linotype"/>
          <w:sz w:val="22"/>
          <w:szCs w:val="22"/>
          <w:rtl w:val="0"/>
        </w:rPr>
        <w:t xml:space="preserve">Tultitlán</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51"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Que cuenta con experiencia en manejo de sistemas gubernamentales de información de bienes y bases de datos, así como ser titulada en Contaduría Pública. </w:t>
      </w:r>
    </w:p>
    <w:p w:rsidR="00000000" w:rsidDel="00000000" w:rsidP="00000000" w:rsidRDefault="00000000" w:rsidRPr="00000000" w14:paraId="0000006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51"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Que por lo que hace al mecanismo utilizado para autorizar su contratación, es en términos de los artículos 32 de la Ley Orgánica Municipal del Estado de México; 24 y 25 del Reglamento Interno de Organización y Funcionamiento del Organismo Público Descentralizado Para la Prestación de los Servicios de Agua Potable, Alcantarillado y Saneamiento del Municipio de Tultitlán, México.</w:t>
      </w:r>
    </w:p>
    <w:p w:rsidR="00000000" w:rsidDel="00000000" w:rsidP="00000000" w:rsidRDefault="00000000" w:rsidRPr="00000000" w14:paraId="00000067">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Inconforme con la respuesta,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procedió a interponer el presente recurso de revisión, inconformándose medularmente por la omisión a la experiencia en el área de recursos humanos.</w:t>
      </w:r>
    </w:p>
    <w:p w:rsidR="00000000" w:rsidDel="00000000" w:rsidP="00000000" w:rsidRDefault="00000000" w:rsidRPr="00000000" w14:paraId="0000006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resulta procedente señalar que no pasa inadvertido para este Organismo Garante que, los motivos de inconformidad aducidos en el recurso de revisión, no versan sobre la totalidad de la información proporcionada por el Sujeto Obligado, pues la parte Recurrente se inconformó de manera expresa </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u w:val="single"/>
          <w:rtl w:val="0"/>
        </w:rPr>
        <w:t xml:space="preserve">Su curriculum no indica que tenga experiencia en el área de recursos humanos,…”</w:t>
      </w:r>
      <w:r w:rsidDel="00000000" w:rsidR="00000000" w:rsidRPr="00000000">
        <w:rPr>
          <w:rFonts w:ascii="Palatino Linotype" w:cs="Palatino Linotype" w:eastAsia="Palatino Linotype" w:hAnsi="Palatino Linotype"/>
          <w:sz w:val="22"/>
          <w:szCs w:val="22"/>
          <w:rtl w:val="0"/>
        </w:rPr>
        <w:t xml:space="preserve">, se colige que,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Sujeto Obligado, satisface la solicitud presentada.</w:t>
      </w:r>
    </w:p>
    <w:p w:rsidR="00000000" w:rsidDel="00000000" w:rsidP="00000000" w:rsidRDefault="00000000" w:rsidRPr="00000000" w14:paraId="0000006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es así, debido a que cuando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impugna la respuesta del Sujeto Obligado, y este no expresa Razón o Motivo de Inconformidad en contra de todos los rubros solicitados, dichos rubros deben declararse atendidos, pues se entiende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000000" w:rsidDel="00000000" w:rsidP="00000000" w:rsidRDefault="00000000" w:rsidRPr="00000000" w14:paraId="0000006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C">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“REVISIÓN EN AMPARO. LOS RESOLUTIVOS NO COMBATIDOS DEBEN DECLARARSE FIRMES. </w:t>
      </w:r>
      <w:r w:rsidDel="00000000" w:rsidR="00000000" w:rsidRPr="00000000">
        <w:rPr>
          <w:rFonts w:ascii="Palatino Linotype" w:cs="Palatino Linotype" w:eastAsia="Palatino Linotype" w:hAnsi="Palatino Linotype"/>
          <w:i w:val="1"/>
          <w:sz w:val="22"/>
          <w:szCs w:val="22"/>
          <w:rtl w:val="0"/>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000000" w:rsidDel="00000000" w:rsidP="00000000" w:rsidRDefault="00000000" w:rsidRPr="00000000" w14:paraId="0000006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Consecuentemente, se insiste, ante la falta de impugnación eficaz, la respuesta entregada debe declararse consentida por la persona solicitante.</w:t>
      </w:r>
    </w:p>
    <w:p w:rsidR="00000000" w:rsidDel="00000000" w:rsidP="00000000" w:rsidRDefault="00000000" w:rsidRPr="00000000" w14:paraId="0000006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se sustenta con lo plasmado en el criterio 01/20 emitido por el Instituto Nacional de Transparencia, Acceso a la Información, y Protección de Datos Personales, INAI, que lleva por rubro y texto los siguientes: </w:t>
      </w:r>
    </w:p>
    <w:p w:rsidR="00000000" w:rsidDel="00000000" w:rsidP="00000000" w:rsidRDefault="00000000" w:rsidRPr="00000000" w14:paraId="0000007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276" w:lineRule="auto"/>
        <w:ind w:left="851" w:right="6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Actos consentidos tácitamente. Improcedencia de su análisis.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Si en su recurso de revisión, la persona recurrente no expresó inconformidad alguna con ciertas partes de la respuesta otorgada, se entienden tácitamente consentidas, por ende, no deben formar parte del estudio de fondo de la resolución que emite el Instituto.”</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902"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aplicable por analogía la tesis jurisprudencial número VI.3o.C. J/60, publicada en el Semanario Judicial de la Federación y su Gaceta bajo el número de registro 176,608 que a la letra dice:</w:t>
      </w:r>
    </w:p>
    <w:p w:rsidR="00000000" w:rsidDel="00000000" w:rsidP="00000000" w:rsidRDefault="00000000" w:rsidRPr="00000000" w14:paraId="00000075">
      <w:pPr>
        <w:spacing w:line="360" w:lineRule="auto"/>
        <w:ind w:left="851" w:right="900" w:firstLine="0"/>
        <w:jc w:val="both"/>
        <w:rPr>
          <w:rFonts w:ascii="Palatino Linotype" w:cs="Palatino Linotype" w:eastAsia="Palatino Linotype" w:hAnsi="Palatino Linotype"/>
          <w:b w:val="1"/>
          <w:i w:val="1"/>
          <w:smallCaps w:val="1"/>
          <w:sz w:val="22"/>
          <w:szCs w:val="22"/>
        </w:rPr>
      </w:pPr>
      <w:r w:rsidDel="00000000" w:rsidR="00000000" w:rsidRPr="00000000">
        <w:rPr>
          <w:rtl w:val="0"/>
        </w:rPr>
      </w:r>
    </w:p>
    <w:p w:rsidR="00000000" w:rsidDel="00000000" w:rsidP="00000000" w:rsidRDefault="00000000" w:rsidRPr="00000000" w14:paraId="00000076">
      <w:pPr>
        <w:tabs>
          <w:tab w:val="left" w:leader="none" w:pos="851"/>
          <w:tab w:val="left" w:leader="none" w:pos="1276"/>
        </w:tabs>
        <w:ind w:left="851" w:right="70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mallCaps w:val="1"/>
          <w:sz w:val="22"/>
          <w:szCs w:val="22"/>
          <w:rtl w:val="0"/>
        </w:rPr>
        <w:t xml:space="preserve">“ACTOS CONSENTIDOS. SON LOS QUE NO SE IMPUGNAN MEDIANTE EL RECURSO IDÓNEO. </w:t>
      </w:r>
      <w:r w:rsidDel="00000000" w:rsidR="00000000" w:rsidRPr="00000000">
        <w:rPr>
          <w:rFonts w:ascii="Palatino Linotype" w:cs="Palatino Linotype" w:eastAsia="Palatino Linotype" w:hAnsi="Palatino Linotype"/>
          <w:i w:val="1"/>
          <w:sz w:val="22"/>
          <w:szCs w:val="22"/>
          <w:rtl w:val="0"/>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lo anterior, la información de la que resulta procedente pronunciarse es respecto a la experiencia laboral de la titular del área de recursos humanos actual referida en respuesta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y no por el mecanismo utilizado para autorizar la contratación de dicha persona.</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Una vez admitido el medio de impugnación que nos ocupa, se procedió a conjuntar el expediente electrónico, concediéndole a las partes un plazo de siete días para rendir sus alegatos, por lo que durante la etapa de manifestaciones, se tiene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refirió que el Recurso de Revisión resulta improcedente en virtud de que el mismo no se encuentra apegado alguna de las causales contempladas por el artículo 179 de la Ley de Transparencia y Acceso a la información Pública del Estado de México y Municipios, ya que resulta evidente que el solicitante solo efectúa señalamientos personales, por lo que, resulta procedente su sobreseimiento en términos del artículo 192 Ley de Transparencia y Acceso a la información Pública del Estado de México y Municipios, mientras que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fue omisa en emitir pronunciamiento alguno, por lo tanto, se tuvo por precluido su derecho para tal efecto.</w:t>
      </w:r>
    </w:p>
    <w:p w:rsidR="00000000" w:rsidDel="00000000" w:rsidP="00000000" w:rsidRDefault="00000000" w:rsidRPr="00000000" w14:paraId="0000007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Expuesto lo anterior, y respecto a la naturaleza de la información solicitada, resulta conveniente señalar que el artículo 47 de la Ley del Trabajo de los Servidores Públicos del Estado y Municipios, refiere que para ingresar al servicio público se requiere, entre otras cosas, cumplir con los requisitos que se establezcan para los diferentes puestos, como es el nivel académico o bien contar con experiencia.</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la Ley Orgánica Municipal, señala de manera general y facultativa en su artículo 32, fracción III, que para acceder a determinados cargos, los servidores públicos, deberán de presentar el título profesional o la acreditación de experiencia mínima de un año en la materia, cuando el perfil de puestos, así lo contemple de manera expresa. </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0">
      <w:pP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es importante precisar que la Real Academia de la Lengua Española, señala que la </w:t>
      </w:r>
      <w:r w:rsidDel="00000000" w:rsidR="00000000" w:rsidRPr="00000000">
        <w:rPr>
          <w:rFonts w:ascii="Palatino Linotype" w:cs="Palatino Linotype" w:eastAsia="Palatino Linotype" w:hAnsi="Palatino Linotype"/>
          <w:i w:val="1"/>
          <w:sz w:val="22"/>
          <w:szCs w:val="22"/>
          <w:rtl w:val="0"/>
        </w:rPr>
        <w:t xml:space="preserve">experiencia </w:t>
      </w:r>
      <w:r w:rsidDel="00000000" w:rsidR="00000000" w:rsidRPr="00000000">
        <w:rPr>
          <w:rFonts w:ascii="Palatino Linotype" w:cs="Palatino Linotype" w:eastAsia="Palatino Linotype" w:hAnsi="Palatino Linotype"/>
          <w:sz w:val="22"/>
          <w:szCs w:val="22"/>
          <w:rtl w:val="0"/>
        </w:rPr>
        <w:t xml:space="preserve">es la práctica prolongada que proporciona conocimiento o habilidad para hacer algo; en ese sentido, es necesario precisar que la experiencia laboral, es la practica adquirida con el ejercicio de cualquier empleo, ocupación, arte u oficio; en otras palabras, es el conjunto de aptitudes y conocimientos adquiridos por ocupar un puesto laboral, en el presente caso, en un cargo dentro de la administración pública (Federal, Estatal o Municipal) o particular; por lo que, existe un interés público para dar a conocer dicha información, pues transparenta que el personal que labora para el Sujeto Obligado cuenta con la experiencia necesaria para cumplir con sus funciones.</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mismo sentido, el formato 17 LGT_Art_70_Fr_XVII (Información curricular y las sanciones administrativas definitivas de los(as) servidores(as) públicas(os) y/o personas que desempeñen un empleo, cargo o comisión)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Lineamientos Generales-, vigente a la fecha de la solicitud, establece como datos a publicar, de los servidores públicos, la experiencia laboral.</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entendido, el Criterio Orientador, de la Tercera de Época, con número de registro SO/007/2023, emitido por el entonces Instituto Nacional de Transparencia, Acceso a la Información y Protección de Datos Personales, establece que una de las formas en que los ciudadanos pueden evaluar las aptitudes para desempeñar un cargo público determinado, es mediante la publicidad de ciertos datos contenidos, tales como, la experiencia con la que cuenta.</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el artículo 21 del Reglamento Interno de Organización y Funcionamiento del Organismo Público Descentralizado para la Prestación de Los Servicios de Agua Potable Alcantarillado y Saneamiento del Municipio de Tultitlan, precisa que para la prestación de los servicios de agua potable, alcantarillado y saneamiento del municipio de Tultitlán, se auxiliara de dependencias y unidades administrativas, dentro de las cuales se encuentra la Gerencia de Administración y Finanzas, misma que se auxiliara de la Coordinación de Administración, Recursos Humanos y Servicios Generales, la cual es responsable de realizar los movimientos de altas, bajas, cambios de adscripción, licencias, así como promociones y sindicalizaciones de las personas trabajadoras del Organismo, previa autorización; así como, integrar y resguardar los expedientes personales de las personas trabajadoras del Organismo, activos o que hayan causado baja. </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276" w:lineRule="auto"/>
        <w:ind w:right="616"/>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anteriormente expuesto, se advierte que la unidad administrativa que cuenta con atribuciones para contratar personal, en base a los perfiles y necesidades de las diversas dependencias de la Administración Pública del Organismo, es la Gerencia de Administración y Finanzas a través de la Coordinación de Administración Recursos Humanos y Servicios Generales. </w:t>
      </w:r>
    </w:p>
    <w:p w:rsidR="00000000" w:rsidDel="00000000" w:rsidP="00000000" w:rsidRDefault="00000000" w:rsidRPr="00000000" w14:paraId="0000008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en el caso que nos ocupa, derivado de las constancias que obran en el expediente en el que se actúa se advierte que la Unidad de Transparencia, en observancia de lo previsto en los artículos 53, fracciones II y IV</w:t>
      </w:r>
      <w:r w:rsidDel="00000000" w:rsidR="00000000" w:rsidRPr="00000000">
        <w:rPr>
          <w:rFonts w:ascii="Palatino Linotype" w:cs="Palatino Linotype" w:eastAsia="Palatino Linotype" w:hAnsi="Palatino Linotype"/>
          <w:sz w:val="22"/>
          <w:szCs w:val="22"/>
          <w:vertAlign w:val="superscript"/>
          <w:rtl w:val="0"/>
        </w:rPr>
        <w:t xml:space="preserve"> </w:t>
      </w:r>
      <w:r w:rsidDel="00000000" w:rsidR="00000000" w:rsidRPr="00000000">
        <w:rPr>
          <w:rFonts w:ascii="Palatino Linotype" w:cs="Palatino Linotype" w:eastAsia="Palatino Linotype" w:hAnsi="Palatino Linotype"/>
          <w:sz w:val="22"/>
          <w:szCs w:val="22"/>
          <w:vertAlign w:val="superscript"/>
        </w:rPr>
        <w:footnoteReference w:customMarkFollows="0" w:id="0"/>
      </w:r>
      <w:r w:rsidDel="00000000" w:rsidR="00000000" w:rsidRPr="00000000">
        <w:rPr>
          <w:rFonts w:ascii="Palatino Linotype" w:cs="Palatino Linotype" w:eastAsia="Palatino Linotype" w:hAnsi="Palatino Linotype"/>
          <w:sz w:val="22"/>
          <w:szCs w:val="22"/>
          <w:rtl w:val="0"/>
        </w:rPr>
        <w:t xml:space="preserve"> y 162</w:t>
      </w:r>
      <w:r w:rsidDel="00000000" w:rsidR="00000000" w:rsidRPr="00000000">
        <w:rPr>
          <w:rFonts w:ascii="Palatino Linotype" w:cs="Palatino Linotype" w:eastAsia="Palatino Linotype" w:hAnsi="Palatino Linotype"/>
          <w:sz w:val="22"/>
          <w:szCs w:val="22"/>
          <w:vertAlign w:val="superscript"/>
        </w:rPr>
        <w:footnoteReference w:customMarkFollows="0" w:id="1"/>
      </w:r>
      <w:r w:rsidDel="00000000" w:rsidR="00000000" w:rsidRPr="00000000">
        <w:rPr>
          <w:rFonts w:ascii="Palatino Linotype" w:cs="Palatino Linotype" w:eastAsia="Palatino Linotype" w:hAnsi="Palatino Linotype"/>
          <w:sz w:val="22"/>
          <w:szCs w:val="22"/>
          <w:rtl w:val="0"/>
        </w:rPr>
        <w:t xml:space="preserve"> de la Ley de Transparencia y Acceso a la Información Pública del Estado de México y Municipios, turnó la solicitud de información al área que, de acuerdo con sus facultades, competencias y funciones, cuenta con la información materia de la solicitud, esto es la Tesorería Municipal, como se muestra a continuación:</w:t>
      </w:r>
    </w:p>
    <w:p w:rsidR="00000000" w:rsidDel="00000000" w:rsidP="00000000" w:rsidRDefault="00000000" w:rsidRPr="00000000" w14:paraId="0000008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523875"/>
            <wp:effectExtent b="0" l="0" r="0" t="0"/>
            <wp:docPr id="4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612130" cy="523875"/>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la imagen inserta se advierte que la solicitud de información fue atendida por el Servidor Público Habilitado, Emmanuel Alexandro Rosales Piña, el cual se ostenta como Gerente de Administración y Finanzas, tal y como se advierte del Directorio de servidores públicos, publicado en la página oficial del Organismo Público Descentralizado para la Prestación de Los Servicios de Agua Potable Alcantarillado y Saneamiento del Municipio de Tultitlan, como a continuación se ilustra:</w:t>
      </w:r>
    </w:p>
    <w:p w:rsidR="00000000" w:rsidDel="00000000" w:rsidP="00000000" w:rsidRDefault="00000000" w:rsidRPr="00000000" w14:paraId="0000008C">
      <w:pPr>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3628351" cy="970794"/>
            <wp:effectExtent b="0" l="0" r="0" t="0"/>
            <wp:docPr id="50"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628351" cy="970794"/>
                    </a:xfrm>
                    <a:prstGeom prst="rect"/>
                    <a:ln/>
                  </pic:spPr>
                </pic:pic>
              </a:graphicData>
            </a:graphic>
          </wp:inline>
        </w:drawing>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8D">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Servidor Público que en atención a la solicitud de información de mérito, se pronunció en el siguiente sentido:</w:t>
      </w:r>
    </w:p>
    <w:p w:rsidR="00000000" w:rsidDel="00000000" w:rsidP="00000000" w:rsidRDefault="00000000" w:rsidRPr="00000000" w14:paraId="0000008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1207135"/>
            <wp:effectExtent b="0" l="0" r="0" t="0"/>
            <wp:docPr id="48"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612130" cy="1207135"/>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la imagen insertada con anterioridad se advierte que la actual Titular del área de Recursos Humanos colaboro con la Coordinación de Administración, Recursos Humanos y Servicios Generales en el año dos mil veinticuatro y cuenta con experiencia en departamento de patrimonio tanto de este Organismo como del Ayuntamiento, así como en el manejo de sistemas gubernamentales de información de bienes y bases de datos, información que desea conocer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no obstante, manifestó su inconformidad en el entendido de que no se entregó un oficio o documento que dé validez oficial de la información; al respecto se debe tener en consideración que la solicitud de información fue formulada de forma tal, que se aprecia e interpreta que pretende conocer cuál es la experiencia laboral de la titular del área de recursos humanos actual; con lo que se advierte que no solicitó la entrega de ningún documento específico, es decir, no requirió el documento que dé cuenta de la experiencia del servidor público en un primer momento.</w:t>
      </w:r>
    </w:p>
    <w:p w:rsidR="00000000" w:rsidDel="00000000" w:rsidP="00000000" w:rsidRDefault="00000000" w:rsidRPr="00000000" w14:paraId="0000009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2">
      <w:pPr>
        <w:tabs>
          <w:tab w:val="left" w:leader="none" w:pos="709"/>
        </w:tabs>
        <w:spacing w:line="360" w:lineRule="auto"/>
        <w:ind w:right="4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tenor, al haberse pronunciado el Servidor Público Habilitado con facultades, competencias y funciones para atender la solicitud de información, éste Organismo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rsidR="00000000" w:rsidDel="00000000" w:rsidP="00000000" w:rsidRDefault="00000000" w:rsidRPr="00000000" w14:paraId="00000093">
      <w:pPr>
        <w:tabs>
          <w:tab w:val="left" w:leader="none" w:pos="709"/>
        </w:tabs>
        <w:spacing w:line="360" w:lineRule="auto"/>
        <w:ind w:right="4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Sirviendo de apoyo a lo anterior por analogía, el criterio 31-10 emitido por el ahora Instituto Nacional de Transparencia, Acceso a la Información y Protección de Datos Personales, que a la letra dice:</w:t>
      </w:r>
    </w:p>
    <w:p w:rsidR="00000000" w:rsidDel="00000000" w:rsidP="00000000" w:rsidRDefault="00000000" w:rsidRPr="00000000" w14:paraId="00000095">
      <w:pPr>
        <w:ind w:left="567" w:right="616" w:firstLine="0"/>
        <w:jc w:val="both"/>
        <w:rPr>
          <w:rFonts w:ascii="Palatino Linotype" w:cs="Palatino Linotype" w:eastAsia="Palatino Linotype" w:hAnsi="Palatino Linotype"/>
          <w:i w:val="1"/>
          <w:sz w:val="22"/>
          <w:szCs w:val="22"/>
        </w:rPr>
      </w:pPr>
      <w:bookmarkStart w:colFirst="0" w:colLast="0" w:name="_heading=h.2et92p0" w:id="3"/>
      <w:bookmarkEnd w:id="3"/>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El Instituto Federal de Acceso a la Información y Protección de Datos no cuenta con facultades para pronunciarse respecto de la veracidad de los documentos proporcionados por los sujetos obligados</w:t>
      </w:r>
      <w:r w:rsidDel="00000000" w:rsidR="00000000" w:rsidRPr="00000000">
        <w:rPr>
          <w:rFonts w:ascii="Palatino Linotype" w:cs="Palatino Linotype" w:eastAsia="Palatino Linotype" w:hAnsi="Palatino Linotype"/>
          <w:i w:val="1"/>
          <w:sz w:val="22"/>
          <w:szCs w:val="22"/>
          <w:rtl w:val="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00000" w:rsidDel="00000000" w:rsidP="00000000" w:rsidRDefault="00000000" w:rsidRPr="00000000" w14:paraId="00000096">
      <w:pPr>
        <w:tabs>
          <w:tab w:val="left" w:leader="none" w:pos="709"/>
        </w:tabs>
        <w:spacing w:line="360" w:lineRule="auto"/>
        <w:ind w:right="4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respecto a los argumentos hechos valer por la parte Recurrente en la solicitud de información consistentes en </w:t>
      </w:r>
      <w:r w:rsidDel="00000000" w:rsidR="00000000" w:rsidRPr="00000000">
        <w:rPr>
          <w:rFonts w:ascii="Palatino Linotype" w:cs="Palatino Linotype" w:eastAsia="Palatino Linotype" w:hAnsi="Palatino Linotype"/>
          <w:i w:val="1"/>
          <w:sz w:val="22"/>
          <w:szCs w:val="22"/>
          <w:rtl w:val="0"/>
        </w:rPr>
        <w:t xml:space="preserve">“…ya que La contadora Laura Rodríguez es apática con el personal, grosera y carece de conocimiento en su totalidad del área…”</w:t>
      </w:r>
      <w:r w:rsidDel="00000000" w:rsidR="00000000" w:rsidRPr="00000000">
        <w:rPr>
          <w:rFonts w:ascii="Palatino Linotype" w:cs="Palatino Linotype" w:eastAsia="Palatino Linotype" w:hAnsi="Palatino Linotype"/>
          <w:sz w:val="22"/>
          <w:szCs w:val="22"/>
          <w:rtl w:val="0"/>
        </w:rPr>
        <w:t xml:space="preserve">, así como en sus motivos de inconformidad en los que refirió </w:t>
      </w:r>
      <w:r w:rsidDel="00000000" w:rsidR="00000000" w:rsidRPr="00000000">
        <w:rPr>
          <w:rFonts w:ascii="Palatino Linotype" w:cs="Palatino Linotype" w:eastAsia="Palatino Linotype" w:hAnsi="Palatino Linotype"/>
          <w:i w:val="1"/>
          <w:sz w:val="22"/>
          <w:szCs w:val="22"/>
          <w:rtl w:val="0"/>
        </w:rPr>
        <w:t xml:space="preserve">“…como es posible que la contadora Laura Rodríguez, sea tan inhumana con el personal de campo, grosera y déspota y que no les de vacaciones o tenga la intención de arreglar con ellos sus vacaciones y pensiones, se le pregunta algo y desconoce total de cualquier tema.”</w:t>
      </w:r>
      <w:r w:rsidDel="00000000" w:rsidR="00000000" w:rsidRPr="00000000">
        <w:rPr>
          <w:rFonts w:ascii="Palatino Linotype" w:cs="Palatino Linotype" w:eastAsia="Palatino Linotype" w:hAnsi="Palatino Linotype"/>
          <w:sz w:val="22"/>
          <w:szCs w:val="22"/>
          <w:rtl w:val="0"/>
        </w:rPr>
        <w:t xml:space="preserve">, este Organismo Garante considera oportuno señalar que el particular buscaba obtener un pronunciamiento al respecto, lo cual no constituye un derecho de acceso a la información, sino un derecho de petición, debido al realizar manifestaciones subjetivas por el solicitante, acusaciones y declaraciones que no se colman con la entrega de documentos, situación que conlleva a afirmar que se está ante la presencia del ejercicio del derecho ya enunciado.</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before="240" w:line="360" w:lineRule="auto"/>
        <w:ind w:right="4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puntualiza que en efecto el derecho al acceso a la información pública constituye una prerrogativa para acceder a documentos o registros de información pública generada o en posesión de los sujetos obligados,  motivo por el cual, este Organismo Garante reitera que dichas manifestaciones no son susceptibles de ser tomadas en consideración, toda vez que, no constituyen el ejercicio de un derecho de acceso a la información pública, sino más bien el ejercicio de un derecho de expresión, cuya finalidad consiste en dar mayor énfasis a sus requerimientos. En este sentido, se trata de manifestaciones sobre las cuales este Instituto no está facultado para pronunciarse.</w:t>
      </w:r>
    </w:p>
    <w:p w:rsidR="00000000" w:rsidDel="00000000" w:rsidP="00000000" w:rsidRDefault="00000000" w:rsidRPr="00000000" w14:paraId="0000009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A">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Por lo tanto, en razón de que los requerimientos formulados el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fueron atendidos por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el Pleno de este Instituto determina infundados</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los motivos o razones de inconformidad esgrimidos por el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y lo procedente es </w:t>
      </w:r>
      <w:r w:rsidDel="00000000" w:rsidR="00000000" w:rsidRPr="00000000">
        <w:rPr>
          <w:rFonts w:ascii="Palatino Linotype" w:cs="Palatino Linotype" w:eastAsia="Palatino Linotype" w:hAnsi="Palatino Linotype"/>
          <w:b w:val="1"/>
          <w:sz w:val="22"/>
          <w:szCs w:val="22"/>
          <w:rtl w:val="0"/>
        </w:rPr>
        <w:t xml:space="preserve">Confirmar </w:t>
      </w:r>
      <w:r w:rsidDel="00000000" w:rsidR="00000000" w:rsidRPr="00000000">
        <w:rPr>
          <w:rFonts w:ascii="Palatino Linotype" w:cs="Palatino Linotype" w:eastAsia="Palatino Linotype" w:hAnsi="Palatino Linotype"/>
          <w:sz w:val="22"/>
          <w:szCs w:val="22"/>
          <w:rtl w:val="0"/>
        </w:rPr>
        <w:t xml:space="preserve">la respuesta emitida a la solicitud de información número </w:t>
      </w:r>
      <w:r w:rsidDel="00000000" w:rsidR="00000000" w:rsidRPr="00000000">
        <w:rPr>
          <w:rFonts w:ascii="Palatino Linotype" w:cs="Palatino Linotype" w:eastAsia="Palatino Linotype" w:hAnsi="Palatino Linotype"/>
          <w:b w:val="1"/>
          <w:sz w:val="22"/>
          <w:szCs w:val="22"/>
          <w:rtl w:val="0"/>
        </w:rPr>
        <w:t xml:space="preserve">06539/INFOEM/IP/2025. </w:t>
      </w:r>
    </w:p>
    <w:p w:rsidR="00000000" w:rsidDel="00000000" w:rsidP="00000000" w:rsidRDefault="00000000" w:rsidRPr="00000000" w14:paraId="0000009B">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240" w:line="360" w:lineRule="auto"/>
        <w:jc w:val="both"/>
        <w:rPr>
          <w:rFonts w:ascii="Palatino Linotype" w:cs="Palatino Linotype" w:eastAsia="Palatino Linotype" w:hAnsi="Palatino Linotype"/>
          <w:sz w:val="22"/>
          <w:szCs w:val="22"/>
        </w:rPr>
      </w:pPr>
      <w:bookmarkStart w:colFirst="0" w:colLast="0" w:name="_heading=h.3dy6vkm" w:id="4"/>
      <w:bookmarkEnd w:id="4"/>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noveno, cuadragésimo y cuadragésimo primero, fracciones IV y V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09D">
      <w:pPr>
        <w:spacing w:line="360" w:lineRule="auto"/>
        <w:ind w:left="567" w:firstLine="0"/>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 E S U E L V E</w:t>
      </w:r>
    </w:p>
    <w:p w:rsidR="00000000" w:rsidDel="00000000" w:rsidP="00000000" w:rsidRDefault="00000000" w:rsidRPr="00000000" w14:paraId="0000009E">
      <w:pPr>
        <w:spacing w:line="360" w:lineRule="auto"/>
        <w:ind w:left="567" w:firstLine="0"/>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9F">
      <w:pPr>
        <w:spacing w:line="360" w:lineRule="auto"/>
        <w:ind w:right="51"/>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 infundados los motivos de inconformidad aducidos por el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el recurso de revisión </w:t>
      </w:r>
      <w:r w:rsidDel="00000000" w:rsidR="00000000" w:rsidRPr="00000000">
        <w:rPr>
          <w:rFonts w:ascii="Palatino Linotype" w:cs="Palatino Linotype" w:eastAsia="Palatino Linotype" w:hAnsi="Palatino Linotype"/>
          <w:b w:val="1"/>
          <w:sz w:val="22"/>
          <w:szCs w:val="22"/>
          <w:rtl w:val="0"/>
        </w:rPr>
        <w:t xml:space="preserve">06539/INFOEM/IP/RR/2025 </w:t>
      </w:r>
      <w:r w:rsidDel="00000000" w:rsidR="00000000" w:rsidRPr="00000000">
        <w:rPr>
          <w:rFonts w:ascii="Palatino Linotype" w:cs="Palatino Linotype" w:eastAsia="Palatino Linotype" w:hAnsi="Palatino Linotype"/>
          <w:sz w:val="22"/>
          <w:szCs w:val="22"/>
          <w:rtl w:val="0"/>
        </w:rPr>
        <w:t xml:space="preserve">por lo que, en términos del Considerando Cuarto de esta resolución, se </w:t>
      </w:r>
      <w:r w:rsidDel="00000000" w:rsidR="00000000" w:rsidRPr="00000000">
        <w:rPr>
          <w:rFonts w:ascii="Palatino Linotype" w:cs="Palatino Linotype" w:eastAsia="Palatino Linotype" w:hAnsi="Palatino Linotype"/>
          <w:b w:val="1"/>
          <w:sz w:val="22"/>
          <w:szCs w:val="22"/>
          <w:rtl w:val="0"/>
        </w:rPr>
        <w:t xml:space="preserve">Confirma</w:t>
      </w:r>
      <w:r w:rsidDel="00000000" w:rsidR="00000000" w:rsidRPr="00000000">
        <w:rPr>
          <w:rFonts w:ascii="Palatino Linotype" w:cs="Palatino Linotype" w:eastAsia="Palatino Linotype" w:hAnsi="Palatino Linotype"/>
          <w:sz w:val="22"/>
          <w:szCs w:val="22"/>
          <w:rtl w:val="0"/>
        </w:rPr>
        <w:t xml:space="preserve"> la respuesta del </w:t>
      </w:r>
      <w:r w:rsidDel="00000000" w:rsidR="00000000" w:rsidRPr="00000000">
        <w:rPr>
          <w:rFonts w:ascii="Palatino Linotype" w:cs="Palatino Linotype" w:eastAsia="Palatino Linotype" w:hAnsi="Palatino Linotype"/>
          <w:b w:val="1"/>
          <w:sz w:val="22"/>
          <w:szCs w:val="22"/>
          <w:rtl w:val="0"/>
        </w:rPr>
        <w:t xml:space="preserve">Sujeto Obligado.</w:t>
      </w:r>
    </w:p>
    <w:p w:rsidR="00000000" w:rsidDel="00000000" w:rsidP="00000000" w:rsidRDefault="00000000" w:rsidRPr="00000000" w14:paraId="000000A0">
      <w:pPr>
        <w:spacing w:line="360" w:lineRule="auto"/>
        <w:ind w:right="51"/>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A1">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Notifíquese </w:t>
      </w:r>
      <w:r w:rsidDel="00000000" w:rsidR="00000000" w:rsidRPr="00000000">
        <w:rPr>
          <w:rFonts w:ascii="Palatino Linotype" w:cs="Palatino Linotype" w:eastAsia="Palatino Linotype" w:hAnsi="Palatino Linotype"/>
          <w:sz w:val="22"/>
          <w:szCs w:val="22"/>
          <w:rtl w:val="0"/>
        </w:rPr>
        <w:t xml:space="preserve">vía SAIMEX la presente resolución al Titular de la Unidad de Transparencia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para su conocimiento.</w:t>
      </w:r>
    </w:p>
    <w:p w:rsidR="00000000" w:rsidDel="00000000" w:rsidP="00000000" w:rsidRDefault="00000000" w:rsidRPr="00000000" w14:paraId="000000A2">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3">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Notifíquese </w:t>
      </w:r>
      <w:r w:rsidDel="00000000" w:rsidR="00000000" w:rsidRPr="00000000">
        <w:rPr>
          <w:rFonts w:ascii="Palatino Linotype" w:cs="Palatino Linotype" w:eastAsia="Palatino Linotype" w:hAnsi="Palatino Linotype"/>
          <w:sz w:val="22"/>
          <w:szCs w:val="22"/>
          <w:rtl w:val="0"/>
        </w:rPr>
        <w:t xml:space="preserve">vía SAIMEX</w:t>
      </w:r>
      <w:r w:rsidDel="00000000" w:rsidR="00000000" w:rsidRPr="00000000">
        <w:rPr>
          <w:rFonts w:ascii="Palatino Linotype" w:cs="Palatino Linotype" w:eastAsia="Palatino Linotype" w:hAnsi="Palatino Linotype"/>
          <w:b w:val="1"/>
          <w:sz w:val="22"/>
          <w:szCs w:val="22"/>
          <w:rtl w:val="0"/>
        </w:rPr>
        <w:t xml:space="preserve"> al Recurrente</w:t>
      </w:r>
      <w:r w:rsidDel="00000000" w:rsidR="00000000" w:rsidRPr="00000000">
        <w:rPr>
          <w:rFonts w:ascii="Palatino Linotype" w:cs="Palatino Linotype" w:eastAsia="Palatino Linotype" w:hAnsi="Palatino Linotype"/>
          <w:sz w:val="22"/>
          <w:szCs w:val="22"/>
          <w:rtl w:val="0"/>
        </w:rPr>
        <w:t xml:space="preserve">, la presente resolución, además que de conformidad con lo establecido en el artículo 196 de la Ley de Transparencia y Acceso a la Información Pública del Estado de México y Municipios, podrá impugnarla vía Juicio de Amparo en los términos de las leyes aplicables.</w:t>
      </w:r>
    </w:p>
    <w:p w:rsidR="00000000" w:rsidDel="00000000" w:rsidP="00000000" w:rsidRDefault="00000000" w:rsidRPr="00000000" w14:paraId="000000A4">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5">
      <w:pPr>
        <w:spacing w:line="360" w:lineRule="auto"/>
        <w:jc w:val="both"/>
        <w:rPr>
          <w:rFonts w:ascii="Palatino Linotype" w:cs="Palatino Linotype" w:eastAsia="Palatino Linotype" w:hAnsi="Palatino Linotype"/>
          <w:sz w:val="22"/>
          <w:szCs w:val="22"/>
        </w:rPr>
        <w:sectPr>
          <w:headerReference r:id="rId11" w:type="default"/>
          <w:headerReference r:id="rId12" w:type="first"/>
          <w:footerReference r:id="rId13" w:type="default"/>
          <w:footerReference r:id="rId14" w:type="first"/>
          <w:pgSz w:h="15840" w:w="12240" w:orient="portrait"/>
          <w:pgMar w:bottom="1701" w:top="2041" w:left="1701" w:right="1701" w:header="709" w:footer="709"/>
          <w:pgNumType w:start="1"/>
          <w:titlePg w:val="1"/>
        </w:sectPr>
      </w:pPr>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OCTAVA SESIÓN ORDINARIA CELEBRADA EL TRECE DE AGOSTO DE DOS MIL VEINTICINCO, ANTE EL SECRETARIO TÉCNICO DEL PLENO ALEXIS TAPIA RAMÍREZ.                              </w:t>
      </w:r>
    </w:p>
    <w:p w:rsidR="00000000" w:rsidDel="00000000" w:rsidP="00000000" w:rsidRDefault="00000000" w:rsidRPr="00000000" w14:paraId="000000A6">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15" w:type="first"/>
      <w:type w:val="nextPage"/>
      <w:pgSz w:h="15840" w:w="12240" w:orient="portrait"/>
      <w:pgMar w:bottom="1701" w:top="2041"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A7">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1"/>
          <w:color w:val="000000"/>
          <w:sz w:val="16"/>
          <w:szCs w:val="16"/>
          <w:rtl w:val="0"/>
        </w:rPr>
        <w:t xml:space="preserve"> Artículo 53</w:t>
      </w:r>
      <w:r w:rsidDel="00000000" w:rsidR="00000000" w:rsidRPr="00000000">
        <w:rPr>
          <w:rFonts w:ascii="Palatino Linotype" w:cs="Palatino Linotype" w:eastAsia="Palatino Linotype" w:hAnsi="Palatino Linotype"/>
          <w:color w:val="000000"/>
          <w:sz w:val="16"/>
          <w:szCs w:val="16"/>
          <w:rtl w:val="0"/>
        </w:rPr>
        <w:t xml:space="preserve">. Las Unidades de Transparencia tendrán las siguientes funciones:</w:t>
      </w:r>
    </w:p>
    <w:p w:rsidR="00000000" w:rsidDel="00000000" w:rsidP="00000000" w:rsidRDefault="00000000" w:rsidRPr="00000000" w14:paraId="000000A8">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Recibir, tramitar y dar respuesta a las solicitudes de acceso a la información;</w:t>
      </w:r>
    </w:p>
    <w:p w:rsidR="00000000" w:rsidDel="00000000" w:rsidP="00000000" w:rsidRDefault="00000000" w:rsidRPr="00000000" w14:paraId="000000A9">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IV. Realizar, con efectividad, los trámites internos necesarios para la atención de las solicitudes de acceso a la información;</w:t>
      </w:r>
    </w:p>
  </w:footnote>
  <w:footnote w:id="1">
    <w:p w:rsidR="00000000" w:rsidDel="00000000" w:rsidP="00000000" w:rsidRDefault="00000000" w:rsidRPr="00000000" w14:paraId="000000AA">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color w:val="000000"/>
          <w:sz w:val="16"/>
          <w:szCs w:val="16"/>
          <w:rtl w:val="0"/>
        </w:rPr>
        <w:t xml:space="preserve">Artículo 162.</w:t>
      </w:r>
      <w:r w:rsidDel="00000000" w:rsidR="00000000" w:rsidRPr="00000000">
        <w:rPr>
          <w:rFonts w:ascii="Palatino Linotype" w:cs="Palatino Linotype" w:eastAsia="Palatino Linotype" w:hAnsi="Palatino Linotype"/>
          <w:color w:val="000000"/>
          <w:sz w:val="16"/>
          <w:szCs w:val="16"/>
          <w:rtl w:val="0"/>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-638172</wp:posOffset>
          </wp:positionH>
          <wp:positionV relativeFrom="paragraph">
            <wp:posOffset>-450211</wp:posOffset>
          </wp:positionV>
          <wp:extent cx="7809876" cy="10165823"/>
          <wp:effectExtent b="0" l="0" r="0" t="0"/>
          <wp:wrapNone/>
          <wp:docPr id="4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1"/>
      <w:tblW w:w="5528.0" w:type="dxa"/>
      <w:jc w:val="left"/>
      <w:tblInd w:w="3261.0" w:type="dxa"/>
      <w:tblLayout w:type="fixed"/>
      <w:tblLook w:val="0400"/>
    </w:tblPr>
    <w:tblGrid>
      <w:gridCol w:w="2551"/>
      <w:gridCol w:w="2977"/>
      <w:tblGridChange w:id="0">
        <w:tblGrid>
          <w:gridCol w:w="2551"/>
          <w:gridCol w:w="2977"/>
        </w:tblGrid>
      </w:tblGridChange>
    </w:tblGrid>
    <w:tr>
      <w:trPr>
        <w:cantSplit w:val="0"/>
        <w:tblHeader w:val="0"/>
      </w:trPr>
      <w:tc>
        <w:tcPr>
          <w:vAlign w:val="center"/>
        </w:tcPr>
        <w:p w:rsidR="00000000" w:rsidDel="00000000" w:rsidP="00000000" w:rsidRDefault="00000000" w:rsidRPr="00000000" w14:paraId="000000A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0AD">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06539/INFOEM/IP/RR/2025</w:t>
          </w:r>
        </w:p>
      </w:tc>
    </w:tr>
    <w:tr>
      <w:trPr>
        <w:cantSplit w:val="0"/>
        <w:trHeight w:val="228" w:hRule="atLeast"/>
        <w:tblHeader w:val="0"/>
      </w:trPr>
      <w:tc>
        <w:tcPr>
          <w:vAlign w:val="center"/>
        </w:tcPr>
        <w:p w:rsidR="00000000" w:rsidDel="00000000" w:rsidP="00000000" w:rsidRDefault="00000000" w:rsidRPr="00000000" w14:paraId="000000AE">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0AF">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Organismo Público Descentralizado para la Prestación de Los Servicios de Agua Potable Alcantarillado y Saneamiento del Municipio de Tultitlan</w:t>
          </w:r>
        </w:p>
      </w:tc>
    </w:tr>
    <w:tr>
      <w:trPr>
        <w:cantSplit w:val="0"/>
        <w:tblHeader w:val="0"/>
      </w:trPr>
      <w:tc>
        <w:tcPr>
          <w:vAlign w:val="center"/>
        </w:tcPr>
        <w:p w:rsidR="00000000" w:rsidDel="00000000" w:rsidP="00000000" w:rsidRDefault="00000000" w:rsidRPr="00000000" w14:paraId="000000B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0B1">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libri" w:cs="Calibri" w:eastAsia="Calibri" w:hAnsi="Calibri"/>
        <w:color w:val="000000"/>
      </w:rPr>
    </w:pPr>
    <w:r w:rsidDel="00000000" w:rsidR="00000000" w:rsidRPr="00000000">
      <w:rPr>
        <w:rFonts w:ascii="Calibri" w:cs="Calibri" w:eastAsia="Calibri" w:hAnsi="Calibri"/>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3">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-798189</wp:posOffset>
          </wp:positionH>
          <wp:positionV relativeFrom="paragraph">
            <wp:posOffset>-399410</wp:posOffset>
          </wp:positionV>
          <wp:extent cx="7809876" cy="10165823"/>
          <wp:effectExtent b="0" l="0" r="0" t="0"/>
          <wp:wrapNone/>
          <wp:docPr id="4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5670.0" w:type="dxa"/>
      <w:jc w:val="left"/>
      <w:tblInd w:w="3119.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0B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0B5">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06539/INFOEM/IP/RR/2025 </w:t>
          </w:r>
        </w:p>
      </w:tc>
    </w:tr>
    <w:tr>
      <w:trPr>
        <w:cantSplit w:val="0"/>
        <w:tblHeader w:val="0"/>
      </w:trPr>
      <w:tc>
        <w:tcPr>
          <w:vAlign w:val="center"/>
        </w:tcPr>
        <w:p w:rsidR="00000000" w:rsidDel="00000000" w:rsidP="00000000" w:rsidRDefault="00000000" w:rsidRPr="00000000" w14:paraId="000000B6">
          <w:pPr>
            <w:ind w:left="35" w:hanging="3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0B7">
          <w:pPr>
            <w:ind w:left="27"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XXXXXXX XXXXX</w:t>
          </w:r>
        </w:p>
      </w:tc>
    </w:tr>
    <w:tr>
      <w:trPr>
        <w:cantSplit w:val="0"/>
        <w:trHeight w:val="228" w:hRule="atLeast"/>
        <w:tblHeader w:val="0"/>
      </w:trPr>
      <w:tc>
        <w:tcPr>
          <w:vAlign w:val="center"/>
        </w:tcPr>
        <w:p w:rsidR="00000000" w:rsidDel="00000000" w:rsidP="00000000" w:rsidRDefault="00000000" w:rsidRPr="00000000" w14:paraId="000000B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0B9">
          <w:pPr>
            <w:ind w:right="27"/>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Organismo Público Descentralizado para la Prestación de Los Servicios de Agua Potable Alcantarillado y Saneamiento del Municipio de Tultitlan</w:t>
          </w:r>
        </w:p>
      </w:tc>
    </w:tr>
    <w:tr>
      <w:trPr>
        <w:cantSplit w:val="0"/>
        <w:tblHeader w:val="0"/>
      </w:trPr>
      <w:tc>
        <w:tcPr>
          <w:vAlign w:val="center"/>
        </w:tcPr>
        <w:p w:rsidR="00000000" w:rsidDel="00000000" w:rsidP="00000000" w:rsidRDefault="00000000" w:rsidRPr="00000000" w14:paraId="000000BA">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0BB">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BC">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upperRoman"/>
      <w:lvlText w:val="%1."/>
      <w:lvlJc w:val="right"/>
      <w:pPr>
        <w:ind w:left="1077" w:hanging="360"/>
      </w:pPr>
      <w:rPr/>
    </w:lvl>
    <w:lvl w:ilvl="1">
      <w:start w:val="1"/>
      <w:numFmt w:val="decimal"/>
      <w:lvlText w:val="%2."/>
      <w:lvlJc w:val="left"/>
      <w:pPr>
        <w:ind w:left="1797" w:hanging="360"/>
      </w:pPr>
      <w:rPr/>
    </w:lvl>
    <w:lvl w:ilvl="2">
      <w:start w:val="1"/>
      <w:numFmt w:val="lowerRoman"/>
      <w:lvlText w:val="%3."/>
      <w:lvlJc w:val="right"/>
      <w:pPr>
        <w:ind w:left="2517" w:hanging="180"/>
      </w:pPr>
      <w:rPr/>
    </w:lvl>
    <w:lvl w:ilvl="3">
      <w:start w:val="1"/>
      <w:numFmt w:val="decimal"/>
      <w:lvlText w:val="%4."/>
      <w:lvlJc w:val="left"/>
      <w:pPr>
        <w:ind w:left="3237" w:hanging="360"/>
      </w:pPr>
      <w:rPr/>
    </w:lvl>
    <w:lvl w:ilvl="4">
      <w:start w:val="1"/>
      <w:numFmt w:val="lowerLetter"/>
      <w:lvlText w:val="%5."/>
      <w:lvlJc w:val="left"/>
      <w:pPr>
        <w:ind w:left="3957" w:hanging="360"/>
      </w:pPr>
      <w:rPr/>
    </w:lvl>
    <w:lvl w:ilvl="5">
      <w:start w:val="1"/>
      <w:numFmt w:val="lowerRoman"/>
      <w:lvlText w:val="%6."/>
      <w:lvlJc w:val="right"/>
      <w:pPr>
        <w:ind w:left="4677" w:hanging="180"/>
      </w:pPr>
      <w:rPr/>
    </w:lvl>
    <w:lvl w:ilvl="6">
      <w:start w:val="1"/>
      <w:numFmt w:val="decimal"/>
      <w:lvlText w:val="%7."/>
      <w:lvlJc w:val="left"/>
      <w:pPr>
        <w:ind w:left="5397" w:hanging="360"/>
      </w:pPr>
      <w:rPr/>
    </w:lvl>
    <w:lvl w:ilvl="7">
      <w:start w:val="1"/>
      <w:numFmt w:val="lowerLetter"/>
      <w:lvlText w:val="%8."/>
      <w:lvlJc w:val="left"/>
      <w:pPr>
        <w:ind w:left="6117" w:hanging="360"/>
      </w:pPr>
      <w:rPr/>
    </w:lvl>
    <w:lvl w:ilvl="8">
      <w:start w:val="1"/>
      <w:numFmt w:val="lowerRoman"/>
      <w:lvlText w:val="%9."/>
      <w:lvlJc w:val="right"/>
      <w:pPr>
        <w:ind w:left="6837" w:hanging="180"/>
      </w:pPr>
      <w:rPr/>
    </w:lvl>
  </w:abstractNum>
  <w:abstractNum w:abstractNumId="3">
    <w:lvl w:ilvl="0">
      <w:start w:val="1"/>
      <w:numFmt w:val="decimal"/>
      <w:lvlText w:val="%1."/>
      <w:lvlJc w:val="left"/>
      <w:pPr>
        <w:ind w:left="720" w:hanging="360"/>
      </w:pPr>
      <w:rPr>
        <w:b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AC3C64"/>
    <w:rPr>
      <w:rFonts w:eastAsiaTheme="minorEastAsia"/>
      <w:sz w:val="24"/>
      <w:szCs w:val="24"/>
      <w:lang w:eastAsia="es-ES" w:val="es-ES_tradnl"/>
    </w:rPr>
  </w:style>
  <w:style w:type="paragraph" w:styleId="Piedepgina">
    <w:name w:val="footer"/>
    <w:basedOn w:val="Normal"/>
    <w:link w:val="Piedepgina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AC3C64"/>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AC3C64"/>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AC3C64"/>
  </w:style>
  <w:style w:type="character" w:styleId="apple-converted-space" w:customStyle="1">
    <w:name w:val="apple-converted-space"/>
    <w:basedOn w:val="Fuentedeprrafopredeter"/>
    <w:rsid w:val="00AC3C64"/>
  </w:style>
  <w:style w:type="paragraph" w:styleId="paragraph" w:customStyle="1">
    <w:name w:val="paragraph"/>
    <w:basedOn w:val="Normal"/>
    <w:rsid w:val="00AC3C64"/>
    <w:pPr>
      <w:spacing w:after="100" w:afterAutospacing="1" w:before="100" w:beforeAutospacing="1"/>
    </w:pPr>
    <w:rPr>
      <w:lang w:eastAsia="es-MX" w:val="es-MX"/>
    </w:rPr>
  </w:style>
  <w:style w:type="character" w:styleId="eop" w:customStyle="1">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AC3C64"/>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AC3C64"/>
    <w:rPr>
      <w:vertAlign w:val="superscript"/>
    </w:rPr>
  </w:style>
  <w:style w:type="character" w:styleId="Hipervnculo">
    <w:name w:val="Hyperlink"/>
    <w:basedOn w:val="Fuentedeprrafopredeter"/>
    <w:uiPriority w:val="99"/>
    <w:unhideWhenUsed w:val="1"/>
    <w:rsid w:val="00AC3C64"/>
    <w:rPr>
      <w:color w:val="0563c1" w:themeColor="hyperlink"/>
      <w:u w:val="single"/>
    </w:rPr>
  </w:style>
  <w:style w:type="paragraph" w:styleId="NormalWeb">
    <w:name w:val="Normal (Web)"/>
    <w:basedOn w:val="Normal"/>
    <w:uiPriority w:val="99"/>
    <w:unhideWhenUsed w:val="1"/>
    <w:rsid w:val="00AC3C64"/>
    <w:pPr>
      <w:spacing w:after="100" w:afterAutospacing="1" w:before="100" w:beforeAutospacing="1"/>
    </w:pPr>
    <w:rPr>
      <w:lang w:eastAsia="es-MX" w:val="es-MX"/>
    </w:rPr>
  </w:style>
  <w:style w:type="character" w:styleId="Ttulo3Car" w:customStyle="1">
    <w:name w:val="Título 3 Car"/>
    <w:basedOn w:val="Fuentedeprrafopredeter"/>
    <w:link w:val="Ttulo3"/>
    <w:uiPriority w:val="9"/>
    <w:rsid w:val="002D2EAC"/>
    <w:rPr>
      <w:rFonts w:ascii="Times New Roman" w:cs="Times New Roman" w:eastAsia="Times New Roman" w:hAnsi="Times New Roman"/>
      <w:b w:val="1"/>
      <w:bCs w:val="1"/>
      <w:sz w:val="27"/>
      <w:szCs w:val="27"/>
      <w:lang w:eastAsia="es-MX"/>
    </w:rPr>
  </w:style>
  <w:style w:type="character" w:styleId="titulorubro" w:customStyle="1">
    <w:name w:val="titulorubro"/>
    <w:basedOn w:val="Fuentedeprrafopredeter"/>
    <w:rsid w:val="002D2EAC"/>
  </w:style>
  <w:style w:type="paragraph" w:styleId="Textoindependiente">
    <w:name w:val="Body Text"/>
    <w:basedOn w:val="Normal"/>
    <w:link w:val="TextoindependienteCar"/>
    <w:uiPriority w:val="1"/>
    <w:qFormat w:val="1"/>
    <w:rsid w:val="006F3C93"/>
    <w:pPr>
      <w:autoSpaceDE w:val="0"/>
      <w:autoSpaceDN w:val="0"/>
      <w:adjustRightInd w:val="0"/>
      <w:ind w:left="93"/>
    </w:pPr>
    <w:rPr>
      <w:rFonts w:eastAsiaTheme="minorHAnsi"/>
      <w:sz w:val="23"/>
      <w:szCs w:val="23"/>
      <w:lang w:eastAsia="en-US" w:val="es-MX"/>
    </w:rPr>
  </w:style>
  <w:style w:type="character" w:styleId="TextoindependienteCar" w:customStyle="1">
    <w:name w:val="Texto independiente Car"/>
    <w:basedOn w:val="Fuentedeprrafopredeter"/>
    <w:link w:val="Textoindependiente"/>
    <w:uiPriority w:val="1"/>
    <w:rsid w:val="006F3C93"/>
    <w:rPr>
      <w:rFonts w:ascii="Times New Roman" w:cs="Times New Roman" w:hAnsi="Times New Roman"/>
      <w:sz w:val="23"/>
      <w:szCs w:val="23"/>
    </w:rPr>
  </w:style>
  <w:style w:type="paragraph" w:styleId="Textodeglobo">
    <w:name w:val="Balloon Text"/>
    <w:basedOn w:val="Normal"/>
    <w:link w:val="TextodegloboCar"/>
    <w:uiPriority w:val="99"/>
    <w:semiHidden w:val="1"/>
    <w:unhideWhenUsed w:val="1"/>
    <w:rsid w:val="00A037B6"/>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A037B6"/>
    <w:rPr>
      <w:rFonts w:ascii="Segoe UI" w:cs="Segoe UI" w:eastAsia="Times New Roman" w:hAnsi="Segoe UI"/>
      <w:sz w:val="18"/>
      <w:szCs w:val="18"/>
      <w:lang w:eastAsia="es-ES" w:val="es-ES"/>
    </w:rPr>
  </w:style>
  <w:style w:type="paragraph" w:styleId="Pa1" w:customStyle="1">
    <w:name w:val="Pa1"/>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2" w:customStyle="1">
    <w:name w:val="Pa2"/>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3" w:customStyle="1">
    <w:name w:val="Pa3"/>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Sinespaciado">
    <w:name w:val="No Spacing"/>
    <w:aliases w:val="Francesa,INAI"/>
    <w:link w:val="SinespaciadoCar"/>
    <w:uiPriority w:val="1"/>
    <w:qFormat w:val="1"/>
    <w:rsid w:val="00CE2CFE"/>
  </w:style>
  <w:style w:type="character" w:styleId="SinespaciadoCar" w:customStyle="1">
    <w:name w:val="Sin espaciado Car"/>
    <w:aliases w:val="Francesa Car,INAI Car"/>
    <w:link w:val="Sinespaciado"/>
    <w:uiPriority w:val="1"/>
    <w:locked w:val="1"/>
    <w:rsid w:val="00CE2CFE"/>
  </w:style>
  <w:style w:type="table" w:styleId="Tabladelista1clara-nfasis1">
    <w:name w:val="List Table 1 Light Accent 1"/>
    <w:basedOn w:val="Tablanormal"/>
    <w:uiPriority w:val="46"/>
    <w:rsid w:val="00D30935"/>
    <w:rPr>
      <w:rFonts w:eastAsiaTheme="minorEastAsia"/>
      <w:lang w:eastAsia="es-ES" w:val="es-ES_tradnl"/>
    </w:rPr>
    <w:tblPr>
      <w:tblStyleRowBandSize w:val="1"/>
      <w:tblStyleColBandSize w:val="1"/>
    </w:tblPr>
    <w:tblStylePr w:type="firstRow">
      <w:rPr>
        <w:b w:val="1"/>
        <w:bCs w:val="1"/>
      </w:rPr>
      <w:tblPr/>
      <w:tcPr>
        <w:tcBorders>
          <w:bottom w:color="9cc2e5" w:space="0" w:sz="4" w:themeColor="accent1" w:themeTint="000099" w:val="single"/>
        </w:tcBorders>
      </w:tcPr>
    </w:tblStylePr>
    <w:tblStylePr w:type="lastRow">
      <w:rPr>
        <w:b w:val="1"/>
        <w:bCs w:val="1"/>
      </w:rPr>
      <w:tblPr/>
      <w:tcPr>
        <w:tcBorders>
          <w:top w:color="9cc2e5"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table" w:styleId="a" w:customStyle="1">
    <w:basedOn w:val="TableNormal4"/>
    <w:tblPr>
      <w:tblStyleRowBandSize w:val="1"/>
      <w:tblStyleColBandSize w:val="1"/>
      <w:tblCellMar>
        <w:left w:w="108.0" w:type="dxa"/>
        <w:right w:w="108.0" w:type="dxa"/>
      </w:tblCellMar>
    </w:tblPr>
  </w:style>
  <w:style w:type="table" w:styleId="a0" w:customStyle="1">
    <w:basedOn w:val="TableNormal4"/>
    <w:tblPr>
      <w:tblStyleRowBandSize w:val="1"/>
      <w:tblStyleColBandSize w:val="1"/>
      <w:tblCellMar>
        <w:left w:w="115.0" w:type="dxa"/>
        <w:right w:w="115.0" w:type="dxa"/>
      </w:tblCellMar>
    </w:tblPr>
  </w:style>
  <w:style w:type="table" w:styleId="a1" w:customStyle="1">
    <w:basedOn w:val="TableNormal4"/>
    <w:tblPr>
      <w:tblStyleRowBandSize w:val="1"/>
      <w:tblStyleColBandSize w:val="1"/>
      <w:tblCellMar>
        <w:left w:w="115.0" w:type="dxa"/>
        <w:right w:w="115.0" w:type="dxa"/>
      </w:tblCellMar>
    </w:tblPr>
  </w:style>
  <w:style w:type="character" w:styleId="Hipervnculovisitado">
    <w:name w:val="FollowedHyperlink"/>
    <w:basedOn w:val="Fuentedeprrafopredeter"/>
    <w:uiPriority w:val="99"/>
    <w:semiHidden w:val="1"/>
    <w:unhideWhenUsed w:val="1"/>
    <w:rsid w:val="00B93218"/>
    <w:rPr>
      <w:color w:val="954f72" w:themeColor="followedHyperlink"/>
      <w:u w:val="single"/>
    </w:rPr>
  </w:style>
  <w:style w:type="table" w:styleId="a2" w:customStyle="1">
    <w:basedOn w:val="TableNormal4"/>
    <w:tblPr>
      <w:tblStyleRowBandSize w:val="1"/>
      <w:tblStyleColBandSize w:val="1"/>
      <w:tblCellMar>
        <w:left w:w="108.0" w:type="dxa"/>
        <w:right w:w="108.0" w:type="dxa"/>
      </w:tblCellMar>
    </w:tblPr>
  </w:style>
  <w:style w:type="table" w:styleId="a3" w:customStyle="1">
    <w:basedOn w:val="TableNormal4"/>
    <w:tblPr>
      <w:tblStyleRowBandSize w:val="1"/>
      <w:tblStyleColBandSize w:val="1"/>
      <w:tblCellMar>
        <w:left w:w="108.0" w:type="dxa"/>
        <w:right w:w="108.0" w:type="dxa"/>
      </w:tblCellMar>
    </w:tblPr>
  </w:style>
  <w:style w:type="table" w:styleId="a4" w:customStyle="1">
    <w:basedOn w:val="TableNormal4"/>
    <w:tblPr>
      <w:tblStyleRowBandSize w:val="1"/>
      <w:tblStyleColBandSize w:val="1"/>
      <w:tblCellMar>
        <w:left w:w="108.0" w:type="dxa"/>
        <w:right w:w="108.0" w:type="dxa"/>
      </w:tblCellMar>
    </w:tblPr>
  </w:style>
  <w:style w:type="table" w:styleId="a5" w:customStyle="1">
    <w:basedOn w:val="TableNormal4"/>
    <w:tblPr>
      <w:tblStyleRowBandSize w:val="1"/>
      <w:tblStyleColBandSize w:val="1"/>
      <w:tblCellMar>
        <w:left w:w="108.0" w:type="dxa"/>
        <w:right w:w="108.0" w:type="dxa"/>
      </w:tblCellMar>
    </w:tblPr>
  </w:style>
  <w:style w:type="table" w:styleId="a6" w:customStyle="1">
    <w:basedOn w:val="TableNormal4"/>
    <w:tblPr>
      <w:tblStyleRowBandSize w:val="1"/>
      <w:tblStyleColBandSize w:val="1"/>
      <w:tblCellMar>
        <w:left w:w="108.0" w:type="dxa"/>
        <w:right w:w="108.0" w:type="dxa"/>
      </w:tblCellMar>
    </w:tblPr>
  </w:style>
  <w:style w:type="table" w:styleId="a7" w:customStyle="1">
    <w:basedOn w:val="TableNormal4"/>
    <w:tblPr>
      <w:tblStyleRowBandSize w:val="1"/>
      <w:tblStyleColBandSize w:val="1"/>
      <w:tblCellMar>
        <w:left w:w="108.0" w:type="dxa"/>
        <w:right w:w="108.0" w:type="dxa"/>
      </w:tblCellMar>
    </w:tblPr>
  </w:style>
  <w:style w:type="table" w:styleId="a8" w:customStyle="1">
    <w:basedOn w:val="TableNormal4"/>
    <w:tblPr>
      <w:tblStyleRowBandSize w:val="1"/>
      <w:tblStyleColBandSize w:val="1"/>
      <w:tblCellMar>
        <w:left w:w="108.0" w:type="dxa"/>
        <w:right w:w="108.0" w:type="dxa"/>
      </w:tblCellMar>
    </w:tblPr>
  </w:style>
  <w:style w:type="table" w:styleId="a9" w:customStyle="1">
    <w:basedOn w:val="TableNormal4"/>
    <w:tblPr>
      <w:tblStyleRowBandSize w:val="1"/>
      <w:tblStyleColBandSize w:val="1"/>
      <w:tblCellMar>
        <w:left w:w="115.0" w:type="dxa"/>
        <w:right w:w="115.0" w:type="dxa"/>
      </w:tblCellMar>
    </w:tblPr>
  </w:style>
  <w:style w:type="table" w:styleId="aa" w:customStyle="1">
    <w:basedOn w:val="TableNormal4"/>
    <w:tblPr>
      <w:tblStyleRowBandSize w:val="1"/>
      <w:tblStyleColBandSize w:val="1"/>
      <w:tblCellMar>
        <w:left w:w="115.0" w:type="dxa"/>
        <w:right w:w="115.0" w:type="dxa"/>
      </w:tblCellMar>
    </w:tblPr>
  </w:style>
  <w:style w:type="table" w:styleId="ab" w:customStyle="1">
    <w:basedOn w:val="TableNormal4"/>
    <w:tblPr>
      <w:tblStyleRowBandSize w:val="1"/>
      <w:tblStyleColBandSize w:val="1"/>
      <w:tblCellMar>
        <w:left w:w="115.0" w:type="dxa"/>
        <w:right w:w="115.0" w:type="dxa"/>
      </w:tblCellMar>
    </w:tblPr>
  </w:style>
  <w:style w:type="table" w:styleId="ac" w:customStyle="1">
    <w:basedOn w:val="TableNormal3"/>
    <w:tblPr>
      <w:tblStyleRowBandSize w:val="1"/>
      <w:tblStyleColBandSize w:val="1"/>
      <w:tblCellMar>
        <w:left w:w="115.0" w:type="dxa"/>
        <w:right w:w="115.0" w:type="dxa"/>
      </w:tblCellMar>
    </w:tblPr>
  </w:style>
  <w:style w:type="table" w:styleId="ad" w:customStyle="1">
    <w:basedOn w:val="TableNormal3"/>
    <w:tblPr>
      <w:tblStyleRowBandSize w:val="1"/>
      <w:tblStyleColBandSize w:val="1"/>
      <w:tblCellMar>
        <w:left w:w="115.0" w:type="dxa"/>
        <w:right w:w="115.0" w:type="dxa"/>
      </w:tblCellMar>
    </w:tblPr>
  </w:style>
  <w:style w:type="table" w:styleId="ae" w:customStyle="1">
    <w:basedOn w:val="TableNormal3"/>
    <w:tblPr>
      <w:tblStyleRowBandSize w:val="1"/>
      <w:tblStyleColBandSize w:val="1"/>
      <w:tblCellMar>
        <w:left w:w="115.0" w:type="dxa"/>
        <w:right w:w="115.0" w:type="dxa"/>
      </w:tblCellMar>
    </w:tblPr>
  </w:style>
  <w:style w:type="character" w:styleId="Textoennegrita">
    <w:name w:val="Strong"/>
    <w:uiPriority w:val="22"/>
    <w:qFormat w:val="1"/>
    <w:rsid w:val="002B3D0A"/>
    <w:rPr>
      <w:b w:val="1"/>
      <w:bCs w:val="1"/>
    </w:rPr>
  </w:style>
  <w:style w:type="paragraph" w:styleId="Texto" w:customStyle="1">
    <w:name w:val="Texto"/>
    <w:basedOn w:val="Normal"/>
    <w:link w:val="TextoCar"/>
    <w:qFormat w:val="1"/>
    <w:rsid w:val="002B3D0A"/>
    <w:pPr>
      <w:spacing w:after="101" w:line="216" w:lineRule="exact"/>
      <w:ind w:firstLine="288"/>
      <w:jc w:val="both"/>
    </w:pPr>
    <w:rPr>
      <w:rFonts w:ascii="Arial" w:cs="Arial" w:hAnsi="Arial"/>
      <w:sz w:val="18"/>
      <w:szCs w:val="18"/>
      <w:lang w:val="es-MX"/>
    </w:rPr>
  </w:style>
  <w:style w:type="character" w:styleId="apple-style-span" w:customStyle="1">
    <w:name w:val="apple-style-span"/>
    <w:qFormat w:val="1"/>
    <w:rsid w:val="002B3D0A"/>
  </w:style>
  <w:style w:type="character" w:styleId="TextoCar" w:customStyle="1">
    <w:name w:val="Texto Car"/>
    <w:link w:val="Texto"/>
    <w:locked w:val="1"/>
    <w:rsid w:val="002B3D0A"/>
    <w:rPr>
      <w:rFonts w:ascii="Arial" w:cs="Arial" w:hAnsi="Arial"/>
      <w:sz w:val="18"/>
      <w:szCs w:val="18"/>
      <w:lang w:eastAsia="es-ES" w:val="es-MX"/>
    </w:rPr>
  </w:style>
  <w:style w:type="paragraph" w:styleId="Citas" w:customStyle="1">
    <w:name w:val="Citas"/>
    <w:basedOn w:val="Normal"/>
    <w:qFormat w:val="1"/>
    <w:rsid w:val="009D3D69"/>
    <w:pPr>
      <w:spacing w:after="160" w:before="240" w:line="360" w:lineRule="auto"/>
      <w:ind w:left="851" w:right="851"/>
      <w:jc w:val="both"/>
    </w:pPr>
    <w:rPr>
      <w:rFonts w:ascii="Palatino Linotype" w:cs="Arial" w:hAnsi="Palatino Linotype" w:eastAsiaTheme="minorHAnsi"/>
      <w:i w:val="1"/>
      <w:sz w:val="22"/>
      <w:szCs w:val="22"/>
      <w:lang w:eastAsia="en-US" w:val="es-MX"/>
    </w:rPr>
  </w:style>
  <w:style w:type="paragraph" w:styleId="Listaconvietas3">
    <w:name w:val="List Bullet 3"/>
    <w:basedOn w:val="Normal"/>
    <w:uiPriority w:val="99"/>
    <w:unhideWhenUsed w:val="1"/>
    <w:rsid w:val="009E0405"/>
    <w:pPr>
      <w:numPr>
        <w:numId w:val="4"/>
      </w:numPr>
      <w:contextualSpacing w:val="1"/>
    </w:pPr>
    <w:rPr>
      <w:lang w:eastAsia="es-MX" w:val="es-MX"/>
    </w:rPr>
  </w:style>
  <w:style w:type="paragraph" w:styleId="Listaconvietas">
    <w:name w:val="List Bullet"/>
    <w:basedOn w:val="Normal"/>
    <w:uiPriority w:val="99"/>
    <w:unhideWhenUsed w:val="1"/>
    <w:rsid w:val="00E6231A"/>
    <w:pPr>
      <w:tabs>
        <w:tab w:val="num" w:pos="720"/>
      </w:tabs>
      <w:ind w:left="720" w:hanging="720"/>
      <w:contextualSpacing w:val="1"/>
    </w:pPr>
    <w:rPr>
      <w:lang w:eastAsia="es-MX" w:val="es-MX"/>
    </w:rPr>
  </w:style>
  <w:style w:type="character" w:styleId="Mencinsinresolver1" w:customStyle="1">
    <w:name w:val="Mención sin resolver1"/>
    <w:basedOn w:val="Fuentedeprrafopredeter"/>
    <w:uiPriority w:val="99"/>
    <w:semiHidden w:val="1"/>
    <w:unhideWhenUsed w:val="1"/>
    <w:rsid w:val="00582A33"/>
    <w:rPr>
      <w:color w:val="605e5c"/>
      <w:shd w:color="auto" w:fill="e1dfdd" w:val="clear"/>
    </w:rPr>
  </w:style>
  <w:style w:type="table" w:styleId="af" w:customStyle="1">
    <w:basedOn w:val="TableNormal2"/>
    <w:tblPr>
      <w:tblStyleRowBandSize w:val="1"/>
      <w:tblStyleColBandSize w:val="1"/>
      <w:tblCellMar>
        <w:left w:w="115.0" w:type="dxa"/>
        <w:right w:w="115.0" w:type="dxa"/>
      </w:tblCellMar>
    </w:tblPr>
  </w:style>
  <w:style w:type="table" w:styleId="af0" w:customStyle="1">
    <w:basedOn w:val="TableNormal2"/>
    <w:tblPr>
      <w:tblStyleRowBandSize w:val="1"/>
      <w:tblStyleColBandSize w:val="1"/>
      <w:tblCellMar>
        <w:left w:w="115.0" w:type="dxa"/>
        <w:right w:w="115.0" w:type="dxa"/>
      </w:tblCellMar>
    </w:tblPr>
  </w:style>
  <w:style w:type="character" w:styleId="Mencinsinresolver2" w:customStyle="1">
    <w:name w:val="Mención sin resolver2"/>
    <w:basedOn w:val="Fuentedeprrafopredeter"/>
    <w:uiPriority w:val="99"/>
    <w:semiHidden w:val="1"/>
    <w:unhideWhenUsed w:val="1"/>
    <w:rsid w:val="00836A8D"/>
    <w:rPr>
      <w:color w:val="605e5c"/>
      <w:shd w:color="auto" w:fill="e1dfdd" w:val="clear"/>
    </w:rPr>
  </w:style>
  <w:style w:type="table" w:styleId="af1" w:customStyle="1">
    <w:basedOn w:val="TableNormal1"/>
    <w:tblPr>
      <w:tblStyleRowBandSize w:val="1"/>
      <w:tblStyleColBandSize w:val="1"/>
      <w:tblCellMar>
        <w:left w:w="115.0" w:type="dxa"/>
        <w:right w:w="115.0" w:type="dxa"/>
      </w:tblCellMar>
    </w:tblPr>
  </w:style>
  <w:style w:type="table" w:styleId="af2" w:customStyle="1">
    <w:basedOn w:val="TableNormal1"/>
    <w:tblPr>
      <w:tblStyleRowBandSize w:val="1"/>
      <w:tblStyleColBandSize w:val="1"/>
      <w:tblCellMar>
        <w:left w:w="115.0" w:type="dxa"/>
        <w:right w:w="115.0" w:type="dxa"/>
      </w:tblCellMar>
    </w:tblPr>
  </w:style>
  <w:style w:type="table" w:styleId="af3" w:customStyle="1">
    <w:basedOn w:val="TableNormal0"/>
    <w:tblPr>
      <w:tblStyleRowBandSize w:val="1"/>
      <w:tblStyleColBandSize w:val="1"/>
      <w:tblCellMar>
        <w:left w:w="115.0" w:type="dxa"/>
        <w:right w:w="115.0" w:type="dxa"/>
      </w:tblCellMar>
    </w:tblPr>
  </w:style>
  <w:style w:type="table" w:styleId="af4"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3.pn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5" Type="http://schemas.openxmlformats.org/officeDocument/2006/relationships/header" Target="header3.xml"/><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hVb4ZiRXeb7/8+3rX1Z30xw2Rw==">CgMxLjAyCWguM3pueXNoNzIIaC5namRneHMyCWguMzBqMHpsbDIJaC4yZXQ5MnAwMgloLjNkeTZ2a204AHIhMXJ4Z1B1S1ZDcU9rWDMyc1Zvb0ttcjVuVTQzZGZrTzhG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2025-09-04T21:25:00Z</dcterms:created>
  <dc:creator>USER</dc:creator>
</cp:coreProperties>
</file>