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89D5" w14:textId="77777777" w:rsidR="00E50A2D" w:rsidRDefault="00E50A2D">
      <w:pPr>
        <w:widowControl w:val="0"/>
        <w:pBdr>
          <w:top w:val="nil"/>
          <w:left w:val="nil"/>
          <w:bottom w:val="nil"/>
          <w:right w:val="nil"/>
          <w:between w:val="nil"/>
        </w:pBdr>
        <w:spacing w:after="0" w:line="276" w:lineRule="auto"/>
        <w:jc w:val="left"/>
      </w:pPr>
    </w:p>
    <w:p w14:paraId="48A36FD8" w14:textId="77777777" w:rsidR="00E50A2D" w:rsidRDefault="00E50A2D">
      <w:pPr>
        <w:widowControl w:val="0"/>
        <w:pBdr>
          <w:top w:val="nil"/>
          <w:left w:val="nil"/>
          <w:bottom w:val="nil"/>
          <w:right w:val="nil"/>
          <w:between w:val="nil"/>
        </w:pBdr>
        <w:spacing w:after="0" w:line="360" w:lineRule="auto"/>
        <w:jc w:val="left"/>
      </w:pPr>
    </w:p>
    <w:p w14:paraId="4106858A" w14:textId="77777777" w:rsidR="00E50A2D" w:rsidRDefault="00E50A2D">
      <w:pPr>
        <w:widowControl w:val="0"/>
        <w:pBdr>
          <w:top w:val="nil"/>
          <w:left w:val="nil"/>
          <w:bottom w:val="nil"/>
          <w:right w:val="nil"/>
          <w:between w:val="nil"/>
        </w:pBdr>
        <w:spacing w:after="0" w:line="360" w:lineRule="auto"/>
        <w:jc w:val="left"/>
      </w:pPr>
    </w:p>
    <w:sdt>
      <w:sdtPr>
        <w:rPr>
          <w:rFonts w:ascii="Palatino Linotype" w:eastAsia="Palatino Linotype" w:hAnsi="Palatino Linotype" w:cs="Palatino Linotype"/>
          <w:color w:val="auto"/>
          <w:sz w:val="22"/>
          <w:szCs w:val="22"/>
          <w:lang w:val="es-ES"/>
        </w:rPr>
        <w:id w:val="2089416915"/>
        <w:docPartObj>
          <w:docPartGallery w:val="Table of Contents"/>
          <w:docPartUnique/>
        </w:docPartObj>
      </w:sdtPr>
      <w:sdtEndPr>
        <w:rPr>
          <w:b/>
          <w:bCs/>
        </w:rPr>
      </w:sdtEndPr>
      <w:sdtContent>
        <w:p w14:paraId="58D9251A" w14:textId="4275DA51" w:rsidR="00AF13C1" w:rsidRDefault="00AF13C1">
          <w:pPr>
            <w:pStyle w:val="TtuloTDC"/>
          </w:pPr>
          <w:r>
            <w:rPr>
              <w:lang w:val="es-ES"/>
            </w:rPr>
            <w:t>Tabla de contenido</w:t>
          </w:r>
        </w:p>
        <w:p w14:paraId="60F1D931" w14:textId="4AD83EC2" w:rsidR="003E3016" w:rsidRDefault="00AF13C1">
          <w:pPr>
            <w:pStyle w:val="TDC1"/>
            <w:tabs>
              <w:tab w:val="right" w:leader="dot" w:pos="9204"/>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05476574" w:history="1">
            <w:r w:rsidR="003E3016" w:rsidRPr="00D10257">
              <w:rPr>
                <w:rStyle w:val="Hipervnculo"/>
                <w:noProof/>
              </w:rPr>
              <w:t>A N T E C E D E N T E S</w:t>
            </w:r>
            <w:r w:rsidR="003E3016">
              <w:rPr>
                <w:noProof/>
                <w:webHidden/>
              </w:rPr>
              <w:tab/>
            </w:r>
            <w:r w:rsidR="003E3016">
              <w:rPr>
                <w:noProof/>
                <w:webHidden/>
              </w:rPr>
              <w:fldChar w:fldCharType="begin"/>
            </w:r>
            <w:r w:rsidR="003E3016">
              <w:rPr>
                <w:noProof/>
                <w:webHidden/>
              </w:rPr>
              <w:instrText xml:space="preserve"> PAGEREF _Toc205476574 \h </w:instrText>
            </w:r>
            <w:r w:rsidR="003E3016">
              <w:rPr>
                <w:noProof/>
                <w:webHidden/>
              </w:rPr>
            </w:r>
            <w:r w:rsidR="003E3016">
              <w:rPr>
                <w:noProof/>
                <w:webHidden/>
              </w:rPr>
              <w:fldChar w:fldCharType="separate"/>
            </w:r>
            <w:r w:rsidR="00040F2D">
              <w:rPr>
                <w:noProof/>
                <w:webHidden/>
              </w:rPr>
              <w:t>2</w:t>
            </w:r>
            <w:r w:rsidR="003E3016">
              <w:rPr>
                <w:noProof/>
                <w:webHidden/>
              </w:rPr>
              <w:fldChar w:fldCharType="end"/>
            </w:r>
          </w:hyperlink>
        </w:p>
        <w:p w14:paraId="39261208" w14:textId="4B1F4A1A" w:rsidR="003E3016" w:rsidRDefault="003E3016">
          <w:pPr>
            <w:pStyle w:val="TDC2"/>
            <w:tabs>
              <w:tab w:val="right" w:leader="dot" w:pos="9204"/>
            </w:tabs>
            <w:rPr>
              <w:rFonts w:asciiTheme="minorHAnsi" w:eastAsiaTheme="minorEastAsia" w:hAnsiTheme="minorHAnsi" w:cstheme="minorBidi"/>
              <w:noProof/>
            </w:rPr>
          </w:pPr>
          <w:hyperlink w:anchor="_Toc205476575" w:history="1">
            <w:r w:rsidRPr="00D10257">
              <w:rPr>
                <w:rStyle w:val="Hipervnculo"/>
                <w:noProof/>
              </w:rPr>
              <w:t>I. Presentación de la solicitud de información</w:t>
            </w:r>
            <w:r>
              <w:rPr>
                <w:noProof/>
                <w:webHidden/>
              </w:rPr>
              <w:tab/>
            </w:r>
            <w:r>
              <w:rPr>
                <w:noProof/>
                <w:webHidden/>
              </w:rPr>
              <w:fldChar w:fldCharType="begin"/>
            </w:r>
            <w:r>
              <w:rPr>
                <w:noProof/>
                <w:webHidden/>
              </w:rPr>
              <w:instrText xml:space="preserve"> PAGEREF _Toc205476575 \h </w:instrText>
            </w:r>
            <w:r>
              <w:rPr>
                <w:noProof/>
                <w:webHidden/>
              </w:rPr>
            </w:r>
            <w:r>
              <w:rPr>
                <w:noProof/>
                <w:webHidden/>
              </w:rPr>
              <w:fldChar w:fldCharType="separate"/>
            </w:r>
            <w:r w:rsidR="00040F2D">
              <w:rPr>
                <w:noProof/>
                <w:webHidden/>
              </w:rPr>
              <w:t>2</w:t>
            </w:r>
            <w:r>
              <w:rPr>
                <w:noProof/>
                <w:webHidden/>
              </w:rPr>
              <w:fldChar w:fldCharType="end"/>
            </w:r>
          </w:hyperlink>
        </w:p>
        <w:p w14:paraId="048E7F99" w14:textId="358F7827" w:rsidR="003E3016" w:rsidRDefault="003E3016">
          <w:pPr>
            <w:pStyle w:val="TDC2"/>
            <w:tabs>
              <w:tab w:val="right" w:leader="dot" w:pos="9204"/>
            </w:tabs>
            <w:rPr>
              <w:rFonts w:asciiTheme="minorHAnsi" w:eastAsiaTheme="minorEastAsia" w:hAnsiTheme="minorHAnsi" w:cstheme="minorBidi"/>
              <w:noProof/>
            </w:rPr>
          </w:pPr>
          <w:hyperlink w:anchor="_Toc205476576" w:history="1">
            <w:r w:rsidRPr="00D10257">
              <w:rPr>
                <w:rStyle w:val="Hipervnculo"/>
                <w:noProof/>
              </w:rPr>
              <w:t>II. Respuesta del Sujeto Obligado</w:t>
            </w:r>
            <w:r>
              <w:rPr>
                <w:noProof/>
                <w:webHidden/>
              </w:rPr>
              <w:tab/>
            </w:r>
            <w:r>
              <w:rPr>
                <w:noProof/>
                <w:webHidden/>
              </w:rPr>
              <w:fldChar w:fldCharType="begin"/>
            </w:r>
            <w:r>
              <w:rPr>
                <w:noProof/>
                <w:webHidden/>
              </w:rPr>
              <w:instrText xml:space="preserve"> PAGEREF _Toc205476576 \h </w:instrText>
            </w:r>
            <w:r>
              <w:rPr>
                <w:noProof/>
                <w:webHidden/>
              </w:rPr>
            </w:r>
            <w:r>
              <w:rPr>
                <w:noProof/>
                <w:webHidden/>
              </w:rPr>
              <w:fldChar w:fldCharType="separate"/>
            </w:r>
            <w:r w:rsidR="00040F2D">
              <w:rPr>
                <w:noProof/>
                <w:webHidden/>
              </w:rPr>
              <w:t>3</w:t>
            </w:r>
            <w:r>
              <w:rPr>
                <w:noProof/>
                <w:webHidden/>
              </w:rPr>
              <w:fldChar w:fldCharType="end"/>
            </w:r>
          </w:hyperlink>
        </w:p>
        <w:p w14:paraId="69C1B705" w14:textId="36E5F2E5" w:rsidR="003E3016" w:rsidRDefault="003E3016">
          <w:pPr>
            <w:pStyle w:val="TDC2"/>
            <w:tabs>
              <w:tab w:val="right" w:leader="dot" w:pos="9204"/>
            </w:tabs>
            <w:rPr>
              <w:rFonts w:asciiTheme="minorHAnsi" w:eastAsiaTheme="minorEastAsia" w:hAnsiTheme="minorHAnsi" w:cstheme="minorBidi"/>
              <w:noProof/>
            </w:rPr>
          </w:pPr>
          <w:hyperlink w:anchor="_Toc205476577" w:history="1">
            <w:r w:rsidRPr="00D10257">
              <w:rPr>
                <w:rStyle w:val="Hipervnculo"/>
                <w:noProof/>
              </w:rPr>
              <w:t>III. Interposición del Recurso de Revisión</w:t>
            </w:r>
            <w:r>
              <w:rPr>
                <w:noProof/>
                <w:webHidden/>
              </w:rPr>
              <w:tab/>
            </w:r>
            <w:r>
              <w:rPr>
                <w:noProof/>
                <w:webHidden/>
              </w:rPr>
              <w:fldChar w:fldCharType="begin"/>
            </w:r>
            <w:r>
              <w:rPr>
                <w:noProof/>
                <w:webHidden/>
              </w:rPr>
              <w:instrText xml:space="preserve"> PAGEREF _Toc205476577 \h </w:instrText>
            </w:r>
            <w:r>
              <w:rPr>
                <w:noProof/>
                <w:webHidden/>
              </w:rPr>
            </w:r>
            <w:r>
              <w:rPr>
                <w:noProof/>
                <w:webHidden/>
              </w:rPr>
              <w:fldChar w:fldCharType="separate"/>
            </w:r>
            <w:r w:rsidR="00040F2D">
              <w:rPr>
                <w:noProof/>
                <w:webHidden/>
              </w:rPr>
              <w:t>5</w:t>
            </w:r>
            <w:r>
              <w:rPr>
                <w:noProof/>
                <w:webHidden/>
              </w:rPr>
              <w:fldChar w:fldCharType="end"/>
            </w:r>
          </w:hyperlink>
        </w:p>
        <w:p w14:paraId="47971BA0" w14:textId="640A70A4" w:rsidR="003E3016" w:rsidRDefault="003E3016">
          <w:pPr>
            <w:pStyle w:val="TDC2"/>
            <w:tabs>
              <w:tab w:val="right" w:leader="dot" w:pos="9204"/>
            </w:tabs>
            <w:rPr>
              <w:rFonts w:asciiTheme="minorHAnsi" w:eastAsiaTheme="minorEastAsia" w:hAnsiTheme="minorHAnsi" w:cstheme="minorBidi"/>
              <w:noProof/>
            </w:rPr>
          </w:pPr>
          <w:hyperlink w:anchor="_Toc205476578" w:history="1">
            <w:r w:rsidRPr="00D10257">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_Toc205476578 \h </w:instrText>
            </w:r>
            <w:r>
              <w:rPr>
                <w:noProof/>
                <w:webHidden/>
              </w:rPr>
            </w:r>
            <w:r>
              <w:rPr>
                <w:noProof/>
                <w:webHidden/>
              </w:rPr>
              <w:fldChar w:fldCharType="separate"/>
            </w:r>
            <w:r w:rsidR="00040F2D">
              <w:rPr>
                <w:noProof/>
                <w:webHidden/>
              </w:rPr>
              <w:t>6</w:t>
            </w:r>
            <w:r>
              <w:rPr>
                <w:noProof/>
                <w:webHidden/>
              </w:rPr>
              <w:fldChar w:fldCharType="end"/>
            </w:r>
          </w:hyperlink>
        </w:p>
        <w:p w14:paraId="0B0B96AE" w14:textId="5B23913C" w:rsidR="003E3016" w:rsidRDefault="003E3016">
          <w:pPr>
            <w:pStyle w:val="TDC1"/>
            <w:tabs>
              <w:tab w:val="right" w:leader="dot" w:pos="9204"/>
            </w:tabs>
            <w:rPr>
              <w:rFonts w:asciiTheme="minorHAnsi" w:eastAsiaTheme="minorEastAsia" w:hAnsiTheme="minorHAnsi" w:cstheme="minorBidi"/>
              <w:noProof/>
            </w:rPr>
          </w:pPr>
          <w:hyperlink w:anchor="_Toc205476579" w:history="1">
            <w:r w:rsidRPr="00D10257">
              <w:rPr>
                <w:rStyle w:val="Hipervnculo"/>
                <w:noProof/>
              </w:rPr>
              <w:t>C O N S I D E R A N D O S</w:t>
            </w:r>
            <w:r>
              <w:rPr>
                <w:noProof/>
                <w:webHidden/>
              </w:rPr>
              <w:tab/>
            </w:r>
            <w:r>
              <w:rPr>
                <w:noProof/>
                <w:webHidden/>
              </w:rPr>
              <w:fldChar w:fldCharType="begin"/>
            </w:r>
            <w:r>
              <w:rPr>
                <w:noProof/>
                <w:webHidden/>
              </w:rPr>
              <w:instrText xml:space="preserve"> PAGEREF _Toc205476579 \h </w:instrText>
            </w:r>
            <w:r>
              <w:rPr>
                <w:noProof/>
                <w:webHidden/>
              </w:rPr>
            </w:r>
            <w:r>
              <w:rPr>
                <w:noProof/>
                <w:webHidden/>
              </w:rPr>
              <w:fldChar w:fldCharType="separate"/>
            </w:r>
            <w:r w:rsidR="00040F2D">
              <w:rPr>
                <w:noProof/>
                <w:webHidden/>
              </w:rPr>
              <w:t>10</w:t>
            </w:r>
            <w:r>
              <w:rPr>
                <w:noProof/>
                <w:webHidden/>
              </w:rPr>
              <w:fldChar w:fldCharType="end"/>
            </w:r>
          </w:hyperlink>
        </w:p>
        <w:p w14:paraId="56A0449C" w14:textId="31232570" w:rsidR="003E3016" w:rsidRDefault="003E3016">
          <w:pPr>
            <w:pStyle w:val="TDC2"/>
            <w:tabs>
              <w:tab w:val="right" w:leader="dot" w:pos="9204"/>
            </w:tabs>
            <w:rPr>
              <w:rFonts w:asciiTheme="minorHAnsi" w:eastAsiaTheme="minorEastAsia" w:hAnsiTheme="minorHAnsi" w:cstheme="minorBidi"/>
              <w:noProof/>
            </w:rPr>
          </w:pPr>
          <w:hyperlink w:anchor="_Toc205476580" w:history="1">
            <w:r w:rsidRPr="00D10257">
              <w:rPr>
                <w:rStyle w:val="Hipervnculo"/>
                <w:noProof/>
              </w:rPr>
              <w:t>PRIMERO. Competencia</w:t>
            </w:r>
            <w:r>
              <w:rPr>
                <w:noProof/>
                <w:webHidden/>
              </w:rPr>
              <w:tab/>
            </w:r>
            <w:r>
              <w:rPr>
                <w:noProof/>
                <w:webHidden/>
              </w:rPr>
              <w:fldChar w:fldCharType="begin"/>
            </w:r>
            <w:r>
              <w:rPr>
                <w:noProof/>
                <w:webHidden/>
              </w:rPr>
              <w:instrText xml:space="preserve"> PAGEREF _Toc205476580 \h </w:instrText>
            </w:r>
            <w:r>
              <w:rPr>
                <w:noProof/>
                <w:webHidden/>
              </w:rPr>
            </w:r>
            <w:r>
              <w:rPr>
                <w:noProof/>
                <w:webHidden/>
              </w:rPr>
              <w:fldChar w:fldCharType="separate"/>
            </w:r>
            <w:r w:rsidR="00040F2D">
              <w:rPr>
                <w:noProof/>
                <w:webHidden/>
              </w:rPr>
              <w:t>10</w:t>
            </w:r>
            <w:r>
              <w:rPr>
                <w:noProof/>
                <w:webHidden/>
              </w:rPr>
              <w:fldChar w:fldCharType="end"/>
            </w:r>
          </w:hyperlink>
        </w:p>
        <w:p w14:paraId="5D7505BD" w14:textId="7BD17F9C" w:rsidR="003E3016" w:rsidRDefault="003E3016">
          <w:pPr>
            <w:pStyle w:val="TDC2"/>
            <w:tabs>
              <w:tab w:val="right" w:leader="dot" w:pos="9204"/>
            </w:tabs>
            <w:rPr>
              <w:rFonts w:asciiTheme="minorHAnsi" w:eastAsiaTheme="minorEastAsia" w:hAnsiTheme="minorHAnsi" w:cstheme="minorBidi"/>
              <w:noProof/>
            </w:rPr>
          </w:pPr>
          <w:hyperlink w:anchor="_Toc205476581" w:history="1">
            <w:r w:rsidRPr="00D10257">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_Toc205476581 \h </w:instrText>
            </w:r>
            <w:r>
              <w:rPr>
                <w:noProof/>
                <w:webHidden/>
              </w:rPr>
            </w:r>
            <w:r>
              <w:rPr>
                <w:noProof/>
                <w:webHidden/>
              </w:rPr>
              <w:fldChar w:fldCharType="separate"/>
            </w:r>
            <w:r w:rsidR="00040F2D">
              <w:rPr>
                <w:noProof/>
                <w:webHidden/>
              </w:rPr>
              <w:t>11</w:t>
            </w:r>
            <w:r>
              <w:rPr>
                <w:noProof/>
                <w:webHidden/>
              </w:rPr>
              <w:fldChar w:fldCharType="end"/>
            </w:r>
          </w:hyperlink>
        </w:p>
        <w:p w14:paraId="6D6A012B" w14:textId="002742A9" w:rsidR="003E3016" w:rsidRDefault="003E3016">
          <w:pPr>
            <w:pStyle w:val="TDC2"/>
            <w:tabs>
              <w:tab w:val="right" w:leader="dot" w:pos="9204"/>
            </w:tabs>
            <w:rPr>
              <w:rFonts w:asciiTheme="minorHAnsi" w:eastAsiaTheme="minorEastAsia" w:hAnsiTheme="minorHAnsi" w:cstheme="minorBidi"/>
              <w:noProof/>
            </w:rPr>
          </w:pPr>
          <w:hyperlink w:anchor="_Toc205476582" w:history="1">
            <w:r w:rsidRPr="00D10257">
              <w:rPr>
                <w:rStyle w:val="Hipervnculo"/>
                <w:noProof/>
              </w:rPr>
              <w:t>TERCERO. Determinación de la Controversia</w:t>
            </w:r>
            <w:r>
              <w:rPr>
                <w:noProof/>
                <w:webHidden/>
              </w:rPr>
              <w:tab/>
            </w:r>
            <w:r>
              <w:rPr>
                <w:noProof/>
                <w:webHidden/>
              </w:rPr>
              <w:fldChar w:fldCharType="begin"/>
            </w:r>
            <w:r>
              <w:rPr>
                <w:noProof/>
                <w:webHidden/>
              </w:rPr>
              <w:instrText xml:space="preserve"> PAGEREF _Toc205476582 \h </w:instrText>
            </w:r>
            <w:r>
              <w:rPr>
                <w:noProof/>
                <w:webHidden/>
              </w:rPr>
            </w:r>
            <w:r>
              <w:rPr>
                <w:noProof/>
                <w:webHidden/>
              </w:rPr>
              <w:fldChar w:fldCharType="separate"/>
            </w:r>
            <w:r w:rsidR="00040F2D">
              <w:rPr>
                <w:noProof/>
                <w:webHidden/>
              </w:rPr>
              <w:t>12</w:t>
            </w:r>
            <w:r>
              <w:rPr>
                <w:noProof/>
                <w:webHidden/>
              </w:rPr>
              <w:fldChar w:fldCharType="end"/>
            </w:r>
          </w:hyperlink>
        </w:p>
        <w:p w14:paraId="16BBC2D6" w14:textId="76ED8B7B" w:rsidR="003E3016" w:rsidRDefault="003E3016">
          <w:pPr>
            <w:pStyle w:val="TDC2"/>
            <w:tabs>
              <w:tab w:val="right" w:leader="dot" w:pos="9204"/>
            </w:tabs>
            <w:rPr>
              <w:rFonts w:asciiTheme="minorHAnsi" w:eastAsiaTheme="minorEastAsia" w:hAnsiTheme="minorHAnsi" w:cstheme="minorBidi"/>
              <w:noProof/>
            </w:rPr>
          </w:pPr>
          <w:hyperlink w:anchor="_Toc205476583" w:history="1">
            <w:r w:rsidRPr="00D10257">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_Toc205476583 \h </w:instrText>
            </w:r>
            <w:r>
              <w:rPr>
                <w:noProof/>
                <w:webHidden/>
              </w:rPr>
            </w:r>
            <w:r>
              <w:rPr>
                <w:noProof/>
                <w:webHidden/>
              </w:rPr>
              <w:fldChar w:fldCharType="separate"/>
            </w:r>
            <w:r w:rsidR="00040F2D">
              <w:rPr>
                <w:noProof/>
                <w:webHidden/>
              </w:rPr>
              <w:t>16</w:t>
            </w:r>
            <w:r>
              <w:rPr>
                <w:noProof/>
                <w:webHidden/>
              </w:rPr>
              <w:fldChar w:fldCharType="end"/>
            </w:r>
          </w:hyperlink>
        </w:p>
        <w:p w14:paraId="3C2E5B18" w14:textId="1581EA0B" w:rsidR="003E3016" w:rsidRDefault="003E3016">
          <w:pPr>
            <w:pStyle w:val="TDC2"/>
            <w:tabs>
              <w:tab w:val="right" w:leader="dot" w:pos="9204"/>
            </w:tabs>
            <w:rPr>
              <w:rFonts w:asciiTheme="minorHAnsi" w:eastAsiaTheme="minorEastAsia" w:hAnsiTheme="minorHAnsi" w:cstheme="minorBidi"/>
              <w:noProof/>
            </w:rPr>
          </w:pPr>
          <w:hyperlink w:anchor="_Toc205476584" w:history="1">
            <w:r w:rsidRPr="00D10257">
              <w:rPr>
                <w:rStyle w:val="Hipervnculo"/>
                <w:smallCaps/>
                <w:noProof/>
              </w:rPr>
              <w:t>QUINTO.</w:t>
            </w:r>
            <w:r w:rsidRPr="00D10257">
              <w:rPr>
                <w:rStyle w:val="Hipervnculo"/>
                <w:noProof/>
              </w:rPr>
              <w:t xml:space="preserve"> Estudio de Fondo</w:t>
            </w:r>
            <w:r>
              <w:rPr>
                <w:noProof/>
                <w:webHidden/>
              </w:rPr>
              <w:tab/>
            </w:r>
            <w:r>
              <w:rPr>
                <w:noProof/>
                <w:webHidden/>
              </w:rPr>
              <w:fldChar w:fldCharType="begin"/>
            </w:r>
            <w:r>
              <w:rPr>
                <w:noProof/>
                <w:webHidden/>
              </w:rPr>
              <w:instrText xml:space="preserve"> PAGEREF _Toc205476584 \h </w:instrText>
            </w:r>
            <w:r>
              <w:rPr>
                <w:noProof/>
                <w:webHidden/>
              </w:rPr>
            </w:r>
            <w:r>
              <w:rPr>
                <w:noProof/>
                <w:webHidden/>
              </w:rPr>
              <w:fldChar w:fldCharType="separate"/>
            </w:r>
            <w:r w:rsidR="00040F2D">
              <w:rPr>
                <w:noProof/>
                <w:webHidden/>
              </w:rPr>
              <w:t>17</w:t>
            </w:r>
            <w:r>
              <w:rPr>
                <w:noProof/>
                <w:webHidden/>
              </w:rPr>
              <w:fldChar w:fldCharType="end"/>
            </w:r>
          </w:hyperlink>
        </w:p>
        <w:p w14:paraId="596968E8" w14:textId="72932B08" w:rsidR="003E3016" w:rsidRDefault="003E3016">
          <w:pPr>
            <w:pStyle w:val="TDC2"/>
            <w:tabs>
              <w:tab w:val="right" w:leader="dot" w:pos="9204"/>
            </w:tabs>
            <w:rPr>
              <w:rFonts w:asciiTheme="minorHAnsi" w:eastAsiaTheme="minorEastAsia" w:hAnsiTheme="minorHAnsi" w:cstheme="minorBidi"/>
              <w:noProof/>
            </w:rPr>
          </w:pPr>
          <w:hyperlink w:anchor="_Toc205476585" w:history="1">
            <w:r w:rsidRPr="00D10257">
              <w:rPr>
                <w:rStyle w:val="Hipervnculo"/>
                <w:noProof/>
              </w:rPr>
              <w:t>SEXTO. Decisión</w:t>
            </w:r>
            <w:r>
              <w:rPr>
                <w:noProof/>
                <w:webHidden/>
              </w:rPr>
              <w:tab/>
            </w:r>
            <w:r>
              <w:rPr>
                <w:noProof/>
                <w:webHidden/>
              </w:rPr>
              <w:fldChar w:fldCharType="begin"/>
            </w:r>
            <w:r>
              <w:rPr>
                <w:noProof/>
                <w:webHidden/>
              </w:rPr>
              <w:instrText xml:space="preserve"> PAGEREF _Toc205476585 \h </w:instrText>
            </w:r>
            <w:r>
              <w:rPr>
                <w:noProof/>
                <w:webHidden/>
              </w:rPr>
            </w:r>
            <w:r>
              <w:rPr>
                <w:noProof/>
                <w:webHidden/>
              </w:rPr>
              <w:fldChar w:fldCharType="separate"/>
            </w:r>
            <w:r w:rsidR="00040F2D">
              <w:rPr>
                <w:noProof/>
                <w:webHidden/>
              </w:rPr>
              <w:t>27</w:t>
            </w:r>
            <w:r>
              <w:rPr>
                <w:noProof/>
                <w:webHidden/>
              </w:rPr>
              <w:fldChar w:fldCharType="end"/>
            </w:r>
          </w:hyperlink>
        </w:p>
        <w:p w14:paraId="3BEA672B" w14:textId="3BEC2FC9" w:rsidR="003E3016" w:rsidRDefault="003E3016">
          <w:pPr>
            <w:pStyle w:val="TDC1"/>
            <w:tabs>
              <w:tab w:val="right" w:leader="dot" w:pos="9204"/>
            </w:tabs>
            <w:rPr>
              <w:rFonts w:asciiTheme="minorHAnsi" w:eastAsiaTheme="minorEastAsia" w:hAnsiTheme="minorHAnsi" w:cstheme="minorBidi"/>
              <w:noProof/>
            </w:rPr>
          </w:pPr>
          <w:hyperlink w:anchor="_Toc205476586" w:history="1">
            <w:r w:rsidRPr="00D10257">
              <w:rPr>
                <w:rStyle w:val="Hipervnculo"/>
                <w:noProof/>
              </w:rPr>
              <w:t>R E S U E L V E</w:t>
            </w:r>
            <w:r>
              <w:rPr>
                <w:noProof/>
                <w:webHidden/>
              </w:rPr>
              <w:tab/>
            </w:r>
            <w:r>
              <w:rPr>
                <w:noProof/>
                <w:webHidden/>
              </w:rPr>
              <w:fldChar w:fldCharType="begin"/>
            </w:r>
            <w:r>
              <w:rPr>
                <w:noProof/>
                <w:webHidden/>
              </w:rPr>
              <w:instrText xml:space="preserve"> PAGEREF _Toc205476586 \h </w:instrText>
            </w:r>
            <w:r>
              <w:rPr>
                <w:noProof/>
                <w:webHidden/>
              </w:rPr>
            </w:r>
            <w:r>
              <w:rPr>
                <w:noProof/>
                <w:webHidden/>
              </w:rPr>
              <w:fldChar w:fldCharType="separate"/>
            </w:r>
            <w:r w:rsidR="00040F2D">
              <w:rPr>
                <w:noProof/>
                <w:webHidden/>
              </w:rPr>
              <w:t>28</w:t>
            </w:r>
            <w:r>
              <w:rPr>
                <w:noProof/>
                <w:webHidden/>
              </w:rPr>
              <w:fldChar w:fldCharType="end"/>
            </w:r>
          </w:hyperlink>
        </w:p>
        <w:p w14:paraId="1D714B43" w14:textId="3E5AF500" w:rsidR="00AF13C1" w:rsidRDefault="00AF13C1">
          <w:r>
            <w:rPr>
              <w:b/>
              <w:bCs/>
              <w:lang w:val="es-ES"/>
            </w:rPr>
            <w:fldChar w:fldCharType="end"/>
          </w:r>
        </w:p>
      </w:sdtContent>
    </w:sdt>
    <w:p w14:paraId="210D8EA9" w14:textId="77777777" w:rsidR="00E50A2D" w:rsidRDefault="00E50A2D">
      <w:pPr>
        <w:widowControl w:val="0"/>
        <w:pBdr>
          <w:top w:val="nil"/>
          <w:left w:val="nil"/>
          <w:bottom w:val="nil"/>
          <w:right w:val="nil"/>
          <w:between w:val="nil"/>
        </w:pBdr>
        <w:spacing w:after="0" w:line="360" w:lineRule="auto"/>
        <w:jc w:val="left"/>
      </w:pPr>
    </w:p>
    <w:p w14:paraId="2026B9A5" w14:textId="77777777" w:rsidR="00E50A2D" w:rsidRDefault="00E50A2D">
      <w:pPr>
        <w:widowControl w:val="0"/>
        <w:pBdr>
          <w:top w:val="nil"/>
          <w:left w:val="nil"/>
          <w:bottom w:val="nil"/>
          <w:right w:val="nil"/>
          <w:between w:val="nil"/>
        </w:pBdr>
        <w:spacing w:after="0" w:line="360" w:lineRule="auto"/>
        <w:jc w:val="left"/>
      </w:pPr>
    </w:p>
    <w:p w14:paraId="08ACB707" w14:textId="77777777" w:rsidR="00E50A2D" w:rsidRDefault="008F0C97">
      <w:pPr>
        <w:pStyle w:val="Ttulo2"/>
        <w:spacing w:before="0" w:after="0"/>
      </w:pPr>
      <w:r>
        <w:br w:type="page"/>
      </w:r>
    </w:p>
    <w:p w14:paraId="64F630FA" w14:textId="77777777" w:rsidR="00E50A2D" w:rsidRDefault="00E50A2D">
      <w:pPr>
        <w:widowControl w:val="0"/>
        <w:pBdr>
          <w:top w:val="nil"/>
          <w:left w:val="nil"/>
          <w:bottom w:val="nil"/>
          <w:right w:val="nil"/>
          <w:between w:val="nil"/>
        </w:pBdr>
        <w:spacing w:after="0" w:line="360" w:lineRule="auto"/>
        <w:jc w:val="left"/>
      </w:pPr>
    </w:p>
    <w:p w14:paraId="53C1D1D1" w14:textId="77777777" w:rsidR="00E50A2D" w:rsidRDefault="008F0C97">
      <w:pPr>
        <w:spacing w:after="0" w:line="360" w:lineRule="auto"/>
      </w:pPr>
      <w:r>
        <w:t>Resolución del Pleno del Instituto de Transparencia, Acceso a la Información Pública y Protección de Datos Personales del Estado de México y Municipios, con domicilio en Metepec, Estado de México, de fecha seis de agosto de dos mil veinticinco.</w:t>
      </w:r>
    </w:p>
    <w:p w14:paraId="4D9B2773" w14:textId="77777777" w:rsidR="00E50A2D" w:rsidRDefault="00E50A2D">
      <w:pPr>
        <w:spacing w:after="0" w:line="360" w:lineRule="auto"/>
        <w:rPr>
          <w:b/>
        </w:rPr>
      </w:pPr>
    </w:p>
    <w:p w14:paraId="54454F87" w14:textId="77777777" w:rsidR="00E50A2D" w:rsidRDefault="008F0C97">
      <w:pPr>
        <w:spacing w:after="0" w:line="360" w:lineRule="auto"/>
      </w:pPr>
      <w:r>
        <w:rPr>
          <w:b/>
        </w:rPr>
        <w:t>VISTO</w:t>
      </w:r>
      <w:r>
        <w:t xml:space="preserve"> el expediente conformado con motivo del Recurso de Revisión </w:t>
      </w:r>
      <w:r>
        <w:rPr>
          <w:b/>
        </w:rPr>
        <w:t>04131/INFOEM/IP/RR/2025</w:t>
      </w:r>
      <w:r>
        <w:t xml:space="preserve">, interpuesto por la persona Recurrente o Particular, en contra de la respuesta del Sujeto Obligado, </w:t>
      </w:r>
      <w:r>
        <w:rPr>
          <w:b/>
        </w:rPr>
        <w:t>Comisión del Agua del Estado de México</w:t>
      </w:r>
      <w:r>
        <w:t>, se emite la presente Resolución, con base en los antecedentes y considerandos que se exponen a continuación:</w:t>
      </w:r>
    </w:p>
    <w:p w14:paraId="0208C557" w14:textId="77777777" w:rsidR="00E50A2D" w:rsidRDefault="00E50A2D">
      <w:pPr>
        <w:spacing w:after="0" w:line="360" w:lineRule="auto"/>
      </w:pPr>
    </w:p>
    <w:p w14:paraId="25873F2C" w14:textId="77777777" w:rsidR="00E50A2D" w:rsidRDefault="008F0C97">
      <w:pPr>
        <w:pStyle w:val="Ttulo1"/>
        <w:spacing w:before="0" w:after="0"/>
        <w:rPr>
          <w:sz w:val="22"/>
          <w:szCs w:val="22"/>
        </w:rPr>
      </w:pPr>
      <w:bookmarkStart w:id="0" w:name="_Toc205476574"/>
      <w:r>
        <w:rPr>
          <w:sz w:val="22"/>
          <w:szCs w:val="22"/>
        </w:rPr>
        <w:t>A N T E C E D E N T E S</w:t>
      </w:r>
      <w:bookmarkEnd w:id="0"/>
    </w:p>
    <w:p w14:paraId="508F470A" w14:textId="77777777" w:rsidR="00E50A2D" w:rsidRDefault="00E50A2D">
      <w:pPr>
        <w:spacing w:after="0" w:line="360" w:lineRule="auto"/>
      </w:pPr>
      <w:bookmarkStart w:id="1" w:name="_heading=h.gjdgxs" w:colFirst="0" w:colLast="0"/>
      <w:bookmarkEnd w:id="1"/>
    </w:p>
    <w:p w14:paraId="23A52320" w14:textId="77777777" w:rsidR="00E50A2D" w:rsidRDefault="008F0C97">
      <w:pPr>
        <w:pStyle w:val="Ttulo2"/>
        <w:spacing w:before="0" w:after="0"/>
      </w:pPr>
      <w:bookmarkStart w:id="2" w:name="_Toc205476575"/>
      <w:r>
        <w:t>I. Presentación de la solicitud de información</w:t>
      </w:r>
      <w:bookmarkEnd w:id="2"/>
    </w:p>
    <w:p w14:paraId="114149F6" w14:textId="77777777" w:rsidR="00E50A2D" w:rsidRDefault="00E50A2D">
      <w:pPr>
        <w:tabs>
          <w:tab w:val="left" w:pos="567"/>
        </w:tabs>
        <w:spacing w:after="0" w:line="360" w:lineRule="auto"/>
      </w:pPr>
    </w:p>
    <w:p w14:paraId="10BF12D9" w14:textId="77777777" w:rsidR="00E50A2D" w:rsidRDefault="008F0C97">
      <w:pPr>
        <w:spacing w:after="0" w:line="360" w:lineRule="auto"/>
      </w:pPr>
      <w:r>
        <w:t>Con fecha diez de marzo de dos mil veinticinco, la parte Solicitante presentó una solicitud de acceso a la información pública, a través del Sistema de Acceso a la Información Mexiquense, en lo sucesivo el SAIMEX, ante la Comisión del Agua del Estado de México, en la que requirió lo siguiente:</w:t>
      </w:r>
    </w:p>
    <w:p w14:paraId="0D42D651" w14:textId="77777777" w:rsidR="00E50A2D" w:rsidRDefault="00E50A2D">
      <w:pPr>
        <w:spacing w:after="0" w:line="360" w:lineRule="auto"/>
      </w:pPr>
    </w:p>
    <w:p w14:paraId="58249FD7" w14:textId="77777777" w:rsidR="00E50A2D" w:rsidRDefault="008F0C97">
      <w:pPr>
        <w:tabs>
          <w:tab w:val="left" w:pos="567"/>
        </w:tabs>
        <w:spacing w:after="0" w:line="360" w:lineRule="auto"/>
        <w:ind w:left="567" w:right="709"/>
        <w:rPr>
          <w:b/>
          <w:sz w:val="20"/>
          <w:szCs w:val="20"/>
        </w:rPr>
      </w:pPr>
      <w:r>
        <w:rPr>
          <w:b/>
          <w:sz w:val="20"/>
          <w:szCs w:val="20"/>
        </w:rPr>
        <w:t>Folio de la solicitud:  00133/CAEM/IP/2025</w:t>
      </w:r>
    </w:p>
    <w:p w14:paraId="1014E0B6" w14:textId="77777777" w:rsidR="00E50A2D" w:rsidRDefault="008F0C97">
      <w:pPr>
        <w:tabs>
          <w:tab w:val="left" w:pos="567"/>
        </w:tabs>
        <w:spacing w:after="0" w:line="360" w:lineRule="auto"/>
        <w:ind w:left="567" w:right="709"/>
        <w:rPr>
          <w:b/>
          <w:sz w:val="20"/>
          <w:szCs w:val="20"/>
        </w:rPr>
      </w:pPr>
      <w:r>
        <w:rPr>
          <w:b/>
          <w:sz w:val="20"/>
          <w:szCs w:val="20"/>
        </w:rPr>
        <w:t>DESCRIPCIÓN CLARA Y PRECISA DE LA INFORMACIÓN SOLICITADA</w:t>
      </w:r>
    </w:p>
    <w:p w14:paraId="0BFD6549" w14:textId="77777777" w:rsidR="00E50A2D" w:rsidRDefault="008F0C97">
      <w:pPr>
        <w:tabs>
          <w:tab w:val="left" w:pos="4667"/>
        </w:tabs>
        <w:spacing w:after="0" w:line="360" w:lineRule="auto"/>
        <w:ind w:left="567" w:right="709"/>
        <w:rPr>
          <w:i/>
          <w:sz w:val="20"/>
          <w:szCs w:val="20"/>
        </w:rPr>
      </w:pPr>
      <w:r>
        <w:rPr>
          <w:i/>
          <w:sz w:val="20"/>
          <w:szCs w:val="20"/>
        </w:rPr>
        <w:t xml:space="preserve">“solicito la siguiente </w:t>
      </w:r>
      <w:proofErr w:type="spellStart"/>
      <w:r>
        <w:rPr>
          <w:i/>
          <w:sz w:val="20"/>
          <w:szCs w:val="20"/>
        </w:rPr>
        <w:t>informacion</w:t>
      </w:r>
      <w:proofErr w:type="spellEnd"/>
      <w:r>
        <w:rPr>
          <w:i/>
          <w:sz w:val="20"/>
          <w:szCs w:val="20"/>
        </w:rPr>
        <w:t xml:space="preserve"> como lo pide la Ley de Transparencia y Acceso a la Información Pública del Estado de México y Municipios: Artículo 126. Cada área del sujeto obligado elaborará </w:t>
      </w:r>
      <w:r>
        <w:rPr>
          <w:b/>
          <w:i/>
          <w:sz w:val="20"/>
          <w:szCs w:val="20"/>
        </w:rPr>
        <w:t>un índice de los expedientes clasificados como reservados</w:t>
      </w:r>
      <w:r>
        <w:rPr>
          <w:i/>
          <w:sz w:val="20"/>
          <w:szCs w:val="20"/>
        </w:rPr>
        <w:t xml:space="preserve">, </w:t>
      </w:r>
      <w:r>
        <w:rPr>
          <w:b/>
          <w:i/>
          <w:sz w:val="20"/>
          <w:szCs w:val="20"/>
        </w:rPr>
        <w:t>por área responsable de la información y tema</w:t>
      </w:r>
      <w:r>
        <w:rPr>
          <w:i/>
          <w:sz w:val="20"/>
          <w:szCs w:val="20"/>
        </w:rPr>
        <w:t xml:space="preserve">. 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w:t>
      </w:r>
      <w:r>
        <w:rPr>
          <w:i/>
          <w:sz w:val="20"/>
          <w:szCs w:val="20"/>
        </w:rPr>
        <w:lastRenderedPageBreak/>
        <w:t>la reserva, su justificación, el plazo de reserva y, en su caso, las partes del documento que se reservan y si se encuentra en prórroga</w:t>
      </w:r>
      <w:r>
        <w:rPr>
          <w:b/>
          <w:i/>
          <w:sz w:val="20"/>
          <w:szCs w:val="20"/>
        </w:rPr>
        <w:t xml:space="preserve">. de cada dirección general de la </w:t>
      </w:r>
      <w:proofErr w:type="spellStart"/>
      <w:r>
        <w:rPr>
          <w:b/>
          <w:i/>
          <w:sz w:val="20"/>
          <w:szCs w:val="20"/>
        </w:rPr>
        <w:t>Caem</w:t>
      </w:r>
      <w:proofErr w:type="spellEnd"/>
      <w:r>
        <w:rPr>
          <w:b/>
          <w:i/>
          <w:sz w:val="20"/>
          <w:szCs w:val="20"/>
        </w:rPr>
        <w:t xml:space="preserve"> incluyendo áreas staff </w:t>
      </w:r>
      <w:proofErr w:type="gramStart"/>
      <w:r>
        <w:rPr>
          <w:b/>
          <w:i/>
          <w:sz w:val="20"/>
          <w:szCs w:val="20"/>
        </w:rPr>
        <w:t>UMAI,UIPPE</w:t>
      </w:r>
      <w:proofErr w:type="gramEnd"/>
      <w:r>
        <w:rPr>
          <w:b/>
          <w:i/>
          <w:sz w:val="20"/>
          <w:szCs w:val="20"/>
        </w:rPr>
        <w:t xml:space="preserve"> UDAG y CONTRALORIA INTERNA de la comisión del agua dl Estado de México</w:t>
      </w:r>
      <w:r>
        <w:rPr>
          <w:i/>
          <w:sz w:val="20"/>
          <w:szCs w:val="20"/>
        </w:rPr>
        <w:t>” (Sic.) (Énfasis añadido)</w:t>
      </w:r>
    </w:p>
    <w:p w14:paraId="132359B8" w14:textId="77777777" w:rsidR="00E50A2D" w:rsidRDefault="00E50A2D">
      <w:pPr>
        <w:tabs>
          <w:tab w:val="left" w:pos="4667"/>
        </w:tabs>
        <w:spacing w:after="0" w:line="360" w:lineRule="auto"/>
        <w:ind w:left="567" w:right="709"/>
        <w:rPr>
          <w:b/>
          <w:sz w:val="20"/>
          <w:szCs w:val="20"/>
        </w:rPr>
      </w:pPr>
    </w:p>
    <w:p w14:paraId="4E35A429" w14:textId="77777777" w:rsidR="00E50A2D" w:rsidRDefault="008F0C97">
      <w:pPr>
        <w:tabs>
          <w:tab w:val="left" w:pos="4667"/>
        </w:tabs>
        <w:spacing w:after="0" w:line="360" w:lineRule="auto"/>
        <w:ind w:left="567" w:right="709"/>
        <w:rPr>
          <w:b/>
          <w:sz w:val="20"/>
          <w:szCs w:val="20"/>
        </w:rPr>
      </w:pPr>
      <w:r>
        <w:rPr>
          <w:b/>
          <w:sz w:val="20"/>
          <w:szCs w:val="20"/>
        </w:rPr>
        <w:t xml:space="preserve">MODALIDAD DE ENTREGA </w:t>
      </w:r>
      <w:r>
        <w:rPr>
          <w:i/>
          <w:sz w:val="20"/>
          <w:szCs w:val="20"/>
        </w:rPr>
        <w:t>“A través del SAIMEX.”</w:t>
      </w:r>
    </w:p>
    <w:p w14:paraId="7AE79B32" w14:textId="77777777" w:rsidR="00E50A2D" w:rsidRDefault="00E50A2D">
      <w:pPr>
        <w:tabs>
          <w:tab w:val="left" w:pos="4667"/>
        </w:tabs>
        <w:spacing w:after="0" w:line="360" w:lineRule="auto"/>
        <w:ind w:right="709"/>
        <w:rPr>
          <w:i/>
        </w:rPr>
      </w:pPr>
    </w:p>
    <w:p w14:paraId="2239D95B" w14:textId="77777777" w:rsidR="00E50A2D" w:rsidRDefault="008F0C97">
      <w:pPr>
        <w:pStyle w:val="Ttulo2"/>
        <w:spacing w:before="0" w:after="0"/>
      </w:pPr>
      <w:bookmarkStart w:id="3" w:name="_Toc205476576"/>
      <w:r>
        <w:t>II. Respuesta del Sujeto Obligado</w:t>
      </w:r>
      <w:bookmarkEnd w:id="3"/>
    </w:p>
    <w:p w14:paraId="20544C35" w14:textId="77777777" w:rsidR="00E50A2D" w:rsidRDefault="00E50A2D">
      <w:pPr>
        <w:spacing w:after="0" w:line="360" w:lineRule="auto"/>
      </w:pPr>
    </w:p>
    <w:p w14:paraId="5CFC400E" w14:textId="77777777" w:rsidR="00E50A2D" w:rsidRDefault="008F0C97">
      <w:pPr>
        <w:spacing w:after="0" w:line="360" w:lineRule="auto"/>
      </w:pPr>
      <w:r>
        <w:t>El primero de abril de dos mil veinticinco, el Sujeto Obligado a través de SAIMEX, dio respuesta, a través de los siguientes documentos:</w:t>
      </w:r>
    </w:p>
    <w:p w14:paraId="543238C5" w14:textId="77777777" w:rsidR="00E50A2D" w:rsidRDefault="00E50A2D">
      <w:pPr>
        <w:spacing w:after="0" w:line="360" w:lineRule="auto"/>
      </w:pPr>
    </w:p>
    <w:p w14:paraId="25B8B5AF"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Oficio para la contestación de SAIMEX.pdf</w:t>
      </w:r>
      <w:r>
        <w:rPr>
          <w:color w:val="000000"/>
        </w:rPr>
        <w:t xml:space="preserve">: Oficio suscrito por la </w:t>
      </w:r>
      <w:proofErr w:type="gramStart"/>
      <w:r>
        <w:rPr>
          <w:color w:val="000000"/>
        </w:rPr>
        <w:t>Jefa</w:t>
      </w:r>
      <w:proofErr w:type="gramEnd"/>
      <w:r>
        <w:rPr>
          <w:color w:val="000000"/>
        </w:rPr>
        <w:t xml:space="preserve"> de la Unidad de Difusión y Apoyo Gráfico, en el que mencionó que la Unidad NO maneja expedientes clasificados como reservados, por tal motivo no lleva un índice correspondiente.</w:t>
      </w:r>
    </w:p>
    <w:p w14:paraId="3A1EC56E"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R FOLIO 00133 CAEM IP 2025.pdf</w:t>
      </w:r>
      <w:r>
        <w:rPr>
          <w:color w:val="000000"/>
        </w:rPr>
        <w:t xml:space="preserve">: Oficio suscrito por el </w:t>
      </w:r>
      <w:proofErr w:type="gramStart"/>
      <w:r>
        <w:rPr>
          <w:color w:val="000000"/>
        </w:rPr>
        <w:t>Director General</w:t>
      </w:r>
      <w:proofErr w:type="gramEnd"/>
      <w:r>
        <w:rPr>
          <w:color w:val="000000"/>
        </w:rPr>
        <w:t xml:space="preserve"> de Operaciones y Atención a Emergencias, en el que mencionó que NO tiene información clasificada como reservada a la fecha, por lo que no le aplica la elaboración de los índices de los expedientes clasificados como reservados.</w:t>
      </w:r>
    </w:p>
    <w:p w14:paraId="4988D20B"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OFICIO 121 SOLICITUD SAIMEX 133.pdf</w:t>
      </w:r>
      <w:r>
        <w:rPr>
          <w:color w:val="000000"/>
        </w:rPr>
        <w:t xml:space="preserve">: Oficio suscrito por la </w:t>
      </w:r>
      <w:proofErr w:type="gramStart"/>
      <w:r>
        <w:rPr>
          <w:color w:val="000000"/>
        </w:rPr>
        <w:t>Subdirectora</w:t>
      </w:r>
      <w:proofErr w:type="gramEnd"/>
      <w:r>
        <w:rPr>
          <w:color w:val="000000"/>
        </w:rPr>
        <w:t xml:space="preserve"> de Integración y Análisis, Encargada del Despacho de la Dirección y del SEIA y Suplente de Transparencia de la DGPH, en el que mencionó que podía consultar el índice de los expedientes clasificados como reservados por parte de la Dirección General del Programa Hidráulico, en el sitio web de la CAEM, sección ‘’TRANSPARENCIA’’ apartado IPOMEX. Además, anexó una liga electrónica para acceder a la información en formato cerrado: </w:t>
      </w:r>
      <w:hyperlink r:id="rId9">
        <w:r w:rsidR="00E50A2D">
          <w:rPr>
            <w:color w:val="0563C1"/>
            <w:u w:val="single"/>
          </w:rPr>
          <w:t>https://ipomex3.ipomex.org.mx/ipo3/lgt/indice/caem.web</w:t>
        </w:r>
      </w:hyperlink>
    </w:p>
    <w:p w14:paraId="20EEDBF8"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lastRenderedPageBreak/>
        <w:t>00133-CAEM-IP-2025.pdf</w:t>
      </w:r>
      <w:r>
        <w:rPr>
          <w:color w:val="000000"/>
        </w:rPr>
        <w:t xml:space="preserve">: Oficio suscrito por la Directora General de Administración y Finanzas, en el que mencionó lo siguiente: ‘’ </w:t>
      </w:r>
      <w:r>
        <w:rPr>
          <w:i/>
          <w:color w:val="000000"/>
        </w:rPr>
        <w:t>Por lo tanto, se sugiere al requirente a consultar la información solicitada en la página de Información Pública de Oficio Mexiquense IPOMEX (bastará con escribirlo en el inicio del motor de búsqueda); una vez que ingrese deberá insertar Comisión del Agua del Estado de México en el Sujeto Obligado, posteriormente menú desplegable denominado "Estructura Orgánica" dar clic a la opción XIX "</w:t>
      </w:r>
      <w:proofErr w:type="spellStart"/>
      <w:r>
        <w:rPr>
          <w:i/>
          <w:color w:val="000000"/>
        </w:rPr>
        <w:t>Indice</w:t>
      </w:r>
      <w:proofErr w:type="spellEnd"/>
      <w:r>
        <w:rPr>
          <w:i/>
          <w:color w:val="000000"/>
        </w:rPr>
        <w:t xml:space="preserve"> de los expedientes clasificados como reservados", en la cual se despliega la información solicitada, o bien, puede ingresar directamente al link: </w:t>
      </w:r>
      <w:hyperlink r:id="rId10" w:anchor="/info-fraccion/25/70ES">
        <w:r w:rsidR="00E50A2D">
          <w:rPr>
            <w:i/>
            <w:color w:val="0563C1"/>
            <w:u w:val="single"/>
          </w:rPr>
          <w:t>https://ipomex.org.mx/ipomex/#/info-</w:t>
        </w:r>
      </w:hyperlink>
      <w:hyperlink r:id="rId11" w:anchor="/info-fraccion/25/70ES">
        <w:r w:rsidR="00E50A2D">
          <w:rPr>
            <w:i/>
            <w:color w:val="0563C1"/>
            <w:u w:val="single"/>
          </w:rPr>
          <w:t>fraccion</w:t>
        </w:r>
      </w:hyperlink>
      <w:hyperlink r:id="rId12" w:anchor="/info-fraccion/25/70ES">
        <w:r w:rsidR="00E50A2D">
          <w:rPr>
            <w:i/>
            <w:color w:val="0563C1"/>
            <w:u w:val="single"/>
          </w:rPr>
          <w:t>/25/70ES</w:t>
        </w:r>
      </w:hyperlink>
      <w:r>
        <w:rPr>
          <w:i/>
          <w:color w:val="000000"/>
        </w:rPr>
        <w:t xml:space="preserve">” </w:t>
      </w:r>
      <w:r>
        <w:rPr>
          <w:color w:val="000000"/>
        </w:rPr>
        <w:t xml:space="preserve">cabe mencionar que la liga se entregó en formato cerrado. </w:t>
      </w:r>
    </w:p>
    <w:p w14:paraId="0679891F"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 xml:space="preserve">transparencia solicitud 133.pdf: </w:t>
      </w:r>
      <w:r>
        <w:rPr>
          <w:color w:val="000000"/>
        </w:rPr>
        <w:t xml:space="preserve">Oficio suscrito por la </w:t>
      </w:r>
      <w:proofErr w:type="gramStart"/>
      <w:r>
        <w:rPr>
          <w:color w:val="000000"/>
        </w:rPr>
        <w:t>Subdirectora</w:t>
      </w:r>
      <w:proofErr w:type="gramEnd"/>
      <w:r>
        <w:rPr>
          <w:color w:val="000000"/>
        </w:rPr>
        <w:t xml:space="preserve"> en Materia Administrativa, Fiscal, Normatividad y de Consulta y Suplente de Transparencia de la Dirección General de Asuntos Jurídicos e Igualdad de Género, en el que mencionó que dicho índice se encontraba disponible en la página web del IPOMEX. Anexó el siguiente enlace </w:t>
      </w:r>
      <w:r>
        <w:rPr>
          <w:color w:val="000000"/>
          <w:u w:val="single"/>
        </w:rPr>
        <w:t>COMISION DEL AGUA DEL ESTADO DE MÉXICO (ipomex.org.mx).</w:t>
      </w:r>
      <w:r>
        <w:rPr>
          <w:color w:val="000000"/>
        </w:rPr>
        <w:t xml:space="preserve"> Finalmente describió paso a paso la manera de acceder a la información. Cabe mencionar que el enlace </w:t>
      </w:r>
      <w:proofErr w:type="spellStart"/>
      <w:r>
        <w:rPr>
          <w:color w:val="000000"/>
        </w:rPr>
        <w:t>esta</w:t>
      </w:r>
      <w:proofErr w:type="spellEnd"/>
      <w:r>
        <w:rPr>
          <w:color w:val="000000"/>
        </w:rPr>
        <w:t xml:space="preserve"> en formato cerrado. </w:t>
      </w:r>
    </w:p>
    <w:p w14:paraId="7F8E1D6F"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ACUSE OFICIO 387.pdf</w:t>
      </w:r>
      <w:r>
        <w:rPr>
          <w:color w:val="000000"/>
        </w:rPr>
        <w:t xml:space="preserve">: Oficio suscrito por el Titular del Órgano Interno de Control, en el que mencionó que la información se encontraba publicada y accesible mediante el Sistema de Información Pública de Oficio del Estado de México. Describió el proceso paso a paso para acceder a la información a través de la liga </w:t>
      </w:r>
      <w:r>
        <w:rPr>
          <w:b/>
          <w:color w:val="000000"/>
        </w:rPr>
        <w:t>ipomex.org.mx</w:t>
      </w:r>
      <w:r>
        <w:rPr>
          <w:color w:val="000000"/>
        </w:rPr>
        <w:t xml:space="preserve">. </w:t>
      </w:r>
    </w:p>
    <w:p w14:paraId="0A0C2DDA"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758-2025 SAIMEX 00133-2025.pdf</w:t>
      </w:r>
      <w:r>
        <w:rPr>
          <w:color w:val="000000"/>
        </w:rPr>
        <w:t xml:space="preserve">: Oficio suscrito por el </w:t>
      </w:r>
      <w:proofErr w:type="gramStart"/>
      <w:r>
        <w:rPr>
          <w:color w:val="000000"/>
        </w:rPr>
        <w:t>Director General</w:t>
      </w:r>
      <w:proofErr w:type="gramEnd"/>
      <w:r>
        <w:rPr>
          <w:color w:val="000000"/>
        </w:rPr>
        <w:t xml:space="preserve"> de Infraestructura Hidráulica, en el que mencionó que, hasta la fecha, no tenían documentos clasificados como reservados, por lo que no cuenta con información que manifestar.</w:t>
      </w:r>
    </w:p>
    <w:p w14:paraId="1047C7DC"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lastRenderedPageBreak/>
        <w:t>oficio 0615-25 transparencia31-03-2025-101534.pdf</w:t>
      </w:r>
      <w:r>
        <w:rPr>
          <w:color w:val="000000"/>
        </w:rPr>
        <w:t xml:space="preserve">: Oficio suscrito por el </w:t>
      </w:r>
      <w:proofErr w:type="gramStart"/>
      <w:r>
        <w:rPr>
          <w:color w:val="000000"/>
        </w:rPr>
        <w:t>Director General</w:t>
      </w:r>
      <w:proofErr w:type="gramEnd"/>
      <w:r>
        <w:rPr>
          <w:color w:val="000000"/>
        </w:rPr>
        <w:t xml:space="preserve"> de Inversión y Gestión en Materia de Transparencia, en el que mencionó que NO se cuenta con expedientes clasificados como reservados.  </w:t>
      </w:r>
    </w:p>
    <w:p w14:paraId="2CCAF739"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carpeta 133.pdf</w:t>
      </w:r>
      <w:r>
        <w:rPr>
          <w:color w:val="000000"/>
        </w:rPr>
        <w:t xml:space="preserve">: Oficio suscrito por la </w:t>
      </w:r>
      <w:proofErr w:type="gramStart"/>
      <w:r>
        <w:rPr>
          <w:color w:val="000000"/>
        </w:rPr>
        <w:t>Jefa</w:t>
      </w:r>
      <w:proofErr w:type="gramEnd"/>
      <w:r>
        <w:rPr>
          <w:color w:val="000000"/>
        </w:rPr>
        <w:t xml:space="preserve"> del Departamento de Planeación y Programación, Suplente del Servidor Público Habilitado de la Unidad de Información, Planeación, Programación y Evaluación, en el que mencionó que los documentos solicitados se encuentran descritos </w:t>
      </w:r>
      <w:r>
        <w:t>conforme</w:t>
      </w:r>
      <w:r>
        <w:rPr>
          <w:color w:val="000000"/>
        </w:rPr>
        <w:t xml:space="preserve"> a índice descrito en el artículo 113 de la Ley de Transparencia. Por lo que anexaba la información encontrada que corresponde a los únicos que se encuentran clasificados dentro del área de staff de la UIPPE.</w:t>
      </w:r>
    </w:p>
    <w:p w14:paraId="017B174F" w14:textId="77777777" w:rsidR="00E50A2D" w:rsidRDefault="008F0C97">
      <w:pPr>
        <w:pBdr>
          <w:top w:val="nil"/>
          <w:left w:val="nil"/>
          <w:bottom w:val="nil"/>
          <w:right w:val="nil"/>
          <w:between w:val="nil"/>
        </w:pBdr>
        <w:spacing w:after="0" w:line="360" w:lineRule="auto"/>
        <w:ind w:left="720"/>
        <w:rPr>
          <w:color w:val="000000"/>
        </w:rPr>
      </w:pPr>
      <w:r>
        <w:rPr>
          <w:color w:val="000000"/>
        </w:rPr>
        <w:t>-Tabla de índices de los expedientes considerados como reservados, del Primer Trimestre del 2025, con fecha de actualización de 30/03/2025</w:t>
      </w:r>
    </w:p>
    <w:p w14:paraId="6A39DDC1"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Oficio respuesta solicitud 000133_CAEM_IP_2025.pdf</w:t>
      </w:r>
      <w:r>
        <w:rPr>
          <w:color w:val="000000"/>
        </w:rPr>
        <w:t xml:space="preserve">: Oficio suscrito por la Suplente de la Dirección General de Coordinación con Organismos Operadores, en el que mencionó que recomendaba al solicitante consultar la información a través de la página de Información Pública del Oficio Mexiquense (IPOMEX). Describió el proceso para acceder a la información y anexó la liga electrónica </w:t>
      </w:r>
      <w:hyperlink r:id="rId13" w:anchor="/info-fracci%C3%B3n/25/70/14">
        <w:r w:rsidR="00E50A2D">
          <w:rPr>
            <w:color w:val="0563C1"/>
            <w:u w:val="single"/>
          </w:rPr>
          <w:t>https://ipomex.org.mx/ipomex/#/info-fracción/25/70/14</w:t>
        </w:r>
      </w:hyperlink>
      <w:r>
        <w:rPr>
          <w:color w:val="000000"/>
        </w:rPr>
        <w:t xml:space="preserve">, en formato cerrado. </w:t>
      </w:r>
    </w:p>
    <w:p w14:paraId="48FD2DD3"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133.pdf</w:t>
      </w:r>
      <w:r>
        <w:rPr>
          <w:color w:val="000000"/>
        </w:rPr>
        <w:t>: Oficio suscrito por el Titular de la Unidad de Modernización Administrativa e Informática, en el que mencionó que el Solicitante debería remitirse a la página del IPOMEX.</w:t>
      </w:r>
    </w:p>
    <w:p w14:paraId="33D3CE7F" w14:textId="77777777" w:rsidR="00E50A2D" w:rsidRDefault="008F0C97">
      <w:pPr>
        <w:numPr>
          <w:ilvl w:val="0"/>
          <w:numId w:val="2"/>
        </w:numPr>
        <w:pBdr>
          <w:top w:val="nil"/>
          <w:left w:val="nil"/>
          <w:bottom w:val="nil"/>
          <w:right w:val="nil"/>
          <w:between w:val="nil"/>
        </w:pBdr>
        <w:spacing w:after="0" w:line="360" w:lineRule="auto"/>
        <w:rPr>
          <w:color w:val="000000"/>
        </w:rPr>
      </w:pPr>
      <w:r>
        <w:rPr>
          <w:b/>
          <w:i/>
          <w:color w:val="000000"/>
        </w:rPr>
        <w:t>img01042025_0003.pdf</w:t>
      </w:r>
      <w:r>
        <w:rPr>
          <w:color w:val="000000"/>
        </w:rPr>
        <w:t>: Oficio suscrito por el Titular de la Unidad de Transparencia, en el que mencionó que anexaba las respuestas antes descritas.</w:t>
      </w:r>
    </w:p>
    <w:p w14:paraId="5FA5A59E" w14:textId="77777777" w:rsidR="00E50A2D" w:rsidRDefault="00E50A2D">
      <w:pPr>
        <w:spacing w:after="0" w:line="360" w:lineRule="auto"/>
      </w:pPr>
    </w:p>
    <w:p w14:paraId="70CF832D" w14:textId="77777777" w:rsidR="00E50A2D" w:rsidRDefault="008F0C97">
      <w:pPr>
        <w:pStyle w:val="Ttulo2"/>
        <w:spacing w:before="0" w:after="0"/>
      </w:pPr>
      <w:bookmarkStart w:id="4" w:name="_Toc205476577"/>
      <w:r>
        <w:t>III. Interposición del Recurso de Revisión</w:t>
      </w:r>
      <w:bookmarkEnd w:id="4"/>
    </w:p>
    <w:p w14:paraId="63E83AF3" w14:textId="77777777" w:rsidR="00E50A2D" w:rsidRDefault="00E50A2D">
      <w:pPr>
        <w:spacing w:after="0" w:line="360" w:lineRule="auto"/>
        <w:rPr>
          <w:b/>
        </w:rPr>
      </w:pPr>
    </w:p>
    <w:p w14:paraId="5F2A61CE" w14:textId="77777777" w:rsidR="00E50A2D" w:rsidRDefault="008F0C97">
      <w:pPr>
        <w:spacing w:after="0" w:line="360" w:lineRule="auto"/>
      </w:pPr>
      <w:bookmarkStart w:id="5" w:name="_heading=h.2et92p0" w:colFirst="0" w:colLast="0"/>
      <w:bookmarkEnd w:id="5"/>
      <w:r>
        <w:lastRenderedPageBreak/>
        <w:t>Con fecha ocho de abril de dos mil veinticinco, se recibió en este Instituto, a través del SAIMEX, el Recurso de Revisión interpuesto por la persona Recurrente, en los siguientes términos:</w:t>
      </w:r>
    </w:p>
    <w:p w14:paraId="77F6FA64" w14:textId="77777777" w:rsidR="00E50A2D" w:rsidRDefault="00E50A2D">
      <w:pPr>
        <w:spacing w:after="0" w:line="360" w:lineRule="auto"/>
      </w:pPr>
    </w:p>
    <w:p w14:paraId="58F0D75F" w14:textId="77777777" w:rsidR="00E50A2D" w:rsidRDefault="008F0C97">
      <w:pPr>
        <w:spacing w:after="0" w:line="360" w:lineRule="auto"/>
        <w:ind w:left="567" w:right="709"/>
        <w:rPr>
          <w:b/>
          <w:sz w:val="20"/>
          <w:szCs w:val="20"/>
        </w:rPr>
      </w:pPr>
      <w:r>
        <w:rPr>
          <w:b/>
          <w:sz w:val="20"/>
          <w:szCs w:val="20"/>
        </w:rPr>
        <w:t>ACTO IMPUGNADO</w:t>
      </w:r>
      <w:r>
        <w:rPr>
          <w:b/>
          <w:sz w:val="20"/>
          <w:szCs w:val="20"/>
        </w:rPr>
        <w:tab/>
      </w:r>
    </w:p>
    <w:p w14:paraId="2A8339E5" w14:textId="77777777" w:rsidR="00E50A2D" w:rsidRDefault="008F0C97">
      <w:pPr>
        <w:spacing w:after="0" w:line="360" w:lineRule="auto"/>
        <w:ind w:left="567" w:right="709"/>
        <w:rPr>
          <w:b/>
          <w:sz w:val="20"/>
          <w:szCs w:val="20"/>
        </w:rPr>
      </w:pPr>
      <w:r>
        <w:rPr>
          <w:i/>
          <w:sz w:val="20"/>
          <w:szCs w:val="20"/>
        </w:rPr>
        <w:t>“</w:t>
      </w:r>
      <w:proofErr w:type="spellStart"/>
      <w:r>
        <w:rPr>
          <w:i/>
          <w:sz w:val="20"/>
          <w:szCs w:val="20"/>
        </w:rPr>
        <w:t>informacion</w:t>
      </w:r>
      <w:proofErr w:type="spellEnd"/>
      <w:r>
        <w:rPr>
          <w:i/>
          <w:sz w:val="20"/>
          <w:szCs w:val="20"/>
        </w:rPr>
        <w:t xml:space="preserve"> incompleta aun en el sistema </w:t>
      </w:r>
      <w:proofErr w:type="spellStart"/>
      <w:r>
        <w:rPr>
          <w:i/>
          <w:sz w:val="20"/>
          <w:szCs w:val="20"/>
        </w:rPr>
        <w:t>ipomex</w:t>
      </w:r>
      <w:proofErr w:type="spellEnd"/>
      <w:r>
        <w:rPr>
          <w:i/>
          <w:sz w:val="20"/>
          <w:szCs w:val="20"/>
        </w:rPr>
        <w:t xml:space="preserve"> ya que solo me envían al portal del </w:t>
      </w:r>
      <w:proofErr w:type="spellStart"/>
      <w:r>
        <w:rPr>
          <w:i/>
          <w:sz w:val="20"/>
          <w:szCs w:val="20"/>
        </w:rPr>
        <w:t>infoem</w:t>
      </w:r>
      <w:proofErr w:type="spellEnd"/>
      <w:r>
        <w:rPr>
          <w:i/>
          <w:sz w:val="20"/>
          <w:szCs w:val="20"/>
        </w:rPr>
        <w:t xml:space="preserve"> en donde solo se encuentra lo del año 2024 por cierto muy escueto porque no lo suben por sementar ni un oficio en donde fundamenten y motiven </w:t>
      </w:r>
      <w:proofErr w:type="spellStart"/>
      <w:r>
        <w:rPr>
          <w:i/>
          <w:sz w:val="20"/>
          <w:szCs w:val="20"/>
        </w:rPr>
        <w:t>el porque</w:t>
      </w:r>
      <w:proofErr w:type="spellEnd"/>
      <w:r>
        <w:rPr>
          <w:i/>
          <w:sz w:val="20"/>
          <w:szCs w:val="20"/>
        </w:rPr>
        <w:t xml:space="preserve"> no existe </w:t>
      </w:r>
      <w:proofErr w:type="spellStart"/>
      <w:r>
        <w:rPr>
          <w:i/>
          <w:sz w:val="20"/>
          <w:szCs w:val="20"/>
        </w:rPr>
        <w:t>informacion</w:t>
      </w:r>
      <w:proofErr w:type="spellEnd"/>
      <w:r>
        <w:rPr>
          <w:i/>
          <w:sz w:val="20"/>
          <w:szCs w:val="20"/>
        </w:rPr>
        <w:t xml:space="preserve"> clasificada y lo de los años anteriores donde esta información si existe que si lo hay en el </w:t>
      </w:r>
      <w:proofErr w:type="spellStart"/>
      <w:r>
        <w:rPr>
          <w:i/>
          <w:sz w:val="20"/>
          <w:szCs w:val="20"/>
        </w:rPr>
        <w:t>ipomex</w:t>
      </w:r>
      <w:proofErr w:type="spellEnd"/>
      <w:r>
        <w:rPr>
          <w:i/>
          <w:sz w:val="20"/>
          <w:szCs w:val="20"/>
        </w:rPr>
        <w:t xml:space="preserve"> 3.0 </w:t>
      </w:r>
      <w:proofErr w:type="spellStart"/>
      <w:r>
        <w:rPr>
          <w:i/>
          <w:sz w:val="20"/>
          <w:szCs w:val="20"/>
        </w:rPr>
        <w:t>por que</w:t>
      </w:r>
      <w:proofErr w:type="spellEnd"/>
      <w:r>
        <w:rPr>
          <w:i/>
          <w:sz w:val="20"/>
          <w:szCs w:val="20"/>
        </w:rPr>
        <w:t xml:space="preserve"> no se me indico donde consultarlo?” (Sic.)</w:t>
      </w:r>
    </w:p>
    <w:p w14:paraId="0750CCA1" w14:textId="77777777" w:rsidR="00E50A2D" w:rsidRDefault="00E50A2D">
      <w:pPr>
        <w:spacing w:after="0" w:line="360" w:lineRule="auto"/>
        <w:ind w:left="567" w:right="709"/>
        <w:rPr>
          <w:sz w:val="20"/>
          <w:szCs w:val="20"/>
        </w:rPr>
      </w:pPr>
    </w:p>
    <w:p w14:paraId="41C6E613" w14:textId="77777777" w:rsidR="00E50A2D" w:rsidRDefault="008F0C97">
      <w:pPr>
        <w:spacing w:after="0" w:line="360" w:lineRule="auto"/>
        <w:ind w:left="567" w:right="709"/>
        <w:rPr>
          <w:b/>
          <w:sz w:val="20"/>
          <w:szCs w:val="20"/>
        </w:rPr>
      </w:pPr>
      <w:r>
        <w:rPr>
          <w:b/>
          <w:sz w:val="20"/>
          <w:szCs w:val="20"/>
        </w:rPr>
        <w:t>RAZONES O MOTIVOS DE LA INCONFORMIDAD</w:t>
      </w:r>
      <w:r>
        <w:rPr>
          <w:b/>
          <w:sz w:val="20"/>
          <w:szCs w:val="20"/>
        </w:rPr>
        <w:tab/>
      </w:r>
    </w:p>
    <w:p w14:paraId="0675397A" w14:textId="77777777" w:rsidR="00E50A2D" w:rsidRDefault="008F0C97">
      <w:pPr>
        <w:tabs>
          <w:tab w:val="left" w:pos="4667"/>
        </w:tabs>
        <w:spacing w:after="0" w:line="360" w:lineRule="auto"/>
        <w:ind w:left="567" w:right="709"/>
        <w:rPr>
          <w:i/>
          <w:sz w:val="20"/>
          <w:szCs w:val="20"/>
        </w:rPr>
      </w:pPr>
      <w:r>
        <w:rPr>
          <w:i/>
          <w:sz w:val="20"/>
          <w:szCs w:val="20"/>
        </w:rPr>
        <w:t>“</w:t>
      </w:r>
      <w:proofErr w:type="spellStart"/>
      <w:r>
        <w:rPr>
          <w:i/>
          <w:sz w:val="20"/>
          <w:szCs w:val="20"/>
        </w:rPr>
        <w:t>informacion</w:t>
      </w:r>
      <w:proofErr w:type="spellEnd"/>
      <w:r>
        <w:rPr>
          <w:i/>
          <w:sz w:val="20"/>
          <w:szCs w:val="20"/>
        </w:rPr>
        <w:t xml:space="preserve"> incompleta aun en el sistema </w:t>
      </w:r>
      <w:proofErr w:type="spellStart"/>
      <w:r>
        <w:rPr>
          <w:i/>
          <w:sz w:val="20"/>
          <w:szCs w:val="20"/>
        </w:rPr>
        <w:t>ipomex</w:t>
      </w:r>
      <w:proofErr w:type="spellEnd"/>
      <w:r>
        <w:rPr>
          <w:i/>
          <w:sz w:val="20"/>
          <w:szCs w:val="20"/>
        </w:rPr>
        <w:t xml:space="preserve"> ya que solo me envían al portal del </w:t>
      </w:r>
      <w:proofErr w:type="spellStart"/>
      <w:r>
        <w:rPr>
          <w:i/>
          <w:sz w:val="20"/>
          <w:szCs w:val="20"/>
        </w:rPr>
        <w:t>infoem</w:t>
      </w:r>
      <w:proofErr w:type="spellEnd"/>
      <w:r>
        <w:rPr>
          <w:i/>
          <w:sz w:val="20"/>
          <w:szCs w:val="20"/>
        </w:rPr>
        <w:t xml:space="preserve"> en donde solo se encuentra lo del año 2024 por cierto muy escueto porque no lo suben por sementar ni un oficio en donde fundamenten y motiven </w:t>
      </w:r>
      <w:proofErr w:type="spellStart"/>
      <w:r>
        <w:rPr>
          <w:i/>
          <w:sz w:val="20"/>
          <w:szCs w:val="20"/>
        </w:rPr>
        <w:t>el porque</w:t>
      </w:r>
      <w:proofErr w:type="spellEnd"/>
      <w:r>
        <w:rPr>
          <w:i/>
          <w:sz w:val="20"/>
          <w:szCs w:val="20"/>
        </w:rPr>
        <w:t xml:space="preserve"> no existe </w:t>
      </w:r>
      <w:proofErr w:type="spellStart"/>
      <w:r>
        <w:rPr>
          <w:i/>
          <w:sz w:val="20"/>
          <w:szCs w:val="20"/>
        </w:rPr>
        <w:t>informacion</w:t>
      </w:r>
      <w:proofErr w:type="spellEnd"/>
      <w:r>
        <w:rPr>
          <w:i/>
          <w:sz w:val="20"/>
          <w:szCs w:val="20"/>
        </w:rPr>
        <w:t xml:space="preserve"> clasificada y lo de los años anteriores donde esta información si existe que si lo hay en el </w:t>
      </w:r>
      <w:proofErr w:type="spellStart"/>
      <w:r>
        <w:rPr>
          <w:i/>
          <w:sz w:val="20"/>
          <w:szCs w:val="20"/>
        </w:rPr>
        <w:t>ipomex</w:t>
      </w:r>
      <w:proofErr w:type="spellEnd"/>
      <w:r>
        <w:rPr>
          <w:i/>
          <w:sz w:val="20"/>
          <w:szCs w:val="20"/>
        </w:rPr>
        <w:t xml:space="preserve"> 3.0 </w:t>
      </w:r>
      <w:proofErr w:type="spellStart"/>
      <w:r>
        <w:rPr>
          <w:i/>
          <w:sz w:val="20"/>
          <w:szCs w:val="20"/>
        </w:rPr>
        <w:t>por que</w:t>
      </w:r>
      <w:proofErr w:type="spellEnd"/>
      <w:r>
        <w:rPr>
          <w:i/>
          <w:sz w:val="20"/>
          <w:szCs w:val="20"/>
        </w:rPr>
        <w:t xml:space="preserve"> no se me indico donde consultarlo?” (Sic.)</w:t>
      </w:r>
    </w:p>
    <w:p w14:paraId="5A2AB73D" w14:textId="77777777" w:rsidR="00E50A2D" w:rsidRDefault="00E50A2D">
      <w:pPr>
        <w:tabs>
          <w:tab w:val="left" w:pos="4667"/>
        </w:tabs>
        <w:spacing w:after="0" w:line="360" w:lineRule="auto"/>
      </w:pPr>
    </w:p>
    <w:p w14:paraId="33C488A9" w14:textId="77777777" w:rsidR="00E50A2D" w:rsidRDefault="008F0C97">
      <w:pPr>
        <w:pStyle w:val="Ttulo2"/>
        <w:spacing w:before="0" w:after="0"/>
      </w:pPr>
      <w:bookmarkStart w:id="6" w:name="_Toc205476578"/>
      <w:r>
        <w:t>IV. Trámite del Recurso de Revisión ante este Instituto</w:t>
      </w:r>
      <w:bookmarkEnd w:id="6"/>
    </w:p>
    <w:p w14:paraId="15BB8BA5" w14:textId="77777777" w:rsidR="00E50A2D" w:rsidRDefault="00E50A2D">
      <w:pPr>
        <w:spacing w:after="0" w:line="360" w:lineRule="auto"/>
        <w:rPr>
          <w:b/>
        </w:rPr>
      </w:pPr>
    </w:p>
    <w:p w14:paraId="56E90105" w14:textId="77777777" w:rsidR="00E50A2D" w:rsidRDefault="008F0C97">
      <w:pPr>
        <w:spacing w:after="0" w:line="360" w:lineRule="auto"/>
      </w:pPr>
      <w:r>
        <w:rPr>
          <w:b/>
        </w:rPr>
        <w:t>a) Turno del Medio de Impugnación.</w:t>
      </w:r>
      <w:r>
        <w:t xml:space="preserve"> El ocho de abril de dos mil veinticinco, el SAIMEX, asignó el número de expediente</w:t>
      </w:r>
      <w:r>
        <w:rPr>
          <w:b/>
        </w:rPr>
        <w:t xml:space="preserve"> 04131/INFOEM/IP/RR/2025, </w:t>
      </w:r>
      <w:r>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43D912FA" w14:textId="77777777" w:rsidR="00E50A2D" w:rsidRDefault="00E50A2D">
      <w:pPr>
        <w:spacing w:after="0" w:line="360" w:lineRule="auto"/>
      </w:pPr>
    </w:p>
    <w:p w14:paraId="79B9EBD1" w14:textId="77777777" w:rsidR="00E50A2D" w:rsidRDefault="008F0C97">
      <w:pPr>
        <w:spacing w:after="0" w:line="360" w:lineRule="auto"/>
      </w:pPr>
      <w:r>
        <w:rPr>
          <w:b/>
        </w:rPr>
        <w:lastRenderedPageBreak/>
        <w:t>b) Admisión del Recurso de Revisión.</w:t>
      </w:r>
      <w:r>
        <w:t xml:space="preserve"> El once de abril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notificada a las partes en la misma fecha través del SAIMEX, en el que se les otorgó un plazo de siete días hábiles posteriores a la misma, para que manifestara lo que a su derecho conviniera y formularán alegatos.</w:t>
      </w:r>
    </w:p>
    <w:p w14:paraId="6C989973" w14:textId="77777777" w:rsidR="00E50A2D" w:rsidRDefault="00E50A2D">
      <w:pPr>
        <w:spacing w:after="0" w:line="360" w:lineRule="auto"/>
      </w:pPr>
    </w:p>
    <w:p w14:paraId="3543B99A" w14:textId="77777777" w:rsidR="00E50A2D" w:rsidRDefault="008F0C97">
      <w:pPr>
        <w:spacing w:after="0" w:line="360" w:lineRule="auto"/>
      </w:pPr>
      <w:r>
        <w:rPr>
          <w:b/>
        </w:rPr>
        <w:t xml:space="preserve">c) Informe Justificado. </w:t>
      </w:r>
      <w:r>
        <w:t>En fecha veintinueve de abril de dos mil veinticinco, el Sujeto Obligado rindió informe justificado a través de SAIMEX, mediante los siguientes documentos:</w:t>
      </w:r>
    </w:p>
    <w:p w14:paraId="02342749" w14:textId="77777777" w:rsidR="00E50A2D" w:rsidRDefault="00E50A2D">
      <w:pPr>
        <w:spacing w:after="0" w:line="360" w:lineRule="auto"/>
      </w:pPr>
    </w:p>
    <w:p w14:paraId="25D3C2EF"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ANEXO 11 RR 4131-25.pdf:</w:t>
      </w:r>
      <w:r>
        <w:rPr>
          <w:color w:val="000000"/>
        </w:rPr>
        <w:t xml:space="preserve"> El Titular de la Unidad de Modernización Administrativa e Informática, emitió un oficio en el que informó que, al no mencionar un periodo específico en la solicitud, de acuerdo con el Lineamiento 3/19, se proporcionó la información correspondiente al periodo de marzo 2024 a marzo de 2025, dentro de los que se registraron solo dos semestres respectivamente del año 2024 y señaló que durante esos dos semestres no clasificó ningún expediente como reservado, motivo por el cual, no se elaboró el índice correspondiente a cada semestre.  Y proporcionó una liga electrónica en formato cerrado para consultar el IPOMEX. </w:t>
      </w:r>
    </w:p>
    <w:p w14:paraId="47EA1322" w14:textId="77777777" w:rsidR="00E50A2D" w:rsidRDefault="008F0C97">
      <w:pPr>
        <w:pBdr>
          <w:top w:val="nil"/>
          <w:left w:val="nil"/>
          <w:bottom w:val="nil"/>
          <w:right w:val="nil"/>
          <w:between w:val="nil"/>
        </w:pBdr>
        <w:spacing w:after="0" w:line="360" w:lineRule="auto"/>
        <w:ind w:left="709"/>
        <w:rPr>
          <w:color w:val="000000"/>
        </w:rPr>
      </w:pPr>
      <w:r>
        <w:rPr>
          <w:color w:val="000000"/>
        </w:rPr>
        <w:t>Precisó que, durante estos semestres, no se clasificó ningún expediente como reservado, por lo que no se elaboró el índice correspondiente a cada semestre.</w:t>
      </w:r>
    </w:p>
    <w:p w14:paraId="79ECD4B1"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ANEXO 12 RR 4131-25.pdf:</w:t>
      </w:r>
      <w:r>
        <w:rPr>
          <w:color w:val="000000"/>
        </w:rPr>
        <w:t xml:space="preserve"> El </w:t>
      </w:r>
      <w:proofErr w:type="gramStart"/>
      <w:r>
        <w:rPr>
          <w:color w:val="000000"/>
        </w:rPr>
        <w:t>Director General</w:t>
      </w:r>
      <w:proofErr w:type="gramEnd"/>
      <w:r>
        <w:rPr>
          <w:color w:val="000000"/>
        </w:rPr>
        <w:t xml:space="preserve"> de Operación y Atención a Emergencias, emitió un oficio por medio del cual ratificó su respuesta en el que manifestó que no se tiene información clasificada como reservada a la fecha de la petición, por lo que no aplica la elaboración de los índices de expediente clasificados como reservado.</w:t>
      </w:r>
    </w:p>
    <w:p w14:paraId="0DA8863C"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lastRenderedPageBreak/>
        <w:t xml:space="preserve">ANEXO 13 RR 4131-25.pdf: </w:t>
      </w:r>
      <w:r>
        <w:rPr>
          <w:color w:val="000000"/>
        </w:rPr>
        <w:t xml:space="preserve"> El </w:t>
      </w:r>
      <w:proofErr w:type="gramStart"/>
      <w:r>
        <w:rPr>
          <w:color w:val="000000"/>
        </w:rPr>
        <w:t>Director General</w:t>
      </w:r>
      <w:proofErr w:type="gramEnd"/>
      <w:r>
        <w:rPr>
          <w:color w:val="000000"/>
        </w:rPr>
        <w:t xml:space="preserve"> de Inversión y Gestión, emitió un oficio, en el que mencionó que NO se cuentan con expedientes clasificados como reservados.</w:t>
      </w:r>
    </w:p>
    <w:p w14:paraId="1532700F"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ANEXO 14 RR 4131-25.pdf:</w:t>
      </w:r>
      <w:r>
        <w:rPr>
          <w:color w:val="000000"/>
        </w:rPr>
        <w:t xml:space="preserve"> El Titular del Órgano Interno de Control, emitió un oficio en el que mencionó que se cuenta con un registro correspondiente al índice de expedientes clasificados como reservados, mismo que se anexó.</w:t>
      </w:r>
    </w:p>
    <w:p w14:paraId="4B01B522"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 xml:space="preserve">ANEXO 15 RR 4131-25 Índice de Información Reservada OIC.pdf: </w:t>
      </w:r>
      <w:r>
        <w:rPr>
          <w:color w:val="000000"/>
        </w:rPr>
        <w:t>Índice de Expedientes Clasificados como Reservados, emitido por el OIC, con fecha de clasificación del 9/</w:t>
      </w:r>
      <w:proofErr w:type="spellStart"/>
      <w:r>
        <w:rPr>
          <w:color w:val="000000"/>
        </w:rPr>
        <w:t>sep</w:t>
      </w:r>
      <w:proofErr w:type="spellEnd"/>
      <w:r>
        <w:rPr>
          <w:color w:val="000000"/>
        </w:rPr>
        <w:t>/2024.</w:t>
      </w:r>
    </w:p>
    <w:p w14:paraId="1B8EB059"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ANEXO 16 RR 4131-25.pdf:</w:t>
      </w:r>
      <w:r>
        <w:rPr>
          <w:color w:val="000000"/>
        </w:rPr>
        <w:t xml:space="preserve"> La </w:t>
      </w:r>
      <w:proofErr w:type="gramStart"/>
      <w:r>
        <w:rPr>
          <w:color w:val="000000"/>
        </w:rPr>
        <w:t>Subdirectora</w:t>
      </w:r>
      <w:proofErr w:type="gramEnd"/>
      <w:r>
        <w:rPr>
          <w:color w:val="000000"/>
        </w:rPr>
        <w:t xml:space="preserve"> de Construcción de Obra de la Dirección General de Infraestructura Hidráulica, emitió un oficio en el que mencionó que se adjuntaba el índice de Expedientes Clasificados como Reservados, correspondiente al segundo semestre del año 2024, mismo que no contiene información, debido a que esta </w:t>
      </w:r>
      <w:r>
        <w:rPr>
          <w:b/>
          <w:color w:val="000000"/>
        </w:rPr>
        <w:t>Dirección no contaba hasta el año próximo pasado, con información que manifestar al respecto</w:t>
      </w:r>
      <w:r>
        <w:rPr>
          <w:color w:val="000000"/>
        </w:rPr>
        <w:t>.</w:t>
      </w:r>
    </w:p>
    <w:p w14:paraId="4C0FF563"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ANEXO 17 RR 4131-25.pdf:</w:t>
      </w:r>
      <w:r>
        <w:rPr>
          <w:color w:val="000000"/>
        </w:rPr>
        <w:t xml:space="preserve"> El </w:t>
      </w:r>
      <w:proofErr w:type="gramStart"/>
      <w:r>
        <w:rPr>
          <w:color w:val="000000"/>
        </w:rPr>
        <w:t>Director General</w:t>
      </w:r>
      <w:proofErr w:type="gramEnd"/>
      <w:r>
        <w:rPr>
          <w:color w:val="000000"/>
        </w:rPr>
        <w:t xml:space="preserve"> de Asuntos Jurídicos e Igualdad de Género, emitió un oficio en el que mencionó que la información correspondiente al 1er y 2do Semestre del </w:t>
      </w:r>
      <w:proofErr w:type="gramStart"/>
      <w:r>
        <w:rPr>
          <w:color w:val="000000"/>
        </w:rPr>
        <w:t>2024,</w:t>
      </w:r>
      <w:proofErr w:type="gramEnd"/>
      <w:r>
        <w:rPr>
          <w:color w:val="000000"/>
        </w:rPr>
        <w:t xml:space="preserve"> se encuentra disponible en la página electrónica y anexó una liga electrónica en formato cerrado.</w:t>
      </w:r>
    </w:p>
    <w:p w14:paraId="1B45B381"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 xml:space="preserve">ANEXO 18 RR 4131-25.pdf: </w:t>
      </w:r>
      <w:r>
        <w:rPr>
          <w:color w:val="000000"/>
        </w:rPr>
        <w:t xml:space="preserve"> La </w:t>
      </w:r>
      <w:proofErr w:type="gramStart"/>
      <w:r>
        <w:rPr>
          <w:color w:val="000000"/>
        </w:rPr>
        <w:t>Jefa</w:t>
      </w:r>
      <w:proofErr w:type="gramEnd"/>
      <w:r>
        <w:rPr>
          <w:color w:val="000000"/>
        </w:rPr>
        <w:t xml:space="preserve"> del Departamento de Planeación y Programación de la UIPPE, emitió un oficio en el que mencionó que de acuerdo con el Lineamiento 3(19, se proporcionó la información correspondiente a marzo 2024 a marzo 2025, dentro de los que se registraron solo dos semestres respectivamente del año 2024. Proporcionó una liga electrónica en formato cerrado para acceder a la información. </w:t>
      </w:r>
    </w:p>
    <w:p w14:paraId="5C041BDA" w14:textId="77777777" w:rsidR="00E50A2D" w:rsidRDefault="008F0C97">
      <w:pPr>
        <w:pBdr>
          <w:top w:val="nil"/>
          <w:left w:val="nil"/>
          <w:bottom w:val="nil"/>
          <w:right w:val="nil"/>
          <w:between w:val="nil"/>
        </w:pBdr>
        <w:spacing w:after="0" w:line="360" w:lineRule="auto"/>
        <w:ind w:left="709"/>
        <w:rPr>
          <w:color w:val="000000"/>
        </w:rPr>
      </w:pPr>
      <w:r>
        <w:rPr>
          <w:color w:val="000000"/>
        </w:rPr>
        <w:t xml:space="preserve">Precisó que, </w:t>
      </w:r>
      <w:r>
        <w:rPr>
          <w:b/>
          <w:color w:val="000000"/>
        </w:rPr>
        <w:t>durante estos semestres, no se clasificó ningún expediente como reservado</w:t>
      </w:r>
      <w:r>
        <w:rPr>
          <w:color w:val="000000"/>
        </w:rPr>
        <w:t>, por lo que no se elaboró el índice correspondiente a cada semestre.</w:t>
      </w:r>
    </w:p>
    <w:p w14:paraId="24AD58AF"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lastRenderedPageBreak/>
        <w:t>ANEXO 19 RR 4131-25.pdf:</w:t>
      </w:r>
      <w:r>
        <w:rPr>
          <w:color w:val="000000"/>
        </w:rPr>
        <w:t xml:space="preserve"> La Suplente del Servidor Público Habilitado de la Dirección General de Coordinación con Organismos Operadores, emitió un oficio en el que mencionó que </w:t>
      </w:r>
      <w:r>
        <w:rPr>
          <w:b/>
          <w:color w:val="000000"/>
        </w:rPr>
        <w:t>no hubo expedientes clasificados como reservados en el periodo requerido</w:t>
      </w:r>
      <w:r>
        <w:rPr>
          <w:color w:val="000000"/>
        </w:rPr>
        <w:t>.</w:t>
      </w:r>
    </w:p>
    <w:p w14:paraId="292FE6ED"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ANEXO 20 RR 4131-25.pdf:</w:t>
      </w:r>
      <w:r>
        <w:rPr>
          <w:color w:val="000000"/>
        </w:rPr>
        <w:t xml:space="preserve"> La </w:t>
      </w:r>
      <w:proofErr w:type="gramStart"/>
      <w:r>
        <w:rPr>
          <w:color w:val="000000"/>
        </w:rPr>
        <w:t>Directora</w:t>
      </w:r>
      <w:proofErr w:type="gramEnd"/>
      <w:r>
        <w:rPr>
          <w:color w:val="000000"/>
        </w:rPr>
        <w:t xml:space="preserve"> del Sistema Estatal de información del Agua y suplente de Transparencia de la Dirección General de Programa Hidráulico, emitió un oficio en el que mencionó que el índice se encuentra disponible en la página electrónica y anexó una liga electrónica en formato cerrado.</w:t>
      </w:r>
    </w:p>
    <w:p w14:paraId="2DBAD22A"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ANEXO 21 RR 4131-25.pdf</w:t>
      </w:r>
      <w:r>
        <w:rPr>
          <w:color w:val="000000"/>
        </w:rPr>
        <w:t xml:space="preserve">: La </w:t>
      </w:r>
      <w:proofErr w:type="gramStart"/>
      <w:r>
        <w:rPr>
          <w:color w:val="000000"/>
        </w:rPr>
        <w:t>Jefa</w:t>
      </w:r>
      <w:proofErr w:type="gramEnd"/>
      <w:r>
        <w:rPr>
          <w:color w:val="000000"/>
        </w:rPr>
        <w:t xml:space="preserve"> de la Unidad de Difusión y Apoyo Gráfico, emitió un oficio en el que mencionó que de acuerdo con el Lineamiento 3(19, se proporcionó la información correspondiente a marzo 2024 a marzo 2025, dentro de los que se registraron solo dos semestres respectivamente del año 2024. Proporcionó una liga electrónica en formato cerrado para acceder a la información. </w:t>
      </w:r>
    </w:p>
    <w:p w14:paraId="731D5458" w14:textId="77777777" w:rsidR="00E50A2D" w:rsidRDefault="008F0C97">
      <w:pPr>
        <w:pBdr>
          <w:top w:val="nil"/>
          <w:left w:val="nil"/>
          <w:bottom w:val="nil"/>
          <w:right w:val="nil"/>
          <w:between w:val="nil"/>
        </w:pBdr>
        <w:spacing w:after="0" w:line="360" w:lineRule="auto"/>
        <w:ind w:left="709"/>
        <w:rPr>
          <w:b/>
          <w:color w:val="000000"/>
        </w:rPr>
      </w:pPr>
      <w:r>
        <w:rPr>
          <w:color w:val="000000"/>
        </w:rPr>
        <w:t xml:space="preserve">Precisó que, durante estos semestres, </w:t>
      </w:r>
      <w:r>
        <w:rPr>
          <w:b/>
          <w:color w:val="000000"/>
        </w:rPr>
        <w:t>no se clasificó ningún expediente como reservado, por lo que no se elaboró el índice correspondiente a cada semestre.</w:t>
      </w:r>
    </w:p>
    <w:p w14:paraId="4739B1EC" w14:textId="77777777" w:rsidR="00E50A2D" w:rsidRDefault="008F0C97">
      <w:pPr>
        <w:numPr>
          <w:ilvl w:val="0"/>
          <w:numId w:val="3"/>
        </w:numPr>
        <w:pBdr>
          <w:top w:val="nil"/>
          <w:left w:val="nil"/>
          <w:bottom w:val="nil"/>
          <w:right w:val="nil"/>
          <w:between w:val="nil"/>
        </w:pBdr>
        <w:spacing w:after="0" w:line="360" w:lineRule="auto"/>
        <w:rPr>
          <w:b/>
          <w:color w:val="000000"/>
        </w:rPr>
      </w:pPr>
      <w:r>
        <w:rPr>
          <w:b/>
          <w:i/>
          <w:color w:val="000000"/>
        </w:rPr>
        <w:t xml:space="preserve">ANEXOS 1 al 10 RR 4131-25.rar: </w:t>
      </w:r>
      <w:r>
        <w:rPr>
          <w:b/>
          <w:color w:val="000000"/>
        </w:rPr>
        <w:t xml:space="preserve"> </w:t>
      </w:r>
      <w:r>
        <w:rPr>
          <w:color w:val="000000"/>
        </w:rPr>
        <w:t>del que se desprende una carpeta comprimida con los diversos turnos realizados por el Titular de la Unidad de Transparencia a diversas áreas.</w:t>
      </w:r>
      <w:r>
        <w:rPr>
          <w:b/>
          <w:color w:val="000000"/>
        </w:rPr>
        <w:t xml:space="preserve"> </w:t>
      </w:r>
    </w:p>
    <w:p w14:paraId="0B6B919D" w14:textId="77777777" w:rsidR="00E50A2D" w:rsidRDefault="008F0C97">
      <w:pPr>
        <w:numPr>
          <w:ilvl w:val="0"/>
          <w:numId w:val="3"/>
        </w:numPr>
        <w:pBdr>
          <w:top w:val="nil"/>
          <w:left w:val="nil"/>
          <w:bottom w:val="nil"/>
          <w:right w:val="nil"/>
          <w:between w:val="nil"/>
        </w:pBdr>
        <w:spacing w:after="0" w:line="360" w:lineRule="auto"/>
        <w:ind w:left="709"/>
        <w:rPr>
          <w:color w:val="000000"/>
        </w:rPr>
      </w:pPr>
      <w:r>
        <w:rPr>
          <w:b/>
          <w:i/>
          <w:color w:val="000000"/>
        </w:rPr>
        <w:t xml:space="preserve">Respuesta Comisionado INFORME JUSTIFICADO RR 4131-25.pdf: </w:t>
      </w:r>
      <w:r>
        <w:rPr>
          <w:color w:val="000000"/>
        </w:rPr>
        <w:t>Oficio emitido por el Titular de la Unidad de Transparencia del Sujeto Obligado, en el que describió los anexos antes descritos.</w:t>
      </w:r>
    </w:p>
    <w:p w14:paraId="38BDF692" w14:textId="77777777" w:rsidR="00E50A2D" w:rsidRDefault="00E50A2D">
      <w:pPr>
        <w:pBdr>
          <w:top w:val="nil"/>
          <w:left w:val="nil"/>
          <w:bottom w:val="nil"/>
          <w:right w:val="nil"/>
          <w:between w:val="nil"/>
        </w:pBdr>
        <w:spacing w:after="0" w:line="360" w:lineRule="auto"/>
        <w:ind w:left="720"/>
        <w:rPr>
          <w:color w:val="000000"/>
        </w:rPr>
      </w:pPr>
    </w:p>
    <w:p w14:paraId="6AA92444" w14:textId="77777777" w:rsidR="00E50A2D" w:rsidRDefault="008F0C97">
      <w:pPr>
        <w:spacing w:after="0" w:line="360" w:lineRule="auto"/>
      </w:pPr>
      <w:r>
        <w:rPr>
          <w:b/>
        </w:rPr>
        <w:t>d) Vista del Informe Justificado.</w:t>
      </w:r>
      <w:r>
        <w:t xml:space="preserve"> El once de julio de dos mil veinticinco, se dictó acuerdo por medio del cual se puso a la vista de la persona Recurrente el informe justificado entregado por el Sujeto Obligado, el cual fue notificado a las partes, el mismo día, a través del SAIMEX.</w:t>
      </w:r>
    </w:p>
    <w:p w14:paraId="75E12DC0" w14:textId="77777777" w:rsidR="00E50A2D" w:rsidRDefault="00E50A2D">
      <w:pPr>
        <w:spacing w:after="0" w:line="360" w:lineRule="auto"/>
        <w:rPr>
          <w:b/>
        </w:rPr>
      </w:pPr>
    </w:p>
    <w:p w14:paraId="5AA511EA" w14:textId="77777777" w:rsidR="00E50A2D" w:rsidRDefault="008F0C97">
      <w:pPr>
        <w:spacing w:after="0" w:line="360" w:lineRule="auto"/>
      </w:pPr>
      <w:r>
        <w:rPr>
          <w:b/>
        </w:rPr>
        <w:lastRenderedPageBreak/>
        <w:t xml:space="preserve">e) Manifestaciones de la parte Recurrente. </w:t>
      </w:r>
      <w:r>
        <w:t xml:space="preserve">De las constancias que obran en el SAIMEX, se advierte que la parte Recurrente no añadió manifestaciones. </w:t>
      </w:r>
    </w:p>
    <w:p w14:paraId="09AD1EE5" w14:textId="77777777" w:rsidR="00E50A2D" w:rsidRDefault="00E50A2D">
      <w:pPr>
        <w:spacing w:after="0" w:line="360" w:lineRule="auto"/>
      </w:pPr>
    </w:p>
    <w:p w14:paraId="5186E559" w14:textId="77777777" w:rsidR="00E50A2D" w:rsidRDefault="008F0C97">
      <w:pPr>
        <w:spacing w:after="0" w:line="360" w:lineRule="auto"/>
        <w:rPr>
          <w:b/>
          <w:color w:val="000000"/>
        </w:rPr>
      </w:pPr>
      <w:r>
        <w:rPr>
          <w:b/>
        </w:rPr>
        <w:t>f)</w:t>
      </w:r>
      <w:r>
        <w:t xml:space="preserve"> </w:t>
      </w:r>
      <w:r>
        <w:rPr>
          <w:b/>
        </w:rPr>
        <w:t>Ampliación de plazo para resolver</w:t>
      </w:r>
      <w:r>
        <w:t>. El diecinueve de junio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en la misma fecha, mediante el SAIMEX.</w:t>
      </w:r>
    </w:p>
    <w:p w14:paraId="3F195CFA" w14:textId="77777777" w:rsidR="00E50A2D" w:rsidRDefault="00E50A2D">
      <w:pPr>
        <w:spacing w:after="0" w:line="360" w:lineRule="auto"/>
      </w:pPr>
    </w:p>
    <w:p w14:paraId="4B10ADE6" w14:textId="6DE75833" w:rsidR="00E50A2D" w:rsidRDefault="008F0C97">
      <w:pPr>
        <w:spacing w:after="0" w:line="360" w:lineRule="auto"/>
      </w:pPr>
      <w:r>
        <w:rPr>
          <w:b/>
        </w:rPr>
        <w:t>g) Cierre de instrucción.</w:t>
      </w:r>
      <w:r>
        <w:t xml:space="preserve"> El </w:t>
      </w:r>
      <w:r w:rsidR="000B427F">
        <w:t>dieciocho</w:t>
      </w:r>
      <w:r>
        <w:t xml:space="preserve"> de julio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59EC2A8B" w14:textId="77777777" w:rsidR="00E50A2D" w:rsidRDefault="00E50A2D">
      <w:pPr>
        <w:spacing w:after="0" w:line="360" w:lineRule="auto"/>
      </w:pPr>
    </w:p>
    <w:p w14:paraId="5428F61B" w14:textId="77777777" w:rsidR="00E50A2D" w:rsidRDefault="008F0C97">
      <w:pPr>
        <w:spacing w:after="0" w:line="360" w:lineRule="auto"/>
      </w:pPr>
      <w:proofErr w:type="gramStart"/>
      <w:r>
        <w:t>En razón de</w:t>
      </w:r>
      <w:proofErr w:type="gramEnd"/>
      <w:r>
        <w:t xml:space="preserve"> que fue debidamente sustanciado e integrado el expediente electrónico y no existir diligencia pendiente de desahogo, se emite la resolución que conforme a Derecho proceda, </w:t>
      </w:r>
      <w:proofErr w:type="gramStart"/>
      <w:r>
        <w:t>de acuerdo a</w:t>
      </w:r>
      <w:proofErr w:type="gramEnd"/>
      <w:r>
        <w:t xml:space="preserve"> los siguientes: </w:t>
      </w:r>
    </w:p>
    <w:p w14:paraId="42763AF5" w14:textId="77777777" w:rsidR="00E50A2D" w:rsidRDefault="00E50A2D">
      <w:pPr>
        <w:spacing w:after="0" w:line="360" w:lineRule="auto"/>
      </w:pPr>
    </w:p>
    <w:p w14:paraId="4CC097FA" w14:textId="77777777" w:rsidR="00E50A2D" w:rsidRDefault="008F0C97">
      <w:pPr>
        <w:pStyle w:val="Ttulo1"/>
        <w:spacing w:before="0" w:after="0"/>
        <w:rPr>
          <w:sz w:val="22"/>
          <w:szCs w:val="22"/>
        </w:rPr>
      </w:pPr>
      <w:bookmarkStart w:id="7" w:name="_Toc205476579"/>
      <w:r>
        <w:rPr>
          <w:sz w:val="22"/>
          <w:szCs w:val="22"/>
        </w:rPr>
        <w:t>C O N S I D E R A N D O S</w:t>
      </w:r>
      <w:bookmarkEnd w:id="7"/>
    </w:p>
    <w:p w14:paraId="13933CE5" w14:textId="77777777" w:rsidR="00E50A2D" w:rsidRDefault="00E50A2D">
      <w:pPr>
        <w:spacing w:after="0" w:line="360" w:lineRule="auto"/>
        <w:rPr>
          <w:b/>
        </w:rPr>
      </w:pPr>
    </w:p>
    <w:p w14:paraId="1293E653" w14:textId="77777777" w:rsidR="00E50A2D" w:rsidRDefault="008F0C97">
      <w:pPr>
        <w:pStyle w:val="Ttulo2"/>
        <w:spacing w:before="0" w:after="0"/>
      </w:pPr>
      <w:bookmarkStart w:id="8" w:name="_Toc205476580"/>
      <w:r>
        <w:t>PRIMERO. Competencia</w:t>
      </w:r>
      <w:bookmarkEnd w:id="8"/>
    </w:p>
    <w:p w14:paraId="4EF7BC6B" w14:textId="77777777" w:rsidR="00E50A2D" w:rsidRDefault="00E50A2D">
      <w:pPr>
        <w:spacing w:after="0" w:line="360" w:lineRule="auto"/>
      </w:pPr>
    </w:p>
    <w:p w14:paraId="682D718A" w14:textId="473D7328" w:rsidR="00E50A2D" w:rsidRDefault="00E92976">
      <w:pPr>
        <w:spacing w:after="0" w:line="360" w:lineRule="auto"/>
      </w:pPr>
      <w:r w:rsidRPr="00E92976">
        <w:t xml:space="preserve">El Instituto de Transparencia, Acceso a la Información Pública y Protección de Datos Personales del Estado de México y Municipios, es competente para conocer y resolver el presente recurso </w:t>
      </w:r>
      <w:r w:rsidRPr="00E92976">
        <w:lastRenderedPageBreak/>
        <w:t>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4CB4C78" w14:textId="77777777" w:rsidR="00E92976" w:rsidRDefault="00E92976">
      <w:pPr>
        <w:spacing w:after="0" w:line="360" w:lineRule="auto"/>
      </w:pPr>
    </w:p>
    <w:p w14:paraId="326998F2" w14:textId="77777777" w:rsidR="00E50A2D" w:rsidRDefault="008F0C97">
      <w:pPr>
        <w:pStyle w:val="Ttulo2"/>
        <w:spacing w:before="0" w:after="0"/>
      </w:pPr>
      <w:bookmarkStart w:id="9" w:name="_Toc205476581"/>
      <w:r>
        <w:t>SEGUNDO. Causales de improcedencia y sobreseimiento</w:t>
      </w:r>
      <w:bookmarkEnd w:id="9"/>
    </w:p>
    <w:p w14:paraId="181D3F47" w14:textId="77777777" w:rsidR="00E50A2D" w:rsidRDefault="00E50A2D">
      <w:pPr>
        <w:spacing w:after="0" w:line="360" w:lineRule="auto"/>
      </w:pPr>
    </w:p>
    <w:p w14:paraId="35114595" w14:textId="77777777" w:rsidR="00E50A2D" w:rsidRDefault="008F0C97">
      <w:pPr>
        <w:spacing w:after="0" w:line="360" w:lineRule="auto"/>
      </w:pPr>
      <w:r>
        <w:t xml:space="preserve">De las constancias que forman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72A74735" w14:textId="77777777" w:rsidR="00E50A2D" w:rsidRDefault="00E50A2D">
      <w:pPr>
        <w:spacing w:after="0" w:line="360" w:lineRule="auto"/>
      </w:pPr>
    </w:p>
    <w:p w14:paraId="1663B38B" w14:textId="77777777" w:rsidR="00E50A2D" w:rsidRDefault="008F0C97">
      <w:pPr>
        <w:spacing w:after="0" w:line="360" w:lineRule="auto"/>
        <w:rPr>
          <w:b/>
        </w:rPr>
      </w:pPr>
      <w:r>
        <w:rPr>
          <w:b/>
        </w:rPr>
        <w:t>Causales de improcedencia</w:t>
      </w:r>
    </w:p>
    <w:p w14:paraId="09EB9592" w14:textId="77777777" w:rsidR="00E50A2D" w:rsidRDefault="00E50A2D">
      <w:pPr>
        <w:spacing w:after="0" w:line="360" w:lineRule="auto"/>
      </w:pPr>
    </w:p>
    <w:p w14:paraId="2DD5ACC0" w14:textId="77777777" w:rsidR="00E50A2D" w:rsidRDefault="008F0C97">
      <w:pPr>
        <w:spacing w:after="0" w:line="360" w:lineRule="auto"/>
      </w:pPr>
      <w: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95109C1" w14:textId="77777777" w:rsidR="00E50A2D" w:rsidRDefault="00E50A2D">
      <w:pPr>
        <w:spacing w:after="0" w:line="360" w:lineRule="auto"/>
      </w:pPr>
    </w:p>
    <w:p w14:paraId="34F0204F" w14:textId="77777777" w:rsidR="00E50A2D" w:rsidRDefault="008F0C97">
      <w:pPr>
        <w:spacing w:after="0" w:line="360" w:lineRule="auto"/>
      </w:pPr>
      <w:r>
        <w:lastRenderedPageBreak/>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B143F74" w14:textId="77777777" w:rsidR="00E50A2D" w:rsidRDefault="00E50A2D">
      <w:pPr>
        <w:spacing w:after="0" w:line="360" w:lineRule="auto"/>
        <w:rPr>
          <w:b/>
        </w:rPr>
      </w:pPr>
    </w:p>
    <w:p w14:paraId="52D32D4A" w14:textId="77777777" w:rsidR="00E50A2D" w:rsidRDefault="008F0C97">
      <w:pPr>
        <w:spacing w:after="0" w:line="360" w:lineRule="auto"/>
        <w:ind w:right="-28"/>
        <w:rPr>
          <w:b/>
        </w:rPr>
      </w:pPr>
      <w:r>
        <w:rPr>
          <w:b/>
        </w:rPr>
        <w:t>Causales de sobreseimiento</w:t>
      </w:r>
    </w:p>
    <w:p w14:paraId="0A7D5C4F" w14:textId="77777777" w:rsidR="00E50A2D" w:rsidRDefault="00E50A2D">
      <w:pPr>
        <w:spacing w:after="0" w:line="360" w:lineRule="auto"/>
        <w:ind w:right="-28"/>
      </w:pPr>
    </w:p>
    <w:p w14:paraId="064AEFCF" w14:textId="77777777" w:rsidR="00E50A2D" w:rsidRDefault="008F0C97">
      <w:pPr>
        <w:spacing w:after="0" w:line="360" w:lineRule="auto"/>
      </w:pPr>
      <w: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Pr>
          <w:b/>
        </w:rPr>
        <w:t xml:space="preserve"> </w:t>
      </w:r>
      <w:r>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03DE9904" w14:textId="77777777" w:rsidR="00E50A2D" w:rsidRDefault="00E50A2D">
      <w:pPr>
        <w:spacing w:after="0" w:line="360" w:lineRule="auto"/>
      </w:pPr>
    </w:p>
    <w:p w14:paraId="0DA0E681" w14:textId="77777777" w:rsidR="00E50A2D" w:rsidRDefault="008F0C97">
      <w:pPr>
        <w:pStyle w:val="Ttulo2"/>
        <w:spacing w:before="0" w:after="0"/>
      </w:pPr>
      <w:bookmarkStart w:id="10" w:name="_Toc205476582"/>
      <w:r>
        <w:t>TERCERO. Determinación de la Controversia</w:t>
      </w:r>
      <w:bookmarkEnd w:id="10"/>
    </w:p>
    <w:p w14:paraId="70B7913E" w14:textId="77777777" w:rsidR="00E50A2D" w:rsidRDefault="00E50A2D">
      <w:pPr>
        <w:tabs>
          <w:tab w:val="left" w:pos="4962"/>
        </w:tabs>
        <w:spacing w:after="0" w:line="360" w:lineRule="auto"/>
      </w:pPr>
    </w:p>
    <w:p w14:paraId="4D4BE212" w14:textId="77777777" w:rsidR="00E50A2D" w:rsidRDefault="008F0C97">
      <w:pPr>
        <w:tabs>
          <w:tab w:val="left" w:pos="4962"/>
        </w:tabs>
        <w:spacing w:after="0" w:line="360" w:lineRule="auto"/>
      </w:pPr>
      <w:r>
        <w:t>La parte Solicitante requirió el índice de los expedientes clasificados como reservados de cada Dirección General de la Comisión del Agua del Estado de México (CAEM), incluyendo las áreas staff UMAI, UIPPE, UDAG y Contraloría Interna, en términos de lo dispuesto por el artículo 126 de la Ley de Transparencia y Acceso a la Información Pública del Estado de México y Municipios.</w:t>
      </w:r>
    </w:p>
    <w:p w14:paraId="732CB1C4" w14:textId="77777777" w:rsidR="00E50A2D" w:rsidRDefault="00E50A2D">
      <w:pPr>
        <w:tabs>
          <w:tab w:val="left" w:pos="4962"/>
        </w:tabs>
        <w:spacing w:after="0" w:line="360" w:lineRule="auto"/>
      </w:pPr>
    </w:p>
    <w:p w14:paraId="14AC9541" w14:textId="77777777" w:rsidR="00E50A2D" w:rsidRDefault="008F0C97">
      <w:pPr>
        <w:tabs>
          <w:tab w:val="left" w:pos="4962"/>
        </w:tabs>
        <w:spacing w:after="0" w:line="360" w:lineRule="auto"/>
      </w:pPr>
      <w:r>
        <w:lastRenderedPageBreak/>
        <w:t>En respuesta el Sujeto Obligado, informó mediante diversos oficios emitidos por las distintas áreas, que algunas unidades no cuentan con expedientes clasificados como reservados y, por tanto, no elaboran índices; mientras que otras señalaron que la información solicitada se encuentra disponible y accesible públicamente a través del portal de IPOMEX, proporcionando las ligas electrónicas en formato cerrado y describiendo el procedimiento para su consulta.</w:t>
      </w:r>
    </w:p>
    <w:p w14:paraId="3BE6AB91" w14:textId="77777777" w:rsidR="00E50A2D" w:rsidRDefault="00E50A2D">
      <w:pPr>
        <w:tabs>
          <w:tab w:val="left" w:pos="4962"/>
        </w:tabs>
        <w:spacing w:after="0" w:line="360" w:lineRule="auto"/>
      </w:pPr>
    </w:p>
    <w:p w14:paraId="1B50A20F" w14:textId="77777777" w:rsidR="00E50A2D" w:rsidRDefault="008F0C97">
      <w:pPr>
        <w:tabs>
          <w:tab w:val="left" w:pos="4962"/>
        </w:tabs>
        <w:spacing w:after="0" w:line="360" w:lineRule="auto"/>
      </w:pPr>
      <w:r>
        <w:t>Derivado de la respuesta, la parte Recurrente se inconformó y señaló que la información proporcionada es incompleta, ya que solo se remitió al portal IPOMEX en el que dijo solo haber localizado el año 2024 y que no se suben oficios en los que se fundamentó o motivó porque no existen los índices, además, añadió un cuestionamiento sobre los índices de los años anteriores.</w:t>
      </w:r>
    </w:p>
    <w:p w14:paraId="7F65DEC1" w14:textId="77777777" w:rsidR="00E50A2D" w:rsidRDefault="00E50A2D">
      <w:pPr>
        <w:tabs>
          <w:tab w:val="left" w:pos="4962"/>
        </w:tabs>
        <w:spacing w:after="0" w:line="360" w:lineRule="auto"/>
      </w:pPr>
    </w:p>
    <w:p w14:paraId="021F92FE" w14:textId="77777777" w:rsidR="00E50A2D" w:rsidRDefault="008F0C97">
      <w:pPr>
        <w:tabs>
          <w:tab w:val="left" w:pos="4962"/>
        </w:tabs>
        <w:spacing w:after="0" w:line="360" w:lineRule="auto"/>
      </w:pPr>
      <w:r>
        <w:t xml:space="preserve">Durante la sustanciación del Recurso de Revisión, el Sujeto Obligado rindió informe justificado en el que algunas direcciones manifestaron no contar con expedientes reservados durante la temporalidad de un año anterior a la solicitud, algunas remitieron sus índices y otras ratificaron la respuesta remitiendo a ligas electrónicas en formato cerrado. La parte Recurrente no añadió manifestaciones.  </w:t>
      </w:r>
    </w:p>
    <w:p w14:paraId="1056DDF0" w14:textId="77777777" w:rsidR="00E50A2D" w:rsidRDefault="00E50A2D">
      <w:pPr>
        <w:tabs>
          <w:tab w:val="left" w:pos="4962"/>
        </w:tabs>
        <w:spacing w:after="0" w:line="360" w:lineRule="auto"/>
      </w:pPr>
    </w:p>
    <w:p w14:paraId="6F8CF47D" w14:textId="77777777" w:rsidR="00E50A2D" w:rsidRDefault="008F0C97">
      <w:pPr>
        <w:tabs>
          <w:tab w:val="left" w:pos="4962"/>
        </w:tabs>
        <w:spacing w:after="0" w:line="360" w:lineRule="auto"/>
      </w:pPr>
      <w:r>
        <w:t>Así pues, de las constancias que integran el expediente, se advierte que en el asunto que nos ocupa se actualiza la causal de procedencia señalada en el artículo 179, fracción V, de la Ley de la materia; por la entrega de la información incompleta.</w:t>
      </w:r>
    </w:p>
    <w:p w14:paraId="0D8C4803" w14:textId="77777777" w:rsidR="00E50A2D" w:rsidRDefault="00E50A2D">
      <w:pPr>
        <w:tabs>
          <w:tab w:val="left" w:pos="4962"/>
        </w:tabs>
        <w:spacing w:after="0" w:line="360" w:lineRule="auto"/>
      </w:pPr>
    </w:p>
    <w:p w14:paraId="59B36472" w14:textId="77777777" w:rsidR="00E50A2D" w:rsidRDefault="008F0C97">
      <w:pPr>
        <w:tabs>
          <w:tab w:val="left" w:pos="4962"/>
        </w:tabs>
        <w:spacing w:after="0" w:line="360" w:lineRule="auto"/>
      </w:pPr>
      <w: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2213C95" w14:textId="77777777" w:rsidR="00E50A2D" w:rsidRDefault="00E50A2D">
      <w:pPr>
        <w:tabs>
          <w:tab w:val="left" w:pos="4962"/>
        </w:tabs>
        <w:spacing w:after="0" w:line="360" w:lineRule="auto"/>
      </w:pPr>
    </w:p>
    <w:p w14:paraId="601E11CB" w14:textId="77777777" w:rsidR="00E50A2D" w:rsidRDefault="008F0C97">
      <w:pPr>
        <w:tabs>
          <w:tab w:val="left" w:pos="4962"/>
        </w:tabs>
        <w:spacing w:after="0" w:line="360" w:lineRule="auto"/>
      </w:pPr>
      <w:r>
        <w:lastRenderedPageBreak/>
        <w:t xml:space="preserve">Cabe precisar que del agravio formulado por la parte Recurrente resalta la manifestación siguiente: </w:t>
      </w:r>
      <w:proofErr w:type="gramStart"/>
      <w:r>
        <w:rPr>
          <w:i/>
        </w:rPr>
        <w:t>“ al</w:t>
      </w:r>
      <w:proofErr w:type="gramEnd"/>
      <w:r>
        <w:rPr>
          <w:i/>
        </w:rPr>
        <w:t xml:space="preserve"> portal del </w:t>
      </w:r>
      <w:proofErr w:type="spellStart"/>
      <w:r>
        <w:rPr>
          <w:i/>
        </w:rPr>
        <w:t>infoem</w:t>
      </w:r>
      <w:proofErr w:type="spellEnd"/>
      <w:r>
        <w:rPr>
          <w:i/>
        </w:rPr>
        <w:t xml:space="preserve"> en donde solo se encuentra lo del año 2024 por cierto muy escueto porque no lo suben por sementar ni un oficio en donde fundamenten y motiven </w:t>
      </w:r>
      <w:proofErr w:type="spellStart"/>
      <w:r>
        <w:rPr>
          <w:i/>
        </w:rPr>
        <w:t>el porque</w:t>
      </w:r>
      <w:proofErr w:type="spellEnd"/>
      <w:r>
        <w:rPr>
          <w:i/>
        </w:rPr>
        <w:t xml:space="preserve"> no existe </w:t>
      </w:r>
      <w:proofErr w:type="spellStart"/>
      <w:r>
        <w:rPr>
          <w:i/>
        </w:rPr>
        <w:t>informacion</w:t>
      </w:r>
      <w:proofErr w:type="spellEnd"/>
      <w:r>
        <w:rPr>
          <w:i/>
        </w:rPr>
        <w:t xml:space="preserve"> clasificada y lo de los años anteriores donde esta información si existe que si lo hay en el </w:t>
      </w:r>
      <w:proofErr w:type="spellStart"/>
      <w:r>
        <w:rPr>
          <w:i/>
        </w:rPr>
        <w:t>ipomex</w:t>
      </w:r>
      <w:proofErr w:type="spellEnd"/>
      <w:r>
        <w:rPr>
          <w:i/>
        </w:rPr>
        <w:t xml:space="preserve"> 3.0 </w:t>
      </w:r>
      <w:proofErr w:type="spellStart"/>
      <w:r>
        <w:rPr>
          <w:i/>
        </w:rPr>
        <w:t>por que</w:t>
      </w:r>
      <w:proofErr w:type="spellEnd"/>
      <w:r>
        <w:rPr>
          <w:i/>
        </w:rPr>
        <w:t xml:space="preserve"> no se me indico donde consultarlo?”</w:t>
      </w:r>
      <w:r>
        <w:t xml:space="preserve"> </w:t>
      </w:r>
      <w:r>
        <w:rPr>
          <w:i/>
        </w:rPr>
        <w:t>(Sic.)</w:t>
      </w:r>
      <w:r>
        <w:t xml:space="preserve"> </w:t>
      </w:r>
    </w:p>
    <w:p w14:paraId="7C9D87A3" w14:textId="77777777" w:rsidR="00E50A2D" w:rsidRDefault="00E50A2D">
      <w:pPr>
        <w:tabs>
          <w:tab w:val="left" w:pos="4962"/>
        </w:tabs>
        <w:spacing w:after="0" w:line="360" w:lineRule="auto"/>
      </w:pPr>
    </w:p>
    <w:p w14:paraId="426971D3" w14:textId="77777777" w:rsidR="00E50A2D" w:rsidRDefault="008F0C97">
      <w:pPr>
        <w:tabs>
          <w:tab w:val="left" w:pos="4962"/>
        </w:tabs>
        <w:spacing w:after="0" w:line="360" w:lineRule="auto"/>
        <w:rPr>
          <w:color w:val="000000"/>
        </w:rPr>
      </w:pPr>
      <w:r>
        <w:t xml:space="preserve">Ante lo cual, cabe mencionar que la solicitud inicial, la parte Recurrente no manifestó la temporalidad por la que requiere la información, sin embargo, ello no implica que se pueda definir la misma a través del Recurso de Revisión, además de que, lo correspondiente a la justificación o motivación que sustentante que en el IPOMEX no se cuenten con oficios en los que se sustenta que no se tienen expedientes clasificados, no fue requerido en un primer momento en la solicitud inicial por lo que se configura lo que se conoce como </w:t>
      </w:r>
      <w:r>
        <w:rPr>
          <w:b/>
          <w:i/>
        </w:rPr>
        <w:t xml:space="preserve">plus </w:t>
      </w:r>
      <w:proofErr w:type="spellStart"/>
      <w:r>
        <w:rPr>
          <w:b/>
          <w:i/>
        </w:rPr>
        <w:t>petitio</w:t>
      </w:r>
      <w:proofErr w:type="spellEnd"/>
      <w:r>
        <w:rPr>
          <w:i/>
        </w:rPr>
        <w:t xml:space="preserve">, </w:t>
      </w:r>
      <w:r>
        <w:t xml:space="preserve">que consiste en una ampliación a su requerimiento informativo, argumentos que no son susceptibles de ser valorados en términos de la fracción VII del Artículo 191 de la </w:t>
      </w:r>
      <w:r>
        <w:rPr>
          <w:color w:val="000000"/>
        </w:rPr>
        <w:t xml:space="preserve">Ley de Transparencia y Acceso a la Información Pública del Estado de México y Municipios, el cual señala la improcedencia cuando la persona Recurrente amplíe su solicitud en el recurso de revisión, </w:t>
      </w:r>
      <w:r>
        <w:rPr>
          <w:b/>
          <w:color w:val="000000"/>
          <w:u w:val="single"/>
        </w:rPr>
        <w:t>únicamente respecto de los nuevos contenidos</w:t>
      </w:r>
      <w:r>
        <w:rPr>
          <w:color w:val="000000"/>
        </w:rPr>
        <w:t>. Por lo cual el requerimiento realizado a través del medio de impugnación configura un nuevo contenido que pretende ampliar la solicitud, situación que no será sujeta de análisis por resultar improcedente.</w:t>
      </w:r>
    </w:p>
    <w:p w14:paraId="62407DFF" w14:textId="77777777" w:rsidR="00E50A2D" w:rsidRDefault="00E50A2D">
      <w:pPr>
        <w:tabs>
          <w:tab w:val="left" w:pos="4962"/>
        </w:tabs>
        <w:spacing w:after="0" w:line="360" w:lineRule="auto"/>
        <w:rPr>
          <w:color w:val="000000"/>
        </w:rPr>
      </w:pPr>
    </w:p>
    <w:p w14:paraId="5F2E9160" w14:textId="77777777" w:rsidR="00E50A2D" w:rsidRDefault="008F0C97">
      <w:pPr>
        <w:spacing w:after="0" w:line="360" w:lineRule="auto"/>
        <w:rPr>
          <w:color w:val="000000"/>
        </w:rPr>
      </w:pPr>
      <w:r>
        <w:rPr>
          <w:color w:val="000000"/>
        </w:rPr>
        <w:t xml:space="preserve">En atención a lo anterior, </w:t>
      </w:r>
      <w:r>
        <w:rPr>
          <w:b/>
          <w:color w:val="000000"/>
        </w:rPr>
        <w:t>subsiste únicamente el motivo de inconformidad por la entrega de información incompleta por remitir al sistema IPOMEX</w:t>
      </w:r>
      <w:r>
        <w:rPr>
          <w:color w:val="000000"/>
        </w:rPr>
        <w:t xml:space="preserve">, en atención a ello,  cabe aclarar que de las respuestas proporcionadas por el Sujeto Obligado se advierte que algunas Direcciones como la </w:t>
      </w:r>
      <w:r>
        <w:t xml:space="preserve">Unidad de Difusión y Apoyo Gráfico, la Dirección General de Operaciones y Atención a Emergencias, la Dirección General de Infraestructura Hidráulica, la Dirección  General de Inversión y Gestión en Materia de Transparencia, el Departamento de Planeación y </w:t>
      </w:r>
      <w:r>
        <w:lastRenderedPageBreak/>
        <w:t xml:space="preserve">Programación, </w:t>
      </w:r>
      <w:r>
        <w:rPr>
          <w:b/>
        </w:rPr>
        <w:t>manifestaron no contar con expedientes clasificados</w:t>
      </w:r>
      <w:r>
        <w:t xml:space="preserve"> por tanto, no tener índices y la Unidad de Información, Planeación, Programación y Evaluación remitió sus índices de expedientes reservados del primer trimestre 2025; sin embargo, dichas respuestas no fueron impugnadas por la parte Recurrente, </w:t>
      </w:r>
      <w:r>
        <w:rPr>
          <w:b/>
        </w:rPr>
        <w:t>por lo que se tienen por satisfechas, dado que no emitió motivo de agravio en su contra,</w:t>
      </w:r>
      <w:r>
        <w:t xml:space="preserve"> contrario a ello, únicamente se pronunció por las respuestas en las que lo remitieron al IPOMEX, </w:t>
      </w:r>
      <w:r>
        <w:rPr>
          <w:color w:val="000000"/>
        </w:rPr>
        <w:t xml:space="preserve">situación por la cual no se hará pronunciamiento alguno; lo anterior de conformidad con lo dispuesto en el artículo 195 de la Ley de Transparencia y Acceso a la Información Pública del Estado de México y Municipios, con relación con el diverso 195, fracción IV, </w:t>
      </w:r>
      <w:r>
        <w:t>del Código</w:t>
      </w:r>
      <w:r>
        <w:rPr>
          <w:color w:val="000000"/>
        </w:rPr>
        <w:t xml:space="preserve">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188C05BD" w14:textId="77777777" w:rsidR="00E50A2D" w:rsidRDefault="00E50A2D">
      <w:pPr>
        <w:spacing w:after="0" w:line="360" w:lineRule="auto"/>
        <w:rPr>
          <w:color w:val="000000"/>
        </w:rPr>
      </w:pPr>
    </w:p>
    <w:p w14:paraId="4EC4F2C9" w14:textId="77777777" w:rsidR="00E50A2D" w:rsidRDefault="008F0C97">
      <w:pPr>
        <w:spacing w:after="0" w:line="360" w:lineRule="auto"/>
        <w:rPr>
          <w:color w:val="000000"/>
        </w:rPr>
      </w:pPr>
      <w:r>
        <w:rPr>
          <w:color w:val="000000"/>
        </w:rPr>
        <w:t xml:space="preserve">De la misma manera resulta aplicable el criterio sostenido por el Poder Judicial de la Federación de rubro </w:t>
      </w:r>
      <w:r>
        <w:rPr>
          <w:b/>
          <w:color w:val="000000"/>
        </w:rPr>
        <w:t>ACTOS CONSENTIDOS TÁCITAMENTE, Tesis VI.2o. J/21</w:t>
      </w:r>
      <w:r>
        <w:rPr>
          <w:color w:val="000000"/>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4A2DBAA" w14:textId="77777777" w:rsidR="00E50A2D" w:rsidRDefault="00E50A2D">
      <w:pPr>
        <w:spacing w:after="0" w:line="360" w:lineRule="auto"/>
        <w:rPr>
          <w:color w:val="000000"/>
        </w:rPr>
      </w:pPr>
    </w:p>
    <w:p w14:paraId="26D1F003" w14:textId="77777777" w:rsidR="00E50A2D" w:rsidRDefault="008F0C97">
      <w:pPr>
        <w:spacing w:after="0" w:line="360" w:lineRule="auto"/>
        <w:rPr>
          <w:color w:val="000000"/>
        </w:rPr>
      </w:pPr>
      <w:r>
        <w:rPr>
          <w:color w:val="000000"/>
        </w:rPr>
        <w:t>En ese sentido, en el caso de que la persona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5EF16241" w14:textId="77777777" w:rsidR="00E50A2D" w:rsidRDefault="00E50A2D">
      <w:pPr>
        <w:tabs>
          <w:tab w:val="left" w:pos="4962"/>
        </w:tabs>
        <w:spacing w:after="0" w:line="360" w:lineRule="auto"/>
        <w:rPr>
          <w:color w:val="000000"/>
        </w:rPr>
      </w:pPr>
    </w:p>
    <w:p w14:paraId="6D53362C" w14:textId="77777777" w:rsidR="00E50A2D" w:rsidRDefault="008F0C97">
      <w:pPr>
        <w:tabs>
          <w:tab w:val="left" w:pos="4962"/>
        </w:tabs>
        <w:spacing w:after="0" w:line="360" w:lineRule="auto"/>
        <w:rPr>
          <w:color w:val="000000"/>
        </w:rPr>
      </w:pPr>
      <w:r>
        <w:rPr>
          <w:color w:val="000000"/>
        </w:rPr>
        <w:lastRenderedPageBreak/>
        <w:t xml:space="preserve">Así pues, </w:t>
      </w:r>
      <w:r>
        <w:rPr>
          <w:b/>
          <w:color w:val="000000"/>
        </w:rPr>
        <w:t>subsiste únicamente el motivo de agravio en contra de las respuestas en las que lo remitieron al portal IPOMEX</w:t>
      </w:r>
      <w:r>
        <w:rPr>
          <w:color w:val="000000"/>
        </w:rPr>
        <w:t xml:space="preserve">. </w:t>
      </w:r>
    </w:p>
    <w:p w14:paraId="2C5218AB" w14:textId="77777777" w:rsidR="00E50A2D" w:rsidRDefault="00E50A2D">
      <w:pPr>
        <w:tabs>
          <w:tab w:val="left" w:pos="4962"/>
        </w:tabs>
        <w:spacing w:after="0" w:line="360" w:lineRule="auto"/>
        <w:rPr>
          <w:color w:val="000000"/>
        </w:rPr>
      </w:pPr>
    </w:p>
    <w:p w14:paraId="64891423" w14:textId="77777777" w:rsidR="00E50A2D" w:rsidRDefault="008F0C97">
      <w:pPr>
        <w:pStyle w:val="Ttulo2"/>
        <w:spacing w:before="0" w:after="0"/>
      </w:pPr>
      <w:bookmarkStart w:id="11" w:name="_Toc205476583"/>
      <w:r>
        <w:t>CUARTO. Marco normativo aplicable en materia de transparencia y acceso a la información pública</w:t>
      </w:r>
      <w:bookmarkEnd w:id="11"/>
    </w:p>
    <w:p w14:paraId="79D66F82" w14:textId="77777777" w:rsidR="00E50A2D" w:rsidRDefault="00E50A2D">
      <w:pPr>
        <w:spacing w:after="0" w:line="360" w:lineRule="auto"/>
      </w:pPr>
    </w:p>
    <w:p w14:paraId="3280C48A" w14:textId="77777777" w:rsidR="00E50A2D" w:rsidRDefault="008F0C97">
      <w:pPr>
        <w:spacing w:after="0" w:line="360" w:lineRule="auto"/>
      </w:pPr>
      <w:r>
        <w:t xml:space="preserve">El artículo 6°, Apartado A), fracción I, de la Constitución Política de los Estados Unidos Mexicanos, establece que toda la información en posesión de cualquier </w:t>
      </w:r>
      <w:proofErr w:type="gramStart"/>
      <w:r>
        <w:t>autoridad,</w:t>
      </w:r>
      <w:proofErr w:type="gramEnd"/>
      <w:r>
        <w:t xml:space="preserve"> es pública y sólo podrá ser reservada temporalmente por razones de interés público.</w:t>
      </w:r>
    </w:p>
    <w:p w14:paraId="1100B4C8" w14:textId="77777777" w:rsidR="00E50A2D" w:rsidRDefault="00E50A2D">
      <w:pPr>
        <w:spacing w:after="0" w:line="360" w:lineRule="auto"/>
      </w:pPr>
    </w:p>
    <w:p w14:paraId="63241D8B" w14:textId="77777777" w:rsidR="00E50A2D" w:rsidRDefault="008F0C97">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8E42DF" w14:textId="77777777" w:rsidR="00E50A2D" w:rsidRDefault="00E50A2D">
      <w:pPr>
        <w:spacing w:after="0" w:line="360" w:lineRule="auto"/>
      </w:pPr>
    </w:p>
    <w:p w14:paraId="1BA85C00" w14:textId="77777777" w:rsidR="00E50A2D" w:rsidRDefault="008F0C97">
      <w:pPr>
        <w:spacing w:after="0" w:line="360" w:lineRule="auto"/>
      </w:pPr>
      <w:r>
        <w:t>Por su parte, la Ley de Transparencia y Acceso a la Información Pública del Estado de México y Municipios (Reglamentaria del artículo 5° de la Constitución Local), establece lo siguiente:</w:t>
      </w:r>
    </w:p>
    <w:p w14:paraId="24DE3090" w14:textId="77777777" w:rsidR="00E50A2D" w:rsidRDefault="00E50A2D">
      <w:pPr>
        <w:spacing w:after="0" w:line="360" w:lineRule="auto"/>
      </w:pPr>
    </w:p>
    <w:p w14:paraId="7AF9BF81" w14:textId="77777777" w:rsidR="00E50A2D" w:rsidRDefault="008F0C97">
      <w:pPr>
        <w:spacing w:after="0" w:line="360" w:lineRule="auto"/>
      </w:pPr>
      <w:r>
        <w:t>El artículo 12 dice que, quienes generen, recopilen, administren, manejen, procesen, archiven o conserven información pública serán responsables de la misma.</w:t>
      </w:r>
    </w:p>
    <w:p w14:paraId="5A34A4BC" w14:textId="77777777" w:rsidR="00E50A2D" w:rsidRDefault="00E50A2D">
      <w:pPr>
        <w:spacing w:after="0" w:line="360" w:lineRule="auto"/>
      </w:pPr>
    </w:p>
    <w:p w14:paraId="30A0974A" w14:textId="77777777" w:rsidR="00E50A2D" w:rsidRDefault="008F0C97">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1BD8C74E" w14:textId="77777777" w:rsidR="00E50A2D" w:rsidRDefault="00E50A2D">
      <w:pPr>
        <w:spacing w:after="0" w:line="360" w:lineRule="auto"/>
      </w:pPr>
    </w:p>
    <w:p w14:paraId="6662B182" w14:textId="77777777" w:rsidR="00E50A2D" w:rsidRDefault="008F0C97">
      <w:pPr>
        <w:spacing w:after="0" w:line="360" w:lineRule="auto"/>
      </w:pPr>
      <w: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40AE93" w14:textId="77777777" w:rsidR="00E50A2D" w:rsidRDefault="00E50A2D">
      <w:pPr>
        <w:pStyle w:val="Ttulo2"/>
        <w:spacing w:before="0" w:after="0"/>
        <w:rPr>
          <w:smallCaps/>
        </w:rPr>
      </w:pPr>
    </w:p>
    <w:p w14:paraId="13764241" w14:textId="77777777" w:rsidR="00E50A2D" w:rsidRDefault="008F0C97">
      <w:pPr>
        <w:pStyle w:val="Ttulo2"/>
        <w:spacing w:before="0" w:after="0"/>
      </w:pPr>
      <w:bookmarkStart w:id="12" w:name="_Toc205476584"/>
      <w:r>
        <w:rPr>
          <w:smallCaps/>
        </w:rPr>
        <w:t>QUINTO.</w:t>
      </w:r>
      <w:r>
        <w:t xml:space="preserve"> Estudio de Fondo</w:t>
      </w:r>
      <w:bookmarkEnd w:id="12"/>
    </w:p>
    <w:p w14:paraId="3AD86D0A" w14:textId="77777777" w:rsidR="00E50A2D" w:rsidRDefault="00E50A2D">
      <w:pPr>
        <w:spacing w:after="0" w:line="360" w:lineRule="auto"/>
      </w:pPr>
    </w:p>
    <w:p w14:paraId="1BDBDFAB" w14:textId="77777777" w:rsidR="00E50A2D" w:rsidRDefault="008F0C97">
      <w:pPr>
        <w:spacing w:after="0" w:line="360" w:lineRule="auto"/>
      </w:pPr>
      <w:r>
        <w:t xml:space="preserve">Es preciso contextualizar la solicitud de información, ante lo cual es menester atraer al estudio los artículos 126 y 127 de la Ley de Transparencia y Acceso a la Información Pública del Estado de México y Municipios, en el que refiere que los índices de los expedientes clasificados, deben elaborarse por cada área del Sujeto Obligado, por área responsable y tema, además dichos índices deberán elaborarse de manera semestral y publicarse en formatos abiertos, asimismo, se señala que dichos índices deben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5D205E17" w14:textId="77777777" w:rsidR="00E50A2D" w:rsidRDefault="00E50A2D">
      <w:pPr>
        <w:spacing w:after="0" w:line="360" w:lineRule="auto"/>
      </w:pPr>
    </w:p>
    <w:p w14:paraId="3DC67052" w14:textId="77777777" w:rsidR="00E50A2D" w:rsidRDefault="008F0C97">
      <w:pPr>
        <w:spacing w:after="0" w:line="360" w:lineRule="auto"/>
      </w:pPr>
      <w:r>
        <w:t xml:space="preserve">Además se precisa que los índices son información pública, lo cual se refuerza con lo dispuesto en el artículo 92, fracción XIX de la misma Ley de Transparencia Local, que señala como parte de las obligaciones comunes en materia de transparencia la publicación de los índices semestrales en formatos abiertos de los expedientes clasificados como reservados de cada Sujeto Obligado, por lo que se advierte que la información solicitada es pública y en caso de haber clasificado información, </w:t>
      </w:r>
      <w:r>
        <w:rPr>
          <w:b/>
        </w:rPr>
        <w:t xml:space="preserve"> en consecuencia, la Comisión del Agua del Estado de México, puede conocer de la información solicitada. </w:t>
      </w:r>
    </w:p>
    <w:p w14:paraId="00CFDD13" w14:textId="77777777" w:rsidR="00E50A2D" w:rsidRDefault="00E50A2D">
      <w:pPr>
        <w:spacing w:after="0" w:line="360" w:lineRule="auto"/>
      </w:pPr>
    </w:p>
    <w:p w14:paraId="3906B182" w14:textId="3CB5EEB2" w:rsidR="00E50A2D" w:rsidRDefault="008F0C97" w:rsidP="00532B7F">
      <w:pPr>
        <w:spacing w:after="0" w:line="360" w:lineRule="auto"/>
        <w:rPr>
          <w:b/>
          <w:color w:val="000000"/>
        </w:rPr>
      </w:pPr>
      <w:r>
        <w:lastRenderedPageBreak/>
        <w:t xml:space="preserve">En este contexto normativo, es preciso señalar que la parte Recurrente, solicitó </w:t>
      </w:r>
      <w:r w:rsidR="00532B7F">
        <w:t>los Í</w:t>
      </w:r>
      <w:r>
        <w:rPr>
          <w:b/>
          <w:color w:val="000000"/>
        </w:rPr>
        <w:t>ndices de expedientes clasificados como reservados, por área responsable de la información y tema, de cada Dirección General del Sujeto Obligado, incluyendo áreas staff como la UMA, UIPPE, UDAG y Contraloría Interna.</w:t>
      </w:r>
    </w:p>
    <w:p w14:paraId="50D4AAC2" w14:textId="77777777" w:rsidR="00E50A2D" w:rsidRDefault="00E50A2D">
      <w:pPr>
        <w:spacing w:after="0" w:line="360" w:lineRule="auto"/>
      </w:pPr>
    </w:p>
    <w:p w14:paraId="09A7A8D9" w14:textId="22D407D9" w:rsidR="00E50A2D" w:rsidRDefault="008F0C97">
      <w:pPr>
        <w:spacing w:after="0" w:line="360" w:lineRule="auto"/>
        <w:ind w:right="142"/>
        <w:rPr>
          <w:color w:val="000000"/>
        </w:rPr>
      </w:pPr>
      <w:r>
        <w:t>De la solicitud de información se aprecia que la parte Recurrente no señaló la temporalidad por la que requiere la información</w:t>
      </w:r>
      <w:r>
        <w:rPr>
          <w:color w:val="000000"/>
        </w:rPr>
        <w:t xml:space="preserve"> por lo que, es necesario traer a colación el </w:t>
      </w:r>
      <w:r w:rsidR="00532B7F">
        <w:rPr>
          <w:color w:val="000000"/>
        </w:rPr>
        <w:t>C</w:t>
      </w:r>
      <w:r>
        <w:rPr>
          <w:color w:val="000000"/>
        </w:rPr>
        <w:t xml:space="preserve">riterio </w:t>
      </w:r>
      <w:r w:rsidR="00532B7F">
        <w:rPr>
          <w:color w:val="000000"/>
        </w:rPr>
        <w:t>O</w:t>
      </w:r>
      <w:r>
        <w:rPr>
          <w:color w:val="000000"/>
        </w:rPr>
        <w:t>rientador</w:t>
      </w:r>
      <w:r w:rsidR="00532B7F">
        <w:rPr>
          <w:color w:val="000000"/>
        </w:rPr>
        <w:t>, con clave de control SO/0</w:t>
      </w:r>
      <w:r>
        <w:rPr>
          <w:color w:val="000000"/>
        </w:rPr>
        <w:t>03/</w:t>
      </w:r>
      <w:r w:rsidR="00532B7F">
        <w:rPr>
          <w:color w:val="000000"/>
        </w:rPr>
        <w:t>20</w:t>
      </w:r>
      <w:r>
        <w:rPr>
          <w:color w:val="000000"/>
        </w:rPr>
        <w:t>19 del entonces Instituto Nacional de Transparencia, Acceso a la Información y Protección de Datos Personales –INAI-, el cual a la letra precisa:</w:t>
      </w:r>
    </w:p>
    <w:p w14:paraId="0005548B" w14:textId="77777777" w:rsidR="00E50A2D" w:rsidRDefault="00E50A2D">
      <w:pPr>
        <w:spacing w:after="0" w:line="360" w:lineRule="auto"/>
        <w:ind w:right="142"/>
        <w:rPr>
          <w:color w:val="000000"/>
        </w:rPr>
      </w:pPr>
    </w:p>
    <w:p w14:paraId="67890573" w14:textId="77777777" w:rsidR="00E50A2D" w:rsidRDefault="008F0C97">
      <w:pPr>
        <w:spacing w:after="0" w:line="360" w:lineRule="auto"/>
        <w:ind w:left="567" w:right="709"/>
        <w:rPr>
          <w:i/>
          <w:color w:val="000000"/>
          <w:sz w:val="20"/>
          <w:szCs w:val="20"/>
        </w:rPr>
      </w:pPr>
      <w:r>
        <w:rPr>
          <w:b/>
          <w:i/>
          <w:color w:val="000000"/>
          <w:sz w:val="20"/>
          <w:szCs w:val="20"/>
        </w:rPr>
        <w:t>“Periodo de búsqueda de la información</w:t>
      </w:r>
      <w:r>
        <w:rPr>
          <w:i/>
          <w:color w:val="000000"/>
          <w:sz w:val="20"/>
          <w:szCs w:val="20"/>
        </w:rPr>
        <w:t xml:space="preserve">. En el supuesto de que el particular no haya señalado el periodo respecto del cual requiere la información, o bien, de la solicitud presentada no se adviertan elementos que permitan identificarlo, </w:t>
      </w:r>
      <w:r>
        <w:rPr>
          <w:b/>
          <w:i/>
          <w:color w:val="000000"/>
          <w:sz w:val="20"/>
          <w:szCs w:val="20"/>
        </w:rPr>
        <w:t>deberá considerarse, para efectos de la búsqueda de la información, que el requerimiento se refiere al año inmediato anterior,</w:t>
      </w:r>
      <w:r>
        <w:rPr>
          <w:i/>
          <w:color w:val="000000"/>
          <w:sz w:val="20"/>
          <w:szCs w:val="20"/>
        </w:rPr>
        <w:t xml:space="preserve"> contado a partir de la fecha en que se presentó la solicitud.” </w:t>
      </w:r>
    </w:p>
    <w:p w14:paraId="0EA30C63" w14:textId="77777777" w:rsidR="00E50A2D" w:rsidRDefault="008F0C97">
      <w:pPr>
        <w:spacing w:after="0" w:line="360" w:lineRule="auto"/>
        <w:ind w:left="567" w:right="709"/>
        <w:rPr>
          <w:i/>
          <w:color w:val="000000"/>
          <w:sz w:val="20"/>
          <w:szCs w:val="20"/>
        </w:rPr>
      </w:pPr>
      <w:r>
        <w:rPr>
          <w:i/>
          <w:color w:val="000000"/>
          <w:sz w:val="20"/>
          <w:szCs w:val="20"/>
        </w:rPr>
        <w:t>(Énfasis añadido.)</w:t>
      </w:r>
    </w:p>
    <w:p w14:paraId="201ED9C1" w14:textId="77777777" w:rsidR="00E50A2D" w:rsidRDefault="00E50A2D">
      <w:pPr>
        <w:spacing w:after="0" w:line="360" w:lineRule="auto"/>
        <w:ind w:left="567" w:right="709"/>
        <w:rPr>
          <w:i/>
          <w:color w:val="000000"/>
        </w:rPr>
      </w:pPr>
    </w:p>
    <w:p w14:paraId="5A9485E5" w14:textId="77777777" w:rsidR="00E50A2D" w:rsidRDefault="008F0C97">
      <w:pPr>
        <w:spacing w:after="0" w:line="360" w:lineRule="auto"/>
        <w:ind w:right="142"/>
        <w:rPr>
          <w:color w:val="000000"/>
        </w:rPr>
      </w:pPr>
      <w:r>
        <w:rPr>
          <w:color w:val="000000"/>
        </w:rPr>
        <w:t>Derivado del análisis al criterio citado, se entiende que la persona Recurrente al no precisar la temporalidad en su solicitud, esta habrá de comprender el periodo comprendido de un año anterior a la solicitud de información; es decir, del</w:t>
      </w:r>
      <w:r>
        <w:rPr>
          <w:b/>
          <w:color w:val="000000"/>
        </w:rPr>
        <w:t xml:space="preserve"> diez de marzo de dos mil veinticuatro al diez de marzo de dos mil veinticinco. </w:t>
      </w:r>
    </w:p>
    <w:p w14:paraId="0EE198A8" w14:textId="77777777" w:rsidR="00E50A2D" w:rsidRDefault="00E50A2D">
      <w:pPr>
        <w:spacing w:after="0" w:line="360" w:lineRule="auto"/>
      </w:pPr>
    </w:p>
    <w:p w14:paraId="7FAA1F2C" w14:textId="77777777" w:rsidR="00E50A2D" w:rsidRDefault="008F0C97">
      <w:pPr>
        <w:spacing w:after="0" w:line="360" w:lineRule="auto"/>
      </w:pPr>
      <w:r>
        <w:t>Ahora bien, es preciso señalar que, de conformidad con el artículo 13 del Reglamento interior de la Comisión del Agua del Estado de México y el Manual de Organización del Agua del Estado de México, el Sujeto Obligado cuenta con las siguientes Direcciones y áreas:</w:t>
      </w:r>
    </w:p>
    <w:p w14:paraId="4FF2954A"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lastRenderedPageBreak/>
        <w:t>Unidad de Difusión y Apoyo Gráfico (UDAG)</w:t>
      </w:r>
    </w:p>
    <w:p w14:paraId="2856080F"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Unidad de Información, Planeación, Programación y Evaluación (IUPPE)</w:t>
      </w:r>
    </w:p>
    <w:p w14:paraId="077FE891"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Contraloría Interna</w:t>
      </w:r>
    </w:p>
    <w:p w14:paraId="5109B03B"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Unidad de Modernización Administrativa e Informática (UMA)</w:t>
      </w:r>
    </w:p>
    <w:p w14:paraId="7BBAB20E"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Dirección General del Programa Hidráulico</w:t>
      </w:r>
    </w:p>
    <w:p w14:paraId="444DAF22"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Dirección General de Inversión y Gestión</w:t>
      </w:r>
    </w:p>
    <w:p w14:paraId="7344827E"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Dirección General de Infraestructura Hidráulica</w:t>
      </w:r>
    </w:p>
    <w:p w14:paraId="264EFF21"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Dirección General de Operaciones y Atención a Emergencias</w:t>
      </w:r>
    </w:p>
    <w:p w14:paraId="3F9E696F"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Dirección General de Coordinación con Organismos Operadores</w:t>
      </w:r>
    </w:p>
    <w:p w14:paraId="3B3F9600"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Dirección General de Asuntos Jurídicos e Igualdad de Género</w:t>
      </w:r>
    </w:p>
    <w:p w14:paraId="116A4D34" w14:textId="77777777" w:rsidR="00E50A2D" w:rsidRDefault="008F0C97">
      <w:pPr>
        <w:numPr>
          <w:ilvl w:val="0"/>
          <w:numId w:val="3"/>
        </w:numPr>
        <w:pBdr>
          <w:top w:val="nil"/>
          <w:left w:val="nil"/>
          <w:bottom w:val="nil"/>
          <w:right w:val="nil"/>
          <w:between w:val="nil"/>
        </w:pBdr>
        <w:spacing w:after="0" w:line="360" w:lineRule="auto"/>
        <w:rPr>
          <w:color w:val="000000"/>
        </w:rPr>
      </w:pPr>
      <w:r>
        <w:rPr>
          <w:color w:val="000000"/>
        </w:rPr>
        <w:t>Dirección General de Administración y Finanzas.</w:t>
      </w:r>
    </w:p>
    <w:p w14:paraId="36207724" w14:textId="77777777" w:rsidR="00E50A2D" w:rsidRDefault="00E50A2D">
      <w:pPr>
        <w:spacing w:after="0" w:line="360" w:lineRule="auto"/>
      </w:pPr>
    </w:p>
    <w:p w14:paraId="16878336" w14:textId="77777777" w:rsidR="00E50A2D" w:rsidRDefault="008F0C97">
      <w:pPr>
        <w:spacing w:after="0" w:line="360" w:lineRule="auto"/>
      </w:pPr>
      <w:r>
        <w:t>En este sentido, se aprecia que tanto en respuesta como en informe justificado se pronunciaron las áreas de las que se solicitado la información, por tanto, se procede a insertar una tabla de relación de columnas para determinar la entrega de la información:</w:t>
      </w:r>
    </w:p>
    <w:p w14:paraId="67C16E01" w14:textId="77777777" w:rsidR="00E50A2D" w:rsidRDefault="00E50A2D">
      <w:pPr>
        <w:spacing w:after="0" w:line="360" w:lineRule="auto"/>
      </w:pPr>
    </w:p>
    <w:tbl>
      <w:tblPr>
        <w:tblStyle w:val="a"/>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536"/>
        <w:gridCol w:w="2268"/>
      </w:tblGrid>
      <w:tr w:rsidR="00E50A2D" w14:paraId="5092E6F7" w14:textId="77777777">
        <w:tc>
          <w:tcPr>
            <w:tcW w:w="2126" w:type="dxa"/>
            <w:vAlign w:val="center"/>
          </w:tcPr>
          <w:p w14:paraId="02A60FD5" w14:textId="77777777" w:rsidR="00E50A2D" w:rsidRDefault="008F0C97">
            <w:pPr>
              <w:jc w:val="center"/>
              <w:rPr>
                <w:b/>
                <w:sz w:val="20"/>
                <w:szCs w:val="20"/>
              </w:rPr>
            </w:pPr>
            <w:r>
              <w:rPr>
                <w:b/>
                <w:sz w:val="20"/>
                <w:szCs w:val="20"/>
              </w:rPr>
              <w:t>SOLICITUD</w:t>
            </w:r>
          </w:p>
        </w:tc>
        <w:tc>
          <w:tcPr>
            <w:tcW w:w="4536" w:type="dxa"/>
            <w:vAlign w:val="center"/>
          </w:tcPr>
          <w:p w14:paraId="37BA0E55" w14:textId="77777777" w:rsidR="00E50A2D" w:rsidRDefault="008F0C97">
            <w:pPr>
              <w:jc w:val="center"/>
              <w:rPr>
                <w:b/>
                <w:sz w:val="20"/>
                <w:szCs w:val="20"/>
              </w:rPr>
            </w:pPr>
            <w:r>
              <w:rPr>
                <w:b/>
                <w:sz w:val="20"/>
                <w:szCs w:val="20"/>
              </w:rPr>
              <w:t>RESPUESTA E INFORME</w:t>
            </w:r>
          </w:p>
        </w:tc>
        <w:tc>
          <w:tcPr>
            <w:tcW w:w="2268" w:type="dxa"/>
            <w:vAlign w:val="center"/>
          </w:tcPr>
          <w:p w14:paraId="77C4B64F" w14:textId="77777777" w:rsidR="00E50A2D" w:rsidRDefault="008F0C97">
            <w:pPr>
              <w:jc w:val="center"/>
              <w:rPr>
                <w:b/>
                <w:sz w:val="20"/>
                <w:szCs w:val="20"/>
              </w:rPr>
            </w:pPr>
            <w:r>
              <w:rPr>
                <w:b/>
                <w:sz w:val="20"/>
                <w:szCs w:val="20"/>
              </w:rPr>
              <w:t>OBSERVACIONES</w:t>
            </w:r>
          </w:p>
        </w:tc>
      </w:tr>
      <w:tr w:rsidR="00E50A2D" w14:paraId="73A705DB" w14:textId="77777777">
        <w:tc>
          <w:tcPr>
            <w:tcW w:w="2126" w:type="dxa"/>
          </w:tcPr>
          <w:p w14:paraId="2EB36BB9" w14:textId="77777777" w:rsidR="00E50A2D" w:rsidRDefault="008F0C97">
            <w:pPr>
              <w:rPr>
                <w:sz w:val="20"/>
                <w:szCs w:val="20"/>
              </w:rPr>
            </w:pPr>
            <w:r>
              <w:rPr>
                <w:sz w:val="20"/>
                <w:szCs w:val="20"/>
              </w:rPr>
              <w:t>10 de marzo 2024 al 10 de marzo de 2025, los índices de expedientes reservados de las siguientes:</w:t>
            </w:r>
          </w:p>
        </w:tc>
        <w:tc>
          <w:tcPr>
            <w:tcW w:w="4536" w:type="dxa"/>
          </w:tcPr>
          <w:p w14:paraId="34385174" w14:textId="77777777" w:rsidR="00E50A2D" w:rsidRDefault="00E50A2D">
            <w:pPr>
              <w:rPr>
                <w:sz w:val="20"/>
                <w:szCs w:val="20"/>
              </w:rPr>
            </w:pPr>
          </w:p>
        </w:tc>
        <w:tc>
          <w:tcPr>
            <w:tcW w:w="2268" w:type="dxa"/>
          </w:tcPr>
          <w:p w14:paraId="6F99A049" w14:textId="77777777" w:rsidR="00E50A2D" w:rsidRDefault="00E50A2D">
            <w:pPr>
              <w:rPr>
                <w:sz w:val="20"/>
                <w:szCs w:val="20"/>
              </w:rPr>
            </w:pPr>
          </w:p>
        </w:tc>
      </w:tr>
      <w:tr w:rsidR="00E50A2D" w14:paraId="31838119" w14:textId="77777777">
        <w:tc>
          <w:tcPr>
            <w:tcW w:w="2126" w:type="dxa"/>
          </w:tcPr>
          <w:p w14:paraId="69988DC7" w14:textId="77777777" w:rsidR="00E50A2D" w:rsidRDefault="008F0C97">
            <w:pPr>
              <w:rPr>
                <w:sz w:val="20"/>
                <w:szCs w:val="20"/>
              </w:rPr>
            </w:pPr>
            <w:r>
              <w:rPr>
                <w:sz w:val="20"/>
                <w:szCs w:val="20"/>
              </w:rPr>
              <w:t>- Unidad de Difusión y Apoyo Gráfico (UDAG)</w:t>
            </w:r>
          </w:p>
          <w:p w14:paraId="1C8408CD" w14:textId="77777777" w:rsidR="00E50A2D" w:rsidRDefault="00E50A2D">
            <w:pPr>
              <w:rPr>
                <w:sz w:val="20"/>
                <w:szCs w:val="20"/>
              </w:rPr>
            </w:pPr>
          </w:p>
        </w:tc>
        <w:tc>
          <w:tcPr>
            <w:tcW w:w="4536" w:type="dxa"/>
          </w:tcPr>
          <w:p w14:paraId="10525D78" w14:textId="77777777" w:rsidR="00E50A2D" w:rsidRDefault="008F0C97">
            <w:pPr>
              <w:rPr>
                <w:sz w:val="20"/>
                <w:szCs w:val="20"/>
              </w:rPr>
            </w:pPr>
            <w:r>
              <w:rPr>
                <w:b/>
                <w:sz w:val="20"/>
                <w:szCs w:val="20"/>
              </w:rPr>
              <w:t xml:space="preserve">Respuesta: </w:t>
            </w:r>
            <w:r>
              <w:rPr>
                <w:sz w:val="20"/>
                <w:szCs w:val="20"/>
              </w:rPr>
              <w:t xml:space="preserve">la </w:t>
            </w:r>
            <w:proofErr w:type="gramStart"/>
            <w:r>
              <w:rPr>
                <w:sz w:val="20"/>
                <w:szCs w:val="20"/>
              </w:rPr>
              <w:t>Jefa</w:t>
            </w:r>
            <w:proofErr w:type="gramEnd"/>
            <w:r>
              <w:rPr>
                <w:sz w:val="20"/>
                <w:szCs w:val="20"/>
              </w:rPr>
              <w:t xml:space="preserve"> de la Unidad de Difusión y Apoyo Gráfico, en el que mencionó que la Unidad NO maneja expedientes clasificados como reservados, por tal motivo no lleva un índice correspondiente.</w:t>
            </w:r>
          </w:p>
          <w:p w14:paraId="42D87286" w14:textId="77777777" w:rsidR="00E50A2D" w:rsidRDefault="008F0C97">
            <w:pPr>
              <w:rPr>
                <w:sz w:val="20"/>
                <w:szCs w:val="20"/>
              </w:rPr>
            </w:pPr>
            <w:r>
              <w:rPr>
                <w:b/>
                <w:sz w:val="20"/>
                <w:szCs w:val="20"/>
              </w:rPr>
              <w:t xml:space="preserve">Informe: </w:t>
            </w:r>
            <w:r>
              <w:rPr>
                <w:sz w:val="20"/>
                <w:szCs w:val="20"/>
              </w:rPr>
              <w:t xml:space="preserve">señaló que, en 2024 durante los dos semestres, no se clasificó ningún expediente como reservado, por lo que no se realizó ningún índice. </w:t>
            </w:r>
          </w:p>
        </w:tc>
        <w:tc>
          <w:tcPr>
            <w:tcW w:w="2268" w:type="dxa"/>
          </w:tcPr>
          <w:p w14:paraId="04AE65C9" w14:textId="77777777" w:rsidR="00E50A2D" w:rsidRDefault="008F0C97">
            <w:pPr>
              <w:rPr>
                <w:sz w:val="20"/>
                <w:szCs w:val="20"/>
              </w:rPr>
            </w:pPr>
            <w:r>
              <w:rPr>
                <w:sz w:val="20"/>
                <w:szCs w:val="20"/>
              </w:rPr>
              <w:t xml:space="preserve">Acto consentido, colma </w:t>
            </w:r>
          </w:p>
        </w:tc>
      </w:tr>
      <w:tr w:rsidR="00E50A2D" w14:paraId="221EF42D" w14:textId="77777777">
        <w:tc>
          <w:tcPr>
            <w:tcW w:w="2126" w:type="dxa"/>
          </w:tcPr>
          <w:p w14:paraId="1CFC74F3" w14:textId="77777777" w:rsidR="00E50A2D" w:rsidRDefault="008F0C97">
            <w:pPr>
              <w:rPr>
                <w:sz w:val="20"/>
                <w:szCs w:val="20"/>
              </w:rPr>
            </w:pPr>
            <w:r>
              <w:rPr>
                <w:sz w:val="20"/>
                <w:szCs w:val="20"/>
              </w:rPr>
              <w:lastRenderedPageBreak/>
              <w:t>- Unidad de Información, Planeación, Programación y Evaluación (IUPPE)</w:t>
            </w:r>
          </w:p>
          <w:p w14:paraId="1C1F5217" w14:textId="77777777" w:rsidR="00E50A2D" w:rsidRDefault="00E50A2D">
            <w:pPr>
              <w:rPr>
                <w:sz w:val="20"/>
                <w:szCs w:val="20"/>
              </w:rPr>
            </w:pPr>
          </w:p>
        </w:tc>
        <w:tc>
          <w:tcPr>
            <w:tcW w:w="4536" w:type="dxa"/>
          </w:tcPr>
          <w:p w14:paraId="789CFE97" w14:textId="77777777" w:rsidR="00E50A2D" w:rsidRDefault="008F0C97">
            <w:pPr>
              <w:rPr>
                <w:sz w:val="20"/>
                <w:szCs w:val="20"/>
              </w:rPr>
            </w:pPr>
            <w:r>
              <w:rPr>
                <w:b/>
                <w:sz w:val="20"/>
                <w:szCs w:val="20"/>
              </w:rPr>
              <w:t>Respuesta:</w:t>
            </w:r>
            <w:r>
              <w:rPr>
                <w:sz w:val="20"/>
                <w:szCs w:val="20"/>
              </w:rPr>
              <w:t xml:space="preserve"> Tabla de índices de los expedientes considerados como reservados, del Primer Trimestre del 2025, con fecha de actualización de 30/03/2025</w:t>
            </w:r>
          </w:p>
          <w:p w14:paraId="39DFD693" w14:textId="77777777" w:rsidR="00E50A2D" w:rsidRDefault="00E50A2D">
            <w:pPr>
              <w:rPr>
                <w:sz w:val="20"/>
                <w:szCs w:val="20"/>
              </w:rPr>
            </w:pPr>
          </w:p>
          <w:p w14:paraId="5B3798A5" w14:textId="77777777" w:rsidR="00E50A2D" w:rsidRDefault="008F0C97">
            <w:pPr>
              <w:rPr>
                <w:sz w:val="20"/>
                <w:szCs w:val="20"/>
              </w:rPr>
            </w:pPr>
            <w:r>
              <w:rPr>
                <w:b/>
                <w:sz w:val="20"/>
                <w:szCs w:val="20"/>
              </w:rPr>
              <w:t>Informe:</w:t>
            </w:r>
            <w:r>
              <w:rPr>
                <w:sz w:val="20"/>
                <w:szCs w:val="20"/>
              </w:rPr>
              <w:t xml:space="preserve"> Señaló que durante los dos semestres de 2024 no se clasificó ningún expediente como reservado y no se elaboró ningún índice. </w:t>
            </w:r>
          </w:p>
        </w:tc>
        <w:tc>
          <w:tcPr>
            <w:tcW w:w="2268" w:type="dxa"/>
          </w:tcPr>
          <w:p w14:paraId="7EE7EA93" w14:textId="77777777" w:rsidR="00E50A2D" w:rsidRDefault="008F0C97">
            <w:pPr>
              <w:rPr>
                <w:sz w:val="20"/>
                <w:szCs w:val="20"/>
              </w:rPr>
            </w:pPr>
            <w:r>
              <w:rPr>
                <w:sz w:val="20"/>
                <w:szCs w:val="20"/>
              </w:rPr>
              <w:t xml:space="preserve">Actos consentidos, colma </w:t>
            </w:r>
          </w:p>
        </w:tc>
      </w:tr>
      <w:tr w:rsidR="00E50A2D" w14:paraId="01677F1E" w14:textId="77777777">
        <w:tc>
          <w:tcPr>
            <w:tcW w:w="2126" w:type="dxa"/>
          </w:tcPr>
          <w:p w14:paraId="188A360C" w14:textId="77777777" w:rsidR="00E50A2D" w:rsidRDefault="008F0C97">
            <w:pPr>
              <w:rPr>
                <w:sz w:val="20"/>
                <w:szCs w:val="20"/>
              </w:rPr>
            </w:pPr>
            <w:r>
              <w:rPr>
                <w:sz w:val="20"/>
                <w:szCs w:val="20"/>
              </w:rPr>
              <w:t>-Contraloría Interna</w:t>
            </w:r>
          </w:p>
          <w:p w14:paraId="094819B8" w14:textId="77777777" w:rsidR="00E50A2D" w:rsidRDefault="00E50A2D">
            <w:pPr>
              <w:rPr>
                <w:sz w:val="20"/>
                <w:szCs w:val="20"/>
              </w:rPr>
            </w:pPr>
          </w:p>
        </w:tc>
        <w:tc>
          <w:tcPr>
            <w:tcW w:w="4536" w:type="dxa"/>
          </w:tcPr>
          <w:p w14:paraId="2E0F5387" w14:textId="77777777" w:rsidR="00E50A2D" w:rsidRDefault="008F0C97">
            <w:pPr>
              <w:rPr>
                <w:sz w:val="20"/>
                <w:szCs w:val="20"/>
              </w:rPr>
            </w:pPr>
            <w:r>
              <w:rPr>
                <w:b/>
                <w:sz w:val="20"/>
                <w:szCs w:val="20"/>
              </w:rPr>
              <w:t>Respuesta</w:t>
            </w:r>
            <w:r>
              <w:rPr>
                <w:sz w:val="20"/>
                <w:szCs w:val="20"/>
              </w:rPr>
              <w:t xml:space="preserve">: señaló proceso para consultar </w:t>
            </w:r>
            <w:proofErr w:type="spellStart"/>
            <w:r>
              <w:rPr>
                <w:sz w:val="20"/>
                <w:szCs w:val="20"/>
              </w:rPr>
              <w:t>ipomex</w:t>
            </w:r>
            <w:proofErr w:type="spellEnd"/>
          </w:p>
          <w:p w14:paraId="1D0437EA" w14:textId="77777777" w:rsidR="00E50A2D" w:rsidRDefault="008F0C97">
            <w:pPr>
              <w:rPr>
                <w:sz w:val="20"/>
                <w:szCs w:val="20"/>
              </w:rPr>
            </w:pPr>
            <w:r>
              <w:rPr>
                <w:b/>
                <w:sz w:val="20"/>
                <w:szCs w:val="20"/>
              </w:rPr>
              <w:t>Informe:</w:t>
            </w:r>
            <w:r>
              <w:rPr>
                <w:sz w:val="20"/>
                <w:szCs w:val="20"/>
              </w:rPr>
              <w:t xml:space="preserve"> El Titular del Órgano Interno de Control, mencionó que se cuenta con un registro correspondiente al índice de expedientes clasificados como reservados y lo remitió </w:t>
            </w:r>
          </w:p>
        </w:tc>
        <w:tc>
          <w:tcPr>
            <w:tcW w:w="2268" w:type="dxa"/>
          </w:tcPr>
          <w:p w14:paraId="45E1C5A1" w14:textId="77777777" w:rsidR="00E50A2D" w:rsidRDefault="008F0C97">
            <w:pPr>
              <w:rPr>
                <w:sz w:val="20"/>
                <w:szCs w:val="20"/>
              </w:rPr>
            </w:pPr>
            <w:r>
              <w:rPr>
                <w:sz w:val="20"/>
                <w:szCs w:val="20"/>
              </w:rPr>
              <w:t>Colma en informe justificado, remitió su único índice de expediente reservado</w:t>
            </w:r>
          </w:p>
        </w:tc>
      </w:tr>
      <w:tr w:rsidR="00E50A2D" w14:paraId="607F893D" w14:textId="77777777">
        <w:tc>
          <w:tcPr>
            <w:tcW w:w="2126" w:type="dxa"/>
          </w:tcPr>
          <w:p w14:paraId="7A845C44" w14:textId="77777777" w:rsidR="00E50A2D" w:rsidRDefault="008F0C97">
            <w:pPr>
              <w:rPr>
                <w:sz w:val="20"/>
                <w:szCs w:val="20"/>
              </w:rPr>
            </w:pPr>
            <w:r>
              <w:rPr>
                <w:sz w:val="20"/>
                <w:szCs w:val="20"/>
              </w:rPr>
              <w:t>- Unidad de Modernización Administrativa e Informática (UMA)</w:t>
            </w:r>
          </w:p>
          <w:p w14:paraId="42D489A6" w14:textId="77777777" w:rsidR="00E50A2D" w:rsidRDefault="00E50A2D">
            <w:pPr>
              <w:rPr>
                <w:sz w:val="20"/>
                <w:szCs w:val="20"/>
              </w:rPr>
            </w:pPr>
          </w:p>
        </w:tc>
        <w:tc>
          <w:tcPr>
            <w:tcW w:w="4536" w:type="dxa"/>
          </w:tcPr>
          <w:p w14:paraId="6EB18EBA" w14:textId="77777777" w:rsidR="00E50A2D" w:rsidRDefault="008F0C97">
            <w:pPr>
              <w:rPr>
                <w:sz w:val="20"/>
                <w:szCs w:val="20"/>
              </w:rPr>
            </w:pPr>
            <w:r>
              <w:rPr>
                <w:b/>
                <w:sz w:val="20"/>
                <w:szCs w:val="20"/>
              </w:rPr>
              <w:t>Respuesta:</w:t>
            </w:r>
            <w:r>
              <w:rPr>
                <w:sz w:val="20"/>
                <w:szCs w:val="20"/>
              </w:rPr>
              <w:t xml:space="preserve"> no se pronunció </w:t>
            </w:r>
          </w:p>
          <w:p w14:paraId="2CBD6537" w14:textId="77777777" w:rsidR="00E50A2D" w:rsidRDefault="008F0C97">
            <w:pPr>
              <w:rPr>
                <w:sz w:val="20"/>
                <w:szCs w:val="20"/>
              </w:rPr>
            </w:pPr>
            <w:r>
              <w:rPr>
                <w:b/>
                <w:sz w:val="20"/>
                <w:szCs w:val="20"/>
              </w:rPr>
              <w:t>Informe:</w:t>
            </w:r>
            <w:r>
              <w:rPr>
                <w:sz w:val="20"/>
                <w:szCs w:val="20"/>
              </w:rPr>
              <w:t xml:space="preserve"> El Titular de la Unidad de Modernización Administrativa e Informática, informó que, de marzo 2024 a marzo 2025, señaló que no clasificó ningún expediente como reservado de los dos semestres de 2024.</w:t>
            </w:r>
          </w:p>
        </w:tc>
        <w:tc>
          <w:tcPr>
            <w:tcW w:w="2268" w:type="dxa"/>
          </w:tcPr>
          <w:p w14:paraId="78E0BB54" w14:textId="77777777" w:rsidR="00E50A2D" w:rsidRDefault="008F0C97">
            <w:pPr>
              <w:rPr>
                <w:b/>
                <w:sz w:val="20"/>
                <w:szCs w:val="20"/>
              </w:rPr>
            </w:pPr>
            <w:r>
              <w:rPr>
                <w:b/>
                <w:sz w:val="20"/>
                <w:szCs w:val="20"/>
              </w:rPr>
              <w:t>Colma parcialmente 2024, falta 2025</w:t>
            </w:r>
          </w:p>
        </w:tc>
      </w:tr>
      <w:tr w:rsidR="00E50A2D" w14:paraId="77206449" w14:textId="77777777">
        <w:tc>
          <w:tcPr>
            <w:tcW w:w="2126" w:type="dxa"/>
          </w:tcPr>
          <w:p w14:paraId="17C0CF97" w14:textId="77777777" w:rsidR="00E50A2D" w:rsidRDefault="008F0C97">
            <w:pPr>
              <w:rPr>
                <w:sz w:val="20"/>
                <w:szCs w:val="20"/>
              </w:rPr>
            </w:pPr>
            <w:r>
              <w:rPr>
                <w:sz w:val="20"/>
                <w:szCs w:val="20"/>
              </w:rPr>
              <w:t>- Dirección General del Programa Hidráulico</w:t>
            </w:r>
          </w:p>
          <w:p w14:paraId="5AE892F2" w14:textId="77777777" w:rsidR="00E50A2D" w:rsidRDefault="00E50A2D">
            <w:pPr>
              <w:rPr>
                <w:sz w:val="20"/>
                <w:szCs w:val="20"/>
              </w:rPr>
            </w:pPr>
          </w:p>
        </w:tc>
        <w:tc>
          <w:tcPr>
            <w:tcW w:w="4536" w:type="dxa"/>
          </w:tcPr>
          <w:p w14:paraId="275A2582" w14:textId="77777777" w:rsidR="00E50A2D" w:rsidRDefault="008F0C97">
            <w:pPr>
              <w:rPr>
                <w:sz w:val="20"/>
                <w:szCs w:val="20"/>
              </w:rPr>
            </w:pPr>
            <w:r>
              <w:rPr>
                <w:b/>
                <w:sz w:val="20"/>
                <w:szCs w:val="20"/>
              </w:rPr>
              <w:t>Respuesta:</w:t>
            </w:r>
            <w:r>
              <w:rPr>
                <w:sz w:val="20"/>
                <w:szCs w:val="20"/>
              </w:rPr>
              <w:t xml:space="preserve"> se señaló liga de </w:t>
            </w:r>
            <w:proofErr w:type="spellStart"/>
            <w:r>
              <w:rPr>
                <w:sz w:val="20"/>
                <w:szCs w:val="20"/>
              </w:rPr>
              <w:t>ipomex</w:t>
            </w:r>
            <w:proofErr w:type="spellEnd"/>
            <w:r>
              <w:rPr>
                <w:sz w:val="20"/>
                <w:szCs w:val="20"/>
              </w:rPr>
              <w:t xml:space="preserve"> cerrada. </w:t>
            </w:r>
          </w:p>
          <w:p w14:paraId="485DACAA" w14:textId="77777777" w:rsidR="00E50A2D" w:rsidRDefault="008F0C97">
            <w:pPr>
              <w:rPr>
                <w:sz w:val="20"/>
                <w:szCs w:val="20"/>
              </w:rPr>
            </w:pPr>
            <w:r>
              <w:rPr>
                <w:b/>
                <w:sz w:val="20"/>
                <w:szCs w:val="20"/>
              </w:rPr>
              <w:t xml:space="preserve">Informe: </w:t>
            </w:r>
            <w:r>
              <w:rPr>
                <w:sz w:val="20"/>
                <w:szCs w:val="20"/>
              </w:rPr>
              <w:t xml:space="preserve">mencionaron que el índice se encuentra en liga cerrada. </w:t>
            </w:r>
          </w:p>
        </w:tc>
        <w:tc>
          <w:tcPr>
            <w:tcW w:w="2268" w:type="dxa"/>
          </w:tcPr>
          <w:p w14:paraId="4CB5D7B0" w14:textId="77777777" w:rsidR="00E50A2D" w:rsidRDefault="008F0C97">
            <w:pPr>
              <w:rPr>
                <w:sz w:val="20"/>
                <w:szCs w:val="20"/>
              </w:rPr>
            </w:pPr>
            <w:r>
              <w:rPr>
                <w:b/>
                <w:sz w:val="20"/>
                <w:szCs w:val="20"/>
              </w:rPr>
              <w:t>No colma, liga cerrada.</w:t>
            </w:r>
          </w:p>
        </w:tc>
      </w:tr>
      <w:tr w:rsidR="00E50A2D" w14:paraId="3EA83705" w14:textId="77777777">
        <w:tc>
          <w:tcPr>
            <w:tcW w:w="2126" w:type="dxa"/>
          </w:tcPr>
          <w:p w14:paraId="30B42D32" w14:textId="77777777" w:rsidR="00E50A2D" w:rsidRDefault="008F0C97">
            <w:pPr>
              <w:rPr>
                <w:sz w:val="20"/>
                <w:szCs w:val="20"/>
              </w:rPr>
            </w:pPr>
            <w:r>
              <w:rPr>
                <w:sz w:val="20"/>
                <w:szCs w:val="20"/>
              </w:rPr>
              <w:t>-Dirección General de Inversión y Gestión</w:t>
            </w:r>
          </w:p>
          <w:p w14:paraId="0B36A791" w14:textId="77777777" w:rsidR="00E50A2D" w:rsidRDefault="00E50A2D">
            <w:pPr>
              <w:rPr>
                <w:sz w:val="20"/>
                <w:szCs w:val="20"/>
              </w:rPr>
            </w:pPr>
          </w:p>
        </w:tc>
        <w:tc>
          <w:tcPr>
            <w:tcW w:w="4536" w:type="dxa"/>
          </w:tcPr>
          <w:p w14:paraId="4AC71554" w14:textId="77777777" w:rsidR="00E50A2D" w:rsidRDefault="008F0C97">
            <w:pPr>
              <w:rPr>
                <w:sz w:val="20"/>
                <w:szCs w:val="20"/>
              </w:rPr>
            </w:pPr>
            <w:r>
              <w:rPr>
                <w:b/>
                <w:sz w:val="20"/>
                <w:szCs w:val="20"/>
              </w:rPr>
              <w:t>Respuesta:</w:t>
            </w:r>
            <w:r>
              <w:rPr>
                <w:sz w:val="20"/>
                <w:szCs w:val="20"/>
              </w:rPr>
              <w:t xml:space="preserve"> el </w:t>
            </w:r>
            <w:proofErr w:type="gramStart"/>
            <w:r>
              <w:rPr>
                <w:sz w:val="20"/>
                <w:szCs w:val="20"/>
              </w:rPr>
              <w:t>Director General</w:t>
            </w:r>
            <w:proofErr w:type="gramEnd"/>
            <w:r>
              <w:rPr>
                <w:sz w:val="20"/>
                <w:szCs w:val="20"/>
              </w:rPr>
              <w:t xml:space="preserve"> de Inversión y Gestión en Materia de Transparencia, en el que mencionó que NO se cuenta con expedientes clasificados como reservados.  </w:t>
            </w:r>
          </w:p>
          <w:p w14:paraId="528A256F" w14:textId="77777777" w:rsidR="00E50A2D" w:rsidRDefault="008F0C97">
            <w:pPr>
              <w:rPr>
                <w:sz w:val="20"/>
                <w:szCs w:val="20"/>
              </w:rPr>
            </w:pPr>
            <w:r>
              <w:rPr>
                <w:b/>
                <w:sz w:val="20"/>
                <w:szCs w:val="20"/>
              </w:rPr>
              <w:t>Informe:</w:t>
            </w:r>
            <w:r>
              <w:rPr>
                <w:sz w:val="20"/>
                <w:szCs w:val="20"/>
              </w:rPr>
              <w:t xml:space="preserve"> ratificó </w:t>
            </w:r>
          </w:p>
        </w:tc>
        <w:tc>
          <w:tcPr>
            <w:tcW w:w="2268" w:type="dxa"/>
          </w:tcPr>
          <w:p w14:paraId="18CAFF13" w14:textId="77777777" w:rsidR="00E50A2D" w:rsidRDefault="008F0C97">
            <w:pPr>
              <w:rPr>
                <w:sz w:val="20"/>
                <w:szCs w:val="20"/>
              </w:rPr>
            </w:pPr>
            <w:r>
              <w:rPr>
                <w:sz w:val="20"/>
                <w:szCs w:val="20"/>
              </w:rPr>
              <w:t xml:space="preserve">Actos consentidos, colma </w:t>
            </w:r>
          </w:p>
        </w:tc>
      </w:tr>
      <w:tr w:rsidR="00E50A2D" w14:paraId="64680879" w14:textId="77777777">
        <w:tc>
          <w:tcPr>
            <w:tcW w:w="2126" w:type="dxa"/>
          </w:tcPr>
          <w:p w14:paraId="5653A0B8" w14:textId="77777777" w:rsidR="00E50A2D" w:rsidRDefault="008F0C97">
            <w:pPr>
              <w:rPr>
                <w:sz w:val="20"/>
                <w:szCs w:val="20"/>
              </w:rPr>
            </w:pPr>
            <w:r>
              <w:rPr>
                <w:sz w:val="20"/>
                <w:szCs w:val="20"/>
              </w:rPr>
              <w:t>- Dirección General de Infraestructura Hidráulica</w:t>
            </w:r>
          </w:p>
          <w:p w14:paraId="61498DE1" w14:textId="77777777" w:rsidR="00E50A2D" w:rsidRDefault="00E50A2D">
            <w:pPr>
              <w:rPr>
                <w:sz w:val="20"/>
                <w:szCs w:val="20"/>
              </w:rPr>
            </w:pPr>
          </w:p>
        </w:tc>
        <w:tc>
          <w:tcPr>
            <w:tcW w:w="4536" w:type="dxa"/>
          </w:tcPr>
          <w:p w14:paraId="5DD4E52D" w14:textId="77777777" w:rsidR="00E50A2D" w:rsidRDefault="008F0C97">
            <w:pPr>
              <w:rPr>
                <w:sz w:val="20"/>
                <w:szCs w:val="20"/>
              </w:rPr>
            </w:pPr>
            <w:r>
              <w:rPr>
                <w:b/>
                <w:sz w:val="20"/>
                <w:szCs w:val="20"/>
              </w:rPr>
              <w:t>Respuesta:</w:t>
            </w:r>
            <w:r>
              <w:rPr>
                <w:sz w:val="20"/>
                <w:szCs w:val="20"/>
              </w:rPr>
              <w:t xml:space="preserve"> el </w:t>
            </w:r>
            <w:proofErr w:type="gramStart"/>
            <w:r>
              <w:rPr>
                <w:sz w:val="20"/>
                <w:szCs w:val="20"/>
              </w:rPr>
              <w:t>Director General</w:t>
            </w:r>
            <w:proofErr w:type="gramEnd"/>
            <w:r>
              <w:rPr>
                <w:sz w:val="20"/>
                <w:szCs w:val="20"/>
              </w:rPr>
              <w:t xml:space="preserve"> de Infraestructura Hidráulica, en el que mencionó que, hasta la fecha, no tenían documentos clasificados como reservados, por lo que no cuenta con información que manifestar.</w:t>
            </w:r>
          </w:p>
          <w:p w14:paraId="4B68D387" w14:textId="77777777" w:rsidR="00E50A2D" w:rsidRDefault="008F0C97">
            <w:pPr>
              <w:rPr>
                <w:sz w:val="20"/>
                <w:szCs w:val="20"/>
              </w:rPr>
            </w:pPr>
            <w:r>
              <w:rPr>
                <w:b/>
                <w:sz w:val="20"/>
                <w:szCs w:val="20"/>
              </w:rPr>
              <w:t>Informe</w:t>
            </w:r>
            <w:r>
              <w:rPr>
                <w:sz w:val="20"/>
                <w:szCs w:val="20"/>
              </w:rPr>
              <w:t xml:space="preserve">: La </w:t>
            </w:r>
            <w:proofErr w:type="gramStart"/>
            <w:r>
              <w:rPr>
                <w:sz w:val="20"/>
                <w:szCs w:val="20"/>
              </w:rPr>
              <w:t>Subdirectora</w:t>
            </w:r>
            <w:proofErr w:type="gramEnd"/>
            <w:r>
              <w:rPr>
                <w:sz w:val="20"/>
                <w:szCs w:val="20"/>
              </w:rPr>
              <w:t xml:space="preserve"> de Construcción de Obra de la Dirección General de Infraestructura Hidráulica remitió el índice de expedientes clasificados del segundo semestre 2024 y señaló que en el año anterior (2024) no tuvo información que manifestar al respecto. </w:t>
            </w:r>
          </w:p>
        </w:tc>
        <w:tc>
          <w:tcPr>
            <w:tcW w:w="2268" w:type="dxa"/>
          </w:tcPr>
          <w:p w14:paraId="0F87B644" w14:textId="77777777" w:rsidR="00E50A2D" w:rsidRDefault="008F0C97">
            <w:pPr>
              <w:rPr>
                <w:sz w:val="20"/>
                <w:szCs w:val="20"/>
              </w:rPr>
            </w:pPr>
            <w:r>
              <w:rPr>
                <w:sz w:val="20"/>
                <w:szCs w:val="20"/>
              </w:rPr>
              <w:t xml:space="preserve">Actos consentidos, colma </w:t>
            </w:r>
          </w:p>
        </w:tc>
      </w:tr>
      <w:tr w:rsidR="00E50A2D" w14:paraId="2875ABB7" w14:textId="77777777">
        <w:tc>
          <w:tcPr>
            <w:tcW w:w="2126" w:type="dxa"/>
          </w:tcPr>
          <w:p w14:paraId="0619E586" w14:textId="77777777" w:rsidR="00E50A2D" w:rsidRDefault="008F0C97">
            <w:pPr>
              <w:rPr>
                <w:sz w:val="20"/>
                <w:szCs w:val="20"/>
              </w:rPr>
            </w:pPr>
            <w:r>
              <w:rPr>
                <w:sz w:val="20"/>
                <w:szCs w:val="20"/>
              </w:rPr>
              <w:t xml:space="preserve">- Dirección General de Operaciones y </w:t>
            </w:r>
            <w:r>
              <w:rPr>
                <w:sz w:val="20"/>
                <w:szCs w:val="20"/>
              </w:rPr>
              <w:lastRenderedPageBreak/>
              <w:t>Atención a Emergencias</w:t>
            </w:r>
          </w:p>
          <w:p w14:paraId="2A86F7CF" w14:textId="77777777" w:rsidR="00E50A2D" w:rsidRDefault="00E50A2D">
            <w:pPr>
              <w:rPr>
                <w:sz w:val="20"/>
                <w:szCs w:val="20"/>
              </w:rPr>
            </w:pPr>
          </w:p>
        </w:tc>
        <w:tc>
          <w:tcPr>
            <w:tcW w:w="4536" w:type="dxa"/>
          </w:tcPr>
          <w:p w14:paraId="16DD8789" w14:textId="77777777" w:rsidR="00E50A2D" w:rsidRDefault="008F0C97">
            <w:pPr>
              <w:rPr>
                <w:sz w:val="20"/>
                <w:szCs w:val="20"/>
              </w:rPr>
            </w:pPr>
            <w:r>
              <w:rPr>
                <w:b/>
                <w:sz w:val="20"/>
                <w:szCs w:val="20"/>
              </w:rPr>
              <w:lastRenderedPageBreak/>
              <w:t>Respuesta:</w:t>
            </w:r>
            <w:r>
              <w:rPr>
                <w:sz w:val="20"/>
                <w:szCs w:val="20"/>
              </w:rPr>
              <w:t xml:space="preserve"> el </w:t>
            </w:r>
            <w:proofErr w:type="gramStart"/>
            <w:r>
              <w:rPr>
                <w:sz w:val="20"/>
                <w:szCs w:val="20"/>
              </w:rPr>
              <w:t>Director General</w:t>
            </w:r>
            <w:proofErr w:type="gramEnd"/>
            <w:r>
              <w:rPr>
                <w:sz w:val="20"/>
                <w:szCs w:val="20"/>
              </w:rPr>
              <w:t xml:space="preserve"> de Operaciones y Atención a Emergencias, en el que mencionó que NO tiene información clasificada como reservada </w:t>
            </w:r>
            <w:r>
              <w:rPr>
                <w:sz w:val="20"/>
                <w:szCs w:val="20"/>
              </w:rPr>
              <w:lastRenderedPageBreak/>
              <w:t>a la fecha, por lo que no le aplica la elaboración de los índices de los expedientes clasificados como reservados.</w:t>
            </w:r>
          </w:p>
          <w:p w14:paraId="4BA5433F" w14:textId="77777777" w:rsidR="00E50A2D" w:rsidRDefault="008F0C97">
            <w:pPr>
              <w:rPr>
                <w:sz w:val="20"/>
                <w:szCs w:val="20"/>
              </w:rPr>
            </w:pPr>
            <w:r>
              <w:rPr>
                <w:b/>
                <w:sz w:val="20"/>
                <w:szCs w:val="20"/>
              </w:rPr>
              <w:t>Informe</w:t>
            </w:r>
            <w:r>
              <w:rPr>
                <w:sz w:val="20"/>
                <w:szCs w:val="20"/>
              </w:rPr>
              <w:t xml:space="preserve">: ratificó </w:t>
            </w:r>
          </w:p>
        </w:tc>
        <w:tc>
          <w:tcPr>
            <w:tcW w:w="2268" w:type="dxa"/>
          </w:tcPr>
          <w:p w14:paraId="1E11B5BC" w14:textId="77777777" w:rsidR="00E50A2D" w:rsidRDefault="008F0C97">
            <w:pPr>
              <w:rPr>
                <w:sz w:val="20"/>
                <w:szCs w:val="20"/>
              </w:rPr>
            </w:pPr>
            <w:r>
              <w:rPr>
                <w:sz w:val="20"/>
                <w:szCs w:val="20"/>
              </w:rPr>
              <w:lastRenderedPageBreak/>
              <w:t xml:space="preserve">Actos consentidos, colma </w:t>
            </w:r>
          </w:p>
        </w:tc>
      </w:tr>
      <w:tr w:rsidR="00E50A2D" w14:paraId="32A43222" w14:textId="77777777">
        <w:tc>
          <w:tcPr>
            <w:tcW w:w="2126" w:type="dxa"/>
          </w:tcPr>
          <w:p w14:paraId="45494AB8" w14:textId="77777777" w:rsidR="00E50A2D" w:rsidRDefault="008F0C97">
            <w:pPr>
              <w:rPr>
                <w:sz w:val="20"/>
                <w:szCs w:val="20"/>
              </w:rPr>
            </w:pPr>
            <w:r>
              <w:rPr>
                <w:sz w:val="20"/>
                <w:szCs w:val="20"/>
              </w:rPr>
              <w:t>- Dirección General de Coordinación con Organismos Operadores</w:t>
            </w:r>
          </w:p>
          <w:p w14:paraId="27C45A60" w14:textId="77777777" w:rsidR="00E50A2D" w:rsidRDefault="00E50A2D">
            <w:pPr>
              <w:rPr>
                <w:sz w:val="20"/>
                <w:szCs w:val="20"/>
              </w:rPr>
            </w:pPr>
          </w:p>
        </w:tc>
        <w:tc>
          <w:tcPr>
            <w:tcW w:w="4536" w:type="dxa"/>
          </w:tcPr>
          <w:p w14:paraId="32CBCD13" w14:textId="77777777" w:rsidR="00E50A2D" w:rsidRDefault="008F0C97">
            <w:pPr>
              <w:rPr>
                <w:sz w:val="20"/>
                <w:szCs w:val="20"/>
              </w:rPr>
            </w:pPr>
            <w:r>
              <w:rPr>
                <w:b/>
                <w:sz w:val="20"/>
                <w:szCs w:val="20"/>
              </w:rPr>
              <w:t>Respuesta:</w:t>
            </w:r>
            <w:r>
              <w:rPr>
                <w:sz w:val="20"/>
                <w:szCs w:val="20"/>
              </w:rPr>
              <w:t xml:space="preserve"> señaló liga de </w:t>
            </w:r>
            <w:proofErr w:type="spellStart"/>
            <w:r>
              <w:rPr>
                <w:sz w:val="20"/>
                <w:szCs w:val="20"/>
              </w:rPr>
              <w:t>ipomex</w:t>
            </w:r>
            <w:proofErr w:type="spellEnd"/>
            <w:r>
              <w:rPr>
                <w:sz w:val="20"/>
                <w:szCs w:val="20"/>
              </w:rPr>
              <w:t xml:space="preserve"> en formato cerrado. </w:t>
            </w:r>
          </w:p>
          <w:p w14:paraId="4F870E38" w14:textId="77777777" w:rsidR="00E50A2D" w:rsidRDefault="008F0C97">
            <w:pPr>
              <w:rPr>
                <w:sz w:val="20"/>
                <w:szCs w:val="20"/>
              </w:rPr>
            </w:pPr>
            <w:r>
              <w:rPr>
                <w:b/>
                <w:sz w:val="20"/>
                <w:szCs w:val="20"/>
              </w:rPr>
              <w:t xml:space="preserve">Informe: </w:t>
            </w:r>
            <w:r>
              <w:rPr>
                <w:sz w:val="20"/>
                <w:szCs w:val="20"/>
              </w:rPr>
              <w:t xml:space="preserve"> La Suplente del Servidor Público Habilitado de la Dirección General de Coordinación con Organismos Operadores, mencionó que no hubo expedientes clasificados como reservados en el periodo requerido.</w:t>
            </w:r>
          </w:p>
        </w:tc>
        <w:tc>
          <w:tcPr>
            <w:tcW w:w="2268" w:type="dxa"/>
          </w:tcPr>
          <w:p w14:paraId="0B395CA7" w14:textId="77777777" w:rsidR="00E50A2D" w:rsidRDefault="008F0C97">
            <w:pPr>
              <w:rPr>
                <w:sz w:val="20"/>
                <w:szCs w:val="20"/>
              </w:rPr>
            </w:pPr>
            <w:r>
              <w:rPr>
                <w:sz w:val="20"/>
                <w:szCs w:val="20"/>
              </w:rPr>
              <w:t xml:space="preserve">Colma en informe justificado </w:t>
            </w:r>
          </w:p>
        </w:tc>
      </w:tr>
      <w:tr w:rsidR="00E50A2D" w14:paraId="127E8CE2" w14:textId="77777777">
        <w:tc>
          <w:tcPr>
            <w:tcW w:w="2126" w:type="dxa"/>
          </w:tcPr>
          <w:p w14:paraId="6024166B" w14:textId="77777777" w:rsidR="00E50A2D" w:rsidRDefault="008F0C97">
            <w:pPr>
              <w:rPr>
                <w:sz w:val="20"/>
                <w:szCs w:val="20"/>
              </w:rPr>
            </w:pPr>
            <w:r>
              <w:rPr>
                <w:sz w:val="20"/>
                <w:szCs w:val="20"/>
              </w:rPr>
              <w:t>- Dirección General de Asuntos Jurídicos e Igualdad de Género</w:t>
            </w:r>
          </w:p>
          <w:p w14:paraId="637CFF6E" w14:textId="77777777" w:rsidR="00E50A2D" w:rsidRDefault="00E50A2D">
            <w:pPr>
              <w:rPr>
                <w:sz w:val="20"/>
                <w:szCs w:val="20"/>
              </w:rPr>
            </w:pPr>
          </w:p>
        </w:tc>
        <w:tc>
          <w:tcPr>
            <w:tcW w:w="4536" w:type="dxa"/>
          </w:tcPr>
          <w:p w14:paraId="4D6002C4" w14:textId="77777777" w:rsidR="00E50A2D" w:rsidRDefault="008F0C97">
            <w:pPr>
              <w:rPr>
                <w:sz w:val="20"/>
                <w:szCs w:val="20"/>
              </w:rPr>
            </w:pPr>
            <w:r>
              <w:rPr>
                <w:b/>
                <w:sz w:val="20"/>
                <w:szCs w:val="20"/>
              </w:rPr>
              <w:t>Respuesta:</w:t>
            </w:r>
            <w:r>
              <w:rPr>
                <w:sz w:val="20"/>
                <w:szCs w:val="20"/>
              </w:rPr>
              <w:t xml:space="preserve"> señaló enlace en formato cerrado </w:t>
            </w:r>
          </w:p>
          <w:p w14:paraId="7756F0F1" w14:textId="77777777" w:rsidR="00E50A2D" w:rsidRDefault="00E50A2D">
            <w:pPr>
              <w:rPr>
                <w:sz w:val="20"/>
                <w:szCs w:val="20"/>
              </w:rPr>
            </w:pPr>
          </w:p>
          <w:p w14:paraId="5D66424A" w14:textId="77777777" w:rsidR="00E50A2D" w:rsidRDefault="008F0C97">
            <w:pPr>
              <w:rPr>
                <w:sz w:val="20"/>
                <w:szCs w:val="20"/>
              </w:rPr>
            </w:pPr>
            <w:r>
              <w:rPr>
                <w:b/>
                <w:sz w:val="20"/>
                <w:szCs w:val="20"/>
              </w:rPr>
              <w:t>Informe:</w:t>
            </w:r>
            <w:r>
              <w:rPr>
                <w:sz w:val="20"/>
                <w:szCs w:val="20"/>
              </w:rPr>
              <w:t xml:space="preserve"> El </w:t>
            </w:r>
            <w:proofErr w:type="gramStart"/>
            <w:r>
              <w:rPr>
                <w:sz w:val="20"/>
                <w:szCs w:val="20"/>
              </w:rPr>
              <w:t>Director General</w:t>
            </w:r>
            <w:proofErr w:type="gramEnd"/>
            <w:r>
              <w:rPr>
                <w:sz w:val="20"/>
                <w:szCs w:val="20"/>
              </w:rPr>
              <w:t xml:space="preserve"> de Asuntos Jurídicos e Igualdad de Género, mencionó que la información correspondiente al 1er y 2do Semestre del </w:t>
            </w:r>
            <w:proofErr w:type="gramStart"/>
            <w:r>
              <w:rPr>
                <w:sz w:val="20"/>
                <w:szCs w:val="20"/>
              </w:rPr>
              <w:t>2024,</w:t>
            </w:r>
            <w:proofErr w:type="gramEnd"/>
            <w:r>
              <w:rPr>
                <w:sz w:val="20"/>
                <w:szCs w:val="20"/>
              </w:rPr>
              <w:t xml:space="preserve"> se encuentra en una liga electrónica en formato cerrado.</w:t>
            </w:r>
          </w:p>
        </w:tc>
        <w:tc>
          <w:tcPr>
            <w:tcW w:w="2268" w:type="dxa"/>
          </w:tcPr>
          <w:p w14:paraId="3709EAB9" w14:textId="77777777" w:rsidR="00E50A2D" w:rsidRDefault="008F0C97">
            <w:pPr>
              <w:rPr>
                <w:b/>
                <w:sz w:val="20"/>
                <w:szCs w:val="20"/>
              </w:rPr>
            </w:pPr>
            <w:r>
              <w:rPr>
                <w:b/>
                <w:sz w:val="20"/>
                <w:szCs w:val="20"/>
              </w:rPr>
              <w:t xml:space="preserve">No colma, liga cerrada. </w:t>
            </w:r>
          </w:p>
        </w:tc>
      </w:tr>
      <w:tr w:rsidR="00E50A2D" w14:paraId="789E444F" w14:textId="77777777">
        <w:tc>
          <w:tcPr>
            <w:tcW w:w="2126" w:type="dxa"/>
          </w:tcPr>
          <w:p w14:paraId="1BEF6D21" w14:textId="77777777" w:rsidR="00E50A2D" w:rsidRDefault="008F0C97">
            <w:pPr>
              <w:rPr>
                <w:sz w:val="20"/>
                <w:szCs w:val="20"/>
              </w:rPr>
            </w:pPr>
            <w:r>
              <w:rPr>
                <w:sz w:val="20"/>
                <w:szCs w:val="20"/>
              </w:rPr>
              <w:t>- Dirección General de Administración y Finanzas.</w:t>
            </w:r>
          </w:p>
        </w:tc>
        <w:tc>
          <w:tcPr>
            <w:tcW w:w="4536" w:type="dxa"/>
          </w:tcPr>
          <w:p w14:paraId="4B3A5937" w14:textId="77777777" w:rsidR="00E50A2D" w:rsidRDefault="008F0C97">
            <w:pPr>
              <w:rPr>
                <w:sz w:val="20"/>
                <w:szCs w:val="20"/>
              </w:rPr>
            </w:pPr>
            <w:r>
              <w:rPr>
                <w:b/>
                <w:sz w:val="20"/>
                <w:szCs w:val="20"/>
              </w:rPr>
              <w:t>Respuesta:</w:t>
            </w:r>
            <w:r>
              <w:rPr>
                <w:sz w:val="20"/>
                <w:szCs w:val="20"/>
              </w:rPr>
              <w:t xml:space="preserve"> señaló liga de </w:t>
            </w:r>
            <w:proofErr w:type="spellStart"/>
            <w:r>
              <w:rPr>
                <w:sz w:val="20"/>
                <w:szCs w:val="20"/>
              </w:rPr>
              <w:t>ipomex</w:t>
            </w:r>
            <w:proofErr w:type="spellEnd"/>
            <w:r>
              <w:rPr>
                <w:sz w:val="20"/>
                <w:szCs w:val="20"/>
              </w:rPr>
              <w:t xml:space="preserve"> cerrada</w:t>
            </w:r>
          </w:p>
          <w:p w14:paraId="187D5EBC" w14:textId="77777777" w:rsidR="00E50A2D" w:rsidRDefault="008F0C97">
            <w:pPr>
              <w:rPr>
                <w:sz w:val="20"/>
                <w:szCs w:val="20"/>
              </w:rPr>
            </w:pPr>
            <w:r>
              <w:rPr>
                <w:b/>
                <w:sz w:val="20"/>
                <w:szCs w:val="20"/>
              </w:rPr>
              <w:t xml:space="preserve">Informe: </w:t>
            </w:r>
            <w:r>
              <w:rPr>
                <w:sz w:val="20"/>
                <w:szCs w:val="20"/>
              </w:rPr>
              <w:t xml:space="preserve"> no se pronunció </w:t>
            </w:r>
          </w:p>
        </w:tc>
        <w:tc>
          <w:tcPr>
            <w:tcW w:w="2268" w:type="dxa"/>
          </w:tcPr>
          <w:p w14:paraId="1CA81E47" w14:textId="77777777" w:rsidR="00E50A2D" w:rsidRDefault="008F0C97">
            <w:pPr>
              <w:rPr>
                <w:sz w:val="20"/>
                <w:szCs w:val="20"/>
              </w:rPr>
            </w:pPr>
            <w:r>
              <w:rPr>
                <w:b/>
                <w:sz w:val="20"/>
                <w:szCs w:val="20"/>
              </w:rPr>
              <w:t>No colma, liga cerrada.</w:t>
            </w:r>
          </w:p>
        </w:tc>
      </w:tr>
    </w:tbl>
    <w:p w14:paraId="6AAF8594" w14:textId="77777777" w:rsidR="00E50A2D" w:rsidRDefault="008F0C97">
      <w:pPr>
        <w:spacing w:after="0" w:line="360" w:lineRule="auto"/>
      </w:pPr>
      <w:r>
        <w:rPr>
          <w:color w:val="000000"/>
        </w:rPr>
        <w:br/>
        <w:t xml:space="preserve">Así, se procede analizar la información proporcionada por el Sujeto Obligado, para lo cual, cabe señalar que este dio respuesta a través de las áreas de las que requirió la información; por lo que, </w:t>
      </w:r>
      <w:r>
        <w:t xml:space="preserve">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6AA47AC5" w14:textId="77777777" w:rsidR="00E50A2D" w:rsidRDefault="00E50A2D">
      <w:pPr>
        <w:spacing w:after="0" w:line="360" w:lineRule="auto"/>
      </w:pPr>
    </w:p>
    <w:p w14:paraId="4306C902" w14:textId="58423882" w:rsidR="00E50A2D" w:rsidRDefault="00532B7F">
      <w:pPr>
        <w:spacing w:after="0" w:line="360" w:lineRule="auto"/>
        <w:ind w:right="-93"/>
        <w:rPr>
          <w:color w:val="000000"/>
        </w:rPr>
      </w:pPr>
      <w:r>
        <w:lastRenderedPageBreak/>
        <w:t xml:space="preserve">Conforme a lo plasmado en párrafos anteriores, </w:t>
      </w:r>
      <w:r>
        <w:rPr>
          <w:color w:val="000000"/>
        </w:rPr>
        <w:t>se advierte que el Sujeto Obligado cumplió con el procedimiento de búsqueda referido, pues turnó la solicitud de información a las áreas competentes de conocer lo solicitado.</w:t>
      </w:r>
    </w:p>
    <w:p w14:paraId="765A2BB6" w14:textId="77777777" w:rsidR="00E50A2D" w:rsidRDefault="00E50A2D">
      <w:pPr>
        <w:spacing w:after="0" w:line="360" w:lineRule="auto"/>
        <w:ind w:right="-93"/>
        <w:rPr>
          <w:color w:val="000000"/>
        </w:rPr>
      </w:pPr>
    </w:p>
    <w:p w14:paraId="7C4BEB16" w14:textId="77777777" w:rsidR="00E50A2D" w:rsidRDefault="008F0C97">
      <w:pPr>
        <w:spacing w:after="0" w:line="360" w:lineRule="auto"/>
        <w:ind w:right="-93"/>
        <w:rPr>
          <w:color w:val="000000"/>
        </w:rPr>
      </w:pPr>
      <w:r>
        <w:rPr>
          <w:color w:val="000000"/>
        </w:rPr>
        <w:t>Sumado a lo anterior, se procede al análisis de cada una de las respuestas:</w:t>
      </w:r>
    </w:p>
    <w:p w14:paraId="0786A282" w14:textId="77777777" w:rsidR="00E50A2D" w:rsidRDefault="00E50A2D">
      <w:pPr>
        <w:spacing w:after="0" w:line="360" w:lineRule="auto"/>
        <w:ind w:right="-93"/>
        <w:rPr>
          <w:color w:val="000000"/>
        </w:rPr>
      </w:pPr>
    </w:p>
    <w:p w14:paraId="5314FDE9" w14:textId="77777777" w:rsidR="00E50A2D" w:rsidRDefault="008F0C97">
      <w:pPr>
        <w:numPr>
          <w:ilvl w:val="0"/>
          <w:numId w:val="4"/>
        </w:numPr>
        <w:pBdr>
          <w:top w:val="nil"/>
          <w:left w:val="nil"/>
          <w:bottom w:val="nil"/>
          <w:right w:val="nil"/>
          <w:between w:val="nil"/>
        </w:pBdr>
        <w:spacing w:after="0" w:line="360" w:lineRule="auto"/>
        <w:ind w:right="-93"/>
        <w:rPr>
          <w:color w:val="000000"/>
          <w:u w:val="single"/>
        </w:rPr>
      </w:pPr>
      <w:r>
        <w:rPr>
          <w:b/>
          <w:color w:val="000000"/>
          <w:u w:val="single"/>
        </w:rPr>
        <w:t>Por cuanto hace a las áreas de la Unidad de Difusión y Apoyo Gráfico (UDAG), Unidad de Información, Planeación, Programación y Evaluación (IUPPE), Dirección General de Inversión y Gestión, Dirección General de Infraestructura Hidráulica, Dirección General de Operaciones y Atención a Emergencias</w:t>
      </w:r>
    </w:p>
    <w:p w14:paraId="675DC5AF" w14:textId="77777777" w:rsidR="00E50A2D" w:rsidRDefault="00E50A2D">
      <w:pPr>
        <w:pBdr>
          <w:top w:val="nil"/>
          <w:left w:val="nil"/>
          <w:bottom w:val="nil"/>
          <w:right w:val="nil"/>
          <w:between w:val="nil"/>
        </w:pBdr>
        <w:spacing w:after="0" w:line="360" w:lineRule="auto"/>
        <w:ind w:left="720" w:right="-93"/>
        <w:rPr>
          <w:color w:val="000000"/>
        </w:rPr>
      </w:pPr>
    </w:p>
    <w:p w14:paraId="1375B5F3" w14:textId="77777777" w:rsidR="00E50A2D" w:rsidRDefault="008F0C97">
      <w:pPr>
        <w:spacing w:after="0" w:line="360" w:lineRule="auto"/>
      </w:pPr>
      <w:r>
        <w:t xml:space="preserve">De las anteriores, tal y como se precisó en la determinación de la controversia en el considerando tercero, dichas respuestas fueron consentidas y, por tanto, </w:t>
      </w:r>
      <w:r>
        <w:rPr>
          <w:b/>
        </w:rPr>
        <w:t>se tienen por atendidas.</w:t>
      </w:r>
    </w:p>
    <w:p w14:paraId="25D1E9EB" w14:textId="77777777" w:rsidR="00E50A2D" w:rsidRDefault="00E50A2D">
      <w:pPr>
        <w:spacing w:after="0" w:line="360" w:lineRule="auto"/>
      </w:pPr>
    </w:p>
    <w:p w14:paraId="0107B085" w14:textId="77777777" w:rsidR="00E50A2D" w:rsidRDefault="008F0C97">
      <w:pPr>
        <w:numPr>
          <w:ilvl w:val="0"/>
          <w:numId w:val="4"/>
        </w:numPr>
        <w:pBdr>
          <w:top w:val="nil"/>
          <w:left w:val="nil"/>
          <w:bottom w:val="nil"/>
          <w:right w:val="nil"/>
          <w:between w:val="nil"/>
        </w:pBdr>
        <w:tabs>
          <w:tab w:val="left" w:pos="4962"/>
        </w:tabs>
        <w:spacing w:after="0" w:line="360" w:lineRule="auto"/>
        <w:rPr>
          <w:b/>
          <w:color w:val="000000"/>
          <w:u w:val="single"/>
        </w:rPr>
      </w:pPr>
      <w:r>
        <w:rPr>
          <w:b/>
          <w:color w:val="000000"/>
          <w:u w:val="single"/>
        </w:rPr>
        <w:t xml:space="preserve">Por cuanto hace a la Controlaría Interna. </w:t>
      </w:r>
    </w:p>
    <w:p w14:paraId="1F0B911F" w14:textId="77777777" w:rsidR="00E50A2D" w:rsidRDefault="00E50A2D">
      <w:pPr>
        <w:pBdr>
          <w:top w:val="nil"/>
          <w:left w:val="nil"/>
          <w:bottom w:val="nil"/>
          <w:right w:val="nil"/>
          <w:between w:val="nil"/>
        </w:pBdr>
        <w:tabs>
          <w:tab w:val="left" w:pos="4962"/>
        </w:tabs>
        <w:spacing w:after="0" w:line="360" w:lineRule="auto"/>
        <w:ind w:left="720"/>
        <w:rPr>
          <w:b/>
          <w:color w:val="000000"/>
        </w:rPr>
      </w:pPr>
    </w:p>
    <w:p w14:paraId="19CB0B96" w14:textId="77777777" w:rsidR="00E50A2D" w:rsidRDefault="008F0C97">
      <w:pPr>
        <w:tabs>
          <w:tab w:val="left" w:pos="4962"/>
        </w:tabs>
        <w:spacing w:after="0" w:line="360" w:lineRule="auto"/>
      </w:pPr>
      <w:r>
        <w:t xml:space="preserve">Ahora bien, respecto al índice de clasificación remitido por el Titular del Órgano Interno de control se aprecia que realizó la búsqueda de la información y entregó la documentación tal y como obra en sus archivos, ante lo cual, este Organismo Garante no cuenta con facultades para dudar de la veracidad de lo manifestado por el Sujeto Obligado, por tanto, </w:t>
      </w:r>
      <w:r>
        <w:rPr>
          <w:b/>
        </w:rPr>
        <w:t>se tiene por atendido el requerimiento de información por cuanto hace a dicha área.</w:t>
      </w:r>
      <w:r>
        <w:t xml:space="preserve">  </w:t>
      </w:r>
    </w:p>
    <w:p w14:paraId="1D8836C0" w14:textId="77777777" w:rsidR="00E50A2D" w:rsidRDefault="00E50A2D">
      <w:pPr>
        <w:tabs>
          <w:tab w:val="left" w:pos="4962"/>
        </w:tabs>
        <w:spacing w:after="0" w:line="360" w:lineRule="auto"/>
      </w:pPr>
    </w:p>
    <w:p w14:paraId="0DA916E4" w14:textId="77777777" w:rsidR="00E50A2D" w:rsidRDefault="008F0C97">
      <w:pPr>
        <w:numPr>
          <w:ilvl w:val="0"/>
          <w:numId w:val="4"/>
        </w:numPr>
        <w:pBdr>
          <w:top w:val="nil"/>
          <w:left w:val="nil"/>
          <w:bottom w:val="nil"/>
          <w:right w:val="nil"/>
          <w:between w:val="nil"/>
        </w:pBdr>
        <w:tabs>
          <w:tab w:val="left" w:pos="4962"/>
        </w:tabs>
        <w:spacing w:after="0" w:line="360" w:lineRule="auto"/>
        <w:rPr>
          <w:color w:val="000000"/>
          <w:u w:val="single"/>
        </w:rPr>
      </w:pPr>
      <w:r>
        <w:rPr>
          <w:b/>
          <w:color w:val="000000"/>
          <w:u w:val="single"/>
        </w:rPr>
        <w:t>Por cuanto hace a la Unidad de Modernización Administrativa e Informática (UMA) y a la</w:t>
      </w:r>
      <w:r>
        <w:rPr>
          <w:color w:val="000000"/>
          <w:u w:val="single"/>
        </w:rPr>
        <w:t xml:space="preserve"> </w:t>
      </w:r>
      <w:r>
        <w:rPr>
          <w:b/>
          <w:color w:val="000000"/>
          <w:u w:val="single"/>
        </w:rPr>
        <w:t>Dirección General de Coordinación con Organismos Operadores</w:t>
      </w:r>
    </w:p>
    <w:p w14:paraId="2ADFEE53" w14:textId="77777777" w:rsidR="00E50A2D" w:rsidRDefault="00E50A2D">
      <w:pPr>
        <w:tabs>
          <w:tab w:val="left" w:pos="4962"/>
        </w:tabs>
        <w:spacing w:after="0" w:line="360" w:lineRule="auto"/>
      </w:pPr>
    </w:p>
    <w:p w14:paraId="6BC6BEE7" w14:textId="77777777" w:rsidR="00E50A2D" w:rsidRDefault="008F0C97">
      <w:pPr>
        <w:tabs>
          <w:tab w:val="left" w:pos="4962"/>
        </w:tabs>
        <w:spacing w:after="0" w:line="360" w:lineRule="auto"/>
        <w:rPr>
          <w:color w:val="000000"/>
        </w:rPr>
      </w:pPr>
      <w:r>
        <w:lastRenderedPageBreak/>
        <w:t xml:space="preserve">Al respecto cabe mencionar que la Dirección General de Coordinación con Organismos Operadores señaló que durante la temporalidad solicitada no existieron expedientes clasificados como reservados y la Unidad de Modernización Administrativa e Informática (UMA) señaló lo mismo únicamente por cuanto hace al año 2024, al respecto se trata de la inexistencia de la información,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429696D2" w14:textId="77777777" w:rsidR="00E50A2D" w:rsidRDefault="00E50A2D">
      <w:pPr>
        <w:spacing w:after="0" w:line="360" w:lineRule="auto"/>
      </w:pPr>
    </w:p>
    <w:p w14:paraId="2624D1EE" w14:textId="77777777" w:rsidR="00E50A2D" w:rsidRDefault="008F0C97">
      <w:pPr>
        <w:spacing w:after="0" w:line="360" w:lineRule="auto"/>
      </w:pPr>
      <w:r>
        <w:t xml:space="preserve">En ese orden de ideas, según Trujillo, Humberto (2019), en el “Diccionario de Transparencia y Acceso a la Información Pública” (p. 171), la inexistencia de la </w:t>
      </w:r>
      <w:proofErr w:type="gramStart"/>
      <w:r>
        <w:t>información,</w:t>
      </w:r>
      <w:proofErr w:type="gramEnd"/>
      <w:r>
        <w:t xml:space="preserve"> es cuando la información requerida no se encuentra en los archivos públicos, reservados o clasificados, de los sujetos obligados.</w:t>
      </w:r>
    </w:p>
    <w:p w14:paraId="6D96508E" w14:textId="77777777" w:rsidR="00E50A2D" w:rsidRDefault="00E50A2D">
      <w:pPr>
        <w:spacing w:after="0" w:line="360" w:lineRule="auto"/>
      </w:pPr>
    </w:p>
    <w:p w14:paraId="3A9D4129" w14:textId="77777777" w:rsidR="00E50A2D" w:rsidRDefault="008F0C97">
      <w:pPr>
        <w:spacing w:after="0" w:line="360" w:lineRule="auto"/>
      </w:pPr>
      <w:r>
        <w:t xml:space="preserve">Así, es posible concluir que la </w:t>
      </w:r>
      <w:r>
        <w:rPr>
          <w:b/>
        </w:rPr>
        <w:t>inexistencia</w:t>
      </w:r>
      <w: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3DD99930" w14:textId="77777777" w:rsidR="00E50A2D" w:rsidRDefault="00E50A2D">
      <w:pPr>
        <w:spacing w:after="0" w:line="360" w:lineRule="auto"/>
      </w:pPr>
    </w:p>
    <w:p w14:paraId="5FD6915D" w14:textId="77777777" w:rsidR="00E50A2D" w:rsidRDefault="008F0C97">
      <w:pPr>
        <w:tabs>
          <w:tab w:val="left" w:pos="4962"/>
        </w:tabs>
        <w:spacing w:after="0" w:line="360" w:lineRule="auto"/>
      </w:pPr>
      <w:r>
        <w:t xml:space="preserve">En ese contexto, el Sujeto Obligado precisó que no cuenta con los índices de expedientes reservados porque </w:t>
      </w:r>
      <w:r>
        <w:rPr>
          <w:b/>
        </w:rPr>
        <w:t>no reservó información durante la temporalidad, lo que es suficiente para considerar la inexistencia de la información.</w:t>
      </w:r>
      <w:r>
        <w:t xml:space="preserve"> </w:t>
      </w:r>
    </w:p>
    <w:p w14:paraId="45938F33" w14:textId="77777777" w:rsidR="00E50A2D" w:rsidRDefault="00E50A2D">
      <w:pPr>
        <w:spacing w:after="0" w:line="360" w:lineRule="auto"/>
      </w:pPr>
    </w:p>
    <w:p w14:paraId="48E97F61" w14:textId="77777777" w:rsidR="00E50A2D" w:rsidRDefault="008F0C97">
      <w:pPr>
        <w:spacing w:after="0" w:line="360" w:lineRule="auto"/>
        <w:rPr>
          <w:color w:val="000000"/>
        </w:rPr>
      </w:pPr>
      <w:r>
        <w:lastRenderedPageBreak/>
        <w:t>En ese sentido</w:t>
      </w:r>
      <w:r>
        <w:rPr>
          <w:color w:val="000000"/>
        </w:rPr>
        <w:t>,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40C87CA3" w14:textId="77777777" w:rsidR="00E50A2D" w:rsidRDefault="00E50A2D">
      <w:pPr>
        <w:spacing w:after="0" w:line="360" w:lineRule="auto"/>
        <w:rPr>
          <w:color w:val="000000"/>
        </w:rPr>
      </w:pPr>
    </w:p>
    <w:p w14:paraId="66624F3B" w14:textId="77777777" w:rsidR="00E50A2D" w:rsidRDefault="008F0C97">
      <w:pPr>
        <w:spacing w:after="0" w:line="360" w:lineRule="auto"/>
        <w:rPr>
          <w:color w:val="000000"/>
        </w:rPr>
      </w:pPr>
      <w:r>
        <w:rPr>
          <w:color w:val="000000"/>
        </w:rPr>
        <w:t xml:space="preserve">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w:t>
      </w:r>
      <w:r>
        <w:t>apuntó</w:t>
      </w:r>
      <w:r>
        <w:rPr>
          <w:color w:val="000000"/>
        </w:rPr>
        <w:t xml:space="preserve"> a su existencia.</w:t>
      </w:r>
    </w:p>
    <w:p w14:paraId="6486785A" w14:textId="77777777" w:rsidR="00E50A2D" w:rsidRDefault="00E50A2D">
      <w:pPr>
        <w:spacing w:after="0" w:line="360" w:lineRule="auto"/>
        <w:rPr>
          <w:color w:val="000000"/>
        </w:rPr>
      </w:pPr>
    </w:p>
    <w:p w14:paraId="15C40072" w14:textId="77777777" w:rsidR="00E50A2D" w:rsidRDefault="008F0C97">
      <w:pPr>
        <w:spacing w:after="0" w:line="360" w:lineRule="auto"/>
        <w:rPr>
          <w:color w:val="000000"/>
        </w:rPr>
      </w:pPr>
      <w:r>
        <w:rPr>
          <w:color w:val="000000"/>
        </w:rPr>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1B51D089" w14:textId="77777777" w:rsidR="00E50A2D" w:rsidRDefault="00E50A2D">
      <w:pPr>
        <w:spacing w:after="0" w:line="360" w:lineRule="auto"/>
        <w:rPr>
          <w:color w:val="000000"/>
        </w:rPr>
      </w:pPr>
    </w:p>
    <w:p w14:paraId="2CB9D74F" w14:textId="77777777" w:rsidR="00E50A2D" w:rsidRDefault="008F0C97">
      <w:pPr>
        <w:spacing w:after="0" w:line="360" w:lineRule="auto"/>
      </w:pPr>
      <w:r>
        <w:rPr>
          <w:color w:val="000000"/>
        </w:rPr>
        <w:t xml:space="preserve">Así pues, se tiene por </w:t>
      </w:r>
      <w:r>
        <w:rPr>
          <w:b/>
          <w:color w:val="000000"/>
        </w:rPr>
        <w:t xml:space="preserve">atendida la solicitud de información por cuanto hace a la </w:t>
      </w:r>
      <w:r>
        <w:rPr>
          <w:b/>
        </w:rPr>
        <w:t>Dirección General de Coordinación con Organismos Operadores y al año 2024 de la Unidad de Modernización Administrativa e Informática (UMA).</w:t>
      </w:r>
    </w:p>
    <w:p w14:paraId="7085CCBC" w14:textId="77777777" w:rsidR="00E50A2D" w:rsidRDefault="00E50A2D">
      <w:pPr>
        <w:spacing w:after="0" w:line="360" w:lineRule="auto"/>
      </w:pPr>
    </w:p>
    <w:p w14:paraId="580C3CBC" w14:textId="77777777" w:rsidR="00E50A2D" w:rsidRDefault="008F0C97">
      <w:pPr>
        <w:spacing w:after="0" w:line="360" w:lineRule="auto"/>
        <w:rPr>
          <w:color w:val="000000"/>
        </w:rPr>
      </w:pPr>
      <w:r>
        <w:lastRenderedPageBreak/>
        <w:t xml:space="preserve">Sin menoscabo de lo anterior, es de mencionar que </w:t>
      </w:r>
      <w:r>
        <w:rPr>
          <w:b/>
        </w:rPr>
        <w:t>la Unidad de Modernización Administrativa e Informática (UMA) no se pronunció por la temporalidad del 1° de enero al 10 de marzo de 2025, por lo que deberá pronunciarse por dicha temporalidad</w:t>
      </w:r>
      <w:r>
        <w:t xml:space="preserve">.  </w:t>
      </w:r>
    </w:p>
    <w:p w14:paraId="6882DCA0" w14:textId="77777777" w:rsidR="00E50A2D" w:rsidRDefault="00E50A2D">
      <w:pPr>
        <w:spacing w:after="0" w:line="360" w:lineRule="auto"/>
      </w:pPr>
    </w:p>
    <w:p w14:paraId="7F56C847" w14:textId="77777777" w:rsidR="00E50A2D" w:rsidRDefault="008F0C97">
      <w:pPr>
        <w:numPr>
          <w:ilvl w:val="0"/>
          <w:numId w:val="4"/>
        </w:numPr>
        <w:pBdr>
          <w:top w:val="nil"/>
          <w:left w:val="nil"/>
          <w:bottom w:val="nil"/>
          <w:right w:val="nil"/>
          <w:between w:val="nil"/>
        </w:pBdr>
        <w:tabs>
          <w:tab w:val="left" w:pos="4962"/>
        </w:tabs>
        <w:spacing w:after="0" w:line="360" w:lineRule="auto"/>
        <w:rPr>
          <w:b/>
          <w:color w:val="000000"/>
          <w:u w:val="single"/>
        </w:rPr>
      </w:pPr>
      <w:r>
        <w:rPr>
          <w:b/>
          <w:color w:val="000000"/>
          <w:u w:val="single"/>
        </w:rPr>
        <w:t>Por cuanto hace a la Dirección General del Programa Hidráulico, a la Dirección General de Asuntos Jurídicos e Igualdad de Género y la Dirección General de Administración y Finanzas.</w:t>
      </w:r>
    </w:p>
    <w:p w14:paraId="3F4E4A0C" w14:textId="77777777" w:rsidR="00E50A2D" w:rsidRDefault="00E50A2D">
      <w:pPr>
        <w:tabs>
          <w:tab w:val="left" w:pos="4962"/>
        </w:tabs>
        <w:spacing w:after="0" w:line="360" w:lineRule="auto"/>
      </w:pPr>
    </w:p>
    <w:p w14:paraId="397B8ABF" w14:textId="77777777" w:rsidR="00E50A2D" w:rsidRDefault="008F0C97">
      <w:pPr>
        <w:spacing w:after="0" w:line="360" w:lineRule="auto"/>
      </w:pPr>
      <w:r>
        <w:t>Al respecto, en todas las mencionadas se entregó en respuesta e informe justificado ligas para consultar la información en formato cerrado, al respecto, es preciso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538699CD" w14:textId="77777777" w:rsidR="00E50A2D" w:rsidRDefault="008F0C97">
      <w:pPr>
        <w:spacing w:after="0" w:line="360" w:lineRule="auto"/>
      </w:pPr>
      <w:r>
        <w:t> </w:t>
      </w:r>
    </w:p>
    <w:p w14:paraId="6DC73432" w14:textId="77777777" w:rsidR="00E50A2D" w:rsidRDefault="008F0C97">
      <w:pPr>
        <w:spacing w:after="0" w:line="360" w:lineRule="auto"/>
      </w:pPr>
      <w: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E2A637E" w14:textId="77777777" w:rsidR="00E50A2D" w:rsidRDefault="008F0C97">
      <w:pPr>
        <w:spacing w:after="0" w:line="360" w:lineRule="auto"/>
      </w:pPr>
      <w:r>
        <w:t> </w:t>
      </w:r>
    </w:p>
    <w:p w14:paraId="0B37A009" w14:textId="77777777" w:rsidR="00E50A2D" w:rsidRDefault="008F0C97">
      <w:pPr>
        <w:numPr>
          <w:ilvl w:val="0"/>
          <w:numId w:val="5"/>
        </w:numPr>
        <w:spacing w:after="0" w:line="360" w:lineRule="auto"/>
      </w:pPr>
      <w:r>
        <w:rPr>
          <w:b/>
        </w:rPr>
        <w:t>Dato abierto:</w:t>
      </w:r>
      <w: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00322C7" w14:textId="77777777" w:rsidR="00E50A2D" w:rsidRDefault="008F0C97">
      <w:pPr>
        <w:spacing w:after="0" w:line="360" w:lineRule="auto"/>
      </w:pPr>
      <w:r>
        <w:t> </w:t>
      </w:r>
    </w:p>
    <w:p w14:paraId="435A1E42" w14:textId="77777777" w:rsidR="00E50A2D" w:rsidRDefault="008F0C97">
      <w:pPr>
        <w:numPr>
          <w:ilvl w:val="0"/>
          <w:numId w:val="5"/>
        </w:numPr>
        <w:spacing w:after="0" w:line="360" w:lineRule="auto"/>
      </w:pPr>
      <w:r>
        <w:rPr>
          <w:b/>
        </w:rPr>
        <w:t>Formato accesible:</w:t>
      </w:r>
      <w:r>
        <w:t xml:space="preserve"> Conjunto de características técnicas y de presentación de la información que corresponden a la estructura lógica usada para almacenar datos de forma integral y facilitan su procesamiento digital, cuyas especificaciones estás </w:t>
      </w:r>
      <w:r>
        <w:lastRenderedPageBreak/>
        <w:t>disponibles públicamente y que permite el acceso sin restricción de uso por parte de los usuarios.</w:t>
      </w:r>
    </w:p>
    <w:p w14:paraId="7347AE74" w14:textId="77777777" w:rsidR="00E50A2D" w:rsidRDefault="008F0C97">
      <w:pPr>
        <w:spacing w:after="0" w:line="360" w:lineRule="auto"/>
      </w:pPr>
      <w:r>
        <w:t> </w:t>
      </w:r>
    </w:p>
    <w:p w14:paraId="1FFC883C" w14:textId="77777777" w:rsidR="00E50A2D" w:rsidRDefault="008F0C97">
      <w:pPr>
        <w:spacing w:after="0" w:line="360" w:lineRule="auto"/>
      </w:pPr>
      <w:r>
        <w:t>Conforme a lo anterior, se considera que en el caso de que la información peticionada obre en ligas electrónicas, el Sujeto Obligado deberá privilegiar la entrega de estas, en datos abiertos, es decir, en un formato que permita la accesibilidad y facilidad a las personas Particulares, para obtener la información contenida estas.</w:t>
      </w:r>
    </w:p>
    <w:p w14:paraId="36033572" w14:textId="77777777" w:rsidR="00E50A2D" w:rsidRDefault="008F0C97">
      <w:pPr>
        <w:spacing w:after="0" w:line="360" w:lineRule="auto"/>
      </w:pPr>
      <w:r>
        <w:t> </w:t>
      </w:r>
    </w:p>
    <w:p w14:paraId="3426337A" w14:textId="77777777" w:rsidR="00E50A2D" w:rsidRDefault="008F0C97">
      <w:pPr>
        <w:spacing w:after="0" w:line="360" w:lineRule="auto"/>
      </w:pPr>
      <w: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389199BA" w14:textId="77777777" w:rsidR="00E50A2D" w:rsidRDefault="00E50A2D">
      <w:pPr>
        <w:spacing w:after="0" w:line="360" w:lineRule="auto"/>
      </w:pPr>
    </w:p>
    <w:p w14:paraId="44C33635" w14:textId="77777777" w:rsidR="00E50A2D" w:rsidRDefault="008F0C97">
      <w:pPr>
        <w:spacing w:after="0" w:line="360" w:lineRule="auto"/>
      </w:pPr>
      <w:r>
        <w:t xml:space="preserve">Cómo se logra observar, el Sujeto Obligado si bien señaló las páginas electrónicas y que la información se encontraba lo correspondiente a los índices de expedientes clasificados como reservados, lo cierto es que al otorgar en formato cerrado no entregó la información suficiente para que el Particular pueda acceder a ella, por tanto, </w:t>
      </w:r>
      <w:r>
        <w:rPr>
          <w:b/>
        </w:rPr>
        <w:t>no da cuenta de lo solicitado</w:t>
      </w:r>
      <w:r>
        <w:t xml:space="preserve"> y en consecuencia resultan fundados los motivos de inconformidad planteados por la persona Recurrente y en consecuencia será necesaria la entrega correspondiente.</w:t>
      </w:r>
    </w:p>
    <w:p w14:paraId="10036D98" w14:textId="77777777" w:rsidR="00E50A2D" w:rsidRDefault="00E50A2D">
      <w:pPr>
        <w:tabs>
          <w:tab w:val="left" w:pos="4962"/>
        </w:tabs>
        <w:spacing w:after="0" w:line="360" w:lineRule="auto"/>
      </w:pPr>
    </w:p>
    <w:p w14:paraId="6E9007A1" w14:textId="77777777" w:rsidR="00E50A2D" w:rsidRDefault="008F0C97">
      <w:pPr>
        <w:tabs>
          <w:tab w:val="left" w:pos="4962"/>
        </w:tabs>
        <w:spacing w:after="0" w:line="360" w:lineRule="auto"/>
      </w:pPr>
      <w:r>
        <w:t xml:space="preserve">En atención a todo lo antes expuesto, resultan </w:t>
      </w:r>
      <w:r>
        <w:rPr>
          <w:b/>
        </w:rPr>
        <w:t>PARCIALMENTE FUNDADOS</w:t>
      </w:r>
      <w:r>
        <w:t xml:space="preserve"> los motivos de inconformidad planteados por la parte Recurrente y, en consecuencia, es procedente </w:t>
      </w:r>
      <w:r>
        <w:rPr>
          <w:b/>
        </w:rPr>
        <w:t>MODIFICAR</w:t>
      </w:r>
      <w:r>
        <w:t xml:space="preserve"> la respuesta inicial y ordenar la entrega de los índices de expedientes clasificados </w:t>
      </w:r>
      <w:r>
        <w:lastRenderedPageBreak/>
        <w:t xml:space="preserve">como reservados de las áreas faltantes y de la temporalidad solicitada, en los términos antes analizados. </w:t>
      </w:r>
    </w:p>
    <w:p w14:paraId="26819A29" w14:textId="77777777" w:rsidR="00E50A2D" w:rsidRDefault="00E50A2D">
      <w:pPr>
        <w:tabs>
          <w:tab w:val="left" w:pos="4962"/>
        </w:tabs>
        <w:spacing w:after="0" w:line="360" w:lineRule="auto"/>
      </w:pPr>
    </w:p>
    <w:p w14:paraId="5503D54F" w14:textId="77777777" w:rsidR="00E50A2D" w:rsidRDefault="008F0C97">
      <w:pPr>
        <w:tabs>
          <w:tab w:val="left" w:pos="4962"/>
        </w:tabs>
        <w:spacing w:after="0" w:line="360" w:lineRule="auto"/>
      </w:pPr>
      <w:r>
        <w:t xml:space="preserve">Cabe señalar que la información que se ordena tiene el carácter de pública de conformidad con la Ley de Transparencia y Acceso a la información Pública del Estado de México y Municipios por lo que no es necesario que se realicen versiones públicas. </w:t>
      </w:r>
    </w:p>
    <w:p w14:paraId="0F1B1D4E" w14:textId="77777777" w:rsidR="00E50A2D" w:rsidRDefault="00E50A2D">
      <w:pPr>
        <w:tabs>
          <w:tab w:val="left" w:pos="4962"/>
        </w:tabs>
        <w:spacing w:after="0" w:line="360" w:lineRule="auto"/>
      </w:pPr>
    </w:p>
    <w:p w14:paraId="1E3FF881" w14:textId="77777777" w:rsidR="00E50A2D" w:rsidRDefault="008F0C97">
      <w:pPr>
        <w:pStyle w:val="Ttulo2"/>
        <w:spacing w:before="0" w:after="0"/>
        <w:rPr>
          <w:b w:val="0"/>
        </w:rPr>
      </w:pPr>
      <w:bookmarkStart w:id="13" w:name="_Toc205476585"/>
      <w:r>
        <w:t>SEXTO. Decisión</w:t>
      </w:r>
      <w:bookmarkEnd w:id="13"/>
    </w:p>
    <w:p w14:paraId="172D2510" w14:textId="77777777" w:rsidR="00E50A2D" w:rsidRDefault="00E50A2D">
      <w:pPr>
        <w:spacing w:after="0" w:line="360" w:lineRule="auto"/>
        <w:rPr>
          <w:b/>
        </w:rPr>
      </w:pPr>
    </w:p>
    <w:p w14:paraId="39F39321" w14:textId="77777777" w:rsidR="00E50A2D" w:rsidRDefault="008F0C97">
      <w:pPr>
        <w:spacing w:after="0" w:line="360" w:lineRule="auto"/>
      </w:pPr>
      <w:r>
        <w:t xml:space="preserve">Con fundamento en el artículo 186, fracción III, de la Ley de Transparencia y Acceso a la Información Pública del Estado de México y Municipios, este Instituto considera procedente </w:t>
      </w:r>
      <w:r>
        <w:rPr>
          <w:b/>
        </w:rPr>
        <w:t>MODIFICAR</w:t>
      </w:r>
      <w:r>
        <w:t xml:space="preserve"> la respuesta otorgada por el Sujeto Obligado a la solicitud de información </w:t>
      </w:r>
      <w:r>
        <w:rPr>
          <w:b/>
        </w:rPr>
        <w:t xml:space="preserve"> 00133/CAEM/IP/2025</w:t>
      </w:r>
      <w:r>
        <w:t xml:space="preserve">, por resultar parcialmente fundadas las razones o motivos de inconformidad hechos valer por la parte Recurrente, en el Recurso de Revisión </w:t>
      </w:r>
      <w:r>
        <w:rPr>
          <w:b/>
        </w:rPr>
        <w:t>04131/INFOEM/IP/RR/2025</w:t>
      </w:r>
      <w:r>
        <w:t xml:space="preserve">, en consecuencia procede </w:t>
      </w:r>
      <w:r>
        <w:rPr>
          <w:b/>
        </w:rPr>
        <w:t xml:space="preserve">ORDENAR, </w:t>
      </w:r>
      <w:r>
        <w:t>la entrega de la información faltante en los términos expuestos.</w:t>
      </w:r>
    </w:p>
    <w:p w14:paraId="50603B4B" w14:textId="77777777" w:rsidR="00E50A2D" w:rsidRDefault="00E50A2D">
      <w:pPr>
        <w:spacing w:after="0" w:line="360" w:lineRule="auto"/>
      </w:pPr>
    </w:p>
    <w:p w14:paraId="16CF9214" w14:textId="423E68AF" w:rsidR="00E50A2D" w:rsidRDefault="008F0C97">
      <w:pPr>
        <w:spacing w:after="0" w:line="360" w:lineRule="auto"/>
        <w:rPr>
          <w:b/>
          <w:u w:val="single"/>
        </w:rPr>
      </w:pPr>
      <w:r>
        <w:rPr>
          <w:b/>
          <w:u w:val="single"/>
        </w:rPr>
        <w:t>Términos de la Reso</w:t>
      </w:r>
      <w:r w:rsidR="003E3016">
        <w:rPr>
          <w:b/>
          <w:u w:val="single"/>
        </w:rPr>
        <w:t>lución para la parte Recurrente</w:t>
      </w:r>
    </w:p>
    <w:p w14:paraId="3423B6F9" w14:textId="77777777" w:rsidR="00E50A2D" w:rsidRDefault="00E50A2D">
      <w:pPr>
        <w:spacing w:after="0" w:line="360" w:lineRule="auto"/>
      </w:pPr>
    </w:p>
    <w:p w14:paraId="592F40A7" w14:textId="77777777" w:rsidR="00E50A2D" w:rsidRDefault="008F0C97">
      <w:pPr>
        <w:spacing w:after="0" w:line="360" w:lineRule="auto"/>
        <w:rPr>
          <w:u w:val="single"/>
        </w:rPr>
      </w:pPr>
      <w:r>
        <w:rPr>
          <w:u w:val="single"/>
        </w:rPr>
        <w:t>Se hace del conocimiento de parte Recurrente que este Organismo Garante determinó concederle parcialmente la razón, puesto que el Sujeto Obligado remitió ligas en formato cerrado y debió hacerlo en formato abierto, además en lo manifestado por la Unidad de Modernización Administrativa e Informática (UMA) no se pronunció por toda la temporalidad, por tanto, se ordena la información faltante.</w:t>
      </w:r>
    </w:p>
    <w:p w14:paraId="04D02A7A" w14:textId="77777777" w:rsidR="00E50A2D" w:rsidRDefault="00E50A2D">
      <w:pPr>
        <w:spacing w:after="0" w:line="360" w:lineRule="auto"/>
        <w:rPr>
          <w:u w:val="single"/>
        </w:rPr>
      </w:pPr>
    </w:p>
    <w:p w14:paraId="216F191C" w14:textId="21E13B17" w:rsidR="00E50A2D" w:rsidRDefault="008F0C97">
      <w:pPr>
        <w:spacing w:after="0" w:line="360" w:lineRule="auto"/>
        <w:rPr>
          <w:u w:val="single"/>
        </w:rPr>
      </w:pPr>
      <w:r>
        <w:rPr>
          <w:u w:val="single"/>
        </w:rPr>
        <w:lastRenderedPageBreak/>
        <w:t>Cabe mencionar que cuando no se delimita la temporalidad en la solicitud de información, se toma en consideración un periodo de búsqueda de un año anterior a la fecha en la que ingresó su solicitud, y dicha temporalidad no se puede extender o ajustar en el momento de interponer el Recurso de Revisión porque se trataría de una ampliación a la solicitud inicial.  La labor del INFOEM, es apoyar a la población para acceder a la información pública y garantizar la protección de sus datos personales.</w:t>
      </w:r>
    </w:p>
    <w:p w14:paraId="3E230AE8" w14:textId="77777777" w:rsidR="00E50A2D" w:rsidRDefault="00E50A2D">
      <w:pPr>
        <w:spacing w:after="0" w:line="360" w:lineRule="auto"/>
        <w:rPr>
          <w:u w:val="single"/>
        </w:rPr>
      </w:pPr>
    </w:p>
    <w:p w14:paraId="616647E9" w14:textId="77777777" w:rsidR="00E50A2D" w:rsidRDefault="008F0C97">
      <w:pPr>
        <w:pStyle w:val="Ttulo1"/>
        <w:spacing w:before="0" w:after="0"/>
        <w:rPr>
          <w:b w:val="0"/>
          <w:sz w:val="22"/>
          <w:szCs w:val="22"/>
        </w:rPr>
      </w:pPr>
      <w:bookmarkStart w:id="14" w:name="_Toc205476586"/>
      <w:r>
        <w:rPr>
          <w:sz w:val="22"/>
          <w:szCs w:val="22"/>
        </w:rPr>
        <w:t>R E S U E L V E</w:t>
      </w:r>
      <w:bookmarkEnd w:id="14"/>
    </w:p>
    <w:p w14:paraId="2BE1A97C" w14:textId="77777777" w:rsidR="00E50A2D" w:rsidRDefault="00E50A2D">
      <w:pPr>
        <w:spacing w:after="0" w:line="360" w:lineRule="auto"/>
        <w:rPr>
          <w:b/>
        </w:rPr>
      </w:pPr>
    </w:p>
    <w:p w14:paraId="0B2FCCD9" w14:textId="77777777" w:rsidR="00E50A2D" w:rsidRDefault="008F0C97">
      <w:pPr>
        <w:spacing w:after="0" w:line="360" w:lineRule="auto"/>
      </w:pPr>
      <w:r>
        <w:rPr>
          <w:b/>
        </w:rPr>
        <w:t xml:space="preserve">PRIMERO. </w:t>
      </w:r>
      <w:r>
        <w:t xml:space="preserve">Se </w:t>
      </w:r>
      <w:r>
        <w:rPr>
          <w:b/>
        </w:rPr>
        <w:t>MODIFICA</w:t>
      </w:r>
      <w:r>
        <w:t xml:space="preserve"> la respuesta entregada por la Comisión del Agua del Estado de México a la solicitud de información </w:t>
      </w:r>
      <w:r>
        <w:rPr>
          <w:b/>
        </w:rPr>
        <w:t xml:space="preserve">00133/CAEM/IP/2025 </w:t>
      </w:r>
      <w:r>
        <w:t xml:space="preserve">por resultar parcialmente fundadas las razones o motivos de inconformidad hechos valer por la persona Recurrente en el Recurso de Revisión </w:t>
      </w:r>
      <w:r>
        <w:rPr>
          <w:b/>
        </w:rPr>
        <w:t>04131/INFOEM/IP/RR/2025</w:t>
      </w:r>
      <w:r>
        <w:t>, en términos de los considerandos QUINTO y SEXTO de la presente Resolución.</w:t>
      </w:r>
    </w:p>
    <w:p w14:paraId="43D2494B" w14:textId="77777777" w:rsidR="00E50A2D" w:rsidRDefault="00E50A2D">
      <w:pPr>
        <w:spacing w:after="0" w:line="360" w:lineRule="auto"/>
      </w:pPr>
    </w:p>
    <w:p w14:paraId="75529F61" w14:textId="2FC61459" w:rsidR="00E50A2D" w:rsidRDefault="008F0C97">
      <w:pPr>
        <w:spacing w:after="0" w:line="360" w:lineRule="auto"/>
      </w:pPr>
      <w:r>
        <w:rPr>
          <w:b/>
        </w:rPr>
        <w:t xml:space="preserve">SEGUNDO. </w:t>
      </w:r>
      <w:r>
        <w:t xml:space="preserve">Se </w:t>
      </w:r>
      <w:r>
        <w:rPr>
          <w:b/>
        </w:rPr>
        <w:t>ORDENA</w:t>
      </w:r>
      <w:r>
        <w:t xml:space="preserve"> al Sujeto Obligado, a efecto de entregue, a través del SAIMEX, los documentos que den cuenta de los índices de los expedientes clasificados como reservados de las siguientes áreas:</w:t>
      </w:r>
    </w:p>
    <w:p w14:paraId="7DB943F8" w14:textId="77777777" w:rsidR="00E50A2D" w:rsidRDefault="00E50A2D">
      <w:pPr>
        <w:spacing w:after="0" w:line="360" w:lineRule="auto"/>
      </w:pPr>
    </w:p>
    <w:p w14:paraId="47718B7C" w14:textId="3B2C809B" w:rsidR="00E50A2D" w:rsidRDefault="008F0C97">
      <w:pPr>
        <w:numPr>
          <w:ilvl w:val="0"/>
          <w:numId w:val="1"/>
        </w:numPr>
        <w:pBdr>
          <w:top w:val="nil"/>
          <w:left w:val="nil"/>
          <w:bottom w:val="nil"/>
          <w:right w:val="nil"/>
          <w:between w:val="nil"/>
        </w:pBdr>
        <w:tabs>
          <w:tab w:val="left" w:pos="4962"/>
        </w:tabs>
        <w:spacing w:after="0" w:line="360" w:lineRule="auto"/>
        <w:rPr>
          <w:color w:val="000000"/>
        </w:rPr>
      </w:pPr>
      <w:r>
        <w:t xml:space="preserve">De la Dirección General del Programa Hidráulico, la Dirección General de Asuntos Jurídicos e Igualdad de Género y la Dirección General de Administración y Finanzas del periodo del </w:t>
      </w:r>
      <w:r>
        <w:rPr>
          <w:color w:val="000000"/>
        </w:rPr>
        <w:t>10 de marzo de 2024 al 10 de marzo de 2025</w:t>
      </w:r>
      <w:r w:rsidR="006167A8">
        <w:rPr>
          <w:color w:val="000000"/>
        </w:rPr>
        <w:t>.</w:t>
      </w:r>
    </w:p>
    <w:p w14:paraId="010F1886" w14:textId="77777777" w:rsidR="006167A8" w:rsidRDefault="006167A8" w:rsidP="006167A8">
      <w:pPr>
        <w:pBdr>
          <w:top w:val="nil"/>
          <w:left w:val="nil"/>
          <w:bottom w:val="nil"/>
          <w:right w:val="nil"/>
          <w:between w:val="nil"/>
        </w:pBdr>
        <w:tabs>
          <w:tab w:val="left" w:pos="4962"/>
        </w:tabs>
        <w:spacing w:after="0" w:line="360" w:lineRule="auto"/>
        <w:ind w:left="720"/>
        <w:rPr>
          <w:color w:val="000000"/>
        </w:rPr>
      </w:pPr>
    </w:p>
    <w:p w14:paraId="6A0100C4" w14:textId="77777777" w:rsidR="00E50A2D" w:rsidRDefault="008F0C97">
      <w:pPr>
        <w:numPr>
          <w:ilvl w:val="0"/>
          <w:numId w:val="1"/>
        </w:numPr>
        <w:pBdr>
          <w:top w:val="nil"/>
          <w:left w:val="nil"/>
          <w:bottom w:val="nil"/>
          <w:right w:val="nil"/>
          <w:between w:val="nil"/>
        </w:pBdr>
        <w:tabs>
          <w:tab w:val="left" w:pos="4962"/>
        </w:tabs>
        <w:spacing w:after="0" w:line="360" w:lineRule="auto"/>
        <w:rPr>
          <w:color w:val="000000"/>
        </w:rPr>
      </w:pPr>
      <w:r>
        <w:rPr>
          <w:color w:val="000000"/>
        </w:rPr>
        <w:t>De la Unidad de Modernización Administrativa e Informática (UMA) del periodo del 1° de enero al 10 de marzo de 2025.</w:t>
      </w:r>
    </w:p>
    <w:p w14:paraId="38DD278D" w14:textId="77777777" w:rsidR="00E50A2D" w:rsidRDefault="008F0C97">
      <w:pPr>
        <w:pBdr>
          <w:top w:val="nil"/>
          <w:left w:val="nil"/>
          <w:bottom w:val="nil"/>
          <w:right w:val="nil"/>
          <w:between w:val="nil"/>
        </w:pBdr>
        <w:tabs>
          <w:tab w:val="left" w:pos="4962"/>
        </w:tabs>
        <w:spacing w:after="0" w:line="360" w:lineRule="auto"/>
      </w:pPr>
      <w:r>
        <w:lastRenderedPageBreak/>
        <w:t>Para el caso de que durante la temporalidad requerida no cuente con índices de expedientes clasificados como reservados, bastará con que lo haga del conocimiento del Particular de manera precisa y clara.</w:t>
      </w:r>
    </w:p>
    <w:p w14:paraId="17432C22" w14:textId="77777777" w:rsidR="00E50A2D" w:rsidRDefault="00E50A2D">
      <w:pPr>
        <w:spacing w:after="0" w:line="360" w:lineRule="auto"/>
      </w:pPr>
    </w:p>
    <w:p w14:paraId="0700DB03" w14:textId="77777777" w:rsidR="00E50A2D" w:rsidRDefault="008F0C97">
      <w:pPr>
        <w:spacing w:after="0" w:line="360" w:lineRule="auto"/>
      </w:pPr>
      <w:bookmarkStart w:id="15" w:name="_heading=h.argy21qnkmhr" w:colFirst="0" w:colLast="0"/>
      <w:bookmarkEnd w:id="15"/>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46DEC094" w14:textId="77777777" w:rsidR="00E50A2D" w:rsidRDefault="00E50A2D">
      <w:pPr>
        <w:spacing w:after="0" w:line="360" w:lineRule="auto"/>
      </w:pPr>
    </w:p>
    <w:p w14:paraId="6A8EDA56" w14:textId="77777777" w:rsidR="00E50A2D" w:rsidRDefault="008F0C97">
      <w:pPr>
        <w:spacing w:after="0" w:line="360" w:lineRule="auto"/>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5AF6A7" w14:textId="77777777" w:rsidR="00E50A2D" w:rsidRDefault="00E50A2D">
      <w:pPr>
        <w:spacing w:after="0" w:line="360" w:lineRule="auto"/>
      </w:pPr>
    </w:p>
    <w:p w14:paraId="0DB51D3E" w14:textId="77777777" w:rsidR="00E50A2D" w:rsidRDefault="008F0C97">
      <w:pPr>
        <w:spacing w:after="0" w:line="360" w:lineRule="auto"/>
      </w:pPr>
      <w:r>
        <w:rPr>
          <w:b/>
        </w:rPr>
        <w:t>CUARTO. NOTIFÍQUESE</w:t>
      </w:r>
      <w:r>
        <w:t xml:space="preserve"> </w:t>
      </w:r>
      <w:r>
        <w:rPr>
          <w:b/>
        </w:rPr>
        <w:t xml:space="preserve">POR SAIMEX </w:t>
      </w:r>
      <w: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2F8C51" w14:textId="77777777" w:rsidR="00E50A2D" w:rsidRDefault="00E50A2D">
      <w:pPr>
        <w:spacing w:after="0" w:line="360" w:lineRule="auto"/>
      </w:pPr>
    </w:p>
    <w:p w14:paraId="5326F37D" w14:textId="2E5DD6C0" w:rsidR="00E50A2D" w:rsidRDefault="008F0C97">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w:t>
      </w:r>
      <w:r>
        <w:lastRenderedPageBreak/>
        <w:t xml:space="preserve">COMISIONADOS JOSÉ MARTÍNEZ VILCHIS, MARÍA DEL ROSARIO MEJÍA AYALA, SHARON CRISTINA MORALES MARTÍNEZ, LUIS GUSTAVO PARRA NORIEGA Y GUADALUPE RAMÍREZ PEÑA, EN LA VIGÉSIMA SÉPTIMA SESIÓN ORDINARIA, CELEBRADA EL </w:t>
      </w:r>
      <w:r w:rsidR="000B427F">
        <w:t>SEIS</w:t>
      </w:r>
      <w:r>
        <w:t xml:space="preserve"> DE AGOSTO DE DOS MIL VEINTICINCO, ANTE EL SECRETARIO TÉCNICO DEL PLENO, ALEXIS TAPIA RAMÍREZ.</w:t>
      </w:r>
    </w:p>
    <w:p w14:paraId="1857EA30" w14:textId="77777777" w:rsidR="00E50A2D" w:rsidRDefault="00E50A2D">
      <w:pPr>
        <w:pStyle w:val="Ttulo2"/>
        <w:spacing w:before="0" w:after="0"/>
        <w:rPr>
          <w:b w:val="0"/>
        </w:rPr>
      </w:pPr>
    </w:p>
    <w:p w14:paraId="7FBFFCDD" w14:textId="77777777" w:rsidR="00E50A2D" w:rsidRDefault="00E50A2D">
      <w:pPr>
        <w:spacing w:after="0" w:line="360" w:lineRule="auto"/>
      </w:pPr>
    </w:p>
    <w:p w14:paraId="0354AACB" w14:textId="77777777" w:rsidR="00E50A2D" w:rsidRDefault="00E50A2D">
      <w:pPr>
        <w:spacing w:after="0" w:line="360" w:lineRule="auto"/>
      </w:pPr>
    </w:p>
    <w:p w14:paraId="6228CEA3" w14:textId="77777777" w:rsidR="00E50A2D" w:rsidRDefault="00E50A2D">
      <w:pPr>
        <w:spacing w:after="0" w:line="360" w:lineRule="auto"/>
      </w:pPr>
    </w:p>
    <w:p w14:paraId="528C3974" w14:textId="77777777" w:rsidR="00E50A2D" w:rsidRDefault="00E50A2D">
      <w:pPr>
        <w:spacing w:after="0" w:line="360" w:lineRule="auto"/>
      </w:pPr>
    </w:p>
    <w:p w14:paraId="6884F9BE" w14:textId="77777777" w:rsidR="00E50A2D" w:rsidRDefault="00E50A2D">
      <w:pPr>
        <w:spacing w:after="0" w:line="360" w:lineRule="auto"/>
      </w:pPr>
    </w:p>
    <w:p w14:paraId="506DEFB9" w14:textId="77777777" w:rsidR="00E50A2D" w:rsidRDefault="00E50A2D">
      <w:pPr>
        <w:spacing w:after="0" w:line="360" w:lineRule="auto"/>
      </w:pPr>
    </w:p>
    <w:p w14:paraId="24927628" w14:textId="77777777" w:rsidR="00E50A2D" w:rsidRDefault="00E50A2D">
      <w:pPr>
        <w:spacing w:after="0" w:line="360" w:lineRule="auto"/>
      </w:pPr>
    </w:p>
    <w:p w14:paraId="21CBB03A" w14:textId="77777777" w:rsidR="00E50A2D" w:rsidRDefault="00E50A2D">
      <w:pPr>
        <w:spacing w:after="0" w:line="360" w:lineRule="auto"/>
      </w:pPr>
    </w:p>
    <w:p w14:paraId="1E3476CA" w14:textId="77777777" w:rsidR="00E50A2D" w:rsidRDefault="00E50A2D">
      <w:pPr>
        <w:spacing w:after="0" w:line="360" w:lineRule="auto"/>
      </w:pPr>
    </w:p>
    <w:p w14:paraId="5DBDF56E" w14:textId="77777777" w:rsidR="00E50A2D" w:rsidRDefault="00E50A2D">
      <w:pPr>
        <w:spacing w:after="0" w:line="360" w:lineRule="auto"/>
      </w:pPr>
    </w:p>
    <w:p w14:paraId="5B7D52D4" w14:textId="77777777" w:rsidR="00E50A2D" w:rsidRDefault="00E50A2D">
      <w:pPr>
        <w:spacing w:after="0" w:line="360" w:lineRule="auto"/>
      </w:pPr>
    </w:p>
    <w:p w14:paraId="71DF6EFF" w14:textId="77777777" w:rsidR="00E50A2D" w:rsidRDefault="00E50A2D">
      <w:pPr>
        <w:spacing w:after="0" w:line="360" w:lineRule="auto"/>
      </w:pPr>
    </w:p>
    <w:p w14:paraId="23B220A1" w14:textId="77777777" w:rsidR="00E50A2D" w:rsidRDefault="00E50A2D">
      <w:pPr>
        <w:spacing w:after="0" w:line="360" w:lineRule="auto"/>
      </w:pPr>
    </w:p>
    <w:p w14:paraId="039A7ADD" w14:textId="77777777" w:rsidR="00E50A2D" w:rsidRDefault="00E50A2D">
      <w:pPr>
        <w:spacing w:after="0" w:line="360" w:lineRule="auto"/>
      </w:pPr>
    </w:p>
    <w:p w14:paraId="58681081" w14:textId="77777777" w:rsidR="00E50A2D" w:rsidRDefault="00E50A2D">
      <w:pPr>
        <w:spacing w:after="0" w:line="360" w:lineRule="auto"/>
      </w:pPr>
    </w:p>
    <w:p w14:paraId="2B4E02C0" w14:textId="77777777" w:rsidR="00E50A2D" w:rsidRDefault="00E50A2D">
      <w:pPr>
        <w:spacing w:after="0" w:line="360" w:lineRule="auto"/>
      </w:pPr>
    </w:p>
    <w:p w14:paraId="6ACC4A14" w14:textId="77777777" w:rsidR="00E50A2D" w:rsidRDefault="00E50A2D">
      <w:pPr>
        <w:spacing w:after="0" w:line="360" w:lineRule="auto"/>
      </w:pPr>
    </w:p>
    <w:p w14:paraId="3A42C24C" w14:textId="77777777" w:rsidR="00E50A2D" w:rsidRDefault="00E50A2D">
      <w:pPr>
        <w:spacing w:after="0" w:line="360" w:lineRule="auto"/>
      </w:pPr>
    </w:p>
    <w:p w14:paraId="2E24C024" w14:textId="77777777" w:rsidR="00E50A2D" w:rsidRDefault="00E50A2D">
      <w:pPr>
        <w:spacing w:after="0" w:line="360" w:lineRule="auto"/>
      </w:pPr>
    </w:p>
    <w:p w14:paraId="52EBF972" w14:textId="77777777" w:rsidR="00E50A2D" w:rsidRDefault="00E50A2D">
      <w:pPr>
        <w:spacing w:after="0" w:line="360" w:lineRule="auto"/>
      </w:pPr>
    </w:p>
    <w:p w14:paraId="41CD787C" w14:textId="77777777" w:rsidR="00E50A2D" w:rsidRDefault="00E50A2D">
      <w:pPr>
        <w:spacing w:after="0" w:line="360" w:lineRule="auto"/>
      </w:pPr>
    </w:p>
    <w:p w14:paraId="0294005F" w14:textId="77777777" w:rsidR="00E50A2D" w:rsidRDefault="00E50A2D">
      <w:pPr>
        <w:spacing w:after="0" w:line="360" w:lineRule="auto"/>
      </w:pPr>
    </w:p>
    <w:p w14:paraId="02DEEF64" w14:textId="77777777" w:rsidR="00E50A2D" w:rsidRDefault="00E50A2D">
      <w:pPr>
        <w:spacing w:after="0" w:line="360" w:lineRule="auto"/>
      </w:pPr>
    </w:p>
    <w:p w14:paraId="3D928F9F" w14:textId="77777777" w:rsidR="00E50A2D" w:rsidRDefault="00E50A2D">
      <w:pPr>
        <w:spacing w:after="0" w:line="360" w:lineRule="auto"/>
      </w:pPr>
    </w:p>
    <w:p w14:paraId="3A9C8B64" w14:textId="77777777" w:rsidR="00E50A2D" w:rsidRDefault="00E50A2D">
      <w:pPr>
        <w:spacing w:after="0" w:line="360" w:lineRule="auto"/>
      </w:pPr>
    </w:p>
    <w:p w14:paraId="229C5C36" w14:textId="77777777" w:rsidR="00E50A2D" w:rsidRDefault="00E50A2D">
      <w:pPr>
        <w:spacing w:after="0" w:line="360" w:lineRule="auto"/>
      </w:pPr>
    </w:p>
    <w:p w14:paraId="638A5822" w14:textId="77777777" w:rsidR="00E50A2D" w:rsidRDefault="00E50A2D">
      <w:pPr>
        <w:spacing w:after="0" w:line="360" w:lineRule="auto"/>
      </w:pPr>
    </w:p>
    <w:p w14:paraId="4D640C5B" w14:textId="77777777" w:rsidR="00E50A2D" w:rsidRDefault="00E50A2D">
      <w:pPr>
        <w:spacing w:after="0" w:line="360" w:lineRule="auto"/>
      </w:pPr>
    </w:p>
    <w:p w14:paraId="123AF081" w14:textId="77777777" w:rsidR="00E50A2D" w:rsidRDefault="00E50A2D">
      <w:pPr>
        <w:spacing w:after="0" w:line="360" w:lineRule="auto"/>
      </w:pPr>
    </w:p>
    <w:p w14:paraId="7A29387C" w14:textId="77777777" w:rsidR="00E50A2D" w:rsidRDefault="00E50A2D">
      <w:pPr>
        <w:spacing w:after="0" w:line="360" w:lineRule="auto"/>
      </w:pPr>
    </w:p>
    <w:p w14:paraId="1A68F305" w14:textId="77777777" w:rsidR="00E50A2D" w:rsidRDefault="00E50A2D">
      <w:pPr>
        <w:spacing w:after="0" w:line="360" w:lineRule="auto"/>
      </w:pPr>
    </w:p>
    <w:p w14:paraId="473FD7F7" w14:textId="77777777" w:rsidR="00E50A2D" w:rsidRDefault="00E50A2D">
      <w:pPr>
        <w:spacing w:after="0" w:line="360" w:lineRule="auto"/>
      </w:pPr>
    </w:p>
    <w:p w14:paraId="774CEDB4" w14:textId="77777777" w:rsidR="00E50A2D" w:rsidRDefault="00E50A2D">
      <w:pPr>
        <w:spacing w:after="0" w:line="360" w:lineRule="auto"/>
      </w:pPr>
    </w:p>
    <w:p w14:paraId="5D47FD76" w14:textId="77777777" w:rsidR="00E50A2D" w:rsidRDefault="00E50A2D">
      <w:pPr>
        <w:spacing w:after="0" w:line="360" w:lineRule="auto"/>
      </w:pPr>
    </w:p>
    <w:p w14:paraId="2DD38770" w14:textId="77777777" w:rsidR="00E50A2D" w:rsidRDefault="00E50A2D">
      <w:pPr>
        <w:spacing w:after="0" w:line="360" w:lineRule="auto"/>
      </w:pPr>
    </w:p>
    <w:p w14:paraId="26FF98EC" w14:textId="77777777" w:rsidR="00E50A2D" w:rsidRDefault="00E50A2D">
      <w:pPr>
        <w:spacing w:after="0" w:line="360" w:lineRule="auto"/>
      </w:pPr>
    </w:p>
    <w:p w14:paraId="369A6948" w14:textId="77777777" w:rsidR="00E50A2D" w:rsidRDefault="00E50A2D">
      <w:pPr>
        <w:spacing w:after="0" w:line="360" w:lineRule="auto"/>
      </w:pPr>
    </w:p>
    <w:p w14:paraId="5CC5B6F0" w14:textId="77777777" w:rsidR="00E50A2D" w:rsidRDefault="00E50A2D">
      <w:pPr>
        <w:spacing w:after="0" w:line="360" w:lineRule="auto"/>
      </w:pPr>
    </w:p>
    <w:sectPr w:rsidR="00E50A2D">
      <w:headerReference w:type="even" r:id="rId14"/>
      <w:headerReference w:type="default" r:id="rId15"/>
      <w:footerReference w:type="even" r:id="rId16"/>
      <w:footerReference w:type="default" r:id="rId17"/>
      <w:headerReference w:type="first" r:id="rId18"/>
      <w:footerReference w:type="first" r:id="rId19"/>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6A7F" w14:textId="77777777" w:rsidR="005647E5" w:rsidRDefault="005647E5">
      <w:pPr>
        <w:spacing w:after="0" w:line="240" w:lineRule="auto"/>
      </w:pPr>
      <w:r>
        <w:separator/>
      </w:r>
    </w:p>
  </w:endnote>
  <w:endnote w:type="continuationSeparator" w:id="0">
    <w:p w14:paraId="1C73D074" w14:textId="77777777" w:rsidR="005647E5" w:rsidRDefault="0056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4097" w14:textId="1B2F12DC" w:rsidR="00E50A2D" w:rsidRDefault="008F0C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040F2D">
      <w:rPr>
        <w:b/>
        <w:color w:val="000000"/>
        <w:sz w:val="24"/>
        <w:szCs w:val="24"/>
      </w:rPr>
      <w:fldChar w:fldCharType="separate"/>
    </w:r>
    <w:r w:rsidR="00040F2D">
      <w:rPr>
        <w:b/>
        <w:noProof/>
        <w:color w:val="000000"/>
        <w:sz w:val="24"/>
        <w:szCs w:val="24"/>
      </w:rPr>
      <w:t>31</w:t>
    </w:r>
    <w:r>
      <w:rPr>
        <w:b/>
        <w:color w:val="000000"/>
        <w:sz w:val="24"/>
        <w:szCs w:val="24"/>
      </w:rPr>
      <w:fldChar w:fldCharType="end"/>
    </w:r>
  </w:p>
  <w:p w14:paraId="21FAA50B" w14:textId="77777777" w:rsidR="00E50A2D" w:rsidRDefault="00E50A2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023A" w14:textId="77777777" w:rsidR="00E50A2D" w:rsidRDefault="008F0C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E3016">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E3016">
      <w:rPr>
        <w:b/>
        <w:noProof/>
        <w:color w:val="000000"/>
        <w:sz w:val="24"/>
        <w:szCs w:val="24"/>
      </w:rPr>
      <w:t>31</w:t>
    </w:r>
    <w:r>
      <w:rPr>
        <w:b/>
        <w:color w:val="000000"/>
        <w:sz w:val="24"/>
        <w:szCs w:val="24"/>
      </w:rPr>
      <w:fldChar w:fldCharType="end"/>
    </w:r>
  </w:p>
  <w:p w14:paraId="617D667A" w14:textId="77777777" w:rsidR="00E50A2D" w:rsidRDefault="00E50A2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FD32" w14:textId="77777777" w:rsidR="00E50A2D" w:rsidRDefault="008F0C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E301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E3016">
      <w:rPr>
        <w:b/>
        <w:noProof/>
        <w:color w:val="000000"/>
        <w:sz w:val="24"/>
        <w:szCs w:val="24"/>
      </w:rPr>
      <w:t>31</w:t>
    </w:r>
    <w:r>
      <w:rPr>
        <w:b/>
        <w:color w:val="000000"/>
        <w:sz w:val="24"/>
        <w:szCs w:val="24"/>
      </w:rPr>
      <w:fldChar w:fldCharType="end"/>
    </w:r>
  </w:p>
  <w:p w14:paraId="2EC728F4" w14:textId="77777777" w:rsidR="00E50A2D" w:rsidRDefault="00E50A2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00F4" w14:textId="77777777" w:rsidR="005647E5" w:rsidRDefault="005647E5">
      <w:pPr>
        <w:spacing w:after="0" w:line="240" w:lineRule="auto"/>
      </w:pPr>
      <w:r>
        <w:separator/>
      </w:r>
    </w:p>
  </w:footnote>
  <w:footnote w:type="continuationSeparator" w:id="0">
    <w:p w14:paraId="2C0C8228" w14:textId="77777777" w:rsidR="005647E5" w:rsidRDefault="00564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FE05" w14:textId="77777777" w:rsidR="00E50A2D" w:rsidRDefault="00E50A2D">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E50A2D" w14:paraId="76674A7D" w14:textId="77777777">
      <w:trPr>
        <w:trHeight w:val="141"/>
      </w:trPr>
      <w:tc>
        <w:tcPr>
          <w:tcW w:w="2404" w:type="dxa"/>
        </w:tcPr>
        <w:p w14:paraId="2826EF9E" w14:textId="77777777" w:rsidR="00E50A2D" w:rsidRDefault="008F0C97">
          <w:pPr>
            <w:tabs>
              <w:tab w:val="right" w:pos="8838"/>
            </w:tabs>
            <w:ind w:right="-105"/>
            <w:rPr>
              <w:b/>
            </w:rPr>
          </w:pPr>
          <w:r>
            <w:rPr>
              <w:b/>
            </w:rPr>
            <w:t>Recurso de Revisión:</w:t>
          </w:r>
        </w:p>
      </w:tc>
      <w:tc>
        <w:tcPr>
          <w:tcW w:w="3587" w:type="dxa"/>
        </w:tcPr>
        <w:p w14:paraId="78C34627" w14:textId="77777777" w:rsidR="00E50A2D" w:rsidRDefault="008F0C97">
          <w:pPr>
            <w:tabs>
              <w:tab w:val="right" w:pos="8838"/>
            </w:tabs>
            <w:ind w:left="-28" w:right="683"/>
          </w:pPr>
          <w:r>
            <w:t>04196/INFOEM/IP/RR/2020</w:t>
          </w:r>
        </w:p>
      </w:tc>
    </w:tr>
    <w:tr w:rsidR="00E50A2D" w14:paraId="5B6DC255" w14:textId="77777777">
      <w:trPr>
        <w:trHeight w:val="276"/>
      </w:trPr>
      <w:tc>
        <w:tcPr>
          <w:tcW w:w="2404" w:type="dxa"/>
        </w:tcPr>
        <w:p w14:paraId="73A19538" w14:textId="77777777" w:rsidR="00E50A2D" w:rsidRDefault="008F0C97">
          <w:pPr>
            <w:tabs>
              <w:tab w:val="right" w:pos="8838"/>
            </w:tabs>
            <w:ind w:right="-105"/>
            <w:rPr>
              <w:b/>
            </w:rPr>
          </w:pPr>
          <w:r>
            <w:rPr>
              <w:b/>
            </w:rPr>
            <w:t>Sujeto Obligado:</w:t>
          </w:r>
        </w:p>
      </w:tc>
      <w:tc>
        <w:tcPr>
          <w:tcW w:w="3587" w:type="dxa"/>
        </w:tcPr>
        <w:p w14:paraId="18E67045" w14:textId="77777777" w:rsidR="00E50A2D" w:rsidRDefault="008F0C97">
          <w:pPr>
            <w:tabs>
              <w:tab w:val="right" w:pos="8838"/>
            </w:tabs>
            <w:ind w:right="116"/>
          </w:pPr>
          <w:r>
            <w:t>Ayuntamiento de Chapultepec</w:t>
          </w:r>
        </w:p>
      </w:tc>
    </w:tr>
    <w:tr w:rsidR="00E50A2D" w14:paraId="74A00D66" w14:textId="77777777">
      <w:trPr>
        <w:trHeight w:val="276"/>
      </w:trPr>
      <w:tc>
        <w:tcPr>
          <w:tcW w:w="2404" w:type="dxa"/>
        </w:tcPr>
        <w:p w14:paraId="1CC52AB8" w14:textId="77777777" w:rsidR="00E50A2D" w:rsidRDefault="008F0C97">
          <w:pPr>
            <w:tabs>
              <w:tab w:val="right" w:pos="8838"/>
            </w:tabs>
            <w:ind w:right="-105"/>
            <w:rPr>
              <w:b/>
            </w:rPr>
          </w:pPr>
          <w:r>
            <w:rPr>
              <w:b/>
            </w:rPr>
            <w:t>Comisionado Ponente:</w:t>
          </w:r>
        </w:p>
      </w:tc>
      <w:tc>
        <w:tcPr>
          <w:tcW w:w="3587" w:type="dxa"/>
        </w:tcPr>
        <w:p w14:paraId="5304A7A4" w14:textId="77777777" w:rsidR="00E50A2D" w:rsidRDefault="008F0C97">
          <w:pPr>
            <w:tabs>
              <w:tab w:val="right" w:pos="8838"/>
            </w:tabs>
            <w:ind w:right="-32"/>
          </w:pPr>
          <w:r>
            <w:t>Luis Gustavo Parra Noriega</w:t>
          </w:r>
        </w:p>
      </w:tc>
    </w:tr>
  </w:tbl>
  <w:p w14:paraId="3B2F058E" w14:textId="77777777" w:rsidR="00E50A2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7FCB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1FC0" w14:textId="77777777" w:rsidR="00E50A2D" w:rsidRDefault="00E50A2D">
    <w:pPr>
      <w:rPr>
        <w:sz w:val="16"/>
        <w:szCs w:val="16"/>
      </w:rPr>
    </w:pPr>
  </w:p>
  <w:tbl>
    <w:tblPr>
      <w:tblStyle w:val="a1"/>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E50A2D" w14:paraId="709CBB3A" w14:textId="77777777">
      <w:trPr>
        <w:trHeight w:val="141"/>
      </w:trPr>
      <w:tc>
        <w:tcPr>
          <w:tcW w:w="2409" w:type="dxa"/>
        </w:tcPr>
        <w:p w14:paraId="2BA609B4" w14:textId="77777777" w:rsidR="00E50A2D" w:rsidRDefault="008F0C97">
          <w:pPr>
            <w:tabs>
              <w:tab w:val="right" w:pos="8838"/>
            </w:tabs>
            <w:ind w:left="-395" w:right="-105" w:firstLine="395"/>
            <w:rPr>
              <w:b/>
            </w:rPr>
          </w:pPr>
          <w:r>
            <w:rPr>
              <w:b/>
            </w:rPr>
            <w:t>Recurso de Revisión:</w:t>
          </w:r>
        </w:p>
      </w:tc>
      <w:tc>
        <w:tcPr>
          <w:tcW w:w="3686" w:type="dxa"/>
        </w:tcPr>
        <w:p w14:paraId="1BCF0919" w14:textId="77777777" w:rsidR="00E50A2D" w:rsidRDefault="008F0C97">
          <w:pPr>
            <w:tabs>
              <w:tab w:val="right" w:pos="8838"/>
            </w:tabs>
            <w:ind w:right="176"/>
            <w:rPr>
              <w:b/>
            </w:rPr>
          </w:pPr>
          <w:r>
            <w:rPr>
              <w:b/>
            </w:rPr>
            <w:t>04131/INFOEM/IP/RR/2025</w:t>
          </w:r>
        </w:p>
      </w:tc>
    </w:tr>
    <w:tr w:rsidR="00E50A2D" w14:paraId="191FC334" w14:textId="77777777">
      <w:trPr>
        <w:trHeight w:val="276"/>
      </w:trPr>
      <w:tc>
        <w:tcPr>
          <w:tcW w:w="2409" w:type="dxa"/>
        </w:tcPr>
        <w:p w14:paraId="47C79449" w14:textId="77777777" w:rsidR="00E50A2D" w:rsidRDefault="008F0C97">
          <w:pPr>
            <w:tabs>
              <w:tab w:val="right" w:pos="8838"/>
            </w:tabs>
            <w:ind w:right="-105"/>
            <w:rPr>
              <w:b/>
            </w:rPr>
          </w:pPr>
          <w:r>
            <w:rPr>
              <w:b/>
            </w:rPr>
            <w:t>Sujeto Obligado:</w:t>
          </w:r>
        </w:p>
      </w:tc>
      <w:tc>
        <w:tcPr>
          <w:tcW w:w="3686" w:type="dxa"/>
        </w:tcPr>
        <w:p w14:paraId="4E9083DE" w14:textId="77777777" w:rsidR="00E50A2D" w:rsidRDefault="008F0C97">
          <w:pPr>
            <w:tabs>
              <w:tab w:val="left" w:pos="3158"/>
              <w:tab w:val="left" w:pos="4292"/>
              <w:tab w:val="right" w:pos="8838"/>
            </w:tabs>
            <w:ind w:right="176"/>
          </w:pPr>
          <w:r>
            <w:t>Comisión del Agua del Estado de México</w:t>
          </w:r>
        </w:p>
      </w:tc>
    </w:tr>
    <w:tr w:rsidR="00E50A2D" w14:paraId="4856B946" w14:textId="77777777">
      <w:trPr>
        <w:trHeight w:val="276"/>
      </w:trPr>
      <w:tc>
        <w:tcPr>
          <w:tcW w:w="2409" w:type="dxa"/>
        </w:tcPr>
        <w:p w14:paraId="7290566A" w14:textId="77777777" w:rsidR="00E50A2D" w:rsidRDefault="008F0C97">
          <w:pPr>
            <w:tabs>
              <w:tab w:val="right" w:pos="8838"/>
            </w:tabs>
            <w:ind w:right="-105"/>
            <w:rPr>
              <w:b/>
            </w:rPr>
          </w:pPr>
          <w:r>
            <w:rPr>
              <w:b/>
            </w:rPr>
            <w:t>Comisionado Ponente:</w:t>
          </w:r>
        </w:p>
      </w:tc>
      <w:tc>
        <w:tcPr>
          <w:tcW w:w="3686" w:type="dxa"/>
        </w:tcPr>
        <w:p w14:paraId="26500703" w14:textId="77777777" w:rsidR="00E50A2D" w:rsidRDefault="008F0C97">
          <w:pPr>
            <w:tabs>
              <w:tab w:val="right" w:pos="8838"/>
            </w:tabs>
            <w:ind w:right="176"/>
          </w:pPr>
          <w:r>
            <w:t>Luis Gustavo Parra Noriega</w:t>
          </w:r>
        </w:p>
        <w:p w14:paraId="6729C425" w14:textId="77777777" w:rsidR="00E50A2D" w:rsidRDefault="00E50A2D">
          <w:pPr>
            <w:tabs>
              <w:tab w:val="right" w:pos="8838"/>
            </w:tabs>
            <w:ind w:right="176"/>
          </w:pPr>
        </w:p>
      </w:tc>
    </w:tr>
  </w:tbl>
  <w:p w14:paraId="420E999B" w14:textId="77777777" w:rsidR="00E50A2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519B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FBD5" w14:textId="77777777" w:rsidR="00E50A2D" w:rsidRDefault="00000000">
    <w:pPr>
      <w:widowControl w:val="0"/>
      <w:pBdr>
        <w:top w:val="nil"/>
        <w:left w:val="nil"/>
        <w:bottom w:val="nil"/>
        <w:right w:val="nil"/>
        <w:between w:val="nil"/>
      </w:pBdr>
      <w:spacing w:after="0" w:line="276" w:lineRule="auto"/>
      <w:jc w:val="left"/>
      <w:rPr>
        <w:color w:val="000000"/>
      </w:rPr>
    </w:pPr>
    <w:r>
      <w:rPr>
        <w:color w:val="000000"/>
      </w:rPr>
      <w:pict w14:anchorId="2703F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2"/>
      <w:tblW w:w="9214" w:type="dxa"/>
      <w:tblInd w:w="0" w:type="dxa"/>
      <w:tblLayout w:type="fixed"/>
      <w:tblLook w:val="0400" w:firstRow="0" w:lastRow="0" w:firstColumn="0" w:lastColumn="0" w:noHBand="0" w:noVBand="1"/>
    </w:tblPr>
    <w:tblGrid>
      <w:gridCol w:w="2127"/>
      <w:gridCol w:w="7087"/>
    </w:tblGrid>
    <w:tr w:rsidR="00E50A2D" w14:paraId="16245119" w14:textId="77777777">
      <w:trPr>
        <w:trHeight w:val="1546"/>
      </w:trPr>
      <w:tc>
        <w:tcPr>
          <w:tcW w:w="2127" w:type="dxa"/>
        </w:tcPr>
        <w:p w14:paraId="190CF6FE" w14:textId="77777777" w:rsidR="00E50A2D" w:rsidRDefault="00E50A2D">
          <w:pPr>
            <w:tabs>
              <w:tab w:val="right" w:pos="4273"/>
            </w:tabs>
            <w:rPr>
              <w:rFonts w:ascii="Garamond" w:eastAsia="Garamond" w:hAnsi="Garamond" w:cs="Garamond"/>
              <w:sz w:val="16"/>
              <w:szCs w:val="16"/>
            </w:rPr>
          </w:pPr>
        </w:p>
      </w:tc>
      <w:tc>
        <w:tcPr>
          <w:tcW w:w="7087" w:type="dxa"/>
        </w:tcPr>
        <w:p w14:paraId="216C353C" w14:textId="77777777" w:rsidR="00E50A2D" w:rsidRDefault="00E50A2D">
          <w:pPr>
            <w:rPr>
              <w:sz w:val="10"/>
              <w:szCs w:val="10"/>
            </w:rPr>
          </w:pPr>
        </w:p>
        <w:tbl>
          <w:tblPr>
            <w:tblStyle w:val="a3"/>
            <w:tblW w:w="5812" w:type="dxa"/>
            <w:tblInd w:w="1167" w:type="dxa"/>
            <w:tblLayout w:type="fixed"/>
            <w:tblLook w:val="0400" w:firstRow="0" w:lastRow="0" w:firstColumn="0" w:lastColumn="0" w:noHBand="0" w:noVBand="1"/>
          </w:tblPr>
          <w:tblGrid>
            <w:gridCol w:w="2410"/>
            <w:gridCol w:w="3402"/>
          </w:tblGrid>
          <w:tr w:rsidR="00E50A2D" w14:paraId="3E8AD863" w14:textId="77777777">
            <w:trPr>
              <w:trHeight w:val="427"/>
            </w:trPr>
            <w:tc>
              <w:tcPr>
                <w:tcW w:w="2410" w:type="dxa"/>
                <w:vAlign w:val="bottom"/>
              </w:tcPr>
              <w:p w14:paraId="4F42F2CC" w14:textId="77777777" w:rsidR="00E50A2D" w:rsidRDefault="008F0C97">
                <w:pPr>
                  <w:tabs>
                    <w:tab w:val="right" w:pos="8838"/>
                  </w:tabs>
                  <w:ind w:right="-105"/>
                  <w:rPr>
                    <w:b/>
                  </w:rPr>
                </w:pPr>
                <w:r>
                  <w:rPr>
                    <w:b/>
                  </w:rPr>
                  <w:t>Recurso de Revisión:</w:t>
                </w:r>
              </w:p>
            </w:tc>
            <w:tc>
              <w:tcPr>
                <w:tcW w:w="3402" w:type="dxa"/>
              </w:tcPr>
              <w:p w14:paraId="56695832" w14:textId="77777777" w:rsidR="00E50A2D" w:rsidRDefault="00E50A2D">
                <w:pPr>
                  <w:tabs>
                    <w:tab w:val="right" w:pos="8838"/>
                  </w:tabs>
                  <w:ind w:left="-28" w:right="-107"/>
                  <w:rPr>
                    <w:b/>
                  </w:rPr>
                </w:pPr>
              </w:p>
              <w:p w14:paraId="22695912" w14:textId="77777777" w:rsidR="00E50A2D" w:rsidRDefault="008F0C97">
                <w:pPr>
                  <w:tabs>
                    <w:tab w:val="right" w:pos="8838"/>
                  </w:tabs>
                  <w:ind w:left="-28" w:right="-107"/>
                  <w:rPr>
                    <w:b/>
                  </w:rPr>
                </w:pPr>
                <w:r>
                  <w:rPr>
                    <w:b/>
                  </w:rPr>
                  <w:t>04131/INFOEM/IP/RR/2025</w:t>
                </w:r>
              </w:p>
            </w:tc>
          </w:tr>
          <w:tr w:rsidR="00E50A2D" w14:paraId="5224D23D" w14:textId="77777777">
            <w:trPr>
              <w:trHeight w:val="141"/>
            </w:trPr>
            <w:tc>
              <w:tcPr>
                <w:tcW w:w="2410" w:type="dxa"/>
              </w:tcPr>
              <w:p w14:paraId="6F9C276D" w14:textId="77777777" w:rsidR="00E50A2D" w:rsidRDefault="008F0C97">
                <w:pPr>
                  <w:tabs>
                    <w:tab w:val="right" w:pos="8838"/>
                  </w:tabs>
                  <w:ind w:right="-105"/>
                  <w:rPr>
                    <w:b/>
                  </w:rPr>
                </w:pPr>
                <w:r>
                  <w:rPr>
                    <w:b/>
                  </w:rPr>
                  <w:t>Recurrente:</w:t>
                </w:r>
              </w:p>
            </w:tc>
            <w:tc>
              <w:tcPr>
                <w:tcW w:w="3402" w:type="dxa"/>
              </w:tcPr>
              <w:p w14:paraId="54A17C27" w14:textId="77777777" w:rsidR="00E50A2D" w:rsidRDefault="00E50A2D">
                <w:pPr>
                  <w:tabs>
                    <w:tab w:val="right" w:pos="8838"/>
                  </w:tabs>
                  <w:ind w:right="-107"/>
                </w:pPr>
              </w:p>
            </w:tc>
          </w:tr>
          <w:tr w:rsidR="00E50A2D" w14:paraId="53791863" w14:textId="77777777">
            <w:trPr>
              <w:trHeight w:val="276"/>
            </w:trPr>
            <w:tc>
              <w:tcPr>
                <w:tcW w:w="2410" w:type="dxa"/>
              </w:tcPr>
              <w:p w14:paraId="69A2417A" w14:textId="77777777" w:rsidR="00E50A2D" w:rsidRDefault="008F0C97">
                <w:pPr>
                  <w:tabs>
                    <w:tab w:val="right" w:pos="8838"/>
                  </w:tabs>
                  <w:ind w:right="-105"/>
                  <w:rPr>
                    <w:b/>
                  </w:rPr>
                </w:pPr>
                <w:r>
                  <w:rPr>
                    <w:b/>
                  </w:rPr>
                  <w:t>Sujeto Obligado:</w:t>
                </w:r>
              </w:p>
            </w:tc>
            <w:tc>
              <w:tcPr>
                <w:tcW w:w="3402" w:type="dxa"/>
              </w:tcPr>
              <w:p w14:paraId="10B6E4ED" w14:textId="77777777" w:rsidR="00E50A2D" w:rsidRDefault="008F0C97">
                <w:pPr>
                  <w:tabs>
                    <w:tab w:val="right" w:pos="8838"/>
                  </w:tabs>
                  <w:ind w:right="33"/>
                </w:pPr>
                <w:r>
                  <w:t>Comisión del Agua del Estado de México</w:t>
                </w:r>
              </w:p>
            </w:tc>
          </w:tr>
          <w:tr w:rsidR="00E50A2D" w14:paraId="2AB7E025" w14:textId="77777777">
            <w:trPr>
              <w:trHeight w:val="276"/>
            </w:trPr>
            <w:tc>
              <w:tcPr>
                <w:tcW w:w="2410" w:type="dxa"/>
              </w:tcPr>
              <w:p w14:paraId="67A961F5" w14:textId="77777777" w:rsidR="00E50A2D" w:rsidRDefault="008F0C97">
                <w:pPr>
                  <w:tabs>
                    <w:tab w:val="right" w:pos="8838"/>
                  </w:tabs>
                  <w:ind w:right="-105"/>
                  <w:rPr>
                    <w:b/>
                  </w:rPr>
                </w:pPr>
                <w:r>
                  <w:rPr>
                    <w:b/>
                  </w:rPr>
                  <w:t>Comisionado Ponente:</w:t>
                </w:r>
              </w:p>
            </w:tc>
            <w:tc>
              <w:tcPr>
                <w:tcW w:w="3402" w:type="dxa"/>
              </w:tcPr>
              <w:p w14:paraId="681FE598" w14:textId="77777777" w:rsidR="00E50A2D" w:rsidRDefault="008F0C97">
                <w:pPr>
                  <w:tabs>
                    <w:tab w:val="right" w:pos="8838"/>
                  </w:tabs>
                  <w:ind w:right="-107"/>
                </w:pPr>
                <w:r>
                  <w:t>Luis Gustavo Parra Noriega</w:t>
                </w:r>
              </w:p>
            </w:tc>
          </w:tr>
        </w:tbl>
        <w:p w14:paraId="6B1EC2CE" w14:textId="77777777" w:rsidR="00E50A2D" w:rsidRDefault="00E50A2D">
          <w:pPr>
            <w:tabs>
              <w:tab w:val="right" w:pos="8838"/>
            </w:tabs>
            <w:ind w:left="-28"/>
            <w:rPr>
              <w:rFonts w:ascii="Arial" w:eastAsia="Arial" w:hAnsi="Arial" w:cs="Arial"/>
              <w:b/>
            </w:rPr>
          </w:pPr>
        </w:p>
      </w:tc>
    </w:tr>
  </w:tbl>
  <w:p w14:paraId="0A47F417" w14:textId="77777777" w:rsidR="00E50A2D" w:rsidRDefault="00E50A2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02A67"/>
    <w:multiLevelType w:val="multilevel"/>
    <w:tmpl w:val="DAB01A92"/>
    <w:lvl w:ilvl="0">
      <w:start w:val="1"/>
      <w:numFmt w:val="low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B972CB"/>
    <w:multiLevelType w:val="multilevel"/>
    <w:tmpl w:val="305A6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562F99"/>
    <w:multiLevelType w:val="multilevel"/>
    <w:tmpl w:val="93189A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1F1CB2"/>
    <w:multiLevelType w:val="multilevel"/>
    <w:tmpl w:val="401AA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1C3CC0"/>
    <w:multiLevelType w:val="multilevel"/>
    <w:tmpl w:val="B2281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8977505">
    <w:abstractNumId w:val="2"/>
  </w:num>
  <w:num w:numId="2" w16cid:durableId="277025720">
    <w:abstractNumId w:val="3"/>
  </w:num>
  <w:num w:numId="3" w16cid:durableId="195823262">
    <w:abstractNumId w:val="1"/>
  </w:num>
  <w:num w:numId="4" w16cid:durableId="400326169">
    <w:abstractNumId w:val="0"/>
  </w:num>
  <w:num w:numId="5" w16cid:durableId="80165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2D"/>
    <w:rsid w:val="00040F2D"/>
    <w:rsid w:val="000B427F"/>
    <w:rsid w:val="003E3016"/>
    <w:rsid w:val="00526B0C"/>
    <w:rsid w:val="00532B7F"/>
    <w:rsid w:val="005647E5"/>
    <w:rsid w:val="006167A8"/>
    <w:rsid w:val="007D6F42"/>
    <w:rsid w:val="008F0C97"/>
    <w:rsid w:val="00AE2E8F"/>
    <w:rsid w:val="00AF13C1"/>
    <w:rsid w:val="00C17E86"/>
    <w:rsid w:val="00E50A2D"/>
    <w:rsid w:val="00E92976"/>
    <w:rsid w:val="00F758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FD2C"/>
  <w15:docId w15:val="{D3445EED-1032-4799-BDD9-1BE453E8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6">
    <w:name w:val="Table Normal16"/>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89">
    <w:name w:val="89"/>
    <w:basedOn w:val="TableNormal1"/>
    <w:pPr>
      <w:spacing w:after="0" w:line="240" w:lineRule="auto"/>
    </w:pPr>
    <w:tblPr>
      <w:tblStyleRowBandSize w:val="1"/>
      <w:tblStyleColBandSize w:val="1"/>
      <w:tblCellMar>
        <w:left w:w="108" w:type="dxa"/>
        <w:right w:w="108" w:type="dxa"/>
      </w:tblCellMar>
    </w:tblPr>
  </w:style>
  <w:style w:type="table" w:customStyle="1" w:styleId="88">
    <w:name w:val="88"/>
    <w:basedOn w:val="TableNormal1"/>
    <w:pPr>
      <w:spacing w:after="0" w:line="240" w:lineRule="auto"/>
    </w:pPr>
    <w:tblPr>
      <w:tblStyleRowBandSize w:val="1"/>
      <w:tblStyleColBandSize w:val="1"/>
      <w:tblCellMar>
        <w:left w:w="108" w:type="dxa"/>
        <w:right w:w="108" w:type="dxa"/>
      </w:tblCellMar>
    </w:tblPr>
  </w:style>
  <w:style w:type="table" w:customStyle="1" w:styleId="87">
    <w:name w:val="87"/>
    <w:basedOn w:val="TableNormal1"/>
    <w:tblPr>
      <w:tblStyleRowBandSize w:val="1"/>
      <w:tblStyleColBandSize w:val="1"/>
      <w:tblCellMar>
        <w:left w:w="115" w:type="dxa"/>
        <w:right w:w="115" w:type="dxa"/>
      </w:tblCellMar>
    </w:tblPr>
  </w:style>
  <w:style w:type="table" w:customStyle="1" w:styleId="86">
    <w:name w:val="86"/>
    <w:basedOn w:val="TableNormal1"/>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85">
    <w:name w:val="85"/>
    <w:basedOn w:val="TableNormal1"/>
    <w:pPr>
      <w:spacing w:after="0" w:line="240" w:lineRule="auto"/>
    </w:pPr>
    <w:tblPr>
      <w:tblStyleRowBandSize w:val="1"/>
      <w:tblStyleColBandSize w:val="1"/>
      <w:tblCellMar>
        <w:left w:w="108" w:type="dxa"/>
        <w:right w:w="108" w:type="dxa"/>
      </w:tblCellMar>
    </w:tblPr>
  </w:style>
  <w:style w:type="table" w:customStyle="1" w:styleId="84">
    <w:name w:val="84"/>
    <w:basedOn w:val="TableNormal1"/>
    <w:pPr>
      <w:spacing w:after="0" w:line="240" w:lineRule="auto"/>
    </w:pPr>
    <w:tblPr>
      <w:tblStyleRowBandSize w:val="1"/>
      <w:tblStyleColBandSize w:val="1"/>
      <w:tblCellMar>
        <w:left w:w="108" w:type="dxa"/>
        <w:right w:w="108" w:type="dxa"/>
      </w:tblCellMar>
    </w:tblPr>
  </w:style>
  <w:style w:type="table" w:customStyle="1" w:styleId="83">
    <w:name w:val="83"/>
    <w:basedOn w:val="TableNormal1"/>
    <w:pPr>
      <w:spacing w:after="0" w:line="240" w:lineRule="auto"/>
    </w:pPr>
    <w:tblPr>
      <w:tblStyleRowBandSize w:val="1"/>
      <w:tblStyleColBandSize w:val="1"/>
      <w:tblCellMar>
        <w:left w:w="108" w:type="dxa"/>
        <w:right w:w="108" w:type="dxa"/>
      </w:tblCellMar>
    </w:tblPr>
  </w:style>
  <w:style w:type="table" w:customStyle="1" w:styleId="82">
    <w:name w:val="82"/>
    <w:basedOn w:val="TableNormal1"/>
    <w:pPr>
      <w:spacing w:after="0" w:line="240" w:lineRule="auto"/>
    </w:pPr>
    <w:tblPr>
      <w:tblStyleRowBandSize w:val="1"/>
      <w:tblStyleColBandSize w:val="1"/>
      <w:tblCellMar>
        <w:left w:w="108" w:type="dxa"/>
        <w:right w:w="108" w:type="dxa"/>
      </w:tblCellMar>
    </w:tblPr>
  </w:style>
  <w:style w:type="table" w:customStyle="1" w:styleId="81">
    <w:name w:val="81"/>
    <w:basedOn w:val="TableNormal2"/>
    <w:pPr>
      <w:spacing w:after="0" w:line="240" w:lineRule="auto"/>
    </w:pPr>
    <w:tblPr>
      <w:tblStyleRowBandSize w:val="1"/>
      <w:tblStyleColBandSize w:val="1"/>
      <w:tblCellMar>
        <w:left w:w="108" w:type="dxa"/>
        <w:right w:w="108" w:type="dxa"/>
      </w:tblCellMar>
    </w:tblPr>
  </w:style>
  <w:style w:type="table" w:customStyle="1" w:styleId="80">
    <w:name w:val="80"/>
    <w:basedOn w:val="TableNormal2"/>
    <w:pPr>
      <w:spacing w:after="0" w:line="240" w:lineRule="auto"/>
    </w:pPr>
    <w:tblPr>
      <w:tblStyleRowBandSize w:val="1"/>
      <w:tblStyleColBandSize w:val="1"/>
      <w:tblCellMar>
        <w:left w:w="108" w:type="dxa"/>
        <w:right w:w="108" w:type="dxa"/>
      </w:tblCellMar>
    </w:tblPr>
  </w:style>
  <w:style w:type="table" w:customStyle="1" w:styleId="79">
    <w:name w:val="79"/>
    <w:basedOn w:val="TableNormal2"/>
    <w:pPr>
      <w:spacing w:after="0" w:line="240" w:lineRule="auto"/>
    </w:pPr>
    <w:tblPr>
      <w:tblStyleRowBandSize w:val="1"/>
      <w:tblStyleColBandSize w:val="1"/>
      <w:tblCellMar>
        <w:left w:w="108" w:type="dxa"/>
        <w:right w:w="108" w:type="dxa"/>
      </w:tblCellMar>
    </w:tblPr>
  </w:style>
  <w:style w:type="table" w:customStyle="1" w:styleId="78">
    <w:name w:val="78"/>
    <w:basedOn w:val="TableNormal2"/>
    <w:pPr>
      <w:spacing w:after="0" w:line="240" w:lineRule="auto"/>
    </w:pPr>
    <w:tblPr>
      <w:tblStyleRowBandSize w:val="1"/>
      <w:tblStyleColBandSize w:val="1"/>
      <w:tblCellMar>
        <w:left w:w="108" w:type="dxa"/>
        <w:right w:w="108" w:type="dxa"/>
      </w:tblCellMar>
    </w:tblPr>
  </w:style>
  <w:style w:type="table" w:customStyle="1" w:styleId="77">
    <w:name w:val="77"/>
    <w:basedOn w:val="TableNormal3"/>
    <w:pPr>
      <w:spacing w:after="0" w:line="240" w:lineRule="auto"/>
    </w:pPr>
    <w:tblPr>
      <w:tblStyleRowBandSize w:val="1"/>
      <w:tblStyleColBandSize w:val="1"/>
      <w:tblCellMar>
        <w:left w:w="108" w:type="dxa"/>
        <w:right w:w="108" w:type="dxa"/>
      </w:tblCellMar>
    </w:tblPr>
  </w:style>
  <w:style w:type="table" w:customStyle="1" w:styleId="76">
    <w:name w:val="76"/>
    <w:basedOn w:val="TableNormal3"/>
    <w:pPr>
      <w:spacing w:after="0" w:line="240" w:lineRule="auto"/>
    </w:pPr>
    <w:tblPr>
      <w:tblStyleRowBandSize w:val="1"/>
      <w:tblStyleColBandSize w:val="1"/>
      <w:tblCellMar>
        <w:left w:w="108" w:type="dxa"/>
        <w:right w:w="108" w:type="dxa"/>
      </w:tblCellMar>
    </w:tblPr>
  </w:style>
  <w:style w:type="table" w:customStyle="1" w:styleId="75">
    <w:name w:val="75"/>
    <w:basedOn w:val="TableNormal3"/>
    <w:pPr>
      <w:spacing w:after="0" w:line="240" w:lineRule="auto"/>
    </w:pPr>
    <w:tblPr>
      <w:tblStyleRowBandSize w:val="1"/>
      <w:tblStyleColBandSize w:val="1"/>
      <w:tblCellMar>
        <w:left w:w="108" w:type="dxa"/>
        <w:right w:w="108" w:type="dxa"/>
      </w:tblCellMar>
    </w:tblPr>
  </w:style>
  <w:style w:type="table" w:customStyle="1" w:styleId="74">
    <w:name w:val="74"/>
    <w:basedOn w:val="TableNormal3"/>
    <w:pPr>
      <w:spacing w:after="0" w:line="240" w:lineRule="auto"/>
    </w:pPr>
    <w:tblPr>
      <w:tblStyleRowBandSize w:val="1"/>
      <w:tblStyleColBandSize w:val="1"/>
      <w:tblCellMar>
        <w:left w:w="108" w:type="dxa"/>
        <w:right w:w="108" w:type="dxa"/>
      </w:tblCellMar>
    </w:tblPr>
  </w:style>
  <w:style w:type="table" w:customStyle="1" w:styleId="73">
    <w:name w:val="73"/>
    <w:basedOn w:val="TableNormal4"/>
    <w:pPr>
      <w:spacing w:after="0" w:line="240" w:lineRule="auto"/>
    </w:pPr>
    <w:tblPr>
      <w:tblStyleRowBandSize w:val="1"/>
      <w:tblStyleColBandSize w:val="1"/>
      <w:tblCellMar>
        <w:left w:w="108" w:type="dxa"/>
        <w:right w:w="108" w:type="dxa"/>
      </w:tblCellMar>
    </w:tblPr>
  </w:style>
  <w:style w:type="table" w:customStyle="1" w:styleId="72">
    <w:name w:val="72"/>
    <w:basedOn w:val="TableNormal4"/>
    <w:pPr>
      <w:spacing w:after="0" w:line="240" w:lineRule="auto"/>
    </w:pPr>
    <w:tblPr>
      <w:tblStyleRowBandSize w:val="1"/>
      <w:tblStyleColBandSize w:val="1"/>
      <w:tblCellMar>
        <w:left w:w="108" w:type="dxa"/>
        <w:right w:w="108" w:type="dxa"/>
      </w:tblCellMar>
    </w:tblPr>
  </w:style>
  <w:style w:type="table" w:customStyle="1" w:styleId="71">
    <w:name w:val="71"/>
    <w:basedOn w:val="TableNormal4"/>
    <w:pPr>
      <w:spacing w:after="0" w:line="240" w:lineRule="auto"/>
    </w:pPr>
    <w:tblPr>
      <w:tblStyleRowBandSize w:val="1"/>
      <w:tblStyleColBandSize w:val="1"/>
      <w:tblCellMar>
        <w:left w:w="108" w:type="dxa"/>
        <w:right w:w="108" w:type="dxa"/>
      </w:tblCellMar>
    </w:tblPr>
  </w:style>
  <w:style w:type="table" w:customStyle="1" w:styleId="70">
    <w:name w:val="70"/>
    <w:basedOn w:val="TableNormal4"/>
    <w:pPr>
      <w:spacing w:after="0" w:line="240" w:lineRule="auto"/>
    </w:pPr>
    <w:tblPr>
      <w:tblStyleRowBandSize w:val="1"/>
      <w:tblStyleColBandSize w:val="1"/>
      <w:tblCellMar>
        <w:left w:w="108" w:type="dxa"/>
        <w:right w:w="108" w:type="dxa"/>
      </w:tblCellMar>
    </w:tblPr>
  </w:style>
  <w:style w:type="table" w:customStyle="1" w:styleId="69">
    <w:name w:val="69"/>
    <w:basedOn w:val="TableNormal5"/>
    <w:pPr>
      <w:spacing w:after="0" w:line="240" w:lineRule="auto"/>
    </w:pPr>
    <w:tblPr>
      <w:tblStyleRowBandSize w:val="1"/>
      <w:tblStyleColBandSize w:val="1"/>
      <w:tblCellMar>
        <w:left w:w="108" w:type="dxa"/>
        <w:right w:w="108" w:type="dxa"/>
      </w:tblCellMar>
    </w:tblPr>
  </w:style>
  <w:style w:type="table" w:customStyle="1" w:styleId="68">
    <w:name w:val="68"/>
    <w:basedOn w:val="TableNormal5"/>
    <w:pPr>
      <w:spacing w:after="0" w:line="240" w:lineRule="auto"/>
    </w:pPr>
    <w:tblPr>
      <w:tblStyleRowBandSize w:val="1"/>
      <w:tblStyleColBandSize w:val="1"/>
      <w:tblCellMar>
        <w:left w:w="108" w:type="dxa"/>
        <w:right w:w="108" w:type="dxa"/>
      </w:tblCellMar>
    </w:tblPr>
  </w:style>
  <w:style w:type="table" w:customStyle="1" w:styleId="67">
    <w:name w:val="67"/>
    <w:basedOn w:val="TableNormal5"/>
    <w:pPr>
      <w:spacing w:after="0" w:line="240" w:lineRule="auto"/>
    </w:pPr>
    <w:tblPr>
      <w:tblStyleRowBandSize w:val="1"/>
      <w:tblStyleColBandSize w:val="1"/>
      <w:tblCellMar>
        <w:left w:w="108" w:type="dxa"/>
        <w:right w:w="108" w:type="dxa"/>
      </w:tblCellMar>
    </w:tblPr>
  </w:style>
  <w:style w:type="table" w:customStyle="1" w:styleId="66">
    <w:name w:val="66"/>
    <w:basedOn w:val="TableNormal5"/>
    <w:pPr>
      <w:spacing w:after="0" w:line="240" w:lineRule="auto"/>
    </w:pPr>
    <w:tblPr>
      <w:tblStyleRowBandSize w:val="1"/>
      <w:tblStyleColBandSize w:val="1"/>
      <w:tblCellMar>
        <w:left w:w="108" w:type="dxa"/>
        <w:right w:w="108" w:type="dxa"/>
      </w:tblCellMar>
    </w:tblPr>
  </w:style>
  <w:style w:type="table" w:customStyle="1" w:styleId="65">
    <w:name w:val="65"/>
    <w:basedOn w:val="TableNormal6"/>
    <w:pPr>
      <w:spacing w:after="0" w:line="240" w:lineRule="auto"/>
    </w:pPr>
    <w:tblPr>
      <w:tblStyleRowBandSize w:val="1"/>
      <w:tblStyleColBandSize w:val="1"/>
      <w:tblCellMar>
        <w:left w:w="108" w:type="dxa"/>
        <w:right w:w="108" w:type="dxa"/>
      </w:tblCellMar>
    </w:tblPr>
  </w:style>
  <w:style w:type="table" w:customStyle="1" w:styleId="64">
    <w:name w:val="64"/>
    <w:basedOn w:val="TableNormal6"/>
    <w:pPr>
      <w:spacing w:after="0" w:line="240" w:lineRule="auto"/>
    </w:pPr>
    <w:tblPr>
      <w:tblStyleRowBandSize w:val="1"/>
      <w:tblStyleColBandSize w:val="1"/>
      <w:tblCellMar>
        <w:left w:w="108" w:type="dxa"/>
        <w:right w:w="108" w:type="dxa"/>
      </w:tblCellMar>
    </w:tblPr>
  </w:style>
  <w:style w:type="table" w:customStyle="1" w:styleId="63">
    <w:name w:val="63"/>
    <w:basedOn w:val="TableNormal6"/>
    <w:pPr>
      <w:spacing w:after="0" w:line="240" w:lineRule="auto"/>
    </w:pPr>
    <w:tblPr>
      <w:tblStyleRowBandSize w:val="1"/>
      <w:tblStyleColBandSize w:val="1"/>
      <w:tblCellMar>
        <w:left w:w="108" w:type="dxa"/>
        <w:right w:w="108" w:type="dxa"/>
      </w:tblCellMar>
    </w:tblPr>
  </w:style>
  <w:style w:type="table" w:customStyle="1" w:styleId="62">
    <w:name w:val="62"/>
    <w:basedOn w:val="TableNormal6"/>
    <w:pPr>
      <w:spacing w:after="0" w:line="240" w:lineRule="auto"/>
    </w:pPr>
    <w:tblPr>
      <w:tblStyleRowBandSize w:val="1"/>
      <w:tblStyleColBandSize w:val="1"/>
      <w:tblCellMar>
        <w:left w:w="108" w:type="dxa"/>
        <w:right w:w="108" w:type="dxa"/>
      </w:tblCellMar>
    </w:tblPr>
  </w:style>
  <w:style w:type="table" w:customStyle="1" w:styleId="61">
    <w:name w:val="61"/>
    <w:basedOn w:val="TableNormal7"/>
    <w:pPr>
      <w:spacing w:after="0" w:line="240" w:lineRule="auto"/>
    </w:pPr>
    <w:tblPr>
      <w:tblStyleRowBandSize w:val="1"/>
      <w:tblStyleColBandSize w:val="1"/>
      <w:tblCellMar>
        <w:left w:w="108" w:type="dxa"/>
        <w:right w:w="108" w:type="dxa"/>
      </w:tblCellMar>
    </w:tblPr>
  </w:style>
  <w:style w:type="table" w:customStyle="1" w:styleId="60">
    <w:name w:val="60"/>
    <w:basedOn w:val="TableNormal7"/>
    <w:pPr>
      <w:spacing w:after="0" w:line="240" w:lineRule="auto"/>
    </w:pPr>
    <w:tblPr>
      <w:tblStyleRowBandSize w:val="1"/>
      <w:tblStyleColBandSize w:val="1"/>
      <w:tblCellMar>
        <w:left w:w="108" w:type="dxa"/>
        <w:right w:w="108" w:type="dxa"/>
      </w:tblCellMar>
    </w:tblPr>
  </w:style>
  <w:style w:type="table" w:customStyle="1" w:styleId="59">
    <w:name w:val="59"/>
    <w:basedOn w:val="TableNormal7"/>
    <w:pPr>
      <w:spacing w:after="0" w:line="240" w:lineRule="auto"/>
    </w:pPr>
    <w:tblPr>
      <w:tblStyleRowBandSize w:val="1"/>
      <w:tblStyleColBandSize w:val="1"/>
      <w:tblCellMar>
        <w:left w:w="108" w:type="dxa"/>
        <w:right w:w="108" w:type="dxa"/>
      </w:tblCellMar>
    </w:tblPr>
  </w:style>
  <w:style w:type="table" w:customStyle="1" w:styleId="58">
    <w:name w:val="58"/>
    <w:basedOn w:val="TableNormal7"/>
    <w:pPr>
      <w:spacing w:after="0" w:line="240" w:lineRule="auto"/>
    </w:pPr>
    <w:tblPr>
      <w:tblStyleRowBandSize w:val="1"/>
      <w:tblStyleColBandSize w:val="1"/>
      <w:tblCellMar>
        <w:left w:w="108" w:type="dxa"/>
        <w:right w:w="108" w:type="dxa"/>
      </w:tblCellMar>
    </w:tblPr>
  </w:style>
  <w:style w:type="table" w:customStyle="1" w:styleId="57">
    <w:name w:val="57"/>
    <w:basedOn w:val="TableNormal8"/>
    <w:pPr>
      <w:spacing w:after="0" w:line="240" w:lineRule="auto"/>
    </w:pPr>
    <w:tblPr>
      <w:tblStyleRowBandSize w:val="1"/>
      <w:tblStyleColBandSize w:val="1"/>
      <w:tblCellMar>
        <w:left w:w="108" w:type="dxa"/>
        <w:right w:w="108" w:type="dxa"/>
      </w:tblCellMar>
    </w:tblPr>
  </w:style>
  <w:style w:type="table" w:customStyle="1" w:styleId="56">
    <w:name w:val="56"/>
    <w:basedOn w:val="TableNormal8"/>
    <w:pPr>
      <w:spacing w:after="0" w:line="240" w:lineRule="auto"/>
    </w:pPr>
    <w:tblPr>
      <w:tblStyleRowBandSize w:val="1"/>
      <w:tblStyleColBandSize w:val="1"/>
      <w:tblCellMar>
        <w:left w:w="108" w:type="dxa"/>
        <w:right w:w="108" w:type="dxa"/>
      </w:tblCellMar>
    </w:tblPr>
  </w:style>
  <w:style w:type="table" w:customStyle="1" w:styleId="55">
    <w:name w:val="55"/>
    <w:basedOn w:val="TableNormal8"/>
    <w:pPr>
      <w:spacing w:after="0" w:line="240" w:lineRule="auto"/>
    </w:pPr>
    <w:tblPr>
      <w:tblStyleRowBandSize w:val="1"/>
      <w:tblStyleColBandSize w:val="1"/>
      <w:tblCellMar>
        <w:left w:w="108" w:type="dxa"/>
        <w:right w:w="108" w:type="dxa"/>
      </w:tblCellMar>
    </w:tblPr>
  </w:style>
  <w:style w:type="table" w:customStyle="1" w:styleId="54">
    <w:name w:val="54"/>
    <w:basedOn w:val="TableNormal8"/>
    <w:pPr>
      <w:spacing w:after="0" w:line="240" w:lineRule="auto"/>
    </w:pPr>
    <w:tblPr>
      <w:tblStyleRowBandSize w:val="1"/>
      <w:tblStyleColBandSize w:val="1"/>
      <w:tblCellMar>
        <w:left w:w="108" w:type="dxa"/>
        <w:right w:w="108" w:type="dxa"/>
      </w:tblCellMar>
    </w:tblPr>
  </w:style>
  <w:style w:type="table" w:customStyle="1" w:styleId="53">
    <w:name w:val="53"/>
    <w:basedOn w:val="TableNormal9"/>
    <w:pPr>
      <w:spacing w:after="0" w:line="240" w:lineRule="auto"/>
    </w:pPr>
    <w:tblPr>
      <w:tblStyleRowBandSize w:val="1"/>
      <w:tblStyleColBandSize w:val="1"/>
      <w:tblCellMar>
        <w:left w:w="108" w:type="dxa"/>
        <w:right w:w="108" w:type="dxa"/>
      </w:tblCellMar>
    </w:tblPr>
  </w:style>
  <w:style w:type="table" w:customStyle="1" w:styleId="52">
    <w:name w:val="52"/>
    <w:basedOn w:val="TableNormal9"/>
    <w:pPr>
      <w:spacing w:after="0" w:line="240" w:lineRule="auto"/>
    </w:pPr>
    <w:tblPr>
      <w:tblStyleRowBandSize w:val="1"/>
      <w:tblStyleColBandSize w:val="1"/>
      <w:tblCellMar>
        <w:left w:w="108" w:type="dxa"/>
        <w:right w:w="108" w:type="dxa"/>
      </w:tblCellMar>
    </w:tblPr>
  </w:style>
  <w:style w:type="table" w:customStyle="1" w:styleId="51">
    <w:name w:val="51"/>
    <w:basedOn w:val="TableNormal9"/>
    <w:pPr>
      <w:spacing w:after="0" w:line="240" w:lineRule="auto"/>
    </w:pPr>
    <w:tblPr>
      <w:tblStyleRowBandSize w:val="1"/>
      <w:tblStyleColBandSize w:val="1"/>
      <w:tblCellMar>
        <w:left w:w="108" w:type="dxa"/>
        <w:right w:w="108" w:type="dxa"/>
      </w:tblCellMar>
    </w:tblPr>
  </w:style>
  <w:style w:type="table" w:customStyle="1" w:styleId="50">
    <w:name w:val="50"/>
    <w:basedOn w:val="TableNormal9"/>
    <w:pPr>
      <w:spacing w:after="0" w:line="240" w:lineRule="auto"/>
    </w:pPr>
    <w:tblPr>
      <w:tblStyleRowBandSize w:val="1"/>
      <w:tblStyleColBandSize w:val="1"/>
      <w:tblCellMar>
        <w:left w:w="108" w:type="dxa"/>
        <w:right w:w="108" w:type="dxa"/>
      </w:tblCellMar>
    </w:tblPr>
  </w:style>
  <w:style w:type="table" w:customStyle="1" w:styleId="49">
    <w:name w:val="49"/>
    <w:basedOn w:val="TableNormal10"/>
    <w:pPr>
      <w:spacing w:after="0" w:line="240" w:lineRule="auto"/>
    </w:pPr>
    <w:tblPr>
      <w:tblStyleRowBandSize w:val="1"/>
      <w:tblStyleColBandSize w:val="1"/>
      <w:tblCellMar>
        <w:left w:w="108" w:type="dxa"/>
        <w:right w:w="108" w:type="dxa"/>
      </w:tblCellMar>
    </w:tblPr>
  </w:style>
  <w:style w:type="table" w:customStyle="1" w:styleId="48">
    <w:name w:val="48"/>
    <w:basedOn w:val="TableNormal10"/>
    <w:pPr>
      <w:spacing w:after="0" w:line="240" w:lineRule="auto"/>
    </w:pPr>
    <w:tblPr>
      <w:tblStyleRowBandSize w:val="1"/>
      <w:tblStyleColBandSize w:val="1"/>
      <w:tblCellMar>
        <w:left w:w="108" w:type="dxa"/>
        <w:right w:w="108" w:type="dxa"/>
      </w:tblCellMar>
    </w:tblPr>
  </w:style>
  <w:style w:type="table" w:customStyle="1" w:styleId="47">
    <w:name w:val="47"/>
    <w:basedOn w:val="TableNormal10"/>
    <w:pPr>
      <w:spacing w:after="0" w:line="240" w:lineRule="auto"/>
    </w:pPr>
    <w:tblPr>
      <w:tblStyleRowBandSize w:val="1"/>
      <w:tblStyleColBandSize w:val="1"/>
      <w:tblCellMar>
        <w:left w:w="108" w:type="dxa"/>
        <w:right w:w="108" w:type="dxa"/>
      </w:tblCellMar>
    </w:tblPr>
  </w:style>
  <w:style w:type="table" w:customStyle="1" w:styleId="46">
    <w:name w:val="46"/>
    <w:basedOn w:val="TableNormal10"/>
    <w:pPr>
      <w:spacing w:after="0" w:line="240" w:lineRule="auto"/>
    </w:pPr>
    <w:tblPr>
      <w:tblStyleRowBandSize w:val="1"/>
      <w:tblStyleColBandSize w:val="1"/>
      <w:tblCellMar>
        <w:left w:w="108" w:type="dxa"/>
        <w:right w:w="108" w:type="dxa"/>
      </w:tblCellMar>
    </w:tblPr>
  </w:style>
  <w:style w:type="table" w:customStyle="1" w:styleId="45">
    <w:name w:val="45"/>
    <w:basedOn w:val="TableNormal10"/>
    <w:pPr>
      <w:spacing w:after="0" w:line="240" w:lineRule="auto"/>
    </w:pPr>
    <w:tblPr>
      <w:tblStyleRowBandSize w:val="1"/>
      <w:tblStyleColBandSize w:val="1"/>
      <w:tblCellMar>
        <w:left w:w="108" w:type="dxa"/>
        <w:right w:w="108" w:type="dxa"/>
      </w:tblCellMar>
    </w:tblPr>
  </w:style>
  <w:style w:type="table" w:customStyle="1" w:styleId="44">
    <w:name w:val="44"/>
    <w:basedOn w:val="TableNormal10"/>
    <w:pPr>
      <w:spacing w:after="0" w:line="240" w:lineRule="auto"/>
    </w:pPr>
    <w:tblPr>
      <w:tblStyleRowBandSize w:val="1"/>
      <w:tblStyleColBandSize w:val="1"/>
      <w:tblCellMar>
        <w:left w:w="108" w:type="dxa"/>
        <w:right w:w="108" w:type="dxa"/>
      </w:tblCellMar>
    </w:tblPr>
  </w:style>
  <w:style w:type="table" w:customStyle="1" w:styleId="43">
    <w:name w:val="43"/>
    <w:basedOn w:val="TableNormal10"/>
    <w:pPr>
      <w:spacing w:after="0" w:line="240" w:lineRule="auto"/>
    </w:pPr>
    <w:tblPr>
      <w:tblStyleRowBandSize w:val="1"/>
      <w:tblStyleColBandSize w:val="1"/>
      <w:tblCellMar>
        <w:left w:w="108" w:type="dxa"/>
        <w:right w:w="108" w:type="dxa"/>
      </w:tblCellMar>
    </w:tblPr>
  </w:style>
  <w:style w:type="table" w:customStyle="1" w:styleId="42">
    <w:name w:val="42"/>
    <w:basedOn w:val="TableNormal10"/>
    <w:pPr>
      <w:spacing w:after="0" w:line="240" w:lineRule="auto"/>
    </w:pPr>
    <w:tblPr>
      <w:tblStyleRowBandSize w:val="1"/>
      <w:tblStyleColBandSize w:val="1"/>
      <w:tblCellMar>
        <w:left w:w="108" w:type="dxa"/>
        <w:right w:w="108" w:type="dxa"/>
      </w:tblCellMar>
    </w:tblPr>
  </w:style>
  <w:style w:type="table" w:customStyle="1" w:styleId="41">
    <w:name w:val="41"/>
    <w:basedOn w:val="TableNormal10"/>
    <w:pPr>
      <w:spacing w:after="0" w:line="240" w:lineRule="auto"/>
    </w:pPr>
    <w:tblPr>
      <w:tblStyleRowBandSize w:val="1"/>
      <w:tblStyleColBandSize w:val="1"/>
      <w:tblCellMar>
        <w:left w:w="108" w:type="dxa"/>
        <w:right w:w="108" w:type="dxa"/>
      </w:tblCellMar>
    </w:tblPr>
  </w:style>
  <w:style w:type="table" w:customStyle="1" w:styleId="40">
    <w:name w:val="40"/>
    <w:basedOn w:val="TableNormal10"/>
    <w:pPr>
      <w:spacing w:after="0" w:line="240" w:lineRule="auto"/>
    </w:pPr>
    <w:tblPr>
      <w:tblStyleRowBandSize w:val="1"/>
      <w:tblStyleColBandSize w:val="1"/>
      <w:tblCellMar>
        <w:left w:w="108" w:type="dxa"/>
        <w:right w:w="108" w:type="dxa"/>
      </w:tblCellMar>
    </w:tblPr>
  </w:style>
  <w:style w:type="table" w:customStyle="1" w:styleId="39">
    <w:name w:val="39"/>
    <w:basedOn w:val="TableNormal10"/>
    <w:pPr>
      <w:spacing w:after="0" w:line="240" w:lineRule="auto"/>
    </w:pPr>
    <w:tblPr>
      <w:tblStyleRowBandSize w:val="1"/>
      <w:tblStyleColBandSize w:val="1"/>
      <w:tblCellMar>
        <w:left w:w="108" w:type="dxa"/>
        <w:right w:w="108" w:type="dxa"/>
      </w:tblCellMar>
    </w:tblPr>
  </w:style>
  <w:style w:type="table" w:customStyle="1" w:styleId="38">
    <w:name w:val="38"/>
    <w:basedOn w:val="TableNormal10"/>
    <w:pPr>
      <w:spacing w:after="0" w:line="240" w:lineRule="auto"/>
    </w:pPr>
    <w:tblPr>
      <w:tblStyleRowBandSize w:val="1"/>
      <w:tblStyleColBandSize w:val="1"/>
      <w:tblCellMar>
        <w:left w:w="108" w:type="dxa"/>
        <w:right w:w="108" w:type="dxa"/>
      </w:tblCellMar>
    </w:tblPr>
  </w:style>
  <w:style w:type="table" w:customStyle="1" w:styleId="37">
    <w:name w:val="37"/>
    <w:basedOn w:val="TableNormal10"/>
    <w:pPr>
      <w:spacing w:after="0" w:line="240" w:lineRule="auto"/>
    </w:pPr>
    <w:tblPr>
      <w:tblStyleRowBandSize w:val="1"/>
      <w:tblStyleColBandSize w:val="1"/>
      <w:tblCellMar>
        <w:left w:w="108" w:type="dxa"/>
        <w:right w:w="108" w:type="dxa"/>
      </w:tblCellMar>
    </w:tblPr>
  </w:style>
  <w:style w:type="table" w:customStyle="1" w:styleId="36">
    <w:name w:val="36"/>
    <w:basedOn w:val="TableNormal10"/>
    <w:pPr>
      <w:spacing w:after="0" w:line="240" w:lineRule="auto"/>
    </w:pPr>
    <w:tblPr>
      <w:tblStyleRowBandSize w:val="1"/>
      <w:tblStyleColBandSize w:val="1"/>
      <w:tblCellMar>
        <w:left w:w="108" w:type="dxa"/>
        <w:right w:w="108" w:type="dxa"/>
      </w:tblCellMar>
    </w:tblPr>
  </w:style>
  <w:style w:type="table" w:customStyle="1" w:styleId="35">
    <w:name w:val="35"/>
    <w:basedOn w:val="TableNormal10"/>
    <w:pPr>
      <w:spacing w:after="0" w:line="240" w:lineRule="auto"/>
    </w:pPr>
    <w:tblPr>
      <w:tblStyleRowBandSize w:val="1"/>
      <w:tblStyleColBandSize w:val="1"/>
      <w:tblCellMar>
        <w:left w:w="108" w:type="dxa"/>
        <w:right w:w="108" w:type="dxa"/>
      </w:tblCellMar>
    </w:tblPr>
  </w:style>
  <w:style w:type="table" w:customStyle="1" w:styleId="34">
    <w:name w:val="34"/>
    <w:basedOn w:val="TableNormal10"/>
    <w:pPr>
      <w:spacing w:after="0" w:line="240" w:lineRule="auto"/>
    </w:pPr>
    <w:tblPr>
      <w:tblStyleRowBandSize w:val="1"/>
      <w:tblStyleColBandSize w:val="1"/>
      <w:tblCellMar>
        <w:left w:w="108" w:type="dxa"/>
        <w:right w:w="108" w:type="dxa"/>
      </w:tblCellMar>
    </w:tblPr>
  </w:style>
  <w:style w:type="table" w:customStyle="1" w:styleId="33">
    <w:name w:val="33"/>
    <w:basedOn w:val="TableNormal10"/>
    <w:pPr>
      <w:spacing w:after="0" w:line="240" w:lineRule="auto"/>
    </w:pPr>
    <w:tblPr>
      <w:tblStyleRowBandSize w:val="1"/>
      <w:tblStyleColBandSize w:val="1"/>
      <w:tblCellMar>
        <w:left w:w="108" w:type="dxa"/>
        <w:right w:w="108" w:type="dxa"/>
      </w:tblCellMar>
    </w:tblPr>
  </w:style>
  <w:style w:type="table" w:customStyle="1" w:styleId="32">
    <w:name w:val="32"/>
    <w:basedOn w:val="TableNormal10"/>
    <w:pPr>
      <w:spacing w:after="0" w:line="240" w:lineRule="auto"/>
    </w:pPr>
    <w:tblPr>
      <w:tblStyleRowBandSize w:val="1"/>
      <w:tblStyleColBandSize w:val="1"/>
      <w:tblCellMar>
        <w:left w:w="108" w:type="dxa"/>
        <w:right w:w="108" w:type="dxa"/>
      </w:tblCellMar>
    </w:tblPr>
  </w:style>
  <w:style w:type="table" w:customStyle="1" w:styleId="31">
    <w:name w:val="31"/>
    <w:basedOn w:val="TableNormal10"/>
    <w:pPr>
      <w:spacing w:after="0" w:line="240" w:lineRule="auto"/>
    </w:pPr>
    <w:tblPr>
      <w:tblStyleRowBandSize w:val="1"/>
      <w:tblStyleColBandSize w:val="1"/>
      <w:tblCellMar>
        <w:left w:w="108" w:type="dxa"/>
        <w:right w:w="108" w:type="dxa"/>
      </w:tblCellMar>
    </w:tblPr>
  </w:style>
  <w:style w:type="table" w:customStyle="1" w:styleId="30">
    <w:name w:val="30"/>
    <w:basedOn w:val="TableNormal10"/>
    <w:pPr>
      <w:spacing w:after="0" w:line="240" w:lineRule="auto"/>
    </w:pPr>
    <w:tblPr>
      <w:tblStyleRowBandSize w:val="1"/>
      <w:tblStyleColBandSize w:val="1"/>
      <w:tblCellMar>
        <w:left w:w="108" w:type="dxa"/>
        <w:right w:w="108" w:type="dxa"/>
      </w:tblCellMar>
    </w:tblPr>
  </w:style>
  <w:style w:type="table" w:customStyle="1" w:styleId="29">
    <w:name w:val="29"/>
    <w:basedOn w:val="TableNormal10"/>
    <w:pPr>
      <w:spacing w:after="0" w:line="240" w:lineRule="auto"/>
    </w:pPr>
    <w:tblPr>
      <w:tblStyleRowBandSize w:val="1"/>
      <w:tblStyleColBandSize w:val="1"/>
      <w:tblCellMar>
        <w:left w:w="108" w:type="dxa"/>
        <w:right w:w="108" w:type="dxa"/>
      </w:tblCellMar>
    </w:tblPr>
  </w:style>
  <w:style w:type="table" w:customStyle="1" w:styleId="28">
    <w:name w:val="28"/>
    <w:basedOn w:val="TableNormal10"/>
    <w:pPr>
      <w:spacing w:after="0" w:line="240" w:lineRule="auto"/>
    </w:pPr>
    <w:tblPr>
      <w:tblStyleRowBandSize w:val="1"/>
      <w:tblStyleColBandSize w:val="1"/>
      <w:tblCellMar>
        <w:left w:w="108" w:type="dxa"/>
        <w:right w:w="108" w:type="dxa"/>
      </w:tblCellMar>
    </w:tblPr>
  </w:style>
  <w:style w:type="table" w:customStyle="1" w:styleId="27">
    <w:name w:val="27"/>
    <w:basedOn w:val="TableNormal11"/>
    <w:pPr>
      <w:spacing w:after="0" w:line="240" w:lineRule="auto"/>
    </w:pPr>
    <w:tblPr>
      <w:tblStyleRowBandSize w:val="1"/>
      <w:tblStyleColBandSize w:val="1"/>
      <w:tblCellMar>
        <w:left w:w="108" w:type="dxa"/>
        <w:right w:w="108" w:type="dxa"/>
      </w:tblCellMar>
    </w:tblPr>
  </w:style>
  <w:style w:type="table" w:customStyle="1" w:styleId="26">
    <w:name w:val="26"/>
    <w:basedOn w:val="TableNormal11"/>
    <w:pPr>
      <w:spacing w:after="0" w:line="240" w:lineRule="auto"/>
    </w:pPr>
    <w:tblPr>
      <w:tblStyleRowBandSize w:val="1"/>
      <w:tblStyleColBandSize w:val="1"/>
      <w:tblCellMar>
        <w:left w:w="108" w:type="dxa"/>
        <w:right w:w="108" w:type="dxa"/>
      </w:tblCellMar>
    </w:tblPr>
  </w:style>
  <w:style w:type="table" w:customStyle="1" w:styleId="25">
    <w:name w:val="25"/>
    <w:basedOn w:val="TableNormal11"/>
    <w:pPr>
      <w:spacing w:after="0" w:line="240" w:lineRule="auto"/>
    </w:pPr>
    <w:tblPr>
      <w:tblStyleRowBandSize w:val="1"/>
      <w:tblStyleColBandSize w:val="1"/>
      <w:tblCellMar>
        <w:left w:w="108" w:type="dxa"/>
        <w:right w:w="108" w:type="dxa"/>
      </w:tblCellMar>
    </w:tblPr>
  </w:style>
  <w:style w:type="table" w:customStyle="1" w:styleId="24">
    <w:name w:val="24"/>
    <w:basedOn w:val="TableNormal11"/>
    <w:pPr>
      <w:spacing w:after="0" w:line="240" w:lineRule="auto"/>
    </w:pPr>
    <w:tblPr>
      <w:tblStyleRowBandSize w:val="1"/>
      <w:tblStyleColBandSize w:val="1"/>
      <w:tblCellMar>
        <w:left w:w="108" w:type="dxa"/>
        <w:right w:w="108" w:type="dxa"/>
      </w:tblCellMar>
    </w:tblPr>
  </w:style>
  <w:style w:type="table" w:customStyle="1" w:styleId="23">
    <w:name w:val="23"/>
    <w:basedOn w:val="TableNormal11"/>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22">
    <w:name w:val="22"/>
    <w:basedOn w:val="TableNormal12"/>
    <w:pPr>
      <w:spacing w:after="0" w:line="240" w:lineRule="auto"/>
    </w:pPr>
    <w:tblPr>
      <w:tblStyleRowBandSize w:val="1"/>
      <w:tblStyleColBandSize w:val="1"/>
      <w:tblCellMar>
        <w:left w:w="108" w:type="dxa"/>
        <w:right w:w="108" w:type="dxa"/>
      </w:tblCellMar>
    </w:tblPr>
  </w:style>
  <w:style w:type="table" w:customStyle="1" w:styleId="21">
    <w:name w:val="21"/>
    <w:basedOn w:val="TableNormal12"/>
    <w:pPr>
      <w:spacing w:after="0" w:line="240" w:lineRule="auto"/>
    </w:pPr>
    <w:tblPr>
      <w:tblStyleRowBandSize w:val="1"/>
      <w:tblStyleColBandSize w:val="1"/>
      <w:tblCellMar>
        <w:left w:w="108" w:type="dxa"/>
        <w:right w:w="108" w:type="dxa"/>
      </w:tblCellMar>
    </w:tblPr>
  </w:style>
  <w:style w:type="table" w:customStyle="1" w:styleId="20">
    <w:name w:val="20"/>
    <w:basedOn w:val="TableNormal12"/>
    <w:pPr>
      <w:spacing w:after="0" w:line="240" w:lineRule="auto"/>
    </w:pPr>
    <w:tblPr>
      <w:tblStyleRowBandSize w:val="1"/>
      <w:tblStyleColBandSize w:val="1"/>
      <w:tblCellMar>
        <w:left w:w="108" w:type="dxa"/>
        <w:right w:w="108" w:type="dxa"/>
      </w:tblCellMar>
    </w:tblPr>
  </w:style>
  <w:style w:type="table" w:customStyle="1" w:styleId="19">
    <w:name w:val="19"/>
    <w:basedOn w:val="TableNormal12"/>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18">
    <w:name w:val="18"/>
    <w:basedOn w:val="TableNormal13"/>
    <w:pPr>
      <w:spacing w:after="0" w:line="240" w:lineRule="auto"/>
    </w:pPr>
    <w:tblPr>
      <w:tblStyleRowBandSize w:val="1"/>
      <w:tblStyleColBandSize w:val="1"/>
      <w:tblCellMar>
        <w:left w:w="108" w:type="dxa"/>
        <w:right w:w="108" w:type="dxa"/>
      </w:tblCellMar>
    </w:tblPr>
  </w:style>
  <w:style w:type="table" w:customStyle="1" w:styleId="17">
    <w:name w:val="17"/>
    <w:basedOn w:val="TableNormal13"/>
    <w:pPr>
      <w:spacing w:after="0" w:line="240" w:lineRule="auto"/>
    </w:pPr>
    <w:tblPr>
      <w:tblStyleRowBandSize w:val="1"/>
      <w:tblStyleColBandSize w:val="1"/>
      <w:tblCellMar>
        <w:left w:w="108" w:type="dxa"/>
        <w:right w:w="108" w:type="dxa"/>
      </w:tblCellMar>
    </w:tblPr>
  </w:style>
  <w:style w:type="table" w:customStyle="1" w:styleId="16">
    <w:name w:val="16"/>
    <w:basedOn w:val="TableNormal13"/>
    <w:pPr>
      <w:spacing w:after="0" w:line="240" w:lineRule="auto"/>
    </w:pPr>
    <w:tblPr>
      <w:tblStyleRowBandSize w:val="1"/>
      <w:tblStyleColBandSize w:val="1"/>
      <w:tblCellMar>
        <w:left w:w="108" w:type="dxa"/>
        <w:right w:w="108" w:type="dxa"/>
      </w:tblCellMar>
    </w:tblPr>
  </w:style>
  <w:style w:type="table" w:customStyle="1" w:styleId="15">
    <w:name w:val="15"/>
    <w:basedOn w:val="TableNormal13"/>
    <w:pPr>
      <w:spacing w:after="0" w:line="240" w:lineRule="auto"/>
    </w:pPr>
    <w:tblPr>
      <w:tblStyleRowBandSize w:val="1"/>
      <w:tblStyleColBandSize w:val="1"/>
      <w:tblCellMar>
        <w:left w:w="108" w:type="dxa"/>
        <w:right w:w="108" w:type="dxa"/>
      </w:tblCellMar>
    </w:tblPr>
  </w:style>
  <w:style w:type="table" w:customStyle="1" w:styleId="14">
    <w:name w:val="14"/>
    <w:basedOn w:val="TableNormal13"/>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13">
    <w:name w:val="13"/>
    <w:basedOn w:val="TableNormal14"/>
    <w:pPr>
      <w:spacing w:after="0" w:line="240" w:lineRule="auto"/>
    </w:pPr>
    <w:tblPr>
      <w:tblStyleRowBandSize w:val="1"/>
      <w:tblStyleColBandSize w:val="1"/>
      <w:tblCellMar>
        <w:left w:w="108" w:type="dxa"/>
        <w:right w:w="108" w:type="dxa"/>
      </w:tblCellMar>
    </w:tblPr>
  </w:style>
  <w:style w:type="table" w:customStyle="1" w:styleId="12">
    <w:name w:val="12"/>
    <w:basedOn w:val="TableNormal14"/>
    <w:pPr>
      <w:spacing w:after="0" w:line="240" w:lineRule="auto"/>
    </w:pPr>
    <w:tblPr>
      <w:tblStyleRowBandSize w:val="1"/>
      <w:tblStyleColBandSize w:val="1"/>
      <w:tblCellMar>
        <w:left w:w="108" w:type="dxa"/>
        <w:right w:w="108" w:type="dxa"/>
      </w:tblCellMar>
    </w:tblPr>
  </w:style>
  <w:style w:type="table" w:customStyle="1" w:styleId="11">
    <w:name w:val="11"/>
    <w:basedOn w:val="TableNormal14"/>
    <w:pPr>
      <w:spacing w:after="0" w:line="240" w:lineRule="auto"/>
    </w:pPr>
    <w:tblPr>
      <w:tblStyleRowBandSize w:val="1"/>
      <w:tblStyleColBandSize w:val="1"/>
      <w:tblCellMar>
        <w:left w:w="108" w:type="dxa"/>
        <w:right w:w="108" w:type="dxa"/>
      </w:tblCellMar>
    </w:tblPr>
  </w:style>
  <w:style w:type="table" w:customStyle="1" w:styleId="10">
    <w:name w:val="10"/>
    <w:basedOn w:val="TableNormal14"/>
    <w:pPr>
      <w:spacing w:after="0" w:line="240" w:lineRule="auto"/>
    </w:pPr>
    <w:tblPr>
      <w:tblStyleRowBandSize w:val="1"/>
      <w:tblStyleColBandSize w:val="1"/>
      <w:tblCellMar>
        <w:left w:w="108" w:type="dxa"/>
        <w:right w:w="108" w:type="dxa"/>
      </w:tblCellMar>
    </w:tblPr>
  </w:style>
  <w:style w:type="table" w:customStyle="1" w:styleId="9">
    <w:name w:val="9"/>
    <w:basedOn w:val="TableNormal15"/>
    <w:pPr>
      <w:spacing w:after="0" w:line="240" w:lineRule="auto"/>
    </w:pPr>
    <w:tblPr>
      <w:tblStyleRowBandSize w:val="1"/>
      <w:tblStyleColBandSize w:val="1"/>
      <w:tblCellMar>
        <w:left w:w="108" w:type="dxa"/>
        <w:right w:w="108" w:type="dxa"/>
      </w:tblCellMar>
    </w:tblPr>
  </w:style>
  <w:style w:type="table" w:customStyle="1" w:styleId="8">
    <w:name w:val="8"/>
    <w:basedOn w:val="TableNormal15"/>
    <w:pPr>
      <w:spacing w:after="0" w:line="240" w:lineRule="auto"/>
    </w:pPr>
    <w:tblPr>
      <w:tblStyleRowBandSize w:val="1"/>
      <w:tblStyleColBandSize w:val="1"/>
      <w:tblCellMar>
        <w:left w:w="108" w:type="dxa"/>
        <w:right w:w="108" w:type="dxa"/>
      </w:tblCellMar>
    </w:tblPr>
  </w:style>
  <w:style w:type="table" w:customStyle="1" w:styleId="7">
    <w:name w:val="7"/>
    <w:basedOn w:val="TableNormal15"/>
    <w:pPr>
      <w:spacing w:after="0" w:line="240" w:lineRule="auto"/>
    </w:pPr>
    <w:tblPr>
      <w:tblStyleRowBandSize w:val="1"/>
      <w:tblStyleColBandSize w:val="1"/>
      <w:tblCellMar>
        <w:left w:w="108" w:type="dxa"/>
        <w:right w:w="108" w:type="dxa"/>
      </w:tblCellMar>
    </w:tblPr>
  </w:style>
  <w:style w:type="table" w:customStyle="1" w:styleId="6">
    <w:name w:val="6"/>
    <w:basedOn w:val="TableNormal15"/>
    <w:pPr>
      <w:spacing w:after="0" w:line="240" w:lineRule="auto"/>
    </w:pPr>
    <w:tblPr>
      <w:tblStyleRowBandSize w:val="1"/>
      <w:tblStyleColBandSize w:val="1"/>
      <w:tblCellMar>
        <w:left w:w="108" w:type="dxa"/>
        <w:right w:w="108" w:type="dxa"/>
      </w:tblCellMar>
    </w:tblPr>
  </w:style>
  <w:style w:type="table" w:customStyle="1" w:styleId="5">
    <w:name w:val="5"/>
    <w:basedOn w:val="TableNormal15"/>
    <w:pPr>
      <w:spacing w:after="0" w:line="240" w:lineRule="auto"/>
    </w:pPr>
    <w:tblPr>
      <w:tblStyleRowBandSize w:val="1"/>
      <w:tblStyleColBandSize w:val="1"/>
      <w:tblCellMar>
        <w:left w:w="108" w:type="dxa"/>
        <w:right w:w="108" w:type="dxa"/>
      </w:tblCellMar>
    </w:tblPr>
  </w:style>
  <w:style w:type="table" w:customStyle="1" w:styleId="4">
    <w:name w:val="4"/>
    <w:basedOn w:val="TableNormal16"/>
    <w:pPr>
      <w:spacing w:after="0" w:line="240" w:lineRule="auto"/>
    </w:pPr>
    <w:tblPr>
      <w:tblStyleRowBandSize w:val="1"/>
      <w:tblStyleColBandSize w:val="1"/>
      <w:tblCellMar>
        <w:left w:w="108" w:type="dxa"/>
        <w:right w:w="108" w:type="dxa"/>
      </w:tblCellMar>
    </w:tblPr>
  </w:style>
  <w:style w:type="table" w:customStyle="1" w:styleId="3">
    <w:name w:val="3"/>
    <w:basedOn w:val="TableNormal16"/>
    <w:pPr>
      <w:spacing w:after="0" w:line="240" w:lineRule="auto"/>
    </w:pPr>
    <w:tblPr>
      <w:tblStyleRowBandSize w:val="1"/>
      <w:tblStyleColBandSize w:val="1"/>
      <w:tblCellMar>
        <w:left w:w="108" w:type="dxa"/>
        <w:right w:w="108" w:type="dxa"/>
      </w:tblCellMar>
    </w:tblPr>
  </w:style>
  <w:style w:type="table" w:customStyle="1" w:styleId="2">
    <w:name w:val="2"/>
    <w:basedOn w:val="TableNormal16"/>
    <w:pPr>
      <w:spacing w:after="0" w:line="240" w:lineRule="auto"/>
    </w:pPr>
    <w:tblPr>
      <w:tblStyleRowBandSize w:val="1"/>
      <w:tblStyleColBandSize w:val="1"/>
      <w:tblCellMar>
        <w:left w:w="108" w:type="dxa"/>
        <w:right w:w="108" w:type="dxa"/>
      </w:tblCellMar>
    </w:tblPr>
  </w:style>
  <w:style w:type="table" w:customStyle="1" w:styleId="1">
    <w:name w:val="1"/>
    <w:basedOn w:val="TableNormal16"/>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omex.org.mx/ipomex/"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omex.org.mx/ipome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omex.org.mx/ipome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pomex.org.mx/ipome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ipomex3.ipomex.org.mx/ipo3/lgt/indice/caem.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b7jZ5HDq2h5BtlabrxOAKINpPQ==">CgMxLjAyDmgucDMwbm44aDlhcHJzMghoLmdqZGd4czIOaC5oMWljY3M0d2FveGgyDmguNHZxb2oxcHJnMDM5Mg5oLjE2MzlyaHhsd3NrbTIJaC4yZXQ5MnAwMg5oLm9mN3FqY3pkcjBjdzIOaC5mMWYxbjR4eWEzM3EyDmguamx6dXkwaW9kOHRmMg5oLjhtanljZG01c2M4dzIOaC5taWhqbW02eTdlMWYyDmguNGg1cnJmaHowbHIwMg5oLmRmM2QycmN0bmFhYzIOaC4yaTFuZmNhMDJoOXEyDmguZ293cG4zZGsyMmt0Mg5oLmFyZ3kyMXFua21ocjgAciExZGF2b2k5RXN1U3VHanNRdTZ4amM2RHVIY3pJcE9BME4=</go:docsCustomData>
</go:gDocsCustomXmlDataStorage>
</file>

<file path=customXml/itemProps1.xml><?xml version="1.0" encoding="utf-8"?>
<ds:datastoreItem xmlns:ds="http://schemas.openxmlformats.org/officeDocument/2006/customXml" ds:itemID="{6A76ACEF-7A63-4AFD-AD4D-229AC2ADDF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7717</Words>
  <Characters>42447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Office</cp:lastModifiedBy>
  <cp:revision>4</cp:revision>
  <cp:lastPrinted>2025-08-08T06:30:00Z</cp:lastPrinted>
  <dcterms:created xsi:type="dcterms:W3CDTF">2025-08-08T06:30:00Z</dcterms:created>
  <dcterms:modified xsi:type="dcterms:W3CDTF">2025-08-08T06:31:00Z</dcterms:modified>
</cp:coreProperties>
</file>