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EF" w:rsidRPr="001D5444" w:rsidRDefault="00A22826"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R</w:t>
      </w:r>
      <w:bookmarkStart w:id="0" w:name="_GoBack"/>
      <w:bookmarkEnd w:id="0"/>
      <w:r w:rsidRPr="001D5444">
        <w:rPr>
          <w:rFonts w:ascii="Palatino Linotype" w:eastAsia="Palatino Linotype" w:hAnsi="Palatino Linotype" w:cs="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311F65">
        <w:rPr>
          <w:rFonts w:ascii="Palatino Linotype" w:eastAsia="Palatino Linotype" w:hAnsi="Palatino Linotype" w:cs="Palatino Linotype"/>
          <w:b/>
          <w:color w:val="000000" w:themeColor="text1"/>
        </w:rPr>
        <w:t xml:space="preserve">de fecha </w:t>
      </w:r>
      <w:r w:rsidR="00311F65">
        <w:rPr>
          <w:rFonts w:ascii="Palatino Linotype" w:eastAsia="Palatino Linotype" w:hAnsi="Palatino Linotype" w:cs="Palatino Linotype"/>
          <w:b/>
          <w:color w:val="000000" w:themeColor="text1"/>
        </w:rPr>
        <w:t>dos</w:t>
      </w:r>
      <w:r w:rsidR="00436800">
        <w:rPr>
          <w:rFonts w:ascii="Palatino Linotype" w:eastAsia="Palatino Linotype" w:hAnsi="Palatino Linotype" w:cs="Palatino Linotype"/>
          <w:b/>
          <w:color w:val="000000" w:themeColor="text1"/>
        </w:rPr>
        <w:t xml:space="preserve"> (02)</w:t>
      </w:r>
      <w:r w:rsidR="00311F65">
        <w:rPr>
          <w:rFonts w:ascii="Palatino Linotype" w:eastAsia="Palatino Linotype" w:hAnsi="Palatino Linotype" w:cs="Palatino Linotype"/>
          <w:b/>
          <w:color w:val="000000" w:themeColor="text1"/>
        </w:rPr>
        <w:t xml:space="preserve"> de jul</w:t>
      </w:r>
      <w:r w:rsidRPr="00311F65">
        <w:rPr>
          <w:rFonts w:ascii="Palatino Linotype" w:eastAsia="Palatino Linotype" w:hAnsi="Palatino Linotype" w:cs="Palatino Linotype"/>
          <w:b/>
          <w:color w:val="000000" w:themeColor="text1"/>
        </w:rPr>
        <w:t>io de dos mil veinticinco</w:t>
      </w:r>
      <w:r w:rsidRPr="001D5444">
        <w:rPr>
          <w:rFonts w:ascii="Palatino Linotype" w:eastAsia="Palatino Linotype" w:hAnsi="Palatino Linotype" w:cs="Palatino Linotype"/>
          <w:color w:val="000000" w:themeColor="text1"/>
        </w:rPr>
        <w:t>.</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themeColor="text1"/>
        </w:rPr>
      </w:pPr>
      <w:bookmarkStart w:id="1" w:name="_heading=h.lmruehhbzzt5" w:colFirst="0" w:colLast="0"/>
      <w:bookmarkEnd w:id="1"/>
      <w:r w:rsidRPr="001D5444">
        <w:rPr>
          <w:rFonts w:ascii="Palatino Linotype" w:eastAsia="Palatino Linotype" w:hAnsi="Palatino Linotype" w:cs="Palatino Linotype"/>
          <w:b/>
          <w:color w:val="000000" w:themeColor="text1"/>
        </w:rPr>
        <w:t>VISTO</w:t>
      </w:r>
      <w:r w:rsidRPr="001D5444">
        <w:rPr>
          <w:rFonts w:ascii="Palatino Linotype" w:eastAsia="Palatino Linotype" w:hAnsi="Palatino Linotype" w:cs="Palatino Linotype"/>
          <w:color w:val="000000" w:themeColor="text1"/>
        </w:rPr>
        <w:t xml:space="preserve"> en el expediente electrónico formado con motivo del recurso de revisión número </w:t>
      </w:r>
      <w:r w:rsidRPr="001D5444">
        <w:rPr>
          <w:rFonts w:ascii="Palatino Linotype" w:eastAsia="Palatino Linotype" w:hAnsi="Palatino Linotype" w:cs="Palatino Linotype"/>
          <w:b/>
          <w:color w:val="000000" w:themeColor="text1"/>
        </w:rPr>
        <w:t>04878/INFOEM/IP/RR/2025</w:t>
      </w:r>
      <w:r w:rsidRPr="001D5444">
        <w:rPr>
          <w:rFonts w:ascii="Palatino Linotype" w:eastAsia="Palatino Linotype" w:hAnsi="Palatino Linotype" w:cs="Palatino Linotype"/>
          <w:color w:val="000000" w:themeColor="text1"/>
        </w:rPr>
        <w:t xml:space="preserve">, promovido por </w:t>
      </w:r>
      <w:r w:rsidRPr="001D5444">
        <w:rPr>
          <w:rFonts w:ascii="Palatino Linotype" w:eastAsia="Palatino Linotype" w:hAnsi="Palatino Linotype" w:cs="Palatino Linotype"/>
          <w:b/>
          <w:color w:val="000000" w:themeColor="text1"/>
        </w:rPr>
        <w:t xml:space="preserve">una persona que no proporcionó datos, </w:t>
      </w:r>
      <w:r w:rsidRPr="001D5444">
        <w:rPr>
          <w:rFonts w:ascii="Palatino Linotype" w:eastAsia="Palatino Linotype" w:hAnsi="Palatino Linotype" w:cs="Palatino Linotype"/>
          <w:color w:val="000000" w:themeColor="text1"/>
        </w:rPr>
        <w:t>a quien en lo sucesivo denominaremos</w:t>
      </w:r>
      <w:r w:rsidRPr="001D5444">
        <w:rPr>
          <w:rFonts w:ascii="Palatino Linotype" w:eastAsia="Palatino Linotype" w:hAnsi="Palatino Linotype" w:cs="Palatino Linotype"/>
          <w:b/>
          <w:color w:val="000000" w:themeColor="text1"/>
        </w:rPr>
        <w:t xml:space="preserve"> RECURRENTE,</w:t>
      </w:r>
      <w:r w:rsidRPr="001D5444">
        <w:rPr>
          <w:rFonts w:ascii="Palatino Linotype" w:eastAsia="Palatino Linotype" w:hAnsi="Palatino Linotype" w:cs="Palatino Linotype"/>
          <w:color w:val="000000" w:themeColor="text1"/>
        </w:rPr>
        <w:t xml:space="preserve"> en contra de la respuesta del </w:t>
      </w:r>
      <w:r w:rsidRPr="001D5444">
        <w:rPr>
          <w:rFonts w:ascii="Palatino Linotype" w:eastAsia="Palatino Linotype" w:hAnsi="Palatino Linotype" w:cs="Palatino Linotype"/>
          <w:b/>
          <w:color w:val="000000" w:themeColor="text1"/>
        </w:rPr>
        <w:t>Ayuntamiento de Toluca</w:t>
      </w:r>
      <w:r w:rsidRPr="001D5444">
        <w:rPr>
          <w:rFonts w:ascii="Palatino Linotype" w:eastAsia="Palatino Linotype" w:hAnsi="Palatino Linotype" w:cs="Palatino Linotype"/>
          <w:color w:val="000000" w:themeColor="text1"/>
        </w:rPr>
        <w:t>, en adelante el</w:t>
      </w:r>
      <w:r w:rsidRPr="001D5444">
        <w:rPr>
          <w:rFonts w:ascii="Palatino Linotype" w:eastAsia="Palatino Linotype" w:hAnsi="Palatino Linotype" w:cs="Palatino Linotype"/>
          <w:b/>
          <w:color w:val="000000" w:themeColor="text1"/>
        </w:rPr>
        <w:t xml:space="preserve"> SUJETO OBLIGADO, </w:t>
      </w:r>
      <w:r w:rsidRPr="001D5444">
        <w:rPr>
          <w:rFonts w:ascii="Palatino Linotype" w:eastAsia="Palatino Linotype" w:hAnsi="Palatino Linotype" w:cs="Palatino Linotype"/>
          <w:color w:val="000000" w:themeColor="text1"/>
        </w:rPr>
        <w:t>se procede a dictar la presente resolución, con base en los siguientes:</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A N T E C E D E N T E S</w:t>
      </w:r>
    </w:p>
    <w:p w:rsidR="00D539EF" w:rsidRPr="001D5444" w:rsidRDefault="00D539EF" w:rsidP="001D5444">
      <w:pPr>
        <w:spacing w:line="360" w:lineRule="auto"/>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El </w:t>
      </w:r>
      <w:r w:rsidRPr="001D5444">
        <w:rPr>
          <w:rFonts w:ascii="Palatino Linotype" w:eastAsia="Palatino Linotype" w:hAnsi="Palatino Linotype" w:cs="Palatino Linotype"/>
          <w:b/>
          <w:color w:val="000000" w:themeColor="text1"/>
        </w:rPr>
        <w:t>siete de marzo de dos mil veinticinco</w:t>
      </w:r>
      <w:r w:rsidRPr="001D5444">
        <w:rPr>
          <w:rFonts w:ascii="Palatino Linotype" w:eastAsia="Palatino Linotype" w:hAnsi="Palatino Linotype" w:cs="Palatino Linotype"/>
          <w:color w:val="000000" w:themeColor="text1"/>
        </w:rPr>
        <w:t>, se</w:t>
      </w:r>
      <w:r w:rsidRPr="001D5444">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color w:val="000000" w:themeColor="text1"/>
        </w:rPr>
        <w:t>presentó</w:t>
      </w:r>
      <w:r w:rsidRPr="001D5444">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color w:val="000000" w:themeColor="text1"/>
        </w:rPr>
        <w:t xml:space="preserve">vía Sistema de Acceso a la Información Mexiquense </w:t>
      </w:r>
      <w:r w:rsidRPr="001D5444">
        <w:rPr>
          <w:rFonts w:ascii="Palatino Linotype" w:eastAsia="Palatino Linotype" w:hAnsi="Palatino Linotype" w:cs="Palatino Linotype"/>
          <w:b/>
          <w:color w:val="000000" w:themeColor="text1"/>
        </w:rPr>
        <w:t>(SAIMEX),</w:t>
      </w:r>
      <w:r w:rsidRPr="001D5444">
        <w:rPr>
          <w:rFonts w:ascii="Palatino Linotype" w:eastAsia="Palatino Linotype" w:hAnsi="Palatino Linotype" w:cs="Palatino Linotype"/>
          <w:color w:val="000000" w:themeColor="text1"/>
        </w:rPr>
        <w:t xml:space="preserve"> la solicitud de información pública registrada con el número </w:t>
      </w:r>
      <w:r w:rsidRPr="001D5444">
        <w:rPr>
          <w:rFonts w:ascii="Palatino Linotype" w:eastAsia="Palatino Linotype" w:hAnsi="Palatino Linotype" w:cs="Palatino Linotype"/>
          <w:b/>
          <w:color w:val="000000" w:themeColor="text1"/>
        </w:rPr>
        <w:t>01426/TOLUCA/IP/2025,</w:t>
      </w:r>
      <w:r w:rsidRPr="001D5444">
        <w:rPr>
          <w:rFonts w:ascii="Palatino Linotype" w:eastAsia="Palatino Linotype" w:hAnsi="Palatino Linotype" w:cs="Palatino Linotype"/>
          <w:color w:val="000000" w:themeColor="text1"/>
        </w:rPr>
        <w:t xml:space="preserve"> en la que se requirió lo siguiente:</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strike/>
          <w:color w:val="000000" w:themeColor="text1"/>
        </w:rPr>
      </w:pP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“Solicito el cumplimiento de las líneas de acción del pal de desarrollo 2022-2024 y los proyectos aceleradores del mismo periodo con la. Evidencia de las araes qué se cumplio.(Sic)</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539EF" w:rsidRPr="001D5444" w:rsidRDefault="00A22826" w:rsidP="001D5444">
      <w:pPr>
        <w:numPr>
          <w:ilvl w:val="0"/>
          <w:numId w:val="1"/>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Modalidad de entrega</w:t>
      </w:r>
      <w:r w:rsidRPr="001D5444">
        <w:rPr>
          <w:rFonts w:ascii="Palatino Linotype" w:eastAsia="Palatino Linotype" w:hAnsi="Palatino Linotype" w:cs="Palatino Linotype"/>
          <w:color w:val="000000" w:themeColor="text1"/>
        </w:rPr>
        <w:t>: Vía SAIMEX.</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El </w:t>
      </w:r>
      <w:r w:rsidRPr="001D5444">
        <w:rPr>
          <w:rFonts w:ascii="Palatino Linotype" w:eastAsia="Palatino Linotype" w:hAnsi="Palatino Linotype" w:cs="Palatino Linotype"/>
          <w:b/>
          <w:color w:val="000000" w:themeColor="text1"/>
        </w:rPr>
        <w:t>treinta y uno marzo de dos mil veinticinco</w:t>
      </w:r>
      <w:r w:rsidRPr="001D5444">
        <w:rPr>
          <w:rFonts w:ascii="Palatino Linotype" w:eastAsia="Palatino Linotype" w:hAnsi="Palatino Linotype" w:cs="Palatino Linotype"/>
          <w:color w:val="000000" w:themeColor="text1"/>
        </w:rPr>
        <w:t xml:space="preserve">,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emitió respuesta, en los siguientes términos:</w:t>
      </w:r>
    </w:p>
    <w:p w:rsidR="00A22826"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539EF"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lastRenderedPageBreak/>
        <w:t>… En atención a la solicitud con folio 01426/TOLUCA/IP/2025, me permito adjuntar al presente la respuesta correspondiente de la Unidad de Información, Planeación, Programación y Evaluación, asimismo sus respectivos ANEXOS, Sin más por el momento, reciba un saludo…” (Sic)</w:t>
      </w:r>
    </w:p>
    <w:p w:rsidR="00D539EF" w:rsidRPr="001D5444" w:rsidRDefault="00D539EF" w:rsidP="001D544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D539EF" w:rsidRPr="001D5444" w:rsidRDefault="00A22826" w:rsidP="001D5444">
      <w:pPr>
        <w:pBdr>
          <w:top w:val="nil"/>
          <w:left w:val="nil"/>
          <w:bottom w:val="nil"/>
          <w:right w:val="nil"/>
          <w:between w:val="nil"/>
        </w:pBdr>
        <w:tabs>
          <w:tab w:val="left" w:pos="851"/>
          <w:tab w:val="left" w:pos="1418"/>
        </w:tabs>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Se adjuntan los siguientes archivos electrónicos:</w:t>
      </w:r>
    </w:p>
    <w:p w:rsidR="00D539EF" w:rsidRPr="001D5444" w:rsidRDefault="00D539EF" w:rsidP="001D5444">
      <w:pPr>
        <w:pBdr>
          <w:top w:val="nil"/>
          <w:left w:val="nil"/>
          <w:bottom w:val="nil"/>
          <w:right w:val="nil"/>
          <w:between w:val="nil"/>
        </w:pBdr>
        <w:tabs>
          <w:tab w:val="left" w:pos="851"/>
          <w:tab w:val="left" w:pos="1418"/>
        </w:tabs>
        <w:jc w:val="both"/>
        <w:rPr>
          <w:rFonts w:ascii="Palatino Linotype" w:eastAsia="Palatino Linotype" w:hAnsi="Palatino Linotype" w:cs="Palatino Linotype"/>
          <w:i/>
          <w:color w:val="000000" w:themeColor="text1"/>
        </w:rPr>
      </w:pPr>
    </w:p>
    <w:p w:rsidR="0028607B" w:rsidRPr="001D5444" w:rsidRDefault="00A22826" w:rsidP="001D5444">
      <w:pPr>
        <w:numPr>
          <w:ilvl w:val="0"/>
          <w:numId w:val="1"/>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w:t>
      </w:r>
      <w:r w:rsidRPr="001D5444">
        <w:rPr>
          <w:rFonts w:ascii="Palatino Linotype" w:eastAsia="Palatino Linotype" w:hAnsi="Palatino Linotype" w:cs="Palatino Linotype"/>
          <w:b/>
          <w:color w:val="000000" w:themeColor="text1"/>
        </w:rPr>
        <w:t>Planeación-Informe-Anual-de-Ejecución-Final-2023.pdf</w:t>
      </w:r>
      <w:r w:rsidRPr="001D5444">
        <w:rPr>
          <w:rFonts w:ascii="Palatino Linotype" w:eastAsia="Palatino Linotype" w:hAnsi="Palatino Linotype" w:cs="Palatino Linotype"/>
          <w:color w:val="000000" w:themeColor="text1"/>
        </w:rPr>
        <w:t xml:space="preserve">”, consistente en el Informe Anual de Ejecución del Plan de Desarrollo Municipal 2022-2024 </w:t>
      </w:r>
      <w:r w:rsidR="0028607B" w:rsidRPr="001D5444">
        <w:rPr>
          <w:rFonts w:ascii="Palatino Linotype" w:eastAsia="Palatino Linotype" w:hAnsi="Palatino Linotype" w:cs="Palatino Linotype"/>
          <w:color w:val="000000" w:themeColor="text1"/>
        </w:rPr>
        <w:t>ejercicio</w:t>
      </w:r>
      <w:r w:rsidRPr="001D5444">
        <w:rPr>
          <w:rFonts w:ascii="Palatino Linotype" w:eastAsia="Palatino Linotype" w:hAnsi="Palatino Linotype" w:cs="Palatino Linotype"/>
          <w:color w:val="000000" w:themeColor="text1"/>
        </w:rPr>
        <w:t xml:space="preserve"> Fiscal 2023 del Ayuntamiento de Toluca 2022-2024, documento </w:t>
      </w:r>
      <w:r w:rsidR="0028607B" w:rsidRPr="001D5444">
        <w:rPr>
          <w:rFonts w:ascii="Palatino Linotype" w:eastAsia="Palatino Linotype" w:hAnsi="Palatino Linotype" w:cs="Palatino Linotype"/>
          <w:color w:val="000000" w:themeColor="text1"/>
        </w:rPr>
        <w:t xml:space="preserve">constante de </w:t>
      </w:r>
      <w:r w:rsidRPr="001D5444">
        <w:rPr>
          <w:rFonts w:ascii="Palatino Linotype" w:eastAsia="Palatino Linotype" w:hAnsi="Palatino Linotype" w:cs="Palatino Linotype"/>
          <w:color w:val="000000" w:themeColor="text1"/>
        </w:rPr>
        <w:t xml:space="preserve">116 páginas, </w:t>
      </w:r>
      <w:r w:rsidR="0028607B" w:rsidRPr="001D5444">
        <w:rPr>
          <w:rFonts w:ascii="Palatino Linotype" w:eastAsia="Palatino Linotype" w:hAnsi="Palatino Linotype" w:cs="Palatino Linotype"/>
          <w:color w:val="000000" w:themeColor="text1"/>
        </w:rPr>
        <w:t xml:space="preserve">en los que se muestran los avances en el cumplimiento de las líneas de acción del Plan de Desarrollo Municipal, por lo que contienen una actualización del diagnóstico FODA; así como los avances en el cumplimiento de las líneas de acción establecida en el Plan de Desarrollo Municipal y el reporte de la contribución directa e indirecta al cumplimiento de </w:t>
      </w:r>
      <w:r w:rsidR="00D7274D" w:rsidRPr="001D5444">
        <w:rPr>
          <w:rFonts w:ascii="Palatino Linotype" w:eastAsia="Palatino Linotype" w:hAnsi="Palatino Linotype" w:cs="Palatino Linotype"/>
          <w:color w:val="000000" w:themeColor="text1"/>
        </w:rPr>
        <w:t>la agenda 2030 en el ámbito local.</w:t>
      </w:r>
    </w:p>
    <w:p w:rsidR="00D539EF" w:rsidRPr="001D5444" w:rsidRDefault="00D539EF" w:rsidP="001D5444">
      <w:pPr>
        <w:tabs>
          <w:tab w:val="left" w:pos="851"/>
          <w:tab w:val="left" w:pos="1418"/>
        </w:tabs>
        <w:jc w:val="both"/>
        <w:rPr>
          <w:rFonts w:ascii="Palatino Linotype" w:eastAsia="Palatino Linotype" w:hAnsi="Palatino Linotype" w:cs="Palatino Linotype"/>
          <w:color w:val="000000" w:themeColor="text1"/>
        </w:rPr>
      </w:pPr>
    </w:p>
    <w:p w:rsidR="00A44615" w:rsidRPr="001D5444" w:rsidRDefault="00A22826" w:rsidP="001D5444">
      <w:pPr>
        <w:numPr>
          <w:ilvl w:val="0"/>
          <w:numId w:val="8"/>
        </w:numPr>
        <w:pBdr>
          <w:top w:val="nil"/>
          <w:left w:val="nil"/>
          <w:bottom w:val="nil"/>
          <w:right w:val="nil"/>
          <w:between w:val="nil"/>
        </w:pBdr>
        <w:tabs>
          <w:tab w:val="left" w:pos="851"/>
          <w:tab w:val="left" w:pos="1418"/>
        </w:tabs>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w:t>
      </w:r>
      <w:r w:rsidR="00D7274D" w:rsidRPr="001D5444">
        <w:rPr>
          <w:rFonts w:ascii="Palatino Linotype" w:eastAsia="Palatino Linotype" w:hAnsi="Palatino Linotype" w:cs="Palatino Linotype"/>
          <w:b/>
          <w:color w:val="000000" w:themeColor="text1"/>
        </w:rPr>
        <w:t>INFORME 2022. pdf</w:t>
      </w:r>
      <w:r w:rsidRPr="001D5444">
        <w:rPr>
          <w:rFonts w:ascii="Palatino Linotype" w:eastAsia="Palatino Linotype" w:hAnsi="Palatino Linotype" w:cs="Palatino Linotype"/>
          <w:b/>
          <w:color w:val="000000" w:themeColor="text1"/>
        </w:rPr>
        <w:t xml:space="preserve">”, </w:t>
      </w:r>
      <w:r w:rsidR="00D7274D" w:rsidRPr="001D5444">
        <w:rPr>
          <w:rFonts w:ascii="Palatino Linotype" w:eastAsia="Palatino Linotype" w:hAnsi="Palatino Linotype" w:cs="Palatino Linotype"/>
          <w:color w:val="000000" w:themeColor="text1"/>
        </w:rPr>
        <w:t>Consistente en el Informe de Contribuciones a la Agenda 2030 del Ejercicio Fiscal 2022, documento consistente de 55 páginas</w:t>
      </w:r>
      <w:r w:rsidR="00A44615" w:rsidRPr="001D5444">
        <w:rPr>
          <w:rFonts w:ascii="Palatino Linotype" w:eastAsia="Palatino Linotype" w:hAnsi="Palatino Linotype" w:cs="Palatino Linotype"/>
          <w:color w:val="000000" w:themeColor="text1"/>
        </w:rPr>
        <w:t>, del que se desglosan las Contribuciones al:</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 xml:space="preserve">Pilar 1 Social: Municipio Socialmente Responsable </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Pilar 2 Económico; Municipio Competitivo, Productivo e Innovador</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Pilar 3 Territorial: Municipio Ordenando, Sustentable y Resiliente</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Pilar 4 Seguridad: Municipio con Seguridad y Justicia</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 xml:space="preserve">Eje Transversal 1: Igualdad de Género </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Eje Transversal 2: Gobierno Moderno, Capaz y Responsable</w:t>
      </w:r>
    </w:p>
    <w:p w:rsidR="00A44615" w:rsidRPr="001D5444" w:rsidRDefault="00A44615" w:rsidP="001D5444">
      <w:pPr>
        <w:numPr>
          <w:ilvl w:val="1"/>
          <w:numId w:val="8"/>
        </w:numPr>
        <w:pBdr>
          <w:top w:val="nil"/>
          <w:left w:val="nil"/>
          <w:bottom w:val="nil"/>
          <w:right w:val="nil"/>
          <w:between w:val="nil"/>
        </w:pBdr>
        <w:tabs>
          <w:tab w:val="left" w:pos="851"/>
          <w:tab w:val="left" w:pos="1418"/>
        </w:tabs>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Eje Transversal 3: Tecnología y Coordinación para el Buen Gobierno</w:t>
      </w:r>
    </w:p>
    <w:p w:rsidR="00D539EF" w:rsidRPr="001D5444" w:rsidRDefault="00D539EF" w:rsidP="001D5444">
      <w:pPr>
        <w:tabs>
          <w:tab w:val="left" w:pos="851"/>
          <w:tab w:val="left" w:pos="1418"/>
        </w:tabs>
        <w:jc w:val="both"/>
        <w:rPr>
          <w:rFonts w:ascii="Palatino Linotype" w:eastAsia="Palatino Linotype" w:hAnsi="Palatino Linotype" w:cs="Palatino Linotype"/>
          <w:b/>
          <w:color w:val="000000" w:themeColor="text1"/>
        </w:rPr>
      </w:pPr>
    </w:p>
    <w:p w:rsidR="001A5B79" w:rsidRPr="001D5444" w:rsidRDefault="001A5B79" w:rsidP="001D54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transaprencia proy aceleradores 2023</w:t>
      </w:r>
      <w:r w:rsidR="00A22826" w:rsidRPr="001D5444">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p</w:t>
      </w:r>
      <w:r w:rsidR="00A22826" w:rsidRPr="001D5444">
        <w:rPr>
          <w:rFonts w:ascii="Palatino Linotype" w:eastAsia="Palatino Linotype" w:hAnsi="Palatino Linotype" w:cs="Palatino Linotype"/>
          <w:b/>
          <w:color w:val="000000" w:themeColor="text1"/>
        </w:rPr>
        <w:t xml:space="preserve">df. </w:t>
      </w:r>
      <w:r w:rsidRPr="001D5444">
        <w:rPr>
          <w:rFonts w:ascii="Palatino Linotype" w:eastAsia="Palatino Linotype" w:hAnsi="Palatino Linotype" w:cs="Palatino Linotype"/>
          <w:color w:val="000000" w:themeColor="text1"/>
        </w:rPr>
        <w:t>Documento constante de</w:t>
      </w:r>
      <w:r w:rsidRPr="001D5444">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color w:val="000000" w:themeColor="text1"/>
        </w:rPr>
        <w:t>22 páginas, en el que se incluyen los avances al Primer Trimestre del Ejercicio Fiscal 2024, del que se desprenden</w:t>
      </w:r>
      <w:r w:rsidR="007F076A" w:rsidRPr="001D5444">
        <w:rPr>
          <w:rFonts w:ascii="Palatino Linotype" w:eastAsia="Palatino Linotype" w:hAnsi="Palatino Linotype" w:cs="Palatino Linotype"/>
          <w:color w:val="000000" w:themeColor="text1"/>
        </w:rPr>
        <w:t>:</w:t>
      </w:r>
      <w:r w:rsidRPr="001D5444">
        <w:rPr>
          <w:rFonts w:ascii="Palatino Linotype" w:eastAsia="Palatino Linotype" w:hAnsi="Palatino Linotype" w:cs="Palatino Linotype"/>
          <w:color w:val="000000" w:themeColor="text1"/>
        </w:rPr>
        <w:t xml:space="preserve"> </w:t>
      </w:r>
    </w:p>
    <w:p w:rsidR="001A5B79" w:rsidRPr="001D5444" w:rsidRDefault="001A5B79" w:rsidP="001D5444">
      <w:pPr>
        <w:pBdr>
          <w:top w:val="nil"/>
          <w:left w:val="nil"/>
          <w:bottom w:val="nil"/>
          <w:right w:val="nil"/>
          <w:between w:val="nil"/>
        </w:pBdr>
        <w:jc w:val="both"/>
        <w:rPr>
          <w:rFonts w:ascii="Palatino Linotype" w:eastAsia="Palatino Linotype" w:hAnsi="Palatino Linotype" w:cs="Palatino Linotype"/>
          <w:color w:val="000000" w:themeColor="text1"/>
        </w:rPr>
      </w:pP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Pilar 1 Social:</w:t>
      </w:r>
      <w:r w:rsidRPr="001D5444">
        <w:rPr>
          <w:rFonts w:ascii="Palatino Linotype" w:eastAsia="Palatino Linotype" w:hAnsi="Palatino Linotype" w:cs="Palatino Linotype"/>
          <w:color w:val="000000" w:themeColor="text1"/>
        </w:rPr>
        <w:t xml:space="preserve"> Municipio Socialmente Responsable, Solidario e Incluyente</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Pilar 2 Económico:</w:t>
      </w:r>
      <w:r w:rsidRPr="001D5444">
        <w:rPr>
          <w:rFonts w:ascii="Palatino Linotype" w:eastAsia="Palatino Linotype" w:hAnsi="Palatino Linotype" w:cs="Palatino Linotype"/>
          <w:color w:val="000000" w:themeColor="text1"/>
        </w:rPr>
        <w:t xml:space="preserve"> Municipio Competitivo, Productivo e Innovador</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Pilar 3 Territorial:</w:t>
      </w:r>
      <w:r w:rsidRPr="001D5444">
        <w:rPr>
          <w:rFonts w:ascii="Palatino Linotype" w:eastAsia="Palatino Linotype" w:hAnsi="Palatino Linotype" w:cs="Palatino Linotype"/>
          <w:color w:val="000000" w:themeColor="text1"/>
        </w:rPr>
        <w:t xml:space="preserve"> Municipio Ordenado, Sustentable y Resiliente</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Pilar 4 Seguridad:</w:t>
      </w:r>
      <w:r w:rsidRPr="001D5444">
        <w:rPr>
          <w:rFonts w:ascii="Palatino Linotype" w:eastAsia="Palatino Linotype" w:hAnsi="Palatino Linotype" w:cs="Palatino Linotype"/>
          <w:color w:val="000000" w:themeColor="text1"/>
        </w:rPr>
        <w:t xml:space="preserve"> Municipio con Seguridad y Justicia</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lastRenderedPageBreak/>
        <w:t>Eje Transversal 1:</w:t>
      </w:r>
      <w:r w:rsidRPr="001D5444">
        <w:rPr>
          <w:rFonts w:ascii="Palatino Linotype" w:eastAsia="Palatino Linotype" w:hAnsi="Palatino Linotype" w:cs="Palatino Linotype"/>
          <w:color w:val="000000" w:themeColor="text1"/>
        </w:rPr>
        <w:t xml:space="preserve"> Igualdad de Género </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Eje Transversal 2:</w:t>
      </w:r>
      <w:r w:rsidRPr="001D5444">
        <w:rPr>
          <w:rFonts w:ascii="Palatino Linotype" w:eastAsia="Palatino Linotype" w:hAnsi="Palatino Linotype" w:cs="Palatino Linotype"/>
          <w:color w:val="000000" w:themeColor="text1"/>
        </w:rPr>
        <w:t xml:space="preserve"> Gobierno Moderno, Capaz y Responsable</w:t>
      </w:r>
    </w:p>
    <w:p w:rsidR="001A5B79" w:rsidRPr="001D5444" w:rsidRDefault="001A5B79"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Eje Trasnversal 3, Tecnología y Coordinación para el Buen Gobierno</w:t>
      </w:r>
    </w:p>
    <w:p w:rsidR="001A5B79" w:rsidRPr="001D5444" w:rsidRDefault="001A5B79" w:rsidP="001D5444">
      <w:pPr>
        <w:pBdr>
          <w:top w:val="nil"/>
          <w:left w:val="nil"/>
          <w:bottom w:val="nil"/>
          <w:right w:val="nil"/>
          <w:between w:val="nil"/>
        </w:pBdr>
        <w:jc w:val="both"/>
        <w:rPr>
          <w:rFonts w:ascii="Palatino Linotype" w:eastAsia="Palatino Linotype" w:hAnsi="Palatino Linotype" w:cs="Palatino Linotype"/>
          <w:color w:val="000000" w:themeColor="text1"/>
        </w:rPr>
      </w:pPr>
    </w:p>
    <w:p w:rsidR="001A5B79" w:rsidRPr="001D5444" w:rsidRDefault="007F076A" w:rsidP="001D54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t</w:t>
      </w:r>
      <w:r w:rsidR="001A5B79" w:rsidRPr="001D5444">
        <w:rPr>
          <w:rFonts w:ascii="Palatino Linotype" w:eastAsia="Palatino Linotype" w:hAnsi="Palatino Linotype" w:cs="Palatino Linotype"/>
          <w:b/>
          <w:color w:val="000000" w:themeColor="text1"/>
        </w:rPr>
        <w:t xml:space="preserve">ol-pdf-Informe_Anual_De_Ejecucion-2022. pdf. </w:t>
      </w:r>
      <w:r w:rsidR="004B5501" w:rsidRPr="001D5444">
        <w:rPr>
          <w:rFonts w:ascii="Palatino Linotype" w:eastAsia="Palatino Linotype" w:hAnsi="Palatino Linotype" w:cs="Palatino Linotype"/>
          <w:color w:val="000000" w:themeColor="text1"/>
        </w:rPr>
        <w:t>Informe Anual de Ejecución,  COPLADEMUN TOLUCA 2022, documento constante de doce páginas,</w:t>
      </w:r>
      <w:r w:rsidR="004B5501" w:rsidRPr="001D5444">
        <w:rPr>
          <w:rFonts w:ascii="Palatino Linotype" w:eastAsia="Palatino Linotype" w:hAnsi="Palatino Linotype" w:cs="Palatino Linotype"/>
          <w:b/>
          <w:color w:val="000000" w:themeColor="text1"/>
        </w:rPr>
        <w:t xml:space="preserve"> </w:t>
      </w:r>
      <w:r w:rsidR="004B5501" w:rsidRPr="001D5444">
        <w:rPr>
          <w:rFonts w:ascii="Palatino Linotype" w:eastAsia="Palatino Linotype" w:hAnsi="Palatino Linotype" w:cs="Palatino Linotype"/>
          <w:color w:val="000000" w:themeColor="text1"/>
        </w:rPr>
        <w:t>correspondientes al Ejercicio Fiscal 2022, a través del cual dan seguimiento a los resultados logrados</w:t>
      </w:r>
      <w:r w:rsidRPr="001D5444">
        <w:rPr>
          <w:rFonts w:ascii="Palatino Linotype" w:eastAsia="Palatino Linotype" w:hAnsi="Palatino Linotype" w:cs="Palatino Linotype"/>
          <w:color w:val="000000" w:themeColor="text1"/>
        </w:rPr>
        <w:t>.</w:t>
      </w:r>
    </w:p>
    <w:p w:rsidR="007F076A" w:rsidRPr="001D5444" w:rsidRDefault="007F076A" w:rsidP="001D54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 xml:space="preserve">Proyectos aceleradores 4to trimestre 2024.pdf. </w:t>
      </w:r>
      <w:r w:rsidRPr="001D5444">
        <w:rPr>
          <w:rFonts w:ascii="Palatino Linotype" w:eastAsia="Palatino Linotype" w:hAnsi="Palatino Linotype" w:cs="Palatino Linotype"/>
          <w:color w:val="000000" w:themeColor="text1"/>
        </w:rPr>
        <w:t>Documento constante de treinta páginas, correspondientes al Cuarto Trimestre del Ejercicio Fiscal 2024, constante de:</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Pilar 1 Social: Municipio Socialmente Responsable, Solidario e Incluyente </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Pilar 2 Económico: Municipio Competitivo, Productivo e Innovador</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Pilar 3 Territorial: Municipio Ordenado, Sustentable y Resiliente</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Pilar 4 Seguridad: Municipio con Seguridad y Justicia</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Eje Transversal 1: Igualdad de Género</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Eje Transversal 2: Gobierno Moderno, Capaz y Responsable</w:t>
      </w:r>
    </w:p>
    <w:p w:rsidR="007F076A" w:rsidRPr="001D5444" w:rsidRDefault="007F076A" w:rsidP="001D5444">
      <w:pPr>
        <w:numPr>
          <w:ilvl w:val="1"/>
          <w:numId w:val="8"/>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Eje Transversal 3: Tecnología y Coordinación para el Buen Gobierno</w:t>
      </w:r>
    </w:p>
    <w:p w:rsidR="00305F80" w:rsidRPr="001D5444" w:rsidRDefault="00305F80" w:rsidP="001D5444">
      <w:pPr>
        <w:pBdr>
          <w:top w:val="nil"/>
          <w:left w:val="nil"/>
          <w:bottom w:val="nil"/>
          <w:right w:val="nil"/>
          <w:between w:val="nil"/>
        </w:pBdr>
        <w:jc w:val="both"/>
        <w:rPr>
          <w:rFonts w:ascii="Palatino Linotype" w:eastAsia="Palatino Linotype" w:hAnsi="Palatino Linotype" w:cs="Palatino Linotype"/>
          <w:b/>
          <w:color w:val="000000" w:themeColor="text1"/>
        </w:rPr>
      </w:pPr>
    </w:p>
    <w:p w:rsidR="007F076A" w:rsidRPr="001D5444" w:rsidRDefault="00951997" w:rsidP="001D54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t</w:t>
      </w:r>
      <w:r w:rsidR="007F076A" w:rsidRPr="001D5444">
        <w:rPr>
          <w:rFonts w:ascii="Palatino Linotype" w:eastAsia="Palatino Linotype" w:hAnsi="Palatino Linotype" w:cs="Palatino Linotype"/>
          <w:b/>
          <w:color w:val="000000" w:themeColor="text1"/>
        </w:rPr>
        <w:t>ol-pdf-Plan_de_Desarrollo_Municipal</w:t>
      </w:r>
      <w:r w:rsidRPr="001D5444">
        <w:rPr>
          <w:rFonts w:ascii="Palatino Linotype" w:eastAsia="Palatino Linotype" w:hAnsi="Palatino Linotype" w:cs="Palatino Linotype"/>
          <w:b/>
          <w:color w:val="000000" w:themeColor="text1"/>
        </w:rPr>
        <w:t xml:space="preserve">-2022-2024.pdf. </w:t>
      </w:r>
      <w:r w:rsidRPr="001D5444">
        <w:rPr>
          <w:rFonts w:ascii="Palatino Linotype" w:eastAsia="Palatino Linotype" w:hAnsi="Palatino Linotype" w:cs="Palatino Linotype"/>
          <w:color w:val="000000" w:themeColor="text1"/>
        </w:rPr>
        <w:t xml:space="preserve">Plan de Desarrollo Municipal de Toluca 2022-2024, </w:t>
      </w:r>
      <w:r w:rsidR="00FB39EA" w:rsidRPr="001D5444">
        <w:rPr>
          <w:rFonts w:ascii="Palatino Linotype" w:eastAsia="Palatino Linotype" w:hAnsi="Palatino Linotype" w:cs="Palatino Linotype"/>
          <w:color w:val="000000" w:themeColor="text1"/>
        </w:rPr>
        <w:t>en el que se sintetizan las aspiraciones del gobierno y la población del municipio, a fin de contribuir a la generación de la visión integral del desarrollo municipal.</w:t>
      </w:r>
    </w:p>
    <w:p w:rsidR="00305F80" w:rsidRPr="001D5444" w:rsidRDefault="00305F80" w:rsidP="001D5444">
      <w:pPr>
        <w:pBdr>
          <w:top w:val="nil"/>
          <w:left w:val="nil"/>
          <w:bottom w:val="nil"/>
          <w:right w:val="nil"/>
          <w:between w:val="nil"/>
        </w:pBdr>
        <w:jc w:val="both"/>
        <w:rPr>
          <w:rFonts w:ascii="Palatino Linotype" w:eastAsia="Palatino Linotype" w:hAnsi="Palatino Linotype" w:cs="Palatino Linotype"/>
          <w:color w:val="000000" w:themeColor="text1"/>
        </w:rPr>
      </w:pPr>
    </w:p>
    <w:p w:rsidR="00FB39EA" w:rsidRPr="001D5444" w:rsidRDefault="00BF7523" w:rsidP="001D54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 xml:space="preserve">1426_006852.pdf. </w:t>
      </w:r>
      <w:r w:rsidRPr="001D5444">
        <w:rPr>
          <w:rFonts w:ascii="Palatino Linotype" w:eastAsia="Palatino Linotype" w:hAnsi="Palatino Linotype" w:cs="Palatino Linotype"/>
          <w:color w:val="000000" w:themeColor="text1"/>
        </w:rPr>
        <w:t>Oficio UIPPE/176/2025de fecha veintisiete de marzo de dos mil veinticinco, suscrito por el Titular de la Unidad de Información, Planeación, Programación y Evaluación, mediante el cual proporciona los archivos con los que cuenta esa Unidad Administrativa, consistentes en el Plan de Desarrollo Municipal 2022-2024, Informe Anual de Ejecución 2022 y 2023; así como las evaluaciones a los Proyectos Aceleradores 2022-2024.</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El </w:t>
      </w:r>
      <w:r w:rsidR="00BF7523" w:rsidRPr="001D5444">
        <w:rPr>
          <w:rFonts w:ascii="Palatino Linotype" w:eastAsia="Palatino Linotype" w:hAnsi="Palatino Linotype" w:cs="Palatino Linotype"/>
          <w:b/>
          <w:color w:val="000000" w:themeColor="text1"/>
        </w:rPr>
        <w:t xml:space="preserve">treinta y uno </w:t>
      </w:r>
      <w:r w:rsidRPr="001D5444">
        <w:rPr>
          <w:rFonts w:ascii="Palatino Linotype" w:eastAsia="Palatino Linotype" w:hAnsi="Palatino Linotype" w:cs="Palatino Linotype"/>
          <w:b/>
          <w:color w:val="000000" w:themeColor="text1"/>
        </w:rPr>
        <w:t>de marzo de dos mil veinticinco</w:t>
      </w:r>
      <w:r w:rsidRPr="001D5444">
        <w:rPr>
          <w:rFonts w:ascii="Palatino Linotype" w:eastAsia="Palatino Linotype" w:hAnsi="Palatino Linotype" w:cs="Palatino Linotype"/>
          <w:color w:val="000000" w:themeColor="text1"/>
        </w:rPr>
        <w:t xml:space="preserve">, el solicitante interpuso </w:t>
      </w:r>
      <w:r w:rsidRPr="001D5444">
        <w:rPr>
          <w:rFonts w:ascii="Palatino Linotype" w:eastAsia="Palatino Linotype" w:hAnsi="Palatino Linotype" w:cs="Palatino Linotype"/>
          <w:b/>
          <w:color w:val="000000" w:themeColor="text1"/>
        </w:rPr>
        <w:t xml:space="preserve">RECURSO DE REVISIÓN </w:t>
      </w:r>
      <w:r w:rsidR="00BF7523" w:rsidRPr="001D5444">
        <w:rPr>
          <w:rFonts w:ascii="Palatino Linotype" w:eastAsia="Palatino Linotype" w:hAnsi="Palatino Linotype" w:cs="Palatino Linotype"/>
          <w:b/>
          <w:color w:val="000000" w:themeColor="text1"/>
        </w:rPr>
        <w:t>04878</w:t>
      </w:r>
      <w:r w:rsidRPr="001D5444">
        <w:rPr>
          <w:rFonts w:ascii="Palatino Linotype" w:eastAsia="Palatino Linotype" w:hAnsi="Palatino Linotype" w:cs="Palatino Linotype"/>
          <w:b/>
          <w:color w:val="000000" w:themeColor="text1"/>
        </w:rPr>
        <w:t xml:space="preserve">/INFOEM/IP/RR/2025, </w:t>
      </w:r>
      <w:r w:rsidRPr="001D5444">
        <w:rPr>
          <w:rFonts w:ascii="Palatino Linotype" w:eastAsia="Palatino Linotype" w:hAnsi="Palatino Linotype" w:cs="Palatino Linotype"/>
          <w:color w:val="000000" w:themeColor="text1"/>
        </w:rPr>
        <w:t xml:space="preserve">en contra de la respuesta </w:t>
      </w:r>
      <w:r w:rsidRPr="001D5444">
        <w:rPr>
          <w:rFonts w:ascii="Palatino Linotype" w:eastAsia="Palatino Linotype" w:hAnsi="Palatino Linotype" w:cs="Palatino Linotype"/>
          <w:color w:val="000000" w:themeColor="text1"/>
        </w:rPr>
        <w:lastRenderedPageBreak/>
        <w:t xml:space="preserve">emitida por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señalando las siguientes razones o motivos de inconformidad:</w:t>
      </w:r>
    </w:p>
    <w:p w:rsidR="00D539EF" w:rsidRPr="00436800" w:rsidRDefault="00A22826" w:rsidP="00436800">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436800">
        <w:rPr>
          <w:rFonts w:ascii="Palatino Linotype" w:eastAsia="Palatino Linotype" w:hAnsi="Palatino Linotype" w:cs="Palatino Linotype"/>
          <w:b/>
          <w:color w:val="000000" w:themeColor="text1"/>
          <w:sz w:val="24"/>
        </w:rPr>
        <w:t>Acto Impugnado</w:t>
      </w:r>
    </w:p>
    <w:p w:rsidR="00D539EF" w:rsidRPr="001D5444" w:rsidRDefault="00436800"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A22826" w:rsidRPr="001D5444">
        <w:rPr>
          <w:rFonts w:ascii="Palatino Linotype" w:eastAsia="Palatino Linotype" w:hAnsi="Palatino Linotype" w:cs="Palatino Linotype"/>
          <w:i/>
          <w:color w:val="000000" w:themeColor="text1"/>
        </w:rPr>
        <w:t xml:space="preserve">“No esta </w:t>
      </w:r>
      <w:r w:rsidR="00BF7523" w:rsidRPr="001D5444">
        <w:rPr>
          <w:rFonts w:ascii="Palatino Linotype" w:eastAsia="Palatino Linotype" w:hAnsi="Palatino Linotype" w:cs="Palatino Linotype"/>
          <w:i/>
          <w:color w:val="000000" w:themeColor="text1"/>
        </w:rPr>
        <w:t>completo lo solicitado</w:t>
      </w:r>
      <w:r w:rsidR="00A22826" w:rsidRPr="001D5444">
        <w:rPr>
          <w:rFonts w:ascii="Palatino Linotype" w:eastAsia="Palatino Linotype" w:hAnsi="Palatino Linotype" w:cs="Palatino Linotype"/>
          <w:i/>
          <w:color w:val="000000" w:themeColor="text1"/>
        </w:rPr>
        <w:t>”</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539EF" w:rsidRPr="00436800" w:rsidRDefault="00A22826" w:rsidP="00436800">
      <w:pPr>
        <w:pStyle w:val="Prrafodelista"/>
        <w:numPr>
          <w:ilvl w:val="0"/>
          <w:numId w:val="21"/>
        </w:numPr>
        <w:pBdr>
          <w:top w:val="nil"/>
          <w:left w:val="nil"/>
          <w:bottom w:val="nil"/>
          <w:right w:val="nil"/>
          <w:between w:val="nil"/>
        </w:pBdr>
        <w:jc w:val="both"/>
        <w:rPr>
          <w:rFonts w:ascii="Palatino Linotype" w:eastAsia="Palatino Linotype" w:hAnsi="Palatino Linotype" w:cs="Palatino Linotype"/>
          <w:b/>
          <w:color w:val="000000" w:themeColor="text1"/>
          <w:sz w:val="24"/>
        </w:rPr>
      </w:pPr>
      <w:r w:rsidRPr="00436800">
        <w:rPr>
          <w:rFonts w:ascii="Palatino Linotype" w:eastAsia="Palatino Linotype" w:hAnsi="Palatino Linotype" w:cs="Palatino Linotype"/>
          <w:b/>
          <w:color w:val="000000" w:themeColor="text1"/>
          <w:sz w:val="24"/>
        </w:rPr>
        <w:t>Razones o Motivos de la Inconformidad</w:t>
      </w:r>
    </w:p>
    <w:p w:rsidR="00D539EF" w:rsidRPr="001D5444" w:rsidRDefault="00436800"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A22826" w:rsidRPr="001D5444">
        <w:rPr>
          <w:rFonts w:ascii="Palatino Linotype" w:eastAsia="Palatino Linotype" w:hAnsi="Palatino Linotype" w:cs="Palatino Linotype"/>
          <w:i/>
          <w:color w:val="000000" w:themeColor="text1"/>
        </w:rPr>
        <w:t>“</w:t>
      </w:r>
      <w:r w:rsidR="00BF7523" w:rsidRPr="001D5444">
        <w:rPr>
          <w:rFonts w:ascii="Palatino Linotype" w:eastAsia="Palatino Linotype" w:hAnsi="Palatino Linotype" w:cs="Palatino Linotype"/>
          <w:i/>
          <w:color w:val="000000" w:themeColor="text1"/>
        </w:rPr>
        <w:t>Falta trimestres y años de informes</w:t>
      </w:r>
      <w:r w:rsidR="00A22826" w:rsidRPr="001D5444">
        <w:rPr>
          <w:rFonts w:ascii="Palatino Linotype" w:eastAsia="Palatino Linotype" w:hAnsi="Palatino Linotype" w:cs="Palatino Linotype"/>
          <w:i/>
          <w:color w:val="000000" w:themeColor="text1"/>
        </w:rPr>
        <w:t>”</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Consecutivamente</w:t>
      </w:r>
      <w:r w:rsidRPr="001D5444">
        <w:rPr>
          <w:rFonts w:ascii="Palatino Linotype" w:eastAsia="Palatino Linotype" w:hAnsi="Palatino Linotype" w:cs="Palatino Linotype"/>
          <w:i/>
          <w:color w:val="000000" w:themeColor="text1"/>
        </w:rPr>
        <w:t xml:space="preserve">, </w:t>
      </w:r>
      <w:r w:rsidRPr="001D5444">
        <w:rPr>
          <w:rFonts w:ascii="Palatino Linotype" w:eastAsia="Palatino Linotype" w:hAnsi="Palatino Linotype" w:cs="Palatino Linotype"/>
          <w:color w:val="000000" w:themeColor="text1"/>
        </w:rPr>
        <w:t>con fundamento en lo dispuesto por el artículo 185 fracción I de la Ley de Transparencia y Acceso a la Información Pública del Estado de México y Municipios, el recurso de referencia, fue turnado</w:t>
      </w:r>
      <w:r w:rsidRPr="001D5444">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color w:val="000000" w:themeColor="text1"/>
        </w:rPr>
        <w:t xml:space="preserve">a la Comisionada </w:t>
      </w:r>
      <w:r w:rsidRPr="001D5444">
        <w:rPr>
          <w:rFonts w:ascii="Palatino Linotype" w:eastAsia="Palatino Linotype" w:hAnsi="Palatino Linotype" w:cs="Palatino Linotype"/>
          <w:b/>
          <w:color w:val="000000" w:themeColor="text1"/>
        </w:rPr>
        <w:t>María del Rosario Mejía Ayala,</w:t>
      </w:r>
      <w:r w:rsidRPr="001D5444">
        <w:rPr>
          <w:rFonts w:ascii="Palatino Linotype" w:eastAsia="Palatino Linotype" w:hAnsi="Palatino Linotype" w:cs="Palatino Linotype"/>
          <w:color w:val="000000" w:themeColor="text1"/>
        </w:rPr>
        <w:t xml:space="preserve"> </w:t>
      </w:r>
      <w:r w:rsidR="00436800">
        <w:rPr>
          <w:rFonts w:ascii="Palatino Linotype" w:eastAsia="Palatino Linotype" w:hAnsi="Palatino Linotype" w:cs="Palatino Linotype"/>
          <w:color w:val="000000" w:themeColor="text1"/>
        </w:rPr>
        <w:t>para</w:t>
      </w:r>
      <w:r w:rsidRPr="001D5444">
        <w:rPr>
          <w:rFonts w:ascii="Palatino Linotype" w:eastAsia="Palatino Linotype" w:hAnsi="Palatino Linotype" w:cs="Palatino Linotype"/>
          <w:color w:val="000000" w:themeColor="text1"/>
        </w:rPr>
        <w:t xml:space="preserve"> su análisis.</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1D5444">
        <w:rPr>
          <w:rFonts w:ascii="Palatino Linotype" w:eastAsia="Palatino Linotype" w:hAnsi="Palatino Linotype" w:cs="Palatino Linotype"/>
          <w:b/>
          <w:color w:val="000000" w:themeColor="text1"/>
        </w:rPr>
        <w:t xml:space="preserve">acuerdo de admisión </w:t>
      </w:r>
      <w:r w:rsidRPr="001D5444">
        <w:rPr>
          <w:rFonts w:ascii="Palatino Linotype" w:eastAsia="Palatino Linotype" w:hAnsi="Palatino Linotype" w:cs="Palatino Linotype"/>
          <w:color w:val="000000" w:themeColor="text1"/>
        </w:rPr>
        <w:t xml:space="preserve">de fecha </w:t>
      </w:r>
      <w:r w:rsidR="00BF7523" w:rsidRPr="001D5444">
        <w:rPr>
          <w:rFonts w:ascii="Palatino Linotype" w:eastAsia="Palatino Linotype" w:hAnsi="Palatino Linotype" w:cs="Palatino Linotype"/>
          <w:b/>
          <w:color w:val="000000" w:themeColor="text1"/>
        </w:rPr>
        <w:t xml:space="preserve">treinta de abril </w:t>
      </w:r>
      <w:r w:rsidRPr="001D5444">
        <w:rPr>
          <w:rFonts w:ascii="Palatino Linotype" w:eastAsia="Palatino Linotype" w:hAnsi="Palatino Linotype" w:cs="Palatino Linotype"/>
          <w:b/>
          <w:color w:val="000000" w:themeColor="text1"/>
        </w:rPr>
        <w:t>de dos mil veinticinco</w:t>
      </w:r>
      <w:r w:rsidRPr="001D5444">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1D5444">
        <w:rPr>
          <w:rFonts w:ascii="Palatino Linotype" w:eastAsia="Palatino Linotype" w:hAnsi="Palatino Linotype" w:cs="Palatino Linotype"/>
          <w:b/>
          <w:color w:val="000000" w:themeColor="text1"/>
        </w:rPr>
        <w:t xml:space="preserve">SUJETO OBLIGADO </w:t>
      </w:r>
      <w:r w:rsidRPr="001D5444">
        <w:rPr>
          <w:rFonts w:ascii="Palatino Linotype" w:eastAsia="Palatino Linotype" w:hAnsi="Palatino Linotype" w:cs="Palatino Linotype"/>
          <w:color w:val="000000" w:themeColor="text1"/>
        </w:rPr>
        <w:t>presentara el Informe Justificado procedente.</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El </w:t>
      </w:r>
      <w:r w:rsidRPr="001D5444">
        <w:rPr>
          <w:rFonts w:ascii="Palatino Linotype" w:eastAsia="Palatino Linotype" w:hAnsi="Palatino Linotype" w:cs="Palatino Linotype"/>
          <w:b/>
          <w:color w:val="000000" w:themeColor="text1"/>
        </w:rPr>
        <w:t xml:space="preserve">SUJETO OBLIGADO </w:t>
      </w:r>
      <w:r w:rsidRPr="001D5444">
        <w:rPr>
          <w:rFonts w:ascii="Palatino Linotype" w:eastAsia="Palatino Linotype" w:hAnsi="Palatino Linotype" w:cs="Palatino Linotype"/>
          <w:color w:val="000000" w:themeColor="text1"/>
        </w:rPr>
        <w:t xml:space="preserve">en fecha </w:t>
      </w:r>
      <w:r w:rsidR="00BF7523" w:rsidRPr="001D5444">
        <w:rPr>
          <w:rFonts w:ascii="Palatino Linotype" w:eastAsia="Palatino Linotype" w:hAnsi="Palatino Linotype" w:cs="Palatino Linotype"/>
          <w:b/>
          <w:color w:val="000000" w:themeColor="text1"/>
        </w:rPr>
        <w:t xml:space="preserve">trece de mayo </w:t>
      </w:r>
      <w:r w:rsidRPr="001D5444">
        <w:rPr>
          <w:rFonts w:ascii="Palatino Linotype" w:eastAsia="Palatino Linotype" w:hAnsi="Palatino Linotype" w:cs="Palatino Linotype"/>
          <w:b/>
          <w:color w:val="000000" w:themeColor="text1"/>
        </w:rPr>
        <w:t>de dos mil veinticinco</w:t>
      </w:r>
      <w:r w:rsidRPr="001D5444">
        <w:rPr>
          <w:rFonts w:ascii="Palatino Linotype" w:eastAsia="Palatino Linotype" w:hAnsi="Palatino Linotype" w:cs="Palatino Linotype"/>
          <w:color w:val="000000" w:themeColor="text1"/>
        </w:rPr>
        <w:t xml:space="preserve">, rindió el informe justificado correspondiente, por medio de dos archivos electrónicos en formato pdf, cuyo contenido es el siguiente: </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03165" w:rsidRPr="001D5444" w:rsidRDefault="00D03165" w:rsidP="001D544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b/>
          <w:i/>
          <w:color w:val="000000" w:themeColor="text1"/>
        </w:rPr>
        <w:lastRenderedPageBreak/>
        <w:t>Modifica RR-4878-2025</w:t>
      </w:r>
      <w:r w:rsidR="00A22826" w:rsidRPr="001D5444">
        <w:rPr>
          <w:rFonts w:ascii="Palatino Linotype" w:eastAsia="Palatino Linotype" w:hAnsi="Palatino Linotype" w:cs="Palatino Linotype"/>
          <w:b/>
          <w:i/>
          <w:color w:val="000000" w:themeColor="text1"/>
        </w:rPr>
        <w:t xml:space="preserve">.pdf: </w:t>
      </w:r>
      <w:r w:rsidR="00A22826" w:rsidRPr="001D5444">
        <w:rPr>
          <w:rFonts w:ascii="Palatino Linotype" w:eastAsia="Palatino Linotype" w:hAnsi="Palatino Linotype" w:cs="Palatino Linotype"/>
          <w:color w:val="000000" w:themeColor="text1"/>
        </w:rPr>
        <w:t xml:space="preserve">Consistente en el oficio </w:t>
      </w:r>
      <w:r w:rsidRPr="001D5444">
        <w:rPr>
          <w:rFonts w:ascii="Palatino Linotype" w:eastAsia="Palatino Linotype" w:hAnsi="Palatino Linotype" w:cs="Palatino Linotype"/>
          <w:color w:val="000000" w:themeColor="text1"/>
        </w:rPr>
        <w:t xml:space="preserve">UIPPE/254/2025, de fecha nueve de mayo del año en curso, a través del cual el </w:t>
      </w:r>
      <w:r w:rsidRPr="001D5444">
        <w:rPr>
          <w:rFonts w:ascii="Palatino Linotype" w:eastAsia="Palatino Linotype" w:hAnsi="Palatino Linotype" w:cs="Palatino Linotype"/>
          <w:b/>
          <w:color w:val="000000" w:themeColor="text1"/>
        </w:rPr>
        <w:t xml:space="preserve">SUJETO OBLIGADO, </w:t>
      </w:r>
      <w:r w:rsidRPr="001D5444">
        <w:rPr>
          <w:rFonts w:ascii="Palatino Linotype" w:eastAsia="Palatino Linotype" w:hAnsi="Palatino Linotype" w:cs="Palatino Linotype"/>
          <w:color w:val="000000" w:themeColor="text1"/>
        </w:rPr>
        <w:t>modifica su respuesta en los siguientes términos:</w:t>
      </w:r>
    </w:p>
    <w:p w:rsidR="00D03165" w:rsidRPr="001D5444" w:rsidRDefault="00D03165"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03165" w:rsidRPr="001D5444" w:rsidRDefault="00D03165" w:rsidP="001D5444">
      <w:pPr>
        <w:pBdr>
          <w:top w:val="nil"/>
          <w:left w:val="nil"/>
          <w:bottom w:val="nil"/>
          <w:right w:val="nil"/>
          <w:between w:val="nil"/>
        </w:pBdr>
        <w:tabs>
          <w:tab w:val="left" w:pos="8505"/>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 después de una búsqueda exhaustiva en los archivos de esta Unidad Administrativa, se anexa al presente en formato PDF el </w:t>
      </w:r>
      <w:r w:rsidRPr="001D5444">
        <w:rPr>
          <w:rFonts w:ascii="Palatino Linotype" w:eastAsia="Palatino Linotype" w:hAnsi="Palatino Linotype" w:cs="Palatino Linotype"/>
          <w:b/>
          <w:i/>
          <w:color w:val="000000" w:themeColor="text1"/>
        </w:rPr>
        <w:t xml:space="preserve">Informe Anual de Ejecución 2024; </w:t>
      </w:r>
      <w:r w:rsidRPr="001D5444">
        <w:rPr>
          <w:rFonts w:ascii="Palatino Linotype" w:eastAsia="Palatino Linotype" w:hAnsi="Palatino Linotype" w:cs="Palatino Linotype"/>
          <w:i/>
          <w:color w:val="000000" w:themeColor="text1"/>
        </w:rPr>
        <w:t>lo anterior a efecto de dar cumplimiento al derecho de acceso a la información pública del recurrente…</w:t>
      </w:r>
    </w:p>
    <w:p w:rsidR="00D03165" w:rsidRPr="001D5444" w:rsidRDefault="00D03165" w:rsidP="001D5444">
      <w:pPr>
        <w:pBdr>
          <w:top w:val="nil"/>
          <w:left w:val="nil"/>
          <w:bottom w:val="nil"/>
          <w:right w:val="nil"/>
          <w:between w:val="nil"/>
        </w:pBdr>
        <w:tabs>
          <w:tab w:val="left" w:pos="8505"/>
        </w:tabs>
        <w:jc w:val="both"/>
        <w:rPr>
          <w:rFonts w:ascii="Palatino Linotype" w:eastAsia="Palatino Linotype" w:hAnsi="Palatino Linotype" w:cs="Palatino Linotype"/>
          <w:i/>
          <w:color w:val="000000" w:themeColor="text1"/>
        </w:rPr>
      </w:pPr>
    </w:p>
    <w:p w:rsidR="00D03165" w:rsidRPr="001D5444" w:rsidRDefault="00D03165" w:rsidP="001D5444">
      <w:pPr>
        <w:pBdr>
          <w:top w:val="nil"/>
          <w:left w:val="nil"/>
          <w:bottom w:val="nil"/>
          <w:right w:val="nil"/>
          <w:between w:val="nil"/>
        </w:pBdr>
        <w:tabs>
          <w:tab w:val="left" w:pos="8505"/>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En virtud de lo expuesto, se modifican los argumentos y fundamentos vertidos en la respuesta original…</w:t>
      </w:r>
    </w:p>
    <w:p w:rsidR="00D03165" w:rsidRPr="001D5444" w:rsidRDefault="00D03165" w:rsidP="001D5444">
      <w:pPr>
        <w:pBdr>
          <w:top w:val="nil"/>
          <w:left w:val="nil"/>
          <w:bottom w:val="nil"/>
          <w:right w:val="nil"/>
          <w:between w:val="nil"/>
        </w:pBdr>
        <w:tabs>
          <w:tab w:val="left" w:pos="8505"/>
        </w:tabs>
        <w:jc w:val="both"/>
        <w:rPr>
          <w:rFonts w:ascii="Palatino Linotype" w:eastAsia="Palatino Linotype" w:hAnsi="Palatino Linotype" w:cs="Palatino Linotype"/>
          <w:i/>
          <w:color w:val="000000" w:themeColor="text1"/>
        </w:rPr>
      </w:pPr>
    </w:p>
    <w:p w:rsidR="00D03165" w:rsidRPr="001D5444" w:rsidRDefault="00D03165" w:rsidP="001D5444">
      <w:pPr>
        <w:pBdr>
          <w:top w:val="nil"/>
          <w:left w:val="nil"/>
          <w:bottom w:val="nil"/>
          <w:right w:val="nil"/>
          <w:between w:val="nil"/>
        </w:pBdr>
        <w:tabs>
          <w:tab w:val="left" w:pos="8505"/>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 la solicitud de información pública fue atendida en tiempo y forma, roda vez que esta Unidad Administrativa emitió una respuesta de manera puntual, al mismo tiempo se hace del conocimiento que esta Unidad Administrativa cuenta con mayor </w:t>
      </w:r>
      <w:r w:rsidR="00294238" w:rsidRPr="001D5444">
        <w:rPr>
          <w:rFonts w:ascii="Palatino Linotype" w:eastAsia="Palatino Linotype" w:hAnsi="Palatino Linotype" w:cs="Palatino Linotype"/>
          <w:i/>
          <w:color w:val="000000" w:themeColor="text1"/>
        </w:rPr>
        <w:t>información para poder garantizar el derecho de acceso a la información pública a la fecha de la presentación del recurso de revisión derivado de la multicitada solicitud de información; por lo que se anexa al presente, el Informe Anual de Ejecución 2024, en formato PDF…</w:t>
      </w:r>
      <w:r w:rsidRPr="001D5444">
        <w:rPr>
          <w:rFonts w:ascii="Palatino Linotype" w:eastAsia="Palatino Linotype" w:hAnsi="Palatino Linotype" w:cs="Palatino Linotype"/>
          <w:i/>
          <w:color w:val="000000" w:themeColor="text1"/>
        </w:rPr>
        <w:t>”</w:t>
      </w:r>
    </w:p>
    <w:p w:rsidR="00D03165" w:rsidRPr="001D5444" w:rsidRDefault="00D03165"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539EF" w:rsidRPr="001D5444" w:rsidRDefault="00294238" w:rsidP="001D5444">
      <w:pPr>
        <w:numPr>
          <w:ilvl w:val="0"/>
          <w:numId w:val="1"/>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b/>
          <w:color w:val="000000" w:themeColor="text1"/>
        </w:rPr>
        <w:t>Informe Anual de Ejecución 2024.pdf</w:t>
      </w:r>
      <w:r w:rsidR="00A22826" w:rsidRPr="001D5444">
        <w:rPr>
          <w:rFonts w:ascii="Palatino Linotype" w:eastAsia="Palatino Linotype" w:hAnsi="Palatino Linotype" w:cs="Palatino Linotype"/>
          <w:color w:val="000000" w:themeColor="text1"/>
        </w:rPr>
        <w:t xml:space="preserve">, </w:t>
      </w:r>
      <w:r w:rsidRPr="001D5444">
        <w:rPr>
          <w:rFonts w:ascii="Palatino Linotype" w:eastAsia="Palatino Linotype" w:hAnsi="Palatino Linotype" w:cs="Palatino Linotype"/>
          <w:color w:val="000000" w:themeColor="text1"/>
        </w:rPr>
        <w:t xml:space="preserve">Informe Anual de Ejecución del Plan de Desarrollo Municipal 2022-2024 Ejercicio Fiscal 2024,constante de mil quinientas veintisiete páginas, documento mediante el cual </w:t>
      </w:r>
      <w:r w:rsidR="00E02D58" w:rsidRPr="001D5444">
        <w:rPr>
          <w:rFonts w:ascii="Palatino Linotype" w:eastAsia="Palatino Linotype" w:hAnsi="Palatino Linotype" w:cs="Palatino Linotype"/>
          <w:color w:val="000000" w:themeColor="text1"/>
        </w:rPr>
        <w:t>se reporta el cumplimiento de objetivos y prioridades de planeación y programación, a través de la descripción a detalle de los avances de las actividades realizadas en los 7 proyectos aceleradores  distribuidos por cada pilar y eje transversal, mismos que van enfocados a mejorar la calidad de vida de los habitantes del municipio.</w:t>
      </w:r>
    </w:p>
    <w:p w:rsidR="00D539EF" w:rsidRPr="001D5444" w:rsidRDefault="00D539EF" w:rsidP="001D5444">
      <w:pPr>
        <w:pBdr>
          <w:top w:val="nil"/>
          <w:left w:val="nil"/>
          <w:bottom w:val="nil"/>
          <w:right w:val="nil"/>
          <w:between w:val="nil"/>
        </w:pBdr>
        <w:jc w:val="both"/>
        <w:rPr>
          <w:rFonts w:ascii="Palatino Linotype" w:eastAsia="Palatino Linotype" w:hAnsi="Palatino Linotype" w:cs="Palatino Linotype"/>
          <w:i/>
          <w:color w:val="000000" w:themeColor="text1"/>
        </w:rPr>
      </w:pPr>
    </w:p>
    <w:p w:rsidR="00D539EF" w:rsidRPr="001D5444" w:rsidRDefault="00A22826" w:rsidP="001D5444">
      <w:pPr>
        <w:numPr>
          <w:ilvl w:val="0"/>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bookmarkStart w:id="2" w:name="_heading=h.3znysh7" w:colFirst="0" w:colLast="0"/>
      <w:bookmarkEnd w:id="2"/>
      <w:r w:rsidRPr="001D5444">
        <w:rPr>
          <w:rFonts w:ascii="Palatino Linotype" w:eastAsia="Palatino Linotype" w:hAnsi="Palatino Linotype" w:cs="Palatino Linotype"/>
          <w:color w:val="000000" w:themeColor="text1"/>
        </w:rPr>
        <w:t xml:space="preserve">Por su parte, el </w:t>
      </w:r>
      <w:r w:rsidRPr="001D5444">
        <w:rPr>
          <w:rFonts w:ascii="Palatino Linotype" w:eastAsia="Palatino Linotype" w:hAnsi="Palatino Linotype" w:cs="Palatino Linotype"/>
          <w:b/>
          <w:color w:val="000000" w:themeColor="text1"/>
        </w:rPr>
        <w:t>RECURRENTE</w:t>
      </w:r>
      <w:r w:rsidRPr="001D5444">
        <w:rPr>
          <w:rFonts w:ascii="Palatino Linotype" w:eastAsia="Palatino Linotype" w:hAnsi="Palatino Linotype" w:cs="Palatino Linotype"/>
          <w:color w:val="000000" w:themeColor="text1"/>
        </w:rPr>
        <w:t xml:space="preserve"> dejó de realizar manifestaciones que a su derecho conviniera y asistiera. </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f64s7azhi5nz" w:colFirst="0" w:colLast="0"/>
      <w:bookmarkEnd w:id="3"/>
      <w:r w:rsidRPr="001D5444">
        <w:rPr>
          <w:rFonts w:ascii="Palatino Linotype" w:eastAsia="Palatino Linotype" w:hAnsi="Palatino Linotype" w:cs="Palatino Linotype"/>
          <w:color w:val="000000" w:themeColor="text1"/>
        </w:rPr>
        <w:t xml:space="preserve">La Comisionada Ponente mediante acuerdo del </w:t>
      </w:r>
      <w:r w:rsidR="00E02D58" w:rsidRPr="001D5444">
        <w:rPr>
          <w:rFonts w:ascii="Palatino Linotype" w:eastAsia="Palatino Linotype" w:hAnsi="Palatino Linotype" w:cs="Palatino Linotype"/>
          <w:b/>
          <w:color w:val="000000" w:themeColor="text1"/>
        </w:rPr>
        <w:t>veintitrés de junio</w:t>
      </w:r>
      <w:r w:rsidRPr="001D5444">
        <w:rPr>
          <w:rFonts w:ascii="Palatino Linotype" w:eastAsia="Palatino Linotype" w:hAnsi="Palatino Linotype" w:cs="Palatino Linotype"/>
          <w:b/>
          <w:color w:val="000000" w:themeColor="text1"/>
        </w:rPr>
        <w:t xml:space="preserve"> de dos mil veinticinco</w:t>
      </w:r>
      <w:r w:rsidRPr="001D5444">
        <w:rPr>
          <w:rFonts w:ascii="Palatino Linotype" w:eastAsia="Palatino Linotype" w:hAnsi="Palatino Linotype" w:cs="Palatino Linotype"/>
          <w:color w:val="000000" w:themeColor="text1"/>
        </w:rPr>
        <w:t>, decretó el cierre de instrucción del expediente, por lo que no habiendo más que hacer constar, y</w:t>
      </w:r>
    </w:p>
    <w:p w:rsidR="00D539EF" w:rsidRPr="001D5444" w:rsidRDefault="00D539EF" w:rsidP="001D5444">
      <w:pPr>
        <w:spacing w:line="360" w:lineRule="auto"/>
        <w:rPr>
          <w:rFonts w:ascii="Palatino Linotype" w:eastAsia="Palatino Linotype" w:hAnsi="Palatino Linotype" w:cs="Palatino Linotype"/>
          <w:b/>
          <w:color w:val="000000" w:themeColor="text1"/>
        </w:rPr>
      </w:pPr>
    </w:p>
    <w:p w:rsidR="00D539EF" w:rsidRPr="001D5444" w:rsidRDefault="00A22826" w:rsidP="001D5444">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lastRenderedPageBreak/>
        <w:t>C</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O</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N</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S</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I</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D</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E</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R</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A</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N</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D</w:t>
      </w:r>
      <w:r w:rsidR="00311F65">
        <w:rPr>
          <w:rFonts w:ascii="Palatino Linotype" w:eastAsia="Palatino Linotype" w:hAnsi="Palatino Linotype" w:cs="Palatino Linotype"/>
          <w:b/>
          <w:color w:val="000000" w:themeColor="text1"/>
        </w:rPr>
        <w:t xml:space="preserve"> </w:t>
      </w:r>
      <w:r w:rsidRPr="001D5444">
        <w:rPr>
          <w:rFonts w:ascii="Palatino Linotype" w:eastAsia="Palatino Linotype" w:hAnsi="Palatino Linotype" w:cs="Palatino Linotype"/>
          <w:b/>
          <w:color w:val="000000" w:themeColor="text1"/>
        </w:rPr>
        <w:t>O</w:t>
      </w:r>
    </w:p>
    <w:p w:rsidR="00D539EF" w:rsidRPr="001D5444" w:rsidRDefault="00A22826" w:rsidP="001D5444">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kinlumvimtxw" w:colFirst="0" w:colLast="0"/>
      <w:bookmarkEnd w:id="4"/>
      <w:r w:rsidRPr="001D5444">
        <w:rPr>
          <w:rFonts w:ascii="Palatino Linotype" w:eastAsia="Palatino Linotype" w:hAnsi="Palatino Linotype" w:cs="Palatino Linotype"/>
          <w:b/>
          <w:color w:val="000000" w:themeColor="text1"/>
          <w:sz w:val="24"/>
          <w:szCs w:val="24"/>
        </w:rPr>
        <w:t>PRIMERO. De la competencia</w:t>
      </w: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 los presentes recursos,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D539EF" w:rsidRPr="001D5444" w:rsidRDefault="00D539EF" w:rsidP="001D544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5" w:name="_heading=h.jlnw17pdnjvi" w:colFirst="0" w:colLast="0"/>
      <w:bookmarkEnd w:id="5"/>
    </w:p>
    <w:p w:rsidR="00D539EF" w:rsidRPr="001D5444" w:rsidRDefault="00A22826" w:rsidP="001D544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bookmarkStart w:id="6" w:name="_heading=h.v0c77b5pnlfs" w:colFirst="0" w:colLast="0"/>
      <w:bookmarkEnd w:id="6"/>
      <w:r w:rsidRPr="001D5444">
        <w:rPr>
          <w:rFonts w:ascii="Palatino Linotype" w:eastAsia="Palatino Linotype" w:hAnsi="Palatino Linotype" w:cs="Palatino Linotype"/>
          <w:b/>
          <w:color w:val="000000" w:themeColor="text1"/>
        </w:rPr>
        <w:t>SEGUNDO. De la oportunidad y procedencia.</w:t>
      </w: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rtzpwqsln3xb" w:colFirst="0" w:colLast="0"/>
      <w:bookmarkEnd w:id="7"/>
      <w:r w:rsidRPr="001D5444">
        <w:rPr>
          <w:rFonts w:ascii="Palatino Linotype" w:eastAsia="Palatino Linotype" w:hAnsi="Palatino Linotype" w:cs="Palatino Linotype"/>
          <w:color w:val="000000" w:themeColor="text1"/>
        </w:rPr>
        <w:t xml:space="preserve">Los medios de impugnación fueron presentados a través del </w:t>
      </w:r>
      <w:r w:rsidRPr="001D5444">
        <w:rPr>
          <w:rFonts w:ascii="Palatino Linotype" w:eastAsia="Palatino Linotype" w:hAnsi="Palatino Linotype" w:cs="Palatino Linotype"/>
          <w:b/>
          <w:color w:val="000000" w:themeColor="text1"/>
        </w:rPr>
        <w:t>SAIMEX,</w:t>
      </w:r>
      <w:r w:rsidRPr="001D5444">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entregó su respuesta el </w:t>
      </w:r>
      <w:r w:rsidR="00E02D58" w:rsidRPr="001D5444">
        <w:rPr>
          <w:rFonts w:ascii="Palatino Linotype" w:eastAsia="Palatino Linotype" w:hAnsi="Palatino Linotype" w:cs="Palatino Linotype"/>
          <w:b/>
          <w:color w:val="000000" w:themeColor="text1"/>
        </w:rPr>
        <w:t xml:space="preserve">treinta y uno </w:t>
      </w:r>
      <w:r w:rsidRPr="001D5444">
        <w:rPr>
          <w:rFonts w:ascii="Palatino Linotype" w:eastAsia="Palatino Linotype" w:hAnsi="Palatino Linotype" w:cs="Palatino Linotype"/>
          <w:b/>
          <w:color w:val="000000" w:themeColor="text1"/>
        </w:rPr>
        <w:t xml:space="preserve">de marzo de dos mil veinticinco </w:t>
      </w:r>
      <w:r w:rsidRPr="001D5444">
        <w:rPr>
          <w:rFonts w:ascii="Palatino Linotype" w:eastAsia="Palatino Linotype" w:hAnsi="Palatino Linotype" w:cs="Palatino Linotype"/>
          <w:color w:val="000000" w:themeColor="text1"/>
        </w:rPr>
        <w:t xml:space="preserve">de tal forma que el plazo para interponer el recurso de revisión transcurrió del día </w:t>
      </w:r>
      <w:r w:rsidR="00E02D58" w:rsidRPr="001D5444">
        <w:rPr>
          <w:rFonts w:ascii="Palatino Linotype" w:eastAsia="Palatino Linotype" w:hAnsi="Palatino Linotype" w:cs="Palatino Linotype"/>
          <w:b/>
          <w:color w:val="000000" w:themeColor="text1"/>
        </w:rPr>
        <w:t xml:space="preserve">uno </w:t>
      </w:r>
      <w:r w:rsidRPr="001D5444">
        <w:rPr>
          <w:rFonts w:ascii="Palatino Linotype" w:eastAsia="Palatino Linotype" w:hAnsi="Palatino Linotype" w:cs="Palatino Linotype"/>
          <w:b/>
          <w:color w:val="000000" w:themeColor="text1"/>
        </w:rPr>
        <w:t xml:space="preserve">al </w:t>
      </w:r>
      <w:r w:rsidR="006E64BA" w:rsidRPr="001D5444">
        <w:rPr>
          <w:rFonts w:ascii="Palatino Linotype" w:eastAsia="Palatino Linotype" w:hAnsi="Palatino Linotype" w:cs="Palatino Linotype"/>
          <w:b/>
          <w:color w:val="000000" w:themeColor="text1"/>
        </w:rPr>
        <w:t xml:space="preserve">veintiocho </w:t>
      </w:r>
      <w:r w:rsidRPr="001D5444">
        <w:rPr>
          <w:rFonts w:ascii="Palatino Linotype" w:eastAsia="Palatino Linotype" w:hAnsi="Palatino Linotype" w:cs="Palatino Linotype"/>
          <w:b/>
          <w:color w:val="000000" w:themeColor="text1"/>
        </w:rPr>
        <w:t>de abril de dos mil veinticinco</w:t>
      </w:r>
      <w:r w:rsidRPr="001D5444">
        <w:rPr>
          <w:rFonts w:ascii="Palatino Linotype" w:eastAsia="Palatino Linotype" w:hAnsi="Palatino Linotype" w:cs="Palatino Linotype"/>
          <w:color w:val="000000" w:themeColor="text1"/>
        </w:rPr>
        <w:t xml:space="preserve">; en consecuencia, el ahora </w:t>
      </w:r>
      <w:r w:rsidRPr="001D5444">
        <w:rPr>
          <w:rFonts w:ascii="Palatino Linotype" w:eastAsia="Palatino Linotype" w:hAnsi="Palatino Linotype" w:cs="Palatino Linotype"/>
          <w:b/>
          <w:color w:val="000000" w:themeColor="text1"/>
        </w:rPr>
        <w:t>RECURRENTE</w:t>
      </w:r>
      <w:r w:rsidRPr="001D5444">
        <w:rPr>
          <w:rFonts w:ascii="Palatino Linotype" w:eastAsia="Palatino Linotype" w:hAnsi="Palatino Linotype" w:cs="Palatino Linotype"/>
          <w:color w:val="000000" w:themeColor="text1"/>
        </w:rPr>
        <w:t xml:space="preserve"> presentó su inconformidad el </w:t>
      </w:r>
      <w:r w:rsidR="006E64BA" w:rsidRPr="001D5444">
        <w:rPr>
          <w:rFonts w:ascii="Palatino Linotype" w:eastAsia="Palatino Linotype" w:hAnsi="Palatino Linotype" w:cs="Palatino Linotype"/>
          <w:b/>
          <w:color w:val="000000" w:themeColor="text1"/>
        </w:rPr>
        <w:t xml:space="preserve">veintiocho </w:t>
      </w:r>
      <w:r w:rsidRPr="001D5444">
        <w:rPr>
          <w:rFonts w:ascii="Palatino Linotype" w:eastAsia="Palatino Linotype" w:hAnsi="Palatino Linotype" w:cs="Palatino Linotype"/>
          <w:b/>
          <w:color w:val="000000" w:themeColor="text1"/>
        </w:rPr>
        <w:t>de dos mil veinticinco,</w:t>
      </w:r>
      <w:r w:rsidRPr="001D5444">
        <w:rPr>
          <w:rFonts w:ascii="Palatino Linotype" w:eastAsia="Palatino Linotype" w:hAnsi="Palatino Linotype" w:cs="Palatino Linotype"/>
          <w:color w:val="000000" w:themeColor="text1"/>
        </w:rPr>
        <w:t xml:space="preserve"> es decir dentro del lapso legalmente establecido para tal efecto.</w:t>
      </w: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lastRenderedPageBreak/>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539EF" w:rsidRPr="001D5444" w:rsidRDefault="00A22826" w:rsidP="001D5444">
      <w:pPr>
        <w:tabs>
          <w:tab w:val="left" w:pos="7655"/>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r w:rsidRPr="001D5444">
        <w:rPr>
          <w:rFonts w:ascii="Palatino Linotype" w:eastAsia="Palatino Linotype" w:hAnsi="Palatino Linotype" w:cs="Palatino Linotype"/>
          <w:b/>
          <w:i/>
          <w:color w:val="000000" w:themeColor="text1"/>
        </w:rPr>
        <w:t>Las solicitudes anónimas</w:t>
      </w:r>
      <w:r w:rsidRPr="001D5444">
        <w:rPr>
          <w:rFonts w:ascii="Palatino Linotype" w:eastAsia="Palatino Linotype" w:hAnsi="Palatino Linotype" w:cs="Palatino Linotype"/>
          <w:i/>
          <w:color w:val="000000" w:themeColor="text1"/>
        </w:rPr>
        <w:t xml:space="preserve">, con nombre incompleto o seudónimo </w:t>
      </w:r>
      <w:r w:rsidRPr="001D5444">
        <w:rPr>
          <w:rFonts w:ascii="Palatino Linotype" w:eastAsia="Palatino Linotype" w:hAnsi="Palatino Linotype" w:cs="Palatino Linotype"/>
          <w:b/>
          <w:i/>
          <w:color w:val="000000" w:themeColor="text1"/>
        </w:rPr>
        <w:t>serán procedentes para su trámite por parte del sujeto obligado ante quien se presente</w:t>
      </w:r>
      <w:r w:rsidRPr="001D5444">
        <w:rPr>
          <w:rFonts w:ascii="Palatino Linotype" w:eastAsia="Palatino Linotype" w:hAnsi="Palatino Linotype" w:cs="Palatino Linotype"/>
          <w:i/>
          <w:color w:val="000000" w:themeColor="text1"/>
        </w:rPr>
        <w:t>. No podrá requerirse información adicional con motivo del nombre proporcionado por el solicitante."</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D539EF"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r w:rsidRPr="001D5444">
        <w:rPr>
          <w:rFonts w:ascii="Palatino Linotype" w:eastAsia="Palatino Linotype" w:hAnsi="Palatino Linotype" w:cs="Palatino Linotype"/>
          <w:b/>
          <w:i/>
          <w:color w:val="000000" w:themeColor="text1"/>
        </w:rPr>
        <w:t>Artículo 6.-</w:t>
      </w:r>
      <w:r w:rsidRPr="001D5444">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539EF"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Para efectos de lo dispuesto en el presente artículo se observará lo siguiente:</w:t>
      </w:r>
    </w:p>
    <w:p w:rsidR="00D539EF"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D539EF" w:rsidRPr="001D5444" w:rsidRDefault="00D539EF" w:rsidP="001D5444">
      <w:pPr>
        <w:jc w:val="both"/>
        <w:rPr>
          <w:rFonts w:ascii="Palatino Linotype" w:eastAsia="Palatino Linotype" w:hAnsi="Palatino Linotype" w:cs="Palatino Linotype"/>
          <w:i/>
          <w:color w:val="000000" w:themeColor="text1"/>
        </w:rPr>
      </w:pPr>
    </w:p>
    <w:p w:rsidR="00D539EF" w:rsidRPr="001D5444" w:rsidRDefault="00A22826" w:rsidP="001D5444">
      <w:pP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1D5444">
        <w:rPr>
          <w:rFonts w:ascii="Palatino Linotype" w:eastAsia="Palatino Linotype" w:hAnsi="Palatino Linotype" w:cs="Palatino Linotype"/>
          <w:color w:val="000000" w:themeColor="text1"/>
        </w:rPr>
        <w:t>(Sic)</w:t>
      </w:r>
    </w:p>
    <w:p w:rsidR="00D539EF" w:rsidRPr="001D5444" w:rsidRDefault="00D539EF" w:rsidP="001D5444">
      <w:pP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lastRenderedPageBreak/>
        <w:t>Así como el artículo 5 fracción III, párrafo vigésimo noveno, trigésimo y trigésimo primero, de la Constitución Política del Estado Libre y Soberano de México, que determina lo siguiente:</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r w:rsidRPr="001D5444">
        <w:rPr>
          <w:rFonts w:ascii="Palatino Linotype" w:eastAsia="Palatino Linotype" w:hAnsi="Palatino Linotype" w:cs="Palatino Linotype"/>
          <w:b/>
          <w:i/>
          <w:color w:val="000000" w:themeColor="text1"/>
        </w:rPr>
        <w:t>Artículo 5.-</w:t>
      </w:r>
      <w:r w:rsidRPr="001D5444">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1D5444">
        <w:rPr>
          <w:rFonts w:ascii="Palatino Linotype" w:eastAsia="Palatino Linotype" w:hAnsi="Palatino Linotype" w:cs="Palatino Linotype"/>
          <w:color w:val="000000" w:themeColor="text1"/>
        </w:rPr>
        <w:t>(Sic)</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w:t>
      </w:r>
      <w:r w:rsidRPr="001D5444">
        <w:rPr>
          <w:rFonts w:ascii="Palatino Linotype" w:eastAsia="Palatino Linotype" w:hAnsi="Palatino Linotype" w:cs="Palatino Linotype"/>
          <w:b/>
          <w:i/>
          <w:color w:val="000000" w:themeColor="text1"/>
        </w:rPr>
        <w:t>Artículo 1</w:t>
      </w:r>
      <w:r w:rsidRPr="001D5444">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D539EF" w:rsidRPr="001D5444" w:rsidRDefault="00A22826" w:rsidP="001D5444">
      <w:pPr>
        <w:pBdr>
          <w:top w:val="nil"/>
          <w:left w:val="nil"/>
          <w:bottom w:val="nil"/>
          <w:right w:val="nil"/>
          <w:between w:val="nil"/>
        </w:pBdr>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D539EF" w:rsidRPr="001D5444" w:rsidRDefault="00D539EF" w:rsidP="001D54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1D5444">
        <w:rPr>
          <w:rFonts w:ascii="Palatino Linotype" w:eastAsia="Palatino Linotype" w:hAnsi="Palatino Linotype" w:cs="Palatino Linotype"/>
          <w:i/>
          <w:color w:val="000000" w:themeColor="text1"/>
        </w:rPr>
        <w:t>derecho fundamental exime a quien lo ejerce</w:t>
      </w:r>
      <w:r w:rsidRPr="001D5444">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539EF" w:rsidRPr="001D5444" w:rsidRDefault="00D539EF" w:rsidP="001D5444">
      <w:pPr>
        <w:spacing w:line="360" w:lineRule="auto"/>
        <w:jc w:val="both"/>
        <w:rPr>
          <w:rFonts w:ascii="Palatino Linotype" w:eastAsia="Palatino Linotype" w:hAnsi="Palatino Linotype" w:cs="Palatino Linotype"/>
          <w:color w:val="000000" w:themeColor="text1"/>
        </w:rPr>
      </w:pPr>
    </w:p>
    <w:p w:rsidR="00D539EF" w:rsidRPr="001D5444" w:rsidRDefault="00A22826"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1D5444">
        <w:rPr>
          <w:rFonts w:ascii="Palatino Linotype" w:eastAsia="Palatino Linotype" w:hAnsi="Palatino Linotype" w:cs="Palatino Linotype"/>
          <w:b/>
          <w:color w:val="000000" w:themeColor="text1"/>
        </w:rPr>
        <w:t>RECURRENTE</w:t>
      </w:r>
      <w:r w:rsidRPr="001D5444">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w:t>
      </w:r>
      <w:r w:rsidRPr="001D5444">
        <w:rPr>
          <w:rFonts w:ascii="Palatino Linotype" w:eastAsia="Palatino Linotype" w:hAnsi="Palatino Linotype" w:cs="Palatino Linotype"/>
          <w:color w:val="000000" w:themeColor="text1"/>
        </w:rPr>
        <w:lastRenderedPageBreak/>
        <w:t>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539EF" w:rsidRPr="001D5444" w:rsidRDefault="00A22826"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539EF" w:rsidRPr="001D5444" w:rsidRDefault="00D539EF" w:rsidP="001D5444">
      <w:pPr>
        <w:pBdr>
          <w:top w:val="nil"/>
          <w:left w:val="nil"/>
          <w:bottom w:val="nil"/>
          <w:right w:val="nil"/>
          <w:between w:val="nil"/>
        </w:pBdr>
        <w:rPr>
          <w:rFonts w:ascii="Palatino Linotype" w:eastAsia="Palatino Linotype" w:hAnsi="Palatino Linotype" w:cs="Palatino Linotype"/>
          <w:color w:val="000000" w:themeColor="text1"/>
        </w:rPr>
      </w:pPr>
    </w:p>
    <w:p w:rsidR="00D539EF" w:rsidRPr="001D5444" w:rsidRDefault="00A22826" w:rsidP="001D5444">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k05tgqxya84r" w:colFirst="0" w:colLast="0"/>
      <w:bookmarkEnd w:id="8"/>
      <w:r w:rsidRPr="001D5444">
        <w:rPr>
          <w:rFonts w:ascii="Palatino Linotype" w:eastAsia="Palatino Linotype" w:hAnsi="Palatino Linotype" w:cs="Palatino Linotype"/>
          <w:b/>
          <w:color w:val="000000" w:themeColor="text1"/>
          <w:sz w:val="24"/>
          <w:szCs w:val="24"/>
        </w:rPr>
        <w:t xml:space="preserve">TERCERO. </w:t>
      </w:r>
      <w:r w:rsidR="00E76587" w:rsidRPr="001D5444">
        <w:rPr>
          <w:rFonts w:ascii="Palatino Linotype" w:eastAsia="Palatino Linotype" w:hAnsi="Palatino Linotype" w:cs="Palatino Linotype"/>
          <w:b/>
          <w:color w:val="000000" w:themeColor="text1"/>
          <w:sz w:val="24"/>
          <w:szCs w:val="24"/>
        </w:rPr>
        <w:t>De las causales del sobreseimiento.</w:t>
      </w:r>
    </w:p>
    <w:p w:rsidR="00E76587" w:rsidRPr="001D5444" w:rsidRDefault="00E76587"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1D5444">
        <w:rPr>
          <w:rFonts w:ascii="Palatino Linotype" w:eastAsia="Palatino Linotype" w:hAnsi="Palatino Linotype" w:cs="Palatino Linotype"/>
          <w:b/>
          <w:color w:val="000000" w:themeColor="text1"/>
          <w:u w:val="single"/>
        </w:rPr>
        <w:t>sobreseimiento</w:t>
      </w:r>
      <w:r w:rsidRPr="001D5444">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1D5444">
        <w:rPr>
          <w:rFonts w:ascii="Palatino Linotype" w:eastAsia="Palatino Linotype" w:hAnsi="Palatino Linotype" w:cs="Palatino Linotype"/>
          <w:b/>
          <w:color w:val="000000" w:themeColor="text1"/>
        </w:rPr>
        <w:t>SUJETO</w:t>
      </w:r>
      <w:r w:rsidRPr="001D5444">
        <w:rPr>
          <w:rFonts w:ascii="Palatino Linotype" w:eastAsia="Palatino Linotype" w:hAnsi="Palatino Linotype" w:cs="Palatino Linotype"/>
          <w:color w:val="000000" w:themeColor="text1"/>
        </w:rPr>
        <w:t xml:space="preserve"> </w:t>
      </w:r>
      <w:r w:rsidRPr="001D5444">
        <w:rPr>
          <w:rFonts w:ascii="Palatino Linotype" w:eastAsia="Palatino Linotype" w:hAnsi="Palatino Linotype" w:cs="Palatino Linotype"/>
          <w:b/>
          <w:color w:val="000000" w:themeColor="text1"/>
        </w:rPr>
        <w:t>OBLIGADO</w:t>
      </w:r>
      <w:r w:rsidRPr="001D5444">
        <w:rPr>
          <w:rFonts w:ascii="Palatino Linotype" w:eastAsia="Palatino Linotype" w:hAnsi="Palatino Linotype" w:cs="Palatino Linotype"/>
          <w:color w:val="000000" w:themeColor="text1"/>
        </w:rPr>
        <w:t>.</w:t>
      </w:r>
    </w:p>
    <w:p w:rsidR="00E76587" w:rsidRPr="001D5444" w:rsidRDefault="00E76587" w:rsidP="001D5444">
      <w:pPr>
        <w:spacing w:line="360" w:lineRule="auto"/>
        <w:jc w:val="both"/>
        <w:rPr>
          <w:rFonts w:ascii="Palatino Linotype" w:eastAsia="Palatino Linotype" w:hAnsi="Palatino Linotype" w:cs="Palatino Linotype"/>
          <w:b/>
          <w:color w:val="000000" w:themeColor="text1"/>
        </w:rPr>
      </w:pPr>
    </w:p>
    <w:p w:rsidR="00E76587" w:rsidRPr="001D5444" w:rsidRDefault="00E76587"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De acuerdo al precepto legal contenido en la fracción III del artículo 192 de la </w:t>
      </w:r>
      <w:r w:rsidRPr="001D5444">
        <w:rPr>
          <w:rFonts w:ascii="Palatino Linotype" w:eastAsia="Palatino Linotype" w:hAnsi="Palatino Linotype" w:cs="Palatino Linotype"/>
          <w:b/>
          <w:color w:val="000000" w:themeColor="text1"/>
        </w:rPr>
        <w:t xml:space="preserve">Ley de Transparencia y Acceso a la Información Pública del Estado de México y </w:t>
      </w:r>
      <w:r w:rsidRPr="001D5444">
        <w:rPr>
          <w:rFonts w:ascii="Palatino Linotype" w:eastAsia="Palatino Linotype" w:hAnsi="Palatino Linotype" w:cs="Palatino Linotype"/>
          <w:b/>
          <w:color w:val="000000" w:themeColor="text1"/>
        </w:rPr>
        <w:lastRenderedPageBreak/>
        <w:t>Municipios</w:t>
      </w:r>
      <w:r w:rsidRPr="001D5444">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E76587" w:rsidRPr="001D5444" w:rsidRDefault="00E76587" w:rsidP="001D54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76587" w:rsidRPr="001D5444" w:rsidRDefault="00E76587" w:rsidP="001D5444">
      <w:pPr>
        <w:pStyle w:val="Prrafodelista"/>
        <w:numPr>
          <w:ilvl w:val="0"/>
          <w:numId w:val="6"/>
        </w:numPr>
        <w:spacing w:line="360" w:lineRule="auto"/>
        <w:ind w:left="0" w:firstLine="0"/>
        <w:jc w:val="both"/>
        <w:rPr>
          <w:rFonts w:ascii="Palatino Linotype" w:eastAsia="Palatino Linotype" w:hAnsi="Palatino Linotype" w:cs="Palatino Linotype"/>
          <w:b/>
          <w:color w:val="000000" w:themeColor="text1"/>
          <w:sz w:val="24"/>
          <w:szCs w:val="24"/>
        </w:rPr>
      </w:pPr>
      <w:r w:rsidRPr="001D5444">
        <w:rPr>
          <w:rFonts w:ascii="Palatino Linotype" w:eastAsia="Palatino Linotype" w:hAnsi="Palatino Linotype" w:cs="Palatino Linotype"/>
          <w:color w:val="000000" w:themeColor="text1"/>
          <w:sz w:val="24"/>
          <w:szCs w:val="24"/>
        </w:rPr>
        <w:t xml:space="preserve">Para los efectos de esta resolución, es oportuno precisar los alcances jurídicos de la fracción III de la disposición legal transcrita. Así, procede el sobreseimiento del recurso de revisión cuando el </w:t>
      </w:r>
      <w:r w:rsidRPr="001D5444">
        <w:rPr>
          <w:rFonts w:ascii="Palatino Linotype" w:eastAsia="Palatino Linotype" w:hAnsi="Palatino Linotype" w:cs="Palatino Linotype"/>
          <w:b/>
          <w:color w:val="000000" w:themeColor="text1"/>
          <w:sz w:val="24"/>
          <w:szCs w:val="24"/>
        </w:rPr>
        <w:t>SUJETO OBLIGADO</w:t>
      </w:r>
      <w:r w:rsidRPr="001D5444">
        <w:rPr>
          <w:rFonts w:ascii="Palatino Linotype" w:eastAsia="Palatino Linotype" w:hAnsi="Palatino Linotype" w:cs="Palatino Linotype"/>
          <w:color w:val="000000" w:themeColor="text1"/>
          <w:sz w:val="24"/>
          <w:szCs w:val="24"/>
        </w:rPr>
        <w:t>:</w:t>
      </w:r>
    </w:p>
    <w:p w:rsidR="00E76587" w:rsidRPr="001D5444" w:rsidRDefault="00E76587" w:rsidP="001D5444">
      <w:pPr>
        <w:numPr>
          <w:ilvl w:val="0"/>
          <w:numId w:val="15"/>
        </w:numP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Modifique el acto impugnado:</w:t>
      </w:r>
      <w:r w:rsidRPr="001D5444">
        <w:rPr>
          <w:rFonts w:ascii="Palatino Linotype" w:eastAsia="Palatino Linotype" w:hAnsi="Palatino Linotype" w:cs="Palatino Linotype"/>
          <w:color w:val="000000" w:themeColor="text1"/>
        </w:rPr>
        <w:t xml:space="preserve"> Se actualiza cuando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E76587" w:rsidRPr="001D5444" w:rsidRDefault="00E76587" w:rsidP="001D5444">
      <w:pPr>
        <w:jc w:val="both"/>
        <w:rPr>
          <w:rFonts w:ascii="Palatino Linotype" w:eastAsia="Palatino Linotype" w:hAnsi="Palatino Linotype" w:cs="Palatino Linotype"/>
          <w:color w:val="000000" w:themeColor="text1"/>
        </w:rPr>
      </w:pPr>
    </w:p>
    <w:p w:rsidR="00E76587" w:rsidRPr="001D5444" w:rsidRDefault="00E76587" w:rsidP="001D5444">
      <w:pPr>
        <w:numPr>
          <w:ilvl w:val="0"/>
          <w:numId w:val="15"/>
        </w:numPr>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b/>
          <w:color w:val="000000" w:themeColor="text1"/>
        </w:rPr>
        <w:t>Revoque el acto impugnado:</w:t>
      </w:r>
      <w:r w:rsidRPr="001D5444">
        <w:rPr>
          <w:rFonts w:ascii="Palatino Linotype" w:eastAsia="Palatino Linotype" w:hAnsi="Palatino Linotype" w:cs="Palatino Linotype"/>
          <w:color w:val="000000" w:themeColor="text1"/>
        </w:rPr>
        <w:t xml:space="preserve"> En este supuesto,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E76587" w:rsidRPr="001D5444" w:rsidRDefault="00E76587" w:rsidP="001D5444">
      <w:pPr>
        <w:jc w:val="both"/>
        <w:rPr>
          <w:rFonts w:ascii="Palatino Linotype" w:eastAsia="Palatino Linotype" w:hAnsi="Palatino Linotype" w:cs="Palatino Linotype"/>
          <w:b/>
          <w:color w:val="000000" w:themeColor="text1"/>
        </w:rPr>
      </w:pPr>
    </w:p>
    <w:p w:rsidR="00E76587" w:rsidRPr="001D5444" w:rsidRDefault="00E76587"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76587" w:rsidRPr="001D5444" w:rsidRDefault="00E76587" w:rsidP="001D54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42845" w:rsidRPr="001D5444" w:rsidRDefault="00E76587"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lastRenderedPageBreak/>
        <w:t xml:space="preserve">En el presente caso, el </w:t>
      </w:r>
      <w:r w:rsidRPr="001D5444">
        <w:rPr>
          <w:rFonts w:ascii="Palatino Linotype" w:eastAsia="Palatino Linotype" w:hAnsi="Palatino Linotype" w:cs="Palatino Linotype"/>
          <w:b/>
          <w:color w:val="000000" w:themeColor="text1"/>
        </w:rPr>
        <w:t xml:space="preserve">RECURRENTE </w:t>
      </w:r>
      <w:r w:rsidRPr="001D5444">
        <w:rPr>
          <w:rFonts w:ascii="Palatino Linotype" w:eastAsia="Palatino Linotype" w:hAnsi="Palatino Linotype" w:cs="Palatino Linotype"/>
          <w:color w:val="000000" w:themeColor="text1"/>
        </w:rPr>
        <w:t xml:space="preserve">solicitó </w:t>
      </w:r>
      <w:r w:rsidRPr="001D5444">
        <w:rPr>
          <w:rFonts w:ascii="Palatino Linotype" w:hAnsi="Palatino Linotype"/>
          <w:b/>
          <w:color w:val="000000" w:themeColor="text1"/>
        </w:rPr>
        <w:t xml:space="preserve">el </w:t>
      </w:r>
      <w:r w:rsidR="00C42845" w:rsidRPr="001D5444">
        <w:rPr>
          <w:rFonts w:ascii="Palatino Linotype" w:eastAsia="Palatino Linotype" w:hAnsi="Palatino Linotype" w:cs="Palatino Linotype"/>
          <w:b/>
          <w:color w:val="000000" w:themeColor="text1"/>
        </w:rPr>
        <w:t>Cumplimiento de las líneas de acción del Plan de Desarrollo 2022-2024, Proyectos Aceleradores del mismo periodo; así como la evidencia de las áreas que cumplieron.</w:t>
      </w:r>
    </w:p>
    <w:p w:rsidR="00C42845" w:rsidRPr="001D5444" w:rsidRDefault="00C42845" w:rsidP="001D5444">
      <w:pPr>
        <w:pStyle w:val="Prrafodelista"/>
        <w:ind w:left="0"/>
        <w:rPr>
          <w:rFonts w:ascii="Palatino Linotype" w:hAnsi="Palatino Linotype"/>
          <w:b/>
          <w:color w:val="000000" w:themeColor="text1"/>
          <w:sz w:val="24"/>
          <w:szCs w:val="24"/>
        </w:rPr>
      </w:pPr>
    </w:p>
    <w:p w:rsidR="00C42845" w:rsidRPr="001D5444" w:rsidRDefault="00C42845" w:rsidP="001D5444">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En respuesta, el </w:t>
      </w:r>
      <w:r w:rsidRPr="001D5444">
        <w:rPr>
          <w:rFonts w:ascii="Palatino Linotype" w:eastAsia="Palatino Linotype" w:hAnsi="Palatino Linotype" w:cs="Palatino Linotype"/>
          <w:b/>
          <w:color w:val="000000" w:themeColor="text1"/>
        </w:rPr>
        <w:t xml:space="preserve">SUJETO OBLIGADO </w:t>
      </w:r>
      <w:r w:rsidRPr="001D5444">
        <w:rPr>
          <w:rFonts w:ascii="Palatino Linotype" w:eastAsia="Palatino Linotype" w:hAnsi="Palatino Linotype" w:cs="Palatino Linotype"/>
          <w:color w:val="000000" w:themeColor="text1"/>
        </w:rPr>
        <w:t>a través del Titular de la Unidad de Información, Planeación, Programación y Evaluación, remitió el Informe Anual de Ejecución del Plan de Desarrollo Municipal 2022-2024 ejercicio fiscal 2023, Informe de Contribuciones a la Agenda 3030 Ejercicio Fiscal 2022, Avances al Primer Trimestre del Ejercicio Fiscal 2024, Informe Anual de Ejecución COPLADEMUN Toluca 2022 Ejercicio Fiscal 2022, Cuarto Trimestre del Ejercicio Fiscal 2024 y el Plan de Desarrollo Municipal de Toluca 2022-2024</w:t>
      </w:r>
      <w:r w:rsidR="00D03C5C" w:rsidRPr="001D5444">
        <w:rPr>
          <w:rFonts w:ascii="Palatino Linotype" w:eastAsia="Palatino Linotype" w:hAnsi="Palatino Linotype" w:cs="Palatino Linotype"/>
          <w:color w:val="000000" w:themeColor="text1"/>
        </w:rPr>
        <w:t xml:space="preserve">. Posteriormente </w:t>
      </w:r>
      <w:r w:rsidRPr="001D5444">
        <w:rPr>
          <w:rFonts w:ascii="Palatino Linotype" w:eastAsia="Palatino Linotype" w:hAnsi="Palatino Linotype" w:cs="Palatino Linotype"/>
          <w:color w:val="000000" w:themeColor="text1"/>
        </w:rPr>
        <w:t xml:space="preserve">el </w:t>
      </w:r>
      <w:r w:rsidRPr="001D5444">
        <w:rPr>
          <w:rFonts w:ascii="Palatino Linotype" w:eastAsia="Palatino Linotype" w:hAnsi="Palatino Linotype" w:cs="Palatino Linotype"/>
          <w:b/>
          <w:color w:val="000000" w:themeColor="text1"/>
        </w:rPr>
        <w:t xml:space="preserve">RECURRENTE </w:t>
      </w:r>
      <w:r w:rsidRPr="001D5444">
        <w:rPr>
          <w:rFonts w:ascii="Palatino Linotype" w:eastAsia="Palatino Linotype" w:hAnsi="Palatino Linotype" w:cs="Palatino Linotype"/>
          <w:color w:val="000000" w:themeColor="text1"/>
        </w:rPr>
        <w:t>interpuso el recurso de revisión en contra de la respuesta</w:t>
      </w:r>
      <w:r w:rsidR="00D03C5C" w:rsidRPr="001D5444">
        <w:rPr>
          <w:rFonts w:ascii="Palatino Linotype" w:eastAsia="Palatino Linotype" w:hAnsi="Palatino Linotype" w:cs="Palatino Linotype"/>
          <w:color w:val="000000" w:themeColor="text1"/>
        </w:rPr>
        <w:t>.</w:t>
      </w:r>
    </w:p>
    <w:p w:rsidR="00C42845" w:rsidRPr="001D5444" w:rsidRDefault="00C42845" w:rsidP="001D5444">
      <w:pPr>
        <w:pStyle w:val="Prrafodelista"/>
        <w:ind w:left="0"/>
        <w:rPr>
          <w:rFonts w:ascii="Palatino Linotype" w:eastAsia="Palatino Linotype" w:hAnsi="Palatino Linotype" w:cs="Palatino Linotype"/>
          <w:b/>
          <w:color w:val="000000" w:themeColor="text1"/>
          <w:sz w:val="24"/>
          <w:szCs w:val="24"/>
        </w:rPr>
      </w:pPr>
    </w:p>
    <w:p w:rsidR="00FA1551" w:rsidRPr="001D5444" w:rsidRDefault="00FA1551" w:rsidP="001D5444">
      <w:pPr>
        <w:pStyle w:val="Prrafodelista"/>
        <w:numPr>
          <w:ilvl w:val="0"/>
          <w:numId w:val="6"/>
        </w:numPr>
        <w:pBdr>
          <w:top w:val="nil"/>
          <w:left w:val="nil"/>
          <w:bottom w:val="nil"/>
          <w:right w:val="nil"/>
          <w:between w:val="nil"/>
        </w:pBdr>
        <w:tabs>
          <w:tab w:val="left" w:pos="426"/>
          <w:tab w:val="left" w:pos="567"/>
        </w:tabs>
        <w:spacing w:line="360" w:lineRule="auto"/>
        <w:ind w:left="0" w:firstLine="0"/>
        <w:jc w:val="both"/>
        <w:rPr>
          <w:rStyle w:val="normaltextrun"/>
          <w:rFonts w:ascii="Palatino Linotype" w:eastAsia="Palatino Linotype" w:hAnsi="Palatino Linotype" w:cs="Palatino Linotype"/>
          <w:color w:val="000000" w:themeColor="text1"/>
          <w:sz w:val="24"/>
          <w:szCs w:val="24"/>
        </w:rPr>
      </w:pPr>
      <w:r w:rsidRPr="001D5444">
        <w:rPr>
          <w:rStyle w:val="normaltextrun"/>
          <w:rFonts w:ascii="Palatino Linotype" w:eastAsiaTheme="majorEastAsia" w:hAnsi="Palatino Linotype"/>
          <w:color w:val="000000" w:themeColor="text1"/>
          <w:sz w:val="24"/>
          <w:szCs w:val="24"/>
          <w:shd w:val="clear" w:color="auto" w:fill="FFFFFF"/>
        </w:rPr>
        <w:t xml:space="preserve">En este sentido, resulta necesario señalar que, el </w:t>
      </w:r>
      <w:r w:rsidRPr="001D5444">
        <w:rPr>
          <w:rStyle w:val="normaltextrun"/>
          <w:rFonts w:ascii="Palatino Linotype" w:eastAsiaTheme="majorEastAsia" w:hAnsi="Palatino Linotype"/>
          <w:b/>
          <w:bCs/>
          <w:color w:val="000000" w:themeColor="text1"/>
          <w:sz w:val="24"/>
          <w:szCs w:val="24"/>
          <w:shd w:val="clear" w:color="auto" w:fill="FFFFFF"/>
        </w:rPr>
        <w:t xml:space="preserve">RECURRENTE </w:t>
      </w:r>
      <w:r w:rsidRPr="001D5444">
        <w:rPr>
          <w:rStyle w:val="normaltextrun"/>
          <w:rFonts w:ascii="Palatino Linotype" w:eastAsiaTheme="majorEastAsia" w:hAnsi="Palatino Linotype"/>
          <w:color w:val="000000" w:themeColor="text1"/>
          <w:sz w:val="24"/>
          <w:szCs w:val="24"/>
          <w:shd w:val="clear" w:color="auto" w:fill="FFFFFF"/>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1D5444">
        <w:rPr>
          <w:rStyle w:val="normaltextrun"/>
          <w:rFonts w:ascii="Palatino Linotype" w:eastAsiaTheme="majorEastAsia" w:hAnsi="Palatino Linotype"/>
          <w:b/>
          <w:bCs/>
          <w:color w:val="000000" w:themeColor="text1"/>
          <w:sz w:val="24"/>
          <w:szCs w:val="24"/>
          <w:shd w:val="clear" w:color="auto" w:fill="FFFFFF"/>
        </w:rPr>
        <w:t>SUJETO OBLIGADO</w:t>
      </w:r>
      <w:r w:rsidRPr="001D5444">
        <w:rPr>
          <w:rStyle w:val="normaltextrun"/>
          <w:rFonts w:ascii="Palatino Linotype" w:eastAsiaTheme="majorEastAsia" w:hAnsi="Palatino Linotype"/>
          <w:color w:val="000000" w:themeColor="text1"/>
          <w:sz w:val="24"/>
          <w:szCs w:val="24"/>
          <w:shd w:val="clear" w:color="auto" w:fill="FFFFFF"/>
        </w:rPr>
        <w:t xml:space="preserve"> satisface este punto de la solicitud presentada.</w:t>
      </w:r>
    </w:p>
    <w:p w:rsidR="00FA1551" w:rsidRPr="001D5444" w:rsidRDefault="00FA1551" w:rsidP="001D5444">
      <w:pPr>
        <w:pStyle w:val="Prrafodelista"/>
        <w:ind w:left="0"/>
        <w:rPr>
          <w:rStyle w:val="normaltextrun"/>
          <w:rFonts w:ascii="Palatino Linotype" w:eastAsia="Palatino Linotype" w:hAnsi="Palatino Linotype" w:cs="Palatino Linotype"/>
          <w:color w:val="000000" w:themeColor="text1"/>
          <w:sz w:val="24"/>
          <w:szCs w:val="24"/>
        </w:rPr>
      </w:pPr>
    </w:p>
    <w:p w:rsidR="00FA1551" w:rsidRPr="001D5444" w:rsidRDefault="00FA1551" w:rsidP="001D5444">
      <w:pPr>
        <w:numPr>
          <w:ilvl w:val="0"/>
          <w:numId w:val="6"/>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D5444">
        <w:rPr>
          <w:rStyle w:val="normaltextrun"/>
          <w:rFonts w:ascii="Palatino Linotype" w:eastAsiaTheme="majorEastAsia" w:hAnsi="Palatino Linotype"/>
          <w:color w:val="000000" w:themeColor="text1"/>
          <w:shd w:val="clear" w:color="auto" w:fill="FFFFFF"/>
          <w:lang w:val="es-ES"/>
        </w:rPr>
        <w:t xml:space="preserve">Lo </w:t>
      </w:r>
      <w:r w:rsidRPr="001D5444">
        <w:rPr>
          <w:rStyle w:val="normaltextrun"/>
          <w:rFonts w:ascii="Palatino Linotype" w:eastAsiaTheme="majorEastAsia" w:hAnsi="Palatino Linotype"/>
          <w:color w:val="000000" w:themeColor="text1"/>
          <w:shd w:val="clear" w:color="auto" w:fill="FFFFFF"/>
        </w:rPr>
        <w:t xml:space="preserve">anterior es así, debido a que cuando un Recurrente impugna la respuesta del </w:t>
      </w:r>
      <w:r w:rsidRPr="001D5444">
        <w:rPr>
          <w:rStyle w:val="normaltextrun"/>
          <w:rFonts w:ascii="Palatino Linotype" w:eastAsiaTheme="majorEastAsia" w:hAnsi="Palatino Linotype"/>
          <w:b/>
          <w:bCs/>
          <w:color w:val="000000" w:themeColor="text1"/>
          <w:shd w:val="clear" w:color="auto" w:fill="FFFFFF"/>
        </w:rPr>
        <w:t>SUJETO OBLIGADO</w:t>
      </w:r>
      <w:r w:rsidRPr="001D5444">
        <w:rPr>
          <w:rStyle w:val="normaltextrun"/>
          <w:rFonts w:ascii="Palatino Linotype" w:eastAsiaTheme="majorEastAsia" w:hAnsi="Palatino Linotype"/>
          <w:color w:val="000000" w:themeColor="text1"/>
          <w:shd w:val="clear" w:color="auto" w:fill="FFFFFF"/>
        </w:rPr>
        <w:t xml:space="preserve">, y éste no expresa Razón o Motivo de Inconformidad en contra de todos los rubros solicitados, dichos rubros deben declararse atendidos, pues se entiende que el Recurrente está conforme con la información entregada al no </w:t>
      </w:r>
      <w:r w:rsidRPr="001D5444">
        <w:rPr>
          <w:rStyle w:val="normaltextrun"/>
          <w:rFonts w:ascii="Palatino Linotype" w:eastAsiaTheme="majorEastAsia" w:hAnsi="Palatino Linotype"/>
          <w:color w:val="000000" w:themeColor="text1"/>
          <w:shd w:val="clear" w:color="auto" w:fill="FFFFFF"/>
        </w:rPr>
        <w:lastRenderedPageBreak/>
        <w:t>contravenir la misma. Sirve de Apoyo a lo anterior, por analogía la Tesis Jurisprudencial Número 3ª./J.7/91, Publicada en el Semanario Judicial de la Federación y su Gaceta bajo el número de registro 174,177, que establece lo siguiente:</w:t>
      </w:r>
      <w:r w:rsidRPr="001D5444">
        <w:rPr>
          <w:rStyle w:val="eop"/>
          <w:rFonts w:ascii="Palatino Linotype" w:hAnsi="Palatino Linotype"/>
          <w:color w:val="000000" w:themeColor="text1"/>
          <w:shd w:val="clear" w:color="auto" w:fill="FFFFFF"/>
        </w:rPr>
        <w:t> </w:t>
      </w:r>
    </w:p>
    <w:p w:rsidR="00FA1551" w:rsidRPr="001D5444" w:rsidRDefault="00FA1551" w:rsidP="001D5444">
      <w:pPr>
        <w:pStyle w:val="Prrafodelista"/>
        <w:ind w:left="0"/>
        <w:jc w:val="both"/>
        <w:rPr>
          <w:rStyle w:val="eop"/>
          <w:rFonts w:ascii="Palatino Linotype" w:hAnsi="Palatino Linotype"/>
          <w:color w:val="000000" w:themeColor="text1"/>
          <w:sz w:val="24"/>
          <w:szCs w:val="24"/>
          <w:shd w:val="clear" w:color="auto" w:fill="FFFFFF"/>
        </w:rPr>
      </w:pPr>
      <w:r w:rsidRPr="001D5444">
        <w:rPr>
          <w:rStyle w:val="normaltextrun"/>
          <w:rFonts w:ascii="Palatino Linotype" w:eastAsiaTheme="majorEastAsia" w:hAnsi="Palatino Linotype"/>
          <w:b/>
          <w:bCs/>
          <w:i/>
          <w:iCs/>
          <w:color w:val="000000" w:themeColor="text1"/>
          <w:sz w:val="24"/>
          <w:szCs w:val="24"/>
          <w:shd w:val="clear" w:color="auto" w:fill="FFFFFF"/>
        </w:rPr>
        <w:t xml:space="preserve">“REVISIÓN EN AMPARO. LOS RESOLUTIVOS NO COMBATIDOS DEBEN DECLARARSE FIRMES. </w:t>
      </w:r>
      <w:r w:rsidRPr="001D5444">
        <w:rPr>
          <w:rStyle w:val="normaltextrun"/>
          <w:rFonts w:ascii="Palatino Linotype" w:eastAsiaTheme="majorEastAsia" w:hAnsi="Palatino Linotype"/>
          <w:i/>
          <w:iCs/>
          <w:color w:val="000000" w:themeColor="text1"/>
          <w:sz w:val="24"/>
          <w:szCs w:val="24"/>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1D5444">
        <w:rPr>
          <w:rStyle w:val="eop"/>
          <w:rFonts w:ascii="Palatino Linotype" w:hAnsi="Palatino Linotype"/>
          <w:color w:val="000000" w:themeColor="text1"/>
          <w:sz w:val="24"/>
          <w:szCs w:val="24"/>
          <w:shd w:val="clear" w:color="auto" w:fill="FFFFFF"/>
        </w:rPr>
        <w:t> </w:t>
      </w:r>
    </w:p>
    <w:p w:rsidR="00FA1551" w:rsidRPr="001D5444" w:rsidRDefault="00FA1551" w:rsidP="001D5444">
      <w:pPr>
        <w:pStyle w:val="Prrafodelista"/>
        <w:ind w:left="0"/>
        <w:rPr>
          <w:rFonts w:ascii="Palatino Linotype" w:eastAsia="Palatino Linotype" w:hAnsi="Palatino Linotype" w:cs="Palatino Linotype"/>
          <w:color w:val="000000" w:themeColor="text1"/>
          <w:sz w:val="24"/>
          <w:szCs w:val="24"/>
        </w:rPr>
      </w:pPr>
    </w:p>
    <w:p w:rsidR="00FA1551" w:rsidRPr="001D5444" w:rsidRDefault="00FA1551" w:rsidP="001D5444">
      <w:pPr>
        <w:numPr>
          <w:ilvl w:val="0"/>
          <w:numId w:val="6"/>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 </w:t>
      </w:r>
      <w:r w:rsidRPr="001D5444">
        <w:rPr>
          <w:rStyle w:val="normaltextrun"/>
          <w:rFonts w:ascii="Palatino Linotype" w:eastAsiaTheme="majorEastAsia" w:hAnsi="Palatino Linotype"/>
          <w:color w:val="000000" w:themeColor="text1"/>
          <w:shd w:val="clear" w:color="auto" w:fill="FFFFFF"/>
          <w:lang w:val="es-ES"/>
        </w:rPr>
        <w:t xml:space="preserve">Consecuentemente, </w:t>
      </w:r>
      <w:r w:rsidRPr="001D5444">
        <w:rPr>
          <w:rStyle w:val="normaltextrun"/>
          <w:rFonts w:ascii="Palatino Linotype" w:eastAsiaTheme="majorEastAsia" w:hAnsi="Palatino Linotype"/>
          <w:color w:val="000000" w:themeColor="text1"/>
          <w:shd w:val="clear" w:color="auto" w:fill="FFFFFF"/>
        </w:rPr>
        <w:t xml:space="preserve">se reitera que la parte de la solicitud que no fue impugnada debe declararse consentida por el </w:t>
      </w:r>
      <w:r w:rsidRPr="001D5444">
        <w:rPr>
          <w:rStyle w:val="normaltextrun"/>
          <w:rFonts w:ascii="Palatino Linotype" w:eastAsiaTheme="majorEastAsia" w:hAnsi="Palatino Linotype"/>
          <w:b/>
          <w:bCs/>
          <w:color w:val="000000" w:themeColor="text1"/>
          <w:shd w:val="clear" w:color="auto" w:fill="FFFFFF"/>
        </w:rPr>
        <w:t>RECURRENTE</w:t>
      </w:r>
      <w:r w:rsidRPr="001D5444">
        <w:rPr>
          <w:rStyle w:val="normaltextrun"/>
          <w:rFonts w:ascii="Palatino Linotype" w:eastAsiaTheme="majorEastAsia" w:hAnsi="Palatino Linotype"/>
          <w:color w:val="000000" w:themeColor="text1"/>
          <w:shd w:val="clear" w:color="auto" w:fill="FFFFFF"/>
        </w:rPr>
        <w:t>, debido a que no se realizaron manifestaciones de inconformidad, por lo que no pueden producirse efectos jurídicos tendentes a revocar, confirmar o modificar el acto reclamado ya que se infiere un consentimiento del Recurrente</w:t>
      </w:r>
      <w:r w:rsidRPr="001D5444">
        <w:rPr>
          <w:rStyle w:val="normaltextrun"/>
          <w:rFonts w:ascii="Palatino Linotype" w:eastAsiaTheme="majorEastAsia" w:hAnsi="Palatino Linotype"/>
          <w:b/>
          <w:bCs/>
          <w:color w:val="000000" w:themeColor="text1"/>
          <w:shd w:val="clear" w:color="auto" w:fill="FFFFFF"/>
        </w:rPr>
        <w:t xml:space="preserve"> </w:t>
      </w:r>
      <w:r w:rsidRPr="001D5444">
        <w:rPr>
          <w:rStyle w:val="normaltextrun"/>
          <w:rFonts w:ascii="Palatino Linotype" w:eastAsiaTheme="majorEastAsia" w:hAnsi="Palatino Linotype"/>
          <w:color w:val="000000" w:themeColor="text1"/>
          <w:shd w:val="clear" w:color="auto" w:fill="FFFFFF"/>
        </w:rPr>
        <w:t>ante la falta de impugnación eficaz.</w:t>
      </w:r>
    </w:p>
    <w:p w:rsidR="00FA1551" w:rsidRPr="001D5444" w:rsidRDefault="00FA1551" w:rsidP="001D54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A1551" w:rsidRPr="001D5444" w:rsidRDefault="00FA1551" w:rsidP="001D5444">
      <w:pPr>
        <w:numPr>
          <w:ilvl w:val="0"/>
          <w:numId w:val="6"/>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D5444">
        <w:rPr>
          <w:rStyle w:val="normaltextrun"/>
          <w:rFonts w:ascii="Palatino Linotype" w:eastAsiaTheme="majorEastAsia" w:hAnsi="Palatino Linotype"/>
          <w:color w:val="000000" w:themeColor="text1"/>
          <w:shd w:val="clear" w:color="auto" w:fill="FFFFFF"/>
          <w:lang w:val="es-ES"/>
        </w:rPr>
        <w:t xml:space="preserve">Sirve </w:t>
      </w:r>
      <w:r w:rsidRPr="001D5444">
        <w:rPr>
          <w:rStyle w:val="normaltextrun"/>
          <w:rFonts w:ascii="Palatino Linotype" w:eastAsiaTheme="majorEastAsia" w:hAnsi="Palatino Linotype"/>
          <w:color w:val="000000" w:themeColor="text1"/>
          <w:shd w:val="clear" w:color="auto" w:fill="FFFFFF"/>
        </w:rPr>
        <w:t>de sustento a lo anterior por analogía la tesis jurisprudencial número VI.3o.C. J/60, publicada en el Semanario Judicial de la Federación y su Gaceta bajo el número de registro 176,608 que a la letra dice:</w:t>
      </w:r>
    </w:p>
    <w:p w:rsidR="00FA1551" w:rsidRPr="001D5444" w:rsidRDefault="00FA1551" w:rsidP="001D5444">
      <w:pPr>
        <w:pStyle w:val="Prrafodelista"/>
        <w:ind w:left="0"/>
        <w:jc w:val="both"/>
        <w:rPr>
          <w:rFonts w:ascii="Palatino Linotype" w:eastAsia="Palatino Linotype" w:hAnsi="Palatino Linotype" w:cs="Palatino Linotype"/>
          <w:color w:val="000000" w:themeColor="text1"/>
          <w:sz w:val="24"/>
          <w:szCs w:val="24"/>
        </w:rPr>
      </w:pPr>
      <w:r w:rsidRPr="001D5444">
        <w:rPr>
          <w:rStyle w:val="normaltextrun"/>
          <w:rFonts w:ascii="Palatino Linotype" w:eastAsiaTheme="majorEastAsia" w:hAnsi="Palatino Linotype"/>
          <w:b/>
          <w:bCs/>
          <w:i/>
          <w:iCs/>
          <w:smallCaps/>
          <w:color w:val="000000" w:themeColor="text1"/>
          <w:sz w:val="24"/>
          <w:szCs w:val="24"/>
          <w:shd w:val="clear" w:color="auto" w:fill="FFFFFF"/>
        </w:rPr>
        <w:t xml:space="preserve">ACTOS CONSENTIDOS. SON LOS QUE NO SE IMPUGNAN MEDIANTE EL RECURSO IDÓNEO. </w:t>
      </w:r>
      <w:r w:rsidRPr="001D5444">
        <w:rPr>
          <w:rStyle w:val="normaltextrun"/>
          <w:rFonts w:ascii="Palatino Linotype" w:eastAsiaTheme="majorEastAsia" w:hAnsi="Palatino Linotype"/>
          <w:i/>
          <w:iCs/>
          <w:color w:val="000000" w:themeColor="text1"/>
          <w:sz w:val="24"/>
          <w:szCs w:val="24"/>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1D5444">
        <w:rPr>
          <w:rStyle w:val="eop"/>
          <w:rFonts w:ascii="Palatino Linotype" w:hAnsi="Palatino Linotype"/>
          <w:color w:val="000000" w:themeColor="text1"/>
          <w:sz w:val="24"/>
          <w:szCs w:val="24"/>
          <w:shd w:val="clear" w:color="auto" w:fill="FFFFFF"/>
        </w:rPr>
        <w:t> </w:t>
      </w:r>
    </w:p>
    <w:p w:rsidR="00FA1551" w:rsidRPr="001D5444" w:rsidRDefault="00FA1551" w:rsidP="001D54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FA1551" w:rsidRPr="001D5444" w:rsidRDefault="00FA1551" w:rsidP="001D5444">
      <w:pPr>
        <w:numPr>
          <w:ilvl w:val="0"/>
          <w:numId w:val="6"/>
        </w:numPr>
        <w:pBdr>
          <w:top w:val="nil"/>
          <w:left w:val="nil"/>
          <w:bottom w:val="nil"/>
          <w:right w:val="nil"/>
          <w:between w:val="nil"/>
        </w:pBdr>
        <w:tabs>
          <w:tab w:val="left" w:pos="426"/>
          <w:tab w:val="left" w:pos="567"/>
        </w:tabs>
        <w:spacing w:line="360" w:lineRule="auto"/>
        <w:ind w:left="0" w:firstLine="0"/>
        <w:jc w:val="both"/>
        <w:rPr>
          <w:rStyle w:val="eop"/>
          <w:rFonts w:ascii="Palatino Linotype" w:eastAsia="Palatino Linotype" w:hAnsi="Palatino Linotype" w:cs="Palatino Linotype"/>
          <w:color w:val="000000" w:themeColor="text1"/>
        </w:rPr>
      </w:pPr>
      <w:r w:rsidRPr="001D5444">
        <w:rPr>
          <w:rStyle w:val="normaltextrun"/>
          <w:rFonts w:ascii="Palatino Linotype" w:eastAsiaTheme="majorEastAsia" w:hAnsi="Palatino Linotype"/>
          <w:color w:val="000000" w:themeColor="text1"/>
          <w:shd w:val="clear" w:color="auto" w:fill="FFFFFF"/>
          <w:lang w:val="es-ES"/>
        </w:rPr>
        <w:lastRenderedPageBreak/>
        <w:t xml:space="preserve">Para </w:t>
      </w:r>
      <w:r w:rsidRPr="001D5444">
        <w:rPr>
          <w:rStyle w:val="normaltextrun"/>
          <w:rFonts w:ascii="Palatino Linotype" w:eastAsiaTheme="majorEastAsia" w:hAnsi="Palatino Linotype"/>
          <w:color w:val="000000" w:themeColor="text1"/>
          <w:shd w:val="clear" w:color="auto" w:fill="FFFFFF"/>
        </w:rPr>
        <w:t>mayor abundamiento, también resulta aplicable el criterio 01/20 emitido por el entonces Instituto Nacional de Transparencia, Acceso a la Información Pública y Protección de Datos Personales, que a la letra estipula lo siguiente:</w:t>
      </w:r>
      <w:r w:rsidRPr="001D5444">
        <w:rPr>
          <w:rStyle w:val="eop"/>
          <w:rFonts w:ascii="Palatino Linotype" w:hAnsi="Palatino Linotype"/>
          <w:color w:val="000000" w:themeColor="text1"/>
          <w:shd w:val="clear" w:color="auto" w:fill="FFFFFF"/>
        </w:rPr>
        <w:t> </w:t>
      </w:r>
    </w:p>
    <w:p w:rsidR="00FA1551" w:rsidRPr="001D5444" w:rsidRDefault="00FA1551" w:rsidP="001D5444">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1D5444">
        <w:rPr>
          <w:rStyle w:val="normaltextrun"/>
          <w:rFonts w:ascii="Palatino Linotype" w:eastAsiaTheme="majorEastAsia" w:hAnsi="Palatino Linotype"/>
          <w:b/>
          <w:bCs/>
          <w:i/>
          <w:iCs/>
          <w:color w:val="000000" w:themeColor="text1"/>
          <w:shd w:val="clear" w:color="auto" w:fill="FFFFFF"/>
        </w:rPr>
        <w:t>Actos consentidos tácitamente. Improcedencia de su análisis.</w:t>
      </w:r>
      <w:r w:rsidRPr="001D5444">
        <w:rPr>
          <w:rStyle w:val="normaltextrun"/>
          <w:rFonts w:ascii="Palatino Linotype" w:eastAsiaTheme="majorEastAsia" w:hAnsi="Palatino Linotype"/>
          <w:i/>
          <w:iCs/>
          <w:color w:val="000000" w:themeColor="text1"/>
          <w:shd w:val="clear" w:color="auto" w:fill="FFFFFF"/>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1D5444">
        <w:rPr>
          <w:rStyle w:val="eop"/>
          <w:rFonts w:ascii="Palatino Linotype" w:hAnsi="Palatino Linotype"/>
          <w:color w:val="000000" w:themeColor="text1"/>
          <w:shd w:val="clear" w:color="auto" w:fill="FFFFFF"/>
        </w:rPr>
        <w:t> </w:t>
      </w:r>
    </w:p>
    <w:p w:rsidR="00FA1551" w:rsidRPr="001D5444" w:rsidRDefault="00FA1551" w:rsidP="001D54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C42845" w:rsidRPr="001D5444" w:rsidRDefault="00FA1551" w:rsidP="001D5444">
      <w:pPr>
        <w:pStyle w:val="Prrafodelista"/>
        <w:numPr>
          <w:ilvl w:val="0"/>
          <w:numId w:val="6"/>
        </w:numPr>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1D5444">
        <w:rPr>
          <w:rStyle w:val="normaltextrun"/>
          <w:rFonts w:ascii="Palatino Linotype" w:eastAsiaTheme="majorEastAsia" w:hAnsi="Palatino Linotype"/>
          <w:color w:val="000000" w:themeColor="text1"/>
          <w:sz w:val="24"/>
          <w:szCs w:val="24"/>
          <w:shd w:val="clear" w:color="auto" w:fill="FFFFFF"/>
        </w:rPr>
        <w:t xml:space="preserve">De lo referido, y a efecto de garantizar el efectivo ejercicio del derecho de acceso a la información pública que asiste al </w:t>
      </w:r>
      <w:r w:rsidRPr="001D5444">
        <w:rPr>
          <w:rStyle w:val="normaltextrun"/>
          <w:rFonts w:ascii="Palatino Linotype" w:eastAsiaTheme="majorEastAsia" w:hAnsi="Palatino Linotype"/>
          <w:b/>
          <w:bCs/>
          <w:color w:val="000000" w:themeColor="text1"/>
          <w:sz w:val="24"/>
          <w:szCs w:val="24"/>
          <w:shd w:val="clear" w:color="auto" w:fill="FFFFFF"/>
        </w:rPr>
        <w:t>RECURRENTE</w:t>
      </w:r>
      <w:r w:rsidRPr="001D5444">
        <w:rPr>
          <w:rStyle w:val="normaltextrun"/>
          <w:rFonts w:ascii="Palatino Linotype" w:eastAsiaTheme="majorEastAsia" w:hAnsi="Palatino Linotype"/>
          <w:color w:val="000000" w:themeColor="text1"/>
          <w:sz w:val="24"/>
          <w:szCs w:val="24"/>
          <w:shd w:val="clear" w:color="auto" w:fill="FFFFFF"/>
        </w:rPr>
        <w:t xml:space="preserve">, resulta conveniente precisar que </w:t>
      </w:r>
      <w:r w:rsidR="00C42845" w:rsidRPr="001D5444">
        <w:rPr>
          <w:rFonts w:ascii="Palatino Linotype" w:eastAsia="Palatino Linotype" w:hAnsi="Palatino Linotype" w:cs="Palatino Linotype"/>
          <w:color w:val="000000" w:themeColor="text1"/>
          <w:sz w:val="24"/>
          <w:szCs w:val="24"/>
        </w:rPr>
        <w:t xml:space="preserve">por medio de un acto jurídico posterior como lo es el informe justificado, el </w:t>
      </w:r>
      <w:r w:rsidR="00C42845" w:rsidRPr="001D5444">
        <w:rPr>
          <w:rFonts w:ascii="Palatino Linotype" w:eastAsia="Palatino Linotype" w:hAnsi="Palatino Linotype" w:cs="Palatino Linotype"/>
          <w:b/>
          <w:color w:val="000000" w:themeColor="text1"/>
          <w:sz w:val="24"/>
          <w:szCs w:val="24"/>
        </w:rPr>
        <w:t>SUJETO OBLIGADO</w:t>
      </w:r>
      <w:r w:rsidR="00C42845" w:rsidRPr="001D5444">
        <w:rPr>
          <w:rFonts w:ascii="Palatino Linotype" w:eastAsia="Palatino Linotype" w:hAnsi="Palatino Linotype" w:cs="Palatino Linotype"/>
          <w:color w:val="000000" w:themeColor="text1"/>
          <w:sz w:val="24"/>
          <w:szCs w:val="24"/>
        </w:rPr>
        <w:t xml:space="preserve"> a través del titular de la Unidad de Información, Planeación, Programación y Evaluación</w:t>
      </w:r>
      <w:r w:rsidR="00C42845" w:rsidRPr="001D5444">
        <w:rPr>
          <w:rFonts w:ascii="Palatino Linotype" w:hAnsi="Palatino Linotype"/>
          <w:color w:val="000000" w:themeColor="text1"/>
          <w:sz w:val="24"/>
          <w:szCs w:val="24"/>
        </w:rPr>
        <w:t xml:space="preserve">, </w:t>
      </w:r>
      <w:r w:rsidR="00C42845" w:rsidRPr="001D5444">
        <w:rPr>
          <w:rFonts w:ascii="Palatino Linotype" w:eastAsia="Palatino Linotype" w:hAnsi="Palatino Linotype" w:cs="Palatino Linotype"/>
          <w:noProof/>
          <w:color w:val="000000" w:themeColor="text1"/>
          <w:sz w:val="24"/>
          <w:szCs w:val="24"/>
        </w:rPr>
        <w:t>informó que esa Unidad Administrativa localizó mayor información a fin de garantizar el derecho de acceso a la información pública, por lo que remite el Informe Anual de Ejecución del Plan de Desarrollo Municpal 2022-2024, Ejercicio Fiscal 2024, modificando la respuesta inicial.</w:t>
      </w:r>
    </w:p>
    <w:p w:rsidR="00C42845" w:rsidRPr="001D5444" w:rsidRDefault="00C42845" w:rsidP="001D5444">
      <w:pPr>
        <w:spacing w:line="360" w:lineRule="auto"/>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Así las cosas,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E76587" w:rsidRPr="001D5444" w:rsidRDefault="00E76587" w:rsidP="001D54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42845" w:rsidRPr="001D5444" w:rsidRDefault="00C42845" w:rsidP="001D5444">
      <w:pPr>
        <w:pStyle w:val="Prrafodelista"/>
        <w:numPr>
          <w:ilvl w:val="0"/>
          <w:numId w:val="6"/>
        </w:numPr>
        <w:spacing w:line="360" w:lineRule="auto"/>
        <w:ind w:left="0" w:firstLine="0"/>
        <w:jc w:val="both"/>
        <w:rPr>
          <w:rFonts w:ascii="Palatino Linotype" w:eastAsia="Palatino Linotype" w:hAnsi="Palatino Linotype" w:cs="Palatino Linotype"/>
          <w:color w:val="000000" w:themeColor="text1"/>
          <w:sz w:val="24"/>
          <w:szCs w:val="24"/>
        </w:rPr>
      </w:pPr>
      <w:r w:rsidRPr="001D5444">
        <w:rPr>
          <w:rFonts w:ascii="Palatino Linotype" w:eastAsia="Palatino Linotype" w:hAnsi="Palatino Linotype" w:cs="Palatino Linotype"/>
          <w:color w:val="000000" w:themeColor="text1"/>
          <w:sz w:val="24"/>
          <w:szCs w:val="24"/>
        </w:rPr>
        <w:lastRenderedPageBreak/>
        <w:t>En este sentido, para atender las solicitudes de información, los Sujetos Obligados contarán con un área denominada Unidad de Transparencia</w:t>
      </w:r>
      <w:r w:rsidRPr="001D5444">
        <w:rPr>
          <w:rFonts w:ascii="Palatino Linotype" w:eastAsia="Palatino Linotype" w:hAnsi="Palatino Linotype"/>
          <w:color w:val="000000" w:themeColor="text1"/>
          <w:sz w:val="24"/>
          <w:szCs w:val="24"/>
          <w:vertAlign w:val="superscript"/>
        </w:rPr>
        <w:footnoteReference w:id="1"/>
      </w:r>
      <w:r w:rsidRPr="001D5444">
        <w:rPr>
          <w:rFonts w:ascii="Palatino Linotype" w:eastAsia="Palatino Linotype" w:hAnsi="Palatino Linotype" w:cs="Palatino Linotype"/>
          <w:color w:val="000000" w:themeColor="text1"/>
          <w:sz w:val="24"/>
          <w:szCs w:val="24"/>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1D5444">
        <w:rPr>
          <w:rFonts w:ascii="Palatino Linotype" w:eastAsia="Palatino Linotype" w:hAnsi="Palatino Linotype" w:cs="Palatino Linotype"/>
          <w:b/>
          <w:color w:val="000000" w:themeColor="text1"/>
          <w:sz w:val="24"/>
          <w:szCs w:val="24"/>
        </w:rPr>
        <w:t xml:space="preserve"> </w:t>
      </w:r>
      <w:r w:rsidRPr="001D5444">
        <w:rPr>
          <w:rFonts w:ascii="Palatino Linotype" w:eastAsia="Palatino Linotype" w:hAnsi="Palatino Linotype" w:cs="Palatino Linotype"/>
          <w:color w:val="000000" w:themeColor="text1"/>
          <w:sz w:val="24"/>
          <w:szCs w:val="24"/>
        </w:rPr>
        <w:t>en los términos de la Ley General y la Ley de Transparencia y Acceso a la Información Pública del Estado de México y Municipios</w:t>
      </w:r>
      <w:r w:rsidRPr="001D5444">
        <w:rPr>
          <w:rFonts w:ascii="Palatino Linotype" w:eastAsia="Palatino Linotype" w:hAnsi="Palatino Linotype"/>
          <w:color w:val="000000" w:themeColor="text1"/>
          <w:sz w:val="24"/>
          <w:szCs w:val="24"/>
          <w:vertAlign w:val="superscript"/>
        </w:rPr>
        <w:footnoteReference w:id="2"/>
      </w:r>
      <w:r w:rsidRPr="001D5444">
        <w:rPr>
          <w:rFonts w:ascii="Palatino Linotype" w:eastAsia="Palatino Linotype" w:hAnsi="Palatino Linotype" w:cs="Palatino Linotype"/>
          <w:color w:val="000000" w:themeColor="text1"/>
          <w:sz w:val="24"/>
          <w:szCs w:val="24"/>
        </w:rPr>
        <w:t>.</w:t>
      </w:r>
    </w:p>
    <w:p w:rsidR="00C42845" w:rsidRPr="001D5444" w:rsidRDefault="00C42845" w:rsidP="001D5444">
      <w:pPr>
        <w:rPr>
          <w:rFonts w:ascii="Palatino Linotype" w:eastAsia="Palatino Linotype" w:hAnsi="Palatino Linotype" w:cs="Palatino Linotype"/>
          <w:color w:val="000000" w:themeColor="text1"/>
        </w:rPr>
      </w:pPr>
    </w:p>
    <w:p w:rsidR="00C42845" w:rsidRPr="001D5444" w:rsidRDefault="00C42845" w:rsidP="001D5444">
      <w:pPr>
        <w:pStyle w:val="Prrafodelista"/>
        <w:numPr>
          <w:ilvl w:val="0"/>
          <w:numId w:val="6"/>
        </w:numPr>
        <w:pBdr>
          <w:top w:val="nil"/>
          <w:left w:val="nil"/>
          <w:bottom w:val="nil"/>
          <w:right w:val="nil"/>
          <w:between w:val="nil"/>
        </w:pBdr>
        <w:tabs>
          <w:tab w:val="left" w:pos="426"/>
          <w:tab w:val="left" w:pos="567"/>
        </w:tabs>
        <w:spacing w:line="360" w:lineRule="auto"/>
        <w:ind w:left="0" w:firstLine="0"/>
        <w:contextualSpacing/>
        <w:jc w:val="both"/>
        <w:rPr>
          <w:rFonts w:ascii="Palatino Linotype" w:eastAsia="Palatino Linotype" w:hAnsi="Palatino Linotype" w:cs="Palatino Linotype"/>
          <w:color w:val="000000" w:themeColor="text1"/>
          <w:sz w:val="24"/>
          <w:szCs w:val="24"/>
        </w:rPr>
      </w:pPr>
      <w:r w:rsidRPr="001D5444">
        <w:rPr>
          <w:rFonts w:ascii="Palatino Linotype" w:eastAsia="Palatino Linotype" w:hAnsi="Palatino Linotype" w:cs="Palatino Linotype"/>
          <w:color w:val="000000" w:themeColor="text1"/>
          <w:sz w:val="24"/>
          <w:szCs w:val="24"/>
        </w:rPr>
        <w:t>De conformidad con lo dispuesto en la Ley de Transparencia y Acceso a la Información Pública del Estado de México y Municipios, las Unidades de Transparencia tendrán, entre sus atribuciones, las siguientes:</w:t>
      </w:r>
    </w:p>
    <w:p w:rsidR="00C42845" w:rsidRPr="001D5444" w:rsidRDefault="00C42845" w:rsidP="001D5444">
      <w:pPr>
        <w:numPr>
          <w:ilvl w:val="1"/>
          <w:numId w:val="1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Recibir, tramitar y dar respuesta a las solicitudes de acceso a la información;</w:t>
      </w:r>
    </w:p>
    <w:p w:rsidR="00C42845" w:rsidRPr="001D5444" w:rsidRDefault="00C42845" w:rsidP="001D5444">
      <w:pPr>
        <w:numPr>
          <w:ilvl w:val="1"/>
          <w:numId w:val="1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C42845" w:rsidRPr="001D5444" w:rsidRDefault="00C42845" w:rsidP="001D5444">
      <w:pPr>
        <w:numPr>
          <w:ilvl w:val="1"/>
          <w:numId w:val="17"/>
        </w:numPr>
        <w:pBdr>
          <w:top w:val="nil"/>
          <w:left w:val="nil"/>
          <w:bottom w:val="nil"/>
          <w:right w:val="nil"/>
          <w:between w:val="nil"/>
        </w:pBdr>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Entregar, en su caso, a los particulares la información solicitada; y </w:t>
      </w:r>
    </w:p>
    <w:p w:rsidR="00436800" w:rsidRDefault="00C42845" w:rsidP="00436800">
      <w:pPr>
        <w:numPr>
          <w:ilvl w:val="1"/>
          <w:numId w:val="17"/>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Efectuar las notificaciones a los solicitantes.</w:t>
      </w:r>
    </w:p>
    <w:p w:rsidR="00436800" w:rsidRPr="00436800" w:rsidRDefault="00436800" w:rsidP="00436800">
      <w:pPr>
        <w:pBdr>
          <w:top w:val="nil"/>
          <w:left w:val="nil"/>
          <w:bottom w:val="nil"/>
          <w:right w:val="nil"/>
          <w:between w:val="nil"/>
        </w:pBdr>
        <w:spacing w:after="240"/>
        <w:jc w:val="both"/>
        <w:rPr>
          <w:rFonts w:ascii="Palatino Linotype" w:eastAsia="Palatino Linotype" w:hAnsi="Palatino Linotype" w:cs="Palatino Linotype"/>
          <w:color w:val="000000" w:themeColor="text1"/>
        </w:rPr>
      </w:pPr>
    </w:p>
    <w:p w:rsidR="00C42845"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1D5444">
        <w:rPr>
          <w:rFonts w:ascii="Palatino Linotype" w:eastAsia="Palatino Linotype" w:hAnsi="Palatino Linotype" w:cs="Palatino Linotype"/>
          <w:b/>
          <w:color w:val="000000" w:themeColor="text1"/>
        </w:rPr>
        <w:t xml:space="preserve">SUJETO OBLIGADO </w:t>
      </w:r>
      <w:r w:rsidRPr="001D5444">
        <w:rPr>
          <w:rFonts w:ascii="Palatino Linotype" w:eastAsia="Palatino Linotype" w:hAnsi="Palatino Linotype" w:cs="Palatino Linotype"/>
          <w:color w:val="000000" w:themeColor="text1"/>
        </w:rPr>
        <w:t>a propuesta del responsable de la Unidad de Transparencia</w:t>
      </w:r>
      <w:r w:rsidRPr="001D5444">
        <w:rPr>
          <w:rFonts w:ascii="Palatino Linotype" w:eastAsia="Palatino Linotype" w:hAnsi="Palatino Linotype" w:cs="Palatino Linotype"/>
          <w:color w:val="000000" w:themeColor="text1"/>
          <w:vertAlign w:val="superscript"/>
        </w:rPr>
        <w:footnoteReference w:id="3"/>
      </w:r>
      <w:r w:rsidRPr="001D5444">
        <w:rPr>
          <w:rFonts w:ascii="Palatino Linotype" w:eastAsia="Palatino Linotype" w:hAnsi="Palatino Linotype" w:cs="Palatino Linotype"/>
          <w:color w:val="000000" w:themeColor="text1"/>
        </w:rPr>
        <w:t xml:space="preserve"> y tendrán, entre sus atribuciones, las siguientes</w:t>
      </w:r>
      <w:r w:rsidRPr="001D5444">
        <w:rPr>
          <w:rFonts w:ascii="Palatino Linotype" w:eastAsia="Palatino Linotype" w:hAnsi="Palatino Linotype" w:cs="Palatino Linotype"/>
          <w:color w:val="000000" w:themeColor="text1"/>
          <w:vertAlign w:val="superscript"/>
        </w:rPr>
        <w:footnoteReference w:id="4"/>
      </w:r>
      <w:r w:rsidRPr="001D5444">
        <w:rPr>
          <w:rFonts w:ascii="Palatino Linotype" w:eastAsia="Palatino Linotype" w:hAnsi="Palatino Linotype" w:cs="Palatino Linotype"/>
          <w:color w:val="000000" w:themeColor="text1"/>
        </w:rPr>
        <w:t>:</w:t>
      </w:r>
    </w:p>
    <w:p w:rsidR="00C42845" w:rsidRPr="001D5444" w:rsidRDefault="00C42845" w:rsidP="001D5444">
      <w:pPr>
        <w:numPr>
          <w:ilvl w:val="1"/>
          <w:numId w:val="18"/>
        </w:numPr>
        <w:pBdr>
          <w:top w:val="nil"/>
          <w:left w:val="nil"/>
          <w:bottom w:val="nil"/>
          <w:right w:val="nil"/>
          <w:between w:val="nil"/>
        </w:pBdr>
        <w:spacing w:before="240"/>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lastRenderedPageBreak/>
        <w:t>Localizar la información que le solicite la Unidad de Transparencia; y</w:t>
      </w:r>
    </w:p>
    <w:p w:rsidR="00C42845" w:rsidRPr="001D5444" w:rsidRDefault="00C42845" w:rsidP="001D5444">
      <w:pPr>
        <w:numPr>
          <w:ilvl w:val="1"/>
          <w:numId w:val="18"/>
        </w:numPr>
        <w:pBdr>
          <w:top w:val="nil"/>
          <w:left w:val="nil"/>
          <w:bottom w:val="nil"/>
          <w:right w:val="nil"/>
          <w:between w:val="nil"/>
        </w:pBdr>
        <w:spacing w:after="240"/>
        <w:ind w:left="0" w:hanging="142"/>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C42845" w:rsidRPr="001D5444" w:rsidRDefault="00C42845" w:rsidP="001D5444">
      <w:pPr>
        <w:tabs>
          <w:tab w:val="left" w:pos="426"/>
          <w:tab w:val="left" w:pos="567"/>
        </w:tabs>
        <w:jc w:val="both"/>
        <w:rPr>
          <w:rFonts w:ascii="Palatino Linotype" w:eastAsia="Palatino Linotype" w:hAnsi="Palatino Linotype" w:cs="Palatino Linotype"/>
          <w:color w:val="000000" w:themeColor="text1"/>
        </w:rPr>
      </w:pPr>
    </w:p>
    <w:p w:rsidR="00C42845"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De tal manera que cada una de las áreas administrativas del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42845" w:rsidRPr="001D5444" w:rsidRDefault="00C42845" w:rsidP="001D5444">
      <w:pPr>
        <w:rPr>
          <w:rFonts w:ascii="Palatino Linotype" w:eastAsia="Palatino Linotype" w:hAnsi="Palatino Linotype" w:cs="Palatino Linotype"/>
          <w:color w:val="000000" w:themeColor="text1"/>
        </w:rPr>
      </w:pPr>
    </w:p>
    <w:p w:rsidR="00C42845"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b/>
          <w:i/>
          <w:color w:val="000000" w:themeColor="text1"/>
        </w:rPr>
        <w:t>“Artículo 53</w:t>
      </w:r>
      <w:r w:rsidRPr="001D5444">
        <w:rPr>
          <w:rFonts w:ascii="Palatino Linotype" w:eastAsia="Palatino Linotype" w:hAnsi="Palatino Linotype" w:cs="Palatino Linotype"/>
          <w:i/>
          <w:color w:val="000000" w:themeColor="text1"/>
        </w:rPr>
        <w:t xml:space="preserve">. Las Unidades de Transparencia tendrán las siguientes funciones: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D5444">
        <w:rPr>
          <w:rFonts w:ascii="Palatino Linotype" w:eastAsia="Palatino Linotype" w:hAnsi="Palatino Linotype" w:cs="Palatino Linotype"/>
          <w:b/>
          <w:i/>
          <w:color w:val="000000" w:themeColor="text1"/>
        </w:rPr>
        <w:t xml:space="preserve">II. Recibir, tramitar y dar respuesta a las solicitudes de acceso a la información;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D5444">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V. Entregar, en su caso, a los particulares la información solicitada;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VI. Efectuar las notificaciones a los solicitantes;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lastRenderedPageBreak/>
        <w:t xml:space="preserve">VIII. Proponer a quien preside el Comité de Transparencia, personal habilitado que sea necesario para recibir y dar trámite a las solicitudes de acceso a la información;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1D5444">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X. Presentar ante el Comité, el proyecto de clasificación de información;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XII. Fomentar la transparencia y accesibilidad al interior del sujeto obligado; </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C42845" w:rsidRPr="001D5444" w:rsidRDefault="00C42845" w:rsidP="001D54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C42845" w:rsidRPr="001D5444" w:rsidRDefault="00C42845" w:rsidP="001D5444">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1D5444">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C42845"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C42845" w:rsidRPr="001D5444" w:rsidRDefault="00C42845" w:rsidP="001D54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995E77" w:rsidRPr="001D5444" w:rsidRDefault="00C42845"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Ahora bien , resulta conveniente referir que</w:t>
      </w:r>
      <w:r w:rsidR="00995E77" w:rsidRPr="001D5444">
        <w:rPr>
          <w:rFonts w:ascii="Palatino Linotype" w:eastAsia="Palatino Linotype" w:hAnsi="Palatino Linotype" w:cs="Palatino Linotype"/>
          <w:color w:val="000000" w:themeColor="text1"/>
        </w:rPr>
        <w:t xml:space="preserve"> el Código Reglamentario Municipal de Toluca, en el artículo 3.11 </w:t>
      </w:r>
      <w:r w:rsidR="002533B5" w:rsidRPr="001D5444">
        <w:rPr>
          <w:rFonts w:ascii="Palatino Linotype" w:eastAsia="Palatino Linotype" w:hAnsi="Palatino Linotype" w:cs="Palatino Linotype"/>
          <w:color w:val="000000" w:themeColor="text1"/>
        </w:rPr>
        <w:t xml:space="preserve">y 3.12, </w:t>
      </w:r>
      <w:r w:rsidR="00995E77" w:rsidRPr="001D5444">
        <w:rPr>
          <w:rFonts w:ascii="Palatino Linotype" w:eastAsia="Palatino Linotype" w:hAnsi="Palatino Linotype" w:cs="Palatino Linotype"/>
          <w:color w:val="000000" w:themeColor="text1"/>
        </w:rPr>
        <w:t xml:space="preserve">las atribuciones </w:t>
      </w:r>
      <w:r w:rsidR="002533B5" w:rsidRPr="001D5444">
        <w:rPr>
          <w:rFonts w:ascii="Palatino Linotype" w:eastAsia="Palatino Linotype" w:hAnsi="Palatino Linotype" w:cs="Palatino Linotype"/>
          <w:color w:val="000000" w:themeColor="text1"/>
        </w:rPr>
        <w:t xml:space="preserve">con las que cuenta </w:t>
      </w:r>
      <w:r w:rsidR="00995E77" w:rsidRPr="001D5444">
        <w:rPr>
          <w:rFonts w:ascii="Palatino Linotype" w:eastAsia="Palatino Linotype" w:hAnsi="Palatino Linotype" w:cs="Palatino Linotype"/>
          <w:color w:val="000000" w:themeColor="text1"/>
        </w:rPr>
        <w:t>la Secretaría del Ayuntamiento</w:t>
      </w:r>
      <w:r w:rsidR="002533B5" w:rsidRPr="001D5444">
        <w:rPr>
          <w:rFonts w:ascii="Palatino Linotype" w:eastAsia="Palatino Linotype" w:hAnsi="Palatino Linotype" w:cs="Palatino Linotype"/>
          <w:color w:val="000000" w:themeColor="text1"/>
        </w:rPr>
        <w:t>; así como las Unidades Administrativas con las que se auxiliara para el cumplimiento de sus funciones</w:t>
      </w:r>
      <w:r w:rsidR="00995E77" w:rsidRPr="001D5444">
        <w:rPr>
          <w:rFonts w:ascii="Palatino Linotype" w:eastAsia="Palatino Linotype" w:hAnsi="Palatino Linotype" w:cs="Palatino Linotype"/>
          <w:color w:val="000000" w:themeColor="text1"/>
        </w:rPr>
        <w:t>,</w:t>
      </w:r>
      <w:r w:rsidR="002533B5" w:rsidRPr="001D5444">
        <w:rPr>
          <w:rFonts w:ascii="Palatino Linotype" w:eastAsia="Palatino Linotype" w:hAnsi="Palatino Linotype" w:cs="Palatino Linotype"/>
          <w:color w:val="000000" w:themeColor="text1"/>
        </w:rPr>
        <w:t xml:space="preserve"> mismo que a la letra reza</w:t>
      </w:r>
      <w:r w:rsidR="00995E77" w:rsidRPr="001D5444">
        <w:rPr>
          <w:rFonts w:ascii="Palatino Linotype" w:eastAsia="Palatino Linotype" w:hAnsi="Palatino Linotype" w:cs="Palatino Linotype"/>
          <w:color w:val="000000" w:themeColor="text1"/>
        </w:rPr>
        <w:t>:</w:t>
      </w:r>
    </w:p>
    <w:p w:rsidR="002533B5" w:rsidRPr="001D5444" w:rsidRDefault="002533B5" w:rsidP="001D5444">
      <w:pPr>
        <w:pStyle w:val="Prrafodelista"/>
        <w:ind w:left="0"/>
        <w:rPr>
          <w:rFonts w:ascii="Palatino Linotype" w:eastAsia="Palatino Linotype" w:hAnsi="Palatino Linotype" w:cs="Palatino Linotype"/>
          <w:color w:val="000000" w:themeColor="text1"/>
          <w:sz w:val="24"/>
          <w:szCs w:val="24"/>
        </w:rPr>
      </w:pPr>
    </w:p>
    <w:p w:rsidR="002533B5" w:rsidRPr="001D5444" w:rsidRDefault="002533B5" w:rsidP="001D5444">
      <w:pPr>
        <w:jc w:val="both"/>
        <w:rPr>
          <w:rFonts w:ascii="Palatino Linotype" w:hAnsi="Palatino Linotype"/>
          <w:i/>
          <w:color w:val="000000" w:themeColor="text1"/>
        </w:rPr>
      </w:pPr>
      <w:r w:rsidRPr="001D5444">
        <w:rPr>
          <w:rFonts w:ascii="Palatino Linotype" w:hAnsi="Palatino Linotype"/>
          <w:i/>
          <w:color w:val="000000" w:themeColor="text1"/>
        </w:rPr>
        <w:lastRenderedPageBreak/>
        <w:t>A</w:t>
      </w:r>
      <w:r w:rsidRPr="001D5444">
        <w:rPr>
          <w:rFonts w:ascii="Palatino Linotype" w:hAnsi="Palatino Linotype"/>
          <w:b/>
          <w:i/>
          <w:color w:val="000000" w:themeColor="text1"/>
        </w:rPr>
        <w:t xml:space="preserve">rtículo 3.11. </w:t>
      </w:r>
      <w:r w:rsidRPr="001D5444">
        <w:rPr>
          <w:rFonts w:ascii="Palatino Linotype" w:hAnsi="Palatino Linotype"/>
          <w:i/>
          <w:color w:val="000000" w:themeColor="text1"/>
        </w:rPr>
        <w:t xml:space="preserve">A la o el titular de la </w:t>
      </w:r>
      <w:r w:rsidRPr="001D5444">
        <w:rPr>
          <w:rFonts w:ascii="Palatino Linotype" w:hAnsi="Palatino Linotype"/>
          <w:b/>
          <w:i/>
          <w:color w:val="000000" w:themeColor="text1"/>
        </w:rPr>
        <w:t>Secretaría del Ayuntamiento</w:t>
      </w:r>
      <w:r w:rsidRPr="001D5444">
        <w:rPr>
          <w:rFonts w:ascii="Palatino Linotype" w:hAnsi="Palatino Linotype"/>
          <w:i/>
          <w:color w:val="000000" w:themeColor="text1"/>
        </w:rPr>
        <w:t xml:space="preserve"> le corresponde, además de las atribuciones que le confiere la Ley Orgánica Municipal, el despacho de los siguientes asuntos:</w:t>
      </w:r>
    </w:p>
    <w:p w:rsidR="002533B5" w:rsidRPr="001D5444" w:rsidRDefault="002533B5" w:rsidP="001D5444">
      <w:pPr>
        <w:jc w:val="both"/>
        <w:rPr>
          <w:rFonts w:ascii="Palatino Linotype" w:hAnsi="Palatino Linotype"/>
          <w:i/>
          <w:color w:val="000000" w:themeColor="text1"/>
        </w:rPr>
      </w:pPr>
    </w:p>
    <w:p w:rsidR="00995E77" w:rsidRPr="001D5444" w:rsidRDefault="00995E77" w:rsidP="001D5444">
      <w:pPr>
        <w:jc w:val="both"/>
        <w:rPr>
          <w:rFonts w:ascii="Palatino Linotype" w:hAnsi="Palatino Linotype"/>
          <w:i/>
          <w:color w:val="000000" w:themeColor="text1"/>
        </w:rPr>
      </w:pPr>
      <w:r w:rsidRPr="001D5444">
        <w:rPr>
          <w:rFonts w:ascii="Palatino Linotype" w:hAnsi="Palatino Linotype"/>
          <w:i/>
          <w:color w:val="000000" w:themeColor="text1"/>
        </w:rPr>
        <w:t>I. Preparar y coordinar las sesiones de cabildo, teniendo bajo su resguardo los libros de actas y sus apéndices;</w:t>
      </w:r>
    </w:p>
    <w:p w:rsidR="002533B5" w:rsidRPr="001D5444" w:rsidRDefault="002533B5" w:rsidP="001D5444">
      <w:pPr>
        <w:jc w:val="both"/>
        <w:rPr>
          <w:rFonts w:ascii="Palatino Linotype" w:hAnsi="Palatino Linotype"/>
          <w:i/>
          <w:color w:val="000000" w:themeColor="text1"/>
        </w:rPr>
      </w:pPr>
      <w:r w:rsidRPr="001D5444">
        <w:rPr>
          <w:rFonts w:ascii="Palatino Linotype" w:hAnsi="Palatino Linotype"/>
          <w:i/>
          <w:color w:val="000000" w:themeColor="text1"/>
        </w:rPr>
        <w:t>(…)</w:t>
      </w:r>
    </w:p>
    <w:p w:rsidR="002533B5" w:rsidRPr="001D5444" w:rsidRDefault="00995E77" w:rsidP="001D5444">
      <w:pPr>
        <w:jc w:val="both"/>
        <w:rPr>
          <w:rFonts w:ascii="Palatino Linotype" w:hAnsi="Palatino Linotype"/>
          <w:b/>
          <w:i/>
          <w:color w:val="000000" w:themeColor="text1"/>
          <w:u w:val="single"/>
        </w:rPr>
      </w:pPr>
      <w:r w:rsidRPr="001D5444">
        <w:rPr>
          <w:rFonts w:ascii="Palatino Linotype" w:hAnsi="Palatino Linotype"/>
          <w:b/>
          <w:i/>
          <w:color w:val="000000" w:themeColor="text1"/>
          <w:u w:val="single"/>
        </w:rPr>
        <w:t xml:space="preserve">XXVIII Hacer cumplir las disposiciones en materia de transparencia, acceso a la información pública y protección de datos personales, de conformidad a la normatividad aplicable; </w:t>
      </w:r>
    </w:p>
    <w:p w:rsidR="002533B5" w:rsidRPr="001D5444" w:rsidRDefault="00995E77" w:rsidP="001D5444">
      <w:pPr>
        <w:jc w:val="both"/>
        <w:rPr>
          <w:rFonts w:ascii="Palatino Linotype" w:hAnsi="Palatino Linotype"/>
          <w:b/>
          <w:i/>
          <w:color w:val="000000" w:themeColor="text1"/>
          <w:u w:val="single"/>
        </w:rPr>
      </w:pPr>
      <w:r w:rsidRPr="001D5444">
        <w:rPr>
          <w:rFonts w:ascii="Palatino Linotype" w:hAnsi="Palatino Linotype"/>
          <w:b/>
          <w:i/>
          <w:color w:val="000000" w:themeColor="text1"/>
          <w:u w:val="single"/>
        </w:rPr>
        <w:t xml:space="preserve">XXIX. Coordinar lo relativo a la planeación para el desarrollo municipal; </w:t>
      </w:r>
    </w:p>
    <w:p w:rsidR="002533B5" w:rsidRPr="001D5444" w:rsidRDefault="00995E77" w:rsidP="001D5444">
      <w:pPr>
        <w:jc w:val="both"/>
        <w:rPr>
          <w:rFonts w:ascii="Palatino Linotype" w:hAnsi="Palatino Linotype"/>
          <w:b/>
          <w:i/>
          <w:color w:val="000000" w:themeColor="text1"/>
          <w:u w:val="single"/>
        </w:rPr>
      </w:pPr>
      <w:r w:rsidRPr="001D5444">
        <w:rPr>
          <w:rFonts w:ascii="Palatino Linotype" w:hAnsi="Palatino Linotype"/>
          <w:b/>
          <w:i/>
          <w:color w:val="000000" w:themeColor="text1"/>
          <w:u w:val="single"/>
        </w:rPr>
        <w:t xml:space="preserve">XXX. Integrar los programas sectoriales, especiales y anuales que deriven del Plan de Desarrollo Municipal; </w:t>
      </w:r>
    </w:p>
    <w:p w:rsidR="00995E77" w:rsidRPr="001D5444" w:rsidRDefault="00995E77" w:rsidP="001D5444">
      <w:pPr>
        <w:jc w:val="both"/>
        <w:rPr>
          <w:rFonts w:ascii="Palatino Linotype" w:hAnsi="Palatino Linotype"/>
          <w:b/>
          <w:i/>
          <w:color w:val="000000" w:themeColor="text1"/>
          <w:u w:val="single"/>
        </w:rPr>
      </w:pPr>
      <w:r w:rsidRPr="001D5444">
        <w:rPr>
          <w:rFonts w:ascii="Palatino Linotype" w:hAnsi="Palatino Linotype"/>
          <w:b/>
          <w:i/>
          <w:color w:val="000000" w:themeColor="text1"/>
          <w:u w:val="single"/>
        </w:rPr>
        <w:t>XXXI. Impulsar acciones tendientes a la innovación y el desarrollo institucional en los procesos de la adm</w:t>
      </w:r>
      <w:r w:rsidR="002533B5" w:rsidRPr="001D5444">
        <w:rPr>
          <w:rFonts w:ascii="Palatino Linotype" w:hAnsi="Palatino Linotype"/>
          <w:b/>
          <w:i/>
          <w:color w:val="000000" w:themeColor="text1"/>
          <w:u w:val="single"/>
        </w:rPr>
        <w:t>inistración pública municipal;</w:t>
      </w:r>
    </w:p>
    <w:p w:rsidR="002533B5" w:rsidRPr="001D5444" w:rsidRDefault="002533B5" w:rsidP="001D5444">
      <w:pPr>
        <w:jc w:val="both"/>
        <w:rPr>
          <w:rFonts w:ascii="Palatino Linotype" w:hAnsi="Palatino Linotype"/>
          <w:i/>
          <w:color w:val="000000" w:themeColor="text1"/>
        </w:rPr>
      </w:pPr>
      <w:r w:rsidRPr="001D5444">
        <w:rPr>
          <w:rFonts w:ascii="Palatino Linotype" w:hAnsi="Palatino Linotype"/>
          <w:i/>
          <w:color w:val="000000" w:themeColor="text1"/>
        </w:rPr>
        <w:t>(…)</w:t>
      </w:r>
    </w:p>
    <w:p w:rsidR="002533B5" w:rsidRPr="001D5444" w:rsidRDefault="002533B5" w:rsidP="001D5444">
      <w:pPr>
        <w:jc w:val="both"/>
        <w:rPr>
          <w:rFonts w:ascii="Palatino Linotype" w:hAnsi="Palatino Linotype"/>
          <w:i/>
          <w:color w:val="000000" w:themeColor="text1"/>
        </w:rPr>
      </w:pPr>
      <w:r w:rsidRPr="001D5444">
        <w:rPr>
          <w:rFonts w:ascii="Palatino Linotype" w:hAnsi="Palatino Linotype"/>
          <w:b/>
          <w:i/>
          <w:color w:val="000000" w:themeColor="text1"/>
        </w:rPr>
        <w:t>Artículo 3.12.</w:t>
      </w:r>
      <w:r w:rsidRPr="001D5444">
        <w:rPr>
          <w:rFonts w:ascii="Palatino Linotype" w:hAnsi="Palatino Linotype"/>
          <w:i/>
          <w:color w:val="000000" w:themeColor="text1"/>
        </w:rPr>
        <w:t xml:space="preserve"> La Secretaría del Ayuntamiento, para el cumplimiento de sus atribuciones, se auxiliará de la Consejería Jurídica, Coordinación General de Delegaciones y Autoridades Auxiliares, </w:t>
      </w:r>
      <w:r w:rsidRPr="001D5444">
        <w:rPr>
          <w:rFonts w:ascii="Palatino Linotype" w:hAnsi="Palatino Linotype"/>
          <w:b/>
          <w:i/>
          <w:color w:val="000000" w:themeColor="text1"/>
        </w:rPr>
        <w:t xml:space="preserve">la Unidad de Información, Planeación, Programación y Evaluación </w:t>
      </w:r>
      <w:r w:rsidRPr="001D5444">
        <w:rPr>
          <w:rFonts w:ascii="Palatino Linotype" w:hAnsi="Palatino Linotype"/>
          <w:i/>
          <w:color w:val="000000" w:themeColor="text1"/>
        </w:rPr>
        <w:t>y las demás unidades administrativas necesarias para el cumplimiento de sus atribuciones.</w:t>
      </w:r>
    </w:p>
    <w:p w:rsidR="00995E77" w:rsidRPr="001D5444" w:rsidRDefault="00995E77" w:rsidP="001D5444">
      <w:pPr>
        <w:spacing w:line="360" w:lineRule="auto"/>
        <w:jc w:val="both"/>
        <w:rPr>
          <w:rFonts w:ascii="Palatino Linotype" w:eastAsia="Palatino Linotype" w:hAnsi="Palatino Linotype" w:cs="Palatino Linotype"/>
          <w:color w:val="000000" w:themeColor="text1"/>
        </w:rPr>
      </w:pPr>
    </w:p>
    <w:p w:rsidR="0020381C" w:rsidRPr="001D5444" w:rsidRDefault="0020381C"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eastAsia="Palatino Linotype" w:hAnsi="Palatino Linotype" w:cs="Palatino Linotype"/>
          <w:color w:val="000000" w:themeColor="text1"/>
        </w:rPr>
        <w:t xml:space="preserve">Por lo antes descrito se vislumbra que la Unidad de Información, Planeación, Programación y Evaluación, depende de la Secretaría del Ayuntamiento, quien a su vez tiene como atribución coordinar lo referente a la Planeación para el Desarrollo </w:t>
      </w:r>
      <w:r w:rsidR="00311F65" w:rsidRPr="001D5444">
        <w:rPr>
          <w:rFonts w:ascii="Palatino Linotype" w:eastAsia="Palatino Linotype" w:hAnsi="Palatino Linotype" w:cs="Palatino Linotype"/>
          <w:color w:val="000000" w:themeColor="text1"/>
        </w:rPr>
        <w:t>Municipal</w:t>
      </w:r>
      <w:r w:rsidRPr="001D5444">
        <w:rPr>
          <w:rFonts w:ascii="Palatino Linotype" w:eastAsia="Palatino Linotype" w:hAnsi="Palatino Linotype" w:cs="Palatino Linotype"/>
          <w:color w:val="000000" w:themeColor="text1"/>
        </w:rPr>
        <w:t>; así como la integración de los programas que deriven de estos.</w:t>
      </w:r>
    </w:p>
    <w:p w:rsidR="0020381C" w:rsidRPr="001D5444" w:rsidRDefault="0020381C"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En este sentido, se advierte que,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administrativa en donde </w:t>
      </w:r>
      <w:r w:rsidRPr="001D5444">
        <w:rPr>
          <w:rFonts w:ascii="Palatino Linotype" w:eastAsia="Palatino Linotype" w:hAnsi="Palatino Linotype" w:cs="Palatino Linotype"/>
          <w:color w:val="000000" w:themeColor="text1"/>
          <w:u w:val="single"/>
        </w:rPr>
        <w:t>pudiera</w:t>
      </w:r>
      <w:r w:rsidRPr="001D5444">
        <w:rPr>
          <w:rFonts w:ascii="Palatino Linotype" w:eastAsia="Palatino Linotype" w:hAnsi="Palatino Linotype" w:cs="Palatino Linotype"/>
          <w:color w:val="000000" w:themeColor="text1"/>
        </w:rPr>
        <w:t xml:space="preserve"> obrar lo peticionado, siendo esta </w:t>
      </w:r>
      <w:r w:rsidR="0020381C" w:rsidRPr="001D5444">
        <w:rPr>
          <w:rFonts w:ascii="Palatino Linotype" w:eastAsia="Palatino Linotype" w:hAnsi="Palatino Linotype" w:cs="Palatino Linotype"/>
          <w:b/>
          <w:color w:val="000000" w:themeColor="text1"/>
        </w:rPr>
        <w:t>Unidad de Información, Planeación, Programación y Evaluación</w:t>
      </w:r>
      <w:r w:rsidRPr="001D5444">
        <w:rPr>
          <w:rFonts w:ascii="Palatino Linotype" w:eastAsia="Palatino Linotype" w:hAnsi="Palatino Linotype" w:cs="Palatino Linotype"/>
          <w:b/>
          <w:color w:val="000000" w:themeColor="text1"/>
        </w:rPr>
        <w:t>.</w:t>
      </w:r>
    </w:p>
    <w:p w:rsidR="00FA1551" w:rsidRPr="001D5444" w:rsidRDefault="00C42845" w:rsidP="001D5444">
      <w:pPr>
        <w:numPr>
          <w:ilvl w:val="0"/>
          <w:numId w:val="6"/>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lastRenderedPageBreak/>
        <w:t xml:space="preserve">Ahora bien, conviene señalar que el </w:t>
      </w:r>
      <w:r w:rsidRPr="001D5444">
        <w:rPr>
          <w:rFonts w:ascii="Palatino Linotype" w:eastAsia="Palatino Linotype" w:hAnsi="Palatino Linotype" w:cs="Palatino Linotype"/>
          <w:b/>
          <w:color w:val="000000" w:themeColor="text1"/>
        </w:rPr>
        <w:t>SUJETO OBLIGADO</w:t>
      </w:r>
      <w:r w:rsidRPr="001D5444">
        <w:rPr>
          <w:rFonts w:ascii="Palatino Linotype" w:eastAsia="Palatino Linotype" w:hAnsi="Palatino Linotype" w:cs="Palatino Linotype"/>
          <w:color w:val="000000" w:themeColor="text1"/>
        </w:rPr>
        <w:t xml:space="preserve">, </w:t>
      </w:r>
      <w:r w:rsidR="00FA1551" w:rsidRPr="001D5444">
        <w:rPr>
          <w:rFonts w:ascii="Palatino Linotype" w:eastAsia="Palatino Linotype" w:hAnsi="Palatino Linotype" w:cs="Palatino Linotype"/>
          <w:color w:val="000000" w:themeColor="text1"/>
        </w:rPr>
        <w:t>mediante informe justificado remitió Informe Anual de Ejecución del Plan de Desarrollo Municipal 2022-2024 Ejercicio Fiscal 2024, información de la que se dolía el solicitante, toda vez que en respuesta a la solitud, solo se entregaron Avances de dos Trimestres</w:t>
      </w:r>
      <w:r w:rsidRPr="001D5444">
        <w:rPr>
          <w:rFonts w:ascii="Palatino Linotype" w:eastAsia="Palatino Linotype" w:hAnsi="Palatino Linotype" w:cs="Palatino Linotype"/>
          <w:b/>
          <w:color w:val="000000" w:themeColor="text1"/>
        </w:rPr>
        <w:t xml:space="preserve">, </w:t>
      </w:r>
      <w:r w:rsidR="00FA1551" w:rsidRPr="001D5444">
        <w:rPr>
          <w:rFonts w:ascii="Palatino Linotype" w:eastAsia="Palatino Linotype" w:hAnsi="Palatino Linotype" w:cs="Palatino Linotype"/>
          <w:color w:val="000000" w:themeColor="text1"/>
        </w:rPr>
        <w:t xml:space="preserve">por lo que al remitir la información faltante, </w:t>
      </w:r>
      <w:r w:rsidRPr="001D5444">
        <w:rPr>
          <w:rFonts w:ascii="Palatino Linotype" w:eastAsia="Palatino Linotype" w:hAnsi="Palatino Linotype" w:cs="Palatino Linotype"/>
          <w:color w:val="000000" w:themeColor="text1"/>
        </w:rPr>
        <w:t xml:space="preserve">colma </w:t>
      </w:r>
      <w:r w:rsidR="00FA1551" w:rsidRPr="001D5444">
        <w:rPr>
          <w:rFonts w:ascii="Palatino Linotype" w:eastAsia="Palatino Linotype" w:hAnsi="Palatino Linotype" w:cs="Palatino Linotype"/>
          <w:color w:val="000000" w:themeColor="text1"/>
        </w:rPr>
        <w:t xml:space="preserve">con la información de la que se dolía </w:t>
      </w:r>
      <w:r w:rsidR="003337B1" w:rsidRPr="001D5444">
        <w:rPr>
          <w:rFonts w:ascii="Palatino Linotype" w:eastAsia="Palatino Linotype" w:hAnsi="Palatino Linotype" w:cs="Palatino Linotype"/>
          <w:color w:val="000000" w:themeColor="text1"/>
        </w:rPr>
        <w:t>el particular.</w:t>
      </w:r>
    </w:p>
    <w:p w:rsidR="00FA1551" w:rsidRPr="001D5444" w:rsidRDefault="00FA1551" w:rsidP="001D5444">
      <w:pPr>
        <w:pStyle w:val="Prrafodelista"/>
        <w:ind w:left="0"/>
        <w:rPr>
          <w:rFonts w:ascii="Palatino Linotype" w:eastAsia="Palatino Linotype" w:hAnsi="Palatino Linotype" w:cs="Palatino Linotype"/>
          <w:color w:val="000000" w:themeColor="text1"/>
          <w:sz w:val="24"/>
          <w:szCs w:val="24"/>
        </w:rPr>
      </w:pPr>
    </w:p>
    <w:p w:rsidR="00C42845" w:rsidRPr="001D5444"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eastAsia="Calibri" w:hAnsi="Palatino Linotype" w:cs="Arial"/>
          <w:color w:val="000000" w:themeColor="text1"/>
          <w:lang w:val="es-ES"/>
        </w:rPr>
        <w:t xml:space="preserve">Por lo que, </w:t>
      </w:r>
      <w:r w:rsidRPr="001D5444">
        <w:rPr>
          <w:rFonts w:ascii="Palatino Linotype" w:hAnsi="Palatino Linotype"/>
          <w:color w:val="000000" w:themeColor="text1"/>
        </w:rPr>
        <w:t>es importante señalar que el artículo 4, párrafo segundo de la Ley de Transparencia y Acceso a la Información Pública del Estado de México y Municipios, dispone:</w:t>
      </w:r>
    </w:p>
    <w:p w:rsidR="00C42845" w:rsidRPr="001D5444" w:rsidRDefault="00C42845" w:rsidP="001D5444">
      <w:pPr>
        <w:pStyle w:val="Prrafodelista"/>
        <w:tabs>
          <w:tab w:val="left" w:pos="426"/>
          <w:tab w:val="left" w:pos="567"/>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t>“</w:t>
      </w:r>
      <w:r w:rsidRPr="001D5444">
        <w:rPr>
          <w:rFonts w:ascii="Palatino Linotype" w:hAnsi="Palatino Linotype"/>
          <w:b/>
          <w:i/>
          <w:color w:val="000000" w:themeColor="text1"/>
          <w:sz w:val="24"/>
          <w:szCs w:val="24"/>
        </w:rPr>
        <w:t>Artículo 4. …</w:t>
      </w:r>
    </w:p>
    <w:p w:rsidR="00C42845" w:rsidRPr="001D5444" w:rsidRDefault="00C42845" w:rsidP="001D5444">
      <w:pPr>
        <w:pStyle w:val="Prrafodelista"/>
        <w:tabs>
          <w:tab w:val="left" w:pos="426"/>
          <w:tab w:val="left" w:pos="567"/>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42845" w:rsidRPr="001D5444" w:rsidRDefault="00C42845" w:rsidP="001D5444">
      <w:pPr>
        <w:spacing w:line="360" w:lineRule="auto"/>
        <w:jc w:val="both"/>
        <w:rPr>
          <w:rFonts w:ascii="Palatino Linotype" w:eastAsia="Calibri" w:hAnsi="Palatino Linotype" w:cs="Tahoma"/>
          <w:bCs/>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eastAsia="Calibri" w:hAnsi="Palatino Linotype" w:cs="Arial"/>
          <w:color w:val="000000" w:themeColor="text1"/>
          <w:lang w:val="es-ES"/>
        </w:rPr>
        <w:t xml:space="preserve">De lo anterior, se desprende </w:t>
      </w:r>
      <w:r w:rsidRPr="001D5444">
        <w:rPr>
          <w:rFonts w:ascii="Palatino Linotype" w:hAnsi="Palatino Linotype"/>
          <w:color w:val="000000" w:themeColor="text1"/>
        </w:rPr>
        <w:t>que la información generada, obtenida, adquirida, transmitida, administrada o en posesión de los Sujetos Obligados, será accesible de manera permanente a cualquier persona, privilegiando el principio de máxima publicidad de la información.</w:t>
      </w:r>
    </w:p>
    <w:p w:rsidR="00C42845" w:rsidRPr="001D5444" w:rsidRDefault="00C42845" w:rsidP="001D5444">
      <w:pPr>
        <w:spacing w:line="360" w:lineRule="auto"/>
        <w:jc w:val="both"/>
        <w:rPr>
          <w:rFonts w:ascii="Palatino Linotype" w:eastAsia="Calibri" w:hAnsi="Palatino Linotype" w:cs="Tahoma"/>
          <w:bCs/>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hAnsi="Palatino Linotype"/>
          <w:color w:val="000000" w:themeColor="text1"/>
        </w:rPr>
        <w:t xml:space="preserve">Por su parte, el artículo 12, de la Ley de la materia establece que los Sujetos Obligados sólo proporcionarán la información que generen, recopilen, administren, </w:t>
      </w:r>
      <w:r w:rsidRPr="001D5444">
        <w:rPr>
          <w:rFonts w:ascii="Palatino Linotype" w:hAnsi="Palatino Linotype"/>
          <w:color w:val="000000" w:themeColor="text1"/>
        </w:rPr>
        <w:lastRenderedPageBreak/>
        <w:t xml:space="preserve">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42845" w:rsidRPr="001D5444" w:rsidRDefault="00C42845" w:rsidP="001D5444">
      <w:pPr>
        <w:pStyle w:val="Prrafodelista"/>
        <w:tabs>
          <w:tab w:val="left" w:pos="1134"/>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t>“</w:t>
      </w:r>
      <w:r w:rsidRPr="001D5444">
        <w:rPr>
          <w:rFonts w:ascii="Palatino Linotype" w:hAnsi="Palatino Linotype"/>
          <w:b/>
          <w:i/>
          <w:color w:val="000000" w:themeColor="text1"/>
          <w:sz w:val="24"/>
          <w:szCs w:val="24"/>
        </w:rPr>
        <w:t>Artículo 12.</w:t>
      </w:r>
      <w:r w:rsidRPr="001D5444">
        <w:rPr>
          <w:rFonts w:ascii="Palatino Linotype" w:hAnsi="Palatino Linotype"/>
          <w:i/>
          <w:color w:val="000000" w:themeColor="text1"/>
          <w:sz w:val="24"/>
          <w:szCs w:val="24"/>
        </w:rPr>
        <w:t xml:space="preserve"> Quienes generen, recopilen, administren, manejen, procesen, archiven o conserven información pública serán responsables de la misma en los términos de las disposiciones jurídicas aplicables. </w:t>
      </w:r>
    </w:p>
    <w:p w:rsidR="00C42845" w:rsidRPr="001D5444" w:rsidRDefault="00C42845" w:rsidP="001D5444">
      <w:pPr>
        <w:pStyle w:val="Prrafodelista"/>
        <w:tabs>
          <w:tab w:val="left" w:pos="1134"/>
        </w:tabs>
        <w:ind w:left="0"/>
        <w:jc w:val="both"/>
        <w:rPr>
          <w:rFonts w:ascii="Palatino Linotype" w:hAnsi="Palatino Linotype"/>
          <w:i/>
          <w:color w:val="000000" w:themeColor="text1"/>
          <w:sz w:val="24"/>
          <w:szCs w:val="24"/>
        </w:rPr>
      </w:pPr>
    </w:p>
    <w:p w:rsidR="00C42845" w:rsidRPr="001D5444" w:rsidRDefault="00C42845" w:rsidP="001D5444">
      <w:pPr>
        <w:tabs>
          <w:tab w:val="left" w:pos="1134"/>
        </w:tabs>
        <w:jc w:val="both"/>
        <w:rPr>
          <w:rFonts w:ascii="Palatino Linotype" w:hAnsi="Palatino Linotype"/>
          <w:i/>
          <w:color w:val="000000" w:themeColor="text1"/>
        </w:rPr>
      </w:pPr>
      <w:r w:rsidRPr="001D5444">
        <w:rPr>
          <w:rFonts w:ascii="Palatino Linotype" w:hAnsi="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42845" w:rsidRPr="001D5444" w:rsidRDefault="00C42845" w:rsidP="001D5444">
      <w:pPr>
        <w:spacing w:line="360" w:lineRule="auto"/>
        <w:jc w:val="both"/>
        <w:rPr>
          <w:rFonts w:ascii="Palatino Linotype" w:eastAsia="Calibri" w:hAnsi="Palatino Linotype" w:cs="Tahoma"/>
          <w:bCs/>
          <w:color w:val="000000" w:themeColor="text1"/>
        </w:rPr>
      </w:pPr>
    </w:p>
    <w:p w:rsidR="00C42845" w:rsidRPr="00311F65"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eastAsia="Calibri" w:hAnsi="Palatino Linotype" w:cs="Arial"/>
          <w:color w:val="000000" w:themeColor="text1"/>
          <w:lang w:val="es-ES"/>
        </w:rPr>
        <w:t xml:space="preserve">En síntesis, </w:t>
      </w:r>
      <w:r w:rsidRPr="001D5444">
        <w:rPr>
          <w:rFonts w:ascii="Palatino Linotype" w:hAnsi="Palatino Linotype"/>
          <w:color w:val="000000" w:themeColor="text1"/>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311F65" w:rsidRPr="001D5444" w:rsidRDefault="00311F65" w:rsidP="00311F65">
      <w:pPr>
        <w:spacing w:line="360" w:lineRule="auto"/>
        <w:jc w:val="both"/>
        <w:rPr>
          <w:rFonts w:ascii="Palatino Linotype" w:eastAsia="Calibri" w:hAnsi="Palatino Linotype" w:cs="Tahoma"/>
          <w:bCs/>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hAnsi="Palatino Linotype"/>
          <w:color w:val="000000" w:themeColor="text1"/>
        </w:rPr>
        <w:t xml:space="preserve">Como apoyo a lo anterior, es aplicable el Criterio 03-17, emitido por el Instituto Nacional de Transparencia, Acceso a la Información y Protección de Datos Personales, que dice: </w:t>
      </w:r>
    </w:p>
    <w:p w:rsidR="00C42845" w:rsidRPr="001D5444" w:rsidRDefault="00C42845" w:rsidP="001D5444">
      <w:pPr>
        <w:pStyle w:val="Prrafodelista"/>
        <w:tabs>
          <w:tab w:val="left" w:pos="709"/>
          <w:tab w:val="left" w:pos="1985"/>
        </w:tabs>
        <w:ind w:left="0"/>
        <w:jc w:val="both"/>
        <w:rPr>
          <w:rFonts w:ascii="Palatino Linotype" w:hAnsi="Palatino Linotype"/>
          <w:i/>
          <w:color w:val="000000" w:themeColor="text1"/>
          <w:sz w:val="24"/>
          <w:szCs w:val="24"/>
        </w:rPr>
      </w:pPr>
      <w:r w:rsidRPr="001D5444">
        <w:rPr>
          <w:rFonts w:ascii="Palatino Linotype" w:hAnsi="Palatino Linotype"/>
          <w:b/>
          <w:i/>
          <w:color w:val="000000" w:themeColor="text1"/>
          <w:sz w:val="24"/>
          <w:szCs w:val="24"/>
        </w:rPr>
        <w:t>“No existe obligación de elaborar documentos ad hoc para atender las solicitudes de acceso a la información.</w:t>
      </w:r>
      <w:r w:rsidRPr="001D5444">
        <w:rPr>
          <w:rFonts w:ascii="Palatino Linotype" w:hAnsi="Palatino Linotype"/>
          <w:i/>
          <w:color w:val="000000" w:themeColor="text1"/>
          <w:sz w:val="24"/>
          <w:szCs w:val="24"/>
        </w:rPr>
        <w:t xml:space="preserve"> Los artículos 129 de la Ley General de Transparencia y Acceso a la Información Pública y 130, párrafo cuarto, de la Ley Federal de Transparencia y Acceso a la </w:t>
      </w:r>
      <w:r w:rsidRPr="001D5444">
        <w:rPr>
          <w:rFonts w:ascii="Palatino Linotype" w:hAnsi="Palatino Linotype"/>
          <w:i/>
          <w:color w:val="000000" w:themeColor="text1"/>
          <w:sz w:val="24"/>
          <w:szCs w:val="24"/>
        </w:rPr>
        <w:lastRenderedPageBreak/>
        <w:t xml:space="preserve">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C42845" w:rsidRPr="001D5444" w:rsidRDefault="00C42845" w:rsidP="001D5444">
      <w:pPr>
        <w:pStyle w:val="Prrafodelista"/>
        <w:tabs>
          <w:tab w:val="left" w:pos="709"/>
          <w:tab w:val="left" w:pos="1985"/>
        </w:tabs>
        <w:ind w:left="0"/>
        <w:jc w:val="both"/>
        <w:rPr>
          <w:rFonts w:ascii="Palatino Linotype" w:hAnsi="Palatino Linotype"/>
          <w:i/>
          <w:color w:val="000000" w:themeColor="text1"/>
          <w:sz w:val="24"/>
          <w:szCs w:val="24"/>
        </w:rPr>
      </w:pPr>
    </w:p>
    <w:p w:rsidR="00C42845" w:rsidRPr="001D5444" w:rsidRDefault="00C42845" w:rsidP="001D5444">
      <w:pPr>
        <w:pStyle w:val="Prrafodelista"/>
        <w:tabs>
          <w:tab w:val="left" w:pos="709"/>
          <w:tab w:val="left" w:pos="1985"/>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t xml:space="preserve">Resoluciones: </w:t>
      </w:r>
    </w:p>
    <w:p w:rsidR="00C42845" w:rsidRPr="001D5444" w:rsidRDefault="00C42845" w:rsidP="001D5444">
      <w:pPr>
        <w:pStyle w:val="Prrafodelista"/>
        <w:tabs>
          <w:tab w:val="left" w:pos="709"/>
          <w:tab w:val="left" w:pos="1985"/>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sym w:font="Symbol" w:char="F0B7"/>
      </w:r>
      <w:r w:rsidRPr="001D5444">
        <w:rPr>
          <w:rFonts w:ascii="Palatino Linotype" w:hAnsi="Palatino Linotype"/>
          <w:i/>
          <w:color w:val="000000" w:themeColor="text1"/>
          <w:sz w:val="24"/>
          <w:szCs w:val="24"/>
        </w:rPr>
        <w:t xml:space="preserve"> RRA 0050/16. Instituto Nacional para la Evaluación de la Educación. 13 julio de 2016. Por unanimidad. Comisionado Ponente: Francisco Javier Acuña Llamas. </w:t>
      </w:r>
    </w:p>
    <w:p w:rsidR="00C42845" w:rsidRPr="001D5444" w:rsidRDefault="00C42845" w:rsidP="001D5444">
      <w:pPr>
        <w:pStyle w:val="Prrafodelista"/>
        <w:tabs>
          <w:tab w:val="left" w:pos="709"/>
          <w:tab w:val="left" w:pos="1985"/>
        </w:tabs>
        <w:ind w:left="0"/>
        <w:jc w:val="both"/>
        <w:rPr>
          <w:rFonts w:ascii="Palatino Linotype" w:hAnsi="Palatino Linotype"/>
          <w:i/>
          <w:color w:val="000000" w:themeColor="text1"/>
          <w:sz w:val="24"/>
          <w:szCs w:val="24"/>
        </w:rPr>
      </w:pPr>
      <w:r w:rsidRPr="001D5444">
        <w:rPr>
          <w:rFonts w:ascii="Palatino Linotype" w:hAnsi="Palatino Linotype"/>
          <w:i/>
          <w:color w:val="000000" w:themeColor="text1"/>
          <w:sz w:val="24"/>
          <w:szCs w:val="24"/>
        </w:rPr>
        <w:sym w:font="Symbol" w:char="F0B7"/>
      </w:r>
      <w:r w:rsidRPr="001D5444">
        <w:rPr>
          <w:rFonts w:ascii="Palatino Linotype" w:hAnsi="Palatino Linotype"/>
          <w:i/>
          <w:color w:val="000000" w:themeColor="text1"/>
          <w:sz w:val="24"/>
          <w:szCs w:val="24"/>
        </w:rPr>
        <w:t xml:space="preserve"> RRA 0310/16. Instituto Nacional de Transparencia, Acceso a la Información y Protección de Datos Personales. 10 de agosto de 2016. Por unanimidad. Comisionada Ponente. Areli Cano Guadiana. </w:t>
      </w:r>
    </w:p>
    <w:p w:rsidR="00C42845" w:rsidRPr="001D5444" w:rsidRDefault="00C42845" w:rsidP="001D5444">
      <w:pPr>
        <w:tabs>
          <w:tab w:val="left" w:pos="709"/>
          <w:tab w:val="left" w:pos="1985"/>
        </w:tabs>
        <w:jc w:val="both"/>
        <w:rPr>
          <w:rFonts w:ascii="Palatino Linotype" w:eastAsia="Calibri" w:hAnsi="Palatino Linotype" w:cs="Arial"/>
          <w:color w:val="000000" w:themeColor="text1"/>
          <w:lang w:val="es-ES"/>
        </w:rPr>
      </w:pPr>
      <w:r w:rsidRPr="001D5444">
        <w:rPr>
          <w:rFonts w:ascii="Palatino Linotype" w:hAnsi="Palatino Linotype"/>
          <w:i/>
          <w:color w:val="000000" w:themeColor="text1"/>
        </w:rPr>
        <w:sym w:font="Symbol" w:char="F0B7"/>
      </w:r>
      <w:r w:rsidRPr="001D5444">
        <w:rPr>
          <w:rFonts w:ascii="Palatino Linotype" w:hAnsi="Palatino Linotype"/>
          <w:i/>
          <w:color w:val="000000" w:themeColor="text1"/>
        </w:rPr>
        <w:t xml:space="preserve"> RRA 1889/16. Secretaría de Hacienda y Crédito Público. 05 de octubre de 2016. Por unanimidad. Comisionada Ponente. Ximena Puente de la Mora.”</w:t>
      </w:r>
    </w:p>
    <w:p w:rsidR="00C42845" w:rsidRPr="001D5444" w:rsidRDefault="00C42845" w:rsidP="001D5444">
      <w:pPr>
        <w:spacing w:line="360" w:lineRule="auto"/>
        <w:jc w:val="both"/>
        <w:rPr>
          <w:rFonts w:ascii="Palatino Linotype" w:eastAsia="Calibri" w:hAnsi="Palatino Linotype" w:cs="Tahoma"/>
          <w:bCs/>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Calibri" w:hAnsi="Palatino Linotype" w:cs="Tahoma"/>
          <w:bCs/>
          <w:color w:val="000000" w:themeColor="text1"/>
        </w:rPr>
      </w:pPr>
      <w:r w:rsidRPr="001D5444">
        <w:rPr>
          <w:rFonts w:ascii="Palatino Linotype" w:eastAsia="Calibri" w:hAnsi="Palatino Linotype" w:cs="Arial"/>
          <w:color w:val="000000" w:themeColor="text1"/>
          <w:lang w:val="es-ES"/>
        </w:rPr>
        <w:t xml:space="preserve">Asimismo, </w:t>
      </w:r>
      <w:r w:rsidRPr="001D5444">
        <w:rPr>
          <w:rFonts w:ascii="Palatino Linotype" w:hAnsi="Palatino Linotype"/>
          <w:color w:val="000000" w:themeColor="text1"/>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42845" w:rsidRPr="001D5444" w:rsidRDefault="00C42845" w:rsidP="001D5444">
      <w:pPr>
        <w:pStyle w:val="Prrafodelista"/>
        <w:ind w:left="0"/>
        <w:rPr>
          <w:rFonts w:ascii="Palatino Linotype" w:eastAsia="Palatino Linotype" w:hAnsi="Palatino Linotype" w:cs="Palatino Linotype"/>
          <w:color w:val="000000" w:themeColor="text1"/>
          <w:sz w:val="24"/>
          <w:szCs w:val="24"/>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hAnsi="Palatino Linotype" w:cs="Arial"/>
          <w:color w:val="000000" w:themeColor="text1"/>
          <w:lang w:val="es-ES_tradnl"/>
        </w:rPr>
        <w:t>Expuesto</w:t>
      </w:r>
      <w:r w:rsidRPr="001D5444">
        <w:rPr>
          <w:rFonts w:ascii="Palatino Linotype" w:eastAsia="Calibri" w:hAnsi="Palatino Linotype" w:cs="Arial"/>
          <w:color w:val="000000" w:themeColor="text1"/>
        </w:rPr>
        <w:t xml:space="preserve"> lo anterior, se tiene que </w:t>
      </w:r>
      <w:r w:rsidRPr="001D5444">
        <w:rPr>
          <w:rFonts w:ascii="Palatino Linotype" w:eastAsia="Calibri" w:hAnsi="Palatino Linotype" w:cs="Arial"/>
          <w:bCs/>
          <w:color w:val="000000" w:themeColor="text1"/>
        </w:rPr>
        <w:t>el</w:t>
      </w:r>
      <w:r w:rsidRPr="001D5444">
        <w:rPr>
          <w:rFonts w:ascii="Palatino Linotype" w:eastAsia="Calibri" w:hAnsi="Palatino Linotype" w:cs="Arial"/>
          <w:b/>
          <w:color w:val="000000" w:themeColor="text1"/>
        </w:rPr>
        <w:t xml:space="preserve"> </w:t>
      </w:r>
      <w:r w:rsidRPr="001D5444">
        <w:rPr>
          <w:rFonts w:ascii="Palatino Linotype" w:eastAsia="Calibri" w:hAnsi="Palatino Linotype" w:cs="Arial"/>
          <w:b/>
          <w:bCs/>
          <w:color w:val="000000" w:themeColor="text1"/>
        </w:rPr>
        <w:t>SUJETO OBLIGADO</w:t>
      </w:r>
      <w:r w:rsidRPr="001D5444">
        <w:rPr>
          <w:rFonts w:ascii="Palatino Linotype" w:eastAsia="Calibri" w:hAnsi="Palatino Linotype" w:cs="Arial"/>
          <w:bCs/>
          <w:color w:val="000000" w:themeColor="text1"/>
        </w:rPr>
        <w:t xml:space="preserve"> modificó la respuesta inicial y aportó información novedosa.</w:t>
      </w:r>
    </w:p>
    <w:p w:rsidR="003337B1" w:rsidRPr="001D5444" w:rsidRDefault="003337B1"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color w:val="000000" w:themeColor="text1"/>
        </w:rPr>
      </w:pPr>
      <w:r w:rsidRPr="001D5444">
        <w:rPr>
          <w:rFonts w:ascii="Palatino Linotype" w:hAnsi="Palatino Linotype" w:cs="Arial"/>
          <w:color w:val="000000" w:themeColor="text1"/>
          <w:lang w:val="es-ES_tradnl"/>
        </w:rPr>
        <w:t xml:space="preserve">En </w:t>
      </w:r>
      <w:r w:rsidRPr="001D5444">
        <w:rPr>
          <w:rFonts w:ascii="Palatino Linotype" w:eastAsia="Calibri" w:hAnsi="Palatino Linotype" w:cs="Arial"/>
          <w:color w:val="000000" w:themeColor="text1"/>
        </w:rPr>
        <w:t xml:space="preserve">este sentido, </w:t>
      </w:r>
      <w:r w:rsidRPr="001D5444">
        <w:rPr>
          <w:rFonts w:ascii="Palatino Linotype" w:hAnsi="Palatino Linotype" w:cs="Arial"/>
          <w:bCs/>
          <w:color w:val="000000" w:themeColor="text1"/>
        </w:rPr>
        <w:t xml:space="preserve">es dable sostener que, al haber existido un pronunciamiento por parte del </w:t>
      </w:r>
      <w:r w:rsidRPr="001D5444">
        <w:rPr>
          <w:rFonts w:ascii="Palatino Linotype" w:hAnsi="Palatino Linotype" w:cs="Arial"/>
          <w:b/>
          <w:bCs/>
          <w:color w:val="000000" w:themeColor="text1"/>
        </w:rPr>
        <w:t>SUJETO OBLIGADO</w:t>
      </w:r>
      <w:r w:rsidRPr="001D5444">
        <w:rPr>
          <w:rFonts w:ascii="Palatino Linotype" w:hAnsi="Palatino Linotype" w:cs="Arial"/>
          <w:bCs/>
          <w:color w:val="000000" w:themeColor="text1"/>
        </w:rPr>
        <w:t xml:space="preserve">, este Instituto no está facultado para manifestarse </w:t>
      </w:r>
      <w:r w:rsidRPr="001D5444">
        <w:rPr>
          <w:rFonts w:ascii="Palatino Linotype" w:hAnsi="Palatino Linotype" w:cs="Arial"/>
          <w:bCs/>
          <w:color w:val="000000" w:themeColor="text1"/>
        </w:rPr>
        <w:lastRenderedPageBreak/>
        <w:t>sobre la veracidad de este, pues no existe precepto legal alguno en la Ley de la materia que lo faculte para que, vía recurso de revisión, pueda pronunciarse al respecto.</w:t>
      </w:r>
    </w:p>
    <w:p w:rsidR="00C42845" w:rsidRPr="001D5444" w:rsidRDefault="00C42845" w:rsidP="001D5444">
      <w:pPr>
        <w:jc w:val="both"/>
        <w:rPr>
          <w:rFonts w:ascii="Palatino Linotype" w:eastAsia="Palatino Linotype" w:hAnsi="Palatino Linotype" w:cs="Palatino Linotype"/>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Así, </w:t>
      </w:r>
      <w:r w:rsidRPr="001D5444">
        <w:rPr>
          <w:rFonts w:ascii="Palatino Linotype" w:eastAsia="Calibri" w:hAnsi="Palatino Linotype"/>
          <w:color w:val="000000" w:themeColor="text1"/>
        </w:rPr>
        <w:t xml:space="preserve">este Pleno advierte que el </w:t>
      </w:r>
      <w:r w:rsidRPr="001D5444">
        <w:rPr>
          <w:rFonts w:ascii="Palatino Linotype" w:eastAsia="Calibri" w:hAnsi="Palatino Linotype"/>
          <w:b/>
          <w:color w:val="000000" w:themeColor="text1"/>
        </w:rPr>
        <w:t>SUJETO OBLIGADO</w:t>
      </w:r>
      <w:r w:rsidRPr="001D5444">
        <w:rPr>
          <w:rFonts w:ascii="Palatino Linotype" w:eastAsia="Calibri" w:hAnsi="Palatino Linotype"/>
          <w:color w:val="000000" w:themeColor="text1"/>
        </w:rPr>
        <w:t xml:space="preserve"> </w:t>
      </w:r>
      <w:r w:rsidRPr="001D5444">
        <w:rPr>
          <w:rFonts w:ascii="Palatino Linotype" w:eastAsia="Calibri" w:hAnsi="Palatino Linotype"/>
          <w:b/>
          <w:color w:val="000000" w:themeColor="text1"/>
        </w:rPr>
        <w:t xml:space="preserve">modificó </w:t>
      </w:r>
      <w:r w:rsidRPr="001D5444">
        <w:rPr>
          <w:rFonts w:ascii="Palatino Linotype" w:eastAsia="Calibri" w:hAnsi="Palatino Linotype"/>
          <w:color w:val="000000" w:themeColor="text1"/>
        </w:rPr>
        <w:t>el acto que le dio origen al recurso de revisión, lo que trae como consecuencia que el mismo quede sin materia, actualizándose de este modo, la hipótesis jurídica contenida en la fracción III del artículo 192 de la Ley de Transparencia Local.</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De </w:t>
      </w:r>
      <w:r w:rsidRPr="001D5444">
        <w:rPr>
          <w:rFonts w:ascii="Palatino Linotype" w:eastAsia="Calibri" w:hAnsi="Palatino Linotype" w:cs="Arial"/>
          <w:color w:val="000000" w:themeColor="text1"/>
        </w:rPr>
        <w:t xml:space="preserve">bien, </w:t>
      </w:r>
      <w:r w:rsidRPr="001D5444">
        <w:rPr>
          <w:rFonts w:ascii="Palatino Linotype" w:eastAsia="Calibri" w:hAnsi="Palatino Linotype"/>
          <w:color w:val="000000" w:themeColor="text1"/>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D5444">
        <w:rPr>
          <w:rFonts w:ascii="Palatino Linotype" w:eastAsia="Calibri" w:hAnsi="Palatino Linotype"/>
          <w:b/>
          <w:color w:val="000000" w:themeColor="text1"/>
        </w:rPr>
        <w:t>SUJETOS OBLIGADOS</w:t>
      </w:r>
      <w:r w:rsidRPr="001D5444">
        <w:rPr>
          <w:rFonts w:ascii="Palatino Linotype" w:eastAsia="Calibri" w:hAnsi="Palatino Linotype"/>
          <w:color w:val="000000" w:themeColor="text1"/>
        </w:rPr>
        <w:t xml:space="preserve"> o la negativa de entrega de la misma, derivada de la solicitud de información pública.</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De </w:t>
      </w:r>
      <w:r w:rsidRPr="001D5444">
        <w:rPr>
          <w:rFonts w:ascii="Palatino Linotype" w:eastAsia="Calibri" w:hAnsi="Palatino Linotype"/>
          <w:color w:val="000000" w:themeColor="text1"/>
        </w:rPr>
        <w:t xml:space="preserve">este modo, cuando el </w:t>
      </w:r>
      <w:r w:rsidRPr="001D5444">
        <w:rPr>
          <w:rFonts w:ascii="Palatino Linotype" w:eastAsia="Calibri" w:hAnsi="Palatino Linotype"/>
          <w:b/>
          <w:color w:val="000000" w:themeColor="text1"/>
        </w:rPr>
        <w:t xml:space="preserve">SUJETO OBLIGADO, </w:t>
      </w:r>
      <w:r w:rsidRPr="001D5444">
        <w:rPr>
          <w:rFonts w:ascii="Palatino Linotype" w:eastAsia="Calibri" w:hAnsi="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D5444">
        <w:rPr>
          <w:rFonts w:ascii="Palatino Linotype" w:eastAsia="Calibri" w:hAnsi="Palatino Linotype"/>
          <w:i/>
          <w:color w:val="000000" w:themeColor="text1"/>
        </w:rPr>
        <w:t>litis</w:t>
      </w:r>
      <w:r w:rsidRPr="001D5444">
        <w:rPr>
          <w:rFonts w:ascii="Palatino Linotype" w:eastAsia="Calibri" w:hAnsi="Palatino Linotype"/>
          <w:color w:val="000000" w:themeColor="text1"/>
        </w:rPr>
        <w:t xml:space="preserve"> planteada, debido a que la afectación en su esfera de derechos fue restituida por la propia autoridad que emitió el acto motivo de impugnación.</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Sirve </w:t>
      </w:r>
      <w:r w:rsidRPr="001D5444">
        <w:rPr>
          <w:rFonts w:ascii="Palatino Linotype" w:eastAsia="Calibri" w:hAnsi="Palatino Linotype"/>
          <w:color w:val="000000" w:themeColor="text1"/>
        </w:rPr>
        <w:t>de sustento a lo anterior la siguiente jurisprudencia por contradicción, cuyo rubro, texto y datos de identificación son los siguientes:</w:t>
      </w:r>
    </w:p>
    <w:p w:rsidR="00C42845" w:rsidRPr="001D5444" w:rsidRDefault="00C42845" w:rsidP="001D5444">
      <w:pPr>
        <w:jc w:val="both"/>
        <w:rPr>
          <w:rFonts w:ascii="Palatino Linotype" w:eastAsia="Palatino Linotype" w:hAnsi="Palatino Linotype" w:cs="Palatino Linotype"/>
          <w:b/>
          <w:color w:val="000000" w:themeColor="text1"/>
        </w:rPr>
      </w:pPr>
      <w:r w:rsidRPr="001D5444">
        <w:rPr>
          <w:rFonts w:ascii="Palatino Linotype" w:eastAsia="Calibri" w:hAnsi="Palatino Linotype"/>
          <w:b/>
          <w:i/>
          <w:color w:val="000000" w:themeColor="text1"/>
        </w:rPr>
        <w:lastRenderedPageBreak/>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D5444">
        <w:rPr>
          <w:rFonts w:ascii="Palatino Linotype" w:eastAsia="Calibri" w:hAnsi="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C42845" w:rsidRPr="001D5444" w:rsidRDefault="00C42845" w:rsidP="001D5444">
      <w:pPr>
        <w:rPr>
          <w:rFonts w:ascii="Palatino Linotype" w:hAnsi="Palatino Linotype" w:cs="Arial"/>
          <w:color w:val="000000" w:themeColor="text1"/>
          <w:lang w:val="es-ES_tradnl"/>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La </w:t>
      </w:r>
      <w:r w:rsidRPr="001D5444">
        <w:rPr>
          <w:rFonts w:ascii="Palatino Linotype" w:eastAsia="Calibri" w:hAnsi="Palatino Linotype"/>
          <w:color w:val="000000" w:themeColor="text1"/>
        </w:rPr>
        <w:t>anterior jurisprudencia resulta aplicable al presente asunto, en dos aspectos:</w:t>
      </w:r>
    </w:p>
    <w:p w:rsidR="00C42845" w:rsidRPr="001D5444" w:rsidRDefault="00C42845" w:rsidP="001D5444">
      <w:pPr>
        <w:numPr>
          <w:ilvl w:val="0"/>
          <w:numId w:val="16"/>
        </w:numPr>
        <w:ind w:left="0" w:firstLine="0"/>
        <w:contextualSpacing/>
        <w:jc w:val="both"/>
        <w:rPr>
          <w:rFonts w:ascii="Palatino Linotype" w:eastAsia="Calibri" w:hAnsi="Palatino Linotype"/>
          <w:color w:val="000000" w:themeColor="text1"/>
        </w:rPr>
      </w:pPr>
      <w:r w:rsidRPr="001D5444">
        <w:rPr>
          <w:rFonts w:ascii="Palatino Linotype" w:eastAsia="Calibri" w:hAnsi="Palatino Linotype"/>
          <w:b/>
          <w:color w:val="000000" w:themeColor="text1"/>
        </w:rPr>
        <w:t>La cesación de los efectos perniciosos del acto de autoridad:</w:t>
      </w:r>
      <w:r w:rsidRPr="001D5444">
        <w:rPr>
          <w:rFonts w:ascii="Palatino Linotype" w:eastAsia="Calibri" w:hAnsi="Palatino Linotype"/>
          <w:color w:val="000000" w:themeColor="text1"/>
        </w:rPr>
        <w:t xml:space="preserve"> Al respecto, la Ley de Transparencia contempla la figura jurídica del sobreseimiento cuando el </w:t>
      </w:r>
      <w:r w:rsidRPr="001D5444">
        <w:rPr>
          <w:rFonts w:ascii="Palatino Linotype" w:eastAsia="Calibri" w:hAnsi="Palatino Linotype"/>
          <w:b/>
          <w:color w:val="000000" w:themeColor="text1"/>
        </w:rPr>
        <w:t>SUJETO OBLIGADO</w:t>
      </w:r>
      <w:r w:rsidRPr="001D5444">
        <w:rPr>
          <w:rFonts w:ascii="Palatino Linotype" w:eastAsia="Calibri" w:hAnsi="Palatino Linotype"/>
          <w:color w:val="000000" w:themeColor="text1"/>
        </w:rPr>
        <w:t xml:space="preserve"> de </w:t>
      </w:r>
      <w:r w:rsidRPr="001D5444">
        <w:rPr>
          <w:rFonts w:ascii="Palatino Linotype" w:eastAsia="Calibri" w:hAnsi="Palatino Linotype"/>
          <w:i/>
          <w:color w:val="000000" w:themeColor="text1"/>
        </w:rPr>
        <w:t>motu proprio</w:t>
      </w:r>
      <w:r w:rsidRPr="001D5444">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C42845" w:rsidRPr="001D5444" w:rsidRDefault="00C42845" w:rsidP="001D5444">
      <w:pPr>
        <w:contextualSpacing/>
        <w:rPr>
          <w:rFonts w:ascii="Palatino Linotype" w:eastAsia="Calibri" w:hAnsi="Palatino Linotype"/>
          <w:color w:val="000000" w:themeColor="text1"/>
        </w:rPr>
      </w:pPr>
    </w:p>
    <w:p w:rsidR="00C42845" w:rsidRPr="001D5444" w:rsidRDefault="00C42845" w:rsidP="001D5444">
      <w:pPr>
        <w:numPr>
          <w:ilvl w:val="0"/>
          <w:numId w:val="16"/>
        </w:numPr>
        <w:ind w:left="0" w:firstLine="0"/>
        <w:contextualSpacing/>
        <w:jc w:val="both"/>
        <w:rPr>
          <w:rFonts w:ascii="Palatino Linotype" w:eastAsia="Calibri" w:hAnsi="Palatino Linotype"/>
          <w:color w:val="000000" w:themeColor="text1"/>
        </w:rPr>
      </w:pPr>
      <w:r w:rsidRPr="001D5444">
        <w:rPr>
          <w:rFonts w:ascii="Palatino Linotype" w:eastAsia="Calibri" w:hAnsi="Palatino Linotype"/>
          <w:b/>
          <w:color w:val="000000" w:themeColor="text1"/>
        </w:rPr>
        <w:t>El momento procesal para modificar el acto impugnado:</w:t>
      </w:r>
      <w:r w:rsidRPr="001D5444">
        <w:rPr>
          <w:rFonts w:ascii="Palatino Linotype" w:eastAsia="Calibri" w:hAnsi="Palatino Linotype"/>
          <w:color w:val="000000" w:themeColor="text1"/>
        </w:rPr>
        <w:t xml:space="preserve"> Para que se actualice el sobreseimiento de un recurso de revisión, el </w:t>
      </w:r>
      <w:r w:rsidRPr="001D5444">
        <w:rPr>
          <w:rFonts w:ascii="Palatino Linotype" w:eastAsia="Calibri" w:hAnsi="Palatino Linotype"/>
          <w:b/>
          <w:color w:val="000000" w:themeColor="text1"/>
        </w:rPr>
        <w:t>SUJETO OBLIGADO</w:t>
      </w:r>
      <w:r w:rsidRPr="001D5444">
        <w:rPr>
          <w:rFonts w:ascii="Palatino Linotype" w:eastAsia="Calibri" w:hAnsi="Palatino Linotype"/>
          <w:color w:val="000000" w:themeColor="text1"/>
        </w:rPr>
        <w:t xml:space="preserve"> puede entregar o completar la información al momento de rendir su informe de justificación o </w:t>
      </w:r>
      <w:r w:rsidRPr="001D5444">
        <w:rPr>
          <w:rFonts w:ascii="Palatino Linotype" w:eastAsia="Calibri" w:hAnsi="Palatino Linotype"/>
          <w:b/>
          <w:color w:val="000000" w:themeColor="text1"/>
          <w:u w:val="single"/>
        </w:rPr>
        <w:t>posteriormente</w:t>
      </w:r>
      <w:r w:rsidRPr="001D5444">
        <w:rPr>
          <w:rFonts w:ascii="Palatino Linotype" w:eastAsia="Calibri" w:hAnsi="Palatino Linotype"/>
          <w:color w:val="000000" w:themeColor="text1"/>
        </w:rPr>
        <w:t xml:space="preserve"> a éste, siempre y cuando el Pleno del Instituto no haya dictado resolución definitiva.</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lastRenderedPageBreak/>
        <w:t xml:space="preserve">Eduardo </w:t>
      </w:r>
      <w:r w:rsidRPr="001D5444">
        <w:rPr>
          <w:rFonts w:ascii="Palatino Linotype" w:eastAsia="Calibri" w:hAnsi="Palatino Linotype" w:cs="Arial"/>
          <w:color w:val="000000" w:themeColor="text1"/>
        </w:rPr>
        <w:t xml:space="preserve">Pallares, </w:t>
      </w:r>
      <w:r w:rsidRPr="001D5444">
        <w:rPr>
          <w:rFonts w:ascii="Palatino Linotype" w:eastAsia="Calibri" w:hAnsi="Palatino Linotype"/>
          <w:color w:val="000000" w:themeColor="text1"/>
        </w:rPr>
        <w:t xml:space="preserve">en su artículo </w:t>
      </w:r>
      <w:r w:rsidRPr="001D5444">
        <w:rPr>
          <w:rFonts w:ascii="Palatino Linotype" w:eastAsia="Calibri" w:hAnsi="Palatino Linotype"/>
          <w:i/>
          <w:color w:val="000000" w:themeColor="text1"/>
        </w:rPr>
        <w:t>“La caducidad y el sobreseimiento en el amparo”</w:t>
      </w:r>
      <w:r w:rsidRPr="001D5444">
        <w:rPr>
          <w:rFonts w:ascii="Palatino Linotype" w:eastAsia="Calibri" w:hAnsi="Palatino Linotype"/>
          <w:color w:val="000000" w:themeColor="text1"/>
        </w:rPr>
        <w:t xml:space="preserve">, cita la definición de Aguilera Paz, aduciendo que se </w:t>
      </w:r>
      <w:r w:rsidRPr="001D5444">
        <w:rPr>
          <w:rFonts w:ascii="Palatino Linotype" w:eastAsia="Calibri" w:hAnsi="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D5444">
        <w:rPr>
          <w:rFonts w:ascii="Palatino Linotype" w:eastAsia="Calibri" w:hAnsi="Palatino Linotype"/>
          <w:color w:val="000000" w:themeColor="text1"/>
        </w:rPr>
        <w:t>. Asimismo, señala que existe el sobreseimiento provisional y el definitivo</w:t>
      </w:r>
      <w:r w:rsidRPr="001D5444">
        <w:rPr>
          <w:rFonts w:ascii="Palatino Linotype" w:eastAsia="Calibri" w:hAnsi="Palatino Linotype"/>
          <w:i/>
          <w:color w:val="000000" w:themeColor="text1"/>
        </w:rPr>
        <w:t>: “...el definitivo es una verdadera sentencia que pone fin al juicio, y que una vez dictada, produce cosa juzgada, mientras que el provisorio tiene por efectos suspender la prosecución de la causa...”</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Así, </w:t>
      </w:r>
      <w:r w:rsidRPr="001D5444">
        <w:rPr>
          <w:rFonts w:ascii="Palatino Linotype" w:eastAsia="Calibri" w:hAnsi="Palatino Linotype"/>
          <w:color w:val="000000" w:themeColor="text1"/>
        </w:rPr>
        <w:t xml:space="preserve">para la doctrina el sobreseimiento provoca que un procedimiento se suspenda o se resuelva en definitiva </w:t>
      </w:r>
      <w:r w:rsidRPr="001D5444">
        <w:rPr>
          <w:rFonts w:ascii="Palatino Linotype" w:eastAsia="Calibri" w:hAnsi="Palatino Linotype"/>
          <w:b/>
          <w:color w:val="000000" w:themeColor="text1"/>
        </w:rPr>
        <w:t>sin que se entre al estudio de los agravios o motivos de inconformidad.</w:t>
      </w:r>
    </w:p>
    <w:p w:rsidR="00C42845" w:rsidRPr="001D5444" w:rsidRDefault="00C42845" w:rsidP="001D5444">
      <w:pPr>
        <w:pStyle w:val="Prrafodelista"/>
        <w:ind w:left="0"/>
        <w:rPr>
          <w:rFonts w:ascii="Palatino Linotype" w:eastAsia="Calibri" w:hAnsi="Palatino Linotype"/>
          <w:color w:val="000000" w:themeColor="text1"/>
          <w:sz w:val="24"/>
          <w:szCs w:val="24"/>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Calibri" w:hAnsi="Palatino Linotype"/>
          <w:color w:val="000000" w:themeColor="text1"/>
        </w:rPr>
        <w:t>Este mismo criterio es compartido por el más alto tribunal del país en múltiples jurisprudencias, por lo que a continuación se agrega una de ellas que sirve como orientador en esta resolución:</w:t>
      </w:r>
    </w:p>
    <w:p w:rsidR="00C42845" w:rsidRPr="001D5444" w:rsidRDefault="00C42845" w:rsidP="001D5444">
      <w:pPr>
        <w:contextualSpacing/>
        <w:jc w:val="both"/>
        <w:rPr>
          <w:rFonts w:ascii="Palatino Linotype" w:eastAsia="Calibri" w:hAnsi="Palatino Linotype"/>
          <w:i/>
          <w:color w:val="000000" w:themeColor="text1"/>
          <w:lang w:val="es-AR"/>
        </w:rPr>
      </w:pPr>
      <w:r w:rsidRPr="001D5444">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1D5444">
        <w:rPr>
          <w:rFonts w:ascii="Palatino Linotype" w:eastAsia="Calibri" w:hAnsi="Palatino Linotype"/>
          <w:i/>
          <w:color w:val="000000" w:themeColor="text1"/>
          <w:lang w:val="es-AR"/>
        </w:rPr>
        <w:t xml:space="preserve"> en el juicio de amparo directo </w:t>
      </w:r>
      <w:r w:rsidRPr="001D5444">
        <w:rPr>
          <w:rFonts w:ascii="Palatino Linotype" w:eastAsia="Calibri" w:hAnsi="Palatino Linotype"/>
          <w:b/>
          <w:i/>
          <w:color w:val="000000" w:themeColor="text1"/>
          <w:lang w:val="es-AR"/>
        </w:rPr>
        <w:t>provoca la terminación de la controversia planteada</w:t>
      </w:r>
      <w:r w:rsidRPr="001D5444">
        <w:rPr>
          <w:rFonts w:ascii="Palatino Linotype" w:eastAsia="Calibri" w:hAnsi="Palatino Linotype"/>
          <w:i/>
          <w:color w:val="000000" w:themeColor="text1"/>
          <w:lang w:val="es-AR"/>
        </w:rPr>
        <w:t xml:space="preserve"> por el quejoso en la demanda de amparo</w:t>
      </w:r>
      <w:r w:rsidRPr="001D5444">
        <w:rPr>
          <w:rFonts w:ascii="Palatino Linotype" w:eastAsia="Calibri" w:hAnsi="Palatino Linotype"/>
          <w:b/>
          <w:i/>
          <w:color w:val="000000" w:themeColor="text1"/>
          <w:lang w:val="es-AR"/>
        </w:rPr>
        <w:t>, sin hacer un pronunciamiento de fondo sobre la legalidad o ilegalidad de la sentencia reclamada</w:t>
      </w:r>
      <w:r w:rsidRPr="001D5444">
        <w:rPr>
          <w:rFonts w:ascii="Palatino Linotype" w:eastAsia="Calibri" w:hAnsi="Palatino Linotype"/>
          <w:i/>
          <w:color w:val="000000" w:themeColor="text1"/>
          <w:lang w:val="es-AR"/>
        </w:rPr>
        <w:t xml:space="preserve">. </w:t>
      </w:r>
      <w:r w:rsidRPr="001D5444">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D5444">
        <w:rPr>
          <w:rFonts w:ascii="Palatino Linotype" w:eastAsia="Calibri" w:hAnsi="Palatino Linotype"/>
          <w:i/>
          <w:color w:val="000000" w:themeColor="text1"/>
          <w:lang w:val="es-AR"/>
        </w:rPr>
        <w:t>.</w:t>
      </w:r>
    </w:p>
    <w:p w:rsidR="00C42845" w:rsidRPr="001D5444" w:rsidRDefault="00C42845" w:rsidP="001D5444">
      <w:pPr>
        <w:contextualSpacing/>
        <w:jc w:val="both"/>
        <w:rPr>
          <w:rFonts w:ascii="Palatino Linotype" w:eastAsia="Calibri" w:hAnsi="Palatino Linotype"/>
          <w:i/>
          <w:color w:val="000000" w:themeColor="text1"/>
          <w:lang w:val="es-AR"/>
        </w:rPr>
      </w:pPr>
      <w:r w:rsidRPr="001D5444">
        <w:rPr>
          <w:rFonts w:ascii="Palatino Linotype" w:eastAsia="Calibri" w:hAnsi="Palatino Linotype"/>
          <w:i/>
          <w:color w:val="000000" w:themeColor="text1"/>
          <w:lang w:val="es-AR"/>
        </w:rPr>
        <w:t>SÉPTIMO TRIBUNAL COLEGIADO EN MATERIA CIVIL DEL PRIMER CIRCUITO.</w:t>
      </w:r>
    </w:p>
    <w:p w:rsidR="00C42845" w:rsidRPr="001D5444" w:rsidRDefault="00C42845" w:rsidP="001D5444">
      <w:pPr>
        <w:contextualSpacing/>
        <w:jc w:val="both"/>
        <w:rPr>
          <w:rFonts w:ascii="Palatino Linotype" w:eastAsia="Calibri" w:hAnsi="Palatino Linotype"/>
          <w:b/>
          <w:i/>
          <w:color w:val="000000" w:themeColor="text1"/>
          <w:lang w:val="es-AR"/>
        </w:rPr>
      </w:pPr>
      <w:r w:rsidRPr="001D5444">
        <w:rPr>
          <w:rFonts w:ascii="Palatino Linotype" w:eastAsia="Calibri" w:hAnsi="Palatino Linotype"/>
          <w:i/>
          <w:color w:val="000000" w:themeColor="text1"/>
          <w:lang w:val="es-AR"/>
        </w:rPr>
        <w:lastRenderedPageBreak/>
        <w:t>Amparo directo 699/2008. Mariana Leticia González Steele. 13 de noviembre de 2008. Unanimidad de votos. Ponente: Sara Judith Montalvo Trejo. Secretario: Arnulfo Mateos García.</w:t>
      </w:r>
    </w:p>
    <w:p w:rsidR="00C42845" w:rsidRPr="001D5444" w:rsidRDefault="00C4620B" w:rsidP="00C4620B">
      <w:pPr>
        <w:tabs>
          <w:tab w:val="left" w:pos="4005"/>
        </w:tabs>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ab/>
      </w: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Consecuentemente, </w:t>
      </w:r>
      <w:r w:rsidRPr="001D5444">
        <w:rPr>
          <w:rFonts w:ascii="Palatino Linotype" w:eastAsia="Calibri" w:hAnsi="Palatino Linotype"/>
          <w:color w:val="000000" w:themeColor="text1"/>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hAnsi="Palatino Linotype" w:cs="Arial"/>
          <w:color w:val="000000" w:themeColor="text1"/>
          <w:lang w:val="es-ES_tradnl"/>
        </w:rPr>
        <w:t xml:space="preserve">Bajo </w:t>
      </w:r>
      <w:r w:rsidRPr="001D5444">
        <w:rPr>
          <w:rFonts w:ascii="Palatino Linotype" w:eastAsia="Calibri" w:hAnsi="Palatino Linotype"/>
          <w:color w:val="000000" w:themeColor="text1"/>
          <w:lang w:val="es-CO"/>
        </w:rPr>
        <w:t xml:space="preserve">ese tenor y en términos del artículo 186 fracción I este Pleno determina el </w:t>
      </w:r>
      <w:r w:rsidRPr="001D5444">
        <w:rPr>
          <w:rFonts w:ascii="Palatino Linotype" w:eastAsia="Calibri" w:hAnsi="Palatino Linotype"/>
          <w:b/>
          <w:color w:val="000000" w:themeColor="text1"/>
          <w:lang w:val="es-CO"/>
        </w:rPr>
        <w:t xml:space="preserve">SOBRESEIMIENTO </w:t>
      </w:r>
      <w:r w:rsidRPr="001D5444">
        <w:rPr>
          <w:rFonts w:ascii="Palatino Linotype" w:eastAsia="Calibri" w:hAnsi="Palatino Linotype"/>
          <w:color w:val="000000" w:themeColor="text1"/>
          <w:lang w:val="es-CO"/>
        </w:rPr>
        <w:t>del presente recurso de revisión, toda vez que la afectación al derecho de acceso a la información pública establecido constitucionalmente a favor del Particular ha sido resarcida</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color w:val="000000" w:themeColor="text1"/>
        </w:rPr>
        <w:t xml:space="preserve">Por lo anteriormente expuesto y fundado, este </w:t>
      </w:r>
      <w:r w:rsidRPr="001D5444">
        <w:rPr>
          <w:rFonts w:ascii="Palatino Linotype" w:eastAsia="Palatino Linotype" w:hAnsi="Palatino Linotype" w:cs="Palatino Linotype"/>
          <w:b/>
          <w:color w:val="000000" w:themeColor="text1"/>
        </w:rPr>
        <w:t>ÓRGANO GARANTE</w:t>
      </w:r>
      <w:r w:rsidRPr="001D5444">
        <w:rPr>
          <w:rFonts w:ascii="Palatino Linotype" w:eastAsia="Palatino Linotype" w:hAnsi="Palatino Linotype" w:cs="Palatino Linotype"/>
          <w:color w:val="000000" w:themeColor="text1"/>
        </w:rPr>
        <w:t xml:space="preserve"> emite los siguientes:</w:t>
      </w:r>
    </w:p>
    <w:p w:rsidR="00C42845" w:rsidRPr="001D5444" w:rsidRDefault="00C42845" w:rsidP="001D5444">
      <w:pPr>
        <w:jc w:val="both"/>
        <w:rPr>
          <w:rFonts w:ascii="Palatino Linotype" w:eastAsia="Palatino Linotype" w:hAnsi="Palatino Linotype" w:cs="Palatino Linotype"/>
          <w:b/>
          <w:color w:val="000000" w:themeColor="text1"/>
        </w:rPr>
      </w:pPr>
    </w:p>
    <w:p w:rsidR="00C42845" w:rsidRPr="001D5444" w:rsidRDefault="00C42845" w:rsidP="001D5444">
      <w:pPr>
        <w:keepNext/>
        <w:keepLines/>
        <w:spacing w:line="360" w:lineRule="auto"/>
        <w:jc w:val="center"/>
        <w:rPr>
          <w:rFonts w:ascii="Palatino Linotype" w:eastAsia="Palatino Linotype" w:hAnsi="Palatino Linotype" w:cs="Palatino Linotype"/>
          <w:b/>
          <w:color w:val="000000" w:themeColor="text1"/>
        </w:rPr>
      </w:pPr>
      <w:r w:rsidRPr="001D5444">
        <w:rPr>
          <w:rFonts w:ascii="Palatino Linotype" w:eastAsia="Palatino Linotype" w:hAnsi="Palatino Linotype" w:cs="Palatino Linotype"/>
          <w:b/>
          <w:color w:val="000000" w:themeColor="text1"/>
        </w:rPr>
        <w:t>R E S O L U T I V O S</w:t>
      </w:r>
    </w:p>
    <w:p w:rsidR="00C42845" w:rsidRPr="001D5444" w:rsidRDefault="00C42845" w:rsidP="001D5444">
      <w:pPr>
        <w:keepNext/>
        <w:keepLines/>
        <w:rPr>
          <w:rFonts w:ascii="Palatino Linotype" w:eastAsia="Palatino Linotype" w:hAnsi="Palatino Linotype" w:cs="Palatino Linotype"/>
          <w:b/>
          <w:color w:val="000000" w:themeColor="text1"/>
        </w:rPr>
      </w:pPr>
    </w:p>
    <w:p w:rsidR="00C42845" w:rsidRPr="001D5444" w:rsidRDefault="00C42845" w:rsidP="001D5444">
      <w:pPr>
        <w:spacing w:line="360" w:lineRule="auto"/>
        <w:jc w:val="both"/>
        <w:rPr>
          <w:rFonts w:ascii="Palatino Linotype" w:hAnsi="Palatino Linotype" w:cs="Arial"/>
          <w:b/>
          <w:color w:val="000000" w:themeColor="text1"/>
          <w:lang w:val="es-ES_tradnl"/>
        </w:rPr>
      </w:pPr>
      <w:r w:rsidRPr="001D5444">
        <w:rPr>
          <w:rFonts w:ascii="Palatino Linotype" w:hAnsi="Palatino Linotype" w:cs="Arial"/>
          <w:b/>
          <w:color w:val="000000" w:themeColor="text1"/>
          <w:lang w:val="es-ES_tradnl"/>
        </w:rPr>
        <w:t xml:space="preserve">PRIMERO. </w:t>
      </w:r>
      <w:r w:rsidRPr="001D5444">
        <w:rPr>
          <w:rFonts w:ascii="Palatino Linotype" w:hAnsi="Palatino Linotype"/>
          <w:color w:val="000000" w:themeColor="text1"/>
        </w:rPr>
        <w:t xml:space="preserve">Se </w:t>
      </w:r>
      <w:r w:rsidRPr="001D5444">
        <w:rPr>
          <w:rFonts w:ascii="Palatino Linotype" w:hAnsi="Palatino Linotype"/>
          <w:b/>
          <w:color w:val="000000" w:themeColor="text1"/>
        </w:rPr>
        <w:t>SOBRESEE</w:t>
      </w:r>
      <w:r w:rsidRPr="001D5444">
        <w:rPr>
          <w:rFonts w:ascii="Palatino Linotype" w:hAnsi="Palatino Linotype"/>
          <w:color w:val="000000" w:themeColor="text1"/>
        </w:rPr>
        <w:t xml:space="preserve"> el recurso de revisión número </w:t>
      </w:r>
      <w:r w:rsidR="001E7E4E" w:rsidRPr="001D5444">
        <w:rPr>
          <w:rFonts w:ascii="Palatino Linotype" w:hAnsi="Palatino Linotype"/>
          <w:b/>
          <w:color w:val="000000" w:themeColor="text1"/>
        </w:rPr>
        <w:t>04878</w:t>
      </w:r>
      <w:r w:rsidRPr="001D5444">
        <w:rPr>
          <w:rFonts w:ascii="Palatino Linotype" w:hAnsi="Palatino Linotype"/>
          <w:b/>
          <w:color w:val="000000" w:themeColor="text1"/>
        </w:rPr>
        <w:t xml:space="preserve">/INFOEM/IP/RR/2025 </w:t>
      </w:r>
      <w:r w:rsidRPr="001D5444">
        <w:rPr>
          <w:rFonts w:ascii="Palatino Linotype" w:hAnsi="Palatino Linotype"/>
          <w:bCs/>
          <w:color w:val="000000" w:themeColor="text1"/>
        </w:rPr>
        <w:t>conforme al artículo 192 fracción III de la Ley de Transparencia y Acceso a la Información Pública del Estado de México y Municipios,</w:t>
      </w:r>
      <w:r w:rsidRPr="001D5444">
        <w:rPr>
          <w:rFonts w:ascii="Palatino Linotype" w:hAnsi="Palatino Linotype"/>
          <w:color w:val="000000" w:themeColor="text1"/>
        </w:rPr>
        <w:t xml:space="preserve"> porque al </w:t>
      </w:r>
      <w:r w:rsidRPr="001D5444">
        <w:rPr>
          <w:rFonts w:ascii="Palatino Linotype" w:hAnsi="Palatino Linotype"/>
          <w:b/>
          <w:bCs/>
          <w:color w:val="000000" w:themeColor="text1"/>
        </w:rPr>
        <w:t>modificar la respuesta a través del informe justificado y atender lo solicitado</w:t>
      </w:r>
      <w:r w:rsidRPr="001D5444">
        <w:rPr>
          <w:rFonts w:ascii="Palatino Linotype" w:hAnsi="Palatino Linotype"/>
          <w:color w:val="000000" w:themeColor="text1"/>
        </w:rPr>
        <w:t xml:space="preserve">, el recurso de revisión quedó sin materia en términos del Considerando </w:t>
      </w:r>
      <w:r w:rsidRPr="001D5444">
        <w:rPr>
          <w:rFonts w:ascii="Palatino Linotype" w:hAnsi="Palatino Linotype"/>
          <w:b/>
          <w:color w:val="000000" w:themeColor="text1"/>
        </w:rPr>
        <w:t>TERCERO</w:t>
      </w:r>
      <w:r w:rsidRPr="001D5444">
        <w:rPr>
          <w:rFonts w:ascii="Palatino Linotype" w:hAnsi="Palatino Linotype"/>
          <w:color w:val="000000" w:themeColor="text1"/>
        </w:rPr>
        <w:t xml:space="preserve"> de la presente resolución.</w:t>
      </w:r>
    </w:p>
    <w:p w:rsidR="00C42845" w:rsidRPr="001D5444" w:rsidRDefault="00C42845" w:rsidP="001D5444">
      <w:pPr>
        <w:spacing w:before="240" w:after="240" w:line="360" w:lineRule="auto"/>
        <w:jc w:val="both"/>
        <w:rPr>
          <w:rFonts w:ascii="Palatino Linotype" w:eastAsia="等线 Light" w:hAnsi="Palatino Linotype"/>
          <w:color w:val="000000" w:themeColor="text1"/>
        </w:rPr>
      </w:pPr>
      <w:r w:rsidRPr="001D5444">
        <w:rPr>
          <w:rFonts w:ascii="Palatino Linotype" w:hAnsi="Palatino Linotype"/>
          <w:b/>
          <w:color w:val="000000" w:themeColor="text1"/>
        </w:rPr>
        <w:lastRenderedPageBreak/>
        <w:t>SEGUNDO.</w:t>
      </w:r>
      <w:r w:rsidRPr="001D5444">
        <w:rPr>
          <w:rFonts w:ascii="Palatino Linotype" w:eastAsia="等线 Light" w:hAnsi="Palatino Linotype"/>
          <w:color w:val="000000" w:themeColor="text1"/>
        </w:rPr>
        <w:t xml:space="preserve"> </w:t>
      </w:r>
      <w:r w:rsidR="00311F65">
        <w:rPr>
          <w:rFonts w:ascii="Palatino Linotype" w:eastAsia="Calibri" w:hAnsi="Palatino Linotype" w:cs="Arial"/>
          <w:b/>
          <w:bCs/>
          <w:color w:val="000000" w:themeColor="text1"/>
        </w:rPr>
        <w:t>NOTIFÍQUESE</w:t>
      </w:r>
      <w:r w:rsidRPr="001D5444">
        <w:rPr>
          <w:rFonts w:ascii="Palatino Linotype" w:eastAsia="Calibri" w:hAnsi="Palatino Linotype" w:cs="Arial"/>
          <w:b/>
          <w:bCs/>
          <w:color w:val="000000" w:themeColor="text1"/>
        </w:rPr>
        <w:t xml:space="preserve"> </w:t>
      </w:r>
      <w:r w:rsidRPr="001D5444">
        <w:rPr>
          <w:rFonts w:ascii="Palatino Linotype" w:eastAsia="Calibri" w:hAnsi="Palatino Linotype" w:cs="Arial"/>
          <w:bCs/>
          <w:color w:val="000000" w:themeColor="text1"/>
        </w:rPr>
        <w:t xml:space="preserve">a través del Sistema de Acceso a la Información Mexiquense </w:t>
      </w:r>
      <w:r w:rsidRPr="001D5444">
        <w:rPr>
          <w:rFonts w:ascii="Palatino Linotype" w:eastAsia="Calibri" w:hAnsi="Palatino Linotype" w:cs="Arial"/>
          <w:b/>
          <w:bCs/>
          <w:color w:val="000000" w:themeColor="text1"/>
        </w:rPr>
        <w:t xml:space="preserve">(SAIMEX) </w:t>
      </w:r>
      <w:r w:rsidRPr="001D5444">
        <w:rPr>
          <w:rFonts w:ascii="Palatino Linotype" w:eastAsia="Calibri" w:hAnsi="Palatino Linotype" w:cs="Arial"/>
          <w:bCs/>
          <w:color w:val="000000" w:themeColor="text1"/>
        </w:rPr>
        <w:t>la presente resolución al Titular de la Unidad de Transparencia del</w:t>
      </w:r>
      <w:r w:rsidRPr="001D5444">
        <w:rPr>
          <w:rFonts w:ascii="Palatino Linotype" w:eastAsia="Calibri" w:hAnsi="Palatino Linotype" w:cs="Arial"/>
          <w:b/>
          <w:bCs/>
          <w:color w:val="000000" w:themeColor="text1"/>
        </w:rPr>
        <w:t xml:space="preserve"> SUJETO OBLIGADO.</w:t>
      </w:r>
    </w:p>
    <w:p w:rsidR="00C42845" w:rsidRPr="001D5444" w:rsidRDefault="00C42845" w:rsidP="001D5444">
      <w:pPr>
        <w:shd w:val="clear" w:color="auto" w:fill="FFFFFF"/>
        <w:spacing w:before="240" w:line="360" w:lineRule="auto"/>
        <w:jc w:val="both"/>
        <w:rPr>
          <w:rFonts w:ascii="Palatino Linotype" w:eastAsia="Calibri" w:hAnsi="Palatino Linotype" w:cs="Arial"/>
          <w:b/>
          <w:bCs/>
          <w:color w:val="000000" w:themeColor="text1"/>
        </w:rPr>
      </w:pPr>
      <w:r w:rsidRPr="001D5444">
        <w:rPr>
          <w:rFonts w:ascii="Palatino Linotype" w:hAnsi="Palatino Linotype" w:cs="Arial"/>
          <w:b/>
          <w:bCs/>
          <w:color w:val="000000" w:themeColor="text1"/>
          <w:lang w:val="es-ES_tradnl"/>
        </w:rPr>
        <w:t xml:space="preserve">TERCERO. </w:t>
      </w:r>
      <w:r w:rsidRPr="001D5444">
        <w:rPr>
          <w:rFonts w:ascii="Palatino Linotype" w:hAnsi="Palatino Linotype"/>
          <w:b/>
          <w:bCs/>
          <w:color w:val="000000" w:themeColor="text1"/>
        </w:rPr>
        <w:t xml:space="preserve">Notifíquese </w:t>
      </w:r>
      <w:r w:rsidRPr="001D5444">
        <w:rPr>
          <w:rFonts w:ascii="Palatino Linotype" w:hAnsi="Palatino Linotype"/>
          <w:bCs/>
          <w:color w:val="000000" w:themeColor="text1"/>
        </w:rPr>
        <w:t xml:space="preserve">al </w:t>
      </w:r>
      <w:r w:rsidRPr="001D5444">
        <w:rPr>
          <w:rFonts w:ascii="Palatino Linotype" w:hAnsi="Palatino Linotype"/>
          <w:b/>
          <w:bCs/>
          <w:color w:val="000000" w:themeColor="text1"/>
        </w:rPr>
        <w:t>RECURRENTE</w:t>
      </w:r>
      <w:r w:rsidRPr="001D5444">
        <w:rPr>
          <w:rFonts w:ascii="Palatino Linotype" w:hAnsi="Palatino Linotype"/>
          <w:color w:val="000000" w:themeColor="text1"/>
        </w:rPr>
        <w:t xml:space="preserve"> la presente resolución </w:t>
      </w:r>
      <w:r w:rsidRPr="001D5444">
        <w:rPr>
          <w:rFonts w:ascii="Palatino Linotype" w:eastAsia="Calibri" w:hAnsi="Palatino Linotype" w:cs="Arial"/>
          <w:bCs/>
          <w:color w:val="000000" w:themeColor="text1"/>
        </w:rPr>
        <w:t xml:space="preserve">a través del Sistema de Acceso a la Información Mexiquense </w:t>
      </w:r>
      <w:r w:rsidRPr="001D5444">
        <w:rPr>
          <w:rFonts w:ascii="Palatino Linotype" w:eastAsia="Calibri" w:hAnsi="Palatino Linotype" w:cs="Arial"/>
          <w:b/>
          <w:bCs/>
          <w:color w:val="000000" w:themeColor="text1"/>
        </w:rPr>
        <w:t>(SAIMEX).</w:t>
      </w:r>
    </w:p>
    <w:p w:rsidR="003337B1" w:rsidRPr="001D5444" w:rsidRDefault="003337B1" w:rsidP="001D5444">
      <w:pPr>
        <w:shd w:val="clear" w:color="auto" w:fill="FFFFFF"/>
        <w:spacing w:before="240" w:line="360" w:lineRule="auto"/>
        <w:jc w:val="both"/>
        <w:rPr>
          <w:rFonts w:ascii="Palatino Linotype" w:hAnsi="Palatino Linotype" w:cs="Arial"/>
          <w:b/>
          <w:bCs/>
          <w:color w:val="000000" w:themeColor="text1"/>
          <w:lang w:val="es-ES_tradnl"/>
        </w:rPr>
      </w:pPr>
    </w:p>
    <w:p w:rsidR="00C42845" w:rsidRDefault="00C42845" w:rsidP="001D5444">
      <w:pPr>
        <w:spacing w:line="360" w:lineRule="auto"/>
        <w:jc w:val="both"/>
        <w:rPr>
          <w:rFonts w:ascii="Palatino Linotype" w:eastAsia="MS Mincho" w:hAnsi="Palatino Linotype"/>
          <w:color w:val="000000" w:themeColor="text1"/>
        </w:rPr>
      </w:pPr>
      <w:r w:rsidRPr="001D5444">
        <w:rPr>
          <w:rFonts w:ascii="Palatino Linotype" w:eastAsia="Calibri" w:hAnsi="Palatino Linotype" w:cs="Arial"/>
          <w:b/>
          <w:bCs/>
          <w:color w:val="000000" w:themeColor="text1"/>
          <w:lang w:eastAsia="en-US"/>
        </w:rPr>
        <w:t>CUARTO.</w:t>
      </w:r>
      <w:r w:rsidRPr="001D5444">
        <w:rPr>
          <w:rFonts w:ascii="Palatino Linotype" w:eastAsia="Calibri" w:hAnsi="Palatino Linotype" w:cs="Arial"/>
          <w:bCs/>
          <w:color w:val="000000" w:themeColor="text1"/>
          <w:lang w:eastAsia="en-US"/>
        </w:rPr>
        <w:t xml:space="preserve"> </w:t>
      </w:r>
      <w:r w:rsidRPr="001D5444">
        <w:rPr>
          <w:rFonts w:ascii="Palatino Linotype" w:eastAsia="MS Mincho" w:hAnsi="Palatino Linotype"/>
          <w:color w:val="000000" w:themeColor="text1"/>
        </w:rPr>
        <w:t xml:space="preserve">Se hace del conocimiento del </w:t>
      </w:r>
      <w:r w:rsidRPr="001D5444">
        <w:rPr>
          <w:rFonts w:ascii="Palatino Linotype" w:hAnsi="Palatino Linotype"/>
          <w:b/>
          <w:bCs/>
          <w:color w:val="000000" w:themeColor="text1"/>
        </w:rPr>
        <w:t>RECURRENTE</w:t>
      </w:r>
      <w:r w:rsidRPr="001D5444">
        <w:rPr>
          <w:rFonts w:ascii="Palatino Linotype" w:hAnsi="Palatino Linotype"/>
          <w:color w:val="000000" w:themeColor="text1"/>
        </w:rPr>
        <w:t xml:space="preserve"> </w:t>
      </w:r>
      <w:r w:rsidRPr="001D5444">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w:t>
      </w:r>
      <w:r w:rsidRPr="001D5444">
        <w:rPr>
          <w:rFonts w:ascii="Palatino Linotype" w:eastAsia="MS Mincho" w:hAnsi="Palatino Linotype"/>
          <w:bCs/>
          <w:color w:val="000000" w:themeColor="text1"/>
        </w:rPr>
        <w:t>vía juicio de amparo</w:t>
      </w:r>
      <w:r w:rsidRPr="001D5444">
        <w:rPr>
          <w:rFonts w:ascii="Palatino Linotype" w:eastAsia="MS Mincho" w:hAnsi="Palatino Linotype"/>
          <w:color w:val="000000" w:themeColor="text1"/>
        </w:rPr>
        <w:t> en los términos de las leyes aplicables.</w:t>
      </w:r>
    </w:p>
    <w:p w:rsidR="00311F65" w:rsidRDefault="00311F65" w:rsidP="001D5444">
      <w:pPr>
        <w:spacing w:line="360" w:lineRule="auto"/>
        <w:jc w:val="both"/>
        <w:rPr>
          <w:rFonts w:ascii="Palatino Linotype" w:eastAsia="MS Mincho" w:hAnsi="Palatino Linotype"/>
          <w:color w:val="000000" w:themeColor="text1"/>
        </w:rPr>
      </w:pPr>
    </w:p>
    <w:p w:rsidR="00C42845" w:rsidRPr="001D5444" w:rsidRDefault="00CE28D7" w:rsidP="00131D54">
      <w:pPr>
        <w:spacing w:line="360" w:lineRule="auto"/>
        <w:jc w:val="both"/>
        <w:rPr>
          <w:rFonts w:ascii="Palatino Linotype" w:eastAsia="Palatino Linotype" w:hAnsi="Palatino Linotype" w:cs="Palatino Linotype"/>
          <w:color w:val="000000" w:themeColor="text1"/>
        </w:rPr>
      </w:pPr>
      <w:r w:rsidRPr="0058080D">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131D54" w:rsidRPr="00131D54">
        <w:rPr>
          <w:rFonts w:ascii="Palatino Linotype" w:eastAsia="Palatino Linotype" w:hAnsi="Palatino Linotype" w:cs="Palatino Linotype"/>
          <w:color w:val="000000" w:themeColor="text1"/>
        </w:rPr>
        <w:t>.</w:t>
      </w: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jc w:val="both"/>
        <w:rPr>
          <w:rFonts w:ascii="Palatino Linotype" w:eastAsia="Palatino Linotype" w:hAnsi="Palatino Linotype" w:cs="Palatino Linotype"/>
          <w:color w:val="000000" w:themeColor="text1"/>
        </w:rPr>
      </w:pPr>
    </w:p>
    <w:p w:rsidR="00C42845" w:rsidRPr="001D5444" w:rsidRDefault="00C42845" w:rsidP="001D5444">
      <w:pPr>
        <w:spacing w:line="360" w:lineRule="auto"/>
        <w:rPr>
          <w:rFonts w:ascii="Palatino Linotype" w:eastAsia="Palatino Linotype" w:hAnsi="Palatino Linotype" w:cs="Palatino Linotype"/>
          <w:color w:val="000000" w:themeColor="text1"/>
        </w:rPr>
      </w:pPr>
    </w:p>
    <w:sectPr w:rsidR="00C42845" w:rsidRPr="001D5444" w:rsidSect="00436800">
      <w:headerReference w:type="default" r:id="rId8"/>
      <w:footerReference w:type="default" r:id="rId9"/>
      <w:headerReference w:type="first" r:id="rId10"/>
      <w:footerReference w:type="first" r:id="rId11"/>
      <w:pgSz w:w="12240" w:h="15840"/>
      <w:pgMar w:top="2410" w:right="1467" w:bottom="1985" w:left="1701" w:header="426"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ECA" w:rsidRDefault="00215ECA">
      <w:r>
        <w:separator/>
      </w:r>
    </w:p>
  </w:endnote>
  <w:endnote w:type="continuationSeparator" w:id="0">
    <w:p w:rsidR="00215ECA" w:rsidRDefault="0021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51" w:rsidRDefault="00FA15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680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680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FA1551" w:rsidRDefault="00FA1551">
    <w:pPr>
      <w:pBdr>
        <w:top w:val="nil"/>
        <w:left w:val="nil"/>
        <w:bottom w:val="nil"/>
        <w:right w:val="nil"/>
        <w:between w:val="nil"/>
      </w:pBdr>
      <w:tabs>
        <w:tab w:val="center" w:pos="4252"/>
        <w:tab w:val="right" w:pos="8504"/>
      </w:tabs>
      <w:rPr>
        <w:color w:val="000000"/>
      </w:rPr>
    </w:pPr>
  </w:p>
  <w:p w:rsidR="00FA1551" w:rsidRDefault="00FA155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51" w:rsidRDefault="00FA155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3680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36800">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FA1551" w:rsidRDefault="00FA155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ECA" w:rsidRDefault="00215ECA">
      <w:r>
        <w:separator/>
      </w:r>
    </w:p>
  </w:footnote>
  <w:footnote w:type="continuationSeparator" w:id="0">
    <w:p w:rsidR="00215ECA" w:rsidRDefault="00215ECA">
      <w:r>
        <w:continuationSeparator/>
      </w:r>
    </w:p>
  </w:footnote>
  <w:footnote w:id="1">
    <w:p w:rsidR="00FA1551" w:rsidRDefault="00FA1551"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rsidR="00FA1551" w:rsidRDefault="00FA1551"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rsidR="00FA1551" w:rsidRDefault="00FA1551"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rsidR="00FA1551" w:rsidRDefault="00FA1551" w:rsidP="00C42845">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00" w:rsidRDefault="00436800"/>
  <w:tbl>
    <w:tblPr>
      <w:tblStyle w:val="a1"/>
      <w:tblW w:w="6804" w:type="dxa"/>
      <w:tblInd w:w="2977" w:type="dxa"/>
      <w:tblLayout w:type="fixed"/>
      <w:tblLook w:val="0400" w:firstRow="0" w:lastRow="0" w:firstColumn="0" w:lastColumn="0" w:noHBand="0" w:noVBand="1"/>
    </w:tblPr>
    <w:tblGrid>
      <w:gridCol w:w="2835"/>
      <w:gridCol w:w="3969"/>
    </w:tblGrid>
    <w:tr w:rsidR="00FA1551" w:rsidRPr="001D5444" w:rsidTr="001D5444">
      <w:tc>
        <w:tcPr>
          <w:tcW w:w="2835" w:type="dxa"/>
          <w:vAlign w:val="center"/>
        </w:tcPr>
        <w:p w:rsidR="00FA1551" w:rsidRPr="001D5444" w:rsidRDefault="00FA1551" w:rsidP="001D5444">
          <w:pPr>
            <w:jc w:val="right"/>
            <w:rPr>
              <w:rFonts w:ascii="Palatino Linotype" w:eastAsia="Palatino Linotype" w:hAnsi="Palatino Linotype" w:cs="Palatino Linotype"/>
              <w:b/>
            </w:rPr>
          </w:pPr>
          <w:r w:rsidRPr="001D5444">
            <w:rPr>
              <w:rFonts w:ascii="Palatino Linotype" w:eastAsia="Palatino Linotype" w:hAnsi="Palatino Linotype" w:cs="Palatino Linotype"/>
              <w:b/>
            </w:rPr>
            <w:t>Recurso de Revisión:</w:t>
          </w:r>
        </w:p>
      </w:tc>
      <w:tc>
        <w:tcPr>
          <w:tcW w:w="3969" w:type="dxa"/>
          <w:vAlign w:val="center"/>
        </w:tcPr>
        <w:p w:rsidR="00FA1551" w:rsidRPr="001D5444" w:rsidRDefault="00FA1551" w:rsidP="001D5444">
          <w:pPr>
            <w:jc w:val="both"/>
            <w:rPr>
              <w:rFonts w:ascii="Palatino Linotype" w:eastAsia="Palatino Linotype" w:hAnsi="Palatino Linotype" w:cs="Palatino Linotype"/>
            </w:rPr>
          </w:pPr>
          <w:r w:rsidRPr="001D5444">
            <w:rPr>
              <w:rFonts w:ascii="Palatino Linotype" w:eastAsia="Palatino Linotype" w:hAnsi="Palatino Linotype" w:cs="Palatino Linotype"/>
            </w:rPr>
            <w:t>04878/INFOEM/IP/RR/2025</w:t>
          </w:r>
        </w:p>
      </w:tc>
    </w:tr>
    <w:tr w:rsidR="00FA1551" w:rsidRPr="001D5444" w:rsidTr="001D5444">
      <w:trPr>
        <w:trHeight w:val="228"/>
      </w:trPr>
      <w:tc>
        <w:tcPr>
          <w:tcW w:w="2835" w:type="dxa"/>
          <w:vAlign w:val="center"/>
        </w:tcPr>
        <w:p w:rsidR="00FA1551" w:rsidRPr="001D5444" w:rsidRDefault="00FA1551" w:rsidP="001D5444">
          <w:pPr>
            <w:jc w:val="right"/>
            <w:rPr>
              <w:rFonts w:ascii="Palatino Linotype" w:eastAsia="Palatino Linotype" w:hAnsi="Palatino Linotype" w:cs="Palatino Linotype"/>
              <w:b/>
            </w:rPr>
          </w:pPr>
          <w:r w:rsidRPr="001D5444">
            <w:rPr>
              <w:rFonts w:ascii="Palatino Linotype" w:eastAsia="Palatino Linotype" w:hAnsi="Palatino Linotype" w:cs="Palatino Linotype"/>
              <w:b/>
            </w:rPr>
            <w:t>Sujeto Obligado:</w:t>
          </w:r>
        </w:p>
      </w:tc>
      <w:tc>
        <w:tcPr>
          <w:tcW w:w="3969" w:type="dxa"/>
          <w:vAlign w:val="center"/>
        </w:tcPr>
        <w:p w:rsidR="00FA1551" w:rsidRPr="001D5444" w:rsidRDefault="00FA1551" w:rsidP="001D5444">
          <w:pPr>
            <w:rPr>
              <w:rFonts w:ascii="Palatino Linotype" w:eastAsia="Palatino Linotype" w:hAnsi="Palatino Linotype" w:cs="Palatino Linotype"/>
            </w:rPr>
          </w:pPr>
          <w:r w:rsidRPr="001D5444">
            <w:rPr>
              <w:rFonts w:ascii="Palatino Linotype" w:eastAsia="Palatino Linotype" w:hAnsi="Palatino Linotype" w:cs="Palatino Linotype"/>
            </w:rPr>
            <w:t>Ayuntamiento de Toluca</w:t>
          </w:r>
        </w:p>
      </w:tc>
    </w:tr>
    <w:tr w:rsidR="00FA1551" w:rsidRPr="001D5444" w:rsidTr="001D5444">
      <w:tc>
        <w:tcPr>
          <w:tcW w:w="2835" w:type="dxa"/>
          <w:vAlign w:val="center"/>
        </w:tcPr>
        <w:p w:rsidR="00FA1551" w:rsidRPr="001D5444" w:rsidRDefault="00FA1551" w:rsidP="001D5444">
          <w:pPr>
            <w:jc w:val="right"/>
            <w:rPr>
              <w:rFonts w:ascii="Palatino Linotype" w:eastAsia="Palatino Linotype" w:hAnsi="Palatino Linotype" w:cs="Palatino Linotype"/>
              <w:b/>
            </w:rPr>
          </w:pPr>
          <w:r w:rsidRPr="001D5444">
            <w:rPr>
              <w:rFonts w:ascii="Palatino Linotype" w:eastAsia="Palatino Linotype" w:hAnsi="Palatino Linotype" w:cs="Palatino Linotype"/>
              <w:b/>
            </w:rPr>
            <w:t>Comisionada Ponente:</w:t>
          </w:r>
        </w:p>
      </w:tc>
      <w:tc>
        <w:tcPr>
          <w:tcW w:w="3969" w:type="dxa"/>
          <w:vAlign w:val="center"/>
        </w:tcPr>
        <w:p w:rsidR="00FA1551" w:rsidRPr="001D5444" w:rsidRDefault="00FA1551" w:rsidP="001D5444">
          <w:pPr>
            <w:ind w:right="-533"/>
            <w:jc w:val="both"/>
            <w:rPr>
              <w:rFonts w:ascii="Palatino Linotype" w:eastAsia="Palatino Linotype" w:hAnsi="Palatino Linotype" w:cs="Palatino Linotype"/>
            </w:rPr>
          </w:pPr>
          <w:r w:rsidRPr="001D5444">
            <w:rPr>
              <w:rFonts w:ascii="Palatino Linotype" w:eastAsia="Palatino Linotype" w:hAnsi="Palatino Linotype" w:cs="Palatino Linotype"/>
            </w:rPr>
            <w:t>María del Rosario Mejía Ayala</w:t>
          </w:r>
        </w:p>
      </w:tc>
    </w:tr>
  </w:tbl>
  <w:p w:rsidR="00FA1551" w:rsidRDefault="0043680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rPr>
      <w:drawing>
        <wp:anchor distT="0" distB="0" distL="0" distR="0" simplePos="0" relativeHeight="251660288" behindDoc="1" locked="0" layoutInCell="1" hidden="0" allowOverlap="1" wp14:anchorId="72F50C06" wp14:editId="3DDB2ADB">
          <wp:simplePos x="0" y="0"/>
          <wp:positionH relativeFrom="margin">
            <wp:align>center</wp:align>
          </wp:positionH>
          <wp:positionV relativeFrom="paragraph">
            <wp:posOffset>-1037590</wp:posOffset>
          </wp:positionV>
          <wp:extent cx="7705090" cy="9991725"/>
          <wp:effectExtent l="0" t="0" r="0" b="9525"/>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5090" cy="99917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6662" w:type="dxa"/>
      <w:tblInd w:w="3119" w:type="dxa"/>
      <w:tblLayout w:type="fixed"/>
      <w:tblLook w:val="0400" w:firstRow="0" w:lastRow="0" w:firstColumn="0" w:lastColumn="0" w:noHBand="0" w:noVBand="1"/>
    </w:tblPr>
    <w:tblGrid>
      <w:gridCol w:w="2835"/>
      <w:gridCol w:w="3827"/>
    </w:tblGrid>
    <w:tr w:rsidR="00FA1551" w:rsidRPr="001D5444" w:rsidTr="001D5444">
      <w:tc>
        <w:tcPr>
          <w:tcW w:w="2835" w:type="dxa"/>
          <w:vAlign w:val="center"/>
        </w:tcPr>
        <w:p w:rsidR="00FA1551" w:rsidRPr="001D5444" w:rsidRDefault="00FA1551" w:rsidP="001D5444">
          <w:pPr>
            <w:jc w:val="right"/>
            <w:rPr>
              <w:rFonts w:ascii="Palatino Linotype" w:eastAsia="Palatino Linotype" w:hAnsi="Palatino Linotype" w:cs="Palatino Linotype"/>
              <w:b/>
            </w:rPr>
          </w:pPr>
          <w:r>
            <w:rPr>
              <w:rFonts w:ascii="Calibri" w:eastAsia="Calibri" w:hAnsi="Calibri" w:cs="Calibri"/>
              <w:color w:val="000000"/>
            </w:rPr>
            <w:t xml:space="preserve">   </w:t>
          </w:r>
          <w:r w:rsidR="00436800">
            <w:rPr>
              <w:rFonts w:ascii="Calibri" w:eastAsia="Calibri" w:hAnsi="Calibri" w:cs="Calibri"/>
              <w:color w:val="000000"/>
            </w:rPr>
            <w:t xml:space="preserve">                               </w:t>
          </w:r>
          <w:r w:rsidRPr="001D5444">
            <w:rPr>
              <w:rFonts w:ascii="Palatino Linotype" w:eastAsia="Palatino Linotype" w:hAnsi="Palatino Linotype" w:cs="Palatino Linotype"/>
              <w:b/>
            </w:rPr>
            <w:t>Recurso de Revisión:</w:t>
          </w:r>
        </w:p>
      </w:tc>
      <w:tc>
        <w:tcPr>
          <w:tcW w:w="3827" w:type="dxa"/>
          <w:vAlign w:val="center"/>
        </w:tcPr>
        <w:p w:rsidR="00436800" w:rsidRDefault="00436800" w:rsidP="001D5444">
          <w:pPr>
            <w:jc w:val="both"/>
            <w:rPr>
              <w:rFonts w:ascii="Palatino Linotype" w:eastAsia="Palatino Linotype" w:hAnsi="Palatino Linotype" w:cs="Palatino Linotype"/>
            </w:rPr>
          </w:pPr>
        </w:p>
        <w:p w:rsidR="00FA1551" w:rsidRPr="001D5444" w:rsidRDefault="00FA1551" w:rsidP="001D5444">
          <w:pPr>
            <w:jc w:val="both"/>
            <w:rPr>
              <w:rFonts w:ascii="Palatino Linotype" w:eastAsia="Palatino Linotype" w:hAnsi="Palatino Linotype" w:cs="Palatino Linotype"/>
            </w:rPr>
          </w:pPr>
          <w:r w:rsidRPr="001D5444">
            <w:rPr>
              <w:rFonts w:ascii="Palatino Linotype" w:eastAsia="Palatino Linotype" w:hAnsi="Palatino Linotype" w:cs="Palatino Linotype"/>
            </w:rPr>
            <w:t xml:space="preserve">04878/INFOEM/IP/RR/2025 </w:t>
          </w:r>
        </w:p>
      </w:tc>
    </w:tr>
    <w:tr w:rsidR="00FA1551" w:rsidRPr="001D5444" w:rsidTr="001D5444">
      <w:tc>
        <w:tcPr>
          <w:tcW w:w="2835" w:type="dxa"/>
          <w:vAlign w:val="center"/>
        </w:tcPr>
        <w:p w:rsidR="00FA1551" w:rsidRPr="001D5444" w:rsidRDefault="00FA1551" w:rsidP="001D5444">
          <w:pPr>
            <w:ind w:left="35" w:hanging="35"/>
            <w:jc w:val="right"/>
            <w:rPr>
              <w:rFonts w:ascii="Palatino Linotype" w:eastAsia="Palatino Linotype" w:hAnsi="Palatino Linotype" w:cs="Palatino Linotype"/>
              <w:b/>
            </w:rPr>
          </w:pPr>
          <w:r w:rsidRPr="001D5444">
            <w:rPr>
              <w:rFonts w:ascii="Palatino Linotype" w:eastAsia="Palatino Linotype" w:hAnsi="Palatino Linotype" w:cs="Palatino Linotype"/>
              <w:b/>
            </w:rPr>
            <w:t>Recurrente:</w:t>
          </w:r>
        </w:p>
      </w:tc>
      <w:tc>
        <w:tcPr>
          <w:tcW w:w="3827" w:type="dxa"/>
          <w:vAlign w:val="center"/>
        </w:tcPr>
        <w:p w:rsidR="00FA1551" w:rsidRPr="001D5444" w:rsidRDefault="00FA1551" w:rsidP="001D5444">
          <w:pPr>
            <w:rPr>
              <w:rFonts w:ascii="Palatino Linotype" w:eastAsia="Palatino Linotype" w:hAnsi="Palatino Linotype" w:cs="Palatino Linotype"/>
            </w:rPr>
          </w:pPr>
          <w:r w:rsidRPr="001D5444">
            <w:rPr>
              <w:rFonts w:ascii="Palatino Linotype" w:eastAsia="Palatino Linotype" w:hAnsi="Palatino Linotype" w:cs="Palatino Linotype"/>
            </w:rPr>
            <w:t> </w:t>
          </w:r>
        </w:p>
      </w:tc>
    </w:tr>
    <w:tr w:rsidR="00FA1551" w:rsidRPr="001D5444" w:rsidTr="001D5444">
      <w:trPr>
        <w:trHeight w:val="228"/>
      </w:trPr>
      <w:tc>
        <w:tcPr>
          <w:tcW w:w="2835" w:type="dxa"/>
          <w:vAlign w:val="center"/>
        </w:tcPr>
        <w:p w:rsidR="00FA1551" w:rsidRPr="001D5444" w:rsidRDefault="00FA1551" w:rsidP="001D5444">
          <w:pPr>
            <w:jc w:val="right"/>
            <w:rPr>
              <w:rFonts w:ascii="Palatino Linotype" w:eastAsia="Palatino Linotype" w:hAnsi="Palatino Linotype" w:cs="Palatino Linotype"/>
              <w:b/>
            </w:rPr>
          </w:pPr>
          <w:r w:rsidRPr="001D5444">
            <w:rPr>
              <w:rFonts w:ascii="Palatino Linotype" w:eastAsia="Palatino Linotype" w:hAnsi="Palatino Linotype" w:cs="Palatino Linotype"/>
              <w:b/>
            </w:rPr>
            <w:t>Sujeto Obligado:</w:t>
          </w:r>
        </w:p>
      </w:tc>
      <w:tc>
        <w:tcPr>
          <w:tcW w:w="3827" w:type="dxa"/>
          <w:vAlign w:val="center"/>
        </w:tcPr>
        <w:p w:rsidR="00FA1551" w:rsidRPr="001D5444" w:rsidRDefault="00FA1551" w:rsidP="001D5444">
          <w:pPr>
            <w:ind w:left="35" w:hanging="35"/>
            <w:jc w:val="both"/>
            <w:rPr>
              <w:rFonts w:ascii="Palatino Linotype" w:eastAsia="Palatino Linotype" w:hAnsi="Palatino Linotype" w:cs="Palatino Linotype"/>
            </w:rPr>
          </w:pPr>
          <w:r w:rsidRPr="001D5444">
            <w:rPr>
              <w:rFonts w:ascii="Palatino Linotype" w:eastAsia="Palatino Linotype" w:hAnsi="Palatino Linotype" w:cs="Palatino Linotype"/>
              <w:color w:val="000000"/>
            </w:rPr>
            <w:t>Ayuntamiento de Toluca</w:t>
          </w:r>
        </w:p>
      </w:tc>
    </w:tr>
    <w:tr w:rsidR="00FA1551" w:rsidRPr="001D5444" w:rsidTr="001D5444">
      <w:tc>
        <w:tcPr>
          <w:tcW w:w="2835" w:type="dxa"/>
          <w:vAlign w:val="center"/>
        </w:tcPr>
        <w:p w:rsidR="00FA1551" w:rsidRPr="001D5444" w:rsidRDefault="00FA1551" w:rsidP="001D5444">
          <w:pPr>
            <w:jc w:val="right"/>
            <w:rPr>
              <w:rFonts w:ascii="Palatino Linotype" w:eastAsia="Palatino Linotype" w:hAnsi="Palatino Linotype" w:cs="Palatino Linotype"/>
              <w:b/>
            </w:rPr>
          </w:pPr>
          <w:r w:rsidRPr="001D5444">
            <w:rPr>
              <w:rFonts w:ascii="Palatino Linotype" w:eastAsia="Palatino Linotype" w:hAnsi="Palatino Linotype" w:cs="Palatino Linotype"/>
              <w:b/>
            </w:rPr>
            <w:t>Comisionada Ponente:</w:t>
          </w:r>
        </w:p>
      </w:tc>
      <w:tc>
        <w:tcPr>
          <w:tcW w:w="3827" w:type="dxa"/>
          <w:vAlign w:val="center"/>
        </w:tcPr>
        <w:p w:rsidR="00FA1551" w:rsidRPr="001D5444" w:rsidRDefault="00FA1551" w:rsidP="001D5444">
          <w:pPr>
            <w:ind w:right="-533"/>
            <w:jc w:val="both"/>
            <w:rPr>
              <w:rFonts w:ascii="Palatino Linotype" w:eastAsia="Palatino Linotype" w:hAnsi="Palatino Linotype" w:cs="Palatino Linotype"/>
            </w:rPr>
          </w:pPr>
          <w:r w:rsidRPr="001D5444">
            <w:rPr>
              <w:rFonts w:ascii="Palatino Linotype" w:eastAsia="Palatino Linotype" w:hAnsi="Palatino Linotype" w:cs="Palatino Linotype"/>
            </w:rPr>
            <w:t>María del Rosario Mejía Ayala</w:t>
          </w:r>
        </w:p>
      </w:tc>
    </w:tr>
  </w:tbl>
  <w:p w:rsidR="00FA1551" w:rsidRDefault="00436800">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simplePos x="0" y="0"/>
          <wp:positionH relativeFrom="page">
            <wp:posOffset>257091</wp:posOffset>
          </wp:positionH>
          <wp:positionV relativeFrom="paragraph">
            <wp:posOffset>-1301414</wp:posOffset>
          </wp:positionV>
          <wp:extent cx="7705090" cy="9991725"/>
          <wp:effectExtent l="0" t="0" r="0" b="9525"/>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5090" cy="99917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363"/>
    <w:multiLevelType w:val="multilevel"/>
    <w:tmpl w:val="A5808C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8823A8"/>
    <w:multiLevelType w:val="multilevel"/>
    <w:tmpl w:val="32206590"/>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CC16CC"/>
    <w:multiLevelType w:val="multilevel"/>
    <w:tmpl w:val="32206590"/>
    <w:lvl w:ilvl="0">
      <w:start w:val="1"/>
      <w:numFmt w:val="decimal"/>
      <w:lvlText w:val="%1."/>
      <w:lvlJc w:val="left"/>
      <w:pPr>
        <w:ind w:left="1070" w:hanging="360"/>
      </w:pPr>
      <w:rPr>
        <w:rFonts w:ascii="Arial" w:eastAsia="Arial" w:hAnsi="Arial" w:cs="Arial"/>
        <w:b/>
        <w:i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141B17"/>
    <w:multiLevelType w:val="hybridMultilevel"/>
    <w:tmpl w:val="E2FA2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B522A"/>
    <w:multiLevelType w:val="multilevel"/>
    <w:tmpl w:val="C792B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376A84"/>
    <w:multiLevelType w:val="multilevel"/>
    <w:tmpl w:val="330A62F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E60658"/>
    <w:multiLevelType w:val="multilevel"/>
    <w:tmpl w:val="38848D7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2B0514D4"/>
    <w:multiLevelType w:val="multilevel"/>
    <w:tmpl w:val="8164662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2F325D1E"/>
    <w:multiLevelType w:val="multilevel"/>
    <w:tmpl w:val="3F005E6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8F73FC"/>
    <w:multiLevelType w:val="multilevel"/>
    <w:tmpl w:val="CD38828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6D2203"/>
    <w:multiLevelType w:val="multilevel"/>
    <w:tmpl w:val="FF3AEB0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15:restartNumberingAfterBreak="0">
    <w:nsid w:val="3D2B60C3"/>
    <w:multiLevelType w:val="multilevel"/>
    <w:tmpl w:val="E3E670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0839D1"/>
    <w:multiLevelType w:val="hybridMultilevel"/>
    <w:tmpl w:val="669A8A00"/>
    <w:lvl w:ilvl="0" w:tplc="C302A056">
      <w:start w:val="1"/>
      <w:numFmt w:val="decimal"/>
      <w:lvlText w:val="%1."/>
      <w:lvlJc w:val="left"/>
      <w:pPr>
        <w:ind w:left="1211"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674F6E"/>
    <w:multiLevelType w:val="multilevel"/>
    <w:tmpl w:val="0D4A476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2CB51BD"/>
    <w:multiLevelType w:val="multilevel"/>
    <w:tmpl w:val="F3A8377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9070BB6"/>
    <w:multiLevelType w:val="multilevel"/>
    <w:tmpl w:val="05308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EDE7923"/>
    <w:multiLevelType w:val="multilevel"/>
    <w:tmpl w:val="2F703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FB5190A"/>
    <w:multiLevelType w:val="multilevel"/>
    <w:tmpl w:val="9392D9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9"/>
  </w:num>
  <w:num w:numId="3">
    <w:abstractNumId w:val="20"/>
  </w:num>
  <w:num w:numId="4">
    <w:abstractNumId w:val="18"/>
  </w:num>
  <w:num w:numId="5">
    <w:abstractNumId w:val="6"/>
  </w:num>
  <w:num w:numId="6">
    <w:abstractNumId w:val="2"/>
  </w:num>
  <w:num w:numId="7">
    <w:abstractNumId w:val="17"/>
  </w:num>
  <w:num w:numId="8">
    <w:abstractNumId w:val="15"/>
  </w:num>
  <w:num w:numId="9">
    <w:abstractNumId w:val="8"/>
  </w:num>
  <w:num w:numId="10">
    <w:abstractNumId w:val="5"/>
  </w:num>
  <w:num w:numId="11">
    <w:abstractNumId w:val="13"/>
  </w:num>
  <w:num w:numId="12">
    <w:abstractNumId w:val="12"/>
  </w:num>
  <w:num w:numId="13">
    <w:abstractNumId w:val="16"/>
  </w:num>
  <w:num w:numId="14">
    <w:abstractNumId w:val="1"/>
  </w:num>
  <w:num w:numId="15">
    <w:abstractNumId w:val="0"/>
  </w:num>
  <w:num w:numId="16">
    <w:abstractNumId w:val="9"/>
  </w:num>
  <w:num w:numId="17">
    <w:abstractNumId w:val="11"/>
  </w:num>
  <w:num w:numId="18">
    <w:abstractNumId w:val="10"/>
  </w:num>
  <w:num w:numId="19">
    <w:abstractNumId w:val="14"/>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EF"/>
    <w:rsid w:val="00026496"/>
    <w:rsid w:val="00030A93"/>
    <w:rsid w:val="00036087"/>
    <w:rsid w:val="000D26B9"/>
    <w:rsid w:val="00131D54"/>
    <w:rsid w:val="0013429E"/>
    <w:rsid w:val="001A5B79"/>
    <w:rsid w:val="001B1E97"/>
    <w:rsid w:val="001C642C"/>
    <w:rsid w:val="001D1892"/>
    <w:rsid w:val="001D5444"/>
    <w:rsid w:val="001E7E4E"/>
    <w:rsid w:val="0020381C"/>
    <w:rsid w:val="00215ECA"/>
    <w:rsid w:val="002533B5"/>
    <w:rsid w:val="0028607B"/>
    <w:rsid w:val="00294238"/>
    <w:rsid w:val="00305F80"/>
    <w:rsid w:val="00311F65"/>
    <w:rsid w:val="00330872"/>
    <w:rsid w:val="003337B1"/>
    <w:rsid w:val="00350975"/>
    <w:rsid w:val="00384D1E"/>
    <w:rsid w:val="00436800"/>
    <w:rsid w:val="004B5501"/>
    <w:rsid w:val="004C7D72"/>
    <w:rsid w:val="00537188"/>
    <w:rsid w:val="006E61FE"/>
    <w:rsid w:val="006E64BA"/>
    <w:rsid w:val="007F076A"/>
    <w:rsid w:val="008B0CBE"/>
    <w:rsid w:val="00951997"/>
    <w:rsid w:val="00995E77"/>
    <w:rsid w:val="009A2380"/>
    <w:rsid w:val="009B0ADB"/>
    <w:rsid w:val="00A22826"/>
    <w:rsid w:val="00A44615"/>
    <w:rsid w:val="00A542B1"/>
    <w:rsid w:val="00AB2955"/>
    <w:rsid w:val="00AE7F41"/>
    <w:rsid w:val="00AF624F"/>
    <w:rsid w:val="00B73910"/>
    <w:rsid w:val="00BF7523"/>
    <w:rsid w:val="00C42845"/>
    <w:rsid w:val="00C4620B"/>
    <w:rsid w:val="00CE28D7"/>
    <w:rsid w:val="00D03165"/>
    <w:rsid w:val="00D03C5C"/>
    <w:rsid w:val="00D409C3"/>
    <w:rsid w:val="00D539EF"/>
    <w:rsid w:val="00D7274D"/>
    <w:rsid w:val="00E02D58"/>
    <w:rsid w:val="00E76587"/>
    <w:rsid w:val="00E85DEC"/>
    <w:rsid w:val="00F7361A"/>
    <w:rsid w:val="00FA1551"/>
    <w:rsid w:val="00FB39EA"/>
    <w:rsid w:val="00FE747E"/>
    <w:rsid w:val="00FE7B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0CFD08-F060-4ADA-8EC2-35CCF3F0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paragraph" w:customStyle="1" w:styleId="Default">
    <w:name w:val="Default"/>
    <w:rsid w:val="001C76B0"/>
    <w:pPr>
      <w:autoSpaceDE w:val="0"/>
      <w:autoSpaceDN w:val="0"/>
      <w:adjustRightInd w:val="0"/>
    </w:pPr>
    <w:rPr>
      <w:rFonts w:ascii="Montserrat" w:hAnsi="Montserrat" w:cs="Montserrat"/>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normaltextrun">
    <w:name w:val="normaltextrun"/>
    <w:basedOn w:val="Fuentedeprrafopredeter"/>
    <w:rsid w:val="00FA1551"/>
  </w:style>
  <w:style w:type="character" w:customStyle="1" w:styleId="eop">
    <w:name w:val="eop"/>
    <w:basedOn w:val="Fuentedeprrafopredeter"/>
    <w:rsid w:val="00FA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62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ZxaGyvc+Cy5bT4knD79WPGlEA==">CgMxLjAyDmgubG1ydWVoaGJ6enQ1MgloLjN6bnlzaDcyDmguZjY0czdhemhpNW56Mg5oLmtpbmx1bXZpbXR4dzIOaC5qbG53MTdwZG5qdmkyDmgudjBjNzdiNXBubGZzMg5oLnJ0enB3cXNsbjN4YjIOaC5rMDV0Z3F4eWE4NHIyCWguMXQzaDVzZjIJaC40ZDM0b2c4MgloLjJzOGV5bzEyDmguM3VseWJwdW95emw0MgloLjI2aW4xcmcyCGgubG54Yno5MgloLjM1bmt1bjIyDmgudTFyMHF4YjlrdTRzMg5oLmhucGpzN2ZpcXk2bDgAciExSnJuM2prZlFiYjhuVmh2UEZVdEN1Q3l2SG56LWVfU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27</Pages>
  <Words>6943</Words>
  <Characters>38189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29</cp:revision>
  <cp:lastPrinted>2025-07-04T16:43:00Z</cp:lastPrinted>
  <dcterms:created xsi:type="dcterms:W3CDTF">2025-06-17T19:17:00Z</dcterms:created>
  <dcterms:modified xsi:type="dcterms:W3CDTF">2025-07-08T18:03:00Z</dcterms:modified>
</cp:coreProperties>
</file>