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E997" w14:textId="77777777" w:rsidR="00853BE8" w:rsidRDefault="00853BE8">
      <w:pPr>
        <w:widowControl w:val="0"/>
        <w:pBdr>
          <w:top w:val="nil"/>
          <w:left w:val="nil"/>
          <w:bottom w:val="nil"/>
          <w:right w:val="nil"/>
          <w:between w:val="nil"/>
        </w:pBdr>
        <w:spacing w:after="0" w:line="276" w:lineRule="auto"/>
        <w:jc w:val="left"/>
      </w:pPr>
    </w:p>
    <w:p w14:paraId="69C6210A" w14:textId="77777777" w:rsidR="00853BE8" w:rsidRDefault="00FE6B29">
      <w:pPr>
        <w:keepNext/>
        <w:keepLines/>
        <w:pBdr>
          <w:top w:val="nil"/>
          <w:left w:val="nil"/>
          <w:bottom w:val="nil"/>
          <w:right w:val="nil"/>
          <w:between w:val="nil"/>
        </w:pBdr>
        <w:spacing w:after="0" w:line="360" w:lineRule="auto"/>
        <w:jc w:val="center"/>
        <w:rPr>
          <w:color w:val="000000"/>
        </w:rPr>
      </w:pPr>
      <w:r>
        <w:rPr>
          <w:color w:val="000000"/>
        </w:rPr>
        <w:t>RESOLUCIÓN DEL RECURSO DE REVISIÓN 00366/INFOEM/IP/RR/2025</w:t>
      </w:r>
    </w:p>
    <w:sdt>
      <w:sdtPr>
        <w:id w:val="1072934903"/>
        <w:docPartObj>
          <w:docPartGallery w:val="Table of Contents"/>
          <w:docPartUnique/>
        </w:docPartObj>
      </w:sdtPr>
      <w:sdtContent>
        <w:p w14:paraId="70EE7F01" w14:textId="77777777" w:rsidR="00853BE8" w:rsidRDefault="00FE6B29">
          <w:pPr>
            <w:pBdr>
              <w:top w:val="nil"/>
              <w:left w:val="nil"/>
              <w:bottom w:val="nil"/>
              <w:right w:val="nil"/>
              <w:between w:val="nil"/>
            </w:pBdr>
            <w:tabs>
              <w:tab w:val="right" w:pos="9072"/>
            </w:tabs>
            <w:spacing w:after="100" w:line="360" w:lineRule="auto"/>
            <w:rPr>
              <w:color w:val="000000"/>
              <w:sz w:val="24"/>
              <w:szCs w:val="24"/>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088B4BAB"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30j0zll">
            <w:r>
              <w:rPr>
                <w:color w:val="000000"/>
              </w:rPr>
              <w:t>I. Presentación de la solicitud de información</w:t>
            </w:r>
            <w:r>
              <w:rPr>
                <w:color w:val="000000"/>
              </w:rPr>
              <w:tab/>
              <w:t>2</w:t>
            </w:r>
          </w:hyperlink>
        </w:p>
        <w:p w14:paraId="62E28DCD"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1fob9te">
            <w:r>
              <w:rPr>
                <w:color w:val="000000"/>
              </w:rPr>
              <w:t>II. Respuesta del Sujeto Obligado</w:t>
            </w:r>
            <w:r>
              <w:rPr>
                <w:color w:val="000000"/>
              </w:rPr>
              <w:tab/>
              <w:t>3</w:t>
            </w:r>
          </w:hyperlink>
        </w:p>
        <w:p w14:paraId="2866D188"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2et92p0">
            <w:r>
              <w:rPr>
                <w:color w:val="000000"/>
              </w:rPr>
              <w:t>III. Interposición del Recurso de Revisión</w:t>
            </w:r>
            <w:r>
              <w:rPr>
                <w:color w:val="000000"/>
              </w:rPr>
              <w:tab/>
              <w:t>3</w:t>
            </w:r>
          </w:hyperlink>
        </w:p>
        <w:p w14:paraId="0B812301"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tyjcwt">
            <w:r>
              <w:rPr>
                <w:color w:val="000000"/>
              </w:rPr>
              <w:t>IV. Trámite del Recurso de Revisión ante este Instituto</w:t>
            </w:r>
            <w:r>
              <w:rPr>
                <w:color w:val="000000"/>
              </w:rPr>
              <w:tab/>
              <w:t>4</w:t>
            </w:r>
          </w:hyperlink>
        </w:p>
        <w:p w14:paraId="7428939C"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3dy6vkm">
            <w:r>
              <w:rPr>
                <w:color w:val="000000"/>
              </w:rPr>
              <w:t>a) Turno del Medio de Impugnación.</w:t>
            </w:r>
            <w:r>
              <w:rPr>
                <w:color w:val="000000"/>
              </w:rPr>
              <w:tab/>
              <w:t>4</w:t>
            </w:r>
          </w:hyperlink>
        </w:p>
        <w:p w14:paraId="53B3B4FE"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1t3h5sf">
            <w:r>
              <w:rPr>
                <w:color w:val="000000"/>
              </w:rPr>
              <w:t>b) Admisión del Recurso de Revisión.</w:t>
            </w:r>
            <w:r>
              <w:rPr>
                <w:color w:val="000000"/>
              </w:rPr>
              <w:tab/>
              <w:t>4</w:t>
            </w:r>
          </w:hyperlink>
        </w:p>
        <w:p w14:paraId="30334EB7"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4d34og8">
            <w:r>
              <w:rPr>
                <w:color w:val="000000"/>
              </w:rPr>
              <w:t>c) Informe Justificado o Manifestaciones.</w:t>
            </w:r>
            <w:r>
              <w:rPr>
                <w:color w:val="000000"/>
              </w:rPr>
              <w:tab/>
              <w:t>5</w:t>
            </w:r>
          </w:hyperlink>
        </w:p>
        <w:p w14:paraId="3B5F7F2C"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2s8eyo1">
            <w:r>
              <w:rPr>
                <w:color w:val="000000"/>
              </w:rPr>
              <w:t>d) Cierre de instrucción.</w:t>
            </w:r>
            <w:r>
              <w:rPr>
                <w:color w:val="000000"/>
              </w:rPr>
              <w:tab/>
              <w:t>5</w:t>
            </w:r>
          </w:hyperlink>
        </w:p>
        <w:p w14:paraId="599E99C4" w14:textId="77777777" w:rsidR="00853BE8" w:rsidRDefault="00FE6B29">
          <w:pPr>
            <w:pBdr>
              <w:top w:val="nil"/>
              <w:left w:val="nil"/>
              <w:bottom w:val="nil"/>
              <w:right w:val="nil"/>
              <w:between w:val="nil"/>
            </w:pBdr>
            <w:tabs>
              <w:tab w:val="right" w:pos="9072"/>
            </w:tabs>
            <w:spacing w:after="100" w:line="360" w:lineRule="auto"/>
            <w:rPr>
              <w:color w:val="000000"/>
              <w:sz w:val="24"/>
              <w:szCs w:val="24"/>
            </w:rPr>
          </w:pPr>
          <w:hyperlink w:anchor="_heading=h.17dp8vu">
            <w:r>
              <w:rPr>
                <w:color w:val="000000"/>
              </w:rPr>
              <w:t>C O N S I D E R A N D O S</w:t>
            </w:r>
            <w:r>
              <w:rPr>
                <w:color w:val="000000"/>
              </w:rPr>
              <w:tab/>
              <w:t>5</w:t>
            </w:r>
          </w:hyperlink>
        </w:p>
        <w:p w14:paraId="347DEBCA"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3rdcrjn">
            <w:r>
              <w:rPr>
                <w:color w:val="000000"/>
              </w:rPr>
              <w:t>PRIMERO. Competencia</w:t>
            </w:r>
            <w:r>
              <w:rPr>
                <w:color w:val="000000"/>
              </w:rPr>
              <w:tab/>
              <w:t>5</w:t>
            </w:r>
          </w:hyperlink>
        </w:p>
        <w:p w14:paraId="5DCB7A53"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lnxbz9">
            <w:r>
              <w:rPr>
                <w:color w:val="000000"/>
              </w:rPr>
              <w:t>SEGUNDO. Causales de improcedencia</w:t>
            </w:r>
            <w:r>
              <w:rPr>
                <w:color w:val="000000"/>
              </w:rPr>
              <w:tab/>
              <w:t>6</w:t>
            </w:r>
          </w:hyperlink>
        </w:p>
        <w:p w14:paraId="6220A91A"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35nkun2">
            <w:r>
              <w:rPr>
                <w:color w:val="000000"/>
              </w:rPr>
              <w:t>TERCERO. Causales de sobreseimiento</w:t>
            </w:r>
            <w:r>
              <w:rPr>
                <w:color w:val="000000"/>
              </w:rPr>
              <w:tab/>
              <w:t>7</w:t>
            </w:r>
          </w:hyperlink>
        </w:p>
        <w:p w14:paraId="1A043A51" w14:textId="77777777" w:rsidR="00853BE8" w:rsidRDefault="00FE6B29">
          <w:pPr>
            <w:pBdr>
              <w:top w:val="nil"/>
              <w:left w:val="nil"/>
              <w:bottom w:val="nil"/>
              <w:right w:val="nil"/>
              <w:between w:val="nil"/>
            </w:pBdr>
            <w:tabs>
              <w:tab w:val="right" w:pos="8921"/>
            </w:tabs>
            <w:spacing w:after="100" w:line="360" w:lineRule="auto"/>
            <w:ind w:left="200"/>
            <w:jc w:val="left"/>
            <w:rPr>
              <w:color w:val="000000"/>
              <w:sz w:val="24"/>
              <w:szCs w:val="24"/>
            </w:rPr>
          </w:pPr>
          <w:hyperlink w:anchor="_heading=h.1ksv4uv">
            <w:r>
              <w:rPr>
                <w:color w:val="000000"/>
              </w:rPr>
              <w:t>CUARTO. Decisión</w:t>
            </w:r>
            <w:r>
              <w:rPr>
                <w:color w:val="000000"/>
              </w:rPr>
              <w:tab/>
              <w:t>12</w:t>
            </w:r>
          </w:hyperlink>
        </w:p>
        <w:p w14:paraId="2F3DF02C" w14:textId="77777777" w:rsidR="00853BE8" w:rsidRDefault="00FE6B29">
          <w:pPr>
            <w:pBdr>
              <w:top w:val="nil"/>
              <w:left w:val="nil"/>
              <w:bottom w:val="nil"/>
              <w:right w:val="nil"/>
              <w:between w:val="nil"/>
            </w:pBdr>
            <w:tabs>
              <w:tab w:val="right" w:pos="9072"/>
            </w:tabs>
            <w:spacing w:after="100" w:line="360" w:lineRule="auto"/>
            <w:rPr>
              <w:color w:val="000000"/>
              <w:sz w:val="24"/>
              <w:szCs w:val="24"/>
            </w:rPr>
          </w:pPr>
          <w:hyperlink w:anchor="_heading=h.44sinio">
            <w:r>
              <w:rPr>
                <w:color w:val="000000"/>
              </w:rPr>
              <w:t>R E S U E L V E:</w:t>
            </w:r>
            <w:r>
              <w:rPr>
                <w:color w:val="000000"/>
              </w:rPr>
              <w:tab/>
              <w:t>13</w:t>
            </w:r>
          </w:hyperlink>
        </w:p>
        <w:p w14:paraId="76338B0B" w14:textId="77777777" w:rsidR="00853BE8" w:rsidRDefault="00FE6B29">
          <w:pPr>
            <w:spacing w:after="0" w:line="360" w:lineRule="auto"/>
          </w:pPr>
          <w:r>
            <w:fldChar w:fldCharType="end"/>
          </w:r>
        </w:p>
      </w:sdtContent>
    </w:sdt>
    <w:p w14:paraId="326A14A4" w14:textId="77777777" w:rsidR="00853BE8" w:rsidRDefault="00853BE8">
      <w:pPr>
        <w:tabs>
          <w:tab w:val="left" w:pos="8931"/>
        </w:tabs>
        <w:spacing w:after="0" w:line="360" w:lineRule="auto"/>
        <w:rPr>
          <w:color w:val="FF0000"/>
        </w:rPr>
      </w:pPr>
    </w:p>
    <w:p w14:paraId="2AA6A3EF" w14:textId="77777777" w:rsidR="00853BE8" w:rsidRDefault="00853BE8">
      <w:pPr>
        <w:tabs>
          <w:tab w:val="left" w:pos="8931"/>
        </w:tabs>
        <w:spacing w:after="0" w:line="360" w:lineRule="auto"/>
        <w:rPr>
          <w:color w:val="FF0000"/>
        </w:rPr>
      </w:pPr>
    </w:p>
    <w:p w14:paraId="55EBBED2" w14:textId="77777777" w:rsidR="00853BE8" w:rsidRDefault="00853BE8">
      <w:pPr>
        <w:tabs>
          <w:tab w:val="left" w:pos="8931"/>
        </w:tabs>
        <w:spacing w:after="0" w:line="360" w:lineRule="auto"/>
        <w:rPr>
          <w:color w:val="000000"/>
        </w:rPr>
      </w:pPr>
    </w:p>
    <w:p w14:paraId="50046491" w14:textId="77777777" w:rsidR="00853BE8" w:rsidRDefault="00853BE8">
      <w:pPr>
        <w:tabs>
          <w:tab w:val="left" w:pos="8931"/>
        </w:tabs>
        <w:spacing w:after="0" w:line="360" w:lineRule="auto"/>
        <w:rPr>
          <w:color w:val="000000"/>
        </w:rPr>
      </w:pPr>
    </w:p>
    <w:p w14:paraId="5392E631" w14:textId="77777777" w:rsidR="00853BE8" w:rsidRDefault="00853BE8">
      <w:pPr>
        <w:tabs>
          <w:tab w:val="left" w:pos="8931"/>
        </w:tabs>
        <w:spacing w:after="0" w:line="360" w:lineRule="auto"/>
        <w:rPr>
          <w:color w:val="000000"/>
        </w:rPr>
      </w:pPr>
    </w:p>
    <w:p w14:paraId="4595C5A2" w14:textId="77777777" w:rsidR="00853BE8" w:rsidRDefault="00FE6B29">
      <w:pPr>
        <w:tabs>
          <w:tab w:val="left" w:pos="8931"/>
        </w:tabs>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diecinueve de febrero de dos mil veinticinco. </w:t>
      </w:r>
    </w:p>
    <w:p w14:paraId="1DCBBDE8" w14:textId="77777777" w:rsidR="00853BE8" w:rsidRDefault="00FE6B29">
      <w:pPr>
        <w:tabs>
          <w:tab w:val="left" w:pos="2340"/>
        </w:tabs>
        <w:spacing w:after="0" w:line="360" w:lineRule="auto"/>
        <w:rPr>
          <w:b/>
          <w:color w:val="FF0000"/>
        </w:rPr>
      </w:pPr>
      <w:r>
        <w:rPr>
          <w:b/>
          <w:color w:val="FF0000"/>
        </w:rPr>
        <w:tab/>
      </w:r>
    </w:p>
    <w:p w14:paraId="2C412FE5" w14:textId="61FE63B9" w:rsidR="00853BE8" w:rsidRDefault="00FE6B29">
      <w:pPr>
        <w:spacing w:after="0" w:line="360" w:lineRule="auto"/>
        <w:rPr>
          <w:color w:val="000000"/>
        </w:rPr>
      </w:pPr>
      <w:r>
        <w:rPr>
          <w:b/>
          <w:color w:val="000000"/>
        </w:rPr>
        <w:t xml:space="preserve">VISTO </w:t>
      </w:r>
      <w:r>
        <w:rPr>
          <w:color w:val="000000"/>
        </w:rPr>
        <w:t xml:space="preserve">el expediente electrónico conformado con motivo del Recurso de Revisión </w:t>
      </w:r>
      <w:r w:rsidRPr="002A28CF">
        <w:rPr>
          <w:b/>
          <w:color w:val="000000"/>
        </w:rPr>
        <w:t>00366/INFOEM/IP/RR/2025</w:t>
      </w:r>
      <w:r>
        <w:rPr>
          <w:color w:val="000000"/>
        </w:rPr>
        <w:t xml:space="preserve">, interpuesto por </w:t>
      </w:r>
      <w:r w:rsidR="00037F53" w:rsidRPr="00037F53">
        <w:rPr>
          <w:highlight w:val="black"/>
        </w:rPr>
        <w:t>XXXXXXXXXXXXXX</w:t>
      </w:r>
      <w:r>
        <w:rPr>
          <w:color w:val="000000"/>
        </w:rPr>
        <w:t xml:space="preserve">, en contra de la respuesta del Sujeto Obligado, </w:t>
      </w:r>
      <w:r w:rsidRPr="002A28CF">
        <w:rPr>
          <w:b/>
          <w:color w:val="000000"/>
        </w:rPr>
        <w:t>Sistema Municipal Para el Desarrollo Integral de la Familia de Toluca</w:t>
      </w:r>
      <w:r>
        <w:rPr>
          <w:color w:val="000000"/>
        </w:rPr>
        <w:t>, a la solicitud de acceso a la información pública 00037/DIFTOLUCA/IP/2025, se emite la presente Resolución, con base en los Antecedentes y Considerandos que se exponen a continuación:</w:t>
      </w:r>
      <w:r w:rsidR="00037F53">
        <w:rPr>
          <w:color w:val="000000"/>
        </w:rPr>
        <w:t xml:space="preserve"> </w:t>
      </w:r>
    </w:p>
    <w:p w14:paraId="5BD72A06" w14:textId="77777777" w:rsidR="00853BE8" w:rsidRDefault="00FE6B29">
      <w:pPr>
        <w:tabs>
          <w:tab w:val="left" w:pos="1965"/>
        </w:tabs>
        <w:spacing w:after="0" w:line="360" w:lineRule="auto"/>
        <w:rPr>
          <w:b/>
          <w:color w:val="FF0000"/>
        </w:rPr>
      </w:pPr>
      <w:r>
        <w:rPr>
          <w:b/>
          <w:color w:val="FF0000"/>
        </w:rPr>
        <w:tab/>
      </w:r>
    </w:p>
    <w:p w14:paraId="68740D1B" w14:textId="77777777" w:rsidR="00853BE8" w:rsidRDefault="00FE6B29">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4727B859" w14:textId="77777777" w:rsidR="00853BE8" w:rsidRDefault="00853BE8">
      <w:pPr>
        <w:spacing w:after="0" w:line="360" w:lineRule="auto"/>
        <w:jc w:val="center"/>
        <w:rPr>
          <w:b/>
          <w:color w:val="000000"/>
        </w:rPr>
      </w:pPr>
    </w:p>
    <w:p w14:paraId="59D80B9E" w14:textId="77777777" w:rsidR="00853BE8" w:rsidRDefault="00FE6B29">
      <w:pPr>
        <w:pStyle w:val="Ttulo2"/>
        <w:spacing w:before="0" w:line="360" w:lineRule="auto"/>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14:paraId="50428BB5" w14:textId="77777777" w:rsidR="00853BE8" w:rsidRDefault="00853BE8">
      <w:pPr>
        <w:spacing w:after="0" w:line="360" w:lineRule="auto"/>
        <w:rPr>
          <w:b/>
          <w:color w:val="000000"/>
        </w:rPr>
      </w:pPr>
    </w:p>
    <w:p w14:paraId="23F67A65" w14:textId="77777777" w:rsidR="00853BE8" w:rsidRDefault="00FE6B29">
      <w:pPr>
        <w:spacing w:after="0" w:line="360" w:lineRule="auto"/>
        <w:rPr>
          <w:color w:val="000000"/>
        </w:rPr>
      </w:pPr>
      <w:r>
        <w:rPr>
          <w:color w:val="000000"/>
        </w:rPr>
        <w:t>Con fecha diecisiete de enero de dos mil veinticinco, la persona Solicitante presentó un requerimiento de acceso a la información, a través del Sistema de Acceso a la Información Mexiquense (SAIMEX), ante el Sistema Municipal Para el Desarrollo Integral de la Familia de Toluca,</w:t>
      </w:r>
      <w:r>
        <w:rPr>
          <w:b/>
          <w:color w:val="000000"/>
        </w:rPr>
        <w:t xml:space="preserve"> </w:t>
      </w:r>
      <w:r>
        <w:rPr>
          <w:color w:val="000000"/>
        </w:rPr>
        <w:t>en los siguientes términos:</w:t>
      </w:r>
    </w:p>
    <w:p w14:paraId="41C22DC9" w14:textId="77777777" w:rsidR="00853BE8" w:rsidRDefault="00853BE8">
      <w:pPr>
        <w:tabs>
          <w:tab w:val="left" w:pos="4667"/>
        </w:tabs>
        <w:spacing w:after="0" w:line="360" w:lineRule="auto"/>
        <w:ind w:right="567"/>
        <w:rPr>
          <w:b/>
          <w:i/>
          <w:color w:val="FF0000"/>
        </w:rPr>
      </w:pPr>
    </w:p>
    <w:p w14:paraId="51636198" w14:textId="77777777" w:rsidR="00853BE8" w:rsidRDefault="00FE6B29">
      <w:pPr>
        <w:spacing w:after="0" w:line="360" w:lineRule="auto"/>
        <w:ind w:left="567" w:right="567"/>
        <w:rPr>
          <w:b/>
          <w:i/>
          <w:color w:val="000000"/>
          <w:sz w:val="20"/>
          <w:szCs w:val="20"/>
        </w:rPr>
      </w:pPr>
      <w:r>
        <w:rPr>
          <w:b/>
          <w:i/>
          <w:color w:val="000000"/>
          <w:sz w:val="20"/>
          <w:szCs w:val="20"/>
        </w:rPr>
        <w:t>“DESCRIPCIÓN CLARA Y PRECISA DE LA INFORMACIÓN SOLICITADA.</w:t>
      </w:r>
    </w:p>
    <w:p w14:paraId="6CA3DB6F" w14:textId="77777777" w:rsidR="00853BE8" w:rsidRDefault="00FE6B29">
      <w:pPr>
        <w:spacing w:after="0" w:line="360" w:lineRule="auto"/>
        <w:ind w:left="567" w:right="567"/>
        <w:rPr>
          <w:i/>
          <w:color w:val="000000"/>
          <w:sz w:val="20"/>
          <w:szCs w:val="20"/>
        </w:rPr>
      </w:pPr>
      <w:r>
        <w:rPr>
          <w:i/>
          <w:color w:val="000000"/>
          <w:sz w:val="20"/>
          <w:szCs w:val="20"/>
        </w:rPr>
        <w:lastRenderedPageBreak/>
        <w:t xml:space="preserve">SOLICITO DEL RESPONSABLE DE TRANSPARENCIA DEL SISTEMA DIF TOLUCA, SU CERTIFICADO DE COMPETENCIA LABORAL EN TRANSPARENCIA, PARA SABER SI CUENTA CON LA EXPERIENCIA PARA ATENDER ESTOS ASUNTOS.” (Sic) </w:t>
      </w:r>
    </w:p>
    <w:p w14:paraId="65261BA5" w14:textId="77777777" w:rsidR="00853BE8" w:rsidRDefault="00853BE8">
      <w:pPr>
        <w:spacing w:after="0" w:line="360" w:lineRule="auto"/>
        <w:ind w:right="567"/>
        <w:rPr>
          <w:i/>
          <w:color w:val="000000"/>
          <w:sz w:val="20"/>
          <w:szCs w:val="20"/>
        </w:rPr>
      </w:pPr>
    </w:p>
    <w:p w14:paraId="01FF7F8F" w14:textId="77777777" w:rsidR="00853BE8" w:rsidRDefault="00FE6B29">
      <w:pPr>
        <w:spacing w:after="0" w:line="360" w:lineRule="auto"/>
        <w:ind w:left="567" w:right="567"/>
        <w:rPr>
          <w:b/>
          <w:i/>
          <w:color w:val="000000"/>
          <w:sz w:val="20"/>
          <w:szCs w:val="20"/>
        </w:rPr>
      </w:pPr>
      <w:r>
        <w:rPr>
          <w:b/>
          <w:i/>
          <w:color w:val="000000"/>
          <w:sz w:val="20"/>
          <w:szCs w:val="20"/>
        </w:rPr>
        <w:t>“MODALIDAD DE ENTREGA</w:t>
      </w:r>
    </w:p>
    <w:p w14:paraId="41CD32AB" w14:textId="77777777" w:rsidR="00853BE8" w:rsidRDefault="00FE6B29">
      <w:pPr>
        <w:spacing w:after="0" w:line="360" w:lineRule="auto"/>
        <w:ind w:left="567" w:right="567"/>
        <w:rPr>
          <w:i/>
          <w:color w:val="000000"/>
          <w:sz w:val="20"/>
          <w:szCs w:val="20"/>
        </w:rPr>
      </w:pPr>
      <w:r>
        <w:rPr>
          <w:i/>
          <w:color w:val="000000"/>
          <w:sz w:val="20"/>
          <w:szCs w:val="20"/>
        </w:rPr>
        <w:t>A través del SAIMEX”</w:t>
      </w:r>
    </w:p>
    <w:p w14:paraId="781D99EB" w14:textId="77777777" w:rsidR="00853BE8" w:rsidRDefault="00853BE8">
      <w:pPr>
        <w:spacing w:after="0" w:line="360" w:lineRule="auto"/>
        <w:rPr>
          <w:b/>
          <w:color w:val="000000"/>
        </w:rPr>
      </w:pPr>
    </w:p>
    <w:p w14:paraId="22A6CE60" w14:textId="77777777" w:rsidR="00853BE8" w:rsidRDefault="00FE6B29">
      <w:pPr>
        <w:pStyle w:val="Ttulo2"/>
        <w:spacing w:before="0" w:line="360" w:lineRule="auto"/>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II. Respuesta del Sujeto Obligado</w:t>
      </w:r>
    </w:p>
    <w:p w14:paraId="7447F20B" w14:textId="77777777" w:rsidR="00853BE8" w:rsidRDefault="00853BE8">
      <w:pPr>
        <w:spacing w:after="0" w:line="360" w:lineRule="auto"/>
        <w:rPr>
          <w:b/>
          <w:color w:val="FF0000"/>
        </w:rPr>
      </w:pPr>
    </w:p>
    <w:p w14:paraId="071D808B" w14:textId="77777777" w:rsidR="00853BE8" w:rsidRDefault="00FE6B29">
      <w:pPr>
        <w:spacing w:after="0" w:line="360" w:lineRule="auto"/>
        <w:rPr>
          <w:color w:val="000000"/>
        </w:rPr>
      </w:pPr>
      <w:bookmarkStart w:id="3" w:name="_heading=h.3znysh7" w:colFirst="0" w:colLast="0"/>
      <w:bookmarkEnd w:id="3"/>
      <w:r>
        <w:rPr>
          <w:color w:val="000000"/>
        </w:rPr>
        <w:t xml:space="preserve">Con fecha veintitrés de enero de dos mil veinticinco, el Sistema Municipal Para el Desarrollo Integral de la Familia de Toluca, notificó la respuesta a la solicitud, a través del Sistema de Acceso a la Información Mexiquense (SAIMEX), mediante la digitalización del Oficio número 200B10100/100/2025, de la misma fecha de recepción, suscrito por la Titular de la Unidad de Información, Planeación, Programación y Evaluación y dirigido al Solicitante, por medio del cual precisó lo siguiente: </w:t>
      </w:r>
    </w:p>
    <w:p w14:paraId="11D90162" w14:textId="77777777" w:rsidR="00853BE8" w:rsidRDefault="00853BE8">
      <w:pPr>
        <w:spacing w:after="0" w:line="360" w:lineRule="auto"/>
        <w:rPr>
          <w:color w:val="000000"/>
        </w:rPr>
      </w:pPr>
    </w:p>
    <w:p w14:paraId="4D16B882" w14:textId="77777777" w:rsidR="00853BE8" w:rsidRDefault="00FE6B29">
      <w:pPr>
        <w:spacing w:after="0" w:line="360" w:lineRule="auto"/>
        <w:ind w:left="567" w:right="567"/>
        <w:rPr>
          <w:i/>
          <w:color w:val="000000"/>
          <w:sz w:val="20"/>
          <w:szCs w:val="20"/>
        </w:rPr>
      </w:pPr>
      <w:r>
        <w:rPr>
          <w:i/>
          <w:color w:val="000000"/>
          <w:sz w:val="20"/>
          <w:szCs w:val="20"/>
        </w:rPr>
        <w:t xml:space="preserve">“…se menciona al Responsable de la Unidad de Transparencia, como la persona servidora pública que deberá contar con la certificación en materia de acceso a la información, transparencia y protección de datos personales y con experiencia en la materia, en tal virtud resulta necesario hacer de su conocimiento que </w:t>
      </w:r>
      <w:r>
        <w:rPr>
          <w:i/>
          <w:color w:val="000000"/>
          <w:sz w:val="20"/>
          <w:szCs w:val="20"/>
          <w:u w:val="single"/>
        </w:rPr>
        <w:t>este Sujeto Obligado, dentro de su organigrama no cuenta con la Unidad de Transparencia, por lo que personal adscrito a la Unidad de Información, Planeación, Programación y Evaluación, es el encargado de brindar atención a las solicitudes ingresadas vía el Sistema de Acceso a la Información Mexiquense (SAIMEX)</w:t>
      </w:r>
      <w:r>
        <w:rPr>
          <w:i/>
          <w:color w:val="000000"/>
          <w:sz w:val="20"/>
          <w:szCs w:val="20"/>
        </w:rPr>
        <w:t xml:space="preserve">, razón por la cual </w:t>
      </w:r>
      <w:r>
        <w:rPr>
          <w:b/>
          <w:i/>
          <w:color w:val="000000"/>
          <w:sz w:val="20"/>
          <w:szCs w:val="20"/>
        </w:rPr>
        <w:t>no se tiene la obligación de contar con la certificación antes mencionada.</w:t>
      </w:r>
    </w:p>
    <w:p w14:paraId="7BB13DFF" w14:textId="77777777" w:rsidR="00853BE8" w:rsidRDefault="00FE6B29">
      <w:pPr>
        <w:spacing w:after="0" w:line="360" w:lineRule="auto"/>
        <w:ind w:left="567" w:right="567"/>
        <w:rPr>
          <w:i/>
          <w:color w:val="000000"/>
          <w:sz w:val="20"/>
          <w:szCs w:val="20"/>
        </w:rPr>
      </w:pPr>
      <w:r>
        <w:rPr>
          <w:i/>
          <w:color w:val="000000"/>
          <w:sz w:val="20"/>
          <w:szCs w:val="20"/>
        </w:rPr>
        <w:t>…”</w:t>
      </w:r>
    </w:p>
    <w:p w14:paraId="59A4599E" w14:textId="77777777" w:rsidR="00853BE8" w:rsidRDefault="00853BE8">
      <w:pPr>
        <w:spacing w:after="0" w:line="360" w:lineRule="auto"/>
        <w:ind w:right="567"/>
        <w:rPr>
          <w:i/>
          <w:color w:val="FF0000"/>
          <w:sz w:val="20"/>
          <w:szCs w:val="20"/>
        </w:rPr>
      </w:pPr>
    </w:p>
    <w:p w14:paraId="110EF784" w14:textId="77777777" w:rsidR="00853BE8" w:rsidRDefault="00FE6B29">
      <w:pPr>
        <w:spacing w:after="0" w:line="360" w:lineRule="auto"/>
        <w:rPr>
          <w:color w:val="000000"/>
        </w:rPr>
      </w:pPr>
      <w:r>
        <w:rPr>
          <w:color w:val="000000"/>
        </w:rPr>
        <w:lastRenderedPageBreak/>
        <w:t>El Sujeto Obligado adjuntó la digitalización del Organigrama del Sistema Municipal para el Desarrollo Integral de la Familia de Toluca.</w:t>
      </w:r>
    </w:p>
    <w:p w14:paraId="063A32C3" w14:textId="77777777" w:rsidR="00853BE8" w:rsidRDefault="00853BE8">
      <w:pPr>
        <w:spacing w:after="0" w:line="360" w:lineRule="auto"/>
        <w:ind w:right="567"/>
        <w:rPr>
          <w:color w:val="FF0000"/>
        </w:rPr>
      </w:pPr>
    </w:p>
    <w:p w14:paraId="01BA11F9" w14:textId="77777777" w:rsidR="00853BE8" w:rsidRDefault="00FE6B29">
      <w:pPr>
        <w:pStyle w:val="Ttulo2"/>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Pr>
          <w:rFonts w:ascii="Palatino Linotype" w:eastAsia="Palatino Linotype" w:hAnsi="Palatino Linotype" w:cs="Palatino Linotype"/>
          <w:b/>
          <w:color w:val="000000"/>
          <w:sz w:val="22"/>
          <w:szCs w:val="22"/>
        </w:rPr>
        <w:t>III. Interposición del Recurso de Revisión</w:t>
      </w:r>
    </w:p>
    <w:p w14:paraId="5A503A99" w14:textId="77777777" w:rsidR="00853BE8" w:rsidRDefault="00853BE8">
      <w:pPr>
        <w:spacing w:after="0" w:line="360" w:lineRule="auto"/>
        <w:rPr>
          <w:color w:val="FF0000"/>
        </w:rPr>
      </w:pPr>
    </w:p>
    <w:p w14:paraId="52E4E1D1" w14:textId="77777777" w:rsidR="00853BE8" w:rsidRDefault="00FE6B29">
      <w:pPr>
        <w:widowControl w:val="0"/>
        <w:spacing w:after="0" w:line="360" w:lineRule="auto"/>
        <w:rPr>
          <w:color w:val="000000"/>
        </w:rPr>
      </w:pPr>
      <w:r>
        <w:rPr>
          <w:color w:val="000000"/>
        </w:rPr>
        <w:t>Con fecha treinta y uno de enero de dos mil veinticinco, se recibió en este Instituto, a través del Sistema de Acceso a la Información Mexiquense (SAIMEX), el Recurso de Revisión interpuesto por la parte Recurrente, en contra de la respuesta del Sujeto Obligado, en los siguientes términos:</w:t>
      </w:r>
    </w:p>
    <w:p w14:paraId="31B7DE6D" w14:textId="77777777" w:rsidR="00853BE8" w:rsidRDefault="00853BE8">
      <w:pPr>
        <w:tabs>
          <w:tab w:val="left" w:pos="4667"/>
        </w:tabs>
        <w:spacing w:after="0" w:line="360" w:lineRule="auto"/>
        <w:ind w:left="567" w:right="567"/>
        <w:rPr>
          <w:b/>
          <w:i/>
          <w:color w:val="FF0000"/>
          <w:sz w:val="20"/>
          <w:szCs w:val="20"/>
        </w:rPr>
      </w:pPr>
    </w:p>
    <w:p w14:paraId="75DCCAB8" w14:textId="77777777" w:rsidR="00853BE8" w:rsidRDefault="00FE6B29">
      <w:pPr>
        <w:tabs>
          <w:tab w:val="left" w:pos="4667"/>
        </w:tabs>
        <w:spacing w:after="0" w:line="360" w:lineRule="auto"/>
        <w:ind w:left="567" w:right="567"/>
        <w:rPr>
          <w:b/>
          <w:i/>
          <w:color w:val="000000"/>
          <w:sz w:val="20"/>
          <w:szCs w:val="20"/>
        </w:rPr>
      </w:pPr>
      <w:r>
        <w:rPr>
          <w:b/>
          <w:i/>
          <w:color w:val="000000"/>
          <w:sz w:val="20"/>
          <w:szCs w:val="20"/>
        </w:rPr>
        <w:t>“ACTO IMPUGNADO</w:t>
      </w:r>
    </w:p>
    <w:p w14:paraId="3259EDDB" w14:textId="77777777" w:rsidR="00853BE8" w:rsidRDefault="00FE6B29">
      <w:pPr>
        <w:tabs>
          <w:tab w:val="left" w:pos="4667"/>
        </w:tabs>
        <w:spacing w:after="0" w:line="360" w:lineRule="auto"/>
        <w:ind w:left="567" w:right="567"/>
        <w:rPr>
          <w:i/>
          <w:color w:val="000000"/>
          <w:sz w:val="20"/>
          <w:szCs w:val="20"/>
        </w:rPr>
      </w:pPr>
      <w:r>
        <w:rPr>
          <w:i/>
          <w:color w:val="000000"/>
          <w:sz w:val="20"/>
          <w:szCs w:val="20"/>
        </w:rPr>
        <w:t xml:space="preserve">la respuesta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tcio</w:t>
      </w:r>
      <w:proofErr w:type="spellEnd"/>
      <w:r>
        <w:rPr>
          <w:i/>
          <w:color w:val="000000"/>
          <w:sz w:val="20"/>
          <w:szCs w:val="20"/>
        </w:rPr>
        <w:t xml:space="preserve"> No. 200B10900/69/2025 de fecha 24 de enero de 2025 emitida por la titular de la unidad de información, planeación y </w:t>
      </w:r>
      <w:proofErr w:type="spellStart"/>
      <w:r>
        <w:rPr>
          <w:i/>
          <w:color w:val="000000"/>
          <w:sz w:val="20"/>
          <w:szCs w:val="20"/>
        </w:rPr>
        <w:t>programacion</w:t>
      </w:r>
      <w:proofErr w:type="spellEnd"/>
      <w:r>
        <w:rPr>
          <w:i/>
          <w:color w:val="000000"/>
          <w:sz w:val="20"/>
          <w:szCs w:val="20"/>
        </w:rPr>
        <w:t xml:space="preserve"> y </w:t>
      </w:r>
      <w:proofErr w:type="spellStart"/>
      <w:r>
        <w:rPr>
          <w:i/>
          <w:color w:val="000000"/>
          <w:sz w:val="20"/>
          <w:szCs w:val="20"/>
        </w:rPr>
        <w:t>evaluacion</w:t>
      </w:r>
      <w:proofErr w:type="spellEnd"/>
      <w:r>
        <w:rPr>
          <w:i/>
          <w:color w:val="000000"/>
          <w:sz w:val="20"/>
          <w:szCs w:val="20"/>
        </w:rPr>
        <w:t xml:space="preserve"> del </w:t>
      </w:r>
      <w:proofErr w:type="spellStart"/>
      <w:r>
        <w:rPr>
          <w:i/>
          <w:color w:val="000000"/>
          <w:sz w:val="20"/>
          <w:szCs w:val="20"/>
        </w:rPr>
        <w:t>dif</w:t>
      </w:r>
      <w:proofErr w:type="spellEnd"/>
      <w:r>
        <w:rPr>
          <w:i/>
          <w:color w:val="000000"/>
          <w:sz w:val="20"/>
          <w:szCs w:val="20"/>
        </w:rPr>
        <w:t xml:space="preserve"> Toluca” (Sic.)</w:t>
      </w:r>
    </w:p>
    <w:p w14:paraId="3F06AB86" w14:textId="77777777" w:rsidR="00853BE8" w:rsidRDefault="00853BE8">
      <w:pPr>
        <w:tabs>
          <w:tab w:val="left" w:pos="4667"/>
        </w:tabs>
        <w:spacing w:after="0" w:line="360" w:lineRule="auto"/>
        <w:ind w:left="567" w:right="567"/>
        <w:rPr>
          <w:i/>
          <w:color w:val="FF0000"/>
          <w:sz w:val="20"/>
          <w:szCs w:val="20"/>
        </w:rPr>
      </w:pPr>
    </w:p>
    <w:p w14:paraId="7DEEF9A9" w14:textId="77777777" w:rsidR="00853BE8" w:rsidRDefault="00FE6B29">
      <w:pPr>
        <w:tabs>
          <w:tab w:val="left" w:pos="4667"/>
        </w:tabs>
        <w:spacing w:after="0" w:line="360" w:lineRule="auto"/>
        <w:ind w:left="567" w:right="567"/>
        <w:rPr>
          <w:b/>
          <w:i/>
          <w:color w:val="000000"/>
          <w:sz w:val="20"/>
          <w:szCs w:val="20"/>
        </w:rPr>
      </w:pPr>
      <w:r>
        <w:rPr>
          <w:b/>
          <w:i/>
          <w:color w:val="000000"/>
          <w:sz w:val="20"/>
          <w:szCs w:val="20"/>
        </w:rPr>
        <w:t>“RAZONES O MOTIVOS DE LA INCONFORMIDAD</w:t>
      </w:r>
    </w:p>
    <w:p w14:paraId="53ECBB42" w14:textId="77777777" w:rsidR="00853BE8" w:rsidRDefault="00FE6B29">
      <w:pPr>
        <w:tabs>
          <w:tab w:val="left" w:pos="4667"/>
        </w:tabs>
        <w:spacing w:after="0" w:line="360" w:lineRule="auto"/>
        <w:ind w:left="567" w:right="567"/>
        <w:rPr>
          <w:i/>
          <w:color w:val="000000"/>
          <w:sz w:val="20"/>
          <w:szCs w:val="20"/>
        </w:rPr>
      </w:pPr>
      <w:r>
        <w:rPr>
          <w:i/>
          <w:color w:val="000000"/>
          <w:sz w:val="20"/>
          <w:szCs w:val="20"/>
        </w:rPr>
        <w:t>no me entregan todo lo solicitado y lo que emiten solo es enunciativo sin presentar las evidencias solicitadas” (Sic.)</w:t>
      </w:r>
    </w:p>
    <w:p w14:paraId="3BD8BE59" w14:textId="77777777" w:rsidR="00853BE8" w:rsidRDefault="00853BE8">
      <w:pPr>
        <w:tabs>
          <w:tab w:val="left" w:pos="4667"/>
        </w:tabs>
        <w:spacing w:after="0" w:line="360" w:lineRule="auto"/>
        <w:ind w:right="567"/>
        <w:rPr>
          <w:i/>
          <w:color w:val="000000"/>
          <w:sz w:val="20"/>
          <w:szCs w:val="20"/>
        </w:rPr>
      </w:pPr>
    </w:p>
    <w:p w14:paraId="050B4157" w14:textId="77777777" w:rsidR="00853BE8" w:rsidRDefault="00FE6B29">
      <w:pPr>
        <w:pStyle w:val="Ttulo2"/>
        <w:spacing w:before="0" w:line="360" w:lineRule="auto"/>
        <w:rPr>
          <w:rFonts w:ascii="Palatino Linotype" w:eastAsia="Palatino Linotype" w:hAnsi="Palatino Linotype" w:cs="Palatino Linotype"/>
          <w:b/>
          <w:color w:val="000000"/>
          <w:sz w:val="22"/>
          <w:szCs w:val="22"/>
        </w:rPr>
      </w:pPr>
      <w:bookmarkStart w:id="5" w:name="_heading=h.tyjcwt" w:colFirst="0" w:colLast="0"/>
      <w:bookmarkEnd w:id="5"/>
      <w:r>
        <w:rPr>
          <w:rFonts w:ascii="Palatino Linotype" w:eastAsia="Palatino Linotype" w:hAnsi="Palatino Linotype" w:cs="Palatino Linotype"/>
          <w:b/>
          <w:color w:val="000000"/>
          <w:sz w:val="22"/>
          <w:szCs w:val="22"/>
        </w:rPr>
        <w:t>IV. Trámite del Recurso de Revisión ante este Instituto</w:t>
      </w:r>
    </w:p>
    <w:p w14:paraId="1BD65464" w14:textId="77777777" w:rsidR="00853BE8" w:rsidRDefault="00853BE8">
      <w:pPr>
        <w:spacing w:after="0" w:line="360" w:lineRule="auto"/>
        <w:rPr>
          <w:b/>
          <w:color w:val="FF0000"/>
        </w:rPr>
      </w:pPr>
    </w:p>
    <w:p w14:paraId="08703322" w14:textId="77777777" w:rsidR="00853BE8" w:rsidRDefault="00FE6B29">
      <w:pPr>
        <w:spacing w:after="0" w:line="360" w:lineRule="auto"/>
        <w:rPr>
          <w:b/>
          <w:color w:val="000000"/>
        </w:rPr>
      </w:pPr>
      <w:bookmarkStart w:id="6" w:name="_heading=h.3dy6vkm" w:colFirst="0" w:colLast="0"/>
      <w:bookmarkEnd w:id="6"/>
      <w:r>
        <w:rPr>
          <w:b/>
          <w:color w:val="000000"/>
        </w:rPr>
        <w:t>a) Turno del Medio de Impugnación.</w:t>
      </w:r>
      <w:r>
        <w:rPr>
          <w:b/>
        </w:rPr>
        <w:t xml:space="preserve"> </w:t>
      </w:r>
      <w:r>
        <w:rPr>
          <w:color w:val="000000"/>
        </w:rPr>
        <w:t xml:space="preserve">El treinta y uno de enero de dos mil veinticinco, el Sistema de Acceso a la Información Mexiquense (SAIMEX), asignó el número de expediente </w:t>
      </w:r>
      <w:r>
        <w:rPr>
          <w:b/>
          <w:color w:val="000000"/>
        </w:rPr>
        <w:t>00366/INFOEM/IP/RR/2025</w:t>
      </w:r>
      <w:r>
        <w:rPr>
          <w:color w:val="000000"/>
        </w:rPr>
        <w:t xml:space="preserve">, al Medio de Impugnación que nos ocupa, con base en el sistema aprobado por el Pleno de este Órgano Garante y lo turnó al </w:t>
      </w:r>
      <w:r>
        <w:rPr>
          <w:b/>
          <w:color w:val="000000"/>
        </w:rPr>
        <w:t>Comisionado Ponente Luis Gustavo Parra Noriega</w:t>
      </w:r>
      <w:r>
        <w:rPr>
          <w:color w:val="000000"/>
        </w:rPr>
        <w:t>, para los efectos del artículo 185, fracción I de la Ley de Transparencia y Acceso a la Información Pública del Estado de México y Municipios.</w:t>
      </w:r>
    </w:p>
    <w:p w14:paraId="536658AC" w14:textId="77777777" w:rsidR="00853BE8" w:rsidRDefault="00853BE8">
      <w:pPr>
        <w:spacing w:after="0" w:line="360" w:lineRule="auto"/>
        <w:rPr>
          <w:color w:val="FF0000"/>
        </w:rPr>
      </w:pPr>
    </w:p>
    <w:p w14:paraId="1864969A" w14:textId="77777777" w:rsidR="00853BE8" w:rsidRDefault="00FE6B29">
      <w:pPr>
        <w:spacing w:after="0" w:line="360" w:lineRule="auto"/>
        <w:rPr>
          <w:color w:val="000000"/>
        </w:rPr>
      </w:pPr>
      <w:bookmarkStart w:id="7" w:name="_heading=h.1t3h5sf" w:colFirst="0" w:colLast="0"/>
      <w:bookmarkEnd w:id="7"/>
      <w:r>
        <w:rPr>
          <w:b/>
          <w:color w:val="000000"/>
        </w:rPr>
        <w:t>b) Admisión del Recurso de Revisión.</w:t>
      </w:r>
      <w:r>
        <w:rPr>
          <w:b/>
        </w:rPr>
        <w:t xml:space="preserve"> </w:t>
      </w:r>
      <w:r>
        <w:rPr>
          <w:color w:val="000000"/>
        </w:rPr>
        <w:t xml:space="preserve">El cinco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65F25CCC" w14:textId="77777777" w:rsidR="00853BE8" w:rsidRDefault="00853BE8">
      <w:pPr>
        <w:spacing w:after="0" w:line="360" w:lineRule="auto"/>
        <w:rPr>
          <w:b/>
          <w:color w:val="000000"/>
        </w:rPr>
      </w:pPr>
    </w:p>
    <w:p w14:paraId="1DDEE98F" w14:textId="77777777" w:rsidR="00853BE8" w:rsidRDefault="00FE6B29">
      <w:pPr>
        <w:tabs>
          <w:tab w:val="left" w:pos="3261"/>
        </w:tabs>
        <w:spacing w:after="0" w:line="360" w:lineRule="auto"/>
        <w:rPr>
          <w:color w:val="000000"/>
        </w:rPr>
      </w:pPr>
      <w:bookmarkStart w:id="8" w:name="_heading=h.4d34og8" w:colFirst="0" w:colLast="0"/>
      <w:bookmarkEnd w:id="8"/>
      <w:r>
        <w:rPr>
          <w:b/>
          <w:color w:val="000000"/>
        </w:rPr>
        <w:t>c) Informe Justificado o Manifestaciones.</w:t>
      </w:r>
      <w:r>
        <w:t xml:space="preserve"> </w:t>
      </w:r>
      <w:r>
        <w:rPr>
          <w:color w:val="000000"/>
        </w:rPr>
        <w:t>Las partes fueron omisas en emitir manifestaciones o alegatos.</w:t>
      </w:r>
    </w:p>
    <w:p w14:paraId="0BB2D890" w14:textId="77777777" w:rsidR="00853BE8" w:rsidRDefault="00853BE8">
      <w:pPr>
        <w:spacing w:after="0" w:line="360" w:lineRule="auto"/>
        <w:rPr>
          <w:b/>
          <w:color w:val="FF0000"/>
        </w:rPr>
      </w:pPr>
    </w:p>
    <w:p w14:paraId="672AB5F8" w14:textId="77777777" w:rsidR="00853BE8" w:rsidRDefault="00FE6B29">
      <w:pPr>
        <w:spacing w:after="0" w:line="360" w:lineRule="auto"/>
        <w:ind w:right="-28"/>
        <w:rPr>
          <w:color w:val="000000"/>
        </w:rPr>
      </w:pPr>
      <w:bookmarkStart w:id="9" w:name="_heading=h.2s8eyo1" w:colFirst="0" w:colLast="0"/>
      <w:bookmarkEnd w:id="9"/>
      <w:r>
        <w:rPr>
          <w:b/>
          <w:color w:val="000000"/>
        </w:rPr>
        <w:t>d) Cierre de instrucción.</w:t>
      </w:r>
      <w:r>
        <w:rPr>
          <w:color w:val="000000"/>
        </w:rPr>
        <w:t xml:space="preserve"> El diecisiete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6C93EAFE" w14:textId="77777777" w:rsidR="00853BE8" w:rsidRDefault="00853BE8">
      <w:pPr>
        <w:spacing w:after="0" w:line="360" w:lineRule="auto"/>
        <w:ind w:right="-28"/>
        <w:rPr>
          <w:color w:val="000000"/>
        </w:rPr>
      </w:pPr>
    </w:p>
    <w:p w14:paraId="01AB14CD" w14:textId="77777777" w:rsidR="00853BE8" w:rsidRDefault="00FE6B29">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1B49C023" w14:textId="77777777" w:rsidR="00853BE8" w:rsidRDefault="00FE6B29">
      <w:pPr>
        <w:tabs>
          <w:tab w:val="left" w:pos="2985"/>
        </w:tabs>
        <w:spacing w:after="0" w:line="360" w:lineRule="auto"/>
        <w:rPr>
          <w:b/>
          <w:color w:val="000000"/>
        </w:rPr>
      </w:pPr>
      <w:r>
        <w:rPr>
          <w:b/>
          <w:color w:val="000000"/>
        </w:rPr>
        <w:tab/>
      </w:r>
    </w:p>
    <w:p w14:paraId="775CB304" w14:textId="77777777" w:rsidR="00853BE8" w:rsidRDefault="00FE6B29">
      <w:pPr>
        <w:pStyle w:val="Ttulo1"/>
        <w:spacing w:before="0" w:line="360" w:lineRule="auto"/>
        <w:jc w:val="center"/>
        <w:rPr>
          <w:rFonts w:ascii="Palatino Linotype" w:eastAsia="Palatino Linotype" w:hAnsi="Palatino Linotype" w:cs="Palatino Linotype"/>
          <w:b/>
          <w:color w:val="000000"/>
          <w:sz w:val="22"/>
          <w:szCs w:val="22"/>
        </w:rPr>
      </w:pPr>
      <w:bookmarkStart w:id="10" w:name="_heading=h.17dp8vu" w:colFirst="0" w:colLast="0"/>
      <w:bookmarkEnd w:id="10"/>
      <w:r>
        <w:rPr>
          <w:rFonts w:ascii="Palatino Linotype" w:eastAsia="Palatino Linotype" w:hAnsi="Palatino Linotype" w:cs="Palatino Linotype"/>
          <w:b/>
          <w:color w:val="000000"/>
          <w:sz w:val="22"/>
          <w:szCs w:val="22"/>
        </w:rPr>
        <w:t>C O N S I D E R A N D O S</w:t>
      </w:r>
    </w:p>
    <w:p w14:paraId="3A4C890E" w14:textId="77777777" w:rsidR="00853BE8" w:rsidRDefault="00853BE8">
      <w:pPr>
        <w:spacing w:after="0" w:line="360" w:lineRule="auto"/>
        <w:jc w:val="center"/>
        <w:rPr>
          <w:b/>
          <w:color w:val="000000"/>
        </w:rPr>
      </w:pPr>
    </w:p>
    <w:p w14:paraId="2532A771" w14:textId="77777777" w:rsidR="00853BE8" w:rsidRDefault="00FE6B29">
      <w:pPr>
        <w:pStyle w:val="Ttulo2"/>
        <w:spacing w:before="0" w:line="360" w:lineRule="auto"/>
        <w:rPr>
          <w:rFonts w:ascii="Palatino Linotype" w:eastAsia="Palatino Linotype" w:hAnsi="Palatino Linotype" w:cs="Palatino Linotype"/>
          <w:b/>
          <w:color w:val="000000"/>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lastRenderedPageBreak/>
        <w:t>PRIMERO. Competencia</w:t>
      </w:r>
    </w:p>
    <w:p w14:paraId="234E6D39" w14:textId="77777777" w:rsidR="00853BE8" w:rsidRDefault="00853BE8">
      <w:pPr>
        <w:spacing w:after="0" w:line="360" w:lineRule="auto"/>
        <w:rPr>
          <w:b/>
          <w:color w:val="FF0000"/>
        </w:rPr>
      </w:pPr>
    </w:p>
    <w:p w14:paraId="12C0EF03" w14:textId="77777777" w:rsidR="00853BE8" w:rsidRDefault="00FE6B29">
      <w:pPr>
        <w:spacing w:after="0" w:line="360" w:lineRule="auto"/>
        <w:rPr>
          <w:color w:val="000000"/>
        </w:rPr>
      </w:pPr>
      <w:bookmarkStart w:id="12" w:name="_heading=h.26in1rg" w:colFirst="0" w:colLast="0"/>
      <w:bookmarkEnd w:id="12"/>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E9E0EA0" w14:textId="77777777" w:rsidR="00853BE8" w:rsidRDefault="00853BE8">
      <w:pPr>
        <w:spacing w:after="0" w:line="360" w:lineRule="auto"/>
        <w:rPr>
          <w:b/>
          <w:color w:val="000000"/>
        </w:rPr>
      </w:pPr>
    </w:p>
    <w:p w14:paraId="60A3BD01" w14:textId="77777777" w:rsidR="00853BE8" w:rsidRDefault="00FE6B29">
      <w:pPr>
        <w:pStyle w:val="Ttulo2"/>
        <w:rPr>
          <w:rFonts w:ascii="Palatino Linotype" w:eastAsia="Palatino Linotype" w:hAnsi="Palatino Linotype" w:cs="Palatino Linotype"/>
          <w:b/>
          <w:color w:val="000000"/>
          <w:sz w:val="22"/>
          <w:szCs w:val="22"/>
        </w:rPr>
      </w:pPr>
      <w:bookmarkStart w:id="13" w:name="_heading=h.lnxbz9" w:colFirst="0" w:colLast="0"/>
      <w:bookmarkEnd w:id="13"/>
      <w:r>
        <w:rPr>
          <w:rFonts w:ascii="Palatino Linotype" w:eastAsia="Palatino Linotype" w:hAnsi="Palatino Linotype" w:cs="Palatino Linotype"/>
          <w:b/>
          <w:color w:val="000000"/>
          <w:sz w:val="22"/>
          <w:szCs w:val="22"/>
        </w:rPr>
        <w:t>SEGUNDO. Causales de improcedencia</w:t>
      </w:r>
    </w:p>
    <w:p w14:paraId="0496C800" w14:textId="77777777" w:rsidR="00853BE8" w:rsidRDefault="00853BE8">
      <w:pPr>
        <w:spacing w:after="0" w:line="360" w:lineRule="auto"/>
        <w:ind w:right="-28"/>
        <w:rPr>
          <w:b/>
          <w:color w:val="000000"/>
        </w:rPr>
      </w:pPr>
    </w:p>
    <w:p w14:paraId="27836C69" w14:textId="77777777" w:rsidR="00853BE8" w:rsidRDefault="00FE6B29">
      <w:pPr>
        <w:spacing w:after="0" w:line="360" w:lineRule="auto"/>
        <w:ind w:right="-28"/>
        <w:rPr>
          <w:color w:val="000000"/>
        </w:rPr>
      </w:pPr>
      <w:r>
        <w:rPr>
          <w:color w:val="000000"/>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7E2CBC3" w14:textId="77777777" w:rsidR="00853BE8" w:rsidRDefault="00853BE8">
      <w:pPr>
        <w:spacing w:after="0" w:line="360" w:lineRule="auto"/>
        <w:ind w:right="-28"/>
        <w:rPr>
          <w:color w:val="000000"/>
        </w:rPr>
      </w:pPr>
    </w:p>
    <w:p w14:paraId="52AFECF4" w14:textId="77777777" w:rsidR="00853BE8" w:rsidRDefault="00FE6B29">
      <w:pPr>
        <w:spacing w:after="0" w:line="360" w:lineRule="auto"/>
        <w:rPr>
          <w:color w:val="000000"/>
        </w:rPr>
      </w:pPr>
      <w:r>
        <w:rPr>
          <w:color w:val="000000"/>
        </w:rPr>
        <w:lastRenderedPageBreak/>
        <w:t xml:space="preserve">En el presente caso, </w:t>
      </w:r>
      <w:r>
        <w:rPr>
          <w:b/>
          <w:color w:val="000000"/>
        </w:rPr>
        <w:t>no se actualizan las causales de improcedencia</w:t>
      </w:r>
      <w:r>
        <w:rPr>
          <w:color w:val="000000"/>
        </w:rPr>
        <w:t xml:space="preserve"> establecidas en el ordenamiento jurídico previamente señalado, en sus fracciones I, II, de la IV, V, VI y VII, toda vez que: este Instituto no tiene conocimiento de que se haya presentado el Recurso de manera extemporánea; se encuentre en trámite algún medio de defensa presentado por la Recurrente ante otra instancia; no existió prevención alguna; la veracidad de la respuesta no formó parte del agravio, o bien, que el Solicitante haya ampliado la solicitud. No obstante, por lo que hace a la fracción III, será analizada en el siguiente Considerando, toda vez que el Recurso de Revisión fue admitido.</w:t>
      </w:r>
    </w:p>
    <w:p w14:paraId="422222E2" w14:textId="77777777" w:rsidR="00853BE8" w:rsidRDefault="00853BE8">
      <w:pPr>
        <w:spacing w:after="0" w:line="360" w:lineRule="auto"/>
        <w:rPr>
          <w:color w:val="000000"/>
        </w:rPr>
      </w:pPr>
    </w:p>
    <w:p w14:paraId="32A11490" w14:textId="77777777" w:rsidR="00853BE8" w:rsidRDefault="00FE6B29">
      <w:pPr>
        <w:pStyle w:val="Ttulo2"/>
        <w:rPr>
          <w:rFonts w:ascii="Palatino Linotype" w:eastAsia="Palatino Linotype" w:hAnsi="Palatino Linotype" w:cs="Palatino Linotype"/>
          <w:b/>
          <w:color w:val="000000"/>
          <w:sz w:val="22"/>
          <w:szCs w:val="22"/>
        </w:rPr>
      </w:pPr>
      <w:bookmarkStart w:id="14" w:name="_heading=h.35nkun2" w:colFirst="0" w:colLast="0"/>
      <w:bookmarkEnd w:id="14"/>
      <w:r>
        <w:rPr>
          <w:rFonts w:ascii="Palatino Linotype" w:eastAsia="Palatino Linotype" w:hAnsi="Palatino Linotype" w:cs="Palatino Linotype"/>
          <w:b/>
          <w:color w:val="000000"/>
          <w:sz w:val="22"/>
          <w:szCs w:val="22"/>
        </w:rPr>
        <w:t>TERCERO. Causales de sobreseimiento</w:t>
      </w:r>
    </w:p>
    <w:p w14:paraId="689EB7B2" w14:textId="77777777" w:rsidR="00853BE8" w:rsidRDefault="00853BE8">
      <w:pPr>
        <w:spacing w:after="0" w:line="360" w:lineRule="auto"/>
        <w:rPr>
          <w:color w:val="000000"/>
        </w:rPr>
      </w:pPr>
    </w:p>
    <w:p w14:paraId="2BFA0A45" w14:textId="77777777" w:rsidR="00853BE8" w:rsidRDefault="00FE6B29">
      <w:pPr>
        <w:spacing w:after="0" w:line="360" w:lineRule="auto"/>
        <w:rPr>
          <w:color w:val="000000"/>
        </w:rPr>
      </w:pPr>
      <w:r>
        <w:rPr>
          <w:color w:val="000000"/>
        </w:rPr>
        <w:t>Por ser de previo y especial pronunciamiento, este Instituto analiza si se actualiza alguna causal de sobreseimiento.</w:t>
      </w:r>
    </w:p>
    <w:p w14:paraId="3268D468" w14:textId="77777777" w:rsidR="00853BE8" w:rsidRDefault="00853BE8">
      <w:pPr>
        <w:spacing w:after="0" w:line="360" w:lineRule="auto"/>
        <w:rPr>
          <w:color w:val="000000"/>
        </w:rPr>
      </w:pPr>
    </w:p>
    <w:p w14:paraId="7AA95D5D" w14:textId="77777777" w:rsidR="00853BE8" w:rsidRDefault="00FE6B29">
      <w:pPr>
        <w:widowControl w:val="0"/>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b/>
          <w:color w:val="000000"/>
        </w:rPr>
        <w:t xml:space="preserve"> no se configuran las causales establecidas en las fracciones I, II, III y V, </w:t>
      </w:r>
      <w:r>
        <w:rPr>
          <w:color w:val="000000"/>
        </w:rPr>
        <w:t>toda vez que no hay constancias en el expediente en que se actúa, de que la Recurrente se haya desistido, fallecido, que el Sujeto Obligado hubiese modificado o revocado el acto impugnado o bien, haya quedado sin materia.</w:t>
      </w:r>
    </w:p>
    <w:p w14:paraId="4E6FB2D8" w14:textId="77777777" w:rsidR="00853BE8" w:rsidRDefault="00853BE8">
      <w:pPr>
        <w:widowControl w:val="0"/>
        <w:spacing w:after="0" w:line="360" w:lineRule="auto"/>
        <w:rPr>
          <w:color w:val="000000"/>
        </w:rPr>
      </w:pPr>
    </w:p>
    <w:p w14:paraId="2E2CDE43" w14:textId="77777777" w:rsidR="00853BE8" w:rsidRDefault="00FE6B29">
      <w:pPr>
        <w:spacing w:after="0" w:line="360" w:lineRule="auto"/>
        <w:rPr>
          <w:color w:val="000000"/>
        </w:rPr>
      </w:pPr>
      <w:r>
        <w:rPr>
          <w:color w:val="000000"/>
        </w:rPr>
        <w:t xml:space="preserve">No obstante, por lo que hace a la hipótesis prevista en </w:t>
      </w:r>
      <w:r>
        <w:rPr>
          <w:b/>
          <w:color w:val="000000"/>
        </w:rPr>
        <w:t>la fracción IV,</w:t>
      </w:r>
      <w:r>
        <w:rPr>
          <w:color w:val="000000"/>
        </w:rPr>
        <w:t xml:space="preserve"> a saber, que, una vez admitido el Recurso de Revisión, aparezca alguna causal de improcedencia en términos de la presente Ley, resulta necesario traer a colación el artículo 191, fracción III, de dicho </w:t>
      </w:r>
      <w:r>
        <w:rPr>
          <w:color w:val="000000"/>
        </w:rPr>
        <w:lastRenderedPageBreak/>
        <w:t xml:space="preserve">ordenamiento jurídico, que establece que el Recurso de Revisión será desechado por improcedente, cuando dicho medio no actualice alguno de los supuestos previstos en el diverso 179 de la presente Ley. </w:t>
      </w:r>
      <w:r>
        <w:t>En ese orden de ideas, dicho artículo prevé lo siguiente:</w:t>
      </w:r>
    </w:p>
    <w:p w14:paraId="0A57895C" w14:textId="77777777" w:rsidR="00853BE8" w:rsidRDefault="00853BE8">
      <w:pPr>
        <w:spacing w:after="0" w:line="360" w:lineRule="auto"/>
      </w:pPr>
    </w:p>
    <w:p w14:paraId="5B3D39CE" w14:textId="77777777" w:rsidR="00853BE8" w:rsidRDefault="00FE6B29">
      <w:pPr>
        <w:spacing w:after="0" w:line="360" w:lineRule="auto"/>
        <w:ind w:left="567" w:right="567"/>
        <w:rPr>
          <w:i/>
          <w:sz w:val="20"/>
          <w:szCs w:val="20"/>
        </w:rPr>
      </w:pPr>
      <w:r>
        <w:rPr>
          <w:b/>
          <w:i/>
          <w:sz w:val="20"/>
          <w:szCs w:val="20"/>
        </w:rPr>
        <w:t xml:space="preserve">“Artículo 179. </w:t>
      </w:r>
      <w:r>
        <w:rPr>
          <w:i/>
          <w:sz w:val="20"/>
          <w:szCs w:val="20"/>
        </w:rPr>
        <w:t xml:space="preserve">El recurso de revisión es un medio de protección que la Ley otorga a los particulares, para hacer valer su derecho de acceso a la información pública, y procederá en contra de las siguientes causas: </w:t>
      </w:r>
    </w:p>
    <w:p w14:paraId="56DF7431" w14:textId="77777777" w:rsidR="00853BE8" w:rsidRDefault="00853BE8">
      <w:pPr>
        <w:spacing w:after="0" w:line="360" w:lineRule="auto"/>
        <w:ind w:left="567" w:right="567"/>
        <w:rPr>
          <w:i/>
          <w:sz w:val="20"/>
          <w:szCs w:val="20"/>
        </w:rPr>
      </w:pPr>
    </w:p>
    <w:p w14:paraId="55796C44" w14:textId="77777777" w:rsidR="00853BE8" w:rsidRDefault="00FE6B29">
      <w:pPr>
        <w:spacing w:after="0" w:line="360" w:lineRule="auto"/>
        <w:ind w:left="567" w:right="567"/>
        <w:jc w:val="left"/>
        <w:rPr>
          <w:i/>
          <w:sz w:val="20"/>
          <w:szCs w:val="20"/>
        </w:rPr>
      </w:pPr>
      <w:r>
        <w:rPr>
          <w:i/>
          <w:sz w:val="20"/>
          <w:szCs w:val="20"/>
        </w:rPr>
        <w:t xml:space="preserve">I. La negativa a la información solicitada; </w:t>
      </w:r>
    </w:p>
    <w:p w14:paraId="2E3B5F32" w14:textId="77777777" w:rsidR="00853BE8" w:rsidRDefault="00FE6B29">
      <w:pPr>
        <w:spacing w:after="0" w:line="360" w:lineRule="auto"/>
        <w:ind w:left="567" w:right="567"/>
        <w:jc w:val="left"/>
        <w:rPr>
          <w:i/>
          <w:sz w:val="20"/>
          <w:szCs w:val="20"/>
        </w:rPr>
      </w:pPr>
      <w:r>
        <w:rPr>
          <w:i/>
          <w:sz w:val="20"/>
          <w:szCs w:val="20"/>
        </w:rPr>
        <w:t xml:space="preserve">II. La clasificación de la información; </w:t>
      </w:r>
    </w:p>
    <w:p w14:paraId="36BFC99F" w14:textId="77777777" w:rsidR="00853BE8" w:rsidRDefault="00FE6B29">
      <w:pPr>
        <w:spacing w:after="0" w:line="360" w:lineRule="auto"/>
        <w:ind w:left="567" w:right="567"/>
        <w:jc w:val="left"/>
        <w:rPr>
          <w:i/>
          <w:sz w:val="20"/>
          <w:szCs w:val="20"/>
        </w:rPr>
      </w:pPr>
      <w:r>
        <w:rPr>
          <w:i/>
          <w:sz w:val="20"/>
          <w:szCs w:val="20"/>
        </w:rPr>
        <w:t xml:space="preserve">III. La declaración de inexistencia de la información; </w:t>
      </w:r>
    </w:p>
    <w:p w14:paraId="76A6A509" w14:textId="77777777" w:rsidR="00853BE8" w:rsidRDefault="00FE6B29">
      <w:pPr>
        <w:spacing w:after="0" w:line="360" w:lineRule="auto"/>
        <w:ind w:left="567" w:right="567"/>
        <w:jc w:val="left"/>
        <w:rPr>
          <w:i/>
          <w:sz w:val="20"/>
          <w:szCs w:val="20"/>
        </w:rPr>
      </w:pPr>
      <w:r>
        <w:rPr>
          <w:i/>
          <w:sz w:val="20"/>
          <w:szCs w:val="20"/>
        </w:rPr>
        <w:t xml:space="preserve">IV. La declaración de incompetencia por el sujeto obligado; </w:t>
      </w:r>
    </w:p>
    <w:p w14:paraId="72164706" w14:textId="77777777" w:rsidR="00853BE8" w:rsidRDefault="00FE6B29">
      <w:pPr>
        <w:spacing w:after="0" w:line="360" w:lineRule="auto"/>
        <w:ind w:left="567" w:right="567"/>
        <w:jc w:val="left"/>
        <w:rPr>
          <w:i/>
          <w:sz w:val="20"/>
          <w:szCs w:val="20"/>
        </w:rPr>
      </w:pPr>
      <w:r>
        <w:rPr>
          <w:i/>
          <w:sz w:val="20"/>
          <w:szCs w:val="20"/>
        </w:rPr>
        <w:t xml:space="preserve">V. La entrega de información incompleta; </w:t>
      </w:r>
    </w:p>
    <w:p w14:paraId="5BAF9BA7" w14:textId="77777777" w:rsidR="00853BE8" w:rsidRDefault="00FE6B29">
      <w:pPr>
        <w:spacing w:after="0" w:line="360" w:lineRule="auto"/>
        <w:ind w:left="567" w:right="567"/>
        <w:jc w:val="left"/>
        <w:rPr>
          <w:i/>
          <w:sz w:val="20"/>
          <w:szCs w:val="20"/>
        </w:rPr>
      </w:pPr>
      <w:r>
        <w:rPr>
          <w:i/>
          <w:sz w:val="20"/>
          <w:szCs w:val="20"/>
        </w:rPr>
        <w:t xml:space="preserve">VI. La entrega de información que no corresponda con lo solicitado; </w:t>
      </w:r>
    </w:p>
    <w:p w14:paraId="7AF333D9" w14:textId="77777777" w:rsidR="00853BE8" w:rsidRDefault="00FE6B29">
      <w:pPr>
        <w:spacing w:after="0" w:line="360" w:lineRule="auto"/>
        <w:ind w:left="567" w:right="567"/>
        <w:jc w:val="left"/>
        <w:rPr>
          <w:i/>
          <w:sz w:val="20"/>
          <w:szCs w:val="20"/>
        </w:rPr>
      </w:pPr>
      <w:r>
        <w:rPr>
          <w:i/>
          <w:sz w:val="20"/>
          <w:szCs w:val="20"/>
        </w:rPr>
        <w:t xml:space="preserve">VII. La falta de respuesta a una solicitud de acceso a la información; </w:t>
      </w:r>
    </w:p>
    <w:p w14:paraId="5F191865" w14:textId="77777777" w:rsidR="00853BE8" w:rsidRDefault="00FE6B29">
      <w:pPr>
        <w:spacing w:after="0" w:line="360" w:lineRule="auto"/>
        <w:ind w:left="567" w:right="567"/>
        <w:jc w:val="left"/>
        <w:rPr>
          <w:i/>
          <w:sz w:val="20"/>
          <w:szCs w:val="20"/>
        </w:rPr>
      </w:pPr>
      <w:r>
        <w:rPr>
          <w:i/>
          <w:sz w:val="20"/>
          <w:szCs w:val="20"/>
        </w:rPr>
        <w:t xml:space="preserve">VIII. La notificación, entrega o puesta a disposición de información en una modalidad o formato distinto al solicitado; </w:t>
      </w:r>
    </w:p>
    <w:p w14:paraId="60C9D19A" w14:textId="77777777" w:rsidR="00853BE8" w:rsidRDefault="00FE6B29">
      <w:pPr>
        <w:spacing w:after="0" w:line="360" w:lineRule="auto"/>
        <w:ind w:left="567" w:right="567"/>
        <w:jc w:val="left"/>
        <w:rPr>
          <w:i/>
          <w:sz w:val="20"/>
          <w:szCs w:val="20"/>
        </w:rPr>
      </w:pPr>
      <w:r>
        <w:rPr>
          <w:i/>
          <w:sz w:val="20"/>
          <w:szCs w:val="20"/>
        </w:rPr>
        <w:t xml:space="preserve">IX. La entrega o puesta a disposición de información en un formato incomprensible y/o no accesible para el solicitante; </w:t>
      </w:r>
    </w:p>
    <w:p w14:paraId="397AE4E6" w14:textId="77777777" w:rsidR="00853BE8" w:rsidRDefault="00FE6B29">
      <w:pPr>
        <w:spacing w:after="0" w:line="360" w:lineRule="auto"/>
        <w:ind w:left="567" w:right="567"/>
        <w:jc w:val="left"/>
        <w:rPr>
          <w:i/>
          <w:sz w:val="20"/>
          <w:szCs w:val="20"/>
        </w:rPr>
      </w:pPr>
      <w:r>
        <w:rPr>
          <w:i/>
          <w:sz w:val="20"/>
          <w:szCs w:val="20"/>
        </w:rPr>
        <w:t xml:space="preserve">X. Los costos o tiempos de entrega de la información; </w:t>
      </w:r>
    </w:p>
    <w:p w14:paraId="3AAC313C" w14:textId="77777777" w:rsidR="00853BE8" w:rsidRDefault="00FE6B29">
      <w:pPr>
        <w:spacing w:after="0" w:line="360" w:lineRule="auto"/>
        <w:ind w:left="567" w:right="567"/>
        <w:jc w:val="left"/>
        <w:rPr>
          <w:i/>
          <w:sz w:val="20"/>
          <w:szCs w:val="20"/>
        </w:rPr>
      </w:pPr>
      <w:r>
        <w:rPr>
          <w:i/>
          <w:sz w:val="20"/>
          <w:szCs w:val="20"/>
        </w:rPr>
        <w:t xml:space="preserve">XI. La falta de trámite a una solicitud; </w:t>
      </w:r>
    </w:p>
    <w:p w14:paraId="7AE990ED" w14:textId="77777777" w:rsidR="00853BE8" w:rsidRDefault="00FE6B29">
      <w:pPr>
        <w:spacing w:after="0" w:line="360" w:lineRule="auto"/>
        <w:ind w:left="567" w:right="567"/>
        <w:jc w:val="left"/>
        <w:rPr>
          <w:i/>
          <w:sz w:val="20"/>
          <w:szCs w:val="20"/>
        </w:rPr>
      </w:pPr>
      <w:r>
        <w:rPr>
          <w:i/>
          <w:sz w:val="20"/>
          <w:szCs w:val="20"/>
        </w:rPr>
        <w:t xml:space="preserve">XII. La negativa a permitir la consulta directa de la información; </w:t>
      </w:r>
    </w:p>
    <w:p w14:paraId="6D69D4E6" w14:textId="77777777" w:rsidR="00853BE8" w:rsidRDefault="00FE6B29">
      <w:pPr>
        <w:spacing w:after="0" w:line="360" w:lineRule="auto"/>
        <w:ind w:left="567" w:right="567"/>
        <w:jc w:val="left"/>
        <w:rPr>
          <w:i/>
          <w:sz w:val="20"/>
          <w:szCs w:val="20"/>
        </w:rPr>
      </w:pPr>
      <w:r>
        <w:rPr>
          <w:i/>
          <w:sz w:val="20"/>
          <w:szCs w:val="20"/>
        </w:rPr>
        <w:t xml:space="preserve">XIII. La falta, deficiencia o insuficiencia de la fundamentación y/o motivación en la respuesta; y </w:t>
      </w:r>
    </w:p>
    <w:p w14:paraId="10195EB0" w14:textId="77777777" w:rsidR="00853BE8" w:rsidRDefault="00FE6B29">
      <w:pPr>
        <w:spacing w:after="0" w:line="360" w:lineRule="auto"/>
        <w:ind w:left="567" w:right="567"/>
        <w:rPr>
          <w:i/>
          <w:sz w:val="20"/>
          <w:szCs w:val="20"/>
        </w:rPr>
      </w:pPr>
      <w:r>
        <w:rPr>
          <w:i/>
          <w:sz w:val="20"/>
          <w:szCs w:val="20"/>
        </w:rPr>
        <w:t>XIV. La orientación a un trámite específico.</w:t>
      </w:r>
    </w:p>
    <w:p w14:paraId="38524567" w14:textId="77777777" w:rsidR="00853BE8" w:rsidRDefault="00FE6B29">
      <w:pPr>
        <w:spacing w:after="0" w:line="360" w:lineRule="auto"/>
        <w:ind w:left="567" w:right="567"/>
        <w:rPr>
          <w:i/>
          <w:sz w:val="20"/>
          <w:szCs w:val="20"/>
        </w:rPr>
      </w:pPr>
      <w:r>
        <w:rPr>
          <w:i/>
          <w:sz w:val="20"/>
          <w:szCs w:val="20"/>
        </w:rPr>
        <w:t>…”</w:t>
      </w:r>
    </w:p>
    <w:p w14:paraId="473D547D" w14:textId="77777777" w:rsidR="00853BE8" w:rsidRDefault="00853BE8">
      <w:pPr>
        <w:spacing w:after="0" w:line="360" w:lineRule="auto"/>
        <w:ind w:left="567" w:right="567"/>
        <w:rPr>
          <w:i/>
          <w:sz w:val="20"/>
          <w:szCs w:val="20"/>
        </w:rPr>
      </w:pPr>
    </w:p>
    <w:p w14:paraId="16DF119C" w14:textId="77777777" w:rsidR="00853BE8" w:rsidRDefault="00FE6B29">
      <w:pPr>
        <w:tabs>
          <w:tab w:val="left" w:pos="4962"/>
        </w:tabs>
        <w:spacing w:after="0" w:line="360" w:lineRule="auto"/>
      </w:pPr>
      <w:r>
        <w:lastRenderedPageBreak/>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06B34B1E" w14:textId="77777777" w:rsidR="00853BE8" w:rsidRDefault="00853BE8">
      <w:pPr>
        <w:tabs>
          <w:tab w:val="left" w:pos="4962"/>
        </w:tabs>
        <w:spacing w:after="0" w:line="360" w:lineRule="auto"/>
      </w:pPr>
    </w:p>
    <w:p w14:paraId="27556F47" w14:textId="77777777" w:rsidR="00853BE8" w:rsidRDefault="00FE6B29">
      <w:pPr>
        <w:tabs>
          <w:tab w:val="left" w:pos="4962"/>
        </w:tabs>
        <w:spacing w:after="0" w:line="360" w:lineRule="auto"/>
      </w:pPr>
      <w:r>
        <w:t>Además, conforme al Diccionario de Transparencia y Acceso a la Información Pública y la página oficial de este Instituto (</w:t>
      </w:r>
      <w:hyperlink r:id="rId8" w:anchor="queEsRRdeIP">
        <w:r>
          <w:rPr>
            <w:color w:val="0563C1"/>
            <w:u w:val="single"/>
          </w:rPr>
          <w:t>https://www.infoem.org.mx/es/content/informacion-publica#queEsRRdeIP</w:t>
        </w:r>
      </w:hyperlink>
      <w: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139AC52C" w14:textId="77777777" w:rsidR="00853BE8" w:rsidRDefault="00853BE8">
      <w:pPr>
        <w:tabs>
          <w:tab w:val="left" w:pos="4962"/>
        </w:tabs>
        <w:spacing w:after="0" w:line="360" w:lineRule="auto"/>
      </w:pPr>
    </w:p>
    <w:p w14:paraId="338ADC50" w14:textId="77777777" w:rsidR="00853BE8" w:rsidRDefault="00FE6B29">
      <w:pPr>
        <w:tabs>
          <w:tab w:val="left" w:pos="4962"/>
        </w:tabs>
        <w:spacing w:after="0" w:line="360" w:lineRule="auto"/>
      </w:pPr>
      <w: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Pr>
          <w:b/>
          <w:u w:val="single"/>
        </w:rPr>
        <w:t>a una solicitud de información específica.</w:t>
      </w:r>
    </w:p>
    <w:p w14:paraId="7132ACCC" w14:textId="77777777" w:rsidR="00853BE8" w:rsidRDefault="00853BE8">
      <w:pPr>
        <w:tabs>
          <w:tab w:val="left" w:pos="4962"/>
        </w:tabs>
        <w:spacing w:after="0" w:line="360" w:lineRule="auto"/>
        <w:rPr>
          <w:color w:val="000000"/>
        </w:rPr>
      </w:pPr>
    </w:p>
    <w:p w14:paraId="401BEFBE" w14:textId="77777777" w:rsidR="00853BE8" w:rsidRDefault="00FE6B29">
      <w:pPr>
        <w:tabs>
          <w:tab w:val="left" w:pos="4962"/>
        </w:tabs>
        <w:spacing w:after="0" w:line="360" w:lineRule="auto"/>
        <w:rPr>
          <w:color w:val="000000"/>
        </w:rPr>
      </w:pPr>
      <w:r>
        <w:t xml:space="preserve">Con base en lo anterior, y a efecto de verificar si el presente Recurso de Revisión actualiza alguna causal de procedencia del artículo 179 de la Ley de la Materia citado en párrafos que anteceden, es necesario enfatizar que la persona Recurrente requirió, por medio de la solicitud número </w:t>
      </w:r>
      <w:r>
        <w:rPr>
          <w:color w:val="000000"/>
        </w:rPr>
        <w:t>00037/DIFTOLUCA/IP/2025,</w:t>
      </w:r>
      <w:r>
        <w:t xml:space="preserve"> el certificado de competencia laboral del responsable de la Unidad de Transparencia al diecisiete de enero de dos mil veinticinco; por lo que, el Sujeto Obligado por medio del oficio </w:t>
      </w:r>
      <w:r>
        <w:rPr>
          <w:color w:val="000000"/>
        </w:rPr>
        <w:t>200B10100/100/2025, dio respuesta a la solicitud de información, tal como se muestra a continuación:</w:t>
      </w:r>
    </w:p>
    <w:p w14:paraId="0AC91994" w14:textId="77777777" w:rsidR="00853BE8" w:rsidRDefault="00853BE8">
      <w:pPr>
        <w:tabs>
          <w:tab w:val="left" w:pos="4962"/>
        </w:tabs>
        <w:spacing w:after="0" w:line="360" w:lineRule="auto"/>
        <w:rPr>
          <w:color w:val="000000"/>
        </w:rPr>
      </w:pPr>
    </w:p>
    <w:p w14:paraId="5FE6F62A" w14:textId="77777777" w:rsidR="00853BE8" w:rsidRDefault="00FE6B29">
      <w:pPr>
        <w:tabs>
          <w:tab w:val="left" w:pos="4962"/>
        </w:tabs>
        <w:spacing w:after="0" w:line="360" w:lineRule="auto"/>
        <w:jc w:val="center"/>
        <w:rPr>
          <w:color w:val="000000"/>
        </w:rPr>
      </w:pPr>
      <w:r>
        <w:rPr>
          <w:noProof/>
          <w:color w:val="000000"/>
        </w:rPr>
        <w:lastRenderedPageBreak/>
        <w:drawing>
          <wp:inline distT="0" distB="0" distL="0" distR="0" wp14:anchorId="37578BFB" wp14:editId="34A1EE3B">
            <wp:extent cx="3544693" cy="273085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544693" cy="2730859"/>
                    </a:xfrm>
                    <a:prstGeom prst="rect">
                      <a:avLst/>
                    </a:prstGeom>
                    <a:ln/>
                  </pic:spPr>
                </pic:pic>
              </a:graphicData>
            </a:graphic>
          </wp:inline>
        </w:drawing>
      </w:r>
    </w:p>
    <w:p w14:paraId="3A7E9A53" w14:textId="77777777" w:rsidR="00853BE8" w:rsidRDefault="00FE6B29">
      <w:pPr>
        <w:widowControl w:val="0"/>
        <w:spacing w:after="0" w:line="360" w:lineRule="auto"/>
      </w:pPr>
      <w:r>
        <w:t>Ahora bien, la persona Recurrente señaló como acto reclamado el oficio número 200B10900/69/2025, del veinticuatro de febrero de dos mil veinticinco e indicó que no se le entregaba lo solicitado, al no presentar las evidencias de su dicho.</w:t>
      </w:r>
    </w:p>
    <w:p w14:paraId="25F33FAA" w14:textId="77777777" w:rsidR="00853BE8" w:rsidRDefault="00853BE8">
      <w:pPr>
        <w:widowControl w:val="0"/>
        <w:spacing w:after="0" w:line="360" w:lineRule="auto"/>
      </w:pPr>
    </w:p>
    <w:p w14:paraId="7FDE2A9B" w14:textId="77777777" w:rsidR="00853BE8" w:rsidRDefault="00FE6B29">
      <w:pPr>
        <w:widowControl w:val="0"/>
        <w:spacing w:after="0" w:line="360" w:lineRule="auto"/>
      </w:pPr>
      <w:r>
        <w:t xml:space="preserve">Sobre lo anterior, este Instituto realizó una búsqueda en el Sistema de Acceso a la Información Mexiquense (SAIMEX) y localizó el oficio previamente referido por la persona Recurrente, de cuya revisión se logra vislumbrar que corresponde a la respuesta a un requerimiento de información pública diverso, a saber, la número </w:t>
      </w:r>
      <w:r>
        <w:rPr>
          <w:color w:val="000000"/>
        </w:rPr>
        <w:t>00034/DIFTOLUCA/IP/2025</w:t>
      </w:r>
      <w:r>
        <w:t xml:space="preserve">, tal como se muestra en la siguiente imagen ilustrativa:  </w:t>
      </w:r>
    </w:p>
    <w:p w14:paraId="091571F3" w14:textId="77777777" w:rsidR="00853BE8" w:rsidRDefault="00853BE8">
      <w:pPr>
        <w:widowControl w:val="0"/>
        <w:spacing w:after="0" w:line="360" w:lineRule="auto"/>
      </w:pPr>
    </w:p>
    <w:p w14:paraId="16C131A6" w14:textId="77777777" w:rsidR="00853BE8" w:rsidRDefault="00FE6B29">
      <w:pPr>
        <w:widowControl w:val="0"/>
        <w:spacing w:after="0" w:line="360" w:lineRule="auto"/>
        <w:jc w:val="center"/>
      </w:pPr>
      <w:r>
        <w:rPr>
          <w:noProof/>
        </w:rPr>
        <w:lastRenderedPageBreak/>
        <w:drawing>
          <wp:inline distT="0" distB="0" distL="0" distR="0" wp14:anchorId="433D234D" wp14:editId="1B8020F5">
            <wp:extent cx="4886498" cy="40132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27021"/>
                    <a:stretch>
                      <a:fillRect/>
                    </a:stretch>
                  </pic:blipFill>
                  <pic:spPr>
                    <a:xfrm>
                      <a:off x="0" y="0"/>
                      <a:ext cx="4886498" cy="4013263"/>
                    </a:xfrm>
                    <a:prstGeom prst="rect">
                      <a:avLst/>
                    </a:prstGeom>
                    <a:ln/>
                  </pic:spPr>
                </pic:pic>
              </a:graphicData>
            </a:graphic>
          </wp:inline>
        </w:drawing>
      </w:r>
    </w:p>
    <w:p w14:paraId="0C9A73E4" w14:textId="77777777" w:rsidR="00853BE8" w:rsidRDefault="00853BE8">
      <w:pPr>
        <w:widowControl w:val="0"/>
        <w:spacing w:after="0" w:line="360" w:lineRule="auto"/>
      </w:pPr>
    </w:p>
    <w:p w14:paraId="1C5CA95A" w14:textId="77777777" w:rsidR="00853BE8" w:rsidRDefault="00FE6B29">
      <w:pPr>
        <w:widowControl w:val="0"/>
        <w:spacing w:after="0" w:line="360" w:lineRule="auto"/>
        <w:rPr>
          <w:color w:val="000000"/>
        </w:rPr>
      </w:pPr>
      <w:r>
        <w:t xml:space="preserve">De tal circunstancia, se colige que la persona Solicitante </w:t>
      </w:r>
      <w:r>
        <w:rPr>
          <w:b/>
        </w:rPr>
        <w:t>se agravió de la respuesta a otra solicitud de informació</w:t>
      </w:r>
      <w:r>
        <w:t xml:space="preserve">n, por lo que, la inconformidad no guarda relación con lo peticionado inicialmente, ni con la respuesta entregada por el Sistema Municipal Para el Desarrollo Integral de la Familia de Toluca; en otras palabras, el Medio de Impugnación </w:t>
      </w:r>
      <w:r>
        <w:rPr>
          <w:color w:val="000000"/>
        </w:rPr>
        <w:t>no actualiza ninguna causal de procedencia, por las siguientes consideraciones:</w:t>
      </w:r>
    </w:p>
    <w:p w14:paraId="29D9AC07" w14:textId="77777777" w:rsidR="00853BE8" w:rsidRDefault="00853BE8">
      <w:pPr>
        <w:tabs>
          <w:tab w:val="left" w:pos="4962"/>
        </w:tabs>
        <w:spacing w:after="0" w:line="360" w:lineRule="auto"/>
        <w:rPr>
          <w:color w:val="000000"/>
        </w:rPr>
      </w:pPr>
    </w:p>
    <w:p w14:paraId="1EA94337" w14:textId="77777777" w:rsidR="00853BE8" w:rsidRDefault="00FE6B29">
      <w:pPr>
        <w:numPr>
          <w:ilvl w:val="0"/>
          <w:numId w:val="1"/>
        </w:numPr>
        <w:tabs>
          <w:tab w:val="left" w:pos="4962"/>
        </w:tabs>
        <w:spacing w:after="0" w:line="360" w:lineRule="auto"/>
        <w:rPr>
          <w:color w:val="000000"/>
        </w:rPr>
      </w:pPr>
      <w:r>
        <w:rPr>
          <w:color w:val="000000"/>
        </w:rPr>
        <w:t xml:space="preserve">No se inconformó de la negativa de información, la falta de respuesta o trámite, cambio de modalidad, entrega de un documento inaccesible o incomprensible o bien </w:t>
      </w:r>
      <w:r>
        <w:rPr>
          <w:color w:val="000000"/>
        </w:rPr>
        <w:lastRenderedPageBreak/>
        <w:t>de los costos, pues el Sujeto Obligado proporcionó respuesta en la modalidad requerida;</w:t>
      </w:r>
    </w:p>
    <w:p w14:paraId="5E845112" w14:textId="77777777" w:rsidR="00853BE8" w:rsidRDefault="00FE6B29">
      <w:pPr>
        <w:numPr>
          <w:ilvl w:val="0"/>
          <w:numId w:val="1"/>
        </w:numPr>
        <w:tabs>
          <w:tab w:val="left" w:pos="4962"/>
        </w:tabs>
        <w:spacing w:after="0" w:line="360" w:lineRule="auto"/>
        <w:rPr>
          <w:color w:val="000000"/>
        </w:rPr>
      </w:pPr>
      <w:r>
        <w:rPr>
          <w:color w:val="000000"/>
        </w:rPr>
        <w:t>No se agravió de la inexistencia o incompetencia, ni de la entrega de información incompleta o que no corresponde con lo solicitado, pues el agravió no guarda relación con la solicitud inicial, ni la respuesta entregada, y</w:t>
      </w:r>
    </w:p>
    <w:p w14:paraId="1527134E" w14:textId="77777777" w:rsidR="00853BE8" w:rsidRDefault="00FE6B29">
      <w:pPr>
        <w:numPr>
          <w:ilvl w:val="0"/>
          <w:numId w:val="1"/>
        </w:numPr>
        <w:tabs>
          <w:tab w:val="left" w:pos="4962"/>
        </w:tabs>
        <w:spacing w:after="0" w:line="360" w:lineRule="auto"/>
        <w:rPr>
          <w:color w:val="000000"/>
        </w:rPr>
      </w:pPr>
      <w:r>
        <w:rPr>
          <w:color w:val="000000"/>
        </w:rPr>
        <w:t>No se inconformó de la clasificación.</w:t>
      </w:r>
    </w:p>
    <w:p w14:paraId="171C632B" w14:textId="77777777" w:rsidR="00853BE8" w:rsidRDefault="00853BE8">
      <w:pPr>
        <w:spacing w:after="0" w:line="360" w:lineRule="auto"/>
      </w:pPr>
    </w:p>
    <w:p w14:paraId="37151534" w14:textId="77777777" w:rsidR="00853BE8" w:rsidRDefault="00FE6B29">
      <w:pPr>
        <w:spacing w:after="0" w:line="360" w:lineRule="auto"/>
      </w:pPr>
      <w:r>
        <w:t xml:space="preserve">Lo anterior, resulta así pues la inconformidad de la persona Recurrente corresponde a otra solicitud de información; pues el oficio número 200B10900/69/2025, no guarda relación con lo peticionado inicialmente, ni fue entregado por el Sujeto Obligado para atender el requerimiento </w:t>
      </w:r>
      <w:r>
        <w:rPr>
          <w:color w:val="000000"/>
        </w:rPr>
        <w:t>00037/DIFTOLUCA/IP/2025, materia del presente Recurso</w:t>
      </w:r>
      <w:r>
        <w:t xml:space="preserve">; por lo que, en el presente caso, la persona Solicitante no emitió ninguna inconformidad con la respuesta entregada en la solicitud mencionada. </w:t>
      </w:r>
    </w:p>
    <w:p w14:paraId="3EDB48A7" w14:textId="77777777" w:rsidR="00853BE8" w:rsidRDefault="00853BE8">
      <w:pPr>
        <w:spacing w:after="0" w:line="360" w:lineRule="auto"/>
      </w:pPr>
    </w:p>
    <w:p w14:paraId="7D7F038F" w14:textId="77777777" w:rsidR="00853BE8" w:rsidRDefault="00FE6B29">
      <w:pPr>
        <w:tabs>
          <w:tab w:val="left" w:pos="4962"/>
        </w:tabs>
        <w:spacing w:after="0" w:line="360" w:lineRule="auto"/>
        <w:rPr>
          <w:color w:val="000000"/>
        </w:rPr>
      </w:pPr>
      <w:r>
        <w:rPr>
          <w:color w:val="000000"/>
        </w:rPr>
        <w:t xml:space="preserve">Así, se logra vislumbrar que el Medio de Impugnación no actualiza alguna causal de procedencia, pues como ya se refirió, no existe inconformidad con la respuesta entregada, y, por lo tanto, se materializa la causal de </w:t>
      </w:r>
      <w:proofErr w:type="spellStart"/>
      <w:r>
        <w:rPr>
          <w:color w:val="000000"/>
        </w:rPr>
        <w:t>desechamiento</w:t>
      </w:r>
      <w:proofErr w:type="spellEnd"/>
      <w:r>
        <w:rPr>
          <w:color w:val="000000"/>
        </w:rPr>
        <w:t xml:space="preserve"> establecida en el artículo 191, fracción III, de la Ley de la materia; sin embargo, toda vez que fue necesario admitir el Medio de Impugnación, para verificar dicha circunstancia, lo procedente es </w:t>
      </w:r>
      <w:r>
        <w:rPr>
          <w:b/>
          <w:color w:val="000000"/>
        </w:rPr>
        <w:t>SOBRESEER</w:t>
      </w:r>
      <w:r>
        <w:rPr>
          <w:color w:val="000000"/>
        </w:rPr>
        <w:t xml:space="preserve"> el mismo. </w:t>
      </w:r>
    </w:p>
    <w:p w14:paraId="0CB87D70" w14:textId="77777777" w:rsidR="00853BE8" w:rsidRDefault="00853BE8">
      <w:pPr>
        <w:spacing w:after="0" w:line="360" w:lineRule="auto"/>
        <w:rPr>
          <w:color w:val="000000"/>
        </w:rPr>
      </w:pPr>
    </w:p>
    <w:p w14:paraId="1CB0E82A" w14:textId="77777777" w:rsidR="00853BE8" w:rsidRDefault="00FE6B29">
      <w:pPr>
        <w:pStyle w:val="Ttulo2"/>
        <w:rPr>
          <w:rFonts w:ascii="Palatino Linotype" w:eastAsia="Palatino Linotype" w:hAnsi="Palatino Linotype" w:cs="Palatino Linotype"/>
          <w:b/>
          <w:color w:val="000000"/>
          <w:sz w:val="22"/>
          <w:szCs w:val="22"/>
        </w:rPr>
      </w:pPr>
      <w:bookmarkStart w:id="15" w:name="_heading=h.1ksv4uv" w:colFirst="0" w:colLast="0"/>
      <w:bookmarkEnd w:id="15"/>
      <w:r>
        <w:rPr>
          <w:rFonts w:ascii="Palatino Linotype" w:eastAsia="Palatino Linotype" w:hAnsi="Palatino Linotype" w:cs="Palatino Linotype"/>
          <w:b/>
          <w:color w:val="000000"/>
          <w:sz w:val="22"/>
          <w:szCs w:val="22"/>
        </w:rPr>
        <w:t>CUARTO. Decisión</w:t>
      </w:r>
    </w:p>
    <w:p w14:paraId="49C748C2" w14:textId="77777777" w:rsidR="00853BE8" w:rsidRDefault="00853BE8">
      <w:pPr>
        <w:spacing w:after="0" w:line="360" w:lineRule="auto"/>
        <w:rPr>
          <w:b/>
          <w:color w:val="000000"/>
        </w:rPr>
      </w:pPr>
    </w:p>
    <w:p w14:paraId="7D3F0879" w14:textId="77777777" w:rsidR="00853BE8" w:rsidRDefault="00FE6B29">
      <w:pPr>
        <w:spacing w:after="0" w:line="360" w:lineRule="auto"/>
        <w:rPr>
          <w:color w:val="000000"/>
        </w:rPr>
      </w:pPr>
      <w:r>
        <w:rPr>
          <w:color w:val="000000"/>
        </w:rPr>
        <w:t xml:space="preserve">Con fundamento en lo dispuesto en el artículo 186, fracción I de la Ley de Transparencia y Acceso a la Información Pública del Estado de México y Municipios, se considera procedente </w:t>
      </w:r>
      <w:r>
        <w:rPr>
          <w:b/>
          <w:color w:val="000000"/>
        </w:rPr>
        <w:t xml:space="preserve">SOBRESEER </w:t>
      </w:r>
      <w:r>
        <w:rPr>
          <w:color w:val="000000"/>
        </w:rPr>
        <w:t xml:space="preserve">el Recurso de Revisión, en virtud de que se actualiza la hipótesis normativa </w:t>
      </w:r>
      <w:r>
        <w:rPr>
          <w:color w:val="000000"/>
        </w:rPr>
        <w:lastRenderedPageBreak/>
        <w:t>prevista en la fracción IV, del diverso 192, en relación, con el 191, fracción III, ambos del citado ordenamiento legal.</w:t>
      </w:r>
    </w:p>
    <w:p w14:paraId="76350D87" w14:textId="77777777" w:rsidR="00853BE8" w:rsidRDefault="00853BE8">
      <w:pPr>
        <w:spacing w:after="0" w:line="360" w:lineRule="auto"/>
        <w:rPr>
          <w:b/>
          <w:color w:val="000000"/>
        </w:rPr>
      </w:pPr>
    </w:p>
    <w:p w14:paraId="6C54F2BF" w14:textId="77777777" w:rsidR="00853BE8" w:rsidRDefault="00FE6B29">
      <w:pPr>
        <w:spacing w:after="0" w:line="360" w:lineRule="auto"/>
        <w:rPr>
          <w:b/>
          <w:color w:val="000000"/>
        </w:rPr>
      </w:pPr>
      <w:r>
        <w:rPr>
          <w:b/>
          <w:color w:val="000000"/>
        </w:rPr>
        <w:t>Términos de la Resolución para conocimiento de la Particular.</w:t>
      </w:r>
    </w:p>
    <w:p w14:paraId="11F16939" w14:textId="77777777" w:rsidR="00853BE8" w:rsidRDefault="00853BE8">
      <w:pPr>
        <w:spacing w:after="0" w:line="360" w:lineRule="auto"/>
        <w:rPr>
          <w:b/>
          <w:color w:val="000000"/>
        </w:rPr>
      </w:pPr>
    </w:p>
    <w:p w14:paraId="755E6F78" w14:textId="77777777" w:rsidR="00853BE8" w:rsidRDefault="00FE6B29">
      <w:pPr>
        <w:spacing w:after="0" w:line="360" w:lineRule="auto"/>
        <w:rPr>
          <w:color w:val="000000"/>
        </w:rPr>
      </w:pPr>
      <w:r>
        <w:rPr>
          <w:color w:val="000000"/>
        </w:rPr>
        <w:t>Se le hace del conocimiento a la Particular, que su Recurso no actualiza ninguna de las causales de procedencia, establecidas en la Ley de la materia, toda vez que la Particular al interponer su Recurso de Revisión, el mismo no se advirtió alguna razón o motivo de inconformidad; por lo que, resulta procedente sobreseer el Medio de Impugnación, al ser improcedente.</w:t>
      </w:r>
    </w:p>
    <w:p w14:paraId="42E73E89" w14:textId="77777777" w:rsidR="00853BE8" w:rsidRDefault="00853BE8">
      <w:pPr>
        <w:spacing w:after="0" w:line="360" w:lineRule="auto"/>
        <w:rPr>
          <w:color w:val="000000"/>
        </w:rPr>
      </w:pPr>
    </w:p>
    <w:p w14:paraId="3C56F5FF" w14:textId="77777777" w:rsidR="00853BE8" w:rsidRDefault="00FE6B29">
      <w:pPr>
        <w:spacing w:after="0" w:line="360" w:lineRule="auto"/>
        <w:rPr>
          <w:color w:val="000000"/>
        </w:rPr>
      </w:pPr>
      <w:r>
        <w:rPr>
          <w:color w:val="000000"/>
        </w:rPr>
        <w:t>Finalmente, se le hace del conocimiento a la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6F280483" w14:textId="77777777" w:rsidR="00853BE8" w:rsidRDefault="00853BE8">
      <w:pPr>
        <w:widowControl w:val="0"/>
        <w:spacing w:after="0" w:line="360" w:lineRule="auto"/>
        <w:rPr>
          <w:color w:val="000000"/>
        </w:rPr>
      </w:pPr>
    </w:p>
    <w:p w14:paraId="6D41FD5D" w14:textId="77777777" w:rsidR="00853BE8" w:rsidRDefault="00FE6B29">
      <w:pPr>
        <w:spacing w:after="0" w:line="360" w:lineRule="auto"/>
        <w:rPr>
          <w:color w:val="000000"/>
        </w:rPr>
      </w:pPr>
      <w:r>
        <w:rPr>
          <w:color w:val="000000"/>
        </w:rPr>
        <w:t>Por lo expuesto y fundado, este Pleno:</w:t>
      </w:r>
    </w:p>
    <w:p w14:paraId="17A1C8A8" w14:textId="77777777" w:rsidR="00853BE8" w:rsidRDefault="00853BE8">
      <w:pPr>
        <w:spacing w:after="0" w:line="360" w:lineRule="auto"/>
        <w:rPr>
          <w:color w:val="000000"/>
        </w:rPr>
      </w:pPr>
    </w:p>
    <w:p w14:paraId="349B8FDA" w14:textId="77777777" w:rsidR="00853BE8" w:rsidRDefault="00FE6B29">
      <w:pPr>
        <w:pStyle w:val="Ttulo1"/>
        <w:jc w:val="center"/>
        <w:rPr>
          <w:rFonts w:ascii="Palatino Linotype" w:eastAsia="Palatino Linotype" w:hAnsi="Palatino Linotype" w:cs="Palatino Linotype"/>
          <w:b/>
          <w:color w:val="000000"/>
          <w:sz w:val="22"/>
          <w:szCs w:val="22"/>
        </w:rPr>
      </w:pPr>
      <w:bookmarkStart w:id="16" w:name="_heading=h.44sinio" w:colFirst="0" w:colLast="0"/>
      <w:bookmarkEnd w:id="16"/>
      <w:r>
        <w:rPr>
          <w:rFonts w:ascii="Palatino Linotype" w:eastAsia="Palatino Linotype" w:hAnsi="Palatino Linotype" w:cs="Palatino Linotype"/>
          <w:b/>
          <w:color w:val="000000"/>
          <w:sz w:val="22"/>
          <w:szCs w:val="22"/>
        </w:rPr>
        <w:t>R E S U E L V E:</w:t>
      </w:r>
    </w:p>
    <w:p w14:paraId="4EEA6839" w14:textId="77777777" w:rsidR="00853BE8" w:rsidRDefault="00853BE8">
      <w:pPr>
        <w:spacing w:after="0" w:line="360" w:lineRule="auto"/>
        <w:rPr>
          <w:color w:val="000000"/>
        </w:rPr>
      </w:pPr>
    </w:p>
    <w:p w14:paraId="11AD3E3B" w14:textId="77777777" w:rsidR="00853BE8" w:rsidRDefault="00FE6B29">
      <w:pPr>
        <w:spacing w:after="0" w:line="360" w:lineRule="auto"/>
        <w:rPr>
          <w:color w:val="000000"/>
        </w:rPr>
      </w:pPr>
      <w:r>
        <w:rPr>
          <w:b/>
          <w:color w:val="000000"/>
        </w:rPr>
        <w:t>PRIMERO</w:t>
      </w:r>
      <w:r>
        <w:rPr>
          <w:color w:val="000000"/>
        </w:rPr>
        <w:t xml:space="preserve">. Se </w:t>
      </w:r>
      <w:r>
        <w:rPr>
          <w:b/>
          <w:color w:val="000000"/>
        </w:rPr>
        <w:t>SOBRESEE</w:t>
      </w:r>
      <w:r>
        <w:rPr>
          <w:color w:val="000000"/>
        </w:rPr>
        <w:t xml:space="preserve"> el Recurso de Revisión número </w:t>
      </w:r>
      <w:r>
        <w:t>00366/INFOEM/IP/RR/2025</w:t>
      </w:r>
      <w:r>
        <w:rPr>
          <w:color w:val="000000"/>
        </w:rPr>
        <w:t xml:space="preserve">, por actualizarse la causal de improcedencia establecida en la fracción III, del artículo 191, en relación con el artículo 192, </w:t>
      </w:r>
      <w:r>
        <w:t>fracción</w:t>
      </w:r>
      <w:r>
        <w:rPr>
          <w:color w:val="000000"/>
        </w:rPr>
        <w:t xml:space="preserve"> IV, de la Ley de Transparencia y Acceso a la Información Pública del Estado de México y Municipios, de conformidad con lo señalado en los Considerandos TERCERO y CUARTO de la presente Resolución.</w:t>
      </w:r>
    </w:p>
    <w:p w14:paraId="3E392A03" w14:textId="77777777" w:rsidR="00853BE8" w:rsidRDefault="00853BE8">
      <w:pPr>
        <w:spacing w:after="0" w:line="360" w:lineRule="auto"/>
        <w:rPr>
          <w:color w:val="000000"/>
        </w:rPr>
      </w:pPr>
    </w:p>
    <w:p w14:paraId="320D80FE" w14:textId="77777777" w:rsidR="00853BE8" w:rsidRDefault="00FE6B29">
      <w:pPr>
        <w:spacing w:after="0" w:line="360" w:lineRule="auto"/>
        <w:rPr>
          <w:i/>
          <w:color w:val="000000"/>
        </w:rPr>
      </w:pPr>
      <w:r>
        <w:rPr>
          <w:b/>
          <w:color w:val="000000"/>
        </w:rPr>
        <w:t xml:space="preserve">SEGUNDO. NOTIFÍQUESE POR SAIMEX </w:t>
      </w:r>
      <w:r>
        <w:rPr>
          <w:color w:val="000000"/>
        </w:rPr>
        <w:t>la presente resolución al Titular de la Unidad de Transparencia del Sujeto Obligado.</w:t>
      </w:r>
    </w:p>
    <w:p w14:paraId="4B1A6A30" w14:textId="77777777" w:rsidR="00853BE8" w:rsidRDefault="00853BE8">
      <w:pPr>
        <w:spacing w:after="0" w:line="360" w:lineRule="auto"/>
        <w:rPr>
          <w:color w:val="000000"/>
        </w:rPr>
      </w:pPr>
    </w:p>
    <w:p w14:paraId="4F688C14" w14:textId="77777777" w:rsidR="00853BE8" w:rsidRDefault="00FE6B29">
      <w:pPr>
        <w:spacing w:after="0" w:line="360" w:lineRule="auto"/>
        <w:ind w:right="-93"/>
        <w:rPr>
          <w:color w:val="000000"/>
        </w:rPr>
      </w:pPr>
      <w:r>
        <w:rPr>
          <w:b/>
          <w:color w:val="000000"/>
        </w:rPr>
        <w:t>TERCERO. NOTIFÍQUESE POR SAIMEX</w:t>
      </w:r>
      <w:r>
        <w:rPr>
          <w:color w:val="000000"/>
        </w:rPr>
        <w:t xml:space="preserve"> 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8D2B088" w14:textId="77777777" w:rsidR="00853BE8" w:rsidRDefault="00853BE8">
      <w:pPr>
        <w:spacing w:after="0" w:line="360" w:lineRule="auto"/>
        <w:ind w:right="-93"/>
        <w:rPr>
          <w:color w:val="0D0D0D"/>
        </w:rPr>
      </w:pPr>
    </w:p>
    <w:p w14:paraId="45CB465F" w14:textId="77777777" w:rsidR="00853BE8" w:rsidRDefault="00FE6B29">
      <w:pPr>
        <w:spacing w:after="0" w:line="360" w:lineRule="auto"/>
        <w:rPr>
          <w:color w:val="000000"/>
        </w:rPr>
      </w:pPr>
      <w:r>
        <w:rPr>
          <w:color w:val="000000"/>
        </w:rPr>
        <w:t xml:space="preserve">ASÍ LO RESUELVE, POR </w:t>
      </w:r>
      <w:r>
        <w:rPr>
          <w:b/>
          <w:color w:val="000000"/>
        </w:rPr>
        <w:t>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w:t>
      </w:r>
      <w:r>
        <w:t>FEBRERO</w:t>
      </w:r>
      <w:r>
        <w:rPr>
          <w:color w:val="000000"/>
        </w:rPr>
        <w:t xml:space="preserve"> DE DOS MIL VEINTICINCO, ANTE EL SECRETARIO TÉCNICO DEL PLENO, ALEXIS TAPIA RAMÍREZ.</w:t>
      </w:r>
    </w:p>
    <w:p w14:paraId="225772D2" w14:textId="77777777" w:rsidR="00853BE8" w:rsidRDefault="00853BE8">
      <w:pPr>
        <w:spacing w:after="0" w:line="360" w:lineRule="auto"/>
        <w:rPr>
          <w:color w:val="FF0000"/>
        </w:rPr>
      </w:pPr>
    </w:p>
    <w:p w14:paraId="0FDCA0A2" w14:textId="77777777" w:rsidR="00853BE8" w:rsidRDefault="00853BE8">
      <w:pPr>
        <w:spacing w:after="0" w:line="360" w:lineRule="auto"/>
        <w:rPr>
          <w:color w:val="FF0000"/>
        </w:rPr>
      </w:pPr>
    </w:p>
    <w:p w14:paraId="1E0B1F20" w14:textId="77777777" w:rsidR="00853BE8" w:rsidRDefault="00853BE8">
      <w:pPr>
        <w:spacing w:after="0" w:line="360" w:lineRule="auto"/>
        <w:rPr>
          <w:color w:val="FF0000"/>
        </w:rPr>
      </w:pPr>
    </w:p>
    <w:p w14:paraId="2BB5D1EA" w14:textId="77777777" w:rsidR="00853BE8" w:rsidRDefault="00853BE8">
      <w:pPr>
        <w:spacing w:after="0" w:line="360" w:lineRule="auto"/>
        <w:rPr>
          <w:color w:val="FF0000"/>
        </w:rPr>
      </w:pPr>
    </w:p>
    <w:p w14:paraId="7942B5D4" w14:textId="77777777" w:rsidR="00853BE8" w:rsidRDefault="00853BE8">
      <w:pPr>
        <w:spacing w:after="0" w:line="360" w:lineRule="auto"/>
        <w:rPr>
          <w:color w:val="FF0000"/>
        </w:rPr>
      </w:pPr>
    </w:p>
    <w:p w14:paraId="0F466C39" w14:textId="77777777" w:rsidR="00853BE8" w:rsidRDefault="00853BE8">
      <w:pPr>
        <w:spacing w:after="0" w:line="360" w:lineRule="auto"/>
        <w:rPr>
          <w:color w:val="FF0000"/>
        </w:rPr>
      </w:pPr>
    </w:p>
    <w:p w14:paraId="1BB270E5" w14:textId="77777777" w:rsidR="00853BE8" w:rsidRDefault="00853BE8">
      <w:pPr>
        <w:spacing w:after="0" w:line="360" w:lineRule="auto"/>
        <w:rPr>
          <w:color w:val="FF0000"/>
        </w:rPr>
      </w:pPr>
    </w:p>
    <w:p w14:paraId="27A1BEC9" w14:textId="77777777" w:rsidR="00853BE8" w:rsidRDefault="00853BE8">
      <w:pPr>
        <w:spacing w:after="0" w:line="360" w:lineRule="auto"/>
        <w:rPr>
          <w:color w:val="FF0000"/>
        </w:rPr>
      </w:pPr>
    </w:p>
    <w:p w14:paraId="0320E457" w14:textId="77777777" w:rsidR="00853BE8" w:rsidRDefault="00853BE8">
      <w:pPr>
        <w:spacing w:after="0" w:line="360" w:lineRule="auto"/>
        <w:rPr>
          <w:color w:val="FF0000"/>
        </w:rPr>
      </w:pPr>
    </w:p>
    <w:p w14:paraId="1FE47D61" w14:textId="77777777" w:rsidR="00853BE8" w:rsidRDefault="00853BE8">
      <w:pPr>
        <w:spacing w:after="0" w:line="360" w:lineRule="auto"/>
        <w:rPr>
          <w:color w:val="FF0000"/>
        </w:rPr>
      </w:pPr>
    </w:p>
    <w:p w14:paraId="1BAAA651" w14:textId="77777777" w:rsidR="00853BE8" w:rsidRDefault="00853BE8">
      <w:pPr>
        <w:spacing w:after="0" w:line="360" w:lineRule="auto"/>
        <w:rPr>
          <w:color w:val="FF0000"/>
        </w:rPr>
      </w:pPr>
    </w:p>
    <w:p w14:paraId="7CBB451E" w14:textId="77777777" w:rsidR="00853BE8" w:rsidRDefault="00853BE8">
      <w:pPr>
        <w:spacing w:after="0" w:line="360" w:lineRule="auto"/>
        <w:rPr>
          <w:color w:val="FF0000"/>
        </w:rPr>
      </w:pPr>
    </w:p>
    <w:sectPr w:rsidR="00853BE8">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8AC3" w14:textId="77777777" w:rsidR="00A5705F" w:rsidRDefault="00A5705F">
      <w:pPr>
        <w:spacing w:after="0" w:line="240" w:lineRule="auto"/>
      </w:pPr>
      <w:r>
        <w:separator/>
      </w:r>
    </w:p>
  </w:endnote>
  <w:endnote w:type="continuationSeparator" w:id="0">
    <w:p w14:paraId="3062A5C8" w14:textId="77777777" w:rsidR="00A5705F" w:rsidRDefault="00A5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2910" w14:textId="77777777" w:rsidR="00853BE8" w:rsidRDefault="00FE6B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71B2">
      <w:rPr>
        <w:b/>
        <w:noProof/>
        <w:color w:val="000000"/>
        <w:sz w:val="24"/>
        <w:szCs w:val="24"/>
      </w:rPr>
      <w:t>15</w:t>
    </w:r>
    <w:r>
      <w:rPr>
        <w:b/>
        <w:color w:val="000000"/>
        <w:sz w:val="24"/>
        <w:szCs w:val="24"/>
      </w:rPr>
      <w:fldChar w:fldCharType="end"/>
    </w:r>
  </w:p>
  <w:p w14:paraId="38DA2E18" w14:textId="77777777" w:rsidR="00853BE8" w:rsidRDefault="00853BE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9D16" w14:textId="77777777" w:rsidR="00853BE8" w:rsidRDefault="00FE6B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71B2">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71B2">
      <w:rPr>
        <w:b/>
        <w:noProof/>
        <w:color w:val="000000"/>
        <w:sz w:val="24"/>
        <w:szCs w:val="24"/>
      </w:rPr>
      <w:t>15</w:t>
    </w:r>
    <w:r>
      <w:rPr>
        <w:b/>
        <w:color w:val="000000"/>
        <w:sz w:val="24"/>
        <w:szCs w:val="24"/>
      </w:rPr>
      <w:fldChar w:fldCharType="end"/>
    </w:r>
  </w:p>
  <w:p w14:paraId="768D4E4C" w14:textId="77777777" w:rsidR="00853BE8" w:rsidRDefault="00853BE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AA4F" w14:textId="77777777" w:rsidR="00853BE8" w:rsidRDefault="00FE6B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71B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71B2">
      <w:rPr>
        <w:b/>
        <w:noProof/>
        <w:color w:val="000000"/>
        <w:sz w:val="24"/>
        <w:szCs w:val="24"/>
      </w:rPr>
      <w:t>15</w:t>
    </w:r>
    <w:r>
      <w:rPr>
        <w:b/>
        <w:color w:val="000000"/>
        <w:sz w:val="24"/>
        <w:szCs w:val="24"/>
      </w:rPr>
      <w:fldChar w:fldCharType="end"/>
    </w:r>
  </w:p>
  <w:p w14:paraId="22634DAD" w14:textId="77777777" w:rsidR="00853BE8" w:rsidRDefault="00853B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0508" w14:textId="77777777" w:rsidR="00A5705F" w:rsidRDefault="00A5705F">
      <w:pPr>
        <w:spacing w:after="0" w:line="240" w:lineRule="auto"/>
      </w:pPr>
      <w:r>
        <w:separator/>
      </w:r>
    </w:p>
  </w:footnote>
  <w:footnote w:type="continuationSeparator" w:id="0">
    <w:p w14:paraId="08EE3883" w14:textId="77777777" w:rsidR="00A5705F" w:rsidRDefault="00A5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6395" w14:textId="77777777" w:rsidR="00853BE8" w:rsidRDefault="00853BE8">
    <w:pPr>
      <w:widowControl w:val="0"/>
      <w:pBdr>
        <w:top w:val="nil"/>
        <w:left w:val="nil"/>
        <w:bottom w:val="nil"/>
        <w:right w:val="nil"/>
        <w:between w:val="nil"/>
      </w:pBdr>
      <w:spacing w:after="0" w:line="276" w:lineRule="auto"/>
      <w:jc w:val="left"/>
      <w:rPr>
        <w:color w:val="FF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53BE8" w14:paraId="7BA5A239" w14:textId="77777777">
      <w:trPr>
        <w:trHeight w:val="132"/>
      </w:trPr>
      <w:tc>
        <w:tcPr>
          <w:tcW w:w="2691" w:type="dxa"/>
        </w:tcPr>
        <w:p w14:paraId="3589365A" w14:textId="77777777" w:rsidR="00853BE8" w:rsidRDefault="00FE6B29">
          <w:pPr>
            <w:tabs>
              <w:tab w:val="right" w:pos="8838"/>
            </w:tabs>
            <w:ind w:right="-105"/>
            <w:rPr>
              <w:b/>
            </w:rPr>
          </w:pPr>
          <w:r>
            <w:rPr>
              <w:b/>
            </w:rPr>
            <w:t>Recurso de Revisión:</w:t>
          </w:r>
        </w:p>
      </w:tc>
      <w:tc>
        <w:tcPr>
          <w:tcW w:w="3405" w:type="dxa"/>
        </w:tcPr>
        <w:p w14:paraId="6BF6F1C2" w14:textId="77777777" w:rsidR="00853BE8" w:rsidRDefault="00FE6B29">
          <w:pPr>
            <w:tabs>
              <w:tab w:val="right" w:pos="8838"/>
            </w:tabs>
            <w:ind w:left="-28" w:right="-32"/>
          </w:pPr>
          <w:r>
            <w:t>03846/INFOEM/IP/RR/2020</w:t>
          </w:r>
        </w:p>
      </w:tc>
    </w:tr>
    <w:tr w:rsidR="00853BE8" w14:paraId="47FF3AA7" w14:textId="77777777">
      <w:trPr>
        <w:trHeight w:val="261"/>
      </w:trPr>
      <w:tc>
        <w:tcPr>
          <w:tcW w:w="2691" w:type="dxa"/>
        </w:tcPr>
        <w:p w14:paraId="1C4D6390" w14:textId="77777777" w:rsidR="00853BE8" w:rsidRDefault="00FE6B29">
          <w:pPr>
            <w:tabs>
              <w:tab w:val="right" w:pos="8838"/>
            </w:tabs>
            <w:ind w:right="-105"/>
            <w:rPr>
              <w:b/>
            </w:rPr>
          </w:pPr>
          <w:r>
            <w:rPr>
              <w:b/>
            </w:rPr>
            <w:t>Sujeto Obligado:</w:t>
          </w:r>
        </w:p>
      </w:tc>
      <w:tc>
        <w:tcPr>
          <w:tcW w:w="3405" w:type="dxa"/>
        </w:tcPr>
        <w:p w14:paraId="5FF152B8" w14:textId="77777777" w:rsidR="00853BE8" w:rsidRDefault="00FE6B29">
          <w:pPr>
            <w:tabs>
              <w:tab w:val="right" w:pos="8838"/>
            </w:tabs>
            <w:ind w:right="-32"/>
          </w:pPr>
          <w:r>
            <w:t>Ayuntamiento de Temascalcingo</w:t>
          </w:r>
        </w:p>
      </w:tc>
    </w:tr>
    <w:tr w:rsidR="00853BE8" w14:paraId="15EB9FC5" w14:textId="77777777">
      <w:trPr>
        <w:trHeight w:val="261"/>
      </w:trPr>
      <w:tc>
        <w:tcPr>
          <w:tcW w:w="2691" w:type="dxa"/>
        </w:tcPr>
        <w:p w14:paraId="257A0265" w14:textId="77777777" w:rsidR="00853BE8" w:rsidRDefault="00FE6B29">
          <w:pPr>
            <w:tabs>
              <w:tab w:val="right" w:pos="8838"/>
            </w:tabs>
            <w:ind w:right="-105"/>
            <w:rPr>
              <w:b/>
            </w:rPr>
          </w:pPr>
          <w:r>
            <w:rPr>
              <w:b/>
            </w:rPr>
            <w:t>Comisionado Ponente:</w:t>
          </w:r>
        </w:p>
      </w:tc>
      <w:tc>
        <w:tcPr>
          <w:tcW w:w="3405" w:type="dxa"/>
        </w:tcPr>
        <w:p w14:paraId="54BA9B7B" w14:textId="77777777" w:rsidR="00853BE8" w:rsidRDefault="00FE6B29">
          <w:pPr>
            <w:tabs>
              <w:tab w:val="right" w:pos="8838"/>
            </w:tabs>
            <w:ind w:right="-32"/>
            <w:rPr>
              <w:b/>
            </w:rPr>
          </w:pPr>
          <w:r>
            <w:t>Luis Gustavo Parra Noriega</w:t>
          </w:r>
        </w:p>
      </w:tc>
    </w:tr>
  </w:tbl>
  <w:p w14:paraId="0B5CF321" w14:textId="77777777" w:rsidR="00853BE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CAE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785" w14:textId="77777777" w:rsidR="00853BE8" w:rsidRDefault="00853BE8">
    <w:pPr>
      <w:widowControl w:val="0"/>
      <w:pBdr>
        <w:top w:val="nil"/>
        <w:left w:val="nil"/>
        <w:bottom w:val="nil"/>
        <w:right w:val="nil"/>
        <w:between w:val="nil"/>
      </w:pBdr>
      <w:spacing w:after="0" w:line="276" w:lineRule="auto"/>
      <w:jc w:val="left"/>
      <w:rPr>
        <w:color w:val="000000"/>
      </w:rPr>
    </w:pPr>
  </w:p>
  <w:tbl>
    <w:tblPr>
      <w:tblStyle w:val="a0"/>
      <w:tblW w:w="5528"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375"/>
      <w:gridCol w:w="3153"/>
    </w:tblGrid>
    <w:tr w:rsidR="00853BE8" w14:paraId="1E7A4553" w14:textId="77777777">
      <w:trPr>
        <w:trHeight w:val="146"/>
      </w:trPr>
      <w:tc>
        <w:tcPr>
          <w:tcW w:w="2375" w:type="dxa"/>
          <w:vAlign w:val="center"/>
        </w:tcPr>
        <w:p w14:paraId="6C7E77AF" w14:textId="77777777" w:rsidR="00853BE8" w:rsidRDefault="00FE6B29">
          <w:pPr>
            <w:tabs>
              <w:tab w:val="right" w:pos="8838"/>
            </w:tabs>
            <w:ind w:left="-108" w:right="-105"/>
            <w:jc w:val="left"/>
            <w:rPr>
              <w:b/>
            </w:rPr>
          </w:pPr>
          <w:r>
            <w:rPr>
              <w:b/>
            </w:rPr>
            <w:t>Recurso de Revisión:</w:t>
          </w:r>
        </w:p>
      </w:tc>
      <w:tc>
        <w:tcPr>
          <w:tcW w:w="3153" w:type="dxa"/>
        </w:tcPr>
        <w:p w14:paraId="4AC263C4" w14:textId="77777777" w:rsidR="00853BE8" w:rsidRDefault="00FE6B29">
          <w:pPr>
            <w:tabs>
              <w:tab w:val="right" w:pos="8838"/>
            </w:tabs>
            <w:ind w:left="-108" w:right="57"/>
          </w:pPr>
          <w:r>
            <w:t>00366/INFOEM/IP/RR/2025</w:t>
          </w:r>
        </w:p>
      </w:tc>
    </w:tr>
    <w:tr w:rsidR="00853BE8" w14:paraId="29D2BD67" w14:textId="77777777">
      <w:trPr>
        <w:trHeight w:val="291"/>
      </w:trPr>
      <w:tc>
        <w:tcPr>
          <w:tcW w:w="2375" w:type="dxa"/>
        </w:tcPr>
        <w:p w14:paraId="53C242F0" w14:textId="77777777" w:rsidR="00853BE8" w:rsidRDefault="00FE6B29">
          <w:pPr>
            <w:tabs>
              <w:tab w:val="right" w:pos="8838"/>
            </w:tabs>
            <w:ind w:left="-108" w:right="-105"/>
            <w:rPr>
              <w:b/>
            </w:rPr>
          </w:pPr>
          <w:r>
            <w:rPr>
              <w:b/>
            </w:rPr>
            <w:t>Sujeto Obligado:</w:t>
          </w:r>
        </w:p>
      </w:tc>
      <w:tc>
        <w:tcPr>
          <w:tcW w:w="3153" w:type="dxa"/>
        </w:tcPr>
        <w:p w14:paraId="5E8EDD75" w14:textId="77777777" w:rsidR="00853BE8" w:rsidRDefault="00FE6B29">
          <w:pPr>
            <w:tabs>
              <w:tab w:val="right" w:pos="8838"/>
            </w:tabs>
            <w:ind w:left="-108" w:right="-108"/>
          </w:pPr>
          <w:r>
            <w:t>Sistema Municipal Para el Desarrollo Integral de la Familia de Toluca</w:t>
          </w:r>
        </w:p>
      </w:tc>
    </w:tr>
    <w:tr w:rsidR="00853BE8" w14:paraId="3186D530" w14:textId="77777777">
      <w:trPr>
        <w:trHeight w:val="291"/>
      </w:trPr>
      <w:tc>
        <w:tcPr>
          <w:tcW w:w="2375" w:type="dxa"/>
        </w:tcPr>
        <w:p w14:paraId="14B8E17A" w14:textId="77777777" w:rsidR="00853BE8" w:rsidRDefault="00FE6B29">
          <w:pPr>
            <w:tabs>
              <w:tab w:val="right" w:pos="8838"/>
            </w:tabs>
            <w:ind w:left="-108" w:right="-105"/>
            <w:rPr>
              <w:b/>
            </w:rPr>
          </w:pPr>
          <w:r>
            <w:rPr>
              <w:b/>
            </w:rPr>
            <w:t>Comisionado Ponente:</w:t>
          </w:r>
        </w:p>
      </w:tc>
      <w:tc>
        <w:tcPr>
          <w:tcW w:w="3153" w:type="dxa"/>
        </w:tcPr>
        <w:p w14:paraId="13AEBC9F" w14:textId="77777777" w:rsidR="00853BE8" w:rsidRDefault="00FE6B29">
          <w:pPr>
            <w:tabs>
              <w:tab w:val="right" w:pos="8838"/>
            </w:tabs>
            <w:ind w:left="-108" w:right="-170"/>
            <w:rPr>
              <w:b/>
            </w:rPr>
          </w:pPr>
          <w:r>
            <w:t>Luis Gustavo Parra Noriega</w:t>
          </w:r>
        </w:p>
      </w:tc>
    </w:tr>
  </w:tbl>
  <w:p w14:paraId="1CAD5979" w14:textId="77777777" w:rsidR="00853BE8" w:rsidRDefault="00000000">
    <w:pPr>
      <w:pBdr>
        <w:top w:val="nil"/>
        <w:left w:val="nil"/>
        <w:bottom w:val="nil"/>
        <w:right w:val="nil"/>
        <w:between w:val="nil"/>
      </w:pBdr>
      <w:tabs>
        <w:tab w:val="center" w:pos="4419"/>
        <w:tab w:val="right" w:pos="8838"/>
        <w:tab w:val="right" w:pos="8931"/>
      </w:tabs>
      <w:spacing w:after="0" w:line="240" w:lineRule="auto"/>
      <w:rPr>
        <w:color w:val="000000"/>
      </w:rPr>
    </w:pPr>
    <w:r>
      <w:rPr>
        <w:color w:val="000000"/>
      </w:rPr>
      <w:pict w14:anchorId="7FBC6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r w:rsidR="00FE6B29">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4D58" w14:textId="77777777" w:rsidR="00853BE8" w:rsidRDefault="00853BE8">
    <w:pPr>
      <w:widowControl w:val="0"/>
      <w:pBdr>
        <w:top w:val="nil"/>
        <w:left w:val="nil"/>
        <w:bottom w:val="nil"/>
        <w:right w:val="nil"/>
        <w:between w:val="nil"/>
      </w:pBdr>
      <w:spacing w:after="0" w:line="276" w:lineRule="auto"/>
      <w:jc w:val="left"/>
      <w:rPr>
        <w:color w:val="000000"/>
      </w:rPr>
    </w:pPr>
  </w:p>
  <w:tbl>
    <w:tblPr>
      <w:tblStyle w:val="a1"/>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95"/>
      <w:gridCol w:w="3317"/>
    </w:tblGrid>
    <w:tr w:rsidR="00853BE8" w14:paraId="04992163" w14:textId="77777777">
      <w:trPr>
        <w:trHeight w:val="132"/>
      </w:trPr>
      <w:tc>
        <w:tcPr>
          <w:tcW w:w="2495" w:type="dxa"/>
        </w:tcPr>
        <w:p w14:paraId="724DE2A9" w14:textId="77777777" w:rsidR="00853BE8" w:rsidRDefault="00FE6B29">
          <w:pPr>
            <w:tabs>
              <w:tab w:val="right" w:pos="8838"/>
            </w:tabs>
            <w:ind w:right="-105"/>
            <w:rPr>
              <w:b/>
            </w:rPr>
          </w:pPr>
          <w:r>
            <w:rPr>
              <w:b/>
            </w:rPr>
            <w:t>Recurso de Revisión:</w:t>
          </w:r>
        </w:p>
      </w:tc>
      <w:tc>
        <w:tcPr>
          <w:tcW w:w="3317" w:type="dxa"/>
        </w:tcPr>
        <w:p w14:paraId="30FD685A" w14:textId="77777777" w:rsidR="00853BE8" w:rsidRDefault="00FE6B29">
          <w:pPr>
            <w:tabs>
              <w:tab w:val="right" w:pos="8838"/>
            </w:tabs>
            <w:ind w:right="-32"/>
          </w:pPr>
          <w:r>
            <w:t>00366/INFOEM/IP/RR/2025</w:t>
          </w:r>
        </w:p>
      </w:tc>
    </w:tr>
    <w:tr w:rsidR="00853BE8" w14:paraId="2144C3FC" w14:textId="77777777">
      <w:trPr>
        <w:trHeight w:val="132"/>
      </w:trPr>
      <w:tc>
        <w:tcPr>
          <w:tcW w:w="2495" w:type="dxa"/>
          <w:shd w:val="clear" w:color="auto" w:fill="auto"/>
        </w:tcPr>
        <w:p w14:paraId="01A27A88" w14:textId="77777777" w:rsidR="00853BE8" w:rsidRDefault="00FE6B29">
          <w:pPr>
            <w:tabs>
              <w:tab w:val="left" w:pos="1875"/>
            </w:tabs>
            <w:ind w:right="-105"/>
            <w:rPr>
              <w:b/>
            </w:rPr>
          </w:pPr>
          <w:r>
            <w:rPr>
              <w:b/>
            </w:rPr>
            <w:t>Recurrente:</w:t>
          </w:r>
          <w:r>
            <w:rPr>
              <w:b/>
            </w:rPr>
            <w:tab/>
          </w:r>
        </w:p>
      </w:tc>
      <w:tc>
        <w:tcPr>
          <w:tcW w:w="3317" w:type="dxa"/>
          <w:shd w:val="clear" w:color="auto" w:fill="auto"/>
        </w:tcPr>
        <w:p w14:paraId="51436349" w14:textId="1CFB0596" w:rsidR="00853BE8" w:rsidRDefault="00037F53">
          <w:pPr>
            <w:tabs>
              <w:tab w:val="right" w:pos="8838"/>
            </w:tabs>
          </w:pPr>
          <w:r w:rsidRPr="00037F53">
            <w:rPr>
              <w:highlight w:val="black"/>
            </w:rPr>
            <w:t>XXXXXXXXXXXXXX</w:t>
          </w:r>
        </w:p>
      </w:tc>
    </w:tr>
    <w:tr w:rsidR="00853BE8" w14:paraId="3DED22C4" w14:textId="77777777">
      <w:trPr>
        <w:trHeight w:val="261"/>
      </w:trPr>
      <w:tc>
        <w:tcPr>
          <w:tcW w:w="2495" w:type="dxa"/>
        </w:tcPr>
        <w:p w14:paraId="661F5F08" w14:textId="77777777" w:rsidR="00853BE8" w:rsidRDefault="00FE6B29">
          <w:pPr>
            <w:tabs>
              <w:tab w:val="right" w:pos="8838"/>
            </w:tabs>
            <w:ind w:right="-105"/>
            <w:rPr>
              <w:b/>
            </w:rPr>
          </w:pPr>
          <w:r>
            <w:rPr>
              <w:b/>
            </w:rPr>
            <w:t>Sujeto Obligado:</w:t>
          </w:r>
        </w:p>
      </w:tc>
      <w:tc>
        <w:tcPr>
          <w:tcW w:w="3317" w:type="dxa"/>
        </w:tcPr>
        <w:p w14:paraId="5C8D907E" w14:textId="77777777" w:rsidR="00853BE8" w:rsidRDefault="00FE6B29">
          <w:pPr>
            <w:tabs>
              <w:tab w:val="right" w:pos="8838"/>
            </w:tabs>
            <w:ind w:right="-32"/>
          </w:pPr>
          <w:r>
            <w:t>Sistema Municipal Para el Desarrollo Integral de la Familia de Toluca</w:t>
          </w:r>
        </w:p>
      </w:tc>
    </w:tr>
    <w:tr w:rsidR="00853BE8" w14:paraId="2664EC53" w14:textId="77777777">
      <w:trPr>
        <w:trHeight w:val="261"/>
      </w:trPr>
      <w:tc>
        <w:tcPr>
          <w:tcW w:w="2495" w:type="dxa"/>
        </w:tcPr>
        <w:p w14:paraId="4D5B8FBF" w14:textId="77777777" w:rsidR="00853BE8" w:rsidRDefault="00FE6B29">
          <w:pPr>
            <w:tabs>
              <w:tab w:val="right" w:pos="8838"/>
            </w:tabs>
            <w:ind w:right="-105"/>
            <w:rPr>
              <w:b/>
            </w:rPr>
          </w:pPr>
          <w:r>
            <w:rPr>
              <w:b/>
            </w:rPr>
            <w:t>Comisionado Ponente:</w:t>
          </w:r>
        </w:p>
      </w:tc>
      <w:tc>
        <w:tcPr>
          <w:tcW w:w="3317" w:type="dxa"/>
        </w:tcPr>
        <w:p w14:paraId="4CA6645C" w14:textId="77777777" w:rsidR="00853BE8" w:rsidRDefault="00FE6B29">
          <w:pPr>
            <w:tabs>
              <w:tab w:val="right" w:pos="8838"/>
            </w:tabs>
            <w:ind w:right="-32"/>
            <w:rPr>
              <w:b/>
            </w:rPr>
          </w:pPr>
          <w:r>
            <w:t>Luis Gustavo Parra Noriega</w:t>
          </w:r>
        </w:p>
      </w:tc>
    </w:tr>
  </w:tbl>
  <w:p w14:paraId="08CAE9E6" w14:textId="77777777" w:rsidR="00853BE8"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7ACDC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89.1pt;margin-top:-123.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57B6D"/>
    <w:multiLevelType w:val="multilevel"/>
    <w:tmpl w:val="CBE0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057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E8"/>
    <w:rsid w:val="00037F53"/>
    <w:rsid w:val="001C71B2"/>
    <w:rsid w:val="002A28CF"/>
    <w:rsid w:val="006E5D1B"/>
    <w:rsid w:val="00853BE8"/>
    <w:rsid w:val="00A5705F"/>
    <w:rsid w:val="00B731A9"/>
    <w:rsid w:val="00F4506E"/>
    <w:rsid w:val="00FE6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925F"/>
  <w15:docId w15:val="{292D0BB1-37AD-4850-839F-B90A6FF3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DC5"/>
    <w:rPr>
      <w:color w:val="000000" w:themeColor="text1"/>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5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rPr>
  </w:style>
  <w:style w:type="paragraph" w:styleId="TtuloTDC">
    <w:name w:val="TOC Heading"/>
    <w:basedOn w:val="Ttulo1"/>
    <w:next w:val="Normal"/>
    <w:uiPriority w:val="39"/>
    <w:unhideWhenUsed/>
    <w:qFormat/>
    <w:rsid w:val="00076681"/>
    <w:pPr>
      <w:jc w:val="left"/>
      <w:outlineLvl w:val="9"/>
    </w:p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ezUyhL2fmrsVOe4qkNwOrp+Vw==">CgMxLjAyCGguZ2pkZ3hzMgloLjMwajB6bGwyCWguMWZvYjl0ZTIJaC4zem55c2g3MgloLjJldDkycDAyCGgudHlqY3d0MgloLjNkeTZ2a20yCWguMXQzaDVzZjIJaC40ZDM0b2c4MgloLjJzOGV5bzEyCWguMTdkcDh2dTIJaC4zcmRjcmpuMgloLjI2aW4xcmcyCGgubG54Yno5MgloLjM1bmt1bjIyCWguMWtzdjR1djIJaC40NHNpbmlvOAByITFmOFpVZFlEQnAzR3Y5ZUdhTUZvM1BLV0ZYc1NMaVFs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2860</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DANIEL ORDONEZ</cp:lastModifiedBy>
  <cp:revision>4</cp:revision>
  <cp:lastPrinted>2025-02-21T16:34:00Z</cp:lastPrinted>
  <dcterms:created xsi:type="dcterms:W3CDTF">2025-02-21T16:34:00Z</dcterms:created>
  <dcterms:modified xsi:type="dcterms:W3CDTF">2025-02-25T18:01:00Z</dcterms:modified>
</cp:coreProperties>
</file>