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0"/>
          <w:szCs w:val="20"/>
        </w:rPr>
        <w:id w:val="-1464809411"/>
        <w:docPartObj>
          <w:docPartGallery w:val="Table of Contents"/>
          <w:docPartUnique/>
        </w:docPartObj>
      </w:sdtPr>
      <w:sdtEndPr>
        <w:rPr>
          <w:b/>
          <w:bCs/>
          <w:sz w:val="22"/>
          <w:szCs w:val="22"/>
        </w:rPr>
      </w:sdtEndPr>
      <w:sdtContent>
        <w:p w14:paraId="7F5B5664" w14:textId="7A3813B2" w:rsidR="002F3942" w:rsidRPr="00594F7D" w:rsidRDefault="002F3942" w:rsidP="00594F7D">
          <w:pPr>
            <w:pStyle w:val="TtulodeTDC"/>
            <w:spacing w:before="0" w:line="240" w:lineRule="auto"/>
            <w:rPr>
              <w:color w:val="auto"/>
              <w:sz w:val="36"/>
              <w:szCs w:val="20"/>
            </w:rPr>
          </w:pPr>
          <w:r w:rsidRPr="00594F7D">
            <w:rPr>
              <w:color w:val="auto"/>
              <w:sz w:val="36"/>
              <w:szCs w:val="20"/>
            </w:rPr>
            <w:t>Contenido</w:t>
          </w:r>
        </w:p>
        <w:p w14:paraId="4257C698" w14:textId="0AF8A1ED" w:rsidR="00594F7D" w:rsidRPr="00594F7D" w:rsidRDefault="002F3942" w:rsidP="00594F7D">
          <w:pPr>
            <w:pStyle w:val="TDC1"/>
            <w:tabs>
              <w:tab w:val="right" w:leader="dot" w:pos="9034"/>
            </w:tabs>
            <w:rPr>
              <w:rFonts w:asciiTheme="minorHAnsi" w:eastAsiaTheme="minorEastAsia" w:hAnsiTheme="minorHAnsi" w:cstheme="minorBidi"/>
              <w:noProof/>
            </w:rPr>
          </w:pPr>
          <w:r w:rsidRPr="00594F7D">
            <w:rPr>
              <w:sz w:val="20"/>
              <w:szCs w:val="20"/>
            </w:rPr>
            <w:fldChar w:fldCharType="begin"/>
          </w:r>
          <w:r w:rsidRPr="00594F7D">
            <w:rPr>
              <w:sz w:val="20"/>
              <w:szCs w:val="20"/>
            </w:rPr>
            <w:instrText xml:space="preserve"> TOC \o "1-3" \h \z \u </w:instrText>
          </w:r>
          <w:r w:rsidRPr="00594F7D">
            <w:rPr>
              <w:sz w:val="20"/>
              <w:szCs w:val="20"/>
            </w:rPr>
            <w:fldChar w:fldCharType="separate"/>
          </w:r>
          <w:hyperlink w:anchor="_Toc206616075" w:history="1">
            <w:r w:rsidR="00594F7D" w:rsidRPr="00594F7D">
              <w:rPr>
                <w:rStyle w:val="Hipervnculo"/>
                <w:noProof/>
                <w:color w:val="auto"/>
              </w:rPr>
              <w:t>ANTECEDENTES</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_Toc206616075 \h </w:instrText>
            </w:r>
            <w:r w:rsidR="00594F7D" w:rsidRPr="00594F7D">
              <w:rPr>
                <w:noProof/>
                <w:webHidden/>
              </w:rPr>
            </w:r>
            <w:r w:rsidR="00594F7D" w:rsidRPr="00594F7D">
              <w:rPr>
                <w:noProof/>
                <w:webHidden/>
              </w:rPr>
              <w:fldChar w:fldCharType="separate"/>
            </w:r>
            <w:r w:rsidR="003F37BF">
              <w:rPr>
                <w:noProof/>
                <w:webHidden/>
              </w:rPr>
              <w:t>1</w:t>
            </w:r>
            <w:r w:rsidR="00594F7D" w:rsidRPr="00594F7D">
              <w:rPr>
                <w:noProof/>
                <w:webHidden/>
              </w:rPr>
              <w:fldChar w:fldCharType="end"/>
            </w:r>
          </w:hyperlink>
        </w:p>
        <w:p w14:paraId="3C6A9128" w14:textId="1F73E95B" w:rsidR="00594F7D" w:rsidRPr="00594F7D" w:rsidRDefault="003F37BF" w:rsidP="00594F7D">
          <w:pPr>
            <w:pStyle w:val="TDC2"/>
            <w:tabs>
              <w:tab w:val="right" w:leader="dot" w:pos="9034"/>
            </w:tabs>
            <w:rPr>
              <w:rFonts w:asciiTheme="minorHAnsi" w:eastAsiaTheme="minorEastAsia" w:hAnsiTheme="minorHAnsi" w:cstheme="minorBidi"/>
              <w:noProof/>
            </w:rPr>
          </w:pPr>
          <w:hyperlink w:anchor="_Toc206616076" w:history="1">
            <w:r w:rsidR="00594F7D" w:rsidRPr="00594F7D">
              <w:rPr>
                <w:rStyle w:val="Hipervnculo"/>
                <w:noProof/>
                <w:color w:val="auto"/>
              </w:rPr>
              <w:t>DE LA SOLICITUD DE INFORMACIÓN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_Toc206616076 \h </w:instrText>
            </w:r>
            <w:r w:rsidR="00594F7D" w:rsidRPr="00594F7D">
              <w:rPr>
                <w:noProof/>
                <w:webHidden/>
              </w:rPr>
            </w:r>
            <w:r w:rsidR="00594F7D" w:rsidRPr="00594F7D">
              <w:rPr>
                <w:noProof/>
                <w:webHidden/>
              </w:rPr>
              <w:fldChar w:fldCharType="separate"/>
            </w:r>
            <w:r>
              <w:rPr>
                <w:noProof/>
                <w:webHidden/>
              </w:rPr>
              <w:t>1</w:t>
            </w:r>
            <w:r w:rsidR="00594F7D" w:rsidRPr="00594F7D">
              <w:rPr>
                <w:noProof/>
                <w:webHidden/>
              </w:rPr>
              <w:fldChar w:fldCharType="end"/>
            </w:r>
          </w:hyperlink>
        </w:p>
        <w:p w14:paraId="5F4F8080" w14:textId="147BF232"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77" w:history="1">
            <w:r w:rsidR="00594F7D" w:rsidRPr="00594F7D">
              <w:rPr>
                <w:rStyle w:val="Hipervnculo"/>
                <w:noProof/>
                <w:color w:val="auto"/>
              </w:rPr>
              <w:t>a) Solicitud de información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_Toc206616077 \h </w:instrText>
            </w:r>
            <w:r w:rsidR="00594F7D" w:rsidRPr="00594F7D">
              <w:rPr>
                <w:noProof/>
                <w:webHidden/>
              </w:rPr>
            </w:r>
            <w:r w:rsidR="00594F7D" w:rsidRPr="00594F7D">
              <w:rPr>
                <w:noProof/>
                <w:webHidden/>
              </w:rPr>
              <w:fldChar w:fldCharType="separate"/>
            </w:r>
            <w:r>
              <w:rPr>
                <w:noProof/>
                <w:webHidden/>
              </w:rPr>
              <w:t>1</w:t>
            </w:r>
            <w:r w:rsidR="00594F7D" w:rsidRPr="00594F7D">
              <w:rPr>
                <w:noProof/>
                <w:webHidden/>
              </w:rPr>
              <w:fldChar w:fldCharType="end"/>
            </w:r>
          </w:hyperlink>
        </w:p>
        <w:p w14:paraId="08018798" w14:textId="1DE0A3BE"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78" w:history="1">
            <w:r w:rsidR="00594F7D" w:rsidRPr="00594F7D">
              <w:rPr>
                <w:rStyle w:val="Hipervnculo"/>
                <w:noProof/>
                <w:color w:val="auto"/>
              </w:rPr>
              <w:t>b) Turno de la solicitud de información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_Toc206616078 \h </w:instrText>
            </w:r>
            <w:r w:rsidR="00594F7D" w:rsidRPr="00594F7D">
              <w:rPr>
                <w:noProof/>
                <w:webHidden/>
              </w:rPr>
            </w:r>
            <w:r w:rsidR="00594F7D" w:rsidRPr="00594F7D">
              <w:rPr>
                <w:noProof/>
                <w:webHidden/>
              </w:rPr>
              <w:fldChar w:fldCharType="separate"/>
            </w:r>
            <w:r>
              <w:rPr>
                <w:noProof/>
                <w:webHidden/>
              </w:rPr>
              <w:t>2</w:t>
            </w:r>
            <w:r w:rsidR="00594F7D" w:rsidRPr="00594F7D">
              <w:rPr>
                <w:noProof/>
                <w:webHidden/>
              </w:rPr>
              <w:fldChar w:fldCharType="end"/>
            </w:r>
          </w:hyperlink>
        </w:p>
        <w:p w14:paraId="3DBB8492" w14:textId="456EAA4A"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79" w:history="1">
            <w:r w:rsidR="00594F7D" w:rsidRPr="00594F7D">
              <w:rPr>
                <w:rStyle w:val="Hipervnculo"/>
                <w:noProof/>
                <w:color w:val="auto"/>
              </w:rPr>
              <w:t>c) De la Solicitud de Aclaración.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_Toc206616079 \h </w:instrText>
            </w:r>
            <w:r w:rsidR="00594F7D" w:rsidRPr="00594F7D">
              <w:rPr>
                <w:noProof/>
                <w:webHidden/>
              </w:rPr>
            </w:r>
            <w:r w:rsidR="00594F7D" w:rsidRPr="00594F7D">
              <w:rPr>
                <w:noProof/>
                <w:webHidden/>
              </w:rPr>
              <w:fldChar w:fldCharType="separate"/>
            </w:r>
            <w:r>
              <w:rPr>
                <w:noProof/>
                <w:webHidden/>
              </w:rPr>
              <w:t>2</w:t>
            </w:r>
            <w:r w:rsidR="00594F7D" w:rsidRPr="00594F7D">
              <w:rPr>
                <w:noProof/>
                <w:webHidden/>
              </w:rPr>
              <w:fldChar w:fldCharType="end"/>
            </w:r>
          </w:hyperlink>
        </w:p>
        <w:p w14:paraId="5DD9B146" w14:textId="4C74EB4A"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0" w:history="1">
            <w:r w:rsidR="00594F7D" w:rsidRPr="00594F7D">
              <w:rPr>
                <w:rStyle w:val="Hipervnculo"/>
                <w:noProof/>
                <w:color w:val="auto"/>
              </w:rPr>
              <w:t>d) Del Desahogo de la Solicitud de Aclaración.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_Toc206616080 \h </w:instrText>
            </w:r>
            <w:r w:rsidR="00594F7D" w:rsidRPr="00594F7D">
              <w:rPr>
                <w:noProof/>
                <w:webHidden/>
              </w:rPr>
            </w:r>
            <w:r w:rsidR="00594F7D" w:rsidRPr="00594F7D">
              <w:rPr>
                <w:noProof/>
                <w:webHidden/>
              </w:rPr>
              <w:fldChar w:fldCharType="separate"/>
            </w:r>
            <w:r>
              <w:rPr>
                <w:noProof/>
                <w:webHidden/>
              </w:rPr>
              <w:t>3</w:t>
            </w:r>
            <w:r w:rsidR="00594F7D" w:rsidRPr="00594F7D">
              <w:rPr>
                <w:noProof/>
                <w:webHidden/>
              </w:rPr>
              <w:fldChar w:fldCharType="end"/>
            </w:r>
          </w:hyperlink>
        </w:p>
        <w:p w14:paraId="0372BB47" w14:textId="6424694D"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1" w:history="1">
            <w:r w:rsidR="00594F7D" w:rsidRPr="00594F7D">
              <w:rPr>
                <w:rStyle w:val="Hipervnculo"/>
                <w:noProof/>
                <w:color w:val="auto"/>
              </w:rPr>
              <w:t>e) Respuesta del Sujeto Obligado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_Toc206616081 \h </w:instrText>
            </w:r>
            <w:r w:rsidR="00594F7D" w:rsidRPr="00594F7D">
              <w:rPr>
                <w:noProof/>
                <w:webHidden/>
              </w:rPr>
            </w:r>
            <w:r w:rsidR="00594F7D" w:rsidRPr="00594F7D">
              <w:rPr>
                <w:noProof/>
                <w:webHidden/>
              </w:rPr>
              <w:fldChar w:fldCharType="separate"/>
            </w:r>
            <w:r>
              <w:rPr>
                <w:noProof/>
                <w:webHidden/>
              </w:rPr>
              <w:t>3</w:t>
            </w:r>
            <w:r w:rsidR="00594F7D" w:rsidRPr="00594F7D">
              <w:rPr>
                <w:noProof/>
                <w:webHidden/>
              </w:rPr>
              <w:fldChar w:fldCharType="end"/>
            </w:r>
          </w:hyperlink>
        </w:p>
        <w:p w14:paraId="63873509" w14:textId="329C0746" w:rsidR="00594F7D" w:rsidRPr="00594F7D" w:rsidRDefault="003F37BF" w:rsidP="00594F7D">
          <w:pPr>
            <w:pStyle w:val="TDC2"/>
            <w:tabs>
              <w:tab w:val="right" w:leader="dot" w:pos="9034"/>
            </w:tabs>
            <w:rPr>
              <w:rFonts w:asciiTheme="minorHAnsi" w:eastAsiaTheme="minorEastAsia" w:hAnsiTheme="minorHAnsi" w:cstheme="minorBidi"/>
              <w:noProof/>
            </w:rPr>
          </w:pPr>
          <w:hyperlink w:anchor="_Toc206616082" w:history="1">
            <w:r w:rsidR="00594F7D" w:rsidRPr="00594F7D">
              <w:rPr>
                <w:rStyle w:val="Hipervnculo"/>
                <w:noProof/>
                <w:color w:val="auto"/>
              </w:rPr>
              <w:t>DEL RECURSO DE REVISIÓN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_Toc206616082 \h </w:instrText>
            </w:r>
            <w:r w:rsidR="00594F7D" w:rsidRPr="00594F7D">
              <w:rPr>
                <w:noProof/>
                <w:webHidden/>
              </w:rPr>
            </w:r>
            <w:r w:rsidR="00594F7D" w:rsidRPr="00594F7D">
              <w:rPr>
                <w:noProof/>
                <w:webHidden/>
              </w:rPr>
              <w:fldChar w:fldCharType="separate"/>
            </w:r>
            <w:r>
              <w:rPr>
                <w:noProof/>
                <w:webHidden/>
              </w:rPr>
              <w:t>5</w:t>
            </w:r>
            <w:r w:rsidR="00594F7D" w:rsidRPr="00594F7D">
              <w:rPr>
                <w:noProof/>
                <w:webHidden/>
              </w:rPr>
              <w:fldChar w:fldCharType="end"/>
            </w:r>
          </w:hyperlink>
        </w:p>
        <w:p w14:paraId="550A747B" w14:textId="5A0371CD"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3" w:history="1">
            <w:r w:rsidR="00594F7D" w:rsidRPr="00594F7D">
              <w:rPr>
                <w:rStyle w:val="Hipervnculo"/>
                <w:noProof/>
                <w:color w:val="auto"/>
              </w:rPr>
              <w:t>a) Interposición del Recurso de Revisión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_Toc206616083 \h </w:instrText>
            </w:r>
            <w:r w:rsidR="00594F7D" w:rsidRPr="00594F7D">
              <w:rPr>
                <w:noProof/>
                <w:webHidden/>
              </w:rPr>
            </w:r>
            <w:r w:rsidR="00594F7D" w:rsidRPr="00594F7D">
              <w:rPr>
                <w:noProof/>
                <w:webHidden/>
              </w:rPr>
              <w:fldChar w:fldCharType="separate"/>
            </w:r>
            <w:r>
              <w:rPr>
                <w:noProof/>
                <w:webHidden/>
              </w:rPr>
              <w:t>5</w:t>
            </w:r>
            <w:r w:rsidR="00594F7D" w:rsidRPr="00594F7D">
              <w:rPr>
                <w:noProof/>
                <w:webHidden/>
              </w:rPr>
              <w:fldChar w:fldCharType="end"/>
            </w:r>
          </w:hyperlink>
        </w:p>
        <w:p w14:paraId="0D238733" w14:textId="2049427A"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4" w:history="1">
            <w:r w:rsidR="00594F7D" w:rsidRPr="00594F7D">
              <w:rPr>
                <w:rStyle w:val="Hipervnculo"/>
                <w:noProof/>
                <w:color w:val="auto"/>
              </w:rPr>
              <w:t>b) Turno del Recurso de Revisión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_Toc206616084 \h </w:instrText>
            </w:r>
            <w:r w:rsidR="00594F7D" w:rsidRPr="00594F7D">
              <w:rPr>
                <w:noProof/>
                <w:webHidden/>
              </w:rPr>
            </w:r>
            <w:r w:rsidR="00594F7D" w:rsidRPr="00594F7D">
              <w:rPr>
                <w:noProof/>
                <w:webHidden/>
              </w:rPr>
              <w:fldChar w:fldCharType="separate"/>
            </w:r>
            <w:r>
              <w:rPr>
                <w:noProof/>
                <w:webHidden/>
              </w:rPr>
              <w:t>6</w:t>
            </w:r>
            <w:r w:rsidR="00594F7D" w:rsidRPr="00594F7D">
              <w:rPr>
                <w:noProof/>
                <w:webHidden/>
              </w:rPr>
              <w:fldChar w:fldCharType="end"/>
            </w:r>
          </w:hyperlink>
        </w:p>
        <w:p w14:paraId="27067450" w14:textId="405A9518"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5" w:history="1">
            <w:r w:rsidR="00594F7D" w:rsidRPr="00594F7D">
              <w:rPr>
                <w:rStyle w:val="Hipervnculo"/>
                <w:noProof/>
                <w:color w:val="auto"/>
              </w:rPr>
              <w:t>c) Admisión del Recurso de Revisión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_Toc206616085 \h </w:instrText>
            </w:r>
            <w:r w:rsidR="00594F7D" w:rsidRPr="00594F7D">
              <w:rPr>
                <w:noProof/>
                <w:webHidden/>
              </w:rPr>
            </w:r>
            <w:r w:rsidR="00594F7D" w:rsidRPr="00594F7D">
              <w:rPr>
                <w:noProof/>
                <w:webHidden/>
              </w:rPr>
              <w:fldChar w:fldCharType="separate"/>
            </w:r>
            <w:r>
              <w:rPr>
                <w:noProof/>
                <w:webHidden/>
              </w:rPr>
              <w:t>6</w:t>
            </w:r>
            <w:r w:rsidR="00594F7D" w:rsidRPr="00594F7D">
              <w:rPr>
                <w:noProof/>
                <w:webHidden/>
              </w:rPr>
              <w:fldChar w:fldCharType="end"/>
            </w:r>
          </w:hyperlink>
        </w:p>
        <w:p w14:paraId="3DA8F129" w14:textId="33591E54"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6" w:history="1">
            <w:r w:rsidR="00594F7D" w:rsidRPr="00594F7D">
              <w:rPr>
                <w:rStyle w:val="Hipervnculo"/>
                <w:noProof/>
                <w:color w:val="auto"/>
              </w:rPr>
              <w:t>d) Informe Justificado del Sujeto Obligado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_Toc206616086 \h </w:instrText>
            </w:r>
            <w:r w:rsidR="00594F7D" w:rsidRPr="00594F7D">
              <w:rPr>
                <w:noProof/>
                <w:webHidden/>
              </w:rPr>
            </w:r>
            <w:r w:rsidR="00594F7D" w:rsidRPr="00594F7D">
              <w:rPr>
                <w:noProof/>
                <w:webHidden/>
              </w:rPr>
              <w:fldChar w:fldCharType="separate"/>
            </w:r>
            <w:r>
              <w:rPr>
                <w:noProof/>
                <w:webHidden/>
              </w:rPr>
              <w:t>6</w:t>
            </w:r>
            <w:r w:rsidR="00594F7D" w:rsidRPr="00594F7D">
              <w:rPr>
                <w:noProof/>
                <w:webHidden/>
              </w:rPr>
              <w:fldChar w:fldCharType="end"/>
            </w:r>
          </w:hyperlink>
        </w:p>
        <w:p w14:paraId="15389268" w14:textId="720DA7FB"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7" w:history="1">
            <w:r w:rsidR="00594F7D" w:rsidRPr="00594F7D">
              <w:rPr>
                <w:rStyle w:val="Hipervnculo"/>
                <w:noProof/>
                <w:color w:val="auto"/>
              </w:rPr>
              <w:t>e) Manifestaciones de la Parte Recurrente</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_Toc206616087 \h </w:instrText>
            </w:r>
            <w:r w:rsidR="00594F7D" w:rsidRPr="00594F7D">
              <w:rPr>
                <w:noProof/>
                <w:webHidden/>
              </w:rPr>
            </w:r>
            <w:r w:rsidR="00594F7D" w:rsidRPr="00594F7D">
              <w:rPr>
                <w:noProof/>
                <w:webHidden/>
              </w:rPr>
              <w:fldChar w:fldCharType="separate"/>
            </w:r>
            <w:r>
              <w:rPr>
                <w:noProof/>
                <w:webHidden/>
              </w:rPr>
              <w:t>7</w:t>
            </w:r>
            <w:r w:rsidR="00594F7D" w:rsidRPr="00594F7D">
              <w:rPr>
                <w:noProof/>
                <w:webHidden/>
              </w:rPr>
              <w:fldChar w:fldCharType="end"/>
            </w:r>
          </w:hyperlink>
        </w:p>
        <w:p w14:paraId="36555176" w14:textId="6099F201"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8" w:history="1">
            <w:r w:rsidR="00594F7D" w:rsidRPr="00594F7D">
              <w:rPr>
                <w:rStyle w:val="Hipervnculo"/>
                <w:noProof/>
                <w:color w:val="auto"/>
              </w:rPr>
              <w:t>f) Ampliación de Plazo para Resolver</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_Toc206616088 \h </w:instrText>
            </w:r>
            <w:r w:rsidR="00594F7D" w:rsidRPr="00594F7D">
              <w:rPr>
                <w:noProof/>
                <w:webHidden/>
              </w:rPr>
            </w:r>
            <w:r w:rsidR="00594F7D" w:rsidRPr="00594F7D">
              <w:rPr>
                <w:noProof/>
                <w:webHidden/>
              </w:rPr>
              <w:fldChar w:fldCharType="separate"/>
            </w:r>
            <w:r>
              <w:rPr>
                <w:noProof/>
                <w:webHidden/>
              </w:rPr>
              <w:t>7</w:t>
            </w:r>
            <w:r w:rsidR="00594F7D" w:rsidRPr="00594F7D">
              <w:rPr>
                <w:noProof/>
                <w:webHidden/>
              </w:rPr>
              <w:fldChar w:fldCharType="end"/>
            </w:r>
          </w:hyperlink>
        </w:p>
        <w:p w14:paraId="0222DFC2" w14:textId="168CFA05"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89" w:history="1">
            <w:r w:rsidR="00594F7D" w:rsidRPr="00594F7D">
              <w:rPr>
                <w:rStyle w:val="Hipervnculo"/>
                <w:noProof/>
                <w:color w:val="auto"/>
              </w:rPr>
              <w:t>g) Cierre de instrucción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_Toc206616089 \h </w:instrText>
            </w:r>
            <w:r w:rsidR="00594F7D" w:rsidRPr="00594F7D">
              <w:rPr>
                <w:noProof/>
                <w:webHidden/>
              </w:rPr>
            </w:r>
            <w:r w:rsidR="00594F7D" w:rsidRPr="00594F7D">
              <w:rPr>
                <w:noProof/>
                <w:webHidden/>
              </w:rPr>
              <w:fldChar w:fldCharType="separate"/>
            </w:r>
            <w:r>
              <w:rPr>
                <w:noProof/>
                <w:webHidden/>
              </w:rPr>
              <w:t>7</w:t>
            </w:r>
            <w:r w:rsidR="00594F7D" w:rsidRPr="00594F7D">
              <w:rPr>
                <w:noProof/>
                <w:webHidden/>
              </w:rPr>
              <w:fldChar w:fldCharType="end"/>
            </w:r>
          </w:hyperlink>
        </w:p>
        <w:p w14:paraId="0EEEB852" w14:textId="07E06829" w:rsidR="00594F7D" w:rsidRPr="00594F7D" w:rsidRDefault="003F37BF" w:rsidP="00594F7D">
          <w:pPr>
            <w:pStyle w:val="TDC1"/>
            <w:tabs>
              <w:tab w:val="right" w:leader="dot" w:pos="9034"/>
            </w:tabs>
            <w:rPr>
              <w:rFonts w:asciiTheme="minorHAnsi" w:eastAsiaTheme="minorEastAsia" w:hAnsiTheme="minorHAnsi" w:cstheme="minorBidi"/>
              <w:noProof/>
            </w:rPr>
          </w:pPr>
          <w:hyperlink w:anchor="_Toc206616090" w:history="1">
            <w:r w:rsidR="00594F7D" w:rsidRPr="00594F7D">
              <w:rPr>
                <w:rStyle w:val="Hipervnculo"/>
                <w:noProof/>
                <w:color w:val="auto"/>
              </w:rPr>
              <w:t>CONSIDERANDOS</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_Toc206616090 \h </w:instrText>
            </w:r>
            <w:r w:rsidR="00594F7D" w:rsidRPr="00594F7D">
              <w:rPr>
                <w:noProof/>
                <w:webHidden/>
              </w:rPr>
            </w:r>
            <w:r w:rsidR="00594F7D" w:rsidRPr="00594F7D">
              <w:rPr>
                <w:noProof/>
                <w:webHidden/>
              </w:rPr>
              <w:fldChar w:fldCharType="separate"/>
            </w:r>
            <w:r>
              <w:rPr>
                <w:noProof/>
                <w:webHidden/>
              </w:rPr>
              <w:t>8</w:t>
            </w:r>
            <w:r w:rsidR="00594F7D" w:rsidRPr="00594F7D">
              <w:rPr>
                <w:noProof/>
                <w:webHidden/>
              </w:rPr>
              <w:fldChar w:fldCharType="end"/>
            </w:r>
          </w:hyperlink>
        </w:p>
        <w:p w14:paraId="7721E706" w14:textId="32C30716" w:rsidR="00594F7D" w:rsidRPr="00594F7D" w:rsidRDefault="003F37BF" w:rsidP="00594F7D">
          <w:pPr>
            <w:pStyle w:val="TDC2"/>
            <w:tabs>
              <w:tab w:val="right" w:leader="dot" w:pos="9034"/>
            </w:tabs>
            <w:rPr>
              <w:rFonts w:asciiTheme="minorHAnsi" w:eastAsiaTheme="minorEastAsia" w:hAnsiTheme="minorHAnsi" w:cstheme="minorBidi"/>
              <w:noProof/>
            </w:rPr>
          </w:pPr>
          <w:hyperlink w:anchor="_Toc206616091" w:history="1">
            <w:r w:rsidR="00594F7D" w:rsidRPr="00594F7D">
              <w:rPr>
                <w:rStyle w:val="Hipervnculo"/>
                <w:noProof/>
                <w:color w:val="auto"/>
              </w:rPr>
              <w:t>PRIMERO. Procedibilidad</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_Toc206616091 \h </w:instrText>
            </w:r>
            <w:r w:rsidR="00594F7D" w:rsidRPr="00594F7D">
              <w:rPr>
                <w:noProof/>
                <w:webHidden/>
              </w:rPr>
            </w:r>
            <w:r w:rsidR="00594F7D" w:rsidRPr="00594F7D">
              <w:rPr>
                <w:noProof/>
                <w:webHidden/>
              </w:rPr>
              <w:fldChar w:fldCharType="separate"/>
            </w:r>
            <w:r>
              <w:rPr>
                <w:noProof/>
                <w:webHidden/>
              </w:rPr>
              <w:t>8</w:t>
            </w:r>
            <w:r w:rsidR="00594F7D" w:rsidRPr="00594F7D">
              <w:rPr>
                <w:noProof/>
                <w:webHidden/>
              </w:rPr>
              <w:fldChar w:fldCharType="end"/>
            </w:r>
          </w:hyperlink>
        </w:p>
        <w:p w14:paraId="6AA8BBBA" w14:textId="6B6D9796"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2" w:history="1">
            <w:r w:rsidR="00594F7D" w:rsidRPr="00594F7D">
              <w:rPr>
                <w:rStyle w:val="Hipervnculo"/>
                <w:noProof/>
                <w:color w:val="auto"/>
              </w:rPr>
              <w:t>a) Competencia del Instituto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_Toc206616092 \h </w:instrText>
            </w:r>
            <w:r w:rsidR="00594F7D" w:rsidRPr="00594F7D">
              <w:rPr>
                <w:noProof/>
                <w:webHidden/>
              </w:rPr>
            </w:r>
            <w:r w:rsidR="00594F7D" w:rsidRPr="00594F7D">
              <w:rPr>
                <w:noProof/>
                <w:webHidden/>
              </w:rPr>
              <w:fldChar w:fldCharType="separate"/>
            </w:r>
            <w:r>
              <w:rPr>
                <w:noProof/>
                <w:webHidden/>
              </w:rPr>
              <w:t>8</w:t>
            </w:r>
            <w:r w:rsidR="00594F7D" w:rsidRPr="00594F7D">
              <w:rPr>
                <w:noProof/>
                <w:webHidden/>
              </w:rPr>
              <w:fldChar w:fldCharType="end"/>
            </w:r>
          </w:hyperlink>
        </w:p>
        <w:p w14:paraId="6636B3CC" w14:textId="4C537342"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3" w:history="1">
            <w:r w:rsidR="00594F7D" w:rsidRPr="00594F7D">
              <w:rPr>
                <w:rStyle w:val="Hipervnculo"/>
                <w:noProof/>
                <w:color w:val="auto"/>
              </w:rPr>
              <w:t>b) Legitimidad de la parte recurrente</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_Toc206616093 \h </w:instrText>
            </w:r>
            <w:r w:rsidR="00594F7D" w:rsidRPr="00594F7D">
              <w:rPr>
                <w:noProof/>
                <w:webHidden/>
              </w:rPr>
            </w:r>
            <w:r w:rsidR="00594F7D" w:rsidRPr="00594F7D">
              <w:rPr>
                <w:noProof/>
                <w:webHidden/>
              </w:rPr>
              <w:fldChar w:fldCharType="separate"/>
            </w:r>
            <w:r>
              <w:rPr>
                <w:noProof/>
                <w:webHidden/>
              </w:rPr>
              <w:t>8</w:t>
            </w:r>
            <w:r w:rsidR="00594F7D" w:rsidRPr="00594F7D">
              <w:rPr>
                <w:noProof/>
                <w:webHidden/>
              </w:rPr>
              <w:fldChar w:fldCharType="end"/>
            </w:r>
          </w:hyperlink>
        </w:p>
        <w:p w14:paraId="5B9C8228" w14:textId="37CC2E8E"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4" w:history="1">
            <w:r w:rsidR="00594F7D" w:rsidRPr="00594F7D">
              <w:rPr>
                <w:rStyle w:val="Hipervnculo"/>
                <w:noProof/>
                <w:color w:val="auto"/>
              </w:rPr>
              <w:t>c) Plazo para interponer el recurso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_Toc206616094 \h </w:instrText>
            </w:r>
            <w:r w:rsidR="00594F7D" w:rsidRPr="00594F7D">
              <w:rPr>
                <w:noProof/>
                <w:webHidden/>
              </w:rPr>
            </w:r>
            <w:r w:rsidR="00594F7D" w:rsidRPr="00594F7D">
              <w:rPr>
                <w:noProof/>
                <w:webHidden/>
              </w:rPr>
              <w:fldChar w:fldCharType="separate"/>
            </w:r>
            <w:r>
              <w:rPr>
                <w:noProof/>
                <w:webHidden/>
              </w:rPr>
              <w:t>8</w:t>
            </w:r>
            <w:r w:rsidR="00594F7D" w:rsidRPr="00594F7D">
              <w:rPr>
                <w:noProof/>
                <w:webHidden/>
              </w:rPr>
              <w:fldChar w:fldCharType="end"/>
            </w:r>
          </w:hyperlink>
        </w:p>
        <w:p w14:paraId="1E3A2BB3" w14:textId="75109B83"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5" w:history="1">
            <w:r w:rsidR="00594F7D" w:rsidRPr="00594F7D">
              <w:rPr>
                <w:rStyle w:val="Hipervnculo"/>
                <w:noProof/>
                <w:color w:val="auto"/>
              </w:rPr>
              <w:t>d) Causal de Procedencia</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_Toc206616095 \h </w:instrText>
            </w:r>
            <w:r w:rsidR="00594F7D" w:rsidRPr="00594F7D">
              <w:rPr>
                <w:noProof/>
                <w:webHidden/>
              </w:rPr>
            </w:r>
            <w:r w:rsidR="00594F7D" w:rsidRPr="00594F7D">
              <w:rPr>
                <w:noProof/>
                <w:webHidden/>
              </w:rPr>
              <w:fldChar w:fldCharType="separate"/>
            </w:r>
            <w:r>
              <w:rPr>
                <w:noProof/>
                <w:webHidden/>
              </w:rPr>
              <w:t>9</w:t>
            </w:r>
            <w:r w:rsidR="00594F7D" w:rsidRPr="00594F7D">
              <w:rPr>
                <w:noProof/>
                <w:webHidden/>
              </w:rPr>
              <w:fldChar w:fldCharType="end"/>
            </w:r>
          </w:hyperlink>
        </w:p>
        <w:p w14:paraId="38AB2C79" w14:textId="1A51197B"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6" w:history="1">
            <w:r w:rsidR="00594F7D" w:rsidRPr="00594F7D">
              <w:rPr>
                <w:rStyle w:val="Hipervnculo"/>
                <w:noProof/>
                <w:color w:val="auto"/>
              </w:rPr>
              <w:t>e) Requisitos formales para la interposición del recurso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_Toc206616096 \h </w:instrText>
            </w:r>
            <w:r w:rsidR="00594F7D" w:rsidRPr="00594F7D">
              <w:rPr>
                <w:noProof/>
                <w:webHidden/>
              </w:rPr>
            </w:r>
            <w:r w:rsidR="00594F7D" w:rsidRPr="00594F7D">
              <w:rPr>
                <w:noProof/>
                <w:webHidden/>
              </w:rPr>
              <w:fldChar w:fldCharType="separate"/>
            </w:r>
            <w:r>
              <w:rPr>
                <w:noProof/>
                <w:webHidden/>
              </w:rPr>
              <w:t>9</w:t>
            </w:r>
            <w:r w:rsidR="00594F7D" w:rsidRPr="00594F7D">
              <w:rPr>
                <w:noProof/>
                <w:webHidden/>
              </w:rPr>
              <w:fldChar w:fldCharType="end"/>
            </w:r>
          </w:hyperlink>
        </w:p>
        <w:p w14:paraId="19D5EB83" w14:textId="7101DF22" w:rsidR="00594F7D" w:rsidRPr="00594F7D" w:rsidRDefault="003F37BF" w:rsidP="00594F7D">
          <w:pPr>
            <w:pStyle w:val="TDC2"/>
            <w:tabs>
              <w:tab w:val="right" w:leader="dot" w:pos="9034"/>
            </w:tabs>
            <w:rPr>
              <w:rFonts w:asciiTheme="minorHAnsi" w:eastAsiaTheme="minorEastAsia" w:hAnsiTheme="minorHAnsi" w:cstheme="minorBidi"/>
              <w:noProof/>
            </w:rPr>
          </w:pPr>
          <w:hyperlink w:anchor="_Toc206616097" w:history="1">
            <w:r w:rsidR="00594F7D" w:rsidRPr="00594F7D">
              <w:rPr>
                <w:rStyle w:val="Hipervnculo"/>
                <w:noProof/>
                <w:color w:val="auto"/>
              </w:rPr>
              <w:t>SEGUNDO. Estudio de Fondo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_Toc206616097 \h </w:instrText>
            </w:r>
            <w:r w:rsidR="00594F7D" w:rsidRPr="00594F7D">
              <w:rPr>
                <w:noProof/>
                <w:webHidden/>
              </w:rPr>
            </w:r>
            <w:r w:rsidR="00594F7D" w:rsidRPr="00594F7D">
              <w:rPr>
                <w:noProof/>
                <w:webHidden/>
              </w:rPr>
              <w:fldChar w:fldCharType="separate"/>
            </w:r>
            <w:r>
              <w:rPr>
                <w:noProof/>
                <w:webHidden/>
              </w:rPr>
              <w:t>10</w:t>
            </w:r>
            <w:r w:rsidR="00594F7D" w:rsidRPr="00594F7D">
              <w:rPr>
                <w:noProof/>
                <w:webHidden/>
              </w:rPr>
              <w:fldChar w:fldCharType="end"/>
            </w:r>
          </w:hyperlink>
        </w:p>
        <w:p w14:paraId="3EB8B3FE" w14:textId="261EF353"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8" w:history="1">
            <w:r w:rsidR="00594F7D" w:rsidRPr="00594F7D">
              <w:rPr>
                <w:rStyle w:val="Hipervnculo"/>
                <w:noProof/>
                <w:color w:val="auto"/>
              </w:rPr>
              <w:t>a) Mandato de transparencia y responsabilidad del Sujeto Obligado</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_Toc206616098 \h </w:instrText>
            </w:r>
            <w:r w:rsidR="00594F7D" w:rsidRPr="00594F7D">
              <w:rPr>
                <w:noProof/>
                <w:webHidden/>
              </w:rPr>
            </w:r>
            <w:r w:rsidR="00594F7D" w:rsidRPr="00594F7D">
              <w:rPr>
                <w:noProof/>
                <w:webHidden/>
              </w:rPr>
              <w:fldChar w:fldCharType="separate"/>
            </w:r>
            <w:r>
              <w:rPr>
                <w:noProof/>
                <w:webHidden/>
              </w:rPr>
              <w:t>10</w:t>
            </w:r>
            <w:r w:rsidR="00594F7D" w:rsidRPr="00594F7D">
              <w:rPr>
                <w:noProof/>
                <w:webHidden/>
              </w:rPr>
              <w:fldChar w:fldCharType="end"/>
            </w:r>
          </w:hyperlink>
        </w:p>
        <w:p w14:paraId="4EDDE1FA" w14:textId="588EF83F"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099" w:history="1">
            <w:r w:rsidR="00594F7D" w:rsidRPr="00594F7D">
              <w:rPr>
                <w:rStyle w:val="Hipervnculo"/>
                <w:noProof/>
                <w:color w:val="auto"/>
              </w:rPr>
              <w:t>b) Controversia a resolver</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_Toc206616099 \h </w:instrText>
            </w:r>
            <w:r w:rsidR="00594F7D" w:rsidRPr="00594F7D">
              <w:rPr>
                <w:noProof/>
                <w:webHidden/>
              </w:rPr>
            </w:r>
            <w:r w:rsidR="00594F7D" w:rsidRPr="00594F7D">
              <w:rPr>
                <w:noProof/>
                <w:webHidden/>
              </w:rPr>
              <w:fldChar w:fldCharType="separate"/>
            </w:r>
            <w:r>
              <w:rPr>
                <w:noProof/>
                <w:webHidden/>
              </w:rPr>
              <w:t>12</w:t>
            </w:r>
            <w:r w:rsidR="00594F7D" w:rsidRPr="00594F7D">
              <w:rPr>
                <w:noProof/>
                <w:webHidden/>
              </w:rPr>
              <w:fldChar w:fldCharType="end"/>
            </w:r>
          </w:hyperlink>
        </w:p>
        <w:p w14:paraId="31331155" w14:textId="2AEE083C"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100" w:history="1">
            <w:r w:rsidR="00594F7D" w:rsidRPr="00594F7D">
              <w:rPr>
                <w:rStyle w:val="Hipervnculo"/>
                <w:noProof/>
                <w:color w:val="auto"/>
              </w:rPr>
              <w:t>c) Estudio de la controversia</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_Toc206616100 \h </w:instrText>
            </w:r>
            <w:r w:rsidR="00594F7D" w:rsidRPr="00594F7D">
              <w:rPr>
                <w:noProof/>
                <w:webHidden/>
              </w:rPr>
            </w:r>
            <w:r w:rsidR="00594F7D" w:rsidRPr="00594F7D">
              <w:rPr>
                <w:noProof/>
                <w:webHidden/>
              </w:rPr>
              <w:fldChar w:fldCharType="separate"/>
            </w:r>
            <w:r>
              <w:rPr>
                <w:noProof/>
                <w:webHidden/>
              </w:rPr>
              <w:t>14</w:t>
            </w:r>
            <w:r w:rsidR="00594F7D" w:rsidRPr="00594F7D">
              <w:rPr>
                <w:noProof/>
                <w:webHidden/>
              </w:rPr>
              <w:fldChar w:fldCharType="end"/>
            </w:r>
          </w:hyperlink>
        </w:p>
        <w:p w14:paraId="0F2CB7BC" w14:textId="6BC51AF2" w:rsidR="00594F7D" w:rsidRPr="00594F7D" w:rsidRDefault="003F37BF" w:rsidP="00594F7D">
          <w:pPr>
            <w:pStyle w:val="TDC3"/>
            <w:tabs>
              <w:tab w:val="right" w:leader="dot" w:pos="9034"/>
            </w:tabs>
            <w:rPr>
              <w:rFonts w:asciiTheme="minorHAnsi" w:eastAsiaTheme="minorEastAsia" w:hAnsiTheme="minorHAnsi" w:cstheme="minorBidi"/>
              <w:noProof/>
            </w:rPr>
          </w:pPr>
          <w:hyperlink w:anchor="_Toc206616101" w:history="1">
            <w:r w:rsidR="00594F7D" w:rsidRPr="00594F7D">
              <w:rPr>
                <w:rStyle w:val="Hipervnculo"/>
                <w:noProof/>
                <w:color w:val="auto"/>
              </w:rPr>
              <w:t>d) Conclusión</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_Toc206616101 \h </w:instrText>
            </w:r>
            <w:r w:rsidR="00594F7D" w:rsidRPr="00594F7D">
              <w:rPr>
                <w:noProof/>
                <w:webHidden/>
              </w:rPr>
            </w:r>
            <w:r w:rsidR="00594F7D" w:rsidRPr="00594F7D">
              <w:rPr>
                <w:noProof/>
                <w:webHidden/>
              </w:rPr>
              <w:fldChar w:fldCharType="separate"/>
            </w:r>
            <w:r>
              <w:rPr>
                <w:noProof/>
                <w:webHidden/>
              </w:rPr>
              <w:t>23</w:t>
            </w:r>
            <w:r w:rsidR="00594F7D" w:rsidRPr="00594F7D">
              <w:rPr>
                <w:noProof/>
                <w:webHidden/>
              </w:rPr>
              <w:fldChar w:fldCharType="end"/>
            </w:r>
          </w:hyperlink>
        </w:p>
        <w:p w14:paraId="41915035" w14:textId="18ED5B29" w:rsidR="00594F7D" w:rsidRPr="00594F7D" w:rsidRDefault="003F37BF" w:rsidP="00594F7D">
          <w:pPr>
            <w:pStyle w:val="TDC1"/>
            <w:tabs>
              <w:tab w:val="right" w:leader="dot" w:pos="9034"/>
            </w:tabs>
            <w:rPr>
              <w:rFonts w:asciiTheme="minorHAnsi" w:eastAsiaTheme="minorEastAsia" w:hAnsiTheme="minorHAnsi" w:cstheme="minorBidi"/>
              <w:noProof/>
            </w:rPr>
          </w:pPr>
          <w:hyperlink w:anchor="_Toc206616102" w:history="1">
            <w:r w:rsidR="00594F7D" w:rsidRPr="00594F7D">
              <w:rPr>
                <w:rStyle w:val="Hipervnculo"/>
                <w:noProof/>
                <w:color w:val="auto"/>
              </w:rPr>
              <w:t>RESUELVE</w:t>
            </w:r>
            <w:r w:rsidR="00594F7D" w:rsidRPr="00594F7D">
              <w:rPr>
                <w:noProof/>
                <w:webHidden/>
              </w:rPr>
              <w:tab/>
            </w:r>
            <w:r w:rsidR="00594F7D" w:rsidRPr="00594F7D">
              <w:rPr>
                <w:noProof/>
                <w:webHidden/>
              </w:rPr>
              <w:fldChar w:fldCharType="begin"/>
            </w:r>
            <w:r w:rsidR="00594F7D" w:rsidRPr="00594F7D">
              <w:rPr>
                <w:noProof/>
                <w:webHidden/>
              </w:rPr>
              <w:instrText xml:space="preserve"> PAGEREF _Toc206616102 \h </w:instrText>
            </w:r>
            <w:r w:rsidR="00594F7D" w:rsidRPr="00594F7D">
              <w:rPr>
                <w:noProof/>
                <w:webHidden/>
              </w:rPr>
            </w:r>
            <w:r w:rsidR="00594F7D" w:rsidRPr="00594F7D">
              <w:rPr>
                <w:noProof/>
                <w:webHidden/>
              </w:rPr>
              <w:fldChar w:fldCharType="separate"/>
            </w:r>
            <w:r>
              <w:rPr>
                <w:noProof/>
                <w:webHidden/>
              </w:rPr>
              <w:t>23</w:t>
            </w:r>
            <w:r w:rsidR="00594F7D" w:rsidRPr="00594F7D">
              <w:rPr>
                <w:noProof/>
                <w:webHidden/>
              </w:rPr>
              <w:fldChar w:fldCharType="end"/>
            </w:r>
          </w:hyperlink>
        </w:p>
        <w:p w14:paraId="6E0E34AF" w14:textId="432A2199" w:rsidR="002F3942" w:rsidRPr="00594F7D" w:rsidRDefault="002F3942" w:rsidP="00594F7D">
          <w:pPr>
            <w:spacing w:line="240" w:lineRule="auto"/>
          </w:pPr>
          <w:r w:rsidRPr="00594F7D">
            <w:rPr>
              <w:b/>
              <w:bCs/>
              <w:sz w:val="20"/>
              <w:szCs w:val="20"/>
            </w:rPr>
            <w:fldChar w:fldCharType="end"/>
          </w:r>
        </w:p>
      </w:sdtContent>
    </w:sdt>
    <w:p w14:paraId="4933E913" w14:textId="77777777" w:rsidR="003B3CD6" w:rsidRPr="00594F7D" w:rsidRDefault="003B3CD6" w:rsidP="00594F7D">
      <w:pPr>
        <w:pBdr>
          <w:top w:val="nil"/>
          <w:left w:val="nil"/>
          <w:bottom w:val="nil"/>
          <w:right w:val="nil"/>
          <w:between w:val="nil"/>
        </w:pBdr>
        <w:tabs>
          <w:tab w:val="right" w:pos="9034"/>
        </w:tabs>
        <w:spacing w:after="100"/>
        <w:rPr>
          <w:b/>
        </w:rPr>
        <w:sectPr w:rsidR="003B3CD6" w:rsidRPr="00594F7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781678D" w14:textId="01E83388" w:rsidR="003B3CD6" w:rsidRPr="00594F7D" w:rsidRDefault="004C3B66" w:rsidP="00594F7D">
      <w:pPr>
        <w:rPr>
          <w:b/>
        </w:rPr>
      </w:pPr>
      <w:r w:rsidRPr="00594F7D">
        <w:lastRenderedPageBreak/>
        <w:t>Resolución del Pleno del Instituto de Transparencia, Acceso a la Información Pública y Protección de Datos Personales del Estado de México y Municipios, con domicilio en Metepec, Estado de México, de</w:t>
      </w:r>
      <w:r w:rsidR="00594F7D" w:rsidRPr="00594F7D">
        <w:t>l</w:t>
      </w:r>
      <w:r w:rsidRPr="00594F7D">
        <w:t xml:space="preserve"> </w:t>
      </w:r>
      <w:r w:rsidR="00AA68D2" w:rsidRPr="00594F7D">
        <w:rPr>
          <w:b/>
        </w:rPr>
        <w:t>veinte de agosto</w:t>
      </w:r>
      <w:r w:rsidRPr="00594F7D">
        <w:rPr>
          <w:b/>
        </w:rPr>
        <w:t xml:space="preserve"> de dos mil veinticinco.</w:t>
      </w:r>
    </w:p>
    <w:p w14:paraId="6A6E6A68" w14:textId="77777777" w:rsidR="003B3CD6" w:rsidRPr="00594F7D" w:rsidRDefault="003B3CD6" w:rsidP="00594F7D"/>
    <w:p w14:paraId="28F4FDFC" w14:textId="6146AD3F" w:rsidR="003B3CD6" w:rsidRPr="00594F7D" w:rsidRDefault="004C3B66" w:rsidP="00594F7D">
      <w:r w:rsidRPr="00594F7D">
        <w:rPr>
          <w:b/>
        </w:rPr>
        <w:t xml:space="preserve">VISTO </w:t>
      </w:r>
      <w:r w:rsidRPr="00594F7D">
        <w:t xml:space="preserve">el expediente formado con motivo del Recurso de Revisión </w:t>
      </w:r>
      <w:r w:rsidR="003355D8" w:rsidRPr="00594F7D">
        <w:rPr>
          <w:b/>
        </w:rPr>
        <w:t>06752/INFOEM/IP/RR/2025</w:t>
      </w:r>
      <w:r w:rsidRPr="00594F7D">
        <w:rPr>
          <w:b/>
        </w:rPr>
        <w:t xml:space="preserve"> </w:t>
      </w:r>
      <w:r w:rsidRPr="00594F7D">
        <w:t xml:space="preserve">interpuesto por </w:t>
      </w:r>
      <w:r w:rsidRPr="00594F7D">
        <w:rPr>
          <w:b/>
        </w:rPr>
        <w:t>una persona de manera anónima</w:t>
      </w:r>
      <w:r w:rsidRPr="00594F7D">
        <w:t xml:space="preserve">, a quien en lo subsecuente se le denominará </w:t>
      </w:r>
      <w:r w:rsidRPr="00594F7D">
        <w:rPr>
          <w:b/>
        </w:rPr>
        <w:t>LA PARTE RECURRENTE</w:t>
      </w:r>
      <w:r w:rsidRPr="00594F7D">
        <w:t xml:space="preserve">, en contra de la respuesta emitida por el </w:t>
      </w:r>
      <w:r w:rsidRPr="00594F7D">
        <w:rPr>
          <w:b/>
        </w:rPr>
        <w:t>Ayuntamiento de Toluca</w:t>
      </w:r>
      <w:r w:rsidRPr="00594F7D">
        <w:t xml:space="preserve">, en adelante </w:t>
      </w:r>
      <w:r w:rsidRPr="00594F7D">
        <w:rPr>
          <w:b/>
        </w:rPr>
        <w:t>EL SUJETO OBLIGADO</w:t>
      </w:r>
      <w:r w:rsidRPr="00594F7D">
        <w:t>, se emite la presente Resolución con base en los Antecedentes y Considerandos que se exponen a continuación:</w:t>
      </w:r>
    </w:p>
    <w:p w14:paraId="59C07D18" w14:textId="77777777" w:rsidR="003B3CD6" w:rsidRPr="00594F7D" w:rsidRDefault="003B3CD6" w:rsidP="00594F7D"/>
    <w:p w14:paraId="488BE5AC" w14:textId="77777777" w:rsidR="003B3CD6" w:rsidRPr="00594F7D" w:rsidRDefault="004C3B66" w:rsidP="00594F7D">
      <w:pPr>
        <w:pStyle w:val="Ttulo1"/>
      </w:pPr>
      <w:bookmarkStart w:id="3" w:name="_Toc206616075"/>
      <w:r w:rsidRPr="00594F7D">
        <w:t>ANTECEDENTES</w:t>
      </w:r>
      <w:bookmarkEnd w:id="3"/>
    </w:p>
    <w:p w14:paraId="39F6DD2A" w14:textId="77777777" w:rsidR="003B3CD6" w:rsidRPr="00594F7D" w:rsidRDefault="003B3CD6" w:rsidP="00594F7D"/>
    <w:p w14:paraId="4E8F5A64" w14:textId="77777777" w:rsidR="003B3CD6" w:rsidRPr="00594F7D" w:rsidRDefault="004C3B66" w:rsidP="00594F7D">
      <w:pPr>
        <w:pStyle w:val="Ttulo2"/>
      </w:pPr>
      <w:bookmarkStart w:id="4" w:name="_Toc206616076"/>
      <w:r w:rsidRPr="00594F7D">
        <w:t>DE LA SOLICITUD DE INFORMACIÓN</w:t>
      </w:r>
      <w:bookmarkEnd w:id="4"/>
    </w:p>
    <w:p w14:paraId="6C8B88C4" w14:textId="77777777" w:rsidR="003B3CD6" w:rsidRPr="00594F7D" w:rsidRDefault="004C3B66" w:rsidP="00594F7D">
      <w:pPr>
        <w:pStyle w:val="Ttulo3"/>
      </w:pPr>
      <w:bookmarkStart w:id="5" w:name="_Toc206616077"/>
      <w:r w:rsidRPr="00594F7D">
        <w:t>a) Solicitud de información</w:t>
      </w:r>
      <w:bookmarkEnd w:id="5"/>
    </w:p>
    <w:p w14:paraId="400AAA42" w14:textId="552F65BB" w:rsidR="003B3CD6" w:rsidRPr="00594F7D" w:rsidRDefault="004C3B66" w:rsidP="00594F7D">
      <w:r w:rsidRPr="00594F7D">
        <w:t xml:space="preserve">El </w:t>
      </w:r>
      <w:r w:rsidR="003355D8" w:rsidRPr="00594F7D">
        <w:rPr>
          <w:b/>
        </w:rPr>
        <w:t xml:space="preserve">once </w:t>
      </w:r>
      <w:r w:rsidR="00AA68D2" w:rsidRPr="00594F7D">
        <w:rPr>
          <w:b/>
        </w:rPr>
        <w:t>de abril</w:t>
      </w:r>
      <w:r w:rsidRPr="00594F7D">
        <w:rPr>
          <w:b/>
        </w:rPr>
        <w:t xml:space="preserve"> de dos mil veinticinco,</w:t>
      </w:r>
      <w:r w:rsidRPr="00594F7D">
        <w:t xml:space="preserve"> </w:t>
      </w:r>
      <w:r w:rsidRPr="00594F7D">
        <w:rPr>
          <w:b/>
        </w:rPr>
        <w:t>LA PARTE RECURRENTE</w:t>
      </w:r>
      <w:r w:rsidRPr="00594F7D">
        <w:t xml:space="preserve"> presentó una solicitud de acceso a la información pública ante el </w:t>
      </w:r>
      <w:r w:rsidRPr="00594F7D">
        <w:rPr>
          <w:b/>
        </w:rPr>
        <w:t>SUJETO OBLIGADO</w:t>
      </w:r>
      <w:r w:rsidRPr="00594F7D">
        <w:t>, a través del Sistema de Acceso a la Información Mexiquense (</w:t>
      </w:r>
      <w:r w:rsidRPr="00594F7D">
        <w:rPr>
          <w:b/>
          <w:bCs/>
        </w:rPr>
        <w:t>SAIMEX</w:t>
      </w:r>
      <w:r w:rsidRPr="00594F7D">
        <w:t>). Dicha solicitud quedó registrada con el número de folio</w:t>
      </w:r>
      <w:r w:rsidRPr="00594F7D">
        <w:rPr>
          <w:b/>
        </w:rPr>
        <w:t xml:space="preserve"> </w:t>
      </w:r>
      <w:r w:rsidR="003355D8" w:rsidRPr="00594F7D">
        <w:rPr>
          <w:b/>
        </w:rPr>
        <w:t>02150/TOLUCA/IP/2025</w:t>
      </w:r>
      <w:r w:rsidRPr="00594F7D">
        <w:rPr>
          <w:b/>
        </w:rPr>
        <w:t xml:space="preserve"> </w:t>
      </w:r>
      <w:r w:rsidRPr="00594F7D">
        <w:t>y en ella se requirió la siguiente información:</w:t>
      </w:r>
    </w:p>
    <w:p w14:paraId="743284E8" w14:textId="77777777" w:rsidR="003B3CD6" w:rsidRPr="00594F7D" w:rsidRDefault="003B3CD6" w:rsidP="00594F7D">
      <w:pPr>
        <w:tabs>
          <w:tab w:val="left" w:pos="4667"/>
        </w:tabs>
        <w:ind w:right="567"/>
        <w:rPr>
          <w:i/>
        </w:rPr>
      </w:pPr>
    </w:p>
    <w:p w14:paraId="5121BDCE" w14:textId="4070B43D" w:rsidR="003B3CD6" w:rsidRPr="00594F7D" w:rsidRDefault="004C3B66" w:rsidP="00594F7D">
      <w:pPr>
        <w:pStyle w:val="Puesto"/>
        <w:ind w:firstLine="0"/>
        <w:rPr>
          <w:color w:val="auto"/>
        </w:rPr>
      </w:pPr>
      <w:bookmarkStart w:id="6" w:name="_heading=h.9kjanwsfvsso" w:colFirst="0" w:colLast="0"/>
      <w:bookmarkEnd w:id="6"/>
      <w:r w:rsidRPr="00594F7D">
        <w:rPr>
          <w:color w:val="auto"/>
        </w:rPr>
        <w:t>“</w:t>
      </w:r>
      <w:r w:rsidR="000136E1" w:rsidRPr="00594F7D">
        <w:rPr>
          <w:color w:val="auto"/>
        </w:rPr>
        <w:t>Cuantos topoes fe colocaron en Isidro fabela, el costo de cad auno el material utilizado las pociones y que empresa lo realizo cuantos litros de pintura se usaron para pintarlos y las fotos de los topes colicados</w:t>
      </w:r>
      <w:r w:rsidRPr="00594F7D">
        <w:rPr>
          <w:color w:val="auto"/>
        </w:rPr>
        <w:t>” (sic)</w:t>
      </w:r>
    </w:p>
    <w:p w14:paraId="167B55B0" w14:textId="77777777" w:rsidR="003B3CD6" w:rsidRPr="00594F7D" w:rsidRDefault="003B3CD6" w:rsidP="00594F7D"/>
    <w:p w14:paraId="14931037" w14:textId="77777777" w:rsidR="003B3CD6" w:rsidRPr="00594F7D" w:rsidRDefault="004C3B66" w:rsidP="00594F7D">
      <w:pPr>
        <w:tabs>
          <w:tab w:val="left" w:pos="4667"/>
        </w:tabs>
        <w:ind w:right="567"/>
        <w:rPr>
          <w:i/>
        </w:rPr>
      </w:pPr>
      <w:r w:rsidRPr="00594F7D">
        <w:rPr>
          <w:b/>
        </w:rPr>
        <w:t>Modalidad de entrega</w:t>
      </w:r>
      <w:r w:rsidRPr="00594F7D">
        <w:t>: a</w:t>
      </w:r>
      <w:r w:rsidRPr="00594F7D">
        <w:rPr>
          <w:i/>
        </w:rPr>
        <w:t xml:space="preserve"> través del </w:t>
      </w:r>
      <w:r w:rsidRPr="00594F7D">
        <w:rPr>
          <w:b/>
          <w:i/>
        </w:rPr>
        <w:t>SAIMEX</w:t>
      </w:r>
      <w:r w:rsidRPr="00594F7D">
        <w:rPr>
          <w:i/>
        </w:rPr>
        <w:t>.</w:t>
      </w:r>
    </w:p>
    <w:p w14:paraId="68E1C833" w14:textId="77777777" w:rsidR="003B3CD6" w:rsidRPr="00594F7D" w:rsidRDefault="003B3CD6" w:rsidP="00594F7D">
      <w:pPr>
        <w:tabs>
          <w:tab w:val="left" w:pos="4667"/>
        </w:tabs>
        <w:ind w:right="567"/>
        <w:rPr>
          <w:i/>
        </w:rPr>
      </w:pPr>
    </w:p>
    <w:p w14:paraId="38CA2B8A" w14:textId="77777777" w:rsidR="003B3CD6" w:rsidRPr="00594F7D" w:rsidRDefault="004C3B66" w:rsidP="00594F7D">
      <w:pPr>
        <w:pStyle w:val="Ttulo3"/>
      </w:pPr>
      <w:bookmarkStart w:id="7" w:name="_Toc206616078"/>
      <w:r w:rsidRPr="00594F7D">
        <w:lastRenderedPageBreak/>
        <w:t>b) Turno de la solicitud de información</w:t>
      </w:r>
      <w:bookmarkEnd w:id="7"/>
    </w:p>
    <w:p w14:paraId="3EF50CE6" w14:textId="4B4AACEF" w:rsidR="003B3CD6" w:rsidRPr="00594F7D" w:rsidRDefault="004C3B66" w:rsidP="00594F7D">
      <w:r w:rsidRPr="00594F7D">
        <w:t xml:space="preserve">En cumplimiento al artículo 162 de la Ley de Transparencia y Acceso a la Información Pública del Estado de México y Municipios, el </w:t>
      </w:r>
      <w:r w:rsidR="00AA68D2" w:rsidRPr="00594F7D">
        <w:rPr>
          <w:b/>
        </w:rPr>
        <w:t>veintiuno de abril</w:t>
      </w:r>
      <w:r w:rsidRPr="00594F7D">
        <w:rPr>
          <w:b/>
        </w:rPr>
        <w:t xml:space="preserve"> de dos mil veinticinco</w:t>
      </w:r>
      <w:r w:rsidRPr="00594F7D">
        <w:t xml:space="preserve">, el Titular de la Unidad de Transparencia del </w:t>
      </w:r>
      <w:r w:rsidRPr="00594F7D">
        <w:rPr>
          <w:b/>
        </w:rPr>
        <w:t>SUJETO OBLIGADO</w:t>
      </w:r>
      <w:r w:rsidRPr="00594F7D">
        <w:t xml:space="preserve"> turnó la solicitud de información al servidor público habilitado que estimó pertinente.</w:t>
      </w:r>
    </w:p>
    <w:p w14:paraId="575C348F" w14:textId="77777777" w:rsidR="000136E1" w:rsidRPr="00594F7D" w:rsidRDefault="000136E1" w:rsidP="00594F7D">
      <w:pPr>
        <w:tabs>
          <w:tab w:val="left" w:pos="4667"/>
        </w:tabs>
        <w:ind w:right="567"/>
        <w:rPr>
          <w:b/>
          <w:i/>
        </w:rPr>
      </w:pPr>
      <w:bookmarkStart w:id="8" w:name="_Toc202433722"/>
    </w:p>
    <w:p w14:paraId="012EB0BE" w14:textId="77339B20" w:rsidR="000136E1" w:rsidRPr="00594F7D" w:rsidRDefault="000136E1" w:rsidP="00594F7D">
      <w:pPr>
        <w:pStyle w:val="Ttulo3"/>
      </w:pPr>
      <w:bookmarkStart w:id="9" w:name="_Toc206616079"/>
      <w:r w:rsidRPr="00594F7D">
        <w:t>c) De la Solicitud de Aclaración.</w:t>
      </w:r>
      <w:bookmarkEnd w:id="8"/>
      <w:bookmarkEnd w:id="9"/>
    </w:p>
    <w:p w14:paraId="773F287C" w14:textId="43D617CB" w:rsidR="000136E1" w:rsidRPr="00594F7D" w:rsidRDefault="000136E1" w:rsidP="00594F7D">
      <w:pPr>
        <w:tabs>
          <w:tab w:val="left" w:pos="4667"/>
        </w:tabs>
        <w:ind w:right="567"/>
        <w:rPr>
          <w:iCs/>
        </w:rPr>
      </w:pPr>
      <w:r w:rsidRPr="00594F7D">
        <w:rPr>
          <w:iCs/>
        </w:rPr>
        <w:t xml:space="preserve">De las constancias que obran en el expediente electrónico del </w:t>
      </w:r>
      <w:r w:rsidRPr="00594F7D">
        <w:rPr>
          <w:b/>
          <w:iCs/>
        </w:rPr>
        <w:t xml:space="preserve">SAIMEX </w:t>
      </w:r>
      <w:r w:rsidRPr="00594F7D">
        <w:rPr>
          <w:iCs/>
        </w:rPr>
        <w:t xml:space="preserve">se advierte que el </w:t>
      </w:r>
      <w:r w:rsidRPr="00594F7D">
        <w:rPr>
          <w:b/>
          <w:iCs/>
        </w:rPr>
        <w:t>veinticinco de abril de dos mil veinticinco, EL SUJETO OBLIGADO</w:t>
      </w:r>
      <w:r w:rsidRPr="00594F7D">
        <w:rPr>
          <w:iCs/>
        </w:rPr>
        <w:t>, solicitó al particular una aclaración en los términos siguientes:</w:t>
      </w:r>
    </w:p>
    <w:p w14:paraId="4D01177B" w14:textId="77777777" w:rsidR="000136E1" w:rsidRPr="00594F7D" w:rsidRDefault="000136E1" w:rsidP="00594F7D">
      <w:pPr>
        <w:tabs>
          <w:tab w:val="left" w:pos="4667"/>
        </w:tabs>
        <w:ind w:right="567"/>
        <w:rPr>
          <w:i/>
        </w:rPr>
      </w:pPr>
    </w:p>
    <w:p w14:paraId="47874487" w14:textId="77777777" w:rsidR="000136E1" w:rsidRPr="00594F7D" w:rsidRDefault="000136E1" w:rsidP="00594F7D">
      <w:pPr>
        <w:pStyle w:val="Puesto"/>
        <w:ind w:firstLine="0"/>
        <w:rPr>
          <w:color w:val="auto"/>
        </w:rPr>
      </w:pPr>
      <w:r w:rsidRPr="00594F7D">
        <w:rPr>
          <w:color w:val="auto"/>
        </w:rPr>
        <w:t>“Folio de la solicitud: 02150/TOLUCA/IP/2025</w:t>
      </w:r>
    </w:p>
    <w:p w14:paraId="371BD6B0" w14:textId="77777777" w:rsidR="000136E1" w:rsidRPr="00594F7D" w:rsidRDefault="000136E1" w:rsidP="00594F7D">
      <w:pPr>
        <w:pStyle w:val="Puesto"/>
        <w:ind w:firstLine="0"/>
        <w:rPr>
          <w:color w:val="auto"/>
        </w:rPr>
      </w:pPr>
    </w:p>
    <w:p w14:paraId="2B5CD0D3" w14:textId="0BBB9A51" w:rsidR="000136E1" w:rsidRPr="00594F7D" w:rsidRDefault="000136E1" w:rsidP="00594F7D">
      <w:pPr>
        <w:pStyle w:val="Puesto"/>
        <w:ind w:firstLine="0"/>
        <w:rPr>
          <w:color w:val="auto"/>
        </w:rPr>
      </w:pPr>
      <w:r w:rsidRPr="00594F7D">
        <w:rPr>
          <w:color w:val="auto"/>
        </w:rPr>
        <w:t>Con fundamento en el articulo 159 de la Ley de Transparencia y Acceso a la Información Pública del Estado de México y Municipios, se le requiere para que dentro del plazo de diez días hábiles realice lo siguiente:</w:t>
      </w:r>
    </w:p>
    <w:p w14:paraId="47ECF120" w14:textId="77777777" w:rsidR="000136E1" w:rsidRPr="00594F7D" w:rsidRDefault="000136E1" w:rsidP="00594F7D">
      <w:pPr>
        <w:pStyle w:val="Puesto"/>
        <w:ind w:firstLine="0"/>
        <w:rPr>
          <w:color w:val="auto"/>
        </w:rPr>
      </w:pPr>
    </w:p>
    <w:p w14:paraId="22C40A11" w14:textId="4207FFCB" w:rsidR="000136E1" w:rsidRPr="00594F7D" w:rsidRDefault="000136E1" w:rsidP="00594F7D">
      <w:pPr>
        <w:pStyle w:val="Puesto"/>
        <w:ind w:firstLine="0"/>
        <w:rPr>
          <w:color w:val="auto"/>
        </w:rPr>
      </w:pPr>
      <w:r w:rsidRPr="00594F7D">
        <w:rPr>
          <w:color w:val="auto"/>
        </w:rPr>
        <w:t>El requerimiento de aclaración, complementación o corrección de datos de la solicitud por notificar, correspondiente a la solicitud de información número 02150/TOLUCA/IP/2025.</w:t>
      </w:r>
    </w:p>
    <w:p w14:paraId="0BB2733A" w14:textId="77777777" w:rsidR="000136E1" w:rsidRPr="00594F7D" w:rsidRDefault="000136E1" w:rsidP="00594F7D">
      <w:pPr>
        <w:pStyle w:val="Puesto"/>
        <w:ind w:firstLine="0"/>
        <w:rPr>
          <w:color w:val="auto"/>
        </w:rPr>
      </w:pPr>
    </w:p>
    <w:p w14:paraId="55C2F8BA" w14:textId="0720ADA6" w:rsidR="000136E1" w:rsidRPr="00594F7D" w:rsidRDefault="000136E1" w:rsidP="00594F7D">
      <w:pPr>
        <w:pStyle w:val="Puesto"/>
        <w:ind w:firstLine="0"/>
        <w:rPr>
          <w:color w:val="auto"/>
        </w:rPr>
      </w:pPr>
      <w:r w:rsidRPr="00594F7D">
        <w:rPr>
          <w:color w:val="auto"/>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7D3102F" w14:textId="77777777" w:rsidR="000136E1" w:rsidRPr="00594F7D" w:rsidRDefault="000136E1" w:rsidP="00594F7D">
      <w:pPr>
        <w:pStyle w:val="Puesto"/>
        <w:ind w:firstLine="0"/>
        <w:rPr>
          <w:color w:val="auto"/>
        </w:rPr>
      </w:pPr>
    </w:p>
    <w:p w14:paraId="33CCED82" w14:textId="67EB456B" w:rsidR="000136E1" w:rsidRPr="00594F7D" w:rsidRDefault="000136E1" w:rsidP="00594F7D">
      <w:pPr>
        <w:pStyle w:val="Puesto"/>
        <w:ind w:firstLine="0"/>
        <w:rPr>
          <w:color w:val="auto"/>
          <w:lang w:val="pt-PT"/>
        </w:rPr>
      </w:pPr>
      <w:r w:rsidRPr="00594F7D">
        <w:rPr>
          <w:color w:val="auto"/>
          <w:lang w:val="pt-PT"/>
        </w:rPr>
        <w:t>ATENTAMENTE</w:t>
      </w:r>
    </w:p>
    <w:p w14:paraId="66A345D3" w14:textId="57C06A51" w:rsidR="000136E1" w:rsidRPr="00594F7D" w:rsidRDefault="000136E1" w:rsidP="00594F7D">
      <w:pPr>
        <w:pStyle w:val="Puesto"/>
        <w:ind w:firstLine="0"/>
        <w:rPr>
          <w:i w:val="0"/>
          <w:color w:val="auto"/>
          <w:lang w:val="pt-PT"/>
        </w:rPr>
      </w:pPr>
      <w:r w:rsidRPr="00594F7D">
        <w:rPr>
          <w:color w:val="auto"/>
          <w:lang w:val="pt-PT"/>
        </w:rPr>
        <w:t xml:space="preserve">Dr. Nahum Miguel </w:t>
      </w:r>
      <w:r w:rsidRPr="00594F7D">
        <w:rPr>
          <w:color w:val="auto"/>
        </w:rPr>
        <w:t>Mendoza</w:t>
      </w:r>
      <w:r w:rsidRPr="00594F7D">
        <w:rPr>
          <w:color w:val="auto"/>
          <w:lang w:val="pt-PT"/>
        </w:rPr>
        <w:t xml:space="preserve"> Morales” Sic.</w:t>
      </w:r>
    </w:p>
    <w:p w14:paraId="501C604A" w14:textId="77777777" w:rsidR="000136E1" w:rsidRPr="00594F7D" w:rsidRDefault="000136E1" w:rsidP="00594F7D">
      <w:pPr>
        <w:tabs>
          <w:tab w:val="left" w:pos="4667"/>
        </w:tabs>
        <w:ind w:right="567"/>
        <w:rPr>
          <w:i/>
          <w:lang w:val="pt-PT"/>
        </w:rPr>
      </w:pPr>
    </w:p>
    <w:p w14:paraId="5C1B3080" w14:textId="77777777" w:rsidR="000136E1" w:rsidRPr="00594F7D" w:rsidRDefault="000136E1" w:rsidP="00594F7D">
      <w:pPr>
        <w:ind w:right="-28"/>
      </w:pPr>
      <w:r w:rsidRPr="00594F7D">
        <w:t xml:space="preserve">Asimismo, </w:t>
      </w:r>
      <w:r w:rsidRPr="00594F7D">
        <w:rPr>
          <w:b/>
        </w:rPr>
        <w:t xml:space="preserve">EL SUJETO OBLIGADO </w:t>
      </w:r>
      <w:r w:rsidRPr="00594F7D">
        <w:t>adjuntó a su respuesta el archivo electrónico que se describe:</w:t>
      </w:r>
    </w:p>
    <w:p w14:paraId="7CB5B771" w14:textId="77777777" w:rsidR="000136E1" w:rsidRPr="00594F7D" w:rsidRDefault="000136E1" w:rsidP="00594F7D">
      <w:pPr>
        <w:tabs>
          <w:tab w:val="left" w:pos="4667"/>
        </w:tabs>
        <w:ind w:right="567"/>
        <w:rPr>
          <w:i/>
        </w:rPr>
      </w:pPr>
    </w:p>
    <w:p w14:paraId="6DCBEFB6" w14:textId="130ADBFB" w:rsidR="000136E1" w:rsidRPr="00594F7D" w:rsidRDefault="000136E1" w:rsidP="00594F7D">
      <w:pPr>
        <w:numPr>
          <w:ilvl w:val="0"/>
          <w:numId w:val="10"/>
        </w:numPr>
        <w:tabs>
          <w:tab w:val="left" w:pos="4667"/>
        </w:tabs>
        <w:ind w:right="567"/>
        <w:rPr>
          <w:iCs/>
        </w:rPr>
      </w:pPr>
      <w:r w:rsidRPr="00594F7D">
        <w:rPr>
          <w:b/>
          <w:bCs/>
          <w:iCs/>
        </w:rPr>
        <w:lastRenderedPageBreak/>
        <w:t>REQUERIMIENTO DE ACLARACIÓN 2150. 2025.pdf</w:t>
      </w:r>
      <w:r w:rsidRPr="00594F7D">
        <w:rPr>
          <w:iCs/>
        </w:rPr>
        <w:t>.- Escrito sin número de oficio, nomenclatura, fecha, firma, en el que indica:</w:t>
      </w:r>
    </w:p>
    <w:p w14:paraId="5106621E" w14:textId="77777777" w:rsidR="000136E1" w:rsidRPr="00594F7D" w:rsidRDefault="000136E1" w:rsidP="00594F7D">
      <w:pPr>
        <w:tabs>
          <w:tab w:val="left" w:pos="4667"/>
        </w:tabs>
        <w:ind w:left="720" w:right="567"/>
        <w:rPr>
          <w:b/>
          <w:bCs/>
          <w:iCs/>
        </w:rPr>
      </w:pPr>
    </w:p>
    <w:p w14:paraId="76280B3A" w14:textId="5085D6E3" w:rsidR="000136E1" w:rsidRPr="00594F7D" w:rsidRDefault="000136E1" w:rsidP="00594F7D">
      <w:pPr>
        <w:pStyle w:val="Puesto"/>
        <w:ind w:firstLine="0"/>
        <w:rPr>
          <w:color w:val="auto"/>
        </w:rPr>
      </w:pPr>
      <w:r w:rsidRPr="00594F7D">
        <w:rPr>
          <w:b/>
          <w:bCs/>
          <w:iCs/>
          <w:color w:val="auto"/>
        </w:rPr>
        <w:t>“</w:t>
      </w:r>
      <w:r w:rsidRPr="00594F7D">
        <w:rPr>
          <w:b/>
          <w:bCs/>
          <w:color w:val="auto"/>
        </w:rPr>
        <w:t>…</w:t>
      </w:r>
      <w:r w:rsidRPr="00594F7D">
        <w:rPr>
          <w:color w:val="auto"/>
        </w:rPr>
        <w:t>tenga a bien informar al que suscribe a que “…unidad Territorial básica, delegación, subdelegación o colonia, así como el tramo de la calle isidro …” (Sic) se refiere” Sic.</w:t>
      </w:r>
    </w:p>
    <w:p w14:paraId="6F1D7880" w14:textId="77777777" w:rsidR="000136E1" w:rsidRPr="00594F7D" w:rsidRDefault="000136E1" w:rsidP="00594F7D">
      <w:pPr>
        <w:tabs>
          <w:tab w:val="left" w:pos="4667"/>
        </w:tabs>
        <w:ind w:right="567"/>
        <w:rPr>
          <w:b/>
          <w:i/>
        </w:rPr>
      </w:pPr>
    </w:p>
    <w:p w14:paraId="58A4C8E0" w14:textId="2FFF2E65" w:rsidR="000136E1" w:rsidRPr="00594F7D" w:rsidRDefault="000136E1" w:rsidP="00594F7D">
      <w:pPr>
        <w:pStyle w:val="Ttulo3"/>
      </w:pPr>
      <w:bookmarkStart w:id="10" w:name="_Toc206616080"/>
      <w:r w:rsidRPr="00594F7D">
        <w:t>d) De</w:t>
      </w:r>
      <w:r w:rsidR="00B6283B" w:rsidRPr="00594F7D">
        <w:t>l Desahogo de</w:t>
      </w:r>
      <w:r w:rsidRPr="00594F7D">
        <w:t xml:space="preserve"> la Solicitud de Aclaración.</w:t>
      </w:r>
      <w:bookmarkEnd w:id="10"/>
    </w:p>
    <w:p w14:paraId="44BB1550" w14:textId="566CB222" w:rsidR="000136E1" w:rsidRPr="00594F7D" w:rsidRDefault="000136E1" w:rsidP="00594F7D">
      <w:pPr>
        <w:tabs>
          <w:tab w:val="left" w:pos="4667"/>
        </w:tabs>
        <w:ind w:right="567"/>
        <w:rPr>
          <w:iCs/>
        </w:rPr>
      </w:pPr>
      <w:r w:rsidRPr="00594F7D">
        <w:rPr>
          <w:iCs/>
        </w:rPr>
        <w:t xml:space="preserve">De las constancias que obran en el expediente electrónico del </w:t>
      </w:r>
      <w:r w:rsidRPr="00594F7D">
        <w:rPr>
          <w:b/>
          <w:iCs/>
        </w:rPr>
        <w:t xml:space="preserve">SAIMEX </w:t>
      </w:r>
      <w:r w:rsidRPr="00594F7D">
        <w:rPr>
          <w:iCs/>
        </w:rPr>
        <w:t xml:space="preserve">se advierte que el </w:t>
      </w:r>
      <w:r w:rsidRPr="00594F7D">
        <w:rPr>
          <w:b/>
          <w:iCs/>
        </w:rPr>
        <w:t>veinticinco de abril de dos mil veinticinco, LA PARTE RECURRENTE</w:t>
      </w:r>
      <w:r w:rsidRPr="00594F7D">
        <w:rPr>
          <w:iCs/>
        </w:rPr>
        <w:t>, desahogó la aclaración en los términos siguientes:</w:t>
      </w:r>
    </w:p>
    <w:p w14:paraId="04C24468" w14:textId="77777777" w:rsidR="000136E1" w:rsidRPr="00594F7D" w:rsidRDefault="000136E1" w:rsidP="00594F7D">
      <w:pPr>
        <w:tabs>
          <w:tab w:val="left" w:pos="4667"/>
        </w:tabs>
        <w:ind w:right="567"/>
        <w:rPr>
          <w:i/>
        </w:rPr>
      </w:pPr>
    </w:p>
    <w:p w14:paraId="0AD4EB53" w14:textId="1728B134" w:rsidR="000136E1" w:rsidRPr="00594F7D" w:rsidRDefault="000136E1" w:rsidP="00594F7D">
      <w:pPr>
        <w:pStyle w:val="Puesto"/>
        <w:ind w:firstLine="0"/>
        <w:rPr>
          <w:i w:val="0"/>
          <w:color w:val="auto"/>
        </w:rPr>
      </w:pPr>
      <w:r w:rsidRPr="00594F7D">
        <w:rPr>
          <w:color w:val="auto"/>
        </w:rPr>
        <w:t>“Cuantos topoes se colocaron en Isidro fabela, el costo de cada uno el material utilizado las pociones y que empresa lo realizo cuantos litros de pintura se usaron para pintarlos y las fotos de los topes colicados” Sic.</w:t>
      </w:r>
    </w:p>
    <w:p w14:paraId="2C3C97C2" w14:textId="77777777" w:rsidR="000136E1" w:rsidRPr="00594F7D" w:rsidRDefault="000136E1" w:rsidP="00594F7D">
      <w:pPr>
        <w:tabs>
          <w:tab w:val="left" w:pos="4667"/>
        </w:tabs>
        <w:ind w:right="567"/>
        <w:rPr>
          <w:iCs/>
        </w:rPr>
      </w:pPr>
    </w:p>
    <w:p w14:paraId="4B25096D" w14:textId="65C1ADEE" w:rsidR="003B3CD6" w:rsidRPr="00594F7D" w:rsidRDefault="000136E1" w:rsidP="00594F7D">
      <w:pPr>
        <w:pStyle w:val="Ttulo3"/>
      </w:pPr>
      <w:bookmarkStart w:id="11" w:name="_Toc206616081"/>
      <w:r w:rsidRPr="00594F7D">
        <w:t>e</w:t>
      </w:r>
      <w:r w:rsidR="004C3B66" w:rsidRPr="00594F7D">
        <w:t>) Respuesta del Sujeto Obligado</w:t>
      </w:r>
      <w:bookmarkEnd w:id="11"/>
    </w:p>
    <w:p w14:paraId="66E77FE6" w14:textId="43787AC9" w:rsidR="003B3CD6" w:rsidRPr="00594F7D" w:rsidRDefault="004C3B66" w:rsidP="00594F7D">
      <w:pPr>
        <w:pBdr>
          <w:top w:val="nil"/>
          <w:left w:val="nil"/>
          <w:bottom w:val="nil"/>
          <w:right w:val="nil"/>
          <w:between w:val="nil"/>
        </w:pBdr>
      </w:pPr>
      <w:r w:rsidRPr="00594F7D">
        <w:t xml:space="preserve">El </w:t>
      </w:r>
      <w:r w:rsidR="000136E1" w:rsidRPr="00594F7D">
        <w:rPr>
          <w:b/>
          <w:bCs/>
        </w:rPr>
        <w:t>diecinueve</w:t>
      </w:r>
      <w:r w:rsidR="00AA68D2" w:rsidRPr="00594F7D">
        <w:rPr>
          <w:b/>
        </w:rPr>
        <w:t xml:space="preserve"> de mayo</w:t>
      </w:r>
      <w:r w:rsidRPr="00594F7D">
        <w:rPr>
          <w:b/>
        </w:rPr>
        <w:t xml:space="preserve"> de dos mil veinticinco, </w:t>
      </w:r>
      <w:r w:rsidRPr="00594F7D">
        <w:t xml:space="preserve">el Titular de la Unidad de Transparencia del </w:t>
      </w:r>
      <w:r w:rsidRPr="00594F7D">
        <w:rPr>
          <w:b/>
        </w:rPr>
        <w:t>SUJETO OBLIGADO</w:t>
      </w:r>
      <w:r w:rsidRPr="00594F7D">
        <w:t xml:space="preserve"> notificó a través del </w:t>
      </w:r>
      <w:r w:rsidRPr="00594F7D">
        <w:rPr>
          <w:b/>
        </w:rPr>
        <w:t>SAIMEX</w:t>
      </w:r>
      <w:r w:rsidRPr="00594F7D">
        <w:t xml:space="preserve"> la siguiente respuesta:</w:t>
      </w:r>
    </w:p>
    <w:p w14:paraId="5A228A92" w14:textId="77777777" w:rsidR="003B3CD6" w:rsidRPr="00594F7D" w:rsidRDefault="003B3CD6" w:rsidP="00594F7D">
      <w:pPr>
        <w:pStyle w:val="Puesto"/>
        <w:ind w:left="0" w:firstLine="0"/>
        <w:rPr>
          <w:color w:val="auto"/>
        </w:rPr>
      </w:pPr>
    </w:p>
    <w:p w14:paraId="67B94156" w14:textId="77777777" w:rsidR="000136E1" w:rsidRPr="00594F7D" w:rsidRDefault="004C3B66" w:rsidP="00594F7D">
      <w:pPr>
        <w:pStyle w:val="Puesto"/>
        <w:ind w:firstLine="0"/>
        <w:jc w:val="right"/>
        <w:rPr>
          <w:color w:val="auto"/>
        </w:rPr>
      </w:pPr>
      <w:r w:rsidRPr="00594F7D">
        <w:rPr>
          <w:color w:val="auto"/>
        </w:rPr>
        <w:t>“</w:t>
      </w:r>
      <w:r w:rsidR="000136E1" w:rsidRPr="00594F7D">
        <w:rPr>
          <w:color w:val="auto"/>
        </w:rPr>
        <w:t>Folio de la solicitud: 02150/TOLUCA/IP/2025</w:t>
      </w:r>
    </w:p>
    <w:p w14:paraId="3F4C0D61" w14:textId="77777777" w:rsidR="000136E1" w:rsidRPr="00594F7D" w:rsidRDefault="000136E1" w:rsidP="00594F7D">
      <w:pPr>
        <w:jc w:val="right"/>
      </w:pPr>
    </w:p>
    <w:p w14:paraId="490C6313" w14:textId="77777777" w:rsidR="000136E1" w:rsidRPr="00594F7D" w:rsidRDefault="000136E1" w:rsidP="00594F7D">
      <w:pPr>
        <w:pStyle w:val="Puesto"/>
        <w:ind w:firstLine="0"/>
        <w:rPr>
          <w:color w:val="auto"/>
        </w:rPr>
      </w:pPr>
      <w:r w:rsidRPr="00594F7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4B82B0" w14:textId="77777777" w:rsidR="000136E1" w:rsidRPr="00594F7D" w:rsidRDefault="000136E1" w:rsidP="00594F7D">
      <w:pPr>
        <w:pStyle w:val="Puesto"/>
        <w:ind w:firstLine="0"/>
        <w:rPr>
          <w:color w:val="auto"/>
        </w:rPr>
      </w:pPr>
    </w:p>
    <w:p w14:paraId="7B4199C7" w14:textId="63AA2B49" w:rsidR="000136E1" w:rsidRPr="00594F7D" w:rsidRDefault="000136E1" w:rsidP="00594F7D">
      <w:pPr>
        <w:pStyle w:val="Puesto"/>
        <w:ind w:firstLine="0"/>
        <w:rPr>
          <w:color w:val="auto"/>
        </w:rPr>
      </w:pPr>
      <w:r w:rsidRPr="00594F7D">
        <w:rPr>
          <w:color w:val="auto"/>
        </w:rPr>
        <w:t>En atención a la solicitud con folio 02150/TOLUCA/IP/2025, me permito adjuntar al presente la respuesta correspondiente. Sin más por el momento, reciba un saludo.</w:t>
      </w:r>
    </w:p>
    <w:p w14:paraId="606F0127" w14:textId="77777777" w:rsidR="000136E1" w:rsidRPr="00594F7D" w:rsidRDefault="000136E1" w:rsidP="00594F7D">
      <w:pPr>
        <w:pStyle w:val="Puesto"/>
        <w:ind w:firstLine="0"/>
        <w:rPr>
          <w:color w:val="auto"/>
        </w:rPr>
      </w:pPr>
    </w:p>
    <w:p w14:paraId="1EB56B3E" w14:textId="75E15461" w:rsidR="000136E1" w:rsidRPr="00594F7D" w:rsidRDefault="000136E1" w:rsidP="00594F7D">
      <w:pPr>
        <w:pStyle w:val="Puesto"/>
        <w:ind w:firstLine="0"/>
        <w:rPr>
          <w:color w:val="auto"/>
        </w:rPr>
      </w:pPr>
      <w:r w:rsidRPr="00594F7D">
        <w:rPr>
          <w:color w:val="auto"/>
        </w:rPr>
        <w:t>ATENTAMENTE</w:t>
      </w:r>
    </w:p>
    <w:p w14:paraId="441EA7E7" w14:textId="30DFFE6B" w:rsidR="003B3CD6" w:rsidRPr="00594F7D" w:rsidRDefault="000136E1" w:rsidP="00594F7D">
      <w:pPr>
        <w:pStyle w:val="Puesto"/>
        <w:ind w:firstLine="0"/>
        <w:rPr>
          <w:color w:val="auto"/>
        </w:rPr>
      </w:pPr>
      <w:r w:rsidRPr="00594F7D">
        <w:rPr>
          <w:color w:val="auto"/>
        </w:rPr>
        <w:t>Dr. Nahum Miguel Mendoza Morales</w:t>
      </w:r>
      <w:r w:rsidR="004C3B66" w:rsidRPr="00594F7D">
        <w:rPr>
          <w:color w:val="auto"/>
        </w:rPr>
        <w:t>” (sic)</w:t>
      </w:r>
    </w:p>
    <w:p w14:paraId="671C175E" w14:textId="77777777" w:rsidR="003B3CD6" w:rsidRPr="00594F7D" w:rsidRDefault="003B3CD6" w:rsidP="00594F7D">
      <w:pPr>
        <w:ind w:right="-28"/>
      </w:pPr>
    </w:p>
    <w:p w14:paraId="3BB951CE" w14:textId="78CD2D31" w:rsidR="003B3CD6" w:rsidRPr="00594F7D" w:rsidRDefault="004C3B66" w:rsidP="00594F7D">
      <w:pPr>
        <w:ind w:right="-28"/>
      </w:pPr>
      <w:r w:rsidRPr="00594F7D">
        <w:lastRenderedPageBreak/>
        <w:t xml:space="preserve">Asimismo, </w:t>
      </w:r>
      <w:r w:rsidRPr="00594F7D">
        <w:rPr>
          <w:b/>
        </w:rPr>
        <w:t xml:space="preserve">EL SUJETO OBLIGADO </w:t>
      </w:r>
      <w:r w:rsidRPr="00594F7D">
        <w:t xml:space="preserve">adjuntó a su respuesta </w:t>
      </w:r>
      <w:r w:rsidR="000136E1" w:rsidRPr="00594F7D">
        <w:t>los ar</w:t>
      </w:r>
      <w:r w:rsidRPr="00594F7D">
        <w:t>chivo</w:t>
      </w:r>
      <w:r w:rsidR="000136E1" w:rsidRPr="00594F7D">
        <w:t>s</w:t>
      </w:r>
      <w:r w:rsidRPr="00594F7D">
        <w:t xml:space="preserve"> electrónico</w:t>
      </w:r>
      <w:r w:rsidR="000136E1" w:rsidRPr="00594F7D">
        <w:t>s</w:t>
      </w:r>
      <w:r w:rsidRPr="00594F7D">
        <w:t xml:space="preserve"> que se describe</w:t>
      </w:r>
      <w:r w:rsidR="000136E1" w:rsidRPr="00594F7D">
        <w:t>n</w:t>
      </w:r>
      <w:r w:rsidRPr="00594F7D">
        <w:t>:</w:t>
      </w:r>
    </w:p>
    <w:p w14:paraId="4F8431D0" w14:textId="77777777" w:rsidR="003B3CD6" w:rsidRPr="00594F7D" w:rsidRDefault="003B3CD6" w:rsidP="00594F7D">
      <w:pPr>
        <w:ind w:right="-28"/>
        <w:rPr>
          <w:b/>
          <w:i/>
        </w:rPr>
      </w:pPr>
    </w:p>
    <w:p w14:paraId="641A4F11" w14:textId="22A56AE0" w:rsidR="00D75B66" w:rsidRPr="00594F7D" w:rsidRDefault="00D75B66" w:rsidP="00594F7D">
      <w:pPr>
        <w:numPr>
          <w:ilvl w:val="0"/>
          <w:numId w:val="10"/>
        </w:numPr>
        <w:ind w:right="-28"/>
        <w:rPr>
          <w:b/>
          <w:i/>
        </w:rPr>
      </w:pPr>
      <w:r w:rsidRPr="00594F7D">
        <w:rPr>
          <w:b/>
          <w:i/>
        </w:rPr>
        <w:t>SAIMEX 2150.pdf</w:t>
      </w:r>
      <w:r w:rsidR="00B6283B" w:rsidRPr="00594F7D">
        <w:rPr>
          <w:b/>
          <w:i/>
        </w:rPr>
        <w:t xml:space="preserve">.- </w:t>
      </w:r>
      <w:r w:rsidR="00B6283B" w:rsidRPr="00594F7D">
        <w:rPr>
          <w:bCs/>
          <w:iCs/>
        </w:rPr>
        <w:t>Oficio número DGSP/0391/2025 de fecha 25 de abril de 2025, dirigido al peticionario, suscrito por el Director General de Servicios Públicos, en el que le indicó lo siguiente:</w:t>
      </w:r>
    </w:p>
    <w:p w14:paraId="42F42255" w14:textId="77777777" w:rsidR="00B6283B" w:rsidRPr="00594F7D" w:rsidRDefault="00B6283B" w:rsidP="00594F7D">
      <w:pPr>
        <w:ind w:left="720" w:right="-28"/>
        <w:rPr>
          <w:b/>
          <w:i/>
        </w:rPr>
      </w:pPr>
    </w:p>
    <w:p w14:paraId="6BEB1B3D" w14:textId="40357356" w:rsidR="00B6283B" w:rsidRPr="00594F7D" w:rsidRDefault="00B6283B" w:rsidP="00594F7D">
      <w:pPr>
        <w:pStyle w:val="Puesto"/>
        <w:ind w:firstLine="0"/>
        <w:rPr>
          <w:bCs/>
          <w:i w:val="0"/>
          <w:color w:val="auto"/>
        </w:rPr>
      </w:pPr>
      <w:r w:rsidRPr="00594F7D">
        <w:rPr>
          <w:b/>
          <w:color w:val="auto"/>
        </w:rPr>
        <w:t>“…</w:t>
      </w:r>
      <w:r w:rsidRPr="00594F7D">
        <w:rPr>
          <w:bCs/>
          <w:color w:val="auto"/>
        </w:rPr>
        <w:t xml:space="preserve">los trabajos fueron realizados por la </w:t>
      </w:r>
      <w:r w:rsidRPr="00594F7D">
        <w:rPr>
          <w:color w:val="auto"/>
        </w:rPr>
        <w:t>Dirección</w:t>
      </w:r>
      <w:r w:rsidRPr="00594F7D">
        <w:rPr>
          <w:bCs/>
          <w:color w:val="auto"/>
        </w:rPr>
        <w:t xml:space="preserve"> General de Servicios Públicos y a través del Departamento de Bacheo y Señalamiento Vial, se llevó a cabo la colocación de dos reductores de velocidad de mezcla asfáltica en el Blvr. Isidro Fabela Alfaro esquina Ignacio Pérez, utilizando 1.37 Toneladas de mezcla asfáltica y un total de 22 litros de pintura.” Sic.</w:t>
      </w:r>
    </w:p>
    <w:p w14:paraId="74B47003" w14:textId="77777777" w:rsidR="00B6283B" w:rsidRPr="00594F7D" w:rsidRDefault="00B6283B" w:rsidP="00594F7D">
      <w:pPr>
        <w:ind w:left="720" w:right="-28"/>
        <w:rPr>
          <w:bCs/>
          <w:i/>
        </w:rPr>
      </w:pPr>
    </w:p>
    <w:p w14:paraId="528352CB" w14:textId="4AE8D15D" w:rsidR="00B6283B" w:rsidRPr="00594F7D" w:rsidRDefault="00B6283B" w:rsidP="00594F7D">
      <w:pPr>
        <w:ind w:left="720" w:right="-28"/>
        <w:rPr>
          <w:bCs/>
          <w:iCs/>
        </w:rPr>
      </w:pPr>
      <w:r w:rsidRPr="00594F7D">
        <w:rPr>
          <w:bCs/>
          <w:iCs/>
        </w:rPr>
        <w:t>Anexando la nota informativa DMU/098/2025 de fecha 23 de abril de 2025, suscrita por el Director de Mantenimiento Urbano, que señala lo anterior referido, más fotografías.</w:t>
      </w:r>
    </w:p>
    <w:p w14:paraId="32E1198A" w14:textId="77777777" w:rsidR="00D75B66" w:rsidRPr="00594F7D" w:rsidRDefault="00D75B66" w:rsidP="00594F7D">
      <w:pPr>
        <w:ind w:left="720" w:right="-28"/>
        <w:rPr>
          <w:b/>
          <w:i/>
        </w:rPr>
      </w:pPr>
    </w:p>
    <w:p w14:paraId="60582228" w14:textId="5BA8D533" w:rsidR="00D75B66" w:rsidRPr="00594F7D" w:rsidRDefault="00D75B66" w:rsidP="00594F7D">
      <w:pPr>
        <w:numPr>
          <w:ilvl w:val="0"/>
          <w:numId w:val="10"/>
        </w:numPr>
        <w:ind w:right="-28"/>
        <w:rPr>
          <w:b/>
          <w:i/>
        </w:rPr>
      </w:pPr>
      <w:r w:rsidRPr="00594F7D">
        <w:rPr>
          <w:b/>
          <w:i/>
        </w:rPr>
        <w:t>Anexo Saimex 02150.pdf</w:t>
      </w:r>
      <w:r w:rsidR="005E0BF1" w:rsidRPr="00594F7D">
        <w:rPr>
          <w:b/>
          <w:i/>
        </w:rPr>
        <w:t xml:space="preserve"> </w:t>
      </w:r>
      <w:r w:rsidR="005E0BF1" w:rsidRPr="00594F7D">
        <w:rPr>
          <w:bCs/>
          <w:iCs/>
        </w:rPr>
        <w:t>y</w:t>
      </w:r>
      <w:r w:rsidR="005E0BF1" w:rsidRPr="00594F7D">
        <w:rPr>
          <w:b/>
          <w:i/>
        </w:rPr>
        <w:t xml:space="preserve"> Anexo Saimex 02150.pdf</w:t>
      </w:r>
      <w:r w:rsidR="00B6283B" w:rsidRPr="00594F7D">
        <w:rPr>
          <w:b/>
          <w:i/>
        </w:rPr>
        <w:t xml:space="preserve">.- </w:t>
      </w:r>
      <w:r w:rsidR="00B6201F" w:rsidRPr="00594F7D">
        <w:rPr>
          <w:bCs/>
          <w:iCs/>
        </w:rPr>
        <w:t xml:space="preserve"> Contrato de Obra Públicas a Precios Unitarios y Tiempo Determinado No. MT/DGDUOTyOP/FAISMUM-IPDM-23/ADE-001/2023.</w:t>
      </w:r>
    </w:p>
    <w:p w14:paraId="393FD245" w14:textId="77777777" w:rsidR="00D75B66" w:rsidRPr="00594F7D" w:rsidRDefault="00D75B66" w:rsidP="00594F7D">
      <w:pPr>
        <w:ind w:left="720" w:right="-28"/>
        <w:rPr>
          <w:b/>
          <w:i/>
        </w:rPr>
      </w:pPr>
    </w:p>
    <w:p w14:paraId="30233059" w14:textId="10840B97" w:rsidR="00D75B66" w:rsidRPr="00594F7D" w:rsidRDefault="00D75B66" w:rsidP="00594F7D">
      <w:pPr>
        <w:numPr>
          <w:ilvl w:val="0"/>
          <w:numId w:val="10"/>
        </w:numPr>
        <w:ind w:right="-28"/>
        <w:rPr>
          <w:b/>
          <w:i/>
        </w:rPr>
      </w:pPr>
      <w:r w:rsidRPr="00594F7D">
        <w:rPr>
          <w:b/>
          <w:i/>
        </w:rPr>
        <w:t>Respuesta Saimex 02150.pdf</w:t>
      </w:r>
      <w:r w:rsidR="005E0BF1" w:rsidRPr="00594F7D">
        <w:rPr>
          <w:b/>
          <w:i/>
        </w:rPr>
        <w:t xml:space="preserve"> </w:t>
      </w:r>
      <w:r w:rsidR="005E0BF1" w:rsidRPr="00594F7D">
        <w:rPr>
          <w:bCs/>
          <w:iCs/>
        </w:rPr>
        <w:t>y</w:t>
      </w:r>
      <w:r w:rsidR="005E0BF1" w:rsidRPr="00594F7D">
        <w:rPr>
          <w:b/>
          <w:i/>
        </w:rPr>
        <w:t xml:space="preserve"> Respuesta Saimex 02150.pdf</w:t>
      </w:r>
      <w:r w:rsidR="00B6201F" w:rsidRPr="00594F7D">
        <w:rPr>
          <w:b/>
          <w:i/>
        </w:rPr>
        <w:t xml:space="preserve">.- </w:t>
      </w:r>
      <w:r w:rsidR="00B6201F" w:rsidRPr="00594F7D">
        <w:rPr>
          <w:bCs/>
          <w:iCs/>
        </w:rPr>
        <w:t xml:space="preserve">Oficio 210010000/1003/2025 de fecha 9 de mayo de 2025, dirigido al Titular de la Unidad de Transparencia, suscrito por el Director General de Obras Públicas, en el que le indicó que de acuerdo a la normativa aplicable a dicha área, no cuenta con competencia para la instalación de reductores de velocidad (topes) indicados por el solicitante. No obstante, realizó una búsqueda exhaustiva y localizó la información concerniente a la obra pública “REHABILITACIÓN DEL BLVD. ISIDRO FABELA DE CALLE DIEGO </w:t>
      </w:r>
      <w:r w:rsidR="00B6201F" w:rsidRPr="00594F7D">
        <w:rPr>
          <w:bCs/>
          <w:iCs/>
        </w:rPr>
        <w:lastRenderedPageBreak/>
        <w:t xml:space="preserve">RIVERA A BLVD. SOLIDARIDAD LAS TORRES, MUNICIPIO DE TOLUCA” ejecutada durante el ejercicio fiscal 2023, anexando </w:t>
      </w:r>
      <w:r w:rsidR="005E0BF1" w:rsidRPr="00594F7D">
        <w:rPr>
          <w:bCs/>
          <w:iCs/>
        </w:rPr>
        <w:t>el contrato y anexo.</w:t>
      </w:r>
    </w:p>
    <w:p w14:paraId="6B34EE9B" w14:textId="77777777" w:rsidR="00D75B66" w:rsidRPr="00594F7D" w:rsidRDefault="00D75B66" w:rsidP="00594F7D">
      <w:pPr>
        <w:ind w:right="-28"/>
        <w:rPr>
          <w:b/>
          <w:i/>
        </w:rPr>
      </w:pPr>
    </w:p>
    <w:p w14:paraId="6577F9FB" w14:textId="1D79103B" w:rsidR="00D75B66" w:rsidRPr="00594F7D" w:rsidRDefault="00D75B66" w:rsidP="00594F7D">
      <w:pPr>
        <w:numPr>
          <w:ilvl w:val="0"/>
          <w:numId w:val="10"/>
        </w:numPr>
        <w:ind w:right="-28"/>
        <w:rPr>
          <w:b/>
          <w:i/>
        </w:rPr>
      </w:pPr>
      <w:r w:rsidRPr="00594F7D">
        <w:rPr>
          <w:b/>
          <w:i/>
        </w:rPr>
        <w:t>Saimex 02150.pdf</w:t>
      </w:r>
      <w:r w:rsidR="005E0BF1" w:rsidRPr="00594F7D">
        <w:rPr>
          <w:b/>
          <w:i/>
        </w:rPr>
        <w:t xml:space="preserve">.- </w:t>
      </w:r>
      <w:r w:rsidR="00A06930" w:rsidRPr="00594F7D">
        <w:rPr>
          <w:bCs/>
          <w:iCs/>
        </w:rPr>
        <w:t>Oficio 202010000/01701/2025 de fecha 14 de mayo de 2025, dirigido al Titular de la Unidad de Transparencia, suscrita por el Tesorero Municipal, en el que le indicó:</w:t>
      </w:r>
    </w:p>
    <w:p w14:paraId="3AE37897" w14:textId="77777777" w:rsidR="00A06930" w:rsidRPr="00594F7D" w:rsidRDefault="00A06930" w:rsidP="00594F7D">
      <w:pPr>
        <w:pStyle w:val="Prrafodelista"/>
        <w:rPr>
          <w:b/>
          <w:i/>
        </w:rPr>
      </w:pPr>
    </w:p>
    <w:p w14:paraId="1B703665" w14:textId="48ECE2C3" w:rsidR="00A06930" w:rsidRPr="00594F7D" w:rsidRDefault="00A06930" w:rsidP="00594F7D">
      <w:pPr>
        <w:pStyle w:val="Puesto"/>
        <w:ind w:firstLine="0"/>
        <w:rPr>
          <w:bCs/>
          <w:i w:val="0"/>
          <w:color w:val="auto"/>
        </w:rPr>
      </w:pPr>
      <w:r w:rsidRPr="00594F7D">
        <w:rPr>
          <w:b/>
          <w:color w:val="auto"/>
        </w:rPr>
        <w:t>“…</w:t>
      </w:r>
      <w:r w:rsidRPr="00594F7D">
        <w:rPr>
          <w:bCs/>
          <w:color w:val="auto"/>
        </w:rPr>
        <w:t>una vez realizada una búsqueda exhaustiva en nuestros archivos, no se cuenta con registro financiero, documental, contable o presupuestal que ampare la información solicitada.” Sic.</w:t>
      </w:r>
    </w:p>
    <w:p w14:paraId="68D1CEE2" w14:textId="77777777" w:rsidR="00D75B66" w:rsidRPr="00594F7D" w:rsidRDefault="00D75B66" w:rsidP="00594F7D">
      <w:pPr>
        <w:pStyle w:val="Prrafodelista"/>
        <w:rPr>
          <w:b/>
          <w:i/>
        </w:rPr>
      </w:pPr>
    </w:p>
    <w:p w14:paraId="381FE17A" w14:textId="41F1C9D6" w:rsidR="00D75B66" w:rsidRPr="00594F7D" w:rsidRDefault="00D75B66" w:rsidP="00594F7D">
      <w:pPr>
        <w:numPr>
          <w:ilvl w:val="0"/>
          <w:numId w:val="10"/>
        </w:numPr>
        <w:ind w:right="-28"/>
        <w:rPr>
          <w:b/>
          <w:i/>
        </w:rPr>
      </w:pPr>
      <w:r w:rsidRPr="00594F7D">
        <w:rPr>
          <w:b/>
          <w:i/>
        </w:rPr>
        <w:t>R. 02150. 2025.pdf</w:t>
      </w:r>
      <w:r w:rsidR="00A06930" w:rsidRPr="00594F7D">
        <w:rPr>
          <w:b/>
          <w:i/>
        </w:rPr>
        <w:t xml:space="preserve">.- </w:t>
      </w:r>
      <w:r w:rsidR="00A06930" w:rsidRPr="00594F7D">
        <w:rPr>
          <w:bCs/>
          <w:iCs/>
        </w:rPr>
        <w:t>Escrito de fecha 19 de mayo de 2025, dirigido al solicitante y suscrito por el Titular de la Unidad de Transparencia, en el que le indicó la Dirección General de Administración informó que una vez analizada la solicitud no es de su competencia.</w:t>
      </w:r>
    </w:p>
    <w:p w14:paraId="041151BB" w14:textId="536BD436" w:rsidR="003B3CD6" w:rsidRPr="00594F7D" w:rsidRDefault="003B3CD6" w:rsidP="00594F7D">
      <w:pPr>
        <w:ind w:right="-28"/>
        <w:rPr>
          <w:b/>
        </w:rPr>
      </w:pPr>
    </w:p>
    <w:p w14:paraId="6CE325E7" w14:textId="77777777" w:rsidR="003B3CD6" w:rsidRPr="00594F7D" w:rsidRDefault="004C3B66" w:rsidP="00594F7D">
      <w:pPr>
        <w:pStyle w:val="Ttulo2"/>
        <w:jc w:val="left"/>
      </w:pPr>
      <w:bookmarkStart w:id="12" w:name="_Toc206616082"/>
      <w:r w:rsidRPr="00594F7D">
        <w:t>DEL RECURSO DE REVISIÓN</w:t>
      </w:r>
      <w:bookmarkEnd w:id="12"/>
    </w:p>
    <w:p w14:paraId="6131F6D8" w14:textId="77777777" w:rsidR="003B3CD6" w:rsidRPr="00594F7D" w:rsidRDefault="004C3B66" w:rsidP="00594F7D">
      <w:pPr>
        <w:pStyle w:val="Ttulo3"/>
      </w:pPr>
      <w:bookmarkStart w:id="13" w:name="_Toc206616083"/>
      <w:r w:rsidRPr="00594F7D">
        <w:t>a) Interposición del Recurso de Revisión</w:t>
      </w:r>
      <w:bookmarkEnd w:id="13"/>
    </w:p>
    <w:p w14:paraId="54D793E9" w14:textId="5CC539EF" w:rsidR="003B3CD6" w:rsidRPr="00594F7D" w:rsidRDefault="004C3B66" w:rsidP="00594F7D">
      <w:pPr>
        <w:ind w:right="-28"/>
      </w:pPr>
      <w:r w:rsidRPr="00594F7D">
        <w:t>El</w:t>
      </w:r>
      <w:r w:rsidRPr="00594F7D">
        <w:rPr>
          <w:b/>
        </w:rPr>
        <w:t xml:space="preserve"> </w:t>
      </w:r>
      <w:r w:rsidR="00F77F0D" w:rsidRPr="00594F7D">
        <w:rPr>
          <w:b/>
        </w:rPr>
        <w:t>nueve</w:t>
      </w:r>
      <w:r w:rsidR="00AA68D2" w:rsidRPr="00594F7D">
        <w:rPr>
          <w:b/>
        </w:rPr>
        <w:t xml:space="preserve"> de junio</w:t>
      </w:r>
      <w:r w:rsidRPr="00594F7D">
        <w:rPr>
          <w:b/>
        </w:rPr>
        <w:t xml:space="preserve"> de dos mil veinticinco,</w:t>
      </w:r>
      <w:r w:rsidRPr="00594F7D">
        <w:t xml:space="preserve"> </w:t>
      </w:r>
      <w:r w:rsidRPr="00594F7D">
        <w:rPr>
          <w:b/>
        </w:rPr>
        <w:t>LA PARTE RECURRENTE</w:t>
      </w:r>
      <w:r w:rsidRPr="00594F7D">
        <w:t xml:space="preserve"> interpuso el recurso de revisión en contra de la respuesta emitida por el </w:t>
      </w:r>
      <w:r w:rsidRPr="00594F7D">
        <w:rPr>
          <w:b/>
        </w:rPr>
        <w:t>SUJETO OBLIGADO</w:t>
      </w:r>
      <w:r w:rsidRPr="00594F7D">
        <w:t xml:space="preserve">, mismo que fue registrado en el </w:t>
      </w:r>
      <w:r w:rsidRPr="00594F7D">
        <w:rPr>
          <w:b/>
        </w:rPr>
        <w:t>SAIMEX</w:t>
      </w:r>
      <w:r w:rsidRPr="00594F7D">
        <w:t xml:space="preserve"> con el número de expediente </w:t>
      </w:r>
      <w:bookmarkStart w:id="14" w:name="_Hlk206064902"/>
      <w:r w:rsidR="003355D8" w:rsidRPr="00594F7D">
        <w:rPr>
          <w:b/>
        </w:rPr>
        <w:t>06752/INFOEM/IP/RR/2025</w:t>
      </w:r>
      <w:bookmarkEnd w:id="14"/>
      <w:r w:rsidRPr="00594F7D">
        <w:t>, y en el cual manifestó lo siguiente:</w:t>
      </w:r>
    </w:p>
    <w:p w14:paraId="6D522A82" w14:textId="77777777" w:rsidR="003B3CD6" w:rsidRPr="00594F7D" w:rsidRDefault="003B3CD6" w:rsidP="00594F7D">
      <w:pPr>
        <w:tabs>
          <w:tab w:val="left" w:pos="4667"/>
        </w:tabs>
        <w:ind w:right="539"/>
      </w:pPr>
    </w:p>
    <w:p w14:paraId="0435A767" w14:textId="77777777" w:rsidR="003B3CD6" w:rsidRPr="00594F7D" w:rsidRDefault="004C3B66" w:rsidP="00594F7D">
      <w:pPr>
        <w:tabs>
          <w:tab w:val="left" w:pos="4667"/>
        </w:tabs>
        <w:ind w:left="567" w:right="539"/>
        <w:rPr>
          <w:b/>
        </w:rPr>
      </w:pPr>
      <w:r w:rsidRPr="00594F7D">
        <w:rPr>
          <w:b/>
        </w:rPr>
        <w:t>ACTO IMPUGNADO</w:t>
      </w:r>
    </w:p>
    <w:p w14:paraId="1963DCBB" w14:textId="0F9D540E" w:rsidR="003B3CD6" w:rsidRPr="00594F7D" w:rsidRDefault="004C3B66" w:rsidP="00594F7D">
      <w:pPr>
        <w:tabs>
          <w:tab w:val="left" w:pos="4667"/>
        </w:tabs>
        <w:ind w:left="567" w:right="539"/>
        <w:rPr>
          <w:i/>
        </w:rPr>
      </w:pPr>
      <w:r w:rsidRPr="00594F7D">
        <w:rPr>
          <w:i/>
        </w:rPr>
        <w:t>“</w:t>
      </w:r>
      <w:r w:rsidR="00F77F0D" w:rsidRPr="00594F7D">
        <w:rPr>
          <w:i/>
        </w:rPr>
        <w:t>La entrega de la información incompleta</w:t>
      </w:r>
      <w:r w:rsidRPr="00594F7D">
        <w:rPr>
          <w:i/>
        </w:rPr>
        <w:t>” (sic)</w:t>
      </w:r>
    </w:p>
    <w:p w14:paraId="2717C242" w14:textId="77777777" w:rsidR="003B3CD6" w:rsidRPr="00594F7D" w:rsidRDefault="003B3CD6" w:rsidP="00594F7D">
      <w:pPr>
        <w:tabs>
          <w:tab w:val="left" w:pos="4667"/>
        </w:tabs>
        <w:ind w:left="567" w:right="539"/>
        <w:rPr>
          <w:b/>
        </w:rPr>
      </w:pPr>
    </w:p>
    <w:p w14:paraId="55842D06" w14:textId="77777777" w:rsidR="003B3CD6" w:rsidRPr="00594F7D" w:rsidRDefault="004C3B66" w:rsidP="00594F7D">
      <w:pPr>
        <w:tabs>
          <w:tab w:val="left" w:pos="4667"/>
        </w:tabs>
        <w:ind w:left="567" w:right="539"/>
        <w:rPr>
          <w:b/>
        </w:rPr>
      </w:pPr>
      <w:r w:rsidRPr="00594F7D">
        <w:rPr>
          <w:b/>
        </w:rPr>
        <w:t>RAZONES O MOTIVOS DE LA INCONFORMIDAD</w:t>
      </w:r>
      <w:r w:rsidRPr="00594F7D">
        <w:rPr>
          <w:b/>
        </w:rPr>
        <w:tab/>
      </w:r>
    </w:p>
    <w:p w14:paraId="4AC03138" w14:textId="767E8C96" w:rsidR="003B3CD6" w:rsidRPr="00594F7D" w:rsidRDefault="004C3B66" w:rsidP="00594F7D">
      <w:pPr>
        <w:pStyle w:val="Puesto"/>
        <w:ind w:firstLine="0"/>
        <w:rPr>
          <w:color w:val="auto"/>
        </w:rPr>
      </w:pPr>
      <w:r w:rsidRPr="00594F7D">
        <w:rPr>
          <w:color w:val="auto"/>
        </w:rPr>
        <w:lastRenderedPageBreak/>
        <w:t>“</w:t>
      </w:r>
      <w:r w:rsidR="00F77F0D" w:rsidRPr="00594F7D">
        <w:rPr>
          <w:color w:val="auto"/>
        </w:rPr>
        <w:t>La entrega de la información incompleta</w:t>
      </w:r>
      <w:r w:rsidRPr="00594F7D">
        <w:rPr>
          <w:color w:val="auto"/>
        </w:rPr>
        <w:t>” (sic)</w:t>
      </w:r>
    </w:p>
    <w:p w14:paraId="4A2D1CB7" w14:textId="77777777" w:rsidR="003B3CD6" w:rsidRPr="00594F7D" w:rsidRDefault="003B3CD6" w:rsidP="00594F7D">
      <w:pPr>
        <w:ind w:left="567"/>
      </w:pPr>
    </w:p>
    <w:p w14:paraId="3FB37D7C" w14:textId="77777777" w:rsidR="003B3CD6" w:rsidRPr="00594F7D" w:rsidRDefault="004C3B66" w:rsidP="00594F7D">
      <w:pPr>
        <w:pStyle w:val="Ttulo3"/>
      </w:pPr>
      <w:bookmarkStart w:id="15" w:name="_Toc206616084"/>
      <w:r w:rsidRPr="00594F7D">
        <w:t>b) Turno del Recurso de Revisión</w:t>
      </w:r>
      <w:bookmarkEnd w:id="15"/>
    </w:p>
    <w:p w14:paraId="63E1D231" w14:textId="11F185EF" w:rsidR="003B3CD6" w:rsidRPr="00594F7D" w:rsidRDefault="004C3B66" w:rsidP="00594F7D">
      <w:r w:rsidRPr="00594F7D">
        <w:t>Con fundamento en el artículo 185, fracción I de la Ley de Transparencia y Acceso a la Información Pública del Estado de México y Municipios, el</w:t>
      </w:r>
      <w:r w:rsidRPr="00594F7D">
        <w:rPr>
          <w:b/>
        </w:rPr>
        <w:t xml:space="preserve"> </w:t>
      </w:r>
      <w:r w:rsidR="00F77F0D" w:rsidRPr="00594F7D">
        <w:rPr>
          <w:b/>
        </w:rPr>
        <w:t>nueve</w:t>
      </w:r>
      <w:r w:rsidR="00AA68D2" w:rsidRPr="00594F7D">
        <w:rPr>
          <w:b/>
        </w:rPr>
        <w:t xml:space="preserve"> de junio</w:t>
      </w:r>
      <w:r w:rsidRPr="00594F7D">
        <w:rPr>
          <w:b/>
        </w:rPr>
        <w:t xml:space="preserve"> de dos mil veinticinco,</w:t>
      </w:r>
      <w:r w:rsidRPr="00594F7D">
        <w:t xml:space="preserve"> se turnó el recurso de revisión a través del SAIMEX a la </w:t>
      </w:r>
      <w:r w:rsidRPr="00594F7D">
        <w:rPr>
          <w:b/>
        </w:rPr>
        <w:t>Comisionada Sharon Cristina Morales Martínez</w:t>
      </w:r>
      <w:r w:rsidRPr="00594F7D">
        <w:t xml:space="preserve">, a efecto de decretar su admisión o desechamiento. </w:t>
      </w:r>
    </w:p>
    <w:p w14:paraId="69497AF7" w14:textId="77777777" w:rsidR="003B3CD6" w:rsidRPr="00594F7D" w:rsidRDefault="003B3CD6" w:rsidP="00594F7D"/>
    <w:p w14:paraId="42FF356A" w14:textId="77777777" w:rsidR="003B3CD6" w:rsidRPr="00594F7D" w:rsidRDefault="004C3B66" w:rsidP="00594F7D">
      <w:pPr>
        <w:pStyle w:val="Ttulo3"/>
      </w:pPr>
      <w:bookmarkStart w:id="16" w:name="_Toc206616085"/>
      <w:r w:rsidRPr="00594F7D">
        <w:t>c) Admisión del Recurso de Revisión</w:t>
      </w:r>
      <w:bookmarkEnd w:id="16"/>
    </w:p>
    <w:p w14:paraId="53B0FB9F" w14:textId="1709E6DA" w:rsidR="003B3CD6" w:rsidRPr="00594F7D" w:rsidRDefault="004C3B66" w:rsidP="00594F7D">
      <w:r w:rsidRPr="00594F7D">
        <w:t xml:space="preserve">El </w:t>
      </w:r>
      <w:r w:rsidR="00F77F0D" w:rsidRPr="00594F7D">
        <w:rPr>
          <w:b/>
        </w:rPr>
        <w:t>doce</w:t>
      </w:r>
      <w:r w:rsidR="00AA68D2" w:rsidRPr="00594F7D">
        <w:rPr>
          <w:b/>
        </w:rPr>
        <w:t xml:space="preserve"> de junio</w:t>
      </w:r>
      <w:r w:rsidRPr="00594F7D">
        <w:rPr>
          <w:b/>
        </w:rPr>
        <w:t xml:space="preserve"> de dos mil veinticinco,</w:t>
      </w:r>
      <w:r w:rsidRPr="00594F7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594F7D" w:rsidRDefault="003B3CD6" w:rsidP="00594F7D"/>
    <w:p w14:paraId="10E9A945" w14:textId="77777777" w:rsidR="003B3CD6" w:rsidRPr="00594F7D" w:rsidRDefault="004C3B66" w:rsidP="00594F7D">
      <w:pPr>
        <w:pStyle w:val="Ttulo3"/>
      </w:pPr>
      <w:bookmarkStart w:id="17" w:name="_Toc206616086"/>
      <w:r w:rsidRPr="00594F7D">
        <w:t>d) Informe Justificado del Sujeto Obligado</w:t>
      </w:r>
      <w:bookmarkEnd w:id="17"/>
    </w:p>
    <w:p w14:paraId="6F0F81AC" w14:textId="13FED242" w:rsidR="003B3CD6" w:rsidRPr="00594F7D" w:rsidRDefault="004C3B66" w:rsidP="00594F7D">
      <w:r w:rsidRPr="00594F7D">
        <w:t xml:space="preserve">El </w:t>
      </w:r>
      <w:r w:rsidR="00F77F0D" w:rsidRPr="00594F7D">
        <w:rPr>
          <w:b/>
        </w:rPr>
        <w:t>veintitrés</w:t>
      </w:r>
      <w:r w:rsidR="00A7098D" w:rsidRPr="00594F7D">
        <w:rPr>
          <w:b/>
        </w:rPr>
        <w:t xml:space="preserve"> de junio</w:t>
      </w:r>
      <w:r w:rsidRPr="00594F7D">
        <w:rPr>
          <w:b/>
        </w:rPr>
        <w:t xml:space="preserve"> de dos mil veinticinco EL SUJETO OBLIGADO</w:t>
      </w:r>
      <w:r w:rsidRPr="00594F7D">
        <w:t xml:space="preserve"> rindió su informe justificado a través del </w:t>
      </w:r>
      <w:r w:rsidRPr="00594F7D">
        <w:rPr>
          <w:b/>
        </w:rPr>
        <w:t>SAIMEX</w:t>
      </w:r>
      <w:r w:rsidRPr="00594F7D">
        <w:t>, que contienen lo siguiente:</w:t>
      </w:r>
    </w:p>
    <w:p w14:paraId="40EE99DF" w14:textId="77777777" w:rsidR="003B3CD6" w:rsidRPr="00594F7D" w:rsidRDefault="003B3CD6" w:rsidP="00594F7D"/>
    <w:p w14:paraId="1C91D98E" w14:textId="70A8FD05" w:rsidR="003B3CD6" w:rsidRPr="00594F7D" w:rsidRDefault="00F77F0D" w:rsidP="00594F7D">
      <w:pPr>
        <w:numPr>
          <w:ilvl w:val="0"/>
          <w:numId w:val="4"/>
        </w:numPr>
        <w:pBdr>
          <w:top w:val="nil"/>
          <w:left w:val="nil"/>
          <w:bottom w:val="nil"/>
          <w:right w:val="nil"/>
          <w:between w:val="nil"/>
        </w:pBdr>
        <w:rPr>
          <w:b/>
        </w:rPr>
      </w:pPr>
      <w:r w:rsidRPr="00594F7D">
        <w:rPr>
          <w:b/>
        </w:rPr>
        <w:t>Ratificación 6752-2025.pdf</w:t>
      </w:r>
      <w:r w:rsidR="004C3B66" w:rsidRPr="00594F7D">
        <w:rPr>
          <w:b/>
        </w:rPr>
        <w:t xml:space="preserve">.- </w:t>
      </w:r>
      <w:r w:rsidR="004C3B66" w:rsidRPr="00594F7D">
        <w:t xml:space="preserve">Archivo constante de 1 página, en las que se aprecia el escrito de fecha </w:t>
      </w:r>
      <w:r w:rsidRPr="00594F7D">
        <w:t>23</w:t>
      </w:r>
      <w:r w:rsidR="00A7098D" w:rsidRPr="00594F7D">
        <w:t xml:space="preserve"> de junio </w:t>
      </w:r>
      <w:r w:rsidR="004C3B66" w:rsidRPr="00594F7D">
        <w:t xml:space="preserve">de 2025, dirigido a la Comisionada Ponente, suscrito por el Titular de la Unidad de Transparencia, por medio del cual remite el informe justificado, ratificando en términos generales la respuesta primigenia. </w:t>
      </w:r>
    </w:p>
    <w:p w14:paraId="1FFAB24D" w14:textId="77777777" w:rsidR="00E03960" w:rsidRPr="00594F7D" w:rsidRDefault="00E03960" w:rsidP="00594F7D">
      <w:pPr>
        <w:pBdr>
          <w:top w:val="nil"/>
          <w:left w:val="nil"/>
          <w:bottom w:val="nil"/>
          <w:right w:val="nil"/>
          <w:between w:val="nil"/>
        </w:pBdr>
        <w:ind w:left="720"/>
        <w:rPr>
          <w:b/>
        </w:rPr>
      </w:pPr>
    </w:p>
    <w:p w14:paraId="3DA943A0" w14:textId="40784398" w:rsidR="00A7098D" w:rsidRPr="00594F7D" w:rsidRDefault="00F77F0D" w:rsidP="00594F7D">
      <w:pPr>
        <w:numPr>
          <w:ilvl w:val="0"/>
          <w:numId w:val="4"/>
        </w:numPr>
        <w:pBdr>
          <w:top w:val="nil"/>
          <w:left w:val="nil"/>
          <w:bottom w:val="nil"/>
          <w:right w:val="nil"/>
          <w:between w:val="nil"/>
        </w:pBdr>
        <w:rPr>
          <w:b/>
        </w:rPr>
      </w:pPr>
      <w:r w:rsidRPr="00594F7D">
        <w:rPr>
          <w:b/>
        </w:rPr>
        <w:lastRenderedPageBreak/>
        <w:t>ANEXOS 06752-2025.pdf</w:t>
      </w:r>
      <w:r w:rsidR="00A7098D" w:rsidRPr="00594F7D">
        <w:rPr>
          <w:b/>
        </w:rPr>
        <w:t xml:space="preserve">.- </w:t>
      </w:r>
      <w:r w:rsidR="00A7098D" w:rsidRPr="00594F7D">
        <w:rPr>
          <w:bCs/>
          <w:iCs/>
        </w:rPr>
        <w:t xml:space="preserve">Contiene </w:t>
      </w:r>
      <w:r w:rsidRPr="00594F7D">
        <w:rPr>
          <w:bCs/>
          <w:iCs/>
        </w:rPr>
        <w:t>los oficios de atención al medio de impugnación de las unidades administrativas del Tesorero Municipal y Dirección General de Obras Públicas, por medio de las cuales ratifican la respuesta primigenia.</w:t>
      </w:r>
    </w:p>
    <w:p w14:paraId="2253D263" w14:textId="77777777" w:rsidR="003B3CD6" w:rsidRPr="00594F7D" w:rsidRDefault="003B3CD6" w:rsidP="00594F7D"/>
    <w:p w14:paraId="04BAE37B" w14:textId="1A1A78DE" w:rsidR="003B3CD6" w:rsidRPr="00594F7D" w:rsidRDefault="004C3B66" w:rsidP="00594F7D">
      <w:r w:rsidRPr="00594F7D">
        <w:t xml:space="preserve">Esta información fue puesta a la vista de </w:t>
      </w:r>
      <w:r w:rsidRPr="00594F7D">
        <w:rPr>
          <w:b/>
        </w:rPr>
        <w:t xml:space="preserve">LA PARTE RECURRENTE </w:t>
      </w:r>
      <w:r w:rsidRPr="00594F7D">
        <w:t xml:space="preserve">el </w:t>
      </w:r>
      <w:r w:rsidR="00A7098D" w:rsidRPr="00594F7D">
        <w:rPr>
          <w:b/>
        </w:rPr>
        <w:t>seis de agosto</w:t>
      </w:r>
      <w:r w:rsidRPr="00594F7D">
        <w:rPr>
          <w:b/>
        </w:rPr>
        <w:t xml:space="preserve"> de dos mil veinticinco</w:t>
      </w:r>
      <w:r w:rsidRPr="00594F7D">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B58C0D" w14:textId="77777777" w:rsidR="003B3CD6" w:rsidRPr="00594F7D" w:rsidRDefault="003B3CD6" w:rsidP="00594F7D"/>
    <w:p w14:paraId="1FCA8233" w14:textId="77777777" w:rsidR="003B3CD6" w:rsidRPr="00594F7D" w:rsidRDefault="004C3B66" w:rsidP="00594F7D">
      <w:pPr>
        <w:pStyle w:val="Ttulo3"/>
      </w:pPr>
      <w:bookmarkStart w:id="18" w:name="_Toc206616087"/>
      <w:r w:rsidRPr="00594F7D">
        <w:t>e) Manifestaciones de la Parte Recurrente</w:t>
      </w:r>
      <w:bookmarkEnd w:id="18"/>
    </w:p>
    <w:p w14:paraId="36F1B033" w14:textId="77777777" w:rsidR="003B3CD6" w:rsidRPr="00594F7D" w:rsidRDefault="004C3B66" w:rsidP="00594F7D">
      <w:r w:rsidRPr="00594F7D">
        <w:rPr>
          <w:b/>
        </w:rPr>
        <w:t xml:space="preserve">LA PARTE RECURRENTE </w:t>
      </w:r>
      <w:r w:rsidRPr="00594F7D">
        <w:t>no realizó manifestación alguna dentro del término legalmente concedido para tal efecto, ni presentó pruebas o alegatos.</w:t>
      </w:r>
    </w:p>
    <w:p w14:paraId="1B5AD0D6" w14:textId="77777777" w:rsidR="00A7098D" w:rsidRPr="00594F7D" w:rsidRDefault="00A7098D" w:rsidP="00594F7D"/>
    <w:p w14:paraId="1471BE5A" w14:textId="77777777" w:rsidR="00A7098D" w:rsidRPr="00594F7D" w:rsidRDefault="00A7098D" w:rsidP="00594F7D">
      <w:pPr>
        <w:pStyle w:val="Ttulo3"/>
      </w:pPr>
      <w:bookmarkStart w:id="19" w:name="_Toc201223092"/>
      <w:bookmarkStart w:id="20" w:name="_Toc201761195"/>
      <w:bookmarkStart w:id="21" w:name="_Toc202811798"/>
      <w:bookmarkStart w:id="22" w:name="_Toc203035959"/>
      <w:bookmarkStart w:id="23" w:name="_Toc205835066"/>
      <w:bookmarkStart w:id="24" w:name="_Toc206616088"/>
      <w:r w:rsidRPr="00594F7D">
        <w:t>f) Ampliación de Plazo para Resolver</w:t>
      </w:r>
      <w:bookmarkEnd w:id="19"/>
      <w:bookmarkEnd w:id="20"/>
      <w:bookmarkEnd w:id="21"/>
      <w:bookmarkEnd w:id="22"/>
      <w:bookmarkEnd w:id="23"/>
      <w:bookmarkEnd w:id="24"/>
      <w:r w:rsidRPr="00594F7D">
        <w:t xml:space="preserve"> </w:t>
      </w:r>
    </w:p>
    <w:p w14:paraId="6AA04023" w14:textId="64737269" w:rsidR="00A7098D" w:rsidRPr="00594F7D" w:rsidRDefault="00A7098D" w:rsidP="00594F7D">
      <w:r w:rsidRPr="00594F7D">
        <w:t xml:space="preserve">El </w:t>
      </w:r>
      <w:r w:rsidR="00F77F0D" w:rsidRPr="00594F7D">
        <w:rPr>
          <w:b/>
        </w:rPr>
        <w:t>trece</w:t>
      </w:r>
      <w:r w:rsidRPr="00594F7D">
        <w:rPr>
          <w:b/>
        </w:rPr>
        <w:t xml:space="preserve"> de agosto de dos mil veinticinco</w:t>
      </w:r>
      <w:r w:rsidRPr="00594F7D">
        <w:t>, se notificó el acuerdo de ampliación de plazo para resolver el presente Recurso de Revisión, previsto en el artículo 181, tercer párrafo de la Ley de Transparencia y Acceso a la Información Pública del Estado de México y Municipios.</w:t>
      </w:r>
    </w:p>
    <w:p w14:paraId="71016DEA" w14:textId="77777777" w:rsidR="003B3CD6" w:rsidRPr="00594F7D" w:rsidRDefault="003B3CD6" w:rsidP="00594F7D">
      <w:pPr>
        <w:pStyle w:val="Puesto"/>
        <w:ind w:firstLine="567"/>
        <w:jc w:val="right"/>
        <w:rPr>
          <w:color w:val="auto"/>
        </w:rPr>
      </w:pPr>
    </w:p>
    <w:p w14:paraId="5EE29E98" w14:textId="5B5239D7" w:rsidR="003B3CD6" w:rsidRPr="00594F7D" w:rsidRDefault="00A7098D" w:rsidP="00594F7D">
      <w:pPr>
        <w:pStyle w:val="Ttulo3"/>
      </w:pPr>
      <w:bookmarkStart w:id="25" w:name="_Toc206616089"/>
      <w:r w:rsidRPr="00594F7D">
        <w:t>g</w:t>
      </w:r>
      <w:r w:rsidR="004C3B66" w:rsidRPr="00594F7D">
        <w:t>) Cierre de instrucción</w:t>
      </w:r>
      <w:bookmarkEnd w:id="25"/>
    </w:p>
    <w:p w14:paraId="36EB1F56" w14:textId="2415F313" w:rsidR="003B3CD6" w:rsidRPr="00594F7D" w:rsidRDefault="004C3B66" w:rsidP="00594F7D">
      <w:r w:rsidRPr="00594F7D">
        <w:t xml:space="preserve">Al no existir diligencias pendientes por desahogar, el </w:t>
      </w:r>
      <w:r w:rsidR="00705494" w:rsidRPr="00594F7D">
        <w:rPr>
          <w:b/>
        </w:rPr>
        <w:t>catorce de agosto</w:t>
      </w:r>
      <w:r w:rsidRPr="00594F7D">
        <w:rPr>
          <w:b/>
        </w:rPr>
        <w:t xml:space="preserve"> de dos mil veinticinco,</w:t>
      </w:r>
      <w:r w:rsidRPr="00594F7D">
        <w:t xml:space="preserve"> la </w:t>
      </w:r>
      <w:r w:rsidRPr="00594F7D">
        <w:rPr>
          <w:b/>
        </w:rPr>
        <w:t xml:space="preserve">Comisionada Sharon Cristina Morales Martínez </w:t>
      </w:r>
      <w:r w:rsidRPr="00594F7D">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594F7D">
        <w:rPr>
          <w:b/>
        </w:rPr>
        <w:t>SAIMEX</w:t>
      </w:r>
      <w:r w:rsidRPr="00594F7D">
        <w:t>.</w:t>
      </w:r>
    </w:p>
    <w:p w14:paraId="18E22F3B" w14:textId="77777777" w:rsidR="003B3CD6" w:rsidRPr="00594F7D" w:rsidRDefault="004C3B66" w:rsidP="00594F7D">
      <w:pPr>
        <w:pStyle w:val="Ttulo1"/>
      </w:pPr>
      <w:bookmarkStart w:id="26" w:name="_Toc206616090"/>
      <w:r w:rsidRPr="00594F7D">
        <w:lastRenderedPageBreak/>
        <w:t>CONSIDERANDOS</w:t>
      </w:r>
      <w:bookmarkEnd w:id="26"/>
    </w:p>
    <w:p w14:paraId="383A98AA" w14:textId="77777777" w:rsidR="003B3CD6" w:rsidRPr="00594F7D" w:rsidRDefault="003B3CD6" w:rsidP="00594F7D">
      <w:pPr>
        <w:jc w:val="center"/>
        <w:rPr>
          <w:b/>
        </w:rPr>
      </w:pPr>
    </w:p>
    <w:p w14:paraId="3AFF8E5F" w14:textId="77777777" w:rsidR="003B3CD6" w:rsidRPr="00594F7D" w:rsidRDefault="004C3B66" w:rsidP="00594F7D">
      <w:pPr>
        <w:pStyle w:val="Ttulo2"/>
      </w:pPr>
      <w:bookmarkStart w:id="27" w:name="_Toc206616091"/>
      <w:r w:rsidRPr="00594F7D">
        <w:t>PRIMERO. Procedibilidad</w:t>
      </w:r>
      <w:bookmarkEnd w:id="27"/>
    </w:p>
    <w:p w14:paraId="79059977" w14:textId="77777777" w:rsidR="003B3CD6" w:rsidRPr="00594F7D" w:rsidRDefault="004C3B66" w:rsidP="00594F7D">
      <w:pPr>
        <w:pStyle w:val="Ttulo3"/>
      </w:pPr>
      <w:bookmarkStart w:id="28" w:name="_Toc206616092"/>
      <w:r w:rsidRPr="00594F7D">
        <w:t>a) Competencia del Instituto</w:t>
      </w:r>
      <w:bookmarkEnd w:id="28"/>
    </w:p>
    <w:p w14:paraId="42BB1DC8" w14:textId="77777777" w:rsidR="00976D90" w:rsidRPr="00594F7D" w:rsidRDefault="00976D90" w:rsidP="00594F7D">
      <w:r w:rsidRPr="00594F7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594F7D" w:rsidRDefault="003B3CD6" w:rsidP="00594F7D"/>
    <w:p w14:paraId="2904B601" w14:textId="77777777" w:rsidR="003B3CD6" w:rsidRPr="00594F7D" w:rsidRDefault="004C3B66" w:rsidP="00594F7D">
      <w:pPr>
        <w:pStyle w:val="Ttulo3"/>
      </w:pPr>
      <w:bookmarkStart w:id="29" w:name="_Toc206616093"/>
      <w:r w:rsidRPr="00594F7D">
        <w:t>b) Legitimidad de la parte recurrente</w:t>
      </w:r>
      <w:bookmarkEnd w:id="29"/>
    </w:p>
    <w:p w14:paraId="34C70CF8" w14:textId="77777777" w:rsidR="003B3CD6" w:rsidRPr="00594F7D" w:rsidRDefault="004C3B66" w:rsidP="00594F7D">
      <w:r w:rsidRPr="00594F7D">
        <w:t>El recurso de revisión fue interpuesto por parte legítima, ya que se presentó por la misma persona que formuló la solicitud de acceso a la Información Pública,</w:t>
      </w:r>
      <w:r w:rsidRPr="00594F7D">
        <w:rPr>
          <w:b/>
        </w:rPr>
        <w:t xml:space="preserve"> </w:t>
      </w:r>
      <w:r w:rsidRPr="00594F7D">
        <w:t>debido a que los datos de acceso</w:t>
      </w:r>
      <w:r w:rsidRPr="00594F7D">
        <w:rPr>
          <w:b/>
        </w:rPr>
        <w:t xml:space="preserve"> SAIMEX</w:t>
      </w:r>
      <w:r w:rsidRPr="00594F7D">
        <w:t xml:space="preserve"> son personales e irrepetibles.</w:t>
      </w:r>
    </w:p>
    <w:p w14:paraId="5349604E" w14:textId="77777777" w:rsidR="003B3CD6" w:rsidRPr="00594F7D" w:rsidRDefault="003B3CD6" w:rsidP="00594F7D"/>
    <w:p w14:paraId="410084DA" w14:textId="77777777" w:rsidR="003B3CD6" w:rsidRPr="00594F7D" w:rsidRDefault="004C3B66" w:rsidP="00594F7D">
      <w:pPr>
        <w:pStyle w:val="Ttulo3"/>
      </w:pPr>
      <w:bookmarkStart w:id="30" w:name="_Toc206616094"/>
      <w:r w:rsidRPr="00594F7D">
        <w:t>c) Plazo para interponer el recurso</w:t>
      </w:r>
      <w:bookmarkEnd w:id="30"/>
    </w:p>
    <w:p w14:paraId="4BF563FB" w14:textId="1C4242F8" w:rsidR="003B3CD6" w:rsidRPr="00594F7D" w:rsidRDefault="004C3B66" w:rsidP="00594F7D">
      <w:r w:rsidRPr="00594F7D">
        <w:rPr>
          <w:b/>
        </w:rPr>
        <w:t>EL SUJETO OBLIGADO</w:t>
      </w:r>
      <w:r w:rsidRPr="00594F7D">
        <w:t xml:space="preserve"> notificó la respuesta a la solicitud de acceso a la Información Pública el </w:t>
      </w:r>
      <w:r w:rsidR="00753B6D" w:rsidRPr="00594F7D">
        <w:rPr>
          <w:b/>
        </w:rPr>
        <w:t>diecinueve</w:t>
      </w:r>
      <w:r w:rsidR="00976D90" w:rsidRPr="00594F7D">
        <w:rPr>
          <w:b/>
        </w:rPr>
        <w:t xml:space="preserve"> de mayo</w:t>
      </w:r>
      <w:r w:rsidRPr="00594F7D">
        <w:rPr>
          <w:b/>
        </w:rPr>
        <w:t xml:space="preserve"> de dos mil veinticinco,</w:t>
      </w:r>
      <w:r w:rsidRPr="00594F7D">
        <w:t xml:space="preserve"> y el recurso que nos ocupa se tuvo por presentado el </w:t>
      </w:r>
      <w:r w:rsidR="00753B6D" w:rsidRPr="00594F7D">
        <w:rPr>
          <w:b/>
        </w:rPr>
        <w:t xml:space="preserve">nueve </w:t>
      </w:r>
      <w:r w:rsidR="00976D90" w:rsidRPr="00594F7D">
        <w:rPr>
          <w:b/>
        </w:rPr>
        <w:t>de junio</w:t>
      </w:r>
      <w:r w:rsidRPr="00594F7D">
        <w:rPr>
          <w:b/>
        </w:rPr>
        <w:t xml:space="preserve"> de dos mil veinticinco</w:t>
      </w:r>
      <w:r w:rsidRPr="00594F7D">
        <w:t xml:space="preserve">; por lo tanto, éste se encuentra dentro </w:t>
      </w:r>
      <w:r w:rsidRPr="00594F7D">
        <w:lastRenderedPageBreak/>
        <w:t>del margen temporal previsto en el artículo 178 de la Ley de Transparencia y Acceso a la Información Pública del Estado de México y Municipios.</w:t>
      </w:r>
    </w:p>
    <w:p w14:paraId="20096449" w14:textId="77777777" w:rsidR="003B3CD6" w:rsidRPr="00594F7D" w:rsidRDefault="003B3CD6" w:rsidP="00594F7D"/>
    <w:p w14:paraId="2358FEAA" w14:textId="77777777" w:rsidR="003B3CD6" w:rsidRPr="00594F7D" w:rsidRDefault="004C3B66" w:rsidP="00594F7D">
      <w:pPr>
        <w:pStyle w:val="Ttulo3"/>
      </w:pPr>
      <w:bookmarkStart w:id="31" w:name="_Toc206616095"/>
      <w:r w:rsidRPr="00594F7D">
        <w:t>d) Causal de Procedencia</w:t>
      </w:r>
      <w:bookmarkEnd w:id="31"/>
    </w:p>
    <w:p w14:paraId="282E97CD" w14:textId="002AF05B" w:rsidR="003B3CD6" w:rsidRPr="00594F7D" w:rsidRDefault="004C3B66" w:rsidP="00594F7D">
      <w:r w:rsidRPr="00594F7D">
        <w:t xml:space="preserve">Resulta procedente la interposición del recurso de revisión, ya que se actualiza la causal de procedencia señalada en el artículo 179, fracción </w:t>
      </w:r>
      <w:r w:rsidR="00753B6D" w:rsidRPr="00594F7D">
        <w:t>V</w:t>
      </w:r>
      <w:r w:rsidRPr="00594F7D">
        <w:t xml:space="preserve"> de la Ley de Transparencia y Acceso a la Información Pública del Estado de México y Municipios.</w:t>
      </w:r>
    </w:p>
    <w:p w14:paraId="1E82575C" w14:textId="77777777" w:rsidR="003B3CD6" w:rsidRPr="00594F7D" w:rsidRDefault="003B3CD6" w:rsidP="00594F7D"/>
    <w:p w14:paraId="095E2DA1" w14:textId="77777777" w:rsidR="003B3CD6" w:rsidRPr="00594F7D" w:rsidRDefault="004C3B66" w:rsidP="00594F7D">
      <w:pPr>
        <w:pStyle w:val="Ttulo3"/>
      </w:pPr>
      <w:bookmarkStart w:id="32" w:name="_Toc206616096"/>
      <w:r w:rsidRPr="00594F7D">
        <w:t>e) Requisitos formales para la interposición del recurso</w:t>
      </w:r>
      <w:bookmarkEnd w:id="32"/>
    </w:p>
    <w:p w14:paraId="7D093EB8" w14:textId="77777777" w:rsidR="003B3CD6" w:rsidRPr="00594F7D" w:rsidRDefault="004C3B66" w:rsidP="00594F7D">
      <w:r w:rsidRPr="00594F7D">
        <w:t xml:space="preserve">Es importante mencionar que, de la revisión del expediente electrónico del </w:t>
      </w:r>
      <w:r w:rsidRPr="00594F7D">
        <w:rPr>
          <w:b/>
        </w:rPr>
        <w:t>SAIMEX</w:t>
      </w:r>
      <w:r w:rsidRPr="00594F7D">
        <w:t xml:space="preserve">, se observa que </w:t>
      </w:r>
      <w:r w:rsidRPr="00594F7D">
        <w:rPr>
          <w:b/>
        </w:rPr>
        <w:t>LA PARTE RECURRENTE</w:t>
      </w:r>
      <w:r w:rsidRPr="00594F7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94F7D">
        <w:rPr>
          <w:b/>
          <w:u w:val="single"/>
        </w:rPr>
        <w:t>el nombre no es un requisito indispensable</w:t>
      </w:r>
      <w:r w:rsidRPr="00594F7D">
        <w:t xml:space="preserve"> para que las y los ciudadanos ejerzan el derecho de acceso a la información pública. </w:t>
      </w:r>
    </w:p>
    <w:p w14:paraId="66B812C0" w14:textId="77777777" w:rsidR="003B3CD6" w:rsidRPr="00594F7D" w:rsidRDefault="003B3CD6" w:rsidP="00594F7D"/>
    <w:p w14:paraId="3EB43DF8" w14:textId="77777777" w:rsidR="003B3CD6" w:rsidRPr="00594F7D" w:rsidRDefault="004C3B66" w:rsidP="00594F7D">
      <w:r w:rsidRPr="00594F7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94F7D">
        <w:rPr>
          <w:b/>
        </w:rPr>
        <w:t>LA PARTE RECURRENTE</w:t>
      </w:r>
      <w:r w:rsidRPr="00594F7D">
        <w:t xml:space="preserve">; por lo que, en el presente caso, al haber sido presentado el recurso de revisión vía </w:t>
      </w:r>
      <w:r w:rsidRPr="00594F7D">
        <w:rPr>
          <w:b/>
        </w:rPr>
        <w:t>SAIMEX</w:t>
      </w:r>
      <w:r w:rsidRPr="00594F7D">
        <w:t>, dicho requisito resulta innecesario.</w:t>
      </w:r>
    </w:p>
    <w:p w14:paraId="23BA345A" w14:textId="77777777" w:rsidR="003B3CD6" w:rsidRPr="00594F7D" w:rsidRDefault="003B3CD6" w:rsidP="00594F7D"/>
    <w:p w14:paraId="397731B2" w14:textId="77777777" w:rsidR="003B3CD6" w:rsidRPr="00594F7D" w:rsidRDefault="004C3B66" w:rsidP="00594F7D">
      <w:pPr>
        <w:pStyle w:val="Ttulo2"/>
      </w:pPr>
      <w:bookmarkStart w:id="33" w:name="_Toc206616097"/>
      <w:r w:rsidRPr="00594F7D">
        <w:t>SEGUNDO. Estudio de Fondo</w:t>
      </w:r>
      <w:bookmarkEnd w:id="33"/>
    </w:p>
    <w:p w14:paraId="2CBA3AB4" w14:textId="77777777" w:rsidR="003B3CD6" w:rsidRPr="00594F7D" w:rsidRDefault="004C3B66" w:rsidP="00594F7D">
      <w:pPr>
        <w:pStyle w:val="Ttulo3"/>
      </w:pPr>
      <w:bookmarkStart w:id="34" w:name="_Toc206616098"/>
      <w:r w:rsidRPr="00594F7D">
        <w:t>a) Mandato de transparencia y responsabilidad del Sujeto Obligado</w:t>
      </w:r>
      <w:bookmarkEnd w:id="34"/>
    </w:p>
    <w:p w14:paraId="7F6AD857" w14:textId="77777777" w:rsidR="003B3CD6" w:rsidRPr="00594F7D" w:rsidRDefault="004C3B66" w:rsidP="00594F7D">
      <w:r w:rsidRPr="00594F7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594F7D" w:rsidRDefault="003B3CD6" w:rsidP="00594F7D"/>
    <w:p w14:paraId="62B4F227" w14:textId="77777777" w:rsidR="003B3CD6" w:rsidRPr="00594F7D" w:rsidRDefault="004C3B66" w:rsidP="00594F7D">
      <w:pPr>
        <w:spacing w:line="240" w:lineRule="auto"/>
        <w:ind w:left="567" w:right="539"/>
        <w:rPr>
          <w:b/>
          <w:i/>
        </w:rPr>
      </w:pPr>
      <w:r w:rsidRPr="00594F7D">
        <w:rPr>
          <w:b/>
          <w:i/>
        </w:rPr>
        <w:t>Constitución Política de los Estados Unidos Mexicanos</w:t>
      </w:r>
    </w:p>
    <w:p w14:paraId="52BAAA9E" w14:textId="77777777" w:rsidR="003B3CD6" w:rsidRPr="00594F7D" w:rsidRDefault="004C3B66" w:rsidP="00594F7D">
      <w:pPr>
        <w:spacing w:line="240" w:lineRule="auto"/>
        <w:ind w:left="567" w:right="539"/>
        <w:rPr>
          <w:b/>
          <w:i/>
        </w:rPr>
      </w:pPr>
      <w:r w:rsidRPr="00594F7D">
        <w:rPr>
          <w:b/>
          <w:i/>
        </w:rPr>
        <w:t>“Artículo 6.</w:t>
      </w:r>
    </w:p>
    <w:p w14:paraId="5E30512E" w14:textId="77777777" w:rsidR="003B3CD6" w:rsidRPr="00594F7D" w:rsidRDefault="004C3B66" w:rsidP="00594F7D">
      <w:pPr>
        <w:spacing w:line="240" w:lineRule="auto"/>
        <w:ind w:left="567" w:right="539"/>
        <w:rPr>
          <w:i/>
        </w:rPr>
      </w:pPr>
      <w:r w:rsidRPr="00594F7D">
        <w:rPr>
          <w:i/>
        </w:rPr>
        <w:t>(…)</w:t>
      </w:r>
    </w:p>
    <w:p w14:paraId="7EA72D1F" w14:textId="77777777" w:rsidR="003B3CD6" w:rsidRPr="00594F7D" w:rsidRDefault="004C3B66" w:rsidP="00594F7D">
      <w:pPr>
        <w:spacing w:line="240" w:lineRule="auto"/>
        <w:ind w:left="567" w:right="539"/>
        <w:rPr>
          <w:i/>
        </w:rPr>
      </w:pPr>
      <w:r w:rsidRPr="00594F7D">
        <w:rPr>
          <w:i/>
        </w:rPr>
        <w:t>Para efectos de lo dispuesto en el presente artículo se observará lo siguiente:</w:t>
      </w:r>
    </w:p>
    <w:p w14:paraId="6E7AEF2D" w14:textId="77777777" w:rsidR="003B3CD6" w:rsidRPr="00594F7D" w:rsidRDefault="004C3B66" w:rsidP="00594F7D">
      <w:pPr>
        <w:spacing w:line="240" w:lineRule="auto"/>
        <w:ind w:left="567" w:right="539"/>
        <w:rPr>
          <w:b/>
          <w:i/>
        </w:rPr>
      </w:pPr>
      <w:r w:rsidRPr="00594F7D">
        <w:rPr>
          <w:b/>
          <w:i/>
        </w:rPr>
        <w:t>A</w:t>
      </w:r>
      <w:r w:rsidRPr="00594F7D">
        <w:rPr>
          <w:i/>
        </w:rPr>
        <w:t xml:space="preserve">. </w:t>
      </w:r>
      <w:r w:rsidRPr="00594F7D">
        <w:rPr>
          <w:b/>
          <w:i/>
        </w:rPr>
        <w:t>Para el ejercicio del derecho de acceso a la información</w:t>
      </w:r>
      <w:r w:rsidRPr="00594F7D">
        <w:rPr>
          <w:i/>
        </w:rPr>
        <w:t xml:space="preserve">, la Federación y </w:t>
      </w:r>
      <w:r w:rsidRPr="00594F7D">
        <w:rPr>
          <w:b/>
          <w:i/>
        </w:rPr>
        <w:t>las entidades federativas, en el ámbito de sus respectivas competencias, se regirán por los siguientes principios y bases:</w:t>
      </w:r>
    </w:p>
    <w:p w14:paraId="7D36875B" w14:textId="77777777" w:rsidR="003B3CD6" w:rsidRPr="00594F7D" w:rsidRDefault="004C3B66" w:rsidP="00594F7D">
      <w:pPr>
        <w:spacing w:line="240" w:lineRule="auto"/>
        <w:ind w:left="567" w:right="539"/>
        <w:rPr>
          <w:i/>
        </w:rPr>
      </w:pPr>
      <w:r w:rsidRPr="00594F7D">
        <w:rPr>
          <w:b/>
          <w:i/>
        </w:rPr>
        <w:t xml:space="preserve">I. </w:t>
      </w:r>
      <w:r w:rsidRPr="00594F7D">
        <w:rPr>
          <w:b/>
          <w:i/>
        </w:rPr>
        <w:tab/>
        <w:t>Toda la información en posesión de cualquier</w:t>
      </w:r>
      <w:r w:rsidRPr="00594F7D">
        <w:rPr>
          <w:i/>
        </w:rPr>
        <w:t xml:space="preserve"> </w:t>
      </w:r>
      <w:r w:rsidRPr="00594F7D">
        <w:rPr>
          <w:b/>
          <w:i/>
        </w:rPr>
        <w:t>autoridad</w:t>
      </w:r>
      <w:r w:rsidRPr="00594F7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94F7D">
        <w:rPr>
          <w:b/>
          <w:i/>
        </w:rPr>
        <w:t>municipal</w:t>
      </w:r>
      <w:r w:rsidRPr="00594F7D">
        <w:rPr>
          <w:i/>
        </w:rPr>
        <w:t xml:space="preserve">, </w:t>
      </w:r>
      <w:r w:rsidRPr="00594F7D">
        <w:rPr>
          <w:b/>
          <w:i/>
        </w:rPr>
        <w:t>es pública</w:t>
      </w:r>
      <w:r w:rsidRPr="00594F7D">
        <w:rPr>
          <w:i/>
        </w:rPr>
        <w:t xml:space="preserve"> y sólo podrá ser reservada temporalmente por razones de interés público y seguridad nacional, en los términos que fijen las leyes. </w:t>
      </w:r>
      <w:r w:rsidRPr="00594F7D">
        <w:rPr>
          <w:b/>
          <w:i/>
        </w:rPr>
        <w:t>En la interpretación de este derecho deberá prevalecer el principio de máxima publicidad. Los sujetos obligados deberán documentar todo acto que derive del ejercicio de sus facultades, competencias o funciones</w:t>
      </w:r>
      <w:r w:rsidRPr="00594F7D">
        <w:rPr>
          <w:i/>
        </w:rPr>
        <w:t>, la ley determinará los supuestos específicos bajo los cuales procederá la declaración de inexistencia de la información.”</w:t>
      </w:r>
    </w:p>
    <w:p w14:paraId="2FF3B18F" w14:textId="77777777" w:rsidR="003B3CD6" w:rsidRPr="00594F7D" w:rsidRDefault="003B3CD6" w:rsidP="00594F7D">
      <w:pPr>
        <w:spacing w:line="240" w:lineRule="auto"/>
        <w:ind w:left="567" w:right="539"/>
        <w:rPr>
          <w:b/>
          <w:i/>
        </w:rPr>
      </w:pPr>
    </w:p>
    <w:p w14:paraId="32EF8C66" w14:textId="77777777" w:rsidR="003B3CD6" w:rsidRPr="00594F7D" w:rsidRDefault="004C3B66" w:rsidP="00594F7D">
      <w:pPr>
        <w:spacing w:line="240" w:lineRule="auto"/>
        <w:ind w:left="567" w:right="539"/>
        <w:rPr>
          <w:b/>
          <w:i/>
        </w:rPr>
      </w:pPr>
      <w:r w:rsidRPr="00594F7D">
        <w:rPr>
          <w:b/>
          <w:i/>
        </w:rPr>
        <w:t>Constitución Política del Estado Libre y Soberano de México</w:t>
      </w:r>
    </w:p>
    <w:p w14:paraId="2AE9E98A" w14:textId="77777777" w:rsidR="003B3CD6" w:rsidRPr="00594F7D" w:rsidRDefault="004C3B66" w:rsidP="00594F7D">
      <w:pPr>
        <w:spacing w:line="240" w:lineRule="auto"/>
        <w:ind w:left="567" w:right="539"/>
        <w:rPr>
          <w:i/>
        </w:rPr>
      </w:pPr>
      <w:r w:rsidRPr="00594F7D">
        <w:rPr>
          <w:b/>
          <w:i/>
        </w:rPr>
        <w:t>“Artículo 5</w:t>
      </w:r>
      <w:r w:rsidRPr="00594F7D">
        <w:rPr>
          <w:i/>
        </w:rPr>
        <w:t xml:space="preserve">.- </w:t>
      </w:r>
    </w:p>
    <w:p w14:paraId="6AB12DB8" w14:textId="77777777" w:rsidR="003B3CD6" w:rsidRPr="00594F7D" w:rsidRDefault="004C3B66" w:rsidP="00594F7D">
      <w:pPr>
        <w:spacing w:line="240" w:lineRule="auto"/>
        <w:ind w:left="567" w:right="539"/>
        <w:rPr>
          <w:i/>
        </w:rPr>
      </w:pPr>
      <w:r w:rsidRPr="00594F7D">
        <w:rPr>
          <w:i/>
        </w:rPr>
        <w:t>(…)</w:t>
      </w:r>
    </w:p>
    <w:p w14:paraId="2A33DCD6" w14:textId="77777777" w:rsidR="003B3CD6" w:rsidRPr="00594F7D" w:rsidRDefault="004C3B66" w:rsidP="00594F7D">
      <w:pPr>
        <w:spacing w:line="240" w:lineRule="auto"/>
        <w:ind w:left="567" w:right="539"/>
        <w:rPr>
          <w:i/>
        </w:rPr>
      </w:pPr>
      <w:r w:rsidRPr="00594F7D">
        <w:rPr>
          <w:b/>
          <w:i/>
        </w:rPr>
        <w:t>El derecho a la información será garantizado por el Estado. La ley establecerá las previsiones que permitan asegurar la protección, el respeto y la difusión de este derecho</w:t>
      </w:r>
      <w:r w:rsidRPr="00594F7D">
        <w:rPr>
          <w:i/>
        </w:rPr>
        <w:t>.</w:t>
      </w:r>
    </w:p>
    <w:p w14:paraId="22ABD449" w14:textId="77777777" w:rsidR="003B3CD6" w:rsidRPr="00594F7D" w:rsidRDefault="004C3B66" w:rsidP="00594F7D">
      <w:pPr>
        <w:spacing w:line="240" w:lineRule="auto"/>
        <w:ind w:left="567" w:right="539"/>
        <w:rPr>
          <w:i/>
        </w:rPr>
      </w:pPr>
      <w:r w:rsidRPr="00594F7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594F7D" w:rsidRDefault="004C3B66" w:rsidP="00594F7D">
      <w:pPr>
        <w:spacing w:line="240" w:lineRule="auto"/>
        <w:ind w:left="567" w:right="539"/>
        <w:rPr>
          <w:i/>
        </w:rPr>
      </w:pPr>
      <w:r w:rsidRPr="00594F7D">
        <w:rPr>
          <w:b/>
          <w:i/>
        </w:rPr>
        <w:lastRenderedPageBreak/>
        <w:t>Este derecho se regirá por los principios y bases siguientes</w:t>
      </w:r>
      <w:r w:rsidRPr="00594F7D">
        <w:rPr>
          <w:i/>
        </w:rPr>
        <w:t>:</w:t>
      </w:r>
    </w:p>
    <w:p w14:paraId="39FA9EAC" w14:textId="77777777" w:rsidR="003B3CD6" w:rsidRPr="00594F7D" w:rsidRDefault="004C3B66" w:rsidP="00594F7D">
      <w:pPr>
        <w:spacing w:line="240" w:lineRule="auto"/>
        <w:ind w:left="567" w:right="539"/>
        <w:rPr>
          <w:i/>
        </w:rPr>
      </w:pPr>
      <w:r w:rsidRPr="00594F7D">
        <w:rPr>
          <w:b/>
          <w:i/>
        </w:rPr>
        <w:t>I. Toda la información en posesión de cualquier autoridad, entidad, órgano y organismos de los</w:t>
      </w:r>
      <w:r w:rsidRPr="00594F7D">
        <w:rPr>
          <w:i/>
        </w:rPr>
        <w:t xml:space="preserve"> Poderes Ejecutivo, Legislativo y Judicial, órganos autónomos, partidos políticos, fideicomisos y fondos públicos estatales y </w:t>
      </w:r>
      <w:r w:rsidRPr="00594F7D">
        <w:rPr>
          <w:b/>
          <w:i/>
        </w:rPr>
        <w:t>municipales</w:t>
      </w:r>
      <w:r w:rsidRPr="00594F7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94F7D">
        <w:rPr>
          <w:b/>
          <w:i/>
        </w:rPr>
        <w:t>es pública</w:t>
      </w:r>
      <w:r w:rsidRPr="00594F7D">
        <w:rPr>
          <w:i/>
        </w:rPr>
        <w:t xml:space="preserve"> y sólo podrá ser reservada temporalmente por razones previstas en la Constitución Política de los Estados Unidos Mexicanos de interés público y seguridad, en los términos que fijen las leyes. </w:t>
      </w:r>
      <w:r w:rsidRPr="00594F7D">
        <w:rPr>
          <w:b/>
          <w:i/>
        </w:rPr>
        <w:t>En la interpretación de este derecho deberá prevalecer el principio de máxima publicidad</w:t>
      </w:r>
      <w:r w:rsidRPr="00594F7D">
        <w:rPr>
          <w:i/>
        </w:rPr>
        <w:t xml:space="preserve">. </w:t>
      </w:r>
      <w:r w:rsidRPr="00594F7D">
        <w:rPr>
          <w:b/>
          <w:i/>
        </w:rPr>
        <w:t>Los sujetos obligados deberán documentar todo acto que derive del ejercicio de sus facultades, competencias o funciones</w:t>
      </w:r>
      <w:r w:rsidRPr="00594F7D">
        <w:rPr>
          <w:i/>
        </w:rPr>
        <w:t>, la ley determinará los supuestos específicos bajo los cuales procederá la declaración de inexistencia de la información.”</w:t>
      </w:r>
    </w:p>
    <w:p w14:paraId="5EA61096" w14:textId="77777777" w:rsidR="003B3CD6" w:rsidRPr="00594F7D" w:rsidRDefault="003B3CD6" w:rsidP="00594F7D">
      <w:pPr>
        <w:rPr>
          <w:b/>
          <w:i/>
        </w:rPr>
      </w:pPr>
    </w:p>
    <w:p w14:paraId="23D73E1C" w14:textId="77777777" w:rsidR="003B3CD6" w:rsidRPr="00594F7D" w:rsidRDefault="004C3B66" w:rsidP="00594F7D">
      <w:pPr>
        <w:rPr>
          <w:i/>
        </w:rPr>
      </w:pPr>
      <w:r w:rsidRPr="00594F7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94F7D">
        <w:rPr>
          <w:i/>
        </w:rPr>
        <w:t>por los principios de simplicidad, rapidez, gratuidad del procedimiento, auxilio y orientación a los particulares.</w:t>
      </w:r>
    </w:p>
    <w:p w14:paraId="13767611" w14:textId="77777777" w:rsidR="003B3CD6" w:rsidRPr="00594F7D" w:rsidRDefault="003B3CD6" w:rsidP="00594F7D">
      <w:pPr>
        <w:rPr>
          <w:i/>
        </w:rPr>
      </w:pPr>
    </w:p>
    <w:p w14:paraId="429C1F00" w14:textId="77777777" w:rsidR="003B3CD6" w:rsidRPr="00594F7D" w:rsidRDefault="004C3B66" w:rsidP="00594F7D">
      <w:pPr>
        <w:rPr>
          <w:i/>
        </w:rPr>
      </w:pPr>
      <w:r w:rsidRPr="00594F7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594F7D" w:rsidRDefault="003B3CD6" w:rsidP="00594F7D"/>
    <w:p w14:paraId="07D89208" w14:textId="77777777" w:rsidR="003B3CD6" w:rsidRPr="00594F7D" w:rsidRDefault="004C3B66" w:rsidP="00594F7D">
      <w:r w:rsidRPr="00594F7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594F7D" w:rsidRDefault="003B3CD6" w:rsidP="00594F7D"/>
    <w:p w14:paraId="7968B98C" w14:textId="77777777" w:rsidR="003B3CD6" w:rsidRPr="00594F7D" w:rsidRDefault="004C3B66" w:rsidP="00594F7D">
      <w:r w:rsidRPr="00594F7D">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594F7D" w:rsidRDefault="003B3CD6" w:rsidP="00594F7D"/>
    <w:p w14:paraId="2BAE709D" w14:textId="77777777" w:rsidR="003B3CD6" w:rsidRPr="00594F7D" w:rsidRDefault="004C3B66" w:rsidP="00594F7D">
      <w:r w:rsidRPr="00594F7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E2304F6" w14:textId="77777777" w:rsidR="003B3CD6" w:rsidRPr="00594F7D" w:rsidRDefault="003B3CD6" w:rsidP="00594F7D"/>
    <w:p w14:paraId="0082279D" w14:textId="77777777" w:rsidR="003B3CD6" w:rsidRPr="00594F7D" w:rsidRDefault="004C3B66" w:rsidP="00594F7D">
      <w:pPr>
        <w:pStyle w:val="Ttulo3"/>
      </w:pPr>
      <w:bookmarkStart w:id="35" w:name="_Toc206616099"/>
      <w:r w:rsidRPr="00594F7D">
        <w:t>b) Controversia a resolver</w:t>
      </w:r>
      <w:bookmarkEnd w:id="35"/>
    </w:p>
    <w:p w14:paraId="1C366823" w14:textId="77777777" w:rsidR="003B3CD6" w:rsidRPr="00594F7D" w:rsidRDefault="004C3B66" w:rsidP="00594F7D">
      <w:r w:rsidRPr="00594F7D">
        <w:t xml:space="preserve">Con el objeto de ilustrar la controversia planteada, resulta conveniente precisar que, una vez realizado el estudio de las constancias que integran el expediente en que se actúa, se desprende que </w:t>
      </w:r>
      <w:r w:rsidRPr="00594F7D">
        <w:rPr>
          <w:b/>
        </w:rPr>
        <w:t>LA PARTE RECURRENTE</w:t>
      </w:r>
      <w:r w:rsidRPr="00594F7D">
        <w:t xml:space="preserve"> solicitó de manera medular lo siguiente: </w:t>
      </w:r>
    </w:p>
    <w:p w14:paraId="43749891" w14:textId="77777777" w:rsidR="00BE1A75" w:rsidRPr="00594F7D" w:rsidRDefault="00BE1A75" w:rsidP="00594F7D"/>
    <w:p w14:paraId="7DEB930D" w14:textId="31B85AD1" w:rsidR="00876D7D" w:rsidRPr="00594F7D" w:rsidRDefault="00876D7D" w:rsidP="00594F7D">
      <w:pPr>
        <w:numPr>
          <w:ilvl w:val="0"/>
          <w:numId w:val="10"/>
        </w:numPr>
      </w:pPr>
      <w:r w:rsidRPr="00594F7D">
        <w:t xml:space="preserve">Cantidad de topes se colocaron en Isidro Fabela; </w:t>
      </w:r>
    </w:p>
    <w:p w14:paraId="7B757762" w14:textId="5080F421" w:rsidR="00876D7D" w:rsidRPr="00594F7D" w:rsidRDefault="00876D7D" w:rsidP="00594F7D">
      <w:pPr>
        <w:numPr>
          <w:ilvl w:val="0"/>
          <w:numId w:val="10"/>
        </w:numPr>
      </w:pPr>
      <w:r w:rsidRPr="00594F7D">
        <w:t>Costo de cada uno;</w:t>
      </w:r>
    </w:p>
    <w:p w14:paraId="0288C44E" w14:textId="08FB1745" w:rsidR="00876D7D" w:rsidRPr="00594F7D" w:rsidRDefault="00876D7D" w:rsidP="00594F7D">
      <w:pPr>
        <w:numPr>
          <w:ilvl w:val="0"/>
          <w:numId w:val="10"/>
        </w:numPr>
      </w:pPr>
      <w:r w:rsidRPr="00594F7D">
        <w:t xml:space="preserve">Material utilizado; </w:t>
      </w:r>
    </w:p>
    <w:p w14:paraId="46455BEA" w14:textId="75A90551" w:rsidR="00876D7D" w:rsidRPr="00594F7D" w:rsidRDefault="00876D7D" w:rsidP="00594F7D">
      <w:pPr>
        <w:numPr>
          <w:ilvl w:val="0"/>
          <w:numId w:val="10"/>
        </w:numPr>
      </w:pPr>
      <w:r w:rsidRPr="00594F7D">
        <w:t>Posiciones;</w:t>
      </w:r>
    </w:p>
    <w:p w14:paraId="5E50C75D" w14:textId="14D00B60" w:rsidR="00876D7D" w:rsidRPr="00594F7D" w:rsidRDefault="00876D7D" w:rsidP="00594F7D">
      <w:pPr>
        <w:numPr>
          <w:ilvl w:val="0"/>
          <w:numId w:val="10"/>
        </w:numPr>
      </w:pPr>
      <w:r w:rsidRPr="00594F7D">
        <w:t>Nombre de la empresa que lo realizó;</w:t>
      </w:r>
    </w:p>
    <w:p w14:paraId="1A3D6B12" w14:textId="4B4F323A" w:rsidR="00876D7D" w:rsidRPr="00594F7D" w:rsidRDefault="00876D7D" w:rsidP="00594F7D">
      <w:pPr>
        <w:numPr>
          <w:ilvl w:val="0"/>
          <w:numId w:val="10"/>
        </w:numPr>
      </w:pPr>
      <w:r w:rsidRPr="00594F7D">
        <w:t>Cantidad de litros de pintura se usaron para pintarlos;</w:t>
      </w:r>
    </w:p>
    <w:p w14:paraId="6B66C058" w14:textId="0C6BC40C" w:rsidR="00BE1A75" w:rsidRPr="00594F7D" w:rsidRDefault="00876D7D" w:rsidP="00594F7D">
      <w:pPr>
        <w:numPr>
          <w:ilvl w:val="0"/>
          <w:numId w:val="10"/>
        </w:numPr>
      </w:pPr>
      <w:r w:rsidRPr="00594F7D">
        <w:lastRenderedPageBreak/>
        <w:t>Fotos de los topes colocados.</w:t>
      </w:r>
    </w:p>
    <w:p w14:paraId="5322C74C" w14:textId="77777777" w:rsidR="00876D7D" w:rsidRPr="00594F7D" w:rsidRDefault="00876D7D" w:rsidP="00594F7D"/>
    <w:p w14:paraId="6F6C7ABE" w14:textId="77777777" w:rsidR="00876D7D" w:rsidRPr="00594F7D" w:rsidRDefault="004C3B66" w:rsidP="00594F7D">
      <w:pPr>
        <w:pBdr>
          <w:top w:val="nil"/>
          <w:left w:val="nil"/>
          <w:bottom w:val="nil"/>
          <w:right w:val="nil"/>
          <w:between w:val="nil"/>
        </w:pBdr>
      </w:pPr>
      <w:r w:rsidRPr="00594F7D">
        <w:t xml:space="preserve">En respuesta, </w:t>
      </w:r>
      <w:r w:rsidRPr="00594F7D">
        <w:rPr>
          <w:b/>
        </w:rPr>
        <w:t>EL SUJETO OBLIGADO</w:t>
      </w:r>
      <w:r w:rsidRPr="00594F7D">
        <w:t xml:space="preserve"> </w:t>
      </w:r>
      <w:r w:rsidR="00876D7D" w:rsidRPr="00594F7D">
        <w:t>informó lo siguiente:</w:t>
      </w:r>
    </w:p>
    <w:p w14:paraId="7896CF30" w14:textId="77777777" w:rsidR="00876D7D" w:rsidRPr="00594F7D" w:rsidRDefault="00876D7D" w:rsidP="00594F7D">
      <w:pPr>
        <w:ind w:right="-28"/>
        <w:rPr>
          <w:b/>
          <w:i/>
        </w:rPr>
      </w:pPr>
    </w:p>
    <w:p w14:paraId="123B7148" w14:textId="682D88E1" w:rsidR="00876D7D" w:rsidRPr="00594F7D" w:rsidRDefault="00876D7D" w:rsidP="00594F7D">
      <w:pPr>
        <w:numPr>
          <w:ilvl w:val="0"/>
          <w:numId w:val="10"/>
        </w:numPr>
        <w:ind w:right="-28"/>
        <w:rPr>
          <w:bCs/>
          <w:iCs/>
        </w:rPr>
      </w:pPr>
      <w:r w:rsidRPr="00594F7D">
        <w:rPr>
          <w:b/>
          <w:iCs/>
        </w:rPr>
        <w:t>El Director General de Servicios Públicos</w:t>
      </w:r>
      <w:r w:rsidRPr="00594F7D">
        <w:rPr>
          <w:bCs/>
          <w:iCs/>
        </w:rPr>
        <w:t>: Los trabajos fueron realizados por la Dirección General de Servicios Públicos y a través del Departamento de Bacheo y Señalamiento Vial, se llevó a cabo la colocación de dos reductores de velocidad de mezcla asfáltica en el Blvr. Isidro Fabela Alfaro esquina Ignacio Pérez, utilizando 1.37 Toneladas de mezcla asfáltica y un total de 22 litros de pintura.</w:t>
      </w:r>
    </w:p>
    <w:p w14:paraId="48FFEECE" w14:textId="77777777" w:rsidR="00876D7D" w:rsidRPr="00594F7D" w:rsidRDefault="00876D7D" w:rsidP="00594F7D">
      <w:pPr>
        <w:ind w:left="720" w:right="-28"/>
        <w:rPr>
          <w:bCs/>
          <w:iCs/>
        </w:rPr>
      </w:pPr>
    </w:p>
    <w:p w14:paraId="747ED60D" w14:textId="35E90F62" w:rsidR="00876D7D" w:rsidRPr="00594F7D" w:rsidRDefault="00876D7D" w:rsidP="00594F7D">
      <w:pPr>
        <w:ind w:left="720" w:right="-28"/>
        <w:rPr>
          <w:bCs/>
          <w:iCs/>
        </w:rPr>
      </w:pPr>
      <w:r w:rsidRPr="00594F7D">
        <w:rPr>
          <w:bCs/>
          <w:iCs/>
        </w:rPr>
        <w:t>Anexando la nota informativa DMU/098/2025 de fecha 23 de abril de 2025, suscrita por el Director de Mantenimiento Urbano, que señala lo anterior referido, más fotografías.</w:t>
      </w:r>
    </w:p>
    <w:p w14:paraId="40E6A53D" w14:textId="77777777" w:rsidR="00876D7D" w:rsidRPr="00594F7D" w:rsidRDefault="00876D7D" w:rsidP="00594F7D">
      <w:pPr>
        <w:ind w:left="720" w:right="-28"/>
        <w:rPr>
          <w:b/>
          <w:i/>
        </w:rPr>
      </w:pPr>
    </w:p>
    <w:p w14:paraId="3348ED91" w14:textId="0D5534ED" w:rsidR="00876D7D" w:rsidRPr="00594F7D" w:rsidRDefault="00876D7D" w:rsidP="00594F7D">
      <w:pPr>
        <w:numPr>
          <w:ilvl w:val="0"/>
          <w:numId w:val="10"/>
        </w:numPr>
        <w:ind w:right="-28"/>
        <w:rPr>
          <w:b/>
          <w:i/>
        </w:rPr>
      </w:pPr>
      <w:r w:rsidRPr="00594F7D">
        <w:rPr>
          <w:b/>
          <w:iCs/>
        </w:rPr>
        <w:t>El Director General de Obras Públicas</w:t>
      </w:r>
      <w:r w:rsidRPr="00594F7D">
        <w:rPr>
          <w:bCs/>
          <w:iCs/>
        </w:rPr>
        <w:t>: No cuenta con competencia para la instalación de reductores de velocidad (topes) indicados por el solicitante. No obstante, realizó una búsqueda exhaustiva y localizó la información concerniente a la obra pública “REHABILITACIÓN DEL BLVD. ISIDRO FABELA DE CALLE DIEGO RIVERA A BLVD. SOLIDARIDAD LAS TORRES, MUNICIPIO DE TOLUCA” ejecutada durante el ejercicio fiscal 2023, anexando el contrato y anexo.</w:t>
      </w:r>
    </w:p>
    <w:p w14:paraId="0FCEB22A" w14:textId="77777777" w:rsidR="00876D7D" w:rsidRPr="00594F7D" w:rsidRDefault="00876D7D" w:rsidP="00594F7D">
      <w:pPr>
        <w:ind w:right="-28"/>
        <w:rPr>
          <w:b/>
          <w:iCs/>
        </w:rPr>
      </w:pPr>
    </w:p>
    <w:p w14:paraId="1D0D2BC1" w14:textId="57C48CFA" w:rsidR="00876D7D" w:rsidRPr="00594F7D" w:rsidRDefault="00876D7D" w:rsidP="00594F7D">
      <w:pPr>
        <w:numPr>
          <w:ilvl w:val="0"/>
          <w:numId w:val="10"/>
        </w:numPr>
        <w:ind w:right="-28"/>
        <w:rPr>
          <w:bCs/>
          <w:iCs/>
        </w:rPr>
      </w:pPr>
      <w:r w:rsidRPr="00594F7D">
        <w:rPr>
          <w:b/>
          <w:iCs/>
        </w:rPr>
        <w:t>El Tesorero Municipal</w:t>
      </w:r>
      <w:r w:rsidRPr="00594F7D">
        <w:rPr>
          <w:bCs/>
          <w:iCs/>
        </w:rPr>
        <w:t>: Una búsqueda exhaustiva en nuestros archivos, no se cuenta con registro financiero, documental, contable o presupuestal que ampare la información solicitada.</w:t>
      </w:r>
    </w:p>
    <w:p w14:paraId="2534B44F" w14:textId="77777777" w:rsidR="00BE1A75" w:rsidRPr="00594F7D" w:rsidRDefault="00BE1A75" w:rsidP="00594F7D">
      <w:pPr>
        <w:pBdr>
          <w:top w:val="nil"/>
          <w:left w:val="nil"/>
          <w:bottom w:val="nil"/>
          <w:right w:val="nil"/>
          <w:between w:val="nil"/>
        </w:pBdr>
      </w:pPr>
    </w:p>
    <w:p w14:paraId="5152320E" w14:textId="2AD8F4AF" w:rsidR="003B3CD6" w:rsidRPr="00594F7D" w:rsidRDefault="004C3B66" w:rsidP="00594F7D">
      <w:r w:rsidRPr="00594F7D">
        <w:t xml:space="preserve">En esta tesitura, una vez conocida la respuesta </w:t>
      </w:r>
      <w:r w:rsidRPr="00594F7D">
        <w:rPr>
          <w:b/>
        </w:rPr>
        <w:t>LA PARTE RECURRENTE</w:t>
      </w:r>
      <w:r w:rsidRPr="00594F7D">
        <w:t>, se inconformó por</w:t>
      </w:r>
      <w:r w:rsidR="00BE1A75" w:rsidRPr="00594F7D">
        <w:t xml:space="preserve"> la entrega de la información</w:t>
      </w:r>
      <w:r w:rsidR="00876D7D" w:rsidRPr="00594F7D">
        <w:t xml:space="preserve"> incompleta</w:t>
      </w:r>
      <w:r w:rsidRPr="00594F7D">
        <w:t xml:space="preserve">. </w:t>
      </w:r>
    </w:p>
    <w:p w14:paraId="7C655421" w14:textId="214E92AC" w:rsidR="003B3CD6" w:rsidRPr="00594F7D" w:rsidRDefault="004C3B66" w:rsidP="00594F7D">
      <w:r w:rsidRPr="00594F7D">
        <w:lastRenderedPageBreak/>
        <w:t xml:space="preserve">Abierta la etapa de instrucción, </w:t>
      </w:r>
      <w:r w:rsidRPr="00594F7D">
        <w:rPr>
          <w:b/>
        </w:rPr>
        <w:t>EL SUJETO OBLIGADO</w:t>
      </w:r>
      <w:r w:rsidRPr="00594F7D">
        <w:t xml:space="preserve"> rindió su Informe Justificado, ratificando en todas y cada una de sus partes la respuesta primigenia proporcionada</w:t>
      </w:r>
      <w:r w:rsidR="00876D7D" w:rsidRPr="00594F7D">
        <w:t>.</w:t>
      </w:r>
      <w:r w:rsidRPr="00594F7D">
        <w:t xml:space="preserve"> </w:t>
      </w:r>
      <w:r w:rsidRPr="00594F7D">
        <w:rPr>
          <w:b/>
        </w:rPr>
        <w:t xml:space="preserve">LA PARTE RECURRENTE </w:t>
      </w:r>
      <w:r w:rsidRPr="00594F7D">
        <w:t>omitió realizar las manifestaciones que a su derecho conviniera.</w:t>
      </w:r>
    </w:p>
    <w:p w14:paraId="56597F7B" w14:textId="77777777" w:rsidR="003B3CD6" w:rsidRPr="00594F7D" w:rsidRDefault="003B3CD6" w:rsidP="00594F7D"/>
    <w:p w14:paraId="427C7783" w14:textId="77777777" w:rsidR="003B3CD6" w:rsidRPr="00594F7D" w:rsidRDefault="004C3B66" w:rsidP="00594F7D">
      <w:pPr>
        <w:tabs>
          <w:tab w:val="left" w:pos="709"/>
        </w:tabs>
      </w:pPr>
      <w:r w:rsidRPr="00594F7D">
        <w:t xml:space="preserve">Bajo las premisas anteriores, se concluye que la controversia a dilucidar en el presente medio de impugnación será verificar si la información proporcionada en respuesta y en informe justificado por </w:t>
      </w:r>
      <w:r w:rsidRPr="00594F7D">
        <w:rPr>
          <w:b/>
        </w:rPr>
        <w:t xml:space="preserve">EL SUJETO OBLIGADO </w:t>
      </w:r>
      <w:r w:rsidRPr="00594F7D">
        <w:t xml:space="preserve">es adecuada y suficiente para tener por satisfecho el derecho de acceso a la información pública de </w:t>
      </w:r>
      <w:r w:rsidRPr="00594F7D">
        <w:rPr>
          <w:b/>
        </w:rPr>
        <w:t>LA PARTE RECURRENTE</w:t>
      </w:r>
      <w:r w:rsidRPr="00594F7D">
        <w:t xml:space="preserve">, o en su caso, ordenar la entrega de la información que corresponda. </w:t>
      </w:r>
    </w:p>
    <w:p w14:paraId="3C01B0A9" w14:textId="77777777" w:rsidR="003B3CD6" w:rsidRPr="00594F7D" w:rsidRDefault="003B3CD6" w:rsidP="00594F7D"/>
    <w:p w14:paraId="27E31598" w14:textId="77777777" w:rsidR="003B3CD6" w:rsidRPr="00594F7D" w:rsidRDefault="004C3B66" w:rsidP="00594F7D">
      <w:pPr>
        <w:pStyle w:val="Ttulo3"/>
      </w:pPr>
      <w:bookmarkStart w:id="36" w:name="_Toc206616100"/>
      <w:r w:rsidRPr="00594F7D">
        <w:t>c) Estudio de la controversia</w:t>
      </w:r>
      <w:bookmarkEnd w:id="36"/>
    </w:p>
    <w:p w14:paraId="35941E88" w14:textId="77777777" w:rsidR="00876D7D" w:rsidRPr="00594F7D" w:rsidRDefault="00876D7D" w:rsidP="00594F7D">
      <w:r w:rsidRPr="00594F7D">
        <w:t xml:space="preserve">Expuesto las posturas de las partes y planteada la controversia en el presente medio de impugnación en estudio, es preciso puntualizar que con el pronunciamiento del </w:t>
      </w:r>
      <w:r w:rsidRPr="00594F7D">
        <w:rPr>
          <w:b/>
        </w:rPr>
        <w:t xml:space="preserve">SUJETO OBLIGADO </w:t>
      </w:r>
      <w:r w:rsidRPr="00594F7D">
        <w:t>asumió contar con la información requerida, por lo tanto,</w:t>
      </w:r>
      <w:r w:rsidRPr="00594F7D">
        <w:rPr>
          <w:b/>
        </w:rPr>
        <w:t xml:space="preserve"> </w:t>
      </w:r>
      <w:r w:rsidRPr="00594F7D">
        <w:t>se actualiza el supuesto jurídico previsto en el artículo 12 de la Ley de Transparencia y Acceso a la Información Pública del Estado de México y Municipios, que a la letra señala:</w:t>
      </w:r>
    </w:p>
    <w:p w14:paraId="0E640F44" w14:textId="77777777" w:rsidR="00876D7D" w:rsidRPr="00594F7D" w:rsidRDefault="00876D7D" w:rsidP="00594F7D"/>
    <w:p w14:paraId="2FAA5E99" w14:textId="77777777" w:rsidR="00876D7D" w:rsidRPr="00594F7D" w:rsidRDefault="00876D7D" w:rsidP="00594F7D">
      <w:pPr>
        <w:pStyle w:val="Puesto"/>
        <w:ind w:firstLine="0"/>
        <w:rPr>
          <w:color w:val="auto"/>
        </w:rPr>
      </w:pPr>
      <w:r w:rsidRPr="00594F7D">
        <w:rPr>
          <w:color w:val="auto"/>
        </w:rPr>
        <w:t>“</w:t>
      </w:r>
      <w:r w:rsidRPr="00594F7D">
        <w:rPr>
          <w:b/>
          <w:color w:val="auto"/>
        </w:rPr>
        <w:t>Artículo 12.</w:t>
      </w:r>
      <w:r w:rsidRPr="00594F7D">
        <w:rPr>
          <w:color w:val="auto"/>
        </w:rPr>
        <w:t> Quienes generen, recopilen, administren, manejen, procesen, archiven o conserven información pública serán responsables de la misma en los términos de las disposiciones jurídicas aplicables.</w:t>
      </w:r>
    </w:p>
    <w:p w14:paraId="35FBE495" w14:textId="77777777" w:rsidR="00876D7D" w:rsidRPr="00594F7D" w:rsidRDefault="00876D7D" w:rsidP="00594F7D"/>
    <w:p w14:paraId="1B7CE92B" w14:textId="77777777" w:rsidR="00876D7D" w:rsidRPr="00594F7D" w:rsidRDefault="00876D7D" w:rsidP="00594F7D">
      <w:pPr>
        <w:pStyle w:val="Puesto"/>
        <w:ind w:firstLine="0"/>
        <w:rPr>
          <w:i w:val="0"/>
          <w:color w:val="auto"/>
        </w:rPr>
      </w:pPr>
      <w:r w:rsidRPr="00594F7D">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09E393" w14:textId="77777777" w:rsidR="00876D7D" w:rsidRPr="00594F7D" w:rsidRDefault="00876D7D" w:rsidP="00594F7D">
      <w:pPr>
        <w:pBdr>
          <w:top w:val="nil"/>
          <w:left w:val="nil"/>
          <w:bottom w:val="nil"/>
          <w:right w:val="nil"/>
          <w:between w:val="nil"/>
        </w:pBdr>
        <w:tabs>
          <w:tab w:val="left" w:pos="851"/>
        </w:tabs>
        <w:ind w:right="113"/>
      </w:pPr>
    </w:p>
    <w:p w14:paraId="706C46C8" w14:textId="77777777" w:rsidR="00876D7D" w:rsidRPr="00594F7D" w:rsidRDefault="00876D7D" w:rsidP="00594F7D">
      <w:r w:rsidRPr="00594F7D">
        <w:lastRenderedPageBreak/>
        <w:t>Una vez analizado lo anterior, respecto de la información peticionada en contraste con lo entregado, se esquematiza en la tabla siguiente:</w:t>
      </w:r>
    </w:p>
    <w:p w14:paraId="75ADC0E8" w14:textId="77777777" w:rsidR="00876D7D" w:rsidRPr="00594F7D" w:rsidRDefault="00876D7D" w:rsidP="00594F7D"/>
    <w:tbl>
      <w:tblPr>
        <w:tblStyle w:val="Tablaconcuadrcula"/>
        <w:tblW w:w="0" w:type="auto"/>
        <w:tblInd w:w="720" w:type="dxa"/>
        <w:tblLook w:val="04A0" w:firstRow="1" w:lastRow="0" w:firstColumn="1" w:lastColumn="0" w:noHBand="0" w:noVBand="1"/>
      </w:tblPr>
      <w:tblGrid>
        <w:gridCol w:w="2714"/>
        <w:gridCol w:w="4041"/>
        <w:gridCol w:w="1559"/>
      </w:tblGrid>
      <w:tr w:rsidR="00594F7D" w:rsidRPr="00594F7D" w14:paraId="1CAF21F9" w14:textId="77777777" w:rsidTr="00FA5F7D">
        <w:tc>
          <w:tcPr>
            <w:tcW w:w="8314" w:type="dxa"/>
            <w:gridSpan w:val="3"/>
            <w:vAlign w:val="center"/>
          </w:tcPr>
          <w:p w14:paraId="21358153" w14:textId="1745C7B1" w:rsidR="00AA7A9C" w:rsidRPr="00594F7D" w:rsidRDefault="00AA7A9C" w:rsidP="00594F7D">
            <w:pPr>
              <w:ind w:left="720"/>
              <w:jc w:val="center"/>
              <w:rPr>
                <w:b/>
                <w:bCs/>
                <w:i/>
              </w:rPr>
            </w:pPr>
            <w:r w:rsidRPr="00594F7D">
              <w:rPr>
                <w:b/>
                <w:bCs/>
              </w:rPr>
              <w:t>De los topes colocados en Isidro Fabela</w:t>
            </w:r>
          </w:p>
        </w:tc>
      </w:tr>
      <w:tr w:rsidR="00594F7D" w:rsidRPr="00594F7D" w14:paraId="2C50D80D" w14:textId="0A6E825C" w:rsidTr="004F4B23">
        <w:tc>
          <w:tcPr>
            <w:tcW w:w="2714" w:type="dxa"/>
            <w:shd w:val="clear" w:color="auto" w:fill="D9D9D9" w:themeFill="background1" w:themeFillShade="D9"/>
            <w:vAlign w:val="center"/>
          </w:tcPr>
          <w:p w14:paraId="62ECAA5F" w14:textId="70E5ED1A" w:rsidR="00AA7A9C" w:rsidRPr="00594F7D" w:rsidRDefault="00AA7A9C" w:rsidP="00594F7D">
            <w:pPr>
              <w:jc w:val="center"/>
            </w:pPr>
            <w:r w:rsidRPr="00594F7D">
              <w:rPr>
                <w:b/>
                <w:i/>
              </w:rPr>
              <w:t>Petición</w:t>
            </w:r>
          </w:p>
        </w:tc>
        <w:tc>
          <w:tcPr>
            <w:tcW w:w="4041" w:type="dxa"/>
            <w:shd w:val="clear" w:color="auto" w:fill="D9D9D9" w:themeFill="background1" w:themeFillShade="D9"/>
            <w:vAlign w:val="center"/>
          </w:tcPr>
          <w:p w14:paraId="73027F7E" w14:textId="3FC5E912" w:rsidR="00AA7A9C" w:rsidRPr="00594F7D" w:rsidRDefault="00AA7A9C" w:rsidP="00594F7D">
            <w:pPr>
              <w:jc w:val="center"/>
            </w:pPr>
            <w:r w:rsidRPr="00594F7D">
              <w:rPr>
                <w:b/>
                <w:i/>
              </w:rPr>
              <w:t>Respuesta</w:t>
            </w:r>
          </w:p>
        </w:tc>
        <w:tc>
          <w:tcPr>
            <w:tcW w:w="1559" w:type="dxa"/>
            <w:shd w:val="clear" w:color="auto" w:fill="D9D9D9" w:themeFill="background1" w:themeFillShade="D9"/>
            <w:vAlign w:val="center"/>
          </w:tcPr>
          <w:p w14:paraId="4C8BB6E6" w14:textId="268B1D4D" w:rsidR="00AA7A9C" w:rsidRPr="00594F7D" w:rsidRDefault="00AA7A9C" w:rsidP="00594F7D">
            <w:pPr>
              <w:jc w:val="center"/>
            </w:pPr>
            <w:r w:rsidRPr="00594F7D">
              <w:rPr>
                <w:b/>
                <w:i/>
              </w:rPr>
              <w:t>Colma</w:t>
            </w:r>
          </w:p>
        </w:tc>
      </w:tr>
      <w:tr w:rsidR="00594F7D" w:rsidRPr="00594F7D" w14:paraId="4E05F0EA" w14:textId="26F4673A" w:rsidTr="004F4B23">
        <w:tc>
          <w:tcPr>
            <w:tcW w:w="2714" w:type="dxa"/>
            <w:vAlign w:val="center"/>
          </w:tcPr>
          <w:p w14:paraId="201B2FD0" w14:textId="53FB8EB9" w:rsidR="00AA7A9C" w:rsidRPr="00594F7D" w:rsidRDefault="00AA7A9C" w:rsidP="00594F7D">
            <w:pPr>
              <w:jc w:val="left"/>
            </w:pPr>
            <w:r w:rsidRPr="00594F7D">
              <w:t>Cantidad colocados</w:t>
            </w:r>
          </w:p>
        </w:tc>
        <w:tc>
          <w:tcPr>
            <w:tcW w:w="4041" w:type="dxa"/>
            <w:vAlign w:val="center"/>
          </w:tcPr>
          <w:p w14:paraId="13EBFEEB" w14:textId="5F054A70" w:rsidR="00AA7A9C" w:rsidRPr="00594F7D" w:rsidRDefault="00C3129F" w:rsidP="00594F7D">
            <w:pPr>
              <w:jc w:val="left"/>
              <w:rPr>
                <w:i/>
              </w:rPr>
            </w:pPr>
            <w:r w:rsidRPr="00594F7D">
              <w:rPr>
                <w:bCs/>
                <w:i/>
              </w:rPr>
              <w:t>dos reductores de velocidad</w:t>
            </w:r>
          </w:p>
        </w:tc>
        <w:tc>
          <w:tcPr>
            <w:tcW w:w="1559" w:type="dxa"/>
            <w:vAlign w:val="center"/>
          </w:tcPr>
          <w:p w14:paraId="0928F577" w14:textId="612B41EE" w:rsidR="00AA7A9C" w:rsidRPr="00594F7D" w:rsidRDefault="00C3129F" w:rsidP="00594F7D">
            <w:pPr>
              <w:jc w:val="center"/>
            </w:pPr>
            <w:r w:rsidRPr="00594F7D">
              <w:t>S</w:t>
            </w:r>
            <w:r w:rsidR="004F4B23" w:rsidRPr="00594F7D">
              <w:t>í</w:t>
            </w:r>
          </w:p>
        </w:tc>
      </w:tr>
      <w:tr w:rsidR="00594F7D" w:rsidRPr="00594F7D" w14:paraId="4D86C45D" w14:textId="035D7E19" w:rsidTr="004F4B23">
        <w:tc>
          <w:tcPr>
            <w:tcW w:w="2714" w:type="dxa"/>
            <w:vAlign w:val="center"/>
          </w:tcPr>
          <w:p w14:paraId="54F81D3E" w14:textId="092058B9" w:rsidR="00AA7A9C" w:rsidRPr="00594F7D" w:rsidRDefault="00AA7A9C" w:rsidP="00594F7D">
            <w:pPr>
              <w:jc w:val="left"/>
            </w:pPr>
            <w:r w:rsidRPr="00594F7D">
              <w:t>Costo de cada uno</w:t>
            </w:r>
          </w:p>
        </w:tc>
        <w:tc>
          <w:tcPr>
            <w:tcW w:w="4041" w:type="dxa"/>
            <w:vAlign w:val="center"/>
          </w:tcPr>
          <w:p w14:paraId="78167287" w14:textId="25B6B389" w:rsidR="00C3129F" w:rsidRPr="00594F7D" w:rsidRDefault="00C3129F" w:rsidP="00594F7D">
            <w:pPr>
              <w:jc w:val="left"/>
              <w:rPr>
                <w:i/>
              </w:rPr>
            </w:pPr>
            <w:r w:rsidRPr="00594F7D">
              <w:rPr>
                <w:bCs/>
                <w:i/>
              </w:rPr>
              <w:t>no se cuenta con registro financiero, documental, contable o presupuestal que ampare la información solicitada.</w:t>
            </w:r>
          </w:p>
        </w:tc>
        <w:tc>
          <w:tcPr>
            <w:tcW w:w="1559" w:type="dxa"/>
            <w:vAlign w:val="center"/>
          </w:tcPr>
          <w:p w14:paraId="6B65537A" w14:textId="77777777" w:rsidR="00AA7A9C" w:rsidRPr="00594F7D" w:rsidRDefault="00B555CC" w:rsidP="00594F7D">
            <w:pPr>
              <w:jc w:val="center"/>
            </w:pPr>
            <w:r w:rsidRPr="00594F7D">
              <w:t>Sí</w:t>
            </w:r>
          </w:p>
          <w:p w14:paraId="34BB2A79" w14:textId="5437E1C4" w:rsidR="00B555CC" w:rsidRPr="00594F7D" w:rsidRDefault="00B555CC" w:rsidP="00594F7D">
            <w:pPr>
              <w:jc w:val="center"/>
            </w:pPr>
            <w:r w:rsidRPr="00594F7D">
              <w:t>Hecho Negativo</w:t>
            </w:r>
          </w:p>
        </w:tc>
      </w:tr>
      <w:tr w:rsidR="00594F7D" w:rsidRPr="00594F7D" w14:paraId="0A645055" w14:textId="0B592FF0" w:rsidTr="004F4B23">
        <w:tc>
          <w:tcPr>
            <w:tcW w:w="2714" w:type="dxa"/>
            <w:vAlign w:val="center"/>
          </w:tcPr>
          <w:p w14:paraId="462812C1" w14:textId="6BB5CE1F" w:rsidR="004F4B23" w:rsidRPr="00594F7D" w:rsidRDefault="004F4B23" w:rsidP="00594F7D">
            <w:pPr>
              <w:jc w:val="left"/>
            </w:pPr>
            <w:r w:rsidRPr="00594F7D">
              <w:t>Material utilizado</w:t>
            </w:r>
          </w:p>
        </w:tc>
        <w:tc>
          <w:tcPr>
            <w:tcW w:w="4041" w:type="dxa"/>
            <w:vAlign w:val="center"/>
          </w:tcPr>
          <w:p w14:paraId="4E9494FB" w14:textId="7BDC5137" w:rsidR="004F4B23" w:rsidRPr="00594F7D" w:rsidRDefault="004F4B23" w:rsidP="00594F7D">
            <w:pPr>
              <w:jc w:val="left"/>
              <w:rPr>
                <w:i/>
              </w:rPr>
            </w:pPr>
            <w:r w:rsidRPr="00594F7D">
              <w:rPr>
                <w:bCs/>
                <w:i/>
              </w:rPr>
              <w:t>1.37 Toneladas de mezcla asfáltica</w:t>
            </w:r>
          </w:p>
        </w:tc>
        <w:tc>
          <w:tcPr>
            <w:tcW w:w="1559" w:type="dxa"/>
            <w:vAlign w:val="center"/>
          </w:tcPr>
          <w:p w14:paraId="7790C4B4" w14:textId="020C5451" w:rsidR="004F4B23" w:rsidRPr="00594F7D" w:rsidRDefault="004F4B23" w:rsidP="00594F7D">
            <w:pPr>
              <w:jc w:val="center"/>
            </w:pPr>
            <w:r w:rsidRPr="00594F7D">
              <w:t>Sí</w:t>
            </w:r>
          </w:p>
        </w:tc>
      </w:tr>
      <w:tr w:rsidR="00594F7D" w:rsidRPr="00594F7D" w14:paraId="200A88E8" w14:textId="07D72847" w:rsidTr="004F4B23">
        <w:tc>
          <w:tcPr>
            <w:tcW w:w="2714" w:type="dxa"/>
            <w:vAlign w:val="center"/>
          </w:tcPr>
          <w:p w14:paraId="456A74AA" w14:textId="2AD6EF49" w:rsidR="004F4B23" w:rsidRPr="00594F7D" w:rsidRDefault="004F4B23" w:rsidP="00594F7D">
            <w:pPr>
              <w:jc w:val="left"/>
            </w:pPr>
            <w:r w:rsidRPr="00594F7D">
              <w:t>Posiciones</w:t>
            </w:r>
          </w:p>
        </w:tc>
        <w:tc>
          <w:tcPr>
            <w:tcW w:w="4041" w:type="dxa"/>
            <w:vAlign w:val="center"/>
          </w:tcPr>
          <w:p w14:paraId="4AF33B9A" w14:textId="0EB016D3" w:rsidR="004F4B23" w:rsidRPr="00594F7D" w:rsidRDefault="004F4B23" w:rsidP="00594F7D">
            <w:pPr>
              <w:jc w:val="left"/>
              <w:rPr>
                <w:i/>
              </w:rPr>
            </w:pPr>
            <w:r w:rsidRPr="00594F7D">
              <w:rPr>
                <w:bCs/>
                <w:i/>
              </w:rPr>
              <w:t>en el Blvr. Isidro Fabela Alfaro esquina Ignacio Pérez</w:t>
            </w:r>
          </w:p>
        </w:tc>
        <w:tc>
          <w:tcPr>
            <w:tcW w:w="1559" w:type="dxa"/>
            <w:vAlign w:val="center"/>
          </w:tcPr>
          <w:p w14:paraId="6430DB12" w14:textId="01F0A106" w:rsidR="004F4B23" w:rsidRPr="00594F7D" w:rsidRDefault="004F4B23" w:rsidP="00594F7D">
            <w:pPr>
              <w:jc w:val="center"/>
            </w:pPr>
            <w:r w:rsidRPr="00594F7D">
              <w:t>Sí</w:t>
            </w:r>
          </w:p>
        </w:tc>
      </w:tr>
      <w:tr w:rsidR="00594F7D" w:rsidRPr="00594F7D" w14:paraId="7208F5BE" w14:textId="415132FB" w:rsidTr="004F4B23">
        <w:tc>
          <w:tcPr>
            <w:tcW w:w="2714" w:type="dxa"/>
            <w:vAlign w:val="center"/>
          </w:tcPr>
          <w:p w14:paraId="4F32FC61" w14:textId="12A682D6" w:rsidR="004F4B23" w:rsidRPr="00594F7D" w:rsidRDefault="004F4B23" w:rsidP="00594F7D">
            <w:pPr>
              <w:jc w:val="left"/>
            </w:pPr>
            <w:r w:rsidRPr="00594F7D">
              <w:t>Nombre de la empresa que lo realizó</w:t>
            </w:r>
          </w:p>
        </w:tc>
        <w:tc>
          <w:tcPr>
            <w:tcW w:w="4041" w:type="dxa"/>
            <w:vAlign w:val="center"/>
          </w:tcPr>
          <w:p w14:paraId="3AE0545C" w14:textId="2525A9AE" w:rsidR="004F4B23" w:rsidRPr="00594F7D" w:rsidRDefault="004F4B23" w:rsidP="00594F7D">
            <w:pPr>
              <w:jc w:val="left"/>
              <w:rPr>
                <w:i/>
              </w:rPr>
            </w:pPr>
            <w:r w:rsidRPr="00594F7D">
              <w:rPr>
                <w:bCs/>
                <w:i/>
              </w:rPr>
              <w:t>Los trabajos fueron realizados por la Dirección General de Servicios Públicos y a través del Departamento de Bacheo y Señalamiento Vial</w:t>
            </w:r>
          </w:p>
        </w:tc>
        <w:tc>
          <w:tcPr>
            <w:tcW w:w="1559" w:type="dxa"/>
            <w:vAlign w:val="center"/>
          </w:tcPr>
          <w:p w14:paraId="631DA12C" w14:textId="3DD1D124" w:rsidR="004F4B23" w:rsidRPr="00594F7D" w:rsidRDefault="004F4B23" w:rsidP="00594F7D">
            <w:pPr>
              <w:jc w:val="center"/>
            </w:pPr>
            <w:r w:rsidRPr="00594F7D">
              <w:t>Sí</w:t>
            </w:r>
          </w:p>
        </w:tc>
      </w:tr>
      <w:tr w:rsidR="00594F7D" w:rsidRPr="00594F7D" w14:paraId="11C0D7ED" w14:textId="02BCF499" w:rsidTr="004F4B23">
        <w:tc>
          <w:tcPr>
            <w:tcW w:w="2714" w:type="dxa"/>
            <w:vAlign w:val="center"/>
          </w:tcPr>
          <w:p w14:paraId="5CC8786D" w14:textId="18F611E1" w:rsidR="004F4B23" w:rsidRPr="00594F7D" w:rsidRDefault="004F4B23" w:rsidP="00594F7D">
            <w:pPr>
              <w:jc w:val="left"/>
            </w:pPr>
            <w:r w:rsidRPr="00594F7D">
              <w:t>Cantidad de litros de pintura se usaron para pintarlos</w:t>
            </w:r>
          </w:p>
        </w:tc>
        <w:tc>
          <w:tcPr>
            <w:tcW w:w="4041" w:type="dxa"/>
            <w:vAlign w:val="center"/>
          </w:tcPr>
          <w:p w14:paraId="6A169E4A" w14:textId="06EEFE36" w:rsidR="004F4B23" w:rsidRPr="00594F7D" w:rsidRDefault="004F4B23" w:rsidP="00594F7D">
            <w:pPr>
              <w:jc w:val="left"/>
              <w:rPr>
                <w:i/>
              </w:rPr>
            </w:pPr>
            <w:r w:rsidRPr="00594F7D">
              <w:rPr>
                <w:bCs/>
                <w:i/>
              </w:rPr>
              <w:t>un total de 22 litros de pintura</w:t>
            </w:r>
          </w:p>
        </w:tc>
        <w:tc>
          <w:tcPr>
            <w:tcW w:w="1559" w:type="dxa"/>
            <w:vAlign w:val="center"/>
          </w:tcPr>
          <w:p w14:paraId="26003C5E" w14:textId="03878922" w:rsidR="004F4B23" w:rsidRPr="00594F7D" w:rsidRDefault="004F4B23" w:rsidP="00594F7D">
            <w:pPr>
              <w:jc w:val="center"/>
            </w:pPr>
            <w:r w:rsidRPr="00594F7D">
              <w:t>Sí</w:t>
            </w:r>
          </w:p>
        </w:tc>
      </w:tr>
      <w:tr w:rsidR="004F4B23" w:rsidRPr="00594F7D" w14:paraId="5A81D3C2" w14:textId="7218B11F" w:rsidTr="004F4B23">
        <w:tc>
          <w:tcPr>
            <w:tcW w:w="2714" w:type="dxa"/>
            <w:vAlign w:val="center"/>
          </w:tcPr>
          <w:p w14:paraId="2E2848E9" w14:textId="331898D1" w:rsidR="004F4B23" w:rsidRPr="00594F7D" w:rsidRDefault="004F4B23" w:rsidP="00594F7D">
            <w:pPr>
              <w:jc w:val="left"/>
            </w:pPr>
            <w:r w:rsidRPr="00594F7D">
              <w:t>Fotos de los topes colocados</w:t>
            </w:r>
          </w:p>
        </w:tc>
        <w:tc>
          <w:tcPr>
            <w:tcW w:w="4041" w:type="dxa"/>
          </w:tcPr>
          <w:p w14:paraId="4654CCF7" w14:textId="77777777" w:rsidR="004F4B23" w:rsidRPr="00594F7D" w:rsidRDefault="004F4B23" w:rsidP="00594F7D"/>
          <w:p w14:paraId="42EF6CFC" w14:textId="75C600D4" w:rsidR="004F4B23" w:rsidRPr="00594F7D" w:rsidRDefault="004F4B23" w:rsidP="00594F7D">
            <w:r w:rsidRPr="00594F7D">
              <w:rPr>
                <w:noProof/>
              </w:rPr>
              <w:drawing>
                <wp:inline distT="0" distB="0" distL="0" distR="0" wp14:anchorId="2902A05C" wp14:editId="64CEBEEA">
                  <wp:extent cx="2428875" cy="1557742"/>
                  <wp:effectExtent l="0" t="0" r="0" b="4445"/>
                  <wp:docPr id="2475309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30970" name=""/>
                          <pic:cNvPicPr/>
                        </pic:nvPicPr>
                        <pic:blipFill>
                          <a:blip r:embed="rId11"/>
                          <a:stretch>
                            <a:fillRect/>
                          </a:stretch>
                        </pic:blipFill>
                        <pic:spPr>
                          <a:xfrm>
                            <a:off x="0" y="0"/>
                            <a:ext cx="2434102" cy="1561094"/>
                          </a:xfrm>
                          <a:prstGeom prst="rect">
                            <a:avLst/>
                          </a:prstGeom>
                        </pic:spPr>
                      </pic:pic>
                    </a:graphicData>
                  </a:graphic>
                </wp:inline>
              </w:drawing>
            </w:r>
          </w:p>
          <w:p w14:paraId="62BFF369" w14:textId="33D6420B" w:rsidR="004F4B23" w:rsidRPr="00594F7D" w:rsidRDefault="004F4B23" w:rsidP="00594F7D"/>
        </w:tc>
        <w:tc>
          <w:tcPr>
            <w:tcW w:w="1559" w:type="dxa"/>
            <w:vAlign w:val="center"/>
          </w:tcPr>
          <w:p w14:paraId="384FF457" w14:textId="21ED3FD6" w:rsidR="004F4B23" w:rsidRPr="00594F7D" w:rsidRDefault="004F4B23" w:rsidP="00594F7D">
            <w:pPr>
              <w:jc w:val="center"/>
            </w:pPr>
            <w:r w:rsidRPr="00594F7D">
              <w:t>Sí</w:t>
            </w:r>
          </w:p>
        </w:tc>
      </w:tr>
    </w:tbl>
    <w:p w14:paraId="07C4A81E" w14:textId="77777777" w:rsidR="002C34F5" w:rsidRPr="00594F7D" w:rsidRDefault="002C34F5" w:rsidP="00594F7D"/>
    <w:p w14:paraId="6BEE8C52" w14:textId="01202876" w:rsidR="00701066" w:rsidRPr="00594F7D" w:rsidRDefault="002C34F5" w:rsidP="00594F7D">
      <w:r w:rsidRPr="00594F7D">
        <w:t xml:space="preserve">De la tabla previamente inserta, se </w:t>
      </w:r>
      <w:r w:rsidR="00B555CC" w:rsidRPr="00594F7D">
        <w:t xml:space="preserve">advierte que </w:t>
      </w:r>
      <w:r w:rsidR="00B555CC" w:rsidRPr="00594F7D">
        <w:rPr>
          <w:b/>
          <w:bCs/>
        </w:rPr>
        <w:t xml:space="preserve">EL SUJETO OBLIGADO </w:t>
      </w:r>
      <w:r w:rsidR="00B555CC" w:rsidRPr="00594F7D">
        <w:t xml:space="preserve">se pronunció a través de los servidores públicos habilitados de todos y cada uno de los requerimientos que fueron planteados por </w:t>
      </w:r>
      <w:r w:rsidR="00B555CC" w:rsidRPr="00594F7D">
        <w:rPr>
          <w:b/>
          <w:bCs/>
        </w:rPr>
        <w:t xml:space="preserve">LA PARTE RECURRENTE, </w:t>
      </w:r>
      <w:r w:rsidR="00701066" w:rsidRPr="00594F7D">
        <w:t xml:space="preserve">por lo que su respuesta </w:t>
      </w:r>
      <w:r w:rsidR="00B555CC" w:rsidRPr="00594F7D">
        <w:t xml:space="preserve">cumplió con </w:t>
      </w:r>
      <w:r w:rsidR="00701066" w:rsidRPr="00594F7D">
        <w:t xml:space="preserve">los principios de congruencia y exhaustividad, el cual es un elemento fundamental en materia de </w:t>
      </w:r>
      <w:r w:rsidR="00701066" w:rsidRPr="00594F7D">
        <w:lastRenderedPageBreak/>
        <w:t>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398A0C84" w14:textId="77777777" w:rsidR="00701066" w:rsidRPr="00594F7D" w:rsidRDefault="00701066" w:rsidP="00594F7D">
      <w:pPr>
        <w:contextualSpacing/>
      </w:pPr>
    </w:p>
    <w:p w14:paraId="000EFEFF" w14:textId="77777777" w:rsidR="00701066" w:rsidRPr="00594F7D" w:rsidRDefault="00701066" w:rsidP="00594F7D">
      <w:pPr>
        <w:pStyle w:val="Puesto"/>
        <w:ind w:firstLine="0"/>
        <w:rPr>
          <w:color w:val="auto"/>
        </w:rPr>
      </w:pPr>
      <w:r w:rsidRPr="00594F7D">
        <w:rPr>
          <w:color w:val="auto"/>
        </w:rPr>
        <w:t>“</w:t>
      </w:r>
      <w:r w:rsidRPr="00594F7D">
        <w:rPr>
          <w:b/>
          <w:color w:val="auto"/>
        </w:rPr>
        <w:t>Congruencia y exhaustividad.</w:t>
      </w:r>
      <w:r w:rsidRPr="00594F7D">
        <w:rPr>
          <w:color w:val="auto"/>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F08ACE9" w14:textId="77777777" w:rsidR="002C34F5" w:rsidRPr="00594F7D" w:rsidRDefault="002C34F5" w:rsidP="00594F7D"/>
    <w:p w14:paraId="60519A3F" w14:textId="77777777" w:rsidR="006F48B6" w:rsidRPr="00594F7D" w:rsidRDefault="006F48B6" w:rsidP="00594F7D">
      <w:pPr>
        <w:widowControl w:val="0"/>
        <w:autoSpaceDE w:val="0"/>
        <w:autoSpaceDN w:val="0"/>
        <w:adjustRightInd w:val="0"/>
        <w:ind w:right="113"/>
        <w:rPr>
          <w:rFonts w:cs="Arial"/>
        </w:rPr>
      </w:pPr>
      <w:r w:rsidRPr="00594F7D">
        <w:t xml:space="preserve">Además de lo anterior, </w:t>
      </w:r>
      <w:r w:rsidRPr="00594F7D">
        <w:rPr>
          <w:rFonts w:cs="Arial"/>
        </w:rPr>
        <w:t xml:space="preserve">de conformidad con lo establecido en el artículo 12 de la Ley de Transparencia y Acceso a la Información Pública del Estado de México y Municipios </w:t>
      </w:r>
      <w:r w:rsidRPr="00594F7D">
        <w:rPr>
          <w:rFonts w:cs="Arial"/>
          <w:b/>
        </w:rPr>
        <w:t>EL SUJETO OBLIGADO</w:t>
      </w:r>
      <w:r w:rsidRPr="00594F7D">
        <w:rPr>
          <w:rFonts w:cs="Arial"/>
        </w:rPr>
        <w:t xml:space="preserve"> sólo proporcionará la información que obren en sus archivos, lo que a </w:t>
      </w:r>
      <w:r w:rsidRPr="00594F7D">
        <w:rPr>
          <w:rFonts w:cs="Arial"/>
          <w:i/>
        </w:rPr>
        <w:t>contrario sensu</w:t>
      </w:r>
      <w:r w:rsidRPr="00594F7D">
        <w:rPr>
          <w:rFonts w:cs="Arial"/>
        </w:rPr>
        <w:t xml:space="preserve"> significa que no se está obligado a proporcionar lo que no obre en sus archivos.</w:t>
      </w:r>
    </w:p>
    <w:p w14:paraId="79036A23" w14:textId="77777777" w:rsidR="006F48B6" w:rsidRPr="00594F7D" w:rsidRDefault="006F48B6" w:rsidP="00594F7D">
      <w:pPr>
        <w:widowControl w:val="0"/>
        <w:autoSpaceDE w:val="0"/>
        <w:autoSpaceDN w:val="0"/>
        <w:adjustRightInd w:val="0"/>
        <w:ind w:right="113"/>
        <w:rPr>
          <w:rFonts w:cs="Arial"/>
        </w:rPr>
      </w:pPr>
    </w:p>
    <w:p w14:paraId="359750CF" w14:textId="1A28E6A8" w:rsidR="006F48B6" w:rsidRPr="00594F7D" w:rsidRDefault="006F48B6" w:rsidP="00594F7D">
      <w:pPr>
        <w:widowControl w:val="0"/>
        <w:autoSpaceDE w:val="0"/>
        <w:autoSpaceDN w:val="0"/>
        <w:adjustRightInd w:val="0"/>
        <w:ind w:right="113"/>
        <w:rPr>
          <w:rFonts w:cs="Arial"/>
        </w:rPr>
      </w:pPr>
      <w:r w:rsidRPr="00594F7D">
        <w:rPr>
          <w:rFonts w:cs="Arial"/>
        </w:rPr>
        <w:t xml:space="preserve">Luego entonces, y considerando que </w:t>
      </w:r>
      <w:r w:rsidRPr="00594F7D">
        <w:rPr>
          <w:rFonts w:cs="Arial"/>
          <w:b/>
          <w:bCs/>
        </w:rPr>
        <w:t xml:space="preserve">EL SUJETO OBLIGADO </w:t>
      </w:r>
      <w:r w:rsidRPr="00594F7D">
        <w:rPr>
          <w:rFonts w:cs="Arial"/>
        </w:rPr>
        <w:t>manifestó que los reductores de velocidad fueron colocados por la Dirección General de Servicios Públicos y a través del Departamento de Bacheo y Señalamiento Vial, de lo que se infiere que no generó un costo la realización de los mismos, en virtud de que se realizó por los propios servidores públicos que laboran en el Ayuntamiento recurrido, además de que señaló que “…</w:t>
      </w:r>
      <w:r w:rsidRPr="00594F7D">
        <w:rPr>
          <w:rFonts w:cs="Arial"/>
          <w:bCs/>
          <w:i/>
        </w:rPr>
        <w:t>no se cuenta con registro financiero, documental, contable o presupuestal que ampare la información solicitada….” Sic</w:t>
      </w:r>
      <w:r w:rsidRPr="00594F7D">
        <w:rPr>
          <w:rFonts w:cs="Arial"/>
        </w:rPr>
        <w:t xml:space="preserve"> </w:t>
      </w:r>
      <w:r w:rsidRPr="00594F7D">
        <w:rPr>
          <w:rFonts w:cs="Arial"/>
        </w:rPr>
        <w:lastRenderedPageBreak/>
        <w:t xml:space="preserve">por consiguiente y con dicho pronunciamiento del </w:t>
      </w:r>
      <w:r w:rsidRPr="00594F7D">
        <w:rPr>
          <w:rFonts w:cs="Arial"/>
          <w:b/>
        </w:rPr>
        <w:t xml:space="preserve">SUJETO OBLIGADO </w:t>
      </w:r>
      <w:r w:rsidRPr="00594F7D">
        <w:rPr>
          <w:rFonts w:cs="Arial"/>
        </w:rPr>
        <w:t>se actualiza el supuesto de hechos negativos.</w:t>
      </w:r>
    </w:p>
    <w:p w14:paraId="545EDBF7" w14:textId="77777777" w:rsidR="006F48B6" w:rsidRPr="00594F7D" w:rsidRDefault="006F48B6" w:rsidP="00594F7D">
      <w:pPr>
        <w:widowControl w:val="0"/>
        <w:autoSpaceDE w:val="0"/>
        <w:autoSpaceDN w:val="0"/>
        <w:adjustRightInd w:val="0"/>
        <w:ind w:right="113"/>
        <w:rPr>
          <w:rFonts w:cs="Arial"/>
        </w:rPr>
      </w:pPr>
    </w:p>
    <w:p w14:paraId="73E5679C" w14:textId="56297962" w:rsidR="006F48B6" w:rsidRPr="00594F7D" w:rsidRDefault="006F48B6" w:rsidP="00594F7D">
      <w:pPr>
        <w:widowControl w:val="0"/>
        <w:autoSpaceDE w:val="0"/>
        <w:autoSpaceDN w:val="0"/>
        <w:adjustRightInd w:val="0"/>
        <w:ind w:right="113"/>
        <w:rPr>
          <w:rFonts w:cs="Arial"/>
        </w:rPr>
      </w:pPr>
      <w:r w:rsidRPr="00594F7D">
        <w:rPr>
          <w:rFonts w:cs="Arial"/>
        </w:rPr>
        <w:t xml:space="preserve">Por lo que, se debe destacar entonces que el Pleno de este Organismo Garante, ha sostenido que, ante la presencia de un hecho negativo, resulta innecesaria una declaratoria de inexistencia en términos de 19, 169 y 170 de la Ley de Transparencia y Acceso a la Información Pública del Estado de México y Municipios, de aplicación supletoria, y ante un hecho negativo resultan aplicables las siguientes tesis: </w:t>
      </w:r>
    </w:p>
    <w:p w14:paraId="42C4B193" w14:textId="77777777" w:rsidR="006F48B6" w:rsidRPr="00594F7D" w:rsidRDefault="006F48B6" w:rsidP="00594F7D">
      <w:pPr>
        <w:widowControl w:val="0"/>
        <w:autoSpaceDE w:val="0"/>
        <w:autoSpaceDN w:val="0"/>
        <w:adjustRightInd w:val="0"/>
        <w:ind w:right="113"/>
        <w:rPr>
          <w:rFonts w:cs="Arial"/>
        </w:rPr>
      </w:pPr>
    </w:p>
    <w:p w14:paraId="0EDD2F72" w14:textId="77777777" w:rsidR="006F48B6" w:rsidRPr="00594F7D" w:rsidRDefault="006F48B6" w:rsidP="00594F7D">
      <w:pPr>
        <w:pStyle w:val="Puesto"/>
        <w:ind w:firstLine="0"/>
        <w:rPr>
          <w:color w:val="auto"/>
        </w:rPr>
      </w:pPr>
      <w:r w:rsidRPr="00594F7D">
        <w:rPr>
          <w:b/>
          <w:color w:val="auto"/>
        </w:rPr>
        <w:t xml:space="preserve">“HECHOS NEGATIVOS, NO SON SUSCEPTIBLES DE DEMOSTRACIÓN. </w:t>
      </w:r>
      <w:r w:rsidRPr="00594F7D">
        <w:rPr>
          <w:color w:val="auto"/>
        </w:rPr>
        <w:t>Tratándose de un hecho negativo, el Juez no tiene por qué invocar prueba alguna de la que se desprenda, ya que es bien sabido que esta clase de hechos no son susceptibles de demostración.”</w:t>
      </w:r>
    </w:p>
    <w:p w14:paraId="5671D020" w14:textId="77777777" w:rsidR="006F48B6" w:rsidRPr="00594F7D" w:rsidRDefault="006F48B6" w:rsidP="00594F7D">
      <w:pPr>
        <w:pStyle w:val="Puesto"/>
        <w:ind w:firstLine="0"/>
        <w:rPr>
          <w:rFonts w:eastAsia="Calibri"/>
          <w:color w:val="auto"/>
          <w:lang w:val="es-ES_tradnl"/>
        </w:rPr>
      </w:pPr>
      <w:r w:rsidRPr="00594F7D">
        <w:rPr>
          <w:rFonts w:eastAsia="Calibri"/>
          <w:color w:val="auto"/>
        </w:rPr>
        <w:t>(Énfasis añadido)</w:t>
      </w:r>
    </w:p>
    <w:p w14:paraId="674A3FCD" w14:textId="77777777" w:rsidR="006F48B6" w:rsidRPr="00594F7D" w:rsidRDefault="006F48B6" w:rsidP="00594F7D">
      <w:pPr>
        <w:widowControl w:val="0"/>
        <w:autoSpaceDE w:val="0"/>
        <w:autoSpaceDN w:val="0"/>
        <w:adjustRightInd w:val="0"/>
        <w:ind w:left="850" w:right="113"/>
        <w:jc w:val="right"/>
        <w:rPr>
          <w:rFonts w:cs="Arial"/>
          <w:i/>
        </w:rPr>
      </w:pPr>
    </w:p>
    <w:p w14:paraId="267E960F" w14:textId="77777777" w:rsidR="006F48B6" w:rsidRPr="00594F7D" w:rsidRDefault="006F48B6" w:rsidP="00594F7D">
      <w:pPr>
        <w:ind w:right="113"/>
      </w:pPr>
      <w:r w:rsidRPr="00594F7D">
        <w:t>Por lo anterior, para robustecer lo siguiente, se anexa el siguiente criterio:</w:t>
      </w:r>
    </w:p>
    <w:p w14:paraId="614F7738" w14:textId="77777777" w:rsidR="006F48B6" w:rsidRPr="00594F7D" w:rsidRDefault="006F48B6" w:rsidP="00594F7D">
      <w:pPr>
        <w:ind w:right="113"/>
      </w:pPr>
    </w:p>
    <w:p w14:paraId="409D7AE8" w14:textId="77777777" w:rsidR="006F48B6" w:rsidRPr="00594F7D" w:rsidRDefault="006F48B6" w:rsidP="00594F7D">
      <w:pPr>
        <w:pStyle w:val="Puesto"/>
        <w:ind w:firstLine="0"/>
        <w:rPr>
          <w:color w:val="auto"/>
        </w:rPr>
      </w:pPr>
      <w:r w:rsidRPr="00594F7D">
        <w:rPr>
          <w:color w:val="auto"/>
        </w:rPr>
        <w:t>“</w:t>
      </w:r>
      <w:r w:rsidRPr="00594F7D">
        <w:rPr>
          <w:b/>
          <w:color w:val="auto"/>
        </w:rPr>
        <w:t>HECHO NEGATIVO. DIFERENCIA CON LA INEXISTENCIA DE LA INFORMACIÓN A LA QUE REFIERE EL ARTICULO 19 DE LA LEY DE TRANSPARENCIA Y ACCESO A LA INFORMACIÓN PÚBLICA DEL ESTADO DE MÉXICO Y MUNICIPIOS.</w:t>
      </w:r>
      <w:r w:rsidRPr="00594F7D">
        <w:rPr>
          <w:color w:val="auto"/>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w:t>
      </w:r>
      <w:r w:rsidRPr="00594F7D">
        <w:rPr>
          <w:color w:val="auto"/>
        </w:rPr>
        <w:lastRenderedPageBreak/>
        <w:t>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7480EEC5" w14:textId="77777777" w:rsidR="006F48B6" w:rsidRPr="00594F7D" w:rsidRDefault="006F48B6" w:rsidP="00594F7D">
      <w:pPr>
        <w:pStyle w:val="Puesto"/>
        <w:ind w:firstLine="0"/>
        <w:rPr>
          <w:color w:val="auto"/>
        </w:rPr>
      </w:pPr>
    </w:p>
    <w:p w14:paraId="1154E944" w14:textId="77777777" w:rsidR="006F48B6" w:rsidRPr="00594F7D" w:rsidRDefault="006F48B6" w:rsidP="00594F7D">
      <w:pPr>
        <w:pStyle w:val="Puesto"/>
        <w:ind w:firstLine="0"/>
        <w:rPr>
          <w:rFonts w:eastAsia="Calibri"/>
          <w:color w:val="auto"/>
          <w:lang w:val="es-ES_tradnl"/>
        </w:rPr>
      </w:pPr>
      <w:r w:rsidRPr="00594F7D">
        <w:rPr>
          <w:rFonts w:eastAsia="Calibri"/>
          <w:color w:val="auto"/>
        </w:rPr>
        <w:t>(Énfasis añadido)</w:t>
      </w:r>
    </w:p>
    <w:p w14:paraId="01858630" w14:textId="77777777" w:rsidR="006F48B6" w:rsidRPr="00594F7D" w:rsidRDefault="006F48B6" w:rsidP="00594F7D"/>
    <w:p w14:paraId="3B6F8722" w14:textId="77777777" w:rsidR="006F48B6" w:rsidRPr="00594F7D" w:rsidRDefault="006F48B6" w:rsidP="00594F7D">
      <w:r w:rsidRPr="00594F7D">
        <w:t>Acotado lo anterior, debemos recordar que quien se pronunció respecto a dicha parte de la solicitud, fue el Tesorero Municipal, unidad administrativa, que conforme a lo establecido por los artículos 94, 95 fracciones I, IV y XII, de la ley Orgánica Municipal del Estado de México, es la encargada de la administración de la hacienda municipal, llevar los registros contables, financieros y administrativos de los ingresos y egresos del ayuntamiento, como se observa de la parte aplicable enseguida:</w:t>
      </w:r>
    </w:p>
    <w:p w14:paraId="409FED62" w14:textId="77777777" w:rsidR="006F48B6" w:rsidRPr="00594F7D" w:rsidRDefault="006F48B6" w:rsidP="00594F7D"/>
    <w:p w14:paraId="52628DC2" w14:textId="77777777" w:rsidR="006F48B6" w:rsidRPr="00594F7D" w:rsidRDefault="006F48B6" w:rsidP="00594F7D">
      <w:pPr>
        <w:pStyle w:val="Puesto"/>
        <w:ind w:firstLine="0"/>
        <w:rPr>
          <w:color w:val="auto"/>
        </w:rPr>
      </w:pPr>
      <w:r w:rsidRPr="00594F7D">
        <w:rPr>
          <w:b/>
          <w:color w:val="auto"/>
        </w:rPr>
        <w:t>Artículo 94.-</w:t>
      </w:r>
      <w:r w:rsidRPr="00594F7D">
        <w:rPr>
          <w:color w:val="auto"/>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29E53E6B" w14:textId="77777777" w:rsidR="006F48B6" w:rsidRPr="00594F7D" w:rsidRDefault="006F48B6" w:rsidP="00594F7D">
      <w:pPr>
        <w:pStyle w:val="Puesto"/>
        <w:ind w:firstLine="0"/>
        <w:rPr>
          <w:color w:val="auto"/>
        </w:rPr>
      </w:pPr>
      <w:r w:rsidRPr="00594F7D">
        <w:rPr>
          <w:b/>
          <w:color w:val="auto"/>
        </w:rPr>
        <w:t>Artículo 95.-</w:t>
      </w:r>
      <w:r w:rsidRPr="00594F7D">
        <w:rPr>
          <w:color w:val="auto"/>
        </w:rPr>
        <w:t xml:space="preserve"> Son atribuciones del tesorero municipal:</w:t>
      </w:r>
    </w:p>
    <w:p w14:paraId="5A985AC6" w14:textId="77777777" w:rsidR="006F48B6" w:rsidRPr="00594F7D" w:rsidRDefault="006F48B6" w:rsidP="00594F7D">
      <w:pPr>
        <w:pStyle w:val="Puesto"/>
        <w:ind w:firstLine="0"/>
        <w:rPr>
          <w:color w:val="auto"/>
        </w:rPr>
      </w:pPr>
      <w:r w:rsidRPr="00594F7D">
        <w:rPr>
          <w:color w:val="auto"/>
        </w:rPr>
        <w:t>I. Administrar la hacienda pública municipal, de conformidad con las disposiciones legales aplicables;</w:t>
      </w:r>
    </w:p>
    <w:p w14:paraId="21DF37D9" w14:textId="77777777" w:rsidR="006F48B6" w:rsidRPr="00594F7D" w:rsidRDefault="006F48B6" w:rsidP="00594F7D">
      <w:pPr>
        <w:pStyle w:val="Puesto"/>
        <w:ind w:firstLine="0"/>
        <w:rPr>
          <w:color w:val="auto"/>
        </w:rPr>
      </w:pPr>
      <w:r w:rsidRPr="00594F7D">
        <w:rPr>
          <w:color w:val="auto"/>
        </w:rPr>
        <w:t>…</w:t>
      </w:r>
    </w:p>
    <w:p w14:paraId="2FCFCDC5" w14:textId="77777777" w:rsidR="006F48B6" w:rsidRPr="00594F7D" w:rsidRDefault="006F48B6" w:rsidP="00594F7D">
      <w:pPr>
        <w:pStyle w:val="Puesto"/>
        <w:ind w:firstLine="0"/>
        <w:rPr>
          <w:color w:val="auto"/>
        </w:rPr>
      </w:pPr>
      <w:r w:rsidRPr="00594F7D">
        <w:rPr>
          <w:color w:val="auto"/>
        </w:rPr>
        <w:t>IV. Llevar los registros contables, financieros y administrativos de los ingresos, egresos, e inventarios;</w:t>
      </w:r>
    </w:p>
    <w:p w14:paraId="1D853171" w14:textId="6AE00940" w:rsidR="006F48B6" w:rsidRPr="00594F7D" w:rsidRDefault="006F48B6" w:rsidP="00594F7D">
      <w:pPr>
        <w:pStyle w:val="Puesto"/>
        <w:ind w:firstLine="0"/>
        <w:rPr>
          <w:color w:val="auto"/>
        </w:rPr>
      </w:pPr>
      <w:r w:rsidRPr="00594F7D">
        <w:rPr>
          <w:color w:val="auto"/>
        </w:rPr>
        <w:t>…</w:t>
      </w:r>
    </w:p>
    <w:p w14:paraId="743EC6FE" w14:textId="7A79808D" w:rsidR="006F48B6" w:rsidRPr="00594F7D" w:rsidRDefault="006F48B6" w:rsidP="00594F7D"/>
    <w:p w14:paraId="2129BA7F" w14:textId="5A8F0CD9" w:rsidR="001663EB" w:rsidRPr="00594F7D" w:rsidRDefault="001663EB" w:rsidP="00594F7D">
      <w:r w:rsidRPr="00594F7D">
        <w:t xml:space="preserve">Conforme al análisis anterior, es posible dilucidar que, efectivamente el soporte documental remitido en respuesta a fin de atender los requerimientos planteados en estudio satisface el derecho de acceso a la información pública del ahora </w:t>
      </w:r>
      <w:r w:rsidRPr="00594F7D">
        <w:rPr>
          <w:b/>
        </w:rPr>
        <w:t>RECURRENTE.</w:t>
      </w:r>
    </w:p>
    <w:p w14:paraId="3B6E9C7F" w14:textId="03228165" w:rsidR="006F48B6" w:rsidRPr="00594F7D" w:rsidRDefault="006F48B6" w:rsidP="00594F7D">
      <w:r w:rsidRPr="00594F7D">
        <w:lastRenderedPageBreak/>
        <w:t xml:space="preserve">Luego entonces, el derecho de acceso a la información pública de </w:t>
      </w:r>
      <w:r w:rsidRPr="00594F7D">
        <w:rPr>
          <w:b/>
          <w:bCs/>
        </w:rPr>
        <w:t xml:space="preserve">LA PARTE RECURRENTE </w:t>
      </w:r>
      <w:r w:rsidRPr="00594F7D">
        <w:t>fue atendido por el Ayuntamiento.</w:t>
      </w:r>
    </w:p>
    <w:p w14:paraId="628E1576" w14:textId="77777777" w:rsidR="001663EB" w:rsidRPr="00594F7D" w:rsidRDefault="001663EB" w:rsidP="00594F7D"/>
    <w:p w14:paraId="17B16F01" w14:textId="2764FB1B" w:rsidR="00B555CC" w:rsidRPr="00594F7D" w:rsidRDefault="00B555CC" w:rsidP="00594F7D">
      <w:pPr>
        <w:rPr>
          <w:rFonts w:eastAsia="Calibri" w:cs="Arial"/>
          <w:lang w:eastAsia="en-US"/>
        </w:rPr>
      </w:pPr>
      <w:r w:rsidRPr="00594F7D">
        <w:t>En el entendido que,</w:t>
      </w:r>
      <w:r w:rsidRPr="00594F7D">
        <w:rPr>
          <w:rFonts w:eastAsia="Calibri"/>
        </w:rPr>
        <w:t xml:space="preserve"> </w:t>
      </w:r>
      <w:r w:rsidRPr="00594F7D">
        <w:rPr>
          <w:rFonts w:eastAsia="Calibri"/>
          <w:lang w:eastAsia="en-US"/>
        </w:rPr>
        <w:t xml:space="preserve">para tener por satisfecho </w:t>
      </w:r>
      <w:r w:rsidRPr="00594F7D">
        <w:rPr>
          <w:rFonts w:eastAsia="Calibri" w:cs="Arial"/>
          <w:lang w:eastAsia="en-US"/>
        </w:rPr>
        <w:t>el derecho de acceso a la información pública implica que cualquier persona conozca la información contenida en los documentos que se encuentren en los archivos de los Sujetos Obligados.</w:t>
      </w:r>
    </w:p>
    <w:p w14:paraId="0CFC40B3" w14:textId="77777777" w:rsidR="00B555CC" w:rsidRPr="00594F7D" w:rsidRDefault="00B555CC" w:rsidP="00594F7D">
      <w:pPr>
        <w:rPr>
          <w:rFonts w:eastAsia="Calibri"/>
          <w:lang w:eastAsia="en-US"/>
        </w:rPr>
      </w:pPr>
    </w:p>
    <w:p w14:paraId="444AC382" w14:textId="77777777" w:rsidR="00B555CC" w:rsidRPr="00594F7D" w:rsidRDefault="00B555CC" w:rsidP="00594F7D">
      <w:pPr>
        <w:rPr>
          <w:rFonts w:eastAsia="Calibri" w:cs="Arial"/>
          <w:lang w:eastAsia="en-US"/>
        </w:rPr>
      </w:pPr>
      <w:r w:rsidRPr="00594F7D">
        <w:rPr>
          <w:rFonts w:eastAsia="Calibri"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594F7D">
        <w:rPr>
          <w:rFonts w:eastAsia="Calibri" w:cs="Arial"/>
          <w:bCs/>
          <w:lang w:eastAsia="en-US"/>
        </w:rPr>
        <w:t>de la Ley de Transparencia y Acceso a la Información Pública del Estado de México y Municipios</w:t>
      </w:r>
      <w:r w:rsidRPr="00594F7D">
        <w:rPr>
          <w:rFonts w:eastAsia="Calibri" w:cs="Arial"/>
          <w:lang w:eastAsia="en-US"/>
        </w:rPr>
        <w:t>:</w:t>
      </w:r>
    </w:p>
    <w:p w14:paraId="033B19B6" w14:textId="77777777" w:rsidR="00B555CC" w:rsidRPr="00594F7D" w:rsidRDefault="00B555CC" w:rsidP="00594F7D">
      <w:pPr>
        <w:rPr>
          <w:rFonts w:eastAsia="Calibri" w:cs="Arial"/>
          <w:lang w:eastAsia="en-US"/>
        </w:rPr>
      </w:pPr>
      <w:r w:rsidRPr="00594F7D">
        <w:rPr>
          <w:rFonts w:eastAsia="Calibri" w:cs="Arial"/>
          <w:lang w:eastAsia="en-US"/>
        </w:rPr>
        <w:tab/>
      </w:r>
    </w:p>
    <w:p w14:paraId="0D561989" w14:textId="77777777" w:rsidR="00B555CC" w:rsidRPr="00594F7D" w:rsidRDefault="00B555CC" w:rsidP="00594F7D">
      <w:pPr>
        <w:pStyle w:val="Puesto"/>
        <w:ind w:firstLine="0"/>
        <w:rPr>
          <w:rFonts w:eastAsia="Calibri"/>
          <w:b/>
          <w:color w:val="auto"/>
          <w:lang w:eastAsia="en-US"/>
        </w:rPr>
      </w:pPr>
      <w:r w:rsidRPr="00594F7D">
        <w:rPr>
          <w:rFonts w:eastAsia="Calibri"/>
          <w:b/>
          <w:color w:val="auto"/>
          <w:lang w:eastAsia="en-US"/>
        </w:rPr>
        <w:t>“Artículo 3. Para los efectos de la presente Ley se entenderá por:</w:t>
      </w:r>
    </w:p>
    <w:p w14:paraId="3B1E5C03" w14:textId="77777777" w:rsidR="00B555CC" w:rsidRPr="00594F7D" w:rsidRDefault="00B555CC" w:rsidP="00594F7D">
      <w:pPr>
        <w:pStyle w:val="Puesto"/>
        <w:ind w:firstLine="0"/>
        <w:rPr>
          <w:rFonts w:eastAsia="Calibri"/>
          <w:color w:val="auto"/>
          <w:lang w:eastAsia="en-US"/>
        </w:rPr>
      </w:pPr>
      <w:r w:rsidRPr="00594F7D">
        <w:rPr>
          <w:rFonts w:eastAsia="Calibri"/>
          <w:color w:val="auto"/>
          <w:lang w:eastAsia="en-US"/>
        </w:rPr>
        <w:t>…</w:t>
      </w:r>
    </w:p>
    <w:p w14:paraId="16BCB540" w14:textId="77777777" w:rsidR="00B555CC" w:rsidRPr="00594F7D" w:rsidRDefault="00B555CC" w:rsidP="00594F7D">
      <w:pPr>
        <w:pStyle w:val="Puesto"/>
        <w:ind w:firstLine="0"/>
        <w:rPr>
          <w:rFonts w:eastAsia="Calibri"/>
          <w:color w:val="auto"/>
          <w:lang w:eastAsia="en-US"/>
        </w:rPr>
      </w:pPr>
      <w:r w:rsidRPr="00594F7D">
        <w:rPr>
          <w:rFonts w:eastAsia="Calibri"/>
          <w:b/>
          <w:bCs/>
          <w:color w:val="auto"/>
          <w:lang w:eastAsia="en-US"/>
        </w:rPr>
        <w:t xml:space="preserve">XI. Documento: </w:t>
      </w:r>
      <w:r w:rsidRPr="00594F7D">
        <w:rPr>
          <w:rFonts w:eastAsia="Calibri"/>
          <w:color w:val="auto"/>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0821E75" w14:textId="77777777" w:rsidR="00B555CC" w:rsidRPr="00594F7D" w:rsidRDefault="00B555CC" w:rsidP="00594F7D">
      <w:pPr>
        <w:pStyle w:val="Puesto"/>
        <w:ind w:firstLine="0"/>
        <w:rPr>
          <w:rFonts w:eastAsia="Calibri"/>
          <w:color w:val="auto"/>
          <w:lang w:eastAsia="en-US"/>
        </w:rPr>
      </w:pPr>
      <w:r w:rsidRPr="00594F7D">
        <w:rPr>
          <w:rFonts w:eastAsia="Calibri"/>
          <w:b/>
          <w:color w:val="auto"/>
          <w:lang w:eastAsia="en-US"/>
        </w:rPr>
        <w:t>XII. Documento electrónico:</w:t>
      </w:r>
      <w:r w:rsidRPr="00594F7D">
        <w:rPr>
          <w:rFonts w:eastAsia="Calibri"/>
          <w:color w:val="auto"/>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AD74FE8" w14:textId="77777777" w:rsidR="00B555CC" w:rsidRPr="00594F7D" w:rsidRDefault="00B555CC" w:rsidP="00594F7D">
      <w:pPr>
        <w:pStyle w:val="Puesto"/>
        <w:ind w:firstLine="0"/>
        <w:rPr>
          <w:rFonts w:eastAsia="Calibri"/>
          <w:color w:val="auto"/>
          <w:lang w:eastAsia="en-US"/>
        </w:rPr>
      </w:pPr>
      <w:r w:rsidRPr="00594F7D">
        <w:rPr>
          <w:rFonts w:eastAsia="Calibri"/>
          <w:color w:val="auto"/>
          <w:lang w:eastAsia="en-US"/>
        </w:rPr>
        <w:t>…</w:t>
      </w:r>
    </w:p>
    <w:p w14:paraId="31217C94" w14:textId="77777777" w:rsidR="00B555CC" w:rsidRPr="00594F7D" w:rsidRDefault="00B555CC" w:rsidP="00594F7D">
      <w:pPr>
        <w:pStyle w:val="Puesto"/>
        <w:ind w:firstLine="0"/>
        <w:rPr>
          <w:rFonts w:eastAsia="Calibri"/>
          <w:b/>
          <w:color w:val="auto"/>
          <w:lang w:eastAsia="en-US"/>
        </w:rPr>
      </w:pPr>
      <w:r w:rsidRPr="00594F7D">
        <w:rPr>
          <w:rFonts w:eastAsia="Calibri"/>
          <w:b/>
          <w:color w:val="auto"/>
          <w:lang w:eastAsia="en-US"/>
        </w:rPr>
        <w:t>Artículo 4. El derecho humano de acceso a la información pública es la prerrogativa de las personas para buscar, difundir, investigar, recabar, recibir y solicitar información pública, sin necesidad de acreditar personalidad ni interés jurídico.</w:t>
      </w:r>
    </w:p>
    <w:p w14:paraId="6CB518FF" w14:textId="77777777" w:rsidR="00B555CC" w:rsidRPr="00594F7D" w:rsidRDefault="00B555CC" w:rsidP="00594F7D">
      <w:pPr>
        <w:pStyle w:val="Puesto"/>
        <w:ind w:firstLine="0"/>
        <w:rPr>
          <w:rFonts w:eastAsia="Calibri"/>
          <w:color w:val="auto"/>
          <w:lang w:eastAsia="en-US"/>
        </w:rPr>
      </w:pPr>
      <w:r w:rsidRPr="00594F7D">
        <w:rPr>
          <w:rFonts w:eastAsia="Calibri"/>
          <w:b/>
          <w:color w:val="auto"/>
          <w:lang w:eastAsia="en-US"/>
        </w:rPr>
        <w:t xml:space="preserve">Toda la información generada, obtenida, adquirida, transformada, administrada o en posesión de los sujetos obligados es pública y accesible de manera </w:t>
      </w:r>
      <w:r w:rsidRPr="00594F7D">
        <w:rPr>
          <w:rFonts w:eastAsia="Calibri"/>
          <w:b/>
          <w:color w:val="auto"/>
          <w:lang w:eastAsia="en-US"/>
        </w:rPr>
        <w:lastRenderedPageBreak/>
        <w:t>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94F7D">
        <w:rPr>
          <w:rFonts w:eastAsia="Calibri"/>
          <w:color w:val="auto"/>
          <w:lang w:eastAsia="en-US"/>
        </w:rPr>
        <w:t xml:space="preserve"> Solo podrá ser clasificada excepcionalmente como reservada temporalmente por razones de interés público, en los términos de las causas legítimas y estrictamente necesarias previstas por esta Ley.</w:t>
      </w:r>
    </w:p>
    <w:p w14:paraId="7A8CE9AA" w14:textId="77777777" w:rsidR="00B555CC" w:rsidRPr="00594F7D" w:rsidRDefault="00B555CC" w:rsidP="00594F7D">
      <w:pPr>
        <w:pStyle w:val="Puesto"/>
        <w:ind w:firstLine="0"/>
        <w:rPr>
          <w:rFonts w:eastAsia="Calibri"/>
          <w:color w:val="auto"/>
          <w:lang w:eastAsia="en-US"/>
        </w:rPr>
      </w:pPr>
      <w:r w:rsidRPr="00594F7D">
        <w:rPr>
          <w:rFonts w:eastAsia="Calibri"/>
          <w:color w:val="auto"/>
          <w:lang w:eastAsia="en-US"/>
        </w:rPr>
        <w:t>Los sujetos obligados deben poner en práctica, políticas y programas de acceso a la información que se apeguen a criterios de publicidad, veracidad, oportunidad, precisión y suficiencia en beneficio de los solicitantes.</w:t>
      </w:r>
    </w:p>
    <w:p w14:paraId="0AED28DB" w14:textId="77777777" w:rsidR="00B555CC" w:rsidRPr="00594F7D" w:rsidRDefault="00B555CC" w:rsidP="00594F7D">
      <w:pPr>
        <w:pStyle w:val="Puesto"/>
        <w:ind w:firstLine="0"/>
        <w:rPr>
          <w:rFonts w:eastAsia="Calibri"/>
          <w:color w:val="auto"/>
          <w:lang w:eastAsia="en-US"/>
        </w:rPr>
      </w:pPr>
      <w:r w:rsidRPr="00594F7D">
        <w:rPr>
          <w:rFonts w:eastAsia="Calibri"/>
          <w:b/>
          <w:bCs/>
          <w:color w:val="auto"/>
          <w:lang w:eastAsia="en-US"/>
        </w:rPr>
        <w:t xml:space="preserve">Artículo 12. </w:t>
      </w:r>
      <w:r w:rsidRPr="00594F7D">
        <w:rPr>
          <w:rFonts w:eastAsia="Calibri"/>
          <w:color w:val="auto"/>
          <w:lang w:eastAsia="en-US"/>
        </w:rPr>
        <w:t>Quienes generen, recopilen, administren, manejen, procesen, archiven o conserven información pública serán responsables de la misma en los términos de las disposiciones jurídicas aplicables.</w:t>
      </w:r>
    </w:p>
    <w:p w14:paraId="4745040B" w14:textId="77777777" w:rsidR="00B555CC" w:rsidRPr="00594F7D" w:rsidRDefault="00B555CC" w:rsidP="00594F7D">
      <w:pPr>
        <w:pStyle w:val="Puesto"/>
        <w:ind w:firstLine="0"/>
        <w:rPr>
          <w:rFonts w:eastAsia="Calibri"/>
          <w:color w:val="auto"/>
          <w:lang w:eastAsia="en-US"/>
        </w:rPr>
      </w:pPr>
      <w:r w:rsidRPr="00594F7D">
        <w:rPr>
          <w:rFonts w:eastAsia="Calibri"/>
          <w:b/>
          <w:color w:val="auto"/>
          <w:lang w:eastAsia="en-US"/>
        </w:rPr>
        <w:t>Los sujetos obligados sólo proporcionarán la información pública que se les requiera y que obre en sus archivos y en el estado en que ésta se encuentre.</w:t>
      </w:r>
      <w:r w:rsidRPr="00594F7D">
        <w:rPr>
          <w:rFonts w:eastAsia="Calibri"/>
          <w:color w:val="auto"/>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DB8F376" w14:textId="77777777" w:rsidR="00B555CC" w:rsidRPr="00594F7D" w:rsidRDefault="00B555CC" w:rsidP="00594F7D">
      <w:pPr>
        <w:pStyle w:val="Puesto"/>
        <w:ind w:firstLine="0"/>
        <w:rPr>
          <w:rFonts w:eastAsia="Calibri"/>
          <w:color w:val="auto"/>
          <w:lang w:eastAsia="en-US"/>
        </w:rPr>
      </w:pPr>
      <w:r w:rsidRPr="00594F7D">
        <w:rPr>
          <w:rFonts w:eastAsia="Calibri"/>
          <w:color w:val="auto"/>
          <w:lang w:eastAsia="en-US"/>
        </w:rPr>
        <w:t>…</w:t>
      </w:r>
    </w:p>
    <w:p w14:paraId="7B60CB0F" w14:textId="77777777" w:rsidR="00B555CC" w:rsidRPr="00594F7D" w:rsidRDefault="00B555CC" w:rsidP="00594F7D">
      <w:pPr>
        <w:pStyle w:val="Puesto"/>
        <w:ind w:firstLine="0"/>
        <w:rPr>
          <w:rFonts w:eastAsia="Calibri"/>
          <w:b/>
          <w:color w:val="auto"/>
          <w:lang w:eastAsia="en-US"/>
        </w:rPr>
      </w:pPr>
      <w:r w:rsidRPr="00594F7D">
        <w:rPr>
          <w:rFonts w:eastAsia="Calibri"/>
          <w:b/>
          <w:bCs/>
          <w:color w:val="auto"/>
          <w:lang w:eastAsia="en-US"/>
        </w:rPr>
        <w:t xml:space="preserve">Artículo 24. </w:t>
      </w:r>
      <w:r w:rsidRPr="00594F7D">
        <w:rPr>
          <w:rFonts w:eastAsia="Calibri"/>
          <w:b/>
          <w:color w:val="auto"/>
          <w:lang w:eastAsia="en-US"/>
        </w:rPr>
        <w:t>Para el cumplimiento de los objetivos de esta Ley, los sujetos obligados deberán cumplir con las siguientes obligaciones, según corresponda, de acuerdo a su naturaleza:</w:t>
      </w:r>
    </w:p>
    <w:p w14:paraId="4B5AEC72" w14:textId="77777777" w:rsidR="00B555CC" w:rsidRPr="00594F7D" w:rsidRDefault="00B555CC" w:rsidP="00594F7D">
      <w:pPr>
        <w:pStyle w:val="Puesto"/>
        <w:ind w:firstLine="0"/>
        <w:rPr>
          <w:rFonts w:eastAsia="Calibri"/>
          <w:color w:val="auto"/>
          <w:lang w:eastAsia="en-US"/>
        </w:rPr>
      </w:pPr>
      <w:r w:rsidRPr="00594F7D">
        <w:rPr>
          <w:rFonts w:eastAsia="Calibri"/>
          <w:bCs/>
          <w:color w:val="auto"/>
          <w:lang w:eastAsia="en-US"/>
        </w:rPr>
        <w:t>..</w:t>
      </w:r>
      <w:r w:rsidRPr="00594F7D">
        <w:rPr>
          <w:rFonts w:eastAsia="Calibri"/>
          <w:color w:val="auto"/>
          <w:lang w:eastAsia="en-US"/>
        </w:rPr>
        <w:t>.</w:t>
      </w:r>
    </w:p>
    <w:p w14:paraId="7A2D9DC3" w14:textId="77777777" w:rsidR="00B555CC" w:rsidRPr="00594F7D" w:rsidRDefault="00B555CC" w:rsidP="00594F7D">
      <w:pPr>
        <w:pStyle w:val="Puesto"/>
        <w:ind w:firstLine="0"/>
        <w:rPr>
          <w:rFonts w:eastAsia="Calibri"/>
          <w:bCs/>
          <w:color w:val="auto"/>
          <w:lang w:eastAsia="en-US"/>
        </w:rPr>
      </w:pPr>
      <w:r w:rsidRPr="00594F7D">
        <w:rPr>
          <w:rFonts w:eastAsia="Calibri"/>
          <w:b/>
          <w:bCs/>
          <w:color w:val="auto"/>
          <w:lang w:eastAsia="en-US"/>
        </w:rPr>
        <w:t>IX.</w:t>
      </w:r>
      <w:r w:rsidRPr="00594F7D">
        <w:rPr>
          <w:rFonts w:eastAsia="Calibri"/>
          <w:bCs/>
          <w:color w:val="auto"/>
          <w:lang w:eastAsia="en-US"/>
        </w:rPr>
        <w:t xml:space="preserve"> Fomentar el uso de tecnologías de la información para garantizar la transparencia, el derecho de acceso a la información y la accesibilidad a éstos;</w:t>
      </w:r>
    </w:p>
    <w:p w14:paraId="430A4590" w14:textId="77777777" w:rsidR="00B555CC" w:rsidRPr="00594F7D" w:rsidRDefault="00B555CC" w:rsidP="00594F7D">
      <w:pPr>
        <w:pStyle w:val="Puesto"/>
        <w:ind w:firstLine="0"/>
        <w:rPr>
          <w:rFonts w:eastAsia="Calibri"/>
          <w:bCs/>
          <w:color w:val="auto"/>
          <w:lang w:eastAsia="en-US"/>
        </w:rPr>
      </w:pPr>
      <w:r w:rsidRPr="00594F7D">
        <w:rPr>
          <w:rFonts w:eastAsia="Calibri"/>
          <w:b/>
          <w:bCs/>
          <w:color w:val="auto"/>
          <w:lang w:eastAsia="en-US"/>
        </w:rPr>
        <w:t>…</w:t>
      </w:r>
    </w:p>
    <w:p w14:paraId="7C1B8BBC" w14:textId="77777777" w:rsidR="00B555CC" w:rsidRPr="00594F7D" w:rsidRDefault="00B555CC" w:rsidP="00594F7D">
      <w:pPr>
        <w:pStyle w:val="Puesto"/>
        <w:ind w:firstLine="0"/>
        <w:rPr>
          <w:rFonts w:eastAsia="Calibri"/>
          <w:b/>
          <w:bCs/>
          <w:color w:val="auto"/>
          <w:lang w:eastAsia="en-US"/>
        </w:rPr>
      </w:pPr>
      <w:r w:rsidRPr="00594F7D">
        <w:rPr>
          <w:rFonts w:eastAsia="Calibri"/>
          <w:b/>
          <w:bCs/>
          <w:color w:val="auto"/>
          <w:lang w:eastAsia="en-US"/>
        </w:rPr>
        <w:t>XI.</w:t>
      </w:r>
      <w:r w:rsidRPr="00594F7D">
        <w:rPr>
          <w:rFonts w:eastAsia="Calibri"/>
          <w:bCs/>
          <w:color w:val="auto"/>
          <w:lang w:eastAsia="en-US"/>
        </w:rPr>
        <w:t xml:space="preserve"> </w:t>
      </w:r>
      <w:r w:rsidRPr="00594F7D">
        <w:rPr>
          <w:rFonts w:eastAsia="Calibri"/>
          <w:b/>
          <w:bCs/>
          <w:color w:val="auto"/>
          <w:lang w:eastAsia="en-US"/>
        </w:rPr>
        <w:t>Dar acceso a la información pública que le sea requerida, en los términos de la Ley General, esta Ley y demás disposiciones jurídicas aplicables;</w:t>
      </w:r>
    </w:p>
    <w:p w14:paraId="47CCB71D" w14:textId="77777777" w:rsidR="00B555CC" w:rsidRPr="00594F7D" w:rsidRDefault="00B555CC" w:rsidP="00594F7D">
      <w:pPr>
        <w:pStyle w:val="Puesto"/>
        <w:ind w:firstLine="0"/>
        <w:rPr>
          <w:rFonts w:eastAsia="Calibri"/>
          <w:color w:val="auto"/>
          <w:lang w:eastAsia="en-US"/>
        </w:rPr>
      </w:pPr>
      <w:r w:rsidRPr="00594F7D">
        <w:rPr>
          <w:rFonts w:eastAsia="Calibri"/>
          <w:bCs/>
          <w:color w:val="auto"/>
          <w:lang w:eastAsia="en-US"/>
        </w:rPr>
        <w:t>…</w:t>
      </w:r>
    </w:p>
    <w:p w14:paraId="1399AB47" w14:textId="77777777" w:rsidR="00B555CC" w:rsidRPr="00594F7D" w:rsidRDefault="00B555CC" w:rsidP="00594F7D">
      <w:pPr>
        <w:pStyle w:val="Puesto"/>
        <w:ind w:firstLine="0"/>
        <w:rPr>
          <w:rFonts w:eastAsia="Calibri"/>
          <w:color w:val="auto"/>
          <w:lang w:eastAsia="en-US"/>
        </w:rPr>
      </w:pPr>
      <w:r w:rsidRPr="00594F7D">
        <w:rPr>
          <w:rFonts w:eastAsia="Calibri"/>
          <w:color w:val="auto"/>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94C912C" w14:textId="77777777" w:rsidR="00B555CC" w:rsidRPr="00594F7D" w:rsidRDefault="00B555CC" w:rsidP="00594F7D">
      <w:pPr>
        <w:pStyle w:val="Puesto"/>
        <w:ind w:firstLine="0"/>
        <w:rPr>
          <w:rFonts w:eastAsia="Calibri"/>
          <w:b/>
          <w:color w:val="auto"/>
          <w:lang w:eastAsia="en-US"/>
        </w:rPr>
      </w:pPr>
      <w:r w:rsidRPr="00594F7D">
        <w:rPr>
          <w:rFonts w:eastAsia="Calibri"/>
          <w:b/>
          <w:color w:val="auto"/>
          <w:lang w:eastAsia="en-US"/>
        </w:rPr>
        <w:t>Los sujetos obligados solo proporcionarán la información pública que generen, administren o posean en el ejercicio de sus atribuciones.</w:t>
      </w:r>
    </w:p>
    <w:p w14:paraId="5969F84F" w14:textId="77777777" w:rsidR="00B555CC" w:rsidRPr="00594F7D" w:rsidRDefault="00B555CC" w:rsidP="00594F7D">
      <w:pPr>
        <w:ind w:left="851" w:right="851"/>
        <w:rPr>
          <w:rFonts w:eastAsia="Calibri" w:cs="Arial"/>
          <w:b/>
          <w:i/>
          <w:lang w:eastAsia="en-US"/>
        </w:rPr>
      </w:pPr>
    </w:p>
    <w:p w14:paraId="5167D8CC" w14:textId="77777777" w:rsidR="00B555CC" w:rsidRPr="00594F7D" w:rsidRDefault="00B555CC" w:rsidP="00594F7D">
      <w:pPr>
        <w:rPr>
          <w:rFonts w:eastAsia="Calibri" w:cs="Arial"/>
          <w:lang w:eastAsia="en-US"/>
        </w:rPr>
      </w:pPr>
      <w:r w:rsidRPr="00594F7D">
        <w:rPr>
          <w:rFonts w:eastAsia="Calibri"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89550AF" w14:textId="77777777" w:rsidR="006F48B6" w:rsidRPr="00594F7D" w:rsidRDefault="006F48B6" w:rsidP="00594F7D">
      <w:pPr>
        <w:rPr>
          <w:rFonts w:eastAsia="Calibri" w:cs="Arial"/>
          <w:lang w:eastAsia="en-US"/>
        </w:rPr>
      </w:pPr>
    </w:p>
    <w:p w14:paraId="17F4EBBE" w14:textId="77777777" w:rsidR="00B555CC" w:rsidRPr="00594F7D" w:rsidRDefault="00B555CC" w:rsidP="00594F7D">
      <w:pPr>
        <w:rPr>
          <w:rFonts w:eastAsia="Calibri" w:cs="Arial"/>
          <w:lang w:eastAsia="en-US"/>
        </w:rPr>
      </w:pPr>
      <w:r w:rsidRPr="00594F7D">
        <w:rPr>
          <w:rFonts w:eastAsia="Calibri"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A04A580" w14:textId="77777777" w:rsidR="00B555CC" w:rsidRPr="00594F7D" w:rsidRDefault="00B555CC" w:rsidP="00594F7D">
      <w:pPr>
        <w:rPr>
          <w:rFonts w:eastAsia="Calibri"/>
          <w:lang w:eastAsia="en-US"/>
        </w:rPr>
      </w:pPr>
    </w:p>
    <w:p w14:paraId="0F4DF24D" w14:textId="77777777" w:rsidR="00B555CC" w:rsidRPr="00594F7D" w:rsidRDefault="00B555CC" w:rsidP="00594F7D">
      <w:pPr>
        <w:tabs>
          <w:tab w:val="left" w:pos="709"/>
        </w:tabs>
        <w:rPr>
          <w:rFonts w:eastAsia="Calibri" w:cs="Arial"/>
          <w:lang w:eastAsia="en-US"/>
        </w:rPr>
      </w:pPr>
      <w:r w:rsidRPr="00594F7D">
        <w:rPr>
          <w:rFonts w:eastAsia="Calibri"/>
          <w:lang w:eastAsia="en-US"/>
        </w:rPr>
        <w:t>En estricto sentido</w:t>
      </w:r>
      <w:r w:rsidRPr="00594F7D">
        <w:rPr>
          <w:rFonts w:eastAsia="Calibri" w:cs="Arial"/>
          <w:lang w:eastAsia="en-US"/>
        </w:rPr>
        <w:t>, el derecho de acceso a la información pública se satisface en aquellos casos en que se entregue el soporte documental en que conste la información pública, toda vez que, los Sujetos Obligados</w:t>
      </w:r>
      <w:r w:rsidRPr="00594F7D">
        <w:rPr>
          <w:rFonts w:eastAsia="Calibri" w:cs="Arial"/>
          <w:b/>
          <w:lang w:eastAsia="en-US"/>
        </w:rPr>
        <w:t xml:space="preserve"> </w:t>
      </w:r>
      <w:r w:rsidRPr="00594F7D">
        <w:rPr>
          <w:rFonts w:eastAsia="Calibri" w:cs="Arial"/>
          <w:lang w:eastAsia="en-US"/>
        </w:rPr>
        <w:t xml:space="preserve">no tienen el deber de generar, poseer o administrar la información pública con el grado de detalle solicitado; esto es, que no tienen el deber de generar un documento </w:t>
      </w:r>
      <w:r w:rsidRPr="00594F7D">
        <w:rPr>
          <w:rFonts w:eastAsia="Calibri" w:cs="Arial"/>
          <w:i/>
          <w:lang w:eastAsia="en-US"/>
        </w:rPr>
        <w:t>ad hoc</w:t>
      </w:r>
      <w:r w:rsidRPr="00594F7D">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3C551C6F" w14:textId="77777777" w:rsidR="00B555CC" w:rsidRPr="00594F7D" w:rsidRDefault="00B555CC" w:rsidP="00594F7D">
      <w:pPr>
        <w:ind w:left="567" w:right="51"/>
        <w:rPr>
          <w:rFonts w:cs="Arial"/>
        </w:rPr>
      </w:pPr>
    </w:p>
    <w:p w14:paraId="2830AB76" w14:textId="77777777" w:rsidR="00B555CC" w:rsidRPr="00594F7D" w:rsidRDefault="00B555CC" w:rsidP="00594F7D">
      <w:pPr>
        <w:ind w:right="51"/>
        <w:rPr>
          <w:rFonts w:eastAsia="Calibri" w:cs="Arial"/>
          <w:lang w:eastAsia="en-US"/>
        </w:rPr>
      </w:pPr>
      <w:r w:rsidRPr="00594F7D">
        <w:rPr>
          <w:rFonts w:eastAsia="Calibri" w:cs="Arial"/>
          <w:lang w:eastAsia="en-US"/>
        </w:rPr>
        <w:t xml:space="preserve">Como apoyo a lo anterior, es aplicable el Criterio orientador 03-17, emitido por </w:t>
      </w:r>
      <w:r w:rsidRPr="00594F7D">
        <w:rPr>
          <w:rFonts w:eastAsia="Arial Unicode MS" w:cs="Arial"/>
          <w:lang w:eastAsia="en-US"/>
        </w:rPr>
        <w:t>el entonces Instituto Nacional de Transparencia, Acceso a la Información y Protección de Datos Personales,</w:t>
      </w:r>
      <w:r w:rsidRPr="00594F7D">
        <w:rPr>
          <w:rFonts w:eastAsia="Calibri"/>
          <w:bCs/>
          <w:lang w:eastAsia="en-US"/>
        </w:rPr>
        <w:t xml:space="preserve"> que refiere:</w:t>
      </w:r>
      <w:r w:rsidRPr="00594F7D">
        <w:rPr>
          <w:rFonts w:eastAsia="Calibri"/>
          <w:b/>
          <w:bCs/>
          <w:lang w:eastAsia="en-US"/>
        </w:rPr>
        <w:t xml:space="preserve"> </w:t>
      </w:r>
    </w:p>
    <w:p w14:paraId="6E2E9F3D" w14:textId="77777777" w:rsidR="00B555CC" w:rsidRPr="00594F7D" w:rsidRDefault="00B555CC" w:rsidP="00594F7D">
      <w:pPr>
        <w:ind w:left="928" w:right="850"/>
        <w:rPr>
          <w:rFonts w:cs="Arial"/>
          <w:i/>
        </w:rPr>
      </w:pPr>
    </w:p>
    <w:p w14:paraId="0D9FCB0B" w14:textId="77777777" w:rsidR="00B555CC" w:rsidRPr="00594F7D" w:rsidRDefault="00B555CC" w:rsidP="00594F7D">
      <w:pPr>
        <w:pStyle w:val="Puesto"/>
        <w:ind w:firstLine="0"/>
        <w:rPr>
          <w:color w:val="auto"/>
        </w:rPr>
      </w:pPr>
      <w:r w:rsidRPr="00594F7D">
        <w:rPr>
          <w:color w:val="auto"/>
        </w:rPr>
        <w:t>“</w:t>
      </w:r>
      <w:r w:rsidRPr="00594F7D">
        <w:rPr>
          <w:b/>
          <w:color w:val="auto"/>
        </w:rPr>
        <w:t>No existe obligación de elaborar documentos ad hoc para atender las solicitudes de acceso a la información.</w:t>
      </w:r>
      <w:r w:rsidRPr="00594F7D">
        <w:rPr>
          <w:color w:val="auto"/>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962260" w14:textId="77777777" w:rsidR="00B555CC" w:rsidRPr="00594F7D" w:rsidRDefault="00B555CC" w:rsidP="00594F7D"/>
    <w:p w14:paraId="4E8A25BF" w14:textId="77777777" w:rsidR="00C02DC4" w:rsidRPr="00594F7D" w:rsidRDefault="00C02DC4" w:rsidP="00594F7D">
      <w:pPr>
        <w:rPr>
          <w:rFonts w:eastAsiaTheme="minorEastAsia" w:cstheme="minorBidi"/>
          <w:lang w:val="es-ES_tradnl"/>
        </w:rPr>
      </w:pPr>
      <w:r w:rsidRPr="00594F7D">
        <w:lastRenderedPageBreak/>
        <w:t xml:space="preserve">Finalmente, es de </w:t>
      </w:r>
      <w:r w:rsidRPr="00594F7D">
        <w:rPr>
          <w:rFonts w:cs="Arial"/>
          <w:bCs/>
        </w:rPr>
        <w:t xml:space="preserve">destacar que este Órgano Garante no </w:t>
      </w:r>
      <w:r w:rsidRPr="00594F7D">
        <w:rPr>
          <w:rFonts w:eastAsiaTheme="minorEastAsia"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4D6EA74" w14:textId="77777777" w:rsidR="00C02DC4" w:rsidRPr="00594F7D" w:rsidRDefault="00C02DC4" w:rsidP="00594F7D">
      <w:pPr>
        <w:rPr>
          <w:rFonts w:eastAsiaTheme="minorEastAsia" w:cs="Arial"/>
          <w:lang w:val="es-ES_tradnl"/>
        </w:rPr>
      </w:pPr>
    </w:p>
    <w:p w14:paraId="63ED245A" w14:textId="77777777" w:rsidR="00C02DC4" w:rsidRPr="00594F7D" w:rsidRDefault="00C02DC4" w:rsidP="00594F7D">
      <w:pPr>
        <w:rPr>
          <w:rFonts w:eastAsiaTheme="minorEastAsia" w:cs="Arial"/>
          <w:lang w:val="es-ES_tradnl"/>
        </w:rPr>
      </w:pPr>
      <w:r w:rsidRPr="00594F7D">
        <w:rPr>
          <w:rFonts w:eastAsiaTheme="minorEastAsia"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B988416" w14:textId="77777777" w:rsidR="00C02DC4" w:rsidRPr="00594F7D" w:rsidRDefault="00C02DC4" w:rsidP="00594F7D">
      <w:pPr>
        <w:ind w:right="-28"/>
        <w:rPr>
          <w:rFonts w:eastAsiaTheme="minorHAnsi" w:cs="Tahoma"/>
          <w:bCs/>
          <w:iCs/>
          <w:lang w:eastAsia="en-US"/>
        </w:rPr>
      </w:pPr>
    </w:p>
    <w:p w14:paraId="45100F57" w14:textId="77777777" w:rsidR="00C02DC4" w:rsidRPr="00594F7D" w:rsidRDefault="00C02DC4" w:rsidP="00594F7D">
      <w:pPr>
        <w:pStyle w:val="Puesto"/>
        <w:ind w:firstLine="0"/>
        <w:rPr>
          <w:rFonts w:eastAsiaTheme="minorEastAsia"/>
          <w:color w:val="auto"/>
          <w:lang w:val="es-ES_tradnl"/>
        </w:rPr>
      </w:pPr>
      <w:r w:rsidRPr="00594F7D">
        <w:rPr>
          <w:rFonts w:eastAsiaTheme="minorEastAsia"/>
          <w:color w:val="auto"/>
          <w:lang w:val="es-ES_tradnl"/>
        </w:rPr>
        <w:t>“</w:t>
      </w:r>
      <w:r w:rsidRPr="00594F7D">
        <w:rPr>
          <w:rFonts w:eastAsiaTheme="minorEastAsia"/>
          <w:b/>
          <w:bCs/>
          <w:color w:val="auto"/>
          <w:lang w:val="es-ES_tradnl"/>
        </w:rPr>
        <w:t>El Instituto Federal de Acceso a la Información y Protección de Datos no cuenta con facultades para pronunciarse respecto de la veracidad de los documentos proporcionados por los sujetos obligados</w:t>
      </w:r>
      <w:r w:rsidRPr="00594F7D">
        <w:rPr>
          <w:rFonts w:eastAsiaTheme="minorEastAsia"/>
          <w:color w:val="auto"/>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51000C24" w14:textId="77777777" w:rsidR="00F57749" w:rsidRPr="00594F7D" w:rsidRDefault="00F57749" w:rsidP="00594F7D">
      <w:pPr>
        <w:rPr>
          <w:lang w:val="es-ES_tradnl"/>
        </w:rPr>
      </w:pPr>
    </w:p>
    <w:p w14:paraId="08A5196A" w14:textId="77777777" w:rsidR="001663EB" w:rsidRPr="00594F7D" w:rsidRDefault="001663EB" w:rsidP="00594F7D">
      <w:pPr>
        <w:ind w:right="-93"/>
      </w:pPr>
      <w:r w:rsidRPr="00594F7D">
        <w:t xml:space="preserve">En consecuencia, con base en el análisis realizado, y toda vez que la información remitida en respuesta por </w:t>
      </w:r>
      <w:r w:rsidRPr="00594F7D">
        <w:rPr>
          <w:b/>
          <w:bCs/>
        </w:rPr>
        <w:t>EL SUJETO OBLIGADO</w:t>
      </w:r>
      <w:r w:rsidRPr="00594F7D">
        <w:t xml:space="preserve"> colma los requerimientos de acceso a la información pública del particular, es que se determina que el motivo de inconformidad planteado por </w:t>
      </w:r>
      <w:r w:rsidRPr="00594F7D">
        <w:rPr>
          <w:b/>
          <w:bCs/>
        </w:rPr>
        <w:t xml:space="preserve">LA PARTE RECURRENTE </w:t>
      </w:r>
      <w:r w:rsidRPr="00594F7D">
        <w:t>es infundado.</w:t>
      </w:r>
    </w:p>
    <w:p w14:paraId="055E2B05" w14:textId="77777777" w:rsidR="001663EB" w:rsidRPr="00594F7D" w:rsidRDefault="001663EB" w:rsidP="00594F7D"/>
    <w:p w14:paraId="724733CA" w14:textId="39E85537" w:rsidR="00B555CC" w:rsidRPr="00594F7D" w:rsidRDefault="00B555CC" w:rsidP="00594F7D">
      <w:pPr>
        <w:pStyle w:val="Ttulo3"/>
      </w:pPr>
      <w:bookmarkStart w:id="37" w:name="_Toc206616101"/>
      <w:r w:rsidRPr="00594F7D">
        <w:lastRenderedPageBreak/>
        <w:t>d) Conclusión</w:t>
      </w:r>
      <w:bookmarkEnd w:id="37"/>
    </w:p>
    <w:p w14:paraId="309ACF0F" w14:textId="77777777" w:rsidR="00B555CC" w:rsidRPr="00594F7D" w:rsidRDefault="00B555CC" w:rsidP="00594F7D">
      <w:pPr>
        <w:ind w:right="113"/>
        <w:rPr>
          <w:rFonts w:cs="Arial"/>
        </w:rPr>
      </w:pPr>
      <w:r w:rsidRPr="00594F7D">
        <w:rPr>
          <w:rFonts w:cs="Arial"/>
        </w:rPr>
        <w:t xml:space="preserve">Por lo </w:t>
      </w:r>
      <w:r w:rsidRPr="00594F7D">
        <w:rPr>
          <w:rFonts w:cs="Arial"/>
          <w:lang w:eastAsia="es-CO"/>
        </w:rPr>
        <w:t>anteriormente</w:t>
      </w:r>
      <w:r w:rsidRPr="00594F7D">
        <w:rPr>
          <w:rFonts w:cs="Arial"/>
        </w:rPr>
        <w:t xml:space="preserve"> expuesto, este Instituto estima que las razones o motivos de inconformidad hechos valer por </w:t>
      </w:r>
      <w:r w:rsidRPr="00594F7D">
        <w:rPr>
          <w:rFonts w:cs="Arial"/>
          <w:b/>
        </w:rPr>
        <w:t>LA PARTE RECURRENTE</w:t>
      </w:r>
      <w:r w:rsidRPr="00594F7D">
        <w:rPr>
          <w:rFonts w:cs="Arial"/>
        </w:rPr>
        <w:t xml:space="preserve"> devienen </w:t>
      </w:r>
      <w:r w:rsidRPr="00594F7D">
        <w:rPr>
          <w:rFonts w:cs="Arial"/>
          <w:b/>
        </w:rPr>
        <w:t>infundadas</w:t>
      </w:r>
      <w:r w:rsidRPr="00594F7D">
        <w:rPr>
          <w:rFonts w:cs="Arial"/>
        </w:rPr>
        <w:t xml:space="preserve"> y suficientes para </w:t>
      </w:r>
      <w:r w:rsidRPr="00594F7D">
        <w:rPr>
          <w:rFonts w:cs="Arial"/>
          <w:b/>
        </w:rPr>
        <w:t>CONFIRMAR</w:t>
      </w:r>
      <w:r w:rsidRPr="00594F7D">
        <w:rPr>
          <w:rFonts w:cs="Arial"/>
        </w:rPr>
        <w:t xml:space="preserve"> la respuesta del </w:t>
      </w:r>
      <w:r w:rsidRPr="00594F7D">
        <w:rPr>
          <w:rFonts w:cs="Arial"/>
          <w:b/>
        </w:rPr>
        <w:t>SUJETO OBLIGADO</w:t>
      </w:r>
      <w:r w:rsidRPr="00594F7D">
        <w:rPr>
          <w:rFonts w:cs="Arial"/>
        </w:rPr>
        <w:t>.</w:t>
      </w:r>
    </w:p>
    <w:p w14:paraId="07375F14" w14:textId="77777777" w:rsidR="00B555CC" w:rsidRPr="00594F7D" w:rsidRDefault="00B555CC" w:rsidP="00594F7D">
      <w:pPr>
        <w:widowControl w:val="0"/>
        <w:tabs>
          <w:tab w:val="left" w:pos="1701"/>
          <w:tab w:val="left" w:pos="1843"/>
        </w:tabs>
      </w:pPr>
    </w:p>
    <w:p w14:paraId="7EC6760F" w14:textId="6E44BC44" w:rsidR="001218D9" w:rsidRPr="00594F7D" w:rsidRDefault="001218D9" w:rsidP="00594F7D">
      <w:pPr>
        <w:ind w:right="-93"/>
      </w:pPr>
      <w:bookmarkStart w:id="38" w:name="_heading=h.mqnvgwcxoib9" w:colFirst="0" w:colLast="0"/>
      <w:bookmarkEnd w:id="38"/>
      <w:r w:rsidRPr="00594F7D">
        <w:t>Así, con fundamento en lo establecido en los artículos 5, párrafos</w:t>
      </w:r>
      <w:r w:rsidR="004F4B23" w:rsidRPr="00594F7D">
        <w:t xml:space="preserve"> </w:t>
      </w:r>
      <w:r w:rsidRPr="00594F7D">
        <w:t>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594F7D" w:rsidRDefault="003B3CD6" w:rsidP="00594F7D"/>
    <w:p w14:paraId="265EEA10" w14:textId="77777777" w:rsidR="003B3CD6" w:rsidRPr="00594F7D" w:rsidRDefault="004C3B66" w:rsidP="00594F7D">
      <w:pPr>
        <w:pStyle w:val="Ttulo1"/>
      </w:pPr>
      <w:bookmarkStart w:id="39" w:name="_Toc206616102"/>
      <w:r w:rsidRPr="00594F7D">
        <w:t>RESUELVE</w:t>
      </w:r>
      <w:bookmarkEnd w:id="39"/>
    </w:p>
    <w:p w14:paraId="3765D859" w14:textId="505A1A58" w:rsidR="00B555CC" w:rsidRPr="00594F7D" w:rsidRDefault="00B555CC" w:rsidP="00594F7D">
      <w:pPr>
        <w:widowControl w:val="0"/>
        <w:rPr>
          <w:rFonts w:eastAsia="Calibri" w:cs="Tahoma"/>
          <w:bCs/>
          <w:lang w:eastAsia="en-US"/>
        </w:rPr>
      </w:pPr>
      <w:r w:rsidRPr="00594F7D">
        <w:rPr>
          <w:b/>
          <w:bCs/>
        </w:rPr>
        <w:t>PRIMERO.</w:t>
      </w:r>
      <w:r w:rsidRPr="00594F7D">
        <w:t xml:space="preserve"> </w:t>
      </w:r>
      <w:r w:rsidRPr="00594F7D">
        <w:rPr>
          <w:rFonts w:cs="Tahoma"/>
        </w:rPr>
        <w:t>Se</w:t>
      </w:r>
      <w:r w:rsidRPr="00594F7D">
        <w:rPr>
          <w:rFonts w:cs="Tahoma"/>
          <w:b/>
          <w:bCs/>
        </w:rPr>
        <w:t xml:space="preserve"> CONFIRMA</w:t>
      </w:r>
      <w:r w:rsidRPr="00594F7D">
        <w:rPr>
          <w:rFonts w:cs="Tahoma"/>
        </w:rPr>
        <w:t xml:space="preserve"> la respuesta entregada por el </w:t>
      </w:r>
      <w:r w:rsidRPr="00594F7D">
        <w:rPr>
          <w:rFonts w:cs="Tahoma"/>
          <w:b/>
          <w:bCs/>
        </w:rPr>
        <w:t>SUJETO OBLIGADO</w:t>
      </w:r>
      <w:r w:rsidRPr="00594F7D">
        <w:rPr>
          <w:rFonts w:cs="Tahoma"/>
        </w:rPr>
        <w:t xml:space="preserve"> en la solicitud de información </w:t>
      </w:r>
      <w:r w:rsidRPr="00594F7D">
        <w:rPr>
          <w:b/>
        </w:rPr>
        <w:t>02150/TOLUCA/IP/2025</w:t>
      </w:r>
      <w:r w:rsidRPr="00594F7D">
        <w:rPr>
          <w:rFonts w:cs="Tahoma"/>
          <w:bCs/>
        </w:rPr>
        <w:t xml:space="preserve">, </w:t>
      </w:r>
      <w:r w:rsidRPr="00594F7D">
        <w:rPr>
          <w:rFonts w:eastAsia="Calibri" w:cs="Tahoma"/>
          <w:bCs/>
          <w:lang w:eastAsia="en-US"/>
        </w:rPr>
        <w:t xml:space="preserve">por resultar </w:t>
      </w:r>
      <w:r w:rsidRPr="00594F7D">
        <w:rPr>
          <w:rFonts w:eastAsia="Calibri" w:cs="Tahoma"/>
          <w:b/>
          <w:bCs/>
          <w:lang w:eastAsia="en-US"/>
        </w:rPr>
        <w:t>INFUNDADAS</w:t>
      </w:r>
      <w:r w:rsidRPr="00594F7D">
        <w:rPr>
          <w:rFonts w:eastAsia="Calibri" w:cs="Tahoma"/>
          <w:bCs/>
          <w:lang w:eastAsia="en-US"/>
        </w:rPr>
        <w:t xml:space="preserve"> las razones o motivos de inconformidad hechos valer por </w:t>
      </w:r>
      <w:r w:rsidRPr="00594F7D">
        <w:rPr>
          <w:rFonts w:eastAsia="Calibri" w:cs="Tahoma"/>
          <w:b/>
          <w:lang w:eastAsia="en-US"/>
        </w:rPr>
        <w:t>LA PARTE RECURRENTE</w:t>
      </w:r>
      <w:r w:rsidRPr="00594F7D">
        <w:rPr>
          <w:rFonts w:eastAsia="Calibri" w:cs="Tahoma"/>
          <w:bCs/>
          <w:lang w:eastAsia="en-US"/>
        </w:rPr>
        <w:t xml:space="preserve"> en el Recurso de Revisión </w:t>
      </w:r>
      <w:r w:rsidRPr="00594F7D">
        <w:rPr>
          <w:rFonts w:eastAsia="Calibri"/>
          <w:b/>
          <w:bCs/>
          <w:lang w:eastAsia="en-US"/>
        </w:rPr>
        <w:t>06752/INFOEM/IP/RR/2025</w:t>
      </w:r>
      <w:r w:rsidRPr="00594F7D">
        <w:rPr>
          <w:rFonts w:eastAsiaTheme="minorHAnsi" w:cstheme="minorBidi"/>
          <w:lang w:eastAsia="en-US"/>
        </w:rPr>
        <w:t>,</w:t>
      </w:r>
      <w:r w:rsidRPr="00594F7D">
        <w:rPr>
          <w:rFonts w:cs="Tahoma"/>
          <w:b/>
        </w:rPr>
        <w:t xml:space="preserve"> </w:t>
      </w:r>
      <w:r w:rsidRPr="00594F7D">
        <w:rPr>
          <w:rFonts w:eastAsia="Calibri" w:cs="Tahoma"/>
          <w:bCs/>
          <w:lang w:eastAsia="en-US"/>
        </w:rPr>
        <w:t xml:space="preserve">en términos del considerando </w:t>
      </w:r>
      <w:r w:rsidRPr="00594F7D">
        <w:rPr>
          <w:rFonts w:eastAsia="Calibri" w:cs="Tahoma"/>
          <w:b/>
          <w:lang w:eastAsia="en-US"/>
        </w:rPr>
        <w:t>SEGUNDO</w:t>
      </w:r>
      <w:r w:rsidRPr="00594F7D">
        <w:rPr>
          <w:rFonts w:eastAsia="Calibri" w:cs="Tahoma"/>
          <w:bCs/>
          <w:lang w:eastAsia="en-US"/>
        </w:rPr>
        <w:t xml:space="preserve"> de la presente Resolución.</w:t>
      </w:r>
    </w:p>
    <w:p w14:paraId="59299344" w14:textId="77777777" w:rsidR="00B555CC" w:rsidRPr="00594F7D" w:rsidRDefault="00B555CC" w:rsidP="00594F7D">
      <w:pPr>
        <w:widowControl w:val="0"/>
        <w:rPr>
          <w:rFonts w:eastAsia="Calibri" w:cs="Tahoma"/>
          <w:bCs/>
          <w:lang w:eastAsia="en-US"/>
        </w:rPr>
      </w:pPr>
    </w:p>
    <w:p w14:paraId="2B0375BD" w14:textId="77777777" w:rsidR="00B555CC" w:rsidRPr="00594F7D" w:rsidRDefault="00B555CC" w:rsidP="00594F7D">
      <w:pPr>
        <w:ind w:right="-93"/>
      </w:pPr>
      <w:r w:rsidRPr="00594F7D">
        <w:rPr>
          <w:rFonts w:eastAsia="Calibri" w:cs="Tahoma"/>
          <w:b/>
          <w:bCs/>
          <w:lang w:eastAsia="en-US"/>
        </w:rPr>
        <w:t>SEGUNDO.</w:t>
      </w:r>
      <w:r w:rsidRPr="00594F7D">
        <w:rPr>
          <w:rFonts w:eastAsia="Calibri" w:cs="Tahoma"/>
        </w:rPr>
        <w:t xml:space="preserve"> </w:t>
      </w:r>
      <w:r w:rsidRPr="00594F7D">
        <w:rPr>
          <w:b/>
        </w:rPr>
        <w:t>Notifíquese</w:t>
      </w:r>
      <w:r w:rsidRPr="00594F7D">
        <w:t xml:space="preserve"> la presente resolución mediante Sistema de Acceso a la Información Mexiquense </w:t>
      </w:r>
      <w:r w:rsidRPr="00594F7D">
        <w:rPr>
          <w:b/>
          <w:bCs/>
        </w:rPr>
        <w:t>(SAIMEX)</w:t>
      </w:r>
      <w:r w:rsidRPr="00594F7D">
        <w:t xml:space="preserve"> al Titular de la Unidad de Transparencia del </w:t>
      </w:r>
      <w:r w:rsidRPr="00594F7D">
        <w:rPr>
          <w:b/>
          <w:bCs/>
        </w:rPr>
        <w:t>SUJETO OBLIGADO</w:t>
      </w:r>
      <w:r w:rsidRPr="00594F7D">
        <w:t>, para su conocimiento.</w:t>
      </w:r>
    </w:p>
    <w:p w14:paraId="3EC8ABED" w14:textId="77777777" w:rsidR="00B555CC" w:rsidRPr="00594F7D" w:rsidRDefault="00B555CC" w:rsidP="00594F7D">
      <w:pPr>
        <w:ind w:right="-93"/>
      </w:pPr>
    </w:p>
    <w:p w14:paraId="33787BE4" w14:textId="77777777" w:rsidR="00B555CC" w:rsidRPr="00594F7D" w:rsidRDefault="00B555CC" w:rsidP="00594F7D">
      <w:r w:rsidRPr="00594F7D">
        <w:rPr>
          <w:b/>
          <w:bCs/>
        </w:rPr>
        <w:t>TERCERO.</w:t>
      </w:r>
      <w:r w:rsidRPr="00594F7D">
        <w:t xml:space="preserve"> Notifíquese a </w:t>
      </w:r>
      <w:r w:rsidRPr="00594F7D">
        <w:rPr>
          <w:b/>
          <w:bCs/>
        </w:rPr>
        <w:t>LA PARTE RECURRENTE</w:t>
      </w:r>
      <w:r w:rsidRPr="00594F7D">
        <w:t xml:space="preserve"> la presente resolución vía Sistema de Acceso a la Información Mexiquense (</w:t>
      </w:r>
      <w:r w:rsidRPr="00594F7D">
        <w:rPr>
          <w:b/>
        </w:rPr>
        <w:t>SAIMEX</w:t>
      </w:r>
      <w:r w:rsidRPr="00594F7D">
        <w:t>).</w:t>
      </w:r>
    </w:p>
    <w:p w14:paraId="303596AC" w14:textId="77777777" w:rsidR="00B555CC" w:rsidRPr="00594F7D" w:rsidRDefault="00B555CC" w:rsidP="00594F7D"/>
    <w:p w14:paraId="12E20AD8" w14:textId="77777777" w:rsidR="00B555CC" w:rsidRPr="00594F7D" w:rsidRDefault="00B555CC" w:rsidP="00594F7D">
      <w:r w:rsidRPr="00594F7D">
        <w:rPr>
          <w:b/>
          <w:bCs/>
        </w:rPr>
        <w:lastRenderedPageBreak/>
        <w:t>CUARTO</w:t>
      </w:r>
      <w:r w:rsidRPr="00594F7D">
        <w:t xml:space="preserve">. Hágase del conocimiento a </w:t>
      </w:r>
      <w:r w:rsidRPr="00594F7D">
        <w:rPr>
          <w:b/>
          <w:bCs/>
        </w:rPr>
        <w:t>LA PARTE RECURRENTE</w:t>
      </w:r>
      <w:r w:rsidRPr="00594F7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246299A" w14:textId="77777777" w:rsidR="003B3CD6" w:rsidRPr="00594F7D" w:rsidRDefault="003B3CD6" w:rsidP="00594F7D">
      <w:pPr>
        <w:ind w:right="113"/>
        <w:rPr>
          <w:b/>
        </w:rPr>
      </w:pPr>
    </w:p>
    <w:p w14:paraId="27A707C7" w14:textId="7D92EEF4" w:rsidR="003B3CD6" w:rsidRPr="00594F7D" w:rsidRDefault="00DC0031" w:rsidP="00594F7D">
      <w:pPr>
        <w:ind w:right="-93"/>
      </w:pPr>
      <w:r w:rsidRPr="00594F7D">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4C3B66" w:rsidRPr="00594F7D">
        <w:t>.</w:t>
      </w:r>
    </w:p>
    <w:p w14:paraId="4DE215B7" w14:textId="77777777" w:rsidR="003B3CD6" w:rsidRPr="00594F7D" w:rsidRDefault="004C3B66" w:rsidP="00594F7D">
      <w:pPr>
        <w:ind w:right="-93"/>
      </w:pPr>
      <w:bookmarkStart w:id="40" w:name="_heading=h.qxgq53ks1kt3" w:colFirst="0" w:colLast="0"/>
      <w:bookmarkEnd w:id="40"/>
      <w:r w:rsidRPr="00594F7D">
        <w:t>SCMM/AGZ/DEMF/PAG</w:t>
      </w:r>
    </w:p>
    <w:p w14:paraId="7567DEB3" w14:textId="77777777" w:rsidR="003B3CD6" w:rsidRPr="00594F7D" w:rsidRDefault="003B3CD6" w:rsidP="00594F7D">
      <w:pPr>
        <w:ind w:right="-93"/>
      </w:pPr>
    </w:p>
    <w:p w14:paraId="2CD77556" w14:textId="77777777" w:rsidR="003B3CD6" w:rsidRPr="00594F7D" w:rsidRDefault="003B3CD6" w:rsidP="00594F7D">
      <w:pPr>
        <w:ind w:right="-93"/>
      </w:pPr>
    </w:p>
    <w:p w14:paraId="60BD24E7" w14:textId="77777777" w:rsidR="003B3CD6" w:rsidRPr="00594F7D" w:rsidRDefault="003B3CD6" w:rsidP="00594F7D">
      <w:pPr>
        <w:ind w:right="-93"/>
      </w:pPr>
    </w:p>
    <w:p w14:paraId="533DA8C1" w14:textId="77777777" w:rsidR="003B3CD6" w:rsidRPr="00594F7D" w:rsidRDefault="003B3CD6" w:rsidP="00594F7D">
      <w:pPr>
        <w:ind w:right="-93"/>
      </w:pPr>
    </w:p>
    <w:p w14:paraId="7F7FD119" w14:textId="77777777" w:rsidR="003B3CD6" w:rsidRPr="00594F7D" w:rsidRDefault="003B3CD6" w:rsidP="00594F7D">
      <w:pPr>
        <w:ind w:right="-93"/>
      </w:pPr>
    </w:p>
    <w:p w14:paraId="658595E1" w14:textId="77777777" w:rsidR="003B3CD6" w:rsidRPr="00594F7D" w:rsidRDefault="003B3CD6" w:rsidP="00594F7D">
      <w:pPr>
        <w:ind w:right="-93"/>
      </w:pPr>
    </w:p>
    <w:p w14:paraId="50D3C4DC" w14:textId="77777777" w:rsidR="003B3CD6" w:rsidRPr="00594F7D" w:rsidRDefault="003B3CD6" w:rsidP="00594F7D">
      <w:pPr>
        <w:ind w:right="-93"/>
      </w:pPr>
    </w:p>
    <w:p w14:paraId="673409E1" w14:textId="77777777" w:rsidR="003B3CD6" w:rsidRPr="00594F7D" w:rsidRDefault="003B3CD6" w:rsidP="00594F7D">
      <w:pPr>
        <w:ind w:right="-93"/>
      </w:pPr>
    </w:p>
    <w:p w14:paraId="526BF466" w14:textId="77777777" w:rsidR="003B3CD6" w:rsidRPr="00594F7D" w:rsidRDefault="003B3CD6" w:rsidP="00594F7D">
      <w:pPr>
        <w:tabs>
          <w:tab w:val="center" w:pos="4568"/>
        </w:tabs>
        <w:ind w:right="-93"/>
      </w:pPr>
    </w:p>
    <w:p w14:paraId="128BC9F8" w14:textId="77777777" w:rsidR="003B3CD6" w:rsidRPr="00594F7D" w:rsidRDefault="003B3CD6" w:rsidP="00594F7D">
      <w:pPr>
        <w:tabs>
          <w:tab w:val="center" w:pos="4568"/>
        </w:tabs>
        <w:ind w:right="-93"/>
      </w:pPr>
    </w:p>
    <w:p w14:paraId="17CFEB90" w14:textId="77777777" w:rsidR="003B3CD6" w:rsidRPr="00594F7D" w:rsidRDefault="003B3CD6" w:rsidP="00594F7D">
      <w:pPr>
        <w:tabs>
          <w:tab w:val="center" w:pos="4568"/>
        </w:tabs>
        <w:ind w:right="-93"/>
      </w:pPr>
    </w:p>
    <w:p w14:paraId="1E8CBD32" w14:textId="77777777" w:rsidR="003B3CD6" w:rsidRPr="00594F7D" w:rsidRDefault="003B3CD6" w:rsidP="00594F7D">
      <w:pPr>
        <w:tabs>
          <w:tab w:val="center" w:pos="4568"/>
        </w:tabs>
        <w:ind w:right="-93"/>
      </w:pPr>
    </w:p>
    <w:p w14:paraId="1842DE64" w14:textId="77777777" w:rsidR="003B3CD6" w:rsidRPr="00594F7D" w:rsidRDefault="003B3CD6" w:rsidP="00594F7D">
      <w:pPr>
        <w:tabs>
          <w:tab w:val="center" w:pos="4568"/>
        </w:tabs>
        <w:ind w:right="-93"/>
      </w:pPr>
    </w:p>
    <w:p w14:paraId="585A50C8" w14:textId="77777777" w:rsidR="003B3CD6" w:rsidRPr="00594F7D" w:rsidRDefault="003B3CD6" w:rsidP="00594F7D">
      <w:pPr>
        <w:tabs>
          <w:tab w:val="center" w:pos="4568"/>
        </w:tabs>
        <w:ind w:right="-93"/>
      </w:pPr>
    </w:p>
    <w:p w14:paraId="1BD9FA2D" w14:textId="77777777" w:rsidR="003B3CD6" w:rsidRPr="00594F7D" w:rsidRDefault="003B3CD6" w:rsidP="00594F7D">
      <w:pPr>
        <w:tabs>
          <w:tab w:val="center" w:pos="4568"/>
        </w:tabs>
        <w:ind w:right="-93"/>
      </w:pPr>
    </w:p>
    <w:p w14:paraId="145F4AF2" w14:textId="77777777" w:rsidR="003B3CD6" w:rsidRPr="00594F7D" w:rsidRDefault="003B3CD6" w:rsidP="00594F7D">
      <w:pPr>
        <w:tabs>
          <w:tab w:val="center" w:pos="4568"/>
        </w:tabs>
        <w:ind w:right="-93"/>
      </w:pPr>
    </w:p>
    <w:p w14:paraId="26CADB0A" w14:textId="77777777" w:rsidR="003B3CD6" w:rsidRPr="00594F7D" w:rsidRDefault="003B3CD6" w:rsidP="00594F7D">
      <w:pPr>
        <w:tabs>
          <w:tab w:val="center" w:pos="4568"/>
        </w:tabs>
        <w:ind w:right="-93"/>
      </w:pPr>
    </w:p>
    <w:p w14:paraId="4F41E027" w14:textId="77777777" w:rsidR="003B3CD6" w:rsidRPr="00594F7D" w:rsidRDefault="003B3CD6" w:rsidP="00594F7D">
      <w:pPr>
        <w:tabs>
          <w:tab w:val="center" w:pos="4568"/>
        </w:tabs>
        <w:ind w:right="-93"/>
      </w:pPr>
    </w:p>
    <w:p w14:paraId="2D4129FC" w14:textId="77777777" w:rsidR="003B3CD6" w:rsidRPr="00594F7D" w:rsidRDefault="003B3CD6" w:rsidP="00594F7D">
      <w:pPr>
        <w:tabs>
          <w:tab w:val="center" w:pos="4568"/>
        </w:tabs>
        <w:ind w:right="-93"/>
      </w:pPr>
    </w:p>
    <w:p w14:paraId="37F47F04" w14:textId="77777777" w:rsidR="003B3CD6" w:rsidRPr="00594F7D" w:rsidRDefault="003B3CD6" w:rsidP="00594F7D">
      <w:pPr>
        <w:tabs>
          <w:tab w:val="center" w:pos="4568"/>
        </w:tabs>
        <w:ind w:right="-93"/>
      </w:pPr>
    </w:p>
    <w:p w14:paraId="39B98775" w14:textId="77777777" w:rsidR="003B3CD6" w:rsidRPr="00594F7D" w:rsidRDefault="003B3CD6" w:rsidP="00594F7D">
      <w:pPr>
        <w:tabs>
          <w:tab w:val="center" w:pos="4568"/>
        </w:tabs>
        <w:ind w:right="-93"/>
      </w:pPr>
    </w:p>
    <w:p w14:paraId="1D8E6687" w14:textId="77777777" w:rsidR="003B3CD6" w:rsidRPr="00594F7D" w:rsidRDefault="003B3CD6" w:rsidP="00594F7D"/>
    <w:sectPr w:rsidR="003B3CD6" w:rsidRPr="00594F7D">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FB243" w14:textId="77777777" w:rsidR="00EF22E8" w:rsidRDefault="00EF22E8">
      <w:pPr>
        <w:spacing w:line="240" w:lineRule="auto"/>
      </w:pPr>
      <w:r>
        <w:separator/>
      </w:r>
    </w:p>
  </w:endnote>
  <w:endnote w:type="continuationSeparator" w:id="0">
    <w:p w14:paraId="020A19A2" w14:textId="77777777" w:rsidR="00EF22E8" w:rsidRDefault="00EF2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3B3CD6" w:rsidRDefault="003B3CD6">
    <w:pPr>
      <w:tabs>
        <w:tab w:val="center" w:pos="4550"/>
        <w:tab w:val="left" w:pos="5818"/>
      </w:tabs>
      <w:ind w:right="260"/>
      <w:jc w:val="right"/>
      <w:rPr>
        <w:color w:val="071320"/>
        <w:sz w:val="24"/>
        <w:szCs w:val="24"/>
      </w:rPr>
    </w:pPr>
  </w:p>
  <w:p w14:paraId="0FB292AB" w14:textId="77777777" w:rsidR="003B3CD6" w:rsidRDefault="003B3CD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014F67B1" w:rsidR="003B3CD6" w:rsidRDefault="004C3B6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F37BF">
      <w:rPr>
        <w:noProof/>
        <w:color w:val="0A1D30"/>
        <w:sz w:val="24"/>
        <w:szCs w:val="24"/>
      </w:rPr>
      <w:t>25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F37BF">
      <w:rPr>
        <w:noProof/>
        <w:color w:val="0A1D30"/>
        <w:sz w:val="24"/>
        <w:szCs w:val="24"/>
      </w:rPr>
      <w:t>27</w:t>
    </w:r>
    <w:r>
      <w:rPr>
        <w:color w:val="0A1D30"/>
        <w:sz w:val="24"/>
        <w:szCs w:val="24"/>
      </w:rPr>
      <w:fldChar w:fldCharType="end"/>
    </w:r>
  </w:p>
  <w:p w14:paraId="32F03D26" w14:textId="77777777" w:rsidR="003B3CD6" w:rsidRDefault="003B3CD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C1E4" w14:textId="77777777" w:rsidR="00EF22E8" w:rsidRDefault="00EF22E8">
      <w:pPr>
        <w:spacing w:line="240" w:lineRule="auto"/>
      </w:pPr>
      <w:r>
        <w:separator/>
      </w:r>
    </w:p>
  </w:footnote>
  <w:footnote w:type="continuationSeparator" w:id="0">
    <w:p w14:paraId="5E93B659" w14:textId="77777777" w:rsidR="00EF22E8" w:rsidRDefault="00EF22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3B3CD6" w:rsidRDefault="003B3CD6">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B3CD6" w14:paraId="4DFC20B6" w14:textId="77777777">
      <w:trPr>
        <w:trHeight w:val="144"/>
        <w:jc w:val="right"/>
      </w:trPr>
      <w:tc>
        <w:tcPr>
          <w:tcW w:w="2727" w:type="dxa"/>
        </w:tcPr>
        <w:p w14:paraId="703A86A3" w14:textId="77777777" w:rsidR="003B3CD6" w:rsidRDefault="004C3B66">
          <w:pPr>
            <w:tabs>
              <w:tab w:val="right" w:pos="8838"/>
            </w:tabs>
            <w:ind w:left="-74" w:right="-105"/>
            <w:rPr>
              <w:b/>
            </w:rPr>
          </w:pPr>
          <w:r>
            <w:rPr>
              <w:b/>
            </w:rPr>
            <w:t>Recurso de Revisión:</w:t>
          </w:r>
        </w:p>
      </w:tc>
      <w:tc>
        <w:tcPr>
          <w:tcW w:w="3402" w:type="dxa"/>
        </w:tcPr>
        <w:p w14:paraId="104BFB80" w14:textId="426E8119" w:rsidR="003B3CD6" w:rsidRDefault="003355D8">
          <w:pPr>
            <w:tabs>
              <w:tab w:val="right" w:pos="8838"/>
            </w:tabs>
            <w:ind w:left="-74" w:right="-105"/>
          </w:pPr>
          <w:r w:rsidRPr="003355D8">
            <w:t>06752/INFOEM/IP/RR/2025</w:t>
          </w:r>
        </w:p>
      </w:tc>
    </w:tr>
    <w:tr w:rsidR="003B3CD6" w14:paraId="3404AB11" w14:textId="77777777">
      <w:trPr>
        <w:trHeight w:val="283"/>
        <w:jc w:val="right"/>
      </w:trPr>
      <w:tc>
        <w:tcPr>
          <w:tcW w:w="2727" w:type="dxa"/>
        </w:tcPr>
        <w:p w14:paraId="5C7FBD55" w14:textId="77777777" w:rsidR="003B3CD6" w:rsidRDefault="004C3B66">
          <w:pPr>
            <w:tabs>
              <w:tab w:val="right" w:pos="8838"/>
            </w:tabs>
            <w:ind w:left="-74" w:right="-105"/>
            <w:rPr>
              <w:b/>
            </w:rPr>
          </w:pPr>
          <w:r>
            <w:rPr>
              <w:b/>
            </w:rPr>
            <w:t>Sujeto Obligado:</w:t>
          </w:r>
        </w:p>
      </w:tc>
      <w:tc>
        <w:tcPr>
          <w:tcW w:w="3402" w:type="dxa"/>
        </w:tcPr>
        <w:p w14:paraId="2B8F5034" w14:textId="77777777" w:rsidR="003B3CD6" w:rsidRDefault="004C3B66">
          <w:pPr>
            <w:tabs>
              <w:tab w:val="left" w:pos="2834"/>
              <w:tab w:val="right" w:pos="8838"/>
            </w:tabs>
            <w:ind w:left="-108" w:right="-105"/>
          </w:pPr>
          <w:r>
            <w:t>Ayuntamiento de Toluca</w:t>
          </w:r>
        </w:p>
      </w:tc>
    </w:tr>
    <w:tr w:rsidR="003B3CD6" w14:paraId="18237119" w14:textId="77777777">
      <w:trPr>
        <w:trHeight w:val="283"/>
        <w:jc w:val="right"/>
      </w:trPr>
      <w:tc>
        <w:tcPr>
          <w:tcW w:w="2727" w:type="dxa"/>
        </w:tcPr>
        <w:p w14:paraId="32236C4A" w14:textId="77777777" w:rsidR="003B3CD6" w:rsidRDefault="004C3B66">
          <w:pPr>
            <w:tabs>
              <w:tab w:val="right" w:pos="8838"/>
            </w:tabs>
            <w:ind w:left="-74" w:right="-105"/>
            <w:rPr>
              <w:b/>
            </w:rPr>
          </w:pPr>
          <w:r>
            <w:rPr>
              <w:b/>
            </w:rPr>
            <w:t>Comisionada Ponente:</w:t>
          </w:r>
        </w:p>
      </w:tc>
      <w:tc>
        <w:tcPr>
          <w:tcW w:w="3402" w:type="dxa"/>
        </w:tcPr>
        <w:p w14:paraId="13FE26CE" w14:textId="77777777" w:rsidR="003B3CD6" w:rsidRDefault="004C3B66">
          <w:pPr>
            <w:tabs>
              <w:tab w:val="right" w:pos="8838"/>
            </w:tabs>
            <w:ind w:left="-108" w:right="-105"/>
          </w:pPr>
          <w:r>
            <w:t>Sharon Cristina Morales Martínez</w:t>
          </w:r>
        </w:p>
      </w:tc>
    </w:tr>
  </w:tbl>
  <w:p w14:paraId="22B691C4" w14:textId="77777777" w:rsidR="003B3CD6" w:rsidRDefault="004C3B6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1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65298D1" w:rsidR="003B3CD6" w:rsidRDefault="003B3CD6">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3B3CD6" w14:paraId="7E006341" w14:textId="77777777">
      <w:trPr>
        <w:trHeight w:val="1435"/>
      </w:trPr>
      <w:tc>
        <w:tcPr>
          <w:tcW w:w="283" w:type="dxa"/>
        </w:tcPr>
        <w:p w14:paraId="538D7CA2" w14:textId="77777777" w:rsidR="003B3CD6" w:rsidRDefault="003B3CD6">
          <w:pPr>
            <w:tabs>
              <w:tab w:val="right" w:pos="4273"/>
            </w:tabs>
            <w:rPr>
              <w:rFonts w:ascii="Garamond" w:eastAsia="Garamond" w:hAnsi="Garamond" w:cs="Garamond"/>
            </w:rPr>
          </w:pPr>
        </w:p>
      </w:tc>
      <w:tc>
        <w:tcPr>
          <w:tcW w:w="6377" w:type="dxa"/>
        </w:tcPr>
        <w:p w14:paraId="75F339A6" w14:textId="77777777" w:rsidR="003B3CD6" w:rsidRDefault="003B3CD6">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3B3CD6" w14:paraId="326EF6EE" w14:textId="77777777">
            <w:trPr>
              <w:trHeight w:val="144"/>
            </w:trPr>
            <w:tc>
              <w:tcPr>
                <w:tcW w:w="2581" w:type="dxa"/>
              </w:tcPr>
              <w:p w14:paraId="0EF79D9A" w14:textId="77777777" w:rsidR="003B3CD6" w:rsidRDefault="004C3B66">
                <w:pPr>
                  <w:tabs>
                    <w:tab w:val="right" w:pos="8838"/>
                  </w:tabs>
                  <w:ind w:left="-74" w:right="-108"/>
                  <w:rPr>
                    <w:b/>
                  </w:rPr>
                </w:pPr>
                <w:bookmarkStart w:id="1" w:name="_heading=h.d9zvx1ipjpdw" w:colFirst="0" w:colLast="0"/>
                <w:bookmarkEnd w:id="1"/>
                <w:r>
                  <w:rPr>
                    <w:b/>
                  </w:rPr>
                  <w:t>Recurso de Revisión:</w:t>
                </w:r>
              </w:p>
            </w:tc>
            <w:tc>
              <w:tcPr>
                <w:tcW w:w="3548" w:type="dxa"/>
              </w:tcPr>
              <w:p w14:paraId="4C65E001" w14:textId="048F2196" w:rsidR="003B3CD6" w:rsidRDefault="003355D8">
                <w:pPr>
                  <w:tabs>
                    <w:tab w:val="left" w:pos="3122"/>
                    <w:tab w:val="right" w:pos="8838"/>
                  </w:tabs>
                  <w:ind w:left="-105" w:right="-108"/>
                </w:pPr>
                <w:r w:rsidRPr="003355D8">
                  <w:t>06752/INFOEM/IP/RR/2025</w:t>
                </w:r>
              </w:p>
            </w:tc>
            <w:tc>
              <w:tcPr>
                <w:tcW w:w="3402" w:type="dxa"/>
              </w:tcPr>
              <w:p w14:paraId="7B4F7601" w14:textId="77777777" w:rsidR="003B3CD6" w:rsidRDefault="003B3CD6">
                <w:pPr>
                  <w:tabs>
                    <w:tab w:val="right" w:pos="8838"/>
                  </w:tabs>
                  <w:ind w:left="-74" w:right="-108"/>
                </w:pPr>
              </w:p>
            </w:tc>
          </w:tr>
          <w:tr w:rsidR="003B3CD6" w14:paraId="37609320" w14:textId="77777777">
            <w:trPr>
              <w:trHeight w:val="144"/>
            </w:trPr>
            <w:tc>
              <w:tcPr>
                <w:tcW w:w="2581" w:type="dxa"/>
              </w:tcPr>
              <w:p w14:paraId="6603D7F5" w14:textId="77777777" w:rsidR="003B3CD6" w:rsidRDefault="004C3B66">
                <w:pPr>
                  <w:tabs>
                    <w:tab w:val="right" w:pos="8838"/>
                  </w:tabs>
                  <w:ind w:left="-74" w:right="-108"/>
                  <w:rPr>
                    <w:b/>
                  </w:rPr>
                </w:pPr>
                <w:bookmarkStart w:id="2" w:name="_heading=h.c9y95bv301qu" w:colFirst="0" w:colLast="0"/>
                <w:bookmarkEnd w:id="2"/>
                <w:r>
                  <w:rPr>
                    <w:b/>
                  </w:rPr>
                  <w:t>Recurrente:</w:t>
                </w:r>
              </w:p>
            </w:tc>
            <w:tc>
              <w:tcPr>
                <w:tcW w:w="3548" w:type="dxa"/>
              </w:tcPr>
              <w:p w14:paraId="3C80C77E" w14:textId="77777777" w:rsidR="003B3CD6" w:rsidRDefault="003B3CD6">
                <w:pPr>
                  <w:tabs>
                    <w:tab w:val="left" w:pos="3122"/>
                    <w:tab w:val="right" w:pos="8838"/>
                  </w:tabs>
                  <w:ind w:left="-105" w:right="-108"/>
                </w:pPr>
              </w:p>
            </w:tc>
            <w:tc>
              <w:tcPr>
                <w:tcW w:w="3402" w:type="dxa"/>
              </w:tcPr>
              <w:p w14:paraId="3371FF6C" w14:textId="77777777" w:rsidR="003B3CD6" w:rsidRDefault="003B3CD6">
                <w:pPr>
                  <w:tabs>
                    <w:tab w:val="left" w:pos="3122"/>
                    <w:tab w:val="right" w:pos="8838"/>
                  </w:tabs>
                  <w:ind w:left="-105" w:right="-108"/>
                </w:pPr>
              </w:p>
            </w:tc>
          </w:tr>
          <w:tr w:rsidR="003B3CD6" w14:paraId="70244968" w14:textId="77777777">
            <w:trPr>
              <w:trHeight w:val="283"/>
            </w:trPr>
            <w:tc>
              <w:tcPr>
                <w:tcW w:w="2581" w:type="dxa"/>
              </w:tcPr>
              <w:p w14:paraId="0EF8F1A5" w14:textId="77777777" w:rsidR="003B3CD6" w:rsidRDefault="004C3B66">
                <w:pPr>
                  <w:tabs>
                    <w:tab w:val="right" w:pos="8838"/>
                  </w:tabs>
                  <w:ind w:left="-74" w:right="-108"/>
                  <w:rPr>
                    <w:b/>
                  </w:rPr>
                </w:pPr>
                <w:r>
                  <w:rPr>
                    <w:b/>
                  </w:rPr>
                  <w:t>Sujeto Obligado:</w:t>
                </w:r>
              </w:p>
            </w:tc>
            <w:tc>
              <w:tcPr>
                <w:tcW w:w="3548" w:type="dxa"/>
              </w:tcPr>
              <w:p w14:paraId="7F5AF133" w14:textId="77777777" w:rsidR="003B3CD6" w:rsidRDefault="004C3B66">
                <w:pPr>
                  <w:tabs>
                    <w:tab w:val="left" w:pos="2834"/>
                    <w:tab w:val="right" w:pos="8838"/>
                  </w:tabs>
                  <w:ind w:left="-108" w:right="-108"/>
                </w:pPr>
                <w:r>
                  <w:t>Ayuntamiento de Toluca</w:t>
                </w:r>
              </w:p>
            </w:tc>
            <w:tc>
              <w:tcPr>
                <w:tcW w:w="3402" w:type="dxa"/>
              </w:tcPr>
              <w:p w14:paraId="5EE41C73" w14:textId="77777777" w:rsidR="003B3CD6" w:rsidRDefault="003B3CD6">
                <w:pPr>
                  <w:tabs>
                    <w:tab w:val="left" w:pos="2834"/>
                    <w:tab w:val="right" w:pos="8838"/>
                  </w:tabs>
                  <w:ind w:left="-108" w:right="-108"/>
                </w:pPr>
              </w:p>
            </w:tc>
          </w:tr>
          <w:tr w:rsidR="003B3CD6" w14:paraId="24F8C500" w14:textId="77777777">
            <w:trPr>
              <w:trHeight w:val="283"/>
            </w:trPr>
            <w:tc>
              <w:tcPr>
                <w:tcW w:w="2581" w:type="dxa"/>
              </w:tcPr>
              <w:p w14:paraId="3B210E9F" w14:textId="77777777" w:rsidR="003B3CD6" w:rsidRDefault="004C3B66">
                <w:pPr>
                  <w:tabs>
                    <w:tab w:val="right" w:pos="8838"/>
                  </w:tabs>
                  <w:ind w:left="-74" w:right="-108"/>
                  <w:rPr>
                    <w:b/>
                  </w:rPr>
                </w:pPr>
                <w:r>
                  <w:rPr>
                    <w:b/>
                  </w:rPr>
                  <w:t>Comisionada Ponente:</w:t>
                </w:r>
              </w:p>
            </w:tc>
            <w:tc>
              <w:tcPr>
                <w:tcW w:w="3548" w:type="dxa"/>
              </w:tcPr>
              <w:p w14:paraId="7E3ABCB4" w14:textId="77777777" w:rsidR="003B3CD6" w:rsidRDefault="004C3B66">
                <w:pPr>
                  <w:tabs>
                    <w:tab w:val="right" w:pos="8838"/>
                  </w:tabs>
                  <w:ind w:left="-108" w:right="-108"/>
                </w:pPr>
                <w:r>
                  <w:t>Sharon Cristina Morales Martínez</w:t>
                </w:r>
              </w:p>
            </w:tc>
            <w:tc>
              <w:tcPr>
                <w:tcW w:w="3402" w:type="dxa"/>
              </w:tcPr>
              <w:p w14:paraId="2E664884" w14:textId="77777777" w:rsidR="003B3CD6" w:rsidRDefault="003B3CD6">
                <w:pPr>
                  <w:tabs>
                    <w:tab w:val="right" w:pos="8838"/>
                  </w:tabs>
                  <w:ind w:left="-108" w:right="-108"/>
                </w:pPr>
              </w:p>
            </w:tc>
          </w:tr>
        </w:tbl>
        <w:p w14:paraId="76AA4AB1" w14:textId="77777777" w:rsidR="003B3CD6" w:rsidRDefault="003B3CD6">
          <w:pPr>
            <w:tabs>
              <w:tab w:val="right" w:pos="8838"/>
            </w:tabs>
            <w:ind w:left="-28"/>
            <w:rPr>
              <w:rFonts w:ascii="Arial" w:eastAsia="Arial" w:hAnsi="Arial" w:cs="Arial"/>
              <w:b/>
            </w:rPr>
          </w:pPr>
        </w:p>
      </w:tc>
    </w:tr>
  </w:tbl>
  <w:p w14:paraId="6FECB7A9" w14:textId="77777777" w:rsidR="003B3CD6" w:rsidRDefault="003F37B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0D5605"/>
    <w:multiLevelType w:val="multilevel"/>
    <w:tmpl w:val="704ECD9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0DC0A59"/>
    <w:multiLevelType w:val="hybridMultilevel"/>
    <w:tmpl w:val="F9C47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7"/>
  </w:num>
  <w:num w:numId="4">
    <w:abstractNumId w:val="0"/>
  </w:num>
  <w:num w:numId="5">
    <w:abstractNumId w:val="1"/>
  </w:num>
  <w:num w:numId="6">
    <w:abstractNumId w:val="11"/>
  </w:num>
  <w:num w:numId="7">
    <w:abstractNumId w:val="9"/>
  </w:num>
  <w:num w:numId="8">
    <w:abstractNumId w:val="8"/>
  </w:num>
  <w:num w:numId="9">
    <w:abstractNumId w:val="4"/>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136E1"/>
    <w:rsid w:val="00032A13"/>
    <w:rsid w:val="00042CC3"/>
    <w:rsid w:val="00104A52"/>
    <w:rsid w:val="001218D9"/>
    <w:rsid w:val="001276CE"/>
    <w:rsid w:val="0013088A"/>
    <w:rsid w:val="001663EB"/>
    <w:rsid w:val="001803F8"/>
    <w:rsid w:val="001F28CA"/>
    <w:rsid w:val="00242926"/>
    <w:rsid w:val="00264DEE"/>
    <w:rsid w:val="0028694D"/>
    <w:rsid w:val="002C34F5"/>
    <w:rsid w:val="002C7531"/>
    <w:rsid w:val="002F3942"/>
    <w:rsid w:val="002F53D5"/>
    <w:rsid w:val="00315D90"/>
    <w:rsid w:val="00317BCD"/>
    <w:rsid w:val="003355D8"/>
    <w:rsid w:val="00362B3F"/>
    <w:rsid w:val="003B3CD6"/>
    <w:rsid w:val="003F37BF"/>
    <w:rsid w:val="00431F7A"/>
    <w:rsid w:val="00496C4A"/>
    <w:rsid w:val="004C0262"/>
    <w:rsid w:val="004C3B66"/>
    <w:rsid w:val="004D403A"/>
    <w:rsid w:val="004F4B23"/>
    <w:rsid w:val="0051199A"/>
    <w:rsid w:val="00536030"/>
    <w:rsid w:val="005474B9"/>
    <w:rsid w:val="005519E0"/>
    <w:rsid w:val="00594F7D"/>
    <w:rsid w:val="005B24CA"/>
    <w:rsid w:val="005D2C18"/>
    <w:rsid w:val="005E0BF1"/>
    <w:rsid w:val="005F7B6A"/>
    <w:rsid w:val="00620FD3"/>
    <w:rsid w:val="00671250"/>
    <w:rsid w:val="006C188D"/>
    <w:rsid w:val="006C26D1"/>
    <w:rsid w:val="006F27D4"/>
    <w:rsid w:val="006F48B6"/>
    <w:rsid w:val="00701066"/>
    <w:rsid w:val="00705494"/>
    <w:rsid w:val="00715912"/>
    <w:rsid w:val="007511B5"/>
    <w:rsid w:val="00753B6D"/>
    <w:rsid w:val="0078267A"/>
    <w:rsid w:val="007907FA"/>
    <w:rsid w:val="007D51B2"/>
    <w:rsid w:val="007E1570"/>
    <w:rsid w:val="007E5C7E"/>
    <w:rsid w:val="007E6B04"/>
    <w:rsid w:val="007F3084"/>
    <w:rsid w:val="00830592"/>
    <w:rsid w:val="00864F23"/>
    <w:rsid w:val="00875E93"/>
    <w:rsid w:val="00876D7D"/>
    <w:rsid w:val="00887E41"/>
    <w:rsid w:val="008C4059"/>
    <w:rsid w:val="008E28BF"/>
    <w:rsid w:val="009713D6"/>
    <w:rsid w:val="00976D90"/>
    <w:rsid w:val="009868CE"/>
    <w:rsid w:val="009D3A9C"/>
    <w:rsid w:val="00A06930"/>
    <w:rsid w:val="00A1044C"/>
    <w:rsid w:val="00A229FB"/>
    <w:rsid w:val="00A4120E"/>
    <w:rsid w:val="00A7098D"/>
    <w:rsid w:val="00A80691"/>
    <w:rsid w:val="00AA68D2"/>
    <w:rsid w:val="00AA7999"/>
    <w:rsid w:val="00AA7A9C"/>
    <w:rsid w:val="00B3373D"/>
    <w:rsid w:val="00B555CC"/>
    <w:rsid w:val="00B6201F"/>
    <w:rsid w:val="00B6283B"/>
    <w:rsid w:val="00BA43DF"/>
    <w:rsid w:val="00BC1F52"/>
    <w:rsid w:val="00BC3723"/>
    <w:rsid w:val="00BC5C03"/>
    <w:rsid w:val="00BD0B61"/>
    <w:rsid w:val="00BE1A75"/>
    <w:rsid w:val="00BF5778"/>
    <w:rsid w:val="00C02DC4"/>
    <w:rsid w:val="00C3129F"/>
    <w:rsid w:val="00C74DEE"/>
    <w:rsid w:val="00CC3B73"/>
    <w:rsid w:val="00D010B8"/>
    <w:rsid w:val="00D172A5"/>
    <w:rsid w:val="00D47333"/>
    <w:rsid w:val="00D75B66"/>
    <w:rsid w:val="00DC0031"/>
    <w:rsid w:val="00E03960"/>
    <w:rsid w:val="00E23951"/>
    <w:rsid w:val="00E31D4E"/>
    <w:rsid w:val="00E50DBF"/>
    <w:rsid w:val="00EA2C72"/>
    <w:rsid w:val="00EB374B"/>
    <w:rsid w:val="00EF22E8"/>
    <w:rsid w:val="00F248BE"/>
    <w:rsid w:val="00F3596D"/>
    <w:rsid w:val="00F56D9C"/>
    <w:rsid w:val="00F57749"/>
    <w:rsid w:val="00F77F0D"/>
    <w:rsid w:val="00F80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AA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6665</Words>
  <Characters>36660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6</cp:revision>
  <cp:lastPrinted>2025-08-21T19:17:00Z</cp:lastPrinted>
  <dcterms:created xsi:type="dcterms:W3CDTF">2025-08-14T18:31:00Z</dcterms:created>
  <dcterms:modified xsi:type="dcterms:W3CDTF">2025-08-21T19:17:00Z</dcterms:modified>
</cp:coreProperties>
</file>