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548" w:rsidRPr="00C651CD" w:rsidRDefault="00090548" w:rsidP="00090548">
      <w:pPr>
        <w:widowControl w:val="0"/>
        <w:pBdr>
          <w:top w:val="nil"/>
          <w:left w:val="nil"/>
          <w:bottom w:val="nil"/>
          <w:right w:val="nil"/>
          <w:between w:val="nil"/>
        </w:pBdr>
        <w:spacing w:line="276" w:lineRule="auto"/>
        <w:rPr>
          <w:rFonts w:ascii="Palatino Linotype" w:hAnsi="Palatino Linotype"/>
          <w:sz w:val="22"/>
          <w:szCs w:val="22"/>
        </w:rPr>
      </w:pPr>
    </w:p>
    <w:p w:rsidR="00090548" w:rsidRPr="00012649" w:rsidRDefault="00090548" w:rsidP="00090548">
      <w:pPr>
        <w:tabs>
          <w:tab w:val="left" w:pos="0"/>
        </w:tabs>
        <w:spacing w:line="360" w:lineRule="auto"/>
        <w:jc w:val="both"/>
        <w:rPr>
          <w:rFonts w:ascii="Palatino Linotype" w:eastAsia="Palatino Linotype" w:hAnsi="Palatino Linotype" w:cs="Palatino Linotype"/>
          <w:sz w:val="22"/>
          <w:szCs w:val="22"/>
        </w:rPr>
      </w:pPr>
      <w:r w:rsidRPr="00012649">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del diecinueve de febrero de dos mil veinticinco.  </w:t>
      </w:r>
    </w:p>
    <w:p w:rsidR="00090548" w:rsidRPr="00012649" w:rsidRDefault="00090548" w:rsidP="00090548">
      <w:pPr>
        <w:tabs>
          <w:tab w:val="left" w:pos="0"/>
        </w:tabs>
        <w:spacing w:line="360" w:lineRule="auto"/>
        <w:jc w:val="both"/>
        <w:rPr>
          <w:rFonts w:ascii="Palatino Linotype" w:eastAsia="Palatino Linotype" w:hAnsi="Palatino Linotype" w:cs="Palatino Linotype"/>
          <w:sz w:val="22"/>
          <w:szCs w:val="22"/>
        </w:rPr>
      </w:pPr>
    </w:p>
    <w:p w:rsidR="00090548" w:rsidRPr="00012649" w:rsidRDefault="00090548" w:rsidP="00090548">
      <w:pPr>
        <w:spacing w:line="360" w:lineRule="auto"/>
        <w:jc w:val="both"/>
        <w:rPr>
          <w:rFonts w:ascii="Palatino Linotype" w:eastAsia="Palatino Linotype" w:hAnsi="Palatino Linotype" w:cs="Palatino Linotype"/>
          <w:sz w:val="22"/>
          <w:szCs w:val="22"/>
        </w:rPr>
      </w:pPr>
      <w:r w:rsidRPr="00012649">
        <w:rPr>
          <w:rFonts w:ascii="Palatino Linotype" w:eastAsia="Palatino Linotype" w:hAnsi="Palatino Linotype" w:cs="Palatino Linotype"/>
          <w:b/>
          <w:sz w:val="22"/>
          <w:szCs w:val="22"/>
        </w:rPr>
        <w:t>VISTO</w:t>
      </w:r>
      <w:r w:rsidRPr="00012649">
        <w:rPr>
          <w:rFonts w:ascii="Palatino Linotype" w:eastAsia="Palatino Linotype" w:hAnsi="Palatino Linotype" w:cs="Palatino Linotype"/>
          <w:sz w:val="22"/>
          <w:szCs w:val="22"/>
        </w:rPr>
        <w:t xml:space="preserve"> el expediente electrónico formado con motivo del recurso de revisión </w:t>
      </w:r>
      <w:r w:rsidRPr="00012649">
        <w:rPr>
          <w:rFonts w:ascii="Palatino Linotype" w:eastAsia="Palatino Linotype" w:hAnsi="Palatino Linotype" w:cs="Palatino Linotype"/>
          <w:b/>
          <w:sz w:val="22"/>
          <w:szCs w:val="22"/>
        </w:rPr>
        <w:t xml:space="preserve">01323/INFOEM/IP/RR/2024, </w:t>
      </w:r>
      <w:r w:rsidRPr="00012649">
        <w:rPr>
          <w:rFonts w:ascii="Palatino Linotype" w:eastAsia="Palatino Linotype" w:hAnsi="Palatino Linotype" w:cs="Palatino Linotype"/>
          <w:sz w:val="22"/>
          <w:szCs w:val="22"/>
        </w:rPr>
        <w:t xml:space="preserve">promovido por </w:t>
      </w:r>
      <w:r w:rsidR="00C1296D">
        <w:rPr>
          <w:rFonts w:ascii="Palatino Linotype" w:eastAsia="Palatino Linotype" w:hAnsi="Palatino Linotype" w:cs="Palatino Linotype"/>
          <w:b/>
          <w:bCs/>
          <w:sz w:val="22"/>
          <w:szCs w:val="22"/>
        </w:rPr>
        <w:t>XXXXXXXX</w:t>
      </w:r>
      <w:r w:rsidRPr="00012649">
        <w:rPr>
          <w:rFonts w:ascii="Palatino Linotype" w:eastAsia="Palatino Linotype" w:hAnsi="Palatino Linotype" w:cs="Palatino Linotype"/>
          <w:sz w:val="22"/>
          <w:szCs w:val="22"/>
        </w:rPr>
        <w:t xml:space="preserve">, quien en lo sucesivo se le identificara como </w:t>
      </w:r>
      <w:r w:rsidRPr="00012649">
        <w:rPr>
          <w:rFonts w:ascii="Palatino Linotype" w:eastAsia="Palatino Linotype" w:hAnsi="Palatino Linotype" w:cs="Palatino Linotype"/>
          <w:b/>
          <w:sz w:val="22"/>
          <w:szCs w:val="22"/>
        </w:rPr>
        <w:t>RECURRENTE</w:t>
      </w:r>
      <w:r w:rsidRPr="00012649">
        <w:rPr>
          <w:rFonts w:ascii="Palatino Linotype" w:eastAsia="Palatino Linotype" w:hAnsi="Palatino Linotype" w:cs="Palatino Linotype"/>
          <w:sz w:val="22"/>
          <w:szCs w:val="22"/>
        </w:rPr>
        <w:t xml:space="preserve">, en contra de la respuesta del </w:t>
      </w:r>
      <w:r w:rsidRPr="00012649">
        <w:rPr>
          <w:rFonts w:ascii="Palatino Linotype" w:eastAsia="Palatino Linotype" w:hAnsi="Palatino Linotype" w:cs="Palatino Linotype"/>
          <w:b/>
          <w:sz w:val="22"/>
          <w:szCs w:val="22"/>
        </w:rPr>
        <w:t xml:space="preserve">Ayuntamiento de Huehuetoca, </w:t>
      </w:r>
      <w:r w:rsidRPr="00012649">
        <w:rPr>
          <w:rFonts w:ascii="Palatino Linotype" w:eastAsia="Palatino Linotype" w:hAnsi="Palatino Linotype" w:cs="Palatino Linotype"/>
          <w:sz w:val="22"/>
          <w:szCs w:val="22"/>
        </w:rPr>
        <w:t>en adelante el</w:t>
      </w:r>
      <w:r w:rsidRPr="00012649">
        <w:rPr>
          <w:rFonts w:ascii="Palatino Linotype" w:eastAsia="Palatino Linotype" w:hAnsi="Palatino Linotype" w:cs="Palatino Linotype"/>
          <w:b/>
          <w:sz w:val="22"/>
          <w:szCs w:val="22"/>
        </w:rPr>
        <w:t xml:space="preserve"> SUJETO OBLIGADO, </w:t>
      </w:r>
      <w:r w:rsidRPr="00012649">
        <w:rPr>
          <w:rFonts w:ascii="Palatino Linotype" w:eastAsia="Palatino Linotype" w:hAnsi="Palatino Linotype" w:cs="Palatino Linotype"/>
          <w:sz w:val="22"/>
          <w:szCs w:val="22"/>
        </w:rPr>
        <w:t xml:space="preserve">se procede a dictar la presente resolución, con base en los siguientes: </w:t>
      </w:r>
    </w:p>
    <w:p w:rsidR="00090548" w:rsidRPr="00012649" w:rsidRDefault="00090548" w:rsidP="00090548">
      <w:pPr>
        <w:spacing w:line="360" w:lineRule="auto"/>
        <w:jc w:val="both"/>
        <w:rPr>
          <w:rFonts w:ascii="Palatino Linotype" w:eastAsia="Palatino Linotype" w:hAnsi="Palatino Linotype" w:cs="Palatino Linotype"/>
          <w:sz w:val="22"/>
          <w:szCs w:val="22"/>
        </w:rPr>
      </w:pPr>
    </w:p>
    <w:p w:rsidR="00090548" w:rsidRPr="00012649" w:rsidRDefault="00090548" w:rsidP="00090548">
      <w:pPr>
        <w:keepNext/>
        <w:keepLines/>
        <w:tabs>
          <w:tab w:val="left" w:pos="0"/>
        </w:tabs>
        <w:spacing w:line="360" w:lineRule="auto"/>
        <w:jc w:val="center"/>
        <w:rPr>
          <w:rFonts w:ascii="Palatino Linotype" w:eastAsia="Palatino Linotype" w:hAnsi="Palatino Linotype" w:cs="Palatino Linotype"/>
          <w:b/>
          <w:sz w:val="22"/>
          <w:szCs w:val="22"/>
        </w:rPr>
      </w:pPr>
      <w:bookmarkStart w:id="0" w:name="_heading=h.gjdgxs" w:colFirst="0" w:colLast="0"/>
      <w:bookmarkEnd w:id="0"/>
      <w:r w:rsidRPr="00012649">
        <w:rPr>
          <w:rFonts w:ascii="Palatino Linotype" w:eastAsia="Palatino Linotype" w:hAnsi="Palatino Linotype" w:cs="Palatino Linotype"/>
          <w:b/>
          <w:sz w:val="22"/>
          <w:szCs w:val="22"/>
        </w:rPr>
        <w:t>A N T E C E D E N T E S</w:t>
      </w:r>
    </w:p>
    <w:p w:rsidR="00090548" w:rsidRPr="00012649" w:rsidRDefault="00090548" w:rsidP="00090548">
      <w:pPr>
        <w:keepNext/>
        <w:keepLines/>
        <w:tabs>
          <w:tab w:val="left" w:pos="0"/>
        </w:tabs>
        <w:spacing w:line="360" w:lineRule="auto"/>
        <w:jc w:val="center"/>
        <w:rPr>
          <w:rFonts w:ascii="Palatino Linotype" w:eastAsia="Palatino Linotype" w:hAnsi="Palatino Linotype" w:cs="Palatino Linotype"/>
          <w:b/>
          <w:sz w:val="22"/>
          <w:szCs w:val="22"/>
        </w:rPr>
      </w:pPr>
    </w:p>
    <w:p w:rsidR="00090548" w:rsidRPr="00012649" w:rsidRDefault="00090548" w:rsidP="00090548">
      <w:pPr>
        <w:numPr>
          <w:ilvl w:val="0"/>
          <w:numId w:val="2"/>
        </w:numPr>
        <w:tabs>
          <w:tab w:val="left" w:pos="0"/>
        </w:tabs>
        <w:spacing w:line="360" w:lineRule="auto"/>
        <w:ind w:left="0" w:firstLine="0"/>
        <w:jc w:val="both"/>
        <w:rPr>
          <w:rFonts w:ascii="Palatino Linotype" w:hAnsi="Palatino Linotype"/>
          <w:sz w:val="22"/>
          <w:szCs w:val="22"/>
        </w:rPr>
      </w:pPr>
      <w:r w:rsidRPr="00012649">
        <w:rPr>
          <w:rFonts w:ascii="Palatino Linotype" w:eastAsia="Palatino Linotype" w:hAnsi="Palatino Linotype" w:cs="Palatino Linotype"/>
          <w:sz w:val="22"/>
          <w:szCs w:val="22"/>
        </w:rPr>
        <w:t xml:space="preserve">El </w:t>
      </w:r>
      <w:r w:rsidRPr="00012649">
        <w:rPr>
          <w:rFonts w:ascii="Palatino Linotype" w:eastAsia="Palatino Linotype" w:hAnsi="Palatino Linotype" w:cs="Palatino Linotype"/>
          <w:b/>
          <w:sz w:val="22"/>
          <w:szCs w:val="22"/>
        </w:rPr>
        <w:t>veinte de febrero de dos mil veinticuatro,</w:t>
      </w:r>
      <w:r w:rsidRPr="00012649">
        <w:rPr>
          <w:rFonts w:ascii="Palatino Linotype" w:eastAsia="Palatino Linotype" w:hAnsi="Palatino Linotype" w:cs="Palatino Linotype"/>
          <w:sz w:val="22"/>
          <w:szCs w:val="22"/>
        </w:rPr>
        <w:t xml:space="preserve"> el</w:t>
      </w:r>
      <w:r w:rsidRPr="00012649">
        <w:rPr>
          <w:rFonts w:ascii="Palatino Linotype" w:eastAsia="Palatino Linotype" w:hAnsi="Palatino Linotype" w:cs="Palatino Linotype"/>
          <w:b/>
          <w:sz w:val="22"/>
          <w:szCs w:val="22"/>
        </w:rPr>
        <w:t xml:space="preserve"> </w:t>
      </w:r>
      <w:r w:rsidRPr="00012649">
        <w:rPr>
          <w:rFonts w:ascii="Palatino Linotype" w:eastAsia="Palatino Linotype" w:hAnsi="Palatino Linotype" w:cs="Palatino Linotype"/>
          <w:sz w:val="22"/>
          <w:szCs w:val="22"/>
        </w:rPr>
        <w:t>solicitante</w:t>
      </w:r>
      <w:r w:rsidRPr="00012649">
        <w:rPr>
          <w:rFonts w:ascii="Palatino Linotype" w:eastAsia="Palatino Linotype" w:hAnsi="Palatino Linotype" w:cs="Palatino Linotype"/>
          <w:b/>
          <w:sz w:val="22"/>
          <w:szCs w:val="22"/>
        </w:rPr>
        <w:t xml:space="preserve">  </w:t>
      </w:r>
      <w:r w:rsidRPr="00012649">
        <w:rPr>
          <w:rFonts w:ascii="Palatino Linotype" w:eastAsia="Palatino Linotype" w:hAnsi="Palatino Linotype" w:cs="Palatino Linotype"/>
          <w:sz w:val="22"/>
          <w:szCs w:val="22"/>
        </w:rPr>
        <w:t>presentó</w:t>
      </w:r>
      <w:r w:rsidRPr="00012649">
        <w:rPr>
          <w:rFonts w:ascii="Palatino Linotype" w:eastAsia="Palatino Linotype" w:hAnsi="Palatino Linotype" w:cs="Palatino Linotype"/>
          <w:b/>
          <w:sz w:val="22"/>
          <w:szCs w:val="22"/>
        </w:rPr>
        <w:t xml:space="preserve"> </w:t>
      </w:r>
      <w:r w:rsidRPr="00012649">
        <w:rPr>
          <w:rFonts w:ascii="Palatino Linotype" w:eastAsia="Palatino Linotype" w:hAnsi="Palatino Linotype" w:cs="Palatino Linotype"/>
          <w:sz w:val="22"/>
          <w:szCs w:val="22"/>
        </w:rPr>
        <w:t xml:space="preserve">ante el </w:t>
      </w:r>
      <w:r w:rsidRPr="00012649">
        <w:rPr>
          <w:rFonts w:ascii="Palatino Linotype" w:eastAsia="Palatino Linotype" w:hAnsi="Palatino Linotype" w:cs="Palatino Linotype"/>
          <w:b/>
          <w:sz w:val="22"/>
          <w:szCs w:val="22"/>
        </w:rPr>
        <w:t>SUJETO OBLIGADO,</w:t>
      </w:r>
      <w:r w:rsidRPr="00012649">
        <w:rPr>
          <w:rFonts w:ascii="Palatino Linotype" w:eastAsia="Palatino Linotype" w:hAnsi="Palatino Linotype" w:cs="Palatino Linotype"/>
          <w:sz w:val="22"/>
          <w:szCs w:val="22"/>
        </w:rPr>
        <w:t xml:space="preserve"> a través de la Plataforma Nacional de Transparencia, la solicitud de información pública registrada con el número </w:t>
      </w:r>
      <w:r w:rsidRPr="00012649">
        <w:rPr>
          <w:rFonts w:ascii="Palatino Linotype" w:eastAsia="Palatino Linotype" w:hAnsi="Palatino Linotype" w:cs="Palatino Linotype"/>
          <w:b/>
          <w:sz w:val="22"/>
          <w:szCs w:val="22"/>
        </w:rPr>
        <w:t> </w:t>
      </w:r>
      <w:r w:rsidRPr="00012649">
        <w:rPr>
          <w:rFonts w:ascii="Palatino Linotype" w:eastAsia="Palatino Linotype" w:hAnsi="Palatino Linotype" w:cs="Palatino Linotype"/>
          <w:b/>
          <w:bCs/>
          <w:sz w:val="22"/>
          <w:szCs w:val="22"/>
        </w:rPr>
        <w:t>00152/HUEHUETO/IP/2024</w:t>
      </w:r>
      <w:r w:rsidRPr="00012649">
        <w:rPr>
          <w:rFonts w:ascii="Palatino Linotype" w:eastAsia="Palatino Linotype" w:hAnsi="Palatino Linotype" w:cs="Palatino Linotype"/>
          <w:sz w:val="22"/>
          <w:szCs w:val="22"/>
        </w:rPr>
        <w:t>, en la que se solicitó:</w:t>
      </w:r>
    </w:p>
    <w:p w:rsidR="00090548" w:rsidRPr="00012649" w:rsidRDefault="00090548" w:rsidP="00090548">
      <w:pPr>
        <w:tabs>
          <w:tab w:val="left" w:pos="0"/>
        </w:tabs>
        <w:spacing w:line="360" w:lineRule="auto"/>
        <w:ind w:left="360" w:right="822"/>
        <w:jc w:val="both"/>
        <w:rPr>
          <w:rFonts w:ascii="Palatino Linotype" w:eastAsia="Palatino Linotype" w:hAnsi="Palatino Linotype" w:cs="Palatino Linotype"/>
          <w:sz w:val="22"/>
          <w:szCs w:val="22"/>
        </w:rPr>
      </w:pPr>
    </w:p>
    <w:p w:rsidR="00090548" w:rsidRPr="00012649" w:rsidRDefault="00090548" w:rsidP="00090548">
      <w:pPr>
        <w:tabs>
          <w:tab w:val="left" w:pos="0"/>
        </w:tabs>
        <w:spacing w:line="276" w:lineRule="auto"/>
        <w:ind w:left="567" w:right="822"/>
        <w:jc w:val="both"/>
        <w:rPr>
          <w:rFonts w:ascii="Palatino Linotype" w:eastAsia="Palatino Linotype" w:hAnsi="Palatino Linotype" w:cs="Palatino Linotype"/>
          <w:i/>
          <w:sz w:val="22"/>
          <w:szCs w:val="22"/>
        </w:rPr>
      </w:pPr>
      <w:r w:rsidRPr="00012649">
        <w:rPr>
          <w:rFonts w:ascii="Palatino Linotype" w:eastAsia="Palatino Linotype" w:hAnsi="Palatino Linotype" w:cs="Palatino Linotype"/>
          <w:i/>
          <w:sz w:val="22"/>
          <w:szCs w:val="22"/>
        </w:rPr>
        <w:t>“</w:t>
      </w:r>
      <w:r w:rsidRPr="00012649">
        <w:rPr>
          <w:rFonts w:ascii="Palatino Linotype" w:eastAsia="Palatino Linotype" w:hAnsi="Palatino Linotype" w:cs="Palatino Linotype"/>
          <w:i/>
          <w:color w:val="000000"/>
          <w:sz w:val="22"/>
          <w:szCs w:val="22"/>
        </w:rPr>
        <w:t>Solicito me proporcionen toda la documentación pública relativa a las todas las estaciones de carburación que están proceso de apertura, que ya operan y que se encuentren sin operar en el municipio</w:t>
      </w:r>
      <w:r w:rsidRPr="00012649">
        <w:rPr>
          <w:rFonts w:ascii="Palatino Linotype" w:eastAsia="Palatino Linotype" w:hAnsi="Palatino Linotype" w:cs="Palatino Linotype"/>
          <w:i/>
          <w:sz w:val="22"/>
          <w:szCs w:val="22"/>
        </w:rPr>
        <w:t>” (Sic)</w:t>
      </w:r>
    </w:p>
    <w:p w:rsidR="00090548" w:rsidRPr="00012649" w:rsidRDefault="00090548" w:rsidP="00090548">
      <w:pPr>
        <w:tabs>
          <w:tab w:val="left" w:pos="0"/>
        </w:tabs>
        <w:spacing w:line="360" w:lineRule="auto"/>
        <w:ind w:left="567"/>
        <w:jc w:val="both"/>
        <w:rPr>
          <w:rFonts w:ascii="Palatino Linotype" w:eastAsia="Palatino Linotype" w:hAnsi="Palatino Linotype" w:cs="Palatino Linotype"/>
          <w:i/>
          <w:sz w:val="22"/>
          <w:szCs w:val="22"/>
        </w:rPr>
      </w:pPr>
    </w:p>
    <w:p w:rsidR="00090548" w:rsidRPr="00012649" w:rsidRDefault="00090548" w:rsidP="00090548">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012649">
        <w:rPr>
          <w:rFonts w:ascii="Palatino Linotype" w:eastAsia="Palatino Linotype" w:hAnsi="Palatino Linotype" w:cs="Palatino Linotype"/>
          <w:color w:val="000000"/>
          <w:sz w:val="22"/>
          <w:szCs w:val="22"/>
        </w:rPr>
        <w:t>Se hace constar que se señaló como modalidad de entrega de la información a través de la Plataforma Nacional de Transparencia, misma que se encuentra vinculada al Sistema de Acceso a la Información Mexiquense (SAIMEX).</w:t>
      </w:r>
      <w:r w:rsidRPr="00012649">
        <w:rPr>
          <w:rFonts w:ascii="Palatino Linotype" w:eastAsia="Palatino Linotype" w:hAnsi="Palatino Linotype" w:cs="Palatino Linotype"/>
          <w:b/>
          <w:color w:val="000000"/>
          <w:sz w:val="22"/>
          <w:szCs w:val="22"/>
        </w:rPr>
        <w:t xml:space="preserve">  </w:t>
      </w:r>
    </w:p>
    <w:p w:rsidR="00090548" w:rsidRPr="00012649" w:rsidRDefault="00090548" w:rsidP="00090548">
      <w:pPr>
        <w:pBdr>
          <w:top w:val="nil"/>
          <w:left w:val="nil"/>
          <w:bottom w:val="nil"/>
          <w:right w:val="nil"/>
          <w:between w:val="nil"/>
        </w:pBdr>
        <w:spacing w:line="360" w:lineRule="auto"/>
        <w:jc w:val="both"/>
        <w:rPr>
          <w:rFonts w:ascii="Palatino Linotype" w:hAnsi="Palatino Linotype"/>
          <w:color w:val="000000"/>
          <w:sz w:val="22"/>
          <w:szCs w:val="22"/>
        </w:rPr>
      </w:pPr>
    </w:p>
    <w:p w:rsidR="00090548" w:rsidRPr="00012649" w:rsidRDefault="00090548" w:rsidP="00090548">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012649">
        <w:rPr>
          <w:rFonts w:ascii="Palatino Linotype" w:eastAsia="Palatino Linotype" w:hAnsi="Palatino Linotype" w:cs="Palatino Linotype"/>
          <w:color w:val="000000"/>
          <w:sz w:val="22"/>
          <w:szCs w:val="22"/>
        </w:rPr>
        <w:t>El</w:t>
      </w:r>
      <w:r w:rsidRPr="00012649">
        <w:rPr>
          <w:rFonts w:ascii="Palatino Linotype" w:eastAsia="Palatino Linotype" w:hAnsi="Palatino Linotype" w:cs="Palatino Linotype"/>
          <w:b/>
          <w:color w:val="000000"/>
          <w:sz w:val="22"/>
          <w:szCs w:val="22"/>
        </w:rPr>
        <w:t xml:space="preserve"> veinte de febrero de dos mil veinticuatro, </w:t>
      </w:r>
      <w:r w:rsidRPr="00012649">
        <w:rPr>
          <w:rFonts w:ascii="Palatino Linotype" w:eastAsia="Palatino Linotype" w:hAnsi="Palatino Linotype" w:cs="Palatino Linotype"/>
          <w:color w:val="000000"/>
          <w:sz w:val="22"/>
          <w:szCs w:val="22"/>
        </w:rPr>
        <w:t>se realizó un requerimiento de información al servidor público habilitado.</w:t>
      </w:r>
      <w:r w:rsidRPr="00012649">
        <w:rPr>
          <w:rFonts w:ascii="Palatino Linotype" w:eastAsia="Palatino Linotype" w:hAnsi="Palatino Linotype" w:cs="Palatino Linotype"/>
          <w:b/>
          <w:color w:val="000000"/>
          <w:sz w:val="22"/>
          <w:szCs w:val="22"/>
        </w:rPr>
        <w:t xml:space="preserve"> </w:t>
      </w:r>
    </w:p>
    <w:p w:rsidR="00090548" w:rsidRPr="00012649" w:rsidRDefault="00090548" w:rsidP="00090548">
      <w:pPr>
        <w:pBdr>
          <w:top w:val="nil"/>
          <w:left w:val="nil"/>
          <w:bottom w:val="nil"/>
          <w:right w:val="nil"/>
          <w:between w:val="nil"/>
        </w:pBdr>
        <w:rPr>
          <w:rFonts w:ascii="Palatino Linotype" w:eastAsia="Palatino Linotype" w:hAnsi="Palatino Linotype" w:cs="Palatino Linotype"/>
          <w:color w:val="000000"/>
          <w:sz w:val="22"/>
          <w:szCs w:val="22"/>
        </w:rPr>
      </w:pPr>
    </w:p>
    <w:p w:rsidR="00090548" w:rsidRPr="00012649" w:rsidRDefault="00090548" w:rsidP="00090548">
      <w:pPr>
        <w:numPr>
          <w:ilvl w:val="0"/>
          <w:numId w:val="2"/>
        </w:numPr>
        <w:tabs>
          <w:tab w:val="left" w:pos="0"/>
        </w:tabs>
        <w:spacing w:line="360" w:lineRule="auto"/>
        <w:ind w:left="0" w:firstLine="0"/>
        <w:jc w:val="both"/>
        <w:rPr>
          <w:rFonts w:ascii="Palatino Linotype" w:eastAsia="Palatino Linotype" w:hAnsi="Palatino Linotype" w:cs="Palatino Linotype"/>
          <w:b/>
          <w:sz w:val="22"/>
          <w:szCs w:val="22"/>
        </w:rPr>
      </w:pPr>
      <w:bookmarkStart w:id="1" w:name="_heading=h.30j0zll" w:colFirst="0" w:colLast="0"/>
      <w:bookmarkEnd w:id="1"/>
      <w:r w:rsidRPr="00012649">
        <w:rPr>
          <w:rFonts w:ascii="Palatino Linotype" w:eastAsia="Palatino Linotype" w:hAnsi="Palatino Linotype" w:cs="Palatino Linotype"/>
          <w:sz w:val="22"/>
          <w:szCs w:val="22"/>
        </w:rPr>
        <w:t xml:space="preserve">El </w:t>
      </w:r>
      <w:r w:rsidRPr="00012649">
        <w:rPr>
          <w:rFonts w:ascii="Palatino Linotype" w:eastAsia="Palatino Linotype" w:hAnsi="Palatino Linotype" w:cs="Palatino Linotype"/>
          <w:b/>
          <w:sz w:val="22"/>
          <w:szCs w:val="22"/>
        </w:rPr>
        <w:t>veintitrés de febrero de dos mil veinticuatro</w:t>
      </w:r>
      <w:r w:rsidRPr="00012649">
        <w:rPr>
          <w:rFonts w:ascii="Palatino Linotype" w:eastAsia="Palatino Linotype" w:hAnsi="Palatino Linotype" w:cs="Palatino Linotype"/>
          <w:sz w:val="22"/>
          <w:szCs w:val="22"/>
        </w:rPr>
        <w:t xml:space="preserve">, el </w:t>
      </w:r>
      <w:r w:rsidRPr="00012649">
        <w:rPr>
          <w:rFonts w:ascii="Palatino Linotype" w:eastAsia="Palatino Linotype" w:hAnsi="Palatino Linotype" w:cs="Palatino Linotype"/>
          <w:b/>
          <w:sz w:val="22"/>
          <w:szCs w:val="22"/>
        </w:rPr>
        <w:t xml:space="preserve">SUJETO OBLIGADO </w:t>
      </w:r>
      <w:r w:rsidRPr="00012649">
        <w:rPr>
          <w:rFonts w:ascii="Palatino Linotype" w:eastAsia="Palatino Linotype" w:hAnsi="Palatino Linotype" w:cs="Palatino Linotype"/>
          <w:sz w:val="22"/>
          <w:szCs w:val="22"/>
        </w:rPr>
        <w:t>dio respuesta a la solicitud en el siguiente sentido:</w:t>
      </w:r>
    </w:p>
    <w:p w:rsidR="00090548" w:rsidRPr="00012649" w:rsidRDefault="00090548" w:rsidP="00090548">
      <w:pPr>
        <w:pStyle w:val="Prrafodelista"/>
        <w:rPr>
          <w:rFonts w:ascii="Palatino Linotype" w:eastAsia="Palatino Linotype" w:hAnsi="Palatino Linotype" w:cs="Palatino Linotype"/>
          <w:b/>
          <w:szCs w:val="22"/>
        </w:rPr>
      </w:pPr>
    </w:p>
    <w:p w:rsidR="00090548" w:rsidRPr="00012649" w:rsidRDefault="00090548" w:rsidP="00090548">
      <w:pPr>
        <w:tabs>
          <w:tab w:val="left" w:pos="0"/>
        </w:tabs>
        <w:spacing w:line="360" w:lineRule="auto"/>
        <w:jc w:val="both"/>
        <w:rPr>
          <w:rFonts w:ascii="Palatino Linotype" w:eastAsia="Palatino Linotype" w:hAnsi="Palatino Linotype" w:cs="Palatino Linotype"/>
          <w:b/>
          <w:sz w:val="22"/>
          <w:szCs w:val="22"/>
        </w:rPr>
      </w:pPr>
    </w:p>
    <w:tbl>
      <w:tblPr>
        <w:tblW w:w="7616" w:type="dxa"/>
        <w:jc w:val="center"/>
        <w:tblCellSpacing w:w="0" w:type="dxa"/>
        <w:tblCellMar>
          <w:left w:w="0" w:type="dxa"/>
          <w:right w:w="0" w:type="dxa"/>
        </w:tblCellMar>
        <w:tblLook w:val="04A0" w:firstRow="1" w:lastRow="0" w:firstColumn="1" w:lastColumn="0" w:noHBand="0" w:noVBand="1"/>
      </w:tblPr>
      <w:tblGrid>
        <w:gridCol w:w="7616"/>
      </w:tblGrid>
      <w:tr w:rsidR="00090548" w:rsidRPr="00012649" w:rsidTr="00090548">
        <w:trPr>
          <w:trHeight w:val="302"/>
          <w:tblCellSpacing w:w="0" w:type="dxa"/>
          <w:jc w:val="center"/>
        </w:trPr>
        <w:tc>
          <w:tcPr>
            <w:tcW w:w="0" w:type="auto"/>
            <w:vAlign w:val="center"/>
            <w:hideMark/>
          </w:tcPr>
          <w:p w:rsidR="00090548" w:rsidRPr="00012649" w:rsidRDefault="00090548" w:rsidP="00090548">
            <w:pPr>
              <w:jc w:val="right"/>
              <w:rPr>
                <w:rFonts w:ascii="Palatino Linotype" w:hAnsi="Palatino Linotype"/>
                <w:i/>
                <w:sz w:val="22"/>
              </w:rPr>
            </w:pPr>
            <w:r w:rsidRPr="00012649">
              <w:rPr>
                <w:rFonts w:ascii="Palatino Linotype" w:hAnsi="Palatino Linotype"/>
                <w:i/>
                <w:sz w:val="22"/>
                <w:szCs w:val="18"/>
              </w:rPr>
              <w:t>“Huehuetoca, México a 23 de Febrero de 2024</w:t>
            </w:r>
          </w:p>
        </w:tc>
      </w:tr>
      <w:tr w:rsidR="00090548" w:rsidRPr="00012649" w:rsidTr="00090548">
        <w:trPr>
          <w:trHeight w:val="302"/>
          <w:tblCellSpacing w:w="0" w:type="dxa"/>
          <w:jc w:val="center"/>
        </w:trPr>
        <w:tc>
          <w:tcPr>
            <w:tcW w:w="0" w:type="auto"/>
            <w:vAlign w:val="center"/>
            <w:hideMark/>
          </w:tcPr>
          <w:p w:rsidR="00090548" w:rsidRPr="00012649" w:rsidRDefault="00090548" w:rsidP="00090548">
            <w:pPr>
              <w:jc w:val="right"/>
              <w:rPr>
                <w:rFonts w:ascii="Palatino Linotype" w:hAnsi="Palatino Linotype"/>
                <w:i/>
                <w:sz w:val="22"/>
              </w:rPr>
            </w:pPr>
            <w:r w:rsidRPr="00012649">
              <w:rPr>
                <w:rFonts w:ascii="Palatino Linotype" w:hAnsi="Palatino Linotype"/>
                <w:i/>
                <w:sz w:val="22"/>
                <w:szCs w:val="18"/>
              </w:rPr>
              <w:t>Nombre del solicitante:</w:t>
            </w:r>
          </w:p>
        </w:tc>
      </w:tr>
      <w:tr w:rsidR="00090548" w:rsidRPr="00012649" w:rsidTr="00090548">
        <w:trPr>
          <w:trHeight w:val="302"/>
          <w:tblCellSpacing w:w="0" w:type="dxa"/>
          <w:jc w:val="center"/>
        </w:trPr>
        <w:tc>
          <w:tcPr>
            <w:tcW w:w="0" w:type="auto"/>
            <w:vAlign w:val="center"/>
            <w:hideMark/>
          </w:tcPr>
          <w:p w:rsidR="00090548" w:rsidRPr="00012649" w:rsidRDefault="00090548" w:rsidP="00090548">
            <w:pPr>
              <w:jc w:val="right"/>
              <w:rPr>
                <w:rFonts w:ascii="Palatino Linotype" w:hAnsi="Palatino Linotype"/>
                <w:i/>
                <w:sz w:val="22"/>
              </w:rPr>
            </w:pPr>
            <w:r w:rsidRPr="00012649">
              <w:rPr>
                <w:rFonts w:ascii="Palatino Linotype" w:hAnsi="Palatino Linotype"/>
                <w:i/>
                <w:sz w:val="22"/>
                <w:szCs w:val="18"/>
              </w:rPr>
              <w:t>Folio de la solicitud: 00152/HUEHUETO/IP/2024</w:t>
            </w:r>
          </w:p>
        </w:tc>
      </w:tr>
      <w:tr w:rsidR="00090548" w:rsidRPr="00012649" w:rsidTr="00090548">
        <w:trPr>
          <w:trHeight w:val="453"/>
          <w:tblCellSpacing w:w="0" w:type="dxa"/>
          <w:jc w:val="center"/>
        </w:trPr>
        <w:tc>
          <w:tcPr>
            <w:tcW w:w="0" w:type="auto"/>
            <w:vAlign w:val="center"/>
            <w:hideMark/>
          </w:tcPr>
          <w:p w:rsidR="00090548" w:rsidRPr="00012649" w:rsidRDefault="00090548" w:rsidP="00090548">
            <w:pPr>
              <w:jc w:val="right"/>
              <w:rPr>
                <w:rFonts w:ascii="Palatino Linotype" w:hAnsi="Palatino Linotype"/>
                <w:i/>
                <w:sz w:val="22"/>
              </w:rPr>
            </w:pPr>
          </w:p>
        </w:tc>
      </w:tr>
      <w:tr w:rsidR="00090548" w:rsidRPr="00012649" w:rsidTr="00090548">
        <w:trPr>
          <w:trHeight w:val="151"/>
          <w:tblCellSpacing w:w="0" w:type="dxa"/>
          <w:jc w:val="center"/>
        </w:trPr>
        <w:tc>
          <w:tcPr>
            <w:tcW w:w="0" w:type="auto"/>
            <w:vAlign w:val="center"/>
            <w:hideMark/>
          </w:tcPr>
          <w:p w:rsidR="00090548" w:rsidRPr="00012649" w:rsidRDefault="00090548" w:rsidP="00090548">
            <w:pPr>
              <w:rPr>
                <w:rFonts w:ascii="Palatino Linotype" w:hAnsi="Palatino Linotype"/>
                <w:i/>
                <w:sz w:val="22"/>
              </w:rPr>
            </w:pPr>
            <w:r w:rsidRPr="00012649">
              <w:rPr>
                <w:rFonts w:ascii="Palatino Linotype" w:hAnsi="Palatino Linotype"/>
                <w:i/>
                <w:sz w:val="22"/>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090548" w:rsidRPr="00012649" w:rsidTr="00090548">
        <w:trPr>
          <w:trHeight w:val="378"/>
          <w:tblCellSpacing w:w="0" w:type="dxa"/>
          <w:jc w:val="center"/>
        </w:trPr>
        <w:tc>
          <w:tcPr>
            <w:tcW w:w="0" w:type="auto"/>
            <w:vAlign w:val="center"/>
            <w:hideMark/>
          </w:tcPr>
          <w:p w:rsidR="00090548" w:rsidRPr="00012649" w:rsidRDefault="00090548" w:rsidP="00090548">
            <w:pPr>
              <w:rPr>
                <w:rFonts w:ascii="Palatino Linotype" w:hAnsi="Palatino Linotype"/>
                <w:i/>
                <w:sz w:val="22"/>
              </w:rPr>
            </w:pPr>
          </w:p>
        </w:tc>
      </w:tr>
      <w:tr w:rsidR="00090548" w:rsidRPr="00012649" w:rsidTr="00090548">
        <w:trPr>
          <w:trHeight w:val="151"/>
          <w:tblCellSpacing w:w="0" w:type="dxa"/>
          <w:jc w:val="center"/>
        </w:trPr>
        <w:tc>
          <w:tcPr>
            <w:tcW w:w="0" w:type="auto"/>
            <w:vAlign w:val="center"/>
            <w:hideMark/>
          </w:tcPr>
          <w:p w:rsidR="00090548" w:rsidRPr="00012649" w:rsidRDefault="00090548" w:rsidP="00090548">
            <w:pPr>
              <w:rPr>
                <w:rFonts w:ascii="Palatino Linotype" w:hAnsi="Palatino Linotype"/>
                <w:i/>
                <w:sz w:val="22"/>
              </w:rPr>
            </w:pPr>
            <w:r w:rsidRPr="00012649">
              <w:rPr>
                <w:rFonts w:ascii="Palatino Linotype" w:hAnsi="Palatino Linotype"/>
                <w:i/>
                <w:sz w:val="22"/>
                <w:szCs w:val="18"/>
              </w:rPr>
              <w:t>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a su solicitud de acceso a la información por parte del Servidor Público Habilitado competente.</w:t>
            </w:r>
          </w:p>
        </w:tc>
      </w:tr>
      <w:tr w:rsidR="00090548" w:rsidRPr="00012649" w:rsidTr="00090548">
        <w:trPr>
          <w:trHeight w:val="378"/>
          <w:tblCellSpacing w:w="0" w:type="dxa"/>
          <w:jc w:val="center"/>
        </w:trPr>
        <w:tc>
          <w:tcPr>
            <w:tcW w:w="0" w:type="auto"/>
            <w:vAlign w:val="center"/>
            <w:hideMark/>
          </w:tcPr>
          <w:p w:rsidR="00090548" w:rsidRPr="00012649" w:rsidRDefault="00090548" w:rsidP="00090548">
            <w:pPr>
              <w:rPr>
                <w:rFonts w:ascii="Palatino Linotype" w:hAnsi="Palatino Linotype"/>
                <w:i/>
                <w:sz w:val="22"/>
              </w:rPr>
            </w:pPr>
          </w:p>
        </w:tc>
      </w:tr>
      <w:tr w:rsidR="00090548" w:rsidRPr="00012649" w:rsidTr="00090548">
        <w:trPr>
          <w:trHeight w:val="151"/>
          <w:tblCellSpacing w:w="0" w:type="dxa"/>
          <w:jc w:val="center"/>
        </w:trPr>
        <w:tc>
          <w:tcPr>
            <w:tcW w:w="0" w:type="auto"/>
            <w:vAlign w:val="center"/>
            <w:hideMark/>
          </w:tcPr>
          <w:p w:rsidR="00090548" w:rsidRPr="00012649" w:rsidRDefault="00090548" w:rsidP="00090548">
            <w:pPr>
              <w:jc w:val="center"/>
              <w:rPr>
                <w:rFonts w:ascii="Palatino Linotype" w:hAnsi="Palatino Linotype"/>
                <w:i/>
                <w:sz w:val="22"/>
                <w:szCs w:val="20"/>
              </w:rPr>
            </w:pPr>
          </w:p>
        </w:tc>
      </w:tr>
      <w:tr w:rsidR="00090548" w:rsidRPr="00012649" w:rsidTr="00090548">
        <w:trPr>
          <w:trHeight w:val="151"/>
          <w:tblCellSpacing w:w="0" w:type="dxa"/>
          <w:jc w:val="center"/>
        </w:trPr>
        <w:tc>
          <w:tcPr>
            <w:tcW w:w="0" w:type="auto"/>
            <w:vAlign w:val="center"/>
            <w:hideMark/>
          </w:tcPr>
          <w:p w:rsidR="00090548" w:rsidRPr="00012649" w:rsidRDefault="00090548" w:rsidP="00090548">
            <w:pPr>
              <w:rPr>
                <w:rFonts w:ascii="Palatino Linotype" w:hAnsi="Palatino Linotype"/>
                <w:i/>
                <w:sz w:val="22"/>
                <w:szCs w:val="20"/>
              </w:rPr>
            </w:pPr>
          </w:p>
        </w:tc>
      </w:tr>
      <w:tr w:rsidR="00090548" w:rsidRPr="00012649" w:rsidTr="00090548">
        <w:trPr>
          <w:trHeight w:val="151"/>
          <w:tblCellSpacing w:w="0" w:type="dxa"/>
          <w:jc w:val="center"/>
        </w:trPr>
        <w:tc>
          <w:tcPr>
            <w:tcW w:w="0" w:type="auto"/>
            <w:vAlign w:val="center"/>
            <w:hideMark/>
          </w:tcPr>
          <w:p w:rsidR="00090548" w:rsidRPr="00012649" w:rsidRDefault="00090548" w:rsidP="00090548">
            <w:pPr>
              <w:rPr>
                <w:rFonts w:ascii="Palatino Linotype" w:hAnsi="Palatino Linotype"/>
                <w:i/>
                <w:sz w:val="22"/>
              </w:rPr>
            </w:pPr>
            <w:r w:rsidRPr="00012649">
              <w:rPr>
                <w:rFonts w:ascii="Palatino Linotype" w:hAnsi="Palatino Linotype"/>
                <w:i/>
                <w:sz w:val="22"/>
                <w:szCs w:val="18"/>
              </w:rPr>
              <w:t>ATENTAMENTE</w:t>
            </w:r>
          </w:p>
        </w:tc>
      </w:tr>
      <w:tr w:rsidR="00090548" w:rsidRPr="00012649" w:rsidTr="00090548">
        <w:trPr>
          <w:trHeight w:val="226"/>
          <w:tblCellSpacing w:w="0" w:type="dxa"/>
          <w:jc w:val="center"/>
        </w:trPr>
        <w:tc>
          <w:tcPr>
            <w:tcW w:w="0" w:type="auto"/>
            <w:vAlign w:val="center"/>
            <w:hideMark/>
          </w:tcPr>
          <w:p w:rsidR="00090548" w:rsidRPr="00012649" w:rsidRDefault="00090548" w:rsidP="00090548">
            <w:pPr>
              <w:rPr>
                <w:rFonts w:ascii="Palatino Linotype" w:hAnsi="Palatino Linotype"/>
                <w:i/>
                <w:sz w:val="22"/>
              </w:rPr>
            </w:pPr>
          </w:p>
        </w:tc>
      </w:tr>
      <w:tr w:rsidR="00090548" w:rsidRPr="00012649" w:rsidTr="00090548">
        <w:trPr>
          <w:trHeight w:val="151"/>
          <w:tblCellSpacing w:w="0" w:type="dxa"/>
          <w:jc w:val="center"/>
        </w:trPr>
        <w:tc>
          <w:tcPr>
            <w:tcW w:w="0" w:type="auto"/>
            <w:vAlign w:val="center"/>
            <w:hideMark/>
          </w:tcPr>
          <w:p w:rsidR="00090548" w:rsidRPr="00012649" w:rsidRDefault="00090548" w:rsidP="00090548">
            <w:pPr>
              <w:rPr>
                <w:rFonts w:ascii="Palatino Linotype" w:hAnsi="Palatino Linotype"/>
                <w:i/>
                <w:sz w:val="22"/>
              </w:rPr>
            </w:pPr>
            <w:r w:rsidRPr="00012649">
              <w:rPr>
                <w:rFonts w:ascii="Palatino Linotype" w:hAnsi="Palatino Linotype"/>
                <w:i/>
                <w:sz w:val="22"/>
                <w:szCs w:val="18"/>
              </w:rPr>
              <w:t>C. CARLOS ALBERTO BRITO ESPINOSA”</w:t>
            </w:r>
          </w:p>
        </w:tc>
      </w:tr>
    </w:tbl>
    <w:p w:rsidR="00090548" w:rsidRPr="00012649" w:rsidRDefault="00090548" w:rsidP="00090548">
      <w:pPr>
        <w:tabs>
          <w:tab w:val="left" w:pos="0"/>
        </w:tabs>
        <w:spacing w:line="360" w:lineRule="auto"/>
        <w:jc w:val="both"/>
        <w:rPr>
          <w:rFonts w:ascii="Palatino Linotype" w:eastAsia="Palatino Linotype" w:hAnsi="Palatino Linotype" w:cs="Palatino Linotype"/>
          <w:b/>
          <w:sz w:val="22"/>
          <w:szCs w:val="22"/>
        </w:rPr>
      </w:pPr>
    </w:p>
    <w:p w:rsidR="00090548" w:rsidRPr="00012649" w:rsidRDefault="00090548" w:rsidP="00090548">
      <w:pPr>
        <w:tabs>
          <w:tab w:val="left" w:pos="0"/>
        </w:tabs>
        <w:spacing w:line="360" w:lineRule="auto"/>
        <w:rPr>
          <w:rFonts w:ascii="Palatino Linotype" w:eastAsia="Palatino Linotype" w:hAnsi="Palatino Linotype" w:cs="Palatino Linotype"/>
          <w:sz w:val="22"/>
          <w:szCs w:val="22"/>
        </w:rPr>
      </w:pPr>
      <w:r w:rsidRPr="00012649">
        <w:rPr>
          <w:rFonts w:ascii="Palatino Linotype" w:eastAsia="Palatino Linotype" w:hAnsi="Palatino Linotype" w:cs="Palatino Linotype"/>
          <w:sz w:val="22"/>
          <w:szCs w:val="22"/>
        </w:rPr>
        <w:t xml:space="preserve">A la respuesta se adjuntó el archivo electrónico denominado </w:t>
      </w:r>
      <w:r w:rsidR="003F2031" w:rsidRPr="00012649">
        <w:rPr>
          <w:rFonts w:ascii="Palatino Linotype" w:eastAsia="Palatino Linotype" w:hAnsi="Palatino Linotype" w:cs="Palatino Linotype"/>
          <w:b/>
          <w:sz w:val="22"/>
          <w:szCs w:val="22"/>
        </w:rPr>
        <w:t>00152HUEHUETOIO2024.pdf</w:t>
      </w:r>
      <w:r w:rsidR="003F2031" w:rsidRPr="00012649">
        <w:rPr>
          <w:rFonts w:ascii="Palatino Linotype" w:eastAsia="Palatino Linotype" w:hAnsi="Palatino Linotype" w:cs="Palatino Linotype"/>
          <w:sz w:val="22"/>
          <w:szCs w:val="22"/>
        </w:rPr>
        <w:t xml:space="preserve">, en el que se encuentra el oficio número PMH/DDE/---/2024, de fecha veintidós de febrero de dos mil veinticuatro, suscrito por la Directora de Desarrollo </w:t>
      </w:r>
      <w:r w:rsidR="00206DEE" w:rsidRPr="00012649">
        <w:rPr>
          <w:rFonts w:ascii="Palatino Linotype" w:eastAsia="Palatino Linotype" w:hAnsi="Palatino Linotype" w:cs="Palatino Linotype"/>
          <w:sz w:val="22"/>
          <w:szCs w:val="22"/>
        </w:rPr>
        <w:t>Económico</w:t>
      </w:r>
      <w:r w:rsidR="003F2031" w:rsidRPr="00012649">
        <w:rPr>
          <w:rFonts w:ascii="Palatino Linotype" w:eastAsia="Palatino Linotype" w:hAnsi="Palatino Linotype" w:cs="Palatino Linotype"/>
          <w:sz w:val="22"/>
          <w:szCs w:val="22"/>
        </w:rPr>
        <w:t xml:space="preserve">, en el que señaló que derivado de una búsqueda en las bases de datos, no se encontró ningún documento o información relacionada con la solicitud de información. </w:t>
      </w:r>
    </w:p>
    <w:p w:rsidR="00090548" w:rsidRPr="00012649" w:rsidRDefault="00090548" w:rsidP="00090548">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color w:val="000000"/>
          <w:sz w:val="22"/>
          <w:szCs w:val="22"/>
        </w:rPr>
      </w:pPr>
      <w:r w:rsidRPr="00012649">
        <w:rPr>
          <w:rFonts w:ascii="Palatino Linotype" w:eastAsia="Palatino Linotype" w:hAnsi="Palatino Linotype" w:cs="Palatino Linotype"/>
          <w:color w:val="000000"/>
          <w:sz w:val="22"/>
          <w:szCs w:val="22"/>
        </w:rPr>
        <w:lastRenderedPageBreak/>
        <w:t xml:space="preserve">El </w:t>
      </w:r>
      <w:r w:rsidR="003F2031" w:rsidRPr="00012649">
        <w:rPr>
          <w:rFonts w:ascii="Palatino Linotype" w:eastAsia="Palatino Linotype" w:hAnsi="Palatino Linotype" w:cs="Palatino Linotype"/>
          <w:b/>
          <w:color w:val="000000"/>
          <w:sz w:val="22"/>
          <w:szCs w:val="22"/>
        </w:rPr>
        <w:t>siete</w:t>
      </w:r>
      <w:r w:rsidRPr="00012649">
        <w:rPr>
          <w:rFonts w:ascii="Palatino Linotype" w:eastAsia="Palatino Linotype" w:hAnsi="Palatino Linotype" w:cs="Palatino Linotype"/>
          <w:b/>
          <w:color w:val="000000"/>
          <w:sz w:val="22"/>
          <w:szCs w:val="22"/>
        </w:rPr>
        <w:t xml:space="preserve"> de marzo de dos mil veinticuatro,</w:t>
      </w:r>
      <w:r w:rsidRPr="00012649">
        <w:rPr>
          <w:rFonts w:ascii="Palatino Linotype" w:eastAsia="Palatino Linotype" w:hAnsi="Palatino Linotype" w:cs="Palatino Linotype"/>
          <w:color w:val="000000"/>
          <w:sz w:val="22"/>
          <w:szCs w:val="22"/>
        </w:rPr>
        <w:t xml:space="preserve"> </w:t>
      </w:r>
      <w:r w:rsidRPr="00012649">
        <w:rPr>
          <w:rFonts w:ascii="Palatino Linotype" w:eastAsia="Palatino Linotype" w:hAnsi="Palatino Linotype" w:cs="Palatino Linotype"/>
          <w:b/>
          <w:color w:val="000000"/>
          <w:sz w:val="22"/>
          <w:szCs w:val="22"/>
        </w:rPr>
        <w:t xml:space="preserve"> </w:t>
      </w:r>
      <w:r w:rsidRPr="00012649">
        <w:rPr>
          <w:rFonts w:ascii="Palatino Linotype" w:eastAsia="Palatino Linotype" w:hAnsi="Palatino Linotype" w:cs="Palatino Linotype"/>
          <w:color w:val="000000"/>
          <w:sz w:val="22"/>
          <w:szCs w:val="22"/>
        </w:rPr>
        <w:t>el solicitante interpuso el recurso de revisión, señalando como:</w:t>
      </w:r>
    </w:p>
    <w:p w:rsidR="00090548" w:rsidRPr="00012649" w:rsidRDefault="00090548" w:rsidP="00090548">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sz w:val="22"/>
          <w:szCs w:val="22"/>
        </w:rPr>
      </w:pPr>
    </w:p>
    <w:p w:rsidR="00090548" w:rsidRPr="00012649" w:rsidRDefault="00090548" w:rsidP="00090548">
      <w:pPr>
        <w:tabs>
          <w:tab w:val="left" w:pos="851"/>
          <w:tab w:val="left" w:pos="8222"/>
        </w:tabs>
        <w:spacing w:line="360" w:lineRule="auto"/>
        <w:ind w:left="851" w:right="822"/>
        <w:jc w:val="both"/>
        <w:rPr>
          <w:rFonts w:ascii="Palatino Linotype" w:eastAsia="Palatino Linotype" w:hAnsi="Palatino Linotype" w:cs="Palatino Linotype"/>
          <w:i/>
          <w:sz w:val="22"/>
          <w:szCs w:val="22"/>
        </w:rPr>
      </w:pPr>
      <w:r w:rsidRPr="00012649">
        <w:rPr>
          <w:rFonts w:ascii="Palatino Linotype" w:eastAsia="Palatino Linotype" w:hAnsi="Palatino Linotype" w:cs="Palatino Linotype"/>
          <w:b/>
          <w:sz w:val="22"/>
          <w:szCs w:val="22"/>
        </w:rPr>
        <w:t>Acto impugnado:</w:t>
      </w:r>
      <w:r w:rsidRPr="00012649">
        <w:rPr>
          <w:rFonts w:ascii="Palatino Linotype" w:eastAsia="Palatino Linotype" w:hAnsi="Palatino Linotype" w:cs="Palatino Linotype"/>
          <w:i/>
          <w:sz w:val="22"/>
          <w:szCs w:val="22"/>
        </w:rPr>
        <w:t xml:space="preserve"> </w:t>
      </w:r>
      <w:r w:rsidRPr="00012649">
        <w:rPr>
          <w:rFonts w:ascii="Palatino Linotype" w:eastAsia="Palatino Linotype" w:hAnsi="Palatino Linotype" w:cs="Palatino Linotype"/>
          <w:sz w:val="22"/>
          <w:szCs w:val="22"/>
        </w:rPr>
        <w:t>“</w:t>
      </w:r>
      <w:r w:rsidR="003F2031" w:rsidRPr="00012649">
        <w:rPr>
          <w:rFonts w:ascii="Palatino Linotype" w:eastAsia="Palatino Linotype" w:hAnsi="Palatino Linotype" w:cs="Palatino Linotype"/>
          <w:i/>
          <w:color w:val="000000"/>
          <w:sz w:val="22"/>
          <w:szCs w:val="22"/>
        </w:rPr>
        <w:t xml:space="preserve">Por este medio interpongo en tiempo y forma la queja a la respuesta emitida por el sujeto obligado por las siguientes consideraciones: a) Solicité toda la documentación pública relativa a las todas las estaciones de carburación que están proceso de apertura, que ya operan y que se encuentren sin operar en el municipio. b) La respuesta emitida por la Dirección de Desarrollo Económico refiere que no se encontró ningún documento o información relacionada con la solicitud de mérito. Expuesto lo anterior y de conformidad con el bando municipal, las unidades económicas deben contar con una licencia de funcionamiento, tal es el caso de las estaciones de carburación que operan en el municipio, lo anterior se acredita con los siguientes hipervínculos, en lo que se aprecia la existencia y operación de estaciones de </w:t>
      </w:r>
      <w:proofErr w:type="spellStart"/>
      <w:r w:rsidR="003F2031" w:rsidRPr="00012649">
        <w:rPr>
          <w:rFonts w:ascii="Palatino Linotype" w:eastAsia="Palatino Linotype" w:hAnsi="Palatino Linotype" w:cs="Palatino Linotype"/>
          <w:i/>
          <w:color w:val="000000"/>
          <w:sz w:val="22"/>
          <w:szCs w:val="22"/>
        </w:rPr>
        <w:t>carbururación</w:t>
      </w:r>
      <w:proofErr w:type="spellEnd"/>
      <w:r w:rsidR="003F2031" w:rsidRPr="00012649">
        <w:rPr>
          <w:rFonts w:ascii="Palatino Linotype" w:eastAsia="Palatino Linotype" w:hAnsi="Palatino Linotype" w:cs="Palatino Linotype"/>
          <w:i/>
          <w:color w:val="000000"/>
          <w:sz w:val="22"/>
          <w:szCs w:val="22"/>
        </w:rPr>
        <w:t xml:space="preserve">: 1. </w:t>
      </w:r>
      <w:hyperlink r:id="rId8" w:history="1">
        <w:r w:rsidR="00247825" w:rsidRPr="00012649">
          <w:rPr>
            <w:rStyle w:val="Hipervnculo"/>
            <w:rFonts w:ascii="Palatino Linotype" w:eastAsia="Palatino Linotype" w:hAnsi="Palatino Linotype" w:cs="Palatino Linotype"/>
            <w:i/>
            <w:sz w:val="22"/>
            <w:szCs w:val="22"/>
          </w:rPr>
          <w:t>https://www.google.com.mx/maps/@19.8274602,-99.1976293,3a,90y,208.96h,94.36t/data=!3m6!1e1!3m4!1srhQh8khtEomamsDD0Ej9Ng!2e0!7i16384!8i8192?entry=ttu</w:t>
        </w:r>
      </w:hyperlink>
      <w:r w:rsidR="00247825" w:rsidRPr="00012649">
        <w:rPr>
          <w:rFonts w:ascii="Palatino Linotype" w:eastAsia="Palatino Linotype" w:hAnsi="Palatino Linotype" w:cs="Palatino Linotype"/>
          <w:i/>
          <w:color w:val="000000"/>
          <w:sz w:val="22"/>
          <w:szCs w:val="22"/>
        </w:rPr>
        <w:t xml:space="preserve"> </w:t>
      </w:r>
      <w:r w:rsidR="003F2031" w:rsidRPr="00012649">
        <w:rPr>
          <w:rFonts w:ascii="Palatino Linotype" w:eastAsia="Palatino Linotype" w:hAnsi="Palatino Linotype" w:cs="Palatino Linotype"/>
          <w:i/>
          <w:color w:val="000000"/>
          <w:sz w:val="22"/>
          <w:szCs w:val="22"/>
        </w:rPr>
        <w:t xml:space="preserve"> 2. </w:t>
      </w:r>
      <w:hyperlink r:id="rId9" w:history="1">
        <w:r w:rsidR="00247825" w:rsidRPr="00012649">
          <w:rPr>
            <w:rStyle w:val="Hipervnculo"/>
            <w:rFonts w:ascii="Palatino Linotype" w:eastAsia="Palatino Linotype" w:hAnsi="Palatino Linotype" w:cs="Palatino Linotype"/>
            <w:i/>
            <w:sz w:val="22"/>
            <w:szCs w:val="22"/>
          </w:rPr>
          <w:t>https://www.google.com.mx/maps/@19.8312695,-99.2455637,3a,78.4y,326h,87.36t/data=!3m6!1e1!3m4!1sbGmP0ijTJLjQ3GRIaYmtSw!2e0!7i16384!8i8192?entry=ttu</w:t>
        </w:r>
      </w:hyperlink>
      <w:r w:rsidR="00247825" w:rsidRPr="00012649">
        <w:rPr>
          <w:rFonts w:ascii="Palatino Linotype" w:eastAsia="Palatino Linotype" w:hAnsi="Palatino Linotype" w:cs="Palatino Linotype"/>
          <w:i/>
          <w:color w:val="000000"/>
          <w:sz w:val="22"/>
          <w:szCs w:val="22"/>
        </w:rPr>
        <w:t xml:space="preserve"> </w:t>
      </w:r>
      <w:r w:rsidR="003F2031" w:rsidRPr="00012649">
        <w:rPr>
          <w:rFonts w:ascii="Palatino Linotype" w:eastAsia="Palatino Linotype" w:hAnsi="Palatino Linotype" w:cs="Palatino Linotype"/>
          <w:i/>
          <w:color w:val="000000"/>
          <w:sz w:val="22"/>
          <w:szCs w:val="22"/>
        </w:rPr>
        <w:t xml:space="preserve"> 3. </w:t>
      </w:r>
      <w:hyperlink r:id="rId10" w:history="1">
        <w:r w:rsidR="00247825" w:rsidRPr="00012649">
          <w:rPr>
            <w:rStyle w:val="Hipervnculo"/>
            <w:rFonts w:ascii="Palatino Linotype" w:eastAsia="Palatino Linotype" w:hAnsi="Palatino Linotype" w:cs="Palatino Linotype"/>
            <w:i/>
            <w:sz w:val="22"/>
            <w:szCs w:val="22"/>
          </w:rPr>
          <w:t>https://www.google.com.mx/maps/place/Gas+LP/@19.8333671,-99.2441673,3a,75y,127.95h,92.68t/data=!3m6!1e1!3m4!1sxK2dgm9_jR2qLc7i6wxnLg!2e0!7i16384!8i8192!4m15!1m8!3m7!1s0x85d227455174b6f3:0x10f236a3261b2a61!2sHuehuetoca,+M%C3%A9x.!3b1!8m2!3d19.8277305!4d-99.2037508!16s%2Fm%2F0523ydq!3m5!1s0x85d227223088772f:0xd82ae1821e1ad014!8m2!3d19.8334061!4d-99.2440047!16s%2Fg%2F11r9900pqt?entry=ttu</w:t>
        </w:r>
      </w:hyperlink>
      <w:r w:rsidR="00247825" w:rsidRPr="00012649">
        <w:rPr>
          <w:rFonts w:ascii="Palatino Linotype" w:eastAsia="Palatino Linotype" w:hAnsi="Palatino Linotype" w:cs="Palatino Linotype"/>
          <w:i/>
          <w:color w:val="000000"/>
          <w:sz w:val="22"/>
          <w:szCs w:val="22"/>
        </w:rPr>
        <w:t xml:space="preserve"> </w:t>
      </w:r>
      <w:r w:rsidR="003F2031" w:rsidRPr="00012649">
        <w:rPr>
          <w:rFonts w:ascii="Palatino Linotype" w:eastAsia="Palatino Linotype" w:hAnsi="Palatino Linotype" w:cs="Palatino Linotype"/>
          <w:i/>
          <w:color w:val="000000"/>
          <w:sz w:val="22"/>
          <w:szCs w:val="22"/>
        </w:rPr>
        <w:t xml:space="preserve"> 4. </w:t>
      </w:r>
      <w:hyperlink r:id="rId11" w:history="1">
        <w:r w:rsidR="00247825" w:rsidRPr="00012649">
          <w:rPr>
            <w:rStyle w:val="Hipervnculo"/>
            <w:rFonts w:ascii="Palatino Linotype" w:eastAsia="Palatino Linotype" w:hAnsi="Palatino Linotype" w:cs="Palatino Linotype"/>
            <w:i/>
            <w:sz w:val="22"/>
            <w:szCs w:val="22"/>
          </w:rPr>
          <w:t>https://www.google.com.mx/maps/@19.8421445,-</w:t>
        </w:r>
        <w:r w:rsidR="00247825" w:rsidRPr="00012649">
          <w:rPr>
            <w:rStyle w:val="Hipervnculo"/>
            <w:rFonts w:ascii="Palatino Linotype" w:eastAsia="Palatino Linotype" w:hAnsi="Palatino Linotype" w:cs="Palatino Linotype"/>
            <w:i/>
            <w:sz w:val="22"/>
            <w:szCs w:val="22"/>
          </w:rPr>
          <w:lastRenderedPageBreak/>
          <w:t>99.2287235,3a,75y,67.83h,89.69t/data=!3m6!1e1!3m4!1sH5KdTelspiiQxgh2-KpM-A!2e0!7i16384!8i8192?entry=ttu</w:t>
        </w:r>
      </w:hyperlink>
      <w:r w:rsidR="00247825" w:rsidRPr="00012649">
        <w:rPr>
          <w:rFonts w:ascii="Palatino Linotype" w:eastAsia="Palatino Linotype" w:hAnsi="Palatino Linotype" w:cs="Palatino Linotype"/>
          <w:i/>
          <w:color w:val="000000"/>
          <w:sz w:val="22"/>
          <w:szCs w:val="22"/>
        </w:rPr>
        <w:t xml:space="preserve"> </w:t>
      </w:r>
      <w:bookmarkStart w:id="2" w:name="_GoBack"/>
      <w:r w:rsidR="003F2031" w:rsidRPr="00012649">
        <w:rPr>
          <w:rFonts w:ascii="Palatino Linotype" w:eastAsia="Palatino Linotype" w:hAnsi="Palatino Linotype" w:cs="Palatino Linotype"/>
          <w:i/>
          <w:color w:val="000000"/>
          <w:sz w:val="22"/>
          <w:szCs w:val="22"/>
        </w:rPr>
        <w:t xml:space="preserve">Adicionalmente, la respuesta fue emitida por la Directora de Desarrollo Económico, lo cual no puede considerarse como una respuesta institucional, pues ella responde por lo que hace a la dirección a su cargo. Por lo anterior, solicitó se me tenga por presentado interponiendo la queja a la respuesta emitida por el sujeto obligado y previa substanciación de la misma </w:t>
      </w:r>
      <w:bookmarkEnd w:id="2"/>
      <w:r w:rsidR="003F2031" w:rsidRPr="00012649">
        <w:rPr>
          <w:rFonts w:ascii="Palatino Linotype" w:eastAsia="Palatino Linotype" w:hAnsi="Palatino Linotype" w:cs="Palatino Linotype"/>
          <w:i/>
          <w:color w:val="000000"/>
          <w:sz w:val="22"/>
          <w:szCs w:val="22"/>
        </w:rPr>
        <w:t>emitir la resolución que ordene proporcionarme la información solicitada.</w:t>
      </w:r>
      <w:r w:rsidRPr="00012649">
        <w:rPr>
          <w:rFonts w:ascii="Palatino Linotype" w:eastAsia="Palatino Linotype" w:hAnsi="Palatino Linotype" w:cs="Palatino Linotype"/>
          <w:i/>
          <w:color w:val="000000"/>
          <w:sz w:val="22"/>
          <w:szCs w:val="22"/>
        </w:rPr>
        <w:t>”</w:t>
      </w:r>
      <w:r w:rsidRPr="00012649">
        <w:rPr>
          <w:rFonts w:ascii="Palatino Linotype" w:eastAsia="Palatino Linotype" w:hAnsi="Palatino Linotype" w:cs="Palatino Linotype"/>
          <w:i/>
          <w:sz w:val="22"/>
          <w:szCs w:val="22"/>
        </w:rPr>
        <w:t xml:space="preserve"> (Sic) </w:t>
      </w:r>
    </w:p>
    <w:p w:rsidR="00090548" w:rsidRPr="00012649" w:rsidRDefault="00090548" w:rsidP="00090548">
      <w:pPr>
        <w:tabs>
          <w:tab w:val="left" w:pos="851"/>
          <w:tab w:val="left" w:pos="8222"/>
        </w:tabs>
        <w:spacing w:line="360" w:lineRule="auto"/>
        <w:ind w:left="851" w:right="822"/>
        <w:jc w:val="both"/>
        <w:rPr>
          <w:rFonts w:ascii="Palatino Linotype" w:eastAsia="Palatino Linotype" w:hAnsi="Palatino Linotype" w:cs="Palatino Linotype"/>
          <w:sz w:val="22"/>
          <w:szCs w:val="22"/>
        </w:rPr>
      </w:pPr>
    </w:p>
    <w:p w:rsidR="00090548" w:rsidRPr="00012649" w:rsidRDefault="003F2031" w:rsidP="00090548">
      <w:pPr>
        <w:tabs>
          <w:tab w:val="left" w:pos="851"/>
        </w:tabs>
        <w:spacing w:line="360" w:lineRule="auto"/>
        <w:ind w:left="851" w:right="822"/>
        <w:jc w:val="both"/>
        <w:rPr>
          <w:rFonts w:ascii="Palatino Linotype" w:eastAsia="Palatino Linotype" w:hAnsi="Palatino Linotype" w:cs="Palatino Linotype"/>
          <w:b/>
          <w:sz w:val="22"/>
          <w:szCs w:val="22"/>
        </w:rPr>
      </w:pPr>
      <w:r w:rsidRPr="00012649">
        <w:rPr>
          <w:rFonts w:ascii="Palatino Linotype" w:eastAsia="Palatino Linotype" w:hAnsi="Palatino Linotype" w:cs="Palatino Linotype"/>
          <w:b/>
          <w:sz w:val="22"/>
          <w:szCs w:val="22"/>
        </w:rPr>
        <w:t xml:space="preserve">No señaló </w:t>
      </w:r>
      <w:r w:rsidR="00090548" w:rsidRPr="00012649">
        <w:rPr>
          <w:rFonts w:ascii="Palatino Linotype" w:eastAsia="Palatino Linotype" w:hAnsi="Palatino Linotype" w:cs="Palatino Linotype"/>
          <w:b/>
          <w:sz w:val="22"/>
          <w:szCs w:val="22"/>
        </w:rPr>
        <w:t>Razon</w:t>
      </w:r>
      <w:r w:rsidRPr="00012649">
        <w:rPr>
          <w:rFonts w:ascii="Palatino Linotype" w:eastAsia="Palatino Linotype" w:hAnsi="Palatino Linotype" w:cs="Palatino Linotype"/>
          <w:b/>
          <w:sz w:val="22"/>
          <w:szCs w:val="22"/>
        </w:rPr>
        <w:t>es o Motivos de inconformidad.</w:t>
      </w:r>
    </w:p>
    <w:p w:rsidR="003F2031" w:rsidRPr="00012649" w:rsidRDefault="003F2031" w:rsidP="00090548">
      <w:pPr>
        <w:tabs>
          <w:tab w:val="left" w:pos="851"/>
        </w:tabs>
        <w:spacing w:line="360" w:lineRule="auto"/>
        <w:ind w:left="851" w:right="822"/>
        <w:jc w:val="both"/>
        <w:rPr>
          <w:rFonts w:ascii="Palatino Linotype" w:eastAsia="Palatino Linotype" w:hAnsi="Palatino Linotype" w:cs="Palatino Linotype"/>
          <w:sz w:val="22"/>
          <w:szCs w:val="22"/>
        </w:rPr>
      </w:pPr>
    </w:p>
    <w:p w:rsidR="00090548" w:rsidRPr="00012649" w:rsidRDefault="003F2031" w:rsidP="00090548">
      <w:pPr>
        <w:numPr>
          <w:ilvl w:val="0"/>
          <w:numId w:val="6"/>
        </w:numPr>
        <w:tabs>
          <w:tab w:val="left" w:pos="851"/>
        </w:tabs>
        <w:spacing w:line="360" w:lineRule="auto"/>
        <w:jc w:val="both"/>
        <w:rPr>
          <w:rFonts w:ascii="Palatino Linotype" w:eastAsia="Palatino Linotype" w:hAnsi="Palatino Linotype" w:cs="Palatino Linotype"/>
          <w:sz w:val="22"/>
          <w:szCs w:val="22"/>
        </w:rPr>
      </w:pPr>
      <w:r w:rsidRPr="00012649">
        <w:rPr>
          <w:rFonts w:ascii="Palatino Linotype" w:eastAsia="Palatino Linotype" w:hAnsi="Palatino Linotype" w:cs="Palatino Linotype"/>
          <w:sz w:val="22"/>
          <w:szCs w:val="22"/>
        </w:rPr>
        <w:t xml:space="preserve">Al recurso de revisión se adjuntó el archivo denominado  </w:t>
      </w:r>
      <w:hyperlink r:id="rId12" w:tgtFrame="_blank" w:history="1">
        <w:r w:rsidRPr="00012649">
          <w:rPr>
            <w:rStyle w:val="Hipervnculo"/>
            <w:rFonts w:ascii="Palatino Linotype" w:eastAsia="Palatino Linotype" w:hAnsi="Palatino Linotype" w:cs="Palatino Linotype"/>
            <w:b/>
            <w:bCs/>
            <w:color w:val="auto"/>
            <w:sz w:val="22"/>
            <w:szCs w:val="22"/>
          </w:rPr>
          <w:t>Archivo1709852119542null</w:t>
        </w:r>
      </w:hyperlink>
      <w:r w:rsidRPr="00012649">
        <w:rPr>
          <w:rFonts w:ascii="Palatino Linotype" w:eastAsia="Palatino Linotype" w:hAnsi="Palatino Linotype" w:cs="Palatino Linotype"/>
          <w:sz w:val="22"/>
          <w:szCs w:val="22"/>
        </w:rPr>
        <w:t xml:space="preserve">, al que no se puede acceder. </w:t>
      </w:r>
    </w:p>
    <w:p w:rsidR="003F2031" w:rsidRPr="00012649" w:rsidRDefault="003F2031" w:rsidP="003F2031">
      <w:pPr>
        <w:tabs>
          <w:tab w:val="left" w:pos="851"/>
        </w:tabs>
        <w:spacing w:line="360" w:lineRule="auto"/>
        <w:ind w:left="720"/>
        <w:jc w:val="both"/>
        <w:rPr>
          <w:rFonts w:ascii="Palatino Linotype" w:eastAsia="Palatino Linotype" w:hAnsi="Palatino Linotype" w:cs="Palatino Linotype"/>
          <w:sz w:val="22"/>
          <w:szCs w:val="22"/>
        </w:rPr>
      </w:pPr>
    </w:p>
    <w:p w:rsidR="00090548" w:rsidRPr="00012649" w:rsidRDefault="00090548" w:rsidP="00090548">
      <w:pPr>
        <w:numPr>
          <w:ilvl w:val="0"/>
          <w:numId w:val="2"/>
        </w:numPr>
        <w:spacing w:line="360" w:lineRule="auto"/>
        <w:ind w:left="0" w:firstLine="0"/>
        <w:jc w:val="both"/>
        <w:rPr>
          <w:rFonts w:ascii="Palatino Linotype" w:hAnsi="Palatino Linotype"/>
          <w:color w:val="000000"/>
          <w:sz w:val="22"/>
          <w:szCs w:val="22"/>
        </w:rPr>
      </w:pPr>
      <w:r w:rsidRPr="00012649">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turna a la </w:t>
      </w:r>
      <w:r w:rsidRPr="00012649">
        <w:rPr>
          <w:rFonts w:ascii="Palatino Linotype" w:eastAsia="Palatino Linotype" w:hAnsi="Palatino Linotype" w:cs="Palatino Linotype"/>
          <w:b/>
          <w:sz w:val="22"/>
          <w:szCs w:val="22"/>
        </w:rPr>
        <w:t>Comisionada María del Rosario Mejía Ayala,</w:t>
      </w:r>
      <w:r w:rsidRPr="00012649">
        <w:rPr>
          <w:rFonts w:ascii="Palatino Linotype" w:eastAsia="Palatino Linotype" w:hAnsi="Palatino Linotype" w:cs="Palatino Linotype"/>
          <w:sz w:val="22"/>
          <w:szCs w:val="22"/>
        </w:rPr>
        <w:t xml:space="preserve"> para su análisis.</w:t>
      </w:r>
    </w:p>
    <w:p w:rsidR="00090548" w:rsidRPr="00012649" w:rsidRDefault="00090548" w:rsidP="00090548">
      <w:pPr>
        <w:spacing w:line="360" w:lineRule="auto"/>
        <w:ind w:left="360"/>
        <w:jc w:val="both"/>
        <w:rPr>
          <w:rFonts w:ascii="Palatino Linotype" w:eastAsia="Palatino Linotype" w:hAnsi="Palatino Linotype" w:cs="Palatino Linotype"/>
          <w:sz w:val="22"/>
          <w:szCs w:val="22"/>
        </w:rPr>
      </w:pPr>
    </w:p>
    <w:p w:rsidR="00090548" w:rsidRPr="00012649" w:rsidRDefault="00090548" w:rsidP="00090548">
      <w:pPr>
        <w:numPr>
          <w:ilvl w:val="0"/>
          <w:numId w:val="2"/>
        </w:numPr>
        <w:spacing w:line="360" w:lineRule="auto"/>
        <w:ind w:left="0" w:firstLine="0"/>
        <w:jc w:val="both"/>
        <w:rPr>
          <w:rFonts w:ascii="Palatino Linotype" w:hAnsi="Palatino Linotype"/>
          <w:color w:val="000000"/>
          <w:sz w:val="22"/>
          <w:szCs w:val="22"/>
        </w:rPr>
      </w:pPr>
      <w:r w:rsidRPr="00012649">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del </w:t>
      </w:r>
      <w:r w:rsidR="003F2031" w:rsidRPr="00012649">
        <w:rPr>
          <w:rFonts w:ascii="Palatino Linotype" w:eastAsia="Palatino Linotype" w:hAnsi="Palatino Linotype" w:cs="Palatino Linotype"/>
          <w:b/>
          <w:sz w:val="22"/>
          <w:szCs w:val="22"/>
        </w:rPr>
        <w:t>quince</w:t>
      </w:r>
      <w:r w:rsidRPr="00012649">
        <w:rPr>
          <w:rFonts w:ascii="Palatino Linotype" w:eastAsia="Palatino Linotype" w:hAnsi="Palatino Linotype" w:cs="Palatino Linotype"/>
          <w:b/>
          <w:sz w:val="22"/>
          <w:szCs w:val="22"/>
        </w:rPr>
        <w:t xml:space="preserve"> de marzo de dos mil veinticuatro</w:t>
      </w:r>
      <w:r w:rsidRPr="00012649">
        <w:rPr>
          <w:rFonts w:ascii="Palatino Linotype" w:eastAsia="Palatino Linotype" w:hAnsi="Palatino Linotype" w:cs="Palatino Linotype"/>
          <w:sz w:val="22"/>
          <w:szCs w:val="22"/>
        </w:rPr>
        <w:t xml:space="preserve">, puso a disposición de las partes el expediente electrónico vía Sistema de Acceso a la Información Mexiquense </w:t>
      </w:r>
      <w:r w:rsidRPr="00012649">
        <w:rPr>
          <w:rFonts w:ascii="Palatino Linotype" w:eastAsia="Palatino Linotype" w:hAnsi="Palatino Linotype" w:cs="Palatino Linotype"/>
          <w:b/>
          <w:sz w:val="22"/>
          <w:szCs w:val="22"/>
        </w:rPr>
        <w:t xml:space="preserve">(SAIMEX) </w:t>
      </w:r>
      <w:r w:rsidRPr="00012649">
        <w:rPr>
          <w:rFonts w:ascii="Palatino Linotype" w:eastAsia="Palatino Linotype" w:hAnsi="Palatino Linotype" w:cs="Palatino Linotype"/>
          <w:sz w:val="22"/>
          <w:szCs w:val="22"/>
        </w:rPr>
        <w:t xml:space="preserve">a efecto de que en un plazo máximo de siete días manifestara lo que a derecho conviniera, ofreciera pruebas y alegatos según corresponda al caso concreto, de esta forma para que el </w:t>
      </w:r>
      <w:r w:rsidRPr="00012649">
        <w:rPr>
          <w:rFonts w:ascii="Palatino Linotype" w:eastAsia="Palatino Linotype" w:hAnsi="Palatino Linotype" w:cs="Palatino Linotype"/>
          <w:b/>
          <w:sz w:val="22"/>
          <w:szCs w:val="22"/>
        </w:rPr>
        <w:t>SUJETO OBLIGADO</w:t>
      </w:r>
      <w:r w:rsidRPr="00012649">
        <w:rPr>
          <w:rFonts w:ascii="Palatino Linotype" w:eastAsia="Palatino Linotype" w:hAnsi="Palatino Linotype" w:cs="Palatino Linotype"/>
          <w:sz w:val="22"/>
          <w:szCs w:val="22"/>
        </w:rPr>
        <w:t xml:space="preserve"> presentará el Informe Justificado procedente.  </w:t>
      </w:r>
    </w:p>
    <w:p w:rsidR="00090548" w:rsidRPr="00012649" w:rsidRDefault="00090548" w:rsidP="00090548">
      <w:pPr>
        <w:spacing w:line="360" w:lineRule="auto"/>
        <w:jc w:val="both"/>
        <w:rPr>
          <w:rFonts w:ascii="Palatino Linotype" w:eastAsia="Palatino Linotype" w:hAnsi="Palatino Linotype" w:cs="Palatino Linotype"/>
          <w:i/>
          <w:color w:val="000000"/>
          <w:sz w:val="22"/>
          <w:szCs w:val="22"/>
        </w:rPr>
      </w:pPr>
    </w:p>
    <w:p w:rsidR="00090548" w:rsidRPr="00012649" w:rsidRDefault="00090548" w:rsidP="0009054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012649">
        <w:rPr>
          <w:rFonts w:ascii="Palatino Linotype" w:eastAsia="Palatino Linotype" w:hAnsi="Palatino Linotype" w:cs="Palatino Linotype"/>
          <w:sz w:val="22"/>
          <w:szCs w:val="22"/>
        </w:rPr>
        <w:lastRenderedPageBreak/>
        <w:t xml:space="preserve">De las constancias que obran en el expediente electrónico SAIMEX, se advierte que el particular no realizó manifestaciones, ni ofreció pruebas o alegatos que a su derecho conviniera; por su parte, el Sujeto Obligado remitió informe justificado el </w:t>
      </w:r>
      <w:r w:rsidR="00317453" w:rsidRPr="00012649">
        <w:rPr>
          <w:rFonts w:ascii="Palatino Linotype" w:eastAsia="Palatino Linotype" w:hAnsi="Palatino Linotype" w:cs="Palatino Linotype"/>
          <w:b/>
          <w:sz w:val="22"/>
          <w:szCs w:val="22"/>
        </w:rPr>
        <w:t>diecinueve de noviembre</w:t>
      </w:r>
      <w:r w:rsidRPr="00012649">
        <w:rPr>
          <w:rFonts w:ascii="Palatino Linotype" w:eastAsia="Palatino Linotype" w:hAnsi="Palatino Linotype" w:cs="Palatino Linotype"/>
          <w:b/>
          <w:sz w:val="22"/>
          <w:szCs w:val="22"/>
        </w:rPr>
        <w:t xml:space="preserve"> de dos mil veinticuatro</w:t>
      </w:r>
      <w:r w:rsidRPr="00012649">
        <w:rPr>
          <w:rFonts w:ascii="Palatino Linotype" w:eastAsia="Palatino Linotype" w:hAnsi="Palatino Linotype" w:cs="Palatino Linotype"/>
          <w:sz w:val="22"/>
          <w:szCs w:val="22"/>
        </w:rPr>
        <w:t xml:space="preserve"> y fue puesto a la vista del particular el </w:t>
      </w:r>
      <w:r w:rsidR="00317453" w:rsidRPr="00012649">
        <w:rPr>
          <w:rFonts w:ascii="Palatino Linotype" w:eastAsia="Palatino Linotype" w:hAnsi="Palatino Linotype" w:cs="Palatino Linotype"/>
          <w:b/>
          <w:sz w:val="22"/>
          <w:szCs w:val="22"/>
        </w:rPr>
        <w:t>doce</w:t>
      </w:r>
      <w:r w:rsidRPr="00012649">
        <w:rPr>
          <w:rFonts w:ascii="Palatino Linotype" w:eastAsia="Palatino Linotype" w:hAnsi="Palatino Linotype" w:cs="Palatino Linotype"/>
          <w:b/>
          <w:sz w:val="22"/>
          <w:szCs w:val="22"/>
        </w:rPr>
        <w:t xml:space="preserve"> de enero de dos mil veinticinco</w:t>
      </w:r>
      <w:r w:rsidRPr="00012649">
        <w:rPr>
          <w:rFonts w:ascii="Palatino Linotype" w:eastAsia="Palatino Linotype" w:hAnsi="Palatino Linotype" w:cs="Palatino Linotype"/>
          <w:sz w:val="22"/>
          <w:szCs w:val="22"/>
        </w:rPr>
        <w:t xml:space="preserve">, a través del archivo denominado </w:t>
      </w:r>
      <w:hyperlink r:id="rId13" w:history="1">
        <w:r w:rsidR="00317453" w:rsidRPr="00012649">
          <w:rPr>
            <w:rStyle w:val="Hipervnculo"/>
            <w:rFonts w:ascii="Palatino Linotype" w:eastAsia="Palatino Linotype" w:hAnsi="Palatino Linotype" w:cs="Palatino Linotype"/>
            <w:b/>
            <w:bCs/>
            <w:color w:val="auto"/>
            <w:sz w:val="22"/>
            <w:szCs w:val="22"/>
          </w:rPr>
          <w:t>01323-INFOEM-IP-RR-2024.pdf</w:t>
        </w:r>
      </w:hyperlink>
      <w:r w:rsidR="00317453" w:rsidRPr="00012649">
        <w:rPr>
          <w:rFonts w:ascii="Palatino Linotype" w:eastAsia="Palatino Linotype" w:hAnsi="Palatino Linotype" w:cs="Palatino Linotype"/>
          <w:sz w:val="22"/>
          <w:szCs w:val="22"/>
        </w:rPr>
        <w:t xml:space="preserve">, el que ratificó su respuesta. </w:t>
      </w:r>
    </w:p>
    <w:p w:rsidR="00090548" w:rsidRPr="00012649" w:rsidRDefault="00090548" w:rsidP="00090548">
      <w:pPr>
        <w:spacing w:line="360" w:lineRule="auto"/>
        <w:jc w:val="both"/>
        <w:rPr>
          <w:rFonts w:ascii="Palatino Linotype" w:eastAsia="Palatino Linotype" w:hAnsi="Palatino Linotype" w:cs="Palatino Linotype"/>
          <w:color w:val="000000"/>
          <w:sz w:val="22"/>
          <w:szCs w:val="22"/>
        </w:rPr>
      </w:pPr>
    </w:p>
    <w:p w:rsidR="00090548" w:rsidRPr="00012649" w:rsidRDefault="00090548" w:rsidP="00090548">
      <w:pPr>
        <w:numPr>
          <w:ilvl w:val="0"/>
          <w:numId w:val="2"/>
        </w:numPr>
        <w:spacing w:line="360" w:lineRule="auto"/>
        <w:ind w:left="0" w:firstLine="0"/>
        <w:jc w:val="both"/>
        <w:rPr>
          <w:rFonts w:ascii="Palatino Linotype" w:hAnsi="Palatino Linotype"/>
          <w:sz w:val="22"/>
          <w:szCs w:val="22"/>
        </w:rPr>
      </w:pPr>
      <w:r w:rsidRPr="00012649">
        <w:rPr>
          <w:rFonts w:ascii="Palatino Linotype" w:eastAsia="Palatino Linotype" w:hAnsi="Palatino Linotype" w:cs="Palatino Linotype"/>
          <w:sz w:val="22"/>
          <w:szCs w:val="22"/>
        </w:rPr>
        <w:t xml:space="preserve">El </w:t>
      </w:r>
      <w:r w:rsidR="00317453" w:rsidRPr="00012649">
        <w:rPr>
          <w:rFonts w:ascii="Palatino Linotype" w:eastAsia="Palatino Linotype" w:hAnsi="Palatino Linotype" w:cs="Palatino Linotype"/>
          <w:b/>
          <w:sz w:val="22"/>
          <w:szCs w:val="22"/>
        </w:rPr>
        <w:t>tres de mayo</w:t>
      </w:r>
      <w:r w:rsidRPr="00012649">
        <w:rPr>
          <w:rFonts w:ascii="Palatino Linotype" w:eastAsia="Palatino Linotype" w:hAnsi="Palatino Linotype" w:cs="Palatino Linotype"/>
          <w:b/>
          <w:sz w:val="22"/>
          <w:szCs w:val="22"/>
        </w:rPr>
        <w:t xml:space="preserve"> de dos mil veinticuatro, </w:t>
      </w:r>
      <w:r w:rsidRPr="00012649">
        <w:rPr>
          <w:rFonts w:ascii="Palatino Linotype" w:eastAsia="Palatino Linotype" w:hAnsi="Palatino Linotype" w:cs="Palatino Linotype"/>
          <w:sz w:val="22"/>
          <w:szCs w:val="22"/>
        </w:rPr>
        <w:t xml:space="preserve">se notificó el acuerdo a través del cual se notificó la ampliación de plazo para emitir resolución. </w:t>
      </w:r>
    </w:p>
    <w:p w:rsidR="00317453" w:rsidRPr="00012649" w:rsidRDefault="00317453" w:rsidP="00090548">
      <w:pPr>
        <w:spacing w:line="360" w:lineRule="auto"/>
        <w:jc w:val="both"/>
        <w:rPr>
          <w:rFonts w:ascii="Palatino Linotype" w:eastAsia="Palatino Linotype" w:hAnsi="Palatino Linotype" w:cs="Palatino Linotype"/>
          <w:sz w:val="22"/>
          <w:szCs w:val="22"/>
        </w:rPr>
      </w:pPr>
    </w:p>
    <w:p w:rsidR="00090548" w:rsidRPr="00012649" w:rsidRDefault="00090548" w:rsidP="00090548">
      <w:pPr>
        <w:numPr>
          <w:ilvl w:val="0"/>
          <w:numId w:val="2"/>
        </w:numPr>
        <w:spacing w:line="360" w:lineRule="auto"/>
        <w:ind w:left="0" w:firstLine="0"/>
        <w:jc w:val="both"/>
        <w:rPr>
          <w:rFonts w:ascii="Palatino Linotype" w:hAnsi="Palatino Linotype"/>
          <w:sz w:val="22"/>
          <w:szCs w:val="22"/>
        </w:rPr>
      </w:pPr>
      <w:r w:rsidRPr="00012649">
        <w:rPr>
          <w:rFonts w:ascii="Palatino Linotype" w:eastAsia="Palatino Linotype" w:hAnsi="Palatino Linotype" w:cs="Palatino Linotype"/>
          <w:sz w:val="22"/>
          <w:szCs w:val="22"/>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090548" w:rsidRPr="00012649" w:rsidRDefault="00090548" w:rsidP="00090548">
      <w:pPr>
        <w:spacing w:line="360" w:lineRule="auto"/>
        <w:jc w:val="both"/>
        <w:rPr>
          <w:rFonts w:ascii="Palatino Linotype" w:eastAsia="Palatino Linotype" w:hAnsi="Palatino Linotype" w:cs="Palatino Linotype"/>
          <w:sz w:val="22"/>
          <w:szCs w:val="22"/>
        </w:rPr>
      </w:pPr>
    </w:p>
    <w:p w:rsidR="00090548" w:rsidRPr="00012649" w:rsidRDefault="00090548" w:rsidP="00090548">
      <w:pPr>
        <w:numPr>
          <w:ilvl w:val="0"/>
          <w:numId w:val="2"/>
        </w:numPr>
        <w:spacing w:line="360" w:lineRule="auto"/>
        <w:ind w:left="0" w:firstLine="0"/>
        <w:jc w:val="both"/>
        <w:rPr>
          <w:rFonts w:ascii="Palatino Linotype" w:hAnsi="Palatino Linotype"/>
          <w:sz w:val="22"/>
          <w:szCs w:val="22"/>
        </w:rPr>
      </w:pPr>
      <w:r w:rsidRPr="00012649">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090548" w:rsidRPr="00012649" w:rsidRDefault="00090548" w:rsidP="00090548">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090548" w:rsidRPr="00012649" w:rsidRDefault="00090548" w:rsidP="00090548">
      <w:pPr>
        <w:numPr>
          <w:ilvl w:val="0"/>
          <w:numId w:val="2"/>
        </w:numPr>
        <w:spacing w:line="360" w:lineRule="auto"/>
        <w:ind w:left="0" w:firstLine="0"/>
        <w:jc w:val="both"/>
        <w:rPr>
          <w:rFonts w:ascii="Palatino Linotype" w:hAnsi="Palatino Linotype"/>
          <w:sz w:val="22"/>
          <w:szCs w:val="22"/>
        </w:rPr>
      </w:pPr>
      <w:r w:rsidRPr="00012649">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090548" w:rsidRPr="00012649" w:rsidRDefault="00090548" w:rsidP="00090548">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090548" w:rsidRPr="00012649" w:rsidRDefault="00090548" w:rsidP="00090548">
      <w:pPr>
        <w:numPr>
          <w:ilvl w:val="0"/>
          <w:numId w:val="2"/>
        </w:numPr>
        <w:spacing w:line="360" w:lineRule="auto"/>
        <w:ind w:left="0" w:firstLine="0"/>
        <w:jc w:val="both"/>
        <w:rPr>
          <w:rFonts w:ascii="Palatino Linotype" w:hAnsi="Palatino Linotype"/>
          <w:sz w:val="22"/>
          <w:szCs w:val="22"/>
        </w:rPr>
      </w:pPr>
      <w:r w:rsidRPr="00012649">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090548" w:rsidRPr="00012649" w:rsidRDefault="00090548" w:rsidP="00090548">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090548" w:rsidRPr="00012649" w:rsidRDefault="00090548" w:rsidP="00090548">
      <w:pPr>
        <w:numPr>
          <w:ilvl w:val="0"/>
          <w:numId w:val="2"/>
        </w:numPr>
        <w:spacing w:line="360" w:lineRule="auto"/>
        <w:ind w:left="0" w:firstLine="0"/>
        <w:jc w:val="both"/>
        <w:rPr>
          <w:rFonts w:ascii="Palatino Linotype" w:hAnsi="Palatino Linotype"/>
          <w:sz w:val="22"/>
          <w:szCs w:val="22"/>
        </w:rPr>
      </w:pPr>
      <w:r w:rsidRPr="00012649">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 dicha dilación atendiendo a los siguientes criterios:   </w:t>
      </w:r>
    </w:p>
    <w:p w:rsidR="00090548" w:rsidRPr="00012649" w:rsidRDefault="00090548" w:rsidP="00090548">
      <w:pPr>
        <w:spacing w:line="360" w:lineRule="auto"/>
        <w:jc w:val="both"/>
        <w:rPr>
          <w:rFonts w:ascii="Palatino Linotype" w:hAnsi="Palatino Linotype"/>
          <w:sz w:val="22"/>
          <w:szCs w:val="22"/>
        </w:rPr>
      </w:pPr>
    </w:p>
    <w:p w:rsidR="00090548" w:rsidRPr="00012649" w:rsidRDefault="00090548" w:rsidP="0009054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12649">
        <w:rPr>
          <w:rFonts w:ascii="Palatino Linotype" w:eastAsia="Palatino Linotype" w:hAnsi="Palatino Linotype" w:cs="Palatino Linotype"/>
          <w:color w:val="000000"/>
          <w:sz w:val="22"/>
          <w:szCs w:val="22"/>
        </w:rPr>
        <w:t xml:space="preserve">Complejidad del </w:t>
      </w:r>
      <w:r w:rsidRPr="00012649">
        <w:rPr>
          <w:rFonts w:ascii="Palatino Linotype" w:eastAsia="Palatino Linotype" w:hAnsi="Palatino Linotype" w:cs="Palatino Linotype"/>
          <w:sz w:val="22"/>
          <w:szCs w:val="22"/>
        </w:rPr>
        <w:t>asunto</w:t>
      </w:r>
      <w:r w:rsidRPr="00012649">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090548" w:rsidRPr="00012649" w:rsidRDefault="00090548" w:rsidP="0009054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12649">
        <w:rPr>
          <w:rFonts w:ascii="Palatino Linotype" w:eastAsia="Palatino Linotype" w:hAnsi="Palatino Linotype" w:cs="Palatino Linotype"/>
          <w:color w:val="000000"/>
          <w:sz w:val="22"/>
          <w:szCs w:val="22"/>
        </w:rPr>
        <w:t>Actividad Procesal del interesado. Acciones u omisiones del interesado.</w:t>
      </w:r>
    </w:p>
    <w:p w:rsidR="00090548" w:rsidRPr="00012649" w:rsidRDefault="00090548" w:rsidP="0009054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012649">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090548" w:rsidRPr="00012649" w:rsidRDefault="00090548" w:rsidP="00090548">
      <w:pPr>
        <w:spacing w:line="360" w:lineRule="auto"/>
        <w:ind w:left="567"/>
        <w:jc w:val="both"/>
        <w:rPr>
          <w:rFonts w:ascii="Palatino Linotype" w:eastAsia="Palatino Linotype" w:hAnsi="Palatino Linotype" w:cs="Palatino Linotype"/>
          <w:sz w:val="22"/>
          <w:szCs w:val="22"/>
        </w:rPr>
      </w:pPr>
      <w:r w:rsidRPr="00012649">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090548" w:rsidRPr="00012649" w:rsidRDefault="00090548" w:rsidP="00090548">
      <w:pPr>
        <w:spacing w:line="360" w:lineRule="auto"/>
        <w:rPr>
          <w:rFonts w:ascii="Palatino Linotype" w:eastAsia="Palatino Linotype" w:hAnsi="Palatino Linotype" w:cs="Palatino Linotype"/>
          <w:sz w:val="22"/>
          <w:szCs w:val="22"/>
        </w:rPr>
      </w:pPr>
    </w:p>
    <w:p w:rsidR="00090548" w:rsidRPr="00012649" w:rsidRDefault="00090548" w:rsidP="00090548">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012649">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090548" w:rsidRPr="00012649" w:rsidRDefault="00090548" w:rsidP="00090548">
      <w:pPr>
        <w:spacing w:line="360" w:lineRule="auto"/>
        <w:jc w:val="both"/>
        <w:rPr>
          <w:rFonts w:ascii="Palatino Linotype" w:eastAsia="Palatino Linotype" w:hAnsi="Palatino Linotype" w:cs="Palatino Linotype"/>
          <w:b/>
          <w:sz w:val="22"/>
          <w:szCs w:val="22"/>
        </w:rPr>
      </w:pPr>
    </w:p>
    <w:p w:rsidR="00090548" w:rsidRPr="00012649" w:rsidRDefault="00090548" w:rsidP="00090548">
      <w:pPr>
        <w:numPr>
          <w:ilvl w:val="0"/>
          <w:numId w:val="2"/>
        </w:numPr>
        <w:spacing w:line="360" w:lineRule="auto"/>
        <w:ind w:left="0" w:firstLine="0"/>
        <w:jc w:val="both"/>
        <w:rPr>
          <w:rFonts w:ascii="Palatino Linotype" w:eastAsia="Palatino Linotype" w:hAnsi="Palatino Linotype" w:cs="Palatino Linotype"/>
          <w:b/>
          <w:sz w:val="22"/>
          <w:szCs w:val="22"/>
        </w:rPr>
      </w:pPr>
      <w:r w:rsidRPr="00012649">
        <w:rPr>
          <w:rFonts w:ascii="Palatino Linotype" w:eastAsia="Palatino Linotype" w:hAnsi="Palatino Linotype" w:cs="Palatino Linotype"/>
          <w:sz w:val="22"/>
          <w:szCs w:val="22"/>
        </w:rPr>
        <w:t>Argumento que encuentra sustento en la jurisprudencia P</w:t>
      </w:r>
      <w:proofErr w:type="gramStart"/>
      <w:r w:rsidRPr="00012649">
        <w:rPr>
          <w:rFonts w:ascii="Palatino Linotype" w:eastAsia="Palatino Linotype" w:hAnsi="Palatino Linotype" w:cs="Palatino Linotype"/>
          <w:sz w:val="22"/>
          <w:szCs w:val="22"/>
        </w:rPr>
        <w:t>./</w:t>
      </w:r>
      <w:proofErr w:type="gramEnd"/>
      <w:r w:rsidRPr="00012649">
        <w:rPr>
          <w:rFonts w:ascii="Palatino Linotype" w:eastAsia="Palatino Linotype" w:hAnsi="Palatino Linotype" w:cs="Palatino Linotype"/>
          <w:sz w:val="22"/>
          <w:szCs w:val="22"/>
        </w:rPr>
        <w:t xml:space="preserve">J. 32/92 emitida por el Pleno de la Suprema Corte de Justicia de la Nación del rubro </w:t>
      </w:r>
      <w:r w:rsidRPr="00012649">
        <w:rPr>
          <w:rFonts w:ascii="Palatino Linotype" w:eastAsia="Palatino Linotype" w:hAnsi="Palatino Linotype" w:cs="Palatino Linotype"/>
          <w:i/>
          <w:sz w:val="22"/>
          <w:szCs w:val="22"/>
        </w:rPr>
        <w:t xml:space="preserve">“TÉRMINOS PROCESALES. PARA DETERMINAR SI UN FUNCIONARIO JUDICIAL ACTUÓ INDEBIDAMENTE POR NO </w:t>
      </w:r>
      <w:r w:rsidRPr="00012649">
        <w:rPr>
          <w:rFonts w:ascii="Palatino Linotype" w:eastAsia="Palatino Linotype" w:hAnsi="Palatino Linotype" w:cs="Palatino Linotype"/>
          <w:i/>
          <w:sz w:val="22"/>
          <w:szCs w:val="22"/>
        </w:rPr>
        <w:lastRenderedPageBreak/>
        <w:t>RESPETARLOS SE DEBE ATENDER AL PRESUPUESTO QUE CONSIDERÓ EL LEGISLADOR AL FIJARLOS Y LAS CARACTERÍSTICAS DEL CASO.”</w:t>
      </w:r>
      <w:r w:rsidRPr="00012649">
        <w:rPr>
          <w:rFonts w:ascii="Palatino Linotype" w:eastAsia="Palatino Linotype" w:hAnsi="Palatino Linotype" w:cs="Palatino Linotype"/>
          <w:sz w:val="22"/>
          <w:szCs w:val="22"/>
        </w:rPr>
        <w:t>, visible en la Gaceta del Semanario Judicial de la Federación con el registro digital 205635.</w:t>
      </w:r>
    </w:p>
    <w:p w:rsidR="00090548" w:rsidRPr="00012649" w:rsidRDefault="00090548" w:rsidP="00090548">
      <w:pPr>
        <w:spacing w:line="360" w:lineRule="auto"/>
        <w:rPr>
          <w:rFonts w:ascii="Palatino Linotype" w:eastAsia="Palatino Linotype" w:hAnsi="Palatino Linotype" w:cs="Palatino Linotype"/>
          <w:sz w:val="22"/>
          <w:szCs w:val="22"/>
        </w:rPr>
      </w:pPr>
    </w:p>
    <w:p w:rsidR="00090548" w:rsidRPr="00012649" w:rsidRDefault="00090548" w:rsidP="00090548">
      <w:pPr>
        <w:numPr>
          <w:ilvl w:val="0"/>
          <w:numId w:val="2"/>
        </w:numPr>
        <w:spacing w:line="360" w:lineRule="auto"/>
        <w:ind w:left="0" w:firstLine="0"/>
        <w:jc w:val="both"/>
        <w:rPr>
          <w:rFonts w:ascii="Palatino Linotype" w:eastAsia="Palatino Linotype" w:hAnsi="Palatino Linotype" w:cs="Palatino Linotype"/>
          <w:b/>
          <w:sz w:val="22"/>
          <w:szCs w:val="22"/>
        </w:rPr>
      </w:pPr>
      <w:r w:rsidRPr="00012649">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090548" w:rsidRPr="00012649" w:rsidRDefault="00090548" w:rsidP="00090548">
      <w:pPr>
        <w:spacing w:line="360" w:lineRule="auto"/>
        <w:rPr>
          <w:rFonts w:ascii="Palatino Linotype" w:eastAsia="Palatino Linotype" w:hAnsi="Palatino Linotype" w:cs="Palatino Linotype"/>
          <w:sz w:val="22"/>
          <w:szCs w:val="22"/>
        </w:rPr>
      </w:pPr>
    </w:p>
    <w:p w:rsidR="00090548" w:rsidRPr="00012649" w:rsidRDefault="00090548" w:rsidP="00090548">
      <w:pPr>
        <w:numPr>
          <w:ilvl w:val="0"/>
          <w:numId w:val="2"/>
        </w:numPr>
        <w:spacing w:line="360" w:lineRule="auto"/>
        <w:ind w:left="0" w:firstLine="0"/>
        <w:jc w:val="both"/>
        <w:rPr>
          <w:rFonts w:ascii="Palatino Linotype" w:eastAsia="Palatino Linotype" w:hAnsi="Palatino Linotype" w:cs="Palatino Linotype"/>
          <w:b/>
          <w:sz w:val="22"/>
          <w:szCs w:val="22"/>
        </w:rPr>
      </w:pPr>
      <w:r w:rsidRPr="00012649">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rsidR="00090548" w:rsidRPr="00012649" w:rsidRDefault="00090548" w:rsidP="00090548">
      <w:pPr>
        <w:spacing w:line="360" w:lineRule="auto"/>
        <w:rPr>
          <w:rFonts w:ascii="Palatino Linotype" w:eastAsia="Palatino Linotype" w:hAnsi="Palatino Linotype" w:cs="Palatino Linotype"/>
          <w:sz w:val="22"/>
          <w:szCs w:val="22"/>
        </w:rPr>
      </w:pPr>
    </w:p>
    <w:p w:rsidR="00090548" w:rsidRPr="00012649" w:rsidRDefault="00090548" w:rsidP="00090548">
      <w:pPr>
        <w:numPr>
          <w:ilvl w:val="0"/>
          <w:numId w:val="2"/>
        </w:numPr>
        <w:spacing w:line="360" w:lineRule="auto"/>
        <w:ind w:left="0" w:firstLine="0"/>
        <w:jc w:val="both"/>
        <w:rPr>
          <w:rFonts w:ascii="Palatino Linotype" w:eastAsia="Palatino Linotype" w:hAnsi="Palatino Linotype" w:cs="Palatino Linotype"/>
          <w:b/>
          <w:sz w:val="22"/>
          <w:szCs w:val="22"/>
        </w:rPr>
      </w:pPr>
      <w:r w:rsidRPr="00012649">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rsidR="00090548" w:rsidRPr="00012649" w:rsidRDefault="00090548" w:rsidP="00090548">
      <w:pPr>
        <w:spacing w:line="360" w:lineRule="auto"/>
        <w:jc w:val="both"/>
        <w:rPr>
          <w:rFonts w:ascii="Palatino Linotype" w:eastAsia="Palatino Linotype" w:hAnsi="Palatino Linotype" w:cs="Palatino Linotype"/>
          <w:sz w:val="22"/>
          <w:szCs w:val="22"/>
        </w:rPr>
      </w:pPr>
    </w:p>
    <w:p w:rsidR="00090548" w:rsidRPr="00012649" w:rsidRDefault="00090548" w:rsidP="00090548">
      <w:pPr>
        <w:spacing w:line="360" w:lineRule="auto"/>
        <w:ind w:left="851"/>
        <w:jc w:val="both"/>
        <w:rPr>
          <w:rFonts w:ascii="Palatino Linotype" w:eastAsia="Palatino Linotype" w:hAnsi="Palatino Linotype" w:cs="Palatino Linotype"/>
          <w:sz w:val="22"/>
          <w:szCs w:val="22"/>
        </w:rPr>
      </w:pPr>
      <w:r w:rsidRPr="00012649">
        <w:rPr>
          <w:rFonts w:ascii="Palatino Linotype" w:eastAsia="Palatino Linotype" w:hAnsi="Palatino Linotype" w:cs="Palatino Linotype"/>
          <w:sz w:val="22"/>
          <w:szCs w:val="22"/>
        </w:rPr>
        <w:t xml:space="preserve"> </w:t>
      </w:r>
      <w:r w:rsidRPr="00012649">
        <w:rPr>
          <w:rFonts w:ascii="Palatino Linotype" w:eastAsia="Palatino Linotype" w:hAnsi="Palatino Linotype" w:cs="Palatino Linotype"/>
          <w:i/>
          <w:sz w:val="22"/>
          <w:szCs w:val="22"/>
        </w:rPr>
        <w:t>“PLAZO RAZONABLE PARA RESOLVER. DIMENSIÓN Y EFECTOS DE ESTE CONCEPTO CUANDO SE ADUCE EXCESIVA CARGA DE TRABAJO.”</w:t>
      </w:r>
      <w:r w:rsidRPr="00012649">
        <w:rPr>
          <w:rFonts w:ascii="Palatino Linotype" w:eastAsia="Palatino Linotype" w:hAnsi="Palatino Linotype" w:cs="Palatino Linotype"/>
          <w:sz w:val="22"/>
          <w:szCs w:val="22"/>
        </w:rPr>
        <w:t xml:space="preserve"> consultable en el Semanario Judicial de la Federación y su gaceta, con el registro digital 2002351.</w:t>
      </w:r>
    </w:p>
    <w:p w:rsidR="00090548" w:rsidRPr="00012649" w:rsidRDefault="00090548" w:rsidP="00090548">
      <w:pPr>
        <w:spacing w:line="360" w:lineRule="auto"/>
        <w:ind w:left="851"/>
        <w:jc w:val="both"/>
        <w:rPr>
          <w:rFonts w:ascii="Palatino Linotype" w:eastAsia="Palatino Linotype" w:hAnsi="Palatino Linotype" w:cs="Palatino Linotype"/>
          <w:b/>
          <w:sz w:val="22"/>
          <w:szCs w:val="22"/>
        </w:rPr>
      </w:pPr>
    </w:p>
    <w:p w:rsidR="00090548" w:rsidRPr="00012649" w:rsidRDefault="00090548" w:rsidP="00090548">
      <w:pPr>
        <w:spacing w:line="360" w:lineRule="auto"/>
        <w:ind w:left="851"/>
        <w:jc w:val="both"/>
        <w:rPr>
          <w:rFonts w:ascii="Palatino Linotype" w:eastAsia="Palatino Linotype" w:hAnsi="Palatino Linotype" w:cs="Palatino Linotype"/>
          <w:sz w:val="22"/>
          <w:szCs w:val="22"/>
        </w:rPr>
      </w:pPr>
      <w:r w:rsidRPr="00012649">
        <w:rPr>
          <w:rFonts w:ascii="Palatino Linotype" w:eastAsia="Palatino Linotype" w:hAnsi="Palatino Linotype" w:cs="Palatino Linotype"/>
          <w:i/>
          <w:sz w:val="22"/>
          <w:szCs w:val="22"/>
        </w:rPr>
        <w:lastRenderedPageBreak/>
        <w:t>“PLAZO RAZONABLE PARA RESOLVER. CONCEPTO Y ELEMENTOS QUE LO INTEGRAN A LA LUZ DEL DERECHO INTERNACIONAL DE LOS DERECHOS HUMANOS.”</w:t>
      </w:r>
      <w:r w:rsidRPr="00012649">
        <w:rPr>
          <w:rFonts w:ascii="Palatino Linotype" w:eastAsia="Palatino Linotype" w:hAnsi="Palatino Linotype" w:cs="Palatino Linotype"/>
          <w:sz w:val="22"/>
          <w:szCs w:val="22"/>
        </w:rPr>
        <w:t>, visible en el Semanario Judicial de la Federación y su gaceta, con el registro digital 2002350.</w:t>
      </w:r>
    </w:p>
    <w:p w:rsidR="00090548" w:rsidRPr="00012649" w:rsidRDefault="00090548" w:rsidP="00090548">
      <w:pPr>
        <w:spacing w:line="360" w:lineRule="auto"/>
        <w:jc w:val="both"/>
        <w:rPr>
          <w:rFonts w:ascii="Palatino Linotype" w:eastAsia="Palatino Linotype" w:hAnsi="Palatino Linotype" w:cs="Palatino Linotype"/>
          <w:i/>
          <w:sz w:val="22"/>
          <w:szCs w:val="22"/>
        </w:rPr>
      </w:pPr>
    </w:p>
    <w:p w:rsidR="00090548" w:rsidRPr="00012649" w:rsidRDefault="00090548" w:rsidP="00090548">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012649">
        <w:rPr>
          <w:rFonts w:ascii="Palatino Linotype" w:eastAsia="Palatino Linotype" w:hAnsi="Palatino Linotype" w:cs="Palatino Linotype"/>
          <w:color w:val="000000"/>
          <w:sz w:val="22"/>
          <w:szCs w:val="22"/>
        </w:rPr>
        <w:t xml:space="preserve">Por ello, este Organismo Garante comprometido con la tutela de los derechos humanos confiados, señala que este exceso de plazo legal para resolver el presente asunto, resulta de carácter excepcional. </w:t>
      </w:r>
    </w:p>
    <w:p w:rsidR="00090548" w:rsidRPr="00012649" w:rsidRDefault="00090548" w:rsidP="00090548">
      <w:pPr>
        <w:spacing w:line="360" w:lineRule="auto"/>
        <w:jc w:val="both"/>
        <w:rPr>
          <w:rFonts w:ascii="Palatino Linotype" w:eastAsia="Palatino Linotype" w:hAnsi="Palatino Linotype" w:cs="Palatino Linotype"/>
          <w:sz w:val="22"/>
          <w:szCs w:val="22"/>
        </w:rPr>
      </w:pPr>
    </w:p>
    <w:p w:rsidR="00090548" w:rsidRPr="00012649" w:rsidRDefault="00090548" w:rsidP="00090548">
      <w:pPr>
        <w:numPr>
          <w:ilvl w:val="0"/>
          <w:numId w:val="2"/>
        </w:numPr>
        <w:spacing w:line="360" w:lineRule="auto"/>
        <w:ind w:left="0" w:firstLine="0"/>
        <w:jc w:val="both"/>
        <w:rPr>
          <w:rFonts w:ascii="Palatino Linotype" w:eastAsia="Palatino Linotype" w:hAnsi="Palatino Linotype" w:cs="Palatino Linotype"/>
          <w:b/>
          <w:sz w:val="22"/>
          <w:szCs w:val="22"/>
        </w:rPr>
      </w:pPr>
      <w:r w:rsidRPr="00012649">
        <w:rPr>
          <w:rFonts w:ascii="Palatino Linotype" w:eastAsia="Palatino Linotype" w:hAnsi="Palatino Linotype" w:cs="Palatino Linotype"/>
          <w:sz w:val="22"/>
          <w:szCs w:val="22"/>
        </w:rPr>
        <w:t>La Comisionada Ponente decretó el cierre de instrucción mediante acuer</w:t>
      </w:r>
      <w:r w:rsidR="00317453" w:rsidRPr="00012649">
        <w:rPr>
          <w:rFonts w:ascii="Palatino Linotype" w:eastAsia="Palatino Linotype" w:hAnsi="Palatino Linotype" w:cs="Palatino Linotype"/>
          <w:sz w:val="22"/>
          <w:szCs w:val="22"/>
        </w:rPr>
        <w:t xml:space="preserve">do del </w:t>
      </w:r>
      <w:r w:rsidR="00317453" w:rsidRPr="00012649">
        <w:rPr>
          <w:rFonts w:ascii="Palatino Linotype" w:eastAsia="Palatino Linotype" w:hAnsi="Palatino Linotype" w:cs="Palatino Linotype"/>
          <w:b/>
          <w:sz w:val="22"/>
          <w:szCs w:val="22"/>
        </w:rPr>
        <w:t>dieciocho de febrero</w:t>
      </w:r>
      <w:r w:rsidRPr="00012649">
        <w:rPr>
          <w:rFonts w:ascii="Palatino Linotype" w:eastAsia="Palatino Linotype" w:hAnsi="Palatino Linotype" w:cs="Palatino Linotype"/>
          <w:b/>
          <w:sz w:val="22"/>
          <w:szCs w:val="22"/>
        </w:rPr>
        <w:t xml:space="preserve"> de dos mil veinticuatro</w:t>
      </w:r>
      <w:r w:rsidRPr="00012649">
        <w:rPr>
          <w:rFonts w:ascii="Palatino Linotype" w:eastAsia="Palatino Linotype" w:hAnsi="Palatino Linotype" w:cs="Palatino Linotype"/>
          <w:sz w:val="22"/>
          <w:szCs w:val="22"/>
        </w:rPr>
        <w:t>, por lo que, ordenó turnar el expediente a resolución, misma que a continuación se pronuncia.</w:t>
      </w:r>
    </w:p>
    <w:p w:rsidR="00090548" w:rsidRPr="00012649" w:rsidRDefault="00090548" w:rsidP="00090548">
      <w:pPr>
        <w:spacing w:line="360" w:lineRule="auto"/>
        <w:jc w:val="both"/>
        <w:rPr>
          <w:rFonts w:ascii="Palatino Linotype" w:eastAsia="Palatino Linotype" w:hAnsi="Palatino Linotype" w:cs="Palatino Linotype"/>
          <w:b/>
          <w:sz w:val="22"/>
          <w:szCs w:val="22"/>
        </w:rPr>
      </w:pPr>
    </w:p>
    <w:p w:rsidR="00090548" w:rsidRPr="00012649" w:rsidRDefault="00090548" w:rsidP="00090548">
      <w:pPr>
        <w:keepNext/>
        <w:keepLines/>
        <w:spacing w:line="360" w:lineRule="auto"/>
        <w:jc w:val="center"/>
        <w:rPr>
          <w:rFonts w:ascii="Palatino Linotype" w:eastAsia="Palatino Linotype" w:hAnsi="Palatino Linotype" w:cs="Palatino Linotype"/>
          <w:b/>
          <w:sz w:val="22"/>
          <w:szCs w:val="22"/>
        </w:rPr>
      </w:pPr>
      <w:bookmarkStart w:id="3" w:name="_heading=h.1fob9te" w:colFirst="0" w:colLast="0"/>
      <w:bookmarkEnd w:id="3"/>
      <w:r w:rsidRPr="00012649">
        <w:rPr>
          <w:rFonts w:ascii="Palatino Linotype" w:eastAsia="Palatino Linotype" w:hAnsi="Palatino Linotype" w:cs="Palatino Linotype"/>
          <w:b/>
          <w:sz w:val="22"/>
          <w:szCs w:val="22"/>
        </w:rPr>
        <w:t>C O N S I D E R A N D O</w:t>
      </w:r>
    </w:p>
    <w:p w:rsidR="00090548" w:rsidRPr="00012649" w:rsidRDefault="00090548" w:rsidP="00090548">
      <w:pPr>
        <w:keepNext/>
        <w:keepLines/>
        <w:spacing w:line="360" w:lineRule="auto"/>
        <w:jc w:val="center"/>
        <w:rPr>
          <w:rFonts w:ascii="Palatino Linotype" w:eastAsia="Palatino Linotype" w:hAnsi="Palatino Linotype" w:cs="Palatino Linotype"/>
          <w:b/>
          <w:sz w:val="22"/>
          <w:szCs w:val="22"/>
        </w:rPr>
      </w:pPr>
    </w:p>
    <w:p w:rsidR="00090548" w:rsidRPr="00012649" w:rsidRDefault="00090548" w:rsidP="00090548">
      <w:pPr>
        <w:keepNext/>
        <w:keepLines/>
        <w:spacing w:line="360" w:lineRule="auto"/>
        <w:rPr>
          <w:rFonts w:ascii="Palatino Linotype" w:eastAsia="Palatino Linotype" w:hAnsi="Palatino Linotype" w:cs="Palatino Linotype"/>
          <w:b/>
          <w:sz w:val="22"/>
          <w:szCs w:val="22"/>
        </w:rPr>
      </w:pPr>
      <w:bookmarkStart w:id="4" w:name="_heading=h.3znysh7" w:colFirst="0" w:colLast="0"/>
      <w:bookmarkEnd w:id="4"/>
      <w:r w:rsidRPr="00012649">
        <w:rPr>
          <w:rFonts w:ascii="Palatino Linotype" w:eastAsia="Palatino Linotype" w:hAnsi="Palatino Linotype" w:cs="Palatino Linotype"/>
          <w:b/>
          <w:sz w:val="22"/>
          <w:szCs w:val="22"/>
        </w:rPr>
        <w:t>PRIMERO. De la competencia.</w:t>
      </w:r>
    </w:p>
    <w:p w:rsidR="00090548" w:rsidRPr="00012649" w:rsidRDefault="00090548" w:rsidP="00090548">
      <w:pPr>
        <w:numPr>
          <w:ilvl w:val="0"/>
          <w:numId w:val="2"/>
        </w:numPr>
        <w:pBdr>
          <w:top w:val="nil"/>
          <w:left w:val="nil"/>
          <w:bottom w:val="nil"/>
          <w:right w:val="nil"/>
          <w:between w:val="nil"/>
        </w:pBdr>
        <w:spacing w:before="240" w:after="240" w:line="360" w:lineRule="auto"/>
        <w:ind w:left="0" w:firstLine="0"/>
        <w:jc w:val="both"/>
        <w:rPr>
          <w:rFonts w:ascii="Palatino Linotype" w:hAnsi="Palatino Linotype"/>
          <w:color w:val="000000"/>
          <w:sz w:val="22"/>
          <w:szCs w:val="22"/>
        </w:rPr>
      </w:pPr>
      <w:r w:rsidRPr="00012649">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012649">
        <w:rPr>
          <w:rFonts w:ascii="Palatino Linotype" w:eastAsia="Palatino Linotype" w:hAnsi="Palatino Linotype" w:cs="Palatino Linotype"/>
          <w:b/>
          <w:color w:val="000000"/>
          <w:sz w:val="22"/>
          <w:szCs w:val="22"/>
        </w:rPr>
        <w:t>Constitución Política de los Estados Unidos Mexicanos</w:t>
      </w:r>
      <w:r w:rsidRPr="00012649">
        <w:rPr>
          <w:rFonts w:ascii="Palatino Linotype" w:eastAsia="Palatino Linotype" w:hAnsi="Palatino Linotype" w:cs="Palatino Linotype"/>
          <w:color w:val="000000"/>
          <w:sz w:val="22"/>
          <w:szCs w:val="22"/>
        </w:rPr>
        <w:t xml:space="preserve">; 5, párrafos trigésimo segundo y trigésimo tercero, fracciones IV y V, de la </w:t>
      </w:r>
      <w:r w:rsidRPr="00012649">
        <w:rPr>
          <w:rFonts w:ascii="Palatino Linotype" w:eastAsia="Palatino Linotype" w:hAnsi="Palatino Linotype" w:cs="Palatino Linotype"/>
          <w:b/>
          <w:color w:val="000000"/>
          <w:sz w:val="22"/>
          <w:szCs w:val="22"/>
        </w:rPr>
        <w:t>Constitución Política del Estado Libre y Soberano de México</w:t>
      </w:r>
      <w:r w:rsidRPr="00012649">
        <w:rPr>
          <w:rFonts w:ascii="Palatino Linotype" w:eastAsia="Palatino Linotype" w:hAnsi="Palatino Linotype" w:cs="Palatino Linotype"/>
          <w:color w:val="000000"/>
          <w:sz w:val="22"/>
          <w:szCs w:val="22"/>
        </w:rPr>
        <w:t xml:space="preserve">; artículos 1, 2 fracción II, 13, 29, 36 fracciones I y II, 176, 178, 179, 181 párrafo tercero y 185 de la </w:t>
      </w:r>
      <w:r w:rsidRPr="00012649">
        <w:rPr>
          <w:rFonts w:ascii="Palatino Linotype" w:eastAsia="Palatino Linotype" w:hAnsi="Palatino Linotype" w:cs="Palatino Linotype"/>
          <w:b/>
          <w:color w:val="000000"/>
          <w:sz w:val="22"/>
          <w:szCs w:val="22"/>
        </w:rPr>
        <w:t>Ley de Transparencia y Acceso a la Información Pública del Estado de México y Municipios</w:t>
      </w:r>
      <w:r w:rsidRPr="00012649">
        <w:rPr>
          <w:rFonts w:ascii="Palatino Linotype" w:eastAsia="Palatino Linotype" w:hAnsi="Palatino Linotype" w:cs="Palatino Linotype"/>
          <w:color w:val="000000"/>
          <w:sz w:val="22"/>
          <w:szCs w:val="22"/>
        </w:rPr>
        <w:t xml:space="preserve">; y 7, 9 fracciones I y XXIII, y 11 del </w:t>
      </w:r>
      <w:r w:rsidRPr="00012649">
        <w:rPr>
          <w:rFonts w:ascii="Palatino Linotype" w:eastAsia="Palatino Linotype" w:hAnsi="Palatino Linotype" w:cs="Palatino Linotype"/>
          <w:b/>
          <w:color w:val="000000"/>
          <w:sz w:val="22"/>
          <w:szCs w:val="22"/>
        </w:rPr>
        <w:t xml:space="preserve">Reglamento Interior del Instituto de </w:t>
      </w:r>
      <w:r w:rsidRPr="00012649">
        <w:rPr>
          <w:rFonts w:ascii="Palatino Linotype" w:eastAsia="Palatino Linotype" w:hAnsi="Palatino Linotype" w:cs="Palatino Linotype"/>
          <w:b/>
          <w:color w:val="000000"/>
          <w:sz w:val="22"/>
          <w:szCs w:val="22"/>
        </w:rPr>
        <w:lastRenderedPageBreak/>
        <w:t>Transparencia, Acceso a la Información Pública y Protección de Datos Personales del Estado de México y Municipios.</w:t>
      </w:r>
    </w:p>
    <w:p w:rsidR="00090548" w:rsidRPr="00012649" w:rsidRDefault="00090548" w:rsidP="00090548">
      <w:pPr>
        <w:keepNext/>
        <w:keepLines/>
        <w:spacing w:line="360" w:lineRule="auto"/>
        <w:rPr>
          <w:rFonts w:ascii="Palatino Linotype" w:eastAsia="Palatino Linotype" w:hAnsi="Palatino Linotype" w:cs="Palatino Linotype"/>
          <w:b/>
          <w:sz w:val="22"/>
          <w:szCs w:val="22"/>
        </w:rPr>
      </w:pPr>
      <w:bookmarkStart w:id="5" w:name="_heading=h.2et92p0" w:colFirst="0" w:colLast="0"/>
      <w:bookmarkEnd w:id="5"/>
      <w:r w:rsidRPr="00012649">
        <w:rPr>
          <w:rFonts w:ascii="Palatino Linotype" w:eastAsia="Palatino Linotype" w:hAnsi="Palatino Linotype" w:cs="Palatino Linotype"/>
          <w:b/>
          <w:sz w:val="22"/>
          <w:szCs w:val="22"/>
        </w:rPr>
        <w:t>SEGUNDO. De la oportunidad y procedencia.</w:t>
      </w:r>
    </w:p>
    <w:p w:rsidR="00090548" w:rsidRPr="00012649" w:rsidRDefault="00090548" w:rsidP="00090548">
      <w:pPr>
        <w:keepNext/>
        <w:keepLines/>
        <w:spacing w:line="360" w:lineRule="auto"/>
        <w:rPr>
          <w:rFonts w:ascii="Palatino Linotype" w:eastAsia="Palatino Linotype" w:hAnsi="Palatino Linotype" w:cs="Palatino Linotype"/>
          <w:b/>
          <w:sz w:val="22"/>
          <w:szCs w:val="22"/>
        </w:rPr>
      </w:pPr>
    </w:p>
    <w:p w:rsidR="00090548" w:rsidRPr="00012649" w:rsidRDefault="00090548" w:rsidP="00090548">
      <w:pPr>
        <w:numPr>
          <w:ilvl w:val="0"/>
          <w:numId w:val="2"/>
        </w:numPr>
        <w:spacing w:line="360" w:lineRule="auto"/>
        <w:ind w:left="0" w:firstLine="0"/>
        <w:jc w:val="both"/>
        <w:rPr>
          <w:rFonts w:ascii="Palatino Linotype" w:hAnsi="Palatino Linotype"/>
          <w:sz w:val="22"/>
          <w:szCs w:val="22"/>
        </w:rPr>
      </w:pPr>
      <w:r w:rsidRPr="00012649">
        <w:rPr>
          <w:rFonts w:ascii="Palatino Linotype" w:eastAsia="Palatino Linotype" w:hAnsi="Palatino Linotype" w:cs="Palatino Linotype"/>
          <w:sz w:val="22"/>
          <w:szCs w:val="22"/>
        </w:rPr>
        <w:t xml:space="preserve">El medio de impugnación fue presentado a través del </w:t>
      </w:r>
      <w:r w:rsidRPr="00012649">
        <w:rPr>
          <w:rFonts w:ascii="Palatino Linotype" w:eastAsia="Palatino Linotype" w:hAnsi="Palatino Linotype" w:cs="Palatino Linotype"/>
          <w:b/>
          <w:sz w:val="22"/>
          <w:szCs w:val="22"/>
        </w:rPr>
        <w:t>SAIMEX,</w:t>
      </w:r>
      <w:r w:rsidRPr="00012649">
        <w:rPr>
          <w:rFonts w:ascii="Palatino Linotype" w:eastAsia="Palatino Linotype" w:hAnsi="Palatino Linotype" w:cs="Palatino Linotype"/>
          <w:sz w:val="22"/>
          <w:szCs w:val="22"/>
        </w:rPr>
        <w:t xml:space="preserve"> en el formato previamente aprobado para tal efecto y dentro del plazo legal de quince días hábiles otorgados; para el caso en particular es de señalar que el </w:t>
      </w:r>
      <w:r w:rsidRPr="00012649">
        <w:rPr>
          <w:rFonts w:ascii="Palatino Linotype" w:eastAsia="Palatino Linotype" w:hAnsi="Palatino Linotype" w:cs="Palatino Linotype"/>
          <w:b/>
          <w:sz w:val="22"/>
          <w:szCs w:val="22"/>
        </w:rPr>
        <w:t>SUJETO OBLIGADO</w:t>
      </w:r>
      <w:r w:rsidRPr="00012649">
        <w:rPr>
          <w:rFonts w:ascii="Palatino Linotype" w:eastAsia="Palatino Linotype" w:hAnsi="Palatino Linotype" w:cs="Palatino Linotype"/>
          <w:sz w:val="22"/>
          <w:szCs w:val="22"/>
        </w:rPr>
        <w:t xml:space="preserve"> entregó respuesta el día </w:t>
      </w:r>
      <w:r w:rsidR="00317453" w:rsidRPr="00012649">
        <w:rPr>
          <w:rFonts w:ascii="Palatino Linotype" w:eastAsia="Palatino Linotype" w:hAnsi="Palatino Linotype" w:cs="Palatino Linotype"/>
          <w:b/>
          <w:sz w:val="22"/>
          <w:szCs w:val="22"/>
        </w:rPr>
        <w:t>veintitrés</w:t>
      </w:r>
      <w:r w:rsidRPr="00012649">
        <w:rPr>
          <w:rFonts w:ascii="Palatino Linotype" w:eastAsia="Palatino Linotype" w:hAnsi="Palatino Linotype" w:cs="Palatino Linotype"/>
          <w:b/>
          <w:sz w:val="22"/>
          <w:szCs w:val="22"/>
        </w:rPr>
        <w:t xml:space="preserve"> de febrero de dos mil veinticuatro</w:t>
      </w:r>
      <w:r w:rsidRPr="00012649">
        <w:rPr>
          <w:rFonts w:ascii="Palatino Linotype" w:eastAsia="Palatino Linotype" w:hAnsi="Palatino Linotype" w:cs="Palatino Linotype"/>
          <w:sz w:val="22"/>
          <w:szCs w:val="22"/>
        </w:rPr>
        <w:t xml:space="preserve">, de tal forma que el plazo para interponer el recurso transcurrió del </w:t>
      </w:r>
      <w:r w:rsidR="00317453" w:rsidRPr="00012649">
        <w:rPr>
          <w:rFonts w:ascii="Palatino Linotype" w:eastAsia="Palatino Linotype" w:hAnsi="Palatino Linotype" w:cs="Palatino Linotype"/>
          <w:b/>
          <w:sz w:val="22"/>
          <w:szCs w:val="22"/>
        </w:rPr>
        <w:t>veintiséis de febrero al once de marzo</w:t>
      </w:r>
      <w:r w:rsidRPr="00012649">
        <w:rPr>
          <w:rFonts w:ascii="Palatino Linotype" w:eastAsia="Palatino Linotype" w:hAnsi="Palatino Linotype" w:cs="Palatino Linotype"/>
          <w:b/>
          <w:sz w:val="22"/>
          <w:szCs w:val="22"/>
        </w:rPr>
        <w:t xml:space="preserve"> de dos mil veinticuatro</w:t>
      </w:r>
      <w:r w:rsidRPr="00012649">
        <w:rPr>
          <w:rFonts w:ascii="Palatino Linotype" w:eastAsia="Palatino Linotype" w:hAnsi="Palatino Linotype" w:cs="Palatino Linotype"/>
          <w:sz w:val="22"/>
          <w:szCs w:val="22"/>
        </w:rPr>
        <w:t xml:space="preserve">, de acuerdo al calendario oficial del Instituto de Transparencia del Estado de México y Municipios; en consecuencia, si el particular presentó su inconformidad el día </w:t>
      </w:r>
      <w:r w:rsidR="00317453" w:rsidRPr="00012649">
        <w:rPr>
          <w:rFonts w:ascii="Palatino Linotype" w:eastAsia="Palatino Linotype" w:hAnsi="Palatino Linotype" w:cs="Palatino Linotype"/>
          <w:b/>
          <w:sz w:val="22"/>
          <w:szCs w:val="22"/>
        </w:rPr>
        <w:t>siete</w:t>
      </w:r>
      <w:r w:rsidRPr="00012649">
        <w:rPr>
          <w:rFonts w:ascii="Palatino Linotype" w:eastAsia="Palatino Linotype" w:hAnsi="Palatino Linotype" w:cs="Palatino Linotype"/>
          <w:b/>
          <w:sz w:val="22"/>
          <w:szCs w:val="22"/>
        </w:rPr>
        <w:t xml:space="preserve"> de marzo de dos mil veinticuatro</w:t>
      </w:r>
      <w:r w:rsidRPr="00012649">
        <w:rPr>
          <w:rFonts w:ascii="Palatino Linotype" w:eastAsia="Palatino Linotype" w:hAnsi="Palatino Linotype" w:cs="Palatino Linotype"/>
          <w:sz w:val="22"/>
          <w:szCs w:val="22"/>
        </w:rPr>
        <w:t xml:space="preserve">, se encuentra dentro de los márgenes temporales previstos en el artículo 178 de la </w:t>
      </w:r>
      <w:r w:rsidRPr="00012649">
        <w:rPr>
          <w:rFonts w:ascii="Palatino Linotype" w:eastAsia="Palatino Linotype" w:hAnsi="Palatino Linotype" w:cs="Palatino Linotype"/>
          <w:b/>
          <w:sz w:val="22"/>
          <w:szCs w:val="22"/>
        </w:rPr>
        <w:t xml:space="preserve">Ley de Transparencia y Acceso a la Información Pública del Estado de México y Municipios </w:t>
      </w:r>
      <w:r w:rsidRPr="00012649">
        <w:rPr>
          <w:rFonts w:ascii="Palatino Linotype" w:eastAsia="Palatino Linotype" w:hAnsi="Palatino Linotype" w:cs="Palatino Linotype"/>
          <w:sz w:val="22"/>
          <w:szCs w:val="22"/>
        </w:rPr>
        <w:t xml:space="preserve">vigente. </w:t>
      </w:r>
    </w:p>
    <w:p w:rsidR="00090548" w:rsidRPr="00012649" w:rsidRDefault="00090548" w:rsidP="00090548">
      <w:pPr>
        <w:rPr>
          <w:rFonts w:ascii="Palatino Linotype" w:eastAsia="Palatino Linotype" w:hAnsi="Palatino Linotype" w:cs="Palatino Linotype"/>
          <w:sz w:val="22"/>
          <w:szCs w:val="22"/>
        </w:rPr>
      </w:pPr>
    </w:p>
    <w:p w:rsidR="00090548" w:rsidRPr="00012649" w:rsidRDefault="00090548" w:rsidP="00090548">
      <w:pPr>
        <w:numPr>
          <w:ilvl w:val="0"/>
          <w:numId w:val="2"/>
        </w:numPr>
        <w:spacing w:line="360" w:lineRule="auto"/>
        <w:ind w:left="0" w:firstLine="0"/>
        <w:jc w:val="both"/>
        <w:rPr>
          <w:rFonts w:ascii="Palatino Linotype" w:eastAsia="Palatino Linotype" w:hAnsi="Palatino Linotype" w:cs="Palatino Linotype"/>
          <w:b/>
          <w:sz w:val="22"/>
          <w:szCs w:val="22"/>
        </w:rPr>
      </w:pPr>
      <w:r w:rsidRPr="00012649">
        <w:rPr>
          <w:rFonts w:ascii="Palatino Linotype" w:eastAsia="Palatino Linotype" w:hAnsi="Palatino Linotype" w:cs="Palatino Linotype"/>
          <w:sz w:val="22"/>
          <w:szCs w:val="22"/>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090548" w:rsidRPr="00012649" w:rsidRDefault="00090548" w:rsidP="00090548">
      <w:pPr>
        <w:spacing w:line="360" w:lineRule="auto"/>
        <w:jc w:val="both"/>
        <w:rPr>
          <w:rFonts w:ascii="Palatino Linotype" w:eastAsia="Palatino Linotype" w:hAnsi="Palatino Linotype" w:cs="Palatino Linotype"/>
          <w:b/>
          <w:sz w:val="22"/>
          <w:szCs w:val="22"/>
        </w:rPr>
      </w:pPr>
    </w:p>
    <w:p w:rsidR="00090548" w:rsidRPr="00012649" w:rsidRDefault="00090548" w:rsidP="00090548">
      <w:pPr>
        <w:keepNext/>
        <w:keepLines/>
        <w:spacing w:line="360" w:lineRule="auto"/>
        <w:rPr>
          <w:rFonts w:ascii="Palatino Linotype" w:eastAsia="Palatino Linotype" w:hAnsi="Palatino Linotype" w:cs="Palatino Linotype"/>
          <w:b/>
          <w:sz w:val="22"/>
          <w:szCs w:val="22"/>
        </w:rPr>
      </w:pPr>
      <w:bookmarkStart w:id="6" w:name="_heading=h.tyjcwt" w:colFirst="0" w:colLast="0"/>
      <w:bookmarkEnd w:id="6"/>
      <w:r w:rsidRPr="00012649">
        <w:rPr>
          <w:rFonts w:ascii="Palatino Linotype" w:eastAsia="Palatino Linotype" w:hAnsi="Palatino Linotype" w:cs="Palatino Linotype"/>
          <w:b/>
          <w:sz w:val="22"/>
          <w:szCs w:val="22"/>
        </w:rPr>
        <w:t>TERCERO. Planteamiento de la Litis.</w:t>
      </w:r>
    </w:p>
    <w:p w:rsidR="00090548" w:rsidRPr="00012649" w:rsidRDefault="00090548" w:rsidP="00090548">
      <w:pPr>
        <w:keepNext/>
        <w:keepLines/>
        <w:spacing w:line="360" w:lineRule="auto"/>
        <w:rPr>
          <w:rFonts w:ascii="Palatino Linotype" w:eastAsia="Palatino Linotype" w:hAnsi="Palatino Linotype" w:cs="Palatino Linotype"/>
          <w:b/>
          <w:sz w:val="22"/>
          <w:szCs w:val="22"/>
        </w:rPr>
      </w:pPr>
    </w:p>
    <w:p w:rsidR="00090548" w:rsidRPr="00012649" w:rsidRDefault="00317453" w:rsidP="00090548">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012649">
        <w:rPr>
          <w:rFonts w:ascii="Palatino Linotype" w:eastAsia="Palatino Linotype" w:hAnsi="Palatino Linotype" w:cs="Palatino Linotype"/>
          <w:color w:val="000000"/>
          <w:sz w:val="22"/>
          <w:szCs w:val="22"/>
        </w:rPr>
        <w:t xml:space="preserve">El particular solicitó la documentación relativa a las estaciones de carburación que están en proceso de apertura, las que ya operan y las que se encuentren sin operar. </w:t>
      </w:r>
    </w:p>
    <w:p w:rsidR="00090548" w:rsidRPr="00012649" w:rsidRDefault="00090548" w:rsidP="00090548">
      <w:pPr>
        <w:pBdr>
          <w:top w:val="nil"/>
          <w:left w:val="nil"/>
          <w:bottom w:val="nil"/>
          <w:right w:val="nil"/>
          <w:between w:val="nil"/>
        </w:pBdr>
        <w:spacing w:line="360" w:lineRule="auto"/>
        <w:jc w:val="both"/>
        <w:rPr>
          <w:rFonts w:ascii="Palatino Linotype" w:hAnsi="Palatino Linotype"/>
          <w:color w:val="000000"/>
          <w:sz w:val="22"/>
          <w:szCs w:val="22"/>
        </w:rPr>
      </w:pPr>
    </w:p>
    <w:p w:rsidR="00090548" w:rsidRPr="00012649" w:rsidRDefault="00090548" w:rsidP="00090548">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012649">
        <w:rPr>
          <w:rFonts w:ascii="Palatino Linotype" w:eastAsia="Palatino Linotype" w:hAnsi="Palatino Linotype" w:cs="Palatino Linotype"/>
          <w:color w:val="000000"/>
          <w:sz w:val="22"/>
          <w:szCs w:val="22"/>
        </w:rPr>
        <w:lastRenderedPageBreak/>
        <w:t xml:space="preserve">En respuesta, el Sujeto Obligado señaló </w:t>
      </w:r>
      <w:r w:rsidR="00317453" w:rsidRPr="00012649">
        <w:rPr>
          <w:rFonts w:ascii="Palatino Linotype" w:eastAsia="Palatino Linotype" w:hAnsi="Palatino Linotype" w:cs="Palatino Linotype"/>
          <w:color w:val="000000"/>
          <w:sz w:val="22"/>
          <w:szCs w:val="22"/>
        </w:rPr>
        <w:t xml:space="preserve">a través de la Directora de Desarrollo Económico que, derivado de la búsqueda en sus archivos, no se localizó la información solicitada. </w:t>
      </w:r>
      <w:r w:rsidR="00514C62" w:rsidRPr="00012649">
        <w:rPr>
          <w:rFonts w:ascii="Palatino Linotype" w:eastAsia="Palatino Linotype" w:hAnsi="Palatino Linotype" w:cs="Palatino Linotype"/>
          <w:color w:val="000000"/>
          <w:sz w:val="22"/>
          <w:szCs w:val="22"/>
        </w:rPr>
        <w:t xml:space="preserve">Inconforme con la respuesta, el Recurrente interpuso recurso de revisión en el que señaló su inconformidad, de forma medular, por la negativa de la información. </w:t>
      </w:r>
      <w:r w:rsidRPr="00012649">
        <w:rPr>
          <w:rFonts w:ascii="Palatino Linotype" w:eastAsia="Palatino Linotype" w:hAnsi="Palatino Linotype" w:cs="Palatino Linotype"/>
          <w:color w:val="000000"/>
          <w:sz w:val="22"/>
          <w:szCs w:val="22"/>
        </w:rPr>
        <w:t xml:space="preserve">  </w:t>
      </w:r>
    </w:p>
    <w:p w:rsidR="00090548" w:rsidRPr="00012649" w:rsidRDefault="00090548" w:rsidP="00090548">
      <w:pPr>
        <w:tabs>
          <w:tab w:val="left" w:pos="0"/>
        </w:tabs>
        <w:spacing w:line="360" w:lineRule="auto"/>
        <w:jc w:val="both"/>
        <w:rPr>
          <w:rFonts w:ascii="Palatino Linotype" w:eastAsia="Palatino Linotype" w:hAnsi="Palatino Linotype" w:cs="Palatino Linotype"/>
          <w:i/>
          <w:sz w:val="22"/>
          <w:szCs w:val="22"/>
        </w:rPr>
      </w:pPr>
    </w:p>
    <w:p w:rsidR="00090548" w:rsidRPr="00012649" w:rsidRDefault="00090548" w:rsidP="00090548">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012649">
        <w:rPr>
          <w:rFonts w:ascii="Palatino Linotype" w:eastAsia="Palatino Linotype" w:hAnsi="Palatino Linotype" w:cs="Palatino Linotype"/>
          <w:color w:val="000000"/>
          <w:sz w:val="22"/>
          <w:szCs w:val="22"/>
        </w:rPr>
        <w:t xml:space="preserve">En consecuencia, la Litis a resolver en este recurso, se circunscribe a determinar si la respuesta colma con lo solicitado o si se actualiza la causal de procedencia prevista en el artículo 179, fracción I de la Ley de Transparencia y Acceso a la Información Pública del Estado de México y Municipios; que establece la negativa de la información.   </w:t>
      </w:r>
    </w:p>
    <w:p w:rsidR="00090548" w:rsidRPr="00012649" w:rsidRDefault="00090548" w:rsidP="0009054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090548" w:rsidRPr="00012649" w:rsidRDefault="00090548" w:rsidP="00090548">
      <w:pPr>
        <w:pStyle w:val="Ttulo1"/>
        <w:spacing w:before="0" w:line="360" w:lineRule="auto"/>
        <w:rPr>
          <w:rFonts w:ascii="Palatino Linotype" w:eastAsia="Palatino Linotype" w:hAnsi="Palatino Linotype" w:cs="Palatino Linotype"/>
          <w:b/>
          <w:color w:val="000000"/>
          <w:sz w:val="22"/>
          <w:szCs w:val="22"/>
        </w:rPr>
      </w:pPr>
      <w:bookmarkStart w:id="7" w:name="_heading=h.3dy6vkm" w:colFirst="0" w:colLast="0"/>
      <w:bookmarkEnd w:id="7"/>
      <w:r w:rsidRPr="00012649">
        <w:rPr>
          <w:rFonts w:ascii="Palatino Linotype" w:eastAsia="Palatino Linotype" w:hAnsi="Palatino Linotype" w:cs="Palatino Linotype"/>
          <w:b/>
          <w:color w:val="000000"/>
          <w:sz w:val="22"/>
          <w:szCs w:val="22"/>
        </w:rPr>
        <w:t>CUARTO. Del estudio y resolución del recurso de revisión.</w:t>
      </w:r>
    </w:p>
    <w:p w:rsidR="00090548" w:rsidRPr="00012649" w:rsidRDefault="00090548" w:rsidP="00090548">
      <w:pPr>
        <w:rPr>
          <w:rFonts w:eastAsia="Palatino Linotype"/>
          <w:sz w:val="22"/>
          <w:szCs w:val="22"/>
        </w:rPr>
      </w:pPr>
    </w:p>
    <w:p w:rsidR="00090548" w:rsidRPr="00012649" w:rsidRDefault="00090548" w:rsidP="00090548">
      <w:pPr>
        <w:pStyle w:val="Prrafodelista"/>
        <w:numPr>
          <w:ilvl w:val="0"/>
          <w:numId w:val="2"/>
        </w:numPr>
        <w:spacing w:line="360" w:lineRule="auto"/>
        <w:ind w:left="0" w:right="49" w:firstLine="0"/>
        <w:jc w:val="both"/>
        <w:rPr>
          <w:rFonts w:ascii="Palatino Linotype" w:eastAsiaTheme="minorEastAsia" w:hAnsi="Palatino Linotype"/>
          <w:szCs w:val="22"/>
          <w:lang w:val="es-ES_tradnl" w:eastAsia="es-ES"/>
        </w:rPr>
      </w:pPr>
      <w:r w:rsidRPr="00012649">
        <w:rPr>
          <w:rFonts w:ascii="Palatino Linotype" w:eastAsia="Cambria" w:hAnsi="Palatino Linotype" w:cs="Arial"/>
          <w:szCs w:val="22"/>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012649">
        <w:rPr>
          <w:rFonts w:ascii="Palatino Linotype" w:eastAsia="Calibri" w:hAnsi="Palatino Linotype" w:cs="Arial"/>
          <w:szCs w:val="22"/>
          <w:lang w:val="es-ES"/>
        </w:rPr>
        <w:t>Ley de Transparencia y Acceso a la Información Pública del Estado de México y Municipios</w:t>
      </w:r>
      <w:r w:rsidRPr="00012649">
        <w:rPr>
          <w:rFonts w:ascii="Palatino Linotype" w:hAnsi="Palatino Linotype" w:cs="Arial"/>
          <w:szCs w:val="22"/>
          <w:lang w:val="es-ES"/>
        </w:rPr>
        <w:t>.</w:t>
      </w:r>
    </w:p>
    <w:p w:rsidR="00090548" w:rsidRPr="00012649" w:rsidRDefault="00090548" w:rsidP="00090548">
      <w:pPr>
        <w:pStyle w:val="Prrafodelista"/>
        <w:spacing w:line="360" w:lineRule="auto"/>
        <w:ind w:left="0"/>
        <w:jc w:val="both"/>
        <w:rPr>
          <w:rFonts w:ascii="Palatino Linotype" w:eastAsia="MS Mincho" w:hAnsi="Palatino Linotype"/>
          <w:szCs w:val="22"/>
        </w:rPr>
      </w:pPr>
    </w:p>
    <w:p w:rsidR="00514C62" w:rsidRPr="00012649" w:rsidRDefault="00090548" w:rsidP="00514C62">
      <w:pPr>
        <w:pStyle w:val="Prrafodelista"/>
        <w:numPr>
          <w:ilvl w:val="0"/>
          <w:numId w:val="2"/>
        </w:numPr>
        <w:spacing w:line="360" w:lineRule="auto"/>
        <w:ind w:left="0" w:firstLine="0"/>
        <w:jc w:val="both"/>
        <w:rPr>
          <w:rFonts w:ascii="Palatino Linotype" w:eastAsia="MS Mincho" w:hAnsi="Palatino Linotype"/>
          <w:szCs w:val="22"/>
        </w:rPr>
      </w:pPr>
      <w:r w:rsidRPr="00012649">
        <w:rPr>
          <w:rFonts w:ascii="Palatino Linotype" w:eastAsia="MS Mincho" w:hAnsi="Palatino Linotype"/>
          <w:szCs w:val="22"/>
        </w:rPr>
        <w:t xml:space="preserve">De las constancias del expediente SAIMEX, se advierte que el particular requiere </w:t>
      </w:r>
      <w:r w:rsidR="00514C62" w:rsidRPr="00012649">
        <w:rPr>
          <w:rFonts w:ascii="Palatino Linotype" w:eastAsia="Palatino Linotype" w:hAnsi="Palatino Linotype" w:cs="Palatino Linotype"/>
          <w:color w:val="000000"/>
          <w:szCs w:val="22"/>
        </w:rPr>
        <w:t xml:space="preserve">la documentación relativa a las estaciones de carburación que están en proceso de apertura, las que ya operan y las que se encuentren sin operar. </w:t>
      </w:r>
    </w:p>
    <w:p w:rsidR="00090548" w:rsidRPr="00012649" w:rsidRDefault="00090548" w:rsidP="00514C62">
      <w:pPr>
        <w:pStyle w:val="Prrafodelista"/>
        <w:spacing w:line="360" w:lineRule="auto"/>
        <w:ind w:left="0"/>
        <w:jc w:val="both"/>
        <w:rPr>
          <w:rFonts w:ascii="Palatino Linotype" w:eastAsia="MS Mincho" w:hAnsi="Palatino Linotype"/>
          <w:szCs w:val="22"/>
        </w:rPr>
      </w:pPr>
    </w:p>
    <w:p w:rsidR="001B1ACB" w:rsidRPr="00012649" w:rsidRDefault="00090548" w:rsidP="001B1AC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012649">
        <w:rPr>
          <w:rFonts w:ascii="Palatino Linotype" w:hAnsi="Palatino Linotype"/>
          <w:color w:val="000000"/>
          <w:sz w:val="22"/>
          <w:szCs w:val="22"/>
        </w:rPr>
        <w:t xml:space="preserve">En ese sentido, conviene señalar la naturaleza de la información solicitada, por ello, </w:t>
      </w:r>
      <w:r w:rsidR="001B1ACB" w:rsidRPr="00012649">
        <w:rPr>
          <w:rFonts w:ascii="Palatino Linotype" w:eastAsia="Palatino Linotype" w:hAnsi="Palatino Linotype" w:cs="Palatino Linotype"/>
        </w:rPr>
        <w:t>conviene citar el contenido de los siguientes artículos 2, fracciones XV, 4 fracción VIII, 7 fracción V, 16 fracción II y 66 de la Ley de Competitividad y Ordenamiento Comercial del Estado de México, que a la letra disponen lo siguiente:</w:t>
      </w:r>
    </w:p>
    <w:p w:rsidR="001B1ACB" w:rsidRPr="00012649" w:rsidRDefault="001B1ACB" w:rsidP="001B1ACB">
      <w:pPr>
        <w:pStyle w:val="Prrafodelista"/>
        <w:spacing w:line="360" w:lineRule="auto"/>
        <w:ind w:left="360"/>
        <w:jc w:val="both"/>
        <w:rPr>
          <w:rFonts w:ascii="Palatino Linotype" w:eastAsia="Palatino Linotype" w:hAnsi="Palatino Linotype" w:cs="Palatino Linotype"/>
        </w:rPr>
      </w:pPr>
    </w:p>
    <w:p w:rsidR="001B1ACB" w:rsidRPr="00012649" w:rsidRDefault="001B1ACB" w:rsidP="001B1ACB">
      <w:pPr>
        <w:pStyle w:val="Prrafodelista"/>
        <w:ind w:left="851" w:right="822"/>
        <w:jc w:val="both"/>
        <w:rPr>
          <w:rFonts w:ascii="Palatino Linotype" w:eastAsia="Palatino Linotype" w:hAnsi="Palatino Linotype" w:cs="Palatino Linotype"/>
          <w:b/>
          <w:i/>
        </w:rPr>
      </w:pPr>
      <w:r w:rsidRPr="00012649">
        <w:rPr>
          <w:rFonts w:ascii="Palatino Linotype" w:eastAsia="Palatino Linotype" w:hAnsi="Palatino Linotype" w:cs="Palatino Linotype"/>
          <w:b/>
          <w:i/>
        </w:rPr>
        <w:t>“Artículo 2. Para los efectos de esta Ley, se entenderá por:</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b/>
          <w:i/>
        </w:rPr>
        <w:t>XV. Licencia de funcionamiento:</w:t>
      </w:r>
      <w:r w:rsidRPr="00012649">
        <w:rPr>
          <w:rFonts w:ascii="Palatino Linotype" w:eastAsia="Palatino Linotype" w:hAnsi="Palatino Linotype" w:cs="Palatino Linotype"/>
          <w:i/>
        </w:rPr>
        <w:t xml:space="preserve"> Al acto administrativo que emite la autoridad, por el cual autoriza a una persona física o jurídica colectiva a desarrollar actividades económicas.</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w:t>
      </w:r>
    </w:p>
    <w:p w:rsidR="001B1ACB" w:rsidRPr="00012649" w:rsidRDefault="001B1ACB" w:rsidP="001B1ACB">
      <w:pPr>
        <w:pStyle w:val="Prrafodelista"/>
        <w:ind w:left="851" w:right="822"/>
        <w:jc w:val="both"/>
        <w:rPr>
          <w:rFonts w:ascii="Palatino Linotype" w:eastAsia="Palatino Linotype" w:hAnsi="Palatino Linotype" w:cs="Palatino Linotype"/>
          <w:b/>
          <w:i/>
        </w:rPr>
      </w:pPr>
      <w:r w:rsidRPr="00012649">
        <w:rPr>
          <w:rFonts w:ascii="Palatino Linotype" w:eastAsia="Palatino Linotype" w:hAnsi="Palatino Linotype" w:cs="Palatino Linotype"/>
          <w:b/>
          <w:i/>
        </w:rPr>
        <w:t>Artículo 4. Son autoridades encargadas de la aplicación de esta Ley las siguientes:</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VIII. Ayuntamientos.</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w:t>
      </w:r>
    </w:p>
    <w:p w:rsidR="001B1ACB" w:rsidRPr="00012649" w:rsidRDefault="001B1ACB" w:rsidP="001B1ACB">
      <w:pPr>
        <w:pStyle w:val="Prrafodelista"/>
        <w:ind w:left="851" w:right="822"/>
        <w:jc w:val="both"/>
        <w:rPr>
          <w:rFonts w:ascii="Palatino Linotype" w:eastAsia="Palatino Linotype" w:hAnsi="Palatino Linotype" w:cs="Palatino Linotype"/>
          <w:b/>
          <w:i/>
        </w:rPr>
      </w:pPr>
      <w:r w:rsidRPr="00012649">
        <w:rPr>
          <w:rFonts w:ascii="Palatino Linotype" w:eastAsia="Palatino Linotype" w:hAnsi="Palatino Linotype" w:cs="Palatino Linotype"/>
          <w:b/>
          <w:i/>
        </w:rPr>
        <w:t>Artículo 7. Corresponde a los municipios:</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 xml:space="preserve">I. Crear el registro municipal, donde se especifica la licencia de funcionamiento con la actividad de la unidad económica e impacto que generen, así como las demás características que se determinen. </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 xml:space="preserve">II. Integrar y operar la ventanilla única. </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III. Operar, digitalizar y mantener, semanalmente actualizado, el registro municipal, a través de la Dirección de Desarrollo Económico o su equivalente, que opere en su demarcación, el cual deberá publicarse en el portal de Internet del municipio.</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V. Resguardar y actualizar el archivo físico y digital con los documentos requeridos por las leyes para la expedición y refrendo de las licencias correspondientes.</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 xml:space="preserve">VI. Ordenar visitas de verificación a las unidades económicas que operen en su demarcación. </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VII. En términos de los ordenamientos aplicables, substanciar el procedimiento de las visitas de verificación administrativa que se hayan practicado.</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w:t>
      </w:r>
      <w:r w:rsidRPr="00012649">
        <w:rPr>
          <w:rFonts w:ascii="Palatino Linotype" w:eastAsia="Palatino Linotype" w:hAnsi="Palatino Linotype" w:cs="Palatino Linotype"/>
          <w:b/>
          <w:i/>
        </w:rPr>
        <w:t>Artículo 16. Las ventanillas, en los diferentes ámbitos de su competencia, gestionarán los trámites siguientes:</w:t>
      </w:r>
      <w:r w:rsidRPr="00012649">
        <w:rPr>
          <w:rFonts w:ascii="Palatino Linotype" w:eastAsia="Palatino Linotype" w:hAnsi="Palatino Linotype" w:cs="Palatino Linotype"/>
          <w:i/>
        </w:rPr>
        <w:t xml:space="preserve"> </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w:t>
      </w:r>
    </w:p>
    <w:p w:rsidR="001B1ACB" w:rsidRPr="00012649" w:rsidRDefault="001B1ACB" w:rsidP="001B1ACB">
      <w:pPr>
        <w:pStyle w:val="Prrafodelista"/>
        <w:ind w:left="851" w:right="822"/>
        <w:jc w:val="both"/>
        <w:rPr>
          <w:rFonts w:ascii="Palatino Linotype" w:eastAsia="Palatino Linotype" w:hAnsi="Palatino Linotype" w:cs="Palatino Linotype"/>
          <w:b/>
          <w:i/>
        </w:rPr>
      </w:pPr>
      <w:r w:rsidRPr="00012649">
        <w:rPr>
          <w:rFonts w:ascii="Palatino Linotype" w:eastAsia="Palatino Linotype" w:hAnsi="Palatino Linotype" w:cs="Palatino Linotype"/>
          <w:b/>
          <w:i/>
        </w:rPr>
        <w:t>II. Licencias</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w:t>
      </w:r>
    </w:p>
    <w:p w:rsidR="001B1ACB" w:rsidRPr="00012649" w:rsidRDefault="001B1ACB" w:rsidP="001B1ACB">
      <w:pPr>
        <w:pStyle w:val="Prrafodelista"/>
        <w:ind w:left="851" w:right="822"/>
        <w:rPr>
          <w:rFonts w:ascii="Palatino Linotype" w:eastAsia="Palatino Linotype" w:hAnsi="Palatino Linotype" w:cs="Palatino Linotype"/>
          <w:b/>
          <w:i/>
        </w:rPr>
      </w:pPr>
      <w:r w:rsidRPr="00012649">
        <w:rPr>
          <w:rFonts w:ascii="Palatino Linotype" w:eastAsia="Palatino Linotype" w:hAnsi="Palatino Linotype" w:cs="Palatino Linotype"/>
          <w:b/>
          <w:i/>
        </w:rPr>
        <w:t>“DE LOS REQUISITOS PARA OBTENER PERMISO O LICENCIA DE FUNCIONAMIENTO PARA LAS UNIDADES ECONÓMICAS DE MEDIANO Y ALTO IMPACTO</w:t>
      </w:r>
    </w:p>
    <w:p w:rsidR="001B1ACB" w:rsidRPr="00012649" w:rsidRDefault="001B1ACB" w:rsidP="001B1ACB">
      <w:pPr>
        <w:pStyle w:val="Prrafodelista"/>
        <w:ind w:left="851" w:right="822"/>
        <w:jc w:val="both"/>
        <w:rPr>
          <w:rFonts w:ascii="Palatino Linotype" w:eastAsia="Palatino Linotype" w:hAnsi="Palatino Linotype" w:cs="Palatino Linotype"/>
          <w:b/>
          <w:i/>
        </w:rPr>
      </w:pPr>
      <w:r w:rsidRPr="00012649">
        <w:rPr>
          <w:rFonts w:ascii="Palatino Linotype" w:eastAsia="Palatino Linotype" w:hAnsi="Palatino Linotype" w:cs="Palatino Linotype"/>
          <w:b/>
          <w:i/>
        </w:rPr>
        <w:lastRenderedPageBreak/>
        <w:t>Artículo 66. Para la obtención de un permiso o licencia de funcionamiento, los solicitantes o representante legal tendrán que cumplir los requisitos siguientes:</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 xml:space="preserve">I. Solicitud en la que se señale la razón social del solicitante, así como domicilio para oír y recibir notificaciones y dirección de correo electrónico para los efectos de esta Ley. En caso de que el solicitante sea persona física se cotejarán los datos de la credencial para votar con fotografía. </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 xml:space="preserve">II. Actividad económica que se pretende operar. </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 xml:space="preserve">III. Datos de la licencia de uso del suelo que señale el permitido para la actividad económica que se pretende operar. </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 xml:space="preserve">IV. Que cuenta con los cajones de estacionamiento que determine la autoridad correspondiente. </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 xml:space="preserve">V. La capacidad de aforo respectiva. </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 xml:space="preserve">VI. Dar cuenta del programa interno de protección civil. </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 xml:space="preserve">VII. Dictamen de Giro o permiso, en su caso, emitido por la autoridad municipal. </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 xml:space="preserve">VIII. Para el caso de las unidades económicas de alto impacto deberá manifestar que cuenta con el sistema de seguridad a que hace referencia esta Ley. </w:t>
      </w:r>
    </w:p>
    <w:p w:rsidR="001B1ACB" w:rsidRPr="00012649" w:rsidRDefault="001B1ACB" w:rsidP="001B1ACB">
      <w:pPr>
        <w:pStyle w:val="Prrafodelista"/>
        <w:ind w:left="851" w:right="822"/>
        <w:jc w:val="both"/>
        <w:rPr>
          <w:rFonts w:ascii="Palatino Linotype" w:eastAsia="Palatino Linotype" w:hAnsi="Palatino Linotype" w:cs="Palatino Linotype"/>
          <w:i/>
        </w:rPr>
      </w:pPr>
      <w:r w:rsidRPr="00012649">
        <w:rPr>
          <w:rFonts w:ascii="Palatino Linotype" w:eastAsia="Palatino Linotype" w:hAnsi="Palatino Linotype" w:cs="Palatino Linotype"/>
          <w:i/>
        </w:rPr>
        <w:t>Una vez cubiertos los requisitos señalados en el presente artículo y en caso de ser procedente el permiso o licencia de funcionamiento, la autoridad hará del conocimiento al solicitante o representante legal el monto a cubrir por los derechos correspondientes, una vez cubiertos se otorgará el permiso o licencia de funcionamiento.”</w:t>
      </w:r>
    </w:p>
    <w:p w:rsidR="001B1ACB" w:rsidRPr="00012649" w:rsidRDefault="001B1ACB" w:rsidP="001B1ACB">
      <w:pPr>
        <w:pStyle w:val="Prrafodelista"/>
        <w:ind w:left="851" w:right="822"/>
        <w:rPr>
          <w:rFonts w:ascii="Palatino Linotype" w:eastAsia="Palatino Linotype" w:hAnsi="Palatino Linotype" w:cs="Palatino Linotype"/>
          <w:i/>
        </w:rPr>
      </w:pPr>
      <w:r w:rsidRPr="00012649">
        <w:rPr>
          <w:rFonts w:ascii="Palatino Linotype" w:eastAsia="Palatino Linotype" w:hAnsi="Palatino Linotype" w:cs="Palatino Linotype"/>
          <w:i/>
        </w:rPr>
        <w:t>(Énfasis añadido)</w:t>
      </w:r>
    </w:p>
    <w:p w:rsidR="001B1ACB" w:rsidRPr="00012649" w:rsidRDefault="001B1ACB" w:rsidP="001B1ACB">
      <w:pPr>
        <w:pStyle w:val="Prrafodelista"/>
        <w:spacing w:line="360" w:lineRule="auto"/>
        <w:ind w:left="360"/>
        <w:jc w:val="both"/>
        <w:rPr>
          <w:rFonts w:ascii="Palatino Linotype" w:eastAsia="Palatino Linotype" w:hAnsi="Palatino Linotype" w:cs="Palatino Linotype"/>
        </w:rPr>
      </w:pPr>
    </w:p>
    <w:p w:rsidR="001B1ACB" w:rsidRPr="00012649" w:rsidRDefault="001B1ACB" w:rsidP="001B1ACB">
      <w:pPr>
        <w:pStyle w:val="Prrafodelista"/>
        <w:numPr>
          <w:ilvl w:val="0"/>
          <w:numId w:val="2"/>
        </w:numPr>
        <w:spacing w:line="360" w:lineRule="auto"/>
        <w:ind w:left="0" w:firstLine="0"/>
        <w:jc w:val="both"/>
        <w:rPr>
          <w:rFonts w:ascii="Palatino Linotype" w:eastAsia="Palatino Linotype" w:hAnsi="Palatino Linotype" w:cs="Palatino Linotype"/>
        </w:rPr>
      </w:pPr>
      <w:r w:rsidRPr="00012649">
        <w:rPr>
          <w:rFonts w:ascii="Palatino Linotype" w:eastAsia="Palatino Linotype" w:hAnsi="Palatino Linotype" w:cs="Palatino Linotype"/>
        </w:rPr>
        <w:t>De las porciones legales citadas, se desprende que una licencia de funcionamiento es un acto administrativo que emite la autoridad, por el cual autoriza a una persona física o jurídica colectiva a desarrollar actividades económicas.</w:t>
      </w:r>
    </w:p>
    <w:p w:rsidR="0065496F" w:rsidRPr="00012649" w:rsidRDefault="0065496F" w:rsidP="0065496F">
      <w:pPr>
        <w:pStyle w:val="Prrafodelista"/>
        <w:spacing w:line="360" w:lineRule="auto"/>
        <w:ind w:left="0"/>
        <w:jc w:val="both"/>
        <w:rPr>
          <w:rFonts w:ascii="Palatino Linotype" w:eastAsia="Palatino Linotype" w:hAnsi="Palatino Linotype" w:cs="Palatino Linotype"/>
        </w:rPr>
      </w:pPr>
    </w:p>
    <w:p w:rsidR="001B1ACB" w:rsidRPr="00012649" w:rsidRDefault="0065496F" w:rsidP="001B1ACB">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012649">
        <w:rPr>
          <w:rFonts w:ascii="Palatino Linotype" w:hAnsi="Palatino Linotype"/>
          <w:color w:val="000000"/>
          <w:sz w:val="22"/>
          <w:szCs w:val="22"/>
        </w:rPr>
        <w:t xml:space="preserve">Asimismo, conviene señalar que si bien, al Sujeto Obligado no le corresponde la emisión de licencias de funcionamiento, si tiene atribuciones para  resguardar y actualizar el archivo físico y digital con los documentos que se requieren para la expedición de licencias de funcionamiento de acto impacto, así como para tener un registro municipal donde se específica la licencia de funcionamiento con la actividad de la unidad económica e impacto que generen. </w:t>
      </w:r>
    </w:p>
    <w:p w:rsidR="00514C62" w:rsidRPr="00012649" w:rsidRDefault="0038630D" w:rsidP="00090548">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012649">
        <w:rPr>
          <w:rFonts w:ascii="Palatino Linotype" w:hAnsi="Palatino Linotype"/>
          <w:color w:val="000000"/>
          <w:sz w:val="22"/>
          <w:szCs w:val="22"/>
        </w:rPr>
        <w:lastRenderedPageBreak/>
        <w:t>Por su parte</w:t>
      </w:r>
      <w:r w:rsidR="00137AE0" w:rsidRPr="00012649">
        <w:rPr>
          <w:rFonts w:ascii="Palatino Linotype" w:hAnsi="Palatino Linotype"/>
          <w:color w:val="000000"/>
          <w:sz w:val="22"/>
          <w:szCs w:val="22"/>
        </w:rPr>
        <w:t>, el artículo 151 fracción II</w:t>
      </w:r>
      <w:r w:rsidR="00713BCA" w:rsidRPr="00012649">
        <w:rPr>
          <w:rFonts w:ascii="Palatino Linotype" w:hAnsi="Palatino Linotype"/>
          <w:color w:val="000000"/>
          <w:sz w:val="22"/>
          <w:szCs w:val="22"/>
        </w:rPr>
        <w:t xml:space="preserve"> </w:t>
      </w:r>
      <w:r w:rsidR="00137AE0" w:rsidRPr="00012649">
        <w:rPr>
          <w:rFonts w:ascii="Palatino Linotype" w:hAnsi="Palatino Linotype"/>
          <w:color w:val="000000"/>
          <w:sz w:val="22"/>
          <w:szCs w:val="22"/>
        </w:rPr>
        <w:t>del mismo ordenamiento legal, establece que se requiere autorización, licencia o permiso de la autoridad municipal para  construcciones y uso específico del suelo, alineamiento y número oficial, conexiones de agua potable y drenaje, demoliciones y excavaciones, con motivo de la realización de alguna obra por</w:t>
      </w:r>
      <w:r w:rsidR="00713BCA" w:rsidRPr="00012649">
        <w:rPr>
          <w:rFonts w:ascii="Palatino Linotype" w:hAnsi="Palatino Linotype"/>
          <w:color w:val="000000"/>
          <w:sz w:val="22"/>
          <w:szCs w:val="22"/>
        </w:rPr>
        <w:t xml:space="preserve"> tiempo determinado.</w:t>
      </w:r>
    </w:p>
    <w:p w:rsidR="00514C62" w:rsidRPr="00012649" w:rsidRDefault="00514C62" w:rsidP="00353731">
      <w:pPr>
        <w:pBdr>
          <w:top w:val="nil"/>
          <w:left w:val="nil"/>
          <w:bottom w:val="nil"/>
          <w:right w:val="nil"/>
          <w:between w:val="nil"/>
        </w:pBdr>
        <w:spacing w:line="360" w:lineRule="auto"/>
        <w:jc w:val="both"/>
        <w:rPr>
          <w:rFonts w:ascii="Palatino Linotype" w:hAnsi="Palatino Linotype"/>
          <w:color w:val="000000"/>
          <w:sz w:val="22"/>
          <w:szCs w:val="22"/>
        </w:rPr>
      </w:pPr>
    </w:p>
    <w:p w:rsidR="00C6176D" w:rsidRPr="00012649" w:rsidRDefault="00194243" w:rsidP="00DC7BE5">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012649">
        <w:rPr>
          <w:rFonts w:ascii="Palatino Linotype" w:hAnsi="Palatino Linotype"/>
          <w:color w:val="000000"/>
          <w:sz w:val="22"/>
          <w:szCs w:val="22"/>
        </w:rPr>
        <w:t xml:space="preserve">Asimismo, conviene señalar que una gasera se considera una unidad económica de alto impacto pues se trata de un giro económico que </w:t>
      </w:r>
      <w:r w:rsidR="006A1A94" w:rsidRPr="00012649">
        <w:rPr>
          <w:rFonts w:ascii="Palatino Linotype" w:hAnsi="Palatino Linotype"/>
          <w:color w:val="000000"/>
          <w:sz w:val="22"/>
          <w:szCs w:val="22"/>
        </w:rPr>
        <w:t>genera una alteración al desarrollo normal de las actividades de la vida social, por lo que para su funcionamiento se requiere de la emisión de una licencia de funcionamiento, como se localizó en la Cédu</w:t>
      </w:r>
      <w:r w:rsidR="00D96096" w:rsidRPr="00012649">
        <w:rPr>
          <w:rFonts w:ascii="Palatino Linotype" w:hAnsi="Palatino Linotype"/>
          <w:color w:val="000000"/>
          <w:sz w:val="22"/>
          <w:szCs w:val="22"/>
        </w:rPr>
        <w:t>la de Registro del Trámite o Servicio del Sistema Electrónico de Información del Trámites y Servicios del Gobierno del Estado de México:</w:t>
      </w:r>
    </w:p>
    <w:p w:rsidR="00D96096" w:rsidRPr="00012649" w:rsidRDefault="00D96096" w:rsidP="00D96096">
      <w:pPr>
        <w:pStyle w:val="Prrafodelista"/>
        <w:rPr>
          <w:rFonts w:ascii="Palatino Linotype" w:hAnsi="Palatino Linotype"/>
          <w:color w:val="000000"/>
          <w:szCs w:val="22"/>
        </w:rPr>
      </w:pPr>
    </w:p>
    <w:p w:rsidR="00D96096" w:rsidRPr="00012649" w:rsidRDefault="00D96096" w:rsidP="00D96096">
      <w:pPr>
        <w:pBdr>
          <w:top w:val="nil"/>
          <w:left w:val="nil"/>
          <w:bottom w:val="nil"/>
          <w:right w:val="nil"/>
          <w:between w:val="nil"/>
        </w:pBdr>
        <w:spacing w:line="360" w:lineRule="auto"/>
        <w:jc w:val="both"/>
        <w:rPr>
          <w:rFonts w:ascii="Palatino Linotype" w:hAnsi="Palatino Linotype"/>
          <w:color w:val="000000"/>
          <w:sz w:val="22"/>
          <w:szCs w:val="22"/>
        </w:rPr>
      </w:pPr>
      <w:r w:rsidRPr="00012649">
        <w:rPr>
          <w:rFonts w:ascii="Palatino Linotype" w:hAnsi="Palatino Linotype"/>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2862976</wp:posOffset>
                </wp:positionH>
                <wp:positionV relativeFrom="paragraph">
                  <wp:posOffset>2401471</wp:posOffset>
                </wp:positionV>
                <wp:extent cx="427512" cy="0"/>
                <wp:effectExtent l="0" t="19050" r="29845" b="19050"/>
                <wp:wrapNone/>
                <wp:docPr id="2" name="Conector recto 2"/>
                <wp:cNvGraphicFramePr/>
                <a:graphic xmlns:a="http://schemas.openxmlformats.org/drawingml/2006/main">
                  <a:graphicData uri="http://schemas.microsoft.com/office/word/2010/wordprocessingShape">
                    <wps:wsp>
                      <wps:cNvCnPr/>
                      <wps:spPr>
                        <a:xfrm>
                          <a:off x="0" y="0"/>
                          <a:ext cx="427512"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B8E06"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5pt,189.1pt" to="259.1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" strokecolor="red" strokeweight="3pt">
                <v:stroke joinstyle="miter"/>
              </v:line>
            </w:pict>
          </mc:Fallback>
        </mc:AlternateContent>
      </w:r>
      <w:r w:rsidRPr="00012649">
        <w:rPr>
          <w:rFonts w:ascii="Palatino Linotype" w:hAnsi="Palatino Linotype"/>
          <w:noProof/>
          <w:color w:val="000000"/>
          <w:sz w:val="22"/>
          <w:szCs w:val="22"/>
        </w:rPr>
        <w:drawing>
          <wp:inline distT="0" distB="0" distL="0" distR="0" wp14:anchorId="42163AA0" wp14:editId="41E11E51">
            <wp:extent cx="5742940" cy="28619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861945"/>
                    </a:xfrm>
                    <a:prstGeom prst="rect">
                      <a:avLst/>
                    </a:prstGeom>
                  </pic:spPr>
                </pic:pic>
              </a:graphicData>
            </a:graphic>
          </wp:inline>
        </w:drawing>
      </w:r>
    </w:p>
    <w:p w:rsidR="00C6176D" w:rsidRPr="00012649" w:rsidRDefault="00C6176D" w:rsidP="00C6176D">
      <w:pPr>
        <w:pStyle w:val="Prrafodelista"/>
        <w:rPr>
          <w:rFonts w:ascii="Palatino Linotype" w:hAnsi="Palatino Linotype"/>
          <w:color w:val="000000"/>
          <w:szCs w:val="22"/>
        </w:rPr>
      </w:pPr>
    </w:p>
    <w:p w:rsidR="00C6176D" w:rsidRPr="00012649" w:rsidRDefault="0065496F" w:rsidP="00DC7BE5">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012649">
        <w:rPr>
          <w:rFonts w:ascii="Palatino Linotype" w:hAnsi="Palatino Linotype"/>
          <w:color w:val="000000"/>
          <w:sz w:val="22"/>
          <w:szCs w:val="22"/>
        </w:rPr>
        <w:t xml:space="preserve">Por otro lado, conviene traer </w:t>
      </w:r>
      <w:r w:rsidR="00BD131C" w:rsidRPr="00012649">
        <w:rPr>
          <w:rFonts w:ascii="Palatino Linotype" w:hAnsi="Palatino Linotype"/>
          <w:color w:val="000000"/>
          <w:sz w:val="22"/>
          <w:szCs w:val="22"/>
        </w:rPr>
        <w:t xml:space="preserve">el siguiente documento emitido por la Comisión de Impacto Estatal en el que establece los requisitos para la obtención de Evaluación de Impacto </w:t>
      </w:r>
      <w:r w:rsidR="00BD131C" w:rsidRPr="00012649">
        <w:rPr>
          <w:rFonts w:ascii="Palatino Linotype" w:hAnsi="Palatino Linotype"/>
          <w:color w:val="000000"/>
          <w:sz w:val="22"/>
          <w:szCs w:val="22"/>
        </w:rPr>
        <w:lastRenderedPageBreak/>
        <w:t xml:space="preserve">Estatal de Gaseras, </w:t>
      </w:r>
      <w:proofErr w:type="spellStart"/>
      <w:r w:rsidR="00BD131C" w:rsidRPr="00012649">
        <w:rPr>
          <w:rFonts w:ascii="Palatino Linotype" w:hAnsi="Palatino Linotype"/>
          <w:color w:val="000000"/>
          <w:sz w:val="22"/>
          <w:szCs w:val="22"/>
        </w:rPr>
        <w:t>Gasoneras</w:t>
      </w:r>
      <w:proofErr w:type="spellEnd"/>
      <w:r w:rsidR="00BD131C" w:rsidRPr="00012649">
        <w:rPr>
          <w:rFonts w:ascii="Palatino Linotype" w:hAnsi="Palatino Linotype"/>
          <w:color w:val="000000"/>
          <w:sz w:val="22"/>
          <w:szCs w:val="22"/>
        </w:rPr>
        <w:t xml:space="preserve"> y Gasolineras</w:t>
      </w:r>
      <w:r w:rsidR="00BD131C" w:rsidRPr="00012649">
        <w:rPr>
          <w:rStyle w:val="Refdenotaalpie"/>
          <w:rFonts w:ascii="Palatino Linotype" w:hAnsi="Palatino Linotype"/>
          <w:color w:val="000000"/>
          <w:sz w:val="22"/>
          <w:szCs w:val="22"/>
        </w:rPr>
        <w:footnoteReference w:id="1"/>
      </w:r>
      <w:r w:rsidR="00BD131C" w:rsidRPr="00012649">
        <w:rPr>
          <w:rFonts w:ascii="Palatino Linotype" w:hAnsi="Palatino Linotype"/>
          <w:color w:val="000000"/>
          <w:sz w:val="22"/>
          <w:szCs w:val="22"/>
        </w:rPr>
        <w:t xml:space="preserve">, en el que establece que los requisitos específicos de evaluación técnica de impacto en materia urbana corresponde, </w:t>
      </w:r>
      <w:r w:rsidR="006361C9" w:rsidRPr="00012649">
        <w:rPr>
          <w:rFonts w:ascii="Palatino Linotype" w:hAnsi="Palatino Linotype"/>
          <w:color w:val="000000"/>
          <w:sz w:val="22"/>
          <w:szCs w:val="22"/>
        </w:rPr>
        <w:t xml:space="preserve">a las autoridades municipales, </w:t>
      </w:r>
      <w:r w:rsidR="00BD131C" w:rsidRPr="00012649">
        <w:rPr>
          <w:rFonts w:ascii="Palatino Linotype" w:hAnsi="Palatino Linotype"/>
          <w:color w:val="000000"/>
          <w:sz w:val="22"/>
          <w:szCs w:val="22"/>
        </w:rPr>
        <w:t xml:space="preserve"> </w:t>
      </w:r>
      <w:r w:rsidR="006361C9" w:rsidRPr="00012649">
        <w:rPr>
          <w:rFonts w:ascii="Palatino Linotype" w:hAnsi="Palatino Linotype"/>
          <w:color w:val="000000"/>
          <w:sz w:val="22"/>
          <w:szCs w:val="22"/>
        </w:rPr>
        <w:t xml:space="preserve">así como el tema de la viabilidad de los servicios de alcantarilla sanitario, drenaje pluvial y saneamiento y el uso de suelo.  </w:t>
      </w:r>
    </w:p>
    <w:p w:rsidR="00C6176D" w:rsidRPr="00012649" w:rsidRDefault="00C6176D" w:rsidP="006361C9">
      <w:pPr>
        <w:pBdr>
          <w:top w:val="nil"/>
          <w:left w:val="nil"/>
          <w:bottom w:val="nil"/>
          <w:right w:val="nil"/>
          <w:between w:val="nil"/>
        </w:pBdr>
        <w:spacing w:line="360" w:lineRule="auto"/>
        <w:jc w:val="both"/>
        <w:rPr>
          <w:rFonts w:ascii="Palatino Linotype" w:hAnsi="Palatino Linotype"/>
          <w:color w:val="000000"/>
          <w:sz w:val="22"/>
          <w:szCs w:val="22"/>
        </w:rPr>
      </w:pPr>
    </w:p>
    <w:p w:rsidR="00C6176D" w:rsidRPr="00012649" w:rsidRDefault="006361C9" w:rsidP="0051540E">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012649">
        <w:rPr>
          <w:rFonts w:ascii="Palatino Linotype" w:hAnsi="Palatino Linotype"/>
          <w:color w:val="000000"/>
          <w:sz w:val="22"/>
          <w:szCs w:val="22"/>
        </w:rPr>
        <w:t xml:space="preserve">En razón de los anterior, podemos concluir que si bien el municipio no emite la licencia de funcionamiento de </w:t>
      </w:r>
      <w:r w:rsidR="0051540E" w:rsidRPr="00012649">
        <w:rPr>
          <w:rFonts w:ascii="Palatino Linotype" w:hAnsi="Palatino Linotype"/>
          <w:color w:val="000000"/>
          <w:sz w:val="22"/>
          <w:szCs w:val="22"/>
        </w:rPr>
        <w:t>las unidades económicas de alto impacto, en este caso para la operación de las gaseras, si tiene atribuciones para conocer de las mismas, esto atendiendo a que en coordinación con las autoridades estatales y federales se encargan de diferentes trámites para la emisión de las mismas, por lo tanto, tiene atribuciones para conocer de los documentos relativos</w:t>
      </w:r>
      <w:r w:rsidR="0051540E" w:rsidRPr="00012649">
        <w:rPr>
          <w:rFonts w:ascii="Palatino Linotype" w:hAnsi="Palatino Linotype"/>
          <w:b/>
          <w:bCs/>
          <w:color w:val="000000"/>
          <w:szCs w:val="22"/>
        </w:rPr>
        <w:t xml:space="preserve"> </w:t>
      </w:r>
      <w:r w:rsidR="0051540E" w:rsidRPr="00012649">
        <w:rPr>
          <w:rFonts w:ascii="Palatino Linotype" w:hAnsi="Palatino Linotype"/>
          <w:bCs/>
          <w:color w:val="000000"/>
          <w:szCs w:val="22"/>
        </w:rPr>
        <w:t>a las estaciones de carburación que están en proceso de apertura, en funcionamiento y las que se encuentren sin operar dentro de la demarcación del Sujeto Obligado.</w:t>
      </w:r>
      <w:r w:rsidR="0051540E" w:rsidRPr="00012649">
        <w:rPr>
          <w:rFonts w:ascii="Palatino Linotype" w:hAnsi="Palatino Linotype"/>
          <w:b/>
          <w:bCs/>
          <w:color w:val="000000"/>
          <w:szCs w:val="22"/>
        </w:rPr>
        <w:t xml:space="preserve"> </w:t>
      </w:r>
    </w:p>
    <w:p w:rsidR="0051540E" w:rsidRPr="00012649" w:rsidRDefault="0051540E" w:rsidP="0051540E">
      <w:pPr>
        <w:pBdr>
          <w:top w:val="nil"/>
          <w:left w:val="nil"/>
          <w:bottom w:val="nil"/>
          <w:right w:val="nil"/>
          <w:between w:val="nil"/>
        </w:pBdr>
        <w:spacing w:line="360" w:lineRule="auto"/>
        <w:jc w:val="both"/>
        <w:rPr>
          <w:rFonts w:ascii="Palatino Linotype" w:hAnsi="Palatino Linotype"/>
          <w:color w:val="000000"/>
          <w:sz w:val="22"/>
          <w:szCs w:val="22"/>
        </w:rPr>
      </w:pPr>
    </w:p>
    <w:p w:rsidR="00DC7BE5" w:rsidRPr="00012649" w:rsidRDefault="00137AE0" w:rsidP="00DC7BE5">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012649">
        <w:rPr>
          <w:rFonts w:ascii="Palatino Linotype" w:hAnsi="Palatino Linotype"/>
          <w:color w:val="000000"/>
          <w:sz w:val="22"/>
          <w:szCs w:val="22"/>
        </w:rPr>
        <w:t xml:space="preserve">Una vez establecido lo anterior, conviene señalar que </w:t>
      </w:r>
      <w:r w:rsidRPr="00012649">
        <w:rPr>
          <w:rFonts w:ascii="Palatino Linotype" w:eastAsia="MS Mincho" w:hAnsi="Palatino Linotype"/>
        </w:rPr>
        <w:t xml:space="preserve">el acceso a la información es un derecho humano constitucional y convencionalmente reconocido y para tal efecto </w:t>
      </w:r>
      <w:r w:rsidRPr="00012649">
        <w:rPr>
          <w:rFonts w:ascii="Palatino Linotype" w:eastAsia="Calibri" w:hAnsi="Palatino Linotype"/>
          <w:lang w:val="es-ES"/>
        </w:rPr>
        <w:t xml:space="preserve">el párrafo tercero del artículo primero de la Constitución Política de los Estados Unidos Mexicanos establece que el deber de todas las autoridades, </w:t>
      </w:r>
      <w:r w:rsidRPr="00012649">
        <w:rPr>
          <w:rFonts w:ascii="Palatino Linotype" w:eastAsia="Calibri" w:hAnsi="Palatino Linotype"/>
          <w:i/>
          <w:lang w:val="es-ES"/>
        </w:rPr>
        <w:t xml:space="preserve">en el ámbito de sus atribuciones, de promover, respetar, proteger y </w:t>
      </w:r>
      <w:r w:rsidRPr="00012649">
        <w:rPr>
          <w:rFonts w:ascii="Palatino Linotype" w:eastAsia="Calibri" w:hAnsi="Palatino Linotype"/>
          <w:b/>
          <w:i/>
          <w:lang w:val="es-ES"/>
        </w:rPr>
        <w:t>garantizar</w:t>
      </w:r>
      <w:r w:rsidRPr="00012649">
        <w:rPr>
          <w:rFonts w:ascii="Palatino Linotype" w:eastAsia="Calibri" w:hAnsi="Palatino Linotype"/>
          <w:i/>
          <w:lang w:val="es-ES"/>
        </w:rPr>
        <w:t xml:space="preserve"> los derechos humanos. </w:t>
      </w:r>
      <w:r w:rsidRPr="00012649">
        <w:rPr>
          <w:rFonts w:ascii="Palatino Linotype" w:eastAsia="Calibri" w:hAnsi="Palatino Linotype"/>
          <w:b/>
          <w:i/>
          <w:lang w:val="es-ES"/>
        </w:rPr>
        <w:t>En cuanto al derecho de acceso a la información, la Ley de Transparencia y Acceso a la Información Pública del Estado de México y Municipios prevé establece que e</w:t>
      </w:r>
      <w:r w:rsidRPr="00012649">
        <w:rPr>
          <w:rFonts w:ascii="Palatino Linotype" w:hAnsi="Palatino Linotype"/>
          <w:i/>
        </w:rPr>
        <w:t xml:space="preserve">l procedimiento de acceso a la información es la garantía primaria del derecho en cuestión y se rige por los principios de simplicidad, rapidez y gratuidad del procedimiento, auxilio y </w:t>
      </w:r>
      <w:r w:rsidRPr="00012649">
        <w:rPr>
          <w:rFonts w:ascii="Palatino Linotype" w:hAnsi="Palatino Linotype"/>
          <w:i/>
        </w:rPr>
        <w:lastRenderedPageBreak/>
        <w:t>orientación a los particulares</w:t>
      </w:r>
      <w:r w:rsidRPr="00012649">
        <w:rPr>
          <w:rStyle w:val="Refdenotaalpie"/>
          <w:i/>
        </w:rPr>
        <w:footnoteReference w:id="2"/>
      </w:r>
      <w:r w:rsidRPr="00012649">
        <w:rPr>
          <w:rFonts w:ascii="Palatino Linotype" w:hAnsi="Palatino Linotype"/>
          <w:i/>
        </w:rPr>
        <w:t xml:space="preserve">, </w:t>
      </w:r>
      <w:r w:rsidRPr="00012649">
        <w:rPr>
          <w:rFonts w:ascii="Palatino Linotype" w:hAnsi="Palatino Linotype"/>
        </w:rPr>
        <w:t>asimismo establece</w:t>
      </w:r>
      <w:r w:rsidRPr="00012649">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DC7BE5" w:rsidRPr="00012649" w:rsidRDefault="00DC7BE5" w:rsidP="00DC7BE5">
      <w:pPr>
        <w:pBdr>
          <w:top w:val="nil"/>
          <w:left w:val="nil"/>
          <w:bottom w:val="nil"/>
          <w:right w:val="nil"/>
          <w:between w:val="nil"/>
        </w:pBdr>
        <w:spacing w:line="360" w:lineRule="auto"/>
        <w:jc w:val="both"/>
        <w:rPr>
          <w:rFonts w:ascii="Palatino Linotype" w:hAnsi="Palatino Linotype"/>
          <w:color w:val="000000"/>
          <w:sz w:val="22"/>
          <w:szCs w:val="22"/>
        </w:rPr>
      </w:pPr>
    </w:p>
    <w:p w:rsidR="00137AE0" w:rsidRPr="00012649" w:rsidRDefault="00137AE0" w:rsidP="00DC7BE5">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012649">
        <w:rPr>
          <w:rFonts w:ascii="Palatino Linotype" w:hAnsi="Palatino Linotype"/>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137AE0" w:rsidRPr="00012649" w:rsidRDefault="00137AE0" w:rsidP="00137AE0">
      <w:pPr>
        <w:pStyle w:val="Prrafodelista"/>
        <w:rPr>
          <w:rFonts w:ascii="Palatino Linotype" w:hAnsi="Palatino Linotype"/>
        </w:rPr>
      </w:pPr>
    </w:p>
    <w:p w:rsidR="00137AE0" w:rsidRPr="00012649" w:rsidRDefault="00137AE0" w:rsidP="00DC7BE5">
      <w:pPr>
        <w:pStyle w:val="Prrafodelista"/>
        <w:numPr>
          <w:ilvl w:val="0"/>
          <w:numId w:val="2"/>
        </w:numPr>
        <w:spacing w:line="360" w:lineRule="auto"/>
        <w:ind w:left="0" w:firstLine="0"/>
        <w:jc w:val="both"/>
        <w:rPr>
          <w:rFonts w:ascii="Palatino Linotype" w:eastAsia="Calibri" w:hAnsi="Palatino Linotype" w:cs="Arial"/>
        </w:rPr>
      </w:pPr>
      <w:r w:rsidRPr="00012649">
        <w:rPr>
          <w:rFonts w:ascii="Palatino Linotype" w:hAnsi="Palatino Linotype"/>
        </w:rPr>
        <w:t xml:space="preserve">Es así que, su obligación es </w:t>
      </w:r>
      <w:r w:rsidRPr="00012649">
        <w:rPr>
          <w:rFonts w:ascii="Palatino Linotype" w:hAnsi="Palatino Linotype"/>
          <w:i/>
        </w:rPr>
        <w:t>realizar, con efectividad, los trámites internos necesarios para la atención de las solicitudes de información</w:t>
      </w:r>
      <w:r w:rsidRPr="00012649">
        <w:rPr>
          <w:rStyle w:val="Refdenotaalpie"/>
        </w:rPr>
        <w:footnoteReference w:id="3"/>
      </w:r>
      <w:r w:rsidRPr="00012649">
        <w:rPr>
          <w:rFonts w:ascii="Palatino Linotype" w:hAnsi="Palatino Linotype"/>
        </w:rPr>
        <w:t>, es decir, deben otorgar respuestas concisas, contundentes y sobre todo que den la certeza de los actos que realizan.</w:t>
      </w:r>
    </w:p>
    <w:p w:rsidR="00137AE0" w:rsidRPr="00012649" w:rsidRDefault="00137AE0" w:rsidP="00DC7BE5">
      <w:pPr>
        <w:pStyle w:val="Prrafodelista"/>
        <w:ind w:left="0"/>
        <w:rPr>
          <w:rFonts w:ascii="Palatino Linotype" w:eastAsia="Calibri" w:hAnsi="Palatino Linotype" w:cs="Arial"/>
        </w:rPr>
      </w:pPr>
    </w:p>
    <w:p w:rsidR="00137AE0" w:rsidRPr="00012649" w:rsidRDefault="00137AE0" w:rsidP="00DC7BE5">
      <w:pPr>
        <w:pStyle w:val="Prrafodelista"/>
        <w:numPr>
          <w:ilvl w:val="0"/>
          <w:numId w:val="2"/>
        </w:numPr>
        <w:spacing w:line="360" w:lineRule="auto"/>
        <w:ind w:left="0" w:firstLine="0"/>
        <w:jc w:val="both"/>
        <w:rPr>
          <w:rFonts w:ascii="Palatino Linotype" w:eastAsia="MS Mincho" w:hAnsi="Palatino Linotype"/>
        </w:rPr>
      </w:pPr>
      <w:r w:rsidRPr="00012649">
        <w:rPr>
          <w:rFonts w:ascii="Palatino Linotype" w:eastAsia="Palatino Linotype" w:hAnsi="Palatino Linotype" w:cs="Palatino Linotype"/>
        </w:rPr>
        <w:t xml:space="preserve">Al respecto, es menester hacer referencia a lo establecido en los artículos 50, 53 fracciones II, IV y V, 58, 59 fracciones I y II, y 162 </w:t>
      </w:r>
      <w:r w:rsidRPr="00012649">
        <w:rPr>
          <w:rFonts w:ascii="Palatino Linotype" w:eastAsia="Arial Unicode MS" w:hAnsi="Palatino Linotype" w:cs="Arial"/>
          <w:lang w:eastAsia="en-US"/>
        </w:rPr>
        <w:t>de la Ley de Transparencia y Acceso a la Información del Estado de México y Municipios, que a la letra estipulan lo siguiente:</w:t>
      </w:r>
    </w:p>
    <w:p w:rsidR="00137AE0" w:rsidRPr="00012649" w:rsidRDefault="00137AE0" w:rsidP="00137AE0">
      <w:pPr>
        <w:spacing w:line="360" w:lineRule="auto"/>
        <w:jc w:val="both"/>
        <w:rPr>
          <w:rFonts w:ascii="Palatino Linotype" w:eastAsia="Arial Unicode MS" w:hAnsi="Palatino Linotype" w:cs="Arial"/>
          <w:lang w:eastAsia="en-US"/>
        </w:rPr>
      </w:pPr>
    </w:p>
    <w:p w:rsidR="00137AE0" w:rsidRPr="00012649" w:rsidRDefault="00137AE0" w:rsidP="00137AE0">
      <w:pPr>
        <w:ind w:left="567" w:right="616"/>
        <w:jc w:val="both"/>
        <w:rPr>
          <w:rFonts w:ascii="Palatino Linotype" w:eastAsia="Palatino Linotype" w:hAnsi="Palatino Linotype" w:cs="Palatino Linotype"/>
          <w:i/>
          <w:iCs/>
        </w:rPr>
      </w:pPr>
      <w:r w:rsidRPr="00012649">
        <w:rPr>
          <w:rFonts w:ascii="Palatino Linotype" w:eastAsia="Palatino Linotype" w:hAnsi="Palatino Linotype" w:cs="Palatino Linotype"/>
          <w:b/>
          <w:i/>
          <w:iCs/>
        </w:rPr>
        <w:lastRenderedPageBreak/>
        <w:t xml:space="preserve">Artículo 50. </w:t>
      </w:r>
      <w:r w:rsidRPr="00012649">
        <w:rPr>
          <w:rFonts w:ascii="Palatino Linotype" w:eastAsia="Palatino Linotype" w:hAnsi="Palatino Linotype" w:cs="Palatino Linotype"/>
          <w:i/>
          <w:iCs/>
        </w:rPr>
        <w:t>Los sujetos obligados contarán con un área responsable para la atención de las solicitudes de información, a la que se le denominará Unidad de Transparencia.</w:t>
      </w:r>
    </w:p>
    <w:p w:rsidR="00137AE0" w:rsidRPr="00012649" w:rsidRDefault="00137AE0" w:rsidP="00137AE0">
      <w:pPr>
        <w:ind w:left="567" w:right="616"/>
        <w:jc w:val="both"/>
        <w:rPr>
          <w:rFonts w:ascii="Palatino Linotype" w:eastAsia="Palatino Linotype" w:hAnsi="Palatino Linotype" w:cs="Palatino Linotype"/>
          <w:i/>
          <w:iCs/>
        </w:rPr>
      </w:pPr>
    </w:p>
    <w:p w:rsidR="00137AE0" w:rsidRPr="00012649" w:rsidRDefault="00137AE0" w:rsidP="00137AE0">
      <w:pPr>
        <w:ind w:left="567" w:right="616"/>
        <w:jc w:val="both"/>
        <w:rPr>
          <w:rFonts w:ascii="Palatino Linotype" w:eastAsia="Palatino Linotype" w:hAnsi="Palatino Linotype" w:cs="Palatino Linotype"/>
          <w:i/>
          <w:iCs/>
        </w:rPr>
      </w:pPr>
      <w:r w:rsidRPr="00012649">
        <w:rPr>
          <w:rFonts w:ascii="Palatino Linotype" w:eastAsia="Palatino Linotype" w:hAnsi="Palatino Linotype" w:cs="Palatino Linotype"/>
          <w:b/>
          <w:i/>
          <w:iCs/>
        </w:rPr>
        <w:t xml:space="preserve">Artículo 53. </w:t>
      </w:r>
      <w:r w:rsidRPr="00012649">
        <w:rPr>
          <w:rFonts w:ascii="Palatino Linotype" w:eastAsia="Palatino Linotype" w:hAnsi="Palatino Linotype" w:cs="Palatino Linotype"/>
          <w:i/>
          <w:iCs/>
        </w:rPr>
        <w:t>Las Unidades de Transparencia tendrán las siguientes funciones:</w:t>
      </w:r>
    </w:p>
    <w:p w:rsidR="00137AE0" w:rsidRPr="00012649" w:rsidRDefault="00137AE0" w:rsidP="00137AE0">
      <w:pPr>
        <w:ind w:left="567" w:right="616"/>
        <w:jc w:val="both"/>
        <w:rPr>
          <w:rFonts w:ascii="Palatino Linotype" w:eastAsia="Palatino Linotype" w:hAnsi="Palatino Linotype" w:cs="Palatino Linotype"/>
          <w:i/>
          <w:iCs/>
        </w:rPr>
      </w:pPr>
      <w:r w:rsidRPr="00012649">
        <w:rPr>
          <w:rFonts w:ascii="Palatino Linotype" w:eastAsia="Palatino Linotype" w:hAnsi="Palatino Linotype" w:cs="Palatino Linotype"/>
          <w:i/>
          <w:iCs/>
        </w:rPr>
        <w:t>(…)</w:t>
      </w:r>
    </w:p>
    <w:p w:rsidR="00137AE0" w:rsidRPr="00012649" w:rsidRDefault="00137AE0" w:rsidP="00137AE0">
      <w:pPr>
        <w:ind w:left="567" w:right="616"/>
        <w:jc w:val="both"/>
        <w:rPr>
          <w:rFonts w:ascii="Palatino Linotype" w:eastAsia="Palatino Linotype" w:hAnsi="Palatino Linotype" w:cs="Palatino Linotype"/>
          <w:i/>
          <w:iCs/>
        </w:rPr>
      </w:pPr>
      <w:r w:rsidRPr="00012649">
        <w:rPr>
          <w:rFonts w:ascii="Palatino Linotype" w:eastAsia="Palatino Linotype" w:hAnsi="Palatino Linotype" w:cs="Palatino Linotype"/>
          <w:b/>
          <w:bCs/>
          <w:i/>
          <w:iCs/>
        </w:rPr>
        <w:t>II.</w:t>
      </w:r>
      <w:r w:rsidRPr="00012649">
        <w:rPr>
          <w:rFonts w:ascii="Palatino Linotype" w:eastAsia="Palatino Linotype" w:hAnsi="Palatino Linotype" w:cs="Palatino Linotype"/>
          <w:i/>
          <w:iCs/>
        </w:rPr>
        <w:t xml:space="preserve"> Recibir, tramitar y dar respuesta a las solicitudes de acceso a la información;</w:t>
      </w:r>
    </w:p>
    <w:p w:rsidR="00137AE0" w:rsidRPr="00012649" w:rsidRDefault="00137AE0" w:rsidP="00137AE0">
      <w:pPr>
        <w:ind w:left="567" w:right="616"/>
        <w:jc w:val="both"/>
        <w:rPr>
          <w:rFonts w:ascii="Palatino Linotype" w:eastAsia="Palatino Linotype" w:hAnsi="Palatino Linotype" w:cs="Palatino Linotype"/>
          <w:i/>
          <w:iCs/>
        </w:rPr>
      </w:pPr>
      <w:r w:rsidRPr="00012649">
        <w:rPr>
          <w:rFonts w:ascii="Palatino Linotype" w:eastAsia="Palatino Linotype" w:hAnsi="Palatino Linotype" w:cs="Palatino Linotype"/>
          <w:i/>
          <w:iCs/>
        </w:rPr>
        <w:t>(…)</w:t>
      </w:r>
    </w:p>
    <w:p w:rsidR="00137AE0" w:rsidRPr="00012649" w:rsidRDefault="00137AE0" w:rsidP="00137AE0">
      <w:pPr>
        <w:ind w:left="567" w:right="616"/>
        <w:jc w:val="both"/>
        <w:rPr>
          <w:rFonts w:ascii="Palatino Linotype" w:eastAsia="Palatino Linotype" w:hAnsi="Palatino Linotype" w:cs="Palatino Linotype"/>
          <w:i/>
          <w:iCs/>
        </w:rPr>
      </w:pPr>
      <w:r w:rsidRPr="00012649">
        <w:rPr>
          <w:rFonts w:ascii="Palatino Linotype" w:eastAsia="Palatino Linotype" w:hAnsi="Palatino Linotype" w:cs="Palatino Linotype"/>
          <w:b/>
          <w:bCs/>
          <w:i/>
          <w:iCs/>
        </w:rPr>
        <w:t>IV.</w:t>
      </w:r>
      <w:r w:rsidRPr="00012649">
        <w:rPr>
          <w:rFonts w:ascii="Palatino Linotype" w:eastAsia="Palatino Linotype" w:hAnsi="Palatino Linotype" w:cs="Palatino Linotype"/>
          <w:i/>
          <w:iCs/>
        </w:rPr>
        <w:t xml:space="preserve"> Realizar, con efectividad, los trámites internos necesarios para la atención de las solicitudes de acceso a la información;</w:t>
      </w:r>
    </w:p>
    <w:p w:rsidR="00137AE0" w:rsidRPr="00012649" w:rsidRDefault="00137AE0" w:rsidP="00137AE0">
      <w:pPr>
        <w:ind w:left="567" w:right="616"/>
        <w:jc w:val="both"/>
        <w:rPr>
          <w:rFonts w:ascii="Palatino Linotype" w:eastAsia="Palatino Linotype" w:hAnsi="Palatino Linotype" w:cs="Palatino Linotype"/>
          <w:i/>
          <w:iCs/>
        </w:rPr>
      </w:pPr>
      <w:r w:rsidRPr="00012649">
        <w:rPr>
          <w:rFonts w:ascii="Palatino Linotype" w:eastAsia="Palatino Linotype" w:hAnsi="Palatino Linotype" w:cs="Palatino Linotype"/>
          <w:b/>
          <w:bCs/>
          <w:i/>
          <w:iCs/>
        </w:rPr>
        <w:t>V.</w:t>
      </w:r>
      <w:r w:rsidRPr="00012649">
        <w:rPr>
          <w:rFonts w:ascii="Palatino Linotype" w:eastAsia="Palatino Linotype" w:hAnsi="Palatino Linotype" w:cs="Palatino Linotype"/>
          <w:i/>
          <w:iCs/>
        </w:rPr>
        <w:t xml:space="preserve"> Entregar, en su caso, a los particulares la información solicitada;</w:t>
      </w:r>
    </w:p>
    <w:p w:rsidR="00137AE0" w:rsidRPr="00012649" w:rsidRDefault="00137AE0" w:rsidP="00137AE0">
      <w:pPr>
        <w:ind w:left="567" w:right="616"/>
        <w:jc w:val="both"/>
        <w:rPr>
          <w:rFonts w:ascii="Palatino Linotype" w:eastAsia="Palatino Linotype" w:hAnsi="Palatino Linotype" w:cs="Palatino Linotype"/>
          <w:i/>
          <w:iCs/>
        </w:rPr>
      </w:pPr>
      <w:r w:rsidRPr="00012649">
        <w:rPr>
          <w:rFonts w:ascii="Palatino Linotype" w:eastAsia="Palatino Linotype" w:hAnsi="Palatino Linotype" w:cs="Palatino Linotype"/>
          <w:i/>
          <w:iCs/>
        </w:rPr>
        <w:t>(…)</w:t>
      </w:r>
    </w:p>
    <w:p w:rsidR="00137AE0" w:rsidRPr="00012649" w:rsidRDefault="00137AE0" w:rsidP="00137AE0">
      <w:pPr>
        <w:ind w:left="567" w:right="616"/>
        <w:jc w:val="both"/>
        <w:rPr>
          <w:rFonts w:ascii="Palatino Linotype" w:eastAsia="Palatino Linotype" w:hAnsi="Palatino Linotype" w:cs="Palatino Linotype"/>
          <w:i/>
          <w:iCs/>
        </w:rPr>
      </w:pPr>
    </w:p>
    <w:p w:rsidR="00137AE0" w:rsidRPr="00012649" w:rsidRDefault="00137AE0" w:rsidP="00137AE0">
      <w:pPr>
        <w:ind w:left="567" w:right="616"/>
        <w:jc w:val="both"/>
        <w:rPr>
          <w:rFonts w:ascii="Palatino Linotype" w:eastAsia="Palatino Linotype" w:hAnsi="Palatino Linotype" w:cs="Palatino Linotype"/>
          <w:i/>
          <w:iCs/>
        </w:rPr>
      </w:pPr>
      <w:r w:rsidRPr="00012649">
        <w:rPr>
          <w:rFonts w:ascii="Palatino Linotype" w:eastAsia="Palatino Linotype" w:hAnsi="Palatino Linotype" w:cs="Palatino Linotype"/>
          <w:b/>
          <w:i/>
          <w:iCs/>
        </w:rPr>
        <w:t xml:space="preserve">Artículo 58. </w:t>
      </w:r>
      <w:r w:rsidRPr="00012649">
        <w:rPr>
          <w:rFonts w:ascii="Palatino Linotype" w:eastAsia="Palatino Linotype" w:hAnsi="Palatino Linotype" w:cs="Palatino Linotype"/>
          <w:i/>
          <w:iCs/>
        </w:rPr>
        <w:t>Los servidores públicos habilitados serán designados por el titular del sujeto obligado a propuesta del responsable de la Unidad de Transparencia.</w:t>
      </w:r>
    </w:p>
    <w:p w:rsidR="00137AE0" w:rsidRPr="00012649" w:rsidRDefault="00137AE0" w:rsidP="00137AE0">
      <w:pPr>
        <w:ind w:left="567" w:right="616"/>
        <w:jc w:val="both"/>
        <w:rPr>
          <w:rFonts w:ascii="Palatino Linotype" w:eastAsia="Palatino Linotype" w:hAnsi="Palatino Linotype" w:cs="Palatino Linotype"/>
          <w:i/>
          <w:iCs/>
        </w:rPr>
      </w:pPr>
    </w:p>
    <w:p w:rsidR="00137AE0" w:rsidRPr="00012649" w:rsidRDefault="00137AE0" w:rsidP="00137AE0">
      <w:pPr>
        <w:ind w:left="567" w:right="616"/>
        <w:jc w:val="both"/>
        <w:rPr>
          <w:rFonts w:ascii="Palatino Linotype" w:eastAsia="Palatino Linotype" w:hAnsi="Palatino Linotype" w:cs="Palatino Linotype"/>
          <w:i/>
          <w:iCs/>
        </w:rPr>
      </w:pPr>
      <w:r w:rsidRPr="00012649">
        <w:rPr>
          <w:rFonts w:ascii="Palatino Linotype" w:eastAsia="Palatino Linotype" w:hAnsi="Palatino Linotype" w:cs="Palatino Linotype"/>
          <w:b/>
          <w:i/>
          <w:iCs/>
        </w:rPr>
        <w:t xml:space="preserve">Artículo 59. </w:t>
      </w:r>
      <w:r w:rsidRPr="00012649">
        <w:rPr>
          <w:rFonts w:ascii="Palatino Linotype" w:eastAsia="Palatino Linotype" w:hAnsi="Palatino Linotype" w:cs="Palatino Linotype"/>
          <w:i/>
          <w:iCs/>
        </w:rPr>
        <w:t>Los servidores públicos habilitados tendrán las funciones siguientes:</w:t>
      </w:r>
    </w:p>
    <w:p w:rsidR="00137AE0" w:rsidRPr="00012649" w:rsidRDefault="00137AE0" w:rsidP="00137AE0">
      <w:pPr>
        <w:ind w:left="567" w:right="616"/>
        <w:jc w:val="both"/>
        <w:rPr>
          <w:rFonts w:ascii="Palatino Linotype" w:eastAsia="Palatino Linotype" w:hAnsi="Palatino Linotype" w:cs="Palatino Linotype"/>
          <w:i/>
          <w:iCs/>
        </w:rPr>
      </w:pPr>
    </w:p>
    <w:p w:rsidR="00137AE0" w:rsidRPr="00012649" w:rsidRDefault="00137AE0" w:rsidP="00137AE0">
      <w:pPr>
        <w:ind w:left="567" w:right="616"/>
        <w:jc w:val="both"/>
        <w:rPr>
          <w:rFonts w:ascii="Palatino Linotype" w:eastAsia="Palatino Linotype" w:hAnsi="Palatino Linotype" w:cs="Palatino Linotype"/>
          <w:i/>
          <w:iCs/>
        </w:rPr>
      </w:pPr>
      <w:r w:rsidRPr="00012649">
        <w:rPr>
          <w:rFonts w:ascii="Palatino Linotype" w:eastAsia="Palatino Linotype" w:hAnsi="Palatino Linotype" w:cs="Palatino Linotype"/>
          <w:b/>
          <w:bCs/>
          <w:i/>
          <w:iCs/>
        </w:rPr>
        <w:t>I.</w:t>
      </w:r>
      <w:r w:rsidRPr="00012649">
        <w:rPr>
          <w:rFonts w:ascii="Palatino Linotype" w:eastAsia="Palatino Linotype" w:hAnsi="Palatino Linotype" w:cs="Palatino Linotype"/>
          <w:i/>
          <w:iCs/>
        </w:rPr>
        <w:t xml:space="preserve"> Localizar la información que le solicite la Unidad de Transparencia;</w:t>
      </w:r>
    </w:p>
    <w:p w:rsidR="00137AE0" w:rsidRPr="00012649" w:rsidRDefault="00137AE0" w:rsidP="00137AE0">
      <w:pPr>
        <w:ind w:left="567" w:right="616"/>
        <w:jc w:val="both"/>
        <w:rPr>
          <w:rFonts w:ascii="Palatino Linotype" w:eastAsia="Palatino Linotype" w:hAnsi="Palatino Linotype" w:cs="Palatino Linotype"/>
          <w:i/>
          <w:iCs/>
        </w:rPr>
      </w:pPr>
      <w:r w:rsidRPr="00012649">
        <w:rPr>
          <w:rFonts w:ascii="Palatino Linotype" w:eastAsia="Palatino Linotype" w:hAnsi="Palatino Linotype" w:cs="Palatino Linotype"/>
          <w:b/>
          <w:bCs/>
          <w:i/>
          <w:iCs/>
        </w:rPr>
        <w:t>II.</w:t>
      </w:r>
      <w:r w:rsidRPr="00012649">
        <w:rPr>
          <w:rFonts w:ascii="Palatino Linotype" w:eastAsia="Palatino Linotype" w:hAnsi="Palatino Linotype" w:cs="Palatino Linotype"/>
          <w:i/>
          <w:iCs/>
        </w:rPr>
        <w:t xml:space="preserve"> Proporcionar la información que obre en los archivos y que le sea solicitada por la Unidad de Transparencia;</w:t>
      </w:r>
    </w:p>
    <w:p w:rsidR="00137AE0" w:rsidRPr="00012649" w:rsidRDefault="00137AE0" w:rsidP="00137AE0">
      <w:pPr>
        <w:ind w:left="567" w:right="616"/>
        <w:jc w:val="both"/>
        <w:rPr>
          <w:rFonts w:ascii="Palatino Linotype" w:eastAsia="Palatino Linotype" w:hAnsi="Palatino Linotype" w:cs="Palatino Linotype"/>
          <w:i/>
          <w:iCs/>
        </w:rPr>
      </w:pPr>
      <w:r w:rsidRPr="00012649">
        <w:rPr>
          <w:rFonts w:ascii="Palatino Linotype" w:eastAsia="Palatino Linotype" w:hAnsi="Palatino Linotype" w:cs="Palatino Linotype"/>
          <w:i/>
          <w:iCs/>
        </w:rPr>
        <w:t>(...)</w:t>
      </w:r>
    </w:p>
    <w:p w:rsidR="00137AE0" w:rsidRPr="00012649" w:rsidRDefault="00137AE0" w:rsidP="00137AE0">
      <w:pPr>
        <w:ind w:left="567" w:right="616"/>
        <w:jc w:val="both"/>
        <w:rPr>
          <w:rFonts w:ascii="Palatino Linotype" w:eastAsia="Palatino Linotype" w:hAnsi="Palatino Linotype" w:cs="Palatino Linotype"/>
          <w:i/>
          <w:iCs/>
        </w:rPr>
      </w:pPr>
    </w:p>
    <w:p w:rsidR="00137AE0" w:rsidRPr="00012649" w:rsidRDefault="00137AE0" w:rsidP="00137AE0">
      <w:pPr>
        <w:ind w:left="567" w:right="616"/>
        <w:jc w:val="both"/>
        <w:rPr>
          <w:rFonts w:ascii="Palatino Linotype" w:eastAsia="Palatino Linotype" w:hAnsi="Palatino Linotype" w:cs="Palatino Linotype"/>
          <w:i/>
          <w:iCs/>
        </w:rPr>
      </w:pPr>
      <w:r w:rsidRPr="00012649">
        <w:rPr>
          <w:rFonts w:ascii="Palatino Linotype" w:eastAsia="Palatino Linotype" w:hAnsi="Palatino Linotype" w:cs="Palatino Linotype"/>
          <w:b/>
          <w:i/>
          <w:iCs/>
        </w:rPr>
        <w:t xml:space="preserve">Artículo 162. </w:t>
      </w:r>
      <w:r w:rsidRPr="00012649">
        <w:rPr>
          <w:rFonts w:ascii="Palatino Linotype" w:eastAsia="Palatino Linotype" w:hAnsi="Palatino Linotype" w:cs="Palatino Linotype"/>
          <w:i/>
          <w:iCs/>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137AE0" w:rsidRPr="00012649" w:rsidRDefault="00137AE0" w:rsidP="00137AE0">
      <w:pPr>
        <w:spacing w:line="360" w:lineRule="auto"/>
        <w:jc w:val="both"/>
        <w:rPr>
          <w:rFonts w:ascii="Palatino Linotype" w:eastAsia="Palatino Linotype" w:hAnsi="Palatino Linotype" w:cs="Palatino Linotype"/>
        </w:rPr>
      </w:pPr>
    </w:p>
    <w:p w:rsidR="00137AE0" w:rsidRPr="00012649" w:rsidRDefault="00137AE0" w:rsidP="00DC7BE5">
      <w:pPr>
        <w:pStyle w:val="Prrafodelista"/>
        <w:numPr>
          <w:ilvl w:val="0"/>
          <w:numId w:val="2"/>
        </w:numPr>
        <w:spacing w:line="360" w:lineRule="auto"/>
        <w:ind w:left="0" w:firstLine="0"/>
        <w:jc w:val="both"/>
        <w:rPr>
          <w:rFonts w:ascii="Palatino Linotype" w:eastAsia="Arial Unicode MS" w:hAnsi="Palatino Linotype" w:cs="Arial"/>
          <w:lang w:eastAsia="en-US"/>
        </w:rPr>
      </w:pPr>
      <w:r w:rsidRPr="00012649">
        <w:rPr>
          <w:rFonts w:ascii="Palatino Linotype" w:eastAsia="Palatino Linotype" w:hAnsi="Palatino Linotype" w:cs="Palatino Linotype"/>
        </w:rPr>
        <w:t xml:space="preserve">De los artículos citados se desprende que las Unidades de Transparencia de los sujetos obligados son las encargadas de tramitar internamente </w:t>
      </w:r>
      <w:r w:rsidRPr="00012649">
        <w:rPr>
          <w:rFonts w:ascii="Palatino Linotype" w:eastAsia="Arial Unicode MS" w:hAnsi="Palatino Linotype" w:cs="Arial"/>
          <w:lang w:eastAsia="en-US"/>
        </w:rPr>
        <w:t xml:space="preserve">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w:t>
      </w:r>
      <w:r w:rsidRPr="00012649">
        <w:rPr>
          <w:rFonts w:ascii="Palatino Linotype" w:eastAsia="Arial Unicode MS" w:hAnsi="Palatino Linotype" w:cs="Arial"/>
          <w:lang w:eastAsia="en-US"/>
        </w:rPr>
        <w:lastRenderedPageBreak/>
        <w:t>información solicitada. Por su parte, los servidores públicos habilitados auxiliarán a las Unidades de Transparencia localizando la información solicitada y proporcionando la misma que obre en sus archivos. Asimismo, es una obligación de la</w:t>
      </w:r>
      <w:r w:rsidR="00C6176D" w:rsidRPr="00012649">
        <w:rPr>
          <w:rFonts w:ascii="Palatino Linotype" w:eastAsia="Arial Unicode MS" w:hAnsi="Palatino Linotype" w:cs="Arial"/>
          <w:lang w:eastAsia="en-US"/>
        </w:rPr>
        <w:t>s</w:t>
      </w:r>
      <w:r w:rsidRPr="00012649">
        <w:rPr>
          <w:rFonts w:ascii="Palatino Linotype" w:eastAsia="Arial Unicode MS" w:hAnsi="Palatino Linotype" w:cs="Arial"/>
          <w:lang w:eastAsia="en-US"/>
        </w:rPr>
        <w:t xml:space="preserve"> Unidades de Transparencia turnar a todas las áreas que se consideren competentes para que realicen una búsqueda exhaustiva y razonable de la información solicitada a fin de que ésta sea entregada a los solicitantes.</w:t>
      </w:r>
    </w:p>
    <w:p w:rsidR="00137AE0" w:rsidRPr="00012649" w:rsidRDefault="00137AE0" w:rsidP="00DC7BE5">
      <w:pPr>
        <w:pStyle w:val="Prrafodelista"/>
        <w:spacing w:line="360" w:lineRule="auto"/>
        <w:ind w:left="0"/>
        <w:jc w:val="both"/>
        <w:rPr>
          <w:rFonts w:ascii="Palatino Linotype" w:eastAsia="Arial Unicode MS" w:hAnsi="Palatino Linotype" w:cs="Arial"/>
          <w:lang w:eastAsia="en-US"/>
        </w:rPr>
      </w:pPr>
    </w:p>
    <w:p w:rsidR="00137AE0" w:rsidRPr="00012649" w:rsidRDefault="00137AE0" w:rsidP="00DC7BE5">
      <w:pPr>
        <w:pStyle w:val="Prrafodelista"/>
        <w:numPr>
          <w:ilvl w:val="0"/>
          <w:numId w:val="2"/>
        </w:numPr>
        <w:spacing w:line="360" w:lineRule="auto"/>
        <w:ind w:left="0" w:firstLine="0"/>
        <w:jc w:val="both"/>
        <w:rPr>
          <w:rFonts w:ascii="Palatino Linotype" w:eastAsia="Arial Unicode MS" w:hAnsi="Palatino Linotype" w:cs="Arial"/>
          <w:lang w:eastAsia="en-US"/>
        </w:rPr>
      </w:pPr>
      <w:r w:rsidRPr="00012649">
        <w:rPr>
          <w:rFonts w:ascii="Palatino Linotype" w:eastAsia="Arial Unicode MS" w:hAnsi="Palatino Linotype" w:cs="Arial"/>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rsidR="00137AE0" w:rsidRPr="00012649" w:rsidRDefault="00137AE0" w:rsidP="00137AE0">
      <w:pPr>
        <w:pStyle w:val="Prrafodelista"/>
        <w:rPr>
          <w:rFonts w:ascii="Palatino Linotype" w:eastAsia="Arial Unicode MS" w:hAnsi="Palatino Linotype" w:cs="Arial"/>
          <w:lang w:eastAsia="en-US"/>
        </w:rPr>
      </w:pPr>
    </w:p>
    <w:p w:rsidR="009D1AC5" w:rsidRPr="00012649" w:rsidRDefault="00137AE0" w:rsidP="00DC7BE5">
      <w:pPr>
        <w:pStyle w:val="Prrafodelista"/>
        <w:numPr>
          <w:ilvl w:val="0"/>
          <w:numId w:val="2"/>
        </w:numPr>
        <w:spacing w:line="360" w:lineRule="auto"/>
        <w:ind w:left="0" w:firstLine="0"/>
        <w:jc w:val="both"/>
        <w:rPr>
          <w:rFonts w:ascii="Palatino Linotype" w:eastAsia="Arial Unicode MS" w:hAnsi="Palatino Linotype" w:cs="Arial"/>
          <w:lang w:eastAsia="en-US"/>
        </w:rPr>
      </w:pPr>
      <w:r w:rsidRPr="00012649">
        <w:rPr>
          <w:rFonts w:ascii="Palatino Linotype" w:eastAsia="Arial Unicode MS" w:hAnsi="Palatino Linotype" w:cs="Arial"/>
          <w:lang w:eastAsia="en-US"/>
        </w:rPr>
        <w:t>En el caso que se resuelve,</w:t>
      </w:r>
      <w:r w:rsidR="00DC7BE5" w:rsidRPr="00012649">
        <w:rPr>
          <w:rFonts w:ascii="Palatino Linotype" w:eastAsia="Arial Unicode MS" w:hAnsi="Palatino Linotype" w:cs="Arial"/>
          <w:lang w:eastAsia="en-US"/>
        </w:rPr>
        <w:t xml:space="preserve"> la respuesta fue emitida por la Directora de Desarrollo Económico, quien de acuerdo al artículo 149 del Bando Municipal del Sujeto Obligado, es el área encargada de emitir las autorizaciones, licencias o permisos, por lo tanto, se puede concluir que la respuesta fue emitida por el servidor público habilitado con atribuciones para generar, poseer o administrar la información solicitada; </w:t>
      </w:r>
      <w:r w:rsidR="009D1AC5" w:rsidRPr="00012649">
        <w:rPr>
          <w:rFonts w:ascii="Palatino Linotype" w:eastAsia="Arial Unicode MS" w:hAnsi="Palatino Linotype" w:cs="Arial"/>
          <w:lang w:eastAsia="en-US"/>
        </w:rPr>
        <w:t>sin embargo</w:t>
      </w:r>
      <w:r w:rsidR="00226F84" w:rsidRPr="00012649">
        <w:rPr>
          <w:rFonts w:ascii="Palatino Linotype" w:eastAsia="Arial Unicode MS" w:hAnsi="Palatino Linotype" w:cs="Arial"/>
          <w:lang w:eastAsia="en-US"/>
        </w:rPr>
        <w:t>, no es la única área que puede contar con la</w:t>
      </w:r>
      <w:r w:rsidR="006B0103" w:rsidRPr="00012649">
        <w:rPr>
          <w:rFonts w:ascii="Palatino Linotype" w:eastAsia="Arial Unicode MS" w:hAnsi="Palatino Linotype" w:cs="Arial"/>
          <w:lang w:eastAsia="en-US"/>
        </w:rPr>
        <w:t xml:space="preserve"> información solicitada, toda vez que,</w:t>
      </w:r>
      <w:r w:rsidR="00226F84" w:rsidRPr="00012649">
        <w:rPr>
          <w:rFonts w:ascii="Palatino Linotype" w:eastAsia="Arial Unicode MS" w:hAnsi="Palatino Linotype" w:cs="Arial"/>
          <w:lang w:eastAsia="en-US"/>
        </w:rPr>
        <w:t xml:space="preserve"> de acuerdo al artículo </w:t>
      </w:r>
      <w:r w:rsidR="006B0103" w:rsidRPr="00012649">
        <w:rPr>
          <w:rFonts w:ascii="Palatino Linotype" w:eastAsia="Arial Unicode MS" w:hAnsi="Palatino Linotype" w:cs="Arial"/>
          <w:lang w:eastAsia="en-US"/>
        </w:rPr>
        <w:t xml:space="preserve">226 del Bando Municipal del Sujeto Obligado, </w:t>
      </w:r>
      <w:r w:rsidR="009D1AC5" w:rsidRPr="00012649">
        <w:rPr>
          <w:rFonts w:ascii="Palatino Linotype" w:eastAsia="Arial Unicode MS" w:hAnsi="Palatino Linotype" w:cs="Arial"/>
          <w:lang w:eastAsia="en-US"/>
        </w:rPr>
        <w:t xml:space="preserve"> </w:t>
      </w:r>
      <w:r w:rsidR="006B0103" w:rsidRPr="00012649">
        <w:rPr>
          <w:rFonts w:ascii="Palatino Linotype" w:eastAsia="Arial Unicode MS" w:hAnsi="Palatino Linotype" w:cs="Arial"/>
          <w:lang w:eastAsia="en-US"/>
        </w:rPr>
        <w:t xml:space="preserve">la Dirección de Desarrollo Urbano vigilará, controlará, inspeccionará, verificará y sancionará la actividad en materia de Desarrollo Urbano correspondiente de los particulares, quedando habilitado como autoridad administrativa facultada para revocar y cancelar, mediante procedimiento administrativo, las licencias, permisos y autorizaciones que no sean observadas por los titulares y aplicar las medidas de seguridad y sanciones correspondientes. </w:t>
      </w:r>
    </w:p>
    <w:p w:rsidR="009D1AC5" w:rsidRPr="00012649" w:rsidRDefault="009D1AC5" w:rsidP="009D1AC5">
      <w:pPr>
        <w:pStyle w:val="Prrafodelista"/>
        <w:rPr>
          <w:rFonts w:ascii="Palatino Linotype" w:eastAsia="Arial Unicode MS" w:hAnsi="Palatino Linotype" w:cs="Arial"/>
          <w:lang w:eastAsia="en-US"/>
        </w:rPr>
      </w:pPr>
    </w:p>
    <w:p w:rsidR="00BC7844" w:rsidRPr="00012649" w:rsidRDefault="006B0103" w:rsidP="006B0103">
      <w:pPr>
        <w:pStyle w:val="Prrafodelista"/>
        <w:numPr>
          <w:ilvl w:val="0"/>
          <w:numId w:val="2"/>
        </w:numPr>
        <w:spacing w:line="360" w:lineRule="auto"/>
        <w:ind w:left="0" w:firstLine="0"/>
        <w:jc w:val="both"/>
        <w:rPr>
          <w:rFonts w:ascii="Palatino Linotype" w:eastAsia="Arial Unicode MS" w:hAnsi="Palatino Linotype" w:cs="Arial"/>
          <w:lang w:eastAsia="en-US"/>
        </w:rPr>
      </w:pPr>
      <w:r w:rsidRPr="00012649">
        <w:rPr>
          <w:rFonts w:ascii="Palatino Linotype" w:eastAsia="Arial Unicode MS" w:hAnsi="Palatino Linotype" w:cs="Arial"/>
          <w:lang w:eastAsia="en-US"/>
        </w:rPr>
        <w:t xml:space="preserve">En ese sentido, se advierte que la solicitud no fue turnada a todas las áreas que pudieran contar, entre sus archivos, con la información solicitada, aunado a los anteriormente </w:t>
      </w:r>
      <w:r w:rsidRPr="00012649">
        <w:rPr>
          <w:rFonts w:ascii="Palatino Linotype" w:eastAsia="Arial Unicode MS" w:hAnsi="Palatino Linotype" w:cs="Arial"/>
          <w:lang w:eastAsia="en-US"/>
        </w:rPr>
        <w:lastRenderedPageBreak/>
        <w:t xml:space="preserve">señalado, </w:t>
      </w:r>
      <w:r w:rsidR="00DC7BE5" w:rsidRPr="00012649">
        <w:rPr>
          <w:rFonts w:ascii="Palatino Linotype" w:eastAsia="Arial Unicode MS" w:hAnsi="Palatino Linotype" w:cs="Arial"/>
          <w:lang w:eastAsia="en-US"/>
        </w:rPr>
        <w:t>es necesario recordar que el Sujeto Obligado señaló que derivado de la búsqueda en los archivos, no se localizó lo solicitado, sin embargo, a través del recurso de</w:t>
      </w:r>
      <w:r w:rsidR="00247825" w:rsidRPr="00012649">
        <w:rPr>
          <w:rFonts w:ascii="Palatino Linotype" w:eastAsia="Arial Unicode MS" w:hAnsi="Palatino Linotype" w:cs="Arial"/>
          <w:lang w:eastAsia="en-US"/>
        </w:rPr>
        <w:t xml:space="preserve"> revisión, el Recurrente se inconformó por la negativa de la información y adjuntó cuatro ligas electrónicas que remiten a imágenes diversos establecimientos  dedicados a la venta de </w:t>
      </w:r>
      <w:r w:rsidR="007B1950" w:rsidRPr="00012649">
        <w:rPr>
          <w:rFonts w:ascii="Palatino Linotype" w:eastAsia="Arial Unicode MS" w:hAnsi="Palatino Linotype" w:cs="Arial"/>
          <w:lang w:eastAsia="en-US"/>
        </w:rPr>
        <w:t xml:space="preserve">GAS, </w:t>
      </w:r>
      <w:r w:rsidR="00BC7844" w:rsidRPr="00012649">
        <w:rPr>
          <w:rFonts w:ascii="Palatino Linotype" w:eastAsia="Arial Unicode MS" w:hAnsi="Palatino Linotype" w:cs="Arial"/>
          <w:lang w:eastAsia="en-US"/>
        </w:rPr>
        <w:t>lo que representa indicios de que la información debe ser poseída por el Sujeto Obligado, por ello conviene señalar lo siguiente:</w:t>
      </w:r>
    </w:p>
    <w:p w:rsidR="00BC7844" w:rsidRPr="00012649" w:rsidRDefault="00BC7844" w:rsidP="00BC7844">
      <w:pPr>
        <w:pStyle w:val="Prrafodelista"/>
        <w:rPr>
          <w:rFonts w:ascii="Palatino Linotype" w:eastAsia="Arial Unicode MS" w:hAnsi="Palatino Linotype" w:cs="Arial"/>
          <w:lang w:eastAsia="en-US"/>
        </w:rPr>
      </w:pPr>
    </w:p>
    <w:p w:rsidR="00BC7844" w:rsidRPr="00012649" w:rsidRDefault="00BC7844" w:rsidP="00BC7844">
      <w:pPr>
        <w:spacing w:line="360" w:lineRule="auto"/>
        <w:ind w:left="851" w:right="822"/>
        <w:contextualSpacing/>
        <w:jc w:val="both"/>
        <w:rPr>
          <w:rFonts w:ascii="Palatino Linotype" w:hAnsi="Palatino Linotype"/>
          <w:i/>
          <w:sz w:val="22"/>
          <w:szCs w:val="22"/>
        </w:rPr>
      </w:pPr>
      <w:r w:rsidRPr="00012649">
        <w:rPr>
          <w:rFonts w:ascii="Palatino Linotype" w:hAnsi="Palatino Linotype"/>
          <w:b/>
          <w:i/>
          <w:sz w:val="22"/>
          <w:szCs w:val="22"/>
        </w:rPr>
        <w:t xml:space="preserve">INDICIO. CONCEPTO DE. </w:t>
      </w:r>
      <w:r w:rsidRPr="00012649">
        <w:rPr>
          <w:rFonts w:ascii="Palatino Linotype" w:hAnsi="Palatino Linotype"/>
          <w:i/>
          <w:sz w:val="22"/>
          <w:szCs w:val="22"/>
        </w:rPr>
        <w:t xml:space="preserve">El "indicio" es una circunstancia cierta de la que se puede sacar, por inducción lógica, una conclusión acerca de la existencia (o inexistencia) de un hecho a probar; por tanto, la convicción indiciaria se basa en un silogismo en el que la premisa mayor (abstracta y problemática), se funda en la experiencia o en el sentido común, la premisa menor (concreta y cierta) se apoya o constituye la comprobación del hecho, y la conclusión, sacada de la referencia de la premisa menor a la premisa mayor, el indicio, por consiguiente, se diferencia de la presunción en que el dato genérico y probable agrega el dato específico y cierto, a lo abstracto une lo concreto; de lo que antecede ya se desprende sin dificultad que requisito primordial de la prueba indiciaria es la certeza de la circunstancia </w:t>
      </w:r>
      <w:proofErr w:type="spellStart"/>
      <w:r w:rsidRPr="00012649">
        <w:rPr>
          <w:rFonts w:ascii="Palatino Linotype" w:hAnsi="Palatino Linotype"/>
          <w:i/>
          <w:sz w:val="22"/>
          <w:szCs w:val="22"/>
        </w:rPr>
        <w:t>indiciante</w:t>
      </w:r>
      <w:proofErr w:type="spellEnd"/>
      <w:r w:rsidRPr="00012649">
        <w:rPr>
          <w:rFonts w:ascii="Palatino Linotype" w:hAnsi="Palatino Linotype"/>
          <w:i/>
          <w:sz w:val="22"/>
          <w:szCs w:val="22"/>
        </w:rPr>
        <w:t xml:space="preserve">, o sea, que el indicio presupone necesariamente la demostración de circunstancias indispensables por las que se arguye indirecta pero lógicamente el hecho que hay que probar mediante un proceso deductivo, con la misma certeza que da la prueba directa. </w:t>
      </w:r>
    </w:p>
    <w:p w:rsidR="00BC7844" w:rsidRPr="00012649" w:rsidRDefault="00BC7844" w:rsidP="00BC7844">
      <w:pPr>
        <w:spacing w:line="360" w:lineRule="auto"/>
        <w:ind w:left="851" w:right="822"/>
        <w:contextualSpacing/>
        <w:jc w:val="both"/>
        <w:rPr>
          <w:rFonts w:ascii="Palatino Linotype" w:hAnsi="Palatino Linotype"/>
          <w:i/>
          <w:sz w:val="22"/>
          <w:szCs w:val="22"/>
        </w:rPr>
      </w:pPr>
    </w:p>
    <w:p w:rsidR="00BC7844" w:rsidRPr="00012649" w:rsidRDefault="00BC7844" w:rsidP="00BC7844">
      <w:pPr>
        <w:spacing w:line="360" w:lineRule="auto"/>
        <w:ind w:left="851" w:right="822"/>
        <w:contextualSpacing/>
        <w:jc w:val="both"/>
        <w:rPr>
          <w:rFonts w:ascii="Palatino Linotype" w:hAnsi="Palatino Linotype"/>
          <w:i/>
          <w:sz w:val="22"/>
          <w:szCs w:val="22"/>
        </w:rPr>
      </w:pPr>
      <w:r w:rsidRPr="00012649">
        <w:rPr>
          <w:rFonts w:ascii="Palatino Linotype" w:hAnsi="Palatino Linotype"/>
          <w:i/>
          <w:sz w:val="22"/>
          <w:szCs w:val="22"/>
        </w:rPr>
        <w:t xml:space="preserve">SEGUNDO TRIBUNAL COLEGIADO DEL SEXTO CIRCUITO. </w:t>
      </w:r>
    </w:p>
    <w:p w:rsidR="00BC7844" w:rsidRPr="00012649" w:rsidRDefault="00BC7844" w:rsidP="00BC7844">
      <w:pPr>
        <w:spacing w:line="360" w:lineRule="auto"/>
        <w:ind w:left="851" w:right="822"/>
        <w:contextualSpacing/>
        <w:jc w:val="both"/>
        <w:rPr>
          <w:rFonts w:ascii="Palatino Linotype" w:hAnsi="Palatino Linotype"/>
          <w:i/>
          <w:sz w:val="22"/>
          <w:szCs w:val="22"/>
        </w:rPr>
      </w:pPr>
      <w:r w:rsidRPr="00012649">
        <w:rPr>
          <w:rFonts w:ascii="Palatino Linotype" w:hAnsi="Palatino Linotype"/>
          <w:i/>
          <w:sz w:val="22"/>
          <w:szCs w:val="22"/>
        </w:rPr>
        <w:t xml:space="preserve">Amparo directo 317/87. Juan Antonio Ibarra Chaire y </w:t>
      </w:r>
      <w:proofErr w:type="spellStart"/>
      <w:r w:rsidRPr="00012649">
        <w:rPr>
          <w:rFonts w:ascii="Palatino Linotype" w:hAnsi="Palatino Linotype"/>
          <w:i/>
          <w:sz w:val="22"/>
          <w:szCs w:val="22"/>
        </w:rPr>
        <w:t>coags</w:t>
      </w:r>
      <w:proofErr w:type="spellEnd"/>
      <w:r w:rsidRPr="00012649">
        <w:rPr>
          <w:rFonts w:ascii="Palatino Linotype" w:hAnsi="Palatino Linotype"/>
          <w:i/>
          <w:sz w:val="22"/>
          <w:szCs w:val="22"/>
        </w:rPr>
        <w:t>. 12 de julio de 1988. Unanimidad de votos. Ponente: José Galván Rojas. Secretario: Vicente Martínez Sánchez.</w:t>
      </w:r>
    </w:p>
    <w:p w:rsidR="00BC7844" w:rsidRPr="00012649" w:rsidRDefault="00BC7844" w:rsidP="00BC7844">
      <w:pPr>
        <w:spacing w:line="360" w:lineRule="auto"/>
        <w:ind w:left="851" w:right="822"/>
        <w:contextualSpacing/>
        <w:jc w:val="both"/>
        <w:rPr>
          <w:rFonts w:ascii="Palatino Linotype" w:hAnsi="Palatino Linotype"/>
          <w:i/>
          <w:sz w:val="22"/>
          <w:szCs w:val="22"/>
        </w:rPr>
      </w:pPr>
    </w:p>
    <w:p w:rsidR="007B1950" w:rsidRPr="00012649" w:rsidRDefault="00BC7844" w:rsidP="00BC7844">
      <w:pPr>
        <w:spacing w:line="360" w:lineRule="auto"/>
        <w:ind w:left="851" w:right="822"/>
        <w:contextualSpacing/>
        <w:jc w:val="both"/>
        <w:rPr>
          <w:rFonts w:ascii="Palatino Linotype" w:hAnsi="Palatino Linotype"/>
          <w:i/>
          <w:sz w:val="22"/>
          <w:szCs w:val="22"/>
        </w:rPr>
      </w:pPr>
      <w:r w:rsidRPr="00012649">
        <w:rPr>
          <w:rFonts w:ascii="Palatino Linotype" w:hAnsi="Palatino Linotype"/>
          <w:b/>
          <w:i/>
          <w:sz w:val="22"/>
          <w:szCs w:val="22"/>
        </w:rPr>
        <w:t xml:space="preserve">INDICIOS. REQUISITOS PARA QUE GENEREN PRESUNCIÓN DE CERTEZA. </w:t>
      </w:r>
      <w:r w:rsidRPr="00012649">
        <w:rPr>
          <w:rFonts w:ascii="Palatino Linotype" w:hAnsi="Palatino Linotype"/>
          <w:i/>
          <w:sz w:val="22"/>
          <w:szCs w:val="22"/>
        </w:rPr>
        <w:t xml:space="preserve">Nada impide que para acreditar la veracidad de un hecho, el juzgador se valga de una presunción que se derive de varios indicios. En esta hipótesis deben cumplirse los principios de la lógica inferencial de probabilidad, a saber: la fiabilidad de los hechos o datos conocidos, esto es, que no exista duda alguna acerca de su veracidad; la pluralidad de indicios, que se refiere a la necesidad de que existan varios datos que permitan conocer o inferir la existencia de otro no percibido y que conduzcan siempre a una misma conclusión; la pertinencia, que significa que haya relación entre la pluralidad de los datos conocidos; y la coherencia, o sea, que debe existir armonía o concordancia entre los datos mencionados; principios que a su vez encuentran respaldo en el artículo 402 de la ley adjetiva civil para el Distrito Federal que previene que los medios de prueba aportados y admitidos serán valorados en su conjunto por el juzgador, atendiendo a las reglas de la lógica y la experiencia, pues los principios enunciados forman parte tanto de la lógica de probabilidades, como de la experiencia misma, razón por la cual, cuando concurren esas exigencias, y se da un muy alto grado de probabilidad de que los hechos acaecieron en la forma narrada por una de las partes, son aptos para generar la presunción de certeza. </w:t>
      </w:r>
    </w:p>
    <w:p w:rsidR="007B1950" w:rsidRPr="00012649" w:rsidRDefault="007B1950" w:rsidP="007B1950">
      <w:pPr>
        <w:pStyle w:val="Prrafodelista"/>
        <w:rPr>
          <w:rFonts w:ascii="Palatino Linotype" w:eastAsia="Arial Unicode MS" w:hAnsi="Palatino Linotype" w:cs="Arial"/>
          <w:lang w:eastAsia="en-US"/>
        </w:rPr>
      </w:pPr>
    </w:p>
    <w:p w:rsidR="00BC7844" w:rsidRPr="00012649" w:rsidRDefault="00BC7844" w:rsidP="00BC7844">
      <w:pPr>
        <w:pStyle w:val="Prrafodelista"/>
        <w:numPr>
          <w:ilvl w:val="0"/>
          <w:numId w:val="2"/>
        </w:numPr>
        <w:spacing w:line="360" w:lineRule="auto"/>
        <w:ind w:left="0" w:firstLine="0"/>
        <w:jc w:val="both"/>
        <w:rPr>
          <w:rFonts w:ascii="Palatino Linotype" w:eastAsia="Arial Unicode MS" w:hAnsi="Palatino Linotype" w:cs="Arial"/>
          <w:lang w:eastAsia="en-US"/>
        </w:rPr>
      </w:pPr>
      <w:r w:rsidRPr="00012649">
        <w:rPr>
          <w:rFonts w:ascii="Palatino Linotype" w:eastAsia="Arial Unicode MS" w:hAnsi="Palatino Linotype" w:cs="Arial"/>
          <w:lang w:eastAsia="en-US"/>
        </w:rPr>
        <w:t xml:space="preserve">De lo anterior, se presume la existencia de documentación relacionada con la información requerida, toda vez que el SUJETO OBLIGADO se encuentra constreñido a documentar todo acto de autoridad que éste realice derivado sus funciones, atribuciones y competencias. </w:t>
      </w:r>
    </w:p>
    <w:p w:rsidR="00D85A7D" w:rsidRPr="00012649" w:rsidRDefault="00D85A7D" w:rsidP="00D85A7D">
      <w:pPr>
        <w:pStyle w:val="Prrafodelista"/>
        <w:spacing w:line="360" w:lineRule="auto"/>
        <w:ind w:left="0"/>
        <w:jc w:val="both"/>
        <w:rPr>
          <w:rFonts w:ascii="Palatino Linotype" w:eastAsia="Arial Unicode MS" w:hAnsi="Palatino Linotype" w:cs="Arial"/>
          <w:lang w:eastAsia="en-US"/>
        </w:rPr>
      </w:pPr>
    </w:p>
    <w:p w:rsidR="00D85A7D" w:rsidRPr="00012649" w:rsidRDefault="00247825" w:rsidP="00D85A7D">
      <w:pPr>
        <w:pStyle w:val="Prrafodelista"/>
        <w:numPr>
          <w:ilvl w:val="0"/>
          <w:numId w:val="2"/>
        </w:numPr>
        <w:spacing w:line="360" w:lineRule="auto"/>
        <w:ind w:left="0" w:firstLine="0"/>
        <w:jc w:val="both"/>
        <w:rPr>
          <w:rFonts w:ascii="Palatino Linotype" w:eastAsia="Arial Unicode MS" w:hAnsi="Palatino Linotype" w:cs="Arial"/>
          <w:lang w:eastAsia="en-US"/>
        </w:rPr>
      </w:pPr>
      <w:r w:rsidRPr="00012649">
        <w:rPr>
          <w:rFonts w:ascii="Palatino Linotype" w:eastAsia="Arial Unicode MS" w:hAnsi="Palatino Linotype" w:cs="Arial"/>
          <w:lang w:eastAsia="en-US"/>
        </w:rPr>
        <w:t xml:space="preserve"> </w:t>
      </w:r>
      <w:r w:rsidR="00D85A7D" w:rsidRPr="00012649">
        <w:rPr>
          <w:rFonts w:ascii="Palatino Linotype" w:hAnsi="Palatino Linotype"/>
          <w:szCs w:val="22"/>
        </w:rPr>
        <w:t xml:space="preserve">En tal virtud, al obrar indicios de la información en páginas de internet, que demuestran que el SUJETO OBLIGADO cuenta con la información en alguna de sus áreas </w:t>
      </w:r>
      <w:r w:rsidR="00D85A7D" w:rsidRPr="00012649">
        <w:rPr>
          <w:rFonts w:ascii="Palatino Linotype" w:hAnsi="Palatino Linotype"/>
          <w:szCs w:val="22"/>
        </w:rPr>
        <w:lastRenderedPageBreak/>
        <w:t xml:space="preserve">administrativas, este tipo de información es susceptible de considerarse como un hecho notorio el cual puede ser valorado, por formar parte del conocimiento público, lo cual se robustece con la siguiente tesis aislada emitida por los Tribunales Colegiados de Circuito y publicada en el Semanario Judicial de la Federación: </w:t>
      </w:r>
    </w:p>
    <w:p w:rsidR="00D85A7D" w:rsidRPr="00012649" w:rsidRDefault="00D85A7D" w:rsidP="00D85A7D">
      <w:pPr>
        <w:spacing w:line="360" w:lineRule="auto"/>
        <w:ind w:right="49"/>
        <w:contextualSpacing/>
        <w:jc w:val="both"/>
        <w:rPr>
          <w:sz w:val="22"/>
          <w:szCs w:val="22"/>
        </w:rPr>
      </w:pPr>
    </w:p>
    <w:p w:rsidR="00D85A7D" w:rsidRPr="00012649" w:rsidRDefault="00D85A7D" w:rsidP="00D85A7D">
      <w:pPr>
        <w:spacing w:line="360" w:lineRule="auto"/>
        <w:ind w:left="567" w:right="822"/>
        <w:contextualSpacing/>
        <w:jc w:val="both"/>
        <w:rPr>
          <w:rFonts w:ascii="Palatino Linotype" w:hAnsi="Palatino Linotype"/>
          <w:i/>
          <w:sz w:val="22"/>
          <w:szCs w:val="22"/>
        </w:rPr>
      </w:pPr>
      <w:r w:rsidRPr="00012649">
        <w:rPr>
          <w:rFonts w:ascii="Palatino Linotype" w:hAnsi="Palatino Linotype"/>
          <w:b/>
          <w:i/>
          <w:sz w:val="22"/>
          <w:szCs w:val="22"/>
        </w:rPr>
        <w:t xml:space="preserve">“PÁGINAS WEB O ELECTRÓNICAS. SU CONTENIDO ES UN HECHO NOTORIO Y SUSCEPTIBLE DE SER VALORADO EN UNA DECISIÓN JUDICIAL. </w:t>
      </w:r>
      <w:r w:rsidRPr="00012649">
        <w:rPr>
          <w:rFonts w:ascii="Palatino Linotype" w:hAnsi="Palatino Linotype"/>
          <w:i/>
          <w:sz w:val="22"/>
          <w:szCs w:val="22"/>
        </w:rPr>
        <w:t xml:space="preserve">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1 2004949. I.3o.C.35 K (10a.). Tribunales Colegiados de Circuito. Décima Época. Semanario Judicial de la Federación y su Gaceta. Libro XXVI, Noviembre de 2013, Pág. 1373. Recurso de Revisión: 03023/INFOEM/IP/RR/2021 Sujeto Obligado: Ayuntamiento de Coacalco de Berriozábal Comisionado por returno: Luis Gustavo Parra Noriega Página 21 de 28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w:t>
      </w:r>
      <w:r w:rsidRPr="00012649">
        <w:rPr>
          <w:rFonts w:ascii="Palatino Linotype" w:hAnsi="Palatino Linotype"/>
          <w:i/>
          <w:sz w:val="22"/>
          <w:szCs w:val="22"/>
        </w:rPr>
        <w:lastRenderedPageBreak/>
        <w:t>de Internet que refleja hechos propios de una de las partes en cualquier juicio, puede ser tomado como prueba plena, a menos que haya una en contrario que no fue creada por orden del interesado, ya que se le reputará autor y podrá perjudicarle lo que ofrezca en sus términos.</w:t>
      </w:r>
    </w:p>
    <w:p w:rsidR="00D85A7D" w:rsidRPr="00012649" w:rsidRDefault="00D85A7D" w:rsidP="00D85A7D">
      <w:pPr>
        <w:spacing w:line="360" w:lineRule="auto"/>
        <w:ind w:left="567" w:right="822"/>
        <w:contextualSpacing/>
        <w:jc w:val="both"/>
        <w:rPr>
          <w:rFonts w:ascii="Palatino Linotype" w:hAnsi="Palatino Linotype"/>
          <w:i/>
          <w:sz w:val="22"/>
          <w:szCs w:val="22"/>
        </w:rPr>
      </w:pPr>
      <w:r w:rsidRPr="00012649">
        <w:rPr>
          <w:rFonts w:ascii="Palatino Linotype" w:hAnsi="Palatino Linotype"/>
          <w:i/>
          <w:sz w:val="22"/>
          <w:szCs w:val="22"/>
        </w:rPr>
        <w:t xml:space="preserve"> TERCER TRIBUNAL COLEGIADO EN MATERIA CIVIL DEL PRIMER CIRCUITO. </w:t>
      </w:r>
    </w:p>
    <w:p w:rsidR="00D85A7D" w:rsidRPr="00012649" w:rsidRDefault="00D85A7D" w:rsidP="00D85A7D">
      <w:pPr>
        <w:spacing w:line="360" w:lineRule="auto"/>
        <w:ind w:left="567" w:right="822"/>
        <w:contextualSpacing/>
        <w:jc w:val="both"/>
        <w:rPr>
          <w:rFonts w:ascii="Palatino Linotype" w:hAnsi="Palatino Linotype"/>
          <w:i/>
          <w:sz w:val="22"/>
          <w:szCs w:val="22"/>
        </w:rPr>
      </w:pPr>
      <w:r w:rsidRPr="00012649">
        <w:rPr>
          <w:rFonts w:ascii="Palatino Linotype" w:hAnsi="Palatino Linotype"/>
          <w:i/>
          <w:sz w:val="22"/>
          <w:szCs w:val="22"/>
        </w:rPr>
        <w:t xml:space="preserve">Amparo en revisión 365/2012. </w:t>
      </w:r>
      <w:proofErr w:type="spellStart"/>
      <w:r w:rsidRPr="00012649">
        <w:rPr>
          <w:rFonts w:ascii="Palatino Linotype" w:hAnsi="Palatino Linotype"/>
          <w:i/>
          <w:sz w:val="22"/>
          <w:szCs w:val="22"/>
        </w:rPr>
        <w:t>Mardygras</w:t>
      </w:r>
      <w:proofErr w:type="spellEnd"/>
      <w:r w:rsidRPr="00012649">
        <w:rPr>
          <w:rFonts w:ascii="Palatino Linotype" w:hAnsi="Palatino Linotype"/>
          <w:i/>
          <w:sz w:val="22"/>
          <w:szCs w:val="22"/>
        </w:rPr>
        <w:t xml:space="preserve">, S.A. de C.V. 7 de diciembre de 2012. Unanimidad de votos. Ponente: Neófito López Ramos. Secretaria: Ana Lilia Osorno Arroyo.” </w:t>
      </w:r>
    </w:p>
    <w:p w:rsidR="00D85A7D" w:rsidRPr="00012649" w:rsidRDefault="00D85A7D" w:rsidP="00D85A7D">
      <w:pPr>
        <w:spacing w:line="360" w:lineRule="auto"/>
        <w:ind w:left="567" w:right="822"/>
        <w:contextualSpacing/>
        <w:jc w:val="both"/>
        <w:rPr>
          <w:rFonts w:ascii="Palatino Linotype" w:hAnsi="Palatino Linotype"/>
          <w:i/>
          <w:sz w:val="22"/>
          <w:szCs w:val="22"/>
        </w:rPr>
      </w:pPr>
      <w:r w:rsidRPr="00012649">
        <w:rPr>
          <w:rFonts w:ascii="Palatino Linotype" w:hAnsi="Palatino Linotype"/>
          <w:i/>
          <w:sz w:val="22"/>
          <w:szCs w:val="22"/>
        </w:rPr>
        <w:t xml:space="preserve">(Énfasis añadido) </w:t>
      </w:r>
    </w:p>
    <w:p w:rsidR="00514C62" w:rsidRPr="00012649" w:rsidRDefault="00514C62" w:rsidP="00D85A7D">
      <w:pPr>
        <w:pStyle w:val="Prrafodelista"/>
        <w:spacing w:line="360" w:lineRule="auto"/>
        <w:ind w:left="0"/>
        <w:jc w:val="both"/>
        <w:rPr>
          <w:rFonts w:ascii="Palatino Linotype" w:eastAsia="Arial Unicode MS" w:hAnsi="Palatino Linotype" w:cs="Arial"/>
          <w:lang w:eastAsia="en-US"/>
        </w:rPr>
      </w:pPr>
    </w:p>
    <w:p w:rsidR="00090548" w:rsidRPr="00012649" w:rsidRDefault="00090548" w:rsidP="00090548">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012649">
        <w:rPr>
          <w:rFonts w:ascii="Palatino Linotype" w:eastAsia="Palatino Linotype" w:hAnsi="Palatino Linotype" w:cs="Palatino Linotype"/>
          <w:color w:val="000000"/>
          <w:sz w:val="22"/>
          <w:szCs w:val="22"/>
        </w:rPr>
        <w:t xml:space="preserve">Por todo lo anteriormente referido, este órgano Garante advierte que la información remitida en respuesta no colma con lo solicitado. </w:t>
      </w:r>
      <w:r w:rsidRPr="00012649">
        <w:rPr>
          <w:rFonts w:ascii="Palatino Linotype" w:eastAsia="Calibri" w:hAnsi="Palatino Linotype"/>
          <w:sz w:val="22"/>
          <w:szCs w:val="22"/>
        </w:rPr>
        <w:t>En consecuencia, una vez analizadas las constancias que integran el expediente electrónico</w:t>
      </w:r>
      <w:r w:rsidRPr="00012649">
        <w:rPr>
          <w:rFonts w:ascii="Palatino Linotype" w:eastAsia="MS Mincho" w:hAnsi="Palatino Linotype" w:cstheme="majorBidi"/>
          <w:sz w:val="22"/>
          <w:szCs w:val="22"/>
        </w:rPr>
        <w:t>,</w:t>
      </w:r>
      <w:r w:rsidRPr="00012649">
        <w:rPr>
          <w:rFonts w:ascii="Palatino Linotype" w:eastAsia="MS Mincho" w:hAnsi="Palatino Linotype" w:cstheme="majorBidi"/>
          <w:sz w:val="22"/>
          <w:szCs w:val="22"/>
          <w:lang w:val="es-ES"/>
        </w:rPr>
        <w:t xml:space="preserve"> y en mérito de lo expuesto en líneas anteriores, resultan fundadas las razones o motivos de inconformidad hechos valer por el </w:t>
      </w:r>
      <w:r w:rsidRPr="00012649">
        <w:rPr>
          <w:rFonts w:ascii="Palatino Linotype" w:eastAsia="MS Mincho" w:hAnsi="Palatino Linotype" w:cstheme="majorBidi"/>
          <w:b/>
          <w:sz w:val="22"/>
          <w:szCs w:val="22"/>
          <w:lang w:val="es-ES"/>
        </w:rPr>
        <w:t>RECURRENTE</w:t>
      </w:r>
      <w:r w:rsidRPr="00012649">
        <w:rPr>
          <w:rFonts w:ascii="Palatino Linotype" w:eastAsia="MS Mincho" w:hAnsi="Palatino Linotype" w:cstheme="majorBidi"/>
          <w:sz w:val="22"/>
          <w:szCs w:val="22"/>
          <w:lang w:val="es-ES"/>
        </w:rPr>
        <w:t xml:space="preserve"> dentro del recurso de revisión </w:t>
      </w:r>
      <w:r w:rsidR="00D85A7D" w:rsidRPr="00012649">
        <w:rPr>
          <w:rFonts w:ascii="Palatino Linotype" w:eastAsia="MS Mincho" w:hAnsi="Palatino Linotype" w:cstheme="majorBidi"/>
          <w:b/>
          <w:bCs/>
          <w:sz w:val="22"/>
          <w:szCs w:val="22"/>
          <w:lang w:val="es-ES"/>
        </w:rPr>
        <w:t>01323</w:t>
      </w:r>
      <w:r w:rsidRPr="00012649">
        <w:rPr>
          <w:rFonts w:ascii="Palatino Linotype" w:eastAsia="MS Mincho" w:hAnsi="Palatino Linotype" w:cstheme="majorBidi"/>
          <w:b/>
          <w:bCs/>
          <w:sz w:val="22"/>
          <w:szCs w:val="22"/>
          <w:lang w:val="es-ES"/>
        </w:rPr>
        <w:t>/INFOEM/IP/RR/2024</w:t>
      </w:r>
      <w:r w:rsidRPr="00012649">
        <w:rPr>
          <w:rFonts w:ascii="Palatino Linotype" w:eastAsia="MS Mincho" w:hAnsi="Palatino Linotype" w:cstheme="majorBidi"/>
          <w:sz w:val="22"/>
          <w:szCs w:val="22"/>
          <w:lang w:val="es-ES"/>
        </w:rPr>
        <w:t xml:space="preserve">; por ello, y con fundamento en la fracción III del numeral 186 de la Ley de Transparencia y Acceso a la Información Pública del Estado de México y Municipios, se </w:t>
      </w:r>
      <w:r w:rsidRPr="00012649">
        <w:rPr>
          <w:rFonts w:ascii="Palatino Linotype" w:eastAsia="MS Mincho" w:hAnsi="Palatino Linotype" w:cstheme="majorBidi"/>
          <w:b/>
          <w:sz w:val="22"/>
          <w:szCs w:val="22"/>
          <w:lang w:val="es-ES"/>
        </w:rPr>
        <w:t>REVOCA</w:t>
      </w:r>
      <w:r w:rsidRPr="00012649">
        <w:rPr>
          <w:rFonts w:ascii="Palatino Linotype" w:eastAsia="MS Mincho" w:hAnsi="Palatino Linotype" w:cstheme="majorBidi"/>
          <w:sz w:val="22"/>
          <w:szCs w:val="22"/>
          <w:lang w:val="es-ES"/>
        </w:rPr>
        <w:t xml:space="preserve"> la respuesta del Sujeto Obligado y se ORDENA entregar, de ser procedente en versión pública, la siguiente información:</w:t>
      </w:r>
    </w:p>
    <w:p w:rsidR="00D85A7D" w:rsidRPr="00012649" w:rsidRDefault="00D85A7D" w:rsidP="00D85A7D">
      <w:pPr>
        <w:pBdr>
          <w:top w:val="nil"/>
          <w:left w:val="nil"/>
          <w:bottom w:val="nil"/>
          <w:right w:val="nil"/>
          <w:between w:val="nil"/>
        </w:pBdr>
        <w:spacing w:line="360" w:lineRule="auto"/>
        <w:jc w:val="both"/>
        <w:rPr>
          <w:rFonts w:ascii="Palatino Linotype" w:hAnsi="Palatino Linotype"/>
          <w:color w:val="000000"/>
          <w:sz w:val="22"/>
          <w:szCs w:val="22"/>
        </w:rPr>
      </w:pPr>
    </w:p>
    <w:p w:rsidR="00090548" w:rsidRPr="00012649" w:rsidRDefault="00090548" w:rsidP="00090548">
      <w:pPr>
        <w:pBdr>
          <w:top w:val="nil"/>
          <w:left w:val="nil"/>
          <w:bottom w:val="nil"/>
          <w:right w:val="nil"/>
          <w:between w:val="nil"/>
        </w:pBdr>
        <w:spacing w:line="360" w:lineRule="auto"/>
        <w:jc w:val="both"/>
        <w:rPr>
          <w:rFonts w:ascii="Palatino Linotype" w:hAnsi="Palatino Linotype"/>
          <w:color w:val="000000"/>
          <w:sz w:val="22"/>
          <w:szCs w:val="22"/>
        </w:rPr>
      </w:pPr>
    </w:p>
    <w:p w:rsidR="00090548" w:rsidRPr="00012649" w:rsidRDefault="00090548" w:rsidP="00090548">
      <w:pPr>
        <w:pStyle w:val="Prrafodelista"/>
        <w:tabs>
          <w:tab w:val="left" w:pos="426"/>
        </w:tabs>
        <w:spacing w:line="360" w:lineRule="auto"/>
        <w:ind w:left="0"/>
        <w:jc w:val="both"/>
        <w:outlineLvl w:val="1"/>
        <w:rPr>
          <w:rFonts w:ascii="Palatino Linotype" w:hAnsi="Palatino Linotype"/>
          <w:b/>
          <w:bCs/>
          <w:color w:val="000000" w:themeColor="text1"/>
          <w:szCs w:val="22"/>
        </w:rPr>
      </w:pPr>
      <w:bookmarkStart w:id="8" w:name="_Toc89350464"/>
      <w:bookmarkStart w:id="9" w:name="_Toc94119619"/>
      <w:r w:rsidRPr="00012649">
        <w:rPr>
          <w:rFonts w:ascii="Palatino Linotype" w:hAnsi="Palatino Linotype"/>
          <w:b/>
          <w:bCs/>
          <w:color w:val="000000" w:themeColor="text1"/>
          <w:szCs w:val="22"/>
        </w:rPr>
        <w:t>QUINTO. De la versión pública.</w:t>
      </w:r>
      <w:bookmarkEnd w:id="8"/>
      <w:bookmarkEnd w:id="9"/>
    </w:p>
    <w:p w:rsidR="00090548" w:rsidRPr="00012649" w:rsidRDefault="00090548" w:rsidP="00090548">
      <w:pPr>
        <w:pStyle w:val="Prrafodelista"/>
        <w:tabs>
          <w:tab w:val="left" w:pos="426"/>
        </w:tabs>
        <w:spacing w:line="360" w:lineRule="auto"/>
        <w:ind w:left="0"/>
        <w:jc w:val="both"/>
        <w:rPr>
          <w:rFonts w:ascii="Palatino Linotype" w:hAnsi="Palatino Linotype"/>
          <w:color w:val="000000" w:themeColor="text1"/>
          <w:szCs w:val="22"/>
        </w:rPr>
      </w:pPr>
    </w:p>
    <w:p w:rsidR="00090548" w:rsidRPr="00012649" w:rsidRDefault="00090548" w:rsidP="00090548">
      <w:pPr>
        <w:pStyle w:val="Prrafodelista"/>
        <w:numPr>
          <w:ilvl w:val="0"/>
          <w:numId w:val="2"/>
        </w:numPr>
        <w:tabs>
          <w:tab w:val="left" w:pos="426"/>
        </w:tabs>
        <w:spacing w:line="360" w:lineRule="auto"/>
        <w:ind w:left="0" w:firstLine="0"/>
        <w:jc w:val="both"/>
        <w:rPr>
          <w:rFonts w:ascii="Palatino Linotype" w:hAnsi="Palatino Linotype"/>
          <w:color w:val="000000" w:themeColor="text1"/>
          <w:szCs w:val="22"/>
        </w:rPr>
      </w:pPr>
      <w:r w:rsidRPr="00012649">
        <w:rPr>
          <w:rFonts w:ascii="Palatino Linotype" w:hAnsi="Palatino Linotype"/>
          <w:color w:val="000000" w:themeColor="text1"/>
          <w:szCs w:val="22"/>
        </w:rPr>
        <w:t>Debe destacarse que, debido a la naturaleza de la información solicitada</w:t>
      </w:r>
      <w:r w:rsidRPr="00012649">
        <w:rPr>
          <w:rFonts w:ascii="Palatino Linotype" w:hAnsi="Palatino Linotype"/>
          <w:b/>
          <w:color w:val="000000" w:themeColor="text1"/>
          <w:szCs w:val="22"/>
        </w:rPr>
        <w:t xml:space="preserve"> </w:t>
      </w:r>
      <w:r w:rsidRPr="00012649">
        <w:rPr>
          <w:rFonts w:ascii="Palatino Linotype" w:hAnsi="Palatino Linotype"/>
          <w:color w:val="000000" w:themeColor="text1"/>
          <w:szCs w:val="22"/>
        </w:rPr>
        <w:t xml:space="preserve">eventualmente pudieran obrar datos personales susceptibles de protegerse, y toda vez que este Instituto de </w:t>
      </w:r>
      <w:r w:rsidRPr="00012649">
        <w:rPr>
          <w:rFonts w:ascii="Palatino Linotype" w:hAnsi="Palatino Linotype"/>
          <w:color w:val="000000" w:themeColor="text1"/>
          <w:szCs w:val="22"/>
        </w:rPr>
        <w:lastRenderedPageBreak/>
        <w:t>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rsidR="00090548" w:rsidRPr="00012649" w:rsidRDefault="00090548" w:rsidP="00090548">
      <w:pPr>
        <w:pStyle w:val="Prrafodelista"/>
        <w:tabs>
          <w:tab w:val="left" w:pos="426"/>
        </w:tabs>
        <w:spacing w:line="360" w:lineRule="auto"/>
        <w:ind w:left="0"/>
        <w:jc w:val="both"/>
        <w:rPr>
          <w:rFonts w:ascii="Palatino Linotype" w:hAnsi="Palatino Linotype"/>
          <w:color w:val="000000" w:themeColor="text1"/>
          <w:szCs w:val="22"/>
        </w:rPr>
      </w:pPr>
    </w:p>
    <w:p w:rsidR="00090548" w:rsidRPr="00012649" w:rsidRDefault="00090548" w:rsidP="00090548">
      <w:pPr>
        <w:pStyle w:val="Prrafodelista"/>
        <w:numPr>
          <w:ilvl w:val="0"/>
          <w:numId w:val="2"/>
        </w:numPr>
        <w:tabs>
          <w:tab w:val="left" w:pos="426"/>
        </w:tabs>
        <w:spacing w:line="360" w:lineRule="auto"/>
        <w:ind w:left="0" w:firstLine="0"/>
        <w:jc w:val="both"/>
        <w:rPr>
          <w:rFonts w:ascii="Palatino Linotype" w:hAnsi="Palatino Linotype"/>
          <w:color w:val="000000" w:themeColor="text1"/>
          <w:szCs w:val="22"/>
        </w:rPr>
      </w:pPr>
      <w:r w:rsidRPr="00012649">
        <w:rPr>
          <w:rFonts w:ascii="Palatino Linotype" w:hAnsi="Palatino Linotype"/>
          <w:color w:val="000000" w:themeColor="text1"/>
          <w:szCs w:val="22"/>
        </w:rPr>
        <w:t xml:space="preserve">La </w:t>
      </w:r>
      <w:r w:rsidRPr="00012649">
        <w:rPr>
          <w:rFonts w:ascii="Palatino Linotype" w:eastAsia="MS Mincho" w:hAnsi="Palatino Linotype"/>
          <w:szCs w:val="22"/>
        </w:rPr>
        <w:t>clasificación total o parcial de la información requerida, mediante solicitud de acceso a la información pública, constituye una restricción al derecho humano de acceso a la información</w:t>
      </w:r>
      <w:r w:rsidRPr="00012649">
        <w:rPr>
          <w:rFonts w:ascii="Palatino Linotype" w:hAnsi="Palatino Linotype" w:cs="Arial"/>
          <w:color w:val="000000"/>
          <w:szCs w:val="22"/>
        </w:rPr>
        <w:t>, por lo que es menester reiterar los mismos:</w:t>
      </w:r>
    </w:p>
    <w:p w:rsidR="00090548" w:rsidRPr="00012649" w:rsidRDefault="00090548" w:rsidP="00090548">
      <w:pPr>
        <w:pStyle w:val="Prrafodelista"/>
        <w:tabs>
          <w:tab w:val="left" w:pos="426"/>
        </w:tabs>
        <w:spacing w:line="360" w:lineRule="auto"/>
        <w:ind w:left="0"/>
        <w:jc w:val="both"/>
        <w:rPr>
          <w:rFonts w:ascii="Palatino Linotype" w:hAnsi="Palatino Linotype"/>
          <w:color w:val="000000" w:themeColor="text1"/>
          <w:szCs w:val="22"/>
        </w:rPr>
      </w:pPr>
    </w:p>
    <w:tbl>
      <w:tblPr>
        <w:tblStyle w:val="Tabladecuadrcula6concolores"/>
        <w:tblW w:w="0" w:type="auto"/>
        <w:tblLook w:val="04A0" w:firstRow="1" w:lastRow="0" w:firstColumn="1" w:lastColumn="0" w:noHBand="0" w:noVBand="1"/>
      </w:tblPr>
      <w:tblGrid>
        <w:gridCol w:w="1838"/>
        <w:gridCol w:w="6990"/>
      </w:tblGrid>
      <w:tr w:rsidR="00090548" w:rsidRPr="00012649" w:rsidTr="000905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090548" w:rsidRPr="00012649" w:rsidRDefault="00090548" w:rsidP="00090548">
            <w:pPr>
              <w:spacing w:line="276" w:lineRule="auto"/>
              <w:rPr>
                <w:rFonts w:ascii="Palatino Linotype" w:hAnsi="Palatino Linotype"/>
                <w:sz w:val="22"/>
                <w:szCs w:val="22"/>
              </w:rPr>
            </w:pPr>
            <w:r w:rsidRPr="00012649">
              <w:rPr>
                <w:rFonts w:ascii="Palatino Linotype" w:hAnsi="Palatino Linotype" w:cstheme="majorBidi"/>
                <w:b w:val="0"/>
                <w:sz w:val="22"/>
                <w:szCs w:val="22"/>
              </w:rPr>
              <w:t>a) Requisitos previos.</w:t>
            </w:r>
          </w:p>
        </w:tc>
        <w:tc>
          <w:tcPr>
            <w:tcW w:w="6990" w:type="dxa"/>
          </w:tcPr>
          <w:p w:rsidR="00090548" w:rsidRPr="00012649" w:rsidRDefault="00090548" w:rsidP="00090548">
            <w:p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012649">
              <w:rPr>
                <w:rFonts w:ascii="Palatino Linotype" w:hAnsi="Palatino Linotype" w:cs="Arial"/>
                <w:color w:val="000000"/>
                <w:sz w:val="22"/>
                <w:szCs w:val="22"/>
              </w:rPr>
              <w:t xml:space="preserve">Los artículos 100 y 122 de la Ley Estatal y de la Ley General, respectivamente, señalan que si los </w:t>
            </w:r>
            <w:r w:rsidRPr="00012649">
              <w:rPr>
                <w:rFonts w:ascii="Palatino Linotype" w:hAnsi="Palatino Linotype" w:cs="Arial"/>
                <w:b w:val="0"/>
                <w:color w:val="000000"/>
                <w:sz w:val="22"/>
                <w:szCs w:val="22"/>
              </w:rPr>
              <w:t>Sujetos Obligados</w:t>
            </w:r>
            <w:r w:rsidRPr="00012649">
              <w:rPr>
                <w:rFonts w:ascii="Palatino Linotype" w:hAnsi="Palatino Linotype" w:cs="Arial"/>
                <w:color w:val="000000"/>
                <w:sz w:val="22"/>
                <w:szCs w:val="22"/>
              </w:rPr>
              <w:t xml:space="preserve"> determinan que la información actualiza alguno de los supuestos de clasificación, es deber de los titulares de las áreas proponer su clasificación y no del Comité de Transparencia. </w:t>
            </w:r>
          </w:p>
          <w:p w:rsidR="00090548" w:rsidRPr="00012649" w:rsidRDefault="00090548" w:rsidP="00090548">
            <w:p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012649">
              <w:rPr>
                <w:rFonts w:ascii="Palatino Linotype" w:hAnsi="Palatino Linotype" w:cs="Arial"/>
                <w:color w:val="000000"/>
                <w:sz w:val="22"/>
                <w:szCs w:val="22"/>
              </w:rPr>
              <w:t>Al hacerlo tienen que precisar de qué información se trata, señalando el supuesto de clasificación (confidencialidad o reserva).</w:t>
            </w:r>
          </w:p>
          <w:p w:rsidR="00090548" w:rsidRPr="00012649" w:rsidRDefault="00090548" w:rsidP="00090548">
            <w:p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012649">
              <w:rPr>
                <w:rFonts w:ascii="Palatino Linotype" w:hAnsi="Palatino Linotype" w:cs="Arial"/>
                <w:color w:val="000000"/>
                <w:sz w:val="22"/>
                <w:szCs w:val="22"/>
              </w:rPr>
              <w:t>Además, se debe señalar el procedimiento, de los tres que establecen los artículos 132 y 106 de la Ley Estatal y General, respectivamente.</w:t>
            </w:r>
          </w:p>
          <w:p w:rsidR="00090548" w:rsidRPr="00012649" w:rsidRDefault="00090548" w:rsidP="00090548">
            <w:pPr>
              <w:spacing w:line="276"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012649">
              <w:rPr>
                <w:rFonts w:ascii="Palatino Linotype" w:hAnsi="Palatino Linotype" w:cs="Arial"/>
                <w:color w:val="000000"/>
                <w:sz w:val="22"/>
                <w:szCs w:val="22"/>
              </w:rPr>
              <w:t xml:space="preserve">El último de estos requisitos previos consiste en que no se pueden emitir acuerdos de carácter general ni particular, esto es, </w:t>
            </w:r>
            <w:r w:rsidRPr="00012649">
              <w:rPr>
                <w:rFonts w:ascii="Palatino Linotype" w:hAnsi="Palatino Linotype" w:cs="Arial"/>
                <w:b w:val="0"/>
                <w:color w:val="000000"/>
                <w:sz w:val="22"/>
                <w:szCs w:val="22"/>
                <w:u w:val="single"/>
              </w:rPr>
              <w:t xml:space="preserve">no se puede hacer un acuerdo para clasificar de manera general todos los documentos de un expediente o área,  </w:t>
            </w:r>
            <w:r w:rsidRPr="00012649">
              <w:rPr>
                <w:rFonts w:ascii="Palatino Linotype" w:hAnsi="Palatino Linotype" w:cs="Arial"/>
                <w:color w:val="000000"/>
                <w:sz w:val="22"/>
                <w:szCs w:val="22"/>
              </w:rPr>
              <w:t>sin individualizar su análisis y tampoco se puede hacer un acuerdo por cada dato que se vaya a clasificar dentro de un documento con diez datos, por ejemplo, susceptibles de ser clasificados.</w:t>
            </w:r>
          </w:p>
        </w:tc>
      </w:tr>
      <w:tr w:rsidR="00090548" w:rsidRPr="00012649" w:rsidTr="000905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090548" w:rsidRPr="00012649" w:rsidRDefault="00090548" w:rsidP="00090548">
            <w:pPr>
              <w:spacing w:line="276" w:lineRule="auto"/>
              <w:rPr>
                <w:rFonts w:ascii="Palatino Linotype" w:hAnsi="Palatino Linotype"/>
                <w:sz w:val="22"/>
                <w:szCs w:val="22"/>
              </w:rPr>
            </w:pPr>
            <w:r w:rsidRPr="00012649">
              <w:rPr>
                <w:rFonts w:ascii="Palatino Linotype" w:hAnsi="Palatino Linotype" w:cstheme="majorBidi"/>
                <w:b w:val="0"/>
                <w:sz w:val="22"/>
                <w:szCs w:val="22"/>
              </w:rPr>
              <w:t>b) Supuestos de clasificación.</w:t>
            </w:r>
          </w:p>
        </w:tc>
        <w:tc>
          <w:tcPr>
            <w:tcW w:w="6990" w:type="dxa"/>
          </w:tcPr>
          <w:p w:rsidR="00090548" w:rsidRPr="00012649" w:rsidRDefault="00090548" w:rsidP="00090548">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012649">
              <w:rPr>
                <w:rFonts w:ascii="Palatino Linotype" w:hAnsi="Palatino Linotype" w:cs="Arial"/>
                <w:color w:val="000000"/>
                <w:sz w:val="22"/>
                <w:szCs w:val="22"/>
              </w:rPr>
              <w:t>Las disposiciones constitucionales y legales en la materia establecen los dos supuestos generales para clasificar la información: por reserva y por confidencialidad.</w:t>
            </w:r>
          </w:p>
          <w:p w:rsidR="00090548" w:rsidRPr="00012649" w:rsidRDefault="00090548" w:rsidP="00090548">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012649">
              <w:rPr>
                <w:rFonts w:ascii="Palatino Linotype" w:hAnsi="Palatino Linotype" w:cs="Arial"/>
                <w:color w:val="000000"/>
                <w:sz w:val="22"/>
                <w:szCs w:val="22"/>
              </w:rPr>
              <w:t xml:space="preserve">Los artículos 116 y 143 de la Ley Estatal y de la Ley General, respectivamente, señalan los supuestos para que la información pueda ser clasificada como confidencial. Mientras que los artículos 105 y 130 </w:t>
            </w:r>
            <w:r w:rsidRPr="00012649">
              <w:rPr>
                <w:rFonts w:ascii="Palatino Linotype" w:hAnsi="Palatino Linotype" w:cs="Arial"/>
                <w:color w:val="000000"/>
                <w:sz w:val="22"/>
                <w:szCs w:val="22"/>
              </w:rPr>
              <w:lastRenderedPageBreak/>
              <w:t>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090548" w:rsidRPr="00012649" w:rsidRDefault="00090548" w:rsidP="00090548">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012649">
              <w:rPr>
                <w:rFonts w:ascii="Palatino Linotype" w:hAnsi="Palatino Linotype" w:cs="Arial"/>
                <w:color w:val="000000"/>
                <w:sz w:val="22"/>
                <w:szCs w:val="22"/>
              </w:rPr>
              <w:t xml:space="preserve">El </w:t>
            </w:r>
            <w:r w:rsidRPr="00012649">
              <w:rPr>
                <w:rFonts w:ascii="Palatino Linotype" w:hAnsi="Palatino Linotype" w:cs="Arial"/>
                <w:b/>
                <w:color w:val="000000"/>
                <w:sz w:val="22"/>
                <w:szCs w:val="22"/>
              </w:rPr>
              <w:t>SUJETO OBLIGADO</w:t>
            </w:r>
            <w:r w:rsidRPr="00012649">
              <w:rPr>
                <w:rFonts w:ascii="Palatino Linotype" w:hAnsi="Palatino Linotype" w:cs="Arial"/>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090548" w:rsidRPr="00012649" w:rsidTr="00090548">
        <w:tc>
          <w:tcPr>
            <w:cnfStyle w:val="001000000000" w:firstRow="0" w:lastRow="0" w:firstColumn="1" w:lastColumn="0" w:oddVBand="0" w:evenVBand="0" w:oddHBand="0" w:evenHBand="0" w:firstRowFirstColumn="0" w:firstRowLastColumn="0" w:lastRowFirstColumn="0" w:lastRowLastColumn="0"/>
            <w:tcW w:w="1838" w:type="dxa"/>
          </w:tcPr>
          <w:p w:rsidR="00090548" w:rsidRPr="00012649" w:rsidRDefault="00090548" w:rsidP="00090548">
            <w:pPr>
              <w:spacing w:line="276" w:lineRule="auto"/>
              <w:rPr>
                <w:rFonts w:ascii="Palatino Linotype" w:hAnsi="Palatino Linotype"/>
                <w:sz w:val="22"/>
                <w:szCs w:val="22"/>
              </w:rPr>
            </w:pPr>
            <w:r w:rsidRPr="00012649">
              <w:rPr>
                <w:rFonts w:ascii="Palatino Linotype" w:hAnsi="Palatino Linotype" w:cstheme="majorBidi"/>
                <w:b w:val="0"/>
                <w:sz w:val="22"/>
                <w:szCs w:val="22"/>
              </w:rPr>
              <w:lastRenderedPageBreak/>
              <w:t>c) Formalidades para emitir el acuerdo de clasificación.</w:t>
            </w:r>
          </w:p>
        </w:tc>
        <w:tc>
          <w:tcPr>
            <w:tcW w:w="6990" w:type="dxa"/>
          </w:tcPr>
          <w:p w:rsidR="00090548" w:rsidRPr="00012649" w:rsidRDefault="00090548" w:rsidP="00090548">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012649">
              <w:rPr>
                <w:rFonts w:ascii="Palatino Linotype" w:hAnsi="Palatino Linotype" w:cs="Arial"/>
                <w:color w:val="000000"/>
                <w:sz w:val="22"/>
                <w:szCs w:val="22"/>
              </w:rPr>
              <w:t xml:space="preserve">El Comité de Transparencia, según lo dispuesto en los artículos cuenta con las facultades para aprobar, modificar o revocar la clasificación de la información que haya propuesto. </w:t>
            </w:r>
          </w:p>
          <w:p w:rsidR="00090548" w:rsidRPr="00012649" w:rsidRDefault="00090548" w:rsidP="00090548">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012649">
              <w:rPr>
                <w:rFonts w:ascii="Palatino Linotype" w:hAnsi="Palatino Linotype" w:cs="Arial"/>
                <w:color w:val="000000"/>
                <w:sz w:val="22"/>
                <w:szCs w:val="22"/>
              </w:rPr>
              <w:t xml:space="preserve">Es necesario que </w:t>
            </w:r>
            <w:r w:rsidRPr="00012649">
              <w:rPr>
                <w:rFonts w:ascii="Palatino Linotype" w:hAnsi="Palatino Linotype" w:cs="Arial"/>
                <w:b/>
                <w:color w:val="000000"/>
                <w:sz w:val="22"/>
                <w:szCs w:val="22"/>
                <w:u w:val="single"/>
              </w:rPr>
              <w:t>el acto reúna con los requisitos elementales</w:t>
            </w:r>
            <w:r w:rsidRPr="00012649">
              <w:rPr>
                <w:rFonts w:ascii="Palatino Linotype" w:hAnsi="Palatino Linotype" w:cs="Arial"/>
                <w:color w:val="000000"/>
                <w:sz w:val="22"/>
                <w:szCs w:val="22"/>
              </w:rPr>
              <w:t>, entre ellos, que la autoridad que va a emitir el acto de autoridad sea la legalmente facultada para ello.</w:t>
            </w:r>
          </w:p>
          <w:p w:rsidR="00090548" w:rsidRPr="00012649" w:rsidRDefault="00090548" w:rsidP="00090548">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012649">
              <w:rPr>
                <w:rFonts w:ascii="Palatino Linotype" w:hAnsi="Palatino Linotype" w:cs="Arial"/>
                <w:color w:val="000000"/>
                <w:sz w:val="22"/>
                <w:szCs w:val="22"/>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090548" w:rsidRPr="00012649" w:rsidTr="000905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090548" w:rsidRPr="00012649" w:rsidRDefault="00090548" w:rsidP="00090548">
            <w:pPr>
              <w:spacing w:line="276" w:lineRule="auto"/>
              <w:rPr>
                <w:rFonts w:ascii="Palatino Linotype" w:hAnsi="Palatino Linotype"/>
                <w:b w:val="0"/>
                <w:sz w:val="22"/>
                <w:szCs w:val="22"/>
              </w:rPr>
            </w:pPr>
          </w:p>
          <w:p w:rsidR="00090548" w:rsidRPr="00012649" w:rsidRDefault="00090548" w:rsidP="00090548">
            <w:pPr>
              <w:spacing w:line="276" w:lineRule="auto"/>
              <w:jc w:val="both"/>
              <w:rPr>
                <w:rFonts w:ascii="Palatino Linotype" w:hAnsi="Palatino Linotype"/>
                <w:b w:val="0"/>
                <w:sz w:val="22"/>
                <w:szCs w:val="22"/>
              </w:rPr>
            </w:pPr>
            <w:r w:rsidRPr="00012649">
              <w:rPr>
                <w:rFonts w:ascii="Palatino Linotype" w:hAnsi="Palatino Linotype" w:cs="Arial"/>
                <w:b w:val="0"/>
                <w:color w:val="000000"/>
                <w:sz w:val="22"/>
                <w:szCs w:val="22"/>
              </w:rPr>
              <w:t xml:space="preserve">d) Requisitos de fondo del acuerdo de clasificación. </w:t>
            </w:r>
          </w:p>
        </w:tc>
        <w:tc>
          <w:tcPr>
            <w:tcW w:w="6990" w:type="dxa"/>
          </w:tcPr>
          <w:p w:rsidR="00090548" w:rsidRPr="00012649" w:rsidRDefault="00090548" w:rsidP="00090548">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012649">
              <w:rPr>
                <w:rFonts w:ascii="Palatino Linotype" w:hAnsi="Palatino Linotype" w:cs="Arial"/>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012649">
              <w:rPr>
                <w:rFonts w:ascii="Palatino Linotype" w:hAnsi="Palatino Linotype" w:cs="Arial"/>
                <w:b/>
                <w:color w:val="000000"/>
                <w:sz w:val="22"/>
                <w:szCs w:val="22"/>
              </w:rPr>
              <w:t>Sujetos Obligados</w:t>
            </w:r>
            <w:r w:rsidRPr="00012649">
              <w:rPr>
                <w:rFonts w:ascii="Palatino Linotype" w:hAnsi="Palatino Linotype" w:cs="Arial"/>
                <w:color w:val="000000"/>
                <w:sz w:val="22"/>
                <w:szCs w:val="22"/>
              </w:rPr>
              <w:t xml:space="preserve">, por lo que deberán fundar y motivar debidamente la clasificación. </w:t>
            </w:r>
          </w:p>
          <w:p w:rsidR="00090548" w:rsidRPr="00012649" w:rsidRDefault="00090548" w:rsidP="00090548">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012649">
              <w:rPr>
                <w:rFonts w:ascii="Palatino Linotype" w:hAnsi="Palatino Linotype" w:cs="Arial"/>
                <w:color w:val="000000"/>
                <w:sz w:val="22"/>
                <w:szCs w:val="22"/>
              </w:rPr>
              <w:t xml:space="preserve">De lo anterior, se desprende que para una correcta </w:t>
            </w:r>
            <w:r w:rsidRPr="00012649">
              <w:rPr>
                <w:rFonts w:ascii="Palatino Linotype" w:hAnsi="Palatino Linotype" w:cs="Arial"/>
                <w:b/>
                <w:color w:val="000000"/>
                <w:sz w:val="22"/>
                <w:szCs w:val="22"/>
              </w:rPr>
              <w:t>clasificación total o parcial</w:t>
            </w:r>
            <w:r w:rsidRPr="00012649">
              <w:rPr>
                <w:rFonts w:ascii="Palatino Linotype" w:hAnsi="Palatino Linotype" w:cs="Arial"/>
                <w:color w:val="000000"/>
                <w:sz w:val="22"/>
                <w:szCs w:val="22"/>
              </w:rPr>
              <w:t xml:space="preserve">, esto es determinar los datos que se suprimen en las versiones públicas, es necesario fundar y motivar, de manera correcta, la </w:t>
            </w:r>
            <w:r w:rsidRPr="00012649">
              <w:rPr>
                <w:rFonts w:ascii="Palatino Linotype" w:hAnsi="Palatino Linotype" w:cs="Arial"/>
                <w:color w:val="000000"/>
                <w:sz w:val="22"/>
                <w:szCs w:val="22"/>
              </w:rPr>
              <w:lastRenderedPageBreak/>
              <w:t>clasificación; considerando que todo acto que la autoridad pronuncie en el ejercicio de sus atribuciones, debe expresar los fundamentos legales que le dieron origen y las razones por las que se deben aplicar al caso concreto.</w:t>
            </w:r>
          </w:p>
          <w:p w:rsidR="00090548" w:rsidRPr="00012649" w:rsidRDefault="00090548" w:rsidP="00090548">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012649">
              <w:rPr>
                <w:rFonts w:ascii="Palatino Linotype" w:hAnsi="Palatino Linotype" w:cs="Arial"/>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090548" w:rsidRPr="00012649" w:rsidRDefault="00090548" w:rsidP="00090548">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012649">
              <w:rPr>
                <w:rFonts w:ascii="Palatino Linotype" w:hAnsi="Palatino Linotype" w:cs="Arial"/>
                <w:color w:val="000000"/>
                <w:sz w:val="22"/>
                <w:szCs w:val="22"/>
              </w:rPr>
              <w:t>En ese mismo sentido, el numeral trigésimo tercero fracción V de los Lineamientos Generales, precisa que para motivar la clasificación se deben acreditar las circunstancias de tiempo, modo y lugar.</w:t>
            </w:r>
          </w:p>
          <w:p w:rsidR="00090548" w:rsidRPr="00012649" w:rsidRDefault="00090548" w:rsidP="00090548">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012649">
              <w:rPr>
                <w:rFonts w:ascii="Palatino Linotype" w:hAnsi="Palatino Linotype" w:cs="Arial"/>
                <w:color w:val="000000"/>
                <w:sz w:val="22"/>
                <w:szCs w:val="22"/>
              </w:rPr>
              <w:t xml:space="preserve">Ahora bien, </w:t>
            </w:r>
            <w:r w:rsidRPr="00012649">
              <w:rPr>
                <w:rFonts w:ascii="Palatino Linotype" w:hAnsi="Palatino Linotype" w:cs="Arial"/>
                <w:b/>
                <w:color w:val="000000"/>
                <w:sz w:val="22"/>
                <w:szCs w:val="22"/>
                <w:u w:val="single"/>
              </w:rPr>
              <w:t>para cada caso además de fundar y motivar</w:t>
            </w:r>
            <w:r w:rsidRPr="00012649">
              <w:rPr>
                <w:rFonts w:ascii="Palatino Linotype" w:hAnsi="Palatino Linotype" w:cs="Arial"/>
                <w:color w:val="000000"/>
                <w:sz w:val="22"/>
                <w:szCs w:val="22"/>
              </w:rPr>
              <w:t xml:space="preserve">, se debe identificar con claridad que datos contenidos en las documentales que son susceptibles de suprimirse, por ejemplo; </w:t>
            </w:r>
            <w:r w:rsidRPr="00012649">
              <w:rPr>
                <w:rFonts w:ascii="Palatino Linotype" w:hAnsi="Palatino Linotype" w:cs="Arial"/>
                <w:color w:val="000000"/>
                <w:sz w:val="22"/>
                <w:szCs w:val="22"/>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090548" w:rsidRPr="00012649" w:rsidTr="00090548">
        <w:tc>
          <w:tcPr>
            <w:cnfStyle w:val="001000000000" w:firstRow="0" w:lastRow="0" w:firstColumn="1" w:lastColumn="0" w:oddVBand="0" w:evenVBand="0" w:oddHBand="0" w:evenHBand="0" w:firstRowFirstColumn="0" w:firstRowLastColumn="0" w:lastRowFirstColumn="0" w:lastRowLastColumn="0"/>
            <w:tcW w:w="1838" w:type="dxa"/>
          </w:tcPr>
          <w:p w:rsidR="00090548" w:rsidRPr="00012649" w:rsidRDefault="00090548" w:rsidP="00090548">
            <w:pPr>
              <w:spacing w:line="276" w:lineRule="auto"/>
              <w:jc w:val="both"/>
              <w:rPr>
                <w:rFonts w:ascii="Palatino Linotype" w:hAnsi="Palatino Linotype" w:cs="Arial"/>
                <w:color w:val="000000"/>
                <w:sz w:val="22"/>
                <w:szCs w:val="22"/>
              </w:rPr>
            </w:pPr>
            <w:r w:rsidRPr="00012649">
              <w:rPr>
                <w:rFonts w:ascii="Palatino Linotype" w:eastAsia="MS Gothic" w:hAnsi="Palatino Linotype"/>
                <w:b w:val="0"/>
                <w:sz w:val="22"/>
                <w:szCs w:val="22"/>
              </w:rPr>
              <w:lastRenderedPageBreak/>
              <w:t xml:space="preserve">e) Condiciones especiales de la clasificación de la información como confidencial. </w:t>
            </w:r>
          </w:p>
          <w:p w:rsidR="00090548" w:rsidRPr="00012649" w:rsidRDefault="00090548" w:rsidP="00090548">
            <w:pPr>
              <w:spacing w:line="276" w:lineRule="auto"/>
              <w:rPr>
                <w:rFonts w:ascii="Palatino Linotype" w:hAnsi="Palatino Linotype"/>
                <w:sz w:val="22"/>
                <w:szCs w:val="22"/>
              </w:rPr>
            </w:pPr>
          </w:p>
        </w:tc>
        <w:tc>
          <w:tcPr>
            <w:tcW w:w="6990" w:type="dxa"/>
          </w:tcPr>
          <w:p w:rsidR="00090548" w:rsidRPr="00012649" w:rsidRDefault="00090548" w:rsidP="00090548">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012649">
              <w:rPr>
                <w:rFonts w:ascii="Palatino Linotype" w:hAnsi="Palatino Linotype" w:cs="Arial"/>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090548" w:rsidRPr="00012649" w:rsidRDefault="00090548" w:rsidP="00090548">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012649">
              <w:rPr>
                <w:rFonts w:ascii="Palatino Linotype" w:hAnsi="Palatino Linotype" w:cs="Arial"/>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090548" w:rsidRPr="00012649" w:rsidRDefault="00090548" w:rsidP="00090548">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012649">
              <w:rPr>
                <w:rFonts w:ascii="Palatino Linotype" w:hAnsi="Palatino Linotype" w:cs="Arial"/>
                <w:color w:val="000000"/>
                <w:sz w:val="22"/>
                <w:szCs w:val="22"/>
              </w:rPr>
              <w:t xml:space="preserve">Pero si la información que se pretende clasificar como confidencial no se encuentra en los supuestos de los artículos señalados y es posible, se deberá consultar al titular de los datos si permite o no el acceso. De </w:t>
            </w:r>
            <w:r w:rsidRPr="00012649">
              <w:rPr>
                <w:rFonts w:ascii="Palatino Linotype" w:hAnsi="Palatino Linotype" w:cs="Arial"/>
                <w:color w:val="000000"/>
                <w:sz w:val="22"/>
                <w:szCs w:val="22"/>
              </w:rPr>
              <w:lastRenderedPageBreak/>
              <w:t>no ser posible, la realización de la consulta, procede, fundando y motivando, la clasificación.</w:t>
            </w:r>
          </w:p>
        </w:tc>
      </w:tr>
    </w:tbl>
    <w:p w:rsidR="00514C62" w:rsidRPr="00012649" w:rsidRDefault="00514C62" w:rsidP="000E73AA">
      <w:pPr>
        <w:pBdr>
          <w:top w:val="nil"/>
          <w:left w:val="nil"/>
          <w:bottom w:val="nil"/>
          <w:right w:val="nil"/>
          <w:between w:val="nil"/>
        </w:pBdr>
        <w:spacing w:line="360" w:lineRule="auto"/>
        <w:jc w:val="both"/>
        <w:rPr>
          <w:rFonts w:ascii="Palatino Linotype" w:hAnsi="Palatino Linotype"/>
          <w:color w:val="000000"/>
          <w:sz w:val="22"/>
          <w:szCs w:val="22"/>
        </w:rPr>
      </w:pPr>
    </w:p>
    <w:p w:rsidR="00514C62" w:rsidRPr="00012649" w:rsidRDefault="00514C62" w:rsidP="000E73AA">
      <w:pPr>
        <w:numPr>
          <w:ilvl w:val="0"/>
          <w:numId w:val="2"/>
        </w:numPr>
        <w:spacing w:line="360" w:lineRule="auto"/>
        <w:ind w:left="0" w:right="49" w:firstLine="0"/>
        <w:contextualSpacing/>
        <w:jc w:val="both"/>
        <w:rPr>
          <w:rFonts w:ascii="Palatino Linotype" w:eastAsia="MS Gothic" w:hAnsi="Palatino Linotype" w:cstheme="majorBidi"/>
          <w:b/>
          <w:bCs/>
          <w:sz w:val="22"/>
          <w:szCs w:val="22"/>
          <w:lang w:val="es-ES_tradnl"/>
        </w:rPr>
      </w:pPr>
      <w:r w:rsidRPr="00012649">
        <w:rPr>
          <w:rFonts w:ascii="Palatino Linotype" w:eastAsia="MS Gothic" w:hAnsi="Palatino Linotype" w:cstheme="majorBidi"/>
          <w:sz w:val="22"/>
          <w:szCs w:val="22"/>
          <w:lang w:val="es-ES_tradnl"/>
        </w:rPr>
        <w:t xml:space="preserve">Respecto al nombre en las licencias de funcionamiento, </w:t>
      </w:r>
      <w:r w:rsidRPr="00012649">
        <w:rPr>
          <w:rFonts w:ascii="Palatino Linotype" w:eastAsia="MS Gothic" w:hAnsi="Palatino Linotype" w:cstheme="majorBidi"/>
          <w:bCs/>
          <w:sz w:val="22"/>
          <w:szCs w:val="22"/>
        </w:rPr>
        <w:t xml:space="preserve">se considera que el nombre de una persona se integra </w:t>
      </w:r>
      <w:r w:rsidRPr="00012649">
        <w:rPr>
          <w:rFonts w:ascii="Palatino Linotype" w:eastAsia="MS Gothic" w:hAnsi="Palatino Linotype" w:cstheme="majorBidi"/>
          <w:bCs/>
          <w:sz w:val="22"/>
          <w:szCs w:val="22"/>
          <w:lang w:val="es-ES_tradnl"/>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012649">
        <w:rPr>
          <w:rFonts w:ascii="Palatino Linotype" w:eastAsia="MS Gothic" w:hAnsi="Palatino Linotype" w:cstheme="majorBidi"/>
          <w:bCs/>
          <w:i/>
          <w:sz w:val="22"/>
          <w:szCs w:val="22"/>
          <w:lang w:val="es-ES_tradnl"/>
        </w:rPr>
        <w:t>per se</w:t>
      </w:r>
      <w:r w:rsidRPr="00012649">
        <w:rPr>
          <w:rFonts w:ascii="Palatino Linotype" w:eastAsia="MS Gothic" w:hAnsi="Palatino Linotype" w:cstheme="majorBidi"/>
          <w:bCs/>
          <w:sz w:val="22"/>
          <w:szCs w:val="22"/>
          <w:lang w:val="es-ES_tradnl"/>
        </w:rPr>
        <w:t xml:space="preserve"> es un elemento que hace a una persona física identificada o identificable, por lo que, se considera un dato personal.</w:t>
      </w:r>
    </w:p>
    <w:p w:rsidR="00514C62" w:rsidRPr="00012649" w:rsidRDefault="00514C62" w:rsidP="000E73AA">
      <w:pPr>
        <w:spacing w:line="360" w:lineRule="auto"/>
        <w:ind w:right="49"/>
        <w:contextualSpacing/>
        <w:jc w:val="both"/>
        <w:rPr>
          <w:rFonts w:ascii="Palatino Linotype" w:eastAsia="MS Gothic" w:hAnsi="Palatino Linotype" w:cstheme="majorBidi"/>
          <w:b/>
          <w:bCs/>
          <w:sz w:val="22"/>
          <w:szCs w:val="22"/>
          <w:lang w:val="es-ES_tradnl"/>
        </w:rPr>
      </w:pPr>
    </w:p>
    <w:p w:rsidR="00514C62" w:rsidRPr="00012649" w:rsidRDefault="00514C62" w:rsidP="000E73AA">
      <w:pPr>
        <w:numPr>
          <w:ilvl w:val="0"/>
          <w:numId w:val="2"/>
        </w:numPr>
        <w:spacing w:line="360" w:lineRule="auto"/>
        <w:ind w:left="0" w:right="49" w:firstLine="0"/>
        <w:contextualSpacing/>
        <w:jc w:val="both"/>
        <w:rPr>
          <w:rFonts w:ascii="Palatino Linotype" w:eastAsia="MS Gothic" w:hAnsi="Palatino Linotype" w:cstheme="majorBidi"/>
          <w:b/>
          <w:bCs/>
          <w:sz w:val="22"/>
          <w:szCs w:val="22"/>
          <w:lang w:val="es-ES_tradnl"/>
        </w:rPr>
      </w:pPr>
      <w:r w:rsidRPr="00012649">
        <w:rPr>
          <w:rFonts w:ascii="Palatino Linotype" w:eastAsia="Calibri" w:hAnsi="Palatino Linotype" w:cs="Tahoma"/>
          <w:bCs/>
          <w:sz w:val="22"/>
          <w:szCs w:val="22"/>
          <w:lang w:val="es-ES_tradnl"/>
        </w:rPr>
        <w:t>Sobre el tema, se tiene presente que este Instituto emitió el Criterio Relevante 01/18, de la Segunda Época de este Instituto, que establece que el nombre del titular de una licencia (persona física), como en el caso que nos ocupa, es información confidencial, cuando no involucra aprovechamiento de recursos públicos.</w:t>
      </w:r>
    </w:p>
    <w:p w:rsidR="00514C62" w:rsidRPr="00012649" w:rsidRDefault="00514C62" w:rsidP="00514C62">
      <w:pPr>
        <w:pStyle w:val="Prrafodelista"/>
        <w:spacing w:line="360" w:lineRule="auto"/>
        <w:ind w:left="644"/>
        <w:jc w:val="both"/>
        <w:rPr>
          <w:rFonts w:ascii="Palatino Linotype" w:eastAsia="Calibri" w:hAnsi="Palatino Linotype" w:cs="Tahoma"/>
          <w:bCs/>
          <w:szCs w:val="22"/>
          <w:lang w:val="es-ES_tradnl"/>
        </w:rPr>
      </w:pPr>
    </w:p>
    <w:p w:rsidR="00514C62" w:rsidRPr="00012649" w:rsidRDefault="00514C62" w:rsidP="00514C62">
      <w:pPr>
        <w:pStyle w:val="Prrafodelista"/>
        <w:spacing w:line="360" w:lineRule="auto"/>
        <w:ind w:left="851" w:right="822"/>
        <w:jc w:val="both"/>
        <w:rPr>
          <w:rFonts w:ascii="Palatino Linotype" w:eastAsia="Calibri" w:hAnsi="Palatino Linotype" w:cs="Tahoma"/>
          <w:bCs/>
          <w:i/>
          <w:szCs w:val="22"/>
        </w:rPr>
      </w:pPr>
      <w:r w:rsidRPr="00012649">
        <w:rPr>
          <w:rFonts w:ascii="Palatino Linotype" w:eastAsia="Calibri" w:hAnsi="Palatino Linotype" w:cs="Tahoma"/>
          <w:b/>
          <w:bCs/>
          <w:i/>
          <w:szCs w:val="22"/>
        </w:rPr>
        <w:t>“Nombre del titular de una licencia que no involucre el aprovechamiento de bienes, servicios y/o recursos públicos, constituye un dato personal susceptible de clasificar como confidencial.</w:t>
      </w:r>
      <w:r w:rsidRPr="00012649">
        <w:rPr>
          <w:rFonts w:ascii="Palatino Linotype" w:eastAsia="Calibri" w:hAnsi="Palatino Linotype" w:cs="Tahoma"/>
          <w:bCs/>
          <w:i/>
          <w:szCs w:val="22"/>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w:t>
      </w:r>
      <w:r w:rsidRPr="00012649">
        <w:rPr>
          <w:rFonts w:ascii="Palatino Linotype" w:eastAsia="Calibri" w:hAnsi="Palatino Linotype" w:cs="Tahoma"/>
          <w:bCs/>
          <w:i/>
          <w:szCs w:val="22"/>
        </w:rPr>
        <w:lastRenderedPageBreak/>
        <w:t>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rsidR="00514C62" w:rsidRPr="00012649" w:rsidRDefault="00514C62" w:rsidP="00514C62">
      <w:pPr>
        <w:pStyle w:val="Prrafodelista"/>
        <w:spacing w:line="360" w:lineRule="auto"/>
        <w:ind w:left="644" w:right="-93"/>
        <w:jc w:val="both"/>
        <w:rPr>
          <w:rFonts w:ascii="Palatino Linotype" w:eastAsia="Calibri" w:hAnsi="Palatino Linotype" w:cs="Tahoma"/>
          <w:bCs/>
          <w:szCs w:val="22"/>
        </w:rPr>
      </w:pPr>
    </w:p>
    <w:p w:rsidR="00514C62" w:rsidRPr="00012649" w:rsidRDefault="00514C62" w:rsidP="00514C62">
      <w:pPr>
        <w:pStyle w:val="Prrafodelista"/>
        <w:numPr>
          <w:ilvl w:val="0"/>
          <w:numId w:val="2"/>
        </w:numPr>
        <w:spacing w:line="360" w:lineRule="auto"/>
        <w:ind w:left="0" w:right="-93" w:firstLine="0"/>
        <w:jc w:val="both"/>
        <w:rPr>
          <w:rFonts w:ascii="Palatino Linotype" w:eastAsia="Calibri" w:hAnsi="Palatino Linotype" w:cs="Tahoma"/>
          <w:bCs/>
          <w:szCs w:val="22"/>
        </w:rPr>
      </w:pPr>
      <w:r w:rsidRPr="00012649">
        <w:rPr>
          <w:rFonts w:ascii="Palatino Linotype" w:eastAsia="Calibri" w:hAnsi="Palatino Linotype" w:cs="Tahoma"/>
          <w:bCs/>
          <w:szCs w:val="22"/>
        </w:rPr>
        <w:t>En el Criterio en cita, se argumenta que si bien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rsidR="00514C62" w:rsidRPr="00012649" w:rsidRDefault="00514C62" w:rsidP="00514C62">
      <w:pPr>
        <w:pStyle w:val="Prrafodelista"/>
        <w:spacing w:line="360" w:lineRule="auto"/>
        <w:ind w:left="0" w:right="-93"/>
        <w:jc w:val="both"/>
        <w:rPr>
          <w:rFonts w:ascii="Palatino Linotype" w:eastAsia="Calibri" w:hAnsi="Palatino Linotype" w:cs="Tahoma"/>
          <w:bCs/>
          <w:szCs w:val="22"/>
        </w:rPr>
      </w:pPr>
    </w:p>
    <w:p w:rsidR="00514C62" w:rsidRPr="00012649" w:rsidRDefault="00514C62" w:rsidP="00514C62">
      <w:pPr>
        <w:pStyle w:val="Prrafodelista"/>
        <w:numPr>
          <w:ilvl w:val="0"/>
          <w:numId w:val="2"/>
        </w:numPr>
        <w:spacing w:line="360" w:lineRule="auto"/>
        <w:ind w:left="0" w:right="-93" w:firstLine="0"/>
        <w:jc w:val="both"/>
        <w:rPr>
          <w:rFonts w:ascii="Palatino Linotype" w:eastAsia="Calibri" w:hAnsi="Palatino Linotype" w:cs="Tahoma"/>
          <w:bCs/>
          <w:szCs w:val="22"/>
          <w:lang w:val="es-ES_tradnl"/>
        </w:rPr>
      </w:pPr>
      <w:r w:rsidRPr="00012649">
        <w:rPr>
          <w:rFonts w:ascii="Palatino Linotype" w:eastAsia="Calibri" w:hAnsi="Palatino Linotype" w:cs="Tahoma"/>
          <w:bCs/>
          <w:szCs w:val="22"/>
          <w:lang w:val="es-ES_tradnl"/>
        </w:rPr>
        <w:t xml:space="preserve">No obstante, se considera que el nombre localizado en una licencia de funcionamiento, guarda cierto interés público, dado que cualquier actividad comercial, industrial o económica, </w:t>
      </w:r>
      <w:r w:rsidRPr="00012649">
        <w:rPr>
          <w:rFonts w:ascii="Palatino Linotype" w:eastAsia="Calibri" w:hAnsi="Palatino Linotype" w:cs="Tahoma"/>
          <w:bCs/>
          <w:szCs w:val="22"/>
          <w:lang w:val="es-ES_tradnl"/>
        </w:rPr>
        <w:lastRenderedPageBreak/>
        <w:t>es regulada por el Municipio dentro de su circunscripción territorial, pues ayuda a transparentar la gestión pública.</w:t>
      </w:r>
    </w:p>
    <w:p w:rsidR="00514C62" w:rsidRPr="00012649" w:rsidRDefault="00514C62" w:rsidP="00514C62">
      <w:pPr>
        <w:pStyle w:val="Prrafodelista"/>
        <w:spacing w:line="360" w:lineRule="auto"/>
        <w:ind w:left="0" w:right="-93"/>
        <w:jc w:val="both"/>
        <w:rPr>
          <w:rFonts w:ascii="Palatino Linotype" w:eastAsia="Calibri" w:hAnsi="Palatino Linotype" w:cs="Tahoma"/>
          <w:bCs/>
          <w:szCs w:val="22"/>
          <w:lang w:val="es-ES_tradnl"/>
        </w:rPr>
      </w:pPr>
    </w:p>
    <w:p w:rsidR="00514C62" w:rsidRPr="00012649" w:rsidRDefault="00514C62" w:rsidP="00514C62">
      <w:pPr>
        <w:numPr>
          <w:ilvl w:val="0"/>
          <w:numId w:val="2"/>
        </w:numPr>
        <w:spacing w:line="360" w:lineRule="auto"/>
        <w:ind w:left="0" w:right="49" w:firstLine="0"/>
        <w:contextualSpacing/>
        <w:jc w:val="both"/>
        <w:rPr>
          <w:rFonts w:ascii="Palatino Linotype" w:hAnsi="Palatino Linotype" w:cs="Tahoma"/>
          <w:sz w:val="22"/>
          <w:szCs w:val="22"/>
        </w:rPr>
      </w:pPr>
      <w:r w:rsidRPr="00012649">
        <w:rPr>
          <w:rFonts w:ascii="Palatino Linotype" w:eastAsia="MS Gothic" w:hAnsi="Palatino Linotype" w:cstheme="majorBidi"/>
          <w:bCs/>
          <w:sz w:val="22"/>
          <w:szCs w:val="22"/>
          <w:lang w:val="es-ES_tradnl"/>
        </w:rPr>
        <w:t xml:space="preserve">Del </w:t>
      </w:r>
      <w:r w:rsidRPr="00012649">
        <w:rPr>
          <w:rFonts w:ascii="Palatino Linotype" w:eastAsia="MS Gothic" w:hAnsi="Palatino Linotype" w:cstheme="majorBidi"/>
          <w:bCs/>
          <w:sz w:val="22"/>
          <w:szCs w:val="22"/>
        </w:rPr>
        <w:t>Registro Federal de Contribuyentes (RFC), en las licencias de funcionamiento, puede ser de personas físicas y morales.</w:t>
      </w:r>
    </w:p>
    <w:p w:rsidR="00514C62" w:rsidRPr="00012649" w:rsidRDefault="00514C62" w:rsidP="00514C62">
      <w:pPr>
        <w:spacing w:line="360" w:lineRule="auto"/>
        <w:jc w:val="both"/>
        <w:rPr>
          <w:rFonts w:ascii="Palatino Linotype" w:hAnsi="Palatino Linotype" w:cs="Tahoma"/>
          <w:sz w:val="22"/>
          <w:szCs w:val="22"/>
        </w:rPr>
      </w:pPr>
    </w:p>
    <w:p w:rsidR="00514C62" w:rsidRPr="00012649" w:rsidRDefault="00514C62" w:rsidP="00514C62">
      <w:pPr>
        <w:pStyle w:val="Prrafodelista"/>
        <w:numPr>
          <w:ilvl w:val="0"/>
          <w:numId w:val="2"/>
        </w:numPr>
        <w:spacing w:line="360" w:lineRule="auto"/>
        <w:ind w:left="0" w:firstLine="0"/>
        <w:jc w:val="both"/>
        <w:rPr>
          <w:rFonts w:ascii="Palatino Linotype" w:hAnsi="Palatino Linotype" w:cs="Tahoma"/>
          <w:szCs w:val="22"/>
        </w:rPr>
      </w:pPr>
      <w:r w:rsidRPr="00012649">
        <w:rPr>
          <w:rFonts w:ascii="Palatino Linotype" w:hAnsi="Palatino Linotype" w:cs="Tahoma"/>
          <w:szCs w:val="22"/>
        </w:rPr>
        <w:t xml:space="preserve">El Registro Federal de Contribuyentes de personas físicas,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rsidR="00514C62" w:rsidRPr="00012649" w:rsidRDefault="00514C62" w:rsidP="00514C62">
      <w:pPr>
        <w:pStyle w:val="Prrafodelista"/>
        <w:spacing w:line="360" w:lineRule="auto"/>
        <w:ind w:left="0"/>
        <w:jc w:val="both"/>
        <w:rPr>
          <w:rFonts w:ascii="Palatino Linotype" w:hAnsi="Palatino Linotype" w:cs="Tahoma"/>
          <w:szCs w:val="22"/>
        </w:rPr>
      </w:pPr>
    </w:p>
    <w:p w:rsidR="00514C62" w:rsidRPr="00012649" w:rsidRDefault="00514C62" w:rsidP="00514C62">
      <w:pPr>
        <w:pStyle w:val="Prrafodelista"/>
        <w:numPr>
          <w:ilvl w:val="0"/>
          <w:numId w:val="2"/>
        </w:numPr>
        <w:spacing w:line="360" w:lineRule="auto"/>
        <w:ind w:left="0" w:firstLine="0"/>
        <w:jc w:val="both"/>
        <w:rPr>
          <w:rFonts w:ascii="Palatino Linotype" w:hAnsi="Palatino Linotype" w:cs="Tahoma"/>
          <w:szCs w:val="22"/>
        </w:rPr>
      </w:pPr>
      <w:r w:rsidRPr="00012649">
        <w:rPr>
          <w:rFonts w:ascii="Palatino Linotype" w:eastAsia="Calibri" w:hAnsi="Palatino Linotype" w:cs="Tahoma"/>
          <w:bCs/>
          <w:szCs w:val="22"/>
        </w:rPr>
        <w:t>Lo anterior, resulta congruente con el Criterio 19/17 emitido por el Instituto Nacional de Transparencia, Acceso a la Información y Protección de Datos Personales, en el cual se señala lo siguiente:</w:t>
      </w:r>
    </w:p>
    <w:p w:rsidR="00514C62" w:rsidRPr="00012649" w:rsidRDefault="00514C62" w:rsidP="00514C62">
      <w:pPr>
        <w:spacing w:line="360" w:lineRule="auto"/>
        <w:jc w:val="both"/>
        <w:rPr>
          <w:rFonts w:ascii="Palatino Linotype" w:hAnsi="Palatino Linotype" w:cs="Tahoma"/>
          <w:sz w:val="22"/>
          <w:szCs w:val="22"/>
        </w:rPr>
      </w:pPr>
    </w:p>
    <w:p w:rsidR="00514C62" w:rsidRPr="00012649" w:rsidRDefault="00514C62" w:rsidP="00514C62">
      <w:pPr>
        <w:pStyle w:val="Prrafodelista"/>
        <w:spacing w:line="276" w:lineRule="auto"/>
        <w:ind w:left="851" w:right="822"/>
        <w:jc w:val="both"/>
        <w:rPr>
          <w:rFonts w:ascii="Palatino Linotype" w:hAnsi="Palatino Linotype" w:cs="Tahoma"/>
          <w:i/>
          <w:szCs w:val="22"/>
        </w:rPr>
      </w:pPr>
      <w:r w:rsidRPr="00012649">
        <w:rPr>
          <w:rFonts w:ascii="Palatino Linotype" w:hAnsi="Palatino Linotype" w:cs="Tahoma"/>
          <w:b/>
          <w:i/>
          <w:szCs w:val="22"/>
        </w:rPr>
        <w:t>“Registro Federal de Contribuyentes (RFC) de personas físicas.</w:t>
      </w:r>
      <w:r w:rsidRPr="00012649">
        <w:rPr>
          <w:rFonts w:ascii="Palatino Linotype" w:hAnsi="Palatino Linotype" w:cs="Tahoma"/>
          <w:i/>
          <w:szCs w:val="22"/>
        </w:rPr>
        <w:t xml:space="preserve"> El RFC es una clave de carácter fiscal, única e irrepetible, que permite identificar al titular, su edad y fecha de nacimiento, por lo que es un dato personal de carácter confidencial.”</w:t>
      </w:r>
    </w:p>
    <w:p w:rsidR="00514C62" w:rsidRPr="00012649" w:rsidRDefault="00514C62" w:rsidP="00514C62">
      <w:pPr>
        <w:pStyle w:val="Prrafodelista"/>
        <w:spacing w:line="360" w:lineRule="auto"/>
        <w:ind w:left="0"/>
        <w:jc w:val="both"/>
        <w:rPr>
          <w:rFonts w:ascii="Palatino Linotype" w:hAnsi="Palatino Linotype" w:cs="Tahoma"/>
          <w:szCs w:val="22"/>
        </w:rPr>
      </w:pPr>
    </w:p>
    <w:p w:rsidR="00514C62" w:rsidRPr="00012649" w:rsidRDefault="00514C62" w:rsidP="00514C62">
      <w:pPr>
        <w:pStyle w:val="Prrafodelista"/>
        <w:widowControl w:val="0"/>
        <w:numPr>
          <w:ilvl w:val="0"/>
          <w:numId w:val="2"/>
        </w:numPr>
        <w:spacing w:line="360" w:lineRule="auto"/>
        <w:ind w:left="0" w:firstLine="0"/>
        <w:jc w:val="both"/>
        <w:rPr>
          <w:rFonts w:ascii="Palatino Linotype" w:eastAsia="Calibri" w:hAnsi="Palatino Linotype" w:cs="Tahoma"/>
          <w:bCs/>
          <w:szCs w:val="22"/>
        </w:rPr>
      </w:pPr>
      <w:r w:rsidRPr="00012649">
        <w:rPr>
          <w:rFonts w:ascii="Palatino Linotype" w:hAnsi="Palatino Linotype" w:cs="Tahoma"/>
          <w:szCs w:val="22"/>
        </w:rPr>
        <w:t>De tal suerte, el Registro Federal de Contribuyentes de los servidores públicos no guarda relación con la transparencia de los recursos públicos, por lo que constituye un dato personal confidencial al actualizar el supuesto normativo del artículo 143, fracción I, de la Ley de Transparencia y Acceso a la Información Pública del Estado de México y Municipio.</w:t>
      </w:r>
    </w:p>
    <w:p w:rsidR="00514C62" w:rsidRPr="00012649" w:rsidRDefault="00514C62" w:rsidP="00514C62">
      <w:pPr>
        <w:pStyle w:val="Prrafodelista"/>
        <w:widowControl w:val="0"/>
        <w:spacing w:line="360" w:lineRule="auto"/>
        <w:ind w:left="0"/>
        <w:jc w:val="both"/>
        <w:rPr>
          <w:rFonts w:ascii="Palatino Linotype" w:eastAsia="Calibri" w:hAnsi="Palatino Linotype" w:cs="Tahoma"/>
          <w:bCs/>
          <w:szCs w:val="22"/>
        </w:rPr>
      </w:pPr>
    </w:p>
    <w:p w:rsidR="00514C62" w:rsidRPr="00012649" w:rsidRDefault="00514C62" w:rsidP="00514C62">
      <w:pPr>
        <w:pStyle w:val="Prrafodelista"/>
        <w:widowControl w:val="0"/>
        <w:numPr>
          <w:ilvl w:val="0"/>
          <w:numId w:val="2"/>
        </w:numPr>
        <w:spacing w:line="360" w:lineRule="auto"/>
        <w:ind w:left="0" w:firstLine="0"/>
        <w:jc w:val="both"/>
        <w:rPr>
          <w:rFonts w:ascii="Palatino Linotype" w:eastAsia="Calibri" w:hAnsi="Palatino Linotype" w:cs="Tahoma"/>
          <w:bCs/>
          <w:szCs w:val="22"/>
        </w:rPr>
      </w:pPr>
      <w:r w:rsidRPr="00012649">
        <w:rPr>
          <w:rFonts w:ascii="Palatino Linotype" w:eastAsia="Calibri" w:hAnsi="Palatino Linotype" w:cs="Tahoma"/>
          <w:bCs/>
          <w:szCs w:val="22"/>
          <w:lang w:val="es-ES"/>
        </w:rPr>
        <w:t xml:space="preserve">El Registro Federal de Contribuyentes de </w:t>
      </w:r>
      <w:r w:rsidRPr="00012649">
        <w:rPr>
          <w:rFonts w:ascii="Palatino Linotype" w:eastAsia="Calibri" w:hAnsi="Palatino Linotype" w:cs="Tahoma"/>
          <w:szCs w:val="22"/>
          <w:lang w:val="es-ES"/>
        </w:rPr>
        <w:t>Persona Moral</w:t>
      </w:r>
      <w:r w:rsidRPr="00012649">
        <w:rPr>
          <w:rFonts w:ascii="Palatino Linotype" w:eastAsia="Calibri" w:hAnsi="Palatino Linotype" w:cs="Tahoma"/>
          <w:bCs/>
          <w:szCs w:val="22"/>
          <w:lang w:val="es-ES"/>
        </w:rPr>
        <w:t xml:space="preserve">, inicia con un preinscripción </w:t>
      </w:r>
      <w:r w:rsidRPr="00012649">
        <w:rPr>
          <w:rFonts w:ascii="Palatino Linotype" w:eastAsia="Calibri" w:hAnsi="Palatino Linotype" w:cs="Tahoma"/>
          <w:bCs/>
          <w:szCs w:val="22"/>
          <w:lang w:val="es-ES"/>
        </w:rPr>
        <w:lastRenderedPageBreak/>
        <w:t>por Internet y se concluye en cualquier Administración Desconcentrada de Servicios al Contribuyente, en donde aquellas personas que realicen el trámite tendrán que entregar ciertos documentos, que para las personas jurídico colectivas, serán, entre otros, la copia</w:t>
      </w:r>
      <w:r w:rsidRPr="00012649">
        <w:rPr>
          <w:rFonts w:ascii="Palatino Linotype" w:eastAsia="Calibri" w:hAnsi="Palatino Linotype" w:cs="Tahoma"/>
          <w:bCs/>
          <w:szCs w:val="22"/>
          <w:lang w:val="es-ES_tradnl"/>
        </w:rPr>
        <w:t xml:space="preserve"> certificada del documento constitutivo debidamente protocolizado, comprobante de domicilio, identificación personal, número de folio asignado que se le proporcionó al realizar el envío de su preinscripción y copia certificada del poder notarial con el que se acredite la personalidad del representante legal, o carta poder firmada ante dos testigos y ratificadas las firmas ante las autoridades fiscales o ante notario o fedatario público. </w:t>
      </w:r>
    </w:p>
    <w:p w:rsidR="00514C62" w:rsidRPr="00012649" w:rsidRDefault="00514C62" w:rsidP="00514C62">
      <w:pPr>
        <w:pStyle w:val="Prrafodelista"/>
        <w:spacing w:line="360" w:lineRule="auto"/>
        <w:ind w:left="0" w:right="-93"/>
        <w:jc w:val="both"/>
        <w:rPr>
          <w:rFonts w:ascii="Palatino Linotype" w:eastAsia="Calibri" w:hAnsi="Palatino Linotype" w:cs="Tahoma"/>
          <w:bCs/>
          <w:szCs w:val="22"/>
          <w:lang w:val="es-ES_tradnl"/>
        </w:rPr>
      </w:pPr>
    </w:p>
    <w:p w:rsidR="00514C62" w:rsidRPr="00012649" w:rsidRDefault="00514C62" w:rsidP="00514C62">
      <w:pPr>
        <w:pStyle w:val="Prrafodelista"/>
        <w:numPr>
          <w:ilvl w:val="0"/>
          <w:numId w:val="2"/>
        </w:numPr>
        <w:spacing w:line="360" w:lineRule="auto"/>
        <w:ind w:left="0" w:right="-93" w:firstLine="0"/>
        <w:jc w:val="both"/>
        <w:rPr>
          <w:rFonts w:ascii="Palatino Linotype" w:eastAsia="Calibri" w:hAnsi="Palatino Linotype" w:cs="Tahoma"/>
          <w:b/>
          <w:bCs/>
          <w:szCs w:val="22"/>
          <w:lang w:val="es-ES_tradnl"/>
        </w:rPr>
      </w:pPr>
      <w:r w:rsidRPr="00012649">
        <w:rPr>
          <w:rFonts w:ascii="Palatino Linotype" w:eastAsia="Calibri" w:hAnsi="Palatino Linotype" w:cs="Tahoma"/>
          <w:bCs/>
          <w:szCs w:val="22"/>
          <w:lang w:val="es-ES_tradnl"/>
        </w:rPr>
        <w:t xml:space="preserve">Derivado del trámite se obtiene, entre otros, la </w:t>
      </w:r>
      <w:r w:rsidRPr="00012649">
        <w:rPr>
          <w:rFonts w:ascii="Palatino Linotype" w:eastAsia="Calibri" w:hAnsi="Palatino Linotype" w:cs="Tahoma"/>
          <w:b/>
          <w:bCs/>
          <w:szCs w:val="22"/>
          <w:lang w:val="es-ES_tradnl"/>
        </w:rPr>
        <w:t>cédula de identificación fiscal o constancia de registro.</w:t>
      </w:r>
    </w:p>
    <w:p w:rsidR="00514C62" w:rsidRPr="00012649" w:rsidRDefault="00514C62" w:rsidP="00514C62">
      <w:pPr>
        <w:pStyle w:val="Prrafodelista"/>
        <w:spacing w:line="360" w:lineRule="auto"/>
        <w:ind w:left="0" w:right="-93"/>
        <w:jc w:val="both"/>
        <w:rPr>
          <w:rFonts w:ascii="Palatino Linotype" w:eastAsia="Calibri" w:hAnsi="Palatino Linotype" w:cs="Tahoma"/>
          <w:bCs/>
          <w:szCs w:val="22"/>
          <w:lang w:val="es-ES"/>
        </w:rPr>
      </w:pPr>
    </w:p>
    <w:p w:rsidR="00514C62" w:rsidRPr="00012649" w:rsidRDefault="00514C62" w:rsidP="00514C62">
      <w:pPr>
        <w:pStyle w:val="Prrafodelista"/>
        <w:widowControl w:val="0"/>
        <w:numPr>
          <w:ilvl w:val="0"/>
          <w:numId w:val="2"/>
        </w:numPr>
        <w:spacing w:line="360" w:lineRule="auto"/>
        <w:ind w:left="0" w:right="-91" w:firstLine="0"/>
        <w:jc w:val="both"/>
        <w:rPr>
          <w:rFonts w:ascii="Palatino Linotype" w:eastAsia="Calibri" w:hAnsi="Palatino Linotype" w:cs="Tahoma"/>
          <w:bCs/>
          <w:szCs w:val="22"/>
          <w:lang w:val="es-ES"/>
        </w:rPr>
      </w:pPr>
      <w:r w:rsidRPr="00012649">
        <w:rPr>
          <w:rFonts w:ascii="Palatino Linotype" w:eastAsia="Calibri" w:hAnsi="Palatino Linotype" w:cs="Tahoma"/>
          <w:bCs/>
          <w:szCs w:val="22"/>
          <w:lang w:val="es-ES"/>
        </w:rPr>
        <w:t>Por ende, la información correspondiente al Registro Federal de Contribuyentes de una persona moral da cuenta del cumplimiento o no en sus obligaciones fiscales; por tanto, no se actualiza su clasificación como confidencial.</w:t>
      </w:r>
    </w:p>
    <w:p w:rsidR="00514C62" w:rsidRPr="00012649" w:rsidRDefault="00514C62" w:rsidP="00514C62">
      <w:pPr>
        <w:pStyle w:val="Prrafodelista"/>
        <w:spacing w:line="360" w:lineRule="auto"/>
        <w:ind w:left="0"/>
        <w:rPr>
          <w:rFonts w:ascii="Palatino Linotype" w:eastAsia="Calibri" w:hAnsi="Palatino Linotype" w:cs="Tahoma"/>
          <w:b/>
          <w:bCs/>
          <w:szCs w:val="22"/>
          <w:lang w:val="es-ES_tradnl"/>
        </w:rPr>
      </w:pPr>
    </w:p>
    <w:p w:rsidR="00514C62" w:rsidRPr="00012649" w:rsidRDefault="00514C62" w:rsidP="00514C62">
      <w:pPr>
        <w:pStyle w:val="Prrafodelista"/>
        <w:numPr>
          <w:ilvl w:val="0"/>
          <w:numId w:val="2"/>
        </w:numPr>
        <w:spacing w:line="360" w:lineRule="auto"/>
        <w:ind w:left="0" w:right="-93" w:firstLine="0"/>
        <w:jc w:val="both"/>
        <w:rPr>
          <w:rFonts w:ascii="Palatino Linotype" w:eastAsia="Calibri" w:hAnsi="Palatino Linotype" w:cs="Tahoma"/>
          <w:bCs/>
          <w:szCs w:val="22"/>
          <w:lang w:val="es-ES"/>
        </w:rPr>
      </w:pPr>
      <w:r w:rsidRPr="00012649">
        <w:rPr>
          <w:rFonts w:ascii="Palatino Linotype" w:eastAsia="Calibri" w:hAnsi="Palatino Linotype" w:cs="Tahoma"/>
          <w:bCs/>
          <w:szCs w:val="22"/>
          <w:lang w:val="es-ES"/>
        </w:rPr>
        <w:t xml:space="preserve">Además, resulta aplicable el </w:t>
      </w:r>
      <w:r w:rsidRPr="00012649">
        <w:rPr>
          <w:rFonts w:ascii="Palatino Linotype" w:eastAsia="Calibri" w:hAnsi="Palatino Linotype" w:cs="Tahoma"/>
          <w:bCs/>
          <w:szCs w:val="22"/>
        </w:rPr>
        <w:t>Criterio de interpretación, con clave de control SO/008/2019, de la Segunda Época</w:t>
      </w:r>
      <w:r w:rsidRPr="00012649">
        <w:rPr>
          <w:rFonts w:ascii="Palatino Linotype" w:eastAsia="Calibri" w:hAnsi="Palatino Linotype" w:cs="Tahoma"/>
          <w:bCs/>
          <w:szCs w:val="22"/>
          <w:lang w:val="es-ES"/>
        </w:rPr>
        <w:t>, emitido por el Instituto Nacional de Transparencia, Acceso a la Información y Protección de Datos Personales, que precisa que el Registro Federal de Contribuyentes de personas morales, es público, al no referir a hechos o actos de carácter económico, contable, jurídico o administrativo que sean útiles o representen una ventaja a sus competidores.</w:t>
      </w:r>
    </w:p>
    <w:p w:rsidR="00514C62" w:rsidRPr="00012649" w:rsidRDefault="00514C62" w:rsidP="00514C62">
      <w:pPr>
        <w:pStyle w:val="Prrafodelista"/>
        <w:spacing w:line="360" w:lineRule="auto"/>
        <w:ind w:left="0" w:right="-93"/>
        <w:jc w:val="both"/>
        <w:rPr>
          <w:rFonts w:ascii="Palatino Linotype" w:eastAsia="Calibri" w:hAnsi="Palatino Linotype" w:cs="Tahoma"/>
          <w:bCs/>
          <w:szCs w:val="22"/>
          <w:lang w:val="es-ES"/>
        </w:rPr>
      </w:pPr>
    </w:p>
    <w:p w:rsidR="00514C62" w:rsidRPr="00012649" w:rsidRDefault="00514C62" w:rsidP="00514C62">
      <w:pPr>
        <w:pStyle w:val="Prrafodelista"/>
        <w:numPr>
          <w:ilvl w:val="0"/>
          <w:numId w:val="2"/>
        </w:numPr>
        <w:spacing w:line="360" w:lineRule="auto"/>
        <w:ind w:left="0" w:right="-93" w:firstLine="0"/>
        <w:jc w:val="both"/>
        <w:rPr>
          <w:rFonts w:ascii="Palatino Linotype" w:eastAsia="Calibri" w:hAnsi="Palatino Linotype" w:cs="Tahoma"/>
          <w:bCs/>
          <w:szCs w:val="22"/>
          <w:lang w:val="es-ES_tradnl"/>
        </w:rPr>
      </w:pPr>
      <w:r w:rsidRPr="00012649">
        <w:rPr>
          <w:rFonts w:ascii="Palatino Linotype" w:eastAsia="Calibri" w:hAnsi="Palatino Linotype" w:cs="Tahoma"/>
          <w:bCs/>
          <w:szCs w:val="22"/>
          <w:lang w:val="es-ES"/>
        </w:rPr>
        <w:t>De tales circunstancias, el Registro Federal de Contribuyentes de personas</w:t>
      </w:r>
      <w:r w:rsidRPr="00012649">
        <w:rPr>
          <w:rFonts w:ascii="Palatino Linotype" w:eastAsia="Calibri" w:hAnsi="Palatino Linotype" w:cs="Tahoma"/>
          <w:bCs/>
          <w:szCs w:val="22"/>
          <w:lang w:val="es-ES_tradnl"/>
        </w:rPr>
        <w:t xml:space="preserve"> morales, no actualizan la causal de clasificación, prevista en el artículo 143, fracción I de la Ley de </w:t>
      </w:r>
      <w:r w:rsidRPr="00012649">
        <w:rPr>
          <w:rFonts w:ascii="Palatino Linotype" w:eastAsia="Calibri" w:hAnsi="Palatino Linotype" w:cs="Tahoma"/>
          <w:bCs/>
          <w:szCs w:val="22"/>
          <w:lang w:val="es-ES_tradnl"/>
        </w:rPr>
        <w:lastRenderedPageBreak/>
        <w:t>Transparencia y Acceso a la Información Pública del Estado de México y Municipios, al ser de naturaleza pública.</w:t>
      </w:r>
    </w:p>
    <w:p w:rsidR="00514C62" w:rsidRPr="00012649" w:rsidRDefault="00514C62" w:rsidP="00514C62">
      <w:pPr>
        <w:pStyle w:val="Prrafodelista"/>
        <w:spacing w:line="360" w:lineRule="auto"/>
        <w:ind w:left="0" w:right="-93"/>
        <w:jc w:val="both"/>
        <w:rPr>
          <w:rFonts w:ascii="Palatino Linotype" w:eastAsia="Calibri" w:hAnsi="Palatino Linotype" w:cs="Tahoma"/>
          <w:bCs/>
          <w:szCs w:val="22"/>
          <w:lang w:val="es-ES_tradnl"/>
        </w:rPr>
      </w:pPr>
    </w:p>
    <w:p w:rsidR="00514C62" w:rsidRPr="00012649" w:rsidRDefault="00514C62" w:rsidP="00514C62">
      <w:pPr>
        <w:pStyle w:val="Prrafodelista"/>
        <w:numPr>
          <w:ilvl w:val="0"/>
          <w:numId w:val="2"/>
        </w:numPr>
        <w:spacing w:line="360" w:lineRule="auto"/>
        <w:ind w:left="0" w:right="-93" w:firstLine="0"/>
        <w:jc w:val="both"/>
        <w:rPr>
          <w:rFonts w:ascii="Palatino Linotype" w:eastAsia="Calibri" w:hAnsi="Palatino Linotype" w:cs="Tahoma"/>
          <w:bCs/>
          <w:szCs w:val="22"/>
          <w:lang w:val="es-ES_tradnl"/>
        </w:rPr>
      </w:pPr>
      <w:r w:rsidRPr="00012649">
        <w:rPr>
          <w:rFonts w:ascii="Palatino Linotype" w:eastAsia="Palatino Linotype" w:hAnsi="Palatino Linotype" w:cs="Palatino Linotype"/>
          <w:szCs w:val="22"/>
        </w:rPr>
        <w:t xml:space="preserve">Respecto de la clave catastral en las licencias de funcionamiento, es un criterio mayoritario de este Pleno que ese elemento debe ser testado tomando en cuenta que el </w:t>
      </w:r>
      <w:r w:rsidRPr="00012649">
        <w:rPr>
          <w:rFonts w:ascii="Palatino Linotype" w:hAnsi="Palatino Linotype" w:cs="Tahoma"/>
          <w:bCs/>
          <w:szCs w:val="22"/>
        </w:rPr>
        <w:t>artículo 179 fracción I del Código Financiero del Estado de México y Municipios refiere que la clave catastral es un código alfanumérico único e irrepetible, que se asigna para efectos de localización geográfica, identificación, inscripción, control y registro de los inmuebles; el cual está integrado de dieciséis caracteres: los primeros tres identifican el código del municipio, los dos siguientes a la zona catastral, los subsecuentes tres a la manzana y las últimas dos posiciones identifican el número de lote o predio; en ese sentido, se advierte que el dato en comento, hace referencia a un predio determinado, en el presente caso, a un baldío destinado a casa habitación.</w:t>
      </w:r>
    </w:p>
    <w:p w:rsidR="00514C62" w:rsidRPr="00012649" w:rsidRDefault="00514C62" w:rsidP="00514C62">
      <w:pPr>
        <w:pStyle w:val="Prrafodelista"/>
        <w:spacing w:line="360" w:lineRule="auto"/>
        <w:ind w:left="0" w:right="-93"/>
        <w:jc w:val="both"/>
        <w:rPr>
          <w:rFonts w:ascii="Palatino Linotype" w:eastAsia="Calibri" w:hAnsi="Palatino Linotype" w:cs="Tahoma"/>
          <w:bCs/>
          <w:szCs w:val="22"/>
          <w:lang w:val="es-ES_tradnl"/>
        </w:rPr>
      </w:pPr>
    </w:p>
    <w:p w:rsidR="00514C62" w:rsidRPr="00012649" w:rsidRDefault="00514C62" w:rsidP="00514C62">
      <w:pPr>
        <w:pStyle w:val="Prrafodelista"/>
        <w:numPr>
          <w:ilvl w:val="0"/>
          <w:numId w:val="2"/>
        </w:numPr>
        <w:spacing w:line="360" w:lineRule="auto"/>
        <w:ind w:left="0" w:right="-93" w:firstLine="0"/>
        <w:jc w:val="both"/>
        <w:rPr>
          <w:rFonts w:ascii="Palatino Linotype" w:eastAsia="Calibri" w:hAnsi="Palatino Linotype" w:cs="Tahoma"/>
          <w:bCs/>
          <w:szCs w:val="22"/>
          <w:lang w:val="es-ES_tradnl"/>
        </w:rPr>
      </w:pPr>
      <w:r w:rsidRPr="00012649">
        <w:rPr>
          <w:rFonts w:ascii="Palatino Linotype" w:hAnsi="Palatino Linotype"/>
          <w:szCs w:val="22"/>
        </w:rPr>
        <w:t>El “Diccionario de Datos catastrales Escala 1:1000” del Instituto Nacional de Estadística y Geografía (INEGI), contempla en su Glosario la definición de la Clave Catastral, la cual, apunta lo siguiente:</w:t>
      </w:r>
    </w:p>
    <w:p w:rsidR="00514C62" w:rsidRPr="00012649" w:rsidRDefault="00514C62" w:rsidP="00514C62">
      <w:pPr>
        <w:rPr>
          <w:rFonts w:ascii="Palatino Linotype" w:hAnsi="Palatino Linotype"/>
          <w:sz w:val="22"/>
          <w:szCs w:val="22"/>
        </w:rPr>
      </w:pPr>
    </w:p>
    <w:p w:rsidR="00514C62" w:rsidRPr="00012649" w:rsidRDefault="00514C62" w:rsidP="00514C62">
      <w:pPr>
        <w:pStyle w:val="Fundamentos"/>
        <w:spacing w:line="276" w:lineRule="auto"/>
        <w:ind w:left="851" w:right="822"/>
        <w:rPr>
          <w:szCs w:val="22"/>
          <w:lang w:val="es-MX"/>
        </w:rPr>
      </w:pPr>
      <w:r w:rsidRPr="00012649">
        <w:rPr>
          <w:b/>
          <w:szCs w:val="22"/>
          <w:lang w:val="es-MX"/>
        </w:rPr>
        <w:t>Clave Catastral</w:t>
      </w:r>
      <w:r w:rsidRPr="00012649">
        <w:rPr>
          <w:szCs w:val="22"/>
          <w:lang w:val="es-MX"/>
        </w:rPr>
        <w:t>: El código que identifica al predio de forma única para su localización geográfica, mismo que es asignado a cada uno de ellos en el momento de su inscripción en el padrón catastral por las Unidades del Estado con atribuciones catastrales.</w:t>
      </w:r>
    </w:p>
    <w:p w:rsidR="00514C62" w:rsidRPr="00012649" w:rsidRDefault="00514C62" w:rsidP="00514C62">
      <w:pPr>
        <w:rPr>
          <w:rFonts w:ascii="Palatino Linotype" w:hAnsi="Palatino Linotype"/>
          <w:sz w:val="22"/>
          <w:szCs w:val="22"/>
        </w:rPr>
      </w:pPr>
    </w:p>
    <w:p w:rsidR="00514C62" w:rsidRPr="00012649" w:rsidRDefault="00514C62" w:rsidP="00514C62">
      <w:pPr>
        <w:pStyle w:val="Prrafodelista"/>
        <w:numPr>
          <w:ilvl w:val="0"/>
          <w:numId w:val="2"/>
        </w:numPr>
        <w:spacing w:line="360" w:lineRule="auto"/>
        <w:ind w:left="0" w:firstLine="0"/>
        <w:jc w:val="both"/>
        <w:rPr>
          <w:rFonts w:ascii="Palatino Linotype" w:hAnsi="Palatino Linotype"/>
          <w:szCs w:val="22"/>
        </w:rPr>
      </w:pPr>
      <w:r w:rsidRPr="00012649">
        <w:rPr>
          <w:rFonts w:ascii="Palatino Linotype" w:hAnsi="Palatino Linotype"/>
          <w:szCs w:val="22"/>
        </w:rPr>
        <w:t xml:space="preserve">Asimismo, dicho diccionario hace referencia a dos tipos de Claves Catastrales, siendo éstas la Estándar y la Original, que se definen como se observa a continuación: </w:t>
      </w:r>
    </w:p>
    <w:p w:rsidR="00514C62" w:rsidRPr="00012649" w:rsidRDefault="00514C62" w:rsidP="00514C62">
      <w:pPr>
        <w:rPr>
          <w:rFonts w:ascii="Palatino Linotype" w:hAnsi="Palatino Linotype"/>
          <w:sz w:val="22"/>
          <w:szCs w:val="22"/>
        </w:rPr>
      </w:pPr>
    </w:p>
    <w:p w:rsidR="00514C62" w:rsidRPr="00012649" w:rsidRDefault="00514C62" w:rsidP="00514C62">
      <w:pPr>
        <w:pStyle w:val="Fundamentos"/>
        <w:spacing w:line="276" w:lineRule="auto"/>
        <w:ind w:left="851" w:right="822"/>
        <w:rPr>
          <w:szCs w:val="22"/>
          <w:lang w:val="es-MX"/>
        </w:rPr>
      </w:pPr>
      <w:r w:rsidRPr="00012649">
        <w:rPr>
          <w:b/>
          <w:szCs w:val="22"/>
          <w:lang w:val="es-MX"/>
        </w:rPr>
        <w:t>CLAVE CATASTRAL ESTÁNDAR</w:t>
      </w:r>
      <w:r w:rsidRPr="00012649">
        <w:rPr>
          <w:szCs w:val="22"/>
          <w:lang w:val="es-MX"/>
        </w:rPr>
        <w:t xml:space="preserve">: Código de 31 caracteres conformado por elementos administrativos y que identifica al objeto espacial en forma única para su </w:t>
      </w:r>
      <w:r w:rsidRPr="00012649">
        <w:rPr>
          <w:szCs w:val="22"/>
          <w:lang w:val="es-MX"/>
        </w:rPr>
        <w:lastRenderedPageBreak/>
        <w:t>localización, compuesto por: Estado (2) + Región Catastral (3) + Municipio (3) + Zona Catastral (2) + Localidad (4) + Sector Catastral (3) + Manzana (3) + Predio (5) + Condominio: edificio (2) y unidad (4).</w:t>
      </w:r>
    </w:p>
    <w:p w:rsidR="00514C62" w:rsidRPr="00012649" w:rsidRDefault="00514C62" w:rsidP="00514C62">
      <w:pPr>
        <w:pStyle w:val="Fundamentos"/>
        <w:spacing w:line="276" w:lineRule="auto"/>
        <w:ind w:left="851" w:right="822"/>
        <w:rPr>
          <w:szCs w:val="22"/>
          <w:lang w:val="es-MX"/>
        </w:rPr>
      </w:pPr>
    </w:p>
    <w:p w:rsidR="00514C62" w:rsidRPr="00012649" w:rsidRDefault="00514C62" w:rsidP="00514C62">
      <w:pPr>
        <w:pStyle w:val="Fundamentos"/>
        <w:spacing w:line="276" w:lineRule="auto"/>
        <w:ind w:left="851" w:right="822"/>
        <w:rPr>
          <w:szCs w:val="22"/>
          <w:lang w:val="es-MX"/>
        </w:rPr>
      </w:pPr>
      <w:r w:rsidRPr="00012649">
        <w:rPr>
          <w:b/>
          <w:szCs w:val="22"/>
          <w:lang w:val="es-MX"/>
        </w:rPr>
        <w:t>CLAVE CATASTRAL ORIGINAL</w:t>
      </w:r>
      <w:r w:rsidRPr="00012649">
        <w:rPr>
          <w:szCs w:val="22"/>
          <w:lang w:val="es-MX"/>
        </w:rPr>
        <w:t>: Código que identifica al objeto espacial, el cual es asignado por el Catastro Estatal, Municipal o por el Registro Agrario Nacional.</w:t>
      </w:r>
    </w:p>
    <w:p w:rsidR="00514C62" w:rsidRPr="00012649" w:rsidRDefault="00514C62" w:rsidP="00514C62">
      <w:pPr>
        <w:rPr>
          <w:rFonts w:ascii="Palatino Linotype" w:hAnsi="Palatino Linotype"/>
          <w:sz w:val="22"/>
          <w:szCs w:val="22"/>
        </w:rPr>
      </w:pPr>
    </w:p>
    <w:p w:rsidR="00514C62" w:rsidRPr="00012649" w:rsidRDefault="00514C62" w:rsidP="00514C62">
      <w:pPr>
        <w:pStyle w:val="Prrafodelista"/>
        <w:numPr>
          <w:ilvl w:val="0"/>
          <w:numId w:val="2"/>
        </w:numPr>
        <w:spacing w:line="360" w:lineRule="auto"/>
        <w:ind w:left="0" w:firstLine="0"/>
        <w:jc w:val="both"/>
        <w:rPr>
          <w:rFonts w:ascii="Palatino Linotype" w:hAnsi="Palatino Linotype"/>
          <w:szCs w:val="22"/>
        </w:rPr>
      </w:pPr>
      <w:r w:rsidRPr="00012649">
        <w:rPr>
          <w:rFonts w:ascii="Palatino Linotype" w:hAnsi="Palatino Linotype"/>
          <w:szCs w:val="22"/>
        </w:rPr>
        <w:t>En ese orden de ideas, la Ley de Transparencia y Acceso a la Información Pública del Estado de México y Municipios, en el ya citada fracción IX del artículo 3, establece que se debe entender como datos personales a la información concerniente a una persona, identificada o identificable según lo dispuesto por la también referida Ley de Protección de Datos Personales del Estado de México. Tiene apoyo a lo expresado, lo contemplado en la siguiente tesis jurisprudencial.</w:t>
      </w:r>
    </w:p>
    <w:p w:rsidR="00514C62" w:rsidRPr="00012649" w:rsidRDefault="00514C62" w:rsidP="00514C62">
      <w:pPr>
        <w:rPr>
          <w:rFonts w:ascii="Palatino Linotype" w:hAnsi="Palatino Linotype"/>
          <w:sz w:val="22"/>
          <w:szCs w:val="22"/>
        </w:rPr>
      </w:pPr>
    </w:p>
    <w:p w:rsidR="00514C62" w:rsidRPr="00012649" w:rsidRDefault="00514C62" w:rsidP="00514C62">
      <w:pPr>
        <w:pStyle w:val="Fundamentos"/>
        <w:spacing w:line="276" w:lineRule="auto"/>
        <w:ind w:left="851" w:right="822"/>
        <w:rPr>
          <w:b/>
          <w:szCs w:val="22"/>
          <w:lang w:val="es-MX"/>
        </w:rPr>
      </w:pPr>
      <w:r w:rsidRPr="00012649">
        <w:rPr>
          <w:b/>
          <w:szCs w:val="22"/>
          <w:lang w:val="es-MX"/>
        </w:rPr>
        <w:t xml:space="preserve">DERECHO A LA VIDA PRIVADA. ALCANCE DE SU PROTECCIÓN POR EL ESTADO. </w:t>
      </w:r>
    </w:p>
    <w:p w:rsidR="00514C62" w:rsidRPr="00012649" w:rsidRDefault="00514C62" w:rsidP="00514C62">
      <w:pPr>
        <w:pStyle w:val="Fundamentos"/>
        <w:spacing w:line="276" w:lineRule="auto"/>
        <w:ind w:left="851" w:right="822"/>
        <w:rPr>
          <w:szCs w:val="22"/>
          <w:lang w:val="es-MX"/>
        </w:rPr>
      </w:pPr>
      <w:r w:rsidRPr="00012649">
        <w:rPr>
          <w:szCs w:val="22"/>
          <w:lang w:val="es-MX"/>
        </w:rPr>
        <w:t xml:space="preserve">Al igual que otros derechos fundamentales, el derecho a la vida privada no es absoluto, sino que puede restringirse en la medida en que las injerencias en éste no sean abusivas o arbitrarias. Así, la Corte Interamericana de Derechos Humanos ha sostenido que el ámbito de la privacidad se caracteriza por quedar exento e inmune a las invasiones o agresiones abusivas o arbitrarias de terceros o de la autoridad pública, y prohíbe ese tipo de injerencias en la vida privada de las personas, enunciando diversos ámbitos de ésta, como la vida privada de sus familias. Ahora bien, el Estado debe adoptar medidas positivas para impedir que la intimidad personal y familiar se vulnere por personas ajenas, pero no puede impedir a quien decide difundir aspectos de su vida privada que lo haga, so pretexto de proteger a la familia, pues en ese caso, ya no se está frente a la difusión de la información por parte de un tercero, que es ajeno a ésta, sino que se estaría limitando el derecho de una persona de divulgar la información que le es propia. En resumen, lo que la Constitución Política de los Estados Unidos Mexicanos y las convenciones internacionales buscan impedir es que terceros difundan información de la vida privada ajena, sin consentimiento del titular; de ahí que si la injerencia en la vida </w:t>
      </w:r>
      <w:r w:rsidRPr="00012649">
        <w:rPr>
          <w:szCs w:val="22"/>
          <w:lang w:val="es-MX"/>
        </w:rPr>
        <w:lastRenderedPageBreak/>
        <w:t>privada de que se duele el tercero perjudicado, consiste en la difusión que hicieron otros miembros de su familia, sobre hechos que conciernen a la vida privada de ellas, y que involucran a éste, como causante de la afectación sufrida por ellas, entonces no puede considerarse que dicha difusión resulte arbitraria o abusiva, puesto que se realizó en ejercicio del legítimo derecho que les asiste de difundir información que les es propia, en la medida en que sea veraz, y que las expresiones utilizadas estén protegidas constitucionalmente, por no ser absolutamente vejatorias, esto es, ofensivas, oprobiosas o impertinentes, según el contexto.</w:t>
      </w:r>
    </w:p>
    <w:p w:rsidR="00514C62" w:rsidRPr="00012649" w:rsidRDefault="00514C62" w:rsidP="00514C62">
      <w:pPr>
        <w:pStyle w:val="Fundamentos"/>
        <w:spacing w:line="276" w:lineRule="auto"/>
        <w:ind w:left="851" w:right="822"/>
        <w:rPr>
          <w:szCs w:val="22"/>
          <w:lang w:val="es-MX"/>
        </w:rPr>
      </w:pPr>
    </w:p>
    <w:p w:rsidR="00514C62" w:rsidRPr="00012649" w:rsidRDefault="00514C62" w:rsidP="00514C62">
      <w:pPr>
        <w:pStyle w:val="Fundamentos"/>
        <w:spacing w:line="276" w:lineRule="auto"/>
        <w:ind w:left="851" w:right="822"/>
        <w:rPr>
          <w:b/>
          <w:bCs/>
          <w:szCs w:val="22"/>
          <w:lang w:val="es-MX"/>
        </w:rPr>
      </w:pPr>
      <w:r w:rsidRPr="00012649">
        <w:rPr>
          <w:b/>
          <w:bCs/>
          <w:szCs w:val="22"/>
          <w:lang w:val="es-MX"/>
        </w:rPr>
        <w:t>INFORMACIÓN CONFIDENCIAL. LÍMITE AL DERECHO DE ACCESO A LA INFORMACIÓN (LEY FEDERAL DE TRANSPARENCIA Y ACCESO A LA INFORMACIÓN PÚBLICA GUBERNAMENTAL).</w:t>
      </w:r>
    </w:p>
    <w:p w:rsidR="00514C62" w:rsidRPr="00012649" w:rsidRDefault="00514C62" w:rsidP="00514C62">
      <w:pPr>
        <w:pStyle w:val="Fundamentos"/>
        <w:spacing w:line="276" w:lineRule="auto"/>
        <w:ind w:left="851" w:right="822"/>
        <w:rPr>
          <w:szCs w:val="22"/>
          <w:lang w:val="es-MX"/>
        </w:rPr>
      </w:pPr>
      <w:r w:rsidRPr="00012649">
        <w:rPr>
          <w:szCs w:val="22"/>
          <w:lang w:val="es-MX"/>
        </w:rPr>
        <w:t xml:space="preserve">Las fracciones I y II del segundo párrafo del artículo 6o. de la Constitución Política de los Estados Unidos Mexicanos, establecen que el derecho de acceso a la información puede limitarse en virtud del interés público y de la vida privada y los datos personales. Dichas fracciones sólo enuncian los fines constitucionalmente válidos o legítimos para establecer limitaciones al citado derecho, sin embargo, ambas remiten a la legislación secundaria para el desarrollo de los supuestos específicos en que procedan las excepciones que busquen proteger los bienes constitucionales enunciados como límites al derecho de acceso a la información. Así, en cumplimiento al mandato constitucional, la Ley Federal de Transparencia y Acceso a la Información Pública Gubernamental establece dos criterios bajo los cuales la información podrá clasificarse y, con ello, limitar el acceso de los particulares a la misma: el de información confidencial y el de información reservada. En lo que respecta al límite previsto en la Constitución, referente a la vida privada y los datos personales, el artículo 18 de la ley estableció como criterio de clasificación el de información confidencial, el cual restringe el acceso a la información que contenga datos personales que requieran el consentimiento de los individuos para su difusión, distribución o comercialización. Lo anterior también tiene un sustento constitucional en lo dispuesto en el segundo párrafo del artículo 16 constitucional, el cual reconoce que el derecho a la protección de datos personales —así como al acceso, rectificación y cancelación de los mismos— debe ser tutelado por regla general, salvo los casos excepcionales que se prevean en la legislación secundaria; así como en la fracción V, del apartado C, del artículo 20 constitucional, que protege la </w:t>
      </w:r>
      <w:r w:rsidRPr="00012649">
        <w:rPr>
          <w:szCs w:val="22"/>
          <w:lang w:val="es-MX"/>
        </w:rPr>
        <w:lastRenderedPageBreak/>
        <w:t>identidad y datos personales de las víctimas y ofendidos que sean parte en procedimientos penales. Así pues, existe un derecho de acceso a la información pública que rige como regla general, aunque limitado, en forma también genérica, por el derecho a la protección de datos personales. Por lo anterior, el acceso público —para todas las personas independientemente del interés que pudieren tener— a los datos personales distintos a los del propio solicitante de información sólo procede en ciertos supuestos, reconocidos expresamente por las leyes respectivas. Adicionalmente, la información confidencial puede dar lugar a la clasificación de un documento en su totalidad o de ciertas partes o pasajes del mismo, pues puede darse el caso de un documento público que sólo en una sección contenga datos confidenciales. Por último, y conforme a lo dispuesto en el artículo 21 de la ley, la restricción de acceso a la información confidencial no es absoluta, pues puede permitirse su difusión, distribución o comercialización si se obtiene el consentimiento expreso de la persona a que haga referencia la información.</w:t>
      </w:r>
    </w:p>
    <w:p w:rsidR="00514C62" w:rsidRPr="00012649" w:rsidRDefault="00514C62" w:rsidP="00514C62">
      <w:pPr>
        <w:rPr>
          <w:rFonts w:ascii="Palatino Linotype" w:hAnsi="Palatino Linotype"/>
          <w:sz w:val="22"/>
          <w:szCs w:val="22"/>
        </w:rPr>
      </w:pPr>
    </w:p>
    <w:p w:rsidR="00514C62" w:rsidRPr="00012649" w:rsidRDefault="00514C62" w:rsidP="00514C62">
      <w:pPr>
        <w:pStyle w:val="Prrafodelista"/>
        <w:numPr>
          <w:ilvl w:val="0"/>
          <w:numId w:val="2"/>
        </w:numPr>
        <w:spacing w:line="360" w:lineRule="auto"/>
        <w:ind w:left="0" w:firstLine="0"/>
        <w:jc w:val="both"/>
        <w:rPr>
          <w:rFonts w:ascii="Palatino Linotype" w:hAnsi="Palatino Linotype"/>
          <w:szCs w:val="22"/>
        </w:rPr>
      </w:pPr>
      <w:r w:rsidRPr="00012649">
        <w:rPr>
          <w:rFonts w:ascii="Palatino Linotype" w:hAnsi="Palatino Linotype"/>
          <w:szCs w:val="22"/>
        </w:rPr>
        <w:t>De los conceptos antepuestos, se llega a la conclusión que la clave catastral es una serie de elementos que hacen identificable un inmueble para su localización geográfica y posterior inscripción al padrón catastral de cada Entidad Federativa, existiendo la posibilidad, incluso, de revelar información inherente al patrimonio del propietario de dicho predio o inmueble, lo que no otorga ni certeza jurídica ni abona a la transparencia, ya que no se trata de actos de autoridad que ayuden a hacer público el quehacer de los servidores, por lo cual se considera que no es procedente la entrega de dicho dato.</w:t>
      </w:r>
    </w:p>
    <w:p w:rsidR="00514C62" w:rsidRPr="00012649" w:rsidRDefault="00514C62" w:rsidP="00514C62">
      <w:pPr>
        <w:pStyle w:val="Prrafodelista"/>
        <w:spacing w:line="360" w:lineRule="auto"/>
        <w:ind w:left="0"/>
        <w:jc w:val="both"/>
        <w:rPr>
          <w:rFonts w:ascii="Palatino Linotype" w:hAnsi="Palatino Linotype"/>
          <w:szCs w:val="22"/>
        </w:rPr>
      </w:pPr>
    </w:p>
    <w:p w:rsidR="00514C62" w:rsidRPr="00012649" w:rsidRDefault="00514C62" w:rsidP="00514C62">
      <w:pPr>
        <w:pStyle w:val="Prrafodelista"/>
        <w:numPr>
          <w:ilvl w:val="0"/>
          <w:numId w:val="2"/>
        </w:numPr>
        <w:spacing w:line="360" w:lineRule="auto"/>
        <w:ind w:left="0" w:firstLine="0"/>
        <w:jc w:val="both"/>
        <w:rPr>
          <w:rFonts w:ascii="Palatino Linotype" w:hAnsi="Palatino Linotype"/>
          <w:szCs w:val="22"/>
        </w:rPr>
      </w:pPr>
      <w:r w:rsidRPr="00012649">
        <w:rPr>
          <w:rFonts w:ascii="Palatino Linotype" w:hAnsi="Palatino Linotype"/>
          <w:szCs w:val="22"/>
        </w:rPr>
        <w:t>Asimismo, si entre los documentos que contenga el expediente se encontraran algunos que por su naturaleza deban ser clasificados en su totalidad, de manera enunciativa más no limitativa, credencial de elector, pasaporte, entre otros, el Sujeto Obligado deberá elaborar y poner a disposición del particular el acuerdo correspondiente emitido por el Comité de Transparencia.</w:t>
      </w:r>
    </w:p>
    <w:p w:rsidR="00514C62" w:rsidRPr="00012649" w:rsidRDefault="00514C62" w:rsidP="00514C62">
      <w:pPr>
        <w:pBdr>
          <w:top w:val="nil"/>
          <w:left w:val="nil"/>
          <w:bottom w:val="nil"/>
          <w:right w:val="nil"/>
          <w:between w:val="nil"/>
        </w:pBdr>
        <w:spacing w:line="360" w:lineRule="auto"/>
        <w:jc w:val="both"/>
        <w:rPr>
          <w:rFonts w:ascii="Palatino Linotype" w:hAnsi="Palatino Linotype"/>
          <w:color w:val="000000"/>
          <w:sz w:val="22"/>
          <w:szCs w:val="22"/>
        </w:rPr>
      </w:pPr>
    </w:p>
    <w:p w:rsidR="00090548" w:rsidRPr="00012649" w:rsidRDefault="00090548" w:rsidP="00090548">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012649">
        <w:rPr>
          <w:rFonts w:ascii="Palatino Linotype" w:eastAsia="Palatino Linotype" w:hAnsi="Palatino Linotype" w:cs="Palatino Linotype"/>
          <w:color w:val="000000"/>
          <w:sz w:val="22"/>
          <w:szCs w:val="22"/>
        </w:rPr>
        <w:lastRenderedPageBreak/>
        <w:t xml:space="preserve">Por lo anteriormente expuesto y fundado, este </w:t>
      </w:r>
      <w:r w:rsidRPr="00012649">
        <w:rPr>
          <w:rFonts w:ascii="Palatino Linotype" w:eastAsia="Palatino Linotype" w:hAnsi="Palatino Linotype" w:cs="Palatino Linotype"/>
          <w:b/>
          <w:color w:val="000000"/>
          <w:sz w:val="22"/>
          <w:szCs w:val="22"/>
        </w:rPr>
        <w:t>ÓRGANO GARANTE</w:t>
      </w:r>
      <w:r w:rsidRPr="00012649">
        <w:rPr>
          <w:rFonts w:ascii="Palatino Linotype" w:eastAsia="Palatino Linotype" w:hAnsi="Palatino Linotype" w:cs="Palatino Linotype"/>
          <w:color w:val="000000"/>
          <w:sz w:val="22"/>
          <w:szCs w:val="22"/>
        </w:rPr>
        <w:t xml:space="preserve"> emite los siguientes:</w:t>
      </w:r>
    </w:p>
    <w:p w:rsidR="00090548" w:rsidRPr="00012649" w:rsidRDefault="00090548" w:rsidP="00090548">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090548" w:rsidRPr="00012649" w:rsidRDefault="00090548" w:rsidP="00090548">
      <w:pPr>
        <w:keepNext/>
        <w:keepLines/>
        <w:spacing w:line="360" w:lineRule="auto"/>
        <w:jc w:val="center"/>
        <w:rPr>
          <w:rFonts w:ascii="Palatino Linotype" w:eastAsia="Palatino Linotype" w:hAnsi="Palatino Linotype" w:cs="Palatino Linotype"/>
          <w:b/>
          <w:color w:val="000000"/>
          <w:sz w:val="22"/>
          <w:szCs w:val="22"/>
        </w:rPr>
      </w:pPr>
      <w:bookmarkStart w:id="10" w:name="_heading=h.2s8eyo1" w:colFirst="0" w:colLast="0"/>
      <w:bookmarkEnd w:id="10"/>
      <w:r w:rsidRPr="00012649">
        <w:rPr>
          <w:rFonts w:ascii="Palatino Linotype" w:eastAsia="Palatino Linotype" w:hAnsi="Palatino Linotype" w:cs="Palatino Linotype"/>
          <w:b/>
          <w:color w:val="000000"/>
          <w:sz w:val="22"/>
          <w:szCs w:val="22"/>
        </w:rPr>
        <w:t>R E S O L U T I V O S</w:t>
      </w:r>
    </w:p>
    <w:p w:rsidR="00090548" w:rsidRPr="00012649" w:rsidRDefault="00090548" w:rsidP="00090548">
      <w:pPr>
        <w:keepNext/>
        <w:keepLines/>
        <w:spacing w:line="360" w:lineRule="auto"/>
        <w:jc w:val="center"/>
        <w:rPr>
          <w:rFonts w:ascii="Palatino Linotype" w:eastAsia="Palatino Linotype" w:hAnsi="Palatino Linotype" w:cs="Palatino Linotype"/>
          <w:b/>
          <w:color w:val="000000"/>
          <w:sz w:val="22"/>
          <w:szCs w:val="22"/>
        </w:rPr>
      </w:pPr>
    </w:p>
    <w:p w:rsidR="00090548" w:rsidRPr="00012649" w:rsidRDefault="00090548" w:rsidP="00090548">
      <w:pPr>
        <w:spacing w:line="360" w:lineRule="auto"/>
        <w:jc w:val="both"/>
        <w:rPr>
          <w:rFonts w:ascii="Palatino Linotype" w:hAnsi="Palatino Linotype" w:cs="Arial"/>
          <w:bCs/>
          <w:sz w:val="22"/>
          <w:szCs w:val="22"/>
          <w:lang w:eastAsia="es-ES"/>
        </w:rPr>
      </w:pPr>
      <w:r w:rsidRPr="00012649">
        <w:rPr>
          <w:rFonts w:ascii="Palatino Linotype" w:hAnsi="Palatino Linotype" w:cs="Arial"/>
          <w:b/>
          <w:sz w:val="22"/>
          <w:szCs w:val="22"/>
          <w:lang w:eastAsia="es-ES"/>
        </w:rPr>
        <w:t xml:space="preserve">PRIMERO. </w:t>
      </w:r>
      <w:r w:rsidRPr="00012649">
        <w:rPr>
          <w:rFonts w:ascii="Palatino Linotype" w:hAnsi="Palatino Linotype" w:cs="Arial"/>
          <w:sz w:val="22"/>
          <w:szCs w:val="22"/>
          <w:lang w:eastAsia="es-ES"/>
        </w:rPr>
        <w:t>Resultan fundadas las</w:t>
      </w:r>
      <w:r w:rsidRPr="00012649">
        <w:rPr>
          <w:rFonts w:ascii="Palatino Linotype" w:hAnsi="Palatino Linotype" w:cs="Arial"/>
          <w:b/>
          <w:sz w:val="22"/>
          <w:szCs w:val="22"/>
          <w:lang w:eastAsia="es-ES"/>
        </w:rPr>
        <w:t xml:space="preserve"> </w:t>
      </w:r>
      <w:r w:rsidRPr="00012649">
        <w:rPr>
          <w:rFonts w:ascii="Palatino Linotype" w:hAnsi="Palatino Linotype" w:cs="Arial"/>
          <w:sz w:val="22"/>
          <w:szCs w:val="22"/>
          <w:lang w:val="es-ES" w:eastAsia="es-ES"/>
        </w:rPr>
        <w:t xml:space="preserve">razones o motivos de inconformidad hechos valer </w:t>
      </w:r>
      <w:r w:rsidRPr="00012649">
        <w:rPr>
          <w:rFonts w:ascii="Palatino Linotype" w:eastAsia="Calibri" w:hAnsi="Palatino Linotype" w:cs="Arial"/>
          <w:sz w:val="22"/>
          <w:szCs w:val="22"/>
          <w:lang w:val="es-ES" w:eastAsia="es-ES"/>
        </w:rPr>
        <w:t xml:space="preserve">en el recurso de revisión </w:t>
      </w:r>
      <w:r w:rsidR="00D85A7D" w:rsidRPr="00012649">
        <w:rPr>
          <w:rFonts w:ascii="Palatino Linotype" w:hAnsi="Palatino Linotype" w:cs="Arial"/>
          <w:b/>
          <w:bCs/>
          <w:sz w:val="22"/>
          <w:szCs w:val="22"/>
          <w:lang w:eastAsia="es-ES"/>
        </w:rPr>
        <w:t>01323</w:t>
      </w:r>
      <w:r w:rsidRPr="00012649">
        <w:rPr>
          <w:rFonts w:ascii="Palatino Linotype" w:hAnsi="Palatino Linotype" w:cs="Arial"/>
          <w:b/>
          <w:bCs/>
          <w:sz w:val="22"/>
          <w:szCs w:val="22"/>
          <w:lang w:eastAsia="es-ES"/>
        </w:rPr>
        <w:t xml:space="preserve">/INFOEM/IP/RR/2024, </w:t>
      </w:r>
      <w:r w:rsidRPr="00012649">
        <w:rPr>
          <w:rFonts w:ascii="Palatino Linotype" w:hAnsi="Palatino Linotype" w:cs="Arial"/>
          <w:bCs/>
          <w:sz w:val="22"/>
          <w:szCs w:val="22"/>
          <w:lang w:eastAsia="es-ES"/>
        </w:rPr>
        <w:t xml:space="preserve">en términos del </w:t>
      </w:r>
      <w:r w:rsidRPr="00012649">
        <w:rPr>
          <w:rFonts w:ascii="Palatino Linotype" w:hAnsi="Palatino Linotype" w:cs="Arial"/>
          <w:b/>
          <w:bCs/>
          <w:sz w:val="22"/>
          <w:szCs w:val="22"/>
          <w:lang w:eastAsia="es-ES"/>
        </w:rPr>
        <w:t>Considerando</w:t>
      </w:r>
      <w:r w:rsidRPr="00012649">
        <w:rPr>
          <w:rFonts w:ascii="Palatino Linotype" w:hAnsi="Palatino Linotype" w:cs="Arial"/>
          <w:bCs/>
          <w:sz w:val="22"/>
          <w:szCs w:val="22"/>
          <w:lang w:eastAsia="es-ES"/>
        </w:rPr>
        <w:t xml:space="preserve"> </w:t>
      </w:r>
      <w:r w:rsidRPr="00012649">
        <w:rPr>
          <w:rFonts w:ascii="Palatino Linotype" w:hAnsi="Palatino Linotype" w:cs="Arial"/>
          <w:b/>
          <w:bCs/>
          <w:sz w:val="22"/>
          <w:szCs w:val="22"/>
          <w:lang w:eastAsia="es-ES"/>
        </w:rPr>
        <w:t>CUARTO y QUINTO de</w:t>
      </w:r>
      <w:r w:rsidRPr="00012649">
        <w:rPr>
          <w:rFonts w:ascii="Palatino Linotype" w:hAnsi="Palatino Linotype" w:cs="Arial"/>
          <w:bCs/>
          <w:sz w:val="22"/>
          <w:szCs w:val="22"/>
          <w:lang w:eastAsia="es-ES"/>
        </w:rPr>
        <w:t xml:space="preserve"> la presente resolución.</w:t>
      </w:r>
    </w:p>
    <w:p w:rsidR="00090548" w:rsidRPr="00012649" w:rsidRDefault="00090548" w:rsidP="00090548">
      <w:pPr>
        <w:spacing w:line="360" w:lineRule="auto"/>
        <w:jc w:val="both"/>
        <w:rPr>
          <w:rFonts w:ascii="Palatino Linotype" w:hAnsi="Palatino Linotype" w:cs="Arial"/>
          <w:bCs/>
          <w:sz w:val="22"/>
          <w:szCs w:val="22"/>
          <w:lang w:eastAsia="es-ES"/>
        </w:rPr>
      </w:pPr>
    </w:p>
    <w:p w:rsidR="00090548" w:rsidRPr="00012649" w:rsidRDefault="00090548" w:rsidP="00090548">
      <w:pPr>
        <w:spacing w:line="360" w:lineRule="auto"/>
        <w:jc w:val="both"/>
        <w:rPr>
          <w:rFonts w:ascii="Palatino Linotype" w:hAnsi="Palatino Linotype" w:cs="Arial"/>
          <w:bCs/>
          <w:sz w:val="22"/>
          <w:szCs w:val="22"/>
          <w:lang w:eastAsia="es-ES"/>
        </w:rPr>
      </w:pPr>
      <w:bookmarkStart w:id="11" w:name="_Toc477891768"/>
      <w:bookmarkStart w:id="12" w:name="_Toc477891858"/>
      <w:bookmarkStart w:id="13" w:name="_Toc481576259"/>
      <w:bookmarkStart w:id="14" w:name="_Toc492590391"/>
      <w:bookmarkStart w:id="15" w:name="_Toc462653937"/>
      <w:bookmarkStart w:id="16" w:name="_Toc453696502"/>
      <w:bookmarkStart w:id="17" w:name="_Toc454301155"/>
      <w:r w:rsidRPr="00012649">
        <w:rPr>
          <w:rFonts w:ascii="Palatino Linotype" w:hAnsi="Palatino Linotype"/>
          <w:b/>
          <w:sz w:val="22"/>
          <w:szCs w:val="22"/>
          <w:lang w:eastAsia="es-ES"/>
        </w:rPr>
        <w:t>SEGUNDO.</w:t>
      </w:r>
      <w:r w:rsidRPr="00012649">
        <w:rPr>
          <w:rFonts w:ascii="Palatino Linotype" w:eastAsia="等线 Light" w:hAnsi="Palatino Linotype"/>
          <w:color w:val="2F5496"/>
          <w:sz w:val="22"/>
          <w:szCs w:val="22"/>
          <w:lang w:eastAsia="es-ES"/>
        </w:rPr>
        <w:t xml:space="preserve"> </w:t>
      </w:r>
      <w:bookmarkEnd w:id="11"/>
      <w:bookmarkEnd w:id="12"/>
      <w:bookmarkEnd w:id="13"/>
      <w:bookmarkEnd w:id="14"/>
      <w:bookmarkEnd w:id="15"/>
      <w:bookmarkEnd w:id="16"/>
      <w:bookmarkEnd w:id="17"/>
      <w:r w:rsidRPr="00012649">
        <w:rPr>
          <w:rFonts w:ascii="Palatino Linotype" w:eastAsia="Calibri" w:hAnsi="Palatino Linotype" w:cs="Arial"/>
          <w:sz w:val="22"/>
          <w:szCs w:val="22"/>
          <w:lang w:val="es-ES" w:eastAsia="es-ES"/>
        </w:rPr>
        <w:t>Se</w:t>
      </w:r>
      <w:r w:rsidRPr="00012649">
        <w:rPr>
          <w:rFonts w:ascii="Palatino Linotype" w:eastAsia="Calibri" w:hAnsi="Palatino Linotype" w:cs="Arial"/>
          <w:b/>
          <w:sz w:val="22"/>
          <w:szCs w:val="22"/>
          <w:lang w:val="es-ES" w:eastAsia="es-ES"/>
        </w:rPr>
        <w:t xml:space="preserve"> REVOCA </w:t>
      </w:r>
      <w:r w:rsidRPr="00012649">
        <w:rPr>
          <w:rFonts w:ascii="Palatino Linotype" w:eastAsia="Calibri" w:hAnsi="Palatino Linotype" w:cs="Arial"/>
          <w:sz w:val="22"/>
          <w:szCs w:val="22"/>
          <w:lang w:val="es-ES" w:eastAsia="es-ES"/>
        </w:rPr>
        <w:t xml:space="preserve">la respuesta emitida por el </w:t>
      </w:r>
      <w:r w:rsidR="00D85A7D" w:rsidRPr="00012649">
        <w:rPr>
          <w:rFonts w:ascii="Palatino Linotype" w:eastAsia="Calibri" w:hAnsi="Palatino Linotype" w:cs="Tahoma"/>
          <w:b/>
          <w:bCs/>
          <w:sz w:val="22"/>
          <w:szCs w:val="22"/>
          <w:lang w:eastAsia="en-US"/>
        </w:rPr>
        <w:t>Ayuntamiento de Huehuetoca</w:t>
      </w:r>
      <w:r w:rsidRPr="00012649">
        <w:rPr>
          <w:rFonts w:ascii="Palatino Linotype" w:eastAsia="Calibri" w:hAnsi="Palatino Linotype" w:cs="Tahoma"/>
          <w:b/>
          <w:sz w:val="22"/>
          <w:szCs w:val="22"/>
          <w:lang w:val="es-ES" w:eastAsia="en-US"/>
        </w:rPr>
        <w:t xml:space="preserve"> </w:t>
      </w:r>
      <w:r w:rsidRPr="00012649">
        <w:rPr>
          <w:rFonts w:ascii="Palatino Linotype" w:eastAsia="Calibri" w:hAnsi="Palatino Linotype" w:cs="Arial"/>
          <w:sz w:val="22"/>
          <w:szCs w:val="22"/>
          <w:lang w:val="es-ES" w:eastAsia="es-ES"/>
        </w:rPr>
        <w:t>y se</w:t>
      </w:r>
      <w:r w:rsidRPr="00012649">
        <w:rPr>
          <w:rFonts w:ascii="Palatino Linotype" w:eastAsia="Calibri" w:hAnsi="Palatino Linotype" w:cs="Arial"/>
          <w:b/>
          <w:sz w:val="22"/>
          <w:szCs w:val="22"/>
          <w:lang w:val="es-ES" w:eastAsia="es-ES"/>
        </w:rPr>
        <w:t xml:space="preserve"> ORDENA </w:t>
      </w:r>
      <w:r w:rsidRPr="00012649">
        <w:rPr>
          <w:rFonts w:ascii="Palatino Linotype" w:hAnsi="Palatino Linotype" w:cs="Arial"/>
          <w:sz w:val="22"/>
          <w:szCs w:val="22"/>
          <w:lang w:val="es-ES" w:eastAsia="es-ES"/>
        </w:rPr>
        <w:t>entregar vía Sistema de Accesos a la Información Mexiquense (SAIMEX), de ser procedente en versión pública, la siguiente información</w:t>
      </w:r>
      <w:r w:rsidRPr="00012649">
        <w:rPr>
          <w:rFonts w:ascii="Palatino Linotype" w:hAnsi="Palatino Linotype" w:cs="Arial"/>
          <w:bCs/>
          <w:sz w:val="22"/>
          <w:szCs w:val="22"/>
          <w:lang w:eastAsia="es-ES"/>
        </w:rPr>
        <w:t>:</w:t>
      </w:r>
    </w:p>
    <w:p w:rsidR="00090548" w:rsidRPr="00012649" w:rsidRDefault="00090548" w:rsidP="00090548">
      <w:pPr>
        <w:spacing w:line="360" w:lineRule="auto"/>
        <w:jc w:val="both"/>
        <w:rPr>
          <w:rFonts w:ascii="Palatino Linotype" w:hAnsi="Palatino Linotype" w:cs="Arial"/>
          <w:bCs/>
          <w:sz w:val="22"/>
          <w:szCs w:val="22"/>
          <w:lang w:eastAsia="es-ES"/>
        </w:rPr>
      </w:pPr>
    </w:p>
    <w:p w:rsidR="00D85A7D" w:rsidRPr="00012649" w:rsidRDefault="00652F64" w:rsidP="0038630D">
      <w:pPr>
        <w:pStyle w:val="Prrafodelista"/>
        <w:numPr>
          <w:ilvl w:val="2"/>
          <w:numId w:val="2"/>
        </w:numPr>
        <w:spacing w:line="360" w:lineRule="auto"/>
        <w:ind w:left="851" w:right="822" w:firstLine="0"/>
        <w:jc w:val="both"/>
        <w:rPr>
          <w:rFonts w:ascii="Palatino Linotype" w:hAnsi="Palatino Linotype"/>
          <w:b/>
          <w:bCs/>
          <w:color w:val="000000"/>
          <w:szCs w:val="22"/>
        </w:rPr>
      </w:pPr>
      <w:r w:rsidRPr="00012649">
        <w:rPr>
          <w:rFonts w:ascii="Palatino Linotype" w:hAnsi="Palatino Linotype"/>
          <w:b/>
          <w:bCs/>
          <w:color w:val="000000"/>
          <w:szCs w:val="22"/>
        </w:rPr>
        <w:t>Expediente integrado con motivo de las l</w:t>
      </w:r>
      <w:r w:rsidR="00580237" w:rsidRPr="00012649">
        <w:rPr>
          <w:rFonts w:ascii="Palatino Linotype" w:hAnsi="Palatino Linotype"/>
          <w:b/>
          <w:bCs/>
          <w:color w:val="000000"/>
          <w:szCs w:val="22"/>
        </w:rPr>
        <w:t xml:space="preserve">icencias de funcionamiento, permisos o autorizaciones </w:t>
      </w:r>
      <w:r w:rsidR="00A05368" w:rsidRPr="00012649">
        <w:rPr>
          <w:rFonts w:ascii="Palatino Linotype" w:hAnsi="Palatino Linotype"/>
          <w:b/>
          <w:bCs/>
          <w:color w:val="000000"/>
          <w:szCs w:val="22"/>
        </w:rPr>
        <w:t>relativa</w:t>
      </w:r>
      <w:r w:rsidR="00580237" w:rsidRPr="00012649">
        <w:rPr>
          <w:rFonts w:ascii="Palatino Linotype" w:hAnsi="Palatino Linotype"/>
          <w:b/>
          <w:bCs/>
          <w:color w:val="000000"/>
          <w:szCs w:val="22"/>
        </w:rPr>
        <w:t>s</w:t>
      </w:r>
      <w:r w:rsidR="00A05368" w:rsidRPr="00012649">
        <w:rPr>
          <w:rFonts w:ascii="Palatino Linotype" w:hAnsi="Palatino Linotype"/>
          <w:b/>
          <w:bCs/>
          <w:color w:val="000000"/>
          <w:szCs w:val="22"/>
        </w:rPr>
        <w:t xml:space="preserve"> a las estaciones de carburación </w:t>
      </w:r>
      <w:r w:rsidR="008818C5" w:rsidRPr="00012649">
        <w:rPr>
          <w:rFonts w:ascii="Palatino Linotype" w:hAnsi="Palatino Linotype"/>
          <w:b/>
          <w:bCs/>
          <w:color w:val="000000"/>
          <w:szCs w:val="22"/>
        </w:rPr>
        <w:t xml:space="preserve">del periodo comprendido del veinte de febrero de dos mil veintitrés al veinte de febrero de dos mil veinticuatro. </w:t>
      </w:r>
    </w:p>
    <w:p w:rsidR="00D85A7D" w:rsidRPr="00012649" w:rsidRDefault="00D85A7D" w:rsidP="00D85A7D">
      <w:pPr>
        <w:pStyle w:val="Prrafodelista"/>
        <w:spacing w:line="360" w:lineRule="auto"/>
        <w:ind w:left="851"/>
        <w:jc w:val="both"/>
        <w:rPr>
          <w:rFonts w:ascii="Palatino Linotype" w:hAnsi="Palatino Linotype"/>
          <w:b/>
          <w:bCs/>
          <w:color w:val="000000"/>
          <w:szCs w:val="22"/>
        </w:rPr>
      </w:pPr>
    </w:p>
    <w:p w:rsidR="00090548" w:rsidRPr="00012649" w:rsidRDefault="00090548" w:rsidP="00090548">
      <w:pPr>
        <w:tabs>
          <w:tab w:val="left" w:pos="8080"/>
        </w:tabs>
        <w:spacing w:line="360" w:lineRule="auto"/>
        <w:contextualSpacing/>
        <w:jc w:val="both"/>
        <w:rPr>
          <w:rFonts w:ascii="Palatino Linotype" w:hAnsi="Palatino Linotype"/>
          <w:b/>
          <w:sz w:val="22"/>
          <w:szCs w:val="22"/>
        </w:rPr>
      </w:pPr>
      <w:r w:rsidRPr="00012649">
        <w:rPr>
          <w:rFonts w:ascii="Palatino Linotype" w:hAnsi="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documentos que se clasifiquen en su totalidad como confidenciales, objeto de las versiones públicas que se formulen y se pongan a disposición del</w:t>
      </w:r>
      <w:r w:rsidR="008818C5" w:rsidRPr="00012649">
        <w:rPr>
          <w:rFonts w:ascii="Palatino Linotype" w:hAnsi="Palatino Linotype"/>
          <w:b/>
          <w:sz w:val="22"/>
          <w:szCs w:val="22"/>
        </w:rPr>
        <w:t xml:space="preserve"> RECURRENTE.</w:t>
      </w:r>
    </w:p>
    <w:p w:rsidR="008818C5" w:rsidRPr="00012649" w:rsidRDefault="008818C5" w:rsidP="00090548">
      <w:pPr>
        <w:tabs>
          <w:tab w:val="left" w:pos="8080"/>
        </w:tabs>
        <w:spacing w:line="360" w:lineRule="auto"/>
        <w:contextualSpacing/>
        <w:jc w:val="both"/>
        <w:rPr>
          <w:rFonts w:ascii="Palatino Linotype" w:hAnsi="Palatino Linotype"/>
          <w:b/>
          <w:sz w:val="22"/>
          <w:szCs w:val="22"/>
        </w:rPr>
      </w:pPr>
    </w:p>
    <w:p w:rsidR="008818C5" w:rsidRPr="00012649" w:rsidRDefault="008818C5" w:rsidP="008818C5">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sz w:val="24"/>
        </w:rPr>
      </w:pPr>
      <w:r w:rsidRPr="00012649">
        <w:rPr>
          <w:rFonts w:ascii="Palatino Linotype" w:eastAsia="Palatino Linotype" w:hAnsi="Palatino Linotype" w:cs="Palatino Linotype"/>
          <w:sz w:val="24"/>
        </w:rPr>
        <w:lastRenderedPageBreak/>
        <w:t xml:space="preserve">Para el caso de que la información que se ordena entregar, no obre en los archivos del Sujeto Obligado, bastará con que así se haga del conocimiento del Particular en términos del artículo 19, párrafo segundo, de la Ley de Transparencia y Acceso a la Información Pública del Estado de México y Municipios, para tenerse por colmado dicho requerimiento. </w:t>
      </w:r>
    </w:p>
    <w:p w:rsidR="00090548" w:rsidRPr="00012649" w:rsidRDefault="00090548" w:rsidP="00090548">
      <w:pPr>
        <w:tabs>
          <w:tab w:val="left" w:pos="8080"/>
        </w:tabs>
        <w:spacing w:line="360" w:lineRule="auto"/>
        <w:contextualSpacing/>
        <w:jc w:val="both"/>
        <w:rPr>
          <w:rFonts w:ascii="Palatino Linotype" w:eastAsia="Palatino Linotype" w:hAnsi="Palatino Linotype" w:cs="Palatino Linotype"/>
          <w:b/>
          <w:sz w:val="22"/>
          <w:szCs w:val="22"/>
        </w:rPr>
      </w:pPr>
    </w:p>
    <w:p w:rsidR="00090548" w:rsidRPr="00012649" w:rsidRDefault="00090548" w:rsidP="00090548">
      <w:pPr>
        <w:tabs>
          <w:tab w:val="left" w:pos="8080"/>
        </w:tabs>
        <w:spacing w:line="360" w:lineRule="auto"/>
        <w:contextualSpacing/>
        <w:jc w:val="both"/>
        <w:rPr>
          <w:rFonts w:ascii="Palatino Linotype" w:hAnsi="Palatino Linotype"/>
          <w:color w:val="222222"/>
          <w:sz w:val="22"/>
          <w:szCs w:val="22"/>
          <w:shd w:val="clear" w:color="auto" w:fill="FFFFFF"/>
        </w:rPr>
      </w:pPr>
      <w:r w:rsidRPr="00012649">
        <w:rPr>
          <w:rFonts w:ascii="Palatino Linotype" w:eastAsia="Palatino Linotype" w:hAnsi="Palatino Linotype" w:cs="Palatino Linotype"/>
          <w:b/>
          <w:sz w:val="22"/>
          <w:szCs w:val="22"/>
        </w:rPr>
        <w:t xml:space="preserve">TERCERO. Notifíquese </w:t>
      </w:r>
      <w:r w:rsidRPr="00012649">
        <w:rPr>
          <w:rFonts w:ascii="Palatino Linotype" w:eastAsia="Palatino Linotype" w:hAnsi="Palatino Linotype" w:cs="Palatino Linotype"/>
          <w:sz w:val="22"/>
          <w:szCs w:val="22"/>
        </w:rPr>
        <w:t>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090548" w:rsidRPr="00012649" w:rsidRDefault="00090548" w:rsidP="00090548">
      <w:pPr>
        <w:tabs>
          <w:tab w:val="left" w:pos="8080"/>
        </w:tabs>
        <w:spacing w:line="360" w:lineRule="auto"/>
        <w:contextualSpacing/>
        <w:jc w:val="both"/>
        <w:rPr>
          <w:rFonts w:ascii="Palatino Linotype" w:hAnsi="Palatino Linotype"/>
          <w:color w:val="222222"/>
          <w:sz w:val="22"/>
          <w:szCs w:val="22"/>
          <w:shd w:val="clear" w:color="auto" w:fill="FFFFFF"/>
        </w:rPr>
      </w:pPr>
    </w:p>
    <w:p w:rsidR="00090548" w:rsidRPr="00012649" w:rsidRDefault="00090548" w:rsidP="00090548">
      <w:pPr>
        <w:shd w:val="clear" w:color="auto" w:fill="FFFFFF"/>
        <w:spacing w:line="360" w:lineRule="auto"/>
        <w:jc w:val="both"/>
        <w:rPr>
          <w:rFonts w:ascii="Palatino Linotype" w:hAnsi="Palatino Linotype"/>
          <w:sz w:val="22"/>
          <w:szCs w:val="22"/>
        </w:rPr>
      </w:pPr>
      <w:r w:rsidRPr="00012649">
        <w:rPr>
          <w:rFonts w:ascii="Palatino Linotype" w:hAnsi="Palatino Linotype" w:cs="Arial"/>
          <w:b/>
          <w:sz w:val="22"/>
          <w:szCs w:val="22"/>
        </w:rPr>
        <w:t xml:space="preserve">CUARTO. </w:t>
      </w:r>
      <w:r w:rsidRPr="00012649">
        <w:rPr>
          <w:rFonts w:ascii="Palatino Linotype" w:hAnsi="Palatino Linotype"/>
          <w:b/>
          <w:bCs/>
          <w:sz w:val="22"/>
          <w:szCs w:val="22"/>
          <w:lang w:val="es-ES"/>
        </w:rPr>
        <w:t>Notifíquese al RECURRENTE</w:t>
      </w:r>
      <w:r w:rsidRPr="00012649">
        <w:rPr>
          <w:rFonts w:ascii="Palatino Linotype" w:hAnsi="Palatino Linotype"/>
          <w:sz w:val="22"/>
          <w:szCs w:val="22"/>
        </w:rPr>
        <w:t xml:space="preserve"> la presente resolución vía SAIMEX.</w:t>
      </w:r>
    </w:p>
    <w:p w:rsidR="00090548" w:rsidRPr="00012649" w:rsidRDefault="00090548" w:rsidP="00090548">
      <w:pPr>
        <w:shd w:val="clear" w:color="auto" w:fill="FFFFFF"/>
        <w:spacing w:line="360" w:lineRule="auto"/>
        <w:jc w:val="both"/>
        <w:rPr>
          <w:rFonts w:ascii="Palatino Linotype" w:hAnsi="Palatino Linotype"/>
          <w:b/>
          <w:color w:val="FF0000"/>
          <w:sz w:val="22"/>
          <w:szCs w:val="22"/>
        </w:rPr>
      </w:pPr>
    </w:p>
    <w:p w:rsidR="00090548" w:rsidRPr="00012649" w:rsidRDefault="00090548" w:rsidP="00090548">
      <w:pPr>
        <w:spacing w:line="360" w:lineRule="auto"/>
        <w:jc w:val="both"/>
        <w:rPr>
          <w:rFonts w:ascii="Palatino Linotype" w:eastAsia="MS Mincho" w:hAnsi="Palatino Linotype"/>
          <w:sz w:val="22"/>
          <w:szCs w:val="22"/>
          <w:lang w:val="es-ES"/>
        </w:rPr>
      </w:pPr>
      <w:r w:rsidRPr="00012649">
        <w:rPr>
          <w:rFonts w:ascii="Palatino Linotype" w:eastAsia="MS Mincho" w:hAnsi="Palatino Linotype"/>
          <w:b/>
          <w:sz w:val="22"/>
          <w:szCs w:val="22"/>
        </w:rPr>
        <w:t>QUINTO.</w:t>
      </w:r>
      <w:r w:rsidRPr="00012649">
        <w:rPr>
          <w:rFonts w:ascii="Palatino Linotype" w:eastAsia="MS Mincho" w:hAnsi="Palatino Linotype"/>
          <w:sz w:val="22"/>
          <w:szCs w:val="22"/>
        </w:rPr>
        <w:t xml:space="preserve"> </w:t>
      </w:r>
      <w:r w:rsidRPr="00012649">
        <w:rPr>
          <w:rFonts w:ascii="Palatino Linotype" w:eastAsia="MS Mincho" w:hAnsi="Palatino Linotype"/>
          <w:sz w:val="22"/>
          <w:szCs w:val="22"/>
          <w:lang w:val="es-ES"/>
        </w:rPr>
        <w:t xml:space="preserve">Se hace del conocimiento del </w:t>
      </w:r>
      <w:r w:rsidRPr="00012649">
        <w:rPr>
          <w:rFonts w:ascii="Palatino Linotype" w:hAnsi="Palatino Linotype"/>
          <w:b/>
          <w:sz w:val="22"/>
          <w:szCs w:val="22"/>
        </w:rPr>
        <w:t>RECURRENTE</w:t>
      </w:r>
      <w:r w:rsidRPr="00012649">
        <w:rPr>
          <w:rFonts w:ascii="Palatino Linotype" w:hAnsi="Palatino Linotype"/>
          <w:sz w:val="22"/>
          <w:szCs w:val="22"/>
        </w:rPr>
        <w:t xml:space="preserve"> </w:t>
      </w:r>
      <w:r w:rsidRPr="00012649">
        <w:rPr>
          <w:rFonts w:ascii="Palatino Linotype" w:eastAsia="MS Mincho" w:hAnsi="Palatino Linotype"/>
          <w:sz w:val="22"/>
          <w:szCs w:val="22"/>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012649">
        <w:rPr>
          <w:rFonts w:ascii="Palatino Linotype" w:eastAsia="MS Mincho" w:hAnsi="Palatino Linotype"/>
          <w:bCs/>
          <w:sz w:val="22"/>
          <w:szCs w:val="22"/>
          <w:lang w:val="es-ES"/>
        </w:rPr>
        <w:t>vía juicio de amparo</w:t>
      </w:r>
      <w:r w:rsidRPr="00012649">
        <w:rPr>
          <w:rFonts w:ascii="Palatino Linotype" w:eastAsia="MS Mincho" w:hAnsi="Palatino Linotype"/>
          <w:sz w:val="22"/>
          <w:szCs w:val="22"/>
          <w:lang w:val="es-ES"/>
        </w:rPr>
        <w:t> en los términos de las leyes aplicables.</w:t>
      </w:r>
    </w:p>
    <w:p w:rsidR="00090548" w:rsidRPr="00012649" w:rsidRDefault="00090548" w:rsidP="00090548">
      <w:pPr>
        <w:spacing w:line="360" w:lineRule="auto"/>
        <w:jc w:val="both"/>
        <w:rPr>
          <w:rFonts w:ascii="Palatino Linotype" w:hAnsi="Palatino Linotype"/>
          <w:color w:val="000000"/>
          <w:sz w:val="22"/>
          <w:szCs w:val="22"/>
          <w:shd w:val="clear" w:color="auto" w:fill="FFFFFF"/>
        </w:rPr>
      </w:pPr>
    </w:p>
    <w:p w:rsidR="00090548" w:rsidRPr="00012649" w:rsidRDefault="00090548" w:rsidP="00090548">
      <w:pPr>
        <w:spacing w:line="360" w:lineRule="auto"/>
        <w:jc w:val="both"/>
        <w:rPr>
          <w:rFonts w:ascii="Palatino Linotype" w:eastAsia="Calibri" w:hAnsi="Palatino Linotype" w:cs="Arial"/>
          <w:bCs/>
          <w:sz w:val="22"/>
          <w:szCs w:val="22"/>
        </w:rPr>
      </w:pPr>
      <w:r w:rsidRPr="00012649">
        <w:rPr>
          <w:rFonts w:ascii="Palatino Linotype" w:hAnsi="Palatino Linotype"/>
          <w:b/>
          <w:color w:val="000000"/>
          <w:sz w:val="22"/>
          <w:szCs w:val="22"/>
          <w:shd w:val="clear" w:color="auto" w:fill="FFFFFF"/>
        </w:rPr>
        <w:t xml:space="preserve">SEXTO. </w:t>
      </w:r>
      <w:r w:rsidRPr="00012649">
        <w:rPr>
          <w:rFonts w:ascii="Palatino Linotype" w:eastAsia="Calibri" w:hAnsi="Palatino Linotype" w:cs="Arial"/>
          <w:bCs/>
          <w:sz w:val="22"/>
          <w:szCs w:val="22"/>
        </w:rPr>
        <w:t xml:space="preserve">De conformidad con el artículo 198 de la Ley de Transparencia y Acceso a la Información Pública del Estado de México y Municipios, de considerarlo procedente, el Sujeto </w:t>
      </w:r>
      <w:r w:rsidRPr="00012649">
        <w:rPr>
          <w:rFonts w:ascii="Palatino Linotype" w:eastAsia="Calibri" w:hAnsi="Palatino Linotype" w:cs="Arial"/>
          <w:bCs/>
          <w:sz w:val="22"/>
          <w:szCs w:val="22"/>
        </w:rPr>
        <w:lastRenderedPageBreak/>
        <w:t>Obligado de manera fundada y motivada, podrá solicitar una ampliación de plazo para el cumplimiento de la presente resolución.</w:t>
      </w:r>
    </w:p>
    <w:p w:rsidR="00090548" w:rsidRPr="00012649" w:rsidRDefault="00090548" w:rsidP="00090548">
      <w:pPr>
        <w:shd w:val="clear" w:color="auto" w:fill="FFFFFF"/>
        <w:spacing w:line="360" w:lineRule="auto"/>
        <w:jc w:val="both"/>
        <w:rPr>
          <w:rFonts w:ascii="Palatino Linotype" w:eastAsia="Palatino Linotype" w:hAnsi="Palatino Linotype" w:cs="Palatino Linotype"/>
          <w:sz w:val="22"/>
          <w:szCs w:val="22"/>
        </w:rPr>
      </w:pPr>
    </w:p>
    <w:p w:rsidR="00051BBC" w:rsidRPr="00955511" w:rsidRDefault="00051BBC" w:rsidP="00955511">
      <w:pPr>
        <w:widowControl w:val="0"/>
        <w:autoSpaceDE w:val="0"/>
        <w:autoSpaceDN w:val="0"/>
        <w:adjustRightInd w:val="0"/>
        <w:spacing w:after="200" w:line="276" w:lineRule="auto"/>
        <w:ind w:left="-142" w:right="-234"/>
        <w:jc w:val="both"/>
        <w:rPr>
          <w:rFonts w:ascii="Palatino Linotype" w:hAnsi="Palatino Linotype" w:cs="Calibri"/>
        </w:rPr>
      </w:pPr>
      <w:r w:rsidRPr="00012649">
        <w:rPr>
          <w:rFonts w:ascii="Palatino Linotype" w:hAnsi="Palatino Linotype"/>
          <w:sz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955511" w:rsidRPr="00012649">
        <w:rPr>
          <w:rFonts w:ascii="Palatino Linotype" w:hAnsi="Palatino Linotype"/>
          <w:sz w:val="22"/>
        </w:rPr>
        <w:t xml:space="preserve"> </w:t>
      </w:r>
      <w:r w:rsidR="00955511" w:rsidRPr="00012649">
        <w:rPr>
          <w:rFonts w:ascii="Palatino Linotype" w:hAnsi="Palatino Linotype" w:cs="Calibri"/>
          <w:sz w:val="22"/>
        </w:rPr>
        <w:t>EMITIENDO VOTO PARTICULAR</w:t>
      </w:r>
      <w:r w:rsidRPr="00012649">
        <w:rPr>
          <w:rFonts w:ascii="Palatino Linotype" w:hAnsi="Palatino Linotype"/>
          <w:sz w:val="20"/>
        </w:rPr>
        <w:t xml:space="preserve"> </w:t>
      </w:r>
      <w:r w:rsidRPr="00012649">
        <w:rPr>
          <w:rFonts w:ascii="Palatino Linotype" w:hAnsi="Palatino Linotype"/>
          <w:sz w:val="22"/>
        </w:rPr>
        <w:t>Y GUADALUPE RAMÍREZ PEÑA</w:t>
      </w:r>
      <w:r w:rsidR="00955511" w:rsidRPr="00012649">
        <w:rPr>
          <w:rFonts w:ascii="Palatino Linotype" w:hAnsi="Palatino Linotype"/>
          <w:sz w:val="22"/>
        </w:rPr>
        <w:t xml:space="preserve"> </w:t>
      </w:r>
      <w:r w:rsidR="00955511" w:rsidRPr="00012649">
        <w:rPr>
          <w:rFonts w:ascii="Palatino Linotype" w:hAnsi="Palatino Linotype" w:cs="Calibri"/>
          <w:sz w:val="22"/>
        </w:rPr>
        <w:t>EMITIENDO VOTO PARTICULAR</w:t>
      </w:r>
      <w:r w:rsidRPr="00012649">
        <w:rPr>
          <w:rFonts w:ascii="Palatino Linotype" w:hAnsi="Palatino Linotype"/>
          <w:sz w:val="22"/>
        </w:rPr>
        <w:t>; EN LA SEXTA SESIÓN ORDINARIA CELEBRADA EL DIECINUEVE (19) DE FEBRERO DE DOS MIL VEINTICINCO, ANTE EL SECRETARIO TÉCNICO DEL PLENO ALEXIS TAPIA RAMÍREZ.</w:t>
      </w:r>
      <w:r w:rsidRPr="00051BBC">
        <w:rPr>
          <w:rFonts w:ascii="Palatino Linotype" w:hAnsi="Palatino Linotype"/>
          <w:sz w:val="22"/>
        </w:rPr>
        <w:t xml:space="preserve"> </w:t>
      </w:r>
    </w:p>
    <w:p w:rsidR="00051BBC" w:rsidRDefault="00051BBC" w:rsidP="00051BBC">
      <w:pPr>
        <w:widowControl w:val="0"/>
        <w:autoSpaceDE w:val="0"/>
        <w:autoSpaceDN w:val="0"/>
        <w:adjustRightInd w:val="0"/>
        <w:spacing w:after="200" w:line="276" w:lineRule="auto"/>
        <w:ind w:left="-142" w:right="-234"/>
        <w:rPr>
          <w:rFonts w:ascii="Calibri" w:hAnsi="Calibri" w:cs="Calibri"/>
          <w:sz w:val="20"/>
        </w:rPr>
      </w:pPr>
    </w:p>
    <w:p w:rsidR="00012649" w:rsidRDefault="00012649" w:rsidP="00051BBC">
      <w:pPr>
        <w:widowControl w:val="0"/>
        <w:autoSpaceDE w:val="0"/>
        <w:autoSpaceDN w:val="0"/>
        <w:adjustRightInd w:val="0"/>
        <w:spacing w:after="200" w:line="276" w:lineRule="auto"/>
        <w:ind w:left="-142" w:right="-234"/>
        <w:rPr>
          <w:rFonts w:ascii="Calibri" w:hAnsi="Calibri" w:cs="Calibri"/>
          <w:sz w:val="20"/>
        </w:rPr>
      </w:pPr>
    </w:p>
    <w:p w:rsidR="00012649" w:rsidRDefault="00012649" w:rsidP="00051BBC">
      <w:pPr>
        <w:widowControl w:val="0"/>
        <w:autoSpaceDE w:val="0"/>
        <w:autoSpaceDN w:val="0"/>
        <w:adjustRightInd w:val="0"/>
        <w:spacing w:after="200" w:line="276" w:lineRule="auto"/>
        <w:ind w:left="-142" w:right="-234"/>
        <w:rPr>
          <w:rFonts w:ascii="Calibri" w:hAnsi="Calibri" w:cs="Calibri"/>
          <w:sz w:val="20"/>
        </w:rPr>
      </w:pPr>
    </w:p>
    <w:p w:rsidR="00012649" w:rsidRDefault="00012649" w:rsidP="00051BBC">
      <w:pPr>
        <w:widowControl w:val="0"/>
        <w:autoSpaceDE w:val="0"/>
        <w:autoSpaceDN w:val="0"/>
        <w:adjustRightInd w:val="0"/>
        <w:spacing w:after="200" w:line="276" w:lineRule="auto"/>
        <w:ind w:left="-142" w:right="-234"/>
        <w:rPr>
          <w:rFonts w:ascii="Calibri" w:hAnsi="Calibri" w:cs="Calibri"/>
          <w:sz w:val="20"/>
        </w:rPr>
      </w:pPr>
    </w:p>
    <w:p w:rsidR="00012649" w:rsidRDefault="00012649" w:rsidP="00051BBC">
      <w:pPr>
        <w:widowControl w:val="0"/>
        <w:autoSpaceDE w:val="0"/>
        <w:autoSpaceDN w:val="0"/>
        <w:adjustRightInd w:val="0"/>
        <w:spacing w:after="200" w:line="276" w:lineRule="auto"/>
        <w:ind w:left="-142" w:right="-234"/>
        <w:rPr>
          <w:rFonts w:ascii="Calibri" w:hAnsi="Calibri" w:cs="Calibri"/>
          <w:sz w:val="20"/>
        </w:rPr>
      </w:pPr>
    </w:p>
    <w:p w:rsidR="00012649" w:rsidRDefault="00012649" w:rsidP="00051BBC">
      <w:pPr>
        <w:widowControl w:val="0"/>
        <w:autoSpaceDE w:val="0"/>
        <w:autoSpaceDN w:val="0"/>
        <w:adjustRightInd w:val="0"/>
        <w:spacing w:after="200" w:line="276" w:lineRule="auto"/>
        <w:ind w:left="-142" w:right="-234"/>
        <w:rPr>
          <w:rFonts w:ascii="Calibri" w:hAnsi="Calibri" w:cs="Calibri"/>
          <w:sz w:val="20"/>
        </w:rPr>
      </w:pPr>
    </w:p>
    <w:p w:rsidR="00012649" w:rsidRDefault="00012649" w:rsidP="00051BBC">
      <w:pPr>
        <w:widowControl w:val="0"/>
        <w:autoSpaceDE w:val="0"/>
        <w:autoSpaceDN w:val="0"/>
        <w:adjustRightInd w:val="0"/>
        <w:spacing w:after="200" w:line="276" w:lineRule="auto"/>
        <w:ind w:left="-142" w:right="-234"/>
        <w:rPr>
          <w:rFonts w:ascii="Calibri" w:hAnsi="Calibri" w:cs="Calibri"/>
          <w:sz w:val="20"/>
        </w:rPr>
      </w:pPr>
    </w:p>
    <w:p w:rsidR="00012649" w:rsidRDefault="00012649" w:rsidP="00051BBC">
      <w:pPr>
        <w:widowControl w:val="0"/>
        <w:autoSpaceDE w:val="0"/>
        <w:autoSpaceDN w:val="0"/>
        <w:adjustRightInd w:val="0"/>
        <w:spacing w:after="200" w:line="276" w:lineRule="auto"/>
        <w:ind w:left="-142" w:right="-234"/>
        <w:rPr>
          <w:rFonts w:ascii="Calibri" w:hAnsi="Calibri" w:cs="Calibri"/>
          <w:sz w:val="20"/>
        </w:rPr>
      </w:pPr>
    </w:p>
    <w:p w:rsidR="00012649" w:rsidRDefault="00012649" w:rsidP="00051BBC">
      <w:pPr>
        <w:widowControl w:val="0"/>
        <w:autoSpaceDE w:val="0"/>
        <w:autoSpaceDN w:val="0"/>
        <w:adjustRightInd w:val="0"/>
        <w:spacing w:after="200" w:line="276" w:lineRule="auto"/>
        <w:ind w:left="-142" w:right="-234"/>
        <w:rPr>
          <w:rFonts w:ascii="Calibri" w:hAnsi="Calibri" w:cs="Calibri"/>
          <w:sz w:val="20"/>
        </w:rPr>
      </w:pPr>
    </w:p>
    <w:p w:rsidR="00012649" w:rsidRDefault="00012649" w:rsidP="00051BBC">
      <w:pPr>
        <w:widowControl w:val="0"/>
        <w:autoSpaceDE w:val="0"/>
        <w:autoSpaceDN w:val="0"/>
        <w:adjustRightInd w:val="0"/>
        <w:spacing w:after="200" w:line="276" w:lineRule="auto"/>
        <w:ind w:left="-142" w:right="-234"/>
        <w:rPr>
          <w:rFonts w:ascii="Calibri" w:hAnsi="Calibri" w:cs="Calibri"/>
          <w:sz w:val="20"/>
        </w:rPr>
      </w:pPr>
    </w:p>
    <w:p w:rsidR="00012649" w:rsidRDefault="00012649" w:rsidP="00051BBC">
      <w:pPr>
        <w:widowControl w:val="0"/>
        <w:autoSpaceDE w:val="0"/>
        <w:autoSpaceDN w:val="0"/>
        <w:adjustRightInd w:val="0"/>
        <w:spacing w:after="200" w:line="276" w:lineRule="auto"/>
        <w:ind w:left="-142" w:right="-234"/>
        <w:rPr>
          <w:rFonts w:ascii="Calibri" w:hAnsi="Calibri" w:cs="Calibri"/>
          <w:sz w:val="20"/>
        </w:rPr>
      </w:pPr>
    </w:p>
    <w:p w:rsidR="00012649" w:rsidRDefault="00012649" w:rsidP="00051BBC">
      <w:pPr>
        <w:widowControl w:val="0"/>
        <w:autoSpaceDE w:val="0"/>
        <w:autoSpaceDN w:val="0"/>
        <w:adjustRightInd w:val="0"/>
        <w:spacing w:after="200" w:line="276" w:lineRule="auto"/>
        <w:ind w:left="-142" w:right="-234"/>
        <w:rPr>
          <w:rFonts w:ascii="Calibri" w:hAnsi="Calibri" w:cs="Calibri"/>
          <w:sz w:val="20"/>
        </w:rPr>
      </w:pPr>
    </w:p>
    <w:p w:rsidR="00012649" w:rsidRDefault="00012649" w:rsidP="00051BBC">
      <w:pPr>
        <w:widowControl w:val="0"/>
        <w:autoSpaceDE w:val="0"/>
        <w:autoSpaceDN w:val="0"/>
        <w:adjustRightInd w:val="0"/>
        <w:spacing w:after="200" w:line="276" w:lineRule="auto"/>
        <w:ind w:left="-142" w:right="-234"/>
        <w:rPr>
          <w:rFonts w:ascii="Calibri" w:hAnsi="Calibri" w:cs="Calibri"/>
          <w:sz w:val="20"/>
        </w:rPr>
      </w:pPr>
    </w:p>
    <w:p w:rsidR="00012649" w:rsidRDefault="00012649" w:rsidP="00051BBC">
      <w:pPr>
        <w:widowControl w:val="0"/>
        <w:autoSpaceDE w:val="0"/>
        <w:autoSpaceDN w:val="0"/>
        <w:adjustRightInd w:val="0"/>
        <w:spacing w:after="200" w:line="276" w:lineRule="auto"/>
        <w:ind w:left="-142" w:right="-234"/>
        <w:rPr>
          <w:rFonts w:ascii="Calibri" w:hAnsi="Calibri" w:cs="Calibri"/>
          <w:sz w:val="20"/>
        </w:rPr>
      </w:pPr>
    </w:p>
    <w:p w:rsidR="00012649" w:rsidRDefault="00012649" w:rsidP="00051BBC">
      <w:pPr>
        <w:widowControl w:val="0"/>
        <w:autoSpaceDE w:val="0"/>
        <w:autoSpaceDN w:val="0"/>
        <w:adjustRightInd w:val="0"/>
        <w:spacing w:after="200" w:line="276" w:lineRule="auto"/>
        <w:ind w:left="-142" w:right="-234"/>
        <w:rPr>
          <w:rFonts w:ascii="Calibri" w:hAnsi="Calibri" w:cs="Calibri"/>
          <w:sz w:val="20"/>
        </w:rPr>
      </w:pPr>
    </w:p>
    <w:p w:rsidR="00012649" w:rsidRDefault="00012649" w:rsidP="00051BBC">
      <w:pPr>
        <w:widowControl w:val="0"/>
        <w:autoSpaceDE w:val="0"/>
        <w:autoSpaceDN w:val="0"/>
        <w:adjustRightInd w:val="0"/>
        <w:spacing w:after="200" w:line="276" w:lineRule="auto"/>
        <w:ind w:left="-142" w:right="-234"/>
        <w:rPr>
          <w:rFonts w:ascii="Calibri" w:hAnsi="Calibri" w:cs="Calibri"/>
          <w:sz w:val="20"/>
        </w:rPr>
      </w:pPr>
    </w:p>
    <w:p w:rsidR="00012649" w:rsidRDefault="00012649" w:rsidP="00051BBC">
      <w:pPr>
        <w:widowControl w:val="0"/>
        <w:autoSpaceDE w:val="0"/>
        <w:autoSpaceDN w:val="0"/>
        <w:adjustRightInd w:val="0"/>
        <w:spacing w:after="200" w:line="276" w:lineRule="auto"/>
        <w:ind w:left="-142" w:right="-234"/>
        <w:rPr>
          <w:rFonts w:ascii="Calibri" w:hAnsi="Calibri" w:cs="Calibri"/>
          <w:sz w:val="20"/>
        </w:rPr>
      </w:pPr>
    </w:p>
    <w:p w:rsidR="00012649" w:rsidRDefault="00012649" w:rsidP="00051BBC">
      <w:pPr>
        <w:widowControl w:val="0"/>
        <w:autoSpaceDE w:val="0"/>
        <w:autoSpaceDN w:val="0"/>
        <w:adjustRightInd w:val="0"/>
        <w:spacing w:after="200" w:line="276" w:lineRule="auto"/>
        <w:ind w:left="-142" w:right="-234"/>
        <w:rPr>
          <w:rFonts w:ascii="Calibri" w:hAnsi="Calibri" w:cs="Calibri"/>
          <w:sz w:val="20"/>
        </w:rPr>
      </w:pPr>
    </w:p>
    <w:p w:rsidR="00012649" w:rsidRDefault="00012649" w:rsidP="00051BBC">
      <w:pPr>
        <w:widowControl w:val="0"/>
        <w:autoSpaceDE w:val="0"/>
        <w:autoSpaceDN w:val="0"/>
        <w:adjustRightInd w:val="0"/>
        <w:spacing w:after="200" w:line="276" w:lineRule="auto"/>
        <w:ind w:left="-142" w:right="-234"/>
        <w:rPr>
          <w:rFonts w:ascii="Calibri" w:hAnsi="Calibri" w:cs="Calibri"/>
          <w:sz w:val="20"/>
        </w:rPr>
      </w:pPr>
    </w:p>
    <w:p w:rsidR="00012649" w:rsidRDefault="00012649" w:rsidP="00051BBC">
      <w:pPr>
        <w:widowControl w:val="0"/>
        <w:autoSpaceDE w:val="0"/>
        <w:autoSpaceDN w:val="0"/>
        <w:adjustRightInd w:val="0"/>
        <w:spacing w:after="200" w:line="276" w:lineRule="auto"/>
        <w:ind w:left="-142" w:right="-234"/>
        <w:rPr>
          <w:rFonts w:ascii="Calibri" w:hAnsi="Calibri" w:cs="Calibri"/>
          <w:sz w:val="20"/>
        </w:rPr>
      </w:pPr>
    </w:p>
    <w:p w:rsidR="00012649" w:rsidRDefault="00012649" w:rsidP="00051BBC">
      <w:pPr>
        <w:widowControl w:val="0"/>
        <w:autoSpaceDE w:val="0"/>
        <w:autoSpaceDN w:val="0"/>
        <w:adjustRightInd w:val="0"/>
        <w:spacing w:after="200" w:line="276" w:lineRule="auto"/>
        <w:ind w:left="-142" w:right="-234"/>
        <w:rPr>
          <w:rFonts w:ascii="Calibri" w:hAnsi="Calibri" w:cs="Calibri"/>
          <w:sz w:val="20"/>
        </w:rPr>
      </w:pPr>
    </w:p>
    <w:p w:rsidR="00012649" w:rsidRPr="00051BBC" w:rsidRDefault="00012649" w:rsidP="00051BBC">
      <w:pPr>
        <w:widowControl w:val="0"/>
        <w:autoSpaceDE w:val="0"/>
        <w:autoSpaceDN w:val="0"/>
        <w:adjustRightInd w:val="0"/>
        <w:spacing w:after="200" w:line="276" w:lineRule="auto"/>
        <w:ind w:left="-142" w:right="-234"/>
        <w:rPr>
          <w:rFonts w:ascii="Calibri" w:hAnsi="Calibri" w:cs="Calibri"/>
          <w:sz w:val="20"/>
        </w:rPr>
      </w:pPr>
    </w:p>
    <w:p w:rsidR="00051BBC" w:rsidRDefault="00051BBC" w:rsidP="00051BBC">
      <w:pPr>
        <w:spacing w:before="240" w:after="240" w:line="360" w:lineRule="auto"/>
        <w:ind w:firstLine="1"/>
        <w:jc w:val="both"/>
        <w:rPr>
          <w:rFonts w:ascii="Palatino Linotype" w:hAnsi="Palatino Linotype"/>
        </w:rPr>
      </w:pPr>
      <w:bookmarkStart w:id="18" w:name="_Hlk96506827"/>
    </w:p>
    <w:bookmarkEnd w:id="18"/>
    <w:p w:rsidR="00090548" w:rsidRPr="00C651CD" w:rsidRDefault="00090548" w:rsidP="00090548">
      <w:pPr>
        <w:rPr>
          <w:sz w:val="22"/>
          <w:szCs w:val="22"/>
        </w:rPr>
      </w:pPr>
    </w:p>
    <w:p w:rsidR="00812B27" w:rsidRDefault="00812B27"/>
    <w:sectPr w:rsidR="00812B27">
      <w:headerReference w:type="even" r:id="rId15"/>
      <w:headerReference w:type="default" r:id="rId16"/>
      <w:footerReference w:type="default" r:id="rId17"/>
      <w:headerReference w:type="first" r:id="rId18"/>
      <w:footerReference w:type="first" r:id="rId19"/>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074" w:rsidRDefault="00405074" w:rsidP="00090548">
      <w:r>
        <w:separator/>
      </w:r>
    </w:p>
  </w:endnote>
  <w:endnote w:type="continuationSeparator" w:id="0">
    <w:p w:rsidR="00405074" w:rsidRDefault="00405074" w:rsidP="0009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等线 Light">
    <w:altName w:val="Segoe Print"/>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84" w:rsidRDefault="00226F8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C1296D">
      <w:rPr>
        <w:b/>
        <w:noProof/>
        <w:color w:val="000000"/>
      </w:rPr>
      <w:t>26</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C1296D">
      <w:rPr>
        <w:b/>
        <w:noProof/>
        <w:color w:val="000000"/>
      </w:rPr>
      <w:t>36</w:t>
    </w:r>
    <w:r>
      <w:rPr>
        <w:b/>
        <w:color w:val="000000"/>
      </w:rPr>
      <w:fldChar w:fldCharType="end"/>
    </w:r>
  </w:p>
  <w:p w:rsidR="00226F84" w:rsidRDefault="00226F8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84" w:rsidRDefault="00226F8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C1296D">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C1296D">
      <w:rPr>
        <w:b/>
        <w:noProof/>
        <w:color w:val="000000"/>
      </w:rPr>
      <w:t>36</w:t>
    </w:r>
    <w:r>
      <w:rPr>
        <w:b/>
        <w:color w:val="000000"/>
      </w:rPr>
      <w:fldChar w:fldCharType="end"/>
    </w:r>
  </w:p>
  <w:p w:rsidR="00226F84" w:rsidRDefault="00226F8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074" w:rsidRDefault="00405074" w:rsidP="00090548">
      <w:r>
        <w:separator/>
      </w:r>
    </w:p>
  </w:footnote>
  <w:footnote w:type="continuationSeparator" w:id="0">
    <w:p w:rsidR="00405074" w:rsidRDefault="00405074" w:rsidP="00090548">
      <w:r>
        <w:continuationSeparator/>
      </w:r>
    </w:p>
  </w:footnote>
  <w:footnote w:id="1">
    <w:p w:rsidR="00226F84" w:rsidRDefault="00226F84">
      <w:pPr>
        <w:pStyle w:val="Textonotapie"/>
      </w:pPr>
      <w:r>
        <w:rPr>
          <w:rStyle w:val="Refdenotaalpie"/>
        </w:rPr>
        <w:footnoteRef/>
      </w:r>
      <w:r>
        <w:t xml:space="preserve"> </w:t>
      </w:r>
      <w:hyperlink r:id="rId1" w:history="1">
        <w:r w:rsidRPr="005E29BA">
          <w:rPr>
            <w:rStyle w:val="Hipervnculo"/>
          </w:rPr>
          <w:t>file:///C:/Users/INFOEM549/Downloads/COIME-Requisitos-Gaseras-Gasoneras-Gasolineras.pdf</w:t>
        </w:r>
      </w:hyperlink>
      <w:r>
        <w:t xml:space="preserve"> </w:t>
      </w:r>
    </w:p>
  </w:footnote>
  <w:footnote w:id="2">
    <w:p w:rsidR="00226F84" w:rsidRDefault="00226F84" w:rsidP="00137AE0">
      <w:pPr>
        <w:pStyle w:val="Textonotapie"/>
      </w:pPr>
      <w:r>
        <w:rPr>
          <w:rStyle w:val="Refdenotaalpie"/>
        </w:rPr>
        <w:footnoteRef/>
      </w:r>
      <w:r>
        <w:t xml:space="preserve"> Artículo 150. Ley de Transparencia y Acceso a la Información Pública del Estado de México y Municipios.</w:t>
      </w:r>
    </w:p>
    <w:p w:rsidR="00226F84" w:rsidRDefault="00226F84" w:rsidP="00137AE0">
      <w:pPr>
        <w:pStyle w:val="Textonotapie"/>
      </w:pPr>
      <w:r>
        <w:t>Artículo 151. Ibídem.</w:t>
      </w:r>
    </w:p>
  </w:footnote>
  <w:footnote w:id="3">
    <w:p w:rsidR="00226F84" w:rsidRDefault="00226F84" w:rsidP="00137AE0">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84" w:rsidRDefault="00405074">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89.8pt;height:768pt;z-index:-25165721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84" w:rsidRDefault="00226F84">
    <w:pPr>
      <w:widowControl w:val="0"/>
      <w:pBdr>
        <w:top w:val="nil"/>
        <w:left w:val="nil"/>
        <w:bottom w:val="nil"/>
        <w:right w:val="nil"/>
        <w:between w:val="nil"/>
      </w:pBdr>
      <w:spacing w:line="276" w:lineRule="auto"/>
      <w:rPr>
        <w:color w:val="000000"/>
      </w:rPr>
    </w:pPr>
  </w:p>
  <w:tbl>
    <w:tblPr>
      <w:tblW w:w="9214" w:type="dxa"/>
      <w:tblLayout w:type="fixed"/>
      <w:tblLook w:val="0400" w:firstRow="0" w:lastRow="0" w:firstColumn="0" w:lastColumn="0" w:noHBand="0" w:noVBand="1"/>
    </w:tblPr>
    <w:tblGrid>
      <w:gridCol w:w="2268"/>
      <w:gridCol w:w="6946"/>
    </w:tblGrid>
    <w:tr w:rsidR="00226F84">
      <w:trPr>
        <w:trHeight w:val="1435"/>
      </w:trPr>
      <w:tc>
        <w:tcPr>
          <w:tcW w:w="2268" w:type="dxa"/>
          <w:shd w:val="clear" w:color="auto" w:fill="auto"/>
        </w:tcPr>
        <w:p w:rsidR="00226F84" w:rsidRDefault="00226F84">
          <w:pPr>
            <w:tabs>
              <w:tab w:val="right" w:pos="4273"/>
            </w:tabs>
            <w:rPr>
              <w:rFonts w:ascii="Garamond" w:eastAsia="Garamond" w:hAnsi="Garamond" w:cs="Garamond"/>
              <w:sz w:val="16"/>
              <w:szCs w:val="16"/>
            </w:rPr>
          </w:pPr>
        </w:p>
      </w:tc>
      <w:tc>
        <w:tcPr>
          <w:tcW w:w="6946" w:type="dxa"/>
          <w:shd w:val="clear" w:color="auto" w:fill="auto"/>
        </w:tcPr>
        <w:p w:rsidR="00226F84" w:rsidRDefault="00226F84"/>
        <w:tbl>
          <w:tblPr>
            <w:tblW w:w="6662" w:type="dxa"/>
            <w:tblInd w:w="40" w:type="dxa"/>
            <w:tblLayout w:type="fixed"/>
            <w:tblLook w:val="0400" w:firstRow="0" w:lastRow="0" w:firstColumn="0" w:lastColumn="0" w:noHBand="0" w:noVBand="1"/>
          </w:tblPr>
          <w:tblGrid>
            <w:gridCol w:w="2551"/>
            <w:gridCol w:w="4111"/>
          </w:tblGrid>
          <w:tr w:rsidR="00226F84">
            <w:trPr>
              <w:trHeight w:val="150"/>
            </w:trPr>
            <w:tc>
              <w:tcPr>
                <w:tcW w:w="2551" w:type="dxa"/>
                <w:shd w:val="clear" w:color="auto" w:fill="auto"/>
              </w:tcPr>
              <w:p w:rsidR="00226F84" w:rsidRDefault="00226F8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rsidR="00226F84" w:rsidRPr="0050515B" w:rsidRDefault="00226F84">
                <w:pPr>
                  <w:tabs>
                    <w:tab w:val="right" w:pos="8838"/>
                  </w:tabs>
                  <w:ind w:left="-108" w:right="-10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01323</w:t>
                </w:r>
                <w:r w:rsidRPr="0050515B">
                  <w:rPr>
                    <w:rFonts w:ascii="Palatino Linotype" w:eastAsia="Palatino Linotype" w:hAnsi="Palatino Linotype" w:cs="Palatino Linotype"/>
                    <w:b/>
                    <w:sz w:val="22"/>
                    <w:szCs w:val="22"/>
                  </w:rPr>
                  <w:t>/INFOEM/IP/RR/2024</w:t>
                </w:r>
              </w:p>
            </w:tc>
          </w:tr>
          <w:tr w:rsidR="00226F84">
            <w:trPr>
              <w:trHeight w:val="295"/>
            </w:trPr>
            <w:tc>
              <w:tcPr>
                <w:tcW w:w="2551" w:type="dxa"/>
                <w:shd w:val="clear" w:color="auto" w:fill="auto"/>
              </w:tcPr>
              <w:p w:rsidR="00226F84" w:rsidRDefault="00226F8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rsidR="00226F84" w:rsidRPr="0050515B" w:rsidRDefault="00226F84" w:rsidP="00090548">
                <w:pPr>
                  <w:tabs>
                    <w:tab w:val="left" w:pos="2834"/>
                    <w:tab w:val="right" w:pos="8838"/>
                  </w:tabs>
                  <w:ind w:left="-108" w:right="-102"/>
                  <w:jc w:val="both"/>
                  <w:rPr>
                    <w:rFonts w:ascii="Palatino Linotype" w:eastAsia="Palatino Linotype" w:hAnsi="Palatino Linotype" w:cs="Palatino Linotype"/>
                    <w:b/>
                    <w:sz w:val="22"/>
                    <w:szCs w:val="22"/>
                  </w:rPr>
                </w:pPr>
                <w:r w:rsidRPr="0050515B">
                  <w:rPr>
                    <w:rFonts w:ascii="Palatino Linotype" w:eastAsia="Palatino Linotype" w:hAnsi="Palatino Linotype" w:cs="Palatino Linotype"/>
                    <w:b/>
                    <w:bCs/>
                    <w:sz w:val="22"/>
                    <w:szCs w:val="22"/>
                  </w:rPr>
                  <w:t xml:space="preserve">Ayuntamiento de </w:t>
                </w:r>
                <w:r>
                  <w:rPr>
                    <w:rFonts w:ascii="Palatino Linotype" w:eastAsia="Palatino Linotype" w:hAnsi="Palatino Linotype" w:cs="Palatino Linotype"/>
                    <w:b/>
                    <w:bCs/>
                    <w:sz w:val="22"/>
                    <w:szCs w:val="22"/>
                  </w:rPr>
                  <w:t>Huehuetoca</w:t>
                </w:r>
              </w:p>
            </w:tc>
          </w:tr>
          <w:tr w:rsidR="00226F84">
            <w:trPr>
              <w:trHeight w:val="295"/>
            </w:trPr>
            <w:tc>
              <w:tcPr>
                <w:tcW w:w="2551" w:type="dxa"/>
                <w:shd w:val="clear" w:color="auto" w:fill="auto"/>
              </w:tcPr>
              <w:p w:rsidR="00226F84" w:rsidRDefault="00226F84">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rsidR="00226F84" w:rsidRPr="0050515B" w:rsidRDefault="00226F84">
                <w:pPr>
                  <w:tabs>
                    <w:tab w:val="right" w:pos="8838"/>
                  </w:tabs>
                  <w:ind w:left="-108" w:right="171"/>
                  <w:jc w:val="both"/>
                  <w:rPr>
                    <w:rFonts w:ascii="Palatino Linotype" w:eastAsia="Palatino Linotype" w:hAnsi="Palatino Linotype" w:cs="Palatino Linotype"/>
                    <w:b/>
                    <w:sz w:val="22"/>
                    <w:szCs w:val="22"/>
                  </w:rPr>
                </w:pPr>
                <w:r w:rsidRPr="0050515B">
                  <w:rPr>
                    <w:rFonts w:ascii="Palatino Linotype" w:eastAsia="Palatino Linotype" w:hAnsi="Palatino Linotype" w:cs="Palatino Linotype"/>
                    <w:b/>
                    <w:sz w:val="22"/>
                    <w:szCs w:val="22"/>
                  </w:rPr>
                  <w:t>María del Rosario Mejía Ayala</w:t>
                </w:r>
              </w:p>
              <w:p w:rsidR="00226F84" w:rsidRPr="0050515B" w:rsidRDefault="00226F84">
                <w:pPr>
                  <w:tabs>
                    <w:tab w:val="right" w:pos="8838"/>
                  </w:tabs>
                  <w:ind w:left="-108" w:right="171"/>
                  <w:jc w:val="both"/>
                  <w:rPr>
                    <w:rFonts w:ascii="Palatino Linotype" w:eastAsia="Palatino Linotype" w:hAnsi="Palatino Linotype" w:cs="Palatino Linotype"/>
                    <w:b/>
                    <w:sz w:val="22"/>
                    <w:szCs w:val="22"/>
                  </w:rPr>
                </w:pPr>
              </w:p>
            </w:tc>
          </w:tr>
        </w:tbl>
        <w:p w:rsidR="00226F84" w:rsidRDefault="00226F84">
          <w:pPr>
            <w:tabs>
              <w:tab w:val="right" w:pos="8838"/>
            </w:tabs>
            <w:ind w:left="-28"/>
            <w:jc w:val="both"/>
            <w:rPr>
              <w:rFonts w:ascii="Arial" w:eastAsia="Arial" w:hAnsi="Arial" w:cs="Arial"/>
              <w:b/>
              <w:sz w:val="22"/>
              <w:szCs w:val="22"/>
            </w:rPr>
          </w:pPr>
        </w:p>
      </w:tc>
    </w:tr>
  </w:tbl>
  <w:p w:rsidR="00226F84" w:rsidRDefault="00405074">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20.5pt;width:589.8pt;height:768pt;z-index:-251656192;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84" w:rsidRDefault="00226F84">
    <w:pPr>
      <w:widowControl w:val="0"/>
      <w:pBdr>
        <w:top w:val="nil"/>
        <w:left w:val="nil"/>
        <w:bottom w:val="nil"/>
        <w:right w:val="nil"/>
        <w:between w:val="nil"/>
      </w:pBdr>
      <w:spacing w:line="276" w:lineRule="auto"/>
      <w:rPr>
        <w:color w:val="000000"/>
        <w:sz w:val="14"/>
        <w:szCs w:val="14"/>
      </w:rPr>
    </w:pPr>
  </w:p>
  <w:tbl>
    <w:tblPr>
      <w:tblW w:w="9360" w:type="dxa"/>
      <w:tblLayout w:type="fixed"/>
      <w:tblLook w:val="0400" w:firstRow="0" w:lastRow="0" w:firstColumn="0" w:lastColumn="0" w:noHBand="0" w:noVBand="1"/>
    </w:tblPr>
    <w:tblGrid>
      <w:gridCol w:w="2265"/>
      <w:gridCol w:w="7095"/>
    </w:tblGrid>
    <w:tr w:rsidR="00226F84">
      <w:trPr>
        <w:trHeight w:val="1435"/>
      </w:trPr>
      <w:tc>
        <w:tcPr>
          <w:tcW w:w="2265" w:type="dxa"/>
          <w:shd w:val="clear" w:color="auto" w:fill="auto"/>
        </w:tcPr>
        <w:p w:rsidR="00226F84" w:rsidRDefault="00226F84">
          <w:pPr>
            <w:tabs>
              <w:tab w:val="right" w:pos="4273"/>
            </w:tabs>
            <w:rPr>
              <w:rFonts w:ascii="Garamond" w:eastAsia="Garamond" w:hAnsi="Garamond" w:cs="Garamond"/>
              <w:sz w:val="22"/>
              <w:szCs w:val="22"/>
            </w:rPr>
          </w:pPr>
        </w:p>
      </w:tc>
      <w:tc>
        <w:tcPr>
          <w:tcW w:w="7095" w:type="dxa"/>
          <w:shd w:val="clear" w:color="auto" w:fill="auto"/>
        </w:tcPr>
        <w:p w:rsidR="00226F84" w:rsidRDefault="00226F84">
          <w:pPr>
            <w:widowControl w:val="0"/>
            <w:pBdr>
              <w:top w:val="nil"/>
              <w:left w:val="nil"/>
              <w:bottom w:val="nil"/>
              <w:right w:val="nil"/>
              <w:between w:val="nil"/>
            </w:pBdr>
            <w:spacing w:line="276" w:lineRule="auto"/>
            <w:rPr>
              <w:rFonts w:ascii="Garamond" w:eastAsia="Garamond" w:hAnsi="Garamond" w:cs="Garamond"/>
              <w:sz w:val="22"/>
              <w:szCs w:val="22"/>
            </w:rPr>
          </w:pPr>
        </w:p>
        <w:tbl>
          <w:tblPr>
            <w:tblW w:w="6795" w:type="dxa"/>
            <w:tblInd w:w="40" w:type="dxa"/>
            <w:tblLayout w:type="fixed"/>
            <w:tblLook w:val="0400" w:firstRow="0" w:lastRow="0" w:firstColumn="0" w:lastColumn="0" w:noHBand="0" w:noVBand="1"/>
          </w:tblPr>
          <w:tblGrid>
            <w:gridCol w:w="3197"/>
            <w:gridCol w:w="3598"/>
          </w:tblGrid>
          <w:tr w:rsidR="00226F84">
            <w:trPr>
              <w:trHeight w:val="144"/>
            </w:trPr>
            <w:tc>
              <w:tcPr>
                <w:tcW w:w="3197" w:type="dxa"/>
                <w:shd w:val="clear" w:color="auto" w:fill="auto"/>
              </w:tcPr>
              <w:p w:rsidR="00226F84" w:rsidRDefault="00226F84">
                <w:pPr>
                  <w:ind w:left="566" w:right="-20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98" w:type="dxa"/>
                <w:shd w:val="clear" w:color="auto" w:fill="auto"/>
              </w:tcPr>
              <w:p w:rsidR="00226F84" w:rsidRPr="0050515B" w:rsidRDefault="00226F84" w:rsidP="00090548">
                <w:pPr>
                  <w:ind w:left="-105" w:right="-81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01323</w:t>
                </w:r>
                <w:r w:rsidRPr="0050515B">
                  <w:rPr>
                    <w:rFonts w:ascii="Palatino Linotype" w:eastAsia="Palatino Linotype" w:hAnsi="Palatino Linotype" w:cs="Palatino Linotype"/>
                    <w:b/>
                    <w:sz w:val="22"/>
                    <w:szCs w:val="22"/>
                  </w:rPr>
                  <w:t>/INFOEM/IP/RR/2024</w:t>
                </w:r>
              </w:p>
            </w:tc>
          </w:tr>
          <w:tr w:rsidR="00226F84">
            <w:trPr>
              <w:trHeight w:val="144"/>
            </w:trPr>
            <w:tc>
              <w:tcPr>
                <w:tcW w:w="3197" w:type="dxa"/>
                <w:shd w:val="clear" w:color="auto" w:fill="auto"/>
              </w:tcPr>
              <w:p w:rsidR="00226F84" w:rsidRDefault="00226F84">
                <w:pPr>
                  <w:ind w:left="566" w:right="-20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98" w:type="dxa"/>
                <w:shd w:val="clear" w:color="auto" w:fill="auto"/>
              </w:tcPr>
              <w:p w:rsidR="00226F84" w:rsidRPr="0050515B" w:rsidRDefault="00C1296D">
                <w:pPr>
                  <w:tabs>
                    <w:tab w:val="left" w:pos="3122"/>
                  </w:tabs>
                  <w:ind w:left="-105" w:right="-815"/>
                  <w:rPr>
                    <w:rFonts w:ascii="Palatino Linotype" w:eastAsia="Palatino Linotype" w:hAnsi="Palatino Linotype" w:cs="Palatino Linotype"/>
                    <w:b/>
                    <w:sz w:val="22"/>
                    <w:szCs w:val="22"/>
                  </w:rPr>
                </w:pPr>
                <w:r>
                  <w:rPr>
                    <w:rFonts w:ascii="Palatino Linotype" w:eastAsia="Palatino Linotype" w:hAnsi="Palatino Linotype" w:cs="Palatino Linotype"/>
                    <w:b/>
                    <w:bCs/>
                    <w:sz w:val="22"/>
                    <w:szCs w:val="22"/>
                  </w:rPr>
                  <w:t>XXXXXXXX</w:t>
                </w:r>
              </w:p>
            </w:tc>
          </w:tr>
          <w:tr w:rsidR="00226F84">
            <w:trPr>
              <w:trHeight w:val="283"/>
            </w:trPr>
            <w:tc>
              <w:tcPr>
                <w:tcW w:w="3197" w:type="dxa"/>
                <w:shd w:val="clear" w:color="auto" w:fill="auto"/>
              </w:tcPr>
              <w:p w:rsidR="00226F84" w:rsidRDefault="00226F84">
                <w:pPr>
                  <w:ind w:left="566" w:right="-20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98" w:type="dxa"/>
                <w:shd w:val="clear" w:color="auto" w:fill="auto"/>
              </w:tcPr>
              <w:p w:rsidR="00226F84" w:rsidRPr="0050515B" w:rsidRDefault="00226F84" w:rsidP="00090548">
                <w:pPr>
                  <w:tabs>
                    <w:tab w:val="left" w:pos="2834"/>
                  </w:tabs>
                  <w:ind w:left="-105" w:right="-815"/>
                  <w:rPr>
                    <w:rFonts w:ascii="Palatino Linotype" w:eastAsia="Palatino Linotype" w:hAnsi="Palatino Linotype" w:cs="Palatino Linotype"/>
                    <w:b/>
                    <w:sz w:val="22"/>
                    <w:szCs w:val="22"/>
                  </w:rPr>
                </w:pPr>
                <w:r>
                  <w:rPr>
                    <w:rFonts w:ascii="Palatino Linotype" w:eastAsia="Palatino Linotype" w:hAnsi="Palatino Linotype" w:cs="Palatino Linotype"/>
                    <w:b/>
                    <w:bCs/>
                    <w:sz w:val="22"/>
                    <w:szCs w:val="22"/>
                  </w:rPr>
                  <w:t>Ayuntamiento de Huehuetoca</w:t>
                </w:r>
              </w:p>
            </w:tc>
          </w:tr>
          <w:tr w:rsidR="00226F84">
            <w:trPr>
              <w:trHeight w:val="283"/>
            </w:trPr>
            <w:tc>
              <w:tcPr>
                <w:tcW w:w="3197" w:type="dxa"/>
                <w:shd w:val="clear" w:color="auto" w:fill="auto"/>
              </w:tcPr>
              <w:p w:rsidR="00226F84" w:rsidRDefault="00226F84">
                <w:pPr>
                  <w:ind w:left="566" w:right="-20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98" w:type="dxa"/>
                <w:shd w:val="clear" w:color="auto" w:fill="auto"/>
              </w:tcPr>
              <w:p w:rsidR="00226F84" w:rsidRPr="0050515B" w:rsidRDefault="00226F84">
                <w:pPr>
                  <w:ind w:left="-105" w:right="-815"/>
                  <w:rPr>
                    <w:rFonts w:ascii="Palatino Linotype" w:eastAsia="Palatino Linotype" w:hAnsi="Palatino Linotype" w:cs="Palatino Linotype"/>
                    <w:b/>
                    <w:sz w:val="22"/>
                    <w:szCs w:val="22"/>
                  </w:rPr>
                </w:pPr>
                <w:r w:rsidRPr="0050515B">
                  <w:rPr>
                    <w:rFonts w:ascii="Palatino Linotype" w:eastAsia="Palatino Linotype" w:hAnsi="Palatino Linotype" w:cs="Palatino Linotype"/>
                    <w:b/>
                    <w:sz w:val="22"/>
                    <w:szCs w:val="22"/>
                  </w:rPr>
                  <w:t>María del Rosario Mejía Ayala</w:t>
                </w:r>
              </w:p>
              <w:p w:rsidR="00226F84" w:rsidRPr="0050515B" w:rsidRDefault="00226F84">
                <w:pPr>
                  <w:ind w:left="-105" w:right="-815"/>
                  <w:rPr>
                    <w:rFonts w:ascii="Palatino Linotype" w:eastAsia="Palatino Linotype" w:hAnsi="Palatino Linotype" w:cs="Palatino Linotype"/>
                    <w:b/>
                    <w:sz w:val="22"/>
                    <w:szCs w:val="22"/>
                  </w:rPr>
                </w:pPr>
              </w:p>
            </w:tc>
          </w:tr>
        </w:tbl>
        <w:p w:rsidR="00226F84" w:rsidRDefault="00226F84">
          <w:pPr>
            <w:tabs>
              <w:tab w:val="right" w:pos="8838"/>
            </w:tabs>
            <w:ind w:left="-28"/>
            <w:jc w:val="both"/>
            <w:rPr>
              <w:rFonts w:ascii="Arial" w:eastAsia="Arial" w:hAnsi="Arial" w:cs="Arial"/>
              <w:b/>
              <w:sz w:val="22"/>
              <w:szCs w:val="22"/>
            </w:rPr>
          </w:pPr>
        </w:p>
      </w:tc>
    </w:tr>
  </w:tbl>
  <w:p w:rsidR="00226F84" w:rsidRDefault="00405074">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17.6pt;width:589.8pt;height:768pt;z-index:-251655168;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F2926"/>
    <w:multiLevelType w:val="multilevel"/>
    <w:tmpl w:val="A38E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777F6C"/>
    <w:multiLevelType w:val="multilevel"/>
    <w:tmpl w:val="377E291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Letter"/>
      <w:lvlText w:val="%3."/>
      <w:lvlJc w:val="right"/>
      <w:pPr>
        <w:ind w:left="2160" w:hanging="180"/>
      </w:pPr>
      <w:rPr>
        <w:rFonts w:ascii="Palatino Linotype" w:eastAsia="Times New Roman" w:hAnsi="Palatino Linotype"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1E57B9"/>
    <w:multiLevelType w:val="hybridMultilevel"/>
    <w:tmpl w:val="37E0E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1C2788F"/>
    <w:multiLevelType w:val="hybridMultilevel"/>
    <w:tmpl w:val="A2C03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54E7230"/>
    <w:multiLevelType w:val="multilevel"/>
    <w:tmpl w:val="BA167B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4A3D3BD9"/>
    <w:multiLevelType w:val="hybridMultilevel"/>
    <w:tmpl w:val="D54C5166"/>
    <w:lvl w:ilvl="0" w:tplc="E26AA170">
      <w:start w:val="1"/>
      <w:numFmt w:val="upperRoman"/>
      <w:lvlText w:val="%1."/>
      <w:lvlJc w:val="left"/>
      <w:pPr>
        <w:ind w:left="1631" w:hanging="720"/>
      </w:pPr>
      <w:rPr>
        <w:rFonts w:hint="default"/>
      </w:rPr>
    </w:lvl>
    <w:lvl w:ilvl="1" w:tplc="080A0019" w:tentative="1">
      <w:start w:val="1"/>
      <w:numFmt w:val="lowerLetter"/>
      <w:lvlText w:val="%2."/>
      <w:lvlJc w:val="left"/>
      <w:pPr>
        <w:ind w:left="1991" w:hanging="360"/>
      </w:pPr>
    </w:lvl>
    <w:lvl w:ilvl="2" w:tplc="080A001B" w:tentative="1">
      <w:start w:val="1"/>
      <w:numFmt w:val="lowerRoman"/>
      <w:lvlText w:val="%3."/>
      <w:lvlJc w:val="right"/>
      <w:pPr>
        <w:ind w:left="2711" w:hanging="180"/>
      </w:pPr>
    </w:lvl>
    <w:lvl w:ilvl="3" w:tplc="080A000F" w:tentative="1">
      <w:start w:val="1"/>
      <w:numFmt w:val="decimal"/>
      <w:lvlText w:val="%4."/>
      <w:lvlJc w:val="left"/>
      <w:pPr>
        <w:ind w:left="3431" w:hanging="360"/>
      </w:pPr>
    </w:lvl>
    <w:lvl w:ilvl="4" w:tplc="080A0019" w:tentative="1">
      <w:start w:val="1"/>
      <w:numFmt w:val="lowerLetter"/>
      <w:lvlText w:val="%5."/>
      <w:lvlJc w:val="left"/>
      <w:pPr>
        <w:ind w:left="4151" w:hanging="360"/>
      </w:pPr>
    </w:lvl>
    <w:lvl w:ilvl="5" w:tplc="080A001B" w:tentative="1">
      <w:start w:val="1"/>
      <w:numFmt w:val="lowerRoman"/>
      <w:lvlText w:val="%6."/>
      <w:lvlJc w:val="right"/>
      <w:pPr>
        <w:ind w:left="4871" w:hanging="180"/>
      </w:pPr>
    </w:lvl>
    <w:lvl w:ilvl="6" w:tplc="080A000F" w:tentative="1">
      <w:start w:val="1"/>
      <w:numFmt w:val="decimal"/>
      <w:lvlText w:val="%7."/>
      <w:lvlJc w:val="left"/>
      <w:pPr>
        <w:ind w:left="5591" w:hanging="360"/>
      </w:pPr>
    </w:lvl>
    <w:lvl w:ilvl="7" w:tplc="080A0019" w:tentative="1">
      <w:start w:val="1"/>
      <w:numFmt w:val="lowerLetter"/>
      <w:lvlText w:val="%8."/>
      <w:lvlJc w:val="left"/>
      <w:pPr>
        <w:ind w:left="6311" w:hanging="360"/>
      </w:pPr>
    </w:lvl>
    <w:lvl w:ilvl="8" w:tplc="080A001B" w:tentative="1">
      <w:start w:val="1"/>
      <w:numFmt w:val="lowerRoman"/>
      <w:lvlText w:val="%9."/>
      <w:lvlJc w:val="right"/>
      <w:pPr>
        <w:ind w:left="7031" w:hanging="180"/>
      </w:pPr>
    </w:lvl>
  </w:abstractNum>
  <w:abstractNum w:abstractNumId="7" w15:restartNumberingAfterBreak="0">
    <w:nsid w:val="50186304"/>
    <w:multiLevelType w:val="multilevel"/>
    <w:tmpl w:val="B1B05CB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2B190D"/>
    <w:multiLevelType w:val="hybridMultilevel"/>
    <w:tmpl w:val="5C50D392"/>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0"/>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48"/>
    <w:rsid w:val="00012649"/>
    <w:rsid w:val="00012B2A"/>
    <w:rsid w:val="00016336"/>
    <w:rsid w:val="00051BBC"/>
    <w:rsid w:val="00090548"/>
    <w:rsid w:val="000E73AA"/>
    <w:rsid w:val="000F7568"/>
    <w:rsid w:val="00137AE0"/>
    <w:rsid w:val="00142E59"/>
    <w:rsid w:val="00194243"/>
    <w:rsid w:val="001B1ACB"/>
    <w:rsid w:val="001B2310"/>
    <w:rsid w:val="001D1D5C"/>
    <w:rsid w:val="00206DEE"/>
    <w:rsid w:val="00226F84"/>
    <w:rsid w:val="00247825"/>
    <w:rsid w:val="00317453"/>
    <w:rsid w:val="00353731"/>
    <w:rsid w:val="00375C00"/>
    <w:rsid w:val="0038630D"/>
    <w:rsid w:val="003F2031"/>
    <w:rsid w:val="00405074"/>
    <w:rsid w:val="00514C62"/>
    <w:rsid w:val="0051540E"/>
    <w:rsid w:val="005716BD"/>
    <w:rsid w:val="00580237"/>
    <w:rsid w:val="006361C9"/>
    <w:rsid w:val="00652F64"/>
    <w:rsid w:val="0065496F"/>
    <w:rsid w:val="006A1A94"/>
    <w:rsid w:val="006B0103"/>
    <w:rsid w:val="00713BCA"/>
    <w:rsid w:val="007B1950"/>
    <w:rsid w:val="00812B27"/>
    <w:rsid w:val="008818C5"/>
    <w:rsid w:val="008A1A7D"/>
    <w:rsid w:val="00955511"/>
    <w:rsid w:val="009D1AC5"/>
    <w:rsid w:val="00A05368"/>
    <w:rsid w:val="00BC7844"/>
    <w:rsid w:val="00BD131C"/>
    <w:rsid w:val="00C1296D"/>
    <w:rsid w:val="00C6176D"/>
    <w:rsid w:val="00C83701"/>
    <w:rsid w:val="00D64DA8"/>
    <w:rsid w:val="00D85A7D"/>
    <w:rsid w:val="00D85B0B"/>
    <w:rsid w:val="00D96096"/>
    <w:rsid w:val="00DC7B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44DBCCC-E69E-41FE-9009-3298E9F7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548"/>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0905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090548"/>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0548"/>
    <w:rPr>
      <w:rFonts w:asciiTheme="majorHAnsi" w:eastAsiaTheme="majorEastAsia" w:hAnsiTheme="majorHAnsi" w:cstheme="majorBidi"/>
      <w:color w:val="2E74B5" w:themeColor="accent1" w:themeShade="BF"/>
      <w:sz w:val="32"/>
      <w:szCs w:val="32"/>
      <w:lang w:eastAsia="es-MX"/>
    </w:rPr>
  </w:style>
  <w:style w:type="character" w:customStyle="1" w:styleId="Ttulo3Car">
    <w:name w:val="Título 3 Car"/>
    <w:basedOn w:val="Fuentedeprrafopredeter"/>
    <w:link w:val="Ttulo3"/>
    <w:uiPriority w:val="9"/>
    <w:rsid w:val="00090548"/>
    <w:rPr>
      <w:rFonts w:asciiTheme="majorHAnsi" w:eastAsiaTheme="majorEastAsia" w:hAnsiTheme="majorHAnsi" w:cstheme="majorBidi"/>
      <w:color w:val="1F4D78" w:themeColor="accent1" w:themeShade="7F"/>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054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090548"/>
    <w:rPr>
      <w:rFonts w:ascii="Century Gothic" w:eastAsia="Times New Roman" w:hAnsi="Century Gothic" w:cs="Times New Roman"/>
      <w:szCs w:val="24"/>
      <w:lang w:eastAsia="es-MX"/>
    </w:rPr>
  </w:style>
  <w:style w:type="table" w:styleId="Tabladecuadrcula6concolores">
    <w:name w:val="Grid Table 6 Colorful"/>
    <w:basedOn w:val="Tablanormal"/>
    <w:uiPriority w:val="51"/>
    <w:rsid w:val="00090548"/>
    <w:pPr>
      <w:spacing w:after="0" w:line="240" w:lineRule="auto"/>
    </w:pPr>
    <w:rPr>
      <w:rFonts w:ascii="Times New Roman" w:eastAsia="Times New Roman" w:hAnsi="Times New Roman" w:cs="Times New Roman"/>
      <w:color w:val="000000" w:themeColor="text1"/>
      <w:sz w:val="24"/>
      <w:szCs w:val="24"/>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9054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905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90548"/>
    <w:rPr>
      <w:vertAlign w:val="superscript"/>
    </w:rPr>
  </w:style>
  <w:style w:type="character" w:customStyle="1" w:styleId="normaltextrun">
    <w:name w:val="normaltextrun"/>
    <w:basedOn w:val="Fuentedeprrafopredeter"/>
    <w:rsid w:val="00090548"/>
  </w:style>
  <w:style w:type="paragraph" w:customStyle="1" w:styleId="paragraph">
    <w:name w:val="paragraph"/>
    <w:basedOn w:val="Normal"/>
    <w:rsid w:val="00090548"/>
    <w:pPr>
      <w:spacing w:before="100" w:beforeAutospacing="1" w:after="100" w:afterAutospacing="1"/>
    </w:pPr>
  </w:style>
  <w:style w:type="paragraph" w:styleId="Piedepgina">
    <w:name w:val="footer"/>
    <w:basedOn w:val="Normal"/>
    <w:link w:val="PiedepginaCar"/>
    <w:uiPriority w:val="99"/>
    <w:unhideWhenUsed/>
    <w:rsid w:val="00090548"/>
    <w:pPr>
      <w:tabs>
        <w:tab w:val="center" w:pos="4419"/>
        <w:tab w:val="right" w:pos="8838"/>
      </w:tabs>
    </w:pPr>
  </w:style>
  <w:style w:type="character" w:customStyle="1" w:styleId="PiedepginaCar">
    <w:name w:val="Pie de página Car"/>
    <w:basedOn w:val="Fuentedeprrafopredeter"/>
    <w:link w:val="Piedepgina"/>
    <w:uiPriority w:val="99"/>
    <w:rsid w:val="00090548"/>
    <w:rPr>
      <w:rFonts w:ascii="Times New Roman" w:eastAsia="Times New Roman" w:hAnsi="Times New Roman"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3F2031"/>
    <w:rPr>
      <w:color w:val="0563C1" w:themeColor="hyperlink"/>
      <w:u w:val="single"/>
    </w:rPr>
  </w:style>
  <w:style w:type="paragraph" w:customStyle="1" w:styleId="Fundamentos">
    <w:name w:val="Fundamentos"/>
    <w:basedOn w:val="Normal"/>
    <w:qFormat/>
    <w:rsid w:val="00514C62"/>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character" w:styleId="Hipervnculovisitado">
    <w:name w:val="FollowedHyperlink"/>
    <w:basedOn w:val="Fuentedeprrafopredeter"/>
    <w:uiPriority w:val="99"/>
    <w:semiHidden/>
    <w:unhideWhenUsed/>
    <w:rsid w:val="002478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6420">
      <w:bodyDiv w:val="1"/>
      <w:marLeft w:val="0"/>
      <w:marRight w:val="0"/>
      <w:marTop w:val="0"/>
      <w:marBottom w:val="0"/>
      <w:divBdr>
        <w:top w:val="none" w:sz="0" w:space="0" w:color="auto"/>
        <w:left w:val="none" w:sz="0" w:space="0" w:color="auto"/>
        <w:bottom w:val="none" w:sz="0" w:space="0" w:color="auto"/>
        <w:right w:val="none" w:sz="0" w:space="0" w:color="auto"/>
      </w:divBdr>
    </w:div>
    <w:div w:id="192638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maps/@19.8274602,-99.1976293,3a,90y,208.96h,94.36t/data=!3m6!1e1!3m4!1srhQh8khtEomamsDD0Ej9Ng!2e0!7i16384!8i8192?entry=ttu" TargetMode="External"/><Relationship Id="rId13" Type="http://schemas.openxmlformats.org/officeDocument/2006/relationships/hyperlink" Target="https://saimex.org.mx/saimex/solicitud/downloadAttach/2283794.pag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aimex.org.mx/saimex/solicitud/downloadAttach/2037904.p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x/maps/@19.8421445,-99.2287235,3a,75y,67.83h,89.69t/data=!3m6!1e1!3m4!1sH5KdTelspiiQxgh2-KpM-A!2e0!7i16384!8i8192?entry=tt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ogle.com.mx/maps/place/Gas+LP/@19.8333671,-99.2441673,3a,75y,127.95h,92.68t/data=!3m6!1e1!3m4!1sxK2dgm9_jR2qLc7i6wxnLg!2e0!7i16384!8i8192!4m15!1m8!3m7!1s0x85d227455174b6f3:0x10f236a3261b2a61!2sHuehuetoca,+M%C3%A9x.!3b1!8m2!3d19.8277305!4d-99.2037508!16s%2Fm%2F0523ydq!3m5!1s0x85d227223088772f:0xd82ae1821e1ad014!8m2!3d19.8334061!4d-99.2440047!16s%2Fg%2F11r9900pqt?entry=tt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ogle.com.mx/maps/@19.8312695,-99.2455637,3a,78.4y,326h,87.36t/data=!3m6!1e1!3m4!1sbGmP0ijTJLjQ3GRIaYmtSw!2e0!7i16384!8i8192?entry=ttu"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file:///C:/Users/INFOEM549/Downloads/COIME-Requisitos-Gaseras-Gasoneras-Gasoliner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CA963-7597-49A6-977B-6F16AC51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36</Pages>
  <Words>9479</Words>
  <Characters>52138</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INFOEM403</cp:lastModifiedBy>
  <cp:revision>9</cp:revision>
  <cp:lastPrinted>2025-02-20T16:16:00Z</cp:lastPrinted>
  <dcterms:created xsi:type="dcterms:W3CDTF">2025-02-17T17:52:00Z</dcterms:created>
  <dcterms:modified xsi:type="dcterms:W3CDTF">2025-03-26T20:07:00Z</dcterms:modified>
</cp:coreProperties>
</file>