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FFB3"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87462" w:rsidRPr="009E6AB2">
        <w:rPr>
          <w:rFonts w:ascii="Palatino Linotype" w:eastAsia="Palatino Linotype" w:hAnsi="Palatino Linotype" w:cs="Palatino Linotype"/>
          <w:b/>
        </w:rPr>
        <w:t>veintiséis de febrero de dos mil veinticinco</w:t>
      </w:r>
      <w:r w:rsidRPr="009E6AB2">
        <w:rPr>
          <w:rFonts w:ascii="Palatino Linotype" w:eastAsia="Palatino Linotype" w:hAnsi="Palatino Linotype" w:cs="Palatino Linotype"/>
        </w:rPr>
        <w:t>.</w:t>
      </w:r>
    </w:p>
    <w:p w14:paraId="697A2AED" w14:textId="77777777" w:rsidR="004D5666" w:rsidRPr="009E6AB2" w:rsidRDefault="004D5666">
      <w:pPr>
        <w:spacing w:after="0" w:line="360" w:lineRule="auto"/>
        <w:jc w:val="both"/>
        <w:rPr>
          <w:rFonts w:ascii="Palatino Linotype" w:eastAsia="Palatino Linotype" w:hAnsi="Palatino Linotype" w:cs="Palatino Linotype"/>
        </w:rPr>
      </w:pPr>
    </w:p>
    <w:p w14:paraId="0ECDC016" w14:textId="40A5BBA8" w:rsidR="004D5666" w:rsidRPr="009E6AB2" w:rsidRDefault="007F0576">
      <w:pPr>
        <w:spacing w:after="0" w:line="360" w:lineRule="auto"/>
        <w:ind w:right="-112"/>
        <w:jc w:val="both"/>
        <w:rPr>
          <w:rFonts w:ascii="Palatino Linotype" w:eastAsia="Palatino Linotype" w:hAnsi="Palatino Linotype" w:cs="Palatino Linotype"/>
        </w:rPr>
      </w:pPr>
      <w:bookmarkStart w:id="0" w:name="_heading=h.30j0zll" w:colFirst="0" w:colLast="0"/>
      <w:bookmarkEnd w:id="0"/>
      <w:r w:rsidRPr="009E6AB2">
        <w:rPr>
          <w:rFonts w:ascii="Palatino Linotype" w:eastAsia="Palatino Linotype" w:hAnsi="Palatino Linotype" w:cs="Palatino Linotype"/>
          <w:b/>
        </w:rPr>
        <w:t xml:space="preserve">VISTOS </w:t>
      </w:r>
      <w:r w:rsidRPr="009E6AB2">
        <w:rPr>
          <w:rFonts w:ascii="Palatino Linotype" w:eastAsia="Palatino Linotype" w:hAnsi="Palatino Linotype" w:cs="Palatino Linotype"/>
        </w:rPr>
        <w:t xml:space="preserve">los expedientes relativos a los recursos de revisión </w:t>
      </w:r>
      <w:r w:rsidR="00C87462" w:rsidRPr="009E6AB2">
        <w:rPr>
          <w:rFonts w:ascii="Palatino Linotype" w:eastAsia="Palatino Linotype" w:hAnsi="Palatino Linotype" w:cs="Palatino Linotype"/>
          <w:b/>
        </w:rPr>
        <w:t xml:space="preserve">00469/INFOEM/IP/RR/2025 y 00478/INFOEM/IP/RR/2025 </w:t>
      </w:r>
      <w:r w:rsidRPr="009E6AB2">
        <w:rPr>
          <w:rFonts w:ascii="Palatino Linotype" w:eastAsia="Palatino Linotype" w:hAnsi="Palatino Linotype" w:cs="Palatino Linotype"/>
          <w:b/>
        </w:rPr>
        <w:t>acumulados,</w:t>
      </w:r>
      <w:r w:rsidRPr="009E6AB2">
        <w:rPr>
          <w:rFonts w:ascii="Palatino Linotype" w:eastAsia="Palatino Linotype" w:hAnsi="Palatino Linotype" w:cs="Palatino Linotype"/>
        </w:rPr>
        <w:t xml:space="preserve"> interpuestos por</w:t>
      </w:r>
      <w:r w:rsidRPr="009E6AB2">
        <w:rPr>
          <w:rFonts w:ascii="Palatino Linotype" w:eastAsia="Palatino Linotype" w:hAnsi="Palatino Linotype" w:cs="Palatino Linotype"/>
          <w:b/>
        </w:rPr>
        <w:t xml:space="preserve"> </w:t>
      </w:r>
      <w:r w:rsidR="003F5C85" w:rsidRPr="003F5C85">
        <w:rPr>
          <w:rFonts w:ascii="Palatino Linotype" w:eastAsia="Palatino Linotype" w:hAnsi="Palatino Linotype" w:cs="Palatino Linotype"/>
          <w:b/>
        </w:rPr>
        <w:t>XXXXX XXXX</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 xml:space="preserve">en lo sucesivo la parte </w:t>
      </w:r>
      <w:r w:rsidRPr="009E6AB2">
        <w:rPr>
          <w:rFonts w:ascii="Palatino Linotype" w:eastAsia="Palatino Linotype" w:hAnsi="Palatino Linotype" w:cs="Palatino Linotype"/>
          <w:b/>
        </w:rPr>
        <w:t>Recurrente</w:t>
      </w:r>
      <w:r w:rsidRPr="009E6AB2">
        <w:rPr>
          <w:rFonts w:ascii="Palatino Linotype" w:eastAsia="Palatino Linotype" w:hAnsi="Palatino Linotype" w:cs="Palatino Linotype"/>
        </w:rPr>
        <w:t>, en contra de las respuesta a sus solicitudes de información con números de folio</w:t>
      </w:r>
      <w:r w:rsidR="00C87462" w:rsidRPr="009E6AB2">
        <w:rPr>
          <w:rFonts w:ascii="Palatino Linotype" w:eastAsia="Palatino Linotype" w:hAnsi="Palatino Linotype" w:cs="Palatino Linotype"/>
          <w:b/>
        </w:rPr>
        <w:t xml:space="preserve">  00017/LAPAZ/IP/2025 y 00045/LAPAZ/IP/2025</w:t>
      </w:r>
      <w:r w:rsidRPr="009E6AB2">
        <w:rPr>
          <w:rFonts w:ascii="Palatino Linotype" w:eastAsia="Palatino Linotype" w:hAnsi="Palatino Linotype" w:cs="Palatino Linotype"/>
          <w:b/>
        </w:rPr>
        <w:t>,</w:t>
      </w:r>
      <w:r w:rsidRPr="009E6AB2">
        <w:rPr>
          <w:rFonts w:ascii="Palatino Linotype" w:eastAsia="Palatino Linotype" w:hAnsi="Palatino Linotype" w:cs="Palatino Linotype"/>
        </w:rPr>
        <w:t xml:space="preserve"> respectivamente, por parte del</w:t>
      </w:r>
      <w:r w:rsidRPr="009E6AB2">
        <w:t xml:space="preserve"> </w:t>
      </w:r>
      <w:r w:rsidRPr="009E6AB2">
        <w:rPr>
          <w:rFonts w:ascii="Palatino Linotype" w:eastAsia="Palatino Linotype" w:hAnsi="Palatino Linotype" w:cs="Palatino Linotype"/>
          <w:b/>
        </w:rPr>
        <w:t xml:space="preserve">Ayuntamiento de </w:t>
      </w:r>
      <w:r w:rsidR="00C87462" w:rsidRPr="009E6AB2">
        <w:rPr>
          <w:rFonts w:ascii="Palatino Linotype" w:eastAsia="Palatino Linotype" w:hAnsi="Palatino Linotype" w:cs="Palatino Linotype"/>
          <w:b/>
        </w:rPr>
        <w:t>La Paz</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 xml:space="preserve">en lo sucesivo el </w:t>
      </w:r>
      <w:r w:rsidRPr="009E6AB2">
        <w:rPr>
          <w:rFonts w:ascii="Palatino Linotype" w:eastAsia="Palatino Linotype" w:hAnsi="Palatino Linotype" w:cs="Palatino Linotype"/>
          <w:b/>
        </w:rPr>
        <w:t xml:space="preserve">Sujeto Obligado; </w:t>
      </w:r>
      <w:r w:rsidRPr="009E6AB2">
        <w:rPr>
          <w:rFonts w:ascii="Palatino Linotype" w:eastAsia="Palatino Linotype" w:hAnsi="Palatino Linotype" w:cs="Palatino Linotype"/>
        </w:rPr>
        <w:t xml:space="preserve">se procede a dictar la presente resolución, con base en lo siguiente. </w:t>
      </w:r>
    </w:p>
    <w:p w14:paraId="064EB462" w14:textId="77777777" w:rsidR="004D5666" w:rsidRPr="009E6AB2" w:rsidRDefault="004D5666">
      <w:pPr>
        <w:spacing w:after="0" w:line="360" w:lineRule="auto"/>
        <w:ind w:right="-112"/>
        <w:jc w:val="both"/>
        <w:rPr>
          <w:rFonts w:ascii="Palatino Linotype" w:eastAsia="Palatino Linotype" w:hAnsi="Palatino Linotype" w:cs="Palatino Linotype"/>
        </w:rPr>
      </w:pPr>
    </w:p>
    <w:p w14:paraId="146AC369" w14:textId="77777777" w:rsidR="004D5666" w:rsidRPr="009E6AB2" w:rsidRDefault="007F0576">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9E6AB2">
        <w:rPr>
          <w:rFonts w:ascii="Palatino Linotype" w:eastAsia="Palatino Linotype" w:hAnsi="Palatino Linotype" w:cs="Palatino Linotype"/>
          <w:b/>
        </w:rPr>
        <w:t>I. A N T E C E D E N T E S:</w:t>
      </w:r>
    </w:p>
    <w:p w14:paraId="5ED74246" w14:textId="77777777" w:rsidR="004D5666" w:rsidRPr="009E6AB2" w:rsidRDefault="004D5666">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03165AF0"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1. Solicitudes de acceso a la información.</w:t>
      </w:r>
      <w:r w:rsidRPr="009E6AB2">
        <w:rPr>
          <w:rFonts w:ascii="Palatino Linotype" w:eastAsia="Palatino Linotype" w:hAnsi="Palatino Linotype" w:cs="Palatino Linotype"/>
        </w:rPr>
        <w:t xml:space="preserve"> Con fechas </w:t>
      </w:r>
      <w:r w:rsidR="00C87462" w:rsidRPr="009E6AB2">
        <w:rPr>
          <w:rFonts w:ascii="Palatino Linotype" w:eastAsia="Palatino Linotype" w:hAnsi="Palatino Linotype" w:cs="Palatino Linotype"/>
          <w:b/>
        </w:rPr>
        <w:t>trece y dieciséis de enero de dos mil veinticinco</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la persona solicitante</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 xml:space="preserve">presentó, a través del Sistema de Acceso a la Información Mexiquense, en lo subsecuente </w:t>
      </w:r>
      <w:r w:rsidRPr="009E6AB2">
        <w:rPr>
          <w:rFonts w:ascii="Palatino Linotype" w:eastAsia="Palatino Linotype" w:hAnsi="Palatino Linotype" w:cs="Palatino Linotype"/>
          <w:b/>
        </w:rPr>
        <w:t xml:space="preserve">SAIMEX, </w:t>
      </w:r>
      <w:r w:rsidRPr="009E6AB2">
        <w:rPr>
          <w:rFonts w:ascii="Palatino Linotype" w:eastAsia="Palatino Linotype" w:hAnsi="Palatino Linotype" w:cs="Palatino Linotype"/>
        </w:rPr>
        <w:t xml:space="preserve">ante el </w:t>
      </w:r>
      <w:r w:rsidRPr="009E6AB2">
        <w:rPr>
          <w:rFonts w:ascii="Palatino Linotype" w:eastAsia="Palatino Linotype" w:hAnsi="Palatino Linotype" w:cs="Palatino Linotype"/>
          <w:b/>
        </w:rPr>
        <w:t>Sujeto Obligado</w:t>
      </w:r>
      <w:r w:rsidRPr="009E6AB2">
        <w:rPr>
          <w:rFonts w:ascii="Palatino Linotype" w:eastAsia="Palatino Linotype" w:hAnsi="Palatino Linotype" w:cs="Palatino Linotype"/>
        </w:rPr>
        <w:t>, las solicitudes de acceso a la información pública, mediante las cuales requirió la información siguiente:</w:t>
      </w:r>
    </w:p>
    <w:p w14:paraId="0BAB650F" w14:textId="77777777" w:rsidR="004D5666" w:rsidRPr="009E6AB2" w:rsidRDefault="004D5666">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A13AA5" w:rsidRPr="009E6AB2" w14:paraId="3DDE0DEA" w14:textId="77777777">
        <w:trPr>
          <w:jc w:val="center"/>
        </w:trPr>
        <w:tc>
          <w:tcPr>
            <w:tcW w:w="2547" w:type="dxa"/>
            <w:shd w:val="clear" w:color="auto" w:fill="A6A6A6"/>
          </w:tcPr>
          <w:p w14:paraId="4950A8F2" w14:textId="77777777" w:rsidR="004D5666" w:rsidRPr="009E6AB2" w:rsidRDefault="007F0576" w:rsidP="00C87462">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Número de solicitud</w:t>
            </w:r>
          </w:p>
        </w:tc>
        <w:tc>
          <w:tcPr>
            <w:tcW w:w="6281" w:type="dxa"/>
            <w:shd w:val="clear" w:color="auto" w:fill="A6A6A6"/>
          </w:tcPr>
          <w:p w14:paraId="366E3B19" w14:textId="77777777" w:rsidR="004D5666" w:rsidRPr="009E6AB2" w:rsidRDefault="007F0576" w:rsidP="00C87462">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Información solicitada</w:t>
            </w:r>
          </w:p>
        </w:tc>
      </w:tr>
      <w:tr w:rsidR="00A13AA5" w:rsidRPr="009E6AB2" w14:paraId="20178302" w14:textId="77777777">
        <w:trPr>
          <w:jc w:val="center"/>
        </w:trPr>
        <w:tc>
          <w:tcPr>
            <w:tcW w:w="2547" w:type="dxa"/>
            <w:vAlign w:val="center"/>
          </w:tcPr>
          <w:p w14:paraId="0AC8B010"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00045/LAPAZ/IP/2025</w:t>
            </w:r>
          </w:p>
          <w:p w14:paraId="5017186C"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p>
          <w:p w14:paraId="2110D36F" w14:textId="77777777" w:rsidR="004D5666"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00469/INFOEM/IP/RR/2025</w:t>
            </w:r>
          </w:p>
        </w:tc>
        <w:tc>
          <w:tcPr>
            <w:tcW w:w="6281" w:type="dxa"/>
          </w:tcPr>
          <w:p w14:paraId="1D8C07E4" w14:textId="77777777" w:rsidR="004D5666" w:rsidRPr="009E6AB2" w:rsidRDefault="007F0576" w:rsidP="00C87462">
            <w:pPr>
              <w:spacing w:after="0" w:line="240" w:lineRule="auto"/>
              <w:jc w:val="both"/>
              <w:rPr>
                <w:rFonts w:ascii="Palatino Linotype" w:eastAsia="Palatino Linotype" w:hAnsi="Palatino Linotype" w:cs="Palatino Linotype"/>
                <w:i/>
                <w:sz w:val="20"/>
              </w:rPr>
            </w:pPr>
            <w:r w:rsidRPr="009E6AB2">
              <w:rPr>
                <w:rFonts w:ascii="Palatino Linotype" w:eastAsia="Palatino Linotype" w:hAnsi="Palatino Linotype" w:cs="Palatino Linotype"/>
                <w:i/>
                <w:sz w:val="20"/>
              </w:rPr>
              <w:t>“</w:t>
            </w:r>
            <w:r w:rsidR="00C87462" w:rsidRPr="009E6AB2">
              <w:rPr>
                <w:rFonts w:ascii="Palatino Linotype" w:eastAsia="Palatino Linotype" w:hAnsi="Palatino Linotype" w:cs="Palatino Linotype"/>
                <w:i/>
                <w:sz w:val="20"/>
              </w:rPr>
              <w:t xml:space="preserve">quiero que se </w:t>
            </w:r>
            <w:proofErr w:type="spellStart"/>
            <w:r w:rsidR="00C87462" w:rsidRPr="009E6AB2">
              <w:rPr>
                <w:rFonts w:ascii="Palatino Linotype" w:eastAsia="Palatino Linotype" w:hAnsi="Palatino Linotype" w:cs="Palatino Linotype"/>
                <w:i/>
                <w:sz w:val="20"/>
              </w:rPr>
              <w:t>envie</w:t>
            </w:r>
            <w:proofErr w:type="spellEnd"/>
            <w:r w:rsidR="00C87462" w:rsidRPr="009E6AB2">
              <w:rPr>
                <w:rFonts w:ascii="Palatino Linotype" w:eastAsia="Palatino Linotype" w:hAnsi="Palatino Linotype" w:cs="Palatino Linotype"/>
                <w:i/>
                <w:sz w:val="20"/>
              </w:rPr>
              <w:t xml:space="preserve"> un listado de las personas que se encuentran adscritas al </w:t>
            </w:r>
            <w:proofErr w:type="spellStart"/>
            <w:r w:rsidR="00C87462" w:rsidRPr="009E6AB2">
              <w:rPr>
                <w:rFonts w:ascii="Palatino Linotype" w:eastAsia="Palatino Linotype" w:hAnsi="Palatino Linotype" w:cs="Palatino Linotype"/>
                <w:i/>
                <w:sz w:val="20"/>
              </w:rPr>
              <w:t>area</w:t>
            </w:r>
            <w:proofErr w:type="spellEnd"/>
            <w:r w:rsidR="00C87462" w:rsidRPr="009E6AB2">
              <w:rPr>
                <w:rFonts w:ascii="Palatino Linotype" w:eastAsia="Palatino Linotype" w:hAnsi="Palatino Linotype" w:cs="Palatino Linotype"/>
                <w:i/>
                <w:sz w:val="20"/>
              </w:rPr>
              <w:t xml:space="preserve"> de catastro.... quiero nombre competo...cargo actual y las funciones que desempeñan.....</w:t>
            </w:r>
            <w:r w:rsidRPr="009E6AB2">
              <w:rPr>
                <w:rFonts w:ascii="Palatino Linotype" w:eastAsia="Palatino Linotype" w:hAnsi="Palatino Linotype" w:cs="Palatino Linotype"/>
                <w:i/>
                <w:sz w:val="20"/>
              </w:rPr>
              <w:t>” (sic)</w:t>
            </w:r>
          </w:p>
        </w:tc>
      </w:tr>
      <w:tr w:rsidR="004D5666" w:rsidRPr="009E6AB2" w14:paraId="26655F20" w14:textId="77777777">
        <w:trPr>
          <w:jc w:val="center"/>
        </w:trPr>
        <w:tc>
          <w:tcPr>
            <w:tcW w:w="2547" w:type="dxa"/>
            <w:vAlign w:val="center"/>
          </w:tcPr>
          <w:p w14:paraId="41099AA6"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00017/LAPAZ/IP/2025</w:t>
            </w:r>
          </w:p>
          <w:p w14:paraId="287EB19E"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p>
          <w:p w14:paraId="1F70AFAD" w14:textId="77777777" w:rsidR="004D5666" w:rsidRPr="009E6AB2" w:rsidRDefault="00C87462" w:rsidP="00C87462">
            <w:pPr>
              <w:spacing w:after="0" w:line="240" w:lineRule="auto"/>
              <w:jc w:val="center"/>
              <w:rPr>
                <w:rFonts w:ascii="Palatino Linotype" w:eastAsia="Palatino Linotype" w:hAnsi="Palatino Linotype" w:cs="Palatino Linotype"/>
                <w:b/>
                <w:i/>
                <w:sz w:val="20"/>
                <w:lang w:val="en-US"/>
              </w:rPr>
            </w:pPr>
            <w:r w:rsidRPr="009E6AB2">
              <w:rPr>
                <w:rFonts w:ascii="Palatino Linotype" w:eastAsia="Palatino Linotype" w:hAnsi="Palatino Linotype" w:cs="Palatino Linotype"/>
                <w:b/>
                <w:sz w:val="20"/>
                <w:lang w:val="en-US"/>
              </w:rPr>
              <w:t xml:space="preserve">00478/INFOEM/IP/RR/2025  </w:t>
            </w:r>
          </w:p>
        </w:tc>
        <w:tc>
          <w:tcPr>
            <w:tcW w:w="6281" w:type="dxa"/>
          </w:tcPr>
          <w:p w14:paraId="411038F1" w14:textId="77777777" w:rsidR="004D5666" w:rsidRPr="009E6AB2" w:rsidRDefault="007F0576" w:rsidP="00C87462">
            <w:pPr>
              <w:spacing w:after="0" w:line="240" w:lineRule="auto"/>
              <w:jc w:val="both"/>
              <w:rPr>
                <w:rFonts w:ascii="Palatino Linotype" w:eastAsia="Palatino Linotype" w:hAnsi="Palatino Linotype" w:cs="Palatino Linotype"/>
                <w:i/>
                <w:sz w:val="20"/>
              </w:rPr>
            </w:pPr>
            <w:r w:rsidRPr="009E6AB2">
              <w:rPr>
                <w:rFonts w:ascii="Palatino Linotype" w:eastAsia="Palatino Linotype" w:hAnsi="Palatino Linotype" w:cs="Palatino Linotype"/>
                <w:i/>
                <w:sz w:val="20"/>
              </w:rPr>
              <w:t>“</w:t>
            </w:r>
            <w:r w:rsidR="00C87462" w:rsidRPr="009E6AB2">
              <w:rPr>
                <w:rFonts w:ascii="Palatino Linotype" w:eastAsia="Palatino Linotype" w:hAnsi="Palatino Linotype" w:cs="Palatino Linotype"/>
                <w:i/>
                <w:sz w:val="20"/>
              </w:rPr>
              <w:t xml:space="preserve">quiero que se me </w:t>
            </w:r>
            <w:proofErr w:type="spellStart"/>
            <w:r w:rsidR="00C87462" w:rsidRPr="009E6AB2">
              <w:rPr>
                <w:rFonts w:ascii="Palatino Linotype" w:eastAsia="Palatino Linotype" w:hAnsi="Palatino Linotype" w:cs="Palatino Linotype"/>
                <w:i/>
                <w:sz w:val="20"/>
              </w:rPr>
              <w:t>envie</w:t>
            </w:r>
            <w:proofErr w:type="spellEnd"/>
            <w:r w:rsidR="00C87462" w:rsidRPr="009E6AB2">
              <w:rPr>
                <w:rFonts w:ascii="Palatino Linotype" w:eastAsia="Palatino Linotype" w:hAnsi="Palatino Linotype" w:cs="Palatino Linotype"/>
                <w:i/>
                <w:sz w:val="20"/>
              </w:rPr>
              <w:t xml:space="preserve"> el listado de las personas que se dedican a la limpieza en las diversas </w:t>
            </w:r>
            <w:proofErr w:type="spellStart"/>
            <w:r w:rsidR="00C87462" w:rsidRPr="009E6AB2">
              <w:rPr>
                <w:rFonts w:ascii="Palatino Linotype" w:eastAsia="Palatino Linotype" w:hAnsi="Palatino Linotype" w:cs="Palatino Linotype"/>
                <w:i/>
                <w:sz w:val="20"/>
              </w:rPr>
              <w:t>areas</w:t>
            </w:r>
            <w:proofErr w:type="spellEnd"/>
            <w:r w:rsidR="00C87462" w:rsidRPr="009E6AB2">
              <w:rPr>
                <w:rFonts w:ascii="Palatino Linotype" w:eastAsia="Palatino Linotype" w:hAnsi="Palatino Linotype" w:cs="Palatino Linotype"/>
                <w:i/>
                <w:sz w:val="20"/>
              </w:rPr>
              <w:t xml:space="preserve"> del ayuntamiento en la actual </w:t>
            </w:r>
            <w:proofErr w:type="spellStart"/>
            <w:r w:rsidR="00C87462" w:rsidRPr="009E6AB2">
              <w:rPr>
                <w:rFonts w:ascii="Palatino Linotype" w:eastAsia="Palatino Linotype" w:hAnsi="Palatino Linotype" w:cs="Palatino Linotype"/>
                <w:i/>
                <w:sz w:val="20"/>
              </w:rPr>
              <w:t>administracion</w:t>
            </w:r>
            <w:proofErr w:type="spellEnd"/>
            <w:r w:rsidR="00C87462" w:rsidRPr="009E6AB2">
              <w:rPr>
                <w:rFonts w:ascii="Palatino Linotype" w:eastAsia="Palatino Linotype" w:hAnsi="Palatino Linotype" w:cs="Palatino Linotype"/>
                <w:i/>
                <w:sz w:val="20"/>
              </w:rPr>
              <w:t>....</w:t>
            </w:r>
            <w:proofErr w:type="spellStart"/>
            <w:r w:rsidR="00C87462" w:rsidRPr="009E6AB2">
              <w:rPr>
                <w:rFonts w:ascii="Palatino Linotype" w:eastAsia="Palatino Linotype" w:hAnsi="Palatino Linotype" w:cs="Palatino Linotype"/>
                <w:i/>
                <w:sz w:val="20"/>
              </w:rPr>
              <w:t>asi</w:t>
            </w:r>
            <w:proofErr w:type="spellEnd"/>
            <w:r w:rsidR="00C87462" w:rsidRPr="009E6AB2">
              <w:rPr>
                <w:rFonts w:ascii="Palatino Linotype" w:eastAsia="Palatino Linotype" w:hAnsi="Palatino Linotype" w:cs="Palatino Linotype"/>
                <w:i/>
                <w:sz w:val="20"/>
              </w:rPr>
              <w:t xml:space="preserve"> mismo quiero que se me </w:t>
            </w:r>
            <w:proofErr w:type="spellStart"/>
            <w:r w:rsidR="00C87462" w:rsidRPr="009E6AB2">
              <w:rPr>
                <w:rFonts w:ascii="Palatino Linotype" w:eastAsia="Palatino Linotype" w:hAnsi="Palatino Linotype" w:cs="Palatino Linotype"/>
                <w:i/>
                <w:sz w:val="20"/>
              </w:rPr>
              <w:t>envie</w:t>
            </w:r>
            <w:proofErr w:type="spellEnd"/>
            <w:r w:rsidR="00C87462" w:rsidRPr="009E6AB2">
              <w:rPr>
                <w:rFonts w:ascii="Palatino Linotype" w:eastAsia="Palatino Linotype" w:hAnsi="Palatino Linotype" w:cs="Palatino Linotype"/>
                <w:i/>
                <w:sz w:val="20"/>
              </w:rPr>
              <w:t xml:space="preserve"> el </w:t>
            </w:r>
            <w:proofErr w:type="spellStart"/>
            <w:r w:rsidR="00C87462" w:rsidRPr="009E6AB2">
              <w:rPr>
                <w:rFonts w:ascii="Palatino Linotype" w:eastAsia="Palatino Linotype" w:hAnsi="Palatino Linotype" w:cs="Palatino Linotype"/>
                <w:i/>
                <w:sz w:val="20"/>
              </w:rPr>
              <w:t>nomnbre</w:t>
            </w:r>
            <w:proofErr w:type="spellEnd"/>
            <w:r w:rsidR="00C87462" w:rsidRPr="009E6AB2">
              <w:rPr>
                <w:rFonts w:ascii="Palatino Linotype" w:eastAsia="Palatino Linotype" w:hAnsi="Palatino Linotype" w:cs="Palatino Linotype"/>
                <w:i/>
                <w:sz w:val="20"/>
              </w:rPr>
              <w:t xml:space="preserve"> completo de las mismas y el </w:t>
            </w:r>
            <w:proofErr w:type="spellStart"/>
            <w:r w:rsidR="00C87462" w:rsidRPr="009E6AB2">
              <w:rPr>
                <w:rFonts w:ascii="Palatino Linotype" w:eastAsia="Palatino Linotype" w:hAnsi="Palatino Linotype" w:cs="Palatino Linotype"/>
                <w:i/>
                <w:sz w:val="20"/>
              </w:rPr>
              <w:t>area</w:t>
            </w:r>
            <w:proofErr w:type="spellEnd"/>
            <w:r w:rsidR="00C87462" w:rsidRPr="009E6AB2">
              <w:rPr>
                <w:rFonts w:ascii="Palatino Linotype" w:eastAsia="Palatino Linotype" w:hAnsi="Palatino Linotype" w:cs="Palatino Linotype"/>
                <w:i/>
                <w:sz w:val="20"/>
              </w:rPr>
              <w:t xml:space="preserve"> en la que se encuentran haciendo la limpieza</w:t>
            </w:r>
            <w:r w:rsidRPr="009E6AB2">
              <w:rPr>
                <w:rFonts w:ascii="Palatino Linotype" w:eastAsia="Palatino Linotype" w:hAnsi="Palatino Linotype" w:cs="Palatino Linotype"/>
                <w:i/>
                <w:sz w:val="20"/>
              </w:rPr>
              <w:t>” (sic)</w:t>
            </w:r>
          </w:p>
        </w:tc>
      </w:tr>
    </w:tbl>
    <w:p w14:paraId="19FF25D8" w14:textId="77777777" w:rsidR="00C87462" w:rsidRPr="009E6AB2" w:rsidRDefault="00C87462">
      <w:pPr>
        <w:spacing w:after="0" w:line="360" w:lineRule="auto"/>
        <w:jc w:val="both"/>
        <w:rPr>
          <w:rFonts w:ascii="Palatino Linotype" w:eastAsia="Palatino Linotype" w:hAnsi="Palatino Linotype" w:cs="Palatino Linotype"/>
          <w:b/>
        </w:rPr>
      </w:pPr>
      <w:bookmarkStart w:id="1" w:name="_heading=h.2et92p0" w:colFirst="0" w:colLast="0"/>
      <w:bookmarkEnd w:id="1"/>
    </w:p>
    <w:p w14:paraId="6C5B936D"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 xml:space="preserve">Modalidad elegida para la entrega de la información: </w:t>
      </w:r>
      <w:r w:rsidRPr="009E6AB2">
        <w:rPr>
          <w:rFonts w:ascii="Palatino Linotype" w:eastAsia="Palatino Linotype" w:hAnsi="Palatino Linotype" w:cs="Palatino Linotype"/>
        </w:rPr>
        <w:t>a través del SAIMEX.</w:t>
      </w:r>
    </w:p>
    <w:p w14:paraId="1033B323" w14:textId="77777777" w:rsidR="004D5666" w:rsidRPr="009E6AB2" w:rsidRDefault="00C87462">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lastRenderedPageBreak/>
        <w:t>2</w:t>
      </w:r>
      <w:r w:rsidR="007F0576" w:rsidRPr="009E6AB2">
        <w:rPr>
          <w:rFonts w:ascii="Palatino Linotype" w:eastAsia="Palatino Linotype" w:hAnsi="Palatino Linotype" w:cs="Palatino Linotype"/>
          <w:b/>
        </w:rPr>
        <w:t xml:space="preserve">. Respuestas. </w:t>
      </w:r>
      <w:r w:rsidR="007F0576" w:rsidRPr="009E6AB2">
        <w:rPr>
          <w:rFonts w:ascii="Palatino Linotype" w:eastAsia="Palatino Linotype" w:hAnsi="Palatino Linotype" w:cs="Palatino Linotype"/>
        </w:rPr>
        <w:t xml:space="preserve">Con fecha </w:t>
      </w:r>
      <w:r w:rsidRPr="009E6AB2">
        <w:rPr>
          <w:rFonts w:ascii="Palatino Linotype" w:eastAsia="Palatino Linotype" w:hAnsi="Palatino Linotype" w:cs="Palatino Linotype"/>
          <w:b/>
        </w:rPr>
        <w:t>veintidós y veintitrés de enero de dos mil veinticinco</w:t>
      </w:r>
      <w:r w:rsidR="007F0576" w:rsidRPr="009E6AB2">
        <w:rPr>
          <w:rFonts w:ascii="Palatino Linotype" w:eastAsia="Palatino Linotype" w:hAnsi="Palatino Linotype" w:cs="Palatino Linotype"/>
        </w:rPr>
        <w:t xml:space="preserve">, el </w:t>
      </w:r>
      <w:r w:rsidR="007F0576" w:rsidRPr="009E6AB2">
        <w:rPr>
          <w:rFonts w:ascii="Palatino Linotype" w:eastAsia="Palatino Linotype" w:hAnsi="Palatino Linotype" w:cs="Palatino Linotype"/>
          <w:b/>
        </w:rPr>
        <w:t xml:space="preserve">Sujeto Obligado </w:t>
      </w:r>
      <w:r w:rsidR="007F0576" w:rsidRPr="009E6AB2">
        <w:rPr>
          <w:rFonts w:ascii="Palatino Linotype" w:eastAsia="Palatino Linotype" w:hAnsi="Palatino Linotype" w:cs="Palatino Linotype"/>
        </w:rPr>
        <w:t>envió sus respuestas a las solicitudes de acceso a la información a través de SAIMEX, sustancialmente en los términos siguientes:</w:t>
      </w:r>
    </w:p>
    <w:p w14:paraId="2A6C06FB" w14:textId="77777777" w:rsidR="004D5666" w:rsidRPr="009E6AB2" w:rsidRDefault="004D5666">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A13AA5" w:rsidRPr="009E6AB2" w14:paraId="133406DF" w14:textId="77777777" w:rsidTr="00C87462">
        <w:trPr>
          <w:jc w:val="center"/>
        </w:trPr>
        <w:tc>
          <w:tcPr>
            <w:tcW w:w="2547" w:type="dxa"/>
            <w:shd w:val="clear" w:color="auto" w:fill="A6A6A6"/>
          </w:tcPr>
          <w:p w14:paraId="0D5486AE" w14:textId="77777777" w:rsidR="00C87462" w:rsidRPr="009E6AB2" w:rsidRDefault="00C87462" w:rsidP="00C87462">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Número de solicitud</w:t>
            </w:r>
          </w:p>
        </w:tc>
        <w:tc>
          <w:tcPr>
            <w:tcW w:w="6281" w:type="dxa"/>
            <w:shd w:val="clear" w:color="auto" w:fill="A6A6A6"/>
          </w:tcPr>
          <w:p w14:paraId="7EBF7D3A" w14:textId="77777777" w:rsidR="00C87462" w:rsidRPr="009E6AB2" w:rsidRDefault="00C87462" w:rsidP="00C87462">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Respuesta</w:t>
            </w:r>
          </w:p>
        </w:tc>
      </w:tr>
      <w:tr w:rsidR="00A13AA5" w:rsidRPr="009E6AB2" w14:paraId="224AD9BA" w14:textId="77777777" w:rsidTr="00C87462">
        <w:trPr>
          <w:jc w:val="center"/>
        </w:trPr>
        <w:tc>
          <w:tcPr>
            <w:tcW w:w="2547" w:type="dxa"/>
            <w:vAlign w:val="center"/>
          </w:tcPr>
          <w:p w14:paraId="4DF84299"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00045/LAPAZ/IP/2025</w:t>
            </w:r>
          </w:p>
          <w:p w14:paraId="481FBA27"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p>
          <w:p w14:paraId="04354A74"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00469/INFOEM/IP/RR/2025</w:t>
            </w:r>
          </w:p>
        </w:tc>
        <w:tc>
          <w:tcPr>
            <w:tcW w:w="6281" w:type="dxa"/>
          </w:tcPr>
          <w:p w14:paraId="0B760748" w14:textId="77777777" w:rsidR="001C12E2" w:rsidRPr="009E6AB2" w:rsidRDefault="00C87462" w:rsidP="00C87462">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veintitrés de enero de dos mil veinticinco, signado por el Titular de la Coordinación de la Unidad de Transparencia, mediante el cual informa que, se envía la respuesta. </w:t>
            </w:r>
          </w:p>
          <w:p w14:paraId="4A01FF0A" w14:textId="77777777" w:rsidR="001C12E2" w:rsidRPr="009E6AB2" w:rsidRDefault="00C87462" w:rsidP="00C87462">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veinte de enero de dos mil veinticinco, signado por la Directora de Departamento de Catastro Municipal, mediante el cual informa que, se le envía una copia de la solicitud que se emite en la oficina catastral donde vienen </w:t>
            </w:r>
            <w:r w:rsidR="00F7550B" w:rsidRPr="009E6AB2">
              <w:rPr>
                <w:rFonts w:ascii="Palatino Linotype" w:eastAsia="Palatino Linotype" w:hAnsi="Palatino Linotype" w:cs="Palatino Linotype"/>
                <w:sz w:val="20"/>
              </w:rPr>
              <w:t>todos y</w:t>
            </w:r>
            <w:r w:rsidRPr="009E6AB2">
              <w:rPr>
                <w:rFonts w:ascii="Palatino Linotype" w:eastAsia="Palatino Linotype" w:hAnsi="Palatino Linotype" w:cs="Palatino Linotype"/>
                <w:sz w:val="20"/>
              </w:rPr>
              <w:t xml:space="preserve"> cada uno de los trámites que se realizan. </w:t>
            </w:r>
          </w:p>
          <w:p w14:paraId="49A21114" w14:textId="77777777" w:rsidR="001C12E2" w:rsidRPr="009E6AB2" w:rsidRDefault="00C87462" w:rsidP="00C87462">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Oficio de fecha veinte de enero de dos mil veinticinco, signado por la Directora de Departamento de Catastro Municipal, mediante el cual informa que, se envía el listado de las personas que se encuentran adscritas al área de catastro. (se proporciona una lista)</w:t>
            </w:r>
          </w:p>
          <w:p w14:paraId="6975FC10" w14:textId="77777777" w:rsidR="001C12E2" w:rsidRPr="009E6AB2" w:rsidRDefault="001C12E2" w:rsidP="00C87462">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Requisitos de los trámites y servicios que presta el Departamento de Catastro Municipal. </w:t>
            </w:r>
          </w:p>
          <w:p w14:paraId="6E53DCCF" w14:textId="77777777" w:rsidR="00C87462" w:rsidRPr="009E6AB2" w:rsidRDefault="001C12E2" w:rsidP="00C87462">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Solicitud de servicios catastrales.</w:t>
            </w:r>
          </w:p>
        </w:tc>
      </w:tr>
      <w:tr w:rsidR="00C87462" w:rsidRPr="009E6AB2" w14:paraId="42945D67" w14:textId="77777777" w:rsidTr="00C87462">
        <w:trPr>
          <w:jc w:val="center"/>
        </w:trPr>
        <w:tc>
          <w:tcPr>
            <w:tcW w:w="2547" w:type="dxa"/>
            <w:vAlign w:val="center"/>
          </w:tcPr>
          <w:p w14:paraId="2C8F7709"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r w:rsidRPr="009E6AB2">
              <w:rPr>
                <w:rFonts w:ascii="Palatino Linotype" w:eastAsia="Palatino Linotype" w:hAnsi="Palatino Linotype" w:cs="Palatino Linotype"/>
                <w:b/>
                <w:sz w:val="20"/>
                <w:lang w:val="en-US"/>
              </w:rPr>
              <w:t>00017/LAPAZ/IP/2025</w:t>
            </w:r>
          </w:p>
          <w:p w14:paraId="16D64C2B" w14:textId="77777777" w:rsidR="00C87462" w:rsidRPr="009E6AB2" w:rsidRDefault="00C87462" w:rsidP="00C87462">
            <w:pPr>
              <w:spacing w:after="0" w:line="240" w:lineRule="auto"/>
              <w:jc w:val="center"/>
              <w:rPr>
                <w:rFonts w:ascii="Palatino Linotype" w:eastAsia="Palatino Linotype" w:hAnsi="Palatino Linotype" w:cs="Palatino Linotype"/>
                <w:b/>
                <w:sz w:val="20"/>
                <w:lang w:val="en-US"/>
              </w:rPr>
            </w:pPr>
          </w:p>
          <w:p w14:paraId="3634D46E" w14:textId="77777777" w:rsidR="00C87462" w:rsidRPr="009E6AB2" w:rsidRDefault="00C87462" w:rsidP="00C87462">
            <w:pPr>
              <w:spacing w:after="0" w:line="240" w:lineRule="auto"/>
              <w:jc w:val="center"/>
              <w:rPr>
                <w:rFonts w:ascii="Palatino Linotype" w:eastAsia="Palatino Linotype" w:hAnsi="Palatino Linotype" w:cs="Palatino Linotype"/>
                <w:b/>
                <w:i/>
                <w:sz w:val="20"/>
                <w:lang w:val="en-US"/>
              </w:rPr>
            </w:pPr>
            <w:r w:rsidRPr="009E6AB2">
              <w:rPr>
                <w:rFonts w:ascii="Palatino Linotype" w:eastAsia="Palatino Linotype" w:hAnsi="Palatino Linotype" w:cs="Palatino Linotype"/>
                <w:b/>
                <w:sz w:val="20"/>
                <w:lang w:val="en-US"/>
              </w:rPr>
              <w:t xml:space="preserve">00478/INFOEM/IP/RR/2025  </w:t>
            </w:r>
          </w:p>
        </w:tc>
        <w:tc>
          <w:tcPr>
            <w:tcW w:w="6281" w:type="dxa"/>
          </w:tcPr>
          <w:p w14:paraId="23C64C64" w14:textId="77777777" w:rsidR="00472983" w:rsidRPr="009E6AB2" w:rsidRDefault="001C12E2" w:rsidP="00472983">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veinte de enero de dos mil veinticinco,  </w:t>
            </w:r>
            <w:r w:rsidR="00472983" w:rsidRPr="009E6AB2">
              <w:rPr>
                <w:rFonts w:ascii="Palatino Linotype" w:eastAsia="Palatino Linotype" w:hAnsi="Palatino Linotype" w:cs="Palatino Linotype"/>
                <w:sz w:val="20"/>
              </w:rPr>
              <w:t xml:space="preserve">signado por el Director de Recursos Humanos, mediante el cual informa que se remite la relación del personal adscrito al área de Mantenimiento del Municipio de la Paz Estado de México, los cuales están encargados de la limpieza de las diferentes áreas. </w:t>
            </w:r>
          </w:p>
          <w:p w14:paraId="096D564C" w14:textId="77777777" w:rsidR="00472983" w:rsidRPr="009E6AB2" w:rsidRDefault="00472983" w:rsidP="00472983">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veintidós de enero de dos mil veinticinco, signado por el Titular de la Coordinación de la Unidad de Transparencia, mediante el cual informa que se agrega un archivo con la información solicitada. </w:t>
            </w:r>
          </w:p>
        </w:tc>
      </w:tr>
    </w:tbl>
    <w:p w14:paraId="50D0104F" w14:textId="77777777" w:rsidR="00C87462" w:rsidRPr="009E6AB2" w:rsidRDefault="00C87462">
      <w:pPr>
        <w:spacing w:after="0" w:line="360" w:lineRule="auto"/>
        <w:jc w:val="both"/>
        <w:rPr>
          <w:rFonts w:ascii="Palatino Linotype" w:eastAsia="Palatino Linotype" w:hAnsi="Palatino Linotype" w:cs="Palatino Linotype"/>
        </w:rPr>
      </w:pPr>
    </w:p>
    <w:p w14:paraId="590E8302" w14:textId="77777777" w:rsidR="004D5666" w:rsidRPr="009E6AB2" w:rsidRDefault="00376B6F">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3</w:t>
      </w:r>
      <w:r w:rsidR="007F0576" w:rsidRPr="009E6AB2">
        <w:rPr>
          <w:rFonts w:ascii="Palatino Linotype" w:eastAsia="Palatino Linotype" w:hAnsi="Palatino Linotype" w:cs="Palatino Linotype"/>
          <w:b/>
        </w:rPr>
        <w:t xml:space="preserve">. Interposición de los recursos de revisión. </w:t>
      </w:r>
      <w:r w:rsidR="007F0576" w:rsidRPr="009E6AB2">
        <w:rPr>
          <w:rFonts w:ascii="Palatino Linotype" w:eastAsia="Palatino Linotype" w:hAnsi="Palatino Linotype" w:cs="Palatino Linotype"/>
        </w:rPr>
        <w:t xml:space="preserve">Inconforme la persona solicitante con las respuestas emitidas por el </w:t>
      </w:r>
      <w:r w:rsidR="007F0576" w:rsidRPr="009E6AB2">
        <w:rPr>
          <w:rFonts w:ascii="Palatino Linotype" w:eastAsia="Palatino Linotype" w:hAnsi="Palatino Linotype" w:cs="Palatino Linotype"/>
          <w:b/>
        </w:rPr>
        <w:t xml:space="preserve">Sujeto Obligado </w:t>
      </w:r>
      <w:r w:rsidR="007F0576" w:rsidRPr="009E6AB2">
        <w:rPr>
          <w:rFonts w:ascii="Palatino Linotype" w:eastAsia="Palatino Linotype" w:hAnsi="Palatino Linotype" w:cs="Palatino Linotype"/>
        </w:rPr>
        <w:t xml:space="preserve">a sus solicitudes, en fecha </w:t>
      </w:r>
      <w:r w:rsidR="00472983" w:rsidRPr="009E6AB2">
        <w:rPr>
          <w:rFonts w:ascii="Palatino Linotype" w:eastAsia="Palatino Linotype" w:hAnsi="Palatino Linotype" w:cs="Palatino Linotype"/>
          <w:b/>
        </w:rPr>
        <w:t>cuatro de febrero de dos mil veinticinco</w:t>
      </w:r>
      <w:r w:rsidR="007F0576" w:rsidRPr="009E6AB2">
        <w:rPr>
          <w:rFonts w:ascii="Palatino Linotype" w:eastAsia="Palatino Linotype" w:hAnsi="Palatino Linotype" w:cs="Palatino Linotype"/>
        </w:rPr>
        <w:t>, interpuso los recursos de revisión a través del SAIMEX, expresando lo siguiente en todos los casos:</w:t>
      </w:r>
    </w:p>
    <w:p w14:paraId="1CC4DB8A" w14:textId="77777777" w:rsidR="00472983" w:rsidRPr="009E6AB2" w:rsidRDefault="00472983">
      <w:pPr>
        <w:spacing w:after="0" w:line="360" w:lineRule="auto"/>
        <w:jc w:val="both"/>
        <w:rPr>
          <w:rFonts w:ascii="Palatino Linotype" w:eastAsia="Palatino Linotype" w:hAnsi="Palatino Linotype" w:cs="Palatino Linotype"/>
        </w:rPr>
      </w:pPr>
    </w:p>
    <w:tbl>
      <w:tblPr>
        <w:tblStyle w:val="af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7"/>
        <w:gridCol w:w="3260"/>
      </w:tblGrid>
      <w:tr w:rsidR="00A13AA5" w:rsidRPr="009E6AB2" w14:paraId="3328ECAD" w14:textId="77777777" w:rsidTr="007A7A00">
        <w:trPr>
          <w:jc w:val="center"/>
        </w:trPr>
        <w:tc>
          <w:tcPr>
            <w:tcW w:w="2972" w:type="dxa"/>
            <w:shd w:val="clear" w:color="auto" w:fill="A6A6A6"/>
          </w:tcPr>
          <w:p w14:paraId="4727019E"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lastRenderedPageBreak/>
              <w:t>Recurso de Revisión</w:t>
            </w:r>
          </w:p>
        </w:tc>
        <w:tc>
          <w:tcPr>
            <w:tcW w:w="2977" w:type="dxa"/>
            <w:shd w:val="clear" w:color="auto" w:fill="A6A6A6"/>
          </w:tcPr>
          <w:p w14:paraId="3E75E4FD"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Acto impugnado</w:t>
            </w:r>
          </w:p>
        </w:tc>
        <w:tc>
          <w:tcPr>
            <w:tcW w:w="3260" w:type="dxa"/>
            <w:shd w:val="clear" w:color="auto" w:fill="A6A6A6"/>
          </w:tcPr>
          <w:p w14:paraId="4BDE888A"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Motivos de inconformidad</w:t>
            </w:r>
          </w:p>
        </w:tc>
      </w:tr>
      <w:tr w:rsidR="00A13AA5" w:rsidRPr="009E6AB2" w14:paraId="2D277AA4" w14:textId="77777777" w:rsidTr="007A7A00">
        <w:trPr>
          <w:jc w:val="center"/>
        </w:trPr>
        <w:tc>
          <w:tcPr>
            <w:tcW w:w="2972" w:type="dxa"/>
            <w:vAlign w:val="center"/>
          </w:tcPr>
          <w:p w14:paraId="440C7AD2"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p>
          <w:p w14:paraId="2DD09931"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00469/INFOEM/IP/RR/2025</w:t>
            </w:r>
          </w:p>
        </w:tc>
        <w:tc>
          <w:tcPr>
            <w:tcW w:w="2977" w:type="dxa"/>
          </w:tcPr>
          <w:p w14:paraId="3691AA8B" w14:textId="77777777" w:rsidR="00472983" w:rsidRPr="009E6AB2" w:rsidRDefault="00472983" w:rsidP="00472983">
            <w:pPr>
              <w:spacing w:after="0" w:line="240" w:lineRule="auto"/>
              <w:jc w:val="both"/>
              <w:rPr>
                <w:rFonts w:ascii="Palatino Linotype" w:eastAsia="Palatino Linotype" w:hAnsi="Palatino Linotype" w:cs="Palatino Linotype"/>
                <w:i/>
              </w:rPr>
            </w:pPr>
            <w:r w:rsidRPr="009E6AB2">
              <w:rPr>
                <w:rFonts w:ascii="Palatino Linotype" w:eastAsia="Palatino Linotype" w:hAnsi="Palatino Linotype" w:cs="Palatino Linotype"/>
                <w:i/>
                <w:sz w:val="20"/>
              </w:rPr>
              <w:t>“</w:t>
            </w:r>
            <w:r w:rsidRPr="009E6AB2">
              <w:rPr>
                <w:rFonts w:ascii="Palatino Linotype" w:hAnsi="Palatino Linotype"/>
                <w:i/>
                <w:sz w:val="20"/>
              </w:rPr>
              <w:t>SE ME ENTREGA LA INFORMACION INCOMPLETA....NO ESTOY CONFORME CON LO QUE SE ME ENTREGA”</w:t>
            </w:r>
          </w:p>
        </w:tc>
        <w:tc>
          <w:tcPr>
            <w:tcW w:w="3260" w:type="dxa"/>
          </w:tcPr>
          <w:p w14:paraId="0D4863C0" w14:textId="77777777" w:rsidR="00472983" w:rsidRPr="009E6AB2" w:rsidRDefault="00472983" w:rsidP="00472983">
            <w:pPr>
              <w:spacing w:after="0" w:line="240" w:lineRule="auto"/>
              <w:jc w:val="both"/>
              <w:rPr>
                <w:rFonts w:ascii="Palatino Linotype" w:eastAsia="Palatino Linotype" w:hAnsi="Palatino Linotype" w:cs="Palatino Linotype"/>
                <w:i/>
                <w:sz w:val="20"/>
              </w:rPr>
            </w:pPr>
            <w:r w:rsidRPr="009E6AB2">
              <w:rPr>
                <w:rFonts w:ascii="Palatino Linotype" w:eastAsia="Palatino Linotype" w:hAnsi="Palatino Linotype" w:cs="Palatino Linotype"/>
                <w:i/>
                <w:sz w:val="20"/>
              </w:rPr>
              <w:t>“</w:t>
            </w:r>
            <w:r w:rsidR="007A7A00" w:rsidRPr="009E6AB2">
              <w:rPr>
                <w:rFonts w:ascii="Palatino Linotype" w:eastAsia="Palatino Linotype" w:hAnsi="Palatino Linotype" w:cs="Palatino Linotype"/>
                <w:i/>
                <w:sz w:val="20"/>
              </w:rPr>
              <w:t>SE ME ENTREGA LA INFORMACION INCOMPLETA....NO ESTOY CONFORME CON LO QUE SE ME ENTREGA”</w:t>
            </w:r>
          </w:p>
        </w:tc>
      </w:tr>
      <w:tr w:rsidR="00472983" w:rsidRPr="009E6AB2" w14:paraId="723BC6B1" w14:textId="77777777" w:rsidTr="007A7A00">
        <w:trPr>
          <w:jc w:val="center"/>
        </w:trPr>
        <w:tc>
          <w:tcPr>
            <w:tcW w:w="2972" w:type="dxa"/>
            <w:vAlign w:val="center"/>
          </w:tcPr>
          <w:p w14:paraId="5E98C0C4" w14:textId="77777777" w:rsidR="00472983" w:rsidRPr="009E6AB2" w:rsidRDefault="00472983" w:rsidP="00472983">
            <w:pPr>
              <w:spacing w:after="0" w:line="240" w:lineRule="auto"/>
              <w:jc w:val="center"/>
              <w:rPr>
                <w:rFonts w:ascii="Palatino Linotype" w:eastAsia="Palatino Linotype" w:hAnsi="Palatino Linotype" w:cs="Palatino Linotype"/>
                <w:b/>
                <w:sz w:val="20"/>
              </w:rPr>
            </w:pPr>
          </w:p>
          <w:p w14:paraId="2527FB38" w14:textId="77777777" w:rsidR="00472983" w:rsidRPr="009E6AB2" w:rsidRDefault="00472983" w:rsidP="00472983">
            <w:pPr>
              <w:spacing w:after="0" w:line="240" w:lineRule="auto"/>
              <w:jc w:val="center"/>
              <w:rPr>
                <w:rFonts w:ascii="Palatino Linotype" w:eastAsia="Palatino Linotype" w:hAnsi="Palatino Linotype" w:cs="Palatino Linotype"/>
                <w:b/>
                <w:i/>
                <w:sz w:val="20"/>
              </w:rPr>
            </w:pPr>
            <w:r w:rsidRPr="009E6AB2">
              <w:rPr>
                <w:rFonts w:ascii="Palatino Linotype" w:eastAsia="Palatino Linotype" w:hAnsi="Palatino Linotype" w:cs="Palatino Linotype"/>
                <w:b/>
                <w:sz w:val="20"/>
              </w:rPr>
              <w:t xml:space="preserve">00478/INFOEM/IP/RR/2025  </w:t>
            </w:r>
          </w:p>
        </w:tc>
        <w:tc>
          <w:tcPr>
            <w:tcW w:w="2977" w:type="dxa"/>
          </w:tcPr>
          <w:p w14:paraId="09DD48EC" w14:textId="77777777" w:rsidR="00472983" w:rsidRPr="009E6AB2" w:rsidRDefault="00472983" w:rsidP="007A7A00">
            <w:pPr>
              <w:spacing w:after="0" w:line="240" w:lineRule="auto"/>
              <w:jc w:val="both"/>
              <w:rPr>
                <w:rFonts w:ascii="Palatino Linotype" w:eastAsia="Palatino Linotype" w:hAnsi="Palatino Linotype" w:cs="Palatino Linotype"/>
                <w:i/>
                <w:sz w:val="20"/>
              </w:rPr>
            </w:pPr>
            <w:r w:rsidRPr="009E6AB2">
              <w:rPr>
                <w:rFonts w:ascii="Palatino Linotype" w:eastAsia="Palatino Linotype" w:hAnsi="Palatino Linotype" w:cs="Palatino Linotype"/>
                <w:i/>
                <w:sz w:val="20"/>
              </w:rPr>
              <w:t>“</w:t>
            </w:r>
            <w:r w:rsidR="007A7A00" w:rsidRPr="009E6AB2">
              <w:rPr>
                <w:rFonts w:ascii="Palatino Linotype" w:eastAsia="Palatino Linotype" w:hAnsi="Palatino Linotype" w:cs="Palatino Linotype"/>
                <w:i/>
                <w:sz w:val="20"/>
              </w:rPr>
              <w:t>SE ME ENTREGA LA INFORMACION INCOMPLETA....NO ESTOY CONFORME CON LO QUE SE ME ENTREGA</w:t>
            </w:r>
            <w:r w:rsidRPr="009E6AB2">
              <w:rPr>
                <w:rFonts w:ascii="Palatino Linotype" w:eastAsia="Palatino Linotype" w:hAnsi="Palatino Linotype" w:cs="Palatino Linotype"/>
                <w:i/>
                <w:sz w:val="20"/>
              </w:rPr>
              <w:t>”</w:t>
            </w:r>
          </w:p>
        </w:tc>
        <w:tc>
          <w:tcPr>
            <w:tcW w:w="3260" w:type="dxa"/>
          </w:tcPr>
          <w:p w14:paraId="09433458" w14:textId="77777777" w:rsidR="00472983" w:rsidRPr="009E6AB2" w:rsidRDefault="007A7A00" w:rsidP="00472983">
            <w:pPr>
              <w:spacing w:after="0" w:line="240" w:lineRule="auto"/>
              <w:jc w:val="both"/>
              <w:rPr>
                <w:rFonts w:ascii="Palatino Linotype" w:eastAsia="Palatino Linotype" w:hAnsi="Palatino Linotype" w:cs="Palatino Linotype"/>
                <w:i/>
                <w:sz w:val="20"/>
              </w:rPr>
            </w:pPr>
            <w:r w:rsidRPr="009E6AB2">
              <w:rPr>
                <w:rFonts w:ascii="Palatino Linotype" w:eastAsia="Palatino Linotype" w:hAnsi="Palatino Linotype" w:cs="Palatino Linotype"/>
                <w:i/>
                <w:sz w:val="20"/>
              </w:rPr>
              <w:t>“SE ME ENTREGA LA INFORMACION INCOMPLETA....NO ESTOY CONFORME CON LO QUE SE ME ENTREGA”</w:t>
            </w:r>
          </w:p>
        </w:tc>
      </w:tr>
    </w:tbl>
    <w:p w14:paraId="7A427360" w14:textId="77777777" w:rsidR="007A7A00" w:rsidRPr="009E6AB2" w:rsidRDefault="007A7A00">
      <w:pPr>
        <w:spacing w:after="0" w:line="360" w:lineRule="auto"/>
        <w:jc w:val="both"/>
        <w:rPr>
          <w:rFonts w:ascii="Palatino Linotype" w:eastAsia="Palatino Linotype" w:hAnsi="Palatino Linotype" w:cs="Palatino Linotype"/>
        </w:rPr>
      </w:pPr>
    </w:p>
    <w:p w14:paraId="62512C79" w14:textId="77777777" w:rsidR="004D5666" w:rsidRPr="009E6AB2" w:rsidRDefault="00376B6F">
      <w:pPr>
        <w:spacing w:after="0" w:line="360" w:lineRule="auto"/>
        <w:jc w:val="both"/>
        <w:rPr>
          <w:rFonts w:ascii="Palatino Linotype" w:eastAsia="Palatino Linotype" w:hAnsi="Palatino Linotype" w:cs="Palatino Linotype"/>
        </w:rPr>
      </w:pPr>
      <w:bookmarkStart w:id="2" w:name="_heading=h.gjdgxs" w:colFirst="0" w:colLast="0"/>
      <w:bookmarkEnd w:id="2"/>
      <w:r w:rsidRPr="009E6AB2">
        <w:rPr>
          <w:rFonts w:ascii="Palatino Linotype" w:eastAsia="Palatino Linotype" w:hAnsi="Palatino Linotype" w:cs="Palatino Linotype"/>
          <w:b/>
        </w:rPr>
        <w:t>4</w:t>
      </w:r>
      <w:r w:rsidR="007F0576" w:rsidRPr="009E6AB2">
        <w:rPr>
          <w:rFonts w:ascii="Palatino Linotype" w:eastAsia="Palatino Linotype" w:hAnsi="Palatino Linotype" w:cs="Palatino Linotype"/>
          <w:b/>
        </w:rPr>
        <w:t>. Turno.</w:t>
      </w:r>
      <w:r w:rsidR="007F0576" w:rsidRPr="009E6AB2">
        <w:rPr>
          <w:rFonts w:ascii="Palatino Linotype" w:eastAsia="Palatino Linotype" w:hAnsi="Palatino Linotype" w:cs="Palatino Linotype"/>
        </w:rPr>
        <w:t xml:space="preserve"> De conformidad con el artículo 185 fracción I de la Ley Transparencia y Acce</w:t>
      </w:r>
      <w:r w:rsidR="007A7A00" w:rsidRPr="009E6AB2">
        <w:rPr>
          <w:rFonts w:ascii="Palatino Linotype" w:eastAsia="Palatino Linotype" w:hAnsi="Palatino Linotype" w:cs="Palatino Linotype"/>
        </w:rPr>
        <w:t>so a la Información Pública, el recurso</w:t>
      </w:r>
      <w:r w:rsidR="007F0576" w:rsidRPr="009E6AB2">
        <w:rPr>
          <w:rFonts w:ascii="Palatino Linotype" w:eastAsia="Palatino Linotype" w:hAnsi="Palatino Linotype" w:cs="Palatino Linotype"/>
        </w:rPr>
        <w:t xml:space="preserve"> de revisión número </w:t>
      </w:r>
      <w:r w:rsidR="007A7A00" w:rsidRPr="009E6AB2">
        <w:rPr>
          <w:rFonts w:ascii="Palatino Linotype" w:eastAsia="Palatino Linotype" w:hAnsi="Palatino Linotype" w:cs="Palatino Linotype"/>
          <w:b/>
        </w:rPr>
        <w:t xml:space="preserve">00469/INFOEM/IP/RR/2025 </w:t>
      </w:r>
      <w:r w:rsidR="007F0576" w:rsidRPr="009E6AB2">
        <w:rPr>
          <w:rFonts w:ascii="Palatino Linotype" w:eastAsia="Palatino Linotype" w:hAnsi="Palatino Linotype" w:cs="Palatino Linotype"/>
        </w:rPr>
        <w:t>fu</w:t>
      </w:r>
      <w:r w:rsidR="007A7A00" w:rsidRPr="009E6AB2">
        <w:rPr>
          <w:rFonts w:ascii="Palatino Linotype" w:eastAsia="Palatino Linotype" w:hAnsi="Palatino Linotype" w:cs="Palatino Linotype"/>
        </w:rPr>
        <w:t>e turnado</w:t>
      </w:r>
      <w:r w:rsidR="007F0576" w:rsidRPr="009E6AB2">
        <w:rPr>
          <w:rFonts w:ascii="Palatino Linotype" w:eastAsia="Palatino Linotype" w:hAnsi="Palatino Linotype" w:cs="Palatino Linotype"/>
        </w:rPr>
        <w:t xml:space="preserve"> a la Comisionada Guadalupe Ramírez Peña; </w:t>
      </w:r>
      <w:r w:rsidR="007A7A00" w:rsidRPr="009E6AB2">
        <w:rPr>
          <w:rFonts w:ascii="Palatino Linotype" w:eastAsia="Palatino Linotype" w:hAnsi="Palatino Linotype" w:cs="Palatino Linotype"/>
        </w:rPr>
        <w:t>el recurso</w:t>
      </w:r>
      <w:r w:rsidR="007F0576" w:rsidRPr="009E6AB2">
        <w:rPr>
          <w:rFonts w:ascii="Palatino Linotype" w:eastAsia="Palatino Linotype" w:hAnsi="Palatino Linotype" w:cs="Palatino Linotype"/>
        </w:rPr>
        <w:t xml:space="preserve"> </w:t>
      </w:r>
      <w:r w:rsidR="007A7A00" w:rsidRPr="009E6AB2">
        <w:rPr>
          <w:rFonts w:ascii="Palatino Linotype" w:eastAsia="Palatino Linotype" w:hAnsi="Palatino Linotype" w:cs="Palatino Linotype"/>
          <w:b/>
        </w:rPr>
        <w:t xml:space="preserve">00478/INFOEM/IP/RR/2025 </w:t>
      </w:r>
      <w:r w:rsidR="007A7A00" w:rsidRPr="009E6AB2">
        <w:rPr>
          <w:rFonts w:ascii="Palatino Linotype" w:eastAsia="Palatino Linotype" w:hAnsi="Palatino Linotype" w:cs="Palatino Linotype"/>
        </w:rPr>
        <w:t>fue turnado</w:t>
      </w:r>
      <w:r w:rsidR="007F0576" w:rsidRPr="009E6AB2">
        <w:rPr>
          <w:rFonts w:ascii="Palatino Linotype" w:eastAsia="Palatino Linotype" w:hAnsi="Palatino Linotype" w:cs="Palatino Linotype"/>
          <w:b/>
        </w:rPr>
        <w:t xml:space="preserve"> </w:t>
      </w:r>
      <w:r w:rsidR="007F0576" w:rsidRPr="009E6AB2">
        <w:rPr>
          <w:rFonts w:ascii="Palatino Linotype" w:eastAsia="Palatino Linotype" w:hAnsi="Palatino Linotype" w:cs="Palatino Linotype"/>
        </w:rPr>
        <w:t>a la Comisionada María del Rosario Mejía Ayala</w:t>
      </w:r>
      <w:r w:rsidR="007A7A00" w:rsidRPr="009E6AB2">
        <w:rPr>
          <w:rFonts w:ascii="Palatino Linotype" w:eastAsia="Palatino Linotype" w:hAnsi="Palatino Linotype" w:cs="Palatino Linotype"/>
        </w:rPr>
        <w:t xml:space="preserve">. </w:t>
      </w:r>
      <w:r w:rsidR="007F0576" w:rsidRPr="009E6AB2">
        <w:rPr>
          <w:rFonts w:ascii="Palatino Linotype" w:eastAsia="Palatino Linotype" w:hAnsi="Palatino Linotype" w:cs="Palatino Linotype"/>
        </w:rPr>
        <w:t xml:space="preserve"> </w:t>
      </w:r>
    </w:p>
    <w:p w14:paraId="5F240EDF" w14:textId="77777777" w:rsidR="004D5666" w:rsidRPr="009E6AB2" w:rsidRDefault="004D5666">
      <w:pPr>
        <w:spacing w:after="0" w:line="360" w:lineRule="auto"/>
        <w:jc w:val="both"/>
        <w:rPr>
          <w:rFonts w:ascii="Palatino Linotype" w:eastAsia="Palatino Linotype" w:hAnsi="Palatino Linotype" w:cs="Palatino Linotype"/>
        </w:rPr>
      </w:pPr>
    </w:p>
    <w:p w14:paraId="055B76F4" w14:textId="77777777" w:rsidR="004D5666" w:rsidRPr="009E6AB2" w:rsidRDefault="00376B6F">
      <w:pPr>
        <w:spacing w:after="0" w:line="360" w:lineRule="auto"/>
        <w:ind w:right="51"/>
        <w:jc w:val="both"/>
        <w:rPr>
          <w:rFonts w:ascii="Palatino Linotype" w:eastAsia="Palatino Linotype" w:hAnsi="Palatino Linotype" w:cs="Palatino Linotype"/>
          <w:b/>
        </w:rPr>
      </w:pPr>
      <w:r w:rsidRPr="009E6AB2">
        <w:rPr>
          <w:rFonts w:ascii="Palatino Linotype" w:eastAsia="Palatino Linotype" w:hAnsi="Palatino Linotype" w:cs="Palatino Linotype"/>
          <w:b/>
        </w:rPr>
        <w:t>5</w:t>
      </w:r>
      <w:r w:rsidR="007F0576" w:rsidRPr="009E6AB2">
        <w:rPr>
          <w:rFonts w:ascii="Palatino Linotype" w:eastAsia="Palatino Linotype" w:hAnsi="Palatino Linotype" w:cs="Palatino Linotype"/>
          <w:b/>
        </w:rPr>
        <w:t xml:space="preserve">. Admisión de los Recursos de Revisión. </w:t>
      </w:r>
      <w:r w:rsidR="007F0576" w:rsidRPr="009E6AB2">
        <w:rPr>
          <w:rFonts w:ascii="Palatino Linotype" w:eastAsia="Palatino Linotype" w:hAnsi="Palatino Linotype" w:cs="Palatino Linotype"/>
        </w:rPr>
        <w:t xml:space="preserve">En fecha </w:t>
      </w:r>
      <w:r w:rsidR="007A7A00" w:rsidRPr="009E6AB2">
        <w:rPr>
          <w:rFonts w:ascii="Palatino Linotype" w:eastAsia="Palatino Linotype" w:hAnsi="Palatino Linotype" w:cs="Palatino Linotype"/>
          <w:b/>
        </w:rPr>
        <w:t>cinco y siete de febrero de dos mil veinticinco</w:t>
      </w:r>
      <w:r w:rsidR="007F0576" w:rsidRPr="009E6AB2">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 </w:t>
      </w:r>
      <w:r w:rsidR="007A7A00" w:rsidRPr="009E6AB2">
        <w:rPr>
          <w:rFonts w:ascii="Palatino Linotype" w:eastAsia="Palatino Linotype" w:hAnsi="Palatino Linotype" w:cs="Palatino Linotype"/>
          <w:b/>
        </w:rPr>
        <w:t>00469/INFOEM/IP/RR/2025</w:t>
      </w:r>
      <w:r w:rsidR="007F0576" w:rsidRPr="009E6AB2">
        <w:rPr>
          <w:rFonts w:ascii="Palatino Linotype" w:eastAsia="Palatino Linotype" w:hAnsi="Palatino Linotype" w:cs="Palatino Linotype"/>
          <w:b/>
        </w:rPr>
        <w:t xml:space="preserve"> y </w:t>
      </w:r>
      <w:r w:rsidR="007A7A00" w:rsidRPr="009E6AB2">
        <w:rPr>
          <w:rFonts w:ascii="Palatino Linotype" w:eastAsia="Palatino Linotype" w:hAnsi="Palatino Linotype" w:cs="Palatino Linotype"/>
          <w:b/>
        </w:rPr>
        <w:t xml:space="preserve">00478/INFOEM/IP/RR/2025. </w:t>
      </w:r>
    </w:p>
    <w:p w14:paraId="20EF1E5F" w14:textId="77777777" w:rsidR="007A7A00" w:rsidRPr="009E6AB2" w:rsidRDefault="007A7A00">
      <w:pPr>
        <w:spacing w:after="0" w:line="360" w:lineRule="auto"/>
        <w:ind w:right="51"/>
        <w:jc w:val="both"/>
        <w:rPr>
          <w:rFonts w:ascii="Palatino Linotype" w:eastAsia="Palatino Linotype" w:hAnsi="Palatino Linotype" w:cs="Palatino Linotype"/>
        </w:rPr>
      </w:pPr>
    </w:p>
    <w:p w14:paraId="106CF10A" w14:textId="77777777" w:rsidR="004D5666" w:rsidRPr="009E6AB2" w:rsidRDefault="00376B6F">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6</w:t>
      </w:r>
      <w:r w:rsidR="007F0576" w:rsidRPr="009E6AB2">
        <w:rPr>
          <w:rFonts w:ascii="Palatino Linotype" w:eastAsia="Palatino Linotype" w:hAnsi="Palatino Linotype" w:cs="Palatino Linotype"/>
          <w:b/>
        </w:rPr>
        <w:t xml:space="preserve">. Manifestaciones. </w:t>
      </w:r>
      <w:r w:rsidR="007F0576" w:rsidRPr="009E6AB2">
        <w:rPr>
          <w:rFonts w:ascii="Palatino Linotype" w:eastAsia="Palatino Linotype" w:hAnsi="Palatino Linotype" w:cs="Palatino Linotype"/>
        </w:rPr>
        <w:t>En fechas</w:t>
      </w:r>
      <w:r w:rsidR="007F0576" w:rsidRPr="009E6AB2">
        <w:rPr>
          <w:rFonts w:ascii="Palatino Linotype" w:eastAsia="Palatino Linotype" w:hAnsi="Palatino Linotype" w:cs="Palatino Linotype"/>
          <w:b/>
        </w:rPr>
        <w:t xml:space="preserve"> </w:t>
      </w:r>
      <w:r w:rsidR="007A7A00" w:rsidRPr="009E6AB2">
        <w:rPr>
          <w:rFonts w:ascii="Palatino Linotype" w:eastAsia="Palatino Linotype" w:hAnsi="Palatino Linotype" w:cs="Palatino Linotype"/>
          <w:b/>
        </w:rPr>
        <w:t>diez y once de febrero de dos mil veinticinco</w:t>
      </w:r>
      <w:r w:rsidR="007A7A00" w:rsidRPr="009E6AB2">
        <w:rPr>
          <w:rFonts w:ascii="Palatino Linotype" w:eastAsia="Palatino Linotype" w:hAnsi="Palatino Linotype" w:cs="Palatino Linotype"/>
        </w:rPr>
        <w:t>,</w:t>
      </w:r>
      <w:r w:rsidR="007F0576" w:rsidRPr="009E6AB2">
        <w:rPr>
          <w:rFonts w:ascii="Palatino Linotype" w:eastAsia="Palatino Linotype" w:hAnsi="Palatino Linotype" w:cs="Palatino Linotype"/>
        </w:rPr>
        <w:t xml:space="preserve"> </w:t>
      </w:r>
      <w:r w:rsidR="007F0576" w:rsidRPr="009E6AB2">
        <w:rPr>
          <w:rFonts w:ascii="Palatino Linotype" w:eastAsia="Palatino Linotype" w:hAnsi="Palatino Linotype" w:cs="Palatino Linotype"/>
          <w:b/>
        </w:rPr>
        <w:t xml:space="preserve">EL SUJETO OBLIGADO </w:t>
      </w:r>
      <w:r w:rsidR="007F0576" w:rsidRPr="009E6AB2">
        <w:rPr>
          <w:rFonts w:ascii="Palatino Linotype" w:eastAsia="Palatino Linotype" w:hAnsi="Palatino Linotype" w:cs="Palatino Linotype"/>
        </w:rPr>
        <w:t xml:space="preserve">rindió sus informes justificados, en los recursos de revisión de la siguiente forma: </w:t>
      </w:r>
    </w:p>
    <w:p w14:paraId="3E67CDE5" w14:textId="77777777" w:rsidR="004D5666" w:rsidRPr="009E6AB2" w:rsidRDefault="004D5666">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A13AA5" w:rsidRPr="009E6AB2" w14:paraId="22378175" w14:textId="77777777" w:rsidTr="00D80B8F">
        <w:trPr>
          <w:jc w:val="center"/>
        </w:trPr>
        <w:tc>
          <w:tcPr>
            <w:tcW w:w="2547" w:type="dxa"/>
            <w:shd w:val="clear" w:color="auto" w:fill="A6A6A6"/>
          </w:tcPr>
          <w:p w14:paraId="2F52AC0D" w14:textId="77777777" w:rsidR="007A7A00" w:rsidRPr="009E6AB2" w:rsidRDefault="007A7A00" w:rsidP="007A7A00">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Número de Recurso</w:t>
            </w:r>
          </w:p>
        </w:tc>
        <w:tc>
          <w:tcPr>
            <w:tcW w:w="6281" w:type="dxa"/>
            <w:shd w:val="clear" w:color="auto" w:fill="A6A6A6"/>
          </w:tcPr>
          <w:p w14:paraId="119F2ABE" w14:textId="77777777" w:rsidR="007A7A00" w:rsidRPr="009E6AB2" w:rsidRDefault="007A7A00" w:rsidP="00D80B8F">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Informe Justificado</w:t>
            </w:r>
          </w:p>
        </w:tc>
      </w:tr>
      <w:tr w:rsidR="00A13AA5" w:rsidRPr="009E6AB2" w14:paraId="32168353" w14:textId="77777777" w:rsidTr="00D80B8F">
        <w:trPr>
          <w:jc w:val="center"/>
        </w:trPr>
        <w:tc>
          <w:tcPr>
            <w:tcW w:w="2547" w:type="dxa"/>
            <w:vAlign w:val="center"/>
          </w:tcPr>
          <w:p w14:paraId="466E3574" w14:textId="77777777" w:rsidR="007A7A00" w:rsidRPr="009E6AB2" w:rsidRDefault="007A7A00" w:rsidP="007A7A00">
            <w:pPr>
              <w:spacing w:after="0" w:line="240" w:lineRule="auto"/>
              <w:rPr>
                <w:rFonts w:ascii="Palatino Linotype" w:eastAsia="Palatino Linotype" w:hAnsi="Palatino Linotype" w:cs="Palatino Linotype"/>
                <w:b/>
                <w:sz w:val="20"/>
              </w:rPr>
            </w:pPr>
          </w:p>
          <w:p w14:paraId="0D0575B7" w14:textId="77777777" w:rsidR="007A7A00" w:rsidRPr="009E6AB2" w:rsidRDefault="007A7A00" w:rsidP="00D80B8F">
            <w:pPr>
              <w:spacing w:after="0" w:line="240" w:lineRule="auto"/>
              <w:jc w:val="center"/>
              <w:rPr>
                <w:rFonts w:ascii="Palatino Linotype" w:eastAsia="Palatino Linotype" w:hAnsi="Palatino Linotype" w:cs="Palatino Linotype"/>
                <w:b/>
                <w:sz w:val="20"/>
              </w:rPr>
            </w:pPr>
            <w:r w:rsidRPr="009E6AB2">
              <w:rPr>
                <w:rFonts w:ascii="Palatino Linotype" w:eastAsia="Palatino Linotype" w:hAnsi="Palatino Linotype" w:cs="Palatino Linotype"/>
                <w:b/>
                <w:sz w:val="20"/>
              </w:rPr>
              <w:t>00469/INFOEM/IP/RR/2025</w:t>
            </w:r>
          </w:p>
        </w:tc>
        <w:tc>
          <w:tcPr>
            <w:tcW w:w="6281" w:type="dxa"/>
          </w:tcPr>
          <w:p w14:paraId="2581A767" w14:textId="77777777" w:rsidR="007A7A00" w:rsidRPr="009E6AB2" w:rsidRDefault="007A7A00" w:rsidP="007A7A00">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veinte de enero de dos mil veinticinco, </w:t>
            </w:r>
            <w:r w:rsidR="00C051E3" w:rsidRPr="009E6AB2">
              <w:rPr>
                <w:rFonts w:ascii="Palatino Linotype" w:eastAsia="Palatino Linotype" w:hAnsi="Palatino Linotype" w:cs="Palatino Linotype"/>
                <w:sz w:val="20"/>
              </w:rPr>
              <w:t xml:space="preserve">suscrito por la Directora de Departamento de Catastro Municipal, mediante el cual refiere que información respecto de otra solicitud. </w:t>
            </w:r>
          </w:p>
          <w:p w14:paraId="79FFDD8D" w14:textId="77777777" w:rsidR="00C051E3" w:rsidRPr="009E6AB2" w:rsidRDefault="00C051E3" w:rsidP="007A7A00">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Oficio de fecha veinte de enero de dos mil veinticinco, signado por la Directora de Departamento de Catastro Municipal, </w:t>
            </w:r>
            <w:r w:rsidRPr="009E6AB2">
              <w:rPr>
                <w:rFonts w:ascii="Palatino Linotype" w:eastAsia="Palatino Linotype" w:hAnsi="Palatino Linotype" w:cs="Palatino Linotype"/>
                <w:sz w:val="20"/>
              </w:rPr>
              <w:lastRenderedPageBreak/>
              <w:t xml:space="preserve">mediante el cual </w:t>
            </w:r>
            <w:r w:rsidR="00D80B8F" w:rsidRPr="009E6AB2">
              <w:rPr>
                <w:rFonts w:ascii="Palatino Linotype" w:eastAsia="Palatino Linotype" w:hAnsi="Palatino Linotype" w:cs="Palatino Linotype"/>
                <w:sz w:val="20"/>
              </w:rPr>
              <w:t xml:space="preserve">refiere que se remite el listado de las personas que se encuentran adscritas al área de Catastro. </w:t>
            </w:r>
          </w:p>
          <w:p w14:paraId="67E360D5" w14:textId="77777777" w:rsidR="00D80B8F" w:rsidRPr="009E6AB2" w:rsidRDefault="00D80B8F" w:rsidP="007A7A00">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Requisitos para servicios y trámites que presta Catastro. </w:t>
            </w:r>
          </w:p>
          <w:p w14:paraId="1906B9E7" w14:textId="77777777" w:rsidR="00D80B8F" w:rsidRPr="009E6AB2" w:rsidRDefault="00D80B8F" w:rsidP="007A7A00">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Solicitud de servicios catastrales </w:t>
            </w:r>
          </w:p>
        </w:tc>
      </w:tr>
      <w:tr w:rsidR="007A7A00" w:rsidRPr="009E6AB2" w14:paraId="2C2DD559" w14:textId="77777777" w:rsidTr="00D80B8F">
        <w:trPr>
          <w:jc w:val="center"/>
        </w:trPr>
        <w:tc>
          <w:tcPr>
            <w:tcW w:w="2547" w:type="dxa"/>
            <w:vAlign w:val="center"/>
          </w:tcPr>
          <w:p w14:paraId="24B8C7AB" w14:textId="77777777" w:rsidR="007A7A00" w:rsidRPr="009E6AB2" w:rsidRDefault="007A7A00" w:rsidP="007A7A00">
            <w:pPr>
              <w:spacing w:after="0" w:line="240" w:lineRule="auto"/>
              <w:rPr>
                <w:rFonts w:ascii="Palatino Linotype" w:eastAsia="Palatino Linotype" w:hAnsi="Palatino Linotype" w:cs="Palatino Linotype"/>
                <w:b/>
                <w:sz w:val="20"/>
              </w:rPr>
            </w:pPr>
          </w:p>
          <w:p w14:paraId="5FD0ADA8" w14:textId="77777777" w:rsidR="007A7A00" w:rsidRPr="009E6AB2" w:rsidRDefault="007A7A00" w:rsidP="00D80B8F">
            <w:pPr>
              <w:spacing w:after="0" w:line="240" w:lineRule="auto"/>
              <w:jc w:val="center"/>
              <w:rPr>
                <w:rFonts w:ascii="Palatino Linotype" w:eastAsia="Palatino Linotype" w:hAnsi="Palatino Linotype" w:cs="Palatino Linotype"/>
                <w:b/>
                <w:i/>
                <w:sz w:val="20"/>
              </w:rPr>
            </w:pPr>
            <w:r w:rsidRPr="009E6AB2">
              <w:rPr>
                <w:rFonts w:ascii="Palatino Linotype" w:eastAsia="Palatino Linotype" w:hAnsi="Palatino Linotype" w:cs="Palatino Linotype"/>
                <w:b/>
                <w:sz w:val="20"/>
              </w:rPr>
              <w:t xml:space="preserve">00478/INFOEM/IP/RR/2025  </w:t>
            </w:r>
          </w:p>
        </w:tc>
        <w:tc>
          <w:tcPr>
            <w:tcW w:w="6281" w:type="dxa"/>
          </w:tcPr>
          <w:p w14:paraId="63A2EB42" w14:textId="77777777" w:rsidR="007A7A00" w:rsidRPr="009E6AB2" w:rsidRDefault="007A7A00" w:rsidP="00D80B8F">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 </w:t>
            </w:r>
            <w:r w:rsidR="00D80B8F" w:rsidRPr="009E6AB2">
              <w:rPr>
                <w:rFonts w:ascii="Palatino Linotype" w:eastAsia="Palatino Linotype" w:hAnsi="Palatino Linotype" w:cs="Palatino Linotype"/>
                <w:sz w:val="20"/>
              </w:rPr>
              <w:t>Oficio de fecha veinte de enero de dos mil veinticinco, signado por el Director de Recursos Humanos, mediante el cual informa que, se envía la relación del personal adscrito al área de Mantenimiento del Municipio.</w:t>
            </w:r>
          </w:p>
          <w:p w14:paraId="7C282C06" w14:textId="77777777" w:rsidR="00D80B8F" w:rsidRPr="009E6AB2" w:rsidRDefault="00D80B8F" w:rsidP="00D80B8F">
            <w:pPr>
              <w:pStyle w:val="Prrafodelista"/>
              <w:numPr>
                <w:ilvl w:val="0"/>
                <w:numId w:val="15"/>
              </w:numPr>
              <w:spacing w:after="0" w:line="240" w:lineRule="auto"/>
              <w:ind w:left="310"/>
              <w:jc w:val="both"/>
              <w:rPr>
                <w:rFonts w:ascii="Palatino Linotype" w:eastAsia="Palatino Linotype" w:hAnsi="Palatino Linotype" w:cs="Palatino Linotype"/>
                <w:sz w:val="20"/>
              </w:rPr>
            </w:pPr>
            <w:r w:rsidRPr="009E6AB2">
              <w:rPr>
                <w:rFonts w:ascii="Palatino Linotype" w:eastAsia="Palatino Linotype" w:hAnsi="Palatino Linotype" w:cs="Palatino Linotype"/>
                <w:sz w:val="20"/>
              </w:rPr>
              <w:t xml:space="preserve">Lista del personal adscrito al área de mantenimiento del municipio. </w:t>
            </w:r>
          </w:p>
        </w:tc>
      </w:tr>
    </w:tbl>
    <w:p w14:paraId="755E71D9" w14:textId="77777777" w:rsidR="004D5666" w:rsidRPr="009E6AB2" w:rsidRDefault="004D5666">
      <w:pPr>
        <w:spacing w:after="0" w:line="360" w:lineRule="auto"/>
        <w:jc w:val="both"/>
        <w:rPr>
          <w:rFonts w:ascii="Palatino Linotype" w:eastAsia="Palatino Linotype" w:hAnsi="Palatino Linotype" w:cs="Palatino Linotype"/>
          <w:b/>
        </w:rPr>
      </w:pPr>
      <w:bookmarkStart w:id="3" w:name="_heading=h.1fob9te" w:colFirst="0" w:colLast="0"/>
      <w:bookmarkEnd w:id="3"/>
    </w:p>
    <w:p w14:paraId="43428CB7" w14:textId="77777777" w:rsidR="00D80B8F" w:rsidRPr="009E6AB2" w:rsidRDefault="00D80B8F">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 xml:space="preserve">Documentos que se hicieron del conocimiento en fecha </w:t>
      </w:r>
      <w:r w:rsidRPr="009E6AB2">
        <w:rPr>
          <w:rFonts w:ascii="Palatino Linotype" w:eastAsia="Palatino Linotype" w:hAnsi="Palatino Linotype" w:cs="Palatino Linotype"/>
          <w:b/>
        </w:rPr>
        <w:t>dieciocho de febrero de dos mil veinticinco.</w:t>
      </w:r>
    </w:p>
    <w:p w14:paraId="6B1D1E1F" w14:textId="77777777" w:rsidR="00D80B8F" w:rsidRPr="009E6AB2" w:rsidRDefault="00D80B8F">
      <w:pPr>
        <w:spacing w:after="0" w:line="360" w:lineRule="auto"/>
        <w:jc w:val="both"/>
        <w:rPr>
          <w:rFonts w:ascii="Palatino Linotype" w:eastAsia="Palatino Linotype" w:hAnsi="Palatino Linotype" w:cs="Palatino Linotype"/>
          <w:b/>
        </w:rPr>
      </w:pPr>
    </w:p>
    <w:p w14:paraId="57197CB4" w14:textId="77777777" w:rsidR="004D5666" w:rsidRPr="009E6AB2" w:rsidRDefault="007F05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Mientras que la parte </w:t>
      </w:r>
      <w:r w:rsidRPr="009E6AB2">
        <w:rPr>
          <w:rFonts w:ascii="Palatino Linotype" w:eastAsia="Palatino Linotype" w:hAnsi="Palatino Linotype" w:cs="Palatino Linotype"/>
          <w:b/>
        </w:rPr>
        <w:t>Recurrente</w:t>
      </w:r>
      <w:r w:rsidRPr="009E6AB2">
        <w:rPr>
          <w:rFonts w:ascii="Palatino Linotype" w:eastAsia="Palatino Linotype" w:hAnsi="Palatino Linotype" w:cs="Palatino Linotype"/>
        </w:rPr>
        <w:t xml:space="preserve"> fue omisa en rendir su informe justificado.</w:t>
      </w:r>
    </w:p>
    <w:p w14:paraId="07D1DF88" w14:textId="77777777" w:rsidR="004D5666" w:rsidRPr="009E6AB2" w:rsidRDefault="004D566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9792B97" w14:textId="77777777" w:rsidR="004D5666" w:rsidRPr="009E6AB2" w:rsidRDefault="00376B6F">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7</w:t>
      </w:r>
      <w:r w:rsidR="007F0576" w:rsidRPr="009E6AB2">
        <w:rPr>
          <w:rFonts w:ascii="Palatino Linotype" w:eastAsia="Palatino Linotype" w:hAnsi="Palatino Linotype" w:cs="Palatino Linotype"/>
          <w:b/>
        </w:rPr>
        <w:t xml:space="preserve">. Acumulación de los recursos de revisión. </w:t>
      </w:r>
      <w:r w:rsidR="007F0576" w:rsidRPr="009E6AB2">
        <w:rPr>
          <w:rFonts w:ascii="Palatino Linotype" w:eastAsia="Palatino Linotype" w:hAnsi="Palatino Linotype" w:cs="Palatino Linotype"/>
        </w:rPr>
        <w:t xml:space="preserve">Al respecto cabe señalar, que el Pleno de este Instituto, en la </w:t>
      </w:r>
      <w:r w:rsidR="00D80B8F" w:rsidRPr="009E6AB2">
        <w:rPr>
          <w:rFonts w:ascii="Palatino Linotype" w:eastAsia="Palatino Linotype" w:hAnsi="Palatino Linotype" w:cs="Palatino Linotype"/>
          <w:b/>
        </w:rPr>
        <w:t>Quinta</w:t>
      </w:r>
      <w:r w:rsidR="007F0576" w:rsidRPr="009E6AB2">
        <w:rPr>
          <w:rFonts w:ascii="Palatino Linotype" w:eastAsia="Palatino Linotype" w:hAnsi="Palatino Linotype" w:cs="Palatino Linotype"/>
          <w:b/>
        </w:rPr>
        <w:t xml:space="preserve"> Sesión</w:t>
      </w:r>
      <w:r w:rsidR="007F0576" w:rsidRPr="009E6AB2">
        <w:rPr>
          <w:rFonts w:ascii="Palatino Linotype" w:eastAsia="Palatino Linotype" w:hAnsi="Palatino Linotype" w:cs="Palatino Linotype"/>
        </w:rPr>
        <w:t xml:space="preserve"> </w:t>
      </w:r>
      <w:r w:rsidR="007F0576" w:rsidRPr="009E6AB2">
        <w:rPr>
          <w:rFonts w:ascii="Palatino Linotype" w:eastAsia="Palatino Linotype" w:hAnsi="Palatino Linotype" w:cs="Palatino Linotype"/>
          <w:b/>
        </w:rPr>
        <w:t>Ordinaria</w:t>
      </w:r>
      <w:r w:rsidR="007F0576" w:rsidRPr="009E6AB2">
        <w:rPr>
          <w:rFonts w:ascii="Palatino Linotype" w:eastAsia="Palatino Linotype" w:hAnsi="Palatino Linotype" w:cs="Palatino Linotype"/>
        </w:rPr>
        <w:t xml:space="preserve"> de fecha </w:t>
      </w:r>
      <w:r w:rsidR="00D80B8F" w:rsidRPr="009E6AB2">
        <w:rPr>
          <w:rFonts w:ascii="Palatino Linotype" w:eastAsia="Palatino Linotype" w:hAnsi="Palatino Linotype" w:cs="Palatino Linotype"/>
          <w:b/>
        </w:rPr>
        <w:t>trece de febrero</w:t>
      </w:r>
      <w:r w:rsidR="007F0576" w:rsidRPr="009E6AB2">
        <w:rPr>
          <w:rFonts w:ascii="Palatino Linotype" w:eastAsia="Palatino Linotype" w:hAnsi="Palatino Linotype" w:cs="Palatino Linotype"/>
          <w:b/>
        </w:rPr>
        <w:t xml:space="preserve"> de dos mil </w:t>
      </w:r>
      <w:r w:rsidRPr="009E6AB2">
        <w:rPr>
          <w:rFonts w:ascii="Palatino Linotype" w:eastAsia="Palatino Linotype" w:hAnsi="Palatino Linotype" w:cs="Palatino Linotype"/>
          <w:b/>
        </w:rPr>
        <w:t>veinticinco</w:t>
      </w:r>
      <w:r w:rsidR="007F0576" w:rsidRPr="009E6AB2">
        <w:rPr>
          <w:rFonts w:ascii="Palatino Linotype" w:eastAsia="Palatino Linotype" w:hAnsi="Palatino Linotype" w:cs="Palatino Linotype"/>
          <w:b/>
        </w:rPr>
        <w:t>,</w:t>
      </w:r>
      <w:r w:rsidR="007F0576" w:rsidRPr="009E6AB2">
        <w:rPr>
          <w:rFonts w:ascii="Palatino Linotype" w:eastAsia="Palatino Linotype" w:hAnsi="Palatino Linotype" w:cs="Palatino Linotype"/>
        </w:rPr>
        <w:t xml:space="preserve"> ordenó la acumulación de los expedientes citados, a efecto de que la </w:t>
      </w:r>
      <w:r w:rsidR="007F0576" w:rsidRPr="009E6AB2">
        <w:rPr>
          <w:rFonts w:ascii="Palatino Linotype" w:eastAsia="Palatino Linotype" w:hAnsi="Palatino Linotype" w:cs="Palatino Linotype"/>
          <w:b/>
        </w:rPr>
        <w:t xml:space="preserve">Comisionada Guadalupe Ramírez Peña </w:t>
      </w:r>
      <w:r w:rsidR="007F0576" w:rsidRPr="009E6AB2">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588A08C2" w14:textId="77777777" w:rsidR="004D5666" w:rsidRPr="009E6AB2" w:rsidRDefault="004D5666">
      <w:pPr>
        <w:spacing w:after="0" w:line="360" w:lineRule="auto"/>
        <w:jc w:val="both"/>
      </w:pPr>
    </w:p>
    <w:p w14:paraId="427EF090" w14:textId="77777777" w:rsidR="004D5666" w:rsidRPr="009E6AB2" w:rsidRDefault="007F05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9E6AB2">
        <w:rPr>
          <w:rFonts w:ascii="Palatino Linotype" w:eastAsia="Palatino Linotype" w:hAnsi="Palatino Linotype" w:cs="Palatino Linotype"/>
          <w:b/>
          <w:i/>
        </w:rPr>
        <w:t>Código de Procedimientos Administrativos del Estado de México</w:t>
      </w:r>
    </w:p>
    <w:p w14:paraId="1ADFA858" w14:textId="77777777" w:rsidR="004D5666" w:rsidRPr="009E6AB2" w:rsidRDefault="007F05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9E6AB2">
        <w:rPr>
          <w:rFonts w:ascii="Palatino Linotype" w:eastAsia="Palatino Linotype" w:hAnsi="Palatino Linotype" w:cs="Palatino Linotype"/>
          <w:b/>
          <w:i/>
        </w:rPr>
        <w:t>“Artículo 18.-</w:t>
      </w:r>
      <w:r w:rsidRPr="009E6AB2">
        <w:rPr>
          <w:rFonts w:ascii="Palatino Linotype" w:eastAsia="Palatino Linotype" w:hAnsi="Palatino Linotype" w:cs="Palatino Linotype"/>
          <w:i/>
        </w:rPr>
        <w:t xml:space="preserve"> </w:t>
      </w:r>
      <w:r w:rsidRPr="009E6AB2">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9E6AB2">
        <w:rPr>
          <w:rFonts w:ascii="Palatino Linotype" w:eastAsia="Palatino Linotype" w:hAnsi="Palatino Linotype" w:cs="Palatino Linotype"/>
          <w:i/>
        </w:rPr>
        <w:t xml:space="preserve"> o a petición de parte, </w:t>
      </w:r>
      <w:r w:rsidRPr="009E6AB2">
        <w:rPr>
          <w:rFonts w:ascii="Palatino Linotype" w:eastAsia="Palatino Linotype" w:hAnsi="Palatino Linotype" w:cs="Palatino Linotype"/>
          <w:b/>
          <w:i/>
        </w:rPr>
        <w:t>cuando las partes</w:t>
      </w:r>
      <w:r w:rsidRPr="009E6AB2">
        <w:rPr>
          <w:rFonts w:ascii="Palatino Linotype" w:eastAsia="Palatino Linotype" w:hAnsi="Palatino Linotype" w:cs="Palatino Linotype"/>
          <w:i/>
        </w:rPr>
        <w:t xml:space="preserve"> o los actos administrativos sean iguales, se trate de actos conexos o </w:t>
      </w:r>
      <w:r w:rsidRPr="009E6AB2">
        <w:rPr>
          <w:rFonts w:ascii="Palatino Linotype" w:eastAsia="Palatino Linotype" w:hAnsi="Palatino Linotype" w:cs="Palatino Linotype"/>
          <w:b/>
          <w:i/>
        </w:rPr>
        <w:t xml:space="preserve">resulte conveniente el trámite unificado de los asuntos, para evitar la emisión de resoluciones </w:t>
      </w:r>
      <w:r w:rsidRPr="009E6AB2">
        <w:rPr>
          <w:rFonts w:ascii="Palatino Linotype" w:eastAsia="Palatino Linotype" w:hAnsi="Palatino Linotype" w:cs="Palatino Linotype"/>
          <w:b/>
          <w:i/>
        </w:rPr>
        <w:lastRenderedPageBreak/>
        <w:t>contradictorias</w:t>
      </w:r>
      <w:r w:rsidRPr="009E6AB2">
        <w:rPr>
          <w:rFonts w:ascii="Palatino Linotype" w:eastAsia="Palatino Linotype" w:hAnsi="Palatino Linotype" w:cs="Palatino Linotype"/>
          <w:i/>
        </w:rPr>
        <w:t>. La misma regla se aplicará, en lo conducente, para la separación de los expedientes.”</w:t>
      </w:r>
    </w:p>
    <w:p w14:paraId="1149FE41" w14:textId="77777777" w:rsidR="004D5666" w:rsidRPr="009E6AB2" w:rsidRDefault="007F05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9E6AB2">
        <w:rPr>
          <w:rFonts w:ascii="Palatino Linotype" w:eastAsia="Palatino Linotype" w:hAnsi="Palatino Linotype" w:cs="Palatino Linotype"/>
          <w:b/>
          <w:i/>
        </w:rPr>
        <w:t>Ley de Transparencia y Acceso a la Información Pública del Estado de México y Municipios</w:t>
      </w:r>
    </w:p>
    <w:p w14:paraId="5EABC5A0" w14:textId="77777777" w:rsidR="004D5666" w:rsidRPr="009E6AB2" w:rsidRDefault="007F05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9E6AB2">
        <w:rPr>
          <w:rFonts w:ascii="Palatino Linotype" w:eastAsia="Palatino Linotype" w:hAnsi="Palatino Linotype" w:cs="Palatino Linotype"/>
          <w:b/>
          <w:i/>
        </w:rPr>
        <w:t>“Artículo 195.-</w:t>
      </w:r>
      <w:r w:rsidRPr="009E6AB2">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EC965EF" w14:textId="77777777" w:rsidR="004D5666" w:rsidRPr="009E6AB2" w:rsidRDefault="004D5666">
      <w:pPr>
        <w:spacing w:after="0" w:line="360" w:lineRule="auto"/>
        <w:ind w:right="49"/>
        <w:jc w:val="both"/>
        <w:rPr>
          <w:rFonts w:ascii="Palatino Linotype" w:eastAsia="Palatino Linotype" w:hAnsi="Palatino Linotype" w:cs="Palatino Linotype"/>
        </w:rPr>
      </w:pPr>
    </w:p>
    <w:p w14:paraId="0F5887B9"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9E6AB2">
        <w:rPr>
          <w:rFonts w:ascii="Palatino Linotype" w:eastAsia="Palatino Linotype" w:hAnsi="Palatino Linotype" w:cs="Palatino Linotype"/>
          <w:b/>
        </w:rPr>
        <w:t>Recurrente</w:t>
      </w:r>
      <w:r w:rsidRPr="009E6AB2">
        <w:rPr>
          <w:rFonts w:ascii="Palatino Linotype" w:eastAsia="Palatino Linotype" w:hAnsi="Palatino Linotype" w:cs="Palatino Linotype"/>
        </w:rPr>
        <w:t xml:space="preserve"> ante el mismo </w:t>
      </w:r>
      <w:r w:rsidRPr="009E6AB2">
        <w:rPr>
          <w:rFonts w:ascii="Palatino Linotype" w:eastAsia="Palatino Linotype" w:hAnsi="Palatino Linotype" w:cs="Palatino Linotype"/>
          <w:b/>
        </w:rPr>
        <w:t>Sujeto Obligado</w:t>
      </w:r>
      <w:r w:rsidRPr="009E6AB2">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525B8E76" w14:textId="77777777" w:rsidR="004D5666" w:rsidRPr="009E6AB2" w:rsidRDefault="004D5666">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1D751EEF" w14:textId="77777777" w:rsidR="004D5666" w:rsidRPr="009E6AB2" w:rsidRDefault="007F05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8. Cierre de instrucción</w:t>
      </w:r>
      <w:r w:rsidRPr="009E6AB2">
        <w:rPr>
          <w:rFonts w:ascii="Palatino Linotype" w:eastAsia="Palatino Linotype" w:hAnsi="Palatino Linotype" w:cs="Palatino Linotype"/>
        </w:rPr>
        <w:t xml:space="preserve">. En fecha </w:t>
      </w:r>
      <w:r w:rsidR="00376B6F" w:rsidRPr="009E6AB2">
        <w:rPr>
          <w:rFonts w:ascii="Palatino Linotype" w:eastAsia="Palatino Linotype" w:hAnsi="Palatino Linotype" w:cs="Palatino Linotype"/>
          <w:b/>
        </w:rPr>
        <w:t>veinticuatro de febrero de dos mil veinticinco</w:t>
      </w:r>
      <w:r w:rsidRPr="009E6AB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130770A" w14:textId="77777777" w:rsidR="004D5666" w:rsidRPr="009E6AB2" w:rsidRDefault="004D5666">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2B5387A9" w14:textId="77777777" w:rsidR="004D5666" w:rsidRPr="009E6AB2" w:rsidRDefault="007F0576" w:rsidP="00376B6F">
      <w:pPr>
        <w:spacing w:after="0" w:line="360" w:lineRule="auto"/>
        <w:ind w:right="49"/>
        <w:jc w:val="center"/>
        <w:rPr>
          <w:rFonts w:ascii="Palatino Linotype" w:eastAsia="Palatino Linotype" w:hAnsi="Palatino Linotype" w:cs="Palatino Linotype"/>
          <w:b/>
        </w:rPr>
      </w:pPr>
      <w:r w:rsidRPr="009E6AB2">
        <w:rPr>
          <w:rFonts w:ascii="Palatino Linotype" w:eastAsia="Palatino Linotype" w:hAnsi="Palatino Linotype" w:cs="Palatino Linotype"/>
          <w:b/>
        </w:rPr>
        <w:t>II.</w:t>
      </w:r>
      <w:r w:rsidRPr="009E6AB2">
        <w:rPr>
          <w:rFonts w:ascii="Palatino Linotype" w:eastAsia="Palatino Linotype" w:hAnsi="Palatino Linotype" w:cs="Palatino Linotype"/>
          <w:b/>
        </w:rPr>
        <w:tab/>
        <w:t>C O N S I D E R A N D O:</w:t>
      </w:r>
    </w:p>
    <w:p w14:paraId="3E882DBE" w14:textId="77777777" w:rsidR="004D5666" w:rsidRPr="009E6AB2" w:rsidRDefault="004D5666">
      <w:pPr>
        <w:spacing w:after="0" w:line="360" w:lineRule="auto"/>
        <w:ind w:right="49"/>
        <w:jc w:val="both"/>
        <w:rPr>
          <w:rFonts w:ascii="Palatino Linotype" w:eastAsia="Palatino Linotype" w:hAnsi="Palatino Linotype" w:cs="Palatino Linotype"/>
        </w:rPr>
      </w:pPr>
    </w:p>
    <w:p w14:paraId="094FB994" w14:textId="77777777" w:rsidR="00376B6F" w:rsidRPr="009E6AB2" w:rsidRDefault="007F0576" w:rsidP="00376B6F">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 xml:space="preserve">Primero. Competencia. </w:t>
      </w:r>
      <w:r w:rsidR="00376B6F" w:rsidRPr="009E6AB2">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00376B6F" w:rsidRPr="009E6AB2">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528F174A" w14:textId="77777777" w:rsidR="00376B6F" w:rsidRPr="009E6AB2" w:rsidRDefault="00376B6F" w:rsidP="00376B6F">
      <w:pPr>
        <w:spacing w:after="0" w:line="360" w:lineRule="auto"/>
        <w:jc w:val="both"/>
        <w:rPr>
          <w:rFonts w:ascii="Palatino Linotype" w:eastAsia="Palatino Linotype" w:hAnsi="Palatino Linotype" w:cs="Palatino Linotype"/>
        </w:rPr>
      </w:pPr>
    </w:p>
    <w:p w14:paraId="567D5862" w14:textId="77777777" w:rsidR="004D5666" w:rsidRPr="009E6AB2" w:rsidRDefault="007F0576" w:rsidP="00376B6F">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Segundo. Oportunidad y Procedibilidad del Recurso de Revisión.</w:t>
      </w:r>
      <w:r w:rsidRPr="009E6AB2">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1B49406"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9E6AB2">
        <w:rPr>
          <w:rFonts w:ascii="Palatino Linotype" w:eastAsia="Palatino Linotype" w:hAnsi="Palatino Linotype" w:cs="Palatino Linotype"/>
          <w:b/>
        </w:rPr>
        <w:t>SUJETO OBLIGADO</w:t>
      </w:r>
      <w:r w:rsidRPr="009E6AB2">
        <w:rPr>
          <w:rFonts w:ascii="Palatino Linotype" w:eastAsia="Palatino Linotype" w:hAnsi="Palatino Linotype" w:cs="Palatino Linotype"/>
        </w:rPr>
        <w:t xml:space="preserve"> remitió las respuestas a las solicitudes de información y los recursos de revisión fueron interpuestos por la parte </w:t>
      </w:r>
      <w:r w:rsidRPr="009E6AB2">
        <w:rPr>
          <w:rFonts w:ascii="Palatino Linotype" w:eastAsia="Palatino Linotype" w:hAnsi="Palatino Linotype" w:cs="Palatino Linotype"/>
          <w:b/>
        </w:rPr>
        <w:t xml:space="preserve">RECURRENTE </w:t>
      </w:r>
      <w:r w:rsidRPr="009E6AB2">
        <w:rPr>
          <w:rFonts w:ascii="Palatino Linotype" w:eastAsia="Palatino Linotype" w:hAnsi="Palatino Linotype" w:cs="Palatino Linotype"/>
        </w:rPr>
        <w:t>en los siguientes días:</w:t>
      </w:r>
    </w:p>
    <w:p w14:paraId="279F7DA7" w14:textId="77777777" w:rsidR="004D5666" w:rsidRPr="009E6AB2" w:rsidRDefault="004D566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CA4307C" w14:textId="77777777" w:rsidR="004D5666" w:rsidRPr="009E6AB2" w:rsidRDefault="007F0576">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El Sujeto Obligado emitió respuestas el </w:t>
      </w:r>
      <w:r w:rsidR="00376B6F" w:rsidRPr="009E6AB2">
        <w:rPr>
          <w:rFonts w:ascii="Palatino Linotype" w:eastAsia="Palatino Linotype" w:hAnsi="Palatino Linotype" w:cs="Palatino Linotype"/>
          <w:b/>
        </w:rPr>
        <w:t>veintidós y veintitrés de enero de dos mil veinticinco</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y la parte Recurrente interpuso su</w:t>
      </w:r>
      <w:r w:rsidR="004325BA"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recurso</w:t>
      </w:r>
      <w:r w:rsidR="004325BA"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de revisión el </w:t>
      </w:r>
      <w:r w:rsidR="00376B6F" w:rsidRPr="009E6AB2">
        <w:rPr>
          <w:rFonts w:ascii="Palatino Linotype" w:eastAsia="Palatino Linotype" w:hAnsi="Palatino Linotype" w:cs="Palatino Linotype"/>
          <w:b/>
        </w:rPr>
        <w:t xml:space="preserve">cuatro </w:t>
      </w:r>
      <w:r w:rsidR="004325BA" w:rsidRPr="009E6AB2">
        <w:rPr>
          <w:rFonts w:ascii="Palatino Linotype" w:eastAsia="Palatino Linotype" w:hAnsi="Palatino Linotype" w:cs="Palatino Linotype"/>
          <w:b/>
        </w:rPr>
        <w:t>d</w:t>
      </w:r>
      <w:r w:rsidR="00376B6F" w:rsidRPr="009E6AB2">
        <w:rPr>
          <w:rFonts w:ascii="Palatino Linotype" w:eastAsia="Palatino Linotype" w:hAnsi="Palatino Linotype" w:cs="Palatino Linotype"/>
          <w:b/>
        </w:rPr>
        <w:t>e febrero de dos mil veinticinco</w:t>
      </w:r>
      <w:r w:rsidRPr="009E6AB2">
        <w:rPr>
          <w:rFonts w:ascii="Palatino Linotype" w:eastAsia="Palatino Linotype" w:hAnsi="Palatino Linotype" w:cs="Palatino Linotype"/>
        </w:rPr>
        <w:t xml:space="preserve">, esto es al </w:t>
      </w:r>
      <w:proofErr w:type="gramStart"/>
      <w:r w:rsidR="00376B6F" w:rsidRPr="009E6AB2">
        <w:rPr>
          <w:rFonts w:ascii="Palatino Linotype" w:eastAsia="Palatino Linotype" w:hAnsi="Palatino Linotype" w:cs="Palatino Linotype"/>
        </w:rPr>
        <w:t xml:space="preserve">octavo </w:t>
      </w:r>
      <w:r w:rsidRPr="009E6AB2">
        <w:rPr>
          <w:rFonts w:ascii="Palatino Linotype" w:eastAsia="Palatino Linotype" w:hAnsi="Palatino Linotype" w:cs="Palatino Linotype"/>
        </w:rPr>
        <w:t xml:space="preserve"> día</w:t>
      </w:r>
      <w:proofErr w:type="gramEnd"/>
      <w:r w:rsidRPr="009E6AB2">
        <w:rPr>
          <w:rFonts w:ascii="Palatino Linotype" w:eastAsia="Palatino Linotype" w:hAnsi="Palatino Linotype" w:cs="Palatino Linotype"/>
        </w:rPr>
        <w:t xml:space="preserve"> hábil en que tuvo conocimiento de la respuesta. </w:t>
      </w:r>
    </w:p>
    <w:p w14:paraId="31E4BD18" w14:textId="77777777" w:rsidR="004D5666" w:rsidRPr="009E6AB2" w:rsidRDefault="004D5666">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F371677"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9E6AB2">
        <w:rPr>
          <w:rFonts w:ascii="Palatino Linotype" w:eastAsia="Palatino Linotype" w:hAnsi="Palatino Linotype" w:cs="Palatino Linotype"/>
          <w:b/>
        </w:rPr>
        <w:t>SAIMEX</w:t>
      </w:r>
      <w:r w:rsidRPr="009E6AB2">
        <w:rPr>
          <w:rFonts w:ascii="Palatino Linotype" w:eastAsia="Palatino Linotype" w:hAnsi="Palatino Linotype" w:cs="Palatino Linotype"/>
        </w:rPr>
        <w:t xml:space="preserve">.  </w:t>
      </w:r>
    </w:p>
    <w:p w14:paraId="6F65976A" w14:textId="77777777" w:rsidR="004325BA" w:rsidRPr="009E6AB2" w:rsidRDefault="004325BA">
      <w:pPr>
        <w:spacing w:after="0" w:line="360" w:lineRule="auto"/>
        <w:ind w:right="49"/>
        <w:jc w:val="both"/>
        <w:rPr>
          <w:rFonts w:ascii="Palatino Linotype" w:eastAsia="Palatino Linotype" w:hAnsi="Palatino Linotype" w:cs="Palatino Linotype"/>
        </w:rPr>
      </w:pPr>
    </w:p>
    <w:p w14:paraId="276EA297"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lastRenderedPageBreak/>
        <w:t>Finalmente, resulta procedente la interposición de los recursos de revisión al rubro anotado, toda vez que se actualizan las hipótesis de procedencia prevista</w:t>
      </w:r>
      <w:r w:rsidR="004325BA" w:rsidRPr="009E6AB2">
        <w:rPr>
          <w:rFonts w:ascii="Palatino Linotype" w:eastAsia="Palatino Linotype" w:hAnsi="Palatino Linotype" w:cs="Palatino Linotype"/>
        </w:rPr>
        <w:t>s en el artículo 179, fracción</w:t>
      </w:r>
      <w:r w:rsidRPr="009E6AB2">
        <w:rPr>
          <w:rFonts w:ascii="Palatino Linotype" w:eastAsia="Palatino Linotype" w:hAnsi="Palatino Linotype" w:cs="Palatino Linotype"/>
        </w:rPr>
        <w:t xml:space="preserve"> V de la Ley de la materia, que a la letra dice:</w:t>
      </w:r>
    </w:p>
    <w:p w14:paraId="5A602FAE" w14:textId="77777777" w:rsidR="004D5666" w:rsidRPr="009E6AB2" w:rsidRDefault="004D5666">
      <w:pPr>
        <w:spacing w:after="0" w:line="360" w:lineRule="auto"/>
        <w:ind w:right="49"/>
        <w:jc w:val="both"/>
        <w:rPr>
          <w:rFonts w:ascii="Palatino Linotype" w:eastAsia="Palatino Linotype" w:hAnsi="Palatino Linotype" w:cs="Palatino Linotype"/>
        </w:rPr>
      </w:pPr>
    </w:p>
    <w:p w14:paraId="37120239" w14:textId="77777777" w:rsidR="004D5666" w:rsidRPr="009E6AB2" w:rsidRDefault="007F0576">
      <w:pPr>
        <w:spacing w:after="0"/>
        <w:ind w:left="567" w:right="560"/>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Artículo 179.</w:t>
      </w:r>
      <w:r w:rsidRPr="009E6AB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8EC20A5" w14:textId="77777777" w:rsidR="004D5666" w:rsidRPr="009E6AB2" w:rsidRDefault="007F0576">
      <w:pPr>
        <w:spacing w:after="0"/>
        <w:ind w:left="567" w:right="560"/>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25AD2EE9" w14:textId="77777777" w:rsidR="004D5666" w:rsidRPr="009E6AB2" w:rsidRDefault="007F0576">
      <w:pPr>
        <w:spacing w:after="0"/>
        <w:ind w:left="567" w:right="560"/>
        <w:jc w:val="both"/>
        <w:rPr>
          <w:rFonts w:ascii="Palatino Linotype" w:eastAsia="Palatino Linotype" w:hAnsi="Palatino Linotype" w:cs="Palatino Linotype"/>
          <w:i/>
        </w:rPr>
      </w:pPr>
      <w:r w:rsidRPr="009E6AB2">
        <w:rPr>
          <w:rFonts w:ascii="Palatino Linotype" w:eastAsia="Palatino Linotype" w:hAnsi="Palatino Linotype" w:cs="Palatino Linotype"/>
          <w:i/>
        </w:rPr>
        <w:t>V. La entrega de información incompleta;</w:t>
      </w:r>
    </w:p>
    <w:p w14:paraId="7FED79BB" w14:textId="77777777" w:rsidR="004D5666" w:rsidRPr="009E6AB2" w:rsidRDefault="007F0576">
      <w:pPr>
        <w:spacing w:after="0"/>
        <w:ind w:left="567" w:right="560"/>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5463FA03" w14:textId="77777777" w:rsidR="004D5666" w:rsidRPr="009E6AB2" w:rsidRDefault="004D5666">
      <w:pPr>
        <w:spacing w:after="0" w:line="360" w:lineRule="auto"/>
        <w:ind w:right="49"/>
        <w:jc w:val="both"/>
        <w:rPr>
          <w:rFonts w:ascii="Palatino Linotype" w:eastAsia="Palatino Linotype" w:hAnsi="Palatino Linotype" w:cs="Palatino Linotype"/>
          <w:b/>
        </w:rPr>
      </w:pPr>
    </w:p>
    <w:p w14:paraId="1A7B2154"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t>Tercero. Materia de la revisión</w:t>
      </w:r>
      <w:r w:rsidRPr="009E6AB2">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w:t>
      </w:r>
      <w:proofErr w:type="gramStart"/>
      <w:r w:rsidRPr="009E6AB2">
        <w:rPr>
          <w:rFonts w:ascii="Palatino Linotype" w:eastAsia="Palatino Linotype" w:hAnsi="Palatino Linotype" w:cs="Palatino Linotype"/>
        </w:rPr>
        <w:t>será  determinar</w:t>
      </w:r>
      <w:proofErr w:type="gramEnd"/>
      <w:r w:rsidRPr="009E6AB2">
        <w:rPr>
          <w:rFonts w:ascii="Palatino Linotype" w:eastAsia="Palatino Linotype" w:hAnsi="Palatino Linotype" w:cs="Palatino Linotype"/>
        </w:rPr>
        <w:t>, si se actualiza la hipótesis prevista en la</w:t>
      </w:r>
      <w:r w:rsidR="004325BA" w:rsidRPr="009E6AB2">
        <w:rPr>
          <w:rFonts w:ascii="Palatino Linotype" w:eastAsia="Palatino Linotype" w:hAnsi="Palatino Linotype" w:cs="Palatino Linotype"/>
        </w:rPr>
        <w:t xml:space="preserve"> fracción </w:t>
      </w:r>
      <w:r w:rsidRPr="009E6AB2">
        <w:rPr>
          <w:rFonts w:ascii="Palatino Linotype" w:eastAsia="Palatino Linotype" w:hAnsi="Palatino Linotype" w:cs="Palatino Linotype"/>
        </w:rPr>
        <w:t xml:space="preserve"> V el artículo 179 de la Ley en la materia. </w:t>
      </w:r>
    </w:p>
    <w:p w14:paraId="00BA5E00" w14:textId="77777777" w:rsidR="004325BA" w:rsidRPr="009E6AB2" w:rsidRDefault="004325BA">
      <w:pPr>
        <w:spacing w:after="0" w:line="360" w:lineRule="auto"/>
        <w:ind w:right="49"/>
        <w:jc w:val="both"/>
        <w:rPr>
          <w:rFonts w:ascii="Palatino Linotype" w:eastAsia="Palatino Linotype" w:hAnsi="Palatino Linotype" w:cs="Palatino Linotype"/>
        </w:rPr>
      </w:pPr>
    </w:p>
    <w:p w14:paraId="08B4C83F" w14:textId="77777777" w:rsidR="00E457DB" w:rsidRPr="009E6AB2" w:rsidRDefault="007F0576" w:rsidP="00E457DB">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Cuarto.</w:t>
      </w:r>
      <w:r w:rsidRPr="009E6AB2">
        <w:rPr>
          <w:rFonts w:ascii="Palatino Linotype" w:eastAsia="Palatino Linotype" w:hAnsi="Palatino Linotype" w:cs="Palatino Linotype"/>
        </w:rPr>
        <w:t xml:space="preserve"> </w:t>
      </w:r>
      <w:r w:rsidRPr="009E6AB2">
        <w:rPr>
          <w:rFonts w:ascii="Palatino Linotype" w:eastAsia="Palatino Linotype" w:hAnsi="Palatino Linotype" w:cs="Palatino Linotype"/>
          <w:b/>
        </w:rPr>
        <w:t>Estudio de fondo del asunto.</w:t>
      </w:r>
      <w:r w:rsidRPr="009E6AB2">
        <w:rPr>
          <w:rFonts w:ascii="Palatino Linotype" w:eastAsia="Palatino Linotype" w:hAnsi="Palatino Linotype" w:cs="Palatino Linotype"/>
        </w:rPr>
        <w:t xml:space="preserve">  </w:t>
      </w:r>
      <w:r w:rsidR="00E457DB" w:rsidRPr="009E6AB2">
        <w:rPr>
          <w:rFonts w:ascii="Palatino Linotype" w:eastAsia="Palatino Linotype" w:hAnsi="Palatino Linotype" w:cs="Palatino Linotype"/>
        </w:rPr>
        <w:t>Es conveniente analizar si la respuesta del Sujeto Obligado</w:t>
      </w:r>
      <w:r w:rsidR="00E457DB" w:rsidRPr="009E6AB2">
        <w:rPr>
          <w:rFonts w:ascii="Palatino Linotype" w:eastAsia="Palatino Linotype" w:hAnsi="Palatino Linotype" w:cs="Palatino Linotype"/>
          <w:b/>
        </w:rPr>
        <w:t xml:space="preserve"> </w:t>
      </w:r>
      <w:r w:rsidR="00E457DB" w:rsidRPr="009E6AB2">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A72CCBE" w14:textId="77777777" w:rsidR="00E457DB" w:rsidRPr="009E6AB2" w:rsidRDefault="00E457DB" w:rsidP="00E457DB">
      <w:pPr>
        <w:spacing w:after="0" w:line="360" w:lineRule="auto"/>
        <w:jc w:val="both"/>
        <w:rPr>
          <w:rFonts w:ascii="Palatino Linotype" w:eastAsia="Palatino Linotype" w:hAnsi="Palatino Linotype" w:cs="Palatino Linotype"/>
        </w:rPr>
      </w:pPr>
    </w:p>
    <w:p w14:paraId="41254850" w14:textId="77777777" w:rsidR="00E457DB" w:rsidRPr="009E6AB2" w:rsidRDefault="00E457DB" w:rsidP="00E457DB">
      <w:pPr>
        <w:tabs>
          <w:tab w:val="left" w:pos="851"/>
        </w:tabs>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Artículo 4</w:t>
      </w:r>
      <w:r w:rsidRPr="009E6AB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53F87F" w14:textId="77777777" w:rsidR="00E457DB" w:rsidRPr="009E6AB2" w:rsidRDefault="00E457DB" w:rsidP="00E457DB">
      <w:pPr>
        <w:tabs>
          <w:tab w:val="left" w:pos="851"/>
        </w:tabs>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9E6AB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70F09D" w14:textId="77777777" w:rsidR="00E457DB" w:rsidRPr="009E6AB2" w:rsidRDefault="00E457DB" w:rsidP="00E457DB">
      <w:pPr>
        <w:tabs>
          <w:tab w:val="left" w:pos="851"/>
        </w:tabs>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E6AB2">
        <w:rPr>
          <w:rFonts w:ascii="Palatino Linotype" w:eastAsia="Palatino Linotype" w:hAnsi="Palatino Linotype" w:cs="Palatino Linotype"/>
          <w:i/>
        </w:rPr>
        <w:t>.”</w:t>
      </w:r>
    </w:p>
    <w:p w14:paraId="35CB6DA9" w14:textId="77777777" w:rsidR="00E457DB" w:rsidRPr="009E6AB2" w:rsidRDefault="00E457DB" w:rsidP="00E457DB">
      <w:pPr>
        <w:spacing w:after="0" w:line="360" w:lineRule="auto"/>
        <w:jc w:val="both"/>
        <w:rPr>
          <w:rFonts w:ascii="Palatino Linotype" w:eastAsia="Palatino Linotype" w:hAnsi="Palatino Linotype" w:cs="Palatino Linotype"/>
        </w:rPr>
      </w:pPr>
    </w:p>
    <w:p w14:paraId="583AAFD4" w14:textId="77777777" w:rsidR="00E457DB" w:rsidRPr="009E6AB2" w:rsidRDefault="00E457DB" w:rsidP="00E457DB">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E784423" w14:textId="77777777" w:rsidR="00E457DB" w:rsidRPr="009E6AB2" w:rsidRDefault="00E457DB" w:rsidP="00E457DB">
      <w:pPr>
        <w:spacing w:after="0" w:line="360" w:lineRule="auto"/>
        <w:ind w:right="616"/>
        <w:jc w:val="both"/>
        <w:rPr>
          <w:rFonts w:ascii="Palatino Linotype" w:eastAsia="Palatino Linotype" w:hAnsi="Palatino Linotype" w:cs="Palatino Linotype"/>
        </w:rPr>
      </w:pPr>
    </w:p>
    <w:p w14:paraId="46DAD0AD" w14:textId="77777777" w:rsidR="00E457DB" w:rsidRPr="009E6AB2" w:rsidRDefault="00E457DB" w:rsidP="00E457DB">
      <w:pPr>
        <w:tabs>
          <w:tab w:val="left" w:pos="6804"/>
        </w:tabs>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Artículo 12.-</w:t>
      </w:r>
      <w:r w:rsidRPr="009E6AB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3844E25" w14:textId="77777777" w:rsidR="00E457DB" w:rsidRPr="009E6AB2" w:rsidRDefault="00E457DB" w:rsidP="00E457DB">
      <w:pPr>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E6AB2">
        <w:rPr>
          <w:rFonts w:ascii="Palatino Linotype" w:eastAsia="Palatino Linotype" w:hAnsi="Palatino Linotype" w:cs="Palatino Linotype"/>
          <w:i/>
        </w:rPr>
        <w:t xml:space="preserve">. </w:t>
      </w:r>
      <w:r w:rsidRPr="009E6AB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9E6AB2">
        <w:rPr>
          <w:rFonts w:ascii="Palatino Linotype" w:eastAsia="Palatino Linotype" w:hAnsi="Palatino Linotype" w:cs="Palatino Linotype"/>
          <w:i/>
        </w:rPr>
        <w:t xml:space="preserve">.” </w:t>
      </w:r>
    </w:p>
    <w:p w14:paraId="15B6BE5B" w14:textId="77777777" w:rsidR="00E457DB" w:rsidRPr="009E6AB2" w:rsidRDefault="00E457DB" w:rsidP="00E457DB">
      <w:pPr>
        <w:spacing w:after="0" w:line="360" w:lineRule="auto"/>
        <w:ind w:right="-93"/>
        <w:jc w:val="both"/>
        <w:rPr>
          <w:rFonts w:ascii="Palatino Linotype" w:eastAsia="Palatino Linotype" w:hAnsi="Palatino Linotype" w:cs="Palatino Linotype"/>
        </w:rPr>
      </w:pPr>
    </w:p>
    <w:p w14:paraId="1EB16587" w14:textId="77777777" w:rsidR="00E457DB" w:rsidRPr="009E6AB2" w:rsidRDefault="00E457DB" w:rsidP="00E457DB">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w:t>
      </w:r>
      <w:r w:rsidRPr="009E6AB2">
        <w:rPr>
          <w:rFonts w:ascii="Palatino Linotype" w:eastAsia="Palatino Linotype" w:hAnsi="Palatino Linotype" w:cs="Palatino Linotype"/>
        </w:rPr>
        <w:lastRenderedPageBreak/>
        <w:t>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690B5ED" w14:textId="77777777" w:rsidR="00E457DB" w:rsidRPr="009E6AB2" w:rsidRDefault="00E457DB" w:rsidP="00E457DB">
      <w:pPr>
        <w:spacing w:after="0" w:line="360" w:lineRule="auto"/>
        <w:ind w:right="-93"/>
        <w:jc w:val="both"/>
        <w:rPr>
          <w:rFonts w:ascii="Palatino Linotype" w:eastAsia="Palatino Linotype" w:hAnsi="Palatino Linotype" w:cs="Palatino Linotype"/>
        </w:rPr>
      </w:pPr>
    </w:p>
    <w:p w14:paraId="489FFC52" w14:textId="77777777" w:rsidR="00E457DB" w:rsidRPr="009E6AB2" w:rsidRDefault="00E457DB" w:rsidP="00E457DB">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9E6AB2">
        <w:rPr>
          <w:rFonts w:ascii="Palatino Linotype" w:eastAsia="Palatino Linotype" w:hAnsi="Palatino Linotype" w:cs="Palatino Linotype"/>
          <w:b/>
        </w:rPr>
        <w:t xml:space="preserve"> </w:t>
      </w:r>
    </w:p>
    <w:p w14:paraId="3C9FAA9C" w14:textId="77777777" w:rsidR="00E457DB" w:rsidRPr="009E6AB2" w:rsidRDefault="00E457DB" w:rsidP="00E457DB">
      <w:pPr>
        <w:spacing w:after="0" w:line="276" w:lineRule="auto"/>
        <w:ind w:right="850"/>
        <w:jc w:val="both"/>
        <w:rPr>
          <w:rFonts w:ascii="Palatino Linotype" w:eastAsia="Palatino Linotype" w:hAnsi="Palatino Linotype" w:cs="Palatino Linotype"/>
        </w:rPr>
      </w:pPr>
    </w:p>
    <w:p w14:paraId="5460EDD3" w14:textId="77777777" w:rsidR="00E457DB" w:rsidRPr="009E6AB2" w:rsidRDefault="00E457DB" w:rsidP="00E457DB">
      <w:pPr>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No existe obligación de elaborar documentos ad hoc para atender las solicitudes de acceso a la información.</w:t>
      </w:r>
      <w:r w:rsidRPr="009E6AB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590989D" w14:textId="77777777" w:rsidR="00E457DB" w:rsidRPr="009E6AB2" w:rsidRDefault="00E457DB" w:rsidP="00E457DB">
      <w:pPr>
        <w:spacing w:after="0" w:line="276" w:lineRule="auto"/>
        <w:ind w:right="616"/>
        <w:jc w:val="both"/>
        <w:rPr>
          <w:rFonts w:ascii="Palatino Linotype" w:eastAsia="Palatino Linotype" w:hAnsi="Palatino Linotype" w:cs="Palatino Linotype"/>
          <w:i/>
        </w:rPr>
      </w:pPr>
    </w:p>
    <w:p w14:paraId="373B7429" w14:textId="77777777" w:rsidR="00E457DB" w:rsidRPr="009E6AB2" w:rsidRDefault="00E457DB" w:rsidP="00E457DB">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E41A6A" w14:textId="77777777" w:rsidR="00E457DB" w:rsidRPr="009E6AB2" w:rsidRDefault="00E457DB" w:rsidP="00E457DB">
      <w:pPr>
        <w:spacing w:after="0" w:line="360" w:lineRule="auto"/>
        <w:jc w:val="both"/>
        <w:rPr>
          <w:rFonts w:ascii="Palatino Linotype" w:eastAsia="Palatino Linotype" w:hAnsi="Palatino Linotype" w:cs="Palatino Linotype"/>
        </w:rPr>
      </w:pPr>
    </w:p>
    <w:p w14:paraId="0FD64654" w14:textId="77777777" w:rsidR="00E457DB" w:rsidRPr="009E6AB2" w:rsidRDefault="00E457DB" w:rsidP="00E457DB">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w:t>
      </w:r>
      <w:r w:rsidRPr="009E6AB2">
        <w:rPr>
          <w:rFonts w:ascii="Palatino Linotype" w:eastAsia="Palatino Linotype" w:hAnsi="Palatino Linotype" w:cs="Palatino Linotype"/>
        </w:rPr>
        <w:lastRenderedPageBreak/>
        <w:t>comité de transparencia y la versión pública que emita el servidor público habilitado de cada Sujeto Obligado; como así se establece en la Ley de Transparencia y Acceso a la Información Pública del Estado de México y Municipios.</w:t>
      </w:r>
    </w:p>
    <w:p w14:paraId="2A54B4B2" w14:textId="77777777" w:rsidR="00E457DB" w:rsidRPr="009E6AB2" w:rsidRDefault="00E457DB" w:rsidP="00E457DB">
      <w:pPr>
        <w:spacing w:after="0" w:line="360" w:lineRule="auto"/>
        <w:ind w:right="49"/>
        <w:jc w:val="both"/>
        <w:rPr>
          <w:rFonts w:ascii="Palatino Linotype" w:eastAsia="Palatino Linotype" w:hAnsi="Palatino Linotype" w:cs="Palatino Linotype"/>
        </w:rPr>
      </w:pPr>
    </w:p>
    <w:p w14:paraId="0EA4E2A4" w14:textId="77777777" w:rsidR="00E457DB" w:rsidRPr="009E6AB2" w:rsidRDefault="00E457DB" w:rsidP="00E457DB">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697561D" w14:textId="77777777" w:rsidR="00E457DB" w:rsidRPr="009E6AB2" w:rsidRDefault="00E457DB" w:rsidP="00E457DB">
      <w:pPr>
        <w:spacing w:after="0" w:line="360" w:lineRule="auto"/>
        <w:jc w:val="both"/>
        <w:rPr>
          <w:rFonts w:ascii="Palatino Linotype" w:eastAsia="Palatino Linotype" w:hAnsi="Palatino Linotype" w:cs="Palatino Linotype"/>
        </w:rPr>
      </w:pPr>
    </w:p>
    <w:p w14:paraId="56CF7AA3"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 xml:space="preserve">Artículo 3. </w:t>
      </w:r>
      <w:r w:rsidRPr="009E6AB2">
        <w:rPr>
          <w:rFonts w:ascii="Palatino Linotype" w:eastAsia="Palatino Linotype" w:hAnsi="Palatino Linotype" w:cs="Palatino Linotype"/>
          <w:i/>
        </w:rPr>
        <w:t>Para los efectos de la presente Ley se entenderá por:</w:t>
      </w:r>
    </w:p>
    <w:p w14:paraId="70A0B2D4"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5FF95345"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i/>
        </w:rPr>
      </w:pPr>
      <w:r w:rsidRPr="009E6AB2">
        <w:rPr>
          <w:rFonts w:ascii="Palatino Linotype" w:eastAsia="Palatino Linotype" w:hAnsi="Palatino Linotype" w:cs="Palatino Linotype"/>
          <w:b/>
          <w:i/>
        </w:rPr>
        <w:t>XI. Documento:</w:t>
      </w:r>
      <w:r w:rsidRPr="009E6AB2">
        <w:rPr>
          <w:rFonts w:ascii="Palatino Linotype" w:eastAsia="Palatino Linotype" w:hAnsi="Palatino Linotype" w:cs="Palatino Linotype"/>
          <w:i/>
        </w:rPr>
        <w:t xml:space="preserve"> Los expedientes, reportes, estudios, actas</w:t>
      </w:r>
      <w:r w:rsidRPr="009E6AB2">
        <w:rPr>
          <w:rFonts w:ascii="Palatino Linotype" w:eastAsia="Palatino Linotype" w:hAnsi="Palatino Linotype" w:cs="Palatino Linotype"/>
          <w:b/>
          <w:i/>
        </w:rPr>
        <w:t>,</w:t>
      </w:r>
      <w:r w:rsidRPr="009E6AB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AFC5967" w14:textId="77777777" w:rsidR="00E457DB" w:rsidRPr="009E6AB2" w:rsidRDefault="00E457DB" w:rsidP="00E457DB">
      <w:pPr>
        <w:spacing w:after="0" w:line="360" w:lineRule="auto"/>
        <w:ind w:right="899"/>
        <w:jc w:val="both"/>
        <w:rPr>
          <w:rFonts w:ascii="Palatino Linotype" w:eastAsia="Palatino Linotype" w:hAnsi="Palatino Linotype" w:cs="Palatino Linotype"/>
        </w:rPr>
      </w:pPr>
    </w:p>
    <w:p w14:paraId="3DFEAE5E" w14:textId="77777777" w:rsidR="00E457DB" w:rsidRPr="009E6AB2" w:rsidRDefault="00E457DB" w:rsidP="00E457DB">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E741FFE" w14:textId="77777777" w:rsidR="00E457DB" w:rsidRPr="009E6AB2" w:rsidRDefault="00E457DB" w:rsidP="00E457DB">
      <w:pPr>
        <w:spacing w:after="0" w:line="360" w:lineRule="auto"/>
        <w:ind w:right="899"/>
        <w:jc w:val="both"/>
        <w:rPr>
          <w:rFonts w:ascii="Palatino Linotype" w:eastAsia="Palatino Linotype" w:hAnsi="Palatino Linotype" w:cs="Palatino Linotype"/>
        </w:rPr>
      </w:pPr>
    </w:p>
    <w:p w14:paraId="77FC36ED"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b/>
          <w:i/>
        </w:rPr>
      </w:pPr>
      <w:r w:rsidRPr="009E6AB2">
        <w:rPr>
          <w:rFonts w:ascii="Palatino Linotype" w:eastAsia="Palatino Linotype" w:hAnsi="Palatino Linotype" w:cs="Palatino Linotype"/>
          <w:b/>
        </w:rPr>
        <w:t>“</w:t>
      </w:r>
      <w:r w:rsidRPr="009E6AB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9E6AB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D4126B"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i/>
        </w:rPr>
      </w:pPr>
      <w:r w:rsidRPr="009E6AB2">
        <w:rPr>
          <w:rFonts w:ascii="Palatino Linotype" w:eastAsia="Palatino Linotype" w:hAnsi="Palatino Linotype" w:cs="Palatino Linotype"/>
          <w:i/>
        </w:rPr>
        <w:t>En consecuencia el acceso a la información se refiere a que se cumplan cualquiera de los siguientes tres supuestos:</w:t>
      </w:r>
    </w:p>
    <w:p w14:paraId="5FD35123"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i/>
        </w:rPr>
      </w:pPr>
      <w:r w:rsidRPr="009E6AB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8DC8361"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b/>
          <w:i/>
        </w:rPr>
      </w:pPr>
      <w:r w:rsidRPr="009E6AB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EA90E02" w14:textId="77777777" w:rsidR="00E457DB" w:rsidRPr="009E6AB2" w:rsidRDefault="00E457DB" w:rsidP="00E457DB">
      <w:pPr>
        <w:spacing w:after="0" w:line="276" w:lineRule="auto"/>
        <w:ind w:left="567" w:right="899"/>
        <w:jc w:val="both"/>
        <w:rPr>
          <w:rFonts w:ascii="Palatino Linotype" w:eastAsia="Palatino Linotype" w:hAnsi="Palatino Linotype" w:cs="Palatino Linotype"/>
          <w:b/>
          <w:i/>
        </w:rPr>
      </w:pPr>
      <w:r w:rsidRPr="009E6AB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468B4089" w14:textId="77777777" w:rsidR="00E457DB" w:rsidRPr="009E6AB2" w:rsidRDefault="00E457DB" w:rsidP="00E457DB">
      <w:pPr>
        <w:spacing w:after="0" w:line="360" w:lineRule="auto"/>
        <w:ind w:right="49"/>
        <w:jc w:val="both"/>
        <w:rPr>
          <w:rFonts w:ascii="Palatino Linotype" w:eastAsia="Palatino Linotype" w:hAnsi="Palatino Linotype" w:cs="Palatino Linotype"/>
        </w:rPr>
      </w:pPr>
    </w:p>
    <w:p w14:paraId="6737B17E" w14:textId="77777777" w:rsidR="00FA7E8E" w:rsidRPr="009E6AB2" w:rsidRDefault="00E457DB" w:rsidP="00FA7E8E">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Dicho l</w:t>
      </w:r>
      <w:r w:rsidR="00FA7E8E" w:rsidRPr="009E6AB2">
        <w:rPr>
          <w:rFonts w:ascii="Palatino Linotype" w:eastAsia="Palatino Linotype" w:hAnsi="Palatino Linotype" w:cs="Palatino Linotype"/>
        </w:rPr>
        <w:t>o</w:t>
      </w:r>
      <w:r w:rsidR="003E22C2" w:rsidRPr="009E6AB2">
        <w:rPr>
          <w:rFonts w:ascii="Palatino Linotype" w:eastAsia="Palatino Linotype" w:hAnsi="Palatino Linotype" w:cs="Palatino Linotype"/>
        </w:rPr>
        <w:t xml:space="preserve"> anterior, </w:t>
      </w:r>
      <w:r w:rsidR="00FA7E8E" w:rsidRPr="009E6AB2">
        <w:rPr>
          <w:rFonts w:ascii="Palatino Linotype" w:eastAsia="Palatino Linotype" w:hAnsi="Palatino Linotype" w:cs="Palatino Linotype"/>
        </w:rPr>
        <w:t xml:space="preserve">se procede al análisis de cada uno de los Recursos de Revisión que son objeto del presente estudio, al tenor de lo siguiente: </w:t>
      </w:r>
    </w:p>
    <w:p w14:paraId="5EA113ED" w14:textId="77777777" w:rsidR="00FA7E8E" w:rsidRPr="009E6AB2" w:rsidRDefault="00FA7E8E" w:rsidP="00FA7E8E">
      <w:pPr>
        <w:spacing w:after="0" w:line="360" w:lineRule="auto"/>
        <w:ind w:right="49"/>
        <w:jc w:val="both"/>
        <w:rPr>
          <w:rFonts w:ascii="Palatino Linotype" w:eastAsia="Palatino Linotype" w:hAnsi="Palatino Linotype" w:cs="Palatino Linotype"/>
        </w:rPr>
      </w:pPr>
    </w:p>
    <w:p w14:paraId="64864D2D" w14:textId="77777777" w:rsidR="00FA7E8E" w:rsidRPr="009E6AB2" w:rsidRDefault="00FA7E8E" w:rsidP="00FA7E8E">
      <w:pPr>
        <w:pStyle w:val="Prrafodelista"/>
        <w:numPr>
          <w:ilvl w:val="0"/>
          <w:numId w:val="8"/>
        </w:num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t>Del Recurso de Revisión 00469/INFOEM/IP/RR/2025</w:t>
      </w:r>
      <w:r w:rsidR="0048635B" w:rsidRPr="009E6AB2">
        <w:rPr>
          <w:rFonts w:ascii="Palatino Linotype" w:eastAsia="Palatino Linotype" w:hAnsi="Palatino Linotype" w:cs="Palatino Linotype"/>
          <w:b/>
        </w:rPr>
        <w:t>.</w:t>
      </w:r>
      <w:r w:rsidRPr="009E6AB2">
        <w:rPr>
          <w:rFonts w:ascii="Palatino Linotype" w:eastAsia="Palatino Linotype" w:hAnsi="Palatino Linotype" w:cs="Palatino Linotype"/>
          <w:b/>
        </w:rPr>
        <w:t xml:space="preserve"> </w:t>
      </w:r>
    </w:p>
    <w:p w14:paraId="0F4BAEA3" w14:textId="77777777" w:rsidR="00FA7E8E" w:rsidRPr="009E6AB2" w:rsidRDefault="00FA7E8E" w:rsidP="00FA7E8E">
      <w:pPr>
        <w:spacing w:after="0" w:line="360" w:lineRule="auto"/>
        <w:ind w:right="49"/>
        <w:jc w:val="both"/>
        <w:rPr>
          <w:rFonts w:ascii="Palatino Linotype" w:eastAsia="Palatino Linotype" w:hAnsi="Palatino Linotype" w:cs="Palatino Linotype"/>
        </w:rPr>
      </w:pPr>
    </w:p>
    <w:p w14:paraId="65775D48" w14:textId="77777777" w:rsidR="00FA7E8E" w:rsidRPr="009E6AB2" w:rsidRDefault="00FA7E8E" w:rsidP="003E22C2">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En lo que respecta al presente Recurso de Revisión, se </w:t>
      </w:r>
      <w:r w:rsidR="003E22C2" w:rsidRPr="009E6AB2">
        <w:rPr>
          <w:rFonts w:ascii="Palatino Linotype" w:eastAsia="Palatino Linotype" w:hAnsi="Palatino Linotype" w:cs="Palatino Linotype"/>
        </w:rPr>
        <w:t xml:space="preserve">tiene que la parte Recurrente solicitó el listado de las personas que se encuentran adscritas al área de catastro, nombre completo, cargo actual y las funciones que desempeñan. </w:t>
      </w:r>
    </w:p>
    <w:p w14:paraId="2F428A98" w14:textId="77777777" w:rsidR="003E22C2" w:rsidRPr="009E6AB2" w:rsidRDefault="003E22C2" w:rsidP="003E22C2">
      <w:pPr>
        <w:spacing w:after="0" w:line="360" w:lineRule="auto"/>
        <w:ind w:right="49"/>
        <w:jc w:val="both"/>
        <w:rPr>
          <w:rFonts w:ascii="Palatino Linotype" w:eastAsia="Palatino Linotype" w:hAnsi="Palatino Linotype" w:cs="Palatino Linotype"/>
        </w:rPr>
      </w:pPr>
    </w:p>
    <w:p w14:paraId="26CBB13A" w14:textId="77777777" w:rsidR="003E22C2" w:rsidRPr="009E6AB2" w:rsidRDefault="003E22C2" w:rsidP="003E22C2">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lastRenderedPageBreak/>
        <w:t>En respuesta, la Directora de Departamento de Catastro Municipal remitió un listado de las personas adscritas al área de Catastro, donde se advierte número progresivo, nombre, categoría y función, tal c</w:t>
      </w:r>
      <w:r w:rsidR="0017185D" w:rsidRPr="009E6AB2">
        <w:rPr>
          <w:rFonts w:ascii="Palatino Linotype" w:eastAsia="Palatino Linotype" w:hAnsi="Palatino Linotype" w:cs="Palatino Linotype"/>
        </w:rPr>
        <w:t xml:space="preserve">omo se observa a continuación: </w:t>
      </w:r>
    </w:p>
    <w:p w14:paraId="6F5AC6E6" w14:textId="77777777" w:rsidR="003E22C2" w:rsidRPr="009E6AB2" w:rsidRDefault="003E22C2" w:rsidP="003E22C2">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noProof/>
        </w:rPr>
        <w:drawing>
          <wp:inline distT="0" distB="0" distL="0" distR="0" wp14:anchorId="42C3E44A" wp14:editId="7019C3F8">
            <wp:extent cx="5756275" cy="22294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2229485"/>
                    </a:xfrm>
                    <a:prstGeom prst="rect">
                      <a:avLst/>
                    </a:prstGeom>
                  </pic:spPr>
                </pic:pic>
              </a:graphicData>
            </a:graphic>
          </wp:inline>
        </w:drawing>
      </w:r>
    </w:p>
    <w:p w14:paraId="088D54AD" w14:textId="77777777" w:rsidR="003E22C2" w:rsidRPr="009E6AB2" w:rsidRDefault="003E22C2" w:rsidP="003E22C2">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Derivado de la respuesta, la parte Recurrente, se inconformó arguyendo que la información se encontraba incompleta. </w:t>
      </w:r>
    </w:p>
    <w:p w14:paraId="30F632B6" w14:textId="77777777" w:rsidR="00FA7E8E" w:rsidRPr="009E6AB2" w:rsidRDefault="00FA7E8E" w:rsidP="00FA7E8E">
      <w:pPr>
        <w:spacing w:after="0" w:line="360" w:lineRule="auto"/>
        <w:jc w:val="both"/>
        <w:rPr>
          <w:rFonts w:ascii="Palatino Linotype" w:eastAsia="Palatino Linotype" w:hAnsi="Palatino Linotype" w:cs="Palatino Linotype"/>
        </w:rPr>
      </w:pPr>
    </w:p>
    <w:p w14:paraId="70043CFE" w14:textId="77777777" w:rsidR="003E22C2" w:rsidRPr="009E6AB2" w:rsidRDefault="003E22C2" w:rsidP="00FA7E8E">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En atención a ello, el Sujeto Obligado ratificó su respuesta inicial, mediante informe justificado. </w:t>
      </w:r>
    </w:p>
    <w:p w14:paraId="6DA4C40C" w14:textId="77777777" w:rsidR="00FA7E8E" w:rsidRPr="009E6AB2" w:rsidRDefault="00FA7E8E" w:rsidP="00FA7E8E">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501F03A" w14:textId="77777777" w:rsidR="004D5666" w:rsidRPr="009E6AB2" w:rsidRDefault="003E22C2" w:rsidP="003E22C2">
      <w:pPr>
        <w:pBdr>
          <w:top w:val="nil"/>
          <w:left w:val="nil"/>
          <w:bottom w:val="nil"/>
          <w:right w:val="nil"/>
          <w:between w:val="nil"/>
        </w:pBd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Refer</w:t>
      </w:r>
      <w:r w:rsidR="00FB3ED6" w:rsidRPr="009E6AB2">
        <w:rPr>
          <w:rFonts w:ascii="Palatino Linotype" w:eastAsia="Palatino Linotype" w:hAnsi="Palatino Linotype" w:cs="Palatino Linotype"/>
        </w:rPr>
        <w:t>ido lo anterior, se tiene que la información solicitada</w:t>
      </w:r>
      <w:r w:rsidR="00FD740A" w:rsidRPr="009E6AB2">
        <w:rPr>
          <w:rFonts w:ascii="Palatino Linotype" w:eastAsia="Palatino Linotype" w:hAnsi="Palatino Linotype" w:cs="Palatino Linotype"/>
        </w:rPr>
        <w:t xml:space="preserve"> concerniente al </w:t>
      </w:r>
      <w:r w:rsidR="00FD740A" w:rsidRPr="009E6AB2">
        <w:rPr>
          <w:rFonts w:ascii="Palatino Linotype" w:eastAsia="Palatino Linotype" w:hAnsi="Palatino Linotype" w:cs="Palatino Linotype"/>
          <w:b/>
        </w:rPr>
        <w:t>nombre completo del servidor público y cargo</w:t>
      </w:r>
      <w:r w:rsidR="00FB3ED6" w:rsidRPr="009E6AB2">
        <w:rPr>
          <w:rFonts w:ascii="Palatino Linotype" w:eastAsia="Palatino Linotype" w:hAnsi="Palatino Linotype" w:cs="Palatino Linotype"/>
        </w:rPr>
        <w:t>, se relaciona con la plantilla de personal, de esto,</w:t>
      </w:r>
      <w:r w:rsidRPr="009E6AB2">
        <w:rPr>
          <w:rFonts w:ascii="Palatino Linotype" w:eastAsia="Palatino Linotype" w:hAnsi="Palatino Linotype" w:cs="Palatino Linotype"/>
        </w:rPr>
        <w:t xml:space="preserve"> </w:t>
      </w:r>
      <w:r w:rsidR="007F0576" w:rsidRPr="009E6AB2">
        <w:rPr>
          <w:rFonts w:ascii="Palatino Linotype" w:eastAsia="Palatino Linotype" w:hAnsi="Palatino Linotype" w:cs="Palatino Linotype"/>
        </w:rPr>
        <w:t xml:space="preserve">la norma mexicana para la igualdad laboral entre hombres y mujeres número </w:t>
      </w:r>
      <w:r w:rsidR="007F0576" w:rsidRPr="009E6AB2">
        <w:rPr>
          <w:rFonts w:ascii="Palatino Linotype" w:eastAsia="Palatino Linotype" w:hAnsi="Palatino Linotype" w:cs="Palatino Linotype"/>
          <w:b/>
        </w:rPr>
        <w:t>NMX-R-025-SCFI-2009,</w:t>
      </w:r>
      <w:r w:rsidR="00FB3ED6" w:rsidRPr="009E6AB2">
        <w:rPr>
          <w:rFonts w:ascii="Palatino Linotype" w:eastAsia="Palatino Linotype" w:hAnsi="Palatino Linotype" w:cs="Palatino Linotype"/>
        </w:rPr>
        <w:t xml:space="preserve"> </w:t>
      </w:r>
      <w:hyperlink r:id="rId9" w:anchor="gsc.tab=0">
        <w:r w:rsidR="007F0576" w:rsidRPr="009E6AB2">
          <w:rPr>
            <w:rFonts w:ascii="Palatino Linotype" w:eastAsia="Palatino Linotype" w:hAnsi="Palatino Linotype" w:cs="Palatino Linotype"/>
            <w:u w:val="single"/>
          </w:rPr>
          <w:t>https://www.dof.gob.mx/nota_detalle.php?codigo=5086651&amp;fecha=09/04/2009#gsc.tab=0</w:t>
        </w:r>
      </w:hyperlink>
      <w:r w:rsidR="007F0576" w:rsidRPr="009E6AB2">
        <w:rPr>
          <w:rFonts w:ascii="Palatino Linotype" w:eastAsia="Palatino Linotype" w:hAnsi="Palatino Linotype" w:cs="Palatino Linotype"/>
        </w:rPr>
        <w:t xml:space="preserve"> (consultada el </w:t>
      </w:r>
      <w:r w:rsidRPr="009E6AB2">
        <w:rPr>
          <w:rFonts w:ascii="Palatino Linotype" w:eastAsia="Palatino Linotype" w:hAnsi="Palatino Linotype" w:cs="Palatino Linotype"/>
        </w:rPr>
        <w:t>dieciocho de febrero de dos mil veinticinco a las dieciséis treinta y cinco</w:t>
      </w:r>
      <w:r w:rsidR="007F0576" w:rsidRPr="009E6AB2">
        <w:rPr>
          <w:rFonts w:ascii="Palatino Linotype" w:eastAsia="Palatino Linotype" w:hAnsi="Palatino Linotype" w:cs="Palatino Linotype"/>
        </w:rPr>
        <w:t xml:space="preserve"> horas),  define</w:t>
      </w:r>
      <w:r w:rsidRPr="009E6AB2">
        <w:rPr>
          <w:rFonts w:ascii="Palatino Linotype" w:eastAsia="Palatino Linotype" w:hAnsi="Palatino Linotype" w:cs="Palatino Linotype"/>
        </w:rPr>
        <w:t xml:space="preserve"> como </w:t>
      </w:r>
      <w:r w:rsidRPr="009E6AB2">
        <w:rPr>
          <w:rFonts w:ascii="Palatino Linotype" w:eastAsia="Palatino Linotype" w:hAnsi="Palatino Linotype" w:cs="Palatino Linotype"/>
          <w:i/>
        </w:rPr>
        <w:t xml:space="preserve">plantilla de personal </w:t>
      </w:r>
      <w:r w:rsidRPr="009E6AB2">
        <w:rPr>
          <w:rFonts w:ascii="Palatino Linotype" w:eastAsia="Palatino Linotype" w:hAnsi="Palatino Linotype" w:cs="Palatino Linotype"/>
        </w:rPr>
        <w:t>a</w:t>
      </w:r>
      <w:r w:rsidR="007F0576" w:rsidRPr="009E6AB2">
        <w:rPr>
          <w:rFonts w:ascii="Palatino Linotype" w:eastAsia="Palatino Linotype" w:hAnsi="Palatino Linotype" w:cs="Palatino Linotype"/>
        </w:rPr>
        <w:t xml:space="preserve"> </w:t>
      </w:r>
      <w:r w:rsidR="007F0576" w:rsidRPr="009E6AB2">
        <w:rPr>
          <w:rFonts w:ascii="Palatino Linotype" w:eastAsia="Palatino Linotype" w:hAnsi="Palatino Linotype" w:cs="Palatino Linotype"/>
          <w:b/>
          <w:u w:val="single"/>
        </w:rPr>
        <w:t>“</w:t>
      </w:r>
      <w:r w:rsidR="007F0576" w:rsidRPr="009E6AB2">
        <w:rPr>
          <w:rFonts w:ascii="Palatino Linotype" w:eastAsia="Palatino Linotype" w:hAnsi="Palatino Linotype" w:cs="Palatino Linotype"/>
          <w:b/>
          <w:i/>
          <w:u w:val="single"/>
        </w:rPr>
        <w:t xml:space="preserve">todas las personas que laboran en la organización, independientemente del tipo de contrato con el que cuentan, incluidas las subcontratadas.” </w:t>
      </w:r>
    </w:p>
    <w:p w14:paraId="1669C241" w14:textId="77777777" w:rsidR="004D5666" w:rsidRPr="009E6AB2" w:rsidRDefault="004D5666">
      <w:pPr>
        <w:spacing w:after="0" w:line="360" w:lineRule="auto"/>
        <w:jc w:val="both"/>
        <w:rPr>
          <w:rFonts w:ascii="Palatino Linotype" w:eastAsia="Palatino Linotype" w:hAnsi="Palatino Linotype" w:cs="Palatino Linotype"/>
          <w:i/>
        </w:rPr>
      </w:pPr>
    </w:p>
    <w:p w14:paraId="724E01A4" w14:textId="77777777" w:rsidR="004D5666" w:rsidRPr="009E6AB2" w:rsidRDefault="007F0576">
      <w:pPr>
        <w:spacing w:after="0" w:line="360" w:lineRule="auto"/>
        <w:jc w:val="both"/>
        <w:rPr>
          <w:rFonts w:ascii="Palatino Linotype" w:eastAsia="Palatino Linotype" w:hAnsi="Palatino Linotype" w:cs="Palatino Linotype"/>
          <w:i/>
        </w:rPr>
      </w:pPr>
      <w:r w:rsidRPr="009E6AB2">
        <w:rPr>
          <w:rFonts w:ascii="Palatino Linotype" w:eastAsia="Palatino Linotype" w:hAnsi="Palatino Linotype" w:cs="Palatino Linotype"/>
        </w:rPr>
        <w:t xml:space="preserve">Ahora bien, a manera de referencia el Instituto de Seguridad Social del Estado de México y Municipios emitió el Manual del Procedimiento Operativo de Control de Plantilla de Personal </w:t>
      </w:r>
      <w:r w:rsidRPr="009E6AB2">
        <w:rPr>
          <w:rFonts w:ascii="Palatino Linotype" w:eastAsia="Palatino Linotype" w:hAnsi="Palatino Linotype" w:cs="Palatino Linotype"/>
        </w:rPr>
        <w:lastRenderedPageBreak/>
        <w:t>la define como el “</w:t>
      </w:r>
      <w:r w:rsidRPr="009E6AB2">
        <w:rPr>
          <w:rFonts w:ascii="Palatino Linotype" w:eastAsia="Palatino Linotype" w:hAnsi="Palatino Linotype" w:cs="Palatino Linotype"/>
          <w:i/>
        </w:rPr>
        <w:t xml:space="preserve">documento autorizado por el Gobierno del Estado de México, el cual contiene el número de plazas autorizadas por puestos, categorías, </w:t>
      </w:r>
      <w:r w:rsidRPr="009E6AB2">
        <w:rPr>
          <w:rFonts w:ascii="Palatino Linotype" w:eastAsia="Palatino Linotype" w:hAnsi="Palatino Linotype" w:cs="Palatino Linotype"/>
          <w:b/>
          <w:i/>
          <w:u w:val="single"/>
        </w:rPr>
        <w:t>unidades de adscripción,</w:t>
      </w:r>
      <w:r w:rsidRPr="009E6AB2">
        <w:rPr>
          <w:rFonts w:ascii="Palatino Linotype" w:eastAsia="Palatino Linotype" w:hAnsi="Palatino Linotype" w:cs="Palatino Linotype"/>
          <w:i/>
        </w:rPr>
        <w:t xml:space="preserve"> percepciones brutas mensuales y </w:t>
      </w:r>
      <w:r w:rsidRPr="009E6AB2">
        <w:rPr>
          <w:rFonts w:ascii="Palatino Linotype" w:eastAsia="Palatino Linotype" w:hAnsi="Palatino Linotype" w:cs="Palatino Linotype"/>
          <w:b/>
          <w:i/>
          <w:u w:val="single"/>
        </w:rPr>
        <w:t>datos personales del servidor público</w:t>
      </w:r>
      <w:r w:rsidRPr="009E6AB2">
        <w:rPr>
          <w:rFonts w:ascii="Palatino Linotype" w:eastAsia="Palatino Linotype" w:hAnsi="Palatino Linotype" w:cs="Palatino Linotype"/>
          <w:i/>
        </w:rPr>
        <w:t xml:space="preserve">, así como tipo de relación laboral (sindicalizado o confianza).” </w:t>
      </w:r>
    </w:p>
    <w:p w14:paraId="35A1DC1A" w14:textId="77777777" w:rsidR="003E22C2" w:rsidRPr="009E6AB2" w:rsidRDefault="003E22C2">
      <w:pPr>
        <w:spacing w:after="0" w:line="360" w:lineRule="auto"/>
        <w:jc w:val="both"/>
        <w:rPr>
          <w:rFonts w:ascii="Palatino Linotype" w:eastAsia="Palatino Linotype" w:hAnsi="Palatino Linotype" w:cs="Palatino Linotype"/>
          <w:i/>
        </w:rPr>
      </w:pPr>
    </w:p>
    <w:p w14:paraId="1D859E19"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Conforme a lo anterior, se advierte que </w:t>
      </w:r>
      <w:r w:rsidRPr="009E6AB2">
        <w:rPr>
          <w:rFonts w:ascii="Palatino Linotype" w:eastAsia="Palatino Linotype" w:hAnsi="Palatino Linotype" w:cs="Palatino Linotype"/>
          <w:b/>
        </w:rPr>
        <w:t xml:space="preserve">la plantilla de personal es el documento del que se puede contener entre otras cosas, </w:t>
      </w:r>
      <w:r w:rsidR="00FB3ED6" w:rsidRPr="009E6AB2">
        <w:rPr>
          <w:rFonts w:ascii="Palatino Linotype" w:eastAsia="Palatino Linotype" w:hAnsi="Palatino Linotype" w:cs="Palatino Linotype"/>
          <w:b/>
        </w:rPr>
        <w:t xml:space="preserve">el nombre del servidor público y su unidad de adscripción. </w:t>
      </w:r>
    </w:p>
    <w:p w14:paraId="2A0EF7F4" w14:textId="77777777" w:rsidR="004D5666" w:rsidRPr="009E6AB2" w:rsidRDefault="004D5666">
      <w:pPr>
        <w:spacing w:after="0" w:line="360" w:lineRule="auto"/>
        <w:jc w:val="both"/>
        <w:rPr>
          <w:rFonts w:ascii="Palatino Linotype" w:eastAsia="Palatino Linotype" w:hAnsi="Palatino Linotype" w:cs="Palatino Linotype"/>
        </w:rPr>
      </w:pPr>
    </w:p>
    <w:p w14:paraId="1B4B2170"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Asimismo, es de señalar que el artículo 98, fracción XV de la Ley del Trabajo de los Servidores Públicos del Estado y Municipios dispone que las instituciones públicas, tal es el caso del Ayuntamiento de </w:t>
      </w:r>
      <w:r w:rsidR="00FB3ED6" w:rsidRPr="009E6AB2">
        <w:rPr>
          <w:rFonts w:ascii="Palatino Linotype" w:eastAsia="Palatino Linotype" w:hAnsi="Palatino Linotype" w:cs="Palatino Linotype"/>
        </w:rPr>
        <w:t>La Paz</w:t>
      </w:r>
      <w:r w:rsidRPr="009E6AB2">
        <w:rPr>
          <w:rFonts w:ascii="Palatino Linotype" w:eastAsia="Palatino Linotype" w:hAnsi="Palatino Linotype" w:cs="Palatino Linotype"/>
        </w:rPr>
        <w:t>,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p>
    <w:p w14:paraId="2C4E7857" w14:textId="77777777" w:rsidR="00FB3ED6" w:rsidRPr="009E6AB2" w:rsidRDefault="00FB3ED6">
      <w:pPr>
        <w:spacing w:after="0" w:line="360" w:lineRule="auto"/>
        <w:jc w:val="both"/>
        <w:rPr>
          <w:rFonts w:ascii="Palatino Linotype" w:eastAsia="Palatino Linotype" w:hAnsi="Palatino Linotype" w:cs="Palatino Linotype"/>
        </w:rPr>
      </w:pPr>
    </w:p>
    <w:p w14:paraId="596B735A" w14:textId="77777777" w:rsidR="00B4630E" w:rsidRPr="009E6AB2" w:rsidRDefault="00FB3ED6" w:rsidP="00B4630E">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Por otro lado, </w:t>
      </w:r>
      <w:r w:rsidR="00B4630E" w:rsidRPr="009E6AB2">
        <w:rPr>
          <w:rFonts w:ascii="Palatino Linotype" w:eastAsia="Palatino Linotype" w:hAnsi="Palatino Linotype" w:cs="Palatino Linotype"/>
        </w:rPr>
        <w:t>el Órgano Superior de Fiscalización del Estado de México le asiste la facultad de emitir los Lineamientos para la Integración del Informe Trimestral, en términos de la fracción XI del artículo 8 de la Ley de Fiscalización Superior del Estado de México, que es del tenor literal siguiente:</w:t>
      </w:r>
    </w:p>
    <w:p w14:paraId="0A35240F" w14:textId="77777777" w:rsidR="00B4630E" w:rsidRPr="009E6AB2" w:rsidRDefault="00B4630E" w:rsidP="00B4630E">
      <w:pPr>
        <w:spacing w:after="0" w:line="360" w:lineRule="auto"/>
        <w:jc w:val="both"/>
        <w:rPr>
          <w:rFonts w:ascii="Palatino Linotype" w:eastAsia="Palatino Linotype" w:hAnsi="Palatino Linotype" w:cs="Palatino Linotype"/>
        </w:rPr>
      </w:pPr>
    </w:p>
    <w:p w14:paraId="33B4F731" w14:textId="77777777" w:rsidR="00B4630E" w:rsidRPr="009E6AB2" w:rsidRDefault="00B4630E" w:rsidP="00B4630E">
      <w:pPr>
        <w:spacing w:after="0" w:line="276" w:lineRule="auto"/>
        <w:ind w:left="851"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“Artículo 8.-</w:t>
      </w:r>
      <w:r w:rsidRPr="009E6AB2">
        <w:rPr>
          <w:rFonts w:ascii="Palatino Linotype" w:eastAsia="Palatino Linotype" w:hAnsi="Palatino Linotype" w:cs="Palatino Linotype"/>
          <w:i/>
        </w:rPr>
        <w:t xml:space="preserve"> El </w:t>
      </w:r>
      <w:r w:rsidRPr="009E6AB2">
        <w:rPr>
          <w:rFonts w:ascii="Palatino Linotype" w:eastAsia="Palatino Linotype" w:hAnsi="Palatino Linotype" w:cs="Palatino Linotype"/>
          <w:b/>
          <w:i/>
        </w:rPr>
        <w:t>Órgano Superior</w:t>
      </w:r>
      <w:r w:rsidRPr="009E6AB2">
        <w:rPr>
          <w:rFonts w:ascii="Palatino Linotype" w:eastAsia="Palatino Linotype" w:hAnsi="Palatino Linotype" w:cs="Palatino Linotype"/>
          <w:i/>
        </w:rPr>
        <w:t xml:space="preserve"> tendrá las siguientes atribuciones:</w:t>
      </w:r>
    </w:p>
    <w:p w14:paraId="407BDEEE" w14:textId="77777777" w:rsidR="00B4630E" w:rsidRPr="009E6AB2" w:rsidRDefault="00B4630E" w:rsidP="00B4630E">
      <w:pPr>
        <w:spacing w:after="0" w:line="276" w:lineRule="auto"/>
        <w:ind w:left="851"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6B2418EA" w14:textId="77777777" w:rsidR="00B4630E" w:rsidRPr="009E6AB2" w:rsidRDefault="00B4630E" w:rsidP="0017185D">
      <w:pPr>
        <w:spacing w:after="0" w:line="276" w:lineRule="auto"/>
        <w:ind w:left="851"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XI</w:t>
      </w:r>
      <w:r w:rsidRPr="009E6AB2">
        <w:rPr>
          <w:rFonts w:ascii="Palatino Linotype" w:eastAsia="Palatino Linotype" w:hAnsi="Palatino Linotype" w:cs="Palatino Linotype"/>
          <w:i/>
        </w:rPr>
        <w:t>. 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62DCBBA5" w14:textId="77777777" w:rsidR="00B4630E" w:rsidRPr="009E6AB2" w:rsidRDefault="00B4630E" w:rsidP="00B4630E">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lastRenderedPageBreak/>
        <w:t>Estos lineamientos son de observancia general para todos los servidores públicos de las entidades fiscalizables que desempeñen un empleo, cargo o comisión, de cualquier naturaleza en alguno de los poderes del Estado, en los ayuntamientos de los municipios y organismos auxiliares, así como los titulares o quienes hagan sus veces en empresas de participación estatal o municipal, sociedades o asociaciones asimiladas a éstas y en los fideicomisos públicos, y que manejen recursos públicos, como lo son los municipios; en atención a ello, el informe trimestral deberá ser presentado al OSFEM dentro de los veinte días posteriores al término del trimestre correspondiente de acuerdo a lo establecido en el artículo 350 del Código Financiero del Estado de México citado con antelación.</w:t>
      </w:r>
    </w:p>
    <w:p w14:paraId="4917A5D9" w14:textId="77777777" w:rsidR="00B4630E" w:rsidRPr="009E6AB2" w:rsidRDefault="00B4630E" w:rsidP="00B4630E">
      <w:pPr>
        <w:spacing w:after="0" w:line="360" w:lineRule="auto"/>
        <w:jc w:val="both"/>
        <w:rPr>
          <w:rFonts w:ascii="Palatino Linotype" w:eastAsia="Palatino Linotype" w:hAnsi="Palatino Linotype" w:cs="Palatino Linotype"/>
        </w:rPr>
      </w:pPr>
    </w:p>
    <w:p w14:paraId="2B4247CE" w14:textId="77777777" w:rsidR="00B4630E" w:rsidRPr="009E6AB2" w:rsidRDefault="00B4630E" w:rsidP="00B4630E">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En este contexto, el Órgano Superior de Fiscalización del Estado de México, emite en cada ejercicio fiscal los Lineamientos para la integración y entrega del Informe Trimestral Estatal para el ejercicio fiscal 2024 y los Instructivos de llenado correspondientes, mismos que se encuentran disponibles en su sitio de internet,</w:t>
      </w:r>
      <w:r w:rsidRPr="009E6AB2">
        <w:rPr>
          <w:rFonts w:ascii="Palatino Linotype" w:eastAsia="Palatino Linotype" w:hAnsi="Palatino Linotype" w:cs="Palatino Linotype"/>
          <w:vertAlign w:val="superscript"/>
        </w:rPr>
        <w:t xml:space="preserve">, </w:t>
      </w:r>
      <w:r w:rsidRPr="009E6AB2">
        <w:rPr>
          <w:rFonts w:ascii="Palatino Linotype" w:eastAsia="Palatino Linotype" w:hAnsi="Palatino Linotype" w:cs="Palatino Linotype"/>
        </w:rPr>
        <w:t>con la finalidad de definir los criterios, los formatos y la documentación necesaria para presentar los informes trimestrales, que deben ser entregados a través de cuatro módulos.</w:t>
      </w:r>
    </w:p>
    <w:p w14:paraId="28C978BD" w14:textId="77777777" w:rsidR="00B4630E" w:rsidRPr="009E6AB2" w:rsidRDefault="00B4630E" w:rsidP="00B4630E">
      <w:pPr>
        <w:spacing w:after="0" w:line="360" w:lineRule="auto"/>
        <w:ind w:right="49"/>
        <w:jc w:val="center"/>
        <w:rPr>
          <w:rFonts w:ascii="Palatino Linotype" w:eastAsia="Palatino Linotype" w:hAnsi="Palatino Linotype" w:cs="Palatino Linotype"/>
        </w:rPr>
      </w:pPr>
    </w:p>
    <w:p w14:paraId="5429A866" w14:textId="77777777" w:rsidR="00B4630E" w:rsidRPr="009E6AB2" w:rsidRDefault="00B4630E" w:rsidP="00B4630E">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En ese mismo sentido, la información que ahora solicita la parte Recurrente, relacionada con el nombre de los servidores públicos al área de catastro y cargo, se encuentra contenida en el Módulo 4, específicamente en el documento denominado “Conciliación de Nómina”, como se muestra a continuación:</w:t>
      </w:r>
    </w:p>
    <w:p w14:paraId="5D2E44AB" w14:textId="77777777" w:rsidR="00B4630E" w:rsidRPr="009E6AB2" w:rsidRDefault="00B4630E">
      <w:pPr>
        <w:spacing w:after="0" w:line="360" w:lineRule="auto"/>
        <w:jc w:val="both"/>
        <w:rPr>
          <w:rFonts w:ascii="Palatino Linotype" w:eastAsia="Palatino Linotype" w:hAnsi="Palatino Linotype" w:cs="Palatino Linotype"/>
        </w:rPr>
      </w:pPr>
    </w:p>
    <w:p w14:paraId="530D3860" w14:textId="77777777" w:rsidR="00B4630E" w:rsidRPr="009E6AB2" w:rsidRDefault="00B4630E">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noProof/>
        </w:rPr>
        <w:lastRenderedPageBreak/>
        <mc:AlternateContent>
          <mc:Choice Requires="wps">
            <w:drawing>
              <wp:anchor distT="0" distB="0" distL="114300" distR="114300" simplePos="0" relativeHeight="251661312" behindDoc="0" locked="0" layoutInCell="1" allowOverlap="1" wp14:anchorId="2780002D" wp14:editId="74937438">
                <wp:simplePos x="0" y="0"/>
                <wp:positionH relativeFrom="margin">
                  <wp:align>right</wp:align>
                </wp:positionH>
                <wp:positionV relativeFrom="paragraph">
                  <wp:posOffset>457835</wp:posOffset>
                </wp:positionV>
                <wp:extent cx="466725" cy="10096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466725" cy="100965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C3A015" id="Rectángulo 5" o:spid="_x0000_s1026" style="position:absolute;margin-left:-14.45pt;margin-top:36.05pt;width:36.75pt;height:7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" filled="f" strokecolor="red" strokeweight="3pt">
                <w10:wrap anchorx="margin"/>
              </v:rect>
            </w:pict>
          </mc:Fallback>
        </mc:AlternateContent>
      </w:r>
      <w:r w:rsidRPr="009E6AB2">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57DE792F" wp14:editId="0CDBEF32">
                <wp:simplePos x="0" y="0"/>
                <wp:positionH relativeFrom="column">
                  <wp:posOffset>2672715</wp:posOffset>
                </wp:positionH>
                <wp:positionV relativeFrom="paragraph">
                  <wp:posOffset>505460</wp:posOffset>
                </wp:positionV>
                <wp:extent cx="1304925" cy="10096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1304925" cy="1009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EE1D5D6" id="Rectángulo 3" o:spid="_x0000_s1026" style="position:absolute;margin-left:210.45pt;margin-top:39.8pt;width:102.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" filled="f" strokecolor="red" strokeweight="3pt"/>
            </w:pict>
          </mc:Fallback>
        </mc:AlternateContent>
      </w:r>
      <w:r w:rsidRPr="009E6AB2">
        <w:rPr>
          <w:rFonts w:ascii="Palatino Linotype" w:eastAsia="Palatino Linotype" w:hAnsi="Palatino Linotype" w:cs="Palatino Linotype"/>
          <w:noProof/>
        </w:rPr>
        <w:drawing>
          <wp:inline distT="0" distB="0" distL="0" distR="0" wp14:anchorId="6C7412F3" wp14:editId="3C07E08D">
            <wp:extent cx="5756275"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1581150"/>
                    </a:xfrm>
                    <a:prstGeom prst="rect">
                      <a:avLst/>
                    </a:prstGeom>
                  </pic:spPr>
                </pic:pic>
              </a:graphicData>
            </a:graphic>
          </wp:inline>
        </w:drawing>
      </w:r>
    </w:p>
    <w:p w14:paraId="3D389610"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 </w:t>
      </w:r>
    </w:p>
    <w:p w14:paraId="3EE1BFD3" w14:textId="77777777" w:rsidR="00FD740A" w:rsidRPr="009E6AB2" w:rsidRDefault="00B4630E" w:rsidP="00FD740A">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De lo anterior, se colige que, el Ayuntamiento cuenta con </w:t>
      </w:r>
      <w:r w:rsidR="00FD740A" w:rsidRPr="009E6AB2">
        <w:rPr>
          <w:rFonts w:ascii="Palatino Linotype" w:eastAsia="Palatino Linotype" w:hAnsi="Palatino Linotype" w:cs="Palatino Linotype"/>
        </w:rPr>
        <w:t xml:space="preserve">diversos documentos, como la plantilla de personal o la conciliación de nómina, que contienen la información de interés del particular. </w:t>
      </w:r>
    </w:p>
    <w:p w14:paraId="7588DD96" w14:textId="77777777" w:rsidR="00FD740A" w:rsidRPr="009E6AB2" w:rsidRDefault="00FD740A" w:rsidP="00FD740A">
      <w:pPr>
        <w:spacing w:after="0" w:line="360" w:lineRule="auto"/>
        <w:jc w:val="both"/>
        <w:rPr>
          <w:rFonts w:ascii="Palatino Linotype" w:eastAsia="Palatino Linotype" w:hAnsi="Palatino Linotype" w:cs="Palatino Linotype"/>
        </w:rPr>
      </w:pPr>
    </w:p>
    <w:p w14:paraId="1EA9BED4" w14:textId="77777777" w:rsidR="0017185D" w:rsidRPr="009E6AB2" w:rsidRDefault="00FD740A" w:rsidP="0017185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Por otro lado, en lo que respecta a las </w:t>
      </w:r>
      <w:r w:rsidRPr="009E6AB2">
        <w:rPr>
          <w:rFonts w:ascii="Palatino Linotype" w:eastAsia="Palatino Linotype" w:hAnsi="Palatino Linotype" w:cs="Palatino Linotype"/>
          <w:b/>
        </w:rPr>
        <w:t>funciones que desempeñan</w:t>
      </w:r>
      <w:r w:rsidRPr="009E6AB2">
        <w:rPr>
          <w:rFonts w:ascii="Palatino Linotype" w:eastAsia="Palatino Linotype" w:hAnsi="Palatino Linotype" w:cs="Palatino Linotype"/>
        </w:rPr>
        <w:t xml:space="preserve">, </w:t>
      </w:r>
      <w:r w:rsidR="0017185D" w:rsidRPr="009E6AB2">
        <w:rPr>
          <w:rFonts w:ascii="Palatino Linotype" w:eastAsia="Palatino Linotype" w:hAnsi="Palatino Linotype" w:cs="Palatino Linotype"/>
        </w:rPr>
        <w:t>esta se encuentra vinculada a las obligaciones de transparencia establecidas en la Ley de Transparencia y Acceso a la Información Pública del Estado de México y Municipios, relativa a la estructura orgánica contemplada en el artículo 92, fracción II, de la Ley de Transparencia y Acceso a la Información Pública del Estado de México y Municipios, que se transcribe a continuación:</w:t>
      </w:r>
    </w:p>
    <w:p w14:paraId="710A7DE4" w14:textId="77777777" w:rsidR="0017185D" w:rsidRPr="009E6AB2" w:rsidRDefault="0017185D" w:rsidP="0017185D">
      <w:pPr>
        <w:spacing w:after="0" w:line="360" w:lineRule="auto"/>
        <w:jc w:val="both"/>
        <w:rPr>
          <w:rFonts w:ascii="Palatino Linotype" w:eastAsia="Palatino Linotype" w:hAnsi="Palatino Linotype" w:cs="Palatino Linotype"/>
        </w:rPr>
      </w:pPr>
    </w:p>
    <w:p w14:paraId="3A8C7A7B" w14:textId="77777777" w:rsidR="0017185D" w:rsidRPr="009E6AB2" w:rsidRDefault="0017185D" w:rsidP="0017185D">
      <w:pPr>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Artículo 92.</w:t>
      </w:r>
      <w:r w:rsidRPr="009E6AB2">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3A4394D4" w14:textId="77777777" w:rsidR="0017185D" w:rsidRPr="009E6AB2" w:rsidRDefault="0017185D" w:rsidP="0017185D">
      <w:pPr>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w:t>
      </w:r>
    </w:p>
    <w:p w14:paraId="4DB1622E" w14:textId="77777777" w:rsidR="0017185D" w:rsidRPr="009E6AB2" w:rsidRDefault="0017185D" w:rsidP="0017185D">
      <w:pPr>
        <w:spacing w:after="0" w:line="276" w:lineRule="auto"/>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 xml:space="preserve">II. </w:t>
      </w:r>
      <w:r w:rsidRPr="009E6AB2">
        <w:rPr>
          <w:rFonts w:ascii="Palatino Linotype" w:eastAsia="Palatino Linotype" w:hAnsi="Palatino Linotype" w:cs="Palatino Linotype"/>
          <w:i/>
        </w:rPr>
        <w:t xml:space="preserve">Su estructura orgánica completa, en un formato que permita vincular cada parte de la estructura, </w:t>
      </w:r>
      <w:r w:rsidRPr="009E6AB2">
        <w:rPr>
          <w:rFonts w:ascii="Palatino Linotype" w:eastAsia="Palatino Linotype" w:hAnsi="Palatino Linotype" w:cs="Palatino Linotype"/>
          <w:b/>
          <w:i/>
        </w:rPr>
        <w:t xml:space="preserve">las atribuciones y responsabilidades que le corresponden a </w:t>
      </w:r>
      <w:r w:rsidRPr="009E6AB2">
        <w:rPr>
          <w:rFonts w:ascii="Palatino Linotype" w:eastAsia="Palatino Linotype" w:hAnsi="Palatino Linotype" w:cs="Palatino Linotype"/>
          <w:b/>
          <w:i/>
          <w:u w:val="single"/>
        </w:rPr>
        <w:t>cada servidor público</w:t>
      </w:r>
      <w:r w:rsidRPr="009E6AB2">
        <w:rPr>
          <w:rFonts w:ascii="Palatino Linotype" w:eastAsia="Palatino Linotype" w:hAnsi="Palatino Linotype" w:cs="Palatino Linotype"/>
          <w:i/>
        </w:rPr>
        <w:t xml:space="preserve">, </w:t>
      </w:r>
      <w:r w:rsidRPr="009E6AB2">
        <w:rPr>
          <w:rFonts w:ascii="Palatino Linotype" w:eastAsia="Palatino Linotype" w:hAnsi="Palatino Linotype" w:cs="Palatino Linotype"/>
          <w:b/>
          <w:i/>
        </w:rPr>
        <w:t>prestador de servicios profesionales o miembro de los sujetos obligados</w:t>
      </w:r>
      <w:r w:rsidRPr="009E6AB2">
        <w:rPr>
          <w:rFonts w:ascii="Palatino Linotype" w:eastAsia="Palatino Linotype" w:hAnsi="Palatino Linotype" w:cs="Palatino Linotype"/>
          <w:i/>
        </w:rPr>
        <w:t>, de conformidad con las disposiciones jurídicas aplicables;”</w:t>
      </w:r>
    </w:p>
    <w:p w14:paraId="29105E65" w14:textId="77777777" w:rsidR="0017185D" w:rsidRPr="009E6AB2" w:rsidRDefault="0017185D" w:rsidP="0017185D">
      <w:pPr>
        <w:pBdr>
          <w:top w:val="nil"/>
          <w:left w:val="nil"/>
          <w:bottom w:val="nil"/>
          <w:right w:val="nil"/>
          <w:between w:val="nil"/>
        </w:pBdr>
        <w:spacing w:after="0" w:line="360" w:lineRule="auto"/>
        <w:ind w:right="51"/>
        <w:jc w:val="both"/>
        <w:rPr>
          <w:rFonts w:ascii="Palatino Linotype" w:eastAsia="Palatino Linotype" w:hAnsi="Palatino Linotype" w:cs="Palatino Linotype"/>
        </w:rPr>
      </w:pPr>
    </w:p>
    <w:p w14:paraId="740220CE" w14:textId="77777777" w:rsidR="0017185D" w:rsidRPr="009E6AB2" w:rsidRDefault="0017185D" w:rsidP="0017185D">
      <w:pPr>
        <w:pBdr>
          <w:top w:val="nil"/>
          <w:left w:val="nil"/>
          <w:bottom w:val="nil"/>
          <w:right w:val="nil"/>
          <w:between w:val="nil"/>
        </w:pBdr>
        <w:spacing w:after="0" w:line="360" w:lineRule="auto"/>
        <w:ind w:right="51"/>
        <w:jc w:val="both"/>
      </w:pPr>
      <w:r w:rsidRPr="009E6AB2">
        <w:rPr>
          <w:rFonts w:ascii="Palatino Linotype" w:eastAsia="Palatino Linotype" w:hAnsi="Palatino Linotype" w:cs="Palatino Linotype"/>
        </w:rPr>
        <w:lastRenderedPageBreak/>
        <w:t>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10B1700E" w14:textId="77777777" w:rsidR="0017185D" w:rsidRPr="009E6AB2" w:rsidRDefault="0017185D" w:rsidP="0017185D">
      <w:pPr>
        <w:spacing w:after="0"/>
        <w:rPr>
          <w:rFonts w:ascii="Palatino Linotype" w:eastAsia="Palatino Linotype" w:hAnsi="Palatino Linotype" w:cs="Palatino Linotype"/>
        </w:rPr>
      </w:pPr>
    </w:p>
    <w:p w14:paraId="02248E40"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4F71D376" w14:textId="77777777" w:rsidR="0017185D" w:rsidRPr="009E6AB2" w:rsidRDefault="0017185D" w:rsidP="0017185D">
      <w:pPr>
        <w:spacing w:after="0"/>
        <w:ind w:left="567" w:right="616"/>
      </w:pPr>
    </w:p>
    <w:p w14:paraId="5CCA4822"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b/>
          <w:i/>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9E6AB2">
        <w:rPr>
          <w:rFonts w:ascii="Palatino Linotype" w:eastAsia="Palatino Linotype" w:hAnsi="Palatino Linotype" w:cs="Palatino Linotype"/>
          <w:i/>
        </w:rPr>
        <w:t>;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573E3144"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i/>
        </w:rPr>
        <w:t>En aquellos casos en los que dicha estructura no corresponda con la funcional, deberá especificarse cuáles puestos se encuentran en tránsito de aprobación por parte de las autoridades competentes. </w:t>
      </w:r>
    </w:p>
    <w:p w14:paraId="07F4F3A5"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i/>
        </w:rPr>
        <w:t>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5B33B0AB"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b/>
          <w:i/>
        </w:rPr>
        <w:t xml:space="preserve">La estructura orgánica deberá incluir </w:t>
      </w:r>
      <w:r w:rsidRPr="009E6AB2">
        <w:rPr>
          <w:rFonts w:ascii="Palatino Linotype" w:eastAsia="Palatino Linotype" w:hAnsi="Palatino Linotype" w:cs="Palatino Linotype"/>
          <w:b/>
          <w:i/>
          <w:u w:val="single"/>
        </w:rPr>
        <w:t>al titular del sujeto obligado y todos los servidores públicos adscritos a las unidades administrativas</w:t>
      </w:r>
      <w:r w:rsidRPr="009E6AB2">
        <w:rPr>
          <w:rFonts w:ascii="Palatino Linotype" w:eastAsia="Palatino Linotype" w:hAnsi="Palatino Linotype" w:cs="Palatino Linotype"/>
          <w:b/>
          <w:i/>
        </w:rPr>
        <w:t xml:space="preserve">, áreas, institutos o los que correspondan, incluido el personal de gabinete de apoyo </w:t>
      </w:r>
      <w:proofErr w:type="spellStart"/>
      <w:r w:rsidRPr="009E6AB2">
        <w:rPr>
          <w:rFonts w:ascii="Palatino Linotype" w:eastAsia="Palatino Linotype" w:hAnsi="Palatino Linotype" w:cs="Palatino Linotype"/>
          <w:b/>
          <w:i/>
        </w:rPr>
        <w:t>u</w:t>
      </w:r>
      <w:proofErr w:type="spellEnd"/>
      <w:r w:rsidRPr="009E6AB2">
        <w:rPr>
          <w:rFonts w:ascii="Palatino Linotype" w:eastAsia="Palatino Linotype" w:hAnsi="Palatino Linotype" w:cs="Palatino Linotype"/>
          <w:b/>
          <w:i/>
        </w:rPr>
        <w:t xml:space="preserve"> homólogo, prestadores de servicios profesionales, miembros de los sujetos obligados, así </w:t>
      </w:r>
      <w:r w:rsidRPr="009E6AB2">
        <w:rPr>
          <w:rFonts w:ascii="Palatino Linotype" w:eastAsia="Palatino Linotype" w:hAnsi="Palatino Linotype" w:cs="Palatino Linotype"/>
          <w:b/>
          <w:i/>
        </w:rPr>
        <w:lastRenderedPageBreak/>
        <w:t>como los respectivos niveles de adjunto, homólogo o cualquier otro equivalente, según la denominación que se le dé.</w:t>
      </w:r>
    </w:p>
    <w:p w14:paraId="690D8502" w14:textId="77777777" w:rsidR="0017185D" w:rsidRPr="009E6AB2" w:rsidRDefault="0017185D" w:rsidP="0017185D">
      <w:pPr>
        <w:pBdr>
          <w:top w:val="nil"/>
          <w:left w:val="nil"/>
          <w:bottom w:val="nil"/>
          <w:right w:val="nil"/>
          <w:between w:val="nil"/>
        </w:pBdr>
        <w:spacing w:after="0"/>
        <w:ind w:left="567" w:right="616"/>
        <w:jc w:val="both"/>
      </w:pPr>
      <w:r w:rsidRPr="009E6AB2">
        <w:rPr>
          <w:rFonts w:ascii="Palatino Linotype" w:eastAsia="Palatino Linotype" w:hAnsi="Palatino Linotype" w:cs="Palatino Linotype"/>
          <w:i/>
        </w:rPr>
        <w:t>…</w:t>
      </w:r>
    </w:p>
    <w:p w14:paraId="46B4855A" w14:textId="77777777" w:rsidR="0017185D" w:rsidRPr="009E6AB2" w:rsidRDefault="0017185D" w:rsidP="0017185D">
      <w:pPr>
        <w:pBdr>
          <w:top w:val="nil"/>
          <w:left w:val="nil"/>
          <w:bottom w:val="nil"/>
          <w:right w:val="nil"/>
          <w:between w:val="nil"/>
        </w:pBdr>
        <w:spacing w:after="0"/>
        <w:ind w:left="567" w:right="616"/>
        <w:jc w:val="both"/>
        <w:rPr>
          <w:rFonts w:ascii="Palatino Linotype" w:eastAsia="Palatino Linotype" w:hAnsi="Palatino Linotype" w:cs="Palatino Linotype"/>
          <w:b/>
          <w:i/>
          <w:u w:val="single"/>
        </w:rPr>
      </w:pPr>
      <w:r w:rsidRPr="009E6AB2">
        <w:rPr>
          <w:rFonts w:ascii="Palatino Linotype" w:eastAsia="Palatino Linotype" w:hAnsi="Palatino Linotype" w:cs="Palatino Linotype"/>
          <w:b/>
          <w:i/>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166CAF8E" w14:textId="77777777" w:rsidR="0017185D" w:rsidRPr="009E6AB2" w:rsidRDefault="0017185D" w:rsidP="0017185D">
      <w:pPr>
        <w:pBdr>
          <w:top w:val="nil"/>
          <w:left w:val="nil"/>
          <w:bottom w:val="nil"/>
          <w:right w:val="nil"/>
          <w:between w:val="nil"/>
        </w:pBdr>
        <w:spacing w:after="0"/>
        <w:ind w:left="567" w:right="616"/>
        <w:jc w:val="both"/>
        <w:rPr>
          <w:rFonts w:ascii="Palatino Linotype" w:eastAsia="Palatino Linotype" w:hAnsi="Palatino Linotype" w:cs="Palatino Linotype"/>
          <w:b/>
          <w:i/>
          <w:u w:val="single"/>
        </w:rPr>
      </w:pPr>
    </w:p>
    <w:p w14:paraId="6297969A" w14:textId="77777777" w:rsidR="0017185D" w:rsidRPr="009E6AB2" w:rsidRDefault="0017185D" w:rsidP="0017185D">
      <w:pPr>
        <w:pBdr>
          <w:top w:val="nil"/>
          <w:left w:val="nil"/>
          <w:bottom w:val="nil"/>
          <w:right w:val="nil"/>
          <w:between w:val="nil"/>
        </w:pBdr>
        <w:spacing w:after="0"/>
        <w:ind w:left="567" w:right="616"/>
        <w:jc w:val="center"/>
        <w:rPr>
          <w:rFonts w:ascii="Palatino Linotype" w:eastAsia="Palatino Linotype" w:hAnsi="Palatino Linotype" w:cs="Palatino Linotype"/>
          <w:b/>
          <w:i/>
          <w:u w:val="single"/>
        </w:rPr>
      </w:pPr>
      <w:r w:rsidRPr="009E6AB2">
        <w:rPr>
          <w:rFonts w:ascii="Palatino Linotype" w:eastAsia="Palatino Linotype" w:hAnsi="Palatino Linotype" w:cs="Palatino Linotype"/>
          <w:i/>
          <w:noProof/>
        </w:rPr>
        <w:drawing>
          <wp:inline distT="0" distB="0" distL="0" distR="0" wp14:anchorId="153E46D5" wp14:editId="11302968">
            <wp:extent cx="4543425" cy="4391025"/>
            <wp:effectExtent l="0" t="0" r="9525" b="9525"/>
            <wp:docPr id="143" name="image4.png" descr="https://lh7-us.googleusercontent.com/Em2T3FepT9VaJWw0tVO9TivCdmh6uCuZwpDBqMJDlWo9INEMu2dwLOf_dpW7-U0ArpYyJ1B94JFvCsgwNp-9v93PEM8cRC19Sz4VR8mr0gx6EZbdEvmx84HPZVaDwZveqEaoT8C-JB6q6fmYTLFn"/>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Em2T3FepT9VaJWw0tVO9TivCdmh6uCuZwpDBqMJDlWo9INEMu2dwLOf_dpW7-U0ArpYyJ1B94JFvCsgwNp-9v93PEM8cRC19Sz4VR8mr0gx6EZbdEvmx84HPZVaDwZveqEaoT8C-JB6q6fmYTLFn"/>
                    <pic:cNvPicPr preferRelativeResize="0"/>
                  </pic:nvPicPr>
                  <pic:blipFill>
                    <a:blip r:embed="rId11"/>
                    <a:srcRect/>
                    <a:stretch>
                      <a:fillRect/>
                    </a:stretch>
                  </pic:blipFill>
                  <pic:spPr>
                    <a:xfrm>
                      <a:off x="0" y="0"/>
                      <a:ext cx="4566046" cy="4412887"/>
                    </a:xfrm>
                    <a:prstGeom prst="rect">
                      <a:avLst/>
                    </a:prstGeom>
                    <a:ln/>
                  </pic:spPr>
                </pic:pic>
              </a:graphicData>
            </a:graphic>
          </wp:inline>
        </w:drawing>
      </w:r>
    </w:p>
    <w:p w14:paraId="6C797EBD" w14:textId="77777777" w:rsidR="0017185D" w:rsidRPr="009E6AB2" w:rsidRDefault="0017185D" w:rsidP="0017185D">
      <w:pPr>
        <w:spacing w:after="0" w:line="360" w:lineRule="auto"/>
        <w:ind w:left="567" w:right="51"/>
        <w:jc w:val="both"/>
        <w:rPr>
          <w:rFonts w:ascii="Palatino Linotype" w:eastAsia="Palatino Linotype" w:hAnsi="Palatino Linotype" w:cs="Palatino Linotype"/>
        </w:rPr>
      </w:pPr>
    </w:p>
    <w:p w14:paraId="0C000EFA" w14:textId="77777777" w:rsidR="0017185D" w:rsidRPr="009E6AB2" w:rsidRDefault="0017185D" w:rsidP="0017185D">
      <w:pPr>
        <w:spacing w:after="0" w:line="360" w:lineRule="auto"/>
        <w:ind w:right="51"/>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En razón de lo anterior, se arriba a la conclusión de que la información requerida forma parte de las obligaciones de transparencia común de los sujetos obligados y, por ende, debe contar con esta. </w:t>
      </w:r>
    </w:p>
    <w:p w14:paraId="794B391A" w14:textId="77777777" w:rsidR="00FD740A" w:rsidRPr="009E6AB2" w:rsidRDefault="00FD740A" w:rsidP="0017185D">
      <w:pPr>
        <w:spacing w:after="0" w:line="360" w:lineRule="auto"/>
        <w:jc w:val="both"/>
        <w:rPr>
          <w:rFonts w:ascii="Palatino Linotype" w:eastAsia="Palatino Linotype" w:hAnsi="Palatino Linotype" w:cs="Palatino Linotype"/>
        </w:rPr>
      </w:pPr>
    </w:p>
    <w:p w14:paraId="55DA81B2" w14:textId="77777777" w:rsidR="00FD740A" w:rsidRPr="009E6AB2" w:rsidRDefault="0017185D" w:rsidP="0017185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lastRenderedPageBreak/>
        <w:t xml:space="preserve">Ahora bien, en el caso que ahora nos ocupa, </w:t>
      </w:r>
      <w:r w:rsidRPr="009E6AB2">
        <w:rPr>
          <w:rFonts w:ascii="Palatino Linotype" w:eastAsia="Palatino Linotype" w:hAnsi="Palatino Linotype" w:cs="Palatino Linotype"/>
        </w:rPr>
        <w:tab/>
        <w:t xml:space="preserve">es de recordar que la </w:t>
      </w:r>
      <w:r w:rsidR="00FD740A" w:rsidRPr="009E6AB2">
        <w:rPr>
          <w:rFonts w:ascii="Palatino Linotype" w:eastAsia="Palatino Linotype" w:hAnsi="Palatino Linotype" w:cs="Palatino Linotype"/>
        </w:rPr>
        <w:t xml:space="preserve">parte Recurrente solicitó el listado de las personas que se encuentran adscritas al área de catastro, </w:t>
      </w:r>
      <w:r w:rsidR="00FD740A" w:rsidRPr="009E6AB2">
        <w:rPr>
          <w:rFonts w:ascii="Palatino Linotype" w:eastAsia="Palatino Linotype" w:hAnsi="Palatino Linotype" w:cs="Palatino Linotype"/>
          <w:b/>
        </w:rPr>
        <w:t>nombre completo</w:t>
      </w:r>
      <w:r w:rsidR="00FD740A" w:rsidRPr="009E6AB2">
        <w:rPr>
          <w:rFonts w:ascii="Palatino Linotype" w:eastAsia="Palatino Linotype" w:hAnsi="Palatino Linotype" w:cs="Palatino Linotype"/>
        </w:rPr>
        <w:t xml:space="preserve">, </w:t>
      </w:r>
      <w:r w:rsidR="00FD740A" w:rsidRPr="009E6AB2">
        <w:rPr>
          <w:rFonts w:ascii="Palatino Linotype" w:eastAsia="Palatino Linotype" w:hAnsi="Palatino Linotype" w:cs="Palatino Linotype"/>
          <w:b/>
        </w:rPr>
        <w:t>cargo actual</w:t>
      </w:r>
      <w:r w:rsidR="00FD740A" w:rsidRPr="009E6AB2">
        <w:rPr>
          <w:rFonts w:ascii="Palatino Linotype" w:eastAsia="Palatino Linotype" w:hAnsi="Palatino Linotype" w:cs="Palatino Linotype"/>
        </w:rPr>
        <w:t xml:space="preserve"> y </w:t>
      </w:r>
      <w:r w:rsidR="00FD740A" w:rsidRPr="009E6AB2">
        <w:rPr>
          <w:rFonts w:ascii="Palatino Linotype" w:eastAsia="Palatino Linotype" w:hAnsi="Palatino Linotype" w:cs="Palatino Linotype"/>
          <w:b/>
        </w:rPr>
        <w:t>las funciones que desempeñan</w:t>
      </w:r>
      <w:r w:rsidR="00FD740A" w:rsidRPr="009E6AB2">
        <w:rPr>
          <w:rFonts w:ascii="Palatino Linotype" w:eastAsia="Palatino Linotype" w:hAnsi="Palatino Linotype" w:cs="Palatino Linotype"/>
        </w:rPr>
        <w:t xml:space="preserve">. </w:t>
      </w:r>
    </w:p>
    <w:p w14:paraId="3AAE6F31" w14:textId="77777777" w:rsidR="00FD740A" w:rsidRPr="009E6AB2" w:rsidRDefault="00FD740A" w:rsidP="0017185D">
      <w:pPr>
        <w:spacing w:after="0" w:line="360" w:lineRule="auto"/>
        <w:jc w:val="both"/>
        <w:rPr>
          <w:rFonts w:ascii="Palatino Linotype" w:eastAsia="Palatino Linotype" w:hAnsi="Palatino Linotype" w:cs="Palatino Linotype"/>
        </w:rPr>
      </w:pPr>
    </w:p>
    <w:p w14:paraId="50EC895C" w14:textId="77777777" w:rsidR="0017185D" w:rsidRPr="009E6AB2" w:rsidRDefault="0017185D" w:rsidP="0017185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No obstante, del análisis realizado a la respuesta del Sujeto Obligado se advirtió que:</w:t>
      </w:r>
    </w:p>
    <w:p w14:paraId="1D5E711B" w14:textId="77777777" w:rsidR="0017185D" w:rsidRPr="009E6AB2" w:rsidRDefault="0017185D" w:rsidP="0017185D">
      <w:pPr>
        <w:spacing w:after="0" w:line="360" w:lineRule="auto"/>
        <w:jc w:val="both"/>
        <w:rPr>
          <w:rFonts w:ascii="Palatino Linotype" w:eastAsia="Palatino Linotype" w:hAnsi="Palatino Linotype" w:cs="Palatino Linotype"/>
        </w:rPr>
      </w:pPr>
    </w:p>
    <w:p w14:paraId="4B25D4C0" w14:textId="77777777" w:rsidR="0017185D" w:rsidRPr="009E6AB2" w:rsidRDefault="0017185D" w:rsidP="0017185D">
      <w:pPr>
        <w:pStyle w:val="Prrafodelista"/>
        <w:numPr>
          <w:ilvl w:val="0"/>
          <w:numId w:val="8"/>
        </w:num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Se entregó un listado donde consta el nombre de los servidores públicos adscritos al área de catastro. </w:t>
      </w:r>
    </w:p>
    <w:p w14:paraId="055FAF95" w14:textId="77777777" w:rsidR="0017185D" w:rsidRPr="009E6AB2" w:rsidRDefault="00B21D44" w:rsidP="0017185D">
      <w:pPr>
        <w:pStyle w:val="Prrafodelista"/>
        <w:numPr>
          <w:ilvl w:val="0"/>
          <w:numId w:val="8"/>
        </w:num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Se entregó información del cargo pero no s</w:t>
      </w:r>
      <w:r w:rsidR="0017185D" w:rsidRPr="009E6AB2">
        <w:rPr>
          <w:rFonts w:ascii="Palatino Linotype" w:eastAsia="Palatino Linotype" w:hAnsi="Palatino Linotype" w:cs="Palatino Linotype"/>
        </w:rPr>
        <w:t xml:space="preserve">e especificaron las funciones. </w:t>
      </w:r>
    </w:p>
    <w:p w14:paraId="42DF94D6" w14:textId="77777777" w:rsidR="0017185D" w:rsidRPr="009E6AB2" w:rsidRDefault="0017185D" w:rsidP="0017185D">
      <w:pPr>
        <w:spacing w:after="0" w:line="360" w:lineRule="auto"/>
        <w:jc w:val="both"/>
        <w:rPr>
          <w:rFonts w:ascii="Palatino Linotype" w:eastAsia="Palatino Linotype" w:hAnsi="Palatino Linotype" w:cs="Palatino Linotype"/>
        </w:rPr>
      </w:pPr>
    </w:p>
    <w:p w14:paraId="165DA7F1" w14:textId="247AF369" w:rsidR="0017185D" w:rsidRPr="009E6AB2" w:rsidRDefault="0017185D" w:rsidP="0017185D">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 xml:space="preserve">En ese sentido, en lo que respecta al nombre de los servidores públicos, esta información se tiene por </w:t>
      </w:r>
      <w:r w:rsidRPr="009E6AB2">
        <w:rPr>
          <w:rFonts w:ascii="Palatino Linotype" w:eastAsia="Palatino Linotype" w:hAnsi="Palatino Linotype" w:cs="Palatino Linotype"/>
          <w:b/>
        </w:rPr>
        <w:t xml:space="preserve">colmada. </w:t>
      </w:r>
    </w:p>
    <w:p w14:paraId="1BD8C5AF" w14:textId="77777777" w:rsidR="004122AB" w:rsidRPr="009E6AB2" w:rsidRDefault="004122AB" w:rsidP="0017185D">
      <w:pPr>
        <w:spacing w:after="0" w:line="360" w:lineRule="auto"/>
        <w:jc w:val="both"/>
        <w:rPr>
          <w:rFonts w:ascii="Palatino Linotype" w:eastAsia="Palatino Linotype" w:hAnsi="Palatino Linotype" w:cs="Palatino Linotype"/>
          <w:b/>
        </w:rPr>
      </w:pPr>
    </w:p>
    <w:p w14:paraId="220085FE" w14:textId="77777777" w:rsidR="0017185D" w:rsidRPr="009E6AB2" w:rsidRDefault="0017185D" w:rsidP="0017185D">
      <w:pPr>
        <w:spacing w:after="0" w:line="360" w:lineRule="auto"/>
        <w:jc w:val="both"/>
        <w:rPr>
          <w:rFonts w:ascii="Palatino Linotype" w:eastAsia="Palatino Linotype" w:hAnsi="Palatino Linotype" w:cs="Palatino Linotype"/>
          <w:b/>
        </w:rPr>
      </w:pPr>
    </w:p>
    <w:p w14:paraId="09213905" w14:textId="77777777" w:rsidR="00B21D44" w:rsidRPr="009E6AB2" w:rsidRDefault="0017185D" w:rsidP="0017185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En lo que respecta al ca</w:t>
      </w:r>
      <w:r w:rsidR="00B21D44" w:rsidRPr="009E6AB2">
        <w:rPr>
          <w:rFonts w:ascii="Palatino Linotype" w:eastAsia="Palatino Linotype" w:hAnsi="Palatino Linotype" w:cs="Palatino Linotype"/>
        </w:rPr>
        <w:t xml:space="preserve">rgo, el Sujeto Obligado en el cuadro que proporcionó, en el apartado de “función”, proporcionó el </w:t>
      </w:r>
      <w:r w:rsidR="00B21D44" w:rsidRPr="009E6AB2">
        <w:rPr>
          <w:rFonts w:ascii="Palatino Linotype" w:eastAsia="Palatino Linotype" w:hAnsi="Palatino Linotype" w:cs="Palatino Linotype"/>
          <w:b/>
          <w:i/>
        </w:rPr>
        <w:t>cargo</w:t>
      </w:r>
      <w:r w:rsidR="00B21D44" w:rsidRPr="009E6AB2">
        <w:rPr>
          <w:rFonts w:ascii="Palatino Linotype" w:eastAsia="Palatino Linotype" w:hAnsi="Palatino Linotype" w:cs="Palatino Linotype"/>
        </w:rPr>
        <w:t xml:space="preserve"> como se advierte a continuación: </w:t>
      </w:r>
    </w:p>
    <w:p w14:paraId="5A951CD4" w14:textId="77777777" w:rsidR="00B21D44" w:rsidRPr="009E6AB2" w:rsidRDefault="00B21D44" w:rsidP="0017185D">
      <w:pPr>
        <w:spacing w:after="0" w:line="360" w:lineRule="auto"/>
        <w:jc w:val="both"/>
        <w:rPr>
          <w:rFonts w:ascii="Palatino Linotype" w:eastAsia="Palatino Linotype" w:hAnsi="Palatino Linotype" w:cs="Palatino Linotype"/>
        </w:rPr>
      </w:pPr>
    </w:p>
    <w:p w14:paraId="257FCAB5" w14:textId="77777777" w:rsidR="00B21D44" w:rsidRPr="009E6AB2" w:rsidRDefault="004338E6" w:rsidP="0017185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noProof/>
        </w:rPr>
        <mc:AlternateContent>
          <mc:Choice Requires="wps">
            <w:drawing>
              <wp:anchor distT="0" distB="0" distL="114300" distR="114300" simplePos="0" relativeHeight="251662336" behindDoc="0" locked="0" layoutInCell="1" allowOverlap="1" wp14:anchorId="7FB12DF4" wp14:editId="4B3CEC2A">
                <wp:simplePos x="0" y="0"/>
                <wp:positionH relativeFrom="column">
                  <wp:posOffset>4425315</wp:posOffset>
                </wp:positionH>
                <wp:positionV relativeFrom="paragraph">
                  <wp:posOffset>506729</wp:posOffset>
                </wp:positionV>
                <wp:extent cx="1327150" cy="676275"/>
                <wp:effectExtent l="19050" t="19050" r="25400" b="28575"/>
                <wp:wrapNone/>
                <wp:docPr id="8" name="Rectángulo 8"/>
                <wp:cNvGraphicFramePr/>
                <a:graphic xmlns:a="http://schemas.openxmlformats.org/drawingml/2006/main">
                  <a:graphicData uri="http://schemas.microsoft.com/office/word/2010/wordprocessingShape">
                    <wps:wsp>
                      <wps:cNvSpPr/>
                      <wps:spPr>
                        <a:xfrm>
                          <a:off x="0" y="0"/>
                          <a:ext cx="1327150" cy="676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7ECB183" id="Rectángulo 8" o:spid="_x0000_s1026" style="position:absolute;margin-left:348.45pt;margin-top:39.9pt;width:104.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" filled="f" strokecolor="red" strokeweight="3pt"/>
            </w:pict>
          </mc:Fallback>
        </mc:AlternateContent>
      </w:r>
      <w:r w:rsidR="00B21D44" w:rsidRPr="009E6AB2">
        <w:rPr>
          <w:rFonts w:ascii="Palatino Linotype" w:eastAsia="Palatino Linotype" w:hAnsi="Palatino Linotype" w:cs="Palatino Linotype"/>
          <w:noProof/>
        </w:rPr>
        <w:drawing>
          <wp:inline distT="0" distB="0" distL="0" distR="0" wp14:anchorId="7B3CF147" wp14:editId="6C0131D1">
            <wp:extent cx="5756275" cy="1133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9160"/>
                    <a:stretch/>
                  </pic:blipFill>
                  <pic:spPr bwMode="auto">
                    <a:xfrm>
                      <a:off x="0" y="0"/>
                      <a:ext cx="5756275" cy="1133475"/>
                    </a:xfrm>
                    <a:prstGeom prst="rect">
                      <a:avLst/>
                    </a:prstGeom>
                    <a:ln>
                      <a:noFill/>
                    </a:ln>
                    <a:extLst>
                      <a:ext uri="{53640926-AAD7-44D8-BBD7-CCE9431645EC}">
                        <a14:shadowObscured xmlns:a14="http://schemas.microsoft.com/office/drawing/2010/main"/>
                      </a:ext>
                    </a:extLst>
                  </pic:spPr>
                </pic:pic>
              </a:graphicData>
            </a:graphic>
          </wp:inline>
        </w:drawing>
      </w:r>
    </w:p>
    <w:p w14:paraId="3290457D" w14:textId="77777777" w:rsidR="004338E6" w:rsidRPr="009E6AB2" w:rsidRDefault="004338E6" w:rsidP="004338E6">
      <w:pPr>
        <w:spacing w:after="0" w:line="360" w:lineRule="auto"/>
        <w:jc w:val="center"/>
        <w:rPr>
          <w:rFonts w:ascii="Palatino Linotype" w:eastAsia="Palatino Linotype" w:hAnsi="Palatino Linotype" w:cs="Palatino Linotype"/>
        </w:rPr>
      </w:pPr>
      <w:r w:rsidRPr="009E6AB2">
        <w:rPr>
          <w:rFonts w:ascii="Palatino Linotype" w:eastAsia="Palatino Linotype" w:hAnsi="Palatino Linotype" w:cs="Palatino Linotype"/>
        </w:rPr>
        <w:t>…</w:t>
      </w:r>
    </w:p>
    <w:p w14:paraId="580FA979" w14:textId="77777777" w:rsidR="004338E6" w:rsidRPr="009E6AB2" w:rsidRDefault="004338E6" w:rsidP="00B21D44">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Es así que, se entiende por cargo a</w:t>
      </w:r>
      <w:r w:rsidR="00B21D44" w:rsidRPr="009E6AB2">
        <w:rPr>
          <w:rFonts w:ascii="Palatino Linotype" w:eastAsia="Palatino Linotype" w:hAnsi="Palatino Linotype" w:cs="Palatino Linotype"/>
        </w:rPr>
        <w:t>l puesto o empleo que tiene una persona dentro de una organización y, el cual se relaciona directamente con las funciones que desempeñ</w:t>
      </w:r>
      <w:r w:rsidRPr="009E6AB2">
        <w:rPr>
          <w:rFonts w:ascii="Palatino Linotype" w:eastAsia="Palatino Linotype" w:hAnsi="Palatino Linotype" w:cs="Palatino Linotype"/>
        </w:rPr>
        <w:t xml:space="preserve">a, de tal manera que, el Sujeto Obligado al haber proporcionado el cargo de los servidores públicos, este punto se tiene por </w:t>
      </w:r>
      <w:r w:rsidRPr="009E6AB2">
        <w:rPr>
          <w:rFonts w:ascii="Palatino Linotype" w:eastAsia="Palatino Linotype" w:hAnsi="Palatino Linotype" w:cs="Palatino Linotype"/>
          <w:b/>
        </w:rPr>
        <w:t xml:space="preserve">colmado. </w:t>
      </w:r>
    </w:p>
    <w:p w14:paraId="6BE559C0" w14:textId="77777777" w:rsidR="004338E6" w:rsidRPr="009E6AB2" w:rsidRDefault="004338E6" w:rsidP="0017185D">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lastRenderedPageBreak/>
        <w:t xml:space="preserve">En lo que respecta a las funciones, como se mencionó, el Sujeto Obligado precisó el cargo en el apartado de funciones en el cuadro que remitió, </w:t>
      </w:r>
      <w:r w:rsidR="0001618A" w:rsidRPr="009E6AB2">
        <w:rPr>
          <w:rFonts w:ascii="Palatino Linotype" w:eastAsia="Palatino Linotype" w:hAnsi="Palatino Linotype" w:cs="Palatino Linotype"/>
        </w:rPr>
        <w:t xml:space="preserve">es decir, </w:t>
      </w:r>
      <w:r w:rsidR="0001618A" w:rsidRPr="009E6AB2">
        <w:rPr>
          <w:rFonts w:ascii="Palatino Linotype" w:eastAsia="Palatino Linotype" w:hAnsi="Palatino Linotype" w:cs="Palatino Linotype"/>
          <w:b/>
        </w:rPr>
        <w:t xml:space="preserve">no proporcionó las funciones que desempeñaban los servidores públicos. </w:t>
      </w:r>
    </w:p>
    <w:p w14:paraId="58B10FF0" w14:textId="77777777" w:rsidR="0001618A" w:rsidRPr="009E6AB2" w:rsidRDefault="0001618A" w:rsidP="0017185D">
      <w:pPr>
        <w:spacing w:after="0" w:line="360" w:lineRule="auto"/>
        <w:jc w:val="both"/>
        <w:rPr>
          <w:rFonts w:ascii="Palatino Linotype" w:eastAsia="Palatino Linotype" w:hAnsi="Palatino Linotype" w:cs="Palatino Linotype"/>
          <w:b/>
        </w:rPr>
      </w:pPr>
    </w:p>
    <w:p w14:paraId="1BBD4753" w14:textId="77777777" w:rsidR="0001618A" w:rsidRPr="009E6AB2" w:rsidRDefault="0001618A" w:rsidP="0001618A">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Asimismo, cabe mencionar que, se advirtió que quien dio atención a esta solicitud de información fue el Departamento de Catastro Municipal, quien si bien, es una unidad administrativa competente para generar, poseer y administrar la información requerida, no es la única, por lo que, </w:t>
      </w:r>
      <w:r w:rsidRPr="009E6AB2">
        <w:rPr>
          <w:rFonts w:ascii="Palatino Linotype" w:hAnsi="Palatino Linotype"/>
        </w:rPr>
        <w:t xml:space="preserve">resulta necesario referir que, </w:t>
      </w:r>
      <w:r w:rsidRPr="009E6AB2">
        <w:rPr>
          <w:rFonts w:ascii="Palatino Linotype" w:eastAsia="Palatino Linotype" w:hAnsi="Palatino Linotype" w:cs="Palatino Linotype"/>
        </w:rPr>
        <w:t>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7660C86" w14:textId="77777777" w:rsidR="0001618A" w:rsidRPr="009E6AB2" w:rsidRDefault="0001618A" w:rsidP="0001618A">
      <w:pPr>
        <w:spacing w:after="0" w:line="360" w:lineRule="auto"/>
        <w:jc w:val="both"/>
        <w:rPr>
          <w:rFonts w:ascii="Palatino Linotype" w:hAnsi="Palatino Linotype"/>
        </w:rPr>
      </w:pPr>
    </w:p>
    <w:p w14:paraId="30FB548F" w14:textId="77777777" w:rsidR="0001618A" w:rsidRPr="009E6AB2" w:rsidRDefault="0001618A" w:rsidP="0001618A">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4E7D0A9" w14:textId="77777777" w:rsidR="0001618A" w:rsidRPr="009E6AB2" w:rsidRDefault="0001618A" w:rsidP="0001618A">
      <w:pPr>
        <w:spacing w:after="0" w:line="360" w:lineRule="auto"/>
        <w:jc w:val="both"/>
        <w:rPr>
          <w:rFonts w:ascii="Palatino Linotype" w:eastAsia="Palatino Linotype" w:hAnsi="Palatino Linotype" w:cs="Palatino Linotype"/>
        </w:rPr>
      </w:pPr>
    </w:p>
    <w:p w14:paraId="3C3CADA6"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EDE935D"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9E6AB2">
        <w:rPr>
          <w:rFonts w:ascii="Palatino Linotype" w:eastAsia="Palatino Linotype" w:hAnsi="Palatino Linotype" w:cs="Palatino Linotype"/>
        </w:rPr>
        <w:lastRenderedPageBreak/>
        <w:t>interrumpirá el plazo para dar respuesta y comenzará a computarse el día siguiente al desahogo de esta.</w:t>
      </w:r>
    </w:p>
    <w:p w14:paraId="3BC863BA"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9E6AB2">
        <w:rPr>
          <w:rFonts w:ascii="Palatino Linotype" w:eastAsia="Palatino Linotype" w:hAnsi="Palatino Linotype" w:cs="Palatino Linotype"/>
          <w:b/>
        </w:rPr>
        <w:t>quince días, contados a partir del día siguiente a la presentación de ésta.</w:t>
      </w:r>
      <w:r w:rsidRPr="009E6AB2">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11A6A3AD"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b/>
          <w:u w:val="single"/>
        </w:rPr>
      </w:pPr>
      <w:r w:rsidRPr="009E6AB2">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0E1D3CD"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28742E7" w14:textId="77777777" w:rsidR="0001618A" w:rsidRPr="009E6AB2" w:rsidRDefault="0001618A" w:rsidP="0001618A">
      <w:pPr>
        <w:numPr>
          <w:ilvl w:val="0"/>
          <w:numId w:val="16"/>
        </w:num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A1E732F" w14:textId="77777777" w:rsidR="0001618A" w:rsidRPr="009E6AB2" w:rsidRDefault="0001618A" w:rsidP="0001618A">
      <w:pPr>
        <w:spacing w:after="0" w:line="360" w:lineRule="auto"/>
        <w:ind w:left="720"/>
        <w:jc w:val="both"/>
        <w:rPr>
          <w:rFonts w:ascii="Palatino Linotype" w:eastAsia="Palatino Linotype" w:hAnsi="Palatino Linotype" w:cs="Palatino Linotype"/>
          <w:b/>
        </w:rPr>
      </w:pPr>
    </w:p>
    <w:p w14:paraId="4D358EB1" w14:textId="77777777" w:rsidR="0001618A" w:rsidRPr="009E6AB2" w:rsidRDefault="0001618A" w:rsidP="0001618A">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Por ello, se colige que la Unidad de Transparencia, debió seguir un procedimiento de búsqueda exhaustiva y razonable en las unidades administrativas, que de conformidad con </w:t>
      </w:r>
      <w:r w:rsidRPr="009E6AB2">
        <w:rPr>
          <w:rFonts w:ascii="Palatino Linotype" w:eastAsia="Palatino Linotype" w:hAnsi="Palatino Linotype" w:cs="Palatino Linotype"/>
        </w:rPr>
        <w:lastRenderedPageBreak/>
        <w:t>sus atribuciones, facultades y competencia contaran con la información solicitada, como pu</w:t>
      </w:r>
      <w:r w:rsidR="00B05A68" w:rsidRPr="009E6AB2">
        <w:rPr>
          <w:rFonts w:ascii="Palatino Linotype" w:eastAsia="Palatino Linotype" w:hAnsi="Palatino Linotype" w:cs="Palatino Linotype"/>
        </w:rPr>
        <w:t xml:space="preserve">diera ser, su </w:t>
      </w:r>
      <w:r w:rsidRPr="009E6AB2">
        <w:rPr>
          <w:rFonts w:ascii="Palatino Linotype" w:eastAsia="Palatino Linotype" w:hAnsi="Palatino Linotype" w:cs="Palatino Linotype"/>
        </w:rPr>
        <w:t>Dirección de Administración</w:t>
      </w:r>
      <w:r w:rsidR="00EF51E2" w:rsidRPr="009E6AB2">
        <w:rPr>
          <w:rFonts w:ascii="Palatino Linotype" w:eastAsia="Palatino Linotype" w:hAnsi="Palatino Linotype" w:cs="Palatino Linotype"/>
        </w:rPr>
        <w:t xml:space="preserve">, situación que en el presente caso, no aconteció. </w:t>
      </w:r>
    </w:p>
    <w:p w14:paraId="1AAFF41F" w14:textId="77777777" w:rsidR="004D5666" w:rsidRPr="009E6AB2" w:rsidRDefault="004D5666">
      <w:pPr>
        <w:spacing w:after="0" w:line="360" w:lineRule="auto"/>
        <w:jc w:val="both"/>
        <w:rPr>
          <w:rFonts w:ascii="Palatino Linotype" w:eastAsia="Palatino Linotype" w:hAnsi="Palatino Linotype" w:cs="Palatino Linotype"/>
          <w:b/>
        </w:rPr>
      </w:pPr>
    </w:p>
    <w:p w14:paraId="6B34F83D" w14:textId="77777777" w:rsidR="0001618A" w:rsidRPr="009E6AB2" w:rsidRDefault="0001618A">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En conclusión, se considera procedente </w:t>
      </w:r>
      <w:r w:rsidRPr="009E6AB2">
        <w:rPr>
          <w:rFonts w:ascii="Palatino Linotype" w:eastAsia="Palatino Linotype" w:hAnsi="Palatino Linotype" w:cs="Palatino Linotype"/>
          <w:b/>
        </w:rPr>
        <w:t xml:space="preserve">MODIFICAR </w:t>
      </w:r>
      <w:r w:rsidRPr="009E6AB2">
        <w:rPr>
          <w:rFonts w:ascii="Palatino Linotype" w:eastAsia="Palatino Linotype" w:hAnsi="Palatino Linotype" w:cs="Palatino Linotype"/>
        </w:rPr>
        <w:t>la re</w:t>
      </w:r>
      <w:r w:rsidR="00B05A68" w:rsidRPr="009E6AB2">
        <w:rPr>
          <w:rFonts w:ascii="Palatino Linotype" w:eastAsia="Palatino Linotype" w:hAnsi="Palatino Linotype" w:cs="Palatino Linotype"/>
        </w:rPr>
        <w:t>spuesta del Sujeto Obligado que dio origen a</w:t>
      </w:r>
      <w:r w:rsidRPr="009E6AB2">
        <w:rPr>
          <w:rFonts w:ascii="Palatino Linotype" w:eastAsia="Palatino Linotype" w:hAnsi="Palatino Linotype" w:cs="Palatino Linotype"/>
        </w:rPr>
        <w:t xml:space="preserve">l Recurso de </w:t>
      </w:r>
      <w:proofErr w:type="gramStart"/>
      <w:r w:rsidRPr="009E6AB2">
        <w:rPr>
          <w:rFonts w:ascii="Palatino Linotype" w:eastAsia="Palatino Linotype" w:hAnsi="Palatino Linotype" w:cs="Palatino Linotype"/>
        </w:rPr>
        <w:t xml:space="preserve">Revisión  </w:t>
      </w:r>
      <w:r w:rsidRPr="009E6AB2">
        <w:rPr>
          <w:rFonts w:ascii="Palatino Linotype" w:eastAsia="Palatino Linotype" w:hAnsi="Palatino Linotype" w:cs="Palatino Linotype"/>
          <w:b/>
        </w:rPr>
        <w:t>00469</w:t>
      </w:r>
      <w:proofErr w:type="gramEnd"/>
      <w:r w:rsidRPr="009E6AB2">
        <w:rPr>
          <w:rFonts w:ascii="Palatino Linotype" w:eastAsia="Palatino Linotype" w:hAnsi="Palatino Linotype" w:cs="Palatino Linotype"/>
          <w:b/>
        </w:rPr>
        <w:t>/INFOEM/IP/RR/2025</w:t>
      </w:r>
      <w:r w:rsidRPr="009E6AB2">
        <w:rPr>
          <w:rFonts w:ascii="Palatino Linotype" w:eastAsia="Palatino Linotype" w:hAnsi="Palatino Linotype" w:cs="Palatino Linotype"/>
        </w:rPr>
        <w:t xml:space="preserve"> y se </w:t>
      </w:r>
      <w:r w:rsidRPr="009E6AB2">
        <w:rPr>
          <w:rFonts w:ascii="Palatino Linotype" w:eastAsia="Palatino Linotype" w:hAnsi="Palatino Linotype" w:cs="Palatino Linotype"/>
          <w:b/>
        </w:rPr>
        <w:t xml:space="preserve">ORDENA </w:t>
      </w:r>
      <w:r w:rsidRPr="009E6AB2">
        <w:rPr>
          <w:rFonts w:ascii="Palatino Linotype" w:eastAsia="Palatino Linotype" w:hAnsi="Palatino Linotype" w:cs="Palatino Linotype"/>
        </w:rPr>
        <w:t>previa búsqueda exhaustiva y razonable, de ser el caso, en versión pública, vía SAIMEX, el documento donde consten funciones que desempeñan los servidores públicos adscritos al área de catastro al dieciséis de enero d</w:t>
      </w:r>
      <w:r w:rsidR="00B05A68" w:rsidRPr="009E6AB2">
        <w:rPr>
          <w:rFonts w:ascii="Palatino Linotype" w:eastAsia="Palatino Linotype" w:hAnsi="Palatino Linotype" w:cs="Palatino Linotype"/>
        </w:rPr>
        <w:t xml:space="preserve">e dos mil veinticinco. </w:t>
      </w:r>
    </w:p>
    <w:p w14:paraId="6A243817" w14:textId="77777777" w:rsidR="0001618A" w:rsidRPr="009E6AB2" w:rsidRDefault="0001618A">
      <w:pPr>
        <w:spacing w:after="0" w:line="360" w:lineRule="auto"/>
        <w:jc w:val="both"/>
        <w:rPr>
          <w:rFonts w:ascii="Palatino Linotype" w:eastAsia="Palatino Linotype" w:hAnsi="Palatino Linotype" w:cs="Palatino Linotype"/>
          <w:b/>
        </w:rPr>
      </w:pPr>
    </w:p>
    <w:p w14:paraId="0A88B4FB" w14:textId="77777777" w:rsidR="0048635B" w:rsidRPr="009E6AB2" w:rsidRDefault="0048635B" w:rsidP="0048635B">
      <w:pPr>
        <w:pStyle w:val="Prrafodelista"/>
        <w:numPr>
          <w:ilvl w:val="0"/>
          <w:numId w:val="8"/>
        </w:num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t>Del Recurso de Revisión 00478/INFOEM/IP/RR/2025.</w:t>
      </w:r>
    </w:p>
    <w:p w14:paraId="3993C6DE" w14:textId="77777777" w:rsidR="0048635B" w:rsidRPr="009E6AB2" w:rsidRDefault="0048635B" w:rsidP="0048635B">
      <w:pPr>
        <w:spacing w:after="0" w:line="360" w:lineRule="auto"/>
        <w:ind w:right="49"/>
        <w:jc w:val="both"/>
        <w:rPr>
          <w:rFonts w:ascii="Palatino Linotype" w:eastAsia="Palatino Linotype" w:hAnsi="Palatino Linotype" w:cs="Palatino Linotype"/>
        </w:rPr>
      </w:pPr>
    </w:p>
    <w:p w14:paraId="754109A3" w14:textId="77777777" w:rsidR="0048635B" w:rsidRPr="009E6AB2" w:rsidRDefault="0001618A">
      <w:pPr>
        <w:spacing w:after="0" w:line="360" w:lineRule="auto"/>
        <w:jc w:val="both"/>
        <w:rPr>
          <w:rFonts w:ascii="Palatino Linotype" w:eastAsia="Palatino Linotype" w:hAnsi="Palatino Linotype" w:cs="Palatino Linotype"/>
          <w:b/>
        </w:rPr>
      </w:pPr>
      <w:r w:rsidRPr="009E6AB2">
        <w:rPr>
          <w:rFonts w:ascii="Palatino Linotype" w:eastAsia="Palatino Linotype" w:hAnsi="Palatino Linotype" w:cs="Palatino Linotype"/>
        </w:rPr>
        <w:t xml:space="preserve">En lo que respecta a este Recurso de Revisión, </w:t>
      </w:r>
      <w:r w:rsidR="00C1672A" w:rsidRPr="009E6AB2">
        <w:rPr>
          <w:rFonts w:ascii="Palatino Linotype" w:eastAsia="Palatino Linotype" w:hAnsi="Palatino Linotype" w:cs="Palatino Linotype"/>
        </w:rPr>
        <w:t xml:space="preserve">la parte Recurrente solicitó el listado de las personas que se dedican a la limpieza en las diversas áreas del Ayuntamiento, el nombre completo y las áreas donde se encuentran haciendo limpieza. </w:t>
      </w:r>
    </w:p>
    <w:p w14:paraId="5B1BADFF" w14:textId="77777777" w:rsidR="004D5666" w:rsidRPr="009E6AB2" w:rsidRDefault="004D5666">
      <w:pPr>
        <w:spacing w:after="0" w:line="360" w:lineRule="auto"/>
        <w:jc w:val="both"/>
        <w:rPr>
          <w:rFonts w:ascii="Palatino Linotype" w:eastAsia="Palatino Linotype" w:hAnsi="Palatino Linotype" w:cs="Palatino Linotype"/>
        </w:rPr>
      </w:pPr>
    </w:p>
    <w:p w14:paraId="4FEEEC2C" w14:textId="77777777" w:rsidR="00C1672A" w:rsidRPr="009E6AB2" w:rsidRDefault="00C1672A">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En respuesta, el Director de Recursos Humanos, informó que se remitía la relación del personal adscrito al área de Mantenimiento del Municipio de la Paz Estado de México, los cuales están encargados de la limpieza de las diferentes áreas y proporcionó lo siguiente:</w:t>
      </w:r>
    </w:p>
    <w:p w14:paraId="1BE73A57" w14:textId="77777777" w:rsidR="00C1672A" w:rsidRPr="009E6AB2" w:rsidRDefault="00C1672A" w:rsidP="00F961F0">
      <w:pPr>
        <w:spacing w:after="0" w:line="360" w:lineRule="auto"/>
        <w:jc w:val="center"/>
        <w:rPr>
          <w:rFonts w:ascii="Palatino Linotype" w:eastAsia="Palatino Linotype" w:hAnsi="Palatino Linotype" w:cs="Palatino Linotype"/>
        </w:rPr>
      </w:pPr>
      <w:r w:rsidRPr="009E6AB2">
        <w:rPr>
          <w:rFonts w:ascii="Palatino Linotype" w:eastAsia="Palatino Linotype" w:hAnsi="Palatino Linotype" w:cs="Palatino Linotype"/>
          <w:noProof/>
        </w:rPr>
        <w:lastRenderedPageBreak/>
        <w:drawing>
          <wp:inline distT="0" distB="0" distL="0" distR="0" wp14:anchorId="04E1170A" wp14:editId="4A3D94B4">
            <wp:extent cx="3867150" cy="3349255"/>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5365" cy="3356370"/>
                    </a:xfrm>
                    <a:prstGeom prst="rect">
                      <a:avLst/>
                    </a:prstGeom>
                  </pic:spPr>
                </pic:pic>
              </a:graphicData>
            </a:graphic>
          </wp:inline>
        </w:drawing>
      </w:r>
    </w:p>
    <w:p w14:paraId="10B5D3BB" w14:textId="77777777" w:rsidR="00C1672A" w:rsidRPr="009E6AB2" w:rsidRDefault="00C1672A">
      <w:pPr>
        <w:spacing w:after="0" w:line="360" w:lineRule="auto"/>
        <w:jc w:val="both"/>
        <w:rPr>
          <w:rFonts w:ascii="Palatino Linotype" w:eastAsia="Palatino Linotype" w:hAnsi="Palatino Linotype" w:cs="Palatino Linotype"/>
        </w:rPr>
      </w:pPr>
    </w:p>
    <w:p w14:paraId="2A886249" w14:textId="77777777" w:rsidR="00F961F0" w:rsidRPr="009E6AB2" w:rsidRDefault="00F961F0" w:rsidP="00F961F0">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De lo anterior, en principio es necesario precisar que de las constancias que obran en el expediente se logra vislumbrar que quien dio atención a la solicitud fue el Director de Recursos Humanos, por lo que, se colige que,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4D2F4A95" w14:textId="77777777" w:rsidR="00F961F0" w:rsidRPr="009E6AB2" w:rsidRDefault="00F961F0" w:rsidP="00F961F0">
      <w:pPr>
        <w:spacing w:after="0" w:line="360" w:lineRule="auto"/>
        <w:ind w:right="-93"/>
        <w:jc w:val="both"/>
        <w:rPr>
          <w:rFonts w:ascii="Palatino Linotype" w:eastAsia="Palatino Linotype" w:hAnsi="Palatino Linotype" w:cs="Palatino Linotype"/>
        </w:rPr>
      </w:pPr>
    </w:p>
    <w:p w14:paraId="2A4D1B95" w14:textId="77777777" w:rsidR="00F961F0" w:rsidRPr="009E6AB2" w:rsidRDefault="00F961F0" w:rsidP="00F961F0">
      <w:pPr>
        <w:spacing w:after="0" w:line="360" w:lineRule="auto"/>
        <w:ind w:right="-93"/>
        <w:jc w:val="both"/>
        <w:rPr>
          <w:rFonts w:ascii="Palatino Linotype" w:eastAsia="Palatino Linotype" w:hAnsi="Palatino Linotype" w:cs="Palatino Linotype"/>
          <w:b/>
        </w:rPr>
      </w:pPr>
      <w:r w:rsidRPr="009E6AB2">
        <w:rPr>
          <w:rFonts w:ascii="Palatino Linotype" w:eastAsia="Palatino Linotype" w:hAnsi="Palatino Linotype" w:cs="Palatino Linotype"/>
        </w:rPr>
        <w:t xml:space="preserve">Por otro lado, se advierte que, el Sujeto Obligado proporcionó, el nombre de los servidores públicos que realizan la limpieza de las diversas áreas por lo que, este punto se tiene por </w:t>
      </w:r>
      <w:r w:rsidRPr="009E6AB2">
        <w:rPr>
          <w:rFonts w:ascii="Palatino Linotype" w:eastAsia="Palatino Linotype" w:hAnsi="Palatino Linotype" w:cs="Palatino Linotype"/>
          <w:b/>
        </w:rPr>
        <w:t xml:space="preserve">colmado. </w:t>
      </w:r>
    </w:p>
    <w:p w14:paraId="6B27FAB8" w14:textId="77777777" w:rsidR="00F961F0" w:rsidRPr="009E6AB2" w:rsidRDefault="00F961F0" w:rsidP="00F961F0">
      <w:pPr>
        <w:spacing w:after="0" w:line="360" w:lineRule="auto"/>
        <w:ind w:right="-93"/>
        <w:jc w:val="both"/>
        <w:rPr>
          <w:rFonts w:ascii="Palatino Linotype" w:eastAsia="Palatino Linotype" w:hAnsi="Palatino Linotype" w:cs="Palatino Linotype"/>
          <w:b/>
        </w:rPr>
      </w:pPr>
    </w:p>
    <w:p w14:paraId="77CA4BA4" w14:textId="77777777" w:rsidR="00F961F0" w:rsidRPr="009E6AB2" w:rsidRDefault="00F961F0" w:rsidP="00F961F0">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No obstante, en cuanto hace a las </w:t>
      </w:r>
      <w:r w:rsidRPr="009E6AB2">
        <w:rPr>
          <w:rFonts w:ascii="Palatino Linotype" w:eastAsia="Palatino Linotype" w:hAnsi="Palatino Linotype" w:cs="Palatino Linotype"/>
          <w:b/>
        </w:rPr>
        <w:t>áreas en las que se encuentran haciendo limpieza</w:t>
      </w:r>
      <w:r w:rsidRPr="009E6AB2">
        <w:rPr>
          <w:rFonts w:ascii="Palatino Linotype" w:eastAsia="Palatino Linotype" w:hAnsi="Palatino Linotype" w:cs="Palatino Linotype"/>
        </w:rPr>
        <w:t xml:space="preserve">, se advierte que el Sujeto Obligado proporcionó el </w:t>
      </w:r>
      <w:r w:rsidRPr="009E6AB2">
        <w:rPr>
          <w:rFonts w:ascii="Palatino Linotype" w:eastAsia="Palatino Linotype" w:hAnsi="Palatino Linotype" w:cs="Palatino Linotype"/>
          <w:b/>
          <w:u w:val="single"/>
        </w:rPr>
        <w:t>área a la que se encuentran adscritos</w:t>
      </w:r>
      <w:r w:rsidRPr="009E6AB2">
        <w:rPr>
          <w:rFonts w:ascii="Palatino Linotype" w:eastAsia="Palatino Linotype" w:hAnsi="Palatino Linotype" w:cs="Palatino Linotype"/>
        </w:rPr>
        <w:t xml:space="preserve"> y no se pronunció </w:t>
      </w:r>
      <w:r w:rsidRPr="009E6AB2">
        <w:rPr>
          <w:rFonts w:ascii="Palatino Linotype" w:eastAsia="Palatino Linotype" w:hAnsi="Palatino Linotype" w:cs="Palatino Linotype"/>
        </w:rPr>
        <w:lastRenderedPageBreak/>
        <w:t>respecto de las áreas en las que realiza limpieza el personal, por ello, resulta dable traer a colación lo que establece el Criterio 02/17 emitido por el Instituto Nacional de Transparencia, Acceso a la Información y Protección de Datos Personales el cual establece lo siguiente:</w:t>
      </w:r>
    </w:p>
    <w:p w14:paraId="26C4DAE0" w14:textId="77777777" w:rsidR="00F961F0" w:rsidRPr="009E6AB2" w:rsidRDefault="00F961F0" w:rsidP="00F961F0">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690D866F" w14:textId="77777777" w:rsidR="00F961F0" w:rsidRPr="009E6AB2" w:rsidRDefault="00F961F0" w:rsidP="00F961F0">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9E6AB2">
        <w:rPr>
          <w:rFonts w:ascii="Palatino Linotype" w:eastAsia="Palatino Linotype" w:hAnsi="Palatino Linotype" w:cs="Palatino Linotype"/>
          <w:b/>
          <w:i/>
        </w:rPr>
        <w:t>Congruencia y exhaustividad. Sus alcances para garantizar el derecho de acceso a la información.</w:t>
      </w:r>
      <w:r w:rsidRPr="009E6AB2">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6EB3FF8" w14:textId="77777777" w:rsidR="00F961F0" w:rsidRPr="009E6AB2" w:rsidRDefault="00F961F0" w:rsidP="00F961F0">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A01D94C" w14:textId="77777777" w:rsidR="00F961F0" w:rsidRPr="009E6AB2" w:rsidRDefault="00F961F0" w:rsidP="00F961F0">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Es así, que los sujetos obligados para garantizar el derecho de acceso a la Información, deberán cumplir con los principios de exhaustividad y congruencia, esto es, que la c</w:t>
      </w:r>
      <w:r w:rsidRPr="009E6AB2">
        <w:rPr>
          <w:rFonts w:ascii="Palatino Linotype" w:eastAsia="Palatino Linotype" w:hAnsi="Palatino Linotype" w:cs="Palatino Linotype"/>
          <w:b/>
        </w:rPr>
        <w:t>ongruencia implica que exista concordancia entre el requerimiento</w:t>
      </w:r>
      <w:r w:rsidRPr="009E6AB2">
        <w:rPr>
          <w:rFonts w:ascii="Palatino Linotype" w:eastAsia="Palatino Linotype" w:hAnsi="Palatino Linotype" w:cs="Palatino Linotype"/>
        </w:rPr>
        <w:t xml:space="preserve"> formulado por el particular y </w:t>
      </w:r>
      <w:r w:rsidRPr="009E6AB2">
        <w:rPr>
          <w:rFonts w:ascii="Palatino Linotype" w:eastAsia="Palatino Linotype" w:hAnsi="Palatino Linotype" w:cs="Palatino Linotype"/>
          <w:b/>
        </w:rPr>
        <w:t>la respuesta proporcionada</w:t>
      </w:r>
      <w:r w:rsidRPr="009E6AB2">
        <w:rPr>
          <w:rFonts w:ascii="Palatino Linotype" w:eastAsia="Palatino Linotype" w:hAnsi="Palatino Linotype" w:cs="Palatino Linotype"/>
        </w:rPr>
        <w:t xml:space="preserve"> por el sujeto obligado, mientras que la exhaustividad establece que el sujeto obligado deberá atender de manera expresa cada uno de los puntos solicitados, situación que en el presente caso </w:t>
      </w:r>
      <w:r w:rsidRPr="009E6AB2">
        <w:rPr>
          <w:rFonts w:ascii="Palatino Linotype" w:eastAsia="Palatino Linotype" w:hAnsi="Palatino Linotype" w:cs="Palatino Linotype"/>
          <w:b/>
          <w:u w:val="single"/>
        </w:rPr>
        <w:t>no aconteció</w:t>
      </w:r>
      <w:r w:rsidRPr="009E6AB2">
        <w:rPr>
          <w:rFonts w:ascii="Palatino Linotype" w:eastAsia="Palatino Linotype" w:hAnsi="Palatino Linotype" w:cs="Palatino Linotype"/>
        </w:rPr>
        <w:t xml:space="preserve">, pues el Sujeto Obligado omitió pronunciarse respecto de las </w:t>
      </w:r>
      <w:r w:rsidRPr="009E6AB2">
        <w:rPr>
          <w:rFonts w:ascii="Palatino Linotype" w:eastAsia="Palatino Linotype" w:hAnsi="Palatino Linotype" w:cs="Palatino Linotype"/>
          <w:b/>
        </w:rPr>
        <w:t xml:space="preserve">áreas en las que los servidores públicos se encuentran haciendo limpieza. </w:t>
      </w:r>
    </w:p>
    <w:p w14:paraId="43FA0809" w14:textId="77777777" w:rsidR="00F961F0" w:rsidRPr="009E6AB2" w:rsidRDefault="00F961F0" w:rsidP="00F961F0">
      <w:pPr>
        <w:spacing w:after="0" w:line="360" w:lineRule="auto"/>
        <w:ind w:right="-93"/>
        <w:jc w:val="both"/>
        <w:rPr>
          <w:rFonts w:ascii="Palatino Linotype" w:eastAsia="Palatino Linotype" w:hAnsi="Palatino Linotype" w:cs="Palatino Linotype"/>
        </w:rPr>
      </w:pPr>
    </w:p>
    <w:p w14:paraId="6BD05561" w14:textId="0B06BE4D" w:rsidR="0098558D" w:rsidRPr="009E6AB2" w:rsidRDefault="0098558D" w:rsidP="0098558D">
      <w:pPr>
        <w:spacing w:after="0" w:line="360" w:lineRule="auto"/>
        <w:jc w:val="both"/>
        <w:rPr>
          <w:rFonts w:ascii="Palatino Linotype" w:eastAsia="Times New Roman" w:hAnsi="Palatino Linotype" w:cs="Arial"/>
          <w:b/>
          <w:bCs/>
          <w:lang w:eastAsia="es-ES"/>
        </w:rPr>
      </w:pPr>
      <w:r w:rsidRPr="009E6AB2">
        <w:rPr>
          <w:rFonts w:ascii="Palatino Linotype" w:eastAsia="Times New Roman" w:hAnsi="Palatino Linotype" w:cs="Arial"/>
          <w:bCs/>
          <w:lang w:eastAsia="es-ES"/>
        </w:rPr>
        <w:t xml:space="preserve">Por otro lado, conviene destacar a lo que se refiere el procedimiento de búsqueda exhaustiva, en ese sentido, según Jarquín, Soledad (2019), en el “Diccionario de Transparencia y Acceso a la Información Pública” (p. 68), </w:t>
      </w:r>
      <w:r w:rsidRPr="009E6AB2">
        <w:rPr>
          <w:rFonts w:ascii="Palatino Linotype" w:eastAsia="Times New Roman" w:hAnsi="Palatino Linotype" w:cs="Arial"/>
          <w:b/>
          <w:bCs/>
          <w:lang w:eastAsia="es-ES"/>
        </w:rPr>
        <w:t>la búsqueda exhaustiva</w:t>
      </w:r>
      <w:r w:rsidRPr="009E6AB2">
        <w:rPr>
          <w:rFonts w:ascii="Palatino Linotype" w:eastAsia="Times New Roman" w:hAnsi="Palatino Linotype" w:cs="Arial"/>
          <w:bCs/>
          <w:lang w:eastAsia="es-ES"/>
        </w:rPr>
        <w:t xml:space="preserve"> es la obligación del área administrativa del Sujeto Obligado que cuenta o puede contar con la información requerida, </w:t>
      </w:r>
      <w:r w:rsidRPr="009E6AB2">
        <w:rPr>
          <w:rFonts w:ascii="Palatino Linotype" w:eastAsia="Times New Roman" w:hAnsi="Palatino Linotype" w:cs="Arial"/>
          <w:bCs/>
          <w:lang w:eastAsia="es-ES"/>
        </w:rPr>
        <w:lastRenderedPageBreak/>
        <w:t xml:space="preserve">la cual consiste en localizar toda aquella que atienda la solicitud, </w:t>
      </w:r>
      <w:r w:rsidRPr="009E6AB2">
        <w:rPr>
          <w:rFonts w:ascii="Palatino Linotype" w:eastAsia="Times New Roman" w:hAnsi="Palatino Linotype" w:cs="Arial"/>
          <w:b/>
          <w:bCs/>
          <w:lang w:eastAsia="es-ES"/>
        </w:rPr>
        <w:t>hasta agotar por completo las posibilidades de indagación.</w:t>
      </w:r>
    </w:p>
    <w:p w14:paraId="32686ABE" w14:textId="77777777" w:rsidR="0098558D" w:rsidRPr="009E6AB2" w:rsidRDefault="0098558D" w:rsidP="0098558D">
      <w:pPr>
        <w:spacing w:after="0" w:line="360" w:lineRule="auto"/>
        <w:jc w:val="both"/>
        <w:rPr>
          <w:rFonts w:ascii="Palatino Linotype" w:eastAsia="Times New Roman" w:hAnsi="Palatino Linotype" w:cs="Arial"/>
          <w:b/>
          <w:bCs/>
          <w:lang w:eastAsia="es-ES"/>
        </w:rPr>
      </w:pPr>
    </w:p>
    <w:p w14:paraId="6AD3C247" w14:textId="77777777" w:rsidR="0098558D" w:rsidRPr="009E6AB2" w:rsidRDefault="0098558D" w:rsidP="0098558D">
      <w:pPr>
        <w:spacing w:after="0" w:line="360" w:lineRule="auto"/>
        <w:jc w:val="both"/>
        <w:rPr>
          <w:rFonts w:ascii="Palatino Linotype" w:eastAsia="Times New Roman" w:hAnsi="Palatino Linotype" w:cs="Arial"/>
          <w:b/>
          <w:bCs/>
          <w:lang w:eastAsia="es-ES"/>
        </w:rPr>
      </w:pPr>
      <w:r w:rsidRPr="009E6AB2">
        <w:rPr>
          <w:rFonts w:ascii="Palatino Linotype" w:eastAsia="Times New Roman" w:hAnsi="Palatino Linotype" w:cs="Arial"/>
          <w:bCs/>
          <w:lang w:eastAsia="es-ES"/>
        </w:rPr>
        <w:t xml:space="preserve">Además, según Calero, Natalia (2016), en la “Ley General de Transparencia y Acceso a la Información Pública Comentada” (p. 408), para que exista una búsqueda exhaustiva y razonable, se debe hacer una </w:t>
      </w:r>
      <w:r w:rsidRPr="009E6AB2">
        <w:rPr>
          <w:rFonts w:ascii="Palatino Linotype" w:eastAsia="Times New Roman" w:hAnsi="Palatino Linotype" w:cs="Arial"/>
          <w:b/>
          <w:bCs/>
          <w:lang w:eastAsia="es-ES"/>
        </w:rPr>
        <w:t xml:space="preserve">indagación consiente y minuciosa en sus archivos físicos y electrónicos. </w:t>
      </w:r>
    </w:p>
    <w:p w14:paraId="58D11407"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67FA42A8" w14:textId="77777777" w:rsidR="0098558D" w:rsidRPr="009E6AB2" w:rsidRDefault="0098558D" w:rsidP="0098558D">
      <w:pPr>
        <w:spacing w:after="0" w:line="360" w:lineRule="auto"/>
        <w:jc w:val="both"/>
        <w:rPr>
          <w:rFonts w:ascii="Palatino Linotype" w:eastAsia="Times New Roman" w:hAnsi="Palatino Linotype" w:cs="Tahoma"/>
          <w:b/>
          <w:lang w:eastAsia="es-ES"/>
        </w:rPr>
      </w:pPr>
      <w:r w:rsidRPr="009E6AB2">
        <w:rPr>
          <w:rFonts w:ascii="Palatino Linotype" w:eastAsia="Times New Roman" w:hAnsi="Palatino Linotype" w:cs="Tahoma"/>
          <w:lang w:eastAsia="es-ES"/>
        </w:rPr>
        <w:t xml:space="preserve">Conforme a lo anterior, para poder acreditar el carácter exhaustivo de la búsqueda realizada por los Sujetos Obligados, se deben motivar las razones por las que se buscó la información en determinadas áreas, </w:t>
      </w:r>
      <w:r w:rsidRPr="009E6AB2">
        <w:rPr>
          <w:rFonts w:ascii="Palatino Linotype" w:eastAsia="Times New Roman" w:hAnsi="Palatino Linotype" w:cs="Tahoma"/>
          <w:b/>
          <w:lang w:eastAsia="es-ES"/>
        </w:rPr>
        <w:t>los criterios de búsqueda utilizados y demás circunstancias que fueron tomadas en cuenta.</w:t>
      </w:r>
    </w:p>
    <w:p w14:paraId="06DC1960"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44C63265" w14:textId="77777777" w:rsidR="0098558D" w:rsidRPr="009E6AB2" w:rsidRDefault="0098558D" w:rsidP="0098558D">
      <w:p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En ese contexto, de conformidad con los criterios 12/10 y 04/19,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2882137"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3B6EEA43" w14:textId="77777777" w:rsidR="0098558D" w:rsidRPr="009E6AB2" w:rsidRDefault="0098558D" w:rsidP="0098558D">
      <w:pPr>
        <w:numPr>
          <w:ilvl w:val="0"/>
          <w:numId w:val="20"/>
        </w:num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Motivación por las que se buscó la información, en determinadas unidades administrativas;</w:t>
      </w:r>
    </w:p>
    <w:p w14:paraId="291DD76C" w14:textId="77777777" w:rsidR="0098558D" w:rsidRPr="009E6AB2" w:rsidRDefault="0098558D" w:rsidP="0098558D">
      <w:pPr>
        <w:numPr>
          <w:ilvl w:val="0"/>
          <w:numId w:val="20"/>
        </w:num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Los criterios de búsqueda utilizados, y</w:t>
      </w:r>
    </w:p>
    <w:p w14:paraId="78DE14DC" w14:textId="77777777" w:rsidR="0098558D" w:rsidRPr="009E6AB2" w:rsidRDefault="0098558D" w:rsidP="0098558D">
      <w:pPr>
        <w:numPr>
          <w:ilvl w:val="0"/>
          <w:numId w:val="20"/>
        </w:num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Las circunstancias que fueron tomadas en cuenta.</w:t>
      </w:r>
    </w:p>
    <w:p w14:paraId="7AD338D3"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40DB0EC1" w14:textId="1CBF48EC" w:rsidR="0098558D" w:rsidRPr="009E6AB2" w:rsidRDefault="0098558D" w:rsidP="0098558D">
      <w:p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De tales circunstancias, se considera que para que los Sujetos Obligado justifiquen que realizaron una búsqueda exhaustiva y razonable, deben indicar de manera clara, lo siguiente:</w:t>
      </w:r>
    </w:p>
    <w:p w14:paraId="2ED1E911" w14:textId="77777777" w:rsidR="0098558D" w:rsidRPr="009E6AB2" w:rsidRDefault="0098558D" w:rsidP="0098558D">
      <w:pPr>
        <w:numPr>
          <w:ilvl w:val="0"/>
          <w:numId w:val="21"/>
        </w:numPr>
        <w:spacing w:after="0" w:line="360" w:lineRule="auto"/>
        <w:contextualSpacing/>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lastRenderedPageBreak/>
        <w:t>Las áreas donde se buscó la información;</w:t>
      </w:r>
    </w:p>
    <w:p w14:paraId="45E6FAAE" w14:textId="77777777" w:rsidR="0098558D" w:rsidRPr="009E6AB2" w:rsidRDefault="0098558D" w:rsidP="0098558D">
      <w:pPr>
        <w:numPr>
          <w:ilvl w:val="0"/>
          <w:numId w:val="21"/>
        </w:numPr>
        <w:spacing w:after="0" w:line="360" w:lineRule="auto"/>
        <w:contextualSpacing/>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Tipo de archivos buscados (físicos o electrónicos);</w:t>
      </w:r>
    </w:p>
    <w:p w14:paraId="492BC651" w14:textId="77777777" w:rsidR="0098558D" w:rsidRPr="009E6AB2" w:rsidRDefault="0098558D" w:rsidP="0098558D">
      <w:pPr>
        <w:numPr>
          <w:ilvl w:val="0"/>
          <w:numId w:val="21"/>
        </w:numPr>
        <w:spacing w:after="0" w:line="360" w:lineRule="auto"/>
        <w:contextualSpacing/>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 xml:space="preserve">Los criterios de búsqueda utilizados, y </w:t>
      </w:r>
    </w:p>
    <w:p w14:paraId="2F63FADA" w14:textId="77777777" w:rsidR="0098558D" w:rsidRPr="009E6AB2" w:rsidRDefault="0098558D" w:rsidP="0098558D">
      <w:pPr>
        <w:numPr>
          <w:ilvl w:val="0"/>
          <w:numId w:val="21"/>
        </w:numPr>
        <w:spacing w:after="0" w:line="360" w:lineRule="auto"/>
        <w:contextualSpacing/>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Las circunstancias que fueron tomadas en cuenta.</w:t>
      </w:r>
      <w:r w:rsidRPr="009E6AB2">
        <w:rPr>
          <w:rFonts w:ascii="Palatino Linotype" w:eastAsia="Times New Roman" w:hAnsi="Palatino Linotype" w:cs="Tahoma"/>
          <w:lang w:eastAsia="es-ES"/>
        </w:rPr>
        <w:tab/>
      </w:r>
    </w:p>
    <w:p w14:paraId="299B467A"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5C345942" w14:textId="5F5116A3" w:rsidR="0098558D" w:rsidRPr="009E6AB2" w:rsidRDefault="0098558D" w:rsidP="0098558D">
      <w:pPr>
        <w:spacing w:after="0" w:line="360" w:lineRule="auto"/>
        <w:jc w:val="both"/>
        <w:rPr>
          <w:rFonts w:ascii="Palatino Linotype" w:eastAsia="Times New Roman" w:hAnsi="Palatino Linotype" w:cs="Tahoma"/>
          <w:lang w:eastAsia="es-ES"/>
        </w:rPr>
      </w:pPr>
      <w:r w:rsidRPr="009E6AB2">
        <w:rPr>
          <w:rFonts w:ascii="Palatino Linotype" w:eastAsia="Times New Roman" w:hAnsi="Palatino Linotype" w:cs="Tahoma"/>
          <w:lang w:eastAsia="es-ES"/>
        </w:rPr>
        <w:t xml:space="preserve">Conforme a lo anterior, este Instituto considera que el Ayuntamiento de La Paz no atendió para este punto, el procedimiento de búsqueda de la información.  </w:t>
      </w:r>
    </w:p>
    <w:p w14:paraId="44DE4701" w14:textId="77777777" w:rsidR="0098558D" w:rsidRPr="009E6AB2" w:rsidRDefault="0098558D" w:rsidP="0098558D">
      <w:pPr>
        <w:spacing w:after="0" w:line="360" w:lineRule="auto"/>
        <w:jc w:val="both"/>
        <w:rPr>
          <w:rFonts w:ascii="Palatino Linotype" w:eastAsia="Times New Roman" w:hAnsi="Palatino Linotype" w:cs="Tahoma"/>
          <w:lang w:eastAsia="es-ES"/>
        </w:rPr>
      </w:pPr>
    </w:p>
    <w:p w14:paraId="1E56B866" w14:textId="08F42651" w:rsidR="0098558D" w:rsidRPr="009E6AB2" w:rsidRDefault="0098558D" w:rsidP="0098558D">
      <w:pPr>
        <w:spacing w:after="0" w:line="360" w:lineRule="auto"/>
        <w:jc w:val="both"/>
        <w:rPr>
          <w:rFonts w:ascii="Palatino Linotype" w:eastAsia="Times New Roman" w:hAnsi="Palatino Linotype" w:cs="Tahoma"/>
          <w:b/>
          <w:lang w:eastAsia="es-ES"/>
        </w:rPr>
      </w:pPr>
      <w:r w:rsidRPr="009E6AB2">
        <w:rPr>
          <w:rFonts w:ascii="Palatino Linotype" w:eastAsia="Times New Roman" w:hAnsi="Palatino Linotype" w:cs="Tahoma"/>
          <w:lang w:eastAsia="es-ES"/>
        </w:rPr>
        <w:t xml:space="preserve">Por otro lado, es importante destacar que, si bien, no se acreditó el procedimientos de búsqueda de la información y, el sujeto obligado no fue exhaustivo ni congruente en el desahogo del requerimiento, también lo es que, </w:t>
      </w:r>
      <w:r w:rsidRPr="009E6AB2">
        <w:rPr>
          <w:rFonts w:ascii="Palatino Linotype" w:eastAsia="Times New Roman" w:hAnsi="Palatino Linotype" w:cs="Tahoma"/>
          <w:b/>
          <w:lang w:eastAsia="es-ES"/>
        </w:rPr>
        <w:t xml:space="preserve">no se advirtió fuente obligacional que constriña al Ayuntamiento de La Paz de contar con un documento donde conste las áreas a las que el personal de limpieza se encuentran asignadas.  </w:t>
      </w:r>
    </w:p>
    <w:p w14:paraId="611B5EF4" w14:textId="77777777" w:rsidR="0098558D" w:rsidRPr="009E6AB2" w:rsidRDefault="0098558D" w:rsidP="00F961F0">
      <w:pPr>
        <w:spacing w:after="0" w:line="360" w:lineRule="auto"/>
        <w:ind w:right="-93"/>
        <w:jc w:val="both"/>
        <w:rPr>
          <w:rFonts w:ascii="Palatino Linotype" w:eastAsia="Palatino Linotype" w:hAnsi="Palatino Linotype" w:cs="Palatino Linotype"/>
        </w:rPr>
      </w:pPr>
    </w:p>
    <w:p w14:paraId="6A13096C" w14:textId="4F9E20BE" w:rsidR="00F961F0" w:rsidRPr="009E6AB2" w:rsidRDefault="0098558D" w:rsidP="00F961F0">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Por lo anterior,</w:t>
      </w:r>
      <w:r w:rsidR="00F961F0" w:rsidRPr="009E6AB2">
        <w:rPr>
          <w:rFonts w:ascii="Palatino Linotype" w:eastAsia="Palatino Linotype" w:hAnsi="Palatino Linotype" w:cs="Palatino Linotype"/>
        </w:rPr>
        <w:t xml:space="preserve"> no puede tenerse por colmado este punto y resulta procedente </w:t>
      </w:r>
      <w:r w:rsidR="00F961F0" w:rsidRPr="009E6AB2">
        <w:rPr>
          <w:rFonts w:ascii="Palatino Linotype" w:eastAsia="Palatino Linotype" w:hAnsi="Palatino Linotype" w:cs="Palatino Linotype"/>
          <w:b/>
        </w:rPr>
        <w:t xml:space="preserve">MODIFICAR </w:t>
      </w:r>
      <w:r w:rsidR="00F961F0" w:rsidRPr="009E6AB2">
        <w:rPr>
          <w:rFonts w:ascii="Palatino Linotype" w:eastAsia="Palatino Linotype" w:hAnsi="Palatino Linotype" w:cs="Palatino Linotype"/>
        </w:rPr>
        <w:t xml:space="preserve">la respuesta del Sujeto Obligado y </w:t>
      </w:r>
      <w:r w:rsidR="00F961F0" w:rsidRPr="009E6AB2">
        <w:rPr>
          <w:rFonts w:ascii="Palatino Linotype" w:eastAsia="Palatino Linotype" w:hAnsi="Palatino Linotype" w:cs="Palatino Linotype"/>
          <w:b/>
        </w:rPr>
        <w:t xml:space="preserve">ORDENAR </w:t>
      </w:r>
      <w:r w:rsidR="00F961F0" w:rsidRPr="009E6AB2">
        <w:rPr>
          <w:rFonts w:ascii="Palatino Linotype" w:eastAsia="Palatino Linotype" w:hAnsi="Palatino Linotype" w:cs="Palatino Linotype"/>
        </w:rPr>
        <w:t xml:space="preserve">el documento donde consten las áreas en las que los servidores públicos referidos en la solicitud de información se encuentran haciendo limpieza al trece de enero de dos mil veinticinco. </w:t>
      </w:r>
    </w:p>
    <w:p w14:paraId="715D3B01" w14:textId="77777777" w:rsidR="0098558D" w:rsidRPr="009E6AB2" w:rsidRDefault="0098558D" w:rsidP="00F961F0">
      <w:pPr>
        <w:spacing w:after="0" w:line="360" w:lineRule="auto"/>
        <w:ind w:right="-93"/>
        <w:jc w:val="both"/>
        <w:rPr>
          <w:rFonts w:ascii="Palatino Linotype" w:eastAsia="Palatino Linotype" w:hAnsi="Palatino Linotype" w:cs="Palatino Linotype"/>
        </w:rPr>
      </w:pPr>
    </w:p>
    <w:p w14:paraId="78433701" w14:textId="294921FD" w:rsidR="007B0BB8" w:rsidRPr="009E6AB2" w:rsidRDefault="007B0BB8" w:rsidP="00F961F0">
      <w:pPr>
        <w:spacing w:after="0" w:line="360" w:lineRule="auto"/>
        <w:ind w:right="-93"/>
        <w:jc w:val="both"/>
        <w:rPr>
          <w:rFonts w:ascii="Palatino Linotype" w:eastAsia="Palatino Linotype" w:hAnsi="Palatino Linotype" w:cs="Palatino Linotype"/>
        </w:rPr>
      </w:pPr>
      <w:r w:rsidRPr="009E6AB2">
        <w:rPr>
          <w:rFonts w:ascii="Palatino Linotype" w:eastAsia="Palatino Linotype" w:hAnsi="Palatino Linotype" w:cs="Palatino Linotype"/>
        </w:rPr>
        <w:t>Para el caso de que la información que se ordena entregar no obre en los archivos del Sujeto Obligado, por no haberse generado, este deberá hacerlo del conocimiento del Particular en términos del artículo 19, párrafo segundo, de la Ley de Transparencia y Acceso a la Información Pública del Estado de México y Municipios, para tenerse por colmado dicho requerimiento.</w:t>
      </w:r>
    </w:p>
    <w:p w14:paraId="775D715D" w14:textId="77777777" w:rsidR="00F961F0" w:rsidRPr="009E6AB2" w:rsidRDefault="00F961F0">
      <w:pPr>
        <w:spacing w:after="0" w:line="360" w:lineRule="auto"/>
        <w:jc w:val="both"/>
        <w:rPr>
          <w:rFonts w:ascii="Palatino Linotype" w:eastAsia="Palatino Linotype" w:hAnsi="Palatino Linotype" w:cs="Palatino Linotype"/>
        </w:rPr>
      </w:pPr>
    </w:p>
    <w:p w14:paraId="56D2E3A9"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 xml:space="preserve">Quinto. Versión Pública. </w:t>
      </w:r>
      <w:r w:rsidRPr="009E6AB2">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w:t>
      </w:r>
      <w:r w:rsidRPr="009E6AB2">
        <w:rPr>
          <w:rFonts w:ascii="Palatino Linotype" w:eastAsia="Palatino Linotype" w:hAnsi="Palatino Linotype" w:cs="Palatino Linotype"/>
        </w:rPr>
        <w:lastRenderedPageBreak/>
        <w:t xml:space="preserve">contiene datos que deben ser clasificados en los términos que la misma Ley en la materia señala. </w:t>
      </w:r>
    </w:p>
    <w:p w14:paraId="7374B35E" w14:textId="77777777" w:rsidR="004D5666" w:rsidRPr="009E6AB2" w:rsidRDefault="004D5666">
      <w:pPr>
        <w:spacing w:after="0" w:line="360" w:lineRule="auto"/>
        <w:jc w:val="both"/>
        <w:rPr>
          <w:rFonts w:ascii="Palatino Linotype" w:eastAsia="Palatino Linotype" w:hAnsi="Palatino Linotype" w:cs="Palatino Linotype"/>
        </w:rPr>
      </w:pPr>
    </w:p>
    <w:p w14:paraId="5F120958" w14:textId="77777777" w:rsidR="007F0576" w:rsidRPr="009E6AB2" w:rsidRDefault="007F0576" w:rsidP="00F961F0">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1FD59E5" w14:textId="77777777" w:rsidR="00F961F0" w:rsidRPr="009E6AB2" w:rsidRDefault="00F961F0" w:rsidP="00F961F0">
      <w:pPr>
        <w:spacing w:after="0" w:line="360" w:lineRule="auto"/>
        <w:jc w:val="both"/>
        <w:rPr>
          <w:rFonts w:ascii="Palatino Linotype" w:eastAsia="Palatino Linotype" w:hAnsi="Palatino Linotype" w:cs="Palatino Linotype"/>
        </w:rPr>
      </w:pPr>
    </w:p>
    <w:p w14:paraId="7F6E99BA" w14:textId="77777777" w:rsidR="004D5666" w:rsidRPr="009E6AB2" w:rsidRDefault="007F0576" w:rsidP="007F0576">
      <w:pPr>
        <w:spacing w:after="0" w:line="360" w:lineRule="auto"/>
        <w:ind w:right="50"/>
        <w:jc w:val="both"/>
        <w:rPr>
          <w:rFonts w:ascii="Palatino Linotype" w:eastAsia="Palatino Linotype" w:hAnsi="Palatino Linotype" w:cs="Palatino Linotype"/>
        </w:rPr>
      </w:pPr>
      <w:r w:rsidRPr="009E6AB2">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510C7838" w14:textId="77777777" w:rsidR="004D5666" w:rsidRPr="009E6AB2" w:rsidRDefault="004D5666">
      <w:pPr>
        <w:spacing w:after="0" w:line="360" w:lineRule="auto"/>
        <w:ind w:right="50"/>
        <w:jc w:val="both"/>
        <w:rPr>
          <w:rFonts w:ascii="Palatino Linotype" w:eastAsia="Palatino Linotype" w:hAnsi="Palatino Linotype" w:cs="Palatino Linotype"/>
        </w:rPr>
      </w:pPr>
    </w:p>
    <w:p w14:paraId="666CDBBA"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Artículo 3.</w:t>
      </w:r>
      <w:r w:rsidRPr="009E6AB2">
        <w:rPr>
          <w:rFonts w:ascii="Palatino Linotype" w:eastAsia="Palatino Linotype" w:hAnsi="Palatino Linotype" w:cs="Palatino Linotype"/>
          <w:i/>
        </w:rPr>
        <w:t xml:space="preserve"> Para los efectos de la presente Ley se entenderá por:</w:t>
      </w:r>
    </w:p>
    <w:p w14:paraId="7936512C"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33D506B0"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E6E519A"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XX. Información clasificada: Aquella considerada por la presente Ley como reservada o confidencial;</w:t>
      </w:r>
    </w:p>
    <w:p w14:paraId="393D353F"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C30837B"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C30FE77"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2E9F13F1"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Artículo 91.</w:t>
      </w:r>
      <w:r w:rsidRPr="009E6AB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7CCD001"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Artículo 132.</w:t>
      </w:r>
      <w:r w:rsidRPr="009E6AB2">
        <w:rPr>
          <w:rFonts w:ascii="Palatino Linotype" w:eastAsia="Palatino Linotype" w:hAnsi="Palatino Linotype" w:cs="Palatino Linotype"/>
          <w:i/>
        </w:rPr>
        <w:t xml:space="preserve"> La clasificación de la información se llevará a cabo en el momento en que:</w:t>
      </w:r>
    </w:p>
    <w:p w14:paraId="77548CD4" w14:textId="77777777" w:rsidR="004D5666" w:rsidRPr="009E6AB2" w:rsidRDefault="007F0576">
      <w:pPr>
        <w:tabs>
          <w:tab w:val="left" w:pos="1134"/>
        </w:tabs>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 Se reciba una solicitud de acceso a la información;</w:t>
      </w:r>
    </w:p>
    <w:p w14:paraId="01AB9263" w14:textId="77777777" w:rsidR="004D5666" w:rsidRPr="009E6AB2" w:rsidRDefault="007F0576">
      <w:pPr>
        <w:tabs>
          <w:tab w:val="left" w:pos="1134"/>
        </w:tabs>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 Se determine mediante resolución de autoridad competente; o</w:t>
      </w:r>
    </w:p>
    <w:p w14:paraId="2E1B8CB3" w14:textId="77777777" w:rsidR="004D5666" w:rsidRPr="009E6AB2" w:rsidRDefault="007F0576">
      <w:pPr>
        <w:tabs>
          <w:tab w:val="left" w:pos="1134"/>
        </w:tabs>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lastRenderedPageBreak/>
        <w:t>III. Se generen versiones públicas para dar cumplimiento a las obligaciones de transparencia previstas en esta Ley.</w:t>
      </w:r>
    </w:p>
    <w:p w14:paraId="71F1735D"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56E39A70"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Artículo 143</w:t>
      </w:r>
      <w:r w:rsidRPr="009E6AB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4A8AB01"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5B529EC"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215ED39"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E3A56CE"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F211864"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3B1A266" w14:textId="77777777" w:rsidR="004D5666" w:rsidRPr="009E6AB2" w:rsidRDefault="004D5666">
      <w:pPr>
        <w:spacing w:after="0"/>
        <w:ind w:left="567" w:right="616"/>
        <w:jc w:val="both"/>
        <w:rPr>
          <w:rFonts w:ascii="Palatino Linotype" w:eastAsia="Palatino Linotype" w:hAnsi="Palatino Linotype" w:cs="Palatino Linotype"/>
          <w:i/>
        </w:rPr>
      </w:pPr>
    </w:p>
    <w:p w14:paraId="10AFF661"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98B9A1D" w14:textId="77777777" w:rsidR="004D5666" w:rsidRPr="009E6AB2" w:rsidRDefault="004D5666">
      <w:pPr>
        <w:spacing w:after="0"/>
        <w:jc w:val="both"/>
        <w:rPr>
          <w:rFonts w:ascii="Palatino Linotype" w:eastAsia="Palatino Linotype" w:hAnsi="Palatino Linotype" w:cs="Palatino Linotype"/>
        </w:rPr>
      </w:pPr>
    </w:p>
    <w:p w14:paraId="34FFD26F" w14:textId="005AF873"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5538B78D"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lastRenderedPageBreak/>
        <w:t xml:space="preserve"> “</w:t>
      </w:r>
      <w:r w:rsidRPr="009E6AB2">
        <w:rPr>
          <w:rFonts w:ascii="Palatino Linotype" w:eastAsia="Palatino Linotype" w:hAnsi="Palatino Linotype" w:cs="Palatino Linotype"/>
          <w:b/>
          <w:i/>
        </w:rPr>
        <w:t>Quincuagésimo</w:t>
      </w:r>
      <w:r w:rsidRPr="009E6AB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BE68425"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Quincuagésimo primero.</w:t>
      </w:r>
      <w:r w:rsidRPr="009E6AB2">
        <w:rPr>
          <w:rFonts w:ascii="Palatino Linotype" w:eastAsia="Palatino Linotype" w:hAnsi="Palatino Linotype" w:cs="Palatino Linotype"/>
          <w:i/>
        </w:rPr>
        <w:t xml:space="preserve"> Toda acta del Comité de Transparencia deberá contener: </w:t>
      </w:r>
    </w:p>
    <w:p w14:paraId="55687D2C"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 El número de sesión y fecha; </w:t>
      </w:r>
    </w:p>
    <w:p w14:paraId="2496D308"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II. El nombre del área que solicitó la clasificación de información; </w:t>
      </w:r>
    </w:p>
    <w:p w14:paraId="492AAFC6"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III. La fundamentación legal y motivación correspondiente; </w:t>
      </w:r>
    </w:p>
    <w:p w14:paraId="05A61EEB"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IV. La resolución o resoluciones aprobadas; y </w:t>
      </w:r>
    </w:p>
    <w:p w14:paraId="50FCC4A2"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V. La rúbrica o firma digital de cada integrante del Comité de Transparencia. </w:t>
      </w:r>
    </w:p>
    <w:p w14:paraId="0C105B96"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A965013"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 Los motivos y razonamientos que sustenten la confirmación o modificación de la prueba de daño;</w:t>
      </w:r>
    </w:p>
    <w:p w14:paraId="238AC6CA"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II. Descripción de las partes o secciones reservadas, en caso de clasificación parcial; </w:t>
      </w:r>
    </w:p>
    <w:p w14:paraId="1DF8FDB7"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III. El periodo por el que mantendrá su clasificación y fecha de expiración; y </w:t>
      </w:r>
    </w:p>
    <w:p w14:paraId="742A1025"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IV. El nombre del titular y área encargada de realizar la versión pública del documento, en su caso. </w:t>
      </w:r>
    </w:p>
    <w:p w14:paraId="0CBA6444"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5A52BE3"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C91A398"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Quincuagésimo segundo.</w:t>
      </w:r>
      <w:r w:rsidRPr="009E6AB2">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A3DC8EC"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F51E33F"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 Fijar la fecha en que se elaboró la versión pública y la fecha en la cual el Comité de Transparencia confirmó dicha versión;</w:t>
      </w:r>
    </w:p>
    <w:p w14:paraId="4387B5BD"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853E2EF"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III. Señalar las personas o instancias autorizadas a acceder a la información clasificada.</w:t>
      </w:r>
    </w:p>
    <w:p w14:paraId="5535CB68"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0BC933CB" w14:textId="77777777" w:rsidR="004D5666" w:rsidRPr="009E6AB2" w:rsidRDefault="004D5666">
      <w:pPr>
        <w:spacing w:after="0" w:line="360" w:lineRule="auto"/>
        <w:jc w:val="both"/>
        <w:rPr>
          <w:rFonts w:ascii="Palatino Linotype" w:eastAsia="Palatino Linotype" w:hAnsi="Palatino Linotype" w:cs="Palatino Linotype"/>
        </w:rPr>
      </w:pPr>
    </w:p>
    <w:p w14:paraId="40D4B283"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3AD1152C" w14:textId="77777777" w:rsidR="004D5666" w:rsidRPr="009E6AB2" w:rsidRDefault="004D5666">
      <w:pPr>
        <w:spacing w:after="0" w:line="360" w:lineRule="auto"/>
        <w:jc w:val="both"/>
        <w:rPr>
          <w:rFonts w:ascii="Palatino Linotype" w:eastAsia="Palatino Linotype" w:hAnsi="Palatino Linotype" w:cs="Palatino Linotype"/>
        </w:rPr>
      </w:pPr>
    </w:p>
    <w:p w14:paraId="0225FAB3" w14:textId="77777777" w:rsidR="004D5666" w:rsidRPr="009E6AB2" w:rsidRDefault="007F05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r w:rsidRPr="009E6AB2">
        <w:rPr>
          <w:rFonts w:ascii="Palatino Linotype" w:eastAsia="Palatino Linotype" w:hAnsi="Palatino Linotype" w:cs="Palatino Linotype"/>
          <w:b/>
          <w:i/>
        </w:rPr>
        <w:t>Quincuagésimo cuarto.</w:t>
      </w:r>
      <w:r w:rsidRPr="009E6AB2">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60F63F9"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Quincuagésimo quinto.</w:t>
      </w:r>
      <w:r w:rsidRPr="009E6AB2">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9E6AB2">
        <w:rPr>
          <w:rFonts w:ascii="Palatino Linotype" w:eastAsia="Palatino Linotype" w:hAnsi="Palatino Linotype" w:cs="Palatino Linotype"/>
          <w:i/>
        </w:rPr>
        <w:t>testado</w:t>
      </w:r>
      <w:proofErr w:type="spellEnd"/>
      <w:r w:rsidRPr="009E6AB2">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77AEAC1"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w:t>
      </w:r>
    </w:p>
    <w:p w14:paraId="618CA76C"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b/>
          <w:i/>
        </w:rPr>
        <w:t>Quincuagésimo séptimo.</w:t>
      </w:r>
      <w:r w:rsidRPr="009E6AB2">
        <w:rPr>
          <w:rFonts w:ascii="Palatino Linotype" w:eastAsia="Palatino Linotype" w:hAnsi="Palatino Linotype" w:cs="Palatino Linotype"/>
          <w:i/>
        </w:rPr>
        <w:t xml:space="preserve"> Se considera, en principio, como información pública y no podrá omitirse de las versiones públicas la siguiente: </w:t>
      </w:r>
    </w:p>
    <w:p w14:paraId="6BFFC977"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EE0B9B0"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1E407EAA"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B47FE8D" w14:textId="77777777" w:rsidR="004D5666" w:rsidRPr="009E6AB2" w:rsidRDefault="007F0576">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132487A" w14:textId="3CFA0049" w:rsidR="00F961F0" w:rsidRPr="009E6AB2" w:rsidRDefault="007F0576" w:rsidP="0098558D">
      <w:pPr>
        <w:spacing w:after="0"/>
        <w:ind w:left="567" w:right="616"/>
        <w:jc w:val="both"/>
        <w:rPr>
          <w:rFonts w:ascii="Palatino Linotype" w:eastAsia="Palatino Linotype" w:hAnsi="Palatino Linotype" w:cs="Palatino Linotype"/>
          <w:i/>
        </w:rPr>
      </w:pPr>
      <w:r w:rsidRPr="009E6AB2">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21132A64" w14:textId="77777777" w:rsidR="004D5666" w:rsidRPr="009E6AB2" w:rsidRDefault="007F0576">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74E0F66" w14:textId="77777777" w:rsidR="004D5666" w:rsidRPr="009E6AB2" w:rsidRDefault="004D5666">
      <w:pPr>
        <w:spacing w:after="0" w:line="360" w:lineRule="auto"/>
        <w:jc w:val="both"/>
        <w:rPr>
          <w:rFonts w:ascii="Palatino Linotype" w:eastAsia="Palatino Linotype" w:hAnsi="Palatino Linotype" w:cs="Palatino Linotype"/>
        </w:rPr>
      </w:pPr>
    </w:p>
    <w:p w14:paraId="08B1AA6E" w14:textId="77777777" w:rsidR="004D5666" w:rsidRPr="009E6AB2" w:rsidRDefault="007F0576">
      <w:pPr>
        <w:spacing w:after="0" w:line="360" w:lineRule="auto"/>
        <w:ind w:right="49"/>
        <w:jc w:val="both"/>
        <w:rPr>
          <w:rFonts w:ascii="Palatino Linotype" w:eastAsia="Palatino Linotype" w:hAnsi="Palatino Linotype" w:cs="Palatino Linotype"/>
          <w:b/>
        </w:rPr>
      </w:pPr>
      <w:r w:rsidRPr="009E6AB2">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9E6AB2">
        <w:rPr>
          <w:rFonts w:ascii="Palatino Linotype" w:eastAsia="Palatino Linotype" w:hAnsi="Palatino Linotype" w:cs="Palatino Linotype"/>
          <w:b/>
        </w:rPr>
        <w:t>RECURRENTE</w:t>
      </w:r>
      <w:r w:rsidRPr="009E6AB2">
        <w:rPr>
          <w:rFonts w:ascii="Palatino Linotype" w:eastAsia="Palatino Linotype" w:hAnsi="Palatino Linotype" w:cs="Palatino Linotype"/>
        </w:rPr>
        <w:t xml:space="preserve"> dentro de los recursos de revisión </w:t>
      </w:r>
      <w:r w:rsidR="00F961F0" w:rsidRPr="009E6AB2">
        <w:rPr>
          <w:rFonts w:ascii="Palatino Linotype" w:eastAsia="Palatino Linotype" w:hAnsi="Palatino Linotype" w:cs="Palatino Linotype"/>
          <w:b/>
        </w:rPr>
        <w:t>00469</w:t>
      </w:r>
      <w:r w:rsidRPr="009E6AB2">
        <w:rPr>
          <w:rFonts w:ascii="Palatino Linotype" w:eastAsia="Palatino Linotype" w:hAnsi="Palatino Linotype" w:cs="Palatino Linotype"/>
          <w:b/>
        </w:rPr>
        <w:t>/INFOEM/IP/RR</w:t>
      </w:r>
      <w:r w:rsidR="00F961F0" w:rsidRPr="009E6AB2">
        <w:rPr>
          <w:rFonts w:ascii="Palatino Linotype" w:eastAsia="Palatino Linotype" w:hAnsi="Palatino Linotype" w:cs="Palatino Linotype"/>
          <w:b/>
        </w:rPr>
        <w:t xml:space="preserve">/2025 </w:t>
      </w:r>
      <w:r w:rsidR="00F961F0" w:rsidRPr="009E6AB2">
        <w:rPr>
          <w:rFonts w:ascii="Palatino Linotype" w:eastAsia="Palatino Linotype" w:hAnsi="Palatino Linotype" w:cs="Palatino Linotype"/>
        </w:rPr>
        <w:t>y</w:t>
      </w:r>
      <w:r w:rsidR="00F961F0" w:rsidRPr="009E6AB2">
        <w:rPr>
          <w:rFonts w:ascii="Palatino Linotype" w:eastAsia="Palatino Linotype" w:hAnsi="Palatino Linotype" w:cs="Palatino Linotype"/>
          <w:b/>
        </w:rPr>
        <w:t xml:space="preserve"> 00478/INFOEM/IP/RR/2025.</w:t>
      </w:r>
    </w:p>
    <w:p w14:paraId="22E3E081" w14:textId="77777777" w:rsidR="00F961F0" w:rsidRPr="009E6AB2" w:rsidRDefault="00F961F0">
      <w:pPr>
        <w:spacing w:after="0" w:line="360" w:lineRule="auto"/>
        <w:ind w:right="49"/>
        <w:jc w:val="both"/>
        <w:rPr>
          <w:rFonts w:ascii="Palatino Linotype" w:eastAsia="Palatino Linotype" w:hAnsi="Palatino Linotype" w:cs="Palatino Linotype"/>
        </w:rPr>
      </w:pPr>
    </w:p>
    <w:p w14:paraId="1B288497" w14:textId="77777777" w:rsidR="004D5666" w:rsidRPr="009E6AB2"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F8F68A7" w14:textId="77777777" w:rsidR="00F961F0" w:rsidRPr="009E6AB2" w:rsidRDefault="00F961F0">
      <w:pPr>
        <w:spacing w:after="0" w:line="360" w:lineRule="auto"/>
        <w:ind w:right="49"/>
        <w:jc w:val="both"/>
        <w:rPr>
          <w:rFonts w:ascii="Palatino Linotype" w:eastAsia="Palatino Linotype" w:hAnsi="Palatino Linotype" w:cs="Palatino Linotype"/>
        </w:rPr>
      </w:pPr>
    </w:p>
    <w:p w14:paraId="2BAEACEE" w14:textId="77777777" w:rsidR="004D5666" w:rsidRPr="009E6AB2" w:rsidRDefault="007F0576">
      <w:pPr>
        <w:spacing w:after="0" w:line="360" w:lineRule="auto"/>
        <w:ind w:right="49"/>
        <w:jc w:val="center"/>
        <w:rPr>
          <w:rFonts w:ascii="Palatino Linotype" w:eastAsia="Palatino Linotype" w:hAnsi="Palatino Linotype" w:cs="Palatino Linotype"/>
          <w:b/>
        </w:rPr>
      </w:pPr>
      <w:r w:rsidRPr="009E6AB2">
        <w:rPr>
          <w:rFonts w:ascii="Palatino Linotype" w:eastAsia="Palatino Linotype" w:hAnsi="Palatino Linotype" w:cs="Palatino Linotype"/>
          <w:b/>
        </w:rPr>
        <w:t>III.</w:t>
      </w:r>
      <w:r w:rsidRPr="009E6AB2">
        <w:rPr>
          <w:rFonts w:ascii="Palatino Linotype" w:eastAsia="Palatino Linotype" w:hAnsi="Palatino Linotype" w:cs="Palatino Linotype"/>
          <w:b/>
        </w:rPr>
        <w:tab/>
        <w:t>R E S U E L V E:</w:t>
      </w:r>
    </w:p>
    <w:p w14:paraId="672CED44" w14:textId="77777777" w:rsidR="004D5666" w:rsidRPr="009E6AB2" w:rsidRDefault="004D5666">
      <w:pPr>
        <w:spacing w:after="0" w:line="360" w:lineRule="auto"/>
        <w:ind w:right="49"/>
        <w:jc w:val="both"/>
        <w:rPr>
          <w:rFonts w:ascii="Palatino Linotype" w:eastAsia="Palatino Linotype" w:hAnsi="Palatino Linotype" w:cs="Palatino Linotype"/>
        </w:rPr>
      </w:pPr>
    </w:p>
    <w:p w14:paraId="61F8921A" w14:textId="5DE9C650" w:rsidR="00F961F0" w:rsidRPr="009E6AB2" w:rsidRDefault="007F0576">
      <w:pPr>
        <w:spacing w:after="0" w:line="360" w:lineRule="auto"/>
        <w:ind w:right="49"/>
        <w:jc w:val="both"/>
        <w:rPr>
          <w:rFonts w:ascii="Palatino Linotype" w:eastAsia="Palatino Linotype" w:hAnsi="Palatino Linotype" w:cs="Palatino Linotype"/>
          <w:b/>
        </w:rPr>
      </w:pPr>
      <w:r w:rsidRPr="009E6AB2">
        <w:rPr>
          <w:rFonts w:ascii="Palatino Linotype" w:eastAsia="Palatino Linotype" w:hAnsi="Palatino Linotype" w:cs="Palatino Linotype"/>
          <w:b/>
        </w:rPr>
        <w:t>Primero.</w:t>
      </w:r>
      <w:r w:rsidRPr="009E6AB2">
        <w:rPr>
          <w:rFonts w:ascii="Palatino Linotype" w:eastAsia="Palatino Linotype" w:hAnsi="Palatino Linotype" w:cs="Palatino Linotype"/>
        </w:rPr>
        <w:t xml:space="preserve"> Resultan</w:t>
      </w:r>
      <w:r w:rsidRPr="009E6AB2">
        <w:rPr>
          <w:rFonts w:ascii="Palatino Linotype" w:eastAsia="Palatino Linotype" w:hAnsi="Palatino Linotype" w:cs="Palatino Linotype"/>
          <w:b/>
        </w:rPr>
        <w:t xml:space="preserve"> FUNDADOS</w:t>
      </w:r>
      <w:r w:rsidRPr="009E6AB2">
        <w:rPr>
          <w:rFonts w:ascii="Palatino Linotype" w:eastAsia="Palatino Linotype" w:hAnsi="Palatino Linotype" w:cs="Palatino Linotype"/>
        </w:rPr>
        <w:t xml:space="preserve"> los motivos de inconformidad hechos valer por la parte </w:t>
      </w:r>
      <w:r w:rsidRPr="009E6AB2">
        <w:rPr>
          <w:rFonts w:ascii="Palatino Linotype" w:eastAsia="Palatino Linotype" w:hAnsi="Palatino Linotype" w:cs="Palatino Linotype"/>
          <w:b/>
        </w:rPr>
        <w:t>RECURRENTE</w:t>
      </w:r>
      <w:r w:rsidR="00F961F0" w:rsidRPr="009E6AB2">
        <w:rPr>
          <w:rFonts w:ascii="Palatino Linotype" w:eastAsia="Palatino Linotype" w:hAnsi="Palatino Linotype" w:cs="Palatino Linotype"/>
        </w:rPr>
        <w:t xml:space="preserve"> en los</w:t>
      </w:r>
      <w:r w:rsidRPr="009E6AB2">
        <w:rPr>
          <w:rFonts w:ascii="Palatino Linotype" w:eastAsia="Palatino Linotype" w:hAnsi="Palatino Linotype" w:cs="Palatino Linotype"/>
        </w:rPr>
        <w:t xml:space="preserve"> Recurso</w:t>
      </w:r>
      <w:r w:rsidR="00F961F0"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de Revisión </w:t>
      </w:r>
      <w:r w:rsidR="00F961F0" w:rsidRPr="009E6AB2">
        <w:rPr>
          <w:rFonts w:ascii="Palatino Linotype" w:eastAsia="Palatino Linotype" w:hAnsi="Palatino Linotype" w:cs="Palatino Linotype"/>
          <w:b/>
        </w:rPr>
        <w:t xml:space="preserve">00469/INFOEM/IP/RR/2025 </w:t>
      </w:r>
      <w:r w:rsidR="00F961F0" w:rsidRPr="009E6AB2">
        <w:rPr>
          <w:rFonts w:ascii="Palatino Linotype" w:eastAsia="Palatino Linotype" w:hAnsi="Palatino Linotype" w:cs="Palatino Linotype"/>
        </w:rPr>
        <w:t>y</w:t>
      </w:r>
      <w:r w:rsidR="00F961F0" w:rsidRPr="009E6AB2">
        <w:rPr>
          <w:rFonts w:ascii="Palatino Linotype" w:eastAsia="Palatino Linotype" w:hAnsi="Palatino Linotype" w:cs="Palatino Linotype"/>
          <w:b/>
        </w:rPr>
        <w:t xml:space="preserve"> 00478/INFOEM/IP/RR/2025</w:t>
      </w:r>
      <w:r w:rsidRPr="009E6AB2">
        <w:rPr>
          <w:rFonts w:ascii="Palatino Linotype" w:eastAsia="Palatino Linotype" w:hAnsi="Palatino Linotype" w:cs="Palatino Linotype"/>
        </w:rPr>
        <w:t xml:space="preserve">, por lo que, en términos del </w:t>
      </w:r>
      <w:r w:rsidRPr="009E6AB2">
        <w:rPr>
          <w:rFonts w:ascii="Palatino Linotype" w:eastAsia="Palatino Linotype" w:hAnsi="Palatino Linotype" w:cs="Palatino Linotype"/>
          <w:b/>
        </w:rPr>
        <w:t>Considerando Cuarto</w:t>
      </w:r>
      <w:r w:rsidRPr="009E6AB2">
        <w:rPr>
          <w:rFonts w:ascii="Palatino Linotype" w:eastAsia="Palatino Linotype" w:hAnsi="Palatino Linotype" w:cs="Palatino Linotype"/>
        </w:rPr>
        <w:t xml:space="preserve"> de esta resolución, se </w:t>
      </w:r>
      <w:r w:rsidR="00F961F0" w:rsidRPr="009E6AB2">
        <w:rPr>
          <w:rFonts w:ascii="Palatino Linotype" w:eastAsia="Palatino Linotype" w:hAnsi="Palatino Linotype" w:cs="Palatino Linotype"/>
          <w:b/>
        </w:rPr>
        <w:t>MODIFICAN</w:t>
      </w:r>
      <w:r w:rsidRPr="009E6AB2">
        <w:rPr>
          <w:rFonts w:ascii="Palatino Linotype" w:eastAsia="Palatino Linotype" w:hAnsi="Palatino Linotype" w:cs="Palatino Linotype"/>
          <w:b/>
        </w:rPr>
        <w:t xml:space="preserve"> </w:t>
      </w:r>
      <w:r w:rsidRPr="009E6AB2">
        <w:rPr>
          <w:rFonts w:ascii="Palatino Linotype" w:eastAsia="Palatino Linotype" w:hAnsi="Palatino Linotype" w:cs="Palatino Linotype"/>
        </w:rPr>
        <w:t>la</w:t>
      </w:r>
      <w:r w:rsidR="00F961F0"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respuesta</w:t>
      </w:r>
      <w:r w:rsidR="00F961F0"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emitida</w:t>
      </w:r>
      <w:r w:rsidR="00F961F0" w:rsidRPr="009E6AB2">
        <w:rPr>
          <w:rFonts w:ascii="Palatino Linotype" w:eastAsia="Palatino Linotype" w:hAnsi="Palatino Linotype" w:cs="Palatino Linotype"/>
        </w:rPr>
        <w:t>s</w:t>
      </w:r>
      <w:r w:rsidRPr="009E6AB2">
        <w:rPr>
          <w:rFonts w:ascii="Palatino Linotype" w:eastAsia="Palatino Linotype" w:hAnsi="Palatino Linotype" w:cs="Palatino Linotype"/>
        </w:rPr>
        <w:t xml:space="preserve"> por el </w:t>
      </w:r>
      <w:r w:rsidRPr="009E6AB2">
        <w:rPr>
          <w:rFonts w:ascii="Palatino Linotype" w:eastAsia="Palatino Linotype" w:hAnsi="Palatino Linotype" w:cs="Palatino Linotype"/>
          <w:b/>
        </w:rPr>
        <w:t>SUJETO OBLIGADO.</w:t>
      </w:r>
    </w:p>
    <w:p w14:paraId="1809D19B" w14:textId="77777777" w:rsidR="004D5666" w:rsidRPr="009E6AB2" w:rsidRDefault="00F961F0">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lastRenderedPageBreak/>
        <w:t>Segundo</w:t>
      </w:r>
      <w:r w:rsidR="007F0576" w:rsidRPr="009E6AB2">
        <w:rPr>
          <w:rFonts w:ascii="Palatino Linotype" w:eastAsia="Palatino Linotype" w:hAnsi="Palatino Linotype" w:cs="Palatino Linotype"/>
        </w:rPr>
        <w:t xml:space="preserve">. Se </w:t>
      </w:r>
      <w:r w:rsidR="007F0576" w:rsidRPr="009E6AB2">
        <w:rPr>
          <w:rFonts w:ascii="Palatino Linotype" w:eastAsia="Palatino Linotype" w:hAnsi="Palatino Linotype" w:cs="Palatino Linotype"/>
          <w:b/>
        </w:rPr>
        <w:t>ORDENA</w:t>
      </w:r>
      <w:r w:rsidR="007F0576" w:rsidRPr="009E6AB2">
        <w:rPr>
          <w:rFonts w:ascii="Palatino Linotype" w:eastAsia="Palatino Linotype" w:hAnsi="Palatino Linotype" w:cs="Palatino Linotype"/>
        </w:rPr>
        <w:t xml:space="preserve"> al </w:t>
      </w:r>
      <w:r w:rsidR="007F0576" w:rsidRPr="009E6AB2">
        <w:rPr>
          <w:rFonts w:ascii="Palatino Linotype" w:eastAsia="Palatino Linotype" w:hAnsi="Palatino Linotype" w:cs="Palatino Linotype"/>
          <w:b/>
        </w:rPr>
        <w:t>SUJETO OBLIGADO</w:t>
      </w:r>
      <w:r w:rsidR="007F0576" w:rsidRPr="009E6AB2">
        <w:rPr>
          <w:rFonts w:ascii="Palatino Linotype" w:eastAsia="Palatino Linotype" w:hAnsi="Palatino Linotype" w:cs="Palatino Linotype"/>
        </w:rPr>
        <w:t xml:space="preserve"> a que, en términos del Considerando Cuarto y Quinto, haga entrega, </w:t>
      </w:r>
      <w:r w:rsidR="00B07D2D" w:rsidRPr="009E6AB2">
        <w:rPr>
          <w:rFonts w:ascii="Palatino Linotype" w:eastAsia="Palatino Linotype" w:hAnsi="Palatino Linotype" w:cs="Palatino Linotype"/>
        </w:rPr>
        <w:t xml:space="preserve">vía Sistema de Acceso a la Información Mexiquense, </w:t>
      </w:r>
      <w:r w:rsidR="007F0576" w:rsidRPr="009E6AB2">
        <w:rPr>
          <w:rFonts w:ascii="Palatino Linotype" w:eastAsia="Palatino Linotype" w:hAnsi="Palatino Linotype" w:cs="Palatino Linotype"/>
        </w:rPr>
        <w:t xml:space="preserve">previa búsqueda exhaustiva y razonable, de ser el caso, en versión pública, de lo siguiente: </w:t>
      </w:r>
    </w:p>
    <w:p w14:paraId="4BBAD8D6" w14:textId="77777777" w:rsidR="00B07D2D" w:rsidRPr="009E6AB2" w:rsidRDefault="00B07D2D" w:rsidP="00B07D2D">
      <w:pPr>
        <w:spacing w:after="0" w:line="360" w:lineRule="auto"/>
        <w:rPr>
          <w:rStyle w:val="selectable-text"/>
        </w:rPr>
      </w:pPr>
    </w:p>
    <w:p w14:paraId="5A1D660D" w14:textId="77777777" w:rsidR="00B07D2D" w:rsidRPr="009E6AB2" w:rsidRDefault="00B07D2D" w:rsidP="007B0BB8">
      <w:pPr>
        <w:pStyle w:val="Prrafodelista"/>
        <w:numPr>
          <w:ilvl w:val="0"/>
          <w:numId w:val="19"/>
        </w:numPr>
        <w:spacing w:after="0" w:line="360" w:lineRule="auto"/>
        <w:ind w:right="560"/>
        <w:jc w:val="both"/>
        <w:rPr>
          <w:rFonts w:ascii="Palatino Linotype" w:eastAsia="Palatino Linotype" w:hAnsi="Palatino Linotype" w:cs="Palatino Linotype"/>
        </w:rPr>
      </w:pPr>
      <w:r w:rsidRPr="009E6AB2">
        <w:rPr>
          <w:rFonts w:ascii="Palatino Linotype" w:eastAsia="Palatino Linotype" w:hAnsi="Palatino Linotype" w:cs="Palatino Linotype"/>
        </w:rPr>
        <w:t>Documento donde consten funciones que desempeñan los servidores públicos adscritos al área de catastro al dieciséis de enero de dos mil veinticinco.</w:t>
      </w:r>
    </w:p>
    <w:p w14:paraId="34E0F889" w14:textId="77777777" w:rsidR="00B07D2D" w:rsidRPr="009E6AB2" w:rsidRDefault="00B07D2D" w:rsidP="007B0BB8">
      <w:pPr>
        <w:pStyle w:val="Prrafodelista"/>
        <w:numPr>
          <w:ilvl w:val="0"/>
          <w:numId w:val="19"/>
        </w:numPr>
        <w:spacing w:after="0" w:line="360" w:lineRule="auto"/>
        <w:ind w:right="560"/>
        <w:jc w:val="both"/>
        <w:rPr>
          <w:rFonts w:ascii="Palatino Linotype" w:eastAsia="Palatino Linotype" w:hAnsi="Palatino Linotype" w:cs="Palatino Linotype"/>
        </w:rPr>
      </w:pPr>
      <w:r w:rsidRPr="009E6AB2">
        <w:rPr>
          <w:rFonts w:ascii="Palatino Linotype" w:eastAsia="Palatino Linotype" w:hAnsi="Palatino Linotype" w:cs="Palatino Linotype"/>
        </w:rPr>
        <w:t>Documento donde consten las áreas en las que los servidores públicos referidos en la solicitud de información se encuentran haciendo limpieza al trece de enero de dos mil veinticinco.</w:t>
      </w:r>
    </w:p>
    <w:p w14:paraId="35AB6441" w14:textId="77777777" w:rsidR="00B07D2D" w:rsidRPr="009E6AB2" w:rsidRDefault="00B07D2D" w:rsidP="00B07D2D">
      <w:pPr>
        <w:pStyle w:val="Prrafodelista"/>
        <w:spacing w:after="0" w:line="360" w:lineRule="auto"/>
        <w:ind w:right="560"/>
        <w:jc w:val="both"/>
        <w:rPr>
          <w:rFonts w:ascii="Palatino Linotype" w:eastAsia="Palatino Linotype" w:hAnsi="Palatino Linotype" w:cs="Palatino Linotype"/>
        </w:rPr>
      </w:pPr>
    </w:p>
    <w:p w14:paraId="0219B849" w14:textId="72C235D6" w:rsidR="00F371AB" w:rsidRPr="009E6AB2" w:rsidRDefault="00B07D2D" w:rsidP="007B0BB8">
      <w:pPr>
        <w:pBdr>
          <w:top w:val="nil"/>
          <w:left w:val="nil"/>
          <w:bottom w:val="nil"/>
          <w:right w:val="nil"/>
          <w:between w:val="nil"/>
        </w:pBdr>
        <w:tabs>
          <w:tab w:val="left" w:pos="993"/>
        </w:tabs>
        <w:spacing w:after="0"/>
        <w:ind w:left="567" w:right="560"/>
        <w:jc w:val="both"/>
        <w:rPr>
          <w:rFonts w:ascii="Palatino Linotype" w:eastAsia="Palatino Linotype" w:hAnsi="Palatino Linotype" w:cs="Palatino Linotype"/>
          <w:i/>
        </w:rPr>
      </w:pPr>
      <w:r w:rsidRPr="009E6AB2">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5EC906DC" w14:textId="77777777" w:rsidR="007B0BB8" w:rsidRPr="009E6AB2" w:rsidRDefault="007B0BB8" w:rsidP="007B0BB8">
      <w:pPr>
        <w:pBdr>
          <w:top w:val="nil"/>
          <w:left w:val="nil"/>
          <w:bottom w:val="nil"/>
          <w:right w:val="nil"/>
          <w:between w:val="nil"/>
        </w:pBdr>
        <w:tabs>
          <w:tab w:val="left" w:pos="993"/>
        </w:tabs>
        <w:spacing w:after="0"/>
        <w:ind w:left="567" w:right="560"/>
        <w:jc w:val="both"/>
        <w:rPr>
          <w:rFonts w:ascii="Palatino Linotype" w:eastAsia="Palatino Linotype" w:hAnsi="Palatino Linotype" w:cs="Palatino Linotype"/>
          <w:i/>
        </w:rPr>
      </w:pPr>
    </w:p>
    <w:p w14:paraId="0F34AC49" w14:textId="5DEE60EA" w:rsidR="007B0BB8" w:rsidRPr="009E6AB2" w:rsidRDefault="007B0BB8" w:rsidP="007B0BB8">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b/>
          <w:i/>
        </w:rPr>
      </w:pPr>
      <w:r w:rsidRPr="009E6AB2">
        <w:rPr>
          <w:rFonts w:ascii="Palatino Linotype" w:eastAsia="Palatino Linotype" w:hAnsi="Palatino Linotype" w:cs="Palatino Linotype"/>
          <w:i/>
        </w:rPr>
        <w:t xml:space="preserve">Para el caso de que la información que se ordena entregar en el inciso b) no obre en los archivos del Sujeto Obligado, por no haberse generado, este deberá hacerlo del conocimiento del Particular en términos del artículo 19, párrafo segundo, de la Ley de Transparencia y Acceso a la Información Pública del Estado de México y Municipios, para tenerse por colmado dicho requerimiento. </w:t>
      </w:r>
    </w:p>
    <w:p w14:paraId="153F5186" w14:textId="77777777" w:rsidR="006170DF" w:rsidRPr="009E6AB2" w:rsidRDefault="006170DF" w:rsidP="007F0576">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i/>
        </w:rPr>
      </w:pPr>
    </w:p>
    <w:p w14:paraId="392731DC" w14:textId="77777777" w:rsidR="00B07D2D" w:rsidRPr="009E6AB2" w:rsidRDefault="00B07D2D" w:rsidP="00B07D2D">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t>Tercero.</w:t>
      </w:r>
      <w:r w:rsidRPr="009E6AB2">
        <w:rPr>
          <w:rFonts w:ascii="Palatino Linotype" w:eastAsia="Palatino Linotype" w:hAnsi="Palatino Linotype" w:cs="Palatino Linotype"/>
        </w:rPr>
        <w:t xml:space="preserve"> </w:t>
      </w:r>
      <w:r w:rsidRPr="009E6AB2">
        <w:rPr>
          <w:rFonts w:ascii="Palatino Linotype" w:eastAsia="Palatino Linotype" w:hAnsi="Palatino Linotype" w:cs="Palatino Linotype"/>
          <w:b/>
        </w:rPr>
        <w:t xml:space="preserve">Notifíquese vía SAIMEX </w:t>
      </w:r>
      <w:r w:rsidRPr="009E6AB2">
        <w:rPr>
          <w:rFonts w:ascii="Palatino Linotype" w:eastAsia="Palatino Linotype" w:hAnsi="Palatino Linotype" w:cs="Palatino Linotype"/>
        </w:rPr>
        <w:t>la presente resolución al T</w:t>
      </w:r>
      <w:r w:rsidRPr="009E6AB2">
        <w:rPr>
          <w:rFonts w:ascii="Palatino Linotype" w:eastAsia="Palatino Linotype" w:hAnsi="Palatino Linotype" w:cs="Palatino Linotype"/>
          <w:b/>
        </w:rPr>
        <w:t xml:space="preserve">itular de la Unidad de Transparencia </w:t>
      </w:r>
      <w:r w:rsidRPr="009E6AB2">
        <w:rPr>
          <w:rFonts w:ascii="Palatino Linotype" w:eastAsia="Palatino Linotype" w:hAnsi="Palatino Linotype" w:cs="Palatino Linotype"/>
        </w:rPr>
        <w:t xml:space="preserve">del </w:t>
      </w:r>
      <w:r w:rsidRPr="009E6AB2">
        <w:rPr>
          <w:rFonts w:ascii="Palatino Linotype" w:eastAsia="Palatino Linotype" w:hAnsi="Palatino Linotype" w:cs="Palatino Linotype"/>
          <w:b/>
        </w:rPr>
        <w:t>SUJETO OBLIGADO</w:t>
      </w:r>
      <w:r w:rsidRPr="009E6AB2">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9E6AB2">
        <w:rPr>
          <w:rFonts w:ascii="Palatino Linotype" w:eastAsia="Palatino Linotype" w:hAnsi="Palatino Linotype" w:cs="Palatino Linotype"/>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096E5" w14:textId="77777777" w:rsidR="00B07D2D" w:rsidRPr="009E6AB2" w:rsidRDefault="00B07D2D" w:rsidP="00B07D2D">
      <w:pPr>
        <w:spacing w:after="0" w:line="360" w:lineRule="auto"/>
        <w:ind w:right="49"/>
        <w:jc w:val="both"/>
        <w:rPr>
          <w:rFonts w:ascii="Palatino Linotype" w:eastAsia="Palatino Linotype" w:hAnsi="Palatino Linotype" w:cs="Palatino Linotype"/>
        </w:rPr>
      </w:pPr>
    </w:p>
    <w:p w14:paraId="24999E18" w14:textId="77777777" w:rsidR="00B07D2D" w:rsidRPr="009E6AB2" w:rsidRDefault="00B07D2D" w:rsidP="00B07D2D">
      <w:pPr>
        <w:spacing w:after="0" w:line="360" w:lineRule="auto"/>
        <w:jc w:val="both"/>
        <w:rPr>
          <w:rFonts w:ascii="Palatino Linotype" w:eastAsia="Palatino Linotype" w:hAnsi="Palatino Linotype" w:cs="Palatino Linotype"/>
        </w:rPr>
      </w:pPr>
      <w:r w:rsidRPr="009E6AB2">
        <w:rPr>
          <w:rFonts w:ascii="Palatino Linotype" w:eastAsia="Palatino Linotype" w:hAnsi="Palatino Linotype" w:cs="Palatino Linotype"/>
          <w:b/>
        </w:rPr>
        <w:t xml:space="preserve">Cuarto. Notifíquese vía SAIMEX </w:t>
      </w:r>
      <w:r w:rsidRPr="009E6AB2">
        <w:rPr>
          <w:rFonts w:ascii="Palatino Linotype" w:eastAsia="Palatino Linotype" w:hAnsi="Palatino Linotype" w:cs="Palatino Linotype"/>
        </w:rPr>
        <w:t xml:space="preserve">a la parte </w:t>
      </w:r>
      <w:r w:rsidRPr="009E6AB2">
        <w:rPr>
          <w:rFonts w:ascii="Palatino Linotype" w:eastAsia="Palatino Linotype" w:hAnsi="Palatino Linotype" w:cs="Palatino Linotype"/>
          <w:b/>
        </w:rPr>
        <w:t xml:space="preserve">Recurrente </w:t>
      </w:r>
      <w:r w:rsidRPr="009E6AB2">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452BC76" w14:textId="77777777" w:rsidR="00B07D2D" w:rsidRPr="009E6AB2" w:rsidRDefault="00B07D2D" w:rsidP="00B07D2D">
      <w:pPr>
        <w:spacing w:after="0" w:line="360" w:lineRule="auto"/>
        <w:jc w:val="both"/>
        <w:rPr>
          <w:rFonts w:ascii="Palatino Linotype" w:eastAsia="Palatino Linotype" w:hAnsi="Palatino Linotype" w:cs="Palatino Linotype"/>
        </w:rPr>
      </w:pPr>
    </w:p>
    <w:p w14:paraId="6514C81E" w14:textId="77777777" w:rsidR="00B07D2D" w:rsidRPr="009E6AB2" w:rsidRDefault="00B07D2D" w:rsidP="00B07D2D">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b/>
        </w:rPr>
        <w:t>Quinto.</w:t>
      </w:r>
      <w:r w:rsidRPr="009E6AB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E6AB2">
        <w:rPr>
          <w:rFonts w:ascii="Palatino Linotype" w:eastAsia="Palatino Linotype" w:hAnsi="Palatino Linotype" w:cs="Palatino Linotype"/>
          <w:b/>
        </w:rPr>
        <w:t>SUJETO OBLIGADO</w:t>
      </w:r>
      <w:r w:rsidRPr="009E6AB2">
        <w:rPr>
          <w:rFonts w:ascii="Palatino Linotype" w:eastAsia="Palatino Linotype" w:hAnsi="Palatino Linotype" w:cs="Palatino Linotype"/>
        </w:rPr>
        <w:t xml:space="preserve"> de manera fundada y motivada, podrá solicitar una ampliación de plazo para el cumplimiento de la presente resolución.</w:t>
      </w:r>
    </w:p>
    <w:p w14:paraId="694E0B26" w14:textId="77777777" w:rsidR="004D5666" w:rsidRPr="009E6AB2" w:rsidRDefault="004D5666">
      <w:pPr>
        <w:spacing w:after="0" w:line="360" w:lineRule="auto"/>
        <w:ind w:right="49"/>
        <w:jc w:val="both"/>
        <w:rPr>
          <w:rFonts w:ascii="Palatino Linotype" w:eastAsia="Palatino Linotype" w:hAnsi="Palatino Linotype" w:cs="Palatino Linotype"/>
        </w:rPr>
      </w:pPr>
    </w:p>
    <w:p w14:paraId="720EB25A" w14:textId="7F039512" w:rsidR="004D5666" w:rsidRPr="00A13AA5" w:rsidRDefault="007F0576">
      <w:pPr>
        <w:spacing w:after="0" w:line="360" w:lineRule="auto"/>
        <w:ind w:right="49"/>
        <w:jc w:val="both"/>
        <w:rPr>
          <w:rFonts w:ascii="Palatino Linotype" w:eastAsia="Palatino Linotype" w:hAnsi="Palatino Linotype" w:cs="Palatino Linotype"/>
        </w:rPr>
      </w:pPr>
      <w:r w:rsidRPr="009E6AB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719DC" w:rsidRPr="009E6AB2">
        <w:rPr>
          <w:rFonts w:ascii="Palatino Linotype" w:eastAsia="Palatino Linotype" w:hAnsi="Palatino Linotype" w:cs="Palatino Linotype"/>
        </w:rPr>
        <w:t xml:space="preserve">EMITIENDO VOTO PARTICULAR </w:t>
      </w:r>
      <w:r w:rsidRPr="009E6AB2">
        <w:rPr>
          <w:rFonts w:ascii="Palatino Linotype" w:eastAsia="Palatino Linotype" w:hAnsi="Palatino Linotype" w:cs="Palatino Linotype"/>
        </w:rPr>
        <w:t xml:space="preserve">Y GUADALUPE RAMÍREZ PEÑA; EN LA </w:t>
      </w:r>
      <w:r w:rsidR="00B07D2D" w:rsidRPr="009E6AB2">
        <w:rPr>
          <w:rFonts w:ascii="Palatino Linotype" w:eastAsia="Palatino Linotype" w:hAnsi="Palatino Linotype" w:cs="Palatino Linotype"/>
        </w:rPr>
        <w:t>SÉPTIMA</w:t>
      </w:r>
      <w:r w:rsidRPr="009E6AB2">
        <w:rPr>
          <w:rFonts w:ascii="Palatino Linotype" w:eastAsia="Palatino Linotype" w:hAnsi="Palatino Linotype" w:cs="Palatino Linotype"/>
        </w:rPr>
        <w:t xml:space="preserve"> SESIÓN ORDINARIA CELEBRADA EL </w:t>
      </w:r>
      <w:r w:rsidR="00B07D2D" w:rsidRPr="009E6AB2">
        <w:rPr>
          <w:rFonts w:ascii="Palatino Linotype" w:eastAsia="Palatino Linotype" w:hAnsi="Palatino Linotype" w:cs="Palatino Linotype"/>
        </w:rPr>
        <w:t>VEINTISÉIS DE FEBRERO DE DOS MIL VEINTICINCO</w:t>
      </w:r>
      <w:r w:rsidRPr="009E6AB2">
        <w:rPr>
          <w:rFonts w:ascii="Palatino Linotype" w:eastAsia="Palatino Linotype" w:hAnsi="Palatino Linotype" w:cs="Palatino Linotype"/>
        </w:rPr>
        <w:t>, ANTE EL SECRETARIO TÉCNICO DEL PLENO ALEXIS TAPIA RAMÍREZ.</w:t>
      </w:r>
      <w:r w:rsidRPr="00A13AA5">
        <w:rPr>
          <w:rFonts w:ascii="Palatino Linotype" w:eastAsia="Palatino Linotype" w:hAnsi="Palatino Linotype" w:cs="Palatino Linotype"/>
        </w:rPr>
        <w:t xml:space="preserve"> </w:t>
      </w:r>
    </w:p>
    <w:p w14:paraId="477AD457" w14:textId="4E30F0BC" w:rsidR="00A13AA5" w:rsidRPr="00A13AA5" w:rsidRDefault="00A13AA5">
      <w:pPr>
        <w:spacing w:after="0" w:line="360" w:lineRule="auto"/>
        <w:ind w:right="49"/>
        <w:jc w:val="both"/>
        <w:rPr>
          <w:rFonts w:ascii="Palatino Linotype" w:eastAsia="Palatino Linotype" w:hAnsi="Palatino Linotype" w:cs="Palatino Linotype"/>
        </w:rPr>
      </w:pPr>
    </w:p>
    <w:p w14:paraId="4690420D" w14:textId="2742B9D3" w:rsidR="00A13AA5" w:rsidRPr="00A13AA5" w:rsidRDefault="00A13AA5">
      <w:pPr>
        <w:spacing w:after="0" w:line="360" w:lineRule="auto"/>
        <w:ind w:right="49"/>
        <w:jc w:val="both"/>
        <w:rPr>
          <w:rFonts w:ascii="Palatino Linotype" w:eastAsia="Palatino Linotype" w:hAnsi="Palatino Linotype" w:cs="Palatino Linotype"/>
        </w:rPr>
      </w:pPr>
    </w:p>
    <w:p w14:paraId="45DFA9F8" w14:textId="30887286" w:rsidR="00A13AA5" w:rsidRPr="00A13AA5" w:rsidRDefault="00A13AA5">
      <w:pPr>
        <w:spacing w:after="0" w:line="360" w:lineRule="auto"/>
        <w:ind w:right="49"/>
        <w:jc w:val="both"/>
        <w:rPr>
          <w:rFonts w:ascii="Palatino Linotype" w:eastAsia="Palatino Linotype" w:hAnsi="Palatino Linotype" w:cs="Palatino Linotype"/>
        </w:rPr>
      </w:pPr>
    </w:p>
    <w:p w14:paraId="7D9E59F0" w14:textId="3EED5588" w:rsidR="00A13AA5" w:rsidRPr="00A13AA5" w:rsidRDefault="00A13AA5">
      <w:pPr>
        <w:spacing w:after="0" w:line="360" w:lineRule="auto"/>
        <w:ind w:right="49"/>
        <w:jc w:val="both"/>
        <w:rPr>
          <w:rFonts w:ascii="Palatino Linotype" w:eastAsia="Palatino Linotype" w:hAnsi="Palatino Linotype" w:cs="Palatino Linotype"/>
        </w:rPr>
      </w:pPr>
    </w:p>
    <w:p w14:paraId="31F71A4C" w14:textId="6FB8B1EB" w:rsidR="00A13AA5" w:rsidRPr="00A13AA5" w:rsidRDefault="00A13AA5">
      <w:pPr>
        <w:spacing w:after="0" w:line="360" w:lineRule="auto"/>
        <w:ind w:right="49"/>
        <w:jc w:val="both"/>
        <w:rPr>
          <w:rFonts w:ascii="Palatino Linotype" w:eastAsia="Palatino Linotype" w:hAnsi="Palatino Linotype" w:cs="Palatino Linotype"/>
        </w:rPr>
      </w:pPr>
    </w:p>
    <w:p w14:paraId="1B8E7C2F" w14:textId="77777777" w:rsidR="00A13AA5" w:rsidRPr="00A13AA5" w:rsidRDefault="00A13AA5">
      <w:pPr>
        <w:spacing w:after="0" w:line="360" w:lineRule="auto"/>
        <w:ind w:right="49"/>
        <w:jc w:val="both"/>
        <w:rPr>
          <w:rFonts w:ascii="Palatino Linotype" w:eastAsia="Palatino Linotype" w:hAnsi="Palatino Linotype" w:cs="Palatino Linotype"/>
        </w:rPr>
      </w:pPr>
    </w:p>
    <w:p w14:paraId="38DD2912" w14:textId="77777777" w:rsidR="004D5666" w:rsidRPr="00A13AA5" w:rsidRDefault="004D5666">
      <w:pPr>
        <w:spacing w:after="0" w:line="360" w:lineRule="auto"/>
        <w:jc w:val="both"/>
        <w:rPr>
          <w:rFonts w:ascii="Palatino Linotype" w:eastAsia="Palatino Linotype" w:hAnsi="Palatino Linotype" w:cs="Palatino Linotype"/>
        </w:rPr>
      </w:pPr>
    </w:p>
    <w:p w14:paraId="177D737B" w14:textId="77777777" w:rsidR="004D5666" w:rsidRPr="00A13AA5" w:rsidRDefault="004D5666">
      <w:pPr>
        <w:spacing w:after="0" w:line="360" w:lineRule="auto"/>
        <w:jc w:val="both"/>
        <w:rPr>
          <w:rFonts w:ascii="Palatino Linotype" w:eastAsia="Palatino Linotype" w:hAnsi="Palatino Linotype" w:cs="Palatino Linotype"/>
        </w:rPr>
      </w:pPr>
    </w:p>
    <w:sectPr w:rsidR="004D5666" w:rsidRPr="00A13AA5">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6252" w14:textId="77777777" w:rsidR="0061144A" w:rsidRDefault="0061144A">
      <w:pPr>
        <w:spacing w:after="0" w:line="240" w:lineRule="auto"/>
      </w:pPr>
      <w:r>
        <w:separator/>
      </w:r>
    </w:p>
  </w:endnote>
  <w:endnote w:type="continuationSeparator" w:id="0">
    <w:p w14:paraId="45398CE2" w14:textId="77777777" w:rsidR="0061144A" w:rsidRDefault="0061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DEAE" w14:textId="77777777" w:rsidR="00F961F0" w:rsidRDefault="00F961F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6AB2">
      <w:rPr>
        <w:b/>
        <w:noProof/>
        <w:color w:val="000000"/>
        <w:sz w:val="24"/>
        <w:szCs w:val="24"/>
      </w:rPr>
      <w:t>30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6AB2">
      <w:rPr>
        <w:b/>
        <w:noProof/>
        <w:color w:val="000000"/>
        <w:sz w:val="24"/>
        <w:szCs w:val="24"/>
      </w:rPr>
      <w:t>33</w:t>
    </w:r>
    <w:r>
      <w:rPr>
        <w:b/>
        <w:color w:val="000000"/>
        <w:sz w:val="24"/>
        <w:szCs w:val="24"/>
      </w:rPr>
      <w:fldChar w:fldCharType="end"/>
    </w:r>
  </w:p>
  <w:p w14:paraId="0D308F02" w14:textId="77777777" w:rsidR="00F961F0" w:rsidRDefault="00F961F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4FDD" w14:textId="77777777" w:rsidR="00F961F0" w:rsidRDefault="00F961F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6AB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6AB2">
      <w:rPr>
        <w:b/>
        <w:noProof/>
        <w:color w:val="000000"/>
        <w:sz w:val="24"/>
        <w:szCs w:val="24"/>
      </w:rPr>
      <w:t>33</w:t>
    </w:r>
    <w:r>
      <w:rPr>
        <w:b/>
        <w:color w:val="000000"/>
        <w:sz w:val="24"/>
        <w:szCs w:val="24"/>
      </w:rPr>
      <w:fldChar w:fldCharType="end"/>
    </w:r>
  </w:p>
  <w:p w14:paraId="4578A475" w14:textId="77777777" w:rsidR="00F961F0" w:rsidRDefault="00F961F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96B4" w14:textId="77777777" w:rsidR="0061144A" w:rsidRDefault="0061144A">
      <w:pPr>
        <w:spacing w:after="0" w:line="240" w:lineRule="auto"/>
      </w:pPr>
      <w:r>
        <w:separator/>
      </w:r>
    </w:p>
  </w:footnote>
  <w:footnote w:type="continuationSeparator" w:id="0">
    <w:p w14:paraId="3C650247" w14:textId="77777777" w:rsidR="0061144A" w:rsidRDefault="0061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798E" w14:textId="77777777" w:rsidR="00F961F0" w:rsidRDefault="00F961F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D11B12D" wp14:editId="0AC70410">
          <wp:simplePos x="0" y="0"/>
          <wp:positionH relativeFrom="column">
            <wp:posOffset>-746119</wp:posOffset>
          </wp:positionH>
          <wp:positionV relativeFrom="paragraph">
            <wp:posOffset>-448304</wp:posOffset>
          </wp:positionV>
          <wp:extent cx="7809876" cy="10165823"/>
          <wp:effectExtent l="0" t="0" r="0" b="0"/>
          <wp:wrapNone/>
          <wp:docPr id="2143108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7"/>
      <w:tblW w:w="5603" w:type="dxa"/>
      <w:tblInd w:w="3611" w:type="dxa"/>
      <w:tblLayout w:type="fixed"/>
      <w:tblLook w:val="0400" w:firstRow="0" w:lastRow="0" w:firstColumn="0" w:lastColumn="0" w:noHBand="0" w:noVBand="1"/>
    </w:tblPr>
    <w:tblGrid>
      <w:gridCol w:w="2551"/>
      <w:gridCol w:w="3052"/>
    </w:tblGrid>
    <w:tr w:rsidR="00F961F0" w14:paraId="6093D13D" w14:textId="77777777">
      <w:tc>
        <w:tcPr>
          <w:tcW w:w="2551" w:type="dxa"/>
          <w:vAlign w:val="center"/>
        </w:tcPr>
        <w:p w14:paraId="647403C4"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51C16579"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35EA2AF" w14:textId="77777777" w:rsidR="00F961F0" w:rsidRDefault="00F961F0" w:rsidP="00C8746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00469/INFOEM/IP/RR/2025 y acumulado</w:t>
          </w:r>
        </w:p>
      </w:tc>
    </w:tr>
    <w:tr w:rsidR="00F961F0" w14:paraId="18D3E26F" w14:textId="77777777">
      <w:trPr>
        <w:trHeight w:val="228"/>
      </w:trPr>
      <w:tc>
        <w:tcPr>
          <w:tcW w:w="2551" w:type="dxa"/>
          <w:vAlign w:val="center"/>
        </w:tcPr>
        <w:p w14:paraId="21CEFDCF"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CEBB037" w14:textId="77777777" w:rsidR="00F961F0" w:rsidRDefault="00F961F0" w:rsidP="00C87462">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La Paz</w:t>
          </w:r>
        </w:p>
      </w:tc>
    </w:tr>
    <w:tr w:rsidR="00F961F0" w14:paraId="54C31D85" w14:textId="77777777">
      <w:tc>
        <w:tcPr>
          <w:tcW w:w="2551" w:type="dxa"/>
          <w:vAlign w:val="center"/>
        </w:tcPr>
        <w:p w14:paraId="13A2757F"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A825350"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C506203" w14:textId="77777777" w:rsidR="00F961F0" w:rsidRDefault="00F961F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4FC" w14:textId="77777777" w:rsidR="00F961F0" w:rsidRDefault="00F961F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F37ED5" wp14:editId="0B555A85">
          <wp:simplePos x="0" y="0"/>
          <wp:positionH relativeFrom="column">
            <wp:posOffset>-683893</wp:posOffset>
          </wp:positionH>
          <wp:positionV relativeFrom="paragraph">
            <wp:posOffset>-249552</wp:posOffset>
          </wp:positionV>
          <wp:extent cx="7809876" cy="10165823"/>
          <wp:effectExtent l="0" t="0" r="0" b="0"/>
          <wp:wrapNone/>
          <wp:docPr id="2143108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8"/>
      <w:tblW w:w="5603" w:type="dxa"/>
      <w:tblInd w:w="3611" w:type="dxa"/>
      <w:tblLayout w:type="fixed"/>
      <w:tblLook w:val="0400" w:firstRow="0" w:lastRow="0" w:firstColumn="0" w:lastColumn="0" w:noHBand="0" w:noVBand="1"/>
    </w:tblPr>
    <w:tblGrid>
      <w:gridCol w:w="2551"/>
      <w:gridCol w:w="3052"/>
    </w:tblGrid>
    <w:tr w:rsidR="00F961F0" w14:paraId="386C6C2D" w14:textId="77777777">
      <w:tc>
        <w:tcPr>
          <w:tcW w:w="2551" w:type="dxa"/>
          <w:vAlign w:val="center"/>
        </w:tcPr>
        <w:p w14:paraId="28A057E8"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2A592963"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9958718" w14:textId="77777777" w:rsidR="00F961F0" w:rsidRDefault="00F961F0" w:rsidP="00C8746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00469/INFOEM/IP/RR/2025 y acumulado</w:t>
          </w:r>
        </w:p>
      </w:tc>
    </w:tr>
    <w:tr w:rsidR="00F961F0" w14:paraId="6617B859" w14:textId="77777777">
      <w:tc>
        <w:tcPr>
          <w:tcW w:w="2551" w:type="dxa"/>
          <w:vAlign w:val="center"/>
        </w:tcPr>
        <w:p w14:paraId="327EC6A0"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4496BE84" w14:textId="34DBD7A5" w:rsidR="00F961F0" w:rsidRDefault="003F5C85">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bookmarkStart w:id="4" w:name="_Hlk192499690"/>
          <w:r>
            <w:rPr>
              <w:rFonts w:ascii="Palatino Linotype" w:eastAsia="Palatino Linotype" w:hAnsi="Palatino Linotype" w:cs="Palatino Linotype"/>
              <w:b/>
              <w:color w:val="000000"/>
            </w:rPr>
            <w:t xml:space="preserve">XXXXX XXXX </w:t>
          </w:r>
          <w:bookmarkEnd w:id="4"/>
        </w:p>
      </w:tc>
    </w:tr>
    <w:tr w:rsidR="00F961F0" w14:paraId="78EC5760" w14:textId="77777777">
      <w:trPr>
        <w:trHeight w:val="228"/>
      </w:trPr>
      <w:tc>
        <w:tcPr>
          <w:tcW w:w="2551" w:type="dxa"/>
          <w:vAlign w:val="center"/>
        </w:tcPr>
        <w:p w14:paraId="37082BD6"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F869419" w14:textId="77777777" w:rsidR="00F961F0" w:rsidRDefault="00F961F0" w:rsidP="00C87462">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La Paz</w:t>
          </w:r>
        </w:p>
      </w:tc>
    </w:tr>
    <w:tr w:rsidR="00F961F0" w14:paraId="0DD83D35" w14:textId="77777777">
      <w:tc>
        <w:tcPr>
          <w:tcW w:w="2551" w:type="dxa"/>
          <w:vAlign w:val="center"/>
        </w:tcPr>
        <w:p w14:paraId="1DE0E4FB"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7BD2243" w14:textId="77777777" w:rsidR="00F961F0" w:rsidRDefault="00F961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BB0DE11" w14:textId="77777777" w:rsidR="00F961F0" w:rsidRDefault="00F961F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569"/>
    <w:multiLevelType w:val="multilevel"/>
    <w:tmpl w:val="C5A60C20"/>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A2613"/>
    <w:multiLevelType w:val="hybridMultilevel"/>
    <w:tmpl w:val="361E841E"/>
    <w:lvl w:ilvl="0" w:tplc="93EAF29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EB6B81"/>
    <w:multiLevelType w:val="hybridMultilevel"/>
    <w:tmpl w:val="21DC4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C004A"/>
    <w:multiLevelType w:val="multilevel"/>
    <w:tmpl w:val="ADD2D26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7641F2"/>
    <w:multiLevelType w:val="multilevel"/>
    <w:tmpl w:val="5476C3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64308A7"/>
    <w:multiLevelType w:val="multilevel"/>
    <w:tmpl w:val="2658494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5FD5D72"/>
    <w:multiLevelType w:val="hybridMultilevel"/>
    <w:tmpl w:val="6218A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055AFF"/>
    <w:multiLevelType w:val="multilevel"/>
    <w:tmpl w:val="65909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30937"/>
    <w:multiLevelType w:val="multilevel"/>
    <w:tmpl w:val="46F2005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1F19A5"/>
    <w:multiLevelType w:val="multilevel"/>
    <w:tmpl w:val="F8AC7A4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D508C3"/>
    <w:multiLevelType w:val="multilevel"/>
    <w:tmpl w:val="8C122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D77339"/>
    <w:multiLevelType w:val="multilevel"/>
    <w:tmpl w:val="37A63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D72E1A"/>
    <w:multiLevelType w:val="multilevel"/>
    <w:tmpl w:val="B9325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2F13CC"/>
    <w:multiLevelType w:val="hybridMultilevel"/>
    <w:tmpl w:val="634CB8C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EA2EC2"/>
    <w:multiLevelType w:val="multilevel"/>
    <w:tmpl w:val="07442DD0"/>
    <w:lvl w:ilvl="0">
      <w:start w:val="1"/>
      <w:numFmt w:val="decimal"/>
      <w:lvlText w:val="%1."/>
      <w:lvlJc w:val="left"/>
      <w:pPr>
        <w:ind w:left="709" w:hanging="42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0804B9"/>
    <w:multiLevelType w:val="multilevel"/>
    <w:tmpl w:val="BDD646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9620412"/>
    <w:multiLevelType w:val="multilevel"/>
    <w:tmpl w:val="C26C3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0"/>
  </w:num>
  <w:num w:numId="3">
    <w:abstractNumId w:val="6"/>
  </w:num>
  <w:num w:numId="4">
    <w:abstractNumId w:val="19"/>
  </w:num>
  <w:num w:numId="5">
    <w:abstractNumId w:val="5"/>
  </w:num>
  <w:num w:numId="6">
    <w:abstractNumId w:val="20"/>
  </w:num>
  <w:num w:numId="7">
    <w:abstractNumId w:val="4"/>
  </w:num>
  <w:num w:numId="8">
    <w:abstractNumId w:val="11"/>
  </w:num>
  <w:num w:numId="9">
    <w:abstractNumId w:val="9"/>
  </w:num>
  <w:num w:numId="10">
    <w:abstractNumId w:val="13"/>
  </w:num>
  <w:num w:numId="11">
    <w:abstractNumId w:val="12"/>
  </w:num>
  <w:num w:numId="12">
    <w:abstractNumId w:val="14"/>
  </w:num>
  <w:num w:numId="13">
    <w:abstractNumId w:val="18"/>
  </w:num>
  <w:num w:numId="14">
    <w:abstractNumId w:val="8"/>
  </w:num>
  <w:num w:numId="15">
    <w:abstractNumId w:val="1"/>
  </w:num>
  <w:num w:numId="16">
    <w:abstractNumId w:val="15"/>
  </w:num>
  <w:num w:numId="17">
    <w:abstractNumId w:val="17"/>
  </w:num>
  <w:num w:numId="18">
    <w:abstractNumId w:val="3"/>
  </w:num>
  <w:num w:numId="19">
    <w:abstractNumId w:val="16"/>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66"/>
    <w:rsid w:val="0001618A"/>
    <w:rsid w:val="0017185D"/>
    <w:rsid w:val="001C12E2"/>
    <w:rsid w:val="001C48B9"/>
    <w:rsid w:val="00376B6F"/>
    <w:rsid w:val="003E22C2"/>
    <w:rsid w:val="003F5C85"/>
    <w:rsid w:val="00404BD4"/>
    <w:rsid w:val="004122AB"/>
    <w:rsid w:val="004325BA"/>
    <w:rsid w:val="00432D47"/>
    <w:rsid w:val="004338E6"/>
    <w:rsid w:val="00450305"/>
    <w:rsid w:val="00472983"/>
    <w:rsid w:val="0048635B"/>
    <w:rsid w:val="0049067B"/>
    <w:rsid w:val="004D5666"/>
    <w:rsid w:val="005719DC"/>
    <w:rsid w:val="005C5632"/>
    <w:rsid w:val="005E7CCF"/>
    <w:rsid w:val="00600831"/>
    <w:rsid w:val="0061144A"/>
    <w:rsid w:val="006170DF"/>
    <w:rsid w:val="007A7A00"/>
    <w:rsid w:val="007B0BB8"/>
    <w:rsid w:val="007F0576"/>
    <w:rsid w:val="0098558D"/>
    <w:rsid w:val="009E6AB2"/>
    <w:rsid w:val="00A13AA5"/>
    <w:rsid w:val="00AA083E"/>
    <w:rsid w:val="00B05A68"/>
    <w:rsid w:val="00B07D2D"/>
    <w:rsid w:val="00B21D44"/>
    <w:rsid w:val="00B4630E"/>
    <w:rsid w:val="00BB7AE1"/>
    <w:rsid w:val="00BD2433"/>
    <w:rsid w:val="00C051E3"/>
    <w:rsid w:val="00C1672A"/>
    <w:rsid w:val="00C270C0"/>
    <w:rsid w:val="00C61688"/>
    <w:rsid w:val="00C87462"/>
    <w:rsid w:val="00CA091C"/>
    <w:rsid w:val="00CC0F9E"/>
    <w:rsid w:val="00D40310"/>
    <w:rsid w:val="00D80B8F"/>
    <w:rsid w:val="00E457DB"/>
    <w:rsid w:val="00EF51E2"/>
    <w:rsid w:val="00F371AB"/>
    <w:rsid w:val="00F7550B"/>
    <w:rsid w:val="00F852B9"/>
    <w:rsid w:val="00F961F0"/>
    <w:rsid w:val="00FA7E8E"/>
    <w:rsid w:val="00FB3ED6"/>
    <w:rsid w:val="00FD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56E9"/>
  <w15:docId w15:val="{84E1CF3C-039A-4CD6-9345-4D522E11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top w:w="15" w:type="dxa"/>
        <w:left w:w="115" w:type="dxa"/>
        <w:bottom w:w="15" w:type="dxa"/>
        <w:right w:w="115" w:type="dxa"/>
      </w:tblCellMar>
    </w:tblPr>
  </w:style>
  <w:style w:type="table" w:customStyle="1" w:styleId="a3">
    <w:basedOn w:val="TableNormal4"/>
    <w:tblPr>
      <w:tblStyleRowBandSize w:val="1"/>
      <w:tblStyleColBandSize w:val="1"/>
      <w:tblCellMar>
        <w:top w:w="15" w:type="dxa"/>
        <w:left w:w="115" w:type="dxa"/>
        <w:bottom w:w="15" w:type="dxa"/>
        <w:right w:w="115" w:type="dxa"/>
      </w:tblCellMar>
    </w:tblPr>
  </w:style>
  <w:style w:type="table" w:customStyle="1" w:styleId="a4">
    <w:basedOn w:val="TableNormal3"/>
    <w:tblPr>
      <w:tblStyleRowBandSize w:val="1"/>
      <w:tblStyleColBandSize w:val="1"/>
      <w:tblCellMar>
        <w:top w:w="15" w:type="dxa"/>
        <w:left w:w="115" w:type="dxa"/>
        <w:bottom w:w="15" w:type="dxa"/>
        <w:right w:w="115" w:type="dxa"/>
      </w:tblCellMar>
    </w:tblPr>
  </w:style>
  <w:style w:type="table" w:customStyle="1" w:styleId="a5">
    <w:basedOn w:val="TableNormal3"/>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5" w:type="dxa"/>
        <w:left w:w="115" w:type="dxa"/>
        <w:bottom w:w="15" w:type="dxa"/>
        <w:right w:w="115" w:type="dxa"/>
      </w:tblCellMar>
    </w:tblPr>
  </w:style>
  <w:style w:type="table" w:customStyle="1" w:styleId="a8">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5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character" w:customStyle="1" w:styleId="selectable-text">
    <w:name w:val="selectable-text"/>
    <w:basedOn w:val="Fuentedeprrafopredeter"/>
    <w:rsid w:val="00B0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2444">
      <w:bodyDiv w:val="1"/>
      <w:marLeft w:val="0"/>
      <w:marRight w:val="0"/>
      <w:marTop w:val="0"/>
      <w:marBottom w:val="0"/>
      <w:divBdr>
        <w:top w:val="none" w:sz="0" w:space="0" w:color="auto"/>
        <w:left w:val="none" w:sz="0" w:space="0" w:color="auto"/>
        <w:bottom w:val="none" w:sz="0" w:space="0" w:color="auto"/>
        <w:right w:val="none" w:sz="0" w:space="0" w:color="auto"/>
      </w:divBdr>
    </w:div>
    <w:div w:id="673266385">
      <w:bodyDiv w:val="1"/>
      <w:marLeft w:val="0"/>
      <w:marRight w:val="0"/>
      <w:marTop w:val="0"/>
      <w:marBottom w:val="0"/>
      <w:divBdr>
        <w:top w:val="none" w:sz="0" w:space="0" w:color="auto"/>
        <w:left w:val="none" w:sz="0" w:space="0" w:color="auto"/>
        <w:bottom w:val="none" w:sz="0" w:space="0" w:color="auto"/>
        <w:right w:val="none" w:sz="0" w:space="0" w:color="auto"/>
      </w:divBdr>
    </w:div>
    <w:div w:id="970597466">
      <w:bodyDiv w:val="1"/>
      <w:marLeft w:val="0"/>
      <w:marRight w:val="0"/>
      <w:marTop w:val="0"/>
      <w:marBottom w:val="0"/>
      <w:divBdr>
        <w:top w:val="none" w:sz="0" w:space="0" w:color="auto"/>
        <w:left w:val="none" w:sz="0" w:space="0" w:color="auto"/>
        <w:bottom w:val="none" w:sz="0" w:space="0" w:color="auto"/>
        <w:right w:val="none" w:sz="0" w:space="0" w:color="auto"/>
      </w:divBdr>
    </w:div>
    <w:div w:id="1446386954">
      <w:bodyDiv w:val="1"/>
      <w:marLeft w:val="0"/>
      <w:marRight w:val="0"/>
      <w:marTop w:val="0"/>
      <w:marBottom w:val="0"/>
      <w:divBdr>
        <w:top w:val="none" w:sz="0" w:space="0" w:color="auto"/>
        <w:left w:val="none" w:sz="0" w:space="0" w:color="auto"/>
        <w:bottom w:val="none" w:sz="0" w:space="0" w:color="auto"/>
        <w:right w:val="none" w:sz="0" w:space="0" w:color="auto"/>
      </w:divBdr>
    </w:div>
    <w:div w:id="1487085956">
      <w:bodyDiv w:val="1"/>
      <w:marLeft w:val="0"/>
      <w:marRight w:val="0"/>
      <w:marTop w:val="0"/>
      <w:marBottom w:val="0"/>
      <w:divBdr>
        <w:top w:val="none" w:sz="0" w:space="0" w:color="auto"/>
        <w:left w:val="none" w:sz="0" w:space="0" w:color="auto"/>
        <w:bottom w:val="none" w:sz="0" w:space="0" w:color="auto"/>
        <w:right w:val="none" w:sz="0" w:space="0" w:color="auto"/>
      </w:divBdr>
    </w:div>
    <w:div w:id="1546257893">
      <w:bodyDiv w:val="1"/>
      <w:marLeft w:val="0"/>
      <w:marRight w:val="0"/>
      <w:marTop w:val="0"/>
      <w:marBottom w:val="0"/>
      <w:divBdr>
        <w:top w:val="none" w:sz="0" w:space="0" w:color="auto"/>
        <w:left w:val="none" w:sz="0" w:space="0" w:color="auto"/>
        <w:bottom w:val="none" w:sz="0" w:space="0" w:color="auto"/>
        <w:right w:val="none" w:sz="0" w:space="0" w:color="auto"/>
      </w:divBdr>
    </w:div>
    <w:div w:id="1566183451">
      <w:bodyDiv w:val="1"/>
      <w:marLeft w:val="0"/>
      <w:marRight w:val="0"/>
      <w:marTop w:val="0"/>
      <w:marBottom w:val="0"/>
      <w:divBdr>
        <w:top w:val="none" w:sz="0" w:space="0" w:color="auto"/>
        <w:left w:val="none" w:sz="0" w:space="0" w:color="auto"/>
        <w:bottom w:val="none" w:sz="0" w:space="0" w:color="auto"/>
        <w:right w:val="none" w:sz="0" w:space="0" w:color="auto"/>
      </w:divBdr>
    </w:div>
    <w:div w:id="1716192895">
      <w:bodyDiv w:val="1"/>
      <w:marLeft w:val="0"/>
      <w:marRight w:val="0"/>
      <w:marTop w:val="0"/>
      <w:marBottom w:val="0"/>
      <w:divBdr>
        <w:top w:val="none" w:sz="0" w:space="0" w:color="auto"/>
        <w:left w:val="none" w:sz="0" w:space="0" w:color="auto"/>
        <w:bottom w:val="none" w:sz="0" w:space="0" w:color="auto"/>
        <w:right w:val="none" w:sz="0" w:space="0" w:color="auto"/>
      </w:divBdr>
    </w:div>
    <w:div w:id="171685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of.gob.mx/nota_detalle.php?codigo=5086651&amp;fecha=09/04/20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ZTxBJYlrHO0Q5lUIEjGlJteyw==">CgMxLjAyCWguMzBqMHpsbDIJaC4yZXQ5MnAwMghoLmdqZGd4czIJaC4xZm9iOXRlOAByITExTE5ob2xraDRXWC11UEl1Z0k4SEwwYmlpUDg2S05fZg==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8580</Words>
  <Characters>47192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2025-02-28T17:55:00Z</cp:lastPrinted>
  <dcterms:created xsi:type="dcterms:W3CDTF">2025-03-10T17:51:00Z</dcterms:created>
  <dcterms:modified xsi:type="dcterms:W3CDTF">2025-03-10T17:51:00Z</dcterms:modified>
</cp:coreProperties>
</file>