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3802" w14:textId="14530D7D" w:rsidR="00A83B4F" w:rsidRDefault="0029071C" w:rsidP="00EB0964">
      <w:pPr>
        <w:shd w:val="clear" w:color="auto" w:fill="FFFFFF"/>
        <w:spacing w:line="360" w:lineRule="auto"/>
        <w:jc w:val="both"/>
        <w:rPr>
          <w:rFonts w:ascii="Palatino Linotype" w:hAnsi="Palatino Linotype" w:cs="Arial"/>
          <w:color w:val="000000"/>
          <w:lang w:val="es-MX" w:eastAsia="es-MX"/>
        </w:rPr>
      </w:pPr>
      <w:r w:rsidRPr="00C400A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D2050D">
        <w:rPr>
          <w:rFonts w:ascii="Palatino Linotype" w:hAnsi="Palatino Linotype" w:cs="Arial"/>
          <w:color w:val="000000"/>
          <w:lang w:val="es-MX" w:eastAsia="es-MX"/>
        </w:rPr>
        <w:t xml:space="preserve">quince de enero </w:t>
      </w:r>
      <w:r w:rsidR="00D1750D">
        <w:rPr>
          <w:rFonts w:ascii="Palatino Linotype" w:hAnsi="Palatino Linotype" w:cs="Arial"/>
          <w:color w:val="000000"/>
          <w:lang w:val="es-MX" w:eastAsia="es-MX"/>
        </w:rPr>
        <w:t>de enero</w:t>
      </w:r>
      <w:r w:rsidR="00812DDF" w:rsidRPr="00C400AC">
        <w:rPr>
          <w:rFonts w:ascii="Palatino Linotype" w:hAnsi="Palatino Linotype" w:cs="Arial"/>
          <w:color w:val="000000"/>
          <w:lang w:val="es-MX" w:eastAsia="es-MX"/>
        </w:rPr>
        <w:t xml:space="preserve"> dos mil veinti</w:t>
      </w:r>
      <w:r w:rsidR="00D1750D">
        <w:rPr>
          <w:rFonts w:ascii="Palatino Linotype" w:hAnsi="Palatino Linotype" w:cs="Arial"/>
          <w:color w:val="000000"/>
          <w:lang w:val="es-MX" w:eastAsia="es-MX"/>
        </w:rPr>
        <w:t>c</w:t>
      </w:r>
      <w:r w:rsidR="00D2050D">
        <w:rPr>
          <w:rFonts w:ascii="Palatino Linotype" w:hAnsi="Palatino Linotype" w:cs="Arial"/>
          <w:color w:val="000000"/>
          <w:lang w:val="es-MX" w:eastAsia="es-MX"/>
        </w:rPr>
        <w:t>inco</w:t>
      </w:r>
      <w:r w:rsidRPr="00C400AC">
        <w:rPr>
          <w:rFonts w:ascii="Palatino Linotype" w:hAnsi="Palatino Linotype" w:cs="Arial"/>
          <w:color w:val="000000"/>
          <w:lang w:val="es-MX" w:eastAsia="es-MX"/>
        </w:rPr>
        <w:t>.</w:t>
      </w:r>
    </w:p>
    <w:p w14:paraId="4603DE7D" w14:textId="77777777" w:rsidR="00EB0964" w:rsidRPr="00EB0964" w:rsidRDefault="00EB0964" w:rsidP="00EB0964">
      <w:pPr>
        <w:shd w:val="clear" w:color="auto" w:fill="FFFFFF"/>
        <w:spacing w:line="360" w:lineRule="auto"/>
        <w:jc w:val="both"/>
        <w:rPr>
          <w:rFonts w:ascii="Palatino Linotype" w:hAnsi="Palatino Linotype" w:cs="Arial"/>
          <w:color w:val="000000"/>
          <w:lang w:val="es-MX" w:eastAsia="es-MX"/>
        </w:rPr>
      </w:pPr>
    </w:p>
    <w:p w14:paraId="3F5A095F" w14:textId="23F83223" w:rsidR="00EB0964" w:rsidRDefault="0029071C" w:rsidP="00C753C2">
      <w:pPr>
        <w:tabs>
          <w:tab w:val="left" w:pos="1701"/>
        </w:tabs>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b/>
          <w:lang w:val="es-MX" w:eastAsia="en-US"/>
        </w:rPr>
        <w:t>VISTO</w:t>
      </w:r>
      <w:r w:rsidRPr="00C400AC">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76EF7" w:rsidRPr="00C400AC">
        <w:rPr>
          <w:rFonts w:ascii="Palatino Linotype" w:eastAsiaTheme="minorHAnsi" w:hAnsi="Palatino Linotype" w:cs="Arial"/>
          <w:b/>
          <w:lang w:val="es-MX" w:eastAsia="en-US"/>
        </w:rPr>
        <w:t>0</w:t>
      </w:r>
      <w:r w:rsidR="007E1EEF">
        <w:rPr>
          <w:rFonts w:ascii="Palatino Linotype" w:eastAsiaTheme="minorHAnsi" w:hAnsi="Palatino Linotype" w:cs="Arial"/>
          <w:b/>
          <w:lang w:val="es-MX" w:eastAsia="en-US"/>
        </w:rPr>
        <w:t>7290</w:t>
      </w:r>
      <w:r w:rsidRPr="00C400AC">
        <w:rPr>
          <w:rFonts w:ascii="Palatino Linotype" w:eastAsiaTheme="minorHAnsi" w:hAnsi="Palatino Linotype" w:cs="Arial"/>
          <w:b/>
          <w:bCs/>
          <w:lang w:val="es-MX" w:eastAsia="es-MX"/>
        </w:rPr>
        <w:t>/INFOEM/IP/RR/202</w:t>
      </w:r>
      <w:r w:rsidR="007E1EEF">
        <w:rPr>
          <w:rFonts w:ascii="Palatino Linotype" w:eastAsiaTheme="minorHAnsi" w:hAnsi="Palatino Linotype" w:cs="Arial"/>
          <w:b/>
          <w:bCs/>
          <w:lang w:val="es-MX" w:eastAsia="es-MX"/>
        </w:rPr>
        <w:t>4</w:t>
      </w:r>
      <w:bookmarkEnd w:id="0"/>
      <w:r w:rsidRPr="00C400AC">
        <w:rPr>
          <w:rFonts w:ascii="Palatino Linotype" w:eastAsiaTheme="minorHAnsi" w:hAnsi="Palatino Linotype" w:cs="Arial"/>
          <w:lang w:val="es-MX" w:eastAsia="en-US"/>
        </w:rPr>
        <w:t xml:space="preserve">, </w:t>
      </w:r>
      <w:r w:rsidR="00DE407A" w:rsidRPr="00C400AC">
        <w:rPr>
          <w:rFonts w:ascii="Palatino Linotype" w:hAnsi="Palatino Linotype" w:cs="Arial"/>
        </w:rPr>
        <w:t xml:space="preserve">interpuesto </w:t>
      </w:r>
      <w:r w:rsidR="00EF75EF" w:rsidRPr="00EF75EF">
        <w:rPr>
          <w:rFonts w:ascii="Palatino Linotype" w:hAnsi="Palatino Linotype" w:cs="Arial"/>
        </w:rPr>
        <w:t xml:space="preserve">por </w:t>
      </w:r>
      <w:r w:rsidR="00EB0964">
        <w:rPr>
          <w:rFonts w:ascii="Palatino Linotype" w:hAnsi="Palatino Linotype" w:cs="Arial"/>
        </w:rPr>
        <w:t xml:space="preserve">el </w:t>
      </w:r>
      <w:r w:rsidR="00EB0964" w:rsidRPr="00EB0964">
        <w:rPr>
          <w:rFonts w:ascii="Palatino Linotype" w:hAnsi="Palatino Linotype" w:cs="Arial"/>
          <w:b/>
          <w:bCs/>
        </w:rPr>
        <w:t xml:space="preserve">C. </w:t>
      </w:r>
      <w:r w:rsidR="00921EAE">
        <w:rPr>
          <w:rFonts w:ascii="Palatino Linotype" w:hAnsi="Palatino Linotype" w:cs="Arial"/>
          <w:b/>
          <w:bCs/>
        </w:rPr>
        <w:t>XXXXXXXXXX</w:t>
      </w:r>
      <w:r w:rsidR="005F1F89" w:rsidRPr="00C400AC">
        <w:rPr>
          <w:rFonts w:ascii="Palatino Linotype" w:hAnsi="Palatino Linotype" w:cs="Arial"/>
        </w:rPr>
        <w:t>,</w:t>
      </w:r>
      <w:r w:rsidR="005F1F89" w:rsidRPr="00C400AC">
        <w:rPr>
          <w:rFonts w:ascii="Palatino Linotype" w:hAnsi="Palatino Linotype" w:cs="Arial"/>
          <w:b/>
        </w:rPr>
        <w:t xml:space="preserve"> </w:t>
      </w:r>
      <w:r w:rsidR="005F1F89" w:rsidRPr="00C400AC">
        <w:rPr>
          <w:rFonts w:ascii="Palatino Linotype" w:hAnsi="Palatino Linotype" w:cs="Arial"/>
        </w:rPr>
        <w:t>en lo sucesivo</w:t>
      </w:r>
      <w:r w:rsidR="00467118" w:rsidRPr="00C400AC">
        <w:rPr>
          <w:rFonts w:ascii="Palatino Linotype" w:hAnsi="Palatino Linotype" w:cs="Arial"/>
        </w:rPr>
        <w:t xml:space="preserve"> la parte </w:t>
      </w:r>
      <w:r w:rsidR="005F1F89" w:rsidRPr="00C400AC">
        <w:rPr>
          <w:rFonts w:ascii="Palatino Linotype" w:hAnsi="Palatino Linotype" w:cs="Arial"/>
          <w:b/>
        </w:rPr>
        <w:t>Recurrente</w:t>
      </w:r>
      <w:r w:rsidRPr="00C400AC">
        <w:rPr>
          <w:rFonts w:ascii="Palatino Linotype" w:eastAsiaTheme="minorHAnsi" w:hAnsi="Palatino Linotype" w:cs="Arial"/>
          <w:lang w:val="es-MX" w:eastAsia="en-US"/>
        </w:rPr>
        <w:t>, en contra de la respuesta de</w:t>
      </w:r>
      <w:r w:rsidR="00B20C2B" w:rsidRPr="00C400AC">
        <w:rPr>
          <w:rFonts w:ascii="Palatino Linotype" w:eastAsiaTheme="minorHAnsi" w:hAnsi="Palatino Linotype" w:cs="Arial"/>
          <w:lang w:val="es-MX" w:eastAsia="en-US"/>
        </w:rPr>
        <w:t>l</w:t>
      </w:r>
      <w:r w:rsidRPr="00C400AC">
        <w:rPr>
          <w:rFonts w:ascii="Palatino Linotype" w:eastAsiaTheme="minorHAnsi" w:hAnsi="Palatino Linotype" w:cs="Arial"/>
          <w:lang w:val="es-MX" w:eastAsia="en-US"/>
        </w:rPr>
        <w:t xml:space="preserve"> </w:t>
      </w:r>
      <w:r w:rsidR="007E1EEF" w:rsidRPr="007E1EEF">
        <w:rPr>
          <w:rFonts w:ascii="Palatino Linotype" w:eastAsiaTheme="minorHAnsi" w:hAnsi="Palatino Linotype" w:cs="Arial"/>
          <w:b/>
          <w:lang w:val="es-MX" w:eastAsia="en-US"/>
        </w:rPr>
        <w:t>Organismo Público Descentralizado para la Prestación de Los Servicios de Agua Potable Alcantarillado y Saneamiento del Municipio de Naucalpan de Juárez</w:t>
      </w:r>
      <w:r w:rsidRPr="00C400AC">
        <w:rPr>
          <w:rFonts w:ascii="Palatino Linotype" w:eastAsiaTheme="minorHAnsi" w:hAnsi="Palatino Linotype" w:cs="Arial"/>
          <w:lang w:val="es-MX" w:eastAsia="en-US"/>
        </w:rPr>
        <w:t>,</w:t>
      </w:r>
      <w:r w:rsidRPr="00C400AC">
        <w:rPr>
          <w:rFonts w:ascii="Palatino Linotype" w:eastAsiaTheme="minorHAnsi" w:hAnsi="Palatino Linotype" w:cs="Arial"/>
          <w:b/>
          <w:lang w:val="es-MX" w:eastAsia="en-US"/>
        </w:rPr>
        <w:t xml:space="preserve"> </w:t>
      </w:r>
      <w:r w:rsidRPr="00C400AC">
        <w:rPr>
          <w:rFonts w:ascii="Palatino Linotype" w:eastAsiaTheme="minorHAnsi" w:hAnsi="Palatino Linotype" w:cs="Arial"/>
          <w:lang w:val="es-MX" w:eastAsia="en-US"/>
        </w:rPr>
        <w:t>en lo subsecuente</w:t>
      </w:r>
      <w:r w:rsidRPr="00C400AC">
        <w:rPr>
          <w:rFonts w:ascii="Palatino Linotype" w:eastAsiaTheme="minorHAnsi" w:hAnsi="Palatino Linotype" w:cs="Arial"/>
          <w:b/>
          <w:lang w:val="es-MX" w:eastAsia="en-US"/>
        </w:rPr>
        <w:t xml:space="preserve"> El Sujeto Obligado, </w:t>
      </w:r>
      <w:r w:rsidRPr="00C400AC">
        <w:rPr>
          <w:rFonts w:ascii="Palatino Linotype" w:eastAsiaTheme="minorHAnsi" w:hAnsi="Palatino Linotype" w:cs="Arial"/>
          <w:lang w:val="es-MX" w:eastAsia="en-US"/>
        </w:rPr>
        <w:t>se procede a dictar la presente resolución.</w:t>
      </w:r>
    </w:p>
    <w:p w14:paraId="07F4A5E3" w14:textId="77777777" w:rsidR="00D2050D" w:rsidRPr="00EB0964" w:rsidRDefault="00D2050D" w:rsidP="00D2050D">
      <w:pPr>
        <w:pStyle w:val="Sinespaciado"/>
        <w:rPr>
          <w:rFonts w:eastAsiaTheme="minorHAnsi"/>
          <w:lang w:eastAsia="en-US"/>
        </w:rPr>
      </w:pPr>
    </w:p>
    <w:p w14:paraId="7756777D" w14:textId="7C265DBF" w:rsidR="00C753C2" w:rsidRDefault="0029071C" w:rsidP="00EB0964">
      <w:pPr>
        <w:spacing w:line="360" w:lineRule="auto"/>
        <w:jc w:val="center"/>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A N T E C E D E N T E S</w:t>
      </w:r>
    </w:p>
    <w:p w14:paraId="5456F530" w14:textId="77777777" w:rsidR="00EB0964" w:rsidRPr="00EB0964" w:rsidRDefault="00EB0964" w:rsidP="00D2050D">
      <w:pPr>
        <w:pStyle w:val="Sinespaciado"/>
        <w:rPr>
          <w:rFonts w:eastAsiaTheme="minorHAnsi"/>
          <w:lang w:eastAsia="en-US"/>
        </w:rPr>
      </w:pPr>
    </w:p>
    <w:p w14:paraId="4B32F09E" w14:textId="77777777" w:rsidR="0029071C" w:rsidRPr="00C400AC" w:rsidRDefault="0029071C"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PRIMERO. De la solicitud de información.</w:t>
      </w:r>
    </w:p>
    <w:p w14:paraId="1B0EDFC3" w14:textId="1C9E6F05" w:rsidR="00F3556B" w:rsidRPr="00C400AC" w:rsidRDefault="0029071C" w:rsidP="00D54B83">
      <w:pPr>
        <w:spacing w:line="360" w:lineRule="auto"/>
        <w:jc w:val="both"/>
        <w:rPr>
          <w:rFonts w:ascii="Palatino Linotype" w:eastAsiaTheme="minorHAnsi" w:hAnsi="Palatino Linotype" w:cs="Arial"/>
          <w:szCs w:val="22"/>
          <w:lang w:val="es-MX" w:eastAsia="en-US"/>
        </w:rPr>
      </w:pPr>
      <w:r w:rsidRPr="00C400AC">
        <w:rPr>
          <w:rFonts w:ascii="Palatino Linotype" w:eastAsiaTheme="minorHAnsi" w:hAnsi="Palatino Linotype" w:cs="Arial"/>
          <w:szCs w:val="22"/>
          <w:lang w:val="es-MX" w:eastAsia="en-US"/>
        </w:rPr>
        <w:t xml:space="preserve">En fecha </w:t>
      </w:r>
      <w:r w:rsidR="00D2050D">
        <w:rPr>
          <w:rFonts w:ascii="Palatino Linotype" w:eastAsiaTheme="minorHAnsi" w:hAnsi="Palatino Linotype" w:cs="Arial"/>
          <w:szCs w:val="22"/>
          <w:lang w:val="es-MX" w:eastAsia="en-US"/>
        </w:rPr>
        <w:t>siete de noviembre</w:t>
      </w:r>
      <w:r w:rsidR="00D76EF7" w:rsidRPr="00C400AC">
        <w:rPr>
          <w:rFonts w:ascii="Palatino Linotype" w:eastAsiaTheme="minorHAnsi" w:hAnsi="Palatino Linotype" w:cs="Arial"/>
          <w:szCs w:val="22"/>
          <w:lang w:val="es-MX" w:eastAsia="en-US"/>
        </w:rPr>
        <w:t xml:space="preserve"> de dos mil veinti</w:t>
      </w:r>
      <w:r w:rsidR="00D2050D">
        <w:rPr>
          <w:rFonts w:ascii="Palatino Linotype" w:eastAsiaTheme="minorHAnsi" w:hAnsi="Palatino Linotype" w:cs="Arial"/>
          <w:szCs w:val="22"/>
          <w:lang w:val="es-MX" w:eastAsia="en-US"/>
        </w:rPr>
        <w:t>cuatro</w:t>
      </w:r>
      <w:r w:rsidRPr="00C400AC">
        <w:rPr>
          <w:rFonts w:ascii="Palatino Linotype" w:eastAsiaTheme="minorHAnsi" w:hAnsi="Palatino Linotype" w:cs="Arial"/>
          <w:szCs w:val="22"/>
          <w:lang w:val="es-MX" w:eastAsia="en-US"/>
        </w:rPr>
        <w:t xml:space="preserve">, </w:t>
      </w:r>
      <w:r w:rsidR="000E768F" w:rsidRPr="00C400AC">
        <w:rPr>
          <w:rFonts w:ascii="Palatino Linotype" w:eastAsiaTheme="minorHAnsi" w:hAnsi="Palatino Linotype" w:cs="Arial"/>
          <w:szCs w:val="22"/>
          <w:lang w:val="es-MX" w:eastAsia="en-US"/>
        </w:rPr>
        <w:t>la</w:t>
      </w:r>
      <w:r w:rsidR="00D76EF7" w:rsidRPr="00C400AC">
        <w:rPr>
          <w:rFonts w:ascii="Palatino Linotype" w:eastAsiaTheme="minorHAnsi" w:hAnsi="Palatino Linotype" w:cs="Arial"/>
          <w:szCs w:val="22"/>
          <w:lang w:val="es-MX" w:eastAsia="en-US"/>
        </w:rPr>
        <w:t xml:space="preserve"> parte</w:t>
      </w:r>
      <w:r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b/>
          <w:szCs w:val="22"/>
          <w:lang w:val="es-MX" w:eastAsia="en-US"/>
        </w:rPr>
        <w:t>Recurrente</w:t>
      </w:r>
      <w:r w:rsidR="00D54B83" w:rsidRPr="00C400AC">
        <w:rPr>
          <w:rFonts w:ascii="Palatino Linotype" w:eastAsiaTheme="minorHAnsi" w:hAnsi="Palatino Linotype" w:cs="Arial"/>
          <w:szCs w:val="22"/>
          <w:lang w:val="es-MX" w:eastAsia="en-US"/>
        </w:rPr>
        <w:t>, presentó a través d</w:t>
      </w:r>
      <w:r w:rsidR="00701A71" w:rsidRPr="00C400AC">
        <w:rPr>
          <w:rFonts w:ascii="Palatino Linotype" w:eastAsiaTheme="minorHAnsi" w:hAnsi="Palatino Linotype" w:cs="Arial"/>
          <w:szCs w:val="22"/>
          <w:lang w:val="es-MX" w:eastAsia="en-US"/>
        </w:rPr>
        <w:t>e</w:t>
      </w:r>
      <w:r w:rsidR="00D76EF7" w:rsidRPr="00C400AC">
        <w:rPr>
          <w:rFonts w:ascii="Palatino Linotype" w:eastAsiaTheme="minorHAnsi" w:hAnsi="Palatino Linotype" w:cs="Arial"/>
          <w:szCs w:val="22"/>
          <w:lang w:val="es-MX" w:eastAsia="en-US"/>
        </w:rPr>
        <w:t>l</w:t>
      </w:r>
      <w:r w:rsidR="00F3556B"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szCs w:val="22"/>
          <w:lang w:val="es-MX" w:eastAsia="en-US"/>
        </w:rPr>
        <w:t xml:space="preserve">Sistema de Acceso a la Información Mexiquense </w:t>
      </w:r>
      <w:r w:rsidRPr="00C400AC">
        <w:rPr>
          <w:rFonts w:ascii="Palatino Linotype" w:eastAsiaTheme="minorHAnsi" w:hAnsi="Palatino Linotype" w:cs="Arial"/>
          <w:b/>
          <w:szCs w:val="22"/>
          <w:lang w:val="es-MX" w:eastAsia="en-US"/>
        </w:rPr>
        <w:t>(SAIMEX),</w:t>
      </w:r>
      <w:r w:rsidRPr="00C400AC">
        <w:rPr>
          <w:rFonts w:ascii="Palatino Linotype" w:eastAsiaTheme="minorHAnsi" w:hAnsi="Palatino Linotype" w:cs="Arial"/>
          <w:szCs w:val="22"/>
          <w:lang w:val="es-MX" w:eastAsia="en-US"/>
        </w:rPr>
        <w:t xml:space="preserve"> ante el </w:t>
      </w:r>
      <w:r w:rsidRPr="00C400AC">
        <w:rPr>
          <w:rFonts w:ascii="Palatino Linotype" w:eastAsiaTheme="minorHAnsi" w:hAnsi="Palatino Linotype" w:cs="Arial"/>
          <w:b/>
          <w:szCs w:val="22"/>
          <w:lang w:val="es-MX" w:eastAsia="en-US"/>
        </w:rPr>
        <w:t>Sujeto Obligado</w:t>
      </w:r>
      <w:r w:rsidRPr="00C400AC">
        <w:rPr>
          <w:rFonts w:ascii="Palatino Linotype" w:eastAsiaTheme="minorHAnsi" w:hAnsi="Palatino Linotype" w:cs="Arial"/>
          <w:szCs w:val="22"/>
          <w:lang w:val="es-MX" w:eastAsia="en-US"/>
        </w:rPr>
        <w:t>, la solicitud de acceso a la información pública, a la que se le</w:t>
      </w:r>
      <w:r w:rsidR="00C753C2" w:rsidRPr="00C400AC">
        <w:rPr>
          <w:rFonts w:ascii="Palatino Linotype" w:eastAsiaTheme="minorHAnsi" w:hAnsi="Palatino Linotype" w:cs="Arial"/>
          <w:szCs w:val="22"/>
          <w:lang w:val="es-MX" w:eastAsia="en-US"/>
        </w:rPr>
        <w:t xml:space="preserve"> asignó el número de expediente </w:t>
      </w:r>
      <w:r w:rsidR="00D2050D" w:rsidRPr="00D2050D">
        <w:rPr>
          <w:rFonts w:ascii="Palatino Linotype" w:eastAsiaTheme="minorHAnsi" w:hAnsi="Palatino Linotype" w:cs="Arial"/>
          <w:b/>
          <w:szCs w:val="22"/>
          <w:lang w:val="es-MX" w:eastAsia="en-US"/>
        </w:rPr>
        <w:t>00143/OASNAUCAL/IP/2024</w:t>
      </w:r>
      <w:r w:rsidRPr="00C400AC">
        <w:rPr>
          <w:rFonts w:ascii="Palatino Linotype" w:eastAsiaTheme="minorHAnsi" w:hAnsi="Palatino Linotype" w:cs="Arial"/>
          <w:szCs w:val="22"/>
          <w:lang w:val="es-MX" w:eastAsia="en-US"/>
        </w:rPr>
        <w:t>, mediante la cual solicitó lo siguiente:</w:t>
      </w:r>
    </w:p>
    <w:p w14:paraId="4A3EFDB9" w14:textId="77777777" w:rsidR="00D54B83" w:rsidRPr="00EB0964" w:rsidRDefault="00D54B83" w:rsidP="008313E0">
      <w:pPr>
        <w:pStyle w:val="Sinespaciado"/>
        <w:rPr>
          <w:rFonts w:eastAsiaTheme="minorHAnsi"/>
          <w:sz w:val="14"/>
          <w:szCs w:val="14"/>
          <w:lang w:eastAsia="en-US"/>
        </w:rPr>
      </w:pPr>
    </w:p>
    <w:p w14:paraId="5157924C" w14:textId="566530C5" w:rsidR="00C753C2" w:rsidRPr="00C400AC" w:rsidRDefault="0029071C" w:rsidP="00EB0964">
      <w:pPr>
        <w:ind w:left="284" w:right="332"/>
        <w:jc w:val="both"/>
        <w:rPr>
          <w:rFonts w:ascii="Palatino Linotype" w:hAnsi="Palatino Linotype"/>
          <w:i/>
          <w:sz w:val="22"/>
          <w:szCs w:val="22"/>
          <w:lang w:val="es-MX" w:eastAsia="es-MX"/>
        </w:rPr>
      </w:pPr>
      <w:r w:rsidRPr="00C400AC">
        <w:rPr>
          <w:rFonts w:ascii="Palatino Linotype" w:hAnsi="Palatino Linotype"/>
          <w:i/>
          <w:sz w:val="22"/>
          <w:szCs w:val="22"/>
          <w:lang w:val="es-MX"/>
        </w:rPr>
        <w:t>“</w:t>
      </w:r>
      <w:r w:rsidR="00D2050D" w:rsidRPr="00D2050D">
        <w:rPr>
          <w:rFonts w:ascii="Palatino Linotype" w:hAnsi="Palatino Linotype"/>
          <w:i/>
          <w:sz w:val="22"/>
          <w:szCs w:val="22"/>
          <w:lang w:val="es-MX" w:eastAsia="es-MX"/>
        </w:rPr>
        <w:t xml:space="preserve">me pueden compartir en </w:t>
      </w:r>
      <w:proofErr w:type="spellStart"/>
      <w:r w:rsidR="00D2050D" w:rsidRPr="00D2050D">
        <w:rPr>
          <w:rFonts w:ascii="Palatino Linotype" w:hAnsi="Palatino Linotype"/>
          <w:i/>
          <w:sz w:val="22"/>
          <w:szCs w:val="22"/>
          <w:lang w:val="es-MX" w:eastAsia="es-MX"/>
        </w:rPr>
        <w:t>version</w:t>
      </w:r>
      <w:proofErr w:type="spellEnd"/>
      <w:r w:rsidR="00D2050D" w:rsidRPr="00D2050D">
        <w:rPr>
          <w:rFonts w:ascii="Palatino Linotype" w:hAnsi="Palatino Linotype"/>
          <w:i/>
          <w:sz w:val="22"/>
          <w:szCs w:val="22"/>
          <w:lang w:val="es-MX" w:eastAsia="es-MX"/>
        </w:rPr>
        <w:t xml:space="preserve"> publica las determinaciones concluidas de la </w:t>
      </w:r>
      <w:proofErr w:type="spellStart"/>
      <w:r w:rsidR="00D2050D" w:rsidRPr="00D2050D">
        <w:rPr>
          <w:rFonts w:ascii="Palatino Linotype" w:hAnsi="Palatino Linotype"/>
          <w:i/>
          <w:sz w:val="22"/>
          <w:szCs w:val="22"/>
          <w:lang w:val="es-MX" w:eastAsia="es-MX"/>
        </w:rPr>
        <w:t>contraloria</w:t>
      </w:r>
      <w:proofErr w:type="spellEnd"/>
      <w:r w:rsidR="00D2050D" w:rsidRPr="00D2050D">
        <w:rPr>
          <w:rFonts w:ascii="Palatino Linotype" w:hAnsi="Palatino Linotype"/>
          <w:i/>
          <w:sz w:val="22"/>
          <w:szCs w:val="22"/>
          <w:lang w:val="es-MX" w:eastAsia="es-MX"/>
        </w:rPr>
        <w:t xml:space="preserve"> en su calidad de autoridad investigadora en el año 2024.</w:t>
      </w:r>
      <w:r w:rsidRPr="00C400AC">
        <w:rPr>
          <w:rFonts w:ascii="Palatino Linotype" w:hAnsi="Palatino Linotype"/>
          <w:i/>
          <w:sz w:val="22"/>
          <w:szCs w:val="22"/>
          <w:lang w:val="es-MX"/>
        </w:rPr>
        <w:t>”</w:t>
      </w:r>
      <w:r w:rsidRPr="00C400AC">
        <w:rPr>
          <w:rFonts w:ascii="Palatino Linotype" w:hAnsi="Palatino Linotype"/>
          <w:i/>
          <w:sz w:val="22"/>
          <w:szCs w:val="22"/>
          <w:lang w:val="es-ES_tradnl"/>
        </w:rPr>
        <w:t xml:space="preserve"> (Sic).</w:t>
      </w:r>
    </w:p>
    <w:p w14:paraId="279452FD" w14:textId="77777777" w:rsidR="00F3556B" w:rsidRPr="00C400AC" w:rsidRDefault="00F3556B" w:rsidP="00C753C2">
      <w:pPr>
        <w:pStyle w:val="Sinespaciado"/>
        <w:rPr>
          <w:sz w:val="4"/>
        </w:rPr>
      </w:pPr>
    </w:p>
    <w:p w14:paraId="234DD8C4" w14:textId="77777777" w:rsidR="00EB0964" w:rsidRDefault="00EB0964" w:rsidP="00EB0964">
      <w:pPr>
        <w:pStyle w:val="Sinespaciado"/>
      </w:pPr>
    </w:p>
    <w:p w14:paraId="7F6CC450" w14:textId="27091A97" w:rsidR="008313E0" w:rsidRPr="00C400AC" w:rsidRDefault="0029071C" w:rsidP="00BA27FC">
      <w:pPr>
        <w:tabs>
          <w:tab w:val="left" w:pos="5647"/>
        </w:tabs>
        <w:spacing w:line="360" w:lineRule="auto"/>
        <w:ind w:right="850"/>
        <w:jc w:val="both"/>
        <w:rPr>
          <w:rFonts w:ascii="Palatino Linotype" w:eastAsiaTheme="minorHAnsi" w:hAnsi="Palatino Linotype" w:cstheme="minorBidi"/>
          <w:color w:val="000000"/>
          <w:lang w:val="es-MX" w:eastAsia="en-US"/>
        </w:rPr>
      </w:pPr>
      <w:r w:rsidRPr="00C400AC">
        <w:rPr>
          <w:rFonts w:ascii="Palatino Linotype" w:hAnsi="Palatino Linotype"/>
          <w:b/>
          <w:lang w:val="es-ES_tradnl"/>
        </w:rPr>
        <w:t>MODALIDAD DE ENTREGA:</w:t>
      </w:r>
      <w:r w:rsidRPr="00C400AC">
        <w:rPr>
          <w:rFonts w:ascii="Palatino Linotype" w:hAnsi="Palatino Linotype"/>
          <w:lang w:val="es-ES_tradnl"/>
        </w:rPr>
        <w:t xml:space="preserve"> </w:t>
      </w:r>
      <w:r w:rsidR="00D66FE8" w:rsidRPr="00C400AC">
        <w:rPr>
          <w:rFonts w:ascii="Palatino Linotype" w:eastAsiaTheme="minorHAnsi" w:hAnsi="Palatino Linotype" w:cstheme="minorBidi"/>
          <w:color w:val="000000"/>
          <w:lang w:val="es-MX" w:eastAsia="en-US"/>
        </w:rPr>
        <w:t>A través de</w:t>
      </w:r>
      <w:r w:rsidR="00701A71" w:rsidRPr="00C400AC">
        <w:rPr>
          <w:rFonts w:ascii="Palatino Linotype" w:eastAsiaTheme="minorHAnsi" w:hAnsi="Palatino Linotype" w:cstheme="minorBidi"/>
          <w:color w:val="000000"/>
          <w:lang w:val="es-MX" w:eastAsia="en-US"/>
        </w:rPr>
        <w:t>l</w:t>
      </w:r>
      <w:r w:rsidR="00EF75EF">
        <w:rPr>
          <w:rFonts w:ascii="Palatino Linotype" w:eastAsiaTheme="minorHAnsi" w:hAnsi="Palatino Linotype" w:cstheme="minorBidi"/>
          <w:color w:val="000000"/>
          <w:lang w:val="es-MX" w:eastAsia="en-US"/>
        </w:rPr>
        <w:t xml:space="preserve"> </w:t>
      </w:r>
      <w:r w:rsidR="00701A71" w:rsidRPr="00C400AC">
        <w:rPr>
          <w:rFonts w:ascii="Palatino Linotype" w:eastAsiaTheme="minorHAnsi" w:hAnsi="Palatino Linotype" w:cstheme="minorBidi"/>
          <w:b/>
          <w:color w:val="000000"/>
          <w:lang w:val="es-MX" w:eastAsia="en-US"/>
        </w:rPr>
        <w:t>SAIMEX</w:t>
      </w:r>
      <w:r w:rsidR="00D76EF7" w:rsidRPr="00C400AC">
        <w:rPr>
          <w:rFonts w:ascii="Palatino Linotype" w:eastAsiaTheme="minorHAnsi" w:hAnsi="Palatino Linotype" w:cstheme="minorBidi"/>
          <w:color w:val="000000"/>
          <w:lang w:val="es-MX" w:eastAsia="en-US"/>
        </w:rPr>
        <w:t>.</w:t>
      </w:r>
    </w:p>
    <w:p w14:paraId="245FEA8F" w14:textId="77777777" w:rsidR="00EB0964" w:rsidRPr="00EB0964" w:rsidRDefault="00EB0964" w:rsidP="0029071C">
      <w:pPr>
        <w:spacing w:line="360" w:lineRule="auto"/>
        <w:jc w:val="both"/>
        <w:rPr>
          <w:rFonts w:ascii="Palatino Linotype" w:eastAsiaTheme="minorHAnsi" w:hAnsi="Palatino Linotype" w:cs="Arial"/>
          <w:b/>
          <w:szCs w:val="22"/>
          <w:lang w:val="es-MX" w:eastAsia="en-US"/>
        </w:rPr>
      </w:pPr>
    </w:p>
    <w:p w14:paraId="46294054" w14:textId="667EAA80"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lastRenderedPageBreak/>
        <w:t>SEGUND</w:t>
      </w:r>
      <w:r w:rsidR="0029071C" w:rsidRPr="00C400AC">
        <w:rPr>
          <w:rFonts w:ascii="Palatino Linotype" w:eastAsiaTheme="minorHAnsi" w:hAnsi="Palatino Linotype" w:cs="Arial"/>
          <w:b/>
          <w:sz w:val="28"/>
          <w:lang w:val="es-MX" w:eastAsia="en-US"/>
        </w:rPr>
        <w:t xml:space="preserve">O. De la respuesta del Sujeto Obligado. </w:t>
      </w:r>
    </w:p>
    <w:p w14:paraId="05C385CD" w14:textId="0837CB01" w:rsidR="0029071C" w:rsidRDefault="0029071C" w:rsidP="00EB0964">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De las constancias que obran en el sistema SAIMEX, se advierte que en fecha </w:t>
      </w:r>
      <w:r w:rsidR="00D2050D">
        <w:rPr>
          <w:rFonts w:ascii="Palatino Linotype" w:eastAsiaTheme="minorHAnsi" w:hAnsi="Palatino Linotype" w:cs="Arial"/>
          <w:lang w:val="es-MX" w:eastAsia="en-US"/>
        </w:rPr>
        <w:t>veinte de noviembre</w:t>
      </w:r>
      <w:r w:rsidR="00D76EF7" w:rsidRPr="00C400AC">
        <w:rPr>
          <w:rFonts w:ascii="Palatino Linotype" w:eastAsiaTheme="minorHAnsi" w:hAnsi="Palatino Linotype" w:cs="Arial"/>
          <w:lang w:val="es-MX" w:eastAsia="en-US"/>
        </w:rPr>
        <w:t xml:space="preserve"> de dos mil veinti</w:t>
      </w:r>
      <w:r w:rsidR="00D2050D">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b/>
          <w:lang w:val="es-MX" w:eastAsia="en-US"/>
        </w:rPr>
        <w:t>El Sujeto Obligado</w:t>
      </w:r>
      <w:r w:rsidRPr="00C400AC">
        <w:rPr>
          <w:rFonts w:ascii="Palatino Linotype" w:eastAsiaTheme="minorHAnsi" w:hAnsi="Palatino Linotype" w:cs="Arial"/>
          <w:lang w:val="es-MX" w:eastAsia="en-US"/>
        </w:rPr>
        <w:t xml:space="preserve"> emitió la respuesta en los siguientes términos:</w:t>
      </w:r>
    </w:p>
    <w:p w14:paraId="44831E29" w14:textId="77777777" w:rsidR="00EB0964" w:rsidRPr="00EB0964" w:rsidRDefault="00EB0964" w:rsidP="00EB0964">
      <w:pPr>
        <w:pStyle w:val="Sinespaciado"/>
        <w:rPr>
          <w:rFonts w:eastAsiaTheme="minorHAnsi"/>
          <w:lang w:eastAsia="en-US"/>
        </w:rPr>
      </w:pPr>
    </w:p>
    <w:p w14:paraId="6092306E" w14:textId="77777777" w:rsidR="00D2050D" w:rsidRPr="00D2050D" w:rsidRDefault="0029071C" w:rsidP="00D2050D">
      <w:pPr>
        <w:spacing w:line="276" w:lineRule="auto"/>
        <w:ind w:left="567" w:right="567"/>
        <w:jc w:val="both"/>
        <w:rPr>
          <w:rFonts w:ascii="Palatino Linotype" w:hAnsi="Palatino Linotype"/>
          <w:i/>
          <w:sz w:val="22"/>
          <w:szCs w:val="22"/>
          <w:lang w:val="es-MX" w:eastAsia="es-MX"/>
        </w:rPr>
      </w:pPr>
      <w:r w:rsidRPr="00C400AC">
        <w:rPr>
          <w:rFonts w:ascii="Palatino Linotype" w:hAnsi="Palatino Linotype"/>
          <w:i/>
          <w:sz w:val="22"/>
          <w:szCs w:val="22"/>
          <w:lang w:val="es-MX" w:eastAsia="es-MX"/>
        </w:rPr>
        <w:t>“</w:t>
      </w:r>
      <w:r w:rsidR="00D2050D" w:rsidRPr="00D2050D">
        <w:rPr>
          <w:rFonts w:ascii="Palatino Linotype" w:hAnsi="Palatino Linotype"/>
          <w:i/>
          <w:sz w:val="22"/>
          <w:szCs w:val="22"/>
          <w:lang w:val="es-MX" w:eastAsia="es-MX"/>
        </w:rPr>
        <w:t>SE ANEXA OFICIO SGT/O/163/2024 DE RESPUESTA.</w:t>
      </w:r>
    </w:p>
    <w:p w14:paraId="6358D096" w14:textId="77777777" w:rsidR="00D2050D" w:rsidRPr="00D2050D" w:rsidRDefault="00D2050D" w:rsidP="00D2050D">
      <w:pPr>
        <w:spacing w:line="276" w:lineRule="auto"/>
        <w:ind w:left="567" w:right="567"/>
        <w:jc w:val="both"/>
        <w:rPr>
          <w:rFonts w:ascii="Palatino Linotype" w:hAnsi="Palatino Linotype"/>
          <w:i/>
          <w:sz w:val="22"/>
          <w:szCs w:val="22"/>
          <w:lang w:val="es-MX" w:eastAsia="es-MX"/>
        </w:rPr>
      </w:pPr>
      <w:r w:rsidRPr="00D2050D">
        <w:rPr>
          <w:rFonts w:ascii="Palatino Linotype" w:hAnsi="Palatino Linotype"/>
          <w:i/>
          <w:sz w:val="22"/>
          <w:szCs w:val="22"/>
          <w:lang w:val="es-MX" w:eastAsia="es-MX"/>
        </w:rPr>
        <w:t>ATENTAMENTE</w:t>
      </w:r>
    </w:p>
    <w:p w14:paraId="5E026A9B" w14:textId="61470885" w:rsidR="0029071C" w:rsidRPr="00C400AC" w:rsidRDefault="00D2050D" w:rsidP="00D2050D">
      <w:pPr>
        <w:spacing w:line="276" w:lineRule="auto"/>
        <w:ind w:left="567" w:right="567"/>
        <w:jc w:val="both"/>
        <w:rPr>
          <w:rFonts w:ascii="Palatino Linotype" w:hAnsi="Palatino Linotype"/>
          <w:i/>
          <w:sz w:val="22"/>
          <w:szCs w:val="22"/>
          <w:lang w:val="es-MX" w:eastAsia="es-MX"/>
        </w:rPr>
      </w:pPr>
      <w:r w:rsidRPr="00D2050D">
        <w:rPr>
          <w:rFonts w:ascii="Palatino Linotype" w:hAnsi="Palatino Linotype"/>
          <w:i/>
          <w:sz w:val="22"/>
          <w:szCs w:val="22"/>
          <w:lang w:val="es-MX" w:eastAsia="es-MX"/>
        </w:rPr>
        <w:t>LIC. EN DERECHO ANA LAURA ENTAR VILLANUEVA</w:t>
      </w:r>
      <w:r w:rsidR="00E74701" w:rsidRPr="00C400AC">
        <w:rPr>
          <w:rFonts w:ascii="Palatino Linotype" w:hAnsi="Palatino Linotype"/>
          <w:i/>
          <w:sz w:val="22"/>
          <w:szCs w:val="22"/>
          <w:lang w:val="es-MX" w:eastAsia="es-MX"/>
        </w:rPr>
        <w:t>” (Sic).</w:t>
      </w:r>
    </w:p>
    <w:p w14:paraId="1DC09C12" w14:textId="77777777" w:rsidR="00DC1583" w:rsidRPr="00C400AC" w:rsidRDefault="00DC1583" w:rsidP="00DC1583">
      <w:pPr>
        <w:ind w:right="567"/>
        <w:jc w:val="both"/>
        <w:rPr>
          <w:rFonts w:ascii="Palatino Linotype" w:hAnsi="Palatino Linotype"/>
          <w:i/>
          <w:sz w:val="14"/>
          <w:szCs w:val="22"/>
          <w:lang w:val="es-MX" w:eastAsia="es-MX"/>
        </w:rPr>
      </w:pPr>
    </w:p>
    <w:p w14:paraId="01301744" w14:textId="77777777" w:rsidR="00B250D7" w:rsidRPr="00C400AC" w:rsidRDefault="00B250D7" w:rsidP="00B250D7">
      <w:pPr>
        <w:pStyle w:val="Sinespaciado"/>
        <w:rPr>
          <w:lang w:eastAsia="es-MX"/>
        </w:rPr>
      </w:pPr>
    </w:p>
    <w:p w14:paraId="10A80DFC" w14:textId="27BE4291" w:rsidR="00971202" w:rsidRDefault="00CF1DF5" w:rsidP="00971202">
      <w:pPr>
        <w:spacing w:line="360" w:lineRule="auto"/>
        <w:jc w:val="both"/>
        <w:rPr>
          <w:rFonts w:ascii="Palatino Linotype" w:hAnsi="Palatino Linotype"/>
          <w:i/>
          <w:sz w:val="22"/>
          <w:szCs w:val="22"/>
          <w:lang w:val="es-MX" w:eastAsia="es-MX"/>
        </w:rPr>
      </w:pPr>
      <w:r w:rsidRPr="00C400AC">
        <w:rPr>
          <w:rFonts w:ascii="Palatino Linotype" w:eastAsiaTheme="minorHAnsi" w:hAnsi="Palatino Linotype" w:cs="Arial"/>
          <w:lang w:val="es-MX" w:eastAsia="en-US"/>
        </w:rPr>
        <w:t xml:space="preserve">El </w:t>
      </w:r>
      <w:r w:rsidRPr="00C400AC">
        <w:rPr>
          <w:rFonts w:ascii="Palatino Linotype" w:eastAsiaTheme="minorHAnsi" w:hAnsi="Palatino Linotype" w:cs="Arial"/>
          <w:b/>
          <w:lang w:val="es-MX" w:eastAsia="en-US"/>
        </w:rPr>
        <w:t>Sujeto Obligado</w:t>
      </w:r>
      <w:r w:rsidRPr="00C400AC">
        <w:rPr>
          <w:rFonts w:ascii="Palatino Linotype" w:eastAsiaTheme="minorHAnsi" w:hAnsi="Palatino Linotype" w:cs="Arial"/>
          <w:lang w:val="es-MX" w:eastAsia="en-US"/>
        </w:rPr>
        <w:t xml:space="preserve"> adjuntó</w:t>
      </w:r>
      <w:r w:rsidR="005F1F89" w:rsidRPr="00C400AC">
        <w:rPr>
          <w:rFonts w:ascii="Palatino Linotype" w:eastAsiaTheme="minorHAnsi" w:hAnsi="Palatino Linotype" w:cs="Arial"/>
          <w:lang w:val="es-MX" w:eastAsia="en-US"/>
        </w:rPr>
        <w:t xml:space="preserve"> a su respuesta</w:t>
      </w:r>
      <w:r w:rsidR="00DC1583" w:rsidRPr="00C400AC">
        <w:rPr>
          <w:rFonts w:ascii="Palatino Linotype" w:eastAsiaTheme="minorHAnsi" w:hAnsi="Palatino Linotype" w:cs="Arial"/>
          <w:lang w:val="es-MX" w:eastAsia="en-US"/>
        </w:rPr>
        <w:t xml:space="preserve">, </w:t>
      </w:r>
      <w:r w:rsidR="00971202">
        <w:rPr>
          <w:rFonts w:ascii="Palatino Linotype" w:eastAsiaTheme="minorHAnsi" w:hAnsi="Palatino Linotype" w:cs="Arial"/>
          <w:lang w:val="es-MX" w:eastAsia="en-US"/>
        </w:rPr>
        <w:t>el</w:t>
      </w:r>
      <w:r w:rsidR="001D2DE0" w:rsidRPr="00C400AC">
        <w:rPr>
          <w:rFonts w:ascii="Palatino Linotype" w:eastAsiaTheme="minorHAnsi" w:hAnsi="Palatino Linotype" w:cs="Arial"/>
          <w:lang w:val="es-MX" w:eastAsia="en-US"/>
        </w:rPr>
        <w:t xml:space="preserve"> archivo electrónico denominado</w:t>
      </w:r>
      <w:r w:rsidR="00DC1583" w:rsidRPr="00C400AC">
        <w:rPr>
          <w:rFonts w:ascii="Palatino Linotype" w:eastAsiaTheme="minorHAnsi" w:hAnsi="Palatino Linotype" w:cs="Arial"/>
          <w:lang w:val="es-MX" w:eastAsia="en-US"/>
        </w:rPr>
        <w:t xml:space="preserve"> </w:t>
      </w:r>
      <w:r w:rsidR="00DC1583" w:rsidRPr="00C400AC">
        <w:rPr>
          <w:rFonts w:ascii="Palatino Linotype" w:eastAsiaTheme="minorHAnsi" w:hAnsi="Palatino Linotype" w:cs="Arial"/>
          <w:i/>
          <w:lang w:val="es-MX" w:eastAsia="en-US"/>
        </w:rPr>
        <w:t>“</w:t>
      </w:r>
      <w:r w:rsidR="00D2050D" w:rsidRPr="00D2050D">
        <w:rPr>
          <w:rFonts w:ascii="Palatino Linotype" w:eastAsiaTheme="minorHAnsi" w:hAnsi="Palatino Linotype" w:cs="Arial"/>
          <w:i/>
          <w:lang w:val="es-MX" w:eastAsia="en-US"/>
        </w:rPr>
        <w:t xml:space="preserve">SGT O 163 2024 </w:t>
      </w:r>
      <w:proofErr w:type="spellStart"/>
      <w:r w:rsidR="00D2050D" w:rsidRPr="00D2050D">
        <w:rPr>
          <w:rFonts w:ascii="Palatino Linotype" w:eastAsiaTheme="minorHAnsi" w:hAnsi="Palatino Linotype" w:cs="Arial"/>
          <w:i/>
          <w:lang w:val="es-MX" w:eastAsia="en-US"/>
        </w:rPr>
        <w:t>resp</w:t>
      </w:r>
      <w:proofErr w:type="spellEnd"/>
      <w:r w:rsidR="00D2050D" w:rsidRPr="00D2050D">
        <w:rPr>
          <w:rFonts w:ascii="Palatino Linotype" w:eastAsiaTheme="minorHAnsi" w:hAnsi="Palatino Linotype" w:cs="Arial"/>
          <w:i/>
          <w:lang w:val="es-MX" w:eastAsia="en-US"/>
        </w:rPr>
        <w:t xml:space="preserve"> a sol 143.pdf</w:t>
      </w:r>
      <w:r w:rsidR="00DC1583" w:rsidRPr="00C400AC">
        <w:rPr>
          <w:rFonts w:ascii="Palatino Linotype" w:eastAsiaTheme="minorHAnsi" w:hAnsi="Palatino Linotype" w:cs="Arial"/>
          <w:i/>
          <w:lang w:val="es-MX" w:eastAsia="en-US"/>
        </w:rPr>
        <w:t>”;</w:t>
      </w:r>
      <w:r w:rsidR="00DC1583" w:rsidRPr="00C400AC">
        <w:rPr>
          <w:rFonts w:ascii="Palatino Linotype" w:eastAsiaTheme="minorHAnsi" w:hAnsi="Palatino Linotype" w:cs="Arial"/>
          <w:lang w:val="es-MX" w:eastAsia="en-US"/>
        </w:rPr>
        <w:t xml:space="preserve"> cuyo contenido no se inserta por ser del conocim</w:t>
      </w:r>
      <w:r w:rsidR="001D2DE0" w:rsidRPr="00C400AC">
        <w:rPr>
          <w:rFonts w:ascii="Palatino Linotype" w:eastAsiaTheme="minorHAnsi" w:hAnsi="Palatino Linotype" w:cs="Arial"/>
          <w:lang w:val="es-MX" w:eastAsia="en-US"/>
        </w:rPr>
        <w:t>iento de las partes, sin embargo, será</w:t>
      </w:r>
      <w:r w:rsidR="00DC1583" w:rsidRPr="00C400AC">
        <w:rPr>
          <w:rFonts w:ascii="Palatino Linotype" w:eastAsiaTheme="minorHAnsi" w:hAnsi="Palatino Linotype" w:cs="Arial"/>
          <w:lang w:val="es-MX" w:eastAsia="en-US"/>
        </w:rPr>
        <w:t xml:space="preserve"> motivo de estudio en el Considerado respectivo. </w:t>
      </w:r>
    </w:p>
    <w:p w14:paraId="3FA94251" w14:textId="77777777" w:rsidR="00D2050D" w:rsidRPr="00D2050D" w:rsidRDefault="00D2050D" w:rsidP="00971202">
      <w:pPr>
        <w:spacing w:line="360" w:lineRule="auto"/>
        <w:jc w:val="both"/>
        <w:rPr>
          <w:rFonts w:ascii="Palatino Linotype" w:hAnsi="Palatino Linotype"/>
          <w:i/>
          <w:sz w:val="22"/>
          <w:szCs w:val="22"/>
          <w:lang w:val="es-MX" w:eastAsia="es-MX"/>
        </w:rPr>
      </w:pPr>
    </w:p>
    <w:p w14:paraId="5A5AAF5F" w14:textId="77777777"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TERCER</w:t>
      </w:r>
      <w:r w:rsidR="0029071C" w:rsidRPr="00C400AC">
        <w:rPr>
          <w:rFonts w:ascii="Palatino Linotype" w:eastAsiaTheme="minorHAnsi" w:hAnsi="Palatino Linotype" w:cs="Arial"/>
          <w:b/>
          <w:sz w:val="28"/>
          <w:lang w:val="es-MX" w:eastAsia="en-US"/>
        </w:rPr>
        <w:t>O. Del recurso de revisión.</w:t>
      </w:r>
    </w:p>
    <w:p w14:paraId="6406BFFA" w14:textId="3243E4B8" w:rsidR="0029071C" w:rsidRPr="00C400AC" w:rsidRDefault="0029071C" w:rsidP="00B250D7">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Inconforme con la respuesta por parte del </w:t>
      </w:r>
      <w:r w:rsidRPr="00C400AC">
        <w:rPr>
          <w:rFonts w:ascii="Palatino Linotype" w:eastAsiaTheme="minorHAnsi" w:hAnsi="Palatino Linotype" w:cs="Arial"/>
          <w:b/>
          <w:lang w:val="es-MX" w:eastAsia="en-US"/>
        </w:rPr>
        <w:t>Sujeto Obligado</w:t>
      </w:r>
      <w:r w:rsidRPr="00C400AC">
        <w:rPr>
          <w:rFonts w:ascii="Palatino Linotype" w:eastAsiaTheme="minorHAnsi" w:hAnsi="Palatino Linotype" w:cs="Arial"/>
          <w:lang w:val="es-MX" w:eastAsia="en-US"/>
        </w:rPr>
        <w:t xml:space="preserve">, </w:t>
      </w:r>
      <w:r w:rsidR="008D1BDC" w:rsidRPr="00C400AC">
        <w:rPr>
          <w:rFonts w:ascii="Palatino Linotype" w:eastAsiaTheme="minorHAnsi" w:hAnsi="Palatino Linotype" w:cs="Arial"/>
          <w:lang w:val="es-MX" w:eastAsia="en-US"/>
        </w:rPr>
        <w:t>el</w:t>
      </w:r>
      <w:r w:rsidRPr="00C400AC">
        <w:rPr>
          <w:rFonts w:ascii="Palatino Linotype" w:eastAsiaTheme="minorHAnsi" w:hAnsi="Palatino Linotype" w:cs="Arial"/>
          <w:lang w:val="es-MX" w:eastAsia="en-US"/>
        </w:rPr>
        <w:t xml:space="preserve"> ahora </w:t>
      </w:r>
      <w:r w:rsidRPr="00C400AC">
        <w:rPr>
          <w:rFonts w:ascii="Palatino Linotype" w:eastAsiaTheme="minorHAnsi" w:hAnsi="Palatino Linotype" w:cs="Arial"/>
          <w:b/>
          <w:lang w:val="es-MX" w:eastAsia="en-US"/>
        </w:rPr>
        <w:t>Recurrente</w:t>
      </w:r>
      <w:r w:rsidRPr="00C400AC">
        <w:rPr>
          <w:rFonts w:ascii="Palatino Linotype" w:eastAsiaTheme="minorHAnsi" w:hAnsi="Palatino Linotype" w:cs="Arial"/>
          <w:lang w:val="es-MX" w:eastAsia="en-US"/>
        </w:rPr>
        <w:t xml:space="preserve"> interpuso el presente recurso de revisión en fecha </w:t>
      </w:r>
      <w:r w:rsidR="00D2050D">
        <w:rPr>
          <w:rFonts w:ascii="Palatino Linotype" w:eastAsiaTheme="minorHAnsi" w:hAnsi="Palatino Linotype" w:cs="Arial"/>
          <w:lang w:val="es-MX" w:eastAsia="en-US"/>
        </w:rPr>
        <w:t>veintiuno de noviembre</w:t>
      </w:r>
      <w:r w:rsidR="003C160D" w:rsidRPr="00C400AC">
        <w:rPr>
          <w:rFonts w:ascii="Palatino Linotype" w:eastAsiaTheme="minorHAnsi" w:hAnsi="Palatino Linotype" w:cs="Arial"/>
          <w:lang w:val="es-MX" w:eastAsia="en-US"/>
        </w:rPr>
        <w:t xml:space="preserve"> de dos mil veinti</w:t>
      </w:r>
      <w:r w:rsidR="00D2050D">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el cual fue registrado</w:t>
      </w:r>
      <w:r w:rsidRPr="00C400AC">
        <w:rPr>
          <w:rFonts w:ascii="Palatino Linotype" w:eastAsiaTheme="minorHAnsi" w:hAnsi="Palatino Linotype" w:cs="Arial"/>
          <w:b/>
          <w:lang w:val="es-MX" w:eastAsia="en-US"/>
        </w:rPr>
        <w:t xml:space="preserve"> </w:t>
      </w:r>
      <w:r w:rsidRPr="00C400AC">
        <w:rPr>
          <w:rFonts w:ascii="Palatino Linotype" w:eastAsiaTheme="minorHAnsi" w:hAnsi="Palatino Linotype" w:cs="Arial"/>
          <w:lang w:val="es-MX" w:eastAsia="en-US"/>
        </w:rPr>
        <w:t xml:space="preserve">en el sistema electrónico con el expediente número </w:t>
      </w:r>
      <w:r w:rsidR="008D1BDC" w:rsidRPr="00C400AC">
        <w:rPr>
          <w:rFonts w:ascii="Palatino Linotype" w:eastAsiaTheme="minorHAnsi" w:hAnsi="Palatino Linotype" w:cs="Arial"/>
          <w:b/>
          <w:bCs/>
          <w:lang w:val="es-MX" w:eastAsia="es-MX"/>
        </w:rPr>
        <w:t>0</w:t>
      </w:r>
      <w:r w:rsidR="00D2050D">
        <w:rPr>
          <w:rFonts w:ascii="Palatino Linotype" w:eastAsiaTheme="minorHAnsi" w:hAnsi="Palatino Linotype" w:cs="Arial"/>
          <w:b/>
          <w:bCs/>
          <w:lang w:val="es-MX" w:eastAsia="es-MX"/>
        </w:rPr>
        <w:t>7290</w:t>
      </w:r>
      <w:r w:rsidR="00B250D7" w:rsidRPr="00C400AC">
        <w:rPr>
          <w:rFonts w:ascii="Palatino Linotype" w:eastAsiaTheme="minorHAnsi" w:hAnsi="Palatino Linotype" w:cs="Arial"/>
          <w:b/>
          <w:bCs/>
          <w:lang w:val="es-MX" w:eastAsia="es-MX"/>
        </w:rPr>
        <w:t>/INFOEM/IP/RR/202</w:t>
      </w:r>
      <w:r w:rsidR="00D2050D">
        <w:rPr>
          <w:rFonts w:ascii="Palatino Linotype" w:eastAsiaTheme="minorHAnsi" w:hAnsi="Palatino Linotype" w:cs="Arial"/>
          <w:b/>
          <w:bCs/>
          <w:lang w:val="es-MX" w:eastAsia="es-MX"/>
        </w:rPr>
        <w:t>4</w:t>
      </w:r>
      <w:r w:rsidRPr="00C400AC">
        <w:rPr>
          <w:rFonts w:ascii="Palatino Linotype" w:eastAsiaTheme="minorHAnsi" w:hAnsi="Palatino Linotype" w:cs="Arial"/>
          <w:lang w:val="es-MX" w:eastAsia="en-US"/>
        </w:rPr>
        <w:t>, en el cual aduce, las siguientes manifestaciones:</w:t>
      </w:r>
    </w:p>
    <w:p w14:paraId="71FFCC4F" w14:textId="77777777" w:rsidR="002D6E4B" w:rsidRPr="00C400AC" w:rsidRDefault="002D6E4B" w:rsidP="00B250D7">
      <w:pPr>
        <w:pStyle w:val="Sinespaciado"/>
        <w:rPr>
          <w:sz w:val="14"/>
        </w:rPr>
      </w:pPr>
    </w:p>
    <w:p w14:paraId="7D4DE184" w14:textId="77777777" w:rsidR="0029071C" w:rsidRPr="00C400AC" w:rsidRDefault="0029071C" w:rsidP="00B250D7">
      <w:pPr>
        <w:rPr>
          <w:lang w:val="es-MX"/>
        </w:rPr>
      </w:pPr>
    </w:p>
    <w:p w14:paraId="2FD177AB" w14:textId="7CC02D82" w:rsidR="00DC1583" w:rsidRPr="00C400AC" w:rsidRDefault="0029071C" w:rsidP="00701A71">
      <w:pPr>
        <w:numPr>
          <w:ilvl w:val="0"/>
          <w:numId w:val="1"/>
        </w:numPr>
        <w:spacing w:line="259" w:lineRule="auto"/>
        <w:jc w:val="both"/>
        <w:rPr>
          <w:rFonts w:ascii="Palatino Linotype" w:hAnsi="Palatino Linotype" w:cs="Arial"/>
          <w:b/>
          <w:sz w:val="26"/>
          <w:szCs w:val="26"/>
        </w:rPr>
      </w:pPr>
      <w:r w:rsidRPr="00C400AC">
        <w:rPr>
          <w:rFonts w:ascii="Palatino Linotype" w:hAnsi="Palatino Linotype" w:cs="Arial"/>
          <w:b/>
          <w:sz w:val="26"/>
          <w:szCs w:val="26"/>
        </w:rPr>
        <w:t>Acto Impugnado:</w:t>
      </w:r>
      <w:r w:rsidR="003C160D" w:rsidRPr="00C400AC">
        <w:rPr>
          <w:rFonts w:ascii="Palatino Linotype" w:hAnsi="Palatino Linotype" w:cs="Arial"/>
          <w:b/>
          <w:sz w:val="26"/>
          <w:szCs w:val="26"/>
        </w:rPr>
        <w:t xml:space="preserve"> </w:t>
      </w:r>
      <w:r w:rsidRPr="00C400AC">
        <w:rPr>
          <w:rFonts w:ascii="Palatino Linotype" w:eastAsiaTheme="minorHAnsi" w:hAnsi="Palatino Linotype" w:cstheme="minorBidi"/>
          <w:i/>
          <w:color w:val="000000"/>
          <w:sz w:val="22"/>
          <w:szCs w:val="22"/>
          <w:lang w:val="es-MX" w:eastAsia="en-US"/>
        </w:rPr>
        <w:t>“</w:t>
      </w:r>
      <w:r w:rsidR="00D2050D" w:rsidRPr="00D2050D">
        <w:rPr>
          <w:rFonts w:ascii="Palatino Linotype" w:eastAsiaTheme="minorHAnsi" w:hAnsi="Palatino Linotype" w:cstheme="minorBidi"/>
          <w:i/>
          <w:color w:val="000000"/>
          <w:sz w:val="22"/>
          <w:szCs w:val="22"/>
          <w:lang w:val="es-MX" w:eastAsia="en-US"/>
        </w:rPr>
        <w:t>LA NEGATIVA DE LA IMPETRANTE DE ENTREGAR LAS VERSIONES PUBLICAS DE LAS DETERMINACIONES DE LA AUTORIDAD INVESTIGADORA DE LA CONTRALORIA, SE NIEGA A ENTREGAR INFORMACION QUE DEBE SER PUBLICA</w:t>
      </w:r>
      <w:r w:rsidRPr="00C400AC">
        <w:rPr>
          <w:rFonts w:ascii="Palatino Linotype" w:eastAsiaTheme="minorHAnsi" w:hAnsi="Palatino Linotype" w:cstheme="minorBidi"/>
          <w:i/>
          <w:color w:val="000000"/>
          <w:sz w:val="22"/>
          <w:szCs w:val="22"/>
          <w:lang w:val="es-MX" w:eastAsia="en-US"/>
        </w:rPr>
        <w:t>” (Sic).</w:t>
      </w:r>
    </w:p>
    <w:p w14:paraId="11E8B88F" w14:textId="77777777" w:rsidR="002D6E4B" w:rsidRPr="00C400AC" w:rsidRDefault="002D6E4B" w:rsidP="00F712EE">
      <w:pPr>
        <w:spacing w:line="276" w:lineRule="auto"/>
        <w:ind w:left="284"/>
        <w:jc w:val="both"/>
        <w:rPr>
          <w:rFonts w:ascii="Palatino Linotype" w:hAnsi="Palatino Linotype"/>
          <w:i/>
          <w:sz w:val="22"/>
          <w:szCs w:val="22"/>
          <w:lang w:val="es-MX" w:eastAsia="es-MX"/>
        </w:rPr>
      </w:pPr>
    </w:p>
    <w:p w14:paraId="469F0892" w14:textId="66B63867" w:rsidR="008313E0" w:rsidRPr="00D2050D" w:rsidRDefault="0029071C" w:rsidP="00D2050D">
      <w:pPr>
        <w:pStyle w:val="Prrafodelista"/>
        <w:numPr>
          <w:ilvl w:val="0"/>
          <w:numId w:val="1"/>
        </w:numPr>
        <w:spacing w:line="276" w:lineRule="auto"/>
        <w:jc w:val="both"/>
        <w:rPr>
          <w:rFonts w:ascii="Palatino Linotype" w:hAnsi="Palatino Linotype"/>
          <w:i/>
          <w:sz w:val="26"/>
          <w:szCs w:val="26"/>
          <w:lang w:val="es-MX" w:eastAsia="es-MX"/>
        </w:rPr>
      </w:pPr>
      <w:r w:rsidRPr="00C400AC">
        <w:rPr>
          <w:rFonts w:ascii="Palatino Linotype" w:hAnsi="Palatino Linotype" w:cs="Arial"/>
          <w:b/>
          <w:sz w:val="26"/>
          <w:szCs w:val="26"/>
        </w:rPr>
        <w:t>Razones o Motivos de Inconformidad</w:t>
      </w:r>
      <w:r w:rsidRPr="00C400AC">
        <w:rPr>
          <w:rFonts w:ascii="Palatino Linotype" w:hAnsi="Palatino Linotype" w:cs="Arial"/>
          <w:sz w:val="26"/>
          <w:szCs w:val="26"/>
        </w:rPr>
        <w:t xml:space="preserve">: </w:t>
      </w:r>
      <w:r w:rsidRPr="00C400AC">
        <w:rPr>
          <w:rFonts w:ascii="Palatino Linotype" w:eastAsiaTheme="minorHAnsi" w:hAnsi="Palatino Linotype" w:cs="Arial"/>
          <w:i/>
          <w:sz w:val="22"/>
          <w:szCs w:val="22"/>
          <w:lang w:val="es-MX" w:eastAsia="en-US"/>
        </w:rPr>
        <w:t>“</w:t>
      </w:r>
      <w:r w:rsidR="00D2050D" w:rsidRPr="00D2050D">
        <w:rPr>
          <w:rFonts w:ascii="Palatino Linotype" w:eastAsiaTheme="minorHAnsi" w:hAnsi="Palatino Linotype" w:cstheme="minorBidi"/>
          <w:i/>
          <w:color w:val="000000"/>
          <w:sz w:val="22"/>
          <w:szCs w:val="22"/>
          <w:lang w:val="es-MX" w:eastAsia="en-US"/>
        </w:rPr>
        <w:t>LAS VERSIONES PUBLICAS PROTEGEN LOS DATOS PERSONALES, NO APLICA LA NEGATIVA A ENTREGAR INFORMACION DE LOS TRABAJOS QUE REALIZA.</w:t>
      </w:r>
      <w:r w:rsidRPr="00C400AC">
        <w:rPr>
          <w:rFonts w:ascii="Palatino Linotype" w:eastAsiaTheme="minorHAnsi" w:hAnsi="Palatino Linotype" w:cstheme="minorBidi"/>
          <w:i/>
          <w:color w:val="000000"/>
          <w:sz w:val="22"/>
          <w:szCs w:val="22"/>
          <w:lang w:val="es-MX" w:eastAsia="en-US"/>
        </w:rPr>
        <w:t>” (Sic)</w:t>
      </w:r>
    </w:p>
    <w:p w14:paraId="4A29FE23" w14:textId="77777777"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lastRenderedPageBreak/>
        <w:t>CUAR</w:t>
      </w:r>
      <w:r w:rsidR="00B250D7" w:rsidRPr="00C400AC">
        <w:rPr>
          <w:rFonts w:ascii="Palatino Linotype" w:eastAsiaTheme="minorHAnsi" w:hAnsi="Palatino Linotype" w:cs="Arial"/>
          <w:b/>
          <w:sz w:val="28"/>
          <w:lang w:val="es-MX" w:eastAsia="en-US"/>
        </w:rPr>
        <w:t>T</w:t>
      </w:r>
      <w:r w:rsidR="0029071C" w:rsidRPr="00C400AC">
        <w:rPr>
          <w:rFonts w:ascii="Palatino Linotype" w:eastAsiaTheme="minorHAnsi" w:hAnsi="Palatino Linotype" w:cs="Arial"/>
          <w:b/>
          <w:sz w:val="28"/>
          <w:lang w:val="es-MX" w:eastAsia="en-US"/>
        </w:rPr>
        <w:t>O. Del turno del recurso de revisión.</w:t>
      </w:r>
    </w:p>
    <w:p w14:paraId="4807673F" w14:textId="4FA9110B" w:rsidR="00B250D7" w:rsidRPr="00C400AC" w:rsidRDefault="0029071C" w:rsidP="00DC1583">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Medio de impugnación </w:t>
      </w:r>
      <w:r w:rsidR="00E74701" w:rsidRPr="00C400AC">
        <w:rPr>
          <w:rFonts w:ascii="Palatino Linotype" w:eastAsiaTheme="minorHAnsi" w:hAnsi="Palatino Linotype" w:cs="Arial"/>
          <w:lang w:val="es-MX" w:eastAsia="en-US"/>
        </w:rPr>
        <w:t>que le fue turnado al</w:t>
      </w:r>
      <w:r w:rsidRPr="00C400AC">
        <w:rPr>
          <w:rFonts w:ascii="Palatino Linotype" w:eastAsiaTheme="minorHAnsi" w:hAnsi="Palatino Linotype" w:cs="Arial"/>
          <w:lang w:val="es-MX" w:eastAsia="en-US"/>
        </w:rPr>
        <w:t xml:space="preserve"> </w:t>
      </w:r>
      <w:r w:rsidR="00E74701" w:rsidRPr="00C400AC">
        <w:rPr>
          <w:rFonts w:ascii="Palatino Linotype" w:eastAsiaTheme="minorHAnsi" w:hAnsi="Palatino Linotype" w:cs="Arial"/>
          <w:lang w:val="es-MX" w:eastAsia="en-US"/>
        </w:rPr>
        <w:t>Comisionado Presidente</w:t>
      </w:r>
      <w:r w:rsidRPr="00C400AC">
        <w:rPr>
          <w:rFonts w:ascii="Palatino Linotype" w:eastAsiaTheme="minorHAnsi" w:hAnsi="Palatino Linotype" w:cs="Arial"/>
          <w:lang w:val="es-MX" w:eastAsia="en-US"/>
        </w:rPr>
        <w:t xml:space="preserve"> </w:t>
      </w:r>
      <w:r w:rsidR="00E74701" w:rsidRPr="00C400AC">
        <w:rPr>
          <w:rFonts w:ascii="Palatino Linotype" w:eastAsiaTheme="minorHAnsi" w:hAnsi="Palatino Linotype" w:cs="Arial"/>
          <w:b/>
          <w:lang w:val="es-MX" w:eastAsia="en-US"/>
        </w:rPr>
        <w:t>José Martínez Vilchis</w:t>
      </w:r>
      <w:r w:rsidRPr="00C400A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2050D">
        <w:rPr>
          <w:rFonts w:ascii="Palatino Linotype" w:eastAsiaTheme="minorHAnsi" w:hAnsi="Palatino Linotype" w:cs="Arial"/>
          <w:lang w:val="es-MX" w:eastAsia="en-US"/>
        </w:rPr>
        <w:t>veintisiete de noviembre</w:t>
      </w:r>
      <w:r w:rsidR="00BA27FC" w:rsidRPr="00C400AC">
        <w:rPr>
          <w:rFonts w:ascii="Palatino Linotype" w:eastAsiaTheme="minorHAnsi" w:hAnsi="Palatino Linotype" w:cs="Arial"/>
          <w:lang w:val="es-MX" w:eastAsia="en-US"/>
        </w:rPr>
        <w:t xml:space="preserve"> de</w:t>
      </w:r>
      <w:r w:rsidRPr="00C400AC">
        <w:rPr>
          <w:rFonts w:ascii="Palatino Linotype" w:eastAsiaTheme="minorHAnsi" w:hAnsi="Palatino Linotype" w:cs="Arial"/>
          <w:lang w:val="es-MX" w:eastAsia="en-US"/>
        </w:rPr>
        <w:t xml:space="preserve"> </w:t>
      </w:r>
      <w:r w:rsidR="008313E0" w:rsidRPr="00C400AC">
        <w:rPr>
          <w:rFonts w:ascii="Palatino Linotype" w:eastAsiaTheme="minorHAnsi" w:hAnsi="Palatino Linotype" w:cs="Arial"/>
          <w:lang w:val="es-MX" w:eastAsia="en-US"/>
        </w:rPr>
        <w:t>dos mil ve</w:t>
      </w:r>
      <w:r w:rsidR="008D1BDC" w:rsidRPr="00C400AC">
        <w:rPr>
          <w:rFonts w:ascii="Palatino Linotype" w:eastAsiaTheme="minorHAnsi" w:hAnsi="Palatino Linotype" w:cs="Arial"/>
          <w:lang w:val="es-MX" w:eastAsia="en-US"/>
        </w:rPr>
        <w:t>inti</w:t>
      </w:r>
      <w:r w:rsidR="00D2050D">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BDC3662" w14:textId="77777777" w:rsidR="0012298D" w:rsidRPr="00C400AC" w:rsidRDefault="0012298D" w:rsidP="0020156D">
      <w:pPr>
        <w:spacing w:line="360" w:lineRule="auto"/>
        <w:jc w:val="both"/>
        <w:rPr>
          <w:rFonts w:ascii="Palatino Linotype" w:hAnsi="Palatino Linotype"/>
          <w:bCs/>
          <w:lang w:val="es-MX"/>
        </w:rPr>
      </w:pPr>
    </w:p>
    <w:p w14:paraId="7EDBF9B1" w14:textId="42C670D1" w:rsidR="00BB5BCB" w:rsidRPr="00C400AC" w:rsidRDefault="0012298D" w:rsidP="00BB5BCB">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QUINT</w:t>
      </w:r>
      <w:r w:rsidR="00BB5BCB" w:rsidRPr="00C400AC">
        <w:rPr>
          <w:rFonts w:ascii="Palatino Linotype" w:eastAsiaTheme="minorHAnsi" w:hAnsi="Palatino Linotype" w:cs="Arial"/>
          <w:b/>
          <w:sz w:val="28"/>
          <w:lang w:val="es-MX" w:eastAsia="en-US"/>
        </w:rPr>
        <w:t>O. De la etapa de manifestaciones y/o alegatos.</w:t>
      </w:r>
    </w:p>
    <w:p w14:paraId="6A063569" w14:textId="7A96C6E7" w:rsidR="00701A71" w:rsidRDefault="00BB5BCB" w:rsidP="00BB5BCB">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Una vez transcurrido el término legal referido se destaca que,</w:t>
      </w:r>
      <w:r w:rsidR="008313E0"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b/>
          <w:lang w:val="es-MX" w:eastAsia="en-US"/>
        </w:rPr>
        <w:t>El Sujeto Obligado</w:t>
      </w:r>
      <w:r w:rsidRPr="00C400AC">
        <w:rPr>
          <w:rFonts w:ascii="Palatino Linotype" w:eastAsiaTheme="minorHAnsi" w:hAnsi="Palatino Linotype" w:cs="Arial"/>
          <w:lang w:val="es-MX" w:eastAsia="en-US"/>
        </w:rPr>
        <w:t xml:space="preserve"> </w:t>
      </w:r>
      <w:r w:rsidR="00D2050D">
        <w:rPr>
          <w:rFonts w:ascii="Palatino Linotype" w:eastAsiaTheme="minorHAnsi" w:hAnsi="Palatino Linotype" w:cs="Arial"/>
          <w:lang w:val="es-MX" w:eastAsia="en-US"/>
        </w:rPr>
        <w:t xml:space="preserve">fue omiso en </w:t>
      </w:r>
      <w:r w:rsidR="008313E0" w:rsidRPr="00C400AC">
        <w:rPr>
          <w:rFonts w:ascii="Palatino Linotype" w:eastAsiaTheme="minorHAnsi" w:hAnsi="Palatino Linotype" w:cs="Arial"/>
          <w:lang w:val="es-MX" w:eastAsia="en-US"/>
        </w:rPr>
        <w:t>remiti</w:t>
      </w:r>
      <w:r w:rsidR="00D2050D">
        <w:rPr>
          <w:rFonts w:ascii="Palatino Linotype" w:eastAsiaTheme="minorHAnsi" w:hAnsi="Palatino Linotype" w:cs="Arial"/>
          <w:lang w:val="es-MX" w:eastAsia="en-US"/>
        </w:rPr>
        <w:t>r</w:t>
      </w:r>
      <w:r w:rsidR="008313E0"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su informe justificado</w:t>
      </w:r>
      <w:r w:rsidR="00FC576D"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 xml:space="preserve">asimismo, se aprecia que la parte </w:t>
      </w:r>
      <w:r w:rsidRPr="00C400AC">
        <w:rPr>
          <w:rFonts w:ascii="Palatino Linotype" w:eastAsiaTheme="minorHAnsi" w:hAnsi="Palatino Linotype" w:cs="Arial"/>
          <w:b/>
          <w:lang w:val="es-MX" w:eastAsia="en-US"/>
        </w:rPr>
        <w:t>Recurrente</w:t>
      </w:r>
      <w:r w:rsidR="00A572B6" w:rsidRPr="00C400AC">
        <w:rPr>
          <w:rFonts w:ascii="Palatino Linotype" w:eastAsiaTheme="minorHAnsi" w:hAnsi="Palatino Linotype" w:cs="Arial"/>
          <w:lang w:val="es-MX" w:eastAsia="en-US"/>
        </w:rPr>
        <w:t xml:space="preserve">, </w:t>
      </w:r>
      <w:r w:rsidR="00D2050D">
        <w:rPr>
          <w:rFonts w:ascii="Palatino Linotype" w:eastAsiaTheme="minorHAnsi" w:hAnsi="Palatino Linotype" w:cs="Arial"/>
          <w:lang w:val="es-MX" w:eastAsia="en-US"/>
        </w:rPr>
        <w:t>tampoco</w:t>
      </w:r>
      <w:r w:rsidR="00701A71" w:rsidRPr="00C400AC">
        <w:rPr>
          <w:rFonts w:ascii="Palatino Linotype" w:eastAsiaTheme="minorHAnsi" w:hAnsi="Palatino Linotype" w:cs="Arial"/>
          <w:lang w:val="es-MX" w:eastAsia="en-US"/>
        </w:rPr>
        <w:t xml:space="preserve"> realizó</w:t>
      </w:r>
      <w:r w:rsidR="008D1BDC" w:rsidRPr="00C400AC">
        <w:rPr>
          <w:rFonts w:ascii="Palatino Linotype" w:eastAsiaTheme="minorHAnsi" w:hAnsi="Palatino Linotype" w:cs="Arial"/>
          <w:lang w:val="es-MX" w:eastAsia="en-US"/>
        </w:rPr>
        <w:t xml:space="preserve"> alegatos</w:t>
      </w:r>
      <w:r w:rsidR="00701A71" w:rsidRPr="00C400AC">
        <w:rPr>
          <w:rFonts w:ascii="Palatino Linotype" w:eastAsiaTheme="minorHAnsi" w:hAnsi="Palatino Linotype" w:cs="Arial"/>
          <w:lang w:val="es-MX" w:eastAsia="en-US"/>
        </w:rPr>
        <w:t>, ni remitió</w:t>
      </w:r>
      <w:r w:rsidR="00D2050D">
        <w:rPr>
          <w:rFonts w:ascii="Palatino Linotype" w:eastAsiaTheme="minorHAnsi" w:hAnsi="Palatino Linotype" w:cs="Arial"/>
          <w:lang w:val="es-MX" w:eastAsia="en-US"/>
        </w:rPr>
        <w:t xml:space="preserve"> </w:t>
      </w:r>
      <w:r w:rsidR="00701A71" w:rsidRPr="00C400AC">
        <w:rPr>
          <w:rFonts w:ascii="Palatino Linotype" w:eastAsiaTheme="minorHAnsi" w:hAnsi="Palatino Linotype" w:cs="Arial"/>
          <w:lang w:val="es-MX" w:eastAsia="en-US"/>
        </w:rPr>
        <w:t>pruebas o manifestaciones,</w:t>
      </w:r>
      <w:r w:rsidR="008D1BDC"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lo anterior de conformidad con la siguiente imagen:</w:t>
      </w:r>
    </w:p>
    <w:p w14:paraId="360BD632" w14:textId="420CF1FD" w:rsidR="00FC576D" w:rsidRPr="00C400AC" w:rsidRDefault="00620E59" w:rsidP="00620E59">
      <w:pPr>
        <w:spacing w:line="360" w:lineRule="auto"/>
        <w:jc w:val="both"/>
        <w:rPr>
          <w:rFonts w:ascii="Palatino Linotype" w:eastAsiaTheme="minorHAnsi" w:hAnsi="Palatino Linotype" w:cs="Arial"/>
          <w:lang w:val="es-MX" w:eastAsia="en-US"/>
        </w:rPr>
      </w:pPr>
      <w:r w:rsidRPr="00620E59">
        <w:rPr>
          <w:rFonts w:ascii="Palatino Linotype" w:eastAsiaTheme="minorHAnsi" w:hAnsi="Palatino Linotype" w:cs="Arial"/>
          <w:noProof/>
          <w:lang w:val="es-MX" w:eastAsia="es-MX"/>
        </w:rPr>
        <w:drawing>
          <wp:inline distT="0" distB="0" distL="0" distR="0" wp14:anchorId="2BC0337F" wp14:editId="306CCA38">
            <wp:extent cx="5791835" cy="1382395"/>
            <wp:effectExtent l="152400" t="152400" r="361315" b="370205"/>
            <wp:docPr id="1693262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62990" name=""/>
                    <pic:cNvPicPr/>
                  </pic:nvPicPr>
                  <pic:blipFill>
                    <a:blip r:embed="rId8"/>
                    <a:stretch>
                      <a:fillRect/>
                    </a:stretch>
                  </pic:blipFill>
                  <pic:spPr>
                    <a:xfrm>
                      <a:off x="0" y="0"/>
                      <a:ext cx="5791835" cy="1382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251B18" w14:textId="6E9FEE62" w:rsidR="00BB5BCB" w:rsidRPr="00C400AC" w:rsidRDefault="0012298D" w:rsidP="00BB5BCB">
      <w:pPr>
        <w:tabs>
          <w:tab w:val="left" w:pos="3206"/>
        </w:tabs>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SEXT</w:t>
      </w:r>
      <w:r w:rsidR="00BB5BCB" w:rsidRPr="00C400AC">
        <w:rPr>
          <w:rFonts w:ascii="Palatino Linotype" w:eastAsiaTheme="minorHAnsi" w:hAnsi="Palatino Linotype" w:cs="Arial"/>
          <w:b/>
          <w:sz w:val="28"/>
          <w:lang w:val="es-MX" w:eastAsia="en-US"/>
        </w:rPr>
        <w:t>O. Del cierre de instrucción.</w:t>
      </w:r>
      <w:r w:rsidR="00BB5BCB" w:rsidRPr="00C400AC">
        <w:rPr>
          <w:rFonts w:ascii="Palatino Linotype" w:eastAsiaTheme="minorHAnsi" w:hAnsi="Palatino Linotype" w:cs="Arial"/>
          <w:b/>
          <w:sz w:val="28"/>
          <w:lang w:val="es-MX" w:eastAsia="en-US"/>
        </w:rPr>
        <w:tab/>
      </w:r>
    </w:p>
    <w:p w14:paraId="180C2755" w14:textId="0C5CCAAE" w:rsidR="00DC3CEA" w:rsidRDefault="00BB5BCB" w:rsidP="00391828">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Así, una vez transcurrido el término legal, permitió decretarse el cierre de instrucción en fecha </w:t>
      </w:r>
      <w:r w:rsidR="00620E59">
        <w:rPr>
          <w:rFonts w:ascii="Palatino Linotype" w:eastAsiaTheme="minorHAnsi" w:hAnsi="Palatino Linotype" w:cs="Arial"/>
          <w:lang w:val="es-MX" w:eastAsia="en-US"/>
        </w:rPr>
        <w:t>diez de diciembre</w:t>
      </w:r>
      <w:r w:rsidR="00A572B6" w:rsidRPr="00C400AC">
        <w:rPr>
          <w:rFonts w:ascii="Palatino Linotype" w:eastAsiaTheme="minorHAnsi" w:hAnsi="Palatino Linotype" w:cs="Arial"/>
          <w:lang w:val="es-MX" w:eastAsia="en-US"/>
        </w:rPr>
        <w:t xml:space="preserve"> de dos mil veinti</w:t>
      </w:r>
      <w:r w:rsidR="00620E59">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xml:space="preserve">, en términos del artículo 185, </w:t>
      </w:r>
      <w:r w:rsidRPr="00C400AC">
        <w:rPr>
          <w:rFonts w:ascii="Palatino Linotype" w:eastAsiaTheme="minorHAnsi" w:hAnsi="Palatino Linotype" w:cs="Arial"/>
          <w:lang w:val="es-MX" w:eastAsia="en-US"/>
        </w:rPr>
        <w:lastRenderedPageBreak/>
        <w:t>Fracción VI, de la Ley de Transparencia y Acceso a la Información Pública del Estado de México y Municipios, iniciando el término legal para dictar resolución definitiva del asunto.</w:t>
      </w:r>
    </w:p>
    <w:p w14:paraId="28247C83" w14:textId="77777777" w:rsidR="00620E59" w:rsidRPr="00620E59" w:rsidRDefault="00620E59" w:rsidP="00620E59">
      <w:pPr>
        <w:pStyle w:val="Sinespaciado"/>
        <w:rPr>
          <w:rFonts w:eastAsiaTheme="minorHAnsi"/>
          <w:lang w:eastAsia="en-US"/>
        </w:rPr>
      </w:pPr>
    </w:p>
    <w:p w14:paraId="64662D09" w14:textId="77777777" w:rsidR="00DC3CEA" w:rsidRPr="00B15976" w:rsidRDefault="00DC3CEA" w:rsidP="00DC3CEA">
      <w:pPr>
        <w:spacing w:line="360" w:lineRule="auto"/>
        <w:jc w:val="center"/>
        <w:rPr>
          <w:rFonts w:ascii="Palatino Linotype" w:eastAsiaTheme="minorHAnsi" w:hAnsi="Palatino Linotype" w:cs="Arial"/>
          <w:b/>
          <w:sz w:val="28"/>
          <w:lang w:val="es-MX" w:eastAsia="en-US"/>
        </w:rPr>
      </w:pPr>
      <w:r w:rsidRPr="00B15976">
        <w:rPr>
          <w:rFonts w:ascii="Palatino Linotype" w:eastAsiaTheme="minorHAnsi" w:hAnsi="Palatino Linotype" w:cs="Arial"/>
          <w:b/>
          <w:sz w:val="28"/>
          <w:lang w:val="es-MX" w:eastAsia="en-US"/>
        </w:rPr>
        <w:t xml:space="preserve">C O N S I D E R A N D O </w:t>
      </w:r>
    </w:p>
    <w:p w14:paraId="623C0E3F" w14:textId="77777777" w:rsidR="00DC3CEA" w:rsidRDefault="00DC3CEA" w:rsidP="00391828">
      <w:pPr>
        <w:spacing w:line="360" w:lineRule="auto"/>
        <w:jc w:val="both"/>
        <w:rPr>
          <w:rFonts w:ascii="Palatino Linotype" w:eastAsiaTheme="minorHAnsi" w:hAnsi="Palatino Linotype" w:cstheme="minorBidi"/>
          <w:bCs/>
          <w:szCs w:val="22"/>
          <w:lang w:val="es-MX" w:eastAsia="en-US"/>
        </w:rPr>
      </w:pPr>
    </w:p>
    <w:p w14:paraId="5EE7121A" w14:textId="77777777" w:rsidR="00DC3CEA" w:rsidRPr="00DC3CEA" w:rsidRDefault="00DC3CEA" w:rsidP="00DC3CEA">
      <w:pPr>
        <w:spacing w:line="360" w:lineRule="auto"/>
        <w:jc w:val="both"/>
        <w:rPr>
          <w:rFonts w:ascii="Palatino Linotype" w:eastAsia="Calibri" w:hAnsi="Palatino Linotype" w:cs="Arial"/>
          <w:sz w:val="28"/>
          <w:lang w:val="es-MX" w:eastAsia="en-US"/>
        </w:rPr>
      </w:pPr>
      <w:r w:rsidRPr="00DC3CEA">
        <w:rPr>
          <w:rFonts w:ascii="Palatino Linotype" w:eastAsia="Calibri" w:hAnsi="Palatino Linotype" w:cs="Arial"/>
          <w:b/>
          <w:sz w:val="28"/>
          <w:lang w:val="es-MX" w:eastAsia="en-US"/>
        </w:rPr>
        <w:t>PRIMERO. De la competencia</w:t>
      </w:r>
      <w:r w:rsidRPr="00DC3CEA">
        <w:rPr>
          <w:rFonts w:ascii="Palatino Linotype" w:eastAsia="Calibri" w:hAnsi="Palatino Linotype" w:cs="Arial"/>
          <w:sz w:val="28"/>
          <w:lang w:val="es-MX" w:eastAsia="en-US"/>
        </w:rPr>
        <w:t>.</w:t>
      </w:r>
    </w:p>
    <w:p w14:paraId="5AA92ABD" w14:textId="77777777" w:rsidR="00620E59" w:rsidRPr="005D6B77" w:rsidRDefault="00620E59" w:rsidP="00620E59">
      <w:pPr>
        <w:spacing w:line="360" w:lineRule="auto"/>
        <w:jc w:val="both"/>
        <w:rPr>
          <w:rFonts w:ascii="Palatino Linotype" w:eastAsiaTheme="minorHAnsi" w:hAnsi="Palatino Linotype" w:cs="Arial"/>
          <w:lang w:val="es-MX" w:eastAsia="en-US"/>
        </w:rPr>
      </w:pPr>
      <w:r w:rsidRPr="005D6B7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ACD9FFF" w14:textId="77777777" w:rsidR="00971202" w:rsidRPr="00DC3CEA" w:rsidRDefault="00971202" w:rsidP="00DC3CEA">
      <w:pPr>
        <w:autoSpaceDE w:val="0"/>
        <w:autoSpaceDN w:val="0"/>
        <w:adjustRightInd w:val="0"/>
        <w:spacing w:line="360" w:lineRule="auto"/>
        <w:jc w:val="both"/>
        <w:rPr>
          <w:rFonts w:ascii="Palatino Linotype" w:eastAsia="Calibri" w:hAnsi="Palatino Linotype" w:cs="Arial"/>
          <w:lang w:val="es-MX" w:eastAsia="en-US"/>
        </w:rPr>
      </w:pPr>
    </w:p>
    <w:p w14:paraId="4C571820"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b/>
          <w:sz w:val="28"/>
          <w:lang w:val="es-MX" w:eastAsia="en-US"/>
        </w:rPr>
      </w:pPr>
      <w:r w:rsidRPr="00DC3CEA">
        <w:rPr>
          <w:rFonts w:ascii="Palatino Linotype" w:eastAsia="Calibri" w:hAnsi="Palatino Linotype" w:cs="Arial"/>
          <w:b/>
          <w:sz w:val="28"/>
          <w:lang w:val="es-MX" w:eastAsia="en-US"/>
        </w:rPr>
        <w:t xml:space="preserve">SEGUNDO. De los alcances del Recurso de Revisión. </w:t>
      </w:r>
    </w:p>
    <w:p w14:paraId="44456ACD"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DC3CEA">
        <w:rPr>
          <w:rFonts w:ascii="Palatino Linotype" w:eastAsia="Calibr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4CDA527" w14:textId="77777777" w:rsidR="00620E59" w:rsidRDefault="00620E59" w:rsidP="00DC3CEA">
      <w:pPr>
        <w:autoSpaceDE w:val="0"/>
        <w:autoSpaceDN w:val="0"/>
        <w:adjustRightInd w:val="0"/>
        <w:spacing w:line="360" w:lineRule="auto"/>
        <w:jc w:val="both"/>
        <w:rPr>
          <w:rFonts w:ascii="Palatino Linotype" w:eastAsia="Calibri" w:hAnsi="Palatino Linotype" w:cs="Arial"/>
          <w:lang w:val="es-MX" w:eastAsia="en-US"/>
        </w:rPr>
      </w:pPr>
    </w:p>
    <w:p w14:paraId="58A272B2" w14:textId="77777777" w:rsidR="00620E59" w:rsidRPr="005D6B77" w:rsidRDefault="00620E59" w:rsidP="00620E59">
      <w:pPr>
        <w:autoSpaceDE w:val="0"/>
        <w:autoSpaceDN w:val="0"/>
        <w:adjustRightInd w:val="0"/>
        <w:spacing w:line="360" w:lineRule="auto"/>
        <w:jc w:val="both"/>
        <w:rPr>
          <w:rFonts w:ascii="Palatino Linotype" w:hAnsi="Palatino Linotype" w:cs="Arial"/>
          <w:b/>
        </w:rPr>
      </w:pPr>
      <w:r w:rsidRPr="005D6B77">
        <w:rPr>
          <w:rFonts w:ascii="Palatino Linotype" w:hAnsi="Palatino Linotype" w:cs="Arial"/>
          <w:b/>
          <w:sz w:val="28"/>
        </w:rPr>
        <w:t>TERCERO. Cuestiones de previo y especial pronunciamiento</w:t>
      </w:r>
      <w:r w:rsidRPr="005D6B77">
        <w:rPr>
          <w:rFonts w:ascii="Palatino Linotype" w:hAnsi="Palatino Linotype" w:cs="Arial"/>
          <w:b/>
        </w:rPr>
        <w:t>.</w:t>
      </w:r>
    </w:p>
    <w:p w14:paraId="6B16EDA7" w14:textId="77777777" w:rsidR="00620E59" w:rsidRPr="005D6B77" w:rsidRDefault="00620E59" w:rsidP="00620E59">
      <w:pPr>
        <w:spacing w:line="360" w:lineRule="auto"/>
        <w:jc w:val="both"/>
        <w:rPr>
          <w:rFonts w:ascii="Palatino Linotype" w:hAnsi="Palatino Linotype"/>
        </w:rPr>
      </w:pPr>
      <w:r w:rsidRPr="005D6B77">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5D6B77">
        <w:rPr>
          <w:rFonts w:ascii="Palatino Linotype" w:hAnsi="Palatino Linotype"/>
          <w:b/>
        </w:rPr>
        <w:t>Recurrente,</w:t>
      </w:r>
      <w:r w:rsidRPr="005D6B77">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5D6B77">
        <w:rPr>
          <w:rFonts w:ascii="Palatino Linotype" w:hAnsi="Palatino Linotype" w:cs="Arial"/>
        </w:rPr>
        <w:t>, del cual no se colige que corresponda al nombre de una persona.</w:t>
      </w:r>
    </w:p>
    <w:p w14:paraId="69A81B73"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cs="Arial"/>
        </w:rPr>
      </w:pPr>
    </w:p>
    <w:p w14:paraId="7131E750"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cs="Arial"/>
        </w:rPr>
      </w:pPr>
      <w:r w:rsidRPr="005D6B77">
        <w:rPr>
          <w:rFonts w:ascii="Palatino Linotype" w:hAnsi="Palatino Linotype" w:cs="Arial"/>
        </w:rPr>
        <w:t xml:space="preserve">Esta Ponencia considera importante abordar el análisis de los requisitos de </w:t>
      </w:r>
      <w:proofErr w:type="spellStart"/>
      <w:r w:rsidRPr="005D6B77">
        <w:rPr>
          <w:rFonts w:ascii="Palatino Linotype" w:hAnsi="Palatino Linotype" w:cs="Arial"/>
        </w:rPr>
        <w:t>procedibilidad</w:t>
      </w:r>
      <w:proofErr w:type="spellEnd"/>
      <w:r w:rsidRPr="005D6B77">
        <w:rPr>
          <w:rFonts w:ascii="Palatino Linotype" w:hAnsi="Palatino Linotype" w:cs="Arial"/>
        </w:rPr>
        <w:t xml:space="preserve"> de los recursos de revisión, así el artículo 180 de la </w:t>
      </w:r>
      <w:r w:rsidRPr="005D6B77">
        <w:rPr>
          <w:rFonts w:ascii="Palatino Linotype" w:hAnsi="Palatino Linotype" w:cs="Arial"/>
          <w:lang w:eastAsia="es-MX"/>
        </w:rPr>
        <w:t xml:space="preserve">Ley de Transparencia y Acceso a la Información Pública del Estado de México y Municipios, que </w:t>
      </w:r>
      <w:r w:rsidRPr="005D6B77">
        <w:rPr>
          <w:rFonts w:ascii="Palatino Linotype" w:hAnsi="Palatino Linotype" w:cs="Arial"/>
        </w:rPr>
        <w:t>establece lo siguiente:</w:t>
      </w:r>
    </w:p>
    <w:p w14:paraId="2283CE6B" w14:textId="77777777" w:rsidR="00620E59" w:rsidRPr="005D6B77" w:rsidRDefault="00620E59" w:rsidP="00620E59"/>
    <w:p w14:paraId="35929725" w14:textId="77777777" w:rsidR="00620E59" w:rsidRPr="005D6B77" w:rsidRDefault="00620E59" w:rsidP="00620E59">
      <w:pPr>
        <w:ind w:left="567" w:right="616"/>
        <w:jc w:val="both"/>
        <w:rPr>
          <w:rFonts w:ascii="Palatino Linotype" w:hAnsi="Palatino Linotype"/>
          <w:b/>
          <w:i/>
          <w:sz w:val="22"/>
          <w:szCs w:val="22"/>
        </w:rPr>
      </w:pPr>
      <w:r w:rsidRPr="005D6B77">
        <w:rPr>
          <w:rFonts w:ascii="Palatino Linotype" w:hAnsi="Palatino Linotype"/>
          <w:i/>
          <w:sz w:val="22"/>
          <w:szCs w:val="22"/>
        </w:rPr>
        <w:t>“</w:t>
      </w:r>
      <w:r w:rsidRPr="005D6B77">
        <w:rPr>
          <w:rFonts w:ascii="Palatino Linotype" w:hAnsi="Palatino Linotype"/>
          <w:b/>
          <w:i/>
          <w:sz w:val="22"/>
          <w:szCs w:val="22"/>
        </w:rPr>
        <w:t xml:space="preserve">Artículo 180. </w:t>
      </w:r>
      <w:r w:rsidRPr="005D6B77">
        <w:rPr>
          <w:rFonts w:ascii="Palatino Linotype" w:hAnsi="Palatino Linotype"/>
          <w:i/>
          <w:sz w:val="22"/>
          <w:szCs w:val="22"/>
        </w:rPr>
        <w:t xml:space="preserve">El </w:t>
      </w:r>
      <w:r w:rsidRPr="005D6B77">
        <w:rPr>
          <w:rFonts w:ascii="Palatino Linotype" w:hAnsi="Palatino Linotype" w:cs="Arial"/>
          <w:i/>
          <w:sz w:val="22"/>
          <w:szCs w:val="22"/>
        </w:rPr>
        <w:t>recurso</w:t>
      </w:r>
      <w:r w:rsidRPr="005D6B77">
        <w:rPr>
          <w:rFonts w:ascii="Palatino Linotype" w:hAnsi="Palatino Linotype"/>
          <w:i/>
          <w:sz w:val="22"/>
          <w:szCs w:val="22"/>
        </w:rPr>
        <w:t xml:space="preserve"> </w:t>
      </w:r>
      <w:r w:rsidRPr="005D6B77">
        <w:rPr>
          <w:rFonts w:ascii="Palatino Linotype" w:hAnsi="Palatino Linotype" w:cs="Arial"/>
          <w:i/>
          <w:sz w:val="22"/>
          <w:szCs w:val="22"/>
          <w:lang w:eastAsia="es-MX"/>
        </w:rPr>
        <w:t>de</w:t>
      </w:r>
      <w:r w:rsidRPr="005D6B77">
        <w:rPr>
          <w:rFonts w:ascii="Palatino Linotype" w:hAnsi="Palatino Linotype"/>
          <w:i/>
          <w:sz w:val="22"/>
          <w:szCs w:val="22"/>
        </w:rPr>
        <w:t xml:space="preserve"> revisión contendrá:</w:t>
      </w:r>
      <w:r w:rsidRPr="005D6B77">
        <w:rPr>
          <w:rFonts w:ascii="Palatino Linotype" w:hAnsi="Palatino Linotype"/>
          <w:b/>
          <w:i/>
          <w:sz w:val="22"/>
          <w:szCs w:val="22"/>
        </w:rPr>
        <w:t xml:space="preserve"> </w:t>
      </w:r>
    </w:p>
    <w:p w14:paraId="53BD29BA" w14:textId="77777777" w:rsidR="00620E59" w:rsidRPr="005D6B77" w:rsidRDefault="00620E59" w:rsidP="00620E59">
      <w:pPr>
        <w:ind w:left="567" w:right="616"/>
        <w:jc w:val="both"/>
        <w:rPr>
          <w:rFonts w:ascii="Palatino Linotype" w:hAnsi="Palatino Linotype"/>
          <w:b/>
          <w:i/>
          <w:sz w:val="22"/>
          <w:szCs w:val="22"/>
        </w:rPr>
      </w:pPr>
      <w:r w:rsidRPr="005D6B77">
        <w:rPr>
          <w:rFonts w:ascii="Palatino Linotype" w:hAnsi="Palatino Linotype"/>
          <w:b/>
          <w:i/>
          <w:sz w:val="22"/>
          <w:szCs w:val="22"/>
        </w:rPr>
        <w:t xml:space="preserve">I. </w:t>
      </w:r>
      <w:r w:rsidRPr="005D6B77">
        <w:rPr>
          <w:rFonts w:ascii="Palatino Linotype" w:hAnsi="Palatino Linotype"/>
          <w:i/>
          <w:sz w:val="22"/>
          <w:szCs w:val="22"/>
        </w:rPr>
        <w:t xml:space="preserve">El sujeto obligado ante </w:t>
      </w:r>
      <w:r w:rsidRPr="005D6B77">
        <w:rPr>
          <w:rFonts w:ascii="Palatino Linotype" w:hAnsi="Palatino Linotype" w:cs="Arial"/>
          <w:i/>
          <w:sz w:val="22"/>
          <w:szCs w:val="22"/>
        </w:rPr>
        <w:t>la</w:t>
      </w:r>
      <w:r w:rsidRPr="005D6B77">
        <w:rPr>
          <w:rFonts w:ascii="Palatino Linotype" w:hAnsi="Palatino Linotype"/>
          <w:i/>
          <w:sz w:val="22"/>
          <w:szCs w:val="22"/>
        </w:rPr>
        <w:t xml:space="preserve"> cual </w:t>
      </w:r>
      <w:r w:rsidRPr="005D6B77">
        <w:rPr>
          <w:rFonts w:ascii="Palatino Linotype" w:hAnsi="Palatino Linotype" w:cs="Arial"/>
          <w:i/>
          <w:sz w:val="22"/>
          <w:szCs w:val="22"/>
          <w:lang w:eastAsia="es-MX"/>
        </w:rPr>
        <w:t>se</w:t>
      </w:r>
      <w:r w:rsidRPr="005D6B77">
        <w:rPr>
          <w:rFonts w:ascii="Palatino Linotype" w:hAnsi="Palatino Linotype"/>
          <w:i/>
          <w:sz w:val="22"/>
          <w:szCs w:val="22"/>
        </w:rPr>
        <w:t xml:space="preserve"> presentó la solicitud;</w:t>
      </w:r>
      <w:r w:rsidRPr="005D6B77">
        <w:rPr>
          <w:rFonts w:ascii="Palatino Linotype" w:hAnsi="Palatino Linotype"/>
          <w:b/>
          <w:i/>
          <w:sz w:val="22"/>
          <w:szCs w:val="22"/>
        </w:rPr>
        <w:t xml:space="preserve"> </w:t>
      </w:r>
    </w:p>
    <w:p w14:paraId="1AF6A2C2" w14:textId="77777777" w:rsidR="00620E59" w:rsidRPr="005D6B77" w:rsidRDefault="00620E59" w:rsidP="00620E59">
      <w:pPr>
        <w:ind w:left="567" w:right="616"/>
        <w:jc w:val="both"/>
        <w:rPr>
          <w:rFonts w:ascii="Palatino Linotype" w:hAnsi="Palatino Linotype"/>
          <w:b/>
          <w:i/>
          <w:sz w:val="22"/>
          <w:szCs w:val="22"/>
        </w:rPr>
      </w:pPr>
      <w:r w:rsidRPr="005D6B77">
        <w:rPr>
          <w:rFonts w:ascii="Palatino Linotype" w:hAnsi="Palatino Linotype"/>
          <w:b/>
          <w:i/>
          <w:sz w:val="22"/>
          <w:szCs w:val="22"/>
        </w:rPr>
        <w:lastRenderedPageBreak/>
        <w:t xml:space="preserve">II. </w:t>
      </w:r>
      <w:r w:rsidRPr="005D6B77">
        <w:rPr>
          <w:rFonts w:ascii="Palatino Linotype" w:hAnsi="Palatino Linotype"/>
          <w:b/>
          <w:i/>
          <w:sz w:val="22"/>
          <w:szCs w:val="22"/>
          <w:u w:val="single"/>
        </w:rPr>
        <w:t xml:space="preserve">El nombre del solicitante </w:t>
      </w:r>
      <w:r w:rsidRPr="005D6B77">
        <w:rPr>
          <w:rFonts w:ascii="Palatino Linotype" w:hAnsi="Palatino Linotype" w:cs="Arial"/>
          <w:b/>
          <w:i/>
          <w:sz w:val="22"/>
          <w:szCs w:val="22"/>
          <w:u w:val="single"/>
          <w:lang w:eastAsia="es-MX"/>
        </w:rPr>
        <w:t>que</w:t>
      </w:r>
      <w:r w:rsidRPr="005D6B77">
        <w:rPr>
          <w:rFonts w:ascii="Palatino Linotype" w:hAnsi="Palatino Linotype"/>
          <w:b/>
          <w:i/>
          <w:sz w:val="22"/>
          <w:szCs w:val="22"/>
          <w:u w:val="single"/>
        </w:rPr>
        <w:t xml:space="preserve"> recurre</w:t>
      </w:r>
      <w:r w:rsidRPr="005D6B77">
        <w:rPr>
          <w:rFonts w:ascii="Palatino Linotype" w:hAnsi="Palatino Linotype"/>
          <w:b/>
          <w:i/>
          <w:sz w:val="22"/>
          <w:szCs w:val="22"/>
        </w:rPr>
        <w:t xml:space="preserve"> </w:t>
      </w:r>
      <w:r w:rsidRPr="005D6B77">
        <w:rPr>
          <w:rFonts w:ascii="Palatino Linotype" w:hAnsi="Palatino Linotype"/>
          <w:i/>
          <w:sz w:val="22"/>
          <w:szCs w:val="22"/>
        </w:rPr>
        <w:t>o de su representante y, en su caso, del tercero interesado, así como la dirección o medio que señale para recibir notificaciones;”</w:t>
      </w:r>
      <w:r w:rsidRPr="005D6B77">
        <w:rPr>
          <w:rFonts w:ascii="Palatino Linotype" w:hAnsi="Palatino Linotype"/>
          <w:b/>
          <w:i/>
          <w:sz w:val="22"/>
          <w:szCs w:val="22"/>
        </w:rPr>
        <w:t xml:space="preserve"> </w:t>
      </w:r>
    </w:p>
    <w:p w14:paraId="02CEAC52"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rPr>
      </w:pPr>
    </w:p>
    <w:p w14:paraId="4DB56FF9"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rPr>
      </w:pPr>
      <w:r w:rsidRPr="005D6B77">
        <w:rPr>
          <w:rFonts w:ascii="Palatino Linotype" w:hAnsi="Palatino Linotype"/>
        </w:rPr>
        <w:t xml:space="preserve">En principio, de una interpretación del artículo transcrito se observan los requisitos que </w:t>
      </w:r>
      <w:r w:rsidRPr="005D6B77">
        <w:rPr>
          <w:rFonts w:ascii="Palatino Linotype" w:hAnsi="Palatino Linotype" w:cs="Arial"/>
        </w:rPr>
        <w:t>deberán</w:t>
      </w:r>
      <w:r w:rsidRPr="005D6B77">
        <w:rPr>
          <w:rFonts w:ascii="Palatino Linotype" w:hAnsi="Palatino Linotype"/>
        </w:rPr>
        <w:t xml:space="preserve"> contener los recursos de revisión; sobre el particular, de la revisión del expediente electrónico del </w:t>
      </w:r>
      <w:r w:rsidRPr="005D6B77">
        <w:rPr>
          <w:rFonts w:ascii="Palatino Linotype" w:hAnsi="Palatino Linotype"/>
          <w:b/>
        </w:rPr>
        <w:t>SAIMEX</w:t>
      </w:r>
      <w:r w:rsidRPr="005D6B77">
        <w:rPr>
          <w:rFonts w:ascii="Palatino Linotype" w:hAnsi="Palatino Linotype"/>
        </w:rPr>
        <w:t xml:space="preserve"> se desprende que el solicitante y ahora </w:t>
      </w:r>
      <w:r w:rsidRPr="005D6B77">
        <w:rPr>
          <w:rFonts w:ascii="Palatino Linotype" w:hAnsi="Palatino Linotype"/>
          <w:b/>
        </w:rPr>
        <w:t>Recurrente</w:t>
      </w:r>
      <w:r w:rsidRPr="005D6B77">
        <w:rPr>
          <w:rFonts w:ascii="Palatino Linotype" w:hAnsi="Palatino Linotype"/>
        </w:rPr>
        <w:t xml:space="preserve">, en ejercicio de su derecho de acceso a la información pública, no proporcionó un nombre para que </w:t>
      </w:r>
      <w:r w:rsidRPr="005D6B77">
        <w:rPr>
          <w:rFonts w:ascii="Palatino Linotype" w:hAnsi="Palatino Linotype" w:cs="Arial"/>
        </w:rPr>
        <w:t>sea</w:t>
      </w:r>
      <w:r w:rsidRPr="005D6B77">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495876A"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rPr>
      </w:pPr>
    </w:p>
    <w:p w14:paraId="3778C3D3"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cs="Arial"/>
        </w:rPr>
      </w:pPr>
      <w:r w:rsidRPr="005D6B77">
        <w:rPr>
          <w:rFonts w:ascii="Palatino Linotype" w:hAnsi="Palatino Linotype"/>
        </w:rPr>
        <w:t xml:space="preserve">No obstante lo anterior, debe destacarse que el artículo 15, de </w:t>
      </w:r>
      <w:r w:rsidRPr="005D6B77">
        <w:rPr>
          <w:rFonts w:ascii="Palatino Linotype" w:hAnsi="Palatino Linotype" w:cs="Arial"/>
          <w:lang w:eastAsia="es-MX"/>
        </w:rPr>
        <w:t xml:space="preserve">Ley de Transparencia y Acceso a la </w:t>
      </w:r>
      <w:r w:rsidRPr="005D6B77">
        <w:rPr>
          <w:rFonts w:ascii="Palatino Linotype" w:hAnsi="Palatino Linotype" w:cs="Arial"/>
        </w:rPr>
        <w:t>Información</w:t>
      </w:r>
      <w:r w:rsidRPr="005D6B77">
        <w:rPr>
          <w:rFonts w:ascii="Palatino Linotype" w:hAnsi="Palatino Linotype" w:cs="Arial"/>
          <w:lang w:eastAsia="es-MX"/>
        </w:rPr>
        <w:t xml:space="preserve"> Pública del Estado de México y Municipios </w:t>
      </w:r>
      <w:r w:rsidRPr="005D6B77">
        <w:rPr>
          <w:rFonts w:ascii="Palatino Linotype" w:hAnsi="Palatino Linotype" w:cs="Arial"/>
          <w:iCs/>
        </w:rPr>
        <w:t xml:space="preserve">prevé que, </w:t>
      </w:r>
      <w:r w:rsidRPr="005D6B77">
        <w:rPr>
          <w:rFonts w:ascii="Palatino Linotype" w:hAnsi="Palatino Linotype"/>
        </w:rPr>
        <w:t xml:space="preserve">toda persona tendrá acceso a la información </w:t>
      </w:r>
      <w:r w:rsidRPr="005D6B77">
        <w:rPr>
          <w:rFonts w:ascii="Palatino Linotype" w:hAnsi="Palatino Linotype" w:cs="Arial"/>
        </w:rPr>
        <w:t xml:space="preserve">sin necesidad de acreditar interés alguno o justificar su utilización, de lo que se infiere que para el </w:t>
      </w:r>
      <w:r w:rsidRPr="005D6B77">
        <w:rPr>
          <w:rFonts w:ascii="Palatino Linotype" w:hAnsi="Palatino Linotype"/>
        </w:rPr>
        <w:t>ejercicio</w:t>
      </w:r>
      <w:r w:rsidRPr="005D6B77">
        <w:rPr>
          <w:rFonts w:ascii="Palatino Linotype" w:hAnsi="Palatino Linotype" w:cs="Arial"/>
        </w:rPr>
        <w:t xml:space="preserve"> del derecho de acceso a la información pública, el nombre no es un requisito </w:t>
      </w:r>
      <w:r w:rsidRPr="005D6B77">
        <w:rPr>
          <w:rFonts w:ascii="Palatino Linotype" w:hAnsi="Palatino Linotype" w:cs="Arial"/>
          <w:i/>
        </w:rPr>
        <w:t>sine qua non</w:t>
      </w:r>
      <w:r w:rsidRPr="005D6B77">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EFD5915"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cs="Arial"/>
        </w:rPr>
      </w:pPr>
    </w:p>
    <w:p w14:paraId="484F55E4" w14:textId="77777777" w:rsidR="00620E59" w:rsidRPr="005D6B77" w:rsidRDefault="00620E59" w:rsidP="00620E59">
      <w:pPr>
        <w:widowControl w:val="0"/>
        <w:autoSpaceDE w:val="0"/>
        <w:autoSpaceDN w:val="0"/>
        <w:adjustRightInd w:val="0"/>
        <w:spacing w:line="360" w:lineRule="auto"/>
        <w:jc w:val="both"/>
        <w:rPr>
          <w:rFonts w:ascii="Palatino Linotype" w:hAnsi="Palatino Linotype"/>
        </w:rPr>
      </w:pPr>
      <w:r w:rsidRPr="005D6B77">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5D6B77">
        <w:rPr>
          <w:rFonts w:ascii="Palatino Linotype" w:hAnsi="Palatino Linotype" w:cs="Arial"/>
        </w:rPr>
        <w:t>derecho</w:t>
      </w:r>
      <w:r w:rsidRPr="005D6B77">
        <w:rPr>
          <w:rFonts w:ascii="Palatino Linotype" w:hAnsi="Palatino Linotype"/>
        </w:rPr>
        <w:t xml:space="preserve"> fundamental exime a quien lo ejerce, de acreditar su legitimación en la causa o su interés en el asunto, lo que </w:t>
      </w:r>
      <w:r w:rsidRPr="005D6B77">
        <w:rPr>
          <w:rFonts w:ascii="Palatino Linotype" w:hAnsi="Palatino Linotype"/>
        </w:rPr>
        <w:lastRenderedPageBreak/>
        <w:t>permite la posibilidad de que inclusive, la solicitud de acceso a la información pueda ser anónima o no contener un nombre que identifique al solicitante o que permita tener certeza sobre su identidad.</w:t>
      </w:r>
    </w:p>
    <w:p w14:paraId="361F18E2"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p>
    <w:p w14:paraId="44B1CB04" w14:textId="6701C61A" w:rsidR="00DC3CEA" w:rsidRPr="00DC3CEA" w:rsidRDefault="00620E59" w:rsidP="00DC3CEA">
      <w:pPr>
        <w:autoSpaceDE w:val="0"/>
        <w:autoSpaceDN w:val="0"/>
        <w:adjustRightInd w:val="0"/>
        <w:spacing w:line="360" w:lineRule="auto"/>
        <w:jc w:val="both"/>
        <w:rPr>
          <w:rFonts w:ascii="Palatino Linotype" w:eastAsia="Calibri" w:hAnsi="Palatino Linotype" w:cs="Arial"/>
          <w:b/>
          <w:sz w:val="28"/>
          <w:lang w:val="es-MX" w:eastAsia="en-US"/>
        </w:rPr>
      </w:pPr>
      <w:r>
        <w:rPr>
          <w:rFonts w:ascii="Palatino Linotype" w:eastAsia="Calibri" w:hAnsi="Palatino Linotype" w:cs="Arial"/>
          <w:b/>
          <w:sz w:val="28"/>
          <w:lang w:val="es-MX" w:eastAsia="en-US"/>
        </w:rPr>
        <w:t>CUART</w:t>
      </w:r>
      <w:r w:rsidR="00DC3CEA" w:rsidRPr="00DC3CEA">
        <w:rPr>
          <w:rFonts w:ascii="Palatino Linotype" w:eastAsia="Calibri" w:hAnsi="Palatino Linotype" w:cs="Arial"/>
          <w:b/>
          <w:sz w:val="28"/>
          <w:lang w:val="es-MX" w:eastAsia="en-US"/>
        </w:rPr>
        <w:t xml:space="preserve">O. Del estudio de las causas de improcedencia. </w:t>
      </w:r>
    </w:p>
    <w:p w14:paraId="73C63D87"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El estudio de las causas de improcedencia que se hagan valer por las partes o que se advierta de oficio por este </w:t>
      </w:r>
      <w:proofErr w:type="spellStart"/>
      <w:r w:rsidRPr="00DC3CEA">
        <w:rPr>
          <w:rFonts w:ascii="Palatino Linotype" w:eastAsia="Calibri" w:hAnsi="Palatino Linotype" w:cs="Arial"/>
          <w:lang w:val="es-MX" w:eastAsia="en-US"/>
        </w:rPr>
        <w:t>Resolutor</w:t>
      </w:r>
      <w:proofErr w:type="spellEnd"/>
      <w:r w:rsidRPr="00DC3CEA">
        <w:rPr>
          <w:rFonts w:ascii="Palatino Linotype" w:eastAsia="Calibr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C3CEA">
        <w:rPr>
          <w:rFonts w:ascii="Palatino Linotype" w:eastAsia="Calibri" w:hAnsi="Palatino Linotype" w:cs="Arial"/>
          <w:vertAlign w:val="superscript"/>
          <w:lang w:val="es-MX" w:eastAsia="en-US"/>
        </w:rPr>
        <w:footnoteReference w:id="1"/>
      </w:r>
      <w:r w:rsidRPr="00DC3CEA">
        <w:rPr>
          <w:rFonts w:ascii="Palatino Linotype" w:eastAsia="Calibri" w:hAnsi="Palatino Linotype" w:cs="Arial"/>
          <w:lang w:val="es-MX" w:eastAsia="en-US"/>
        </w:rPr>
        <w:t>.</w:t>
      </w:r>
    </w:p>
    <w:p w14:paraId="29CA745D"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lastRenderedPageBreak/>
        <w:t>Por lo que una vez que se analizó el expediente en estudio se cae en la cuenta de que no se actualiza ninguna de las casuales a continuación transcritas:</w:t>
      </w:r>
    </w:p>
    <w:p w14:paraId="56DECD7B" w14:textId="77777777" w:rsidR="00DC3CEA" w:rsidRPr="00DC3CEA" w:rsidRDefault="00DC3CEA" w:rsidP="00DC3CEA">
      <w:pPr>
        <w:rPr>
          <w:lang w:val="es-MX"/>
        </w:rPr>
      </w:pPr>
    </w:p>
    <w:p w14:paraId="3C7DBC47"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w:t>
      </w:r>
      <w:r w:rsidRPr="00DC3CEA">
        <w:rPr>
          <w:rFonts w:ascii="Palatino Linotype" w:hAnsi="Palatino Linotype" w:cs="Arial"/>
          <w:b/>
          <w:i/>
          <w:sz w:val="22"/>
          <w:szCs w:val="22"/>
        </w:rPr>
        <w:t>Artículo 191.</w:t>
      </w:r>
      <w:r w:rsidRPr="00DC3CEA">
        <w:rPr>
          <w:rFonts w:ascii="Palatino Linotype" w:hAnsi="Palatino Linotype" w:cs="Arial"/>
          <w:i/>
          <w:sz w:val="22"/>
          <w:szCs w:val="22"/>
        </w:rPr>
        <w:t xml:space="preserve"> El recurso será desechado por improcedente cuando:  </w:t>
      </w:r>
    </w:p>
    <w:p w14:paraId="3EACCC68"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I. Sea extemporáneo por haber transcurrido el plazo establecido en la presente Ley, a partir de la respuesta;  </w:t>
      </w:r>
    </w:p>
    <w:p w14:paraId="062A78BE"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II. Se esté tramitando ante el Poder Judicial de la Federación algún recurso o medio de defensa interpuesto por el recurrente;  </w:t>
      </w:r>
    </w:p>
    <w:p w14:paraId="2666C507"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III. No actualice alguno de los supuestos previstos en la presente Ley;  </w:t>
      </w:r>
    </w:p>
    <w:p w14:paraId="4FA15344"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IV. No se haya desahogado la prevención en los términos establecidos en la presente Ley;</w:t>
      </w:r>
    </w:p>
    <w:p w14:paraId="7B043A9B"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V. Se impugne la veracidad de la información proporcionada;  </w:t>
      </w:r>
    </w:p>
    <w:p w14:paraId="6C494384"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 xml:space="preserve">VI. Se trate de una consulta, o trámite en específico; y  </w:t>
      </w:r>
    </w:p>
    <w:p w14:paraId="51B01EDB" w14:textId="77777777" w:rsidR="00DC3CEA" w:rsidRPr="00DC3CEA" w:rsidRDefault="00DC3CEA" w:rsidP="00DC3CEA">
      <w:pPr>
        <w:autoSpaceDE w:val="0"/>
        <w:autoSpaceDN w:val="0"/>
        <w:adjustRightInd w:val="0"/>
        <w:ind w:left="708" w:right="850"/>
        <w:jc w:val="both"/>
        <w:rPr>
          <w:rFonts w:ascii="Palatino Linotype" w:hAnsi="Palatino Linotype" w:cs="Arial"/>
          <w:i/>
          <w:sz w:val="22"/>
          <w:szCs w:val="22"/>
        </w:rPr>
      </w:pPr>
      <w:r w:rsidRPr="00DC3CEA">
        <w:rPr>
          <w:rFonts w:ascii="Palatino Linotype" w:hAnsi="Palatino Linotype" w:cs="Arial"/>
          <w:i/>
          <w:sz w:val="22"/>
          <w:szCs w:val="22"/>
        </w:rPr>
        <w:t>VII. El recurrente amplíe su solicitud en el recurso de revisión, únicamente respecto de los nuevos contenidos.”</w:t>
      </w:r>
    </w:p>
    <w:p w14:paraId="6C9C93CB" w14:textId="77777777" w:rsidR="00DC3CEA" w:rsidRPr="00DC3CEA" w:rsidRDefault="00DC3CEA" w:rsidP="00DC3CEA">
      <w:pPr>
        <w:autoSpaceDE w:val="0"/>
        <w:autoSpaceDN w:val="0"/>
        <w:adjustRightInd w:val="0"/>
        <w:spacing w:line="360" w:lineRule="auto"/>
        <w:ind w:left="708" w:right="850"/>
        <w:jc w:val="both"/>
        <w:rPr>
          <w:rFonts w:ascii="Palatino Linotype" w:hAnsi="Palatino Linotype" w:cs="Arial"/>
          <w:i/>
        </w:rPr>
      </w:pPr>
    </w:p>
    <w:p w14:paraId="4DDEC396"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F7588D2" w14:textId="77777777" w:rsidR="00DC3CEA" w:rsidRPr="00DC3CEA" w:rsidRDefault="00DC3CEA" w:rsidP="00DC3CEA">
      <w:pPr>
        <w:autoSpaceDE w:val="0"/>
        <w:autoSpaceDN w:val="0"/>
        <w:adjustRightInd w:val="0"/>
        <w:spacing w:line="360" w:lineRule="auto"/>
        <w:jc w:val="both"/>
        <w:rPr>
          <w:rFonts w:ascii="Palatino Linotype" w:hAnsi="Palatino Linotype" w:cs="Arial"/>
        </w:rPr>
      </w:pPr>
      <w:r w:rsidRPr="00DC3CEA">
        <w:rPr>
          <w:rFonts w:ascii="Palatino Linotype" w:hAnsi="Palatino Linotype" w:cs="Arial"/>
        </w:rPr>
        <w:t xml:space="preserve">Así las cosas, al no existir causas de improcedencia invocadas por las partes ni advertidas de oficio por este </w:t>
      </w:r>
      <w:proofErr w:type="spellStart"/>
      <w:r w:rsidRPr="00DC3CEA">
        <w:rPr>
          <w:rFonts w:ascii="Palatino Linotype" w:hAnsi="Palatino Linotype" w:cs="Arial"/>
        </w:rPr>
        <w:t>Resolutor</w:t>
      </w:r>
      <w:proofErr w:type="spellEnd"/>
      <w:r w:rsidRPr="00DC3CEA">
        <w:rPr>
          <w:rFonts w:ascii="Palatino Linotype" w:hAnsi="Palatino Linotype" w:cs="Arial"/>
        </w:rPr>
        <w:t xml:space="preserve">, se </w:t>
      </w:r>
      <w:proofErr w:type="gramStart"/>
      <w:r w:rsidRPr="00DC3CEA">
        <w:rPr>
          <w:rFonts w:ascii="Palatino Linotype" w:hAnsi="Palatino Linotype" w:cs="Arial"/>
        </w:rPr>
        <w:t>procede</w:t>
      </w:r>
      <w:proofErr w:type="gramEnd"/>
      <w:r w:rsidRPr="00DC3CEA">
        <w:rPr>
          <w:rFonts w:ascii="Palatino Linotype" w:hAnsi="Palatino Linotype" w:cs="Arial"/>
        </w:rPr>
        <w:t xml:space="preserve"> al análisis del fondo de los asuntos en los siguientes términos.</w:t>
      </w:r>
    </w:p>
    <w:p w14:paraId="6B0ECCB5" w14:textId="77777777" w:rsidR="00DC3CEA" w:rsidRPr="00DC3CEA" w:rsidRDefault="00DC3CEA" w:rsidP="00DC3CEA">
      <w:pPr>
        <w:autoSpaceDE w:val="0"/>
        <w:autoSpaceDN w:val="0"/>
        <w:adjustRightInd w:val="0"/>
        <w:spacing w:line="360" w:lineRule="auto"/>
        <w:jc w:val="both"/>
        <w:rPr>
          <w:rFonts w:ascii="Palatino Linotype" w:hAnsi="Palatino Linotype" w:cs="Arial"/>
        </w:rPr>
      </w:pPr>
    </w:p>
    <w:p w14:paraId="31D03597" w14:textId="6C42CE89" w:rsidR="00DC3CEA" w:rsidRPr="00DC3CEA" w:rsidRDefault="00620E59" w:rsidP="00DC3CEA">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DC3CEA" w:rsidRPr="00DC3CEA">
        <w:rPr>
          <w:rFonts w:ascii="Palatino Linotype" w:hAnsi="Palatino Linotype" w:cs="Arial"/>
          <w:b/>
          <w:sz w:val="28"/>
        </w:rPr>
        <w:t>TO. Del estudio y resolución del asunto.</w:t>
      </w:r>
      <w:r w:rsidR="00DC3CEA" w:rsidRPr="00DC3CEA">
        <w:rPr>
          <w:rFonts w:ascii="Palatino Linotype" w:hAnsi="Palatino Linotype" w:cs="Arial"/>
          <w:sz w:val="28"/>
        </w:rPr>
        <w:t xml:space="preserve"> </w:t>
      </w:r>
    </w:p>
    <w:p w14:paraId="1BA4A2D2" w14:textId="77777777" w:rsid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Ahora bien, se procede al análisis del presente recurso, así como al contenido íntegro de las actuaciones que obran en el expediente electrónico, para así estar en posibilidad </w:t>
      </w:r>
      <w:r w:rsidRPr="00DC3CEA">
        <w:rPr>
          <w:rFonts w:ascii="Palatino Linotype" w:eastAsia="Calibri" w:hAnsi="Palatino Linotype" w:cs="Arial"/>
          <w:lang w:val="es-MX" w:eastAsia="en-US"/>
        </w:rPr>
        <w:lastRenderedPageBreak/>
        <w:t>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3C14736" w14:textId="77777777" w:rsidR="00DC3CEA" w:rsidRPr="00DC3CEA" w:rsidRDefault="00DC3CEA" w:rsidP="00DC3CEA">
      <w:pPr>
        <w:autoSpaceDE w:val="0"/>
        <w:autoSpaceDN w:val="0"/>
        <w:adjustRightInd w:val="0"/>
        <w:spacing w:line="360" w:lineRule="auto"/>
        <w:jc w:val="both"/>
        <w:rPr>
          <w:rFonts w:ascii="Palatino Linotype" w:eastAsia="Calibri" w:hAnsi="Palatino Linotype" w:cs="Arial"/>
          <w:lang w:val="es-MX" w:eastAsia="en-US"/>
        </w:rPr>
      </w:pPr>
    </w:p>
    <w:p w14:paraId="16071846" w14:textId="77777777" w:rsidR="00DC3CEA" w:rsidRPr="00DC3CEA" w:rsidRDefault="00DC3CEA" w:rsidP="00DC3CEA">
      <w:pPr>
        <w:spacing w:line="360" w:lineRule="auto"/>
        <w:ind w:right="141"/>
        <w:jc w:val="both"/>
        <w:rPr>
          <w:rFonts w:ascii="Palatino Linotype" w:eastAsia="Calibri" w:hAnsi="Palatino Linotype"/>
          <w:lang w:val="es-MX" w:eastAsia="es-MX"/>
        </w:rPr>
      </w:pPr>
      <w:r w:rsidRPr="00DC3CEA">
        <w:rPr>
          <w:rFonts w:ascii="Palatino Linotype" w:eastAsia="Calibri" w:hAnsi="Palatino Linotype"/>
          <w:lang w:val="es-MX" w:eastAsia="es-MX"/>
        </w:rPr>
        <w:t>En este sentido nuestro estudio versará en determinar si la información remitida mediante respuesta, colma el derecho de acceso a la información solicitado por la</w:t>
      </w:r>
      <w:r w:rsidRPr="00DC3CEA">
        <w:rPr>
          <w:rFonts w:ascii="Palatino Linotype" w:eastAsia="Calibri" w:hAnsi="Palatino Linotype"/>
          <w:b/>
          <w:lang w:val="es-MX" w:eastAsia="es-MX"/>
        </w:rPr>
        <w:t xml:space="preserve"> </w:t>
      </w:r>
      <w:r w:rsidRPr="00DC3CEA">
        <w:rPr>
          <w:rFonts w:ascii="Palatino Linotype" w:eastAsia="Calibri" w:hAnsi="Palatino Linotype"/>
          <w:lang w:val="es-MX" w:eastAsia="es-MX"/>
        </w:rPr>
        <w:t>parte</w:t>
      </w:r>
      <w:r w:rsidRPr="00DC3CEA">
        <w:rPr>
          <w:rFonts w:ascii="Palatino Linotype" w:eastAsia="Calibri" w:hAnsi="Palatino Linotype"/>
          <w:b/>
          <w:lang w:val="es-MX" w:eastAsia="es-MX"/>
        </w:rPr>
        <w:t xml:space="preserve"> Recurrente</w:t>
      </w:r>
      <w:r w:rsidRPr="00DC3CEA">
        <w:rPr>
          <w:rFonts w:ascii="Palatino Linotype" w:eastAsia="Calibri" w:hAnsi="Palatino Linotype"/>
          <w:lang w:val="es-MX" w:eastAsia="es-MX"/>
        </w:rPr>
        <w:t>, para ello analizaremos lo solicitado y la información proporcionada.</w:t>
      </w:r>
    </w:p>
    <w:p w14:paraId="293B01EF" w14:textId="77777777" w:rsidR="00DC3CEA" w:rsidRPr="00DC3CEA" w:rsidRDefault="00DC3CEA" w:rsidP="00DC3CEA">
      <w:pPr>
        <w:spacing w:line="360" w:lineRule="auto"/>
        <w:ind w:right="141"/>
        <w:jc w:val="both"/>
        <w:rPr>
          <w:rFonts w:ascii="Palatino Linotype" w:eastAsia="Calibri" w:hAnsi="Palatino Linotype"/>
          <w:lang w:val="es-MX" w:eastAsia="es-MX"/>
        </w:rPr>
      </w:pPr>
    </w:p>
    <w:p w14:paraId="57C5F2C2" w14:textId="77777777" w:rsidR="00DC3CEA" w:rsidRPr="00DC3CEA" w:rsidRDefault="00DC3CEA" w:rsidP="00DC3CEA">
      <w:pPr>
        <w:spacing w:line="360" w:lineRule="auto"/>
        <w:ind w:right="141"/>
        <w:jc w:val="both"/>
        <w:rPr>
          <w:rFonts w:ascii="Palatino Linotype" w:eastAsia="Calibri" w:hAnsi="Palatino Linotype"/>
          <w:b/>
          <w:szCs w:val="22"/>
          <w:lang w:val="es-MX" w:eastAsia="es-MX"/>
        </w:rPr>
      </w:pPr>
      <w:r w:rsidRPr="00DC3CEA">
        <w:rPr>
          <w:rFonts w:ascii="Palatino Linotype" w:eastAsia="Calibri" w:hAnsi="Palatino Linotype"/>
          <w:b/>
          <w:szCs w:val="22"/>
          <w:lang w:val="es-MX" w:eastAsia="es-MX"/>
        </w:rPr>
        <w:t xml:space="preserve">REQUERIMIENTOS SOLICITADOS: </w:t>
      </w:r>
    </w:p>
    <w:p w14:paraId="5FFEDA83" w14:textId="68EB87B5" w:rsidR="00DC3CEA" w:rsidRDefault="00DC3CEA" w:rsidP="00971202">
      <w:pPr>
        <w:numPr>
          <w:ilvl w:val="0"/>
          <w:numId w:val="19"/>
        </w:numPr>
        <w:spacing w:line="360" w:lineRule="auto"/>
        <w:ind w:right="49"/>
        <w:jc w:val="both"/>
        <w:rPr>
          <w:rFonts w:ascii="Palatino Linotype" w:eastAsia="Calibri" w:hAnsi="Palatino Linotype"/>
          <w:lang w:val="es-MX" w:eastAsia="es-MX"/>
        </w:rPr>
      </w:pPr>
      <w:r w:rsidRPr="00DC3CEA">
        <w:rPr>
          <w:rFonts w:ascii="Palatino Linotype" w:eastAsia="Calibri" w:hAnsi="Palatino Linotype"/>
          <w:lang w:val="es-MX" w:eastAsia="es-MX"/>
        </w:rPr>
        <w:t xml:space="preserve"> </w:t>
      </w:r>
      <w:r w:rsidR="00620E59">
        <w:rPr>
          <w:rFonts w:ascii="Palatino Linotype" w:eastAsia="Calibri" w:hAnsi="Palatino Linotype"/>
          <w:lang w:val="es-MX" w:eastAsia="es-MX"/>
        </w:rPr>
        <w:t>L</w:t>
      </w:r>
      <w:r w:rsidR="00620E59" w:rsidRPr="00620E59">
        <w:rPr>
          <w:rFonts w:ascii="Palatino Linotype" w:eastAsia="Calibri" w:hAnsi="Palatino Linotype"/>
          <w:lang w:val="es-MX" w:eastAsia="es-MX"/>
        </w:rPr>
        <w:t>as determinaciones concluidas de la contraloría en su calidad de autoridad investigadora en el año 2024</w:t>
      </w:r>
      <w:r w:rsidRPr="00DC3CEA">
        <w:rPr>
          <w:rFonts w:ascii="Palatino Linotype" w:eastAsia="Calibri" w:hAnsi="Palatino Linotype"/>
          <w:lang w:val="es-MX" w:eastAsia="es-MX"/>
        </w:rPr>
        <w:t xml:space="preserve">. </w:t>
      </w:r>
    </w:p>
    <w:p w14:paraId="539C85B2" w14:textId="77777777" w:rsidR="00971202" w:rsidRPr="00DC3CEA" w:rsidRDefault="00971202" w:rsidP="00971202">
      <w:pPr>
        <w:spacing w:line="360" w:lineRule="auto"/>
        <w:ind w:left="720" w:right="49"/>
        <w:jc w:val="both"/>
        <w:rPr>
          <w:rFonts w:ascii="Palatino Linotype" w:eastAsia="Calibri" w:hAnsi="Palatino Linotype"/>
          <w:lang w:val="es-MX" w:eastAsia="es-MX"/>
        </w:rPr>
      </w:pPr>
    </w:p>
    <w:p w14:paraId="73FAC959" w14:textId="77777777" w:rsidR="00DC3CEA" w:rsidRDefault="00DC3CEA" w:rsidP="00DC3CEA">
      <w:pPr>
        <w:spacing w:line="360" w:lineRule="auto"/>
        <w:ind w:right="49"/>
        <w:jc w:val="both"/>
        <w:rPr>
          <w:rFonts w:ascii="Palatino Linotype" w:hAnsi="Palatino Linotype" w:cs="Arial"/>
        </w:rPr>
      </w:pPr>
      <w:r w:rsidRPr="00515938">
        <w:rPr>
          <w:rFonts w:ascii="Palatino Linotype" w:eastAsia="Calibri" w:hAnsi="Palatino Linotype"/>
          <w:lang w:val="es-MX" w:eastAsia="es-MX"/>
        </w:rPr>
        <w:t xml:space="preserve">Atento a la solicitud de información </w:t>
      </w:r>
      <w:r w:rsidRPr="00515938">
        <w:rPr>
          <w:rFonts w:ascii="Palatino Linotype" w:eastAsia="Calibri" w:hAnsi="Palatino Linotype"/>
          <w:b/>
          <w:lang w:val="es-MX" w:eastAsia="es-MX"/>
        </w:rPr>
        <w:t>El Sujeto Obligado</w:t>
      </w:r>
      <w:r w:rsidRPr="00515938">
        <w:rPr>
          <w:rFonts w:ascii="Palatino Linotype" w:eastAsia="Calibri" w:hAnsi="Palatino Linotype"/>
          <w:lang w:val="es-MX" w:eastAsia="es-MX"/>
        </w:rPr>
        <w:t xml:space="preserve">, emitió su respuesta en donde </w:t>
      </w:r>
      <w:r w:rsidRPr="00515938">
        <w:rPr>
          <w:rFonts w:ascii="Palatino Linotype" w:hAnsi="Palatino Linotype" w:cs="Arial"/>
        </w:rPr>
        <w:t>se advierte lo siguiente:</w:t>
      </w:r>
    </w:p>
    <w:p w14:paraId="467735E5" w14:textId="77777777" w:rsidR="00515938" w:rsidRDefault="00515938" w:rsidP="00DC3CEA">
      <w:pPr>
        <w:spacing w:line="360" w:lineRule="auto"/>
        <w:ind w:right="49"/>
        <w:jc w:val="both"/>
        <w:rPr>
          <w:rFonts w:ascii="Palatino Linotype" w:hAnsi="Palatino Linotype" w:cs="Arial"/>
        </w:rPr>
      </w:pPr>
    </w:p>
    <w:p w14:paraId="7538A1C9" w14:textId="2C8FEBEA" w:rsidR="00515938" w:rsidRDefault="00515938" w:rsidP="00DC3CEA">
      <w:pPr>
        <w:spacing w:line="360" w:lineRule="auto"/>
        <w:ind w:right="49"/>
        <w:jc w:val="both"/>
        <w:rPr>
          <w:rFonts w:ascii="Palatino Linotype" w:hAnsi="Palatino Linotype" w:cs="Arial"/>
        </w:rPr>
      </w:pPr>
      <w:r>
        <w:rPr>
          <w:rFonts w:ascii="Palatino Linotype" w:hAnsi="Palatino Linotype" w:cs="Arial"/>
        </w:rPr>
        <w:t xml:space="preserve">Mediante el oficio número </w:t>
      </w:r>
      <w:r w:rsidRPr="00515938">
        <w:rPr>
          <w:rFonts w:ascii="Palatino Linotype" w:hAnsi="Palatino Linotype" w:cs="Arial"/>
          <w:b/>
          <w:bCs/>
        </w:rPr>
        <w:t>SGT/O/163/2024</w:t>
      </w:r>
      <w:r>
        <w:rPr>
          <w:rFonts w:ascii="Palatino Linotype" w:hAnsi="Palatino Linotype" w:cs="Arial"/>
        </w:rPr>
        <w:t>, firmado por el Subgerente de Transparencia, informó que, u</w:t>
      </w:r>
      <w:r w:rsidRPr="00515938">
        <w:rPr>
          <w:rFonts w:ascii="Palatino Linotype" w:hAnsi="Palatino Linotype" w:cs="Arial"/>
        </w:rPr>
        <w:t xml:space="preserve">na vez realizado el proceso interno para la búsqueda de la información; </w:t>
      </w:r>
      <w:r w:rsidRPr="00515938">
        <w:rPr>
          <w:rFonts w:ascii="Palatino Linotype" w:hAnsi="Palatino Linotype" w:cs="Arial"/>
          <w:b/>
          <w:bCs/>
          <w:u w:val="single"/>
        </w:rPr>
        <w:t>siendo ésta obtenida de la Contraloría Interna, por competir a sus facultades y atribuciones, quienes responden lo siguiente</w:t>
      </w:r>
      <w:r w:rsidRPr="00515938">
        <w:rPr>
          <w:rFonts w:ascii="Palatino Linotype" w:hAnsi="Palatino Linotype" w:cs="Arial"/>
        </w:rPr>
        <w:t>:</w:t>
      </w:r>
    </w:p>
    <w:p w14:paraId="32AA3AE9" w14:textId="39EE21AF" w:rsidR="00515938" w:rsidRDefault="00B33936" w:rsidP="00515938">
      <w:pPr>
        <w:spacing w:line="360" w:lineRule="auto"/>
        <w:ind w:right="49"/>
        <w:jc w:val="both"/>
        <w:rPr>
          <w:rFonts w:ascii="Palatino Linotype" w:hAnsi="Palatino Linotype" w:cs="Arial"/>
          <w:u w:val="single"/>
        </w:rPr>
      </w:pPr>
      <w:r>
        <w:rPr>
          <w:rFonts w:ascii="Palatino Linotype" w:hAnsi="Palatino Linotype" w:cs="Arial"/>
        </w:rPr>
        <w:lastRenderedPageBreak/>
        <w:t>“</w:t>
      </w:r>
      <w:r w:rsidR="00515938" w:rsidRPr="00515938">
        <w:rPr>
          <w:rFonts w:ascii="Palatino Linotype" w:hAnsi="Palatino Linotype" w:cs="Arial"/>
        </w:rPr>
        <w:t xml:space="preserve">De conformidad con el artículo 104 de la Ley de Responsabilidades Administrativas del Estado de México y Municipios, </w:t>
      </w:r>
      <w:r w:rsidR="00515938" w:rsidRPr="00515938">
        <w:rPr>
          <w:rFonts w:ascii="Palatino Linotype" w:hAnsi="Palatino Linotype" w:cs="Arial"/>
          <w:b/>
          <w:bCs/>
          <w:u w:val="single"/>
        </w:rPr>
        <w:t>la Autoridad Investigadora emite dos tipos de determinaciones:</w:t>
      </w:r>
      <w:r w:rsidR="00515938" w:rsidRPr="00515938">
        <w:rPr>
          <w:rFonts w:ascii="Palatino Linotype" w:hAnsi="Palatino Linotype" w:cs="Arial"/>
        </w:rPr>
        <w:t xml:space="preserve"> </w:t>
      </w:r>
      <w:r w:rsidR="00515938" w:rsidRPr="00515938">
        <w:rPr>
          <w:rFonts w:ascii="Palatino Linotype" w:hAnsi="Palatino Linotype" w:cs="Arial"/>
          <w:b/>
          <w:bCs/>
        </w:rPr>
        <w:t>1)</w:t>
      </w:r>
      <w:r w:rsidR="00515938" w:rsidRPr="00515938">
        <w:rPr>
          <w:rFonts w:ascii="Palatino Linotype" w:hAnsi="Palatino Linotype" w:cs="Arial"/>
        </w:rPr>
        <w:t xml:space="preserve"> </w:t>
      </w:r>
      <w:r w:rsidR="00515938" w:rsidRPr="00515938">
        <w:rPr>
          <w:rFonts w:ascii="Palatino Linotype" w:hAnsi="Palatino Linotype" w:cs="Arial"/>
          <w:u w:val="single"/>
        </w:rPr>
        <w:t>la existencia de actos u omisiones que la Ley señala como faltas administrativas, a la cual recae una calificación como falta administrativa grave o no grave</w:t>
      </w:r>
      <w:r w:rsidR="00515938" w:rsidRPr="00515938">
        <w:rPr>
          <w:rFonts w:ascii="Palatino Linotype" w:hAnsi="Palatino Linotype" w:cs="Arial"/>
        </w:rPr>
        <w:t xml:space="preserve">, o </w:t>
      </w:r>
      <w:r w:rsidR="00515938" w:rsidRPr="00515938">
        <w:rPr>
          <w:rFonts w:ascii="Palatino Linotype" w:hAnsi="Palatino Linotype" w:cs="Arial"/>
          <w:b/>
          <w:bCs/>
        </w:rPr>
        <w:t>2)</w:t>
      </w:r>
      <w:r w:rsidR="00515938" w:rsidRPr="00515938">
        <w:rPr>
          <w:rFonts w:ascii="Palatino Linotype" w:hAnsi="Palatino Linotype" w:cs="Arial"/>
        </w:rPr>
        <w:t xml:space="preserve"> </w:t>
      </w:r>
      <w:r w:rsidR="00515938" w:rsidRPr="00515938">
        <w:rPr>
          <w:rFonts w:ascii="Palatino Linotype" w:hAnsi="Palatino Linotype" w:cs="Arial"/>
          <w:u w:val="single"/>
        </w:rPr>
        <w:t>la inexistencia, elaborándose un acuerdo de conclusión y archivo del expediente</w:t>
      </w:r>
      <w:r w:rsidR="00515938">
        <w:rPr>
          <w:rFonts w:ascii="Palatino Linotype" w:hAnsi="Palatino Linotype" w:cs="Arial"/>
          <w:u w:val="single"/>
        </w:rPr>
        <w:t>.</w:t>
      </w:r>
    </w:p>
    <w:p w14:paraId="4C014A05" w14:textId="77777777" w:rsidR="00515938" w:rsidRDefault="00515938" w:rsidP="00515938">
      <w:pPr>
        <w:spacing w:line="360" w:lineRule="auto"/>
        <w:ind w:right="49"/>
        <w:jc w:val="both"/>
        <w:rPr>
          <w:rFonts w:ascii="Palatino Linotype" w:hAnsi="Palatino Linotype" w:cs="Arial"/>
          <w:u w:val="single"/>
        </w:rPr>
      </w:pPr>
    </w:p>
    <w:p w14:paraId="32F52042" w14:textId="77777777" w:rsid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t xml:space="preserve">Lo anterior, encuentra fundamento en que son documentos que se encuentran integrados en diversos expedientes de investigación, los cuales, por su propia y especial naturaleza, </w:t>
      </w:r>
      <w:r w:rsidRPr="00515938">
        <w:rPr>
          <w:rFonts w:ascii="Palatino Linotype" w:hAnsi="Palatino Linotype" w:cs="Arial"/>
          <w:b/>
          <w:bCs/>
          <w:u w:val="single"/>
        </w:rPr>
        <w:t>se encuentran reservados</w:t>
      </w:r>
      <w:r w:rsidRPr="00515938">
        <w:rPr>
          <w:rFonts w:ascii="Palatino Linotype" w:hAnsi="Palatino Linotype" w:cs="Arial"/>
        </w:rPr>
        <w:t xml:space="preserve"> de conformidad con los artículos 24 fracción VI y 113 fracción IX de la Ley de General de Transparencia y Acceso a la Información Pública; 31 de la Ley General de Protección de Datos Personales en Posesión de Sujetos Obligados: 24 fracción VI y 140 fracción VI de la Ley de Transparencia y Acceso a la Información Pública del Estado de México y Municipios y 40 de la Ley de Protección de Datos Personales en Posesión de Sujetos Obligados del Estado de México y Municipios, por lo que deberán respetarse las formalidades en cuanto a la divulgación o reproducción de la información, mantener la reserva y sigilo de la misma.</w:t>
      </w:r>
    </w:p>
    <w:p w14:paraId="2AEF6AFE" w14:textId="77777777" w:rsidR="00515938" w:rsidRDefault="00515938" w:rsidP="00515938">
      <w:pPr>
        <w:spacing w:line="360" w:lineRule="auto"/>
        <w:ind w:right="49"/>
        <w:jc w:val="both"/>
        <w:rPr>
          <w:rFonts w:ascii="Palatino Linotype" w:hAnsi="Palatino Linotype" w:cs="Arial"/>
        </w:rPr>
      </w:pPr>
    </w:p>
    <w:p w14:paraId="5B395453" w14:textId="141EC489" w:rsidR="00515938" w:rsidRP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t xml:space="preserve">Sobre el alcance de dichas fracciones, se sostiene que el derecho administrativo sancionador es parte del </w:t>
      </w:r>
      <w:proofErr w:type="spellStart"/>
      <w:r w:rsidRPr="00515938">
        <w:rPr>
          <w:rFonts w:ascii="Palatino Linotype" w:hAnsi="Palatino Linotype" w:cs="Arial"/>
          <w:i/>
          <w:iCs/>
        </w:rPr>
        <w:t>ius</w:t>
      </w:r>
      <w:proofErr w:type="spellEnd"/>
      <w:r w:rsidRPr="00515938">
        <w:rPr>
          <w:rFonts w:ascii="Palatino Linotype" w:hAnsi="Palatino Linotype" w:cs="Arial"/>
          <w:i/>
          <w:iCs/>
        </w:rPr>
        <w:t xml:space="preserve"> </w:t>
      </w:r>
      <w:proofErr w:type="spellStart"/>
      <w:r w:rsidRPr="00515938">
        <w:rPr>
          <w:rFonts w:ascii="Palatino Linotype" w:hAnsi="Palatino Linotype" w:cs="Arial"/>
          <w:i/>
          <w:iCs/>
        </w:rPr>
        <w:t>puniendi</w:t>
      </w:r>
      <w:proofErr w:type="spellEnd"/>
      <w:r w:rsidRPr="00515938">
        <w:rPr>
          <w:rFonts w:ascii="Palatino Linotype" w:hAnsi="Palatino Linotype" w:cs="Arial"/>
        </w:rPr>
        <w:t xml:space="preserve"> del Estado, puesto que el derecho penal y el derecho administrativo sancionador constituyen dos manifestaciones de la potestad punitiva estatal.</w:t>
      </w:r>
    </w:p>
    <w:p w14:paraId="37E8F39E" w14:textId="77777777" w:rsid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lastRenderedPageBreak/>
        <w:t xml:space="preserve">Por tal razón, existe una relación de dependencia entre ambas manifestaciones, toda vez que el derecho administrativo ha incorporado a sus procedimientos sancionadores los principios y garantías que rigen en materia penal. </w:t>
      </w:r>
    </w:p>
    <w:p w14:paraId="0E996F87" w14:textId="77777777" w:rsidR="00515938" w:rsidRDefault="00515938" w:rsidP="00515938">
      <w:pPr>
        <w:spacing w:line="360" w:lineRule="auto"/>
        <w:ind w:right="49"/>
        <w:jc w:val="both"/>
        <w:rPr>
          <w:rFonts w:ascii="Palatino Linotype" w:hAnsi="Palatino Linotype" w:cs="Arial"/>
        </w:rPr>
      </w:pPr>
    </w:p>
    <w:p w14:paraId="4164E418" w14:textId="6B853291" w:rsidR="00515938" w:rsidRP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t>En esta línea, la Suprema Corte de Justicia de la Nación ha sostenido de manera reiterada que los principios que rigen la materia penal deben aplicarse a los procedimientos administrativos sancionadores en la medida o que sean compatibles con éstos</w:t>
      </w:r>
      <w:r>
        <w:rPr>
          <w:rFonts w:ascii="Palatino Linotype" w:hAnsi="Palatino Linotype" w:cs="Arial"/>
        </w:rPr>
        <w:t>.</w:t>
      </w:r>
    </w:p>
    <w:p w14:paraId="568F54CB" w14:textId="77777777" w:rsidR="00515938" w:rsidRPr="00515938" w:rsidRDefault="00515938" w:rsidP="00515938">
      <w:pPr>
        <w:spacing w:line="360" w:lineRule="auto"/>
        <w:ind w:right="49"/>
        <w:jc w:val="both"/>
        <w:rPr>
          <w:rFonts w:ascii="Palatino Linotype" w:hAnsi="Palatino Linotype" w:cs="Arial"/>
        </w:rPr>
      </w:pPr>
    </w:p>
    <w:p w14:paraId="53B4D50C" w14:textId="77777777" w:rsidR="00515938" w:rsidRP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t>Además, en dichas resoluciones se señaló que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puesto que asiste al Estado la potestad de adoptar las medidas necesarias para impedir que la búsqueda de la verdad de los hechos de un expediente se vea afectada por la destrucción o el ocultamiento de pruebas.</w:t>
      </w:r>
    </w:p>
    <w:p w14:paraId="5B5E1D60" w14:textId="77777777" w:rsidR="00515938" w:rsidRPr="00515938" w:rsidRDefault="00515938" w:rsidP="00515938">
      <w:pPr>
        <w:spacing w:line="360" w:lineRule="auto"/>
        <w:ind w:right="49"/>
        <w:jc w:val="both"/>
        <w:rPr>
          <w:rFonts w:ascii="Palatino Linotype" w:hAnsi="Palatino Linotype" w:cs="Arial"/>
        </w:rPr>
      </w:pPr>
    </w:p>
    <w:p w14:paraId="483B672E" w14:textId="4499DAEB" w:rsidR="00515938" w:rsidRPr="00515938" w:rsidRDefault="00515938" w:rsidP="00515938">
      <w:pPr>
        <w:spacing w:line="360" w:lineRule="auto"/>
        <w:ind w:right="49"/>
        <w:jc w:val="both"/>
        <w:rPr>
          <w:rFonts w:ascii="Palatino Linotype" w:hAnsi="Palatino Linotype" w:cs="Arial"/>
        </w:rPr>
      </w:pPr>
      <w:r w:rsidRPr="00515938">
        <w:rPr>
          <w:rFonts w:ascii="Palatino Linotype" w:hAnsi="Palatino Linotype" w:cs="Arial"/>
        </w:rPr>
        <w:t>En consecuencia, al igual que en la fase de investigación del proceso penal, la reserva de la información en el procedimiento administrativo sancionador pretende salvaguardar las investigaciones para evitar la divulgación de datos o elementos que pudieran poner en riesgo la misma, así como garantizar el debido proceso de los intervinientes en el procedimiento sancionador.</w:t>
      </w:r>
    </w:p>
    <w:p w14:paraId="47A2D7E8" w14:textId="77777777" w:rsidR="00515938" w:rsidRPr="00515938" w:rsidRDefault="00515938" w:rsidP="00515938">
      <w:pPr>
        <w:spacing w:line="360" w:lineRule="auto"/>
        <w:ind w:right="49"/>
        <w:jc w:val="both"/>
        <w:rPr>
          <w:rFonts w:ascii="Palatino Linotype" w:hAnsi="Palatino Linotype" w:cs="Arial"/>
        </w:rPr>
      </w:pPr>
    </w:p>
    <w:p w14:paraId="260192DB" w14:textId="4D41C243" w:rsidR="00515938" w:rsidRDefault="00515938" w:rsidP="00515938">
      <w:pPr>
        <w:spacing w:line="360" w:lineRule="auto"/>
        <w:ind w:right="49"/>
        <w:jc w:val="both"/>
        <w:rPr>
          <w:rFonts w:ascii="Palatino Linotype" w:hAnsi="Palatino Linotype" w:cs="Arial"/>
          <w:b/>
          <w:bCs/>
          <w:u w:val="single"/>
        </w:rPr>
      </w:pPr>
      <w:r w:rsidRPr="00515938">
        <w:rPr>
          <w:rFonts w:ascii="Palatino Linotype" w:hAnsi="Palatino Linotype" w:cs="Arial"/>
          <w:b/>
          <w:bCs/>
          <w:u w:val="single"/>
        </w:rPr>
        <w:lastRenderedPageBreak/>
        <w:t xml:space="preserve">Derivado de lo anterior y toda vez </w:t>
      </w:r>
      <w:bookmarkStart w:id="1" w:name="_Hlk184835047"/>
      <w:r w:rsidRPr="00515938">
        <w:rPr>
          <w:rFonts w:ascii="Palatino Linotype" w:hAnsi="Palatino Linotype" w:cs="Arial"/>
          <w:b/>
          <w:bCs/>
          <w:u w:val="single"/>
        </w:rPr>
        <w:t>que los procedimientos de investigación y de responsabilidades administrativas se encuentran en integración y tramitación, dicha información no puede ser divulgada, salvo que el impetrante acreditará personalidad e interés jurídico dentro del expediente, por lo que, en caso de contar con dicha personalidad, deberá acudir directamente ante las Autoridades Investigadora y Substanciadora, respectivamente.</w:t>
      </w:r>
    </w:p>
    <w:p w14:paraId="2727CEA2" w14:textId="77777777" w:rsidR="00515938" w:rsidRDefault="00515938" w:rsidP="00515938">
      <w:pPr>
        <w:spacing w:line="360" w:lineRule="auto"/>
        <w:ind w:right="49"/>
        <w:jc w:val="both"/>
        <w:rPr>
          <w:rFonts w:ascii="Palatino Linotype" w:hAnsi="Palatino Linotype" w:cs="Arial"/>
          <w:b/>
          <w:bCs/>
          <w:u w:val="single"/>
        </w:rPr>
      </w:pPr>
    </w:p>
    <w:p w14:paraId="00F2D8AD" w14:textId="77777777" w:rsidR="00B33936" w:rsidRDefault="00B33936" w:rsidP="00B33936">
      <w:pPr>
        <w:spacing w:line="360" w:lineRule="auto"/>
        <w:ind w:right="49"/>
        <w:jc w:val="both"/>
        <w:rPr>
          <w:rFonts w:ascii="Palatino Linotype" w:hAnsi="Palatino Linotype" w:cs="Arial"/>
        </w:rPr>
      </w:pPr>
      <w:r w:rsidRPr="00B33936">
        <w:rPr>
          <w:rFonts w:ascii="Palatino Linotype" w:hAnsi="Palatino Linotype" w:cs="Arial"/>
        </w:rPr>
        <w:t xml:space="preserve">En el caso concreto, la divulgación de las constancias documentales puede razonablemente materializar un riesgo real, demostrable e identificable de perjuicio al interés público. </w:t>
      </w:r>
    </w:p>
    <w:p w14:paraId="61AC34DA" w14:textId="77777777" w:rsidR="00B33936" w:rsidRDefault="00B33936" w:rsidP="00B33936">
      <w:pPr>
        <w:spacing w:line="360" w:lineRule="auto"/>
        <w:ind w:right="49"/>
        <w:jc w:val="both"/>
        <w:rPr>
          <w:rFonts w:ascii="Palatino Linotype" w:hAnsi="Palatino Linotype" w:cs="Arial"/>
        </w:rPr>
      </w:pPr>
    </w:p>
    <w:p w14:paraId="5F329ECC" w14:textId="77777777" w:rsidR="00B33936" w:rsidRDefault="00B33936" w:rsidP="00B33936">
      <w:pPr>
        <w:spacing w:line="360" w:lineRule="auto"/>
        <w:ind w:right="49"/>
        <w:jc w:val="both"/>
        <w:rPr>
          <w:rFonts w:ascii="Palatino Linotype" w:hAnsi="Palatino Linotype" w:cs="Arial"/>
        </w:rPr>
      </w:pPr>
      <w:r w:rsidRPr="00B33936">
        <w:rPr>
          <w:rFonts w:ascii="Palatino Linotype" w:hAnsi="Palatino Linotype" w:cs="Arial"/>
        </w:rPr>
        <w:t xml:space="preserve">En ese sentido, </w:t>
      </w:r>
      <w:r w:rsidRPr="00B33936">
        <w:rPr>
          <w:rFonts w:ascii="Palatino Linotype" w:hAnsi="Palatino Linotype" w:cs="Arial"/>
          <w:b/>
          <w:bCs/>
          <w:u w:val="single"/>
        </w:rPr>
        <w:t>la Subgerencia de Investigación reconoce la necesidad de mantener la reserva sobre el contenido de la información para no afectar la investigación y los posibles resultados que obran en estos momentos en el expediente (con la divulgación de datos de prueba que la comprometan o, en su caso, alertar a personas implicadas lo que podría llevar a la destrucción de pruebas supervenientes o novedosas), así como con la finalidad de proteger datos sensibles que solo corresponden conocer a las partes involucradas y al órgano responsable de resolver.</w:t>
      </w:r>
      <w:r w:rsidRPr="00B33936">
        <w:rPr>
          <w:rFonts w:ascii="Palatino Linotype" w:hAnsi="Palatino Linotype" w:cs="Arial"/>
        </w:rPr>
        <w:t xml:space="preserve"> </w:t>
      </w:r>
    </w:p>
    <w:bookmarkEnd w:id="1"/>
    <w:p w14:paraId="6C345DD3" w14:textId="77777777" w:rsidR="00B33936" w:rsidRDefault="00B33936" w:rsidP="00B33936">
      <w:pPr>
        <w:spacing w:line="360" w:lineRule="auto"/>
        <w:ind w:right="49"/>
        <w:jc w:val="both"/>
        <w:rPr>
          <w:rFonts w:ascii="Palatino Linotype" w:hAnsi="Palatino Linotype" w:cs="Arial"/>
        </w:rPr>
      </w:pPr>
    </w:p>
    <w:p w14:paraId="192D1EDD" w14:textId="77777777" w:rsidR="00B33936" w:rsidRDefault="00B33936" w:rsidP="00B33936">
      <w:pPr>
        <w:spacing w:line="360" w:lineRule="auto"/>
        <w:ind w:right="49"/>
        <w:jc w:val="both"/>
        <w:rPr>
          <w:rFonts w:ascii="Palatino Linotype" w:hAnsi="Palatino Linotype" w:cs="Arial"/>
        </w:rPr>
      </w:pPr>
      <w:r w:rsidRPr="00B33936">
        <w:rPr>
          <w:rFonts w:ascii="Palatino Linotype" w:hAnsi="Palatino Linotype" w:cs="Arial"/>
        </w:rPr>
        <w:t xml:space="preserve">Está conclusión resulta más patente, </w:t>
      </w:r>
      <w:r w:rsidRPr="00B33936">
        <w:rPr>
          <w:rFonts w:ascii="Palatino Linotype" w:hAnsi="Palatino Linotype" w:cs="Arial"/>
          <w:u w:val="single"/>
        </w:rPr>
        <w:t>tomando en consideración que las investigaciones respectivas no pueden considerarse como concluidas definitivamente, sino hasta el momento en que las condiciones dispuestas en la ley de la materia se materialicen.</w:t>
      </w:r>
      <w:r w:rsidRPr="00B33936">
        <w:rPr>
          <w:rFonts w:ascii="Palatino Linotype" w:hAnsi="Palatino Linotype" w:cs="Arial"/>
        </w:rPr>
        <w:t xml:space="preserve"> </w:t>
      </w:r>
    </w:p>
    <w:p w14:paraId="6FB518EB" w14:textId="30005E44" w:rsidR="00B33936" w:rsidRPr="00B33936" w:rsidRDefault="00B33936" w:rsidP="00B33936">
      <w:pPr>
        <w:spacing w:line="360" w:lineRule="auto"/>
        <w:ind w:right="49"/>
        <w:jc w:val="both"/>
        <w:rPr>
          <w:rFonts w:ascii="Palatino Linotype" w:hAnsi="Palatino Linotype" w:cs="Arial"/>
          <w:b/>
          <w:bCs/>
          <w:u w:val="single"/>
        </w:rPr>
      </w:pPr>
      <w:r w:rsidRPr="00B33936">
        <w:rPr>
          <w:rFonts w:ascii="Palatino Linotype" w:hAnsi="Palatino Linotype" w:cs="Arial"/>
        </w:rPr>
        <w:lastRenderedPageBreak/>
        <w:t xml:space="preserve">En consecuencia, se actualizan las causales de reserva invocadas respecto de las constancias documentales de los expedientes de referencia y, por ende, </w:t>
      </w:r>
      <w:r w:rsidRPr="00B33936">
        <w:rPr>
          <w:rFonts w:ascii="Palatino Linotype" w:hAnsi="Palatino Linotype" w:cs="Arial"/>
          <w:b/>
          <w:bCs/>
          <w:u w:val="single"/>
        </w:rPr>
        <w:t>se confirma la reserva de la información, siendo inconcuso que no puede permitirse el acceso a la información requerida.</w:t>
      </w:r>
    </w:p>
    <w:p w14:paraId="1189DCD8" w14:textId="77777777" w:rsidR="00B33936" w:rsidRPr="00B33936" w:rsidRDefault="00B33936" w:rsidP="00B33936">
      <w:pPr>
        <w:spacing w:line="360" w:lineRule="auto"/>
        <w:ind w:right="49"/>
        <w:jc w:val="both"/>
        <w:rPr>
          <w:rFonts w:ascii="Palatino Linotype" w:hAnsi="Palatino Linotype" w:cs="Arial"/>
        </w:rPr>
      </w:pPr>
    </w:p>
    <w:p w14:paraId="3CF1AAD1" w14:textId="77777777" w:rsidR="00B33936" w:rsidRDefault="00B33936" w:rsidP="00B33936">
      <w:pPr>
        <w:spacing w:line="360" w:lineRule="auto"/>
        <w:ind w:right="49"/>
        <w:jc w:val="both"/>
        <w:rPr>
          <w:rFonts w:ascii="Palatino Linotype" w:hAnsi="Palatino Linotype" w:cs="Arial"/>
        </w:rPr>
      </w:pPr>
      <w:r w:rsidRPr="00B33936">
        <w:rPr>
          <w:rFonts w:ascii="Palatino Linotype" w:hAnsi="Palatino Linotype" w:cs="Arial"/>
        </w:rPr>
        <w:t xml:space="preserve">Máxime cuando las determinaciones que elabora la Autoridad Investigadora, son susceptibles de ser impugnadas por las partes, a través del Recurso de inconformidad y de Reclamación, previstos en los artículos 106 y 199 de la Ley de Responsabilidades Administrativas del Estado de México y Municipios, respectivamente. </w:t>
      </w:r>
    </w:p>
    <w:p w14:paraId="1F5D31F8" w14:textId="77777777" w:rsidR="00B33936" w:rsidRDefault="00B33936" w:rsidP="00B33936">
      <w:pPr>
        <w:spacing w:line="360" w:lineRule="auto"/>
        <w:ind w:right="49"/>
        <w:jc w:val="both"/>
        <w:rPr>
          <w:rFonts w:ascii="Palatino Linotype" w:hAnsi="Palatino Linotype" w:cs="Arial"/>
        </w:rPr>
      </w:pPr>
    </w:p>
    <w:p w14:paraId="4BC0CCBC" w14:textId="2239797A" w:rsidR="00515938" w:rsidRDefault="00B33936" w:rsidP="00B33936">
      <w:pPr>
        <w:spacing w:line="360" w:lineRule="auto"/>
        <w:ind w:right="49"/>
        <w:jc w:val="both"/>
        <w:rPr>
          <w:rFonts w:ascii="Palatino Linotype" w:hAnsi="Palatino Linotype" w:cs="Arial"/>
        </w:rPr>
      </w:pPr>
      <w:r w:rsidRPr="00B33936">
        <w:rPr>
          <w:rFonts w:ascii="Palatino Linotype" w:hAnsi="Palatino Linotype" w:cs="Arial"/>
        </w:rPr>
        <w:t xml:space="preserve">Por lo cual, se encuentran </w:t>
      </w:r>
      <w:r w:rsidRPr="00B33936">
        <w:rPr>
          <w:rFonts w:ascii="Palatino Linotype" w:hAnsi="Palatino Linotype" w:cs="Arial"/>
          <w:i/>
          <w:iCs/>
        </w:rPr>
        <w:t xml:space="preserve">sub </w:t>
      </w:r>
      <w:proofErr w:type="spellStart"/>
      <w:r w:rsidRPr="00B33936">
        <w:rPr>
          <w:rFonts w:ascii="Palatino Linotype" w:hAnsi="Palatino Linotype" w:cs="Arial"/>
          <w:i/>
          <w:iCs/>
        </w:rPr>
        <w:t>iudice</w:t>
      </w:r>
      <w:proofErr w:type="spellEnd"/>
      <w:r w:rsidRPr="00B33936">
        <w:rPr>
          <w:rFonts w:ascii="Palatino Linotype" w:hAnsi="Palatino Linotype" w:cs="Arial"/>
        </w:rPr>
        <w:t xml:space="preserve">, es decir, </w:t>
      </w:r>
      <w:r w:rsidRPr="00B33936">
        <w:rPr>
          <w:rFonts w:ascii="Palatino Linotype" w:hAnsi="Palatino Linotype" w:cs="Arial"/>
          <w:b/>
          <w:bCs/>
          <w:u w:val="single"/>
        </w:rPr>
        <w:t>pendiente de resolverse o siendo impugnable mediante un recurso ordinario, para confirmarse, revocarse o modificarse</w:t>
      </w:r>
      <w:r w:rsidRPr="00B33936">
        <w:rPr>
          <w:rFonts w:ascii="Palatino Linotype" w:hAnsi="Palatino Linotype" w:cs="Arial"/>
        </w:rPr>
        <w:t>.</w:t>
      </w:r>
      <w:r>
        <w:rPr>
          <w:rFonts w:ascii="Palatino Linotype" w:hAnsi="Palatino Linotype" w:cs="Arial"/>
        </w:rPr>
        <w:t>” (Sic).</w:t>
      </w:r>
    </w:p>
    <w:p w14:paraId="4A5FA24D" w14:textId="77777777" w:rsidR="00B33936" w:rsidRDefault="00B33936" w:rsidP="00B33936">
      <w:pPr>
        <w:spacing w:line="360" w:lineRule="auto"/>
        <w:ind w:right="49"/>
        <w:jc w:val="both"/>
        <w:rPr>
          <w:rFonts w:ascii="Palatino Linotype" w:hAnsi="Palatino Linotype" w:cs="Arial"/>
        </w:rPr>
      </w:pPr>
    </w:p>
    <w:p w14:paraId="6EE02C70" w14:textId="20D7C6FF" w:rsidR="00B33936" w:rsidRDefault="00B33936" w:rsidP="00B33936">
      <w:pPr>
        <w:spacing w:line="360" w:lineRule="auto"/>
        <w:ind w:right="49"/>
        <w:jc w:val="both"/>
        <w:rPr>
          <w:rFonts w:ascii="Palatino Linotype" w:hAnsi="Palatino Linotype" w:cs="Arial"/>
        </w:rPr>
      </w:pPr>
      <w:r w:rsidRPr="00B33936">
        <w:rPr>
          <w:rFonts w:ascii="Palatino Linotype" w:hAnsi="Palatino Linotype" w:cs="Arial"/>
        </w:rPr>
        <w:t>En este sentido, debe dejarse claro que, al haber existido un pronunciamiento por parte del Sujeto Obligado, este Instituto no está facultado para manifestarse sobre la veracidad del mismo, pues no existe precepto legal alguno en la Ley de la materia que lo faculte para, vía recurso de revisión, pronunciarse al respecto.</w:t>
      </w:r>
    </w:p>
    <w:p w14:paraId="39E0E044" w14:textId="77777777" w:rsidR="00DC3CEA" w:rsidRPr="00DC3CEA" w:rsidRDefault="00DC3CEA" w:rsidP="00DC3CEA">
      <w:pPr>
        <w:spacing w:line="360" w:lineRule="auto"/>
        <w:ind w:right="141"/>
        <w:jc w:val="both"/>
        <w:rPr>
          <w:rFonts w:ascii="Palatino Linotype" w:eastAsia="Calibri" w:hAnsi="Palatino Linotype" w:cs="Arial"/>
          <w:bCs/>
          <w:lang w:val="es-MX" w:eastAsia="en-US"/>
        </w:rPr>
      </w:pPr>
    </w:p>
    <w:p w14:paraId="62F62289" w14:textId="21D0B9D6" w:rsidR="008F4D47" w:rsidRDefault="00DC3CEA" w:rsidP="00DC3CEA">
      <w:pPr>
        <w:spacing w:line="360" w:lineRule="auto"/>
        <w:ind w:right="141"/>
        <w:jc w:val="both"/>
        <w:rPr>
          <w:rFonts w:ascii="Palatino Linotype" w:eastAsia="Calibri" w:hAnsi="Palatino Linotype" w:cs="Arial"/>
          <w:bCs/>
          <w:i/>
          <w:lang w:val="es-MX" w:eastAsia="en-US"/>
        </w:rPr>
      </w:pPr>
      <w:r w:rsidRPr="00863ACC">
        <w:rPr>
          <w:rFonts w:ascii="Palatino Linotype" w:eastAsia="Calibri" w:hAnsi="Palatino Linotype" w:cs="Arial"/>
          <w:bCs/>
          <w:lang w:val="es-MX" w:eastAsia="en-US"/>
        </w:rPr>
        <w:t xml:space="preserve">Es así que derivado de la respuesta emitida por </w:t>
      </w:r>
      <w:r w:rsidRPr="00863ACC">
        <w:rPr>
          <w:rFonts w:ascii="Palatino Linotype" w:eastAsia="Calibri" w:hAnsi="Palatino Linotype" w:cs="Arial"/>
          <w:b/>
          <w:bCs/>
          <w:lang w:val="es-MX" w:eastAsia="en-US"/>
        </w:rPr>
        <w:t>El Sujeto Obligado</w:t>
      </w:r>
      <w:r w:rsidRPr="00863ACC">
        <w:rPr>
          <w:rFonts w:ascii="Palatino Linotype" w:eastAsia="Calibri" w:hAnsi="Palatino Linotype" w:cs="Arial"/>
          <w:bCs/>
          <w:lang w:val="es-MX" w:eastAsia="en-US"/>
        </w:rPr>
        <w:t xml:space="preserve">, </w:t>
      </w:r>
      <w:r w:rsidRPr="00863ACC">
        <w:rPr>
          <w:rFonts w:ascii="Palatino Linotype" w:eastAsia="Calibri" w:hAnsi="Palatino Linotype" w:cs="Arial"/>
          <w:b/>
          <w:bCs/>
          <w:lang w:val="es-MX" w:eastAsia="en-US"/>
        </w:rPr>
        <w:t>El Recurrente</w:t>
      </w:r>
      <w:r w:rsidRPr="00863ACC">
        <w:rPr>
          <w:rFonts w:ascii="Palatino Linotype" w:eastAsia="Calibri" w:hAnsi="Palatino Linotype" w:cs="Arial"/>
          <w:bCs/>
          <w:lang w:val="es-MX" w:eastAsia="en-US"/>
        </w:rPr>
        <w:t xml:space="preserve">, interpuso el presente recurso de revisión, señalando sustancialmente como sus razones o motivos de inconformidad, lo siguiente: </w:t>
      </w:r>
      <w:r w:rsidRPr="00863ACC">
        <w:rPr>
          <w:rFonts w:ascii="Palatino Linotype" w:eastAsia="Calibri" w:hAnsi="Palatino Linotype" w:cs="Arial"/>
          <w:bCs/>
          <w:i/>
          <w:lang w:val="es-MX" w:eastAsia="en-US"/>
        </w:rPr>
        <w:t>“</w:t>
      </w:r>
      <w:r w:rsidR="00B33936" w:rsidRPr="00B33936">
        <w:rPr>
          <w:rFonts w:ascii="Palatino Linotype" w:eastAsia="Calibri" w:hAnsi="Palatino Linotype" w:cs="Arial"/>
          <w:bCs/>
          <w:i/>
          <w:lang w:val="es-MX" w:eastAsia="en-US"/>
        </w:rPr>
        <w:t xml:space="preserve">LAS VERSIONES PUBLICAS </w:t>
      </w:r>
      <w:r w:rsidR="00B33936" w:rsidRPr="00B33936">
        <w:rPr>
          <w:rFonts w:ascii="Palatino Linotype" w:eastAsia="Calibri" w:hAnsi="Palatino Linotype" w:cs="Arial"/>
          <w:bCs/>
          <w:i/>
          <w:lang w:val="es-MX" w:eastAsia="en-US"/>
        </w:rPr>
        <w:lastRenderedPageBreak/>
        <w:t>PROTEGEN LOS DATOS PERSONALES, NO APLICA LA NEGATIVA A ENTREGAR INFORMACION DE LOS TRABAJOS QUE REALIZA.</w:t>
      </w:r>
      <w:r w:rsidRPr="00863ACC">
        <w:rPr>
          <w:rFonts w:ascii="Palatino Linotype" w:eastAsia="Calibri" w:hAnsi="Palatino Linotype" w:cs="Arial"/>
          <w:bCs/>
          <w:i/>
          <w:lang w:val="es-MX" w:eastAsia="en-US"/>
        </w:rPr>
        <w:t>” (Sic).</w:t>
      </w:r>
    </w:p>
    <w:p w14:paraId="76679718" w14:textId="77777777" w:rsidR="00DC3CEA" w:rsidRPr="00DC3CEA" w:rsidRDefault="00DC3CEA" w:rsidP="00DC3CEA">
      <w:pPr>
        <w:spacing w:line="360" w:lineRule="auto"/>
        <w:ind w:right="141"/>
        <w:jc w:val="both"/>
        <w:rPr>
          <w:rFonts w:ascii="Palatino Linotype" w:eastAsia="Calibri" w:hAnsi="Palatino Linotype" w:cs="Arial"/>
          <w:bCs/>
          <w:i/>
          <w:sz w:val="22"/>
          <w:lang w:val="es-MX" w:eastAsia="en-US"/>
        </w:rPr>
      </w:pPr>
    </w:p>
    <w:p w14:paraId="7F1C6C94"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ES_tradnl" w:eastAsia="en-US"/>
        </w:rPr>
        <w:t xml:space="preserve">Por tal motivo, es de </w:t>
      </w:r>
      <w:r w:rsidRPr="00DC3CEA">
        <w:rPr>
          <w:rFonts w:ascii="Palatino Linotype" w:eastAsia="Calibri" w:hAnsi="Palatino Linotype" w:cs="Arial"/>
          <w:lang w:val="es-MX" w:eastAsia="en-US"/>
        </w:rPr>
        <w:t>señalar que el artículo 4, párrafo segundo de la Ley de Transparencia y Acceso a la Información Pública del Estado de México y Municipios, dispone:</w:t>
      </w:r>
    </w:p>
    <w:p w14:paraId="007E5A16" w14:textId="77777777" w:rsidR="00DC3CEA" w:rsidRPr="00DC3CEA" w:rsidRDefault="00DC3CEA" w:rsidP="00DC3CEA">
      <w:pPr>
        <w:rPr>
          <w:rFonts w:ascii="Calibri" w:eastAsia="Calibri" w:hAnsi="Calibri"/>
          <w:sz w:val="22"/>
          <w:szCs w:val="22"/>
          <w:lang w:val="es-MX" w:eastAsia="en-US"/>
        </w:rPr>
      </w:pPr>
    </w:p>
    <w:p w14:paraId="0A52BC43" w14:textId="77777777" w:rsidR="00DC3CEA" w:rsidRPr="00DC3CEA" w:rsidRDefault="00DC3CEA" w:rsidP="00DC3CEA">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r w:rsidRPr="00DC3CEA">
        <w:rPr>
          <w:rFonts w:ascii="Palatino Linotype" w:eastAsia="Calibri" w:hAnsi="Palatino Linotype" w:cs="Arial"/>
          <w:b/>
          <w:i/>
          <w:sz w:val="22"/>
          <w:szCs w:val="22"/>
          <w:lang w:val="es-MX" w:eastAsia="en-US"/>
        </w:rPr>
        <w:t xml:space="preserve">Artículo 4. </w:t>
      </w:r>
      <w:r w:rsidRPr="00DC3CEA">
        <w:rPr>
          <w:rFonts w:ascii="Palatino Linotype" w:eastAsia="Calibri" w:hAnsi="Palatino Linotype" w:cs="Arial"/>
          <w:i/>
          <w:sz w:val="22"/>
          <w:szCs w:val="22"/>
          <w:lang w:val="es-MX" w:eastAsia="en-US"/>
        </w:rPr>
        <w:t xml:space="preserve">… </w:t>
      </w:r>
    </w:p>
    <w:p w14:paraId="230D07A5" w14:textId="77777777" w:rsidR="00DC3CEA" w:rsidRPr="00DC3CEA" w:rsidRDefault="00DC3CEA" w:rsidP="00DC3CEA">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041162" w14:textId="77777777" w:rsidR="00B33936" w:rsidRDefault="00B33936" w:rsidP="00DC3CEA">
      <w:pPr>
        <w:tabs>
          <w:tab w:val="left" w:pos="709"/>
        </w:tabs>
        <w:spacing w:line="360" w:lineRule="auto"/>
        <w:jc w:val="both"/>
        <w:rPr>
          <w:rFonts w:ascii="Palatino Linotype" w:eastAsia="Calibri" w:hAnsi="Palatino Linotype" w:cs="Arial"/>
          <w:lang w:val="es-ES_tradnl" w:eastAsia="en-US"/>
        </w:rPr>
      </w:pPr>
    </w:p>
    <w:p w14:paraId="66FECC4A" w14:textId="5F760754" w:rsidR="00DC3CEA" w:rsidRPr="00DC3CEA" w:rsidRDefault="00DC3CEA" w:rsidP="00DC3CEA">
      <w:pPr>
        <w:tabs>
          <w:tab w:val="left" w:pos="709"/>
        </w:tabs>
        <w:spacing w:line="360" w:lineRule="auto"/>
        <w:jc w:val="both"/>
        <w:rPr>
          <w:rFonts w:ascii="Palatino Linotype" w:eastAsia="Calibri" w:hAnsi="Palatino Linotype" w:cs="Arial"/>
          <w:lang w:val="es-ES_tradnl" w:eastAsia="en-US"/>
        </w:rPr>
      </w:pPr>
      <w:r w:rsidRPr="00DC3CEA">
        <w:rPr>
          <w:rFonts w:ascii="Palatino Linotype" w:eastAsia="Calibr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7F01CFB"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p>
    <w:p w14:paraId="5652CC61" w14:textId="0D1BBDB6" w:rsidR="00CB756E" w:rsidRPr="00DC3CEA" w:rsidRDefault="00DC3CEA" w:rsidP="00CB756E">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BF8FF38" w14:textId="77777777" w:rsidR="00DC3CEA" w:rsidRPr="00DC3CEA" w:rsidRDefault="00DC3CEA" w:rsidP="00DC3CEA">
      <w:pPr>
        <w:spacing w:after="160"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lastRenderedPageBreak/>
        <w:t>“</w:t>
      </w:r>
      <w:r w:rsidRPr="00DC3CEA">
        <w:rPr>
          <w:rFonts w:ascii="Palatino Linotype" w:eastAsia="Calibri" w:hAnsi="Palatino Linotype" w:cs="Arial"/>
          <w:b/>
          <w:i/>
          <w:sz w:val="22"/>
          <w:szCs w:val="22"/>
          <w:lang w:val="es-MX" w:eastAsia="en-US"/>
        </w:rPr>
        <w:t>Artículo 12.</w:t>
      </w:r>
      <w:r w:rsidRPr="00DC3CEA">
        <w:rPr>
          <w:rFonts w:ascii="Palatino Linotype" w:eastAsia="Calibr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0D5C4EFA" w14:textId="4177824D" w:rsidR="00DC3CEA" w:rsidRDefault="00DC3CEA" w:rsidP="00CB756E">
      <w:pPr>
        <w:spacing w:line="256" w:lineRule="auto"/>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38E0E0" w14:textId="77777777" w:rsidR="00CB756E" w:rsidRPr="00DC3CEA" w:rsidRDefault="00CB756E" w:rsidP="00CB756E">
      <w:pPr>
        <w:spacing w:line="256" w:lineRule="auto"/>
        <w:ind w:left="851" w:right="901"/>
        <w:jc w:val="both"/>
        <w:rPr>
          <w:rFonts w:ascii="Palatino Linotype" w:eastAsia="Calibri" w:hAnsi="Palatino Linotype" w:cs="Arial"/>
          <w:i/>
          <w:sz w:val="22"/>
          <w:szCs w:val="22"/>
          <w:lang w:val="es-MX" w:eastAsia="en-US"/>
        </w:rPr>
      </w:pPr>
    </w:p>
    <w:p w14:paraId="294E77D5"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257E3E5"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p>
    <w:p w14:paraId="40CEA6E7" w14:textId="77777777" w:rsidR="00DC3CEA" w:rsidRPr="00DC3CEA" w:rsidRDefault="00DC3CEA" w:rsidP="00DC3CEA">
      <w:pPr>
        <w:tabs>
          <w:tab w:val="left" w:pos="709"/>
        </w:tabs>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DC3CEA">
        <w:rPr>
          <w:rFonts w:ascii="Palatino Linotype" w:eastAsia="Calibr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3CEA">
        <w:rPr>
          <w:rFonts w:ascii="Palatino Linotype" w:eastAsia="Calibr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2E5B62C" w14:textId="77777777" w:rsidR="00DC3CEA" w:rsidRPr="00DC3CEA" w:rsidRDefault="00DC3CEA" w:rsidP="00DC3CEA">
      <w:pPr>
        <w:rPr>
          <w:rFonts w:eastAsia="Calibri"/>
          <w:lang w:val="es-MX" w:eastAsia="en-US"/>
        </w:rPr>
      </w:pPr>
    </w:p>
    <w:p w14:paraId="518A900C"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r w:rsidRPr="00DC3CEA">
        <w:rPr>
          <w:rFonts w:ascii="Palatino Linotype" w:eastAsia="Calibri" w:hAnsi="Palatino Linotype" w:cs="Arial"/>
          <w:b/>
          <w:i/>
          <w:sz w:val="22"/>
          <w:szCs w:val="22"/>
          <w:lang w:val="es-MX" w:eastAsia="en-US"/>
        </w:rPr>
        <w:t xml:space="preserve">Artículo 3. </w:t>
      </w:r>
      <w:r w:rsidRPr="00DC3CEA">
        <w:rPr>
          <w:rFonts w:ascii="Palatino Linotype" w:eastAsia="Calibri" w:hAnsi="Palatino Linotype" w:cs="Arial"/>
          <w:i/>
          <w:sz w:val="22"/>
          <w:szCs w:val="22"/>
          <w:lang w:val="es-MX" w:eastAsia="en-US"/>
        </w:rPr>
        <w:t>Para los efectos de la presente Ley se entenderá por:</w:t>
      </w:r>
    </w:p>
    <w:p w14:paraId="4BC502F0" w14:textId="77777777" w:rsidR="00DC3CEA" w:rsidRPr="00DC3CEA" w:rsidRDefault="00DC3CEA" w:rsidP="00DC3CEA">
      <w:pPr>
        <w:ind w:left="851" w:right="850"/>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p>
    <w:p w14:paraId="600E7E36"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b/>
          <w:i/>
          <w:sz w:val="22"/>
          <w:szCs w:val="22"/>
          <w:lang w:val="es-MX" w:eastAsia="en-US"/>
        </w:rPr>
        <w:t>XI. Documento:</w:t>
      </w:r>
      <w:r w:rsidRPr="00DC3CEA">
        <w:rPr>
          <w:rFonts w:ascii="Palatino Linotype" w:eastAsia="Calibr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DC3CEA">
        <w:rPr>
          <w:rFonts w:ascii="Palatino Linotype" w:eastAsia="Calibri" w:hAnsi="Palatino Linotype" w:cs="Arial"/>
          <w:b/>
          <w:i/>
          <w:sz w:val="22"/>
          <w:szCs w:val="22"/>
          <w:u w:val="single"/>
          <w:lang w:val="es-MX" w:eastAsia="en-US"/>
        </w:rPr>
        <w:t>registro que documente el ejercicio de las facultades, funciones y competencias de los sujetos obligados</w:t>
      </w:r>
      <w:r w:rsidRPr="00DC3CEA">
        <w:rPr>
          <w:rFonts w:ascii="Palatino Linotype" w:eastAsia="Calibri" w:hAnsi="Palatino Linotype" w:cs="Arial"/>
          <w:i/>
          <w:sz w:val="22"/>
          <w:szCs w:val="22"/>
          <w:u w:val="single"/>
          <w:lang w:val="es-MX" w:eastAsia="en-US"/>
        </w:rPr>
        <w:t>,</w:t>
      </w:r>
      <w:r w:rsidRPr="00DC3CEA">
        <w:rPr>
          <w:rFonts w:ascii="Palatino Linotype" w:eastAsia="Calibri" w:hAnsi="Palatino Linotype" w:cs="Arial"/>
          <w:i/>
          <w:sz w:val="22"/>
          <w:szCs w:val="22"/>
          <w:lang w:val="es-MX" w:eastAsia="en-US"/>
        </w:rPr>
        <w:t xml:space="preserve"> sus servidores públicos e integrantes, </w:t>
      </w:r>
      <w:r w:rsidRPr="00DC3CEA">
        <w:rPr>
          <w:rFonts w:ascii="Palatino Linotype" w:eastAsia="Calibri" w:hAnsi="Palatino Linotype" w:cs="Arial"/>
          <w:b/>
          <w:i/>
          <w:sz w:val="22"/>
          <w:szCs w:val="22"/>
          <w:u w:val="single"/>
          <w:lang w:val="es-MX" w:eastAsia="en-US"/>
        </w:rPr>
        <w:t>sin importar su fuente o fecha de elaboración.</w:t>
      </w:r>
      <w:r w:rsidRPr="00DC3CEA">
        <w:rPr>
          <w:rFonts w:ascii="Palatino Linotype" w:eastAsia="Calibri" w:hAnsi="Palatino Linotype" w:cs="Arial"/>
          <w:i/>
          <w:sz w:val="22"/>
          <w:szCs w:val="22"/>
          <w:lang w:val="es-MX" w:eastAsia="en-US"/>
        </w:rPr>
        <w:t xml:space="preserve"> Los documentos podrán estar en cualquier medio, sea escrito, impreso, sonoro, visual, electrónico, informático u holográfico;</w:t>
      </w:r>
    </w:p>
    <w:p w14:paraId="270CD355" w14:textId="77777777" w:rsidR="00DC3CEA" w:rsidRPr="00DC3CEA" w:rsidRDefault="00DC3CEA" w:rsidP="00DC3CEA">
      <w:pPr>
        <w:ind w:left="851" w:right="901"/>
        <w:jc w:val="both"/>
        <w:rPr>
          <w:rFonts w:ascii="Palatino Linotype" w:eastAsia="Calibri" w:hAnsi="Palatino Linotype" w:cs="Arial"/>
          <w:i/>
          <w:sz w:val="22"/>
          <w:szCs w:val="22"/>
          <w:lang w:val="es-MX" w:eastAsia="en-US"/>
        </w:rPr>
      </w:pPr>
      <w:r w:rsidRPr="00DC3CEA">
        <w:rPr>
          <w:rFonts w:ascii="Palatino Linotype" w:eastAsia="Calibri" w:hAnsi="Palatino Linotype" w:cs="Arial"/>
          <w:i/>
          <w:sz w:val="22"/>
          <w:szCs w:val="22"/>
          <w:lang w:val="es-MX" w:eastAsia="en-US"/>
        </w:rPr>
        <w:t>(…)”</w:t>
      </w:r>
    </w:p>
    <w:p w14:paraId="32142511" w14:textId="77777777" w:rsidR="00DC3CEA" w:rsidRPr="00DC3CEA" w:rsidRDefault="00DC3CEA" w:rsidP="00DC3CEA">
      <w:pPr>
        <w:spacing w:after="160" w:line="256" w:lineRule="auto"/>
        <w:rPr>
          <w:rFonts w:ascii="Calibri" w:eastAsia="Calibri" w:hAnsi="Calibri"/>
          <w:sz w:val="8"/>
          <w:szCs w:val="16"/>
          <w:lang w:val="es-MX" w:eastAsia="en-US"/>
        </w:rPr>
      </w:pPr>
    </w:p>
    <w:p w14:paraId="49DED810" w14:textId="77777777" w:rsidR="00DC3CEA" w:rsidRPr="00DC3CEA" w:rsidRDefault="00DC3CEA" w:rsidP="00DC3CEA">
      <w:pPr>
        <w:spacing w:line="360" w:lineRule="auto"/>
        <w:ind w:right="49"/>
        <w:contextualSpacing/>
        <w:jc w:val="both"/>
        <w:rPr>
          <w:rFonts w:ascii="Palatino Linotype" w:eastAsia="Calibri" w:hAnsi="Palatino Linotype" w:cs="Arial"/>
          <w:lang w:val="es-MX" w:eastAsia="es-MX"/>
        </w:rPr>
      </w:pPr>
      <w:r w:rsidRPr="00DC3CEA">
        <w:rPr>
          <w:rFonts w:ascii="Palatino Linotype" w:eastAsia="Calibri" w:hAnsi="Palatino Linotype" w:cs="Arial"/>
          <w:lang w:val="es-MX" w:eastAsia="en-US"/>
        </w:rPr>
        <w:t xml:space="preserve">Además, </w:t>
      </w:r>
      <w:r w:rsidRPr="00DC3CEA">
        <w:rPr>
          <w:rFonts w:ascii="Palatino Linotype" w:eastAsia="MS Mincho" w:hAnsi="Palatino Linotype"/>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513C451" w14:textId="77777777" w:rsidR="00DC3CEA" w:rsidRPr="00DC3CEA" w:rsidRDefault="00DC3CEA" w:rsidP="00DC3CEA">
      <w:pPr>
        <w:spacing w:line="360" w:lineRule="auto"/>
        <w:ind w:right="49"/>
        <w:contextualSpacing/>
        <w:jc w:val="both"/>
        <w:rPr>
          <w:rFonts w:ascii="Palatino Linotype" w:eastAsia="Calibri" w:hAnsi="Palatino Linotype" w:cs="Arial"/>
          <w:lang w:val="es-MX" w:eastAsia="es-MX"/>
        </w:rPr>
      </w:pPr>
    </w:p>
    <w:p w14:paraId="625F1D7B" w14:textId="77777777" w:rsidR="00DC3CEA" w:rsidRPr="00DC3CEA" w:rsidRDefault="00DC3CEA" w:rsidP="00DC3CEA">
      <w:pPr>
        <w:spacing w:line="360" w:lineRule="auto"/>
        <w:ind w:right="49"/>
        <w:contextualSpacing/>
        <w:jc w:val="both"/>
        <w:rPr>
          <w:rFonts w:ascii="Palatino Linotype" w:eastAsia="MS Mincho" w:hAnsi="Palatino Linotype" w:cs="Tahoma"/>
          <w:lang w:val="es-MX" w:eastAsia="en-US"/>
        </w:rPr>
      </w:pPr>
      <w:r w:rsidRPr="00DC3CEA">
        <w:rPr>
          <w:rFonts w:ascii="Palatino Linotype" w:eastAsia="Calibri" w:hAnsi="Palatino Linotype" w:cs="Arial"/>
          <w:lang w:val="es-MX" w:eastAsia="es-MX"/>
        </w:rPr>
        <w:t xml:space="preserve">De la misma forma, </w:t>
      </w:r>
      <w:r w:rsidRPr="00DC3CEA">
        <w:rPr>
          <w:rFonts w:ascii="Palatino Linotype" w:eastAsia="MS Mincho" w:hAnsi="Palatino Linotype"/>
          <w:lang w:val="es-MX" w:eastAsia="en-US"/>
        </w:rPr>
        <w:t>de acuerdo al contenido del artículo 160,</w:t>
      </w:r>
      <w:r w:rsidRPr="00DC3CEA">
        <w:rPr>
          <w:rFonts w:ascii="Palatino Linotype" w:eastAsia="Calibri" w:hAnsi="Palatino Linotype" w:cs="Arial"/>
          <w:lang w:val="es-MX" w:eastAsia="en-US"/>
        </w:rPr>
        <w:t xml:space="preserve"> de la Ley </w:t>
      </w:r>
      <w:r w:rsidRPr="00DC3CEA">
        <w:rPr>
          <w:rFonts w:ascii="Palatino Linotype" w:eastAsia="MS Mincho" w:hAnsi="Palatino Linotype" w:cs="Tahoma"/>
          <w:lang w:val="es-MX" w:eastAsia="en-US"/>
        </w:rPr>
        <w:t>General de Transparencia y Acceso a la Información Pública que a la letra dispone:</w:t>
      </w:r>
    </w:p>
    <w:p w14:paraId="75FAF184" w14:textId="77777777" w:rsidR="00DC3CEA" w:rsidRPr="00DC3CEA" w:rsidRDefault="00DC3CEA" w:rsidP="00DC3CEA">
      <w:pPr>
        <w:rPr>
          <w:rFonts w:eastAsia="MS Mincho"/>
          <w:lang w:val="es-MX" w:eastAsia="en-US"/>
        </w:rPr>
      </w:pPr>
    </w:p>
    <w:p w14:paraId="37103C21" w14:textId="77777777" w:rsidR="00DC3CEA" w:rsidRPr="00DC3CEA" w:rsidRDefault="00DC3CEA" w:rsidP="00DC3CEA">
      <w:pPr>
        <w:spacing w:line="256" w:lineRule="auto"/>
        <w:ind w:left="567" w:right="616"/>
        <w:contextualSpacing/>
        <w:jc w:val="both"/>
        <w:rPr>
          <w:rFonts w:ascii="Palatino Linotype" w:eastAsia="Calibri" w:hAnsi="Palatino Linotype" w:cs="Arial"/>
          <w:i/>
          <w:sz w:val="22"/>
          <w:szCs w:val="22"/>
          <w:lang w:val="es-MX" w:eastAsia="gl-ES"/>
        </w:rPr>
      </w:pPr>
      <w:r w:rsidRPr="00DC3CEA">
        <w:rPr>
          <w:rFonts w:ascii="Palatino Linotype" w:eastAsia="Calibri" w:hAnsi="Palatino Linotype" w:cs="Arial"/>
          <w:b/>
          <w:i/>
          <w:sz w:val="22"/>
          <w:szCs w:val="22"/>
          <w:lang w:val="es-MX" w:eastAsia="gl-ES"/>
        </w:rPr>
        <w:t>Artículo 160</w:t>
      </w:r>
      <w:r w:rsidRPr="00DC3CEA">
        <w:rPr>
          <w:rFonts w:ascii="Palatino Linotype" w:eastAsia="Calibri" w:hAnsi="Palatino Linotype" w:cs="Arial"/>
          <w:i/>
          <w:sz w:val="22"/>
          <w:szCs w:val="22"/>
          <w:lang w:val="es-MX" w:eastAsia="gl-ES"/>
        </w:rPr>
        <w:t xml:space="preserve">. Los sujetos obligados deberán otorgar acceso a los documentos que se encuentren en sus archivos o que estén obligados a documentar de acuerdo con sus </w:t>
      </w:r>
      <w:r w:rsidRPr="00DC3CEA">
        <w:rPr>
          <w:rFonts w:ascii="Palatino Linotype" w:eastAsia="Calibri" w:hAnsi="Palatino Linotype" w:cs="Arial"/>
          <w:i/>
          <w:sz w:val="22"/>
          <w:szCs w:val="22"/>
          <w:lang w:val="es-MX" w:eastAsia="gl-ES"/>
        </w:rPr>
        <w:lastRenderedPageBreak/>
        <w:t>facultades, competencias o funciones en el formato que el solicitante manifieste, de entre aquellos formatos existentes, conforme a las características físicas de la información o del lugar donde se encuentre así lo permita.</w:t>
      </w:r>
    </w:p>
    <w:p w14:paraId="04DF9C7A" w14:textId="77777777" w:rsidR="00DC3CEA" w:rsidRPr="00DC3CEA"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1182A9AC" w14:textId="77777777" w:rsidR="00DC3CEA" w:rsidRPr="00DC3CEA"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5CB3EB8C" w14:textId="77777777" w:rsidR="00DC3CEA" w:rsidRPr="00DC3CEA" w:rsidRDefault="00DC3CEA" w:rsidP="00DC3CEA">
      <w:pPr>
        <w:spacing w:after="160" w:line="360" w:lineRule="auto"/>
        <w:jc w:val="both"/>
        <w:rPr>
          <w:rFonts w:ascii="Palatino Linotype" w:eastAsia="Calibri" w:hAnsi="Palatino Linotype" w:cs="Arial"/>
          <w:color w:val="222222"/>
          <w:szCs w:val="20"/>
          <w:lang w:val="es-MX" w:eastAsia="es-MX"/>
        </w:rPr>
      </w:pPr>
      <w:r w:rsidRPr="00DC3CEA">
        <w:rPr>
          <w:rFonts w:ascii="Palatino Linotype" w:eastAsia="Calibri" w:hAnsi="Palatino Linotype"/>
          <w:color w:val="000000"/>
          <w:lang w:val="es-MX" w:eastAsia="en-US"/>
        </w:rPr>
        <w:t xml:space="preserve">Sirve como apoyo </w:t>
      </w:r>
      <w:r w:rsidRPr="00DC3CEA">
        <w:rPr>
          <w:rFonts w:ascii="Palatino Linotype" w:eastAsia="Calibri" w:hAnsi="Palatino Linotype" w:cs="Arial"/>
          <w:color w:val="222222"/>
          <w:szCs w:val="20"/>
          <w:lang w:val="es-MX" w:eastAsia="es-MX"/>
        </w:rPr>
        <w:t>a lo anterior, el criterio 09-10, emitido por el Pleno del entonces Instituto Federal de Acceso a la Información y Protección de Datos, que a la letra dice:</w:t>
      </w:r>
    </w:p>
    <w:p w14:paraId="7D603F4F" w14:textId="77777777" w:rsidR="00DC3CEA" w:rsidRPr="00DC3CEA" w:rsidRDefault="00DC3CEA" w:rsidP="00DC3CEA">
      <w:pPr>
        <w:rPr>
          <w:rFonts w:ascii="Calibri" w:eastAsia="Calibri" w:hAnsi="Calibri"/>
          <w:sz w:val="10"/>
          <w:szCs w:val="10"/>
          <w:lang w:val="es-MX" w:eastAsia="en-US"/>
        </w:rPr>
      </w:pPr>
    </w:p>
    <w:p w14:paraId="7069B7A7" w14:textId="77777777" w:rsidR="00DC3CEA" w:rsidRPr="00DC3CEA" w:rsidRDefault="00DC3CEA" w:rsidP="00DC3CEA">
      <w:pPr>
        <w:shd w:val="clear" w:color="auto" w:fill="FFFFFF"/>
        <w:tabs>
          <w:tab w:val="left" w:pos="8647"/>
        </w:tabs>
        <w:ind w:left="567" w:right="616"/>
        <w:jc w:val="both"/>
        <w:rPr>
          <w:rFonts w:ascii="Palatino Linotype" w:eastAsia="Calibri" w:hAnsi="Palatino Linotype" w:cs="Arial"/>
          <w:i/>
          <w:iCs/>
          <w:color w:val="222222"/>
          <w:sz w:val="22"/>
          <w:szCs w:val="22"/>
          <w:lang w:val="es-MX" w:eastAsia="es-MX"/>
        </w:rPr>
      </w:pPr>
      <w:r w:rsidRPr="00DC3CEA">
        <w:rPr>
          <w:rFonts w:ascii="Palatino Linotype" w:eastAsia="Calibr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DC3CEA">
        <w:rPr>
          <w:rFonts w:ascii="Palatino Linotype" w:eastAsia="Calibr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2B7688C" w14:textId="77777777" w:rsidR="00DC3CEA" w:rsidRPr="00DC3CEA" w:rsidRDefault="00DC3CEA" w:rsidP="00DC3CEA">
      <w:pPr>
        <w:rPr>
          <w:rFonts w:ascii="Calibri" w:eastAsia="Calibri" w:hAnsi="Calibri"/>
          <w:sz w:val="22"/>
          <w:szCs w:val="22"/>
          <w:lang w:val="es-MX" w:eastAsia="en-US"/>
        </w:rPr>
      </w:pPr>
    </w:p>
    <w:p w14:paraId="71328578" w14:textId="77777777" w:rsidR="00DC3CEA" w:rsidRPr="00DC3CEA" w:rsidRDefault="00DC3CEA" w:rsidP="00DC3CEA">
      <w:pPr>
        <w:rPr>
          <w:rFonts w:ascii="Calibri" w:eastAsia="Calibri" w:hAnsi="Calibri"/>
          <w:sz w:val="16"/>
          <w:szCs w:val="22"/>
          <w:lang w:val="es-MX" w:eastAsia="en-US"/>
        </w:rPr>
      </w:pPr>
    </w:p>
    <w:p w14:paraId="3A3738CA" w14:textId="77777777" w:rsidR="00DC3CEA" w:rsidRPr="00DC3CEA" w:rsidRDefault="00DC3CEA" w:rsidP="00DC3CEA">
      <w:pPr>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bCs/>
          <w:lang w:val="es-MX" w:eastAsia="en-US"/>
        </w:rPr>
        <w:t xml:space="preserve">Además, </w:t>
      </w:r>
      <w:r w:rsidRPr="00DC3CEA">
        <w:rPr>
          <w:rFonts w:ascii="Palatino Linotype" w:eastAsia="Calibri" w:hAnsi="Palatino Linotype" w:cs="Arial"/>
          <w:lang w:val="es-MX" w:eastAsia="en-U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38A824F" w14:textId="77777777" w:rsidR="00DC3CEA" w:rsidRPr="00DC3CEA" w:rsidRDefault="00DC3CEA" w:rsidP="00DC3CEA">
      <w:pPr>
        <w:rPr>
          <w:rFonts w:eastAsia="Calibri"/>
          <w:lang w:val="es-MX" w:eastAsia="en-US"/>
        </w:rPr>
      </w:pPr>
    </w:p>
    <w:p w14:paraId="23B6043E" w14:textId="77777777" w:rsidR="00DC3CEA" w:rsidRPr="00DC3CEA" w:rsidRDefault="00DC3CEA" w:rsidP="00DC3CEA">
      <w:pPr>
        <w:rPr>
          <w:rFonts w:ascii="Calibri" w:eastAsia="Calibri" w:hAnsi="Calibri"/>
          <w:sz w:val="10"/>
          <w:szCs w:val="10"/>
          <w:lang w:val="es-MX" w:eastAsia="en-US"/>
        </w:rPr>
      </w:pPr>
    </w:p>
    <w:p w14:paraId="18CD7599" w14:textId="77777777" w:rsidR="00DC3CEA" w:rsidRPr="00DC3CEA" w:rsidRDefault="00DC3CEA" w:rsidP="00DC3CEA">
      <w:pPr>
        <w:spacing w:line="276" w:lineRule="auto"/>
        <w:ind w:left="426" w:right="567"/>
        <w:jc w:val="both"/>
        <w:rPr>
          <w:rFonts w:ascii="Palatino Linotype" w:hAnsi="Palatino Linotype" w:cs="Arial"/>
          <w:bCs/>
          <w:i/>
          <w:sz w:val="22"/>
        </w:rPr>
      </w:pPr>
      <w:r w:rsidRPr="00DC3CEA">
        <w:rPr>
          <w:rFonts w:ascii="Palatino Linotype" w:hAnsi="Palatino Linotype" w:cs="Arial"/>
          <w:b/>
          <w:i/>
          <w:sz w:val="22"/>
        </w:rPr>
        <w:t>IV.</w:t>
      </w:r>
      <w:r w:rsidRPr="00DC3CEA">
        <w:rPr>
          <w:rFonts w:ascii="Palatino Linotype" w:hAnsi="Palatino Linotype" w:cs="Arial"/>
          <w:i/>
          <w:sz w:val="22"/>
        </w:rPr>
        <w:t xml:space="preserve"> Los ayuntamientos y las dependencias, </w:t>
      </w:r>
      <w:r w:rsidRPr="00B33936">
        <w:rPr>
          <w:rFonts w:ascii="Palatino Linotype" w:hAnsi="Palatino Linotype" w:cs="Arial"/>
          <w:b/>
          <w:i/>
          <w:sz w:val="22"/>
          <w:u w:val="single"/>
        </w:rPr>
        <w:t>organismos</w:t>
      </w:r>
      <w:r w:rsidRPr="00DC3CEA">
        <w:rPr>
          <w:rFonts w:ascii="Palatino Linotype" w:hAnsi="Palatino Linotype" w:cs="Arial"/>
          <w:bCs/>
          <w:i/>
          <w:sz w:val="22"/>
        </w:rPr>
        <w:t>, órganos y entidades de la administración municipal;</w:t>
      </w:r>
    </w:p>
    <w:p w14:paraId="1D253577" w14:textId="77777777" w:rsidR="00DC3CEA" w:rsidRPr="00DC3CEA" w:rsidRDefault="00DC3CEA" w:rsidP="00DC3CEA">
      <w:pPr>
        <w:ind w:left="426" w:right="567"/>
        <w:jc w:val="both"/>
        <w:rPr>
          <w:rFonts w:ascii="Palatino Linotype" w:hAnsi="Palatino Linotype" w:cs="Arial"/>
          <w:i/>
          <w:sz w:val="22"/>
        </w:rPr>
      </w:pPr>
    </w:p>
    <w:p w14:paraId="3780E9A0" w14:textId="77777777" w:rsidR="00DC3CEA" w:rsidRPr="00DC3CEA" w:rsidRDefault="00DC3CEA" w:rsidP="00B33936">
      <w:pPr>
        <w:pStyle w:val="Sinespaciado"/>
      </w:pPr>
    </w:p>
    <w:p w14:paraId="678F7F55" w14:textId="77777777" w:rsidR="00DC3CEA" w:rsidRPr="00DC3CEA" w:rsidRDefault="00DC3CEA" w:rsidP="00DC3CEA">
      <w:pPr>
        <w:spacing w:line="360" w:lineRule="auto"/>
        <w:jc w:val="both"/>
        <w:rPr>
          <w:rFonts w:ascii="Palatino Linotype" w:eastAsia="Calibri" w:hAnsi="Palatino Linotype" w:cs="Arial"/>
          <w:lang w:val="es-MX" w:eastAsia="en-US"/>
        </w:rPr>
      </w:pPr>
      <w:r w:rsidRPr="00DC3CEA">
        <w:rPr>
          <w:rFonts w:ascii="Palatino Linotype" w:eastAsia="Calibri" w:hAnsi="Palatino Linotype" w:cs="Arial"/>
          <w:lang w:val="es-MX" w:eastAsia="en-US"/>
        </w:rPr>
        <w:t xml:space="preserve">Por lo que, de la respuesta emitida por parte de la Unidad de Transparencia del </w:t>
      </w:r>
      <w:r w:rsidRPr="00DC3CEA">
        <w:rPr>
          <w:rFonts w:ascii="Palatino Linotype" w:eastAsia="Calibri" w:hAnsi="Palatino Linotype" w:cs="Arial"/>
          <w:b/>
          <w:lang w:val="es-MX" w:eastAsia="en-US"/>
        </w:rPr>
        <w:t>Sujeto Obligado</w:t>
      </w:r>
      <w:r w:rsidRPr="00DC3CEA">
        <w:rPr>
          <w:rFonts w:ascii="Palatino Linotype" w:eastAsia="Calibr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42730A84" w14:textId="43CA2F3F" w:rsidR="00DC3CEA" w:rsidRPr="00DC3CEA" w:rsidRDefault="00DC3CEA" w:rsidP="00DC3CEA">
      <w:pPr>
        <w:spacing w:line="360" w:lineRule="auto"/>
        <w:jc w:val="both"/>
        <w:rPr>
          <w:rFonts w:ascii="Palatino Linotype" w:eastAsia="Calibri" w:hAnsi="Palatino Linotype" w:cs="Tahoma"/>
          <w:bCs/>
          <w:lang w:val="es-MX" w:eastAsia="en-US"/>
        </w:rPr>
      </w:pPr>
      <w:r w:rsidRPr="00DC3CEA">
        <w:rPr>
          <w:rFonts w:ascii="Palatino Linotype" w:eastAsia="Calibri" w:hAnsi="Palatino Linotype" w:cs="Tahoma"/>
          <w:bCs/>
          <w:lang w:val="es-MX" w:eastAsia="en-US"/>
        </w:rPr>
        <w:lastRenderedPageBreak/>
        <w:t xml:space="preserve">Bajo estas líneas argumentativas, al retomar y delimitar los requerimientos del ahora </w:t>
      </w:r>
      <w:r w:rsidRPr="00DC3CEA">
        <w:rPr>
          <w:rFonts w:ascii="Palatino Linotype" w:eastAsia="Calibri" w:hAnsi="Palatino Linotype" w:cs="Tahoma"/>
          <w:b/>
          <w:bCs/>
          <w:lang w:val="es-MX" w:eastAsia="en-US"/>
        </w:rPr>
        <w:t>Recurrente</w:t>
      </w:r>
      <w:r w:rsidRPr="00DC3CEA">
        <w:rPr>
          <w:rFonts w:ascii="Palatino Linotype" w:eastAsia="Calibri" w:hAnsi="Palatino Linotype" w:cs="Tahoma"/>
          <w:bCs/>
          <w:lang w:val="es-MX" w:eastAsia="en-US"/>
        </w:rPr>
        <w:t xml:space="preserve">, de manera objetiva </w:t>
      </w:r>
      <w:r w:rsidR="00F90312">
        <w:rPr>
          <w:rFonts w:ascii="Palatino Linotype" w:eastAsia="Calibri" w:hAnsi="Palatino Linotype" w:cs="Tahoma"/>
          <w:bCs/>
          <w:lang w:val="es-MX" w:eastAsia="en-US"/>
        </w:rPr>
        <w:t>se adolece de</w:t>
      </w:r>
      <w:r w:rsidRPr="00DC3CEA">
        <w:rPr>
          <w:rFonts w:ascii="Palatino Linotype" w:eastAsia="Calibri" w:hAnsi="Palatino Linotype" w:cs="Tahoma"/>
          <w:bCs/>
          <w:lang w:val="es-MX" w:eastAsia="en-US"/>
        </w:rPr>
        <w:t xml:space="preserve"> lo siguiente:</w:t>
      </w:r>
    </w:p>
    <w:p w14:paraId="526731A9" w14:textId="77777777" w:rsidR="00DC3CEA" w:rsidRPr="00DC3CEA" w:rsidRDefault="00DC3CEA" w:rsidP="00DC3CEA">
      <w:pPr>
        <w:spacing w:line="360" w:lineRule="auto"/>
        <w:jc w:val="both"/>
        <w:rPr>
          <w:rFonts w:ascii="Palatino Linotype" w:eastAsia="Calibri" w:hAnsi="Palatino Linotype" w:cs="Tahoma"/>
          <w:bCs/>
          <w:lang w:val="es-MX" w:eastAsia="en-US"/>
        </w:rPr>
      </w:pPr>
    </w:p>
    <w:p w14:paraId="5BE8F3B7" w14:textId="63F74B67" w:rsidR="00DC3CEA" w:rsidRPr="00DC3CEA" w:rsidRDefault="00B33936" w:rsidP="00F90312">
      <w:pPr>
        <w:numPr>
          <w:ilvl w:val="0"/>
          <w:numId w:val="20"/>
        </w:numPr>
        <w:spacing w:line="360" w:lineRule="auto"/>
        <w:jc w:val="both"/>
        <w:rPr>
          <w:rFonts w:ascii="Palatino Linotype" w:eastAsia="Calibri" w:hAnsi="Palatino Linotype" w:cs="Tahoma"/>
          <w:bCs/>
          <w:lang w:val="es-MX" w:eastAsia="en-US"/>
        </w:rPr>
      </w:pPr>
      <w:bookmarkStart w:id="2" w:name="_Hlk147338508"/>
      <w:r w:rsidRPr="00B33936">
        <w:rPr>
          <w:rFonts w:ascii="Palatino Linotype" w:eastAsia="Calibri" w:hAnsi="Palatino Linotype" w:cs="Tahoma"/>
          <w:bCs/>
          <w:lang w:val="es-MX" w:eastAsia="en-US"/>
        </w:rPr>
        <w:t>La negativa de la impetrante de entregar las versiones públicas de las determinaciones de la autoridad investigadora de la contraloría, se niega a entregar información que debe ser pública</w:t>
      </w:r>
      <w:r w:rsidR="001949AC" w:rsidRPr="001949AC">
        <w:rPr>
          <w:rFonts w:ascii="Palatino Linotype" w:eastAsia="Calibri" w:hAnsi="Palatino Linotype" w:cs="Tahoma"/>
          <w:bCs/>
          <w:lang w:val="es-MX" w:eastAsia="en-US"/>
        </w:rPr>
        <w:t>.</w:t>
      </w:r>
    </w:p>
    <w:bookmarkEnd w:id="2"/>
    <w:p w14:paraId="12DA8CB9" w14:textId="77777777" w:rsidR="00DC3CEA" w:rsidRPr="00DC3CEA" w:rsidRDefault="00DC3CEA" w:rsidP="00DC3CEA">
      <w:pPr>
        <w:spacing w:line="360" w:lineRule="auto"/>
        <w:ind w:left="720"/>
        <w:jc w:val="both"/>
        <w:rPr>
          <w:rFonts w:ascii="Palatino Linotype" w:eastAsia="Calibri" w:hAnsi="Palatino Linotype" w:cs="Tahoma"/>
          <w:bCs/>
          <w:lang w:val="es-MX" w:eastAsia="en-US"/>
        </w:rPr>
      </w:pPr>
    </w:p>
    <w:p w14:paraId="087F2E65" w14:textId="4239F40A" w:rsidR="00B33936" w:rsidRPr="00B33936" w:rsidRDefault="009D30A4" w:rsidP="00B33936">
      <w:pPr>
        <w:spacing w:line="360" w:lineRule="auto"/>
        <w:jc w:val="both"/>
        <w:rPr>
          <w:rFonts w:ascii="Palatino Linotype" w:hAnsi="Palatino Linotype" w:cs="Arial"/>
          <w:b/>
          <w:bCs/>
          <w:u w:val="single"/>
        </w:rPr>
      </w:pPr>
      <w:r w:rsidRPr="009D30A4">
        <w:rPr>
          <w:rFonts w:ascii="Palatino Linotype" w:hAnsi="Palatino Linotype" w:cs="Arial"/>
        </w:rPr>
        <w:t xml:space="preserve">Por lo que, el </w:t>
      </w:r>
      <w:r w:rsidRPr="009D30A4">
        <w:rPr>
          <w:rFonts w:ascii="Palatino Linotype" w:hAnsi="Palatino Linotype" w:cs="Arial"/>
          <w:b/>
        </w:rPr>
        <w:t>Sujeto Obligado</w:t>
      </w:r>
      <w:r w:rsidRPr="009D30A4">
        <w:rPr>
          <w:rFonts w:ascii="Palatino Linotype" w:hAnsi="Palatino Linotype" w:cs="Arial"/>
        </w:rPr>
        <w:t xml:space="preserve"> en aras de satisfacer el derecho a la información del particular, </w:t>
      </w:r>
      <w:r w:rsidR="00B33936">
        <w:rPr>
          <w:rFonts w:ascii="Palatino Linotype" w:hAnsi="Palatino Linotype" w:cs="Arial"/>
        </w:rPr>
        <w:t>a través de la Contraloría Interna, informó que,</w:t>
      </w:r>
      <w:r w:rsidR="00B33936" w:rsidRPr="00B33936">
        <w:rPr>
          <w:rFonts w:ascii="Palatino Linotype" w:hAnsi="Palatino Linotype" w:cs="Arial"/>
        </w:rPr>
        <w:t xml:space="preserve"> </w:t>
      </w:r>
      <w:r w:rsidR="00B33936" w:rsidRPr="00B33936">
        <w:rPr>
          <w:rFonts w:ascii="Palatino Linotype" w:hAnsi="Palatino Linotype" w:cs="Arial"/>
          <w:b/>
          <w:bCs/>
          <w:u w:val="single"/>
        </w:rPr>
        <w:t>los procedimientos de investigación y de responsabilidades administrativas se encuentran en integración y tramitación, dicha información no puede ser divulgada, salvo que el impetrante acreditará personalidad e interés jurídico dentro del expediente, por lo que, en caso de contar con dicha personalidad, deberá acudir directamente ante las Autoridades Investigadora y Substanciadora, respectivamente.</w:t>
      </w:r>
    </w:p>
    <w:p w14:paraId="12237D56" w14:textId="77777777" w:rsidR="00B33936" w:rsidRPr="00B33936" w:rsidRDefault="00B33936" w:rsidP="00B33936">
      <w:pPr>
        <w:spacing w:line="360" w:lineRule="auto"/>
        <w:jc w:val="both"/>
        <w:rPr>
          <w:rFonts w:ascii="Palatino Linotype" w:hAnsi="Palatino Linotype" w:cs="Arial"/>
          <w:b/>
          <w:bCs/>
          <w:u w:val="single"/>
        </w:rPr>
      </w:pPr>
    </w:p>
    <w:p w14:paraId="768BF8E5" w14:textId="77777777" w:rsidR="00B33936" w:rsidRPr="00B33936" w:rsidRDefault="00B33936" w:rsidP="00B33936">
      <w:pPr>
        <w:spacing w:line="360" w:lineRule="auto"/>
        <w:jc w:val="both"/>
        <w:rPr>
          <w:rFonts w:ascii="Palatino Linotype" w:hAnsi="Palatino Linotype" w:cs="Arial"/>
        </w:rPr>
      </w:pPr>
      <w:r w:rsidRPr="00B33936">
        <w:rPr>
          <w:rFonts w:ascii="Palatino Linotype" w:hAnsi="Palatino Linotype" w:cs="Arial"/>
        </w:rPr>
        <w:t xml:space="preserve">En el caso concreto, la divulgación de las constancias documentales puede razonablemente materializar un riesgo real, demostrable e identificable de perjuicio al interés público. </w:t>
      </w:r>
    </w:p>
    <w:p w14:paraId="72D87348" w14:textId="77777777" w:rsidR="00B33936" w:rsidRPr="00B33936" w:rsidRDefault="00B33936" w:rsidP="00B33936">
      <w:pPr>
        <w:spacing w:line="360" w:lineRule="auto"/>
        <w:jc w:val="both"/>
        <w:rPr>
          <w:rFonts w:ascii="Palatino Linotype" w:hAnsi="Palatino Linotype" w:cs="Arial"/>
        </w:rPr>
      </w:pPr>
    </w:p>
    <w:p w14:paraId="74CB885D" w14:textId="77777777" w:rsidR="00B33936" w:rsidRDefault="00B33936" w:rsidP="00B33936">
      <w:pPr>
        <w:spacing w:line="360" w:lineRule="auto"/>
        <w:jc w:val="both"/>
        <w:rPr>
          <w:rFonts w:ascii="Palatino Linotype" w:hAnsi="Palatino Linotype" w:cs="Arial"/>
        </w:rPr>
      </w:pPr>
      <w:r w:rsidRPr="00B33936">
        <w:rPr>
          <w:rFonts w:ascii="Palatino Linotype" w:hAnsi="Palatino Linotype" w:cs="Arial"/>
        </w:rPr>
        <w:t xml:space="preserve">En ese sentido, </w:t>
      </w:r>
      <w:r w:rsidRPr="00B33936">
        <w:rPr>
          <w:rFonts w:ascii="Palatino Linotype" w:hAnsi="Palatino Linotype" w:cs="Arial"/>
          <w:b/>
          <w:bCs/>
          <w:u w:val="single"/>
        </w:rPr>
        <w:t xml:space="preserve">la Subgerencia de Investigación reconoce la necesidad de mantener la reserva sobre el contenido de la información para no afectar la investigación y los posibles resultados que obran en estos momentos en el expediente (con la divulgación de datos de prueba que la comprometan o, en su caso, alertar a personas </w:t>
      </w:r>
      <w:r w:rsidRPr="00B33936">
        <w:rPr>
          <w:rFonts w:ascii="Palatino Linotype" w:hAnsi="Palatino Linotype" w:cs="Arial"/>
          <w:b/>
          <w:bCs/>
          <w:u w:val="single"/>
        </w:rPr>
        <w:lastRenderedPageBreak/>
        <w:t>implicadas lo que podría llevar a la destrucción de pruebas supervenientes o novedosas), así como con la finalidad de proteger datos sensibles que solo corresponden conocer a las partes involucradas y al órgano responsable de resolver.</w:t>
      </w:r>
      <w:r w:rsidRPr="00B33936">
        <w:rPr>
          <w:rFonts w:ascii="Palatino Linotype" w:hAnsi="Palatino Linotype" w:cs="Arial"/>
        </w:rPr>
        <w:t xml:space="preserve"> </w:t>
      </w:r>
    </w:p>
    <w:p w14:paraId="70753883" w14:textId="77777777" w:rsidR="00B33936" w:rsidRDefault="00B33936" w:rsidP="00B33936">
      <w:pPr>
        <w:spacing w:line="360" w:lineRule="auto"/>
        <w:jc w:val="both"/>
        <w:rPr>
          <w:rFonts w:ascii="Palatino Linotype" w:hAnsi="Palatino Linotype" w:cs="Arial"/>
        </w:rPr>
      </w:pPr>
    </w:p>
    <w:p w14:paraId="76F4B448" w14:textId="77777777" w:rsidR="00B33936" w:rsidRDefault="00B33936" w:rsidP="00B33936">
      <w:pPr>
        <w:spacing w:line="360" w:lineRule="auto"/>
        <w:ind w:right="49"/>
        <w:jc w:val="both"/>
        <w:rPr>
          <w:rFonts w:ascii="Palatino Linotype" w:hAnsi="Palatino Linotype" w:cs="Arial"/>
          <w:b/>
          <w:bCs/>
          <w:u w:val="single"/>
        </w:rPr>
      </w:pPr>
      <w:r w:rsidRPr="00B33936">
        <w:rPr>
          <w:rFonts w:ascii="Palatino Linotype" w:hAnsi="Palatino Linotype" w:cs="Arial"/>
        </w:rPr>
        <w:t xml:space="preserve">En consecuencia, se actualizan las causales de reserva invocadas respecto de las constancias documentales de los expedientes de referencia y, por ende, </w:t>
      </w:r>
      <w:r w:rsidRPr="00B33936">
        <w:rPr>
          <w:rFonts w:ascii="Palatino Linotype" w:hAnsi="Palatino Linotype" w:cs="Arial"/>
          <w:b/>
          <w:bCs/>
          <w:u w:val="single"/>
        </w:rPr>
        <w:t>se confirma la reserva de la información, siendo inconcuso que no puede permitirse el acceso a la información requerida.</w:t>
      </w:r>
    </w:p>
    <w:p w14:paraId="0A4FC3D7" w14:textId="77777777" w:rsidR="00B33936" w:rsidRDefault="00B33936" w:rsidP="00B33936">
      <w:pPr>
        <w:spacing w:line="360" w:lineRule="auto"/>
        <w:ind w:right="49"/>
        <w:jc w:val="both"/>
        <w:rPr>
          <w:rFonts w:ascii="Palatino Linotype" w:hAnsi="Palatino Linotype" w:cs="Arial"/>
          <w:b/>
          <w:bCs/>
          <w:u w:val="single"/>
        </w:rPr>
      </w:pPr>
    </w:p>
    <w:p w14:paraId="0DDE4127" w14:textId="77777777" w:rsidR="00B33936" w:rsidRPr="005D6B77" w:rsidRDefault="00B33936" w:rsidP="00B33936">
      <w:pPr>
        <w:spacing w:line="360" w:lineRule="auto"/>
        <w:ind w:right="141"/>
        <w:jc w:val="both"/>
        <w:rPr>
          <w:rFonts w:ascii="Palatino Linotype" w:hAnsi="Palatino Linotype" w:cs="Arial"/>
        </w:rPr>
      </w:pPr>
      <w:r w:rsidRPr="005D6B77">
        <w:rPr>
          <w:rFonts w:ascii="Palatino Linotype" w:eastAsia="Calibri" w:hAnsi="Palatino Linotype" w:cs="Tahoma"/>
          <w:iCs/>
          <w:lang w:val="es-ES_tradnl" w:eastAsia="es-ES_tradnl"/>
        </w:rPr>
        <w:t>Asimismo, y tratándose de temas de denuncias o quejas interpuestas a algún servidor público de dicha administración; c</w:t>
      </w:r>
      <w:proofErr w:type="spellStart"/>
      <w:r w:rsidRPr="005D6B77">
        <w:rPr>
          <w:rFonts w:ascii="Palatino Linotype" w:hAnsi="Palatino Linotype" w:cs="Tahoma"/>
          <w:bCs/>
        </w:rPr>
        <w:t>onforme</w:t>
      </w:r>
      <w:proofErr w:type="spellEnd"/>
      <w:r w:rsidRPr="005D6B77">
        <w:rPr>
          <w:rFonts w:ascii="Palatino Linotype" w:hAnsi="Palatino Linotype" w:cs="Tahoma"/>
          <w:bCs/>
        </w:rPr>
        <w:t xml:space="preserve"> a lo anterior, se advierte que, si bien el </w:t>
      </w:r>
      <w:r w:rsidRPr="005D6B77">
        <w:rPr>
          <w:rFonts w:ascii="Palatino Linotype" w:hAnsi="Palatino Linotype" w:cs="Tahoma"/>
          <w:b/>
          <w:bCs/>
        </w:rPr>
        <w:t>Sujeto Obligado</w:t>
      </w:r>
      <w:r w:rsidRPr="005D6B77">
        <w:rPr>
          <w:rFonts w:ascii="Palatino Linotype" w:hAnsi="Palatino Linotype" w:cs="Tahoma"/>
          <w:bCs/>
        </w:rPr>
        <w:t xml:space="preserve"> se pronunció respecto de la información relacionada con lo solicitado, lo cierto es que</w:t>
      </w:r>
      <w:r w:rsidRPr="005D6B77">
        <w:rPr>
          <w:rFonts w:ascii="Palatino Linotype" w:hAnsi="Palatino Linotype" w:cs="Tahoma"/>
          <w:b/>
          <w:bCs/>
        </w:rPr>
        <w:t xml:space="preserve"> </w:t>
      </w:r>
      <w:r w:rsidRPr="005D6B77">
        <w:rPr>
          <w:rFonts w:ascii="Palatino Linotype" w:hAnsi="Palatino Linotype" w:cs="Tahoma"/>
          <w:bCs/>
        </w:rPr>
        <w:t xml:space="preserve">no atiende el presente requerimiento, por lo que, </w:t>
      </w:r>
      <w:r w:rsidRPr="005D6B77">
        <w:rPr>
          <w:rFonts w:ascii="Palatino Linotype" w:hAnsi="Palatino Linotype" w:cs="Arial"/>
        </w:rPr>
        <w:t xml:space="preserve">este Instituto resalta que, por regla general, toda la información generada, obtenida, adquirida, transformada, administrada o en posesión de los sujetos obligados es pública, debemos considerar que también hay excepciones, es decir, que se trate de información clasificada </w:t>
      </w:r>
      <w:r w:rsidRPr="005D6B77">
        <w:rPr>
          <w:rFonts w:ascii="Palatino Linotype" w:hAnsi="Palatino Linotype" w:cs="Arial"/>
          <w:i/>
        </w:rPr>
        <w:t>(confidencial o reservada)</w:t>
      </w:r>
      <w:r w:rsidRPr="005D6B77">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22761D08" w14:textId="77777777" w:rsidR="00B33936" w:rsidRPr="005D6B77" w:rsidRDefault="00B33936" w:rsidP="00B33936">
      <w:pPr>
        <w:spacing w:line="360" w:lineRule="auto"/>
        <w:ind w:right="141"/>
        <w:jc w:val="both"/>
        <w:rPr>
          <w:rFonts w:ascii="Palatino Linotype" w:eastAsia="Calibri" w:hAnsi="Palatino Linotype" w:cs="Tahoma"/>
          <w:iCs/>
          <w:lang w:val="es-ES_tradnl" w:eastAsia="es-ES_tradnl"/>
        </w:rPr>
      </w:pPr>
    </w:p>
    <w:p w14:paraId="284487A9" w14:textId="77777777" w:rsidR="00B33936" w:rsidRPr="005D6B77" w:rsidRDefault="00B33936" w:rsidP="00B33936">
      <w:pPr>
        <w:numPr>
          <w:ilvl w:val="0"/>
          <w:numId w:val="23"/>
        </w:numPr>
        <w:spacing w:line="360" w:lineRule="auto"/>
        <w:jc w:val="both"/>
        <w:rPr>
          <w:rFonts w:ascii="Palatino Linotype" w:hAnsi="Palatino Linotype" w:cs="Arial"/>
        </w:rPr>
      </w:pPr>
      <w:r w:rsidRPr="00BF1C05">
        <w:rPr>
          <w:rFonts w:ascii="Palatino Linotype" w:hAnsi="Palatino Linotype" w:cs="Arial"/>
          <w:b/>
          <w:u w:val="thick"/>
        </w:rPr>
        <w:lastRenderedPageBreak/>
        <w:t>Información confidencial</w:t>
      </w:r>
      <w:r w:rsidRPr="00BF1C05">
        <w:rPr>
          <w:rFonts w:ascii="Palatino Linotype" w:hAnsi="Palatino Linotype" w:cs="Arial"/>
          <w:u w:val="thick"/>
        </w:rPr>
        <w:t>:</w:t>
      </w:r>
      <w:r w:rsidRPr="005D6B77">
        <w:rPr>
          <w:rFonts w:ascii="Palatino Linotype" w:hAnsi="Palatino Linotype" w:cs="Ari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8152A5F" w14:textId="77777777" w:rsidR="00B33936" w:rsidRPr="005D6B77" w:rsidRDefault="00B33936" w:rsidP="00B33936">
      <w:pPr>
        <w:spacing w:line="360" w:lineRule="auto"/>
        <w:ind w:left="360"/>
        <w:jc w:val="both"/>
        <w:rPr>
          <w:rFonts w:ascii="Palatino Linotype" w:hAnsi="Palatino Linotype" w:cs="Arial"/>
        </w:rPr>
      </w:pPr>
    </w:p>
    <w:p w14:paraId="0F075F66" w14:textId="77777777" w:rsidR="00B33936" w:rsidRPr="005D6B77" w:rsidRDefault="00B33936" w:rsidP="00B33936">
      <w:pPr>
        <w:numPr>
          <w:ilvl w:val="0"/>
          <w:numId w:val="23"/>
        </w:numPr>
        <w:spacing w:line="360" w:lineRule="auto"/>
        <w:jc w:val="both"/>
        <w:rPr>
          <w:rFonts w:ascii="Palatino Linotype" w:hAnsi="Palatino Linotype" w:cs="Arial"/>
        </w:rPr>
      </w:pPr>
      <w:r w:rsidRPr="00BF1C05">
        <w:rPr>
          <w:rFonts w:ascii="Palatino Linotype" w:hAnsi="Palatino Linotype" w:cs="Arial"/>
          <w:b/>
          <w:u w:val="thick"/>
        </w:rPr>
        <w:t>Información privada:</w:t>
      </w:r>
      <w:r w:rsidRPr="005D6B77">
        <w:rPr>
          <w:rFonts w:ascii="Palatino Linotype" w:hAnsi="Palatino Linotype" w:cs="Arial"/>
        </w:rPr>
        <w:t xml:space="preserve"> La contenida en documentos públicos o privados que refiera a la vida privada y/o los datos personales, que no son de acceso público.</w:t>
      </w:r>
    </w:p>
    <w:p w14:paraId="28E37A36" w14:textId="77777777" w:rsidR="00B33936" w:rsidRPr="005D6B77" w:rsidRDefault="00B33936" w:rsidP="00B33936">
      <w:pPr>
        <w:spacing w:line="360" w:lineRule="auto"/>
        <w:jc w:val="both"/>
        <w:rPr>
          <w:rFonts w:ascii="Palatino Linotype" w:hAnsi="Palatino Linotype" w:cs="Arial"/>
        </w:rPr>
      </w:pPr>
    </w:p>
    <w:p w14:paraId="39D43F43" w14:textId="77777777" w:rsidR="00B33936" w:rsidRPr="005D6B77" w:rsidRDefault="00B33936" w:rsidP="00B33936">
      <w:pPr>
        <w:numPr>
          <w:ilvl w:val="0"/>
          <w:numId w:val="23"/>
        </w:numPr>
        <w:spacing w:line="360" w:lineRule="auto"/>
        <w:jc w:val="both"/>
        <w:rPr>
          <w:rFonts w:ascii="Palatino Linotype" w:hAnsi="Palatino Linotype" w:cs="Arial"/>
        </w:rPr>
      </w:pPr>
      <w:r w:rsidRPr="00BF1C05">
        <w:rPr>
          <w:rFonts w:ascii="Palatino Linotype" w:hAnsi="Palatino Linotype" w:cs="Arial"/>
          <w:b/>
          <w:u w:val="thick"/>
        </w:rPr>
        <w:t>Información reservada:</w:t>
      </w:r>
      <w:r w:rsidRPr="005D6B77">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1E8BB86C" w14:textId="77777777" w:rsidR="00B33936" w:rsidRPr="005D6B77" w:rsidRDefault="00B33936" w:rsidP="00B33936">
      <w:pPr>
        <w:spacing w:line="360" w:lineRule="auto"/>
        <w:jc w:val="both"/>
        <w:rPr>
          <w:rFonts w:ascii="Palatino Linotype" w:hAnsi="Palatino Linotype" w:cs="Arial"/>
        </w:rPr>
      </w:pPr>
    </w:p>
    <w:p w14:paraId="712EBADB" w14:textId="77777777" w:rsidR="00B33936" w:rsidRPr="005D6B77" w:rsidRDefault="00B33936" w:rsidP="00B33936">
      <w:pPr>
        <w:spacing w:line="360" w:lineRule="auto"/>
        <w:jc w:val="both"/>
        <w:rPr>
          <w:rFonts w:ascii="Palatino Linotype" w:hAnsi="Palatino Linotype" w:cs="Arial"/>
        </w:rPr>
      </w:pPr>
      <w:r w:rsidRPr="005D6B77">
        <w:rPr>
          <w:rFonts w:ascii="Palatino Linotype" w:hAnsi="Palatino Linotype" w:cs="Arial"/>
        </w:rPr>
        <w:t xml:space="preserve">En resumen, se determina que, excepcionalmente, la información pública, podrá ser clasificada como </w:t>
      </w:r>
      <w:r w:rsidRPr="005D6B77">
        <w:rPr>
          <w:rFonts w:ascii="Palatino Linotype" w:hAnsi="Palatino Linotype" w:cs="Arial"/>
          <w:b/>
        </w:rPr>
        <w:t>RESERVADA</w:t>
      </w:r>
      <w:r w:rsidRPr="005D6B77">
        <w:rPr>
          <w:rFonts w:ascii="Palatino Linotype" w:hAnsi="Palatino Linotype" w:cs="Arial"/>
        </w:rPr>
        <w:t xml:space="preserve"> temporalmente por razones de interés público, en los términos de las causas legítimas y estrictamente necesarias previstas por la Ley de Transparencia; así como </w:t>
      </w:r>
      <w:r w:rsidRPr="005D6B77">
        <w:rPr>
          <w:rFonts w:ascii="Palatino Linotype" w:hAnsi="Palatino Linotype" w:cs="Arial"/>
          <w:b/>
        </w:rPr>
        <w:t>CONFIDENCIAL</w:t>
      </w:r>
      <w:r w:rsidRPr="005D6B77">
        <w:rPr>
          <w:rFonts w:ascii="Palatino Linotype" w:hAnsi="Palatino Linotype" w:cs="Arial"/>
        </w:rPr>
        <w:t>, tratándose principalmente de aquella que refiera a la información privada y datos personales concernientes a una persona física.</w:t>
      </w:r>
    </w:p>
    <w:p w14:paraId="28C36988" w14:textId="77777777" w:rsidR="00B33936" w:rsidRPr="005D6B77" w:rsidRDefault="00B33936" w:rsidP="00B33936">
      <w:pPr>
        <w:spacing w:line="360" w:lineRule="auto"/>
        <w:jc w:val="both"/>
        <w:rPr>
          <w:rFonts w:ascii="Palatino Linotype" w:hAnsi="Palatino Linotype" w:cs="Arial"/>
        </w:rPr>
      </w:pPr>
    </w:p>
    <w:p w14:paraId="6BB4578D" w14:textId="77777777" w:rsidR="00B33936" w:rsidRPr="005D6B77" w:rsidRDefault="00B33936" w:rsidP="00B33936">
      <w:pPr>
        <w:spacing w:line="360" w:lineRule="auto"/>
        <w:jc w:val="both"/>
        <w:rPr>
          <w:rFonts w:ascii="Palatino Linotype" w:hAnsi="Palatino Linotype" w:cs="Arial"/>
        </w:rPr>
      </w:pPr>
      <w:r w:rsidRPr="005D6B77">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008FB191" w14:textId="77777777" w:rsidR="00B33936" w:rsidRPr="005D6B77" w:rsidRDefault="00B33936" w:rsidP="00B33936">
      <w:pPr>
        <w:spacing w:line="360" w:lineRule="auto"/>
        <w:jc w:val="both"/>
        <w:rPr>
          <w:rFonts w:ascii="Palatino Linotype" w:hAnsi="Palatino Linotype" w:cs="Arial"/>
        </w:rPr>
      </w:pPr>
    </w:p>
    <w:p w14:paraId="239BA62C"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lastRenderedPageBreak/>
        <w:t>Sin embargo, en el presente asunto la información requerida corresponde a las quejas o denuncias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sidRPr="005D6B77">
        <w:rPr>
          <w:rFonts w:ascii="Palatino Linotype" w:eastAsiaTheme="minorHAnsi" w:hAnsi="Palatino Linotype" w:cs="Arial"/>
          <w:szCs w:val="22"/>
          <w:lang w:val="es-MX" w:eastAsia="en-US"/>
        </w:rPr>
        <w:t>.</w:t>
      </w:r>
    </w:p>
    <w:p w14:paraId="2542BD0E"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0C5B839D" w14:textId="77777777" w:rsidR="00B33936" w:rsidRPr="005D6B77" w:rsidRDefault="00B33936" w:rsidP="00B33936">
      <w:pPr>
        <w:tabs>
          <w:tab w:val="left" w:pos="709"/>
        </w:tabs>
        <w:spacing w:line="360" w:lineRule="auto"/>
        <w:jc w:val="both"/>
        <w:rPr>
          <w:rFonts w:ascii="Palatino Linotype" w:eastAsia="Calibri" w:hAnsi="Palatino Linotype" w:cs="Tahoma"/>
          <w:bCs/>
          <w:szCs w:val="22"/>
          <w:lang w:val="es-MX" w:eastAsia="en-US"/>
        </w:rPr>
      </w:pPr>
      <w:r w:rsidRPr="005D6B77">
        <w:rPr>
          <w:rFonts w:ascii="Palatino Linotype" w:eastAsiaTheme="minorHAnsi" w:hAnsi="Palatino Linotype" w:cstheme="minorBidi"/>
          <w:szCs w:val="22"/>
          <w:lang w:val="es-MX" w:eastAsia="en-US"/>
        </w:rPr>
        <w:t xml:space="preserve">En suma a lo anterior, no se omite señalar que, es criterio del Pleno del máximo Tribunal que, </w:t>
      </w:r>
      <w:r w:rsidRPr="005D6B77">
        <w:rPr>
          <w:rFonts w:ascii="Palatino Linotype" w:eastAsia="Calibri" w:hAnsi="Palatino Linotype" w:cs="Tahoma"/>
          <w:bCs/>
          <w:szCs w:val="22"/>
          <w:lang w:val="es-MX" w:eastAsia="en-US"/>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2DD4DEBD" w14:textId="77777777" w:rsidR="00B33936" w:rsidRPr="005D6B77" w:rsidRDefault="00B33936" w:rsidP="00B33936">
      <w:pPr>
        <w:tabs>
          <w:tab w:val="left" w:pos="709"/>
        </w:tabs>
        <w:spacing w:line="360" w:lineRule="auto"/>
        <w:jc w:val="both"/>
        <w:rPr>
          <w:rFonts w:ascii="Palatino Linotype" w:eastAsia="Calibri" w:hAnsi="Palatino Linotype" w:cs="Tahoma"/>
          <w:bCs/>
          <w:szCs w:val="22"/>
          <w:lang w:val="es-MX" w:eastAsia="en-US"/>
        </w:rPr>
      </w:pPr>
    </w:p>
    <w:p w14:paraId="5A71B96F"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
          <w:i/>
          <w:sz w:val="22"/>
          <w:szCs w:val="22"/>
          <w:lang w:val="es-MX" w:eastAsia="en-US"/>
        </w:rPr>
        <w:lastRenderedPageBreak/>
        <w:t xml:space="preserve">PRESUNCIÓN DE INOCENCIA. ESTE PRINCIPIO ES APLICABLE AL PROCEDIMIENTO ADMINISTRATIVO SANCIONADOR, CON MATICES O MODULACIONES. </w:t>
      </w:r>
      <w:r w:rsidRPr="005D6B77">
        <w:rPr>
          <w:rFonts w:ascii="Palatino Linotype" w:eastAsia="Calibri" w:hAnsi="Palatino Linotype" w:cs="Tahoma"/>
          <w:bCs/>
          <w:i/>
          <w:sz w:val="22"/>
          <w:szCs w:val="22"/>
          <w:lang w:val="es-MX" w:eastAsia="en-US"/>
        </w:rPr>
        <w:t>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57E3C56E"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5819F6E9"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 xml:space="preserve">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w:t>
      </w:r>
      <w:proofErr w:type="spellStart"/>
      <w:r w:rsidRPr="005D6B77">
        <w:rPr>
          <w:rFonts w:ascii="Palatino Linotype" w:eastAsia="Calibri" w:hAnsi="Palatino Linotype" w:cs="Tahoma"/>
          <w:bCs/>
          <w:i/>
          <w:sz w:val="22"/>
          <w:szCs w:val="22"/>
          <w:lang w:val="es-MX" w:eastAsia="en-US"/>
        </w:rPr>
        <w:t>Dayán</w:t>
      </w:r>
      <w:proofErr w:type="spellEnd"/>
      <w:r w:rsidRPr="005D6B77">
        <w:rPr>
          <w:rFonts w:ascii="Palatino Linotype" w:eastAsia="Calibri" w:hAnsi="Palatino Linotype" w:cs="Tahoma"/>
          <w:bCs/>
          <w:i/>
          <w:sz w:val="22"/>
          <w:szCs w:val="22"/>
          <w:lang w:val="es-MX" w:eastAsia="en-US"/>
        </w:rPr>
        <w:t>. Ponente: Olga Sánchez Cordero de García Villegas. Secretario: Octavio Joel Flores Díaz.</w:t>
      </w:r>
    </w:p>
    <w:p w14:paraId="77221C56"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2A60B52"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lastRenderedPageBreak/>
        <w:t>Tesis y/o criterios contendientes:</w:t>
      </w:r>
    </w:p>
    <w:p w14:paraId="670D4132"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028B1779"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2D103D8C"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6315ED5D"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5B4000E5"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416F318D"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61CCB853"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05C83AA6"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6D7E9465"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El Tribunal Pleno, el veintiséis de mayo en curso, aprobó, con el número 43/2014 (10a.), la tesis jurisprudencial que antecede. México, Distrito Federal, a veintiséis de mayo de dos mil catorce.</w:t>
      </w:r>
    </w:p>
    <w:p w14:paraId="2C0FD955"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711686B"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 xml:space="preserve">Nota: La tesis aislada P. XXXV/2002 citada, aparece publicada en el Semanario Judicial de la Federación y su Gaceta, Novena Época, Tomo XVI, agosto de 2002, página 14, con el </w:t>
      </w:r>
      <w:r w:rsidRPr="005D6B77">
        <w:rPr>
          <w:rFonts w:ascii="Palatino Linotype" w:eastAsia="Calibri" w:hAnsi="Palatino Linotype" w:cs="Tahoma"/>
          <w:bCs/>
          <w:i/>
          <w:sz w:val="22"/>
          <w:szCs w:val="22"/>
          <w:lang w:val="es-MX" w:eastAsia="en-US"/>
        </w:rPr>
        <w:lastRenderedPageBreak/>
        <w:t>rubro: "PRESUNCIÓN DE INOCENCIA. EL PRINCIPIO RELATIVO SE CONTIENE DE MANERA IMPLÍCITA EN LA CONSTITUCIÓN FEDERAL."</w:t>
      </w:r>
    </w:p>
    <w:p w14:paraId="71DFC934"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3136C54E" w14:textId="77777777" w:rsidR="00B33936" w:rsidRPr="005D6B77" w:rsidRDefault="00B33936" w:rsidP="00B3393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5D6B77">
        <w:rPr>
          <w:rFonts w:ascii="Palatino Linotype" w:eastAsia="Calibri" w:hAnsi="Palatino Linotype" w:cs="Tahoma"/>
          <w:bCs/>
          <w:i/>
          <w:sz w:val="22"/>
          <w:szCs w:val="22"/>
          <w:lang w:val="es-MX" w:eastAsia="en-US"/>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1D3C0D17"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23CEF756"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5D6B77">
        <w:rPr>
          <w:rFonts w:asciiTheme="minorHAnsi" w:eastAsiaTheme="minorHAnsi" w:hAnsiTheme="minorHAnsi" w:cstheme="minorBidi"/>
          <w:szCs w:val="22"/>
          <w:lang w:val="es-MX" w:eastAsia="en-US"/>
        </w:rPr>
        <w:t xml:space="preserve"> </w:t>
      </w:r>
      <w:r w:rsidRPr="005D6B77">
        <w:rPr>
          <w:rFonts w:ascii="Palatino Linotype" w:eastAsiaTheme="minorHAnsi" w:hAnsi="Palatino Linotype" w:cstheme="minorBidi"/>
          <w:szCs w:val="22"/>
          <w:lang w:val="es-MX" w:eastAsia="en-US"/>
        </w:rPr>
        <w:t>o actos de corrupción, preceptos legales que establecen lo siguiente:</w:t>
      </w:r>
    </w:p>
    <w:p w14:paraId="55F358C3"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73A1055B" w14:textId="77777777" w:rsidR="00B33936" w:rsidRPr="00BF1C05" w:rsidRDefault="00B33936" w:rsidP="00B33936">
      <w:pPr>
        <w:tabs>
          <w:tab w:val="left" w:pos="709"/>
        </w:tabs>
        <w:spacing w:line="259" w:lineRule="auto"/>
        <w:jc w:val="center"/>
        <w:rPr>
          <w:rFonts w:ascii="Palatino Linotype" w:eastAsiaTheme="minorHAnsi" w:hAnsi="Palatino Linotype" w:cstheme="minorBidi"/>
          <w:b/>
          <w:i/>
          <w:sz w:val="22"/>
          <w:szCs w:val="22"/>
          <w:u w:val="single"/>
          <w:lang w:val="es-MX" w:eastAsia="en-US"/>
        </w:rPr>
      </w:pPr>
      <w:r w:rsidRPr="00BF1C05">
        <w:rPr>
          <w:rFonts w:ascii="Palatino Linotype" w:eastAsiaTheme="minorHAnsi" w:hAnsi="Palatino Linotype" w:cstheme="minorBidi"/>
          <w:b/>
          <w:i/>
          <w:sz w:val="22"/>
          <w:szCs w:val="22"/>
          <w:u w:val="single"/>
          <w:lang w:val="es-MX" w:eastAsia="en-US"/>
        </w:rPr>
        <w:t>Ley General de Transparencia y Acceso a la Información Pública</w:t>
      </w:r>
    </w:p>
    <w:p w14:paraId="03577012"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4C730754"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Artículo 115.</w:t>
      </w:r>
      <w:r w:rsidRPr="005D6B77">
        <w:rPr>
          <w:rFonts w:ascii="Palatino Linotype" w:eastAsiaTheme="minorHAnsi" w:hAnsi="Palatino Linotype" w:cstheme="minorBidi"/>
          <w:i/>
          <w:sz w:val="22"/>
          <w:szCs w:val="22"/>
          <w:lang w:val="es-MX" w:eastAsia="en-US"/>
        </w:rPr>
        <w:t xml:space="preserve"> No podrá invocarse el carácter de reservado cuando:</w:t>
      </w:r>
    </w:p>
    <w:p w14:paraId="73ED0278"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I. Se trate de violaciones graves de derechos humanos o delitos de lesa humanidad, o</w:t>
      </w:r>
    </w:p>
    <w:p w14:paraId="6684B771"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0C7E6204"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6782DF82" w14:textId="77777777" w:rsidR="00B33936" w:rsidRPr="00BF1C05" w:rsidRDefault="00B33936" w:rsidP="00B33936">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BF1C05">
        <w:rPr>
          <w:rFonts w:ascii="Palatino Linotype" w:eastAsiaTheme="minorHAnsi" w:hAnsi="Palatino Linotype" w:cstheme="minorBidi"/>
          <w:b/>
          <w:i/>
          <w:sz w:val="22"/>
          <w:szCs w:val="22"/>
          <w:u w:val="single"/>
          <w:lang w:val="es-MX" w:eastAsia="en-US"/>
        </w:rPr>
        <w:t>Ley de Transparencia y Acceso a la Información Pública del Estado de México y Municipios</w:t>
      </w:r>
    </w:p>
    <w:p w14:paraId="22C576F0" w14:textId="77777777" w:rsidR="00B33936" w:rsidRPr="005D6B77" w:rsidRDefault="00B33936" w:rsidP="00B33936">
      <w:pPr>
        <w:tabs>
          <w:tab w:val="left" w:pos="709"/>
        </w:tabs>
        <w:spacing w:line="259" w:lineRule="auto"/>
        <w:ind w:left="567" w:right="567"/>
        <w:jc w:val="center"/>
        <w:rPr>
          <w:rFonts w:ascii="Palatino Linotype" w:eastAsiaTheme="minorHAnsi" w:hAnsi="Palatino Linotype" w:cstheme="minorBidi"/>
          <w:i/>
          <w:sz w:val="22"/>
          <w:szCs w:val="22"/>
          <w:lang w:val="es-MX" w:eastAsia="en-US"/>
        </w:rPr>
      </w:pPr>
    </w:p>
    <w:p w14:paraId="0C70A092"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bCs/>
          <w:i/>
          <w:sz w:val="22"/>
          <w:szCs w:val="22"/>
          <w:lang w:val="es-MX" w:eastAsia="en-US"/>
        </w:rPr>
        <w:t>Artículo 142.</w:t>
      </w:r>
      <w:r w:rsidRPr="005D6B77">
        <w:rPr>
          <w:rFonts w:ascii="Palatino Linotype" w:eastAsiaTheme="minorHAnsi" w:hAnsi="Palatino Linotype" w:cstheme="minorBidi"/>
          <w:i/>
          <w:sz w:val="22"/>
          <w:szCs w:val="22"/>
          <w:lang w:val="es-MX" w:eastAsia="en-US"/>
        </w:rPr>
        <w:t xml:space="preserve"> Bajo ninguna circunstancia podrá invocarse el carácter de reservado cuando:</w:t>
      </w:r>
    </w:p>
    <w:p w14:paraId="57CCAA2C" w14:textId="77777777" w:rsidR="00B33936" w:rsidRPr="005D6B77" w:rsidRDefault="00B33936" w:rsidP="00B33936">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bCs/>
          <w:i/>
          <w:sz w:val="22"/>
          <w:szCs w:val="22"/>
          <w:lang w:val="es-MX" w:eastAsia="en-US"/>
        </w:rPr>
        <w:t xml:space="preserve">I. </w:t>
      </w:r>
      <w:r w:rsidRPr="005D6B77">
        <w:rPr>
          <w:rFonts w:ascii="Palatino Linotype" w:eastAsiaTheme="minorHAnsi" w:hAnsi="Palatino Linotype" w:cstheme="minorBidi"/>
          <w:i/>
          <w:sz w:val="22"/>
          <w:szCs w:val="22"/>
          <w:lang w:val="es-MX" w:eastAsia="en-US"/>
        </w:rPr>
        <w:t>Se trate de violaciones graves de derechos humanos, calificada así por autoridad competente;</w:t>
      </w:r>
    </w:p>
    <w:p w14:paraId="61A94F78" w14:textId="77777777" w:rsidR="00B33936" w:rsidRPr="005D6B77" w:rsidRDefault="00B33936" w:rsidP="00B33936">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bCs/>
          <w:i/>
          <w:sz w:val="22"/>
          <w:szCs w:val="22"/>
          <w:lang w:val="es-MX" w:eastAsia="en-US"/>
        </w:rPr>
        <w:lastRenderedPageBreak/>
        <w:t>II.</w:t>
      </w:r>
      <w:r w:rsidRPr="005D6B77">
        <w:rPr>
          <w:rFonts w:ascii="Palatino Linotype" w:eastAsiaTheme="minorHAnsi" w:hAnsi="Palatino Linotype" w:cstheme="minorBidi"/>
          <w:i/>
          <w:sz w:val="22"/>
          <w:szCs w:val="22"/>
          <w:lang w:val="es-MX"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375AA79B" w14:textId="77777777" w:rsidR="00B33936" w:rsidRPr="005D6B77" w:rsidRDefault="00B33936" w:rsidP="00B33936">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bCs/>
          <w:i/>
          <w:sz w:val="22"/>
          <w:szCs w:val="22"/>
          <w:lang w:val="es-MX" w:eastAsia="en-US"/>
        </w:rPr>
        <w:t>III.</w:t>
      </w:r>
      <w:r w:rsidRPr="005D6B77">
        <w:rPr>
          <w:rFonts w:ascii="Palatino Linotype" w:eastAsiaTheme="minorHAnsi" w:hAnsi="Palatino Linotype" w:cstheme="minorBidi"/>
          <w:i/>
          <w:sz w:val="22"/>
          <w:szCs w:val="22"/>
          <w:lang w:val="es-MX"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2BDCA633"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bCs/>
          <w:i/>
          <w:sz w:val="22"/>
          <w:szCs w:val="22"/>
          <w:lang w:val="es-MX" w:eastAsia="en-US"/>
        </w:rPr>
        <w:t>IV.</w:t>
      </w:r>
      <w:r w:rsidRPr="005D6B77">
        <w:rPr>
          <w:rFonts w:ascii="Palatino Linotype" w:eastAsiaTheme="minorHAnsi" w:hAnsi="Palatino Linotype" w:cstheme="minorBidi"/>
          <w:i/>
          <w:sz w:val="22"/>
          <w:szCs w:val="22"/>
          <w:lang w:val="es-MX" w:eastAsia="en-US"/>
        </w:rPr>
        <w:t xml:space="preserve"> Se trate de información relacionada con actos de corrupción de conformidad con las disposiciones jurídicas aplicables.</w:t>
      </w:r>
    </w:p>
    <w:p w14:paraId="4AE0B18B"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
          <w:i/>
          <w:sz w:val="22"/>
          <w:szCs w:val="22"/>
          <w:shd w:val="clear" w:color="auto" w:fill="FFFFFF"/>
          <w:lang w:val="es-MX" w:eastAsia="en-US"/>
        </w:rPr>
      </w:pPr>
    </w:p>
    <w:p w14:paraId="2907F21F" w14:textId="77777777" w:rsidR="00B33936" w:rsidRPr="00BF1C05" w:rsidRDefault="00B33936" w:rsidP="00B33936">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BF1C05">
        <w:rPr>
          <w:rFonts w:ascii="Palatino Linotype" w:eastAsiaTheme="minorHAnsi" w:hAnsi="Palatino Linotype" w:cstheme="minorBidi"/>
          <w:b/>
          <w:i/>
          <w:sz w:val="22"/>
          <w:szCs w:val="22"/>
          <w:u w:val="single"/>
          <w:shd w:val="clear" w:color="auto" w:fill="FFFFFF"/>
          <w:lang w:val="es-MX" w:eastAsia="en-US"/>
        </w:rPr>
        <w:t>LINEAMIENTOS GENERALES EN MATERIA DE CLASIFICACIÓN Y DESCLASIFICACIÓN DE LA INFORMACIÓN, ASÍ COMO PARA LA ELABORACIÓN DE VERSIONES PÚBLICAS.</w:t>
      </w:r>
    </w:p>
    <w:p w14:paraId="30E053D3" w14:textId="77777777" w:rsidR="00B33936" w:rsidRPr="00BF1C05" w:rsidRDefault="00B33936" w:rsidP="00B33936">
      <w:pPr>
        <w:tabs>
          <w:tab w:val="left" w:pos="709"/>
        </w:tabs>
        <w:spacing w:line="259" w:lineRule="auto"/>
        <w:ind w:left="567" w:right="567"/>
        <w:jc w:val="both"/>
        <w:rPr>
          <w:rFonts w:ascii="Palatino Linotype" w:eastAsiaTheme="minorHAnsi" w:hAnsi="Palatino Linotype" w:cstheme="minorBidi"/>
          <w:i/>
          <w:sz w:val="22"/>
          <w:szCs w:val="22"/>
          <w:u w:val="single"/>
          <w:lang w:val="es-MX" w:eastAsia="en-US"/>
        </w:rPr>
      </w:pPr>
    </w:p>
    <w:p w14:paraId="28FC80D9"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Trigésimo séptimo. No podrá invocarse el carácter de reservado de la información cuando:</w:t>
      </w:r>
    </w:p>
    <w:p w14:paraId="79E7CB56"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I.        Se trate de violaciones graves de derechos humanos;</w:t>
      </w:r>
    </w:p>
    <w:p w14:paraId="4C709F86"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17A4A622"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228620A6"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0E9F3FEC"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0E63FC61"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Al respecto, derivado de la excepción establecida en los preceptos legales antes citados, resulta oportuno mencionar que en tal supuesto, esta ponencia considera que si la </w:t>
      </w:r>
      <w:r w:rsidRPr="005D6B77">
        <w:rPr>
          <w:rFonts w:ascii="Palatino Linotype" w:eastAsiaTheme="minorHAnsi" w:hAnsi="Palatino Linotype" w:cstheme="minorBidi"/>
          <w:szCs w:val="22"/>
          <w:lang w:val="es-MX" w:eastAsia="en-US"/>
        </w:rPr>
        <w:lastRenderedPageBreak/>
        <w:t xml:space="preserve">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2CD5DF32"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23E03F5B"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Asimismo,</w:t>
      </w:r>
      <w:r w:rsidRPr="005D6B77">
        <w:rPr>
          <w:rFonts w:ascii="Palatino Linotype" w:eastAsiaTheme="minorHAnsi" w:hAnsi="Palatino Linotype" w:cstheme="minorBidi"/>
          <w:b/>
          <w:szCs w:val="22"/>
          <w:lang w:val="es-MX" w:eastAsia="en-US"/>
        </w:rPr>
        <w:t xml:space="preserve"> </w:t>
      </w:r>
      <w:r w:rsidRPr="005D6B77">
        <w:rPr>
          <w:rFonts w:ascii="Palatino Linotype" w:eastAsiaTheme="minorHAnsi" w:hAnsi="Palatino Linotype" w:cstheme="minorBidi"/>
          <w:szCs w:val="22"/>
          <w:lang w:val="es-MX" w:eastAsia="en-US"/>
        </w:rPr>
        <w:t>con</w:t>
      </w:r>
      <w:r w:rsidRPr="005D6B77">
        <w:rPr>
          <w:rFonts w:ascii="Palatino Linotype" w:eastAsiaTheme="minorHAnsi" w:hAnsi="Palatino Linotype" w:cstheme="minorBidi"/>
          <w:b/>
          <w:szCs w:val="22"/>
          <w:lang w:val="es-MX" w:eastAsia="en-US"/>
        </w:rPr>
        <w:t xml:space="preserve"> </w:t>
      </w:r>
      <w:r w:rsidRPr="005D6B77">
        <w:rPr>
          <w:rFonts w:ascii="Palatino Linotype" w:eastAsiaTheme="minorHAnsi" w:hAnsi="Palatino Linotype" w:cstheme="minorBidi"/>
          <w:szCs w:val="22"/>
          <w:lang w:val="es-MX" w:eastAsia="en-US"/>
        </w:rPr>
        <w:t xml:space="preserve">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w:t>
      </w:r>
      <w:r w:rsidRPr="005D6B77">
        <w:rPr>
          <w:rFonts w:ascii="Palatino Linotype" w:eastAsiaTheme="minorHAnsi" w:hAnsi="Palatino Linotype" w:cstheme="minorBidi"/>
          <w:szCs w:val="22"/>
          <w:lang w:val="es-MX" w:eastAsia="en-US"/>
        </w:rPr>
        <w:lastRenderedPageBreak/>
        <w:t>administrativas definitivas, especificando la causa de sanción, disposiciones legales que son del tenor literal siguiente:</w:t>
      </w:r>
    </w:p>
    <w:p w14:paraId="6CEB56C1"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1D7B2FCD" w14:textId="1B0BEF60" w:rsidR="00B33936" w:rsidRPr="005D6B77" w:rsidRDefault="00B33936" w:rsidP="00BF1C05">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u w:val="single"/>
          <w:lang w:val="es-MX" w:eastAsia="en-US"/>
        </w:rPr>
        <w:t>Ley General del Sistema Nacional Anticorrupción</w:t>
      </w:r>
    </w:p>
    <w:p w14:paraId="19E5925C"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“Artículo 53.</w:t>
      </w:r>
      <w:r w:rsidRPr="005D6B77">
        <w:rPr>
          <w:rFonts w:ascii="Palatino Linotype" w:eastAsiaTheme="minorHAnsi" w:hAnsi="Palatino Linotype" w:cstheme="minorBidi"/>
          <w:i/>
          <w:sz w:val="22"/>
          <w:szCs w:val="22"/>
          <w:lang w:val="es-MX"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172C8075"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2148C25A"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6F5E9CA7" w14:textId="42D25B78" w:rsidR="00B33936" w:rsidRPr="005D6B77" w:rsidRDefault="00B33936" w:rsidP="00BF1C05">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u w:val="single"/>
          <w:lang w:val="es-MX" w:eastAsia="en-US"/>
        </w:rPr>
        <w:t>Ley General de Responsabilidades Administrativas</w:t>
      </w:r>
    </w:p>
    <w:p w14:paraId="1BACA0E4"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lang w:val="es-MX" w:eastAsia="en-US"/>
        </w:rPr>
        <w:t>“Artículo 27…</w:t>
      </w:r>
    </w:p>
    <w:p w14:paraId="48A505CC"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7DDC3B12"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8"/>
          <w:szCs w:val="22"/>
          <w:lang w:val="es-MX" w:eastAsia="en-US"/>
        </w:rPr>
      </w:pPr>
    </w:p>
    <w:p w14:paraId="342C777A" w14:textId="33EAF51E" w:rsidR="00B33936" w:rsidRPr="00BF1C05" w:rsidRDefault="00B33936" w:rsidP="00BF1C05">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del Sistema Anticorrupción del Estado de México</w:t>
      </w:r>
    </w:p>
    <w:p w14:paraId="28F04F26"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r w:rsidRPr="005D6B77">
        <w:rPr>
          <w:rFonts w:ascii="Palatino Linotype" w:eastAsiaTheme="minorHAnsi" w:hAnsi="Palatino Linotype" w:cstheme="minorBidi"/>
          <w:bCs/>
          <w:i/>
          <w:sz w:val="22"/>
          <w:szCs w:val="22"/>
          <w:lang w:val="es-MX" w:eastAsia="en-US"/>
        </w:rPr>
        <w:t>“</w:t>
      </w:r>
      <w:r w:rsidRPr="005D6B77">
        <w:rPr>
          <w:rFonts w:ascii="Palatino Linotype" w:eastAsiaTheme="minorHAnsi" w:hAnsi="Palatino Linotype" w:cstheme="minorBidi"/>
          <w:b/>
          <w:i/>
          <w:sz w:val="22"/>
          <w:szCs w:val="22"/>
          <w:lang w:val="es-MX" w:eastAsia="en-US"/>
        </w:rPr>
        <w:t xml:space="preserve">Artículo 53. </w:t>
      </w:r>
      <w:r w:rsidRPr="005D6B77">
        <w:rPr>
          <w:rFonts w:ascii="Palatino Linotype" w:eastAsiaTheme="minorHAnsi" w:hAnsi="Palatino Linotype" w:cstheme="minorBidi"/>
          <w:i/>
          <w:sz w:val="22"/>
          <w:szCs w:val="22"/>
          <w:lang w:val="es-MX"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5D6B77">
        <w:rPr>
          <w:rFonts w:ascii="Palatino Linotype" w:eastAsiaTheme="minorHAnsi" w:hAnsi="Palatino Linotype" w:cstheme="minorBidi"/>
          <w:bCs/>
          <w:i/>
          <w:sz w:val="22"/>
          <w:szCs w:val="22"/>
          <w:lang w:val="es-MX" w:eastAsia="en-US"/>
        </w:rPr>
        <w:t>”.</w:t>
      </w:r>
    </w:p>
    <w:p w14:paraId="261937C1"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p>
    <w:p w14:paraId="307C9D83" w14:textId="77777777" w:rsidR="00B33936" w:rsidRPr="005D6B77" w:rsidRDefault="00B33936" w:rsidP="00B33936">
      <w:pPr>
        <w:tabs>
          <w:tab w:val="left" w:pos="709"/>
        </w:tabs>
        <w:spacing w:line="259" w:lineRule="auto"/>
        <w:ind w:right="567"/>
        <w:jc w:val="both"/>
        <w:rPr>
          <w:rFonts w:ascii="Palatino Linotype" w:eastAsiaTheme="minorHAnsi" w:hAnsi="Palatino Linotype" w:cstheme="minorBidi"/>
          <w:b/>
          <w:i/>
          <w:sz w:val="22"/>
          <w:szCs w:val="22"/>
          <w:lang w:val="es-MX" w:eastAsia="en-US"/>
        </w:rPr>
      </w:pPr>
    </w:p>
    <w:p w14:paraId="7C2E8A2A" w14:textId="57CA3F10" w:rsidR="00B33936" w:rsidRPr="00BF1C05" w:rsidRDefault="00B33936" w:rsidP="00BF1C05">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General de Transparencia y Acceso a la Información Pública</w:t>
      </w:r>
    </w:p>
    <w:p w14:paraId="20777076"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Artículo 70.</w:t>
      </w:r>
      <w:r w:rsidRPr="005D6B77">
        <w:rPr>
          <w:rFonts w:ascii="Palatino Linotype" w:eastAsiaTheme="minorHAnsi" w:hAnsi="Palatino Linotype" w:cstheme="minorBidi"/>
          <w:i/>
          <w:sz w:val="22"/>
          <w:szCs w:val="22"/>
          <w:lang w:val="es-MX"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1221471"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lastRenderedPageBreak/>
        <w:t>…</w:t>
      </w:r>
    </w:p>
    <w:p w14:paraId="33770805"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XVII.</w:t>
      </w:r>
      <w:r w:rsidRPr="005D6B77">
        <w:rPr>
          <w:rFonts w:ascii="Palatino Linotype" w:eastAsiaTheme="minorHAnsi" w:hAnsi="Palatino Linotype" w:cstheme="minorBidi"/>
          <w:i/>
          <w:sz w:val="22"/>
          <w:szCs w:val="22"/>
          <w:lang w:val="es-MX" w:eastAsia="en-US"/>
        </w:rPr>
        <w:t xml:space="preserve"> La información curricular, desde el nivel de jefe de departamento o equivalente, hasta el titular del sujeto obligado, así como, en su caso, las sanciones administrativas de que haya sido objeto;</w:t>
      </w:r>
    </w:p>
    <w:p w14:paraId="787B80E7"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XVIII.</w:t>
      </w:r>
      <w:r w:rsidRPr="005D6B77">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350D1CFF"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531E3EDF"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4A5EE1DA" w14:textId="77777777" w:rsidR="00B33936" w:rsidRPr="005D6B77" w:rsidRDefault="00B33936" w:rsidP="00B33936">
      <w:pPr>
        <w:tabs>
          <w:tab w:val="left" w:pos="709"/>
        </w:tabs>
        <w:spacing w:line="259" w:lineRule="auto"/>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de Transparencia y Acceso a la Información Pública del Estado de México y Municipios</w:t>
      </w:r>
    </w:p>
    <w:p w14:paraId="350B572A"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Artículo 92.</w:t>
      </w:r>
      <w:r w:rsidRPr="005D6B77">
        <w:rPr>
          <w:rFonts w:ascii="Palatino Linotype" w:eastAsiaTheme="minorHAnsi" w:hAnsi="Palatino Linotype" w:cstheme="minorBidi"/>
          <w:i/>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1BC07A"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lang w:val="es-MX" w:eastAsia="en-US"/>
        </w:rPr>
        <w:t>…</w:t>
      </w:r>
    </w:p>
    <w:p w14:paraId="36B3B01C" w14:textId="77777777" w:rsidR="00B33936" w:rsidRPr="005D6B77" w:rsidRDefault="00B33936" w:rsidP="00B3393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b/>
          <w:i/>
          <w:sz w:val="22"/>
          <w:szCs w:val="22"/>
          <w:lang w:val="es-MX" w:eastAsia="en-US"/>
        </w:rPr>
        <w:t>XXII.</w:t>
      </w:r>
      <w:r w:rsidRPr="005D6B77">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2677E6F5"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60E4151A"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En tal sentido, en el supuesto de que los expedientes formados con motivo de procedimientos administrativo</w:t>
      </w:r>
      <w:r w:rsidRPr="005D6B77">
        <w:rPr>
          <w:rFonts w:ascii="Palatino Linotype" w:eastAsiaTheme="minorHAnsi" w:hAnsi="Palatino Linotype" w:cs="Arial"/>
          <w:b/>
          <w:szCs w:val="22"/>
          <w:lang w:val="es-MX" w:eastAsia="en-US"/>
        </w:rPr>
        <w:t>s</w:t>
      </w:r>
      <w:r w:rsidRPr="005D6B77">
        <w:rPr>
          <w:rFonts w:ascii="Palatino Linotype" w:eastAsiaTheme="minorHAnsi" w:hAnsi="Palatino Linotype" w:cstheme="minorBidi"/>
          <w:szCs w:val="22"/>
          <w:lang w:val="es-MX" w:eastAsia="en-US"/>
        </w:rPr>
        <w:t xml:space="preserve"> se ajusten a las hipótesis establecidos en los artículos de referencia, es decir que en los expedientes en referencia </w:t>
      </w:r>
      <w:r w:rsidRPr="005D6B77">
        <w:rPr>
          <w:rFonts w:ascii="Palatino Linotype" w:eastAsiaTheme="minorHAnsi" w:hAnsi="Palatino Linotype" w:cstheme="minorBidi"/>
          <w:b/>
          <w:szCs w:val="22"/>
          <w:lang w:val="es-MX" w:eastAsia="en-US"/>
        </w:rPr>
        <w:t>contengan resolución con sanción  por responsabilidad administrativa por motivo de una faltas administrativas graves, y la misma hayan causado estado,</w:t>
      </w:r>
      <w:r w:rsidRPr="005D6B77">
        <w:rPr>
          <w:rFonts w:ascii="Palatino Linotype" w:eastAsiaTheme="minorHAnsi" w:hAnsi="Palatino Linotype" w:cstheme="minorBidi"/>
          <w:szCs w:val="22"/>
          <w:lang w:val="es-MX" w:eastAsia="en-US"/>
        </w:rPr>
        <w:t xml:space="preserve"> </w:t>
      </w:r>
      <w:r w:rsidRPr="005D6B77">
        <w:rPr>
          <w:rFonts w:ascii="Palatino Linotype" w:eastAsiaTheme="minorHAnsi" w:hAnsi="Palatino Linotype" w:cstheme="minorBidi"/>
          <w:b/>
          <w:szCs w:val="22"/>
          <w:lang w:val="es-MX" w:eastAsia="en-US"/>
        </w:rPr>
        <w:t xml:space="preserve">debe ser considerado como información pública, </w:t>
      </w:r>
      <w:r w:rsidRPr="005D6B77">
        <w:rPr>
          <w:rFonts w:ascii="Palatino Linotype" w:eastAsiaTheme="minorHAnsi" w:hAnsi="Palatino Linotype" w:cstheme="minorBidi"/>
          <w:szCs w:val="22"/>
          <w:lang w:val="es-MX" w:eastAsia="en-US"/>
        </w:rPr>
        <w:t xml:space="preserve">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w:t>
      </w:r>
      <w:r w:rsidRPr="005D6B77">
        <w:rPr>
          <w:rFonts w:ascii="Palatino Linotype" w:eastAsiaTheme="minorHAnsi" w:hAnsi="Palatino Linotype" w:cstheme="minorBidi"/>
          <w:szCs w:val="22"/>
          <w:lang w:val="es-MX" w:eastAsia="en-US"/>
        </w:rPr>
        <w:lastRenderedPageBreak/>
        <w:t>derivado de la solicitudes de acceso de referencia, siempre que dichas sanciones se encuentren firmes.</w:t>
      </w:r>
    </w:p>
    <w:p w14:paraId="290A66F4" w14:textId="77777777" w:rsidR="00B33936" w:rsidRPr="005D6B77" w:rsidRDefault="00B33936" w:rsidP="00B33936">
      <w:pPr>
        <w:tabs>
          <w:tab w:val="left" w:pos="709"/>
        </w:tabs>
        <w:spacing w:line="360" w:lineRule="auto"/>
        <w:jc w:val="both"/>
        <w:rPr>
          <w:rFonts w:ascii="Palatino Linotype" w:eastAsiaTheme="minorHAnsi" w:hAnsi="Palatino Linotype" w:cstheme="minorBidi"/>
          <w:b/>
          <w:szCs w:val="22"/>
          <w:lang w:val="es-MX" w:eastAsia="en-US"/>
        </w:rPr>
      </w:pPr>
    </w:p>
    <w:p w14:paraId="5201DB75" w14:textId="15879C5E"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2C4D0713"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22152923" w14:textId="77777777" w:rsidR="00B33936" w:rsidRPr="005D6B77" w:rsidRDefault="00B33936" w:rsidP="00B33936">
      <w:pPr>
        <w:tabs>
          <w:tab w:val="left" w:pos="709"/>
        </w:tabs>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General del Sistema Nacional Anticorrupción</w:t>
      </w:r>
    </w:p>
    <w:p w14:paraId="20D7F743" w14:textId="77777777" w:rsidR="00B33936" w:rsidRPr="005D6B77" w:rsidRDefault="00B33936" w:rsidP="00B33936">
      <w:pPr>
        <w:tabs>
          <w:tab w:val="left" w:pos="709"/>
        </w:tabs>
        <w:ind w:left="567" w:right="567"/>
        <w:jc w:val="both"/>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lang w:val="es-MX" w:eastAsia="en-US"/>
        </w:rPr>
        <w:t>“53…</w:t>
      </w:r>
    </w:p>
    <w:p w14:paraId="18358D20" w14:textId="77777777" w:rsidR="00B33936" w:rsidRPr="005D6B77" w:rsidRDefault="00B33936" w:rsidP="00B33936">
      <w:pPr>
        <w:tabs>
          <w:tab w:val="left" w:pos="709"/>
        </w:tabs>
        <w:ind w:left="567" w:right="567"/>
        <w:jc w:val="both"/>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i/>
          <w:sz w:val="22"/>
          <w:szCs w:val="22"/>
          <w:lang w:val="es-MX" w:eastAsia="en-US"/>
        </w:rPr>
        <w:t>Los registros de las sanciones relativas a responsabilidades administrativas no graves, quedarán registradas para efectos de eventual reincidencia, pero no serán públicas</w:t>
      </w:r>
      <w:r w:rsidRPr="005D6B77">
        <w:rPr>
          <w:rFonts w:ascii="Palatino Linotype" w:eastAsiaTheme="minorHAnsi" w:hAnsi="Palatino Linotype" w:cstheme="minorBidi"/>
          <w:b/>
          <w:i/>
          <w:sz w:val="22"/>
          <w:szCs w:val="22"/>
          <w:lang w:val="es-MX" w:eastAsia="en-US"/>
        </w:rPr>
        <w:t xml:space="preserve">...” </w:t>
      </w:r>
    </w:p>
    <w:p w14:paraId="5973B88D" w14:textId="77777777" w:rsidR="00B33936" w:rsidRPr="005D6B77" w:rsidRDefault="00B33936" w:rsidP="00B33936">
      <w:pPr>
        <w:tabs>
          <w:tab w:val="left" w:pos="709"/>
        </w:tabs>
        <w:ind w:left="567" w:right="567"/>
        <w:jc w:val="both"/>
        <w:rPr>
          <w:rFonts w:ascii="Palatino Linotype" w:eastAsiaTheme="minorHAnsi" w:hAnsi="Palatino Linotype" w:cstheme="minorBidi"/>
          <w:b/>
          <w:i/>
          <w:sz w:val="22"/>
          <w:szCs w:val="22"/>
          <w:lang w:val="es-MX" w:eastAsia="en-US"/>
        </w:rPr>
      </w:pPr>
    </w:p>
    <w:p w14:paraId="477BCE57" w14:textId="77777777" w:rsidR="00B33936" w:rsidRPr="005D6B77" w:rsidRDefault="00B33936" w:rsidP="00B33936">
      <w:pPr>
        <w:tabs>
          <w:tab w:val="left" w:pos="709"/>
        </w:tabs>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del Sistema Anticorrupción del Estado de México</w:t>
      </w:r>
    </w:p>
    <w:p w14:paraId="73A7C6A1" w14:textId="77777777" w:rsidR="00B33936" w:rsidRPr="005D6B77" w:rsidRDefault="00B33936" w:rsidP="00B33936">
      <w:pPr>
        <w:tabs>
          <w:tab w:val="left" w:pos="709"/>
        </w:tabs>
        <w:ind w:left="567" w:right="567"/>
        <w:jc w:val="both"/>
        <w:rPr>
          <w:rFonts w:ascii="Palatino Linotype" w:eastAsiaTheme="minorHAnsi" w:hAnsi="Palatino Linotype" w:cstheme="minorBidi"/>
          <w:b/>
          <w:i/>
          <w:sz w:val="22"/>
          <w:szCs w:val="22"/>
          <w:lang w:val="es-MX" w:eastAsia="en-US"/>
        </w:rPr>
      </w:pPr>
      <w:r w:rsidRPr="005D6B77">
        <w:rPr>
          <w:rFonts w:ascii="Palatino Linotype" w:eastAsiaTheme="minorHAnsi" w:hAnsi="Palatino Linotype" w:cstheme="minorBidi"/>
          <w:b/>
          <w:i/>
          <w:sz w:val="22"/>
          <w:szCs w:val="22"/>
          <w:lang w:val="es-MX" w:eastAsia="en-US"/>
        </w:rPr>
        <w:t>“53…</w:t>
      </w:r>
    </w:p>
    <w:p w14:paraId="067C0554" w14:textId="77777777" w:rsidR="00B33936" w:rsidRPr="005D6B77" w:rsidRDefault="00B33936" w:rsidP="00B33936">
      <w:pPr>
        <w:tabs>
          <w:tab w:val="left" w:pos="709"/>
        </w:tabs>
        <w:ind w:left="567" w:right="567"/>
        <w:jc w:val="both"/>
        <w:rPr>
          <w:rFonts w:ascii="Palatino Linotype" w:eastAsiaTheme="minorHAnsi" w:hAnsi="Palatino Linotype" w:cstheme="minorBidi"/>
          <w:sz w:val="22"/>
          <w:szCs w:val="22"/>
          <w:lang w:val="es-MX" w:eastAsia="en-US"/>
        </w:rPr>
      </w:pPr>
      <w:r w:rsidRPr="005D6B77">
        <w:rPr>
          <w:rFonts w:ascii="Palatino Linotype" w:eastAsiaTheme="minorHAnsi" w:hAnsi="Palatino Linotype" w:cstheme="minorBidi"/>
          <w:sz w:val="22"/>
          <w:szCs w:val="22"/>
          <w:lang w:val="es-MX" w:eastAsia="en-US"/>
        </w:rPr>
        <w:t>Los registros de las sanciones relativas a responsabilidades administrativas no graves, quedarán registradas para efectos de eventual reincidencia, pero no serán públicas…”</w:t>
      </w:r>
    </w:p>
    <w:p w14:paraId="5EE51E49" w14:textId="77777777" w:rsidR="00B33936" w:rsidRPr="005D6B77" w:rsidRDefault="00B33936" w:rsidP="00B33936">
      <w:pPr>
        <w:tabs>
          <w:tab w:val="left" w:pos="709"/>
        </w:tabs>
        <w:ind w:left="567" w:right="567"/>
        <w:jc w:val="both"/>
        <w:rPr>
          <w:rFonts w:ascii="Palatino Linotype" w:eastAsiaTheme="minorHAnsi" w:hAnsi="Palatino Linotype" w:cstheme="minorBidi"/>
          <w:sz w:val="22"/>
          <w:szCs w:val="22"/>
          <w:lang w:val="es-MX" w:eastAsia="en-US"/>
        </w:rPr>
      </w:pPr>
    </w:p>
    <w:p w14:paraId="16C7CE42" w14:textId="77777777" w:rsidR="00B33936" w:rsidRPr="005D6B77" w:rsidRDefault="00B33936" w:rsidP="00B33936">
      <w:pPr>
        <w:tabs>
          <w:tab w:val="left" w:pos="709"/>
        </w:tabs>
        <w:ind w:left="567" w:right="567"/>
        <w:jc w:val="center"/>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Ley General de Responsabilidades Administrativas</w:t>
      </w:r>
    </w:p>
    <w:p w14:paraId="0A40777F" w14:textId="77777777" w:rsidR="00B33936" w:rsidRPr="005D6B77" w:rsidRDefault="00B33936" w:rsidP="00B33936">
      <w:pPr>
        <w:tabs>
          <w:tab w:val="left" w:pos="709"/>
        </w:tabs>
        <w:ind w:left="567" w:right="567"/>
        <w:jc w:val="both"/>
        <w:rPr>
          <w:rFonts w:ascii="Palatino Linotype" w:eastAsiaTheme="minorHAnsi" w:hAnsi="Palatino Linotype" w:cstheme="minorBidi"/>
          <w:b/>
          <w:i/>
          <w:sz w:val="22"/>
          <w:szCs w:val="22"/>
          <w:u w:val="single"/>
          <w:lang w:val="es-MX" w:eastAsia="en-US"/>
        </w:rPr>
      </w:pPr>
      <w:r w:rsidRPr="005D6B77">
        <w:rPr>
          <w:rFonts w:ascii="Palatino Linotype" w:eastAsiaTheme="minorHAnsi" w:hAnsi="Palatino Linotype" w:cstheme="minorBidi"/>
          <w:b/>
          <w:i/>
          <w:sz w:val="22"/>
          <w:szCs w:val="22"/>
          <w:u w:val="single"/>
          <w:lang w:val="es-MX" w:eastAsia="en-US"/>
        </w:rPr>
        <w:t>“27…</w:t>
      </w:r>
    </w:p>
    <w:p w14:paraId="6634FB7B" w14:textId="77777777" w:rsidR="00B33936" w:rsidRPr="005D6B77" w:rsidRDefault="00B33936" w:rsidP="00B33936">
      <w:pPr>
        <w:tabs>
          <w:tab w:val="left" w:pos="709"/>
        </w:tabs>
        <w:ind w:left="567" w:right="567"/>
        <w:jc w:val="both"/>
        <w:rPr>
          <w:rFonts w:ascii="Palatino Linotype" w:eastAsiaTheme="minorHAnsi" w:hAnsi="Palatino Linotype" w:cstheme="minorBidi"/>
          <w:i/>
          <w:sz w:val="22"/>
          <w:szCs w:val="22"/>
          <w:lang w:val="es-MX" w:eastAsia="en-US"/>
        </w:rPr>
      </w:pPr>
      <w:proofErr w:type="gramStart"/>
      <w:r w:rsidRPr="005D6B77">
        <w:rPr>
          <w:rFonts w:ascii="Palatino Linotype" w:eastAsiaTheme="minorHAnsi" w:hAnsi="Palatino Linotype" w:cstheme="minorBidi"/>
          <w:i/>
          <w:sz w:val="22"/>
          <w:szCs w:val="22"/>
          <w:lang w:val="es-MX" w:eastAsia="en-US"/>
        </w:rPr>
        <w:t>así</w:t>
      </w:r>
      <w:proofErr w:type="gramEnd"/>
      <w:r w:rsidRPr="005D6B77">
        <w:rPr>
          <w:rFonts w:ascii="Palatino Linotype" w:eastAsiaTheme="minorHAnsi" w:hAnsi="Palatino Linotype" w:cstheme="minorBidi"/>
          <w:i/>
          <w:sz w:val="22"/>
          <w:szCs w:val="22"/>
          <w:lang w:val="es-MX" w:eastAsia="en-US"/>
        </w:rPr>
        <w:t xml:space="preserve"> como la anotación de aquellas abstenciones que hayan realizado las autoridades investigadoras o el Tribunal, en términos de los artículos 77 y 80 de esta Ley”.</w:t>
      </w:r>
    </w:p>
    <w:p w14:paraId="19A08E4E" w14:textId="77777777" w:rsidR="00B33936" w:rsidRPr="005D6B77" w:rsidRDefault="00B33936" w:rsidP="00B33936">
      <w:pPr>
        <w:tabs>
          <w:tab w:val="left" w:pos="709"/>
        </w:tabs>
        <w:spacing w:line="360" w:lineRule="auto"/>
        <w:ind w:right="567"/>
        <w:jc w:val="both"/>
        <w:rPr>
          <w:rFonts w:ascii="Palatino Linotype" w:eastAsiaTheme="minorHAnsi" w:hAnsi="Palatino Linotype" w:cstheme="minorBidi"/>
          <w:szCs w:val="22"/>
          <w:lang w:val="es-MX" w:eastAsia="en-US"/>
        </w:rPr>
      </w:pPr>
    </w:p>
    <w:p w14:paraId="3F7FFA09"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De los preceptos legales anteriores se pueden advertir dos supuestos: el primero con fundamento en los artículos 53, párrafo segundo de la Ley General del Sistema </w:t>
      </w:r>
      <w:r w:rsidRPr="005D6B77">
        <w:rPr>
          <w:rFonts w:ascii="Palatino Linotype" w:eastAsiaTheme="minorHAnsi" w:hAnsi="Palatino Linotype" w:cstheme="minorBidi"/>
          <w:szCs w:val="22"/>
          <w:lang w:val="es-MX" w:eastAsia="en-US"/>
        </w:rPr>
        <w:lastRenderedPageBreak/>
        <w:t>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2BA811D9"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69C17EDB" w14:textId="77777777" w:rsidR="00B33936"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030C9A49"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3F2C8D45"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En definitiva, para el caso de los oficios que formen parte de procedimientos de </w:t>
      </w:r>
      <w:r w:rsidRPr="005D6B77">
        <w:rPr>
          <w:rFonts w:ascii="Palatino Linotype" w:eastAsiaTheme="minorHAnsi" w:hAnsi="Palatino Linotype" w:cstheme="minorBidi"/>
          <w:b/>
          <w:szCs w:val="22"/>
          <w:u w:val="single"/>
          <w:lang w:val="es-MX" w:eastAsia="en-US"/>
        </w:rPr>
        <w:t>sanciones graves absolutorias, concluidos</w:t>
      </w:r>
      <w:r w:rsidRPr="005D6B77">
        <w:rPr>
          <w:rFonts w:ascii="Palatino Linotype" w:eastAsiaTheme="minorHAnsi" w:hAnsi="Palatino Linotype" w:cstheme="minorBidi"/>
          <w:szCs w:val="22"/>
          <w:lang w:val="es-MX" w:eastAsia="en-US"/>
        </w:rPr>
        <w:t xml:space="preserve">, se procederá a su acceso en </w:t>
      </w:r>
      <w:r w:rsidRPr="005D6B77">
        <w:rPr>
          <w:rFonts w:ascii="Palatino Linotype" w:eastAsiaTheme="minorHAnsi" w:hAnsi="Palatino Linotype" w:cstheme="minorBidi"/>
          <w:i/>
          <w:szCs w:val="22"/>
          <w:lang w:val="es-MX" w:eastAsia="en-US"/>
        </w:rPr>
        <w:t>versión pública</w:t>
      </w:r>
      <w:r w:rsidRPr="005D6B77">
        <w:rPr>
          <w:rFonts w:ascii="Palatino Linotype" w:eastAsiaTheme="minorHAnsi" w:hAnsi="Palatino Linotype" w:cstheme="minorBidi"/>
          <w:szCs w:val="22"/>
          <w:lang w:val="es-MX" w:eastAsia="en-US"/>
        </w:rPr>
        <w:t xml:space="preserve">, </w:t>
      </w:r>
      <w:r w:rsidRPr="005D6B77">
        <w:rPr>
          <w:rFonts w:ascii="Palatino Linotype" w:eastAsiaTheme="minorHAnsi" w:hAnsi="Palatino Linotype" w:cstheme="minorBidi"/>
          <w:b/>
          <w:szCs w:val="22"/>
          <w:u w:val="single"/>
          <w:lang w:val="es-MX" w:eastAsia="en-US"/>
        </w:rPr>
        <w:t>protegiendo el nombre, cargo y área de adscripción del Servidor Público absuelto</w:t>
      </w:r>
      <w:r w:rsidRPr="005D6B77">
        <w:rPr>
          <w:rFonts w:ascii="Palatino Linotype" w:eastAsiaTheme="minorHAnsi" w:hAnsi="Palatino Linotype" w:cstheme="minorBidi"/>
          <w:szCs w:val="22"/>
          <w:lang w:val="es-MX"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2B34779E"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16DDC34A"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lastRenderedPageBreak/>
        <w:t xml:space="preserve">Bajo este contexto, se considera que en el supuesto de que la información se encuentre en alguno de los supuestos antes establecidos, el </w:t>
      </w:r>
      <w:r w:rsidRPr="005D6B77">
        <w:rPr>
          <w:rFonts w:ascii="Palatino Linotype" w:eastAsiaTheme="minorHAnsi" w:hAnsi="Palatino Linotype" w:cstheme="minorBidi"/>
          <w:b/>
          <w:szCs w:val="22"/>
          <w:lang w:val="es-MX" w:eastAsia="en-US"/>
        </w:rPr>
        <w:t>Sujeto Obligado</w:t>
      </w:r>
      <w:r w:rsidRPr="005D6B77">
        <w:rPr>
          <w:rFonts w:ascii="Palatino Linotype" w:eastAsiaTheme="minorHAnsi" w:hAnsi="Palatino Linotype" w:cstheme="minorBidi"/>
          <w:szCs w:val="22"/>
          <w:lang w:val="es-MX" w:eastAsia="en-US"/>
        </w:rPr>
        <w:t xml:space="preserve"> deberá clasificar la información, emitiendo en su caso el acuerdo correspondiente</w:t>
      </w:r>
      <w:r w:rsidRPr="005D6B77">
        <w:rPr>
          <w:rFonts w:ascii="Palatino Linotype" w:eastAsiaTheme="minorHAnsi" w:hAnsi="Palatino Linotype" w:cstheme="minorBidi"/>
          <w:b/>
          <w:szCs w:val="22"/>
          <w:lang w:val="es-MX" w:eastAsia="en-US"/>
        </w:rPr>
        <w:t xml:space="preserve">, </w:t>
      </w:r>
      <w:r w:rsidRPr="005D6B77">
        <w:rPr>
          <w:rFonts w:ascii="Palatino Linotype" w:eastAsiaTheme="minorHAnsi" w:hAnsi="Palatino Linotype" w:cstheme="minorBidi"/>
          <w:szCs w:val="22"/>
          <w:lang w:val="es-MX" w:eastAsia="en-US"/>
        </w:rPr>
        <w:t>tomando en consideración que, de proporcionar el nombre de los servidores públicos relacionados al procedimiento de responsabilidades administrativas por faltas no graves, podría afectar su honor, buen nombre y su imagen.</w:t>
      </w:r>
    </w:p>
    <w:p w14:paraId="5499AE05"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26B5E23D"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Al respecto, la Suprema Corte de Justicia de la Nación ha reconocido como derechos fundamentales de las personas, el derecho a la intimidad y a la propia imagen, en el siguiente criterio:</w:t>
      </w:r>
    </w:p>
    <w:p w14:paraId="2AB511A2"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7F7234A9" w14:textId="77777777" w:rsidR="00B33936" w:rsidRPr="005D6B77" w:rsidRDefault="00B33936" w:rsidP="00B33936">
      <w:pPr>
        <w:spacing w:line="259" w:lineRule="auto"/>
        <w:ind w:left="567" w:right="567"/>
        <w:jc w:val="both"/>
        <w:rPr>
          <w:rFonts w:ascii="Palatino Linotype" w:eastAsiaTheme="minorHAnsi" w:hAnsi="Palatino Linotype" w:cstheme="minorBidi"/>
          <w:i/>
          <w:sz w:val="22"/>
          <w:szCs w:val="22"/>
          <w:lang w:val="es-MX" w:eastAsia="en-US"/>
        </w:rPr>
      </w:pPr>
      <w:r w:rsidRPr="005D6B77">
        <w:rPr>
          <w:rFonts w:ascii="Palatino Linotype" w:eastAsiaTheme="minorHAnsi" w:hAnsi="Palatino Linotype" w:cstheme="minorBidi"/>
          <w:i/>
          <w:sz w:val="22"/>
          <w:szCs w:val="22"/>
          <w:lang w:val="es-MX" w:eastAsia="en-US"/>
        </w:rPr>
        <w:t>“</w:t>
      </w:r>
      <w:r w:rsidRPr="005D6B77">
        <w:rPr>
          <w:rFonts w:ascii="Palatino Linotype" w:eastAsiaTheme="minorHAnsi" w:hAnsi="Palatino Linotype" w:cstheme="minorBidi"/>
          <w:b/>
          <w:bCs/>
          <w:i/>
          <w:sz w:val="22"/>
          <w:szCs w:val="22"/>
          <w:lang w:val="es-MX" w:eastAsia="en-US"/>
        </w:rPr>
        <w:t>DERECHOS A LA INTIMIDAD, PROPIA IMAGEN, IDENTIDAD PERSONAL Y SEXUAL. CONSTITUYEN DERECHOS DE DEFENSA Y GARANTÍA ESENCIAL PARA LA CONDICIÓN HUMANA</w:t>
      </w:r>
      <w:r w:rsidRPr="005D6B77">
        <w:rPr>
          <w:rFonts w:ascii="Palatino Linotype" w:eastAsiaTheme="minorHAnsi" w:hAnsi="Palatino Linotype" w:cstheme="minorBidi"/>
          <w:i/>
          <w:sz w:val="22"/>
          <w:szCs w:val="22"/>
          <w:lang w:val="es-MX" w:eastAsia="en-US"/>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w:t>
      </w:r>
      <w:r w:rsidRPr="005D6B77">
        <w:rPr>
          <w:rFonts w:ascii="Palatino Linotype" w:eastAsiaTheme="minorHAnsi" w:hAnsi="Palatino Linotype" w:cstheme="minorBidi"/>
          <w:i/>
          <w:sz w:val="22"/>
          <w:szCs w:val="22"/>
          <w:lang w:val="es-MX" w:eastAsia="en-US"/>
        </w:rPr>
        <w:lastRenderedPageBreak/>
        <w:t>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B5B3C2B"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 </w:t>
      </w:r>
    </w:p>
    <w:p w14:paraId="5620125D"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276D6456"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2AAEF5F5" w14:textId="77777777" w:rsidR="00B33936"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1DBED501"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p>
    <w:p w14:paraId="151E931F" w14:textId="77777777" w:rsidR="00B33936" w:rsidRPr="005D6B77" w:rsidRDefault="00B33936" w:rsidP="00B33936">
      <w:pPr>
        <w:tabs>
          <w:tab w:val="left" w:pos="709"/>
        </w:tabs>
        <w:spacing w:line="360" w:lineRule="auto"/>
        <w:jc w:val="both"/>
        <w:rPr>
          <w:rFonts w:ascii="Palatino Linotype" w:eastAsiaTheme="minorHAnsi" w:hAnsi="Palatino Linotype" w:cstheme="minorBidi"/>
          <w:szCs w:val="22"/>
          <w:lang w:val="es-MX" w:eastAsia="en-US"/>
        </w:rPr>
      </w:pPr>
      <w:r w:rsidRPr="005D6B77">
        <w:rPr>
          <w:rFonts w:ascii="Palatino Linotype" w:eastAsiaTheme="minorHAnsi" w:hAnsi="Palatino Linotype" w:cstheme="minorBidi"/>
          <w:szCs w:val="22"/>
          <w:lang w:val="es-MX" w:eastAsia="en-US"/>
        </w:rPr>
        <w:t xml:space="preserve">Finalmente, respecto a la información que da cuenta de lo solicitado, podría contener datos confidenciales; por lo que, en su caso, deberá entregar versión pública en la que se eliminen estos, junto con el acuerdo del Comité de Transparencia, en el que funde y </w:t>
      </w:r>
      <w:r w:rsidRPr="005D6B77">
        <w:rPr>
          <w:rFonts w:ascii="Palatino Linotype" w:eastAsiaTheme="minorHAnsi" w:hAnsi="Palatino Linotype" w:cstheme="minorBidi"/>
          <w:szCs w:val="22"/>
          <w:lang w:val="es-MX" w:eastAsia="en-US"/>
        </w:rPr>
        <w:lastRenderedPageBreak/>
        <w:t>motive la eliminación de la información, de conformidad con lo establecido en los artículos 49, fracciones II y VIII, 128, 132, fracción I, 138, 143 y 149 de la Ley de Transparencia y Acceso a la Información Pública de Estado de México y Municipios.</w:t>
      </w:r>
    </w:p>
    <w:p w14:paraId="50FEBAF1" w14:textId="77777777" w:rsidR="00B33936" w:rsidRPr="005D6B77" w:rsidRDefault="00B33936" w:rsidP="00B33936">
      <w:pPr>
        <w:spacing w:line="360" w:lineRule="auto"/>
        <w:jc w:val="both"/>
        <w:rPr>
          <w:rFonts w:ascii="Palatino Linotype" w:eastAsia="MS Mincho" w:hAnsi="Palatino Linotype" w:cs="Arial"/>
          <w:sz w:val="28"/>
          <w:lang w:eastAsia="en-US"/>
        </w:rPr>
      </w:pPr>
    </w:p>
    <w:p w14:paraId="57568F9C" w14:textId="77777777" w:rsidR="00B33936" w:rsidRPr="005D6B77" w:rsidRDefault="00B33936" w:rsidP="00B33936">
      <w:pPr>
        <w:numPr>
          <w:ilvl w:val="0"/>
          <w:numId w:val="24"/>
        </w:numPr>
        <w:spacing w:line="360" w:lineRule="auto"/>
        <w:jc w:val="both"/>
        <w:rPr>
          <w:rFonts w:ascii="Palatino Linotype" w:hAnsi="Palatino Linotype" w:cs="Arial"/>
          <w:b/>
          <w:i/>
          <w:sz w:val="28"/>
        </w:rPr>
      </w:pPr>
      <w:r w:rsidRPr="005D6B77">
        <w:rPr>
          <w:rFonts w:ascii="Palatino Linotype" w:hAnsi="Palatino Linotype" w:cs="Arial"/>
          <w:b/>
          <w:i/>
          <w:sz w:val="28"/>
        </w:rPr>
        <w:t>De la Versión Pública.</w:t>
      </w:r>
    </w:p>
    <w:p w14:paraId="2ED02844"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5D6B77">
        <w:rPr>
          <w:rFonts w:ascii="Palatino Linotype" w:eastAsia="MS Mincho" w:hAnsi="Palatino Linotype" w:cs="Arial"/>
          <w:lang w:eastAsia="en-US"/>
        </w:rPr>
        <w:cr/>
      </w:r>
    </w:p>
    <w:p w14:paraId="02A59552"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w:t>
      </w:r>
      <w:r w:rsidRPr="005D6B77">
        <w:rPr>
          <w:rFonts w:ascii="Palatino Linotype" w:eastAsia="MS Mincho" w:hAnsi="Palatino Linotype" w:cs="Arial"/>
          <w:lang w:eastAsia="en-US"/>
        </w:rPr>
        <w:lastRenderedPageBreak/>
        <w:t xml:space="preserve">la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la cual para su obtención es necesario acreditar personalidad, fecha de nacimiento entre otros con documentos oficiales.</w:t>
      </w:r>
    </w:p>
    <w:p w14:paraId="255E0B63" w14:textId="77777777" w:rsidR="00B33936" w:rsidRPr="005D6B77" w:rsidRDefault="00B33936" w:rsidP="00B33936">
      <w:pPr>
        <w:spacing w:line="360" w:lineRule="auto"/>
        <w:jc w:val="both"/>
        <w:rPr>
          <w:rFonts w:ascii="Palatino Linotype" w:eastAsia="MS Mincho" w:hAnsi="Palatino Linotype" w:cs="Arial"/>
          <w:lang w:eastAsia="en-US"/>
        </w:rPr>
      </w:pPr>
    </w:p>
    <w:p w14:paraId="23E788F8"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Al respecto, el Instituto Nacional de Transparencia, Acceso a la Información y Protección de Datos Personales (INAI) a través del Criterio 19/17, señala literalmente lo siguiente:</w:t>
      </w:r>
    </w:p>
    <w:p w14:paraId="047E5ED3" w14:textId="77777777" w:rsidR="00B33936" w:rsidRPr="005D6B77" w:rsidRDefault="00B33936" w:rsidP="00B33936">
      <w:pPr>
        <w:spacing w:line="360" w:lineRule="auto"/>
        <w:jc w:val="both"/>
        <w:rPr>
          <w:rFonts w:ascii="Palatino Linotype" w:eastAsia="MS Mincho" w:hAnsi="Palatino Linotype" w:cs="Arial"/>
          <w:lang w:eastAsia="en-US"/>
        </w:rPr>
      </w:pPr>
    </w:p>
    <w:p w14:paraId="7F087820"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Registro Federal de Contribuyentes (RFC) de personas físicas</w:t>
      </w:r>
      <w:r w:rsidRPr="005D6B77">
        <w:rPr>
          <w:rFonts w:ascii="Palatino Linotype" w:eastAsia="MS Mincho" w:hAnsi="Palatino Linotype" w:cs="Arial"/>
          <w:i/>
          <w:sz w:val="22"/>
          <w:lang w:eastAsia="en-US"/>
        </w:rPr>
        <w:t xml:space="preserve">. El RFC es una clave de carácter fiscal, </w:t>
      </w:r>
      <w:proofErr w:type="gramStart"/>
      <w:r w:rsidRPr="005D6B77">
        <w:rPr>
          <w:rFonts w:ascii="Palatino Linotype" w:eastAsia="MS Mincho" w:hAnsi="Palatino Linotype" w:cs="Arial"/>
          <w:i/>
          <w:sz w:val="22"/>
          <w:lang w:eastAsia="en-US"/>
        </w:rPr>
        <w:t>única</w:t>
      </w:r>
      <w:proofErr w:type="gramEnd"/>
      <w:r w:rsidRPr="005D6B77">
        <w:rPr>
          <w:rFonts w:ascii="Palatino Linotype" w:eastAsia="MS Mincho" w:hAnsi="Palatino Linotype" w:cs="Arial"/>
          <w:i/>
          <w:sz w:val="22"/>
          <w:lang w:eastAsia="en-US"/>
        </w:rPr>
        <w:t xml:space="preserve"> e irrepetible, que permite identificar al titular, su edad y fecha de nacimiento, por lo que es un dato personal de carácter confidencial.</w:t>
      </w:r>
    </w:p>
    <w:p w14:paraId="02F55BAA" w14:textId="77777777" w:rsidR="00B33936" w:rsidRPr="005D6B77" w:rsidRDefault="00B33936" w:rsidP="00B33936">
      <w:pPr>
        <w:ind w:left="567" w:right="567"/>
        <w:jc w:val="both"/>
        <w:rPr>
          <w:rFonts w:ascii="Palatino Linotype" w:eastAsia="MS Mincho" w:hAnsi="Palatino Linotype" w:cs="Arial"/>
          <w:i/>
          <w:sz w:val="22"/>
          <w:lang w:eastAsia="en-US"/>
        </w:rPr>
      </w:pPr>
    </w:p>
    <w:p w14:paraId="19CA3BF0"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Resoluciones:</w:t>
      </w:r>
    </w:p>
    <w:p w14:paraId="7E6A1BFC"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0189/17. Morena. 08 de febrero de 2017. Por unanimidad.</w:t>
      </w:r>
    </w:p>
    <w:p w14:paraId="47C0936C"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Comisionado Ponente Joel Salas Suárez.</w:t>
      </w:r>
    </w:p>
    <w:p w14:paraId="41E48042"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0677/17. Universidad Nacional Autónoma de México. 08 de marzo de</w:t>
      </w:r>
    </w:p>
    <w:p w14:paraId="76193EA3"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xml:space="preserve">2017. Por unanimidad. Comisionado Ponente </w:t>
      </w:r>
      <w:proofErr w:type="spellStart"/>
      <w:r w:rsidRPr="005D6B77">
        <w:rPr>
          <w:rFonts w:ascii="Palatino Linotype" w:eastAsia="MS Mincho" w:hAnsi="Palatino Linotype" w:cs="Arial"/>
          <w:i/>
          <w:sz w:val="20"/>
          <w:lang w:eastAsia="en-US"/>
        </w:rPr>
        <w:t>Rosendoevgueni</w:t>
      </w:r>
      <w:proofErr w:type="spellEnd"/>
      <w:r w:rsidRPr="005D6B77">
        <w:rPr>
          <w:rFonts w:ascii="Palatino Linotype" w:eastAsia="MS Mincho" w:hAnsi="Palatino Linotype" w:cs="Arial"/>
          <w:i/>
          <w:sz w:val="20"/>
          <w:lang w:eastAsia="en-US"/>
        </w:rPr>
        <w:t xml:space="preserve"> Monterrey </w:t>
      </w:r>
      <w:proofErr w:type="spellStart"/>
      <w:r w:rsidRPr="005D6B77">
        <w:rPr>
          <w:rFonts w:ascii="Palatino Linotype" w:eastAsia="MS Mincho" w:hAnsi="Palatino Linotype" w:cs="Arial"/>
          <w:i/>
          <w:sz w:val="20"/>
          <w:lang w:eastAsia="en-US"/>
        </w:rPr>
        <w:t>Chepov</w:t>
      </w:r>
      <w:proofErr w:type="spellEnd"/>
      <w:r w:rsidRPr="005D6B77">
        <w:rPr>
          <w:rFonts w:ascii="Palatino Linotype" w:eastAsia="MS Mincho" w:hAnsi="Palatino Linotype" w:cs="Arial"/>
          <w:i/>
          <w:sz w:val="20"/>
          <w:lang w:eastAsia="en-US"/>
        </w:rPr>
        <w:t>.</w:t>
      </w:r>
    </w:p>
    <w:p w14:paraId="4184EB2D"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233EEFD9" w14:textId="77777777" w:rsidR="00B33936" w:rsidRPr="005D6B77" w:rsidRDefault="00B33936" w:rsidP="00B33936">
      <w:pPr>
        <w:spacing w:line="360" w:lineRule="auto"/>
        <w:jc w:val="both"/>
        <w:rPr>
          <w:rFonts w:ascii="Palatino Linotype" w:eastAsia="MS Mincho" w:hAnsi="Palatino Linotype" w:cs="Arial"/>
          <w:lang w:eastAsia="en-US"/>
        </w:rPr>
      </w:pPr>
    </w:p>
    <w:p w14:paraId="40840AC9"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De lo anterior, se desprende que el Registro Federal de Contribuyentes se vincula al nombre de su titular, permitiendo identificar la edad de la persona, fecha de nacimiento, así como su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249E8847" w14:textId="77777777" w:rsidR="00B33936" w:rsidRPr="005D6B77" w:rsidRDefault="00B33936" w:rsidP="00B33936">
      <w:pPr>
        <w:spacing w:line="360" w:lineRule="auto"/>
        <w:jc w:val="both"/>
        <w:rPr>
          <w:rFonts w:ascii="Palatino Linotype" w:eastAsia="MS Mincho" w:hAnsi="Palatino Linotype" w:cs="Arial"/>
          <w:lang w:eastAsia="en-US"/>
        </w:rPr>
      </w:pPr>
    </w:p>
    <w:p w14:paraId="70DEDBAA"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09DFABA" w14:textId="77777777" w:rsidR="00B33936" w:rsidRPr="005D6B77" w:rsidRDefault="00B33936" w:rsidP="00B33936">
      <w:pPr>
        <w:spacing w:line="360" w:lineRule="auto"/>
        <w:jc w:val="both"/>
        <w:rPr>
          <w:rFonts w:ascii="Palatino Linotype" w:eastAsia="MS Mincho" w:hAnsi="Palatino Linotype" w:cs="Arial"/>
          <w:lang w:eastAsia="en-US"/>
        </w:rPr>
      </w:pPr>
    </w:p>
    <w:p w14:paraId="37A86FB0"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Lo anterior, tiene sustento en los artículos 86 y 91, de la Ley General de Población, la cual señala lo siguiente:</w:t>
      </w:r>
    </w:p>
    <w:p w14:paraId="53D17CAB" w14:textId="77777777" w:rsidR="00B33936" w:rsidRPr="005D6B77" w:rsidRDefault="00B33936" w:rsidP="00B33936">
      <w:pPr>
        <w:spacing w:line="360" w:lineRule="auto"/>
        <w:jc w:val="both"/>
        <w:rPr>
          <w:rFonts w:ascii="Palatino Linotype" w:eastAsia="MS Mincho" w:hAnsi="Palatino Linotype" w:cs="Arial"/>
          <w:lang w:eastAsia="en-US"/>
        </w:rPr>
      </w:pPr>
    </w:p>
    <w:p w14:paraId="26A87BC6"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Artículo 86.</w:t>
      </w:r>
      <w:r w:rsidRPr="005D6B77">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28A111A1" w14:textId="77777777" w:rsidR="00B33936" w:rsidRPr="005D6B77" w:rsidRDefault="00B33936" w:rsidP="00B33936">
      <w:pPr>
        <w:ind w:left="567" w:right="567"/>
        <w:jc w:val="both"/>
        <w:rPr>
          <w:rFonts w:ascii="Palatino Linotype" w:eastAsia="MS Mincho" w:hAnsi="Palatino Linotype" w:cs="Arial"/>
          <w:i/>
          <w:sz w:val="22"/>
          <w:lang w:eastAsia="en-US"/>
        </w:rPr>
      </w:pPr>
    </w:p>
    <w:p w14:paraId="462E17E4"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b/>
          <w:i/>
          <w:sz w:val="22"/>
          <w:lang w:eastAsia="en-US"/>
        </w:rPr>
        <w:t>Artículo 91.</w:t>
      </w:r>
      <w:r w:rsidRPr="005D6B77">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71576DD3" w14:textId="77777777" w:rsidR="00B33936" w:rsidRPr="005D6B77" w:rsidRDefault="00B33936" w:rsidP="00B33936">
      <w:pPr>
        <w:spacing w:line="360" w:lineRule="auto"/>
        <w:jc w:val="both"/>
        <w:rPr>
          <w:rFonts w:ascii="Palatino Linotype" w:eastAsia="MS Mincho" w:hAnsi="Palatino Linotype" w:cs="Arial"/>
          <w:lang w:eastAsia="en-US"/>
        </w:rPr>
      </w:pPr>
    </w:p>
    <w:p w14:paraId="76A1168B" w14:textId="04E22760"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xml:space="preserve"> o digito verificador, compuesto de dos elementos, con el que se evitan duplicaciones en la Clave, identifican el cambio de siglo y garantizan la correcta integración.</w:t>
      </w:r>
    </w:p>
    <w:p w14:paraId="1CEAC823"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Al respecto, el INAI a través del Criterio 18/17, señala literalmente lo siguiente:</w:t>
      </w:r>
    </w:p>
    <w:p w14:paraId="760CA115" w14:textId="77777777" w:rsidR="00B33936" w:rsidRPr="005D6B77" w:rsidRDefault="00B33936" w:rsidP="00B33936">
      <w:pPr>
        <w:spacing w:line="360" w:lineRule="auto"/>
        <w:jc w:val="both"/>
        <w:rPr>
          <w:rFonts w:ascii="Palatino Linotype" w:eastAsia="MS Mincho" w:hAnsi="Palatino Linotype" w:cs="Arial"/>
          <w:lang w:eastAsia="en-US"/>
        </w:rPr>
      </w:pPr>
    </w:p>
    <w:p w14:paraId="5D8C8F93"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r w:rsidRPr="005D6B77">
        <w:rPr>
          <w:rFonts w:ascii="Palatino Linotype" w:eastAsia="MS Mincho" w:hAnsi="Palatino Linotype" w:cs="Arial"/>
          <w:b/>
          <w:i/>
          <w:sz w:val="22"/>
          <w:lang w:eastAsia="en-US"/>
        </w:rPr>
        <w:t>Clave Única de Registro de Población (CURP).</w:t>
      </w:r>
      <w:r w:rsidRPr="005D6B77">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46CD86F" w14:textId="77777777" w:rsidR="00B33936" w:rsidRPr="005D6B77" w:rsidRDefault="00B33936" w:rsidP="00B33936">
      <w:pPr>
        <w:ind w:left="567" w:right="567"/>
        <w:jc w:val="both"/>
        <w:rPr>
          <w:rFonts w:ascii="Palatino Linotype" w:eastAsia="MS Mincho" w:hAnsi="Palatino Linotype" w:cs="Arial"/>
          <w:i/>
          <w:sz w:val="22"/>
          <w:lang w:eastAsia="en-US"/>
        </w:rPr>
      </w:pPr>
    </w:p>
    <w:p w14:paraId="0EB818F5"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Resoluciones:</w:t>
      </w:r>
    </w:p>
    <w:p w14:paraId="47A22195"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2"/>
          <w:lang w:eastAsia="en-US"/>
        </w:rPr>
        <w:t xml:space="preserve">• </w:t>
      </w:r>
      <w:r w:rsidRPr="005D6B77">
        <w:rPr>
          <w:rFonts w:ascii="Palatino Linotype" w:eastAsia="MS Mincho" w:hAnsi="Palatino Linotype" w:cs="Arial"/>
          <w:i/>
          <w:sz w:val="20"/>
          <w:lang w:eastAsia="en-US"/>
        </w:rPr>
        <w:t xml:space="preserve">RRA 3995/16. Secretaría de la Defensa Nacional. 1 de febrero de 2017. Por unanimidad. Comisionado Ponente </w:t>
      </w:r>
      <w:proofErr w:type="spellStart"/>
      <w:r w:rsidRPr="005D6B77">
        <w:rPr>
          <w:rFonts w:ascii="Palatino Linotype" w:eastAsia="MS Mincho" w:hAnsi="Palatino Linotype" w:cs="Arial"/>
          <w:i/>
          <w:sz w:val="20"/>
          <w:lang w:eastAsia="en-US"/>
        </w:rPr>
        <w:t>Rosendoevgueni</w:t>
      </w:r>
      <w:proofErr w:type="spellEnd"/>
      <w:r w:rsidRPr="005D6B77">
        <w:rPr>
          <w:rFonts w:ascii="Palatino Linotype" w:eastAsia="MS Mincho" w:hAnsi="Palatino Linotype" w:cs="Arial"/>
          <w:i/>
          <w:sz w:val="20"/>
          <w:lang w:eastAsia="en-US"/>
        </w:rPr>
        <w:t xml:space="preserve"> Monterrey </w:t>
      </w:r>
      <w:proofErr w:type="spellStart"/>
      <w:r w:rsidRPr="005D6B77">
        <w:rPr>
          <w:rFonts w:ascii="Palatino Linotype" w:eastAsia="MS Mincho" w:hAnsi="Palatino Linotype" w:cs="Arial"/>
          <w:i/>
          <w:sz w:val="20"/>
          <w:lang w:eastAsia="en-US"/>
        </w:rPr>
        <w:t>Chepov</w:t>
      </w:r>
      <w:proofErr w:type="spellEnd"/>
      <w:r w:rsidRPr="005D6B77">
        <w:rPr>
          <w:rFonts w:ascii="Palatino Linotype" w:eastAsia="MS Mincho" w:hAnsi="Palatino Linotype" w:cs="Arial"/>
          <w:i/>
          <w:sz w:val="20"/>
          <w:lang w:eastAsia="en-US"/>
        </w:rPr>
        <w:t>.</w:t>
      </w:r>
    </w:p>
    <w:p w14:paraId="31EF1BE9"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0937/17. Senado de la República. 15 de marzo de 2017. Por unanimidad. Comisionada Ponente Ximena Puente de la Mora.</w:t>
      </w:r>
    </w:p>
    <w:p w14:paraId="3D0E77C3" w14:textId="77777777" w:rsidR="00B33936" w:rsidRPr="005D6B77" w:rsidRDefault="00B33936" w:rsidP="00B33936">
      <w:pPr>
        <w:ind w:left="567" w:right="567"/>
        <w:jc w:val="both"/>
        <w:rPr>
          <w:rFonts w:ascii="Palatino Linotype" w:eastAsia="MS Mincho" w:hAnsi="Palatino Linotype" w:cs="Arial"/>
          <w:i/>
          <w:sz w:val="20"/>
          <w:lang w:eastAsia="en-US"/>
        </w:rPr>
      </w:pPr>
      <w:r w:rsidRPr="005D6B77">
        <w:rPr>
          <w:rFonts w:ascii="Palatino Linotype" w:eastAsia="MS Mincho" w:hAnsi="Palatino Linotype" w:cs="Arial"/>
          <w:i/>
          <w:sz w:val="20"/>
          <w:lang w:eastAsia="en-US"/>
        </w:rPr>
        <w:t>• RRA 0478/17. Secretaría de Relaciones Exteriores. 26 de abril de 2017. Por unanimidad. Comisionada Ponente Areli Cano Guadiana.”</w:t>
      </w:r>
    </w:p>
    <w:p w14:paraId="6F153D91" w14:textId="77777777" w:rsidR="00B33936" w:rsidRPr="005D6B77" w:rsidRDefault="00B33936" w:rsidP="00B33936">
      <w:pPr>
        <w:spacing w:line="360" w:lineRule="auto"/>
        <w:jc w:val="both"/>
        <w:rPr>
          <w:rFonts w:ascii="Palatino Linotype" w:eastAsia="MS Mincho" w:hAnsi="Palatino Linotype" w:cs="Arial"/>
          <w:lang w:eastAsia="en-US"/>
        </w:rPr>
      </w:pPr>
    </w:p>
    <w:p w14:paraId="1CE7D9B1"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De lo anterior, se desprende que la Clave Única de Registro de Población, se encuentra vinculado al nombre de la persona, permitiendo identificar la edad, fecha de nacimiento, sexo, lugar de nacimiento, así como su </w:t>
      </w:r>
      <w:proofErr w:type="spellStart"/>
      <w:r w:rsidRPr="005D6B77">
        <w:rPr>
          <w:rFonts w:ascii="Palatino Linotype" w:eastAsia="MS Mincho" w:hAnsi="Palatino Linotype" w:cs="Arial"/>
          <w:lang w:eastAsia="en-US"/>
        </w:rPr>
        <w:t>homoclave</w:t>
      </w:r>
      <w:proofErr w:type="spellEnd"/>
      <w:r w:rsidRPr="005D6B77">
        <w:rPr>
          <w:rFonts w:ascii="Palatino Linotype" w:eastAsia="MS Mincho" w:hAnsi="Palatino Linotype" w:cs="Arial"/>
          <w:lang w:eastAsia="en-US"/>
        </w:rPr>
        <w:t>;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5971214" w14:textId="77777777" w:rsidR="00B33936" w:rsidRPr="005D6B77" w:rsidRDefault="00B33936" w:rsidP="00B33936">
      <w:pPr>
        <w:spacing w:line="360" w:lineRule="auto"/>
        <w:jc w:val="both"/>
        <w:rPr>
          <w:rFonts w:ascii="Palatino Linotype" w:eastAsia="MS Mincho" w:hAnsi="Palatino Linotype" w:cs="Arial"/>
          <w:lang w:eastAsia="en-US"/>
        </w:rPr>
      </w:pPr>
    </w:p>
    <w:p w14:paraId="0F9D3447"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 xml:space="preserve">Por cuanto hace a la Clave de cualquier tipo de seguridad social (ISSEMYM, u otros), está integrada por una secuencia de números con los que se identifica a los trabajadores que cubren las cuotas respectivas, asimismo, lo identifica con la fuente de trabajo; por </w:t>
      </w:r>
      <w:r w:rsidRPr="005D6B77">
        <w:rPr>
          <w:rFonts w:ascii="Palatino Linotype" w:eastAsia="MS Mincho" w:hAnsi="Palatino Linotype" w:cs="Arial"/>
          <w:lang w:eastAsia="en-US"/>
        </w:rPr>
        <w:lastRenderedPageBreak/>
        <w:t>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CEB4550" w14:textId="77777777" w:rsidR="00B33936" w:rsidRPr="005D6B77" w:rsidRDefault="00B33936" w:rsidP="00B33936">
      <w:pPr>
        <w:spacing w:line="360" w:lineRule="auto"/>
        <w:jc w:val="both"/>
        <w:rPr>
          <w:rFonts w:ascii="Palatino Linotype" w:eastAsia="MS Mincho" w:hAnsi="Palatino Linotype" w:cs="Arial"/>
          <w:lang w:eastAsia="en-US"/>
        </w:rPr>
      </w:pPr>
    </w:p>
    <w:p w14:paraId="08CEC66A"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7F9E7465" w14:textId="77777777" w:rsidR="00B33936" w:rsidRPr="005D6B77" w:rsidRDefault="00B33936" w:rsidP="00B33936">
      <w:pPr>
        <w:spacing w:line="360" w:lineRule="auto"/>
        <w:jc w:val="both"/>
        <w:rPr>
          <w:rFonts w:ascii="Palatino Linotype" w:eastAsia="MS Mincho" w:hAnsi="Palatino Linotype" w:cs="Arial"/>
          <w:lang w:eastAsia="en-US"/>
        </w:rPr>
      </w:pPr>
    </w:p>
    <w:p w14:paraId="7CE4471D"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b/>
          <w:i/>
          <w:sz w:val="22"/>
          <w:lang w:eastAsia="en-US"/>
        </w:rPr>
        <w:t xml:space="preserve">Artículo 3. </w:t>
      </w:r>
      <w:r w:rsidRPr="005D6B77">
        <w:rPr>
          <w:rFonts w:ascii="Palatino Linotype" w:eastAsia="MS Mincho" w:hAnsi="Palatino Linotype" w:cs="Arial"/>
          <w:i/>
          <w:sz w:val="22"/>
          <w:lang w:eastAsia="en-US"/>
        </w:rPr>
        <w:t>Para los efectos de la presente Ley se entenderá por:</w:t>
      </w:r>
    </w:p>
    <w:p w14:paraId="5C8930A0"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w:t>
      </w:r>
    </w:p>
    <w:p w14:paraId="161B452A"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2F392A56"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XX. Información clasificada: Aquella considerada por la presente Ley como reservada o confidencial;</w:t>
      </w:r>
    </w:p>
    <w:p w14:paraId="3F19E30F" w14:textId="77777777" w:rsidR="00B33936" w:rsidRPr="005D6B77" w:rsidRDefault="00B33936" w:rsidP="00B33936">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C9732D" w14:textId="4D171DA3" w:rsidR="00B33936" w:rsidRPr="00BF1C05" w:rsidRDefault="00B33936" w:rsidP="00BF1C05">
      <w:pPr>
        <w:ind w:left="567" w:right="567"/>
        <w:jc w:val="both"/>
        <w:rPr>
          <w:rFonts w:ascii="Palatino Linotype" w:eastAsia="MS Mincho" w:hAnsi="Palatino Linotype" w:cs="Arial"/>
          <w:i/>
          <w:sz w:val="22"/>
          <w:lang w:eastAsia="en-US"/>
        </w:rPr>
      </w:pPr>
      <w:r w:rsidRPr="005D6B77">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w:t>
      </w:r>
      <w:r w:rsidR="00BF1C05">
        <w:rPr>
          <w:rFonts w:ascii="Palatino Linotype" w:eastAsia="MS Mincho" w:hAnsi="Palatino Linotype" w:cs="Arial"/>
          <w:i/>
          <w:sz w:val="22"/>
          <w:lang w:eastAsia="en-US"/>
        </w:rPr>
        <w:t xml:space="preserve"> </w:t>
      </w:r>
      <w:r w:rsidRPr="005D6B77">
        <w:rPr>
          <w:rFonts w:ascii="Palatino Linotype" w:eastAsia="MS Mincho" w:hAnsi="Palatino Linotype" w:cs="Arial"/>
          <w:i/>
          <w:sz w:val="22"/>
          <w:lang w:eastAsia="en-US"/>
        </w:rPr>
        <w:t>[…]</w:t>
      </w:r>
    </w:p>
    <w:p w14:paraId="50545DD6" w14:textId="77777777" w:rsidR="00B33936" w:rsidRPr="005D6B77" w:rsidRDefault="00B33936" w:rsidP="00B33936">
      <w:pPr>
        <w:spacing w:line="360" w:lineRule="auto"/>
        <w:jc w:val="both"/>
        <w:rPr>
          <w:rFonts w:ascii="Palatino Linotype" w:eastAsia="MS Mincho" w:hAnsi="Palatino Linotype" w:cs="Arial"/>
          <w:lang w:eastAsia="en-US"/>
        </w:rPr>
      </w:pPr>
      <w:r w:rsidRPr="005D6B77">
        <w:rPr>
          <w:rFonts w:ascii="Palatino Linotype" w:eastAsia="MS Mincho" w:hAnsi="Palatino Linotype" w:cs="Arial"/>
          <w:lang w:eastAsia="en-US"/>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F1C05">
        <w:rPr>
          <w:rFonts w:ascii="Palatino Linotype" w:eastAsia="MS Mincho" w:hAnsi="Palatino Linotype" w:cs="Arial"/>
          <w:b/>
          <w:bCs/>
          <w:lang w:eastAsia="en-US"/>
        </w:rPr>
        <w:t>Sujeto Obligado</w:t>
      </w:r>
      <w:r w:rsidRPr="005D6B77">
        <w:rPr>
          <w:rFonts w:ascii="Palatino Linotype" w:eastAsia="MS Mincho" w:hAnsi="Palatino Linotype" w:cs="Arial"/>
          <w:lang w:eastAsia="en-U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FA0C870" w14:textId="77777777" w:rsidR="00B33936" w:rsidRPr="005D6B77" w:rsidRDefault="00B33936" w:rsidP="00B33936">
      <w:pPr>
        <w:spacing w:line="360" w:lineRule="auto"/>
        <w:jc w:val="both"/>
        <w:rPr>
          <w:rFonts w:ascii="Palatino Linotype" w:eastAsia="MS Mincho" w:hAnsi="Palatino Linotype" w:cs="Arial"/>
          <w:lang w:eastAsia="en-US"/>
        </w:rPr>
      </w:pPr>
    </w:p>
    <w:p w14:paraId="66364787" w14:textId="58B4DA75" w:rsidR="00B33936" w:rsidRPr="005D6B77" w:rsidRDefault="00B33936" w:rsidP="00B33936">
      <w:pPr>
        <w:spacing w:line="360" w:lineRule="auto"/>
        <w:jc w:val="both"/>
        <w:rPr>
          <w:rFonts w:ascii="Palatino Linotype" w:hAnsi="Palatino Linotype"/>
        </w:rPr>
      </w:pPr>
      <w:r w:rsidRPr="005D6B77">
        <w:rPr>
          <w:rFonts w:ascii="Palatino Linotype" w:hAnsi="Palatino Linotype" w:cs="Arial"/>
          <w:lang w:eastAsia="es-MX"/>
        </w:rPr>
        <w:t>Final</w:t>
      </w:r>
      <w:r w:rsidRPr="005D6B77">
        <w:rPr>
          <w:rFonts w:ascii="Palatino Linotype" w:hAnsi="Palatino Linotype"/>
        </w:rPr>
        <w:t xml:space="preserve">mente, y en mérito de lo expuesto en líneas anteriores, resultan parcialmente fundados los motivos de inconformidad vertidos por </w:t>
      </w:r>
      <w:r w:rsidRPr="005D6B77">
        <w:rPr>
          <w:rFonts w:ascii="Palatino Linotype" w:hAnsi="Palatino Linotype"/>
          <w:b/>
        </w:rPr>
        <w:t>El Recurrente</w:t>
      </w:r>
      <w:r w:rsidRPr="005D6B77">
        <w:rPr>
          <w:rFonts w:ascii="Palatino Linotype" w:hAnsi="Palatino Linotype"/>
        </w:rPr>
        <w:t xml:space="preserve">, por ello con fundamento en la </w:t>
      </w:r>
      <w:r w:rsidRPr="005D6B77">
        <w:rPr>
          <w:rFonts w:ascii="Palatino Linotype" w:hAnsi="Palatino Linotype"/>
          <w:i/>
        </w:rPr>
        <w:t>segunda hipótesis</w:t>
      </w:r>
      <w:r w:rsidRPr="005D6B77">
        <w:rPr>
          <w:rFonts w:ascii="Palatino Linotype" w:hAnsi="Palatino Linotype"/>
        </w:rPr>
        <w:t xml:space="preserve"> del artículo 186, fracción III, de la Ley de Transparencia y Acceso a la Información Pública del Estado de México y Municipios, se </w:t>
      </w:r>
      <w:r w:rsidRPr="005D6B77">
        <w:rPr>
          <w:rFonts w:ascii="Palatino Linotype" w:hAnsi="Palatino Linotype"/>
          <w:b/>
        </w:rPr>
        <w:t xml:space="preserve">MODIFICA </w:t>
      </w:r>
      <w:r w:rsidRPr="005D6B77">
        <w:rPr>
          <w:rFonts w:ascii="Palatino Linotype" w:hAnsi="Palatino Linotype"/>
        </w:rPr>
        <w:t xml:space="preserve">la respuesta a la solicitud de información </w:t>
      </w:r>
      <w:r w:rsidR="00BF1C05" w:rsidRPr="00BF1C05">
        <w:rPr>
          <w:rFonts w:ascii="Palatino Linotype" w:hAnsi="Palatino Linotype" w:cs="Arial"/>
          <w:b/>
        </w:rPr>
        <w:t>00143/OASNAUCAL/IP/2024</w:t>
      </w:r>
      <w:r w:rsidRPr="005D6B77">
        <w:rPr>
          <w:rFonts w:ascii="Palatino Linotype" w:hAnsi="Palatino Linotype" w:cs="Arial"/>
        </w:rPr>
        <w:t xml:space="preserve">, </w:t>
      </w:r>
      <w:r w:rsidRPr="005D6B77">
        <w:rPr>
          <w:rFonts w:ascii="Palatino Linotype" w:hAnsi="Palatino Linotype"/>
        </w:rPr>
        <w:t>que ha sido materia del presente fallo.</w:t>
      </w:r>
    </w:p>
    <w:p w14:paraId="4B62F3E3" w14:textId="77777777" w:rsidR="00B33936" w:rsidRPr="005D6B77" w:rsidRDefault="00B33936" w:rsidP="00B33936">
      <w:pPr>
        <w:spacing w:line="360" w:lineRule="auto"/>
        <w:jc w:val="both"/>
        <w:rPr>
          <w:rFonts w:ascii="Palatino Linotype" w:hAnsi="Palatino Linotype"/>
        </w:rPr>
      </w:pPr>
    </w:p>
    <w:p w14:paraId="2E33303F" w14:textId="77777777" w:rsidR="00B33936" w:rsidRPr="005D6B77" w:rsidRDefault="00B33936" w:rsidP="00B33936">
      <w:pPr>
        <w:spacing w:line="360" w:lineRule="auto"/>
        <w:jc w:val="both"/>
        <w:rPr>
          <w:rFonts w:ascii="Palatino Linotype" w:hAnsi="Palatino Linotype"/>
        </w:rPr>
      </w:pPr>
      <w:r w:rsidRPr="005D6B77">
        <w:rPr>
          <w:rFonts w:ascii="Palatino Linotype" w:hAnsi="Palatino Linotype"/>
        </w:rPr>
        <w:t xml:space="preserve">Por lo antes expuesto y fundado. </w:t>
      </w:r>
    </w:p>
    <w:p w14:paraId="7CCEA01F" w14:textId="77777777" w:rsidR="00B33936" w:rsidRDefault="00B33936" w:rsidP="00B33936">
      <w:pPr>
        <w:spacing w:line="360" w:lineRule="auto"/>
        <w:jc w:val="both"/>
        <w:rPr>
          <w:rFonts w:ascii="Palatino Linotype" w:hAnsi="Palatino Linotype"/>
        </w:rPr>
      </w:pPr>
    </w:p>
    <w:p w14:paraId="48A96541" w14:textId="77777777" w:rsidR="00BF1C05" w:rsidRDefault="00BF1C05" w:rsidP="00B33936">
      <w:pPr>
        <w:spacing w:line="360" w:lineRule="auto"/>
        <w:jc w:val="both"/>
        <w:rPr>
          <w:rFonts w:ascii="Palatino Linotype" w:hAnsi="Palatino Linotype"/>
        </w:rPr>
      </w:pPr>
    </w:p>
    <w:p w14:paraId="4262D1ED" w14:textId="77777777" w:rsidR="00BF1C05" w:rsidRDefault="00BF1C05" w:rsidP="00B33936">
      <w:pPr>
        <w:spacing w:line="360" w:lineRule="auto"/>
        <w:jc w:val="both"/>
        <w:rPr>
          <w:rFonts w:ascii="Palatino Linotype" w:hAnsi="Palatino Linotype"/>
        </w:rPr>
      </w:pPr>
    </w:p>
    <w:p w14:paraId="2E81B332" w14:textId="77777777" w:rsidR="00BF1C05" w:rsidRPr="005D6B77" w:rsidRDefault="00BF1C05" w:rsidP="00B33936">
      <w:pPr>
        <w:spacing w:line="360" w:lineRule="auto"/>
        <w:jc w:val="both"/>
        <w:rPr>
          <w:rFonts w:ascii="Palatino Linotype" w:hAnsi="Palatino Linotype"/>
        </w:rPr>
      </w:pPr>
    </w:p>
    <w:p w14:paraId="1DE1D128" w14:textId="77777777" w:rsidR="00B33936" w:rsidRPr="005D6B77" w:rsidRDefault="00B33936" w:rsidP="00B33936">
      <w:pPr>
        <w:spacing w:line="360" w:lineRule="auto"/>
        <w:jc w:val="center"/>
        <w:rPr>
          <w:rFonts w:ascii="Palatino Linotype" w:hAnsi="Palatino Linotype"/>
          <w:b/>
          <w:bCs/>
          <w:spacing w:val="60"/>
          <w:sz w:val="28"/>
          <w:lang w:val="es-ES_tradnl"/>
        </w:rPr>
      </w:pPr>
      <w:r w:rsidRPr="005D6B77">
        <w:rPr>
          <w:rFonts w:ascii="Palatino Linotype" w:hAnsi="Palatino Linotype"/>
          <w:b/>
          <w:bCs/>
          <w:spacing w:val="60"/>
          <w:sz w:val="28"/>
          <w:lang w:val="es-ES_tradnl"/>
        </w:rPr>
        <w:lastRenderedPageBreak/>
        <w:t>SE    RESUELVE</w:t>
      </w:r>
    </w:p>
    <w:p w14:paraId="7B21A3CD" w14:textId="77777777" w:rsidR="00B33936" w:rsidRPr="005D6B77" w:rsidRDefault="00B33936" w:rsidP="00B33936">
      <w:pPr>
        <w:rPr>
          <w:rFonts w:ascii="Palatino Linotype" w:hAnsi="Palatino Linotype"/>
          <w:lang w:val="es-ES_tradnl"/>
        </w:rPr>
      </w:pPr>
    </w:p>
    <w:p w14:paraId="5495D91F" w14:textId="5CE889ED" w:rsidR="00B33936" w:rsidRPr="005D6B77" w:rsidRDefault="00B33936" w:rsidP="00B33936">
      <w:pPr>
        <w:autoSpaceDE w:val="0"/>
        <w:autoSpaceDN w:val="0"/>
        <w:adjustRightInd w:val="0"/>
        <w:spacing w:line="360" w:lineRule="auto"/>
        <w:ind w:right="49"/>
        <w:jc w:val="both"/>
        <w:rPr>
          <w:rFonts w:ascii="Palatino Linotype" w:hAnsi="Palatino Linotype" w:cs="Arial"/>
        </w:rPr>
      </w:pPr>
      <w:r w:rsidRPr="005D6B77">
        <w:rPr>
          <w:rFonts w:ascii="Palatino Linotype" w:hAnsi="Palatino Linotype" w:cs="Arial"/>
          <w:b/>
          <w:sz w:val="28"/>
          <w:szCs w:val="28"/>
          <w:lang w:val="es-ES_tradnl"/>
        </w:rPr>
        <w:t>PRIMERO.</w:t>
      </w:r>
      <w:r w:rsidRPr="005D6B77">
        <w:rPr>
          <w:rFonts w:ascii="Palatino Linotype" w:hAnsi="Palatino Linotype" w:cs="Arial"/>
          <w:lang w:val="es-ES_tradnl"/>
        </w:rPr>
        <w:t xml:space="preserve"> </w:t>
      </w:r>
      <w:r w:rsidRPr="005D6B77">
        <w:rPr>
          <w:rFonts w:ascii="Palatino Linotype" w:hAnsi="Palatino Linotype" w:cs="Arial"/>
        </w:rPr>
        <w:t>Se</w:t>
      </w:r>
      <w:r w:rsidRPr="005D6B77">
        <w:rPr>
          <w:rFonts w:ascii="Palatino Linotype" w:hAnsi="Palatino Linotype" w:cs="Arial"/>
          <w:b/>
        </w:rPr>
        <w:t xml:space="preserve"> MODIFICA </w:t>
      </w:r>
      <w:r w:rsidRPr="005D6B77">
        <w:rPr>
          <w:rFonts w:ascii="Palatino Linotype" w:eastAsia="Arial Unicode MS" w:hAnsi="Palatino Linotype" w:cs="Arial"/>
        </w:rPr>
        <w:t xml:space="preserve">la respuesta entregada por el </w:t>
      </w:r>
      <w:r w:rsidRPr="005D6B77">
        <w:rPr>
          <w:rFonts w:ascii="Palatino Linotype" w:eastAsia="Arial Unicode MS" w:hAnsi="Palatino Linotype" w:cs="Arial"/>
          <w:b/>
        </w:rPr>
        <w:t xml:space="preserve">Sujeto Obligado </w:t>
      </w:r>
      <w:r w:rsidRPr="005D6B77">
        <w:rPr>
          <w:rFonts w:ascii="Palatino Linotype" w:eastAsia="Arial Unicode MS" w:hAnsi="Palatino Linotype" w:cs="Arial"/>
        </w:rPr>
        <w:t xml:space="preserve">a la solicitud de información número </w:t>
      </w:r>
      <w:r w:rsidR="00BF1C05" w:rsidRPr="00BF1C05">
        <w:rPr>
          <w:rFonts w:ascii="Palatino Linotype" w:hAnsi="Palatino Linotype" w:cs="Arial"/>
          <w:b/>
        </w:rPr>
        <w:t>00143/OASNAUCAL/IP/2024</w:t>
      </w:r>
      <w:r w:rsidRPr="005D6B77">
        <w:rPr>
          <w:rFonts w:ascii="Palatino Linotype" w:hAnsi="Palatino Linotype" w:cs="Arial"/>
        </w:rPr>
        <w:t>, por resultar parcialmente fundados los motivos de inconformidad vertidos por el</w:t>
      </w:r>
      <w:r w:rsidRPr="005D6B77">
        <w:rPr>
          <w:rFonts w:ascii="Palatino Linotype" w:hAnsi="Palatino Linotype" w:cs="Arial"/>
          <w:b/>
        </w:rPr>
        <w:t xml:space="preserve"> Recurrente</w:t>
      </w:r>
      <w:r w:rsidRPr="005D6B77">
        <w:rPr>
          <w:rFonts w:ascii="Palatino Linotype" w:hAnsi="Palatino Linotype" w:cs="Arial"/>
        </w:rPr>
        <w:t xml:space="preserve">, en términos del Considerando </w:t>
      </w:r>
      <w:r w:rsidRPr="005D6B77">
        <w:rPr>
          <w:rFonts w:ascii="Palatino Linotype" w:hAnsi="Palatino Linotype" w:cs="Arial"/>
          <w:b/>
        </w:rPr>
        <w:t>QUINTO</w:t>
      </w:r>
      <w:r w:rsidRPr="005D6B77">
        <w:rPr>
          <w:rFonts w:ascii="Palatino Linotype" w:hAnsi="Palatino Linotype" w:cs="Arial"/>
        </w:rPr>
        <w:t xml:space="preserve"> de esta resolución.</w:t>
      </w:r>
    </w:p>
    <w:p w14:paraId="13B75899" w14:textId="77777777" w:rsidR="00B33936" w:rsidRPr="005D6B77" w:rsidRDefault="00B33936" w:rsidP="00B33936">
      <w:pPr>
        <w:autoSpaceDE w:val="0"/>
        <w:autoSpaceDN w:val="0"/>
        <w:adjustRightInd w:val="0"/>
        <w:spacing w:line="360" w:lineRule="auto"/>
        <w:ind w:right="49"/>
        <w:jc w:val="both"/>
        <w:rPr>
          <w:rFonts w:ascii="Palatino Linotype" w:hAnsi="Palatino Linotype" w:cs="Arial"/>
        </w:rPr>
      </w:pPr>
    </w:p>
    <w:p w14:paraId="7BCEB35B" w14:textId="327C8D0A" w:rsidR="00B33936" w:rsidRDefault="00B33936" w:rsidP="00B33936">
      <w:pPr>
        <w:spacing w:line="360" w:lineRule="auto"/>
        <w:jc w:val="both"/>
        <w:rPr>
          <w:rFonts w:ascii="Palatino Linotype" w:hAnsi="Palatino Linotype" w:cs="Arial"/>
        </w:rPr>
      </w:pPr>
      <w:r w:rsidRPr="005D6B77">
        <w:rPr>
          <w:rFonts w:ascii="Palatino Linotype" w:hAnsi="Palatino Linotype" w:cs="Arial"/>
          <w:b/>
          <w:sz w:val="28"/>
          <w:szCs w:val="28"/>
        </w:rPr>
        <w:t>SEGUNDO.</w:t>
      </w:r>
      <w:r w:rsidRPr="005D6B77">
        <w:rPr>
          <w:rFonts w:ascii="Palatino Linotype" w:hAnsi="Palatino Linotype" w:cs="Arial"/>
        </w:rPr>
        <w:t xml:space="preserve"> Se </w:t>
      </w:r>
      <w:r w:rsidRPr="005D6B77">
        <w:rPr>
          <w:rFonts w:ascii="Palatino Linotype" w:hAnsi="Palatino Linotype" w:cs="Arial"/>
          <w:b/>
        </w:rPr>
        <w:t>ORDENA</w:t>
      </w:r>
      <w:r w:rsidRPr="005D6B77">
        <w:rPr>
          <w:rFonts w:ascii="Palatino Linotype" w:hAnsi="Palatino Linotype" w:cs="Arial"/>
        </w:rPr>
        <w:t xml:space="preserve"> al </w:t>
      </w:r>
      <w:r w:rsidRPr="005D6B77">
        <w:rPr>
          <w:rFonts w:ascii="Palatino Linotype" w:hAnsi="Palatino Linotype" w:cs="Arial"/>
          <w:b/>
        </w:rPr>
        <w:t>Sujeto Obligado</w:t>
      </w:r>
      <w:r w:rsidRPr="005D6B77">
        <w:rPr>
          <w:rFonts w:ascii="Palatino Linotype" w:hAnsi="Palatino Linotype" w:cs="Arial"/>
        </w:rPr>
        <w:t xml:space="preserve"> haga entrega al </w:t>
      </w:r>
      <w:r w:rsidRPr="005D6B77">
        <w:rPr>
          <w:rFonts w:ascii="Palatino Linotype" w:hAnsi="Palatino Linotype" w:cs="Arial"/>
          <w:b/>
        </w:rPr>
        <w:t xml:space="preserve">Recurrente </w:t>
      </w:r>
      <w:r w:rsidRPr="005D6B77">
        <w:rPr>
          <w:rFonts w:ascii="Palatino Linotype" w:hAnsi="Palatino Linotype" w:cs="Arial"/>
        </w:rPr>
        <w:t xml:space="preserve">en términos del Considerando </w:t>
      </w:r>
      <w:r w:rsidRPr="005D6B77">
        <w:rPr>
          <w:rFonts w:ascii="Palatino Linotype" w:hAnsi="Palatino Linotype" w:cs="Arial"/>
          <w:b/>
        </w:rPr>
        <w:t xml:space="preserve">QUINTO </w:t>
      </w:r>
      <w:r w:rsidRPr="005D6B77">
        <w:rPr>
          <w:rFonts w:ascii="Palatino Linotype" w:hAnsi="Palatino Linotype" w:cs="Arial"/>
        </w:rPr>
        <w:t>de esta resolución, a través del</w:t>
      </w:r>
      <w:r w:rsidRPr="005D6B77">
        <w:rPr>
          <w:rFonts w:ascii="Palatino Linotype" w:hAnsi="Palatino Linotype" w:cs="Arial"/>
          <w:b/>
        </w:rPr>
        <w:t xml:space="preserve"> </w:t>
      </w:r>
      <w:r w:rsidRPr="005D6B77">
        <w:rPr>
          <w:rFonts w:ascii="Palatino Linotype" w:hAnsi="Palatino Linotype" w:cs="Arial"/>
        </w:rPr>
        <w:t xml:space="preserve">Sistema de Acceso a la Información Mexiquense </w:t>
      </w:r>
      <w:r w:rsidRPr="005D6B77">
        <w:rPr>
          <w:rFonts w:ascii="Palatino Linotype" w:hAnsi="Palatino Linotype" w:cs="Arial"/>
          <w:b/>
        </w:rPr>
        <w:t>(SAIMEX)</w:t>
      </w:r>
      <w:r w:rsidRPr="005D6B77">
        <w:rPr>
          <w:rFonts w:ascii="Palatino Linotype" w:hAnsi="Palatino Linotype" w:cs="Arial"/>
        </w:rPr>
        <w:t xml:space="preserve">, </w:t>
      </w:r>
      <w:r w:rsidR="00BF1C05">
        <w:rPr>
          <w:rFonts w:ascii="Palatino Linotype" w:hAnsi="Palatino Linotype" w:cs="Arial"/>
        </w:rPr>
        <w:t xml:space="preserve">del periodo comprendido del uno de enero al siete de noviembre de dos mil veinticuatro, </w:t>
      </w:r>
      <w:r w:rsidRPr="005D6B77">
        <w:rPr>
          <w:rFonts w:ascii="Palatino Linotype" w:hAnsi="Palatino Linotype" w:cs="Arial"/>
        </w:rPr>
        <w:t xml:space="preserve">la siguiente información:  </w:t>
      </w:r>
    </w:p>
    <w:p w14:paraId="43C398BA" w14:textId="77777777" w:rsidR="00B33936" w:rsidRPr="005D6B77" w:rsidRDefault="00B33936" w:rsidP="00B33936">
      <w:pPr>
        <w:spacing w:line="360" w:lineRule="auto"/>
        <w:jc w:val="both"/>
        <w:rPr>
          <w:rFonts w:ascii="Palatino Linotype" w:hAnsi="Palatino Linotype" w:cs="Arial"/>
        </w:rPr>
      </w:pPr>
    </w:p>
    <w:p w14:paraId="41C6FC59" w14:textId="0E6476E8" w:rsidR="00B33936" w:rsidRPr="00DB2E4B" w:rsidRDefault="00B33936" w:rsidP="00B33936">
      <w:pPr>
        <w:pStyle w:val="Prrafodelista"/>
        <w:numPr>
          <w:ilvl w:val="0"/>
          <w:numId w:val="25"/>
        </w:numPr>
        <w:spacing w:after="240" w:line="360" w:lineRule="auto"/>
        <w:ind w:right="141"/>
        <w:jc w:val="both"/>
        <w:rPr>
          <w:rFonts w:ascii="Palatino Linotype" w:eastAsiaTheme="minorHAnsi" w:hAnsi="Palatino Linotype" w:cstheme="minorBidi"/>
          <w:szCs w:val="22"/>
          <w:highlight w:val="yellow"/>
          <w:lang w:eastAsia="es-MX"/>
        </w:rPr>
      </w:pPr>
      <w:r w:rsidRPr="00DB2E4B">
        <w:rPr>
          <w:rFonts w:ascii="Palatino Linotype" w:eastAsiaTheme="minorHAnsi" w:hAnsi="Palatino Linotype" w:cstheme="minorBidi"/>
          <w:szCs w:val="22"/>
          <w:highlight w:val="yellow"/>
          <w:lang w:eastAsia="es-MX"/>
        </w:rPr>
        <w:t>De ser procedente en versión pública, el o los documentos en donde conste</w:t>
      </w:r>
      <w:r w:rsidR="00BF1C05" w:rsidRPr="00DB2E4B">
        <w:rPr>
          <w:rFonts w:ascii="Palatino Linotype" w:eastAsiaTheme="minorHAnsi" w:hAnsi="Palatino Linotype" w:cstheme="minorBidi"/>
          <w:szCs w:val="22"/>
          <w:highlight w:val="yellow"/>
          <w:lang w:eastAsia="es-MX"/>
        </w:rPr>
        <w:t xml:space="preserve">n </w:t>
      </w:r>
      <w:bookmarkStart w:id="3" w:name="_Hlk184835976"/>
      <w:r w:rsidR="00BF1C05" w:rsidRPr="00DB2E4B">
        <w:rPr>
          <w:rFonts w:ascii="Palatino Linotype" w:eastAsiaTheme="minorHAnsi" w:hAnsi="Palatino Linotype" w:cstheme="minorBidi"/>
          <w:szCs w:val="22"/>
          <w:highlight w:val="yellow"/>
          <w:lang w:eastAsia="es-MX"/>
        </w:rPr>
        <w:t>las</w:t>
      </w:r>
      <w:r w:rsidRPr="00DB2E4B">
        <w:rPr>
          <w:rFonts w:ascii="Palatino Linotype" w:eastAsiaTheme="minorHAnsi" w:hAnsi="Palatino Linotype" w:cstheme="minorBidi"/>
          <w:szCs w:val="22"/>
          <w:highlight w:val="yellow"/>
          <w:lang w:eastAsia="es-MX"/>
        </w:rPr>
        <w:t xml:space="preserve"> </w:t>
      </w:r>
      <w:r w:rsidR="00BF1C05" w:rsidRPr="00DB2E4B">
        <w:rPr>
          <w:rFonts w:ascii="Palatino Linotype" w:eastAsiaTheme="minorHAnsi" w:hAnsi="Palatino Linotype" w:cstheme="minorBidi"/>
          <w:szCs w:val="22"/>
          <w:highlight w:val="yellow"/>
          <w:lang w:eastAsia="es-MX"/>
        </w:rPr>
        <w:t xml:space="preserve">determinaciones de la Contraloría Interna </w:t>
      </w:r>
      <w:bookmarkEnd w:id="3"/>
      <w:r w:rsidR="00BF1C05" w:rsidRPr="00DB2E4B">
        <w:rPr>
          <w:rFonts w:ascii="Palatino Linotype" w:hAnsi="Palatino Linotype"/>
          <w:szCs w:val="14"/>
          <w:highlight w:val="yellow"/>
        </w:rPr>
        <w:t>en su calidad de autoridad investigadora</w:t>
      </w:r>
      <w:r w:rsidRPr="00DB2E4B">
        <w:rPr>
          <w:rFonts w:ascii="Palatino Linotype" w:eastAsiaTheme="minorHAnsi" w:hAnsi="Palatino Linotype" w:cstheme="minorBidi"/>
          <w:szCs w:val="22"/>
          <w:highlight w:val="yellow"/>
          <w:lang w:eastAsia="es-MX"/>
        </w:rPr>
        <w:t xml:space="preserve"> </w:t>
      </w:r>
      <w:r w:rsidR="00DB2E4B" w:rsidRPr="00DB2E4B">
        <w:rPr>
          <w:rFonts w:ascii="Palatino Linotype" w:eastAsiaTheme="minorHAnsi" w:hAnsi="Palatino Linotype" w:cstheme="minorBidi"/>
          <w:b/>
          <w:szCs w:val="22"/>
          <w:highlight w:val="yellow"/>
          <w:u w:val="single"/>
          <w:lang w:eastAsia="es-MX"/>
        </w:rPr>
        <w:t>de los procedimientos concluidos (</w:t>
      </w:r>
      <w:r w:rsidR="00DB2E4B">
        <w:rPr>
          <w:rFonts w:ascii="Palatino Linotype" w:eastAsiaTheme="minorHAnsi" w:hAnsi="Palatino Linotype" w:cstheme="minorBidi"/>
          <w:b/>
          <w:szCs w:val="22"/>
          <w:highlight w:val="yellow"/>
          <w:u w:val="single"/>
          <w:lang w:eastAsia="es-MX"/>
        </w:rPr>
        <w:t xml:space="preserve">faltas </w:t>
      </w:r>
      <w:r w:rsidR="00DB2E4B" w:rsidRPr="00DB2E4B">
        <w:rPr>
          <w:rFonts w:ascii="Palatino Linotype" w:eastAsiaTheme="minorHAnsi" w:hAnsi="Palatino Linotype" w:cstheme="minorBidi"/>
          <w:b/>
          <w:szCs w:val="22"/>
          <w:highlight w:val="yellow"/>
          <w:u w:val="single"/>
          <w:lang w:eastAsia="es-MX"/>
        </w:rPr>
        <w:t>graves, no graves o absolutorios) o en trámite que actualicen algún supuesto del artículo 142</w:t>
      </w:r>
      <w:r w:rsidRPr="00DB2E4B">
        <w:rPr>
          <w:rFonts w:ascii="Palatino Linotype" w:eastAsiaTheme="minorHAnsi" w:hAnsi="Palatino Linotype" w:cstheme="minorBidi"/>
          <w:szCs w:val="22"/>
          <w:highlight w:val="yellow"/>
          <w:lang w:eastAsia="es-MX"/>
        </w:rPr>
        <w:t xml:space="preserve">, interpuestas en contra de servidores públicos adscritos al </w:t>
      </w:r>
      <w:r w:rsidR="00BF1C05" w:rsidRPr="00DB2E4B">
        <w:rPr>
          <w:rFonts w:ascii="Palatino Linotype" w:eastAsiaTheme="minorHAnsi" w:hAnsi="Palatino Linotype" w:cstheme="minorBidi"/>
          <w:b/>
          <w:bCs/>
          <w:szCs w:val="22"/>
          <w:highlight w:val="yellow"/>
          <w:lang w:eastAsia="es-MX"/>
        </w:rPr>
        <w:t>Sujeto Obligado</w:t>
      </w:r>
      <w:r w:rsidRPr="00DB2E4B">
        <w:rPr>
          <w:rFonts w:ascii="Palatino Linotype" w:eastAsiaTheme="minorHAnsi" w:hAnsi="Palatino Linotype" w:cstheme="minorBidi"/>
          <w:szCs w:val="22"/>
          <w:highlight w:val="yellow"/>
          <w:lang w:eastAsia="es-MX"/>
        </w:rPr>
        <w:t xml:space="preserve">. </w:t>
      </w:r>
    </w:p>
    <w:p w14:paraId="059FE32D" w14:textId="3CB4694D" w:rsidR="00225F63" w:rsidRPr="00DB2E4B" w:rsidRDefault="00B33936" w:rsidP="00225F63">
      <w:pPr>
        <w:pStyle w:val="Prrafodelista"/>
        <w:numPr>
          <w:ilvl w:val="0"/>
          <w:numId w:val="25"/>
        </w:numPr>
        <w:tabs>
          <w:tab w:val="left" w:pos="709"/>
        </w:tabs>
        <w:spacing w:before="240" w:line="360" w:lineRule="auto"/>
        <w:ind w:right="49"/>
        <w:contextualSpacing/>
        <w:jc w:val="both"/>
        <w:rPr>
          <w:rFonts w:ascii="Palatino Linotype" w:hAnsi="Palatino Linotype"/>
          <w:szCs w:val="14"/>
          <w:highlight w:val="yellow"/>
        </w:rPr>
      </w:pPr>
      <w:r w:rsidRPr="00DB2E4B">
        <w:rPr>
          <w:rFonts w:ascii="Palatino Linotype" w:hAnsi="Palatino Linotype"/>
          <w:szCs w:val="14"/>
          <w:highlight w:val="yellow"/>
        </w:rPr>
        <w:t xml:space="preserve">El Acuerdo emitido por el Comité de Transparencia, mediante el cual se clasifique como información </w:t>
      </w:r>
      <w:r w:rsidRPr="00DB2E4B">
        <w:rPr>
          <w:rFonts w:ascii="Palatino Linotype" w:hAnsi="Palatino Linotype"/>
          <w:b/>
          <w:szCs w:val="14"/>
          <w:highlight w:val="yellow"/>
        </w:rPr>
        <w:t>RESERVADA</w:t>
      </w:r>
      <w:r w:rsidRPr="00DB2E4B">
        <w:rPr>
          <w:rFonts w:ascii="Palatino Linotype" w:hAnsi="Palatino Linotype"/>
          <w:szCs w:val="14"/>
          <w:highlight w:val="yellow"/>
        </w:rPr>
        <w:t xml:space="preserve">, </w:t>
      </w:r>
      <w:r w:rsidR="00225F63" w:rsidRPr="00DB2E4B">
        <w:rPr>
          <w:rFonts w:ascii="Palatino Linotype" w:hAnsi="Palatino Linotype"/>
          <w:szCs w:val="14"/>
          <w:highlight w:val="yellow"/>
        </w:rPr>
        <w:t>de las determinaciones de la Contraloría Interna en su calidad de autoridad investigadora</w:t>
      </w:r>
      <w:r w:rsidRPr="00DB2E4B">
        <w:rPr>
          <w:rFonts w:ascii="Palatino Linotype" w:hAnsi="Palatino Linotype"/>
          <w:szCs w:val="14"/>
          <w:highlight w:val="yellow"/>
        </w:rPr>
        <w:t xml:space="preserve">, en contra de los servidores públicos adscritos al </w:t>
      </w:r>
      <w:r w:rsidR="00BF1C05" w:rsidRPr="00DB2E4B">
        <w:rPr>
          <w:rFonts w:ascii="Palatino Linotype" w:hAnsi="Palatino Linotype"/>
          <w:b/>
          <w:bCs/>
          <w:szCs w:val="14"/>
          <w:highlight w:val="yellow"/>
        </w:rPr>
        <w:t>Sujeto Obligado</w:t>
      </w:r>
      <w:r w:rsidRPr="00DB2E4B">
        <w:rPr>
          <w:rFonts w:ascii="Palatino Linotype" w:hAnsi="Palatino Linotype"/>
          <w:szCs w:val="14"/>
          <w:highlight w:val="yellow"/>
        </w:rPr>
        <w:t xml:space="preserve">, </w:t>
      </w:r>
      <w:r w:rsidR="00225F63" w:rsidRPr="00DB2E4B">
        <w:rPr>
          <w:rFonts w:ascii="Palatino Linotype" w:hAnsi="Palatino Linotype"/>
          <w:szCs w:val="14"/>
          <w:highlight w:val="yellow"/>
        </w:rPr>
        <w:t>que</w:t>
      </w:r>
      <w:r w:rsidR="00225F63" w:rsidRPr="00DB2E4B">
        <w:rPr>
          <w:rFonts w:ascii="Palatino Linotype" w:hAnsi="Palatino Linotype"/>
          <w:b/>
          <w:szCs w:val="14"/>
          <w:highlight w:val="yellow"/>
        </w:rPr>
        <w:t xml:space="preserve"> </w:t>
      </w:r>
      <w:r w:rsidR="00225F63" w:rsidRPr="00DB2E4B">
        <w:rPr>
          <w:rFonts w:ascii="Palatino Linotype" w:hAnsi="Palatino Linotype"/>
          <w:b/>
          <w:szCs w:val="14"/>
          <w:highlight w:val="yellow"/>
          <w:u w:val="single"/>
        </w:rPr>
        <w:t>aún se encuentren en proceso</w:t>
      </w:r>
      <w:r w:rsidR="00225F63" w:rsidRPr="00DB2E4B">
        <w:rPr>
          <w:rFonts w:ascii="Palatino Linotype" w:hAnsi="Palatino Linotype"/>
          <w:szCs w:val="14"/>
          <w:highlight w:val="yellow"/>
        </w:rPr>
        <w:t xml:space="preserve">, que </w:t>
      </w:r>
      <w:r w:rsidR="00225F63" w:rsidRPr="00DB2E4B">
        <w:rPr>
          <w:rFonts w:ascii="Palatino Linotype" w:hAnsi="Palatino Linotype"/>
          <w:b/>
          <w:szCs w:val="14"/>
          <w:highlight w:val="yellow"/>
          <w:u w:val="single"/>
        </w:rPr>
        <w:t>no hayan quedado firmes</w:t>
      </w:r>
      <w:r w:rsidR="00225F63" w:rsidRPr="00DB2E4B">
        <w:rPr>
          <w:rFonts w:ascii="Palatino Linotype" w:hAnsi="Palatino Linotype"/>
          <w:szCs w:val="14"/>
          <w:highlight w:val="yellow"/>
        </w:rPr>
        <w:t xml:space="preserve"> y </w:t>
      </w:r>
      <w:r w:rsidR="00225F63" w:rsidRPr="00DB2E4B">
        <w:rPr>
          <w:rFonts w:ascii="Palatino Linotype" w:hAnsi="Palatino Linotype"/>
          <w:b/>
          <w:bCs/>
          <w:szCs w:val="14"/>
          <w:highlight w:val="yellow"/>
          <w:u w:val="single"/>
        </w:rPr>
        <w:t>que no han causado estado</w:t>
      </w:r>
      <w:r w:rsidR="00225F63" w:rsidRPr="00DB2E4B">
        <w:rPr>
          <w:rFonts w:ascii="Palatino Linotype" w:hAnsi="Palatino Linotype"/>
          <w:szCs w:val="14"/>
          <w:highlight w:val="yellow"/>
        </w:rPr>
        <w:t xml:space="preserve"> </w:t>
      </w:r>
      <w:bookmarkStart w:id="4" w:name="_Hlk158716529"/>
      <w:r w:rsidR="00225F63" w:rsidRPr="00DB2E4B">
        <w:rPr>
          <w:rFonts w:ascii="Palatino Linotype" w:hAnsi="Palatino Linotype"/>
          <w:szCs w:val="14"/>
          <w:highlight w:val="yellow"/>
        </w:rPr>
        <w:t xml:space="preserve">y </w:t>
      </w:r>
      <w:r w:rsidR="00225F63" w:rsidRPr="00DB2E4B">
        <w:rPr>
          <w:rFonts w:ascii="Palatino Linotype" w:hAnsi="Palatino Linotype"/>
          <w:b/>
          <w:bCs/>
          <w:szCs w:val="14"/>
          <w:highlight w:val="yellow"/>
          <w:u w:val="single"/>
        </w:rPr>
        <w:t xml:space="preserve">que no </w:t>
      </w:r>
      <w:r w:rsidR="00225F63" w:rsidRPr="00DB2E4B">
        <w:rPr>
          <w:rFonts w:ascii="Palatino Linotype" w:hAnsi="Palatino Linotype"/>
          <w:b/>
          <w:bCs/>
          <w:szCs w:val="14"/>
          <w:highlight w:val="yellow"/>
          <w:u w:val="single"/>
        </w:rPr>
        <w:lastRenderedPageBreak/>
        <w:t>estén en el supuesto del artículo 142 de la Ley de Transparencia y Acceso a la Información Pública del Estado de México y Municipios</w:t>
      </w:r>
      <w:r w:rsidR="00225F63" w:rsidRPr="00DB2E4B">
        <w:rPr>
          <w:rFonts w:ascii="Palatino Linotype" w:hAnsi="Palatino Linotype"/>
          <w:szCs w:val="14"/>
          <w:highlight w:val="yellow"/>
        </w:rPr>
        <w:t>.</w:t>
      </w:r>
    </w:p>
    <w:bookmarkEnd w:id="4"/>
    <w:p w14:paraId="52BAB841" w14:textId="77777777" w:rsidR="00B33936" w:rsidRPr="005D6B77" w:rsidRDefault="00B33936" w:rsidP="00B33936">
      <w:pPr>
        <w:pStyle w:val="Prrafodelista"/>
        <w:tabs>
          <w:tab w:val="left" w:pos="709"/>
        </w:tabs>
        <w:spacing w:before="240" w:line="360" w:lineRule="auto"/>
        <w:ind w:left="720" w:right="567"/>
        <w:contextualSpacing/>
        <w:jc w:val="both"/>
        <w:rPr>
          <w:rFonts w:ascii="Palatino Linotype" w:hAnsi="Palatino Linotype"/>
          <w:sz w:val="12"/>
          <w:szCs w:val="8"/>
        </w:rPr>
      </w:pPr>
    </w:p>
    <w:p w14:paraId="05C8820E" w14:textId="77777777" w:rsidR="00B33936" w:rsidRPr="005D6B77" w:rsidRDefault="00B33936" w:rsidP="00B33936">
      <w:pPr>
        <w:ind w:left="284" w:right="332"/>
        <w:jc w:val="both"/>
        <w:rPr>
          <w:rFonts w:ascii="Palatino Linotype" w:hAnsi="Palatino Linotype" w:cs="Arial"/>
          <w:i/>
          <w:sz w:val="22"/>
          <w:szCs w:val="22"/>
        </w:rPr>
      </w:pPr>
      <w:r w:rsidRPr="005D6B77">
        <w:rPr>
          <w:rFonts w:ascii="Palatino Linotype" w:hAnsi="Palatino Linotype" w:cs="Arial"/>
          <w:i/>
          <w:sz w:val="22"/>
          <w:szCs w:val="22"/>
        </w:rPr>
        <w:t xml:space="preserve">De ser procedente la entrega en versión pública, de la información referida en el numeral </w:t>
      </w:r>
      <w:r w:rsidRPr="005D6B77">
        <w:rPr>
          <w:rFonts w:ascii="Palatino Linotype" w:hAnsi="Palatino Linotype" w:cs="Arial"/>
          <w:b/>
          <w:i/>
          <w:sz w:val="22"/>
          <w:szCs w:val="22"/>
        </w:rPr>
        <w:t>1)</w:t>
      </w:r>
      <w:r w:rsidRPr="005D6B77">
        <w:rPr>
          <w:rFonts w:ascii="Palatino Linotype" w:hAnsi="Palatino Linotype" w:cs="Arial"/>
          <w:i/>
          <w:sz w:val="22"/>
          <w:szCs w:val="22"/>
        </w:rPr>
        <w:t xml:space="preserve">, del </w:t>
      </w:r>
      <w:r w:rsidRPr="005D6B77">
        <w:rPr>
          <w:rFonts w:ascii="Palatino Linotype" w:hAnsi="Palatino Linotype" w:cs="Arial"/>
          <w:b/>
          <w:i/>
          <w:sz w:val="22"/>
          <w:szCs w:val="22"/>
        </w:rPr>
        <w:t>Resolutivo Segundo</w:t>
      </w:r>
      <w:r w:rsidRPr="005D6B77">
        <w:rPr>
          <w:rFonts w:ascii="Palatino Linotype" w:hAnsi="Palatino Linotype" w:cs="Arial"/>
          <w:i/>
          <w:sz w:val="22"/>
          <w:szCs w:val="22"/>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D6B77">
        <w:rPr>
          <w:rFonts w:ascii="Palatino Linotype" w:hAnsi="Palatino Linotype" w:cs="Arial"/>
          <w:b/>
          <w:i/>
          <w:sz w:val="22"/>
          <w:szCs w:val="22"/>
        </w:rPr>
        <w:t>Recurrente</w:t>
      </w:r>
      <w:r w:rsidRPr="005D6B77">
        <w:rPr>
          <w:rFonts w:ascii="Palatino Linotype" w:hAnsi="Palatino Linotype" w:cs="Arial"/>
          <w:i/>
          <w:sz w:val="22"/>
          <w:szCs w:val="22"/>
        </w:rPr>
        <w:t>.</w:t>
      </w:r>
    </w:p>
    <w:p w14:paraId="783200CA" w14:textId="77777777" w:rsidR="00B33936" w:rsidRPr="005D6B77" w:rsidRDefault="00B33936" w:rsidP="00B33936">
      <w:pPr>
        <w:ind w:right="332"/>
        <w:jc w:val="both"/>
        <w:rPr>
          <w:rFonts w:ascii="Palatino Linotype" w:hAnsi="Palatino Linotype" w:cs="Arial"/>
          <w:i/>
          <w:sz w:val="22"/>
          <w:szCs w:val="22"/>
        </w:rPr>
      </w:pPr>
    </w:p>
    <w:p w14:paraId="31553DF2" w14:textId="77777777" w:rsidR="00B33936" w:rsidRPr="005D6B77" w:rsidRDefault="00B33936" w:rsidP="00B33936">
      <w:pPr>
        <w:pStyle w:val="Sinespaciado"/>
      </w:pPr>
    </w:p>
    <w:p w14:paraId="2E362A6E" w14:textId="11AADB86" w:rsidR="00B33936" w:rsidRPr="005D6B77" w:rsidRDefault="00B33936" w:rsidP="00B33936">
      <w:pPr>
        <w:autoSpaceDE w:val="0"/>
        <w:autoSpaceDN w:val="0"/>
        <w:adjustRightInd w:val="0"/>
        <w:spacing w:line="360" w:lineRule="auto"/>
        <w:ind w:right="49"/>
        <w:jc w:val="both"/>
        <w:rPr>
          <w:rFonts w:ascii="Palatino Linotype" w:hAnsi="Palatino Linotype" w:cs="Arial"/>
          <w:szCs w:val="28"/>
          <w:lang w:val="es-ES_tradnl"/>
        </w:rPr>
      </w:pPr>
      <w:r w:rsidRPr="005D6B77">
        <w:rPr>
          <w:rFonts w:ascii="Palatino Linotype" w:hAnsi="Palatino Linotype" w:cs="Arial"/>
          <w:b/>
          <w:sz w:val="28"/>
          <w:szCs w:val="28"/>
          <w:lang w:val="es-ES_tradnl"/>
        </w:rPr>
        <w:t xml:space="preserve">TERCERO. </w:t>
      </w:r>
      <w:r w:rsidRPr="005D6B77">
        <w:rPr>
          <w:rFonts w:ascii="Palatino Linotype" w:hAnsi="Palatino Linotype" w:cs="Arial"/>
          <w:b/>
          <w:szCs w:val="28"/>
          <w:lang w:val="es-ES_tradnl"/>
        </w:rPr>
        <w:t xml:space="preserve">NOTIFÍQUESE </w:t>
      </w:r>
      <w:r w:rsidRPr="005D6B77">
        <w:rPr>
          <w:rFonts w:ascii="Palatino Linotype" w:hAnsi="Palatino Linotype" w:cs="Arial"/>
          <w:szCs w:val="28"/>
          <w:lang w:val="es-ES_tradnl"/>
        </w:rPr>
        <w:t xml:space="preserve">la presente resolución </w:t>
      </w:r>
      <w:r w:rsidRPr="005D6B77">
        <w:rPr>
          <w:rFonts w:ascii="Palatino Linotype" w:hAnsi="Palatino Linotype" w:cs="Arial"/>
        </w:rPr>
        <w:t xml:space="preserve">a través del Sistema de Acceso a la Información Mexiquense </w:t>
      </w:r>
      <w:r w:rsidRPr="005D6B77">
        <w:rPr>
          <w:rFonts w:ascii="Palatino Linotype" w:hAnsi="Palatino Linotype" w:cs="Arial"/>
          <w:b/>
        </w:rPr>
        <w:t>(SAIMEX)</w:t>
      </w:r>
      <w:r w:rsidRPr="005D6B77">
        <w:rPr>
          <w:rFonts w:ascii="Palatino Linotype" w:hAnsi="Palatino Linotype" w:cs="Arial"/>
          <w:szCs w:val="28"/>
          <w:lang w:val="es-ES_tradnl"/>
        </w:rPr>
        <w:t xml:space="preserve"> al Titular de la Unidad de Transparencia del </w:t>
      </w:r>
      <w:r w:rsidRPr="005D6B77">
        <w:rPr>
          <w:rFonts w:ascii="Palatino Linotype" w:hAnsi="Palatino Linotype" w:cs="Arial"/>
          <w:b/>
          <w:szCs w:val="28"/>
          <w:lang w:val="es-ES_tradnl"/>
        </w:rPr>
        <w:t>Sujeto Obligado</w:t>
      </w:r>
      <w:r w:rsidRPr="005D6B77">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069CAB" w14:textId="77777777" w:rsidR="00B33936" w:rsidRPr="005D6B77" w:rsidRDefault="00B33936" w:rsidP="00B33936">
      <w:pPr>
        <w:autoSpaceDE w:val="0"/>
        <w:autoSpaceDN w:val="0"/>
        <w:adjustRightInd w:val="0"/>
        <w:spacing w:line="360" w:lineRule="auto"/>
        <w:ind w:right="49"/>
        <w:jc w:val="both"/>
        <w:rPr>
          <w:rFonts w:ascii="Palatino Linotype" w:hAnsi="Palatino Linotype" w:cs="Arial"/>
          <w:szCs w:val="28"/>
          <w:lang w:val="es-ES_tradnl"/>
        </w:rPr>
      </w:pPr>
    </w:p>
    <w:p w14:paraId="6BB53CBC" w14:textId="77777777" w:rsidR="00B33936" w:rsidRPr="005D6B77" w:rsidRDefault="00B33936" w:rsidP="00B33936">
      <w:pPr>
        <w:spacing w:line="360" w:lineRule="auto"/>
        <w:jc w:val="both"/>
        <w:rPr>
          <w:rFonts w:ascii="Palatino Linotype" w:hAnsi="Palatino Linotype" w:cs="Arial"/>
          <w:bCs/>
          <w:szCs w:val="28"/>
        </w:rPr>
      </w:pPr>
      <w:r w:rsidRPr="005D6B77">
        <w:rPr>
          <w:rFonts w:ascii="Palatino Linotype" w:hAnsi="Palatino Linotype" w:cs="Arial"/>
          <w:b/>
          <w:bCs/>
          <w:sz w:val="28"/>
          <w:szCs w:val="28"/>
        </w:rPr>
        <w:t>CUARTO.</w:t>
      </w:r>
      <w:r w:rsidRPr="005D6B77">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5D6B77">
        <w:rPr>
          <w:rFonts w:ascii="Palatino Linotype" w:hAnsi="Palatino Linotype" w:cs="Arial"/>
          <w:b/>
          <w:bCs/>
          <w:szCs w:val="28"/>
        </w:rPr>
        <w:t>Sujeto Obligado</w:t>
      </w:r>
      <w:r w:rsidRPr="005D6B77">
        <w:rPr>
          <w:rFonts w:ascii="Palatino Linotype" w:hAnsi="Palatino Linotype" w:cs="Arial"/>
          <w:bCs/>
          <w:szCs w:val="28"/>
        </w:rPr>
        <w:t xml:space="preserve"> de manera fundada y motivada, podrá solicitar una ampliación de plazo para el cumplimiento de la presente resolución.</w:t>
      </w:r>
    </w:p>
    <w:p w14:paraId="22E7F8CD" w14:textId="77777777" w:rsidR="00B33936" w:rsidRPr="005D6B77" w:rsidRDefault="00B33936" w:rsidP="00B33936">
      <w:pPr>
        <w:spacing w:line="360" w:lineRule="auto"/>
        <w:jc w:val="both"/>
        <w:rPr>
          <w:rFonts w:ascii="Palatino Linotype" w:hAnsi="Palatino Linotype" w:cs="Arial"/>
          <w:bCs/>
          <w:szCs w:val="28"/>
        </w:rPr>
      </w:pPr>
    </w:p>
    <w:p w14:paraId="1C3013D9" w14:textId="0A5BCC3C" w:rsidR="00B33936" w:rsidRPr="00B33936" w:rsidRDefault="00B33936" w:rsidP="00B33936">
      <w:pPr>
        <w:autoSpaceDE w:val="0"/>
        <w:autoSpaceDN w:val="0"/>
        <w:adjustRightInd w:val="0"/>
        <w:spacing w:line="360" w:lineRule="auto"/>
        <w:ind w:right="49"/>
        <w:jc w:val="both"/>
        <w:rPr>
          <w:rFonts w:ascii="Palatino Linotype" w:hAnsi="Palatino Linotype" w:cs="Arial"/>
        </w:rPr>
      </w:pPr>
      <w:r w:rsidRPr="005D6B77">
        <w:rPr>
          <w:rFonts w:ascii="Palatino Linotype" w:hAnsi="Palatino Linotype" w:cs="Arial"/>
          <w:b/>
          <w:sz w:val="28"/>
          <w:szCs w:val="28"/>
        </w:rPr>
        <w:t>QUINTO.</w:t>
      </w:r>
      <w:r w:rsidRPr="005D6B77">
        <w:rPr>
          <w:rFonts w:ascii="Palatino Linotype" w:hAnsi="Palatino Linotype" w:cs="Arial"/>
          <w:b/>
        </w:rPr>
        <w:t xml:space="preserve"> NOTIFÍQUESE</w:t>
      </w:r>
      <w:r w:rsidRPr="005D6B77">
        <w:rPr>
          <w:rFonts w:ascii="Palatino Linotype" w:hAnsi="Palatino Linotype" w:cs="Arial"/>
        </w:rPr>
        <w:t xml:space="preserve"> al </w:t>
      </w:r>
      <w:r w:rsidRPr="005D6B77">
        <w:rPr>
          <w:rFonts w:ascii="Palatino Linotype" w:hAnsi="Palatino Linotype" w:cs="Arial"/>
          <w:b/>
        </w:rPr>
        <w:t>Recurrente</w:t>
      </w:r>
      <w:r w:rsidRPr="005D6B77">
        <w:rPr>
          <w:rFonts w:ascii="Palatino Linotype" w:hAnsi="Palatino Linotype" w:cs="Arial"/>
        </w:rPr>
        <w:t xml:space="preserve"> la presente resolución a través del Sistema de Acceso a la Información Mexiquense </w:t>
      </w:r>
      <w:r w:rsidRPr="005D6B77">
        <w:rPr>
          <w:rFonts w:ascii="Palatino Linotype" w:hAnsi="Palatino Linotype" w:cs="Arial"/>
          <w:b/>
        </w:rPr>
        <w:t>(SAIMEX)</w:t>
      </w:r>
      <w:r w:rsidRPr="005D6B77">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o en su caso, interponer recurso de inconformidad de conformidad con el artículo 159 y 160, de la Ley General de Transparencia y Acceso a la Información Pública.</w:t>
      </w:r>
    </w:p>
    <w:p w14:paraId="796C963E" w14:textId="77777777" w:rsidR="00DC3CEA" w:rsidRPr="00DC3CEA" w:rsidRDefault="00DC3CEA" w:rsidP="00DC3CEA">
      <w:pPr>
        <w:autoSpaceDE w:val="0"/>
        <w:autoSpaceDN w:val="0"/>
        <w:adjustRightInd w:val="0"/>
        <w:spacing w:line="360" w:lineRule="auto"/>
        <w:ind w:right="49"/>
        <w:jc w:val="both"/>
        <w:rPr>
          <w:rFonts w:ascii="Palatino Linotype" w:hAnsi="Palatino Linotype" w:cs="Arial"/>
        </w:rPr>
      </w:pPr>
    </w:p>
    <w:p w14:paraId="5C97B7BD" w14:textId="0A4570F7" w:rsidR="0029071C" w:rsidRPr="00C400AC" w:rsidRDefault="0029071C" w:rsidP="00D01A63">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ASÍ LO RESUELVE, POR UNANIMIDAD DE VOTOS, EL PLENO DEL</w:t>
      </w:r>
      <w:r w:rsidRPr="00C400A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C400AC">
        <w:rPr>
          <w:rFonts w:ascii="Palatino Linotype" w:eastAsiaTheme="minorHAnsi" w:hAnsi="Palatino Linotype" w:cs="Arial"/>
          <w:lang w:val="es-MX" w:eastAsia="en-US"/>
        </w:rPr>
        <w:t>, CONFORMADO POR LOS COMISIONADOS JOSÉ MARTÍNEZ VILCHIS; MARÍA DEL ROSARIO MEJÍA AYALA</w:t>
      </w:r>
      <w:r w:rsidR="007B3FD2">
        <w:rPr>
          <w:rFonts w:ascii="Palatino Linotype" w:eastAsiaTheme="minorHAnsi" w:hAnsi="Palatino Linotype" w:cs="Arial"/>
          <w:lang w:val="es-MX" w:eastAsia="en-US"/>
        </w:rPr>
        <w:t xml:space="preserve"> (EMITIENDO VOTO PARTICULAR)</w:t>
      </w:r>
      <w:r w:rsidRPr="00C400AC">
        <w:rPr>
          <w:rFonts w:ascii="Palatino Linotype" w:eastAsiaTheme="minorHAnsi" w:hAnsi="Palatino Linotype" w:cs="Arial"/>
          <w:lang w:val="es-MX" w:eastAsia="en-US"/>
        </w:rPr>
        <w:t>; SHARON CRISTINA MORALES MARTÍNEZ</w:t>
      </w:r>
      <w:r w:rsidR="00C4326C"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LUIS GUSTAVO PARRA NORIEGA</w:t>
      </w:r>
      <w:r w:rsidR="007B3FD2">
        <w:rPr>
          <w:rFonts w:ascii="Palatino Linotype" w:eastAsiaTheme="minorHAnsi" w:hAnsi="Palatino Linotype" w:cs="Arial"/>
          <w:lang w:val="es-MX" w:eastAsia="en-US"/>
        </w:rPr>
        <w:t xml:space="preserve"> (EMITIENDO VOTO PARTICULAR)</w:t>
      </w:r>
      <w:r w:rsidR="007B3FD2"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 xml:space="preserve">Y GUADALUPE RAMÍREZ PEÑA; EN LA </w:t>
      </w:r>
      <w:r w:rsidR="00D2050D">
        <w:rPr>
          <w:rFonts w:ascii="Palatino Linotype" w:eastAsiaTheme="minorHAnsi" w:hAnsi="Palatino Linotype" w:cs="Arial"/>
          <w:lang w:val="es-MX" w:eastAsia="en-US"/>
        </w:rPr>
        <w:t>PRIMER</w:t>
      </w:r>
      <w:r w:rsidR="00EB0964">
        <w:rPr>
          <w:rFonts w:ascii="Palatino Linotype" w:eastAsiaTheme="minorHAnsi" w:hAnsi="Palatino Linotype" w:cs="Arial"/>
          <w:lang w:val="es-MX" w:eastAsia="en-US"/>
        </w:rPr>
        <w:t>A</w:t>
      </w:r>
      <w:r w:rsidR="00EC0798">
        <w:rPr>
          <w:rFonts w:ascii="Palatino Linotype" w:eastAsiaTheme="minorHAnsi" w:hAnsi="Palatino Linotype" w:cs="Arial"/>
          <w:lang w:val="es-MX" w:eastAsia="en-US"/>
        </w:rPr>
        <w:t xml:space="preserve"> </w:t>
      </w:r>
      <w:r w:rsidR="00C753C2" w:rsidRPr="00C400AC">
        <w:rPr>
          <w:rFonts w:ascii="Palatino Linotype" w:eastAsiaTheme="minorHAnsi" w:hAnsi="Palatino Linotype" w:cs="Arial"/>
          <w:lang w:val="es-MX" w:eastAsia="en-US"/>
        </w:rPr>
        <w:t xml:space="preserve">SESIÓN ORDINARIA CELEBRADA EL </w:t>
      </w:r>
      <w:r w:rsidR="00D2050D">
        <w:rPr>
          <w:rFonts w:ascii="Palatino Linotype" w:hAnsi="Palatino Linotype" w:cs="Arial"/>
          <w:color w:val="000000"/>
          <w:lang w:val="es-MX" w:eastAsia="es-MX"/>
        </w:rPr>
        <w:t>QUINCE</w:t>
      </w:r>
      <w:r w:rsidR="00EC0798">
        <w:rPr>
          <w:rFonts w:ascii="Palatino Linotype" w:hAnsi="Palatino Linotype" w:cs="Arial"/>
          <w:color w:val="000000"/>
          <w:lang w:val="es-MX" w:eastAsia="es-MX"/>
        </w:rPr>
        <w:t xml:space="preserve"> DE </w:t>
      </w:r>
      <w:r w:rsidR="00EB0964">
        <w:rPr>
          <w:rFonts w:ascii="Palatino Linotype" w:hAnsi="Palatino Linotype" w:cs="Arial"/>
          <w:color w:val="000000"/>
          <w:lang w:val="es-MX" w:eastAsia="es-MX"/>
        </w:rPr>
        <w:t>ENERO</w:t>
      </w:r>
      <w:r w:rsidR="00D54B83" w:rsidRPr="00C400AC">
        <w:rPr>
          <w:rFonts w:ascii="Palatino Linotype" w:hAnsi="Palatino Linotype" w:cs="Arial"/>
          <w:color w:val="000000"/>
          <w:lang w:val="es-MX" w:eastAsia="es-MX"/>
        </w:rPr>
        <w:t xml:space="preserve"> </w:t>
      </w:r>
      <w:r w:rsidRPr="00C400AC">
        <w:rPr>
          <w:rFonts w:ascii="Palatino Linotype" w:hAnsi="Palatino Linotype" w:cs="Arial"/>
          <w:color w:val="000000"/>
          <w:lang w:val="es-MX" w:eastAsia="es-MX"/>
        </w:rPr>
        <w:t>DE</w:t>
      </w:r>
      <w:r w:rsidR="00812DDF" w:rsidRPr="00C400AC">
        <w:rPr>
          <w:rFonts w:ascii="Palatino Linotype" w:eastAsiaTheme="minorHAnsi" w:hAnsi="Palatino Linotype" w:cs="Arial"/>
          <w:lang w:val="es-MX" w:eastAsia="en-US"/>
        </w:rPr>
        <w:t xml:space="preserve"> DOS MIL VEINTI</w:t>
      </w:r>
      <w:r w:rsidR="00D2050D">
        <w:rPr>
          <w:rFonts w:ascii="Palatino Linotype" w:eastAsiaTheme="minorHAnsi" w:hAnsi="Palatino Linotype" w:cs="Arial"/>
          <w:lang w:val="es-MX" w:eastAsia="en-US"/>
        </w:rPr>
        <w:t>CINCO</w:t>
      </w:r>
      <w:r w:rsidRPr="00C400AC">
        <w:rPr>
          <w:rFonts w:ascii="Palatino Linotype" w:eastAsiaTheme="minorHAnsi" w:hAnsi="Palatino Linotype" w:cs="Arial"/>
          <w:lang w:val="es-MX" w:eastAsia="en-US"/>
        </w:rPr>
        <w:t>, ANTE EL SECRETARIO TÉCNICO</w:t>
      </w:r>
      <w:r w:rsidR="00FC570E">
        <w:rPr>
          <w:rFonts w:ascii="Palatino Linotype" w:eastAsiaTheme="minorHAnsi" w:hAnsi="Palatino Linotype" w:cs="Arial"/>
          <w:lang w:val="es-MX" w:eastAsia="en-US"/>
        </w:rPr>
        <w:t xml:space="preserve"> DEL PLENO</w:t>
      </w:r>
      <w:r w:rsidRPr="00C400AC">
        <w:rPr>
          <w:rFonts w:ascii="Palatino Linotype" w:eastAsiaTheme="minorHAnsi" w:hAnsi="Palatino Linotype" w:cs="Arial"/>
          <w:lang w:val="es-MX" w:eastAsia="en-US"/>
        </w:rPr>
        <w:t>, ALEXIS TAPIA RA</w:t>
      </w:r>
      <w:r w:rsidR="00054E04" w:rsidRPr="00C400AC">
        <w:rPr>
          <w:rFonts w:ascii="Palatino Linotype" w:eastAsiaTheme="minorHAnsi" w:hAnsi="Palatino Linotype" w:cs="Arial"/>
          <w:lang w:val="es-MX" w:eastAsia="en-US"/>
        </w:rPr>
        <w:t>MÍREZ.</w:t>
      </w:r>
      <w:r w:rsidR="001E2DA3" w:rsidRPr="00C400AC">
        <w:rPr>
          <w:rFonts w:ascii="Palatino Linotype" w:eastAsiaTheme="minorHAnsi" w:hAnsi="Palatino Linotype" w:cs="Arial"/>
          <w:lang w:val="es-MX" w:eastAsia="en-US"/>
        </w:rPr>
        <w:t>-----</w:t>
      </w:r>
      <w:r w:rsidR="00D01A63" w:rsidRPr="00C400AC">
        <w:rPr>
          <w:rFonts w:ascii="Palatino Linotype" w:eastAsiaTheme="minorHAnsi" w:hAnsi="Palatino Linotype" w:cs="Arial"/>
          <w:lang w:val="es-MX" w:eastAsia="en-US"/>
        </w:rPr>
        <w:t>------------------------------------------------------------------------------------</w:t>
      </w:r>
      <w:r w:rsidR="00FC570E">
        <w:rPr>
          <w:rFonts w:ascii="Palatino Linotype" w:eastAsiaTheme="minorHAnsi" w:hAnsi="Palatino Linotype" w:cs="Arial"/>
          <w:lang w:val="es-MX" w:eastAsia="en-US"/>
        </w:rPr>
        <w:t>----------</w:t>
      </w:r>
      <w:r w:rsidR="00225F63" w:rsidRPr="00C400AC">
        <w:rPr>
          <w:rFonts w:ascii="Palatino Linotype" w:eastAsiaTheme="minorHAnsi" w:hAnsi="Palatino Linotype" w:cs="Arial"/>
          <w:lang w:val="es-MX" w:eastAsia="en-US"/>
        </w:rPr>
        <w:t>----------------------------------------------------------------------------------------------------------------------------------------------------------------------------------------------------------------</w:t>
      </w:r>
      <w:r w:rsidR="00225F63">
        <w:rPr>
          <w:rFonts w:ascii="Palatino Linotype" w:eastAsiaTheme="minorHAnsi" w:hAnsi="Palatino Linotype" w:cs="Arial"/>
          <w:lang w:val="es-MX" w:eastAsia="en-US"/>
        </w:rPr>
        <w:t>--------------------</w:t>
      </w:r>
    </w:p>
    <w:p w14:paraId="4370ADCB"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C400AC">
        <w:rPr>
          <w:rFonts w:ascii="Palatino Linotype" w:eastAsiaTheme="minorHAnsi" w:hAnsi="Palatino Linotype" w:cs="Arial"/>
          <w:sz w:val="14"/>
          <w:lang w:val="es-MX" w:eastAsia="en-US"/>
        </w:rPr>
        <w:t>JMV/CCR/</w:t>
      </w:r>
      <w:proofErr w:type="spellStart"/>
      <w:r w:rsidRPr="00C400AC">
        <w:rPr>
          <w:rFonts w:ascii="Palatino Linotype" w:eastAsiaTheme="minorHAnsi" w:hAnsi="Palatino Linotype" w:cs="Arial"/>
          <w:sz w:val="14"/>
          <w:lang w:val="es-MX" w:eastAsia="en-US"/>
        </w:rPr>
        <w:t>jasm</w:t>
      </w:r>
      <w:proofErr w:type="spellEnd"/>
    </w:p>
    <w:p w14:paraId="54C8204F" w14:textId="77777777" w:rsidR="0029071C" w:rsidRDefault="0029071C" w:rsidP="003E56C9"/>
    <w:p w14:paraId="1C8C4F31" w14:textId="77777777" w:rsidR="0029071C" w:rsidRDefault="0029071C" w:rsidP="003E56C9"/>
    <w:p w14:paraId="4DC6D222" w14:textId="77777777" w:rsidR="0029071C" w:rsidRDefault="0029071C" w:rsidP="003E56C9"/>
    <w:p w14:paraId="5F783931" w14:textId="77777777" w:rsidR="0029071C" w:rsidRDefault="0029071C" w:rsidP="003E56C9"/>
    <w:p w14:paraId="2236FAA6" w14:textId="77777777" w:rsidR="0029071C" w:rsidRDefault="0029071C" w:rsidP="003E56C9"/>
    <w:p w14:paraId="323A70B9" w14:textId="77777777" w:rsidR="0029071C" w:rsidRDefault="0029071C" w:rsidP="003E56C9"/>
    <w:p w14:paraId="07032873" w14:textId="77777777" w:rsidR="0029071C" w:rsidRDefault="0029071C" w:rsidP="003E56C9"/>
    <w:p w14:paraId="1F3382F2" w14:textId="77777777" w:rsidR="0029071C" w:rsidRDefault="0029071C" w:rsidP="003E56C9"/>
    <w:p w14:paraId="1633361D" w14:textId="77777777" w:rsidR="0029071C" w:rsidRDefault="0029071C" w:rsidP="003E56C9"/>
    <w:p w14:paraId="45AFB2DA" w14:textId="77777777" w:rsidR="0029071C" w:rsidRDefault="0029071C" w:rsidP="003E56C9"/>
    <w:p w14:paraId="006D3781" w14:textId="77777777" w:rsidR="0029071C" w:rsidRDefault="0029071C" w:rsidP="003E56C9"/>
    <w:p w14:paraId="78F70F53" w14:textId="77777777" w:rsidR="0029071C" w:rsidRDefault="0029071C" w:rsidP="003E56C9"/>
    <w:p w14:paraId="3913DD96" w14:textId="77777777" w:rsidR="0029071C" w:rsidRDefault="0029071C" w:rsidP="003E56C9"/>
    <w:p w14:paraId="4A28A13A" w14:textId="77777777" w:rsidR="0029071C" w:rsidRDefault="0029071C" w:rsidP="003E56C9"/>
    <w:p w14:paraId="13BE10D4" w14:textId="77777777" w:rsidR="0029071C" w:rsidRDefault="0029071C" w:rsidP="003E56C9"/>
    <w:p w14:paraId="7D9857EC" w14:textId="77777777" w:rsidR="0029071C" w:rsidRDefault="0029071C" w:rsidP="003E56C9"/>
    <w:p w14:paraId="587200CE" w14:textId="77777777" w:rsidR="0029071C" w:rsidRDefault="0029071C" w:rsidP="003E56C9"/>
    <w:p w14:paraId="2895B348" w14:textId="77777777" w:rsidR="0029071C" w:rsidRDefault="0029071C" w:rsidP="003E56C9"/>
    <w:p w14:paraId="120B9FD6" w14:textId="77777777" w:rsidR="0029071C" w:rsidRDefault="0029071C" w:rsidP="003E56C9"/>
    <w:p w14:paraId="62FF7D94" w14:textId="77777777" w:rsidR="0029071C" w:rsidRDefault="0029071C" w:rsidP="003E56C9"/>
    <w:p w14:paraId="7E817060" w14:textId="77777777" w:rsidR="0029071C" w:rsidRDefault="0029071C" w:rsidP="003E56C9"/>
    <w:p w14:paraId="46C11C5E" w14:textId="77777777" w:rsidR="0029071C" w:rsidRDefault="0029071C" w:rsidP="003E56C9"/>
    <w:p w14:paraId="796A27F9" w14:textId="77777777" w:rsidR="0029071C" w:rsidRDefault="0029071C" w:rsidP="003E56C9"/>
    <w:p w14:paraId="788C75E3" w14:textId="77777777" w:rsidR="0029071C" w:rsidRDefault="0029071C" w:rsidP="003E56C9"/>
    <w:p w14:paraId="3F937E2D" w14:textId="77777777" w:rsidR="0029071C" w:rsidRDefault="0029071C" w:rsidP="003E56C9"/>
    <w:p w14:paraId="185C4FCE" w14:textId="77777777" w:rsidR="0029071C" w:rsidRDefault="0029071C" w:rsidP="003E56C9"/>
    <w:p w14:paraId="286E41F1" w14:textId="77777777" w:rsidR="0029071C" w:rsidRDefault="0029071C" w:rsidP="003E56C9"/>
    <w:p w14:paraId="28E4858E" w14:textId="77777777" w:rsidR="0029071C" w:rsidRDefault="0029071C" w:rsidP="003E56C9"/>
    <w:p w14:paraId="61E46B9B" w14:textId="77777777" w:rsidR="0029071C" w:rsidRDefault="0029071C" w:rsidP="003E56C9"/>
    <w:p w14:paraId="1300FD0B" w14:textId="77777777" w:rsidR="0029071C" w:rsidRDefault="0029071C" w:rsidP="003E56C9"/>
    <w:p w14:paraId="27F83968" w14:textId="77777777" w:rsidR="0029071C" w:rsidRDefault="0029071C" w:rsidP="003E56C9"/>
    <w:p w14:paraId="78BF1D46" w14:textId="77777777" w:rsidR="0029071C" w:rsidRDefault="0029071C" w:rsidP="003E56C9"/>
    <w:p w14:paraId="56D3061B" w14:textId="77777777" w:rsidR="0029071C" w:rsidRDefault="0029071C" w:rsidP="003E56C9"/>
    <w:p w14:paraId="789E276D" w14:textId="77777777" w:rsidR="0029071C" w:rsidRDefault="0029071C" w:rsidP="003E56C9"/>
    <w:p w14:paraId="665B76D5" w14:textId="686EDCEC"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AFAC" w14:textId="77777777" w:rsidR="00277DA3" w:rsidRDefault="00277DA3" w:rsidP="000B5E25">
      <w:r>
        <w:separator/>
      </w:r>
    </w:p>
  </w:endnote>
  <w:endnote w:type="continuationSeparator" w:id="0">
    <w:p w14:paraId="0D7FA166" w14:textId="77777777" w:rsidR="00277DA3" w:rsidRDefault="00277DA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8D9E" w14:textId="401ED502" w:rsidR="00F90312" w:rsidRPr="000D3AD4" w:rsidRDefault="00F9031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21EA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21EAE">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04F5" w14:textId="5F5387FB" w:rsidR="00F90312" w:rsidRPr="000D3AD4" w:rsidRDefault="00F9031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21EA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21EAE">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D05E" w14:textId="77777777" w:rsidR="00277DA3" w:rsidRDefault="00277DA3" w:rsidP="000B5E25">
      <w:r>
        <w:separator/>
      </w:r>
    </w:p>
  </w:footnote>
  <w:footnote w:type="continuationSeparator" w:id="0">
    <w:p w14:paraId="23D02B42" w14:textId="77777777" w:rsidR="00277DA3" w:rsidRDefault="00277DA3" w:rsidP="000B5E25">
      <w:r>
        <w:continuationSeparator/>
      </w:r>
    </w:p>
  </w:footnote>
  <w:footnote w:id="1">
    <w:p w14:paraId="525A8F81" w14:textId="77777777" w:rsidR="00F90312" w:rsidRDefault="00F90312" w:rsidP="00DC3CEA">
      <w:pPr>
        <w:ind w:right="49"/>
        <w:jc w:val="both"/>
        <w:rPr>
          <w:rFonts w:ascii="Palatino Linotype" w:eastAsia="Calibri" w:hAnsi="Palatino Linotype"/>
          <w:b/>
          <w:bCs/>
          <w:i/>
          <w:sz w:val="16"/>
          <w:szCs w:val="22"/>
          <w:lang w:val="es-MX" w:eastAsia="es-MX"/>
        </w:rPr>
      </w:pPr>
      <w:r>
        <w:rPr>
          <w:rStyle w:val="Refdenotaalpie"/>
        </w:rPr>
        <w:footnoteRef/>
      </w:r>
      <w:r>
        <w:t xml:space="preserve"> </w:t>
      </w:r>
      <w:r>
        <w:rPr>
          <w:rFonts w:ascii="Palatino Linotype" w:eastAsia="Calibri" w:hAnsi="Palatino Linotype"/>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7402E23" w14:textId="77777777" w:rsidR="00F90312" w:rsidRDefault="00F90312" w:rsidP="00DC3CEA">
      <w:pPr>
        <w:autoSpaceDE w:val="0"/>
        <w:autoSpaceDN w:val="0"/>
        <w:adjustRightInd w:val="0"/>
        <w:ind w:right="49"/>
        <w:jc w:val="both"/>
        <w:rPr>
          <w:rFonts w:ascii="Palatino Linotype" w:hAnsi="Palatino Linotype"/>
          <w:i/>
          <w:sz w:val="16"/>
          <w:szCs w:val="22"/>
        </w:rPr>
      </w:pPr>
    </w:p>
    <w:p w14:paraId="7436F297" w14:textId="77777777" w:rsidR="00F90312" w:rsidRDefault="00F90312" w:rsidP="00DC3CEA">
      <w:pPr>
        <w:autoSpaceDE w:val="0"/>
        <w:autoSpaceDN w:val="0"/>
        <w:adjustRightInd w:val="0"/>
        <w:ind w:right="49"/>
        <w:jc w:val="both"/>
        <w:rPr>
          <w:rFonts w:ascii="Palatino Linotype" w:hAnsi="Palatino Linotype" w:cs="Arial"/>
          <w:sz w:val="16"/>
          <w:szCs w:val="22"/>
        </w:rPr>
      </w:pPr>
      <w:r>
        <w:rPr>
          <w:rFonts w:ascii="Palatino Linotype" w:hAnsi="Palatino Linotype"/>
          <w:i/>
          <w:sz w:val="16"/>
          <w:szCs w:val="22"/>
        </w:rPr>
        <w:t>Del examen de compatibilidad de los artículos </w:t>
      </w:r>
      <w:hyperlink r:id="rId1" w:history="1">
        <w:r>
          <w:rPr>
            <w:rStyle w:val="Hipervnculo"/>
            <w:rFonts w:ascii="Palatino Linotype" w:eastAsia="Calibri" w:hAnsi="Palatino Linotype"/>
            <w:i/>
            <w:sz w:val="16"/>
            <w:szCs w:val="22"/>
          </w:rPr>
          <w:t>73 y 74 de la Ley de Amparo</w:t>
        </w:r>
      </w:hyperlink>
      <w:r>
        <w:rPr>
          <w:rFonts w:ascii="Palatino Linotype" w:hAnsi="Palatino Linotype"/>
          <w:i/>
          <w:sz w:val="16"/>
          <w:szCs w:val="22"/>
        </w:rPr>
        <w:t> con el artículo </w:t>
      </w:r>
      <w:hyperlink r:id="rId2" w:history="1">
        <w:r>
          <w:rPr>
            <w:rStyle w:val="Hipervnculo"/>
            <w:rFonts w:ascii="Palatino Linotype" w:eastAsia="Calibri" w:hAnsi="Palatino Linotype"/>
            <w:i/>
            <w:sz w:val="16"/>
            <w:szCs w:val="22"/>
          </w:rPr>
          <w:t>25.1 de la Convención Americana sobre Derechos Humanos</w:t>
        </w:r>
      </w:hyperlink>
      <w:r>
        <w:rPr>
          <w:rFonts w:ascii="Palatino Linotype" w:hAnsi="Palatino Linotype"/>
          <w:i/>
          <w:sz w:val="16"/>
          <w:szCs w:val="22"/>
        </w:rPr>
        <w:t> </w:t>
      </w:r>
      <w:r>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hAnsi="Palatino Linotype"/>
          <w:i/>
          <w:sz w:val="16"/>
          <w:szCs w:val="22"/>
        </w:rPr>
        <w:t>concesoria</w:t>
      </w:r>
      <w:proofErr w:type="spellEnd"/>
      <w:r>
        <w:rPr>
          <w:rFonts w:ascii="Palatino Linotype" w:hAnsi="Palatino Linotype"/>
          <w:i/>
          <w:sz w:val="16"/>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B05910C" w14:textId="77777777" w:rsidR="00F90312" w:rsidRDefault="00F90312" w:rsidP="00DC3CE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2422" w14:textId="77777777" w:rsidR="00F90312" w:rsidRDefault="00921EAE">
    <w:pPr>
      <w:pStyle w:val="Encabezado"/>
    </w:pPr>
    <w:r>
      <w:rPr>
        <w:noProof/>
        <w:lang w:val="es-MX" w:eastAsia="es-MX"/>
      </w:rPr>
      <w:pict w14:anchorId="7F80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835"/>
      <w:gridCol w:w="4252"/>
    </w:tblGrid>
    <w:tr w:rsidR="00F90312" w:rsidRPr="008F2CCC" w14:paraId="358E1A86" w14:textId="77777777" w:rsidTr="00EB0964">
      <w:tc>
        <w:tcPr>
          <w:tcW w:w="2835" w:type="dxa"/>
          <w:shd w:val="clear" w:color="auto" w:fill="auto"/>
          <w:vAlign w:val="center"/>
        </w:tcPr>
        <w:p w14:paraId="326CB3C8"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252" w:type="dxa"/>
          <w:shd w:val="clear" w:color="auto" w:fill="auto"/>
          <w:vAlign w:val="center"/>
        </w:tcPr>
        <w:p w14:paraId="0F39C02C" w14:textId="46E0B83D" w:rsidR="00F90312" w:rsidRPr="0029071C" w:rsidRDefault="00F90312" w:rsidP="00D76EF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E1EEF">
            <w:rPr>
              <w:rFonts w:ascii="Palatino Linotype" w:hAnsi="Palatino Linotype"/>
              <w:sz w:val="22"/>
              <w:szCs w:val="22"/>
              <w:lang w:val="es-ES_tradnl"/>
            </w:rPr>
            <w:t>7290</w:t>
          </w:r>
          <w:r w:rsidRPr="0029071C">
            <w:rPr>
              <w:rFonts w:ascii="Palatino Linotype" w:hAnsi="Palatino Linotype"/>
              <w:sz w:val="22"/>
              <w:szCs w:val="22"/>
              <w:lang w:val="es-ES_tradnl"/>
            </w:rPr>
            <w:t>/INFOEM/IP/RR/202</w:t>
          </w:r>
          <w:r w:rsidR="007E1EEF">
            <w:rPr>
              <w:rFonts w:ascii="Palatino Linotype" w:hAnsi="Palatino Linotype"/>
              <w:sz w:val="22"/>
              <w:szCs w:val="22"/>
              <w:lang w:val="es-ES_tradnl"/>
            </w:rPr>
            <w:t>4</w:t>
          </w:r>
        </w:p>
      </w:tc>
    </w:tr>
    <w:tr w:rsidR="00F90312" w:rsidRPr="008F2CCC" w14:paraId="6DF13D33" w14:textId="77777777" w:rsidTr="00EB0964">
      <w:trPr>
        <w:trHeight w:val="228"/>
      </w:trPr>
      <w:tc>
        <w:tcPr>
          <w:tcW w:w="2835" w:type="dxa"/>
          <w:shd w:val="clear" w:color="auto" w:fill="auto"/>
          <w:vAlign w:val="center"/>
        </w:tcPr>
        <w:p w14:paraId="279C458C"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252" w:type="dxa"/>
          <w:shd w:val="clear" w:color="auto" w:fill="auto"/>
          <w:vAlign w:val="center"/>
        </w:tcPr>
        <w:p w14:paraId="6C149DA9" w14:textId="5AAEDFA5" w:rsidR="00F90312" w:rsidRPr="0029071C" w:rsidRDefault="007E1EEF" w:rsidP="007E1EEF">
          <w:pPr>
            <w:spacing w:line="276" w:lineRule="auto"/>
            <w:jc w:val="right"/>
            <w:rPr>
              <w:rFonts w:ascii="Palatino Linotype" w:hAnsi="Palatino Linotype"/>
              <w:sz w:val="22"/>
              <w:szCs w:val="22"/>
            </w:rPr>
          </w:pPr>
          <w:r w:rsidRPr="007E1EEF">
            <w:rPr>
              <w:rFonts w:ascii="Palatino Linotype" w:hAnsi="Palatino Linotype"/>
              <w:sz w:val="22"/>
              <w:szCs w:val="22"/>
            </w:rPr>
            <w:t>Organismo Público Descentralizado para la Prestación de Los Servicios de Agua Potable Alcantarillado y Saneamiento del Municipio de Naucalpan de Juárez</w:t>
          </w:r>
        </w:p>
      </w:tc>
    </w:tr>
    <w:tr w:rsidR="00F90312" w:rsidRPr="008F2CCC" w14:paraId="24722D81" w14:textId="77777777" w:rsidTr="00EB0964">
      <w:tc>
        <w:tcPr>
          <w:tcW w:w="2835" w:type="dxa"/>
          <w:shd w:val="clear" w:color="auto" w:fill="auto"/>
          <w:vAlign w:val="center"/>
        </w:tcPr>
        <w:p w14:paraId="5AC5C171"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252" w:type="dxa"/>
          <w:shd w:val="clear" w:color="auto" w:fill="auto"/>
          <w:vAlign w:val="center"/>
        </w:tcPr>
        <w:p w14:paraId="6F9AE5E3" w14:textId="77777777" w:rsidR="00F90312" w:rsidRPr="0029071C" w:rsidRDefault="00F9031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48610A" w14:textId="77777777" w:rsidR="00F90312" w:rsidRPr="001779E0" w:rsidRDefault="00921EA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1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67.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96" w:type="dxa"/>
      <w:tblInd w:w="1418" w:type="dxa"/>
      <w:tblLayout w:type="fixed"/>
      <w:tblLook w:val="04A0" w:firstRow="1" w:lastRow="0" w:firstColumn="1" w:lastColumn="0" w:noHBand="0" w:noVBand="1"/>
    </w:tblPr>
    <w:tblGrid>
      <w:gridCol w:w="3118"/>
      <w:gridCol w:w="4678"/>
    </w:tblGrid>
    <w:tr w:rsidR="00F90312" w:rsidRPr="008F2CCC" w14:paraId="4EDB3920" w14:textId="77777777" w:rsidTr="00EB0964">
      <w:tc>
        <w:tcPr>
          <w:tcW w:w="3118" w:type="dxa"/>
          <w:shd w:val="clear" w:color="auto" w:fill="auto"/>
          <w:vAlign w:val="center"/>
        </w:tcPr>
        <w:p w14:paraId="19726A40"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678" w:type="dxa"/>
          <w:shd w:val="clear" w:color="auto" w:fill="auto"/>
          <w:vAlign w:val="center"/>
        </w:tcPr>
        <w:p w14:paraId="5562EAEC" w14:textId="123FB91E" w:rsidR="00F90312" w:rsidRPr="0029071C" w:rsidRDefault="00F90312" w:rsidP="0097120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E1EEF">
            <w:rPr>
              <w:rFonts w:ascii="Palatino Linotype" w:hAnsi="Palatino Linotype"/>
              <w:sz w:val="22"/>
              <w:szCs w:val="22"/>
              <w:lang w:val="es-ES_tradnl"/>
            </w:rPr>
            <w:t>7290</w:t>
          </w:r>
          <w:r w:rsidRPr="0029071C">
            <w:rPr>
              <w:rFonts w:ascii="Palatino Linotype" w:hAnsi="Palatino Linotype"/>
              <w:sz w:val="22"/>
              <w:szCs w:val="22"/>
              <w:lang w:val="es-ES_tradnl"/>
            </w:rPr>
            <w:t>/INFOEM/IP/RR/202</w:t>
          </w:r>
          <w:r w:rsidR="007E1EEF">
            <w:rPr>
              <w:rFonts w:ascii="Palatino Linotype" w:hAnsi="Palatino Linotype"/>
              <w:sz w:val="22"/>
              <w:szCs w:val="22"/>
              <w:lang w:val="es-ES_tradnl"/>
            </w:rPr>
            <w:t>4</w:t>
          </w:r>
        </w:p>
      </w:tc>
    </w:tr>
    <w:tr w:rsidR="00F90312" w:rsidRPr="008F2CCC" w14:paraId="69CF5241" w14:textId="77777777" w:rsidTr="00EB0964">
      <w:tc>
        <w:tcPr>
          <w:tcW w:w="3118" w:type="dxa"/>
          <w:shd w:val="clear" w:color="auto" w:fill="auto"/>
          <w:vAlign w:val="center"/>
        </w:tcPr>
        <w:p w14:paraId="4B2B4EDA"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678" w:type="dxa"/>
          <w:shd w:val="clear" w:color="auto" w:fill="auto"/>
          <w:vAlign w:val="center"/>
        </w:tcPr>
        <w:p w14:paraId="577CCCF2" w14:textId="6012E789" w:rsidR="00F90312" w:rsidRPr="006D30E6" w:rsidRDefault="00921EA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w:t>
          </w:r>
        </w:p>
      </w:tc>
    </w:tr>
    <w:tr w:rsidR="00F90312" w:rsidRPr="008F2CCC" w14:paraId="0AD235EE" w14:textId="77777777" w:rsidTr="00EB0964">
      <w:trPr>
        <w:trHeight w:val="228"/>
      </w:trPr>
      <w:tc>
        <w:tcPr>
          <w:tcW w:w="3118" w:type="dxa"/>
          <w:shd w:val="clear" w:color="auto" w:fill="auto"/>
          <w:vAlign w:val="center"/>
        </w:tcPr>
        <w:p w14:paraId="5193687F"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678" w:type="dxa"/>
          <w:shd w:val="clear" w:color="auto" w:fill="auto"/>
          <w:vAlign w:val="center"/>
        </w:tcPr>
        <w:p w14:paraId="28E596AD" w14:textId="732804D5" w:rsidR="00F90312" w:rsidRPr="0029071C" w:rsidRDefault="007E1EEF" w:rsidP="007E1EEF">
          <w:pPr>
            <w:spacing w:line="276" w:lineRule="auto"/>
            <w:jc w:val="right"/>
            <w:rPr>
              <w:rFonts w:ascii="Palatino Linotype" w:hAnsi="Palatino Linotype"/>
              <w:sz w:val="22"/>
              <w:szCs w:val="22"/>
            </w:rPr>
          </w:pPr>
          <w:r w:rsidRPr="007E1EEF">
            <w:rPr>
              <w:rFonts w:ascii="Palatino Linotype" w:hAnsi="Palatino Linotype"/>
              <w:sz w:val="22"/>
              <w:szCs w:val="22"/>
            </w:rPr>
            <w:t>Organismo Público Descentralizado para la Prestación de Los Servicios de Agua Potable Alcantarillado y Saneamiento del Municipio de Naucalpan de Juárez</w:t>
          </w:r>
        </w:p>
      </w:tc>
    </w:tr>
    <w:tr w:rsidR="00F90312" w:rsidRPr="008F2CCC" w14:paraId="25485B18" w14:textId="77777777" w:rsidTr="00EB0964">
      <w:tc>
        <w:tcPr>
          <w:tcW w:w="3118" w:type="dxa"/>
          <w:shd w:val="clear" w:color="auto" w:fill="auto"/>
          <w:vAlign w:val="center"/>
        </w:tcPr>
        <w:p w14:paraId="3D6B9F16" w14:textId="77777777" w:rsidR="00F90312" w:rsidRPr="008F5DAE" w:rsidRDefault="00F9031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678" w:type="dxa"/>
          <w:shd w:val="clear" w:color="auto" w:fill="auto"/>
          <w:vAlign w:val="center"/>
        </w:tcPr>
        <w:p w14:paraId="64C2EE99" w14:textId="77777777" w:rsidR="00F90312" w:rsidRPr="0029071C" w:rsidRDefault="00F9031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90312" w:rsidRPr="008F2CCC" w14:paraId="4AA2DF01" w14:textId="77777777" w:rsidTr="00EB0964">
      <w:tc>
        <w:tcPr>
          <w:tcW w:w="3118" w:type="dxa"/>
          <w:shd w:val="clear" w:color="auto" w:fill="auto"/>
          <w:vAlign w:val="center"/>
        </w:tcPr>
        <w:p w14:paraId="63DB76B1" w14:textId="77777777" w:rsidR="00F90312" w:rsidRPr="008F5DAE" w:rsidRDefault="00F90312" w:rsidP="00BA27FC">
          <w:pPr>
            <w:spacing w:line="276" w:lineRule="auto"/>
            <w:jc w:val="right"/>
            <w:rPr>
              <w:rFonts w:ascii="Palatino Linotype" w:hAnsi="Palatino Linotype"/>
              <w:b/>
              <w:sz w:val="22"/>
              <w:szCs w:val="22"/>
              <w:lang w:val="es-ES_tradnl"/>
            </w:rPr>
          </w:pPr>
        </w:p>
      </w:tc>
      <w:tc>
        <w:tcPr>
          <w:tcW w:w="4678" w:type="dxa"/>
          <w:shd w:val="clear" w:color="auto" w:fill="auto"/>
          <w:vAlign w:val="center"/>
        </w:tcPr>
        <w:p w14:paraId="75654F5F" w14:textId="77777777" w:rsidR="00F90312" w:rsidRPr="00EB0964" w:rsidRDefault="00F90312" w:rsidP="00BA27FC">
          <w:pPr>
            <w:spacing w:line="276" w:lineRule="auto"/>
            <w:rPr>
              <w:rFonts w:ascii="Palatino Linotype" w:hAnsi="Palatino Linotype"/>
              <w:sz w:val="2"/>
              <w:szCs w:val="6"/>
              <w:lang w:val="es-ES_tradnl"/>
            </w:rPr>
          </w:pPr>
        </w:p>
      </w:tc>
    </w:tr>
  </w:tbl>
  <w:p w14:paraId="65520DFD" w14:textId="77777777" w:rsidR="00F90312" w:rsidRPr="009F1AB6" w:rsidRDefault="00921EAE">
    <w:pPr>
      <w:pStyle w:val="Encabezado"/>
      <w:rPr>
        <w:sz w:val="10"/>
      </w:rPr>
    </w:pPr>
    <w:r>
      <w:rPr>
        <w:noProof/>
        <w:sz w:val="10"/>
        <w:lang w:val="es-MX" w:eastAsia="es-MX"/>
      </w:rPr>
      <w:pict w14:anchorId="1F7E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7pt;margin-top:-195.4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ACF"/>
      </v:shape>
    </w:pict>
  </w:numPicBullet>
  <w:abstractNum w:abstractNumId="0" w15:restartNumberingAfterBreak="0">
    <w:nsid w:val="0D6D4AFA"/>
    <w:multiLevelType w:val="hybridMultilevel"/>
    <w:tmpl w:val="384873C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82B25"/>
    <w:multiLevelType w:val="hybridMultilevel"/>
    <w:tmpl w:val="08F6310C"/>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DA3390"/>
    <w:multiLevelType w:val="hybridMultilevel"/>
    <w:tmpl w:val="46ACAA2C"/>
    <w:lvl w:ilvl="0" w:tplc="624A31E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0D5092B"/>
    <w:multiLevelType w:val="hybridMultilevel"/>
    <w:tmpl w:val="DB98F184"/>
    <w:lvl w:ilvl="0" w:tplc="E4D67D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385016D2"/>
    <w:multiLevelType w:val="hybridMultilevel"/>
    <w:tmpl w:val="B26C6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4F0119"/>
    <w:multiLevelType w:val="hybridMultilevel"/>
    <w:tmpl w:val="654EF8FC"/>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BA6FC4"/>
    <w:multiLevelType w:val="hybridMultilevel"/>
    <w:tmpl w:val="102A815A"/>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3F5364"/>
    <w:multiLevelType w:val="hybridMultilevel"/>
    <w:tmpl w:val="EB642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EB004F"/>
    <w:multiLevelType w:val="hybridMultilevel"/>
    <w:tmpl w:val="7DC21D4C"/>
    <w:lvl w:ilvl="0" w:tplc="5D62FA2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464325"/>
    <w:multiLevelType w:val="hybridMultilevel"/>
    <w:tmpl w:val="0A5A9478"/>
    <w:lvl w:ilvl="0" w:tplc="5E008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7"/>
  </w:num>
  <w:num w:numId="3">
    <w:abstractNumId w:val="1"/>
  </w:num>
  <w:num w:numId="4">
    <w:abstractNumId w:val="19"/>
  </w:num>
  <w:num w:numId="5">
    <w:abstractNumId w:val="10"/>
  </w:num>
  <w:num w:numId="6">
    <w:abstractNumId w:val="17"/>
  </w:num>
  <w:num w:numId="7">
    <w:abstractNumId w:val="21"/>
  </w:num>
  <w:num w:numId="8">
    <w:abstractNumId w:val="8"/>
  </w:num>
  <w:num w:numId="9">
    <w:abstractNumId w:val="11"/>
  </w:num>
  <w:num w:numId="10">
    <w:abstractNumId w:val="14"/>
  </w:num>
  <w:num w:numId="11">
    <w:abstractNumId w:val="5"/>
  </w:num>
  <w:num w:numId="12">
    <w:abstractNumId w:val="18"/>
  </w:num>
  <w:num w:numId="13">
    <w:abstractNumId w:val="2"/>
  </w:num>
  <w:num w:numId="14">
    <w:abstractNumId w:val="15"/>
  </w:num>
  <w:num w:numId="15">
    <w:abstractNumId w:val="24"/>
  </w:num>
  <w:num w:numId="16">
    <w:abstractNumId w:val="6"/>
  </w:num>
  <w:num w:numId="17">
    <w:abstractNumId w:val="12"/>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9"/>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23E3F"/>
    <w:rsid w:val="00032D08"/>
    <w:rsid w:val="00034217"/>
    <w:rsid w:val="00036F8B"/>
    <w:rsid w:val="00054E04"/>
    <w:rsid w:val="000572E9"/>
    <w:rsid w:val="00070547"/>
    <w:rsid w:val="00071173"/>
    <w:rsid w:val="000775FC"/>
    <w:rsid w:val="000927A2"/>
    <w:rsid w:val="00093AE1"/>
    <w:rsid w:val="000A34BB"/>
    <w:rsid w:val="000A351E"/>
    <w:rsid w:val="000A717C"/>
    <w:rsid w:val="000B293E"/>
    <w:rsid w:val="000B3D36"/>
    <w:rsid w:val="000B4402"/>
    <w:rsid w:val="000B5876"/>
    <w:rsid w:val="000B5E25"/>
    <w:rsid w:val="000B7C6C"/>
    <w:rsid w:val="000C0543"/>
    <w:rsid w:val="000C43CE"/>
    <w:rsid w:val="000C49B8"/>
    <w:rsid w:val="000C5FDF"/>
    <w:rsid w:val="000C615C"/>
    <w:rsid w:val="000D3AD4"/>
    <w:rsid w:val="000E592F"/>
    <w:rsid w:val="000E768F"/>
    <w:rsid w:val="000F16BA"/>
    <w:rsid w:val="00101AD8"/>
    <w:rsid w:val="0010712B"/>
    <w:rsid w:val="0012298D"/>
    <w:rsid w:val="00123996"/>
    <w:rsid w:val="0012510D"/>
    <w:rsid w:val="0014397A"/>
    <w:rsid w:val="00143F6E"/>
    <w:rsid w:val="00151D4C"/>
    <w:rsid w:val="001558F3"/>
    <w:rsid w:val="00155BBA"/>
    <w:rsid w:val="00170AA7"/>
    <w:rsid w:val="00186CCB"/>
    <w:rsid w:val="00191418"/>
    <w:rsid w:val="0019170F"/>
    <w:rsid w:val="001949AC"/>
    <w:rsid w:val="001A6109"/>
    <w:rsid w:val="001A6C89"/>
    <w:rsid w:val="001C14AC"/>
    <w:rsid w:val="001D2BC8"/>
    <w:rsid w:val="001D2DE0"/>
    <w:rsid w:val="001D4046"/>
    <w:rsid w:val="001D5495"/>
    <w:rsid w:val="001E2DA3"/>
    <w:rsid w:val="001E45B5"/>
    <w:rsid w:val="001F1FCC"/>
    <w:rsid w:val="001F2305"/>
    <w:rsid w:val="001F2E7B"/>
    <w:rsid w:val="001F30B0"/>
    <w:rsid w:val="0020156D"/>
    <w:rsid w:val="0020249A"/>
    <w:rsid w:val="00202C04"/>
    <w:rsid w:val="00206C85"/>
    <w:rsid w:val="00213673"/>
    <w:rsid w:val="002167BB"/>
    <w:rsid w:val="00216D40"/>
    <w:rsid w:val="00217E6C"/>
    <w:rsid w:val="00225163"/>
    <w:rsid w:val="00225F63"/>
    <w:rsid w:val="00226B4A"/>
    <w:rsid w:val="002325DC"/>
    <w:rsid w:val="00235936"/>
    <w:rsid w:val="00236CBA"/>
    <w:rsid w:val="00240E96"/>
    <w:rsid w:val="0024323F"/>
    <w:rsid w:val="00247138"/>
    <w:rsid w:val="002554C6"/>
    <w:rsid w:val="00255F1A"/>
    <w:rsid w:val="00261BC7"/>
    <w:rsid w:val="0026516A"/>
    <w:rsid w:val="00267458"/>
    <w:rsid w:val="00267BB5"/>
    <w:rsid w:val="00277DA3"/>
    <w:rsid w:val="00283696"/>
    <w:rsid w:val="002868B2"/>
    <w:rsid w:val="00287A3F"/>
    <w:rsid w:val="00287F4A"/>
    <w:rsid w:val="0029071C"/>
    <w:rsid w:val="002911A3"/>
    <w:rsid w:val="002934B4"/>
    <w:rsid w:val="00295B3F"/>
    <w:rsid w:val="002A040B"/>
    <w:rsid w:val="002A4B43"/>
    <w:rsid w:val="002A676F"/>
    <w:rsid w:val="002A78A9"/>
    <w:rsid w:val="002B48AD"/>
    <w:rsid w:val="002C0BE5"/>
    <w:rsid w:val="002C240F"/>
    <w:rsid w:val="002D17B8"/>
    <w:rsid w:val="002D32D2"/>
    <w:rsid w:val="002D61F7"/>
    <w:rsid w:val="002D6656"/>
    <w:rsid w:val="002D6E4B"/>
    <w:rsid w:val="002E3085"/>
    <w:rsid w:val="002F3B20"/>
    <w:rsid w:val="002F7FE5"/>
    <w:rsid w:val="00307006"/>
    <w:rsid w:val="0030701F"/>
    <w:rsid w:val="00320F38"/>
    <w:rsid w:val="003259D6"/>
    <w:rsid w:val="00330FC3"/>
    <w:rsid w:val="00337FFA"/>
    <w:rsid w:val="00340A06"/>
    <w:rsid w:val="00343F0B"/>
    <w:rsid w:val="003520C5"/>
    <w:rsid w:val="0035559A"/>
    <w:rsid w:val="00371835"/>
    <w:rsid w:val="003746DE"/>
    <w:rsid w:val="003804E8"/>
    <w:rsid w:val="00380D3E"/>
    <w:rsid w:val="00386934"/>
    <w:rsid w:val="00386D38"/>
    <w:rsid w:val="00391828"/>
    <w:rsid w:val="0039188A"/>
    <w:rsid w:val="00396DB6"/>
    <w:rsid w:val="003A7B56"/>
    <w:rsid w:val="003B1C85"/>
    <w:rsid w:val="003B70B0"/>
    <w:rsid w:val="003C160D"/>
    <w:rsid w:val="003C59BC"/>
    <w:rsid w:val="003C6E1C"/>
    <w:rsid w:val="003D6804"/>
    <w:rsid w:val="003E21A7"/>
    <w:rsid w:val="003E56C9"/>
    <w:rsid w:val="004018F9"/>
    <w:rsid w:val="00414CE3"/>
    <w:rsid w:val="00425E0F"/>
    <w:rsid w:val="00427E65"/>
    <w:rsid w:val="004344EA"/>
    <w:rsid w:val="0043515A"/>
    <w:rsid w:val="004403F7"/>
    <w:rsid w:val="004426DC"/>
    <w:rsid w:val="00442FD8"/>
    <w:rsid w:val="00443892"/>
    <w:rsid w:val="004445A1"/>
    <w:rsid w:val="00445CAA"/>
    <w:rsid w:val="00467118"/>
    <w:rsid w:val="004672ED"/>
    <w:rsid w:val="00483A95"/>
    <w:rsid w:val="00485743"/>
    <w:rsid w:val="00487B7B"/>
    <w:rsid w:val="00491E86"/>
    <w:rsid w:val="004952D8"/>
    <w:rsid w:val="004A034A"/>
    <w:rsid w:val="004B2314"/>
    <w:rsid w:val="004D18B6"/>
    <w:rsid w:val="004D2BF5"/>
    <w:rsid w:val="004D5D2F"/>
    <w:rsid w:val="004D6F71"/>
    <w:rsid w:val="004E5628"/>
    <w:rsid w:val="004F26E3"/>
    <w:rsid w:val="0050130E"/>
    <w:rsid w:val="0050243E"/>
    <w:rsid w:val="00511E00"/>
    <w:rsid w:val="00515938"/>
    <w:rsid w:val="00524A8D"/>
    <w:rsid w:val="00527179"/>
    <w:rsid w:val="00543039"/>
    <w:rsid w:val="0054391A"/>
    <w:rsid w:val="00545F63"/>
    <w:rsid w:val="00551441"/>
    <w:rsid w:val="00555C87"/>
    <w:rsid w:val="00563A28"/>
    <w:rsid w:val="00563B39"/>
    <w:rsid w:val="0057289F"/>
    <w:rsid w:val="005758A2"/>
    <w:rsid w:val="00580264"/>
    <w:rsid w:val="0059032F"/>
    <w:rsid w:val="0059614C"/>
    <w:rsid w:val="00597D71"/>
    <w:rsid w:val="005A6216"/>
    <w:rsid w:val="005A740A"/>
    <w:rsid w:val="005B0692"/>
    <w:rsid w:val="005B234D"/>
    <w:rsid w:val="005B26AD"/>
    <w:rsid w:val="005B36A8"/>
    <w:rsid w:val="005B5693"/>
    <w:rsid w:val="005C6646"/>
    <w:rsid w:val="005D115D"/>
    <w:rsid w:val="005D77CC"/>
    <w:rsid w:val="005E09AB"/>
    <w:rsid w:val="005E5716"/>
    <w:rsid w:val="005F1F89"/>
    <w:rsid w:val="005F34A2"/>
    <w:rsid w:val="005F4BFB"/>
    <w:rsid w:val="005F6823"/>
    <w:rsid w:val="006000C5"/>
    <w:rsid w:val="006002E0"/>
    <w:rsid w:val="00620280"/>
    <w:rsid w:val="00620E59"/>
    <w:rsid w:val="006258FD"/>
    <w:rsid w:val="00632E48"/>
    <w:rsid w:val="00643B58"/>
    <w:rsid w:val="006810FF"/>
    <w:rsid w:val="0068515C"/>
    <w:rsid w:val="00694976"/>
    <w:rsid w:val="006952D2"/>
    <w:rsid w:val="006B321A"/>
    <w:rsid w:val="006B418F"/>
    <w:rsid w:val="006C3931"/>
    <w:rsid w:val="006C6A15"/>
    <w:rsid w:val="006D0C82"/>
    <w:rsid w:val="006D0D56"/>
    <w:rsid w:val="006D1713"/>
    <w:rsid w:val="006D30E6"/>
    <w:rsid w:val="006D3A03"/>
    <w:rsid w:val="006D4B8E"/>
    <w:rsid w:val="006E08FA"/>
    <w:rsid w:val="006E13A6"/>
    <w:rsid w:val="006F5F93"/>
    <w:rsid w:val="00701A71"/>
    <w:rsid w:val="00710FED"/>
    <w:rsid w:val="00716632"/>
    <w:rsid w:val="00717A0C"/>
    <w:rsid w:val="0072658E"/>
    <w:rsid w:val="007317D9"/>
    <w:rsid w:val="00732345"/>
    <w:rsid w:val="007532C7"/>
    <w:rsid w:val="007566CA"/>
    <w:rsid w:val="00756F04"/>
    <w:rsid w:val="00757D60"/>
    <w:rsid w:val="00766026"/>
    <w:rsid w:val="00770F18"/>
    <w:rsid w:val="007749C7"/>
    <w:rsid w:val="007764BB"/>
    <w:rsid w:val="0078199B"/>
    <w:rsid w:val="007828DC"/>
    <w:rsid w:val="00792EAA"/>
    <w:rsid w:val="0079708B"/>
    <w:rsid w:val="007A118C"/>
    <w:rsid w:val="007A37FE"/>
    <w:rsid w:val="007B3C31"/>
    <w:rsid w:val="007B3FD2"/>
    <w:rsid w:val="007C1D5B"/>
    <w:rsid w:val="007C3435"/>
    <w:rsid w:val="007C35A4"/>
    <w:rsid w:val="007C3E46"/>
    <w:rsid w:val="007C7EE0"/>
    <w:rsid w:val="007D2A81"/>
    <w:rsid w:val="007D4B05"/>
    <w:rsid w:val="007E1EEF"/>
    <w:rsid w:val="007E52D5"/>
    <w:rsid w:val="007E534B"/>
    <w:rsid w:val="007E7C02"/>
    <w:rsid w:val="007F7462"/>
    <w:rsid w:val="00800A80"/>
    <w:rsid w:val="008032D9"/>
    <w:rsid w:val="00812DDF"/>
    <w:rsid w:val="00830C36"/>
    <w:rsid w:val="008313E0"/>
    <w:rsid w:val="00831B13"/>
    <w:rsid w:val="00835035"/>
    <w:rsid w:val="00837C9A"/>
    <w:rsid w:val="0084644F"/>
    <w:rsid w:val="008500D3"/>
    <w:rsid w:val="00852668"/>
    <w:rsid w:val="008578BF"/>
    <w:rsid w:val="00863ACC"/>
    <w:rsid w:val="008660D6"/>
    <w:rsid w:val="00866ABE"/>
    <w:rsid w:val="00896D29"/>
    <w:rsid w:val="008A12CF"/>
    <w:rsid w:val="008A1A90"/>
    <w:rsid w:val="008A64CB"/>
    <w:rsid w:val="008B082B"/>
    <w:rsid w:val="008B6546"/>
    <w:rsid w:val="008C3B24"/>
    <w:rsid w:val="008D1BDC"/>
    <w:rsid w:val="008D26E6"/>
    <w:rsid w:val="008E01E4"/>
    <w:rsid w:val="008E7F32"/>
    <w:rsid w:val="008F066D"/>
    <w:rsid w:val="008F148C"/>
    <w:rsid w:val="008F4D47"/>
    <w:rsid w:val="008F5DAE"/>
    <w:rsid w:val="00900C9B"/>
    <w:rsid w:val="00901487"/>
    <w:rsid w:val="00910839"/>
    <w:rsid w:val="009212A0"/>
    <w:rsid w:val="00921551"/>
    <w:rsid w:val="009217E8"/>
    <w:rsid w:val="00921EAE"/>
    <w:rsid w:val="00925B0B"/>
    <w:rsid w:val="00926AAF"/>
    <w:rsid w:val="00926C44"/>
    <w:rsid w:val="009311A8"/>
    <w:rsid w:val="0093645B"/>
    <w:rsid w:val="0094381A"/>
    <w:rsid w:val="00946698"/>
    <w:rsid w:val="00961002"/>
    <w:rsid w:val="00971202"/>
    <w:rsid w:val="009758CB"/>
    <w:rsid w:val="00980909"/>
    <w:rsid w:val="00993406"/>
    <w:rsid w:val="0099391A"/>
    <w:rsid w:val="0099758E"/>
    <w:rsid w:val="00997950"/>
    <w:rsid w:val="009A0F77"/>
    <w:rsid w:val="009A1EEF"/>
    <w:rsid w:val="009A5223"/>
    <w:rsid w:val="009A6B97"/>
    <w:rsid w:val="009A6D6A"/>
    <w:rsid w:val="009B23B7"/>
    <w:rsid w:val="009B2B6B"/>
    <w:rsid w:val="009C4FCC"/>
    <w:rsid w:val="009D2E87"/>
    <w:rsid w:val="009D30A4"/>
    <w:rsid w:val="009D39B3"/>
    <w:rsid w:val="009D6AE6"/>
    <w:rsid w:val="009D7E06"/>
    <w:rsid w:val="009E0C45"/>
    <w:rsid w:val="009E0E89"/>
    <w:rsid w:val="009E1F26"/>
    <w:rsid w:val="009F4FF4"/>
    <w:rsid w:val="009F62C3"/>
    <w:rsid w:val="009F71DC"/>
    <w:rsid w:val="00A0100D"/>
    <w:rsid w:val="00A05133"/>
    <w:rsid w:val="00A05D3A"/>
    <w:rsid w:val="00A21B73"/>
    <w:rsid w:val="00A26BD8"/>
    <w:rsid w:val="00A5260D"/>
    <w:rsid w:val="00A5377D"/>
    <w:rsid w:val="00A54C18"/>
    <w:rsid w:val="00A572B6"/>
    <w:rsid w:val="00A6692F"/>
    <w:rsid w:val="00A6775F"/>
    <w:rsid w:val="00A72262"/>
    <w:rsid w:val="00A7773A"/>
    <w:rsid w:val="00A83B4F"/>
    <w:rsid w:val="00AA26B4"/>
    <w:rsid w:val="00AB15E3"/>
    <w:rsid w:val="00AB4982"/>
    <w:rsid w:val="00AC2894"/>
    <w:rsid w:val="00AC3DB9"/>
    <w:rsid w:val="00AC687D"/>
    <w:rsid w:val="00AD33BE"/>
    <w:rsid w:val="00AE1A47"/>
    <w:rsid w:val="00AE5995"/>
    <w:rsid w:val="00AE6704"/>
    <w:rsid w:val="00AE78CA"/>
    <w:rsid w:val="00B01BD5"/>
    <w:rsid w:val="00B02C86"/>
    <w:rsid w:val="00B03C42"/>
    <w:rsid w:val="00B04476"/>
    <w:rsid w:val="00B05B83"/>
    <w:rsid w:val="00B064F1"/>
    <w:rsid w:val="00B11D46"/>
    <w:rsid w:val="00B17992"/>
    <w:rsid w:val="00B20C2B"/>
    <w:rsid w:val="00B23344"/>
    <w:rsid w:val="00B23E1B"/>
    <w:rsid w:val="00B250D7"/>
    <w:rsid w:val="00B309E3"/>
    <w:rsid w:val="00B31853"/>
    <w:rsid w:val="00B33936"/>
    <w:rsid w:val="00B36260"/>
    <w:rsid w:val="00B423F6"/>
    <w:rsid w:val="00B50B07"/>
    <w:rsid w:val="00B6659F"/>
    <w:rsid w:val="00B70CD2"/>
    <w:rsid w:val="00B71058"/>
    <w:rsid w:val="00B8098B"/>
    <w:rsid w:val="00B80C9E"/>
    <w:rsid w:val="00B81F2F"/>
    <w:rsid w:val="00B83E10"/>
    <w:rsid w:val="00B85697"/>
    <w:rsid w:val="00B85F29"/>
    <w:rsid w:val="00B911AF"/>
    <w:rsid w:val="00B96A17"/>
    <w:rsid w:val="00BA27FC"/>
    <w:rsid w:val="00BA2D32"/>
    <w:rsid w:val="00BA43DC"/>
    <w:rsid w:val="00BA54AE"/>
    <w:rsid w:val="00BB06D2"/>
    <w:rsid w:val="00BB134B"/>
    <w:rsid w:val="00BB5BCB"/>
    <w:rsid w:val="00BC0CFA"/>
    <w:rsid w:val="00BC1388"/>
    <w:rsid w:val="00BC462B"/>
    <w:rsid w:val="00BD14B3"/>
    <w:rsid w:val="00BD677A"/>
    <w:rsid w:val="00BD74AF"/>
    <w:rsid w:val="00BE233B"/>
    <w:rsid w:val="00BE7A6E"/>
    <w:rsid w:val="00BF13DE"/>
    <w:rsid w:val="00BF1C05"/>
    <w:rsid w:val="00BF6E0F"/>
    <w:rsid w:val="00C0414E"/>
    <w:rsid w:val="00C058C8"/>
    <w:rsid w:val="00C20F80"/>
    <w:rsid w:val="00C249A6"/>
    <w:rsid w:val="00C33A9B"/>
    <w:rsid w:val="00C400AC"/>
    <w:rsid w:val="00C4326C"/>
    <w:rsid w:val="00C54E88"/>
    <w:rsid w:val="00C56DD5"/>
    <w:rsid w:val="00C57FE5"/>
    <w:rsid w:val="00C63F7B"/>
    <w:rsid w:val="00C7451B"/>
    <w:rsid w:val="00C753C2"/>
    <w:rsid w:val="00C802FB"/>
    <w:rsid w:val="00C85653"/>
    <w:rsid w:val="00CA028B"/>
    <w:rsid w:val="00CA216C"/>
    <w:rsid w:val="00CA4114"/>
    <w:rsid w:val="00CA4BF9"/>
    <w:rsid w:val="00CB5B7B"/>
    <w:rsid w:val="00CB756E"/>
    <w:rsid w:val="00CC0700"/>
    <w:rsid w:val="00CD024D"/>
    <w:rsid w:val="00CD3A41"/>
    <w:rsid w:val="00CD431E"/>
    <w:rsid w:val="00CE1C82"/>
    <w:rsid w:val="00CE2381"/>
    <w:rsid w:val="00CE51D0"/>
    <w:rsid w:val="00CE7546"/>
    <w:rsid w:val="00CF1DF5"/>
    <w:rsid w:val="00CF7FBE"/>
    <w:rsid w:val="00D01A63"/>
    <w:rsid w:val="00D12C36"/>
    <w:rsid w:val="00D1697E"/>
    <w:rsid w:val="00D1750D"/>
    <w:rsid w:val="00D2050D"/>
    <w:rsid w:val="00D21ECE"/>
    <w:rsid w:val="00D26157"/>
    <w:rsid w:val="00D268D2"/>
    <w:rsid w:val="00D27727"/>
    <w:rsid w:val="00D42052"/>
    <w:rsid w:val="00D4431A"/>
    <w:rsid w:val="00D454EE"/>
    <w:rsid w:val="00D467EF"/>
    <w:rsid w:val="00D54B83"/>
    <w:rsid w:val="00D553D4"/>
    <w:rsid w:val="00D57210"/>
    <w:rsid w:val="00D57AED"/>
    <w:rsid w:val="00D57F74"/>
    <w:rsid w:val="00D66FE8"/>
    <w:rsid w:val="00D76EF7"/>
    <w:rsid w:val="00D901D7"/>
    <w:rsid w:val="00D92BFE"/>
    <w:rsid w:val="00DA300B"/>
    <w:rsid w:val="00DA57DF"/>
    <w:rsid w:val="00DB2E4B"/>
    <w:rsid w:val="00DC1583"/>
    <w:rsid w:val="00DC2B31"/>
    <w:rsid w:val="00DC3CEA"/>
    <w:rsid w:val="00DD1866"/>
    <w:rsid w:val="00DD5A69"/>
    <w:rsid w:val="00DE0A8D"/>
    <w:rsid w:val="00DE407A"/>
    <w:rsid w:val="00DE562A"/>
    <w:rsid w:val="00DE5D6D"/>
    <w:rsid w:val="00DE7148"/>
    <w:rsid w:val="00DF33E9"/>
    <w:rsid w:val="00DF62A4"/>
    <w:rsid w:val="00DF67A4"/>
    <w:rsid w:val="00E00D15"/>
    <w:rsid w:val="00E0698E"/>
    <w:rsid w:val="00E11B18"/>
    <w:rsid w:val="00E341AD"/>
    <w:rsid w:val="00E40828"/>
    <w:rsid w:val="00E42B2B"/>
    <w:rsid w:val="00E45AE1"/>
    <w:rsid w:val="00E5647F"/>
    <w:rsid w:val="00E61A4C"/>
    <w:rsid w:val="00E625D3"/>
    <w:rsid w:val="00E63CCC"/>
    <w:rsid w:val="00E65F37"/>
    <w:rsid w:val="00E711DE"/>
    <w:rsid w:val="00E74701"/>
    <w:rsid w:val="00E75E5F"/>
    <w:rsid w:val="00E823B8"/>
    <w:rsid w:val="00E833D1"/>
    <w:rsid w:val="00E86AD2"/>
    <w:rsid w:val="00E8719C"/>
    <w:rsid w:val="00E9091C"/>
    <w:rsid w:val="00E93BB3"/>
    <w:rsid w:val="00E9680B"/>
    <w:rsid w:val="00EA46CC"/>
    <w:rsid w:val="00EA49B9"/>
    <w:rsid w:val="00EA5AA1"/>
    <w:rsid w:val="00EA61B9"/>
    <w:rsid w:val="00EA7BF4"/>
    <w:rsid w:val="00EB0964"/>
    <w:rsid w:val="00EB6C62"/>
    <w:rsid w:val="00EC0798"/>
    <w:rsid w:val="00EC7868"/>
    <w:rsid w:val="00ED6373"/>
    <w:rsid w:val="00EE2FB1"/>
    <w:rsid w:val="00EE338D"/>
    <w:rsid w:val="00EE4D9C"/>
    <w:rsid w:val="00EE571A"/>
    <w:rsid w:val="00EE6265"/>
    <w:rsid w:val="00EE7518"/>
    <w:rsid w:val="00EF193B"/>
    <w:rsid w:val="00EF356E"/>
    <w:rsid w:val="00EF75EF"/>
    <w:rsid w:val="00F241AD"/>
    <w:rsid w:val="00F30C33"/>
    <w:rsid w:val="00F32EBF"/>
    <w:rsid w:val="00F34A32"/>
    <w:rsid w:val="00F3556B"/>
    <w:rsid w:val="00F37AE7"/>
    <w:rsid w:val="00F455F1"/>
    <w:rsid w:val="00F54221"/>
    <w:rsid w:val="00F570D3"/>
    <w:rsid w:val="00F62221"/>
    <w:rsid w:val="00F662F6"/>
    <w:rsid w:val="00F712EE"/>
    <w:rsid w:val="00F73BB1"/>
    <w:rsid w:val="00F774DF"/>
    <w:rsid w:val="00F8513C"/>
    <w:rsid w:val="00F90312"/>
    <w:rsid w:val="00F96437"/>
    <w:rsid w:val="00F97C38"/>
    <w:rsid w:val="00FA7ED5"/>
    <w:rsid w:val="00FB11E9"/>
    <w:rsid w:val="00FB7C1B"/>
    <w:rsid w:val="00FC0DAE"/>
    <w:rsid w:val="00FC1FC5"/>
    <w:rsid w:val="00FC570E"/>
    <w:rsid w:val="00FC576D"/>
    <w:rsid w:val="00FC6F08"/>
    <w:rsid w:val="00FC7CC7"/>
    <w:rsid w:val="00FD337C"/>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1E06F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BA54AE"/>
    <w:rPr>
      <w:color w:val="605E5C"/>
      <w:shd w:val="clear" w:color="auto" w:fill="E1DFDD"/>
    </w:rPr>
  </w:style>
  <w:style w:type="table" w:customStyle="1" w:styleId="Tablaconcuadrcula5">
    <w:name w:val="Tabla con cuadrícula5"/>
    <w:basedOn w:val="Tablanormal"/>
    <w:next w:val="Tablaconcuadrcula"/>
    <w:uiPriority w:val="59"/>
    <w:rsid w:val="00DC3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4473370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82B8-BA55-4E33-88C5-564A1E45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10243</Words>
  <Characters>56341</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2024-12-11T18:14:00Z</dcterms:created>
  <dcterms:modified xsi:type="dcterms:W3CDTF">2025-01-21T16:27:00Z</dcterms:modified>
</cp:coreProperties>
</file>