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7E54F1" w:rsidRDefault="00FD20C4" w:rsidP="007E54F1">
          <w:pPr>
            <w:pStyle w:val="TtulodeTDC"/>
            <w:rPr>
              <w:rFonts w:ascii="Palatino Linotype" w:hAnsi="Palatino Linotype"/>
              <w:color w:val="auto"/>
              <w:sz w:val="22"/>
              <w:szCs w:val="22"/>
            </w:rPr>
          </w:pPr>
          <w:r w:rsidRPr="007E54F1">
            <w:rPr>
              <w:rFonts w:ascii="Palatino Linotype" w:hAnsi="Palatino Linotype"/>
              <w:color w:val="auto"/>
              <w:sz w:val="22"/>
              <w:szCs w:val="22"/>
              <w:lang w:val="es-ES"/>
            </w:rPr>
            <w:t>Contenido</w:t>
          </w:r>
        </w:p>
        <w:p w14:paraId="5628C4F3" w14:textId="77777777" w:rsidR="007E54F1" w:rsidRPr="007E54F1" w:rsidRDefault="00FD20C4" w:rsidP="007E54F1">
          <w:pPr>
            <w:pStyle w:val="TDC1"/>
            <w:tabs>
              <w:tab w:val="right" w:leader="dot" w:pos="9034"/>
            </w:tabs>
            <w:rPr>
              <w:rFonts w:asciiTheme="minorHAnsi" w:eastAsiaTheme="minorEastAsia" w:hAnsiTheme="minorHAnsi" w:cstheme="minorBidi"/>
              <w:noProof/>
            </w:rPr>
          </w:pPr>
          <w:r w:rsidRPr="007E54F1">
            <w:rPr>
              <w:b/>
              <w:bCs/>
              <w:lang w:val="es-ES"/>
            </w:rPr>
            <w:fldChar w:fldCharType="begin"/>
          </w:r>
          <w:r w:rsidRPr="007E54F1">
            <w:rPr>
              <w:b/>
              <w:bCs/>
              <w:lang w:val="es-ES"/>
            </w:rPr>
            <w:instrText xml:space="preserve"> TOC \o "1-3" \h \z \u </w:instrText>
          </w:r>
          <w:r w:rsidRPr="007E54F1">
            <w:rPr>
              <w:b/>
              <w:bCs/>
              <w:lang w:val="es-ES"/>
            </w:rPr>
            <w:fldChar w:fldCharType="separate"/>
          </w:r>
          <w:hyperlink w:anchor="_Toc199961232" w:history="1">
            <w:r w:rsidR="007E54F1" w:rsidRPr="007E54F1">
              <w:rPr>
                <w:rStyle w:val="Hipervnculo"/>
                <w:noProof/>
                <w:color w:val="auto"/>
              </w:rPr>
              <w:t>ANTECEDENTES</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_Toc199961232 \h </w:instrText>
            </w:r>
            <w:r w:rsidR="007E54F1" w:rsidRPr="007E54F1">
              <w:rPr>
                <w:noProof/>
                <w:webHidden/>
              </w:rPr>
            </w:r>
            <w:r w:rsidR="007E54F1" w:rsidRPr="007E54F1">
              <w:rPr>
                <w:noProof/>
                <w:webHidden/>
              </w:rPr>
              <w:fldChar w:fldCharType="separate"/>
            </w:r>
            <w:r w:rsidR="008F67FB">
              <w:rPr>
                <w:noProof/>
                <w:webHidden/>
              </w:rPr>
              <w:t>1</w:t>
            </w:r>
            <w:r w:rsidR="007E54F1" w:rsidRPr="007E54F1">
              <w:rPr>
                <w:noProof/>
                <w:webHidden/>
              </w:rPr>
              <w:fldChar w:fldCharType="end"/>
            </w:r>
          </w:hyperlink>
        </w:p>
        <w:p w14:paraId="75187E8F" w14:textId="77777777" w:rsidR="007E54F1" w:rsidRPr="007E54F1" w:rsidRDefault="0092083A" w:rsidP="007E54F1">
          <w:pPr>
            <w:pStyle w:val="TDC2"/>
            <w:tabs>
              <w:tab w:val="right" w:leader="dot" w:pos="9034"/>
            </w:tabs>
            <w:rPr>
              <w:rFonts w:asciiTheme="minorHAnsi" w:eastAsiaTheme="minorEastAsia" w:hAnsiTheme="minorHAnsi" w:cstheme="minorBidi"/>
              <w:noProof/>
            </w:rPr>
          </w:pPr>
          <w:hyperlink w:anchor="_Toc199961233" w:history="1">
            <w:r w:rsidR="007E54F1" w:rsidRPr="007E54F1">
              <w:rPr>
                <w:rStyle w:val="Hipervnculo"/>
                <w:noProof/>
                <w:color w:val="auto"/>
              </w:rPr>
              <w:t>DE LA SOLICITUD DE INFORMACIÓN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_Toc199961233 \h </w:instrText>
            </w:r>
            <w:r w:rsidR="007E54F1" w:rsidRPr="007E54F1">
              <w:rPr>
                <w:noProof/>
                <w:webHidden/>
              </w:rPr>
            </w:r>
            <w:r w:rsidR="007E54F1" w:rsidRPr="007E54F1">
              <w:rPr>
                <w:noProof/>
                <w:webHidden/>
              </w:rPr>
              <w:fldChar w:fldCharType="separate"/>
            </w:r>
            <w:r w:rsidR="008F67FB">
              <w:rPr>
                <w:noProof/>
                <w:webHidden/>
              </w:rPr>
              <w:t>1</w:t>
            </w:r>
            <w:r w:rsidR="007E54F1" w:rsidRPr="007E54F1">
              <w:rPr>
                <w:noProof/>
                <w:webHidden/>
              </w:rPr>
              <w:fldChar w:fldCharType="end"/>
            </w:r>
          </w:hyperlink>
        </w:p>
        <w:p w14:paraId="47BC1D73"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34" w:history="1">
            <w:r w:rsidR="007E54F1" w:rsidRPr="007E54F1">
              <w:rPr>
                <w:rStyle w:val="Hipervnculo"/>
                <w:noProof/>
                <w:color w:val="auto"/>
              </w:rPr>
              <w:t>a) Solicitud de información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_Toc199961234 \h </w:instrText>
            </w:r>
            <w:r w:rsidR="007E54F1" w:rsidRPr="007E54F1">
              <w:rPr>
                <w:noProof/>
                <w:webHidden/>
              </w:rPr>
            </w:r>
            <w:r w:rsidR="007E54F1" w:rsidRPr="007E54F1">
              <w:rPr>
                <w:noProof/>
                <w:webHidden/>
              </w:rPr>
              <w:fldChar w:fldCharType="separate"/>
            </w:r>
            <w:r w:rsidR="008F67FB">
              <w:rPr>
                <w:noProof/>
                <w:webHidden/>
              </w:rPr>
              <w:t>1</w:t>
            </w:r>
            <w:r w:rsidR="007E54F1" w:rsidRPr="007E54F1">
              <w:rPr>
                <w:noProof/>
                <w:webHidden/>
              </w:rPr>
              <w:fldChar w:fldCharType="end"/>
            </w:r>
          </w:hyperlink>
        </w:p>
        <w:p w14:paraId="16C29507"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35" w:history="1">
            <w:r w:rsidR="007E54F1" w:rsidRPr="007E54F1">
              <w:rPr>
                <w:rStyle w:val="Hipervnculo"/>
                <w:noProof/>
                <w:color w:val="auto"/>
              </w:rPr>
              <w:t>b) Respuesta del Sujeto Obligado</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_Toc199961235 \h </w:instrText>
            </w:r>
            <w:r w:rsidR="007E54F1" w:rsidRPr="007E54F1">
              <w:rPr>
                <w:noProof/>
                <w:webHidden/>
              </w:rPr>
            </w:r>
            <w:r w:rsidR="007E54F1" w:rsidRPr="007E54F1">
              <w:rPr>
                <w:noProof/>
                <w:webHidden/>
              </w:rPr>
              <w:fldChar w:fldCharType="separate"/>
            </w:r>
            <w:r w:rsidR="008F67FB">
              <w:rPr>
                <w:noProof/>
                <w:webHidden/>
              </w:rPr>
              <w:t>2</w:t>
            </w:r>
            <w:r w:rsidR="007E54F1" w:rsidRPr="007E54F1">
              <w:rPr>
                <w:noProof/>
                <w:webHidden/>
              </w:rPr>
              <w:fldChar w:fldCharType="end"/>
            </w:r>
          </w:hyperlink>
        </w:p>
        <w:p w14:paraId="41DBF5A0" w14:textId="77777777" w:rsidR="007E54F1" w:rsidRPr="007E54F1" w:rsidRDefault="0092083A" w:rsidP="007E54F1">
          <w:pPr>
            <w:pStyle w:val="TDC2"/>
            <w:tabs>
              <w:tab w:val="right" w:leader="dot" w:pos="9034"/>
            </w:tabs>
            <w:rPr>
              <w:rFonts w:asciiTheme="minorHAnsi" w:eastAsiaTheme="minorEastAsia" w:hAnsiTheme="minorHAnsi" w:cstheme="minorBidi"/>
              <w:noProof/>
            </w:rPr>
          </w:pPr>
          <w:hyperlink w:anchor="_Toc199961236" w:history="1">
            <w:r w:rsidR="007E54F1" w:rsidRPr="007E54F1">
              <w:rPr>
                <w:rStyle w:val="Hipervnculo"/>
                <w:noProof/>
                <w:color w:val="auto"/>
              </w:rPr>
              <w:t>DEL RECURSO DE REVISIÓN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_Toc199961236 \h </w:instrText>
            </w:r>
            <w:r w:rsidR="007E54F1" w:rsidRPr="007E54F1">
              <w:rPr>
                <w:noProof/>
                <w:webHidden/>
              </w:rPr>
            </w:r>
            <w:r w:rsidR="007E54F1" w:rsidRPr="007E54F1">
              <w:rPr>
                <w:noProof/>
                <w:webHidden/>
              </w:rPr>
              <w:fldChar w:fldCharType="separate"/>
            </w:r>
            <w:r w:rsidR="008F67FB">
              <w:rPr>
                <w:noProof/>
                <w:webHidden/>
              </w:rPr>
              <w:t>4</w:t>
            </w:r>
            <w:r w:rsidR="007E54F1" w:rsidRPr="007E54F1">
              <w:rPr>
                <w:noProof/>
                <w:webHidden/>
              </w:rPr>
              <w:fldChar w:fldCharType="end"/>
            </w:r>
          </w:hyperlink>
        </w:p>
        <w:p w14:paraId="2E6ACAED"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37" w:history="1">
            <w:r w:rsidR="007E54F1" w:rsidRPr="007E54F1">
              <w:rPr>
                <w:rStyle w:val="Hipervnculo"/>
                <w:noProof/>
                <w:color w:val="auto"/>
              </w:rPr>
              <w:t>a) Interposición del Recurso de Revisión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_Toc199961237 \h </w:instrText>
            </w:r>
            <w:r w:rsidR="007E54F1" w:rsidRPr="007E54F1">
              <w:rPr>
                <w:noProof/>
                <w:webHidden/>
              </w:rPr>
            </w:r>
            <w:r w:rsidR="007E54F1" w:rsidRPr="007E54F1">
              <w:rPr>
                <w:noProof/>
                <w:webHidden/>
              </w:rPr>
              <w:fldChar w:fldCharType="separate"/>
            </w:r>
            <w:r w:rsidR="008F67FB">
              <w:rPr>
                <w:noProof/>
                <w:webHidden/>
              </w:rPr>
              <w:t>4</w:t>
            </w:r>
            <w:r w:rsidR="007E54F1" w:rsidRPr="007E54F1">
              <w:rPr>
                <w:noProof/>
                <w:webHidden/>
              </w:rPr>
              <w:fldChar w:fldCharType="end"/>
            </w:r>
          </w:hyperlink>
        </w:p>
        <w:p w14:paraId="51F7AABB"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38" w:history="1">
            <w:r w:rsidR="007E54F1" w:rsidRPr="007E54F1">
              <w:rPr>
                <w:rStyle w:val="Hipervnculo"/>
                <w:noProof/>
                <w:color w:val="auto"/>
              </w:rPr>
              <w:t>b) Turno del Recurso de Revisión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_Toc199961238 \h </w:instrText>
            </w:r>
            <w:r w:rsidR="007E54F1" w:rsidRPr="007E54F1">
              <w:rPr>
                <w:noProof/>
                <w:webHidden/>
              </w:rPr>
            </w:r>
            <w:r w:rsidR="007E54F1" w:rsidRPr="007E54F1">
              <w:rPr>
                <w:noProof/>
                <w:webHidden/>
              </w:rPr>
              <w:fldChar w:fldCharType="separate"/>
            </w:r>
            <w:r w:rsidR="008F67FB">
              <w:rPr>
                <w:noProof/>
                <w:webHidden/>
              </w:rPr>
              <w:t>6</w:t>
            </w:r>
            <w:r w:rsidR="007E54F1" w:rsidRPr="007E54F1">
              <w:rPr>
                <w:noProof/>
                <w:webHidden/>
              </w:rPr>
              <w:fldChar w:fldCharType="end"/>
            </w:r>
          </w:hyperlink>
        </w:p>
        <w:p w14:paraId="255DB076"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39" w:history="1">
            <w:r w:rsidR="007E54F1" w:rsidRPr="007E54F1">
              <w:rPr>
                <w:rStyle w:val="Hipervnculo"/>
                <w:noProof/>
                <w:color w:val="auto"/>
              </w:rPr>
              <w:t>c) Admisión del Recurso de Revisión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_Toc199961239 \h </w:instrText>
            </w:r>
            <w:r w:rsidR="007E54F1" w:rsidRPr="007E54F1">
              <w:rPr>
                <w:noProof/>
                <w:webHidden/>
              </w:rPr>
            </w:r>
            <w:r w:rsidR="007E54F1" w:rsidRPr="007E54F1">
              <w:rPr>
                <w:noProof/>
                <w:webHidden/>
              </w:rPr>
              <w:fldChar w:fldCharType="separate"/>
            </w:r>
            <w:r w:rsidR="008F67FB">
              <w:rPr>
                <w:noProof/>
                <w:webHidden/>
              </w:rPr>
              <w:t>7</w:t>
            </w:r>
            <w:r w:rsidR="007E54F1" w:rsidRPr="007E54F1">
              <w:rPr>
                <w:noProof/>
                <w:webHidden/>
              </w:rPr>
              <w:fldChar w:fldCharType="end"/>
            </w:r>
          </w:hyperlink>
        </w:p>
        <w:p w14:paraId="16476142"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0" w:history="1">
            <w:r w:rsidR="007E54F1" w:rsidRPr="007E54F1">
              <w:rPr>
                <w:rStyle w:val="Hipervnculo"/>
                <w:noProof/>
                <w:color w:val="auto"/>
              </w:rPr>
              <w:t>d) Informe Justificado del Sujeto Obligado</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_Toc199961240 \h </w:instrText>
            </w:r>
            <w:r w:rsidR="007E54F1" w:rsidRPr="007E54F1">
              <w:rPr>
                <w:noProof/>
                <w:webHidden/>
              </w:rPr>
            </w:r>
            <w:r w:rsidR="007E54F1" w:rsidRPr="007E54F1">
              <w:rPr>
                <w:noProof/>
                <w:webHidden/>
              </w:rPr>
              <w:fldChar w:fldCharType="separate"/>
            </w:r>
            <w:r w:rsidR="008F67FB">
              <w:rPr>
                <w:noProof/>
                <w:webHidden/>
              </w:rPr>
              <w:t>7</w:t>
            </w:r>
            <w:r w:rsidR="007E54F1" w:rsidRPr="007E54F1">
              <w:rPr>
                <w:noProof/>
                <w:webHidden/>
              </w:rPr>
              <w:fldChar w:fldCharType="end"/>
            </w:r>
          </w:hyperlink>
        </w:p>
        <w:p w14:paraId="4B6AD1E8"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1" w:history="1">
            <w:r w:rsidR="007E54F1" w:rsidRPr="007E54F1">
              <w:rPr>
                <w:rStyle w:val="Hipervnculo"/>
                <w:noProof/>
                <w:color w:val="auto"/>
              </w:rPr>
              <w:t>e) Manifestaciones de la Parte Recurrente</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_Toc199961241 \h </w:instrText>
            </w:r>
            <w:r w:rsidR="007E54F1" w:rsidRPr="007E54F1">
              <w:rPr>
                <w:noProof/>
                <w:webHidden/>
              </w:rPr>
            </w:r>
            <w:r w:rsidR="007E54F1" w:rsidRPr="007E54F1">
              <w:rPr>
                <w:noProof/>
                <w:webHidden/>
              </w:rPr>
              <w:fldChar w:fldCharType="separate"/>
            </w:r>
            <w:r w:rsidR="008F67FB">
              <w:rPr>
                <w:noProof/>
                <w:webHidden/>
              </w:rPr>
              <w:t>8</w:t>
            </w:r>
            <w:r w:rsidR="007E54F1" w:rsidRPr="007E54F1">
              <w:rPr>
                <w:noProof/>
                <w:webHidden/>
              </w:rPr>
              <w:fldChar w:fldCharType="end"/>
            </w:r>
          </w:hyperlink>
        </w:p>
        <w:p w14:paraId="5C037C35"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2" w:history="1">
            <w:r w:rsidR="007E54F1" w:rsidRPr="007E54F1">
              <w:rPr>
                <w:rStyle w:val="Hipervnculo"/>
                <w:noProof/>
                <w:color w:val="auto"/>
              </w:rPr>
              <w:t>f) Cierre de instrucción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_Toc199961242 \h </w:instrText>
            </w:r>
            <w:r w:rsidR="007E54F1" w:rsidRPr="007E54F1">
              <w:rPr>
                <w:noProof/>
                <w:webHidden/>
              </w:rPr>
            </w:r>
            <w:r w:rsidR="007E54F1" w:rsidRPr="007E54F1">
              <w:rPr>
                <w:noProof/>
                <w:webHidden/>
              </w:rPr>
              <w:fldChar w:fldCharType="separate"/>
            </w:r>
            <w:r w:rsidR="008F67FB">
              <w:rPr>
                <w:noProof/>
                <w:webHidden/>
              </w:rPr>
              <w:t>9</w:t>
            </w:r>
            <w:r w:rsidR="007E54F1" w:rsidRPr="007E54F1">
              <w:rPr>
                <w:noProof/>
                <w:webHidden/>
              </w:rPr>
              <w:fldChar w:fldCharType="end"/>
            </w:r>
          </w:hyperlink>
        </w:p>
        <w:p w14:paraId="0CC0EFAC" w14:textId="77777777" w:rsidR="007E54F1" w:rsidRPr="007E54F1" w:rsidRDefault="0092083A" w:rsidP="007E54F1">
          <w:pPr>
            <w:pStyle w:val="TDC1"/>
            <w:tabs>
              <w:tab w:val="right" w:leader="dot" w:pos="9034"/>
            </w:tabs>
            <w:rPr>
              <w:rFonts w:asciiTheme="minorHAnsi" w:eastAsiaTheme="minorEastAsia" w:hAnsiTheme="minorHAnsi" w:cstheme="minorBidi"/>
              <w:noProof/>
            </w:rPr>
          </w:pPr>
          <w:hyperlink w:anchor="_Toc199961243" w:history="1">
            <w:r w:rsidR="007E54F1" w:rsidRPr="007E54F1">
              <w:rPr>
                <w:rStyle w:val="Hipervnculo"/>
                <w:noProof/>
                <w:color w:val="auto"/>
              </w:rPr>
              <w:t>CONSIDERANDOS</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_Toc199961243 \h </w:instrText>
            </w:r>
            <w:r w:rsidR="007E54F1" w:rsidRPr="007E54F1">
              <w:rPr>
                <w:noProof/>
                <w:webHidden/>
              </w:rPr>
            </w:r>
            <w:r w:rsidR="007E54F1" w:rsidRPr="007E54F1">
              <w:rPr>
                <w:noProof/>
                <w:webHidden/>
              </w:rPr>
              <w:fldChar w:fldCharType="separate"/>
            </w:r>
            <w:r w:rsidR="008F67FB">
              <w:rPr>
                <w:noProof/>
                <w:webHidden/>
              </w:rPr>
              <w:t>9</w:t>
            </w:r>
            <w:r w:rsidR="007E54F1" w:rsidRPr="007E54F1">
              <w:rPr>
                <w:noProof/>
                <w:webHidden/>
              </w:rPr>
              <w:fldChar w:fldCharType="end"/>
            </w:r>
          </w:hyperlink>
        </w:p>
        <w:p w14:paraId="60B75AF8" w14:textId="77777777" w:rsidR="007E54F1" w:rsidRPr="007E54F1" w:rsidRDefault="0092083A" w:rsidP="007E54F1">
          <w:pPr>
            <w:pStyle w:val="TDC2"/>
            <w:tabs>
              <w:tab w:val="right" w:leader="dot" w:pos="9034"/>
            </w:tabs>
            <w:rPr>
              <w:rFonts w:asciiTheme="minorHAnsi" w:eastAsiaTheme="minorEastAsia" w:hAnsiTheme="minorHAnsi" w:cstheme="minorBidi"/>
              <w:noProof/>
            </w:rPr>
          </w:pPr>
          <w:hyperlink w:anchor="_Toc199961244" w:history="1">
            <w:r w:rsidR="007E54F1" w:rsidRPr="007E54F1">
              <w:rPr>
                <w:rStyle w:val="Hipervnculo"/>
                <w:noProof/>
                <w:color w:val="auto"/>
              </w:rPr>
              <w:t>PRIMERO. Procedibilidad</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_Toc199961244 \h </w:instrText>
            </w:r>
            <w:r w:rsidR="007E54F1" w:rsidRPr="007E54F1">
              <w:rPr>
                <w:noProof/>
                <w:webHidden/>
              </w:rPr>
            </w:r>
            <w:r w:rsidR="007E54F1" w:rsidRPr="007E54F1">
              <w:rPr>
                <w:noProof/>
                <w:webHidden/>
              </w:rPr>
              <w:fldChar w:fldCharType="separate"/>
            </w:r>
            <w:r w:rsidR="008F67FB">
              <w:rPr>
                <w:noProof/>
                <w:webHidden/>
              </w:rPr>
              <w:t>9</w:t>
            </w:r>
            <w:r w:rsidR="007E54F1" w:rsidRPr="007E54F1">
              <w:rPr>
                <w:noProof/>
                <w:webHidden/>
              </w:rPr>
              <w:fldChar w:fldCharType="end"/>
            </w:r>
          </w:hyperlink>
        </w:p>
        <w:p w14:paraId="7529D2DA"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5" w:history="1">
            <w:r w:rsidR="007E54F1" w:rsidRPr="007E54F1">
              <w:rPr>
                <w:rStyle w:val="Hipervnculo"/>
                <w:noProof/>
                <w:color w:val="auto"/>
              </w:rPr>
              <w:t>a) Competencia del Instituto</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_Toc199961245 \h </w:instrText>
            </w:r>
            <w:r w:rsidR="007E54F1" w:rsidRPr="007E54F1">
              <w:rPr>
                <w:noProof/>
                <w:webHidden/>
              </w:rPr>
            </w:r>
            <w:r w:rsidR="007E54F1" w:rsidRPr="007E54F1">
              <w:rPr>
                <w:noProof/>
                <w:webHidden/>
              </w:rPr>
              <w:fldChar w:fldCharType="separate"/>
            </w:r>
            <w:r w:rsidR="008F67FB">
              <w:rPr>
                <w:noProof/>
                <w:webHidden/>
              </w:rPr>
              <w:t>9</w:t>
            </w:r>
            <w:r w:rsidR="007E54F1" w:rsidRPr="007E54F1">
              <w:rPr>
                <w:noProof/>
                <w:webHidden/>
              </w:rPr>
              <w:fldChar w:fldCharType="end"/>
            </w:r>
          </w:hyperlink>
        </w:p>
        <w:p w14:paraId="608AF193"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6" w:history="1">
            <w:r w:rsidR="007E54F1" w:rsidRPr="007E54F1">
              <w:rPr>
                <w:rStyle w:val="Hipervnculo"/>
                <w:noProof/>
                <w:color w:val="auto"/>
              </w:rPr>
              <w:t>b) Legitimidad de la parte recurrente</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_Toc199961246 \h </w:instrText>
            </w:r>
            <w:r w:rsidR="007E54F1" w:rsidRPr="007E54F1">
              <w:rPr>
                <w:noProof/>
                <w:webHidden/>
              </w:rPr>
            </w:r>
            <w:r w:rsidR="007E54F1" w:rsidRPr="007E54F1">
              <w:rPr>
                <w:noProof/>
                <w:webHidden/>
              </w:rPr>
              <w:fldChar w:fldCharType="separate"/>
            </w:r>
            <w:r w:rsidR="008F67FB">
              <w:rPr>
                <w:noProof/>
                <w:webHidden/>
              </w:rPr>
              <w:t>10</w:t>
            </w:r>
            <w:r w:rsidR="007E54F1" w:rsidRPr="007E54F1">
              <w:rPr>
                <w:noProof/>
                <w:webHidden/>
              </w:rPr>
              <w:fldChar w:fldCharType="end"/>
            </w:r>
          </w:hyperlink>
        </w:p>
        <w:p w14:paraId="4D628252"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7" w:history="1">
            <w:r w:rsidR="007E54F1" w:rsidRPr="007E54F1">
              <w:rPr>
                <w:rStyle w:val="Hipervnculo"/>
                <w:noProof/>
                <w:color w:val="auto"/>
              </w:rPr>
              <w:t>c) Plazo para interponer el recurso</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_Toc199961247 \h </w:instrText>
            </w:r>
            <w:r w:rsidR="007E54F1" w:rsidRPr="007E54F1">
              <w:rPr>
                <w:noProof/>
                <w:webHidden/>
              </w:rPr>
            </w:r>
            <w:r w:rsidR="007E54F1" w:rsidRPr="007E54F1">
              <w:rPr>
                <w:noProof/>
                <w:webHidden/>
              </w:rPr>
              <w:fldChar w:fldCharType="separate"/>
            </w:r>
            <w:r w:rsidR="008F67FB">
              <w:rPr>
                <w:noProof/>
                <w:webHidden/>
              </w:rPr>
              <w:t>10</w:t>
            </w:r>
            <w:r w:rsidR="007E54F1" w:rsidRPr="007E54F1">
              <w:rPr>
                <w:noProof/>
                <w:webHidden/>
              </w:rPr>
              <w:fldChar w:fldCharType="end"/>
            </w:r>
          </w:hyperlink>
        </w:p>
        <w:p w14:paraId="572E6F89"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8" w:history="1">
            <w:r w:rsidR="007E54F1" w:rsidRPr="007E54F1">
              <w:rPr>
                <w:rStyle w:val="Hipervnculo"/>
                <w:noProof/>
                <w:color w:val="auto"/>
              </w:rPr>
              <w:t>d) Causal de Procedencia</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_Toc199961248 \h </w:instrText>
            </w:r>
            <w:r w:rsidR="007E54F1" w:rsidRPr="007E54F1">
              <w:rPr>
                <w:noProof/>
                <w:webHidden/>
              </w:rPr>
            </w:r>
            <w:r w:rsidR="007E54F1" w:rsidRPr="007E54F1">
              <w:rPr>
                <w:noProof/>
                <w:webHidden/>
              </w:rPr>
              <w:fldChar w:fldCharType="separate"/>
            </w:r>
            <w:r w:rsidR="008F67FB">
              <w:rPr>
                <w:noProof/>
                <w:webHidden/>
              </w:rPr>
              <w:t>10</w:t>
            </w:r>
            <w:r w:rsidR="007E54F1" w:rsidRPr="007E54F1">
              <w:rPr>
                <w:noProof/>
                <w:webHidden/>
              </w:rPr>
              <w:fldChar w:fldCharType="end"/>
            </w:r>
          </w:hyperlink>
        </w:p>
        <w:p w14:paraId="2B79BC41"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49" w:history="1">
            <w:r w:rsidR="007E54F1" w:rsidRPr="007E54F1">
              <w:rPr>
                <w:rStyle w:val="Hipervnculo"/>
                <w:noProof/>
                <w:color w:val="auto"/>
              </w:rPr>
              <w:t>e) Requisitos formales para la interposición del recurso</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_Toc199961249 \h </w:instrText>
            </w:r>
            <w:r w:rsidR="007E54F1" w:rsidRPr="007E54F1">
              <w:rPr>
                <w:noProof/>
                <w:webHidden/>
              </w:rPr>
            </w:r>
            <w:r w:rsidR="007E54F1" w:rsidRPr="007E54F1">
              <w:rPr>
                <w:noProof/>
                <w:webHidden/>
              </w:rPr>
              <w:fldChar w:fldCharType="separate"/>
            </w:r>
            <w:r w:rsidR="008F67FB">
              <w:rPr>
                <w:noProof/>
                <w:webHidden/>
              </w:rPr>
              <w:t>10</w:t>
            </w:r>
            <w:r w:rsidR="007E54F1" w:rsidRPr="007E54F1">
              <w:rPr>
                <w:noProof/>
                <w:webHidden/>
              </w:rPr>
              <w:fldChar w:fldCharType="end"/>
            </w:r>
          </w:hyperlink>
        </w:p>
        <w:p w14:paraId="7837C926" w14:textId="77777777" w:rsidR="007E54F1" w:rsidRPr="007E54F1" w:rsidRDefault="0092083A" w:rsidP="007E54F1">
          <w:pPr>
            <w:pStyle w:val="TDC2"/>
            <w:tabs>
              <w:tab w:val="right" w:leader="dot" w:pos="9034"/>
            </w:tabs>
            <w:rPr>
              <w:rFonts w:asciiTheme="minorHAnsi" w:eastAsiaTheme="minorEastAsia" w:hAnsiTheme="minorHAnsi" w:cstheme="minorBidi"/>
              <w:noProof/>
            </w:rPr>
          </w:pPr>
          <w:hyperlink w:anchor="_Toc199961250" w:history="1">
            <w:r w:rsidR="007E54F1" w:rsidRPr="007E54F1">
              <w:rPr>
                <w:rStyle w:val="Hipervnculo"/>
                <w:noProof/>
                <w:color w:val="auto"/>
              </w:rPr>
              <w:t>SEGUNDO. Estudio de Fondo</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_Toc199961250 \h </w:instrText>
            </w:r>
            <w:r w:rsidR="007E54F1" w:rsidRPr="007E54F1">
              <w:rPr>
                <w:noProof/>
                <w:webHidden/>
              </w:rPr>
            </w:r>
            <w:r w:rsidR="007E54F1" w:rsidRPr="007E54F1">
              <w:rPr>
                <w:noProof/>
                <w:webHidden/>
              </w:rPr>
              <w:fldChar w:fldCharType="separate"/>
            </w:r>
            <w:r w:rsidR="008F67FB">
              <w:rPr>
                <w:noProof/>
                <w:webHidden/>
              </w:rPr>
              <w:t>11</w:t>
            </w:r>
            <w:r w:rsidR="007E54F1" w:rsidRPr="007E54F1">
              <w:rPr>
                <w:noProof/>
                <w:webHidden/>
              </w:rPr>
              <w:fldChar w:fldCharType="end"/>
            </w:r>
          </w:hyperlink>
        </w:p>
        <w:p w14:paraId="0F2CB836"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51" w:history="1">
            <w:r w:rsidR="007E54F1" w:rsidRPr="007E54F1">
              <w:rPr>
                <w:rStyle w:val="Hipervnculo"/>
                <w:noProof/>
                <w:color w:val="auto"/>
              </w:rPr>
              <w:t>a) Mandato de transparencia y responsabilidad del Sujeto Obligado</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_Toc199961251 \h </w:instrText>
            </w:r>
            <w:r w:rsidR="007E54F1" w:rsidRPr="007E54F1">
              <w:rPr>
                <w:noProof/>
                <w:webHidden/>
              </w:rPr>
            </w:r>
            <w:r w:rsidR="007E54F1" w:rsidRPr="007E54F1">
              <w:rPr>
                <w:noProof/>
                <w:webHidden/>
              </w:rPr>
              <w:fldChar w:fldCharType="separate"/>
            </w:r>
            <w:r w:rsidR="008F67FB">
              <w:rPr>
                <w:noProof/>
                <w:webHidden/>
              </w:rPr>
              <w:t>11</w:t>
            </w:r>
            <w:r w:rsidR="007E54F1" w:rsidRPr="007E54F1">
              <w:rPr>
                <w:noProof/>
                <w:webHidden/>
              </w:rPr>
              <w:fldChar w:fldCharType="end"/>
            </w:r>
          </w:hyperlink>
        </w:p>
        <w:p w14:paraId="41A39768"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52" w:history="1">
            <w:r w:rsidR="007E54F1" w:rsidRPr="007E54F1">
              <w:rPr>
                <w:rStyle w:val="Hipervnculo"/>
                <w:noProof/>
                <w:color w:val="auto"/>
              </w:rPr>
              <w:t>b) Controversia a resolver</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_Toc199961252 \h </w:instrText>
            </w:r>
            <w:r w:rsidR="007E54F1" w:rsidRPr="007E54F1">
              <w:rPr>
                <w:noProof/>
                <w:webHidden/>
              </w:rPr>
            </w:r>
            <w:r w:rsidR="007E54F1" w:rsidRPr="007E54F1">
              <w:rPr>
                <w:noProof/>
                <w:webHidden/>
              </w:rPr>
              <w:fldChar w:fldCharType="separate"/>
            </w:r>
            <w:r w:rsidR="008F67FB">
              <w:rPr>
                <w:noProof/>
                <w:webHidden/>
              </w:rPr>
              <w:t>13</w:t>
            </w:r>
            <w:r w:rsidR="007E54F1" w:rsidRPr="007E54F1">
              <w:rPr>
                <w:noProof/>
                <w:webHidden/>
              </w:rPr>
              <w:fldChar w:fldCharType="end"/>
            </w:r>
          </w:hyperlink>
        </w:p>
        <w:p w14:paraId="3BF43591"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53" w:history="1">
            <w:r w:rsidR="007E54F1" w:rsidRPr="007E54F1">
              <w:rPr>
                <w:rStyle w:val="Hipervnculo"/>
                <w:noProof/>
                <w:color w:val="auto"/>
              </w:rPr>
              <w:t>c) Estudio de la controversia</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_Toc199961253 \h </w:instrText>
            </w:r>
            <w:r w:rsidR="007E54F1" w:rsidRPr="007E54F1">
              <w:rPr>
                <w:noProof/>
                <w:webHidden/>
              </w:rPr>
            </w:r>
            <w:r w:rsidR="007E54F1" w:rsidRPr="007E54F1">
              <w:rPr>
                <w:noProof/>
                <w:webHidden/>
              </w:rPr>
              <w:fldChar w:fldCharType="separate"/>
            </w:r>
            <w:r w:rsidR="008F67FB">
              <w:rPr>
                <w:noProof/>
                <w:webHidden/>
              </w:rPr>
              <w:t>16</w:t>
            </w:r>
            <w:r w:rsidR="007E54F1" w:rsidRPr="007E54F1">
              <w:rPr>
                <w:noProof/>
                <w:webHidden/>
              </w:rPr>
              <w:fldChar w:fldCharType="end"/>
            </w:r>
          </w:hyperlink>
        </w:p>
        <w:p w14:paraId="22B7CBC7"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54" w:history="1">
            <w:r w:rsidR="007E54F1" w:rsidRPr="007E54F1">
              <w:rPr>
                <w:rStyle w:val="Hipervnculo"/>
                <w:noProof/>
                <w:color w:val="auto"/>
              </w:rPr>
              <w:t>d) Versión pública</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_Toc199961254 \h </w:instrText>
            </w:r>
            <w:r w:rsidR="007E54F1" w:rsidRPr="007E54F1">
              <w:rPr>
                <w:noProof/>
                <w:webHidden/>
              </w:rPr>
            </w:r>
            <w:r w:rsidR="007E54F1" w:rsidRPr="007E54F1">
              <w:rPr>
                <w:noProof/>
                <w:webHidden/>
              </w:rPr>
              <w:fldChar w:fldCharType="separate"/>
            </w:r>
            <w:r w:rsidR="008F67FB">
              <w:rPr>
                <w:noProof/>
                <w:webHidden/>
              </w:rPr>
              <w:t>29</w:t>
            </w:r>
            <w:r w:rsidR="007E54F1" w:rsidRPr="007E54F1">
              <w:rPr>
                <w:noProof/>
                <w:webHidden/>
              </w:rPr>
              <w:fldChar w:fldCharType="end"/>
            </w:r>
          </w:hyperlink>
        </w:p>
        <w:p w14:paraId="00114B71" w14:textId="77777777" w:rsidR="007E54F1" w:rsidRPr="007E54F1" w:rsidRDefault="0092083A" w:rsidP="007E54F1">
          <w:pPr>
            <w:pStyle w:val="TDC3"/>
            <w:tabs>
              <w:tab w:val="right" w:leader="dot" w:pos="9034"/>
            </w:tabs>
            <w:rPr>
              <w:rFonts w:asciiTheme="minorHAnsi" w:eastAsiaTheme="minorEastAsia" w:hAnsiTheme="minorHAnsi" w:cstheme="minorBidi"/>
              <w:noProof/>
            </w:rPr>
          </w:pPr>
          <w:hyperlink w:anchor="_Toc199961255" w:history="1">
            <w:r w:rsidR="007E54F1" w:rsidRPr="007E54F1">
              <w:rPr>
                <w:rStyle w:val="Hipervnculo"/>
                <w:noProof/>
                <w:color w:val="auto"/>
              </w:rPr>
              <w:t>e) Conclusión</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_Toc199961255 \h </w:instrText>
            </w:r>
            <w:r w:rsidR="007E54F1" w:rsidRPr="007E54F1">
              <w:rPr>
                <w:noProof/>
                <w:webHidden/>
              </w:rPr>
            </w:r>
            <w:r w:rsidR="007E54F1" w:rsidRPr="007E54F1">
              <w:rPr>
                <w:noProof/>
                <w:webHidden/>
              </w:rPr>
              <w:fldChar w:fldCharType="separate"/>
            </w:r>
            <w:r w:rsidR="008F67FB">
              <w:rPr>
                <w:noProof/>
                <w:webHidden/>
              </w:rPr>
              <w:t>53</w:t>
            </w:r>
            <w:r w:rsidR="007E54F1" w:rsidRPr="007E54F1">
              <w:rPr>
                <w:noProof/>
                <w:webHidden/>
              </w:rPr>
              <w:fldChar w:fldCharType="end"/>
            </w:r>
          </w:hyperlink>
        </w:p>
        <w:p w14:paraId="3287DFBB" w14:textId="77777777" w:rsidR="007E54F1" w:rsidRPr="007E54F1" w:rsidRDefault="0092083A" w:rsidP="007E54F1">
          <w:pPr>
            <w:pStyle w:val="TDC1"/>
            <w:tabs>
              <w:tab w:val="right" w:leader="dot" w:pos="9034"/>
            </w:tabs>
            <w:rPr>
              <w:rFonts w:asciiTheme="minorHAnsi" w:eastAsiaTheme="minorEastAsia" w:hAnsiTheme="minorHAnsi" w:cstheme="minorBidi"/>
              <w:noProof/>
            </w:rPr>
          </w:pPr>
          <w:hyperlink w:anchor="_Toc199961256" w:history="1">
            <w:r w:rsidR="007E54F1" w:rsidRPr="007E54F1">
              <w:rPr>
                <w:rStyle w:val="Hipervnculo"/>
                <w:noProof/>
                <w:color w:val="auto"/>
              </w:rPr>
              <w:t>RESUELVE</w:t>
            </w:r>
            <w:r w:rsidR="007E54F1" w:rsidRPr="007E54F1">
              <w:rPr>
                <w:noProof/>
                <w:webHidden/>
              </w:rPr>
              <w:tab/>
            </w:r>
            <w:r w:rsidR="007E54F1" w:rsidRPr="007E54F1">
              <w:rPr>
                <w:noProof/>
                <w:webHidden/>
              </w:rPr>
              <w:fldChar w:fldCharType="begin"/>
            </w:r>
            <w:r w:rsidR="007E54F1" w:rsidRPr="007E54F1">
              <w:rPr>
                <w:noProof/>
                <w:webHidden/>
              </w:rPr>
              <w:instrText xml:space="preserve"> PAGEREF _Toc199961256 \h </w:instrText>
            </w:r>
            <w:r w:rsidR="007E54F1" w:rsidRPr="007E54F1">
              <w:rPr>
                <w:noProof/>
                <w:webHidden/>
              </w:rPr>
            </w:r>
            <w:r w:rsidR="007E54F1" w:rsidRPr="007E54F1">
              <w:rPr>
                <w:noProof/>
                <w:webHidden/>
              </w:rPr>
              <w:fldChar w:fldCharType="separate"/>
            </w:r>
            <w:r w:rsidR="008F67FB">
              <w:rPr>
                <w:noProof/>
                <w:webHidden/>
              </w:rPr>
              <w:t>54</w:t>
            </w:r>
            <w:r w:rsidR="007E54F1" w:rsidRPr="007E54F1">
              <w:rPr>
                <w:noProof/>
                <w:webHidden/>
              </w:rPr>
              <w:fldChar w:fldCharType="end"/>
            </w:r>
          </w:hyperlink>
        </w:p>
        <w:p w14:paraId="4932888C" w14:textId="3E931C05" w:rsidR="00FD20C4" w:rsidRPr="007E54F1" w:rsidRDefault="00FD20C4" w:rsidP="007E54F1">
          <w:r w:rsidRPr="007E54F1">
            <w:rPr>
              <w:b/>
              <w:bCs/>
              <w:lang w:val="es-ES"/>
            </w:rPr>
            <w:fldChar w:fldCharType="end"/>
          </w:r>
        </w:p>
      </w:sdtContent>
    </w:sdt>
    <w:p w14:paraId="32AD31E9" w14:textId="77777777" w:rsidR="00FD6BCA" w:rsidRPr="007E54F1" w:rsidRDefault="00FD6BCA" w:rsidP="007E54F1">
      <w:pPr>
        <w:pBdr>
          <w:top w:val="nil"/>
          <w:left w:val="nil"/>
          <w:bottom w:val="nil"/>
          <w:right w:val="nil"/>
          <w:between w:val="nil"/>
        </w:pBdr>
        <w:tabs>
          <w:tab w:val="right" w:pos="9034"/>
        </w:tabs>
        <w:spacing w:after="100"/>
        <w:rPr>
          <w:b/>
        </w:rPr>
        <w:sectPr w:rsidR="00FD6BCA" w:rsidRPr="007E54F1">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21EECD01" w:rsidR="00FD6BCA" w:rsidRPr="007E54F1" w:rsidRDefault="00C05457" w:rsidP="007E54F1">
      <w:pPr>
        <w:rPr>
          <w:b/>
        </w:rPr>
      </w:pPr>
      <w:r w:rsidRPr="007E54F1">
        <w:lastRenderedPageBreak/>
        <w:t>Resolución del Pleno del Instituto de Transparencia, Acceso a la Información Pública y Protección de Datos Personales del Estado de México y Municipios, con domicilio en Metepec, Estado de México, de</w:t>
      </w:r>
      <w:r w:rsidR="007E54F1">
        <w:t>l</w:t>
      </w:r>
      <w:r w:rsidRPr="007E54F1">
        <w:t xml:space="preserve"> </w:t>
      </w:r>
      <w:r w:rsidR="00760DFD" w:rsidRPr="007E54F1">
        <w:rPr>
          <w:b/>
        </w:rPr>
        <w:t>cuatro de junio</w:t>
      </w:r>
      <w:r w:rsidRPr="007E54F1">
        <w:rPr>
          <w:b/>
        </w:rPr>
        <w:t xml:space="preserve"> de dos mil veinticinco.</w:t>
      </w:r>
    </w:p>
    <w:p w14:paraId="469ACC29" w14:textId="77777777" w:rsidR="00FD6BCA" w:rsidRPr="007E54F1" w:rsidRDefault="00FD6BCA" w:rsidP="007E54F1"/>
    <w:p w14:paraId="3B9725E6" w14:textId="1E2E311F" w:rsidR="00FD6BCA" w:rsidRPr="007E54F1" w:rsidRDefault="00C05457" w:rsidP="007E54F1">
      <w:r w:rsidRPr="007E54F1">
        <w:rPr>
          <w:b/>
        </w:rPr>
        <w:t xml:space="preserve">VISTO </w:t>
      </w:r>
      <w:r w:rsidRPr="007E54F1">
        <w:t xml:space="preserve">el expediente formado con motivo del Recurso de Revisión </w:t>
      </w:r>
      <w:r w:rsidR="00854FBA" w:rsidRPr="007E54F1">
        <w:rPr>
          <w:b/>
        </w:rPr>
        <w:t>03517/INFOEM/IP/RR/2025</w:t>
      </w:r>
      <w:r w:rsidRPr="007E54F1">
        <w:rPr>
          <w:b/>
        </w:rPr>
        <w:t xml:space="preserve"> </w:t>
      </w:r>
      <w:r w:rsidRPr="007E54F1">
        <w:t xml:space="preserve">interpuesto por </w:t>
      </w:r>
      <w:r w:rsidR="0092083A">
        <w:rPr>
          <w:b/>
        </w:rPr>
        <w:t xml:space="preserve">XXXXXXXXX XXXXXX </w:t>
      </w:r>
      <w:proofErr w:type="spellStart"/>
      <w:r w:rsidR="0092083A">
        <w:rPr>
          <w:b/>
        </w:rPr>
        <w:t>XXXXXX</w:t>
      </w:r>
      <w:proofErr w:type="spellEnd"/>
      <w:r w:rsidRPr="007E54F1">
        <w:t xml:space="preserve">, a quien en lo subsecuente se le denominará </w:t>
      </w:r>
      <w:r w:rsidRPr="007E54F1">
        <w:rPr>
          <w:b/>
        </w:rPr>
        <w:t>LA PARTE RECURRENTE</w:t>
      </w:r>
      <w:r w:rsidRPr="007E54F1">
        <w:t xml:space="preserve">, en contra de la respuesta emitida por el </w:t>
      </w:r>
      <w:r w:rsidR="00D61B93" w:rsidRPr="007E54F1">
        <w:rPr>
          <w:b/>
        </w:rPr>
        <w:t>Ayuntamiento de Tenancingo</w:t>
      </w:r>
      <w:r w:rsidRPr="007E54F1">
        <w:t xml:space="preserve">, en adelante </w:t>
      </w:r>
      <w:r w:rsidRPr="007E54F1">
        <w:rPr>
          <w:b/>
        </w:rPr>
        <w:t>EL SUJETO OBLIGADO</w:t>
      </w:r>
      <w:r w:rsidRPr="007E54F1">
        <w:t>, se emite la presente Resolución con base en los Antecedentes y Considerandos que se exponen a continuación:</w:t>
      </w:r>
    </w:p>
    <w:p w14:paraId="3095BCB3" w14:textId="77777777" w:rsidR="00FD6BCA" w:rsidRPr="007E54F1" w:rsidRDefault="00FD6BCA" w:rsidP="007E54F1"/>
    <w:p w14:paraId="7B74F830" w14:textId="77777777" w:rsidR="00FD6BCA" w:rsidRPr="007E54F1" w:rsidRDefault="00C05457" w:rsidP="007E54F1">
      <w:pPr>
        <w:pStyle w:val="Ttulo1"/>
      </w:pPr>
      <w:bookmarkStart w:id="2" w:name="_Toc199961232"/>
      <w:r w:rsidRPr="007E54F1">
        <w:t>ANTECEDENTES</w:t>
      </w:r>
      <w:bookmarkEnd w:id="2"/>
    </w:p>
    <w:p w14:paraId="51624F7C" w14:textId="77777777" w:rsidR="00FD6BCA" w:rsidRPr="007E54F1" w:rsidRDefault="00FD6BCA" w:rsidP="007E54F1"/>
    <w:p w14:paraId="4390203D" w14:textId="77777777" w:rsidR="00FD6BCA" w:rsidRPr="007E54F1" w:rsidRDefault="00C05457" w:rsidP="007E54F1">
      <w:pPr>
        <w:pStyle w:val="Ttulo2"/>
      </w:pPr>
      <w:bookmarkStart w:id="3" w:name="_Toc199961233"/>
      <w:r w:rsidRPr="007E54F1">
        <w:t>DE LA SOLICITUD DE INFORMACIÓN</w:t>
      </w:r>
      <w:bookmarkEnd w:id="3"/>
    </w:p>
    <w:p w14:paraId="0B3195FC" w14:textId="77777777" w:rsidR="00FD6BCA" w:rsidRPr="007E54F1" w:rsidRDefault="00C05457" w:rsidP="007E54F1">
      <w:pPr>
        <w:pStyle w:val="Ttulo3"/>
      </w:pPr>
      <w:bookmarkStart w:id="4" w:name="_Toc199961234"/>
      <w:r w:rsidRPr="007E54F1">
        <w:t>a) Solicitud de información</w:t>
      </w:r>
      <w:bookmarkEnd w:id="4"/>
    </w:p>
    <w:p w14:paraId="0853A583" w14:textId="7F8556CF" w:rsidR="00FD6BCA" w:rsidRPr="007E54F1" w:rsidRDefault="00C05457" w:rsidP="007E54F1">
      <w:r w:rsidRPr="007E54F1">
        <w:t xml:space="preserve">El </w:t>
      </w:r>
      <w:r w:rsidR="00854FBA" w:rsidRPr="007E54F1">
        <w:rPr>
          <w:b/>
        </w:rPr>
        <w:t>veintiocho</w:t>
      </w:r>
      <w:r w:rsidR="00DA78A8" w:rsidRPr="007E54F1">
        <w:rPr>
          <w:b/>
        </w:rPr>
        <w:t xml:space="preserve"> </w:t>
      </w:r>
      <w:r w:rsidR="009C1C5D" w:rsidRPr="007E54F1">
        <w:rPr>
          <w:b/>
        </w:rPr>
        <w:t>de febrero</w:t>
      </w:r>
      <w:r w:rsidRPr="007E54F1">
        <w:rPr>
          <w:b/>
        </w:rPr>
        <w:t xml:space="preserve"> de dos mil veinticinco,</w:t>
      </w:r>
      <w:r w:rsidRPr="007E54F1">
        <w:t xml:space="preserve"> </w:t>
      </w:r>
      <w:r w:rsidRPr="007E54F1">
        <w:rPr>
          <w:b/>
        </w:rPr>
        <w:t>LA PARTE RECURRENTE</w:t>
      </w:r>
      <w:r w:rsidRPr="007E54F1">
        <w:t xml:space="preserve"> presentó una solicitud de acceso a la información pública ante el </w:t>
      </w:r>
      <w:r w:rsidRPr="007E54F1">
        <w:rPr>
          <w:b/>
        </w:rPr>
        <w:t>SUJETO OBLIGADO</w:t>
      </w:r>
      <w:r w:rsidRPr="007E54F1">
        <w:t>, a través del Sistema de Acceso a la Información Mexiquense (SAIMEX). Dicha solicitud quedó registrada con el número de folio</w:t>
      </w:r>
      <w:r w:rsidRPr="007E54F1">
        <w:rPr>
          <w:b/>
        </w:rPr>
        <w:t xml:space="preserve"> </w:t>
      </w:r>
      <w:r w:rsidR="00854FBA" w:rsidRPr="007E54F1">
        <w:rPr>
          <w:b/>
        </w:rPr>
        <w:t>00293/TENANCIN/IP/2025</w:t>
      </w:r>
      <w:r w:rsidR="004268EA" w:rsidRPr="007E54F1">
        <w:rPr>
          <w:b/>
        </w:rPr>
        <w:t xml:space="preserve"> </w:t>
      </w:r>
      <w:r w:rsidRPr="007E54F1">
        <w:t>y en ella se requirió la siguiente información:</w:t>
      </w:r>
    </w:p>
    <w:p w14:paraId="0C015894" w14:textId="77777777" w:rsidR="00FD6BCA" w:rsidRPr="007E54F1" w:rsidRDefault="00FD6BCA" w:rsidP="007E54F1">
      <w:pPr>
        <w:tabs>
          <w:tab w:val="left" w:pos="4667"/>
        </w:tabs>
        <w:ind w:right="567"/>
        <w:rPr>
          <w:i/>
        </w:rPr>
      </w:pPr>
    </w:p>
    <w:p w14:paraId="2AAFCBE8" w14:textId="4BA6647F" w:rsidR="00FD6BCA" w:rsidRPr="007E54F1" w:rsidRDefault="00C05457" w:rsidP="007E54F1">
      <w:pPr>
        <w:pStyle w:val="Puesto"/>
        <w:ind w:firstLine="0"/>
        <w:rPr>
          <w:color w:val="auto"/>
        </w:rPr>
      </w:pPr>
      <w:bookmarkStart w:id="5" w:name="_qsh70q" w:colFirst="0" w:colLast="0"/>
      <w:bookmarkEnd w:id="5"/>
      <w:r w:rsidRPr="007E54F1">
        <w:rPr>
          <w:color w:val="auto"/>
        </w:rPr>
        <w:t>“</w:t>
      </w:r>
      <w:r w:rsidR="00D61B93" w:rsidRPr="007E54F1">
        <w:rPr>
          <w:color w:val="auto"/>
        </w:rPr>
        <w:t xml:space="preserve">Solicito atentamente se me proporcione la siguiente información relacionada con los siguientes funcionarios: 1. Nancy Nápoles Pacheco 2. Víctor Avendaño Bustos 3. Erik García Reyes 4. Rosario Zepeda Galicia 5. Heliodoro Miranda Ávila 6. María </w:t>
      </w:r>
      <w:proofErr w:type="spellStart"/>
      <w:r w:rsidR="00D61B93" w:rsidRPr="007E54F1">
        <w:rPr>
          <w:color w:val="auto"/>
        </w:rPr>
        <w:t>Angelica</w:t>
      </w:r>
      <w:proofErr w:type="spellEnd"/>
      <w:r w:rsidR="00D61B93" w:rsidRPr="007E54F1">
        <w:rPr>
          <w:color w:val="auto"/>
        </w:rPr>
        <w:t xml:space="preserve"> García Puerta 7. Mauricio Gerardo García Quintana 8. Christian Mendoza Guadarrama 9. Héctor Alberto Chavero </w:t>
      </w:r>
      <w:proofErr w:type="spellStart"/>
      <w:r w:rsidR="00D61B93" w:rsidRPr="007E54F1">
        <w:rPr>
          <w:color w:val="auto"/>
        </w:rPr>
        <w:t>Rolón</w:t>
      </w:r>
      <w:proofErr w:type="spellEnd"/>
      <w:r w:rsidR="00D61B93" w:rsidRPr="007E54F1">
        <w:rPr>
          <w:color w:val="auto"/>
        </w:rPr>
        <w:t xml:space="preserve"> 10. Karina Alondra Mejía </w:t>
      </w:r>
      <w:proofErr w:type="spellStart"/>
      <w:r w:rsidR="00D61B93" w:rsidRPr="007E54F1">
        <w:rPr>
          <w:color w:val="auto"/>
        </w:rPr>
        <w:t>Guardian</w:t>
      </w:r>
      <w:proofErr w:type="spellEnd"/>
      <w:r w:rsidR="00D61B93" w:rsidRPr="007E54F1">
        <w:rPr>
          <w:color w:val="auto"/>
        </w:rPr>
        <w:t xml:space="preserve"> 1. Especificando: o Nombre completo. </w:t>
      </w:r>
      <w:proofErr w:type="gramStart"/>
      <w:r w:rsidR="00D61B93" w:rsidRPr="007E54F1">
        <w:rPr>
          <w:color w:val="auto"/>
        </w:rPr>
        <w:t>o</w:t>
      </w:r>
      <w:proofErr w:type="gramEnd"/>
      <w:r w:rsidR="00D61B93" w:rsidRPr="007E54F1">
        <w:rPr>
          <w:color w:val="auto"/>
        </w:rPr>
        <w:t xml:space="preserve"> Cargo o puesto. </w:t>
      </w:r>
      <w:proofErr w:type="gramStart"/>
      <w:r w:rsidR="00D61B93" w:rsidRPr="007E54F1">
        <w:rPr>
          <w:color w:val="auto"/>
        </w:rPr>
        <w:t>o</w:t>
      </w:r>
      <w:proofErr w:type="gramEnd"/>
      <w:r w:rsidR="00D61B93" w:rsidRPr="007E54F1">
        <w:rPr>
          <w:color w:val="auto"/>
        </w:rPr>
        <w:t xml:space="preserve"> Fecha de nombramiento y/o contratación. Especificando número de oficio. </w:t>
      </w:r>
      <w:proofErr w:type="gramStart"/>
      <w:r w:rsidR="00D61B93" w:rsidRPr="007E54F1">
        <w:rPr>
          <w:color w:val="auto"/>
        </w:rPr>
        <w:t>o</w:t>
      </w:r>
      <w:proofErr w:type="gramEnd"/>
      <w:r w:rsidR="00D61B93" w:rsidRPr="007E54F1">
        <w:rPr>
          <w:color w:val="auto"/>
        </w:rPr>
        <w:t xml:space="preserve"> Unidad administrativa en la que están adscritos. 2. Remuneraciones y prestaciones que reciben dichos funcionarios, incluyendo: o Sueldo base </w:t>
      </w:r>
      <w:r w:rsidR="00D61B93" w:rsidRPr="007E54F1">
        <w:rPr>
          <w:color w:val="auto"/>
        </w:rPr>
        <w:lastRenderedPageBreak/>
        <w:t xml:space="preserve">mensual </w:t>
      </w:r>
      <w:proofErr w:type="gramStart"/>
      <w:r w:rsidR="00D61B93" w:rsidRPr="007E54F1">
        <w:rPr>
          <w:color w:val="auto"/>
        </w:rPr>
        <w:t>bruto y neto</w:t>
      </w:r>
      <w:proofErr w:type="gramEnd"/>
      <w:r w:rsidR="00D61B93" w:rsidRPr="007E54F1">
        <w:rPr>
          <w:color w:val="auto"/>
        </w:rPr>
        <w:t xml:space="preserve">. </w:t>
      </w:r>
      <w:proofErr w:type="gramStart"/>
      <w:r w:rsidR="00D61B93" w:rsidRPr="007E54F1">
        <w:rPr>
          <w:color w:val="auto"/>
        </w:rPr>
        <w:t>o</w:t>
      </w:r>
      <w:proofErr w:type="gramEnd"/>
      <w:r w:rsidR="00D61B93" w:rsidRPr="007E54F1">
        <w:rPr>
          <w:color w:val="auto"/>
        </w:rPr>
        <w:t xml:space="preserve"> Compensaciones, bonos o estímulos adicionales. </w:t>
      </w:r>
      <w:proofErr w:type="gramStart"/>
      <w:r w:rsidR="00D61B93" w:rsidRPr="007E54F1">
        <w:rPr>
          <w:color w:val="auto"/>
        </w:rPr>
        <w:t>o</w:t>
      </w:r>
      <w:proofErr w:type="gramEnd"/>
      <w:r w:rsidR="00D61B93" w:rsidRPr="007E54F1">
        <w:rPr>
          <w:color w:val="auto"/>
        </w:rPr>
        <w:t xml:space="preserve"> Prestaciones laborales y beneficios en especie, en su caso. 3. Perfil y experiencia profesional, incluyendo: o Currículum vitae actualizado. </w:t>
      </w:r>
      <w:proofErr w:type="gramStart"/>
      <w:r w:rsidR="00D61B93" w:rsidRPr="007E54F1">
        <w:rPr>
          <w:color w:val="auto"/>
        </w:rPr>
        <w:t>o</w:t>
      </w:r>
      <w:proofErr w:type="gramEnd"/>
      <w:r w:rsidR="00D61B93" w:rsidRPr="007E54F1">
        <w:rPr>
          <w:color w:val="auto"/>
        </w:rPr>
        <w:t xml:space="preserve"> Nivel de estudios y títulos obtenidos. </w:t>
      </w:r>
      <w:proofErr w:type="gramStart"/>
      <w:r w:rsidR="00D61B93" w:rsidRPr="007E54F1">
        <w:rPr>
          <w:color w:val="auto"/>
        </w:rPr>
        <w:t>o</w:t>
      </w:r>
      <w:proofErr w:type="gramEnd"/>
      <w:r w:rsidR="00D61B93" w:rsidRPr="007E54F1">
        <w:rPr>
          <w:color w:val="auto"/>
        </w:rPr>
        <w:t xml:space="preserve"> Experiencia laboral relevante en el sector público o privado. 4. Declaraciones patrimoniales y de intereses.</w:t>
      </w:r>
      <w:r w:rsidRPr="007E54F1">
        <w:rPr>
          <w:color w:val="auto"/>
        </w:rPr>
        <w:t>” Sic</w:t>
      </w:r>
    </w:p>
    <w:p w14:paraId="352E4837" w14:textId="77777777" w:rsidR="00FD6BCA" w:rsidRPr="007E54F1" w:rsidRDefault="00FD6BCA" w:rsidP="007E54F1"/>
    <w:p w14:paraId="4B954404" w14:textId="77777777" w:rsidR="00FD6BCA" w:rsidRPr="007E54F1" w:rsidRDefault="00C05457" w:rsidP="007E54F1">
      <w:pPr>
        <w:tabs>
          <w:tab w:val="left" w:pos="4667"/>
        </w:tabs>
        <w:ind w:right="567"/>
        <w:rPr>
          <w:i/>
        </w:rPr>
      </w:pPr>
      <w:r w:rsidRPr="007E54F1">
        <w:rPr>
          <w:b/>
        </w:rPr>
        <w:t>Modalidad de entrega</w:t>
      </w:r>
      <w:r w:rsidRPr="007E54F1">
        <w:t>: a</w:t>
      </w:r>
      <w:r w:rsidRPr="007E54F1">
        <w:rPr>
          <w:i/>
        </w:rPr>
        <w:t xml:space="preserve"> través del </w:t>
      </w:r>
      <w:r w:rsidRPr="007E54F1">
        <w:rPr>
          <w:b/>
          <w:i/>
        </w:rPr>
        <w:t>SAIMEX</w:t>
      </w:r>
      <w:r w:rsidRPr="007E54F1">
        <w:rPr>
          <w:i/>
        </w:rPr>
        <w:t>.</w:t>
      </w:r>
    </w:p>
    <w:p w14:paraId="43BCF407" w14:textId="77777777" w:rsidR="008B02FE" w:rsidRPr="007E54F1" w:rsidRDefault="008B02FE" w:rsidP="007E54F1">
      <w:pPr>
        <w:tabs>
          <w:tab w:val="left" w:pos="4667"/>
        </w:tabs>
        <w:ind w:right="567"/>
        <w:rPr>
          <w:i/>
        </w:rPr>
      </w:pPr>
    </w:p>
    <w:p w14:paraId="7A80E52D" w14:textId="0B8B7F26" w:rsidR="00FD6BCA" w:rsidRPr="007E54F1" w:rsidRDefault="00D61B93" w:rsidP="007E54F1">
      <w:pPr>
        <w:pStyle w:val="Ttulo3"/>
      </w:pPr>
      <w:bookmarkStart w:id="6" w:name="_3as4poj" w:colFirst="0" w:colLast="0"/>
      <w:bookmarkStart w:id="7" w:name="_Toc199961235"/>
      <w:bookmarkEnd w:id="6"/>
      <w:r w:rsidRPr="007E54F1">
        <w:t>b</w:t>
      </w:r>
      <w:r w:rsidR="00C05457" w:rsidRPr="007E54F1">
        <w:t>) Respuesta del Sujeto Obligado</w:t>
      </w:r>
      <w:bookmarkEnd w:id="7"/>
    </w:p>
    <w:p w14:paraId="3DE4EC67" w14:textId="600F7CC3" w:rsidR="00FD6BCA" w:rsidRPr="007E54F1" w:rsidRDefault="00C05457" w:rsidP="007E54F1">
      <w:pPr>
        <w:pBdr>
          <w:top w:val="nil"/>
          <w:left w:val="nil"/>
          <w:bottom w:val="nil"/>
          <w:right w:val="nil"/>
          <w:between w:val="nil"/>
        </w:pBdr>
      </w:pPr>
      <w:r w:rsidRPr="007E54F1">
        <w:t xml:space="preserve">El </w:t>
      </w:r>
      <w:r w:rsidR="00854FBA" w:rsidRPr="007E54F1">
        <w:rPr>
          <w:b/>
        </w:rPr>
        <w:t>veintiuno</w:t>
      </w:r>
      <w:r w:rsidR="008B02FE" w:rsidRPr="007E54F1">
        <w:rPr>
          <w:b/>
        </w:rPr>
        <w:t xml:space="preserve"> de marzo</w:t>
      </w:r>
      <w:r w:rsidRPr="007E54F1">
        <w:rPr>
          <w:b/>
        </w:rPr>
        <w:t xml:space="preserve"> de dos mil veinticinco, </w:t>
      </w:r>
      <w:r w:rsidRPr="007E54F1">
        <w:t xml:space="preserve">el Titular de la Unidad de Transparencia del </w:t>
      </w:r>
      <w:r w:rsidRPr="007E54F1">
        <w:rPr>
          <w:b/>
        </w:rPr>
        <w:t>SUJETO OBLIGADO</w:t>
      </w:r>
      <w:r w:rsidRPr="007E54F1">
        <w:t xml:space="preserve"> notificó a través del </w:t>
      </w:r>
      <w:r w:rsidRPr="007E54F1">
        <w:rPr>
          <w:b/>
        </w:rPr>
        <w:t>SAIMEX</w:t>
      </w:r>
      <w:r w:rsidRPr="007E54F1">
        <w:t xml:space="preserve"> la siguiente respuesta:</w:t>
      </w:r>
    </w:p>
    <w:p w14:paraId="124E0B67" w14:textId="77777777" w:rsidR="00FD6BCA" w:rsidRPr="007E54F1" w:rsidRDefault="00FD6BCA" w:rsidP="007E54F1">
      <w:pPr>
        <w:pStyle w:val="Puesto"/>
        <w:ind w:firstLine="0"/>
        <w:rPr>
          <w:color w:val="auto"/>
        </w:rPr>
      </w:pPr>
    </w:p>
    <w:p w14:paraId="30FB2E9B" w14:textId="77777777" w:rsidR="00D61B93" w:rsidRPr="007E54F1" w:rsidRDefault="00C05457" w:rsidP="007E54F1">
      <w:pPr>
        <w:pStyle w:val="Puesto"/>
        <w:ind w:firstLine="0"/>
        <w:jc w:val="right"/>
        <w:rPr>
          <w:color w:val="auto"/>
        </w:rPr>
      </w:pPr>
      <w:r w:rsidRPr="007E54F1">
        <w:rPr>
          <w:color w:val="auto"/>
        </w:rPr>
        <w:t>“</w:t>
      </w:r>
      <w:r w:rsidR="00D61B93" w:rsidRPr="007E54F1">
        <w:rPr>
          <w:color w:val="auto"/>
        </w:rPr>
        <w:t>Folio de la solicitud: 00293/TENANCIN/IP/2025</w:t>
      </w:r>
    </w:p>
    <w:p w14:paraId="4B422D9F" w14:textId="77777777" w:rsidR="00D61B93" w:rsidRPr="007E54F1" w:rsidRDefault="00D61B93" w:rsidP="007E54F1"/>
    <w:p w14:paraId="44D3B476" w14:textId="77777777" w:rsidR="00D61B93" w:rsidRPr="007E54F1" w:rsidRDefault="00D61B93" w:rsidP="007E54F1">
      <w:pPr>
        <w:pStyle w:val="Puesto"/>
        <w:ind w:firstLine="0"/>
        <w:rPr>
          <w:color w:val="auto"/>
        </w:rPr>
      </w:pPr>
      <w:r w:rsidRPr="007E54F1">
        <w:rPr>
          <w:color w:val="auto"/>
        </w:rPr>
        <w:t xml:space="preserve">C. SOLICITANTE DE INFORMACIÓN. PRESENTE. En atención a su solicitud de información recibida a través del Sistema de Acceso a la Información Mexiquense (SAIMEX), identificada con el número 00293/TENANCIN/IP/2025; en la cual solicita información relacionada con lo siguiente: “ Solicito atentamente se me proporcione la siguiente información relacionada con los siguientes funcionarios: 1. Nancy Nápoles Pacheco 2. Víctor Avendaño Bustos 3. Erik García Reyes 4. Rosario Zepeda Galicia 5. Heliodoro Miranda Ávila 6. María </w:t>
      </w:r>
      <w:proofErr w:type="spellStart"/>
      <w:r w:rsidRPr="007E54F1">
        <w:rPr>
          <w:color w:val="auto"/>
        </w:rPr>
        <w:t>Angelica</w:t>
      </w:r>
      <w:proofErr w:type="spellEnd"/>
      <w:r w:rsidRPr="007E54F1">
        <w:rPr>
          <w:color w:val="auto"/>
        </w:rPr>
        <w:t xml:space="preserve"> García Puerta 7. Mauricio Gerardo García Quintana 8. Christian Mendoza Guadarrama 9. Héctor Alberto Chavero </w:t>
      </w:r>
      <w:proofErr w:type="spellStart"/>
      <w:r w:rsidRPr="007E54F1">
        <w:rPr>
          <w:color w:val="auto"/>
        </w:rPr>
        <w:t>Rolón</w:t>
      </w:r>
      <w:proofErr w:type="spellEnd"/>
      <w:r w:rsidRPr="007E54F1">
        <w:rPr>
          <w:color w:val="auto"/>
        </w:rPr>
        <w:t xml:space="preserve"> 10. Karina Alondra Mejía </w:t>
      </w:r>
      <w:proofErr w:type="spellStart"/>
      <w:r w:rsidRPr="007E54F1">
        <w:rPr>
          <w:color w:val="auto"/>
        </w:rPr>
        <w:t>Guardian</w:t>
      </w:r>
      <w:proofErr w:type="spellEnd"/>
      <w:r w:rsidRPr="007E54F1">
        <w:rPr>
          <w:color w:val="auto"/>
        </w:rPr>
        <w:t xml:space="preserve"> 1. Especificando: o Nombre completo. </w:t>
      </w:r>
      <w:proofErr w:type="gramStart"/>
      <w:r w:rsidRPr="007E54F1">
        <w:rPr>
          <w:color w:val="auto"/>
        </w:rPr>
        <w:t>o</w:t>
      </w:r>
      <w:proofErr w:type="gramEnd"/>
      <w:r w:rsidRPr="007E54F1">
        <w:rPr>
          <w:color w:val="auto"/>
        </w:rPr>
        <w:t xml:space="preserve"> Cargo o puesto. </w:t>
      </w:r>
      <w:proofErr w:type="gramStart"/>
      <w:r w:rsidRPr="007E54F1">
        <w:rPr>
          <w:color w:val="auto"/>
        </w:rPr>
        <w:t>o</w:t>
      </w:r>
      <w:proofErr w:type="gramEnd"/>
      <w:r w:rsidRPr="007E54F1">
        <w:rPr>
          <w:color w:val="auto"/>
        </w:rPr>
        <w:t xml:space="preserve"> Fecha de nombramiento y/o contratación. Especificando número de oficio. </w:t>
      </w:r>
      <w:proofErr w:type="gramStart"/>
      <w:r w:rsidRPr="007E54F1">
        <w:rPr>
          <w:color w:val="auto"/>
        </w:rPr>
        <w:t>o</w:t>
      </w:r>
      <w:proofErr w:type="gramEnd"/>
      <w:r w:rsidRPr="007E54F1">
        <w:rPr>
          <w:color w:val="auto"/>
        </w:rPr>
        <w:t xml:space="preserve"> Unidad administrativa en la que están adscritos. 2. Remuneraciones y prestaciones que reciben dichos funcionarios, incluyendo: o Sueldo base mensual </w:t>
      </w:r>
      <w:proofErr w:type="gramStart"/>
      <w:r w:rsidRPr="007E54F1">
        <w:rPr>
          <w:color w:val="auto"/>
        </w:rPr>
        <w:t>bruto y neto</w:t>
      </w:r>
      <w:proofErr w:type="gramEnd"/>
      <w:r w:rsidRPr="007E54F1">
        <w:rPr>
          <w:color w:val="auto"/>
        </w:rPr>
        <w:t xml:space="preserve">. </w:t>
      </w:r>
      <w:proofErr w:type="gramStart"/>
      <w:r w:rsidRPr="007E54F1">
        <w:rPr>
          <w:color w:val="auto"/>
        </w:rPr>
        <w:t>o</w:t>
      </w:r>
      <w:proofErr w:type="gramEnd"/>
      <w:r w:rsidRPr="007E54F1">
        <w:rPr>
          <w:color w:val="auto"/>
        </w:rPr>
        <w:t xml:space="preserve"> Compensaciones, bonos o estímulos adicionales. </w:t>
      </w:r>
      <w:proofErr w:type="gramStart"/>
      <w:r w:rsidRPr="007E54F1">
        <w:rPr>
          <w:color w:val="auto"/>
        </w:rPr>
        <w:t>o</w:t>
      </w:r>
      <w:proofErr w:type="gramEnd"/>
      <w:r w:rsidRPr="007E54F1">
        <w:rPr>
          <w:color w:val="auto"/>
        </w:rPr>
        <w:t xml:space="preserve"> Prestaciones laborales y beneficios en especie, en su caso. 3. Perfil y experiencia profesional, incluyendo: o Currículum vitae actualizado. </w:t>
      </w:r>
      <w:proofErr w:type="gramStart"/>
      <w:r w:rsidRPr="007E54F1">
        <w:rPr>
          <w:color w:val="auto"/>
        </w:rPr>
        <w:t>o</w:t>
      </w:r>
      <w:proofErr w:type="gramEnd"/>
      <w:r w:rsidRPr="007E54F1">
        <w:rPr>
          <w:color w:val="auto"/>
        </w:rPr>
        <w:t xml:space="preserve"> Nivel de estudios y títulos obtenidos. </w:t>
      </w:r>
      <w:proofErr w:type="gramStart"/>
      <w:r w:rsidRPr="007E54F1">
        <w:rPr>
          <w:color w:val="auto"/>
        </w:rPr>
        <w:t>o</w:t>
      </w:r>
      <w:proofErr w:type="gramEnd"/>
      <w:r w:rsidRPr="007E54F1">
        <w:rPr>
          <w:color w:val="auto"/>
        </w:rPr>
        <w:t xml:space="preserve"> Experiencia laboral relevante en el sector público o privado. 4. Declaraciones patrimoniales y de intereses.” (</w:t>
      </w:r>
      <w:proofErr w:type="gramStart"/>
      <w:r w:rsidRPr="007E54F1">
        <w:rPr>
          <w:color w:val="auto"/>
        </w:rPr>
        <w:t>sic</w:t>
      </w:r>
      <w:proofErr w:type="gramEnd"/>
      <w:r w:rsidRPr="007E54F1">
        <w:rPr>
          <w:color w:val="auto"/>
        </w:rPr>
        <w:t xml:space="preserve">). Al respecto, me permito comentarle que de acuerdo con lo establecido por el articulo 4 primer párrafo de la Ley de Transparencia y Acceso a la Información Pública del Estado de México y Municipios, indica: "Artículo 4. El derecho humano de acceso a la información pública es la prerrogativa de las personas para buscar, difundir, investigar, recabar, recibir y solicitar información pública, sin necesidad de acreditar personalidad ni interés jurídico.” Subsecuentemente, el articulo 12 </w:t>
      </w:r>
      <w:r w:rsidRPr="007E54F1">
        <w:rPr>
          <w:color w:val="auto"/>
        </w:rPr>
        <w:lastRenderedPageBreak/>
        <w:t xml:space="preserve">segundo párrafo de la Ley de Transparencia y Acceso a la Información Pública del Estado de México y Municipios, disponen lo siguiente: "Artículo 12. Los sujetos obligados solo proporcionaran la información pública que se les requiera y que obre en sus archivos y en el estado en que ésta se encuentre. La obligación de proporcionar información no comprende el procesamiento de la misma, ni el presentarla con forme al interés del solicitante; no estarán obligados a generarla, resumirla, efectuar cálculos o practicar investigaciones. Por lo anterior, los artículos 50 y 51 de la Ley de Transparencia y Acceso a la información Pública del Estado de México y Municipios, establecen que los sujetos obligados contarán con un área responsable para la atención de las solicitudes de información, a la que se le denominará Unidad de Transparencia; asimismo, que los sujetos obligados designaran a un responsable para atender la Unidad de Transparencia, quien fungirá coma enlace entre éstos y los solicitantes. Dicha Unidad será la encargada de tramitar internamente la solicitud de información y tendrá la responsabilidad de verificar en cada caso que la misma no sea confidencial o reservada. La Unidad de Transparencia contará con las facultades internas necesarias para gestionar la atención a las solicitudes de información en los términos de la Ley General de Transparencia y Acceso a la información Pública y la Ley de Transparencia y Acceso a la información Pública del Estado de México y Municipios. </w:t>
      </w:r>
      <w:r w:rsidRPr="007E54F1">
        <w:rPr>
          <w:b/>
          <w:bCs/>
          <w:color w:val="auto"/>
          <w:u w:val="single"/>
        </w:rPr>
        <w:t>En virtud de lo anterior, adjunto al presente se servirá encontrar el oficio de respuesta que emite la Dirección de Administración del Ayuntamiento de Tenancingo, Estado de México.</w:t>
      </w:r>
      <w:r w:rsidRPr="007E54F1">
        <w:rPr>
          <w:color w:val="auto"/>
        </w:rPr>
        <w:t xml:space="preserve"> Sin otro particular, reciba un cordial saludo.</w:t>
      </w:r>
    </w:p>
    <w:p w14:paraId="1CE82BD2" w14:textId="77777777" w:rsidR="00D61B93" w:rsidRPr="007E54F1" w:rsidRDefault="00D61B93" w:rsidP="007E54F1">
      <w:pPr>
        <w:pStyle w:val="Puesto"/>
        <w:ind w:firstLine="0"/>
        <w:rPr>
          <w:color w:val="auto"/>
        </w:rPr>
      </w:pPr>
    </w:p>
    <w:p w14:paraId="4BB4003A" w14:textId="77777777" w:rsidR="00D61B93" w:rsidRPr="007E54F1" w:rsidRDefault="00D61B93" w:rsidP="007E54F1">
      <w:pPr>
        <w:pStyle w:val="Puesto"/>
        <w:ind w:firstLine="0"/>
        <w:rPr>
          <w:color w:val="auto"/>
        </w:rPr>
      </w:pPr>
      <w:r w:rsidRPr="007E54F1">
        <w:rPr>
          <w:color w:val="auto"/>
        </w:rPr>
        <w:t>ATENTAMENTE</w:t>
      </w:r>
    </w:p>
    <w:p w14:paraId="653F5E5A" w14:textId="53797D7F" w:rsidR="00FD6BCA" w:rsidRPr="007E54F1" w:rsidRDefault="00D61B93" w:rsidP="007E54F1">
      <w:pPr>
        <w:pStyle w:val="Puesto"/>
        <w:ind w:firstLine="0"/>
        <w:rPr>
          <w:color w:val="auto"/>
        </w:rPr>
      </w:pPr>
      <w:r w:rsidRPr="007E54F1">
        <w:rPr>
          <w:color w:val="auto"/>
        </w:rPr>
        <w:t>LIC. KAREN ALONDRA MEJÍA GUARDIAN</w:t>
      </w:r>
      <w:r w:rsidR="00C05457" w:rsidRPr="007E54F1">
        <w:rPr>
          <w:color w:val="auto"/>
        </w:rPr>
        <w:t>” Sic.</w:t>
      </w:r>
    </w:p>
    <w:p w14:paraId="4B1394E3" w14:textId="77777777" w:rsidR="00FD6BCA" w:rsidRPr="007E54F1" w:rsidRDefault="00FD6BCA" w:rsidP="007E54F1">
      <w:pPr>
        <w:ind w:right="-28"/>
      </w:pPr>
    </w:p>
    <w:p w14:paraId="49439B69" w14:textId="5B5EDE0F" w:rsidR="00FD6BCA" w:rsidRPr="007E54F1" w:rsidRDefault="00C05457" w:rsidP="007E54F1">
      <w:pPr>
        <w:ind w:right="-28"/>
      </w:pPr>
      <w:r w:rsidRPr="007E54F1">
        <w:t xml:space="preserve">Asimismo, </w:t>
      </w:r>
      <w:r w:rsidRPr="007E54F1">
        <w:rPr>
          <w:b/>
        </w:rPr>
        <w:t xml:space="preserve">EL SUJETO OBLIGADO </w:t>
      </w:r>
      <w:r w:rsidR="00185545" w:rsidRPr="007E54F1">
        <w:t xml:space="preserve">adjuntó a su respuesta </w:t>
      </w:r>
      <w:r w:rsidR="008B02FE" w:rsidRPr="007E54F1">
        <w:t>los</w:t>
      </w:r>
      <w:r w:rsidRPr="007E54F1">
        <w:t xml:space="preserve"> archivo</w:t>
      </w:r>
      <w:r w:rsidR="008B02FE" w:rsidRPr="007E54F1">
        <w:t>s</w:t>
      </w:r>
      <w:r w:rsidRPr="007E54F1">
        <w:t xml:space="preserve"> electrónico</w:t>
      </w:r>
      <w:r w:rsidR="008B02FE" w:rsidRPr="007E54F1">
        <w:t>s</w:t>
      </w:r>
      <w:r w:rsidRPr="007E54F1">
        <w:t xml:space="preserve"> que se describe</w:t>
      </w:r>
      <w:r w:rsidR="008B02FE" w:rsidRPr="007E54F1">
        <w:t>n</w:t>
      </w:r>
      <w:r w:rsidRPr="007E54F1">
        <w:t>:</w:t>
      </w:r>
    </w:p>
    <w:p w14:paraId="4CE72BD4" w14:textId="77777777" w:rsidR="00185545" w:rsidRPr="007E54F1" w:rsidRDefault="00185545" w:rsidP="007E54F1">
      <w:pPr>
        <w:ind w:right="-28"/>
        <w:rPr>
          <w:b/>
          <w:i/>
        </w:rPr>
      </w:pPr>
    </w:p>
    <w:p w14:paraId="01639B20" w14:textId="7800F290" w:rsidR="008B02FE" w:rsidRPr="007E54F1" w:rsidRDefault="00D61B93" w:rsidP="007E54F1">
      <w:pPr>
        <w:pStyle w:val="Prrafodelista"/>
        <w:numPr>
          <w:ilvl w:val="0"/>
          <w:numId w:val="22"/>
        </w:numPr>
        <w:ind w:right="-28"/>
        <w:rPr>
          <w:b/>
          <w:i/>
        </w:rPr>
      </w:pPr>
      <w:r w:rsidRPr="007E54F1">
        <w:rPr>
          <w:b/>
          <w:i/>
        </w:rPr>
        <w:t>Contestación 00293 Administración.pdf</w:t>
      </w:r>
    </w:p>
    <w:p w14:paraId="3BEF55ED" w14:textId="14C490EE" w:rsidR="008B02FE" w:rsidRPr="007E54F1" w:rsidRDefault="00D86AD1" w:rsidP="007E54F1">
      <w:pPr>
        <w:pStyle w:val="Prrafodelista"/>
      </w:pPr>
      <w:r w:rsidRPr="007E54F1">
        <w:t xml:space="preserve">Archivo constante de </w:t>
      </w:r>
      <w:r w:rsidR="00D61B93" w:rsidRPr="007E54F1">
        <w:t>tres</w:t>
      </w:r>
      <w:r w:rsidRPr="007E54F1">
        <w:t xml:space="preserve"> páginas, en las que se advierte el </w:t>
      </w:r>
      <w:r w:rsidR="00D61B93" w:rsidRPr="007E54F1">
        <w:t>oficio número MTM058/DA/228/2025, de fecha 07</w:t>
      </w:r>
      <w:r w:rsidRPr="007E54F1">
        <w:t xml:space="preserve"> de marzo de 2025, dirigido </w:t>
      </w:r>
      <w:r w:rsidR="00D61B93" w:rsidRPr="007E54F1">
        <w:t xml:space="preserve">a la Coordinadora de Transparencia, suscrito por la Directora de Administración, en el que le indicó de manera medular: </w:t>
      </w:r>
    </w:p>
    <w:p w14:paraId="46BEFE90" w14:textId="77777777" w:rsidR="00D86AD1" w:rsidRPr="007E54F1" w:rsidRDefault="00D86AD1" w:rsidP="007E54F1">
      <w:pPr>
        <w:pStyle w:val="Prrafodelista"/>
      </w:pPr>
    </w:p>
    <w:p w14:paraId="791EC8D1" w14:textId="2D4E5FCA" w:rsidR="005E3B61" w:rsidRPr="007E54F1" w:rsidRDefault="00D86AD1" w:rsidP="007E54F1">
      <w:pPr>
        <w:pStyle w:val="Prrafodelista"/>
      </w:pPr>
      <w:r w:rsidRPr="007E54F1">
        <w:t>“</w:t>
      </w:r>
      <w:r w:rsidR="00D61B93" w:rsidRPr="007E54F1">
        <w:t>…</w:t>
      </w:r>
    </w:p>
    <w:p w14:paraId="2E6A28E0" w14:textId="7CD21FBA" w:rsidR="00D61B93" w:rsidRPr="007E54F1" w:rsidRDefault="00D61B93" w:rsidP="007E54F1">
      <w:pPr>
        <w:pStyle w:val="Puesto"/>
        <w:ind w:firstLine="0"/>
        <w:rPr>
          <w:color w:val="auto"/>
        </w:rPr>
      </w:pPr>
      <w:r w:rsidRPr="007E54F1">
        <w:rPr>
          <w:color w:val="auto"/>
        </w:rPr>
        <w:lastRenderedPageBreak/>
        <w:t xml:space="preserve">Derivado de lo anterior informo a usted, </w:t>
      </w:r>
      <w:bookmarkStart w:id="8" w:name="_Hlk198126591"/>
      <w:r w:rsidRPr="007E54F1">
        <w:rPr>
          <w:color w:val="auto"/>
        </w:rPr>
        <w:t xml:space="preserve">que la información solicitada en el punto 1 y 3 se encuentra disponible en la página del Ayuntamiento de Tenancingo, Estado de México en el módulo de Transparencia, IPOMEX 4.0 con el link </w:t>
      </w:r>
      <w:r w:rsidR="008621FC" w:rsidRPr="007E54F1">
        <w:rPr>
          <w:color w:val="auto"/>
        </w:rPr>
        <w:t xml:space="preserve"> </w:t>
      </w:r>
      <w:r w:rsidR="008621FC" w:rsidRPr="007E54F1">
        <w:rPr>
          <w:noProof/>
          <w:color w:val="auto"/>
        </w:rPr>
        <w:drawing>
          <wp:inline distT="0" distB="0" distL="0" distR="0" wp14:anchorId="01732453" wp14:editId="3945414B">
            <wp:extent cx="3677163" cy="200053"/>
            <wp:effectExtent l="0" t="0" r="0" b="9525"/>
            <wp:docPr id="1608957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57427" name=""/>
                    <pic:cNvPicPr/>
                  </pic:nvPicPr>
                  <pic:blipFill>
                    <a:blip r:embed="rId11"/>
                    <a:stretch>
                      <a:fillRect/>
                    </a:stretch>
                  </pic:blipFill>
                  <pic:spPr>
                    <a:xfrm>
                      <a:off x="0" y="0"/>
                      <a:ext cx="3677163" cy="200053"/>
                    </a:xfrm>
                    <a:prstGeom prst="rect">
                      <a:avLst/>
                    </a:prstGeom>
                  </pic:spPr>
                </pic:pic>
              </a:graphicData>
            </a:graphic>
          </wp:inline>
        </w:drawing>
      </w:r>
      <w:r w:rsidRPr="007E54F1">
        <w:rPr>
          <w:color w:val="auto"/>
        </w:rPr>
        <w:t xml:space="preserve">  y el punto 2 en link</w:t>
      </w:r>
      <w:r w:rsidR="008621FC" w:rsidRPr="007E54F1">
        <w:rPr>
          <w:color w:val="auto"/>
        </w:rPr>
        <w:t xml:space="preserve"> </w:t>
      </w:r>
      <w:r w:rsidR="008621FC" w:rsidRPr="007E54F1">
        <w:rPr>
          <w:noProof/>
          <w:color w:val="auto"/>
        </w:rPr>
        <w:drawing>
          <wp:inline distT="0" distB="0" distL="0" distR="0" wp14:anchorId="24182F4A" wp14:editId="4EDAE227">
            <wp:extent cx="3648584" cy="171474"/>
            <wp:effectExtent l="0" t="0" r="0" b="0"/>
            <wp:docPr id="1498506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06647" name=""/>
                    <pic:cNvPicPr/>
                  </pic:nvPicPr>
                  <pic:blipFill>
                    <a:blip r:embed="rId12"/>
                    <a:stretch>
                      <a:fillRect/>
                    </a:stretch>
                  </pic:blipFill>
                  <pic:spPr>
                    <a:xfrm>
                      <a:off x="0" y="0"/>
                      <a:ext cx="3648584" cy="171474"/>
                    </a:xfrm>
                    <a:prstGeom prst="rect">
                      <a:avLst/>
                    </a:prstGeom>
                  </pic:spPr>
                </pic:pic>
              </a:graphicData>
            </a:graphic>
          </wp:inline>
        </w:drawing>
      </w:r>
    </w:p>
    <w:p w14:paraId="43309521" w14:textId="77777777" w:rsidR="00D61B93" w:rsidRPr="007E54F1" w:rsidRDefault="00D61B93" w:rsidP="007E54F1">
      <w:pPr>
        <w:pStyle w:val="Puesto"/>
        <w:ind w:firstLine="0"/>
        <w:rPr>
          <w:color w:val="auto"/>
        </w:rPr>
      </w:pPr>
    </w:p>
    <w:p w14:paraId="5E391AB4" w14:textId="6D11F871" w:rsidR="00D61B93" w:rsidRPr="007E54F1" w:rsidRDefault="00D61B93" w:rsidP="007E54F1">
      <w:pPr>
        <w:pStyle w:val="Puesto"/>
        <w:ind w:firstLine="0"/>
        <w:rPr>
          <w:color w:val="auto"/>
        </w:rPr>
      </w:pPr>
      <w:r w:rsidRPr="007E54F1">
        <w:rPr>
          <w:color w:val="auto"/>
        </w:rPr>
        <w:t xml:space="preserve">Y en lo que se refiere al punto 4. </w:t>
      </w:r>
      <w:r w:rsidRPr="007E54F1">
        <w:rPr>
          <w:b/>
          <w:bCs/>
          <w:color w:val="auto"/>
        </w:rPr>
        <w:t>Declaraciones patrimoniales y de Intereses.”…sic</w:t>
      </w:r>
      <w:r w:rsidRPr="007E54F1">
        <w:rPr>
          <w:color w:val="auto"/>
        </w:rPr>
        <w:t>, de acuerdo al Manual General de Organización de la Administración Pública del Municipio de Tenancingo, Estado de México, esta información no es de nuestra competencia.</w:t>
      </w:r>
      <w:bookmarkEnd w:id="8"/>
      <w:r w:rsidRPr="007E54F1">
        <w:rPr>
          <w:color w:val="auto"/>
        </w:rPr>
        <w:t>” Sic.</w:t>
      </w:r>
    </w:p>
    <w:p w14:paraId="3965AD14" w14:textId="77777777" w:rsidR="008B02FE" w:rsidRPr="007E54F1" w:rsidRDefault="008B02FE" w:rsidP="007E54F1">
      <w:pPr>
        <w:pStyle w:val="Prrafodelista"/>
        <w:rPr>
          <w:b/>
          <w:i/>
        </w:rPr>
      </w:pPr>
    </w:p>
    <w:p w14:paraId="66F06AF4" w14:textId="77777777" w:rsidR="00FD6BCA" w:rsidRPr="007E54F1" w:rsidRDefault="00C05457" w:rsidP="007E54F1">
      <w:pPr>
        <w:pStyle w:val="Ttulo2"/>
        <w:jc w:val="left"/>
      </w:pPr>
      <w:bookmarkStart w:id="9" w:name="_Toc199961236"/>
      <w:r w:rsidRPr="007E54F1">
        <w:t>DEL RECURSO DE REVISIÓN</w:t>
      </w:r>
      <w:bookmarkEnd w:id="9"/>
    </w:p>
    <w:p w14:paraId="3043F1F3" w14:textId="77777777" w:rsidR="00FD6BCA" w:rsidRPr="007E54F1" w:rsidRDefault="00C05457" w:rsidP="007E54F1">
      <w:pPr>
        <w:pStyle w:val="Ttulo3"/>
      </w:pPr>
      <w:bookmarkStart w:id="10" w:name="_Toc199961237"/>
      <w:r w:rsidRPr="007E54F1">
        <w:t>a) Interposición del Recurso de Revisión</w:t>
      </w:r>
      <w:bookmarkEnd w:id="10"/>
    </w:p>
    <w:p w14:paraId="39A5D2EA" w14:textId="6C2D1D09" w:rsidR="00FD6BCA" w:rsidRPr="007E54F1" w:rsidRDefault="00C05457" w:rsidP="007E54F1">
      <w:pPr>
        <w:ind w:right="-28"/>
      </w:pPr>
      <w:r w:rsidRPr="007E54F1">
        <w:t>El</w:t>
      </w:r>
      <w:r w:rsidRPr="007E54F1">
        <w:rPr>
          <w:b/>
        </w:rPr>
        <w:t xml:space="preserve"> </w:t>
      </w:r>
      <w:r w:rsidR="00854FBA" w:rsidRPr="007E54F1">
        <w:rPr>
          <w:b/>
        </w:rPr>
        <w:t xml:space="preserve">veintiséis </w:t>
      </w:r>
      <w:r w:rsidR="009C1C5D" w:rsidRPr="007E54F1">
        <w:rPr>
          <w:b/>
        </w:rPr>
        <w:t>de marzo</w:t>
      </w:r>
      <w:r w:rsidRPr="007E54F1">
        <w:rPr>
          <w:b/>
        </w:rPr>
        <w:t xml:space="preserve"> de dos mil veinticinco,</w:t>
      </w:r>
      <w:r w:rsidRPr="007E54F1">
        <w:t xml:space="preserve"> </w:t>
      </w:r>
      <w:r w:rsidRPr="007E54F1">
        <w:rPr>
          <w:b/>
        </w:rPr>
        <w:t>LA PARTE RECURRENTE</w:t>
      </w:r>
      <w:r w:rsidRPr="007E54F1">
        <w:t xml:space="preserve"> interpuso el recurso de revisión en contra de la respuesta emitida por el </w:t>
      </w:r>
      <w:r w:rsidRPr="007E54F1">
        <w:rPr>
          <w:b/>
        </w:rPr>
        <w:t>SUJETO OBLIGADO</w:t>
      </w:r>
      <w:r w:rsidRPr="007E54F1">
        <w:t xml:space="preserve">, mismo que fue registrado en el </w:t>
      </w:r>
      <w:r w:rsidRPr="007E54F1">
        <w:rPr>
          <w:b/>
        </w:rPr>
        <w:t>SAIMEX</w:t>
      </w:r>
      <w:r w:rsidRPr="007E54F1">
        <w:t xml:space="preserve"> con el número de expediente </w:t>
      </w:r>
      <w:r w:rsidR="00854FBA" w:rsidRPr="007E54F1">
        <w:rPr>
          <w:b/>
        </w:rPr>
        <w:t>03517/INFOEM/IP/RR/2025</w:t>
      </w:r>
      <w:r w:rsidRPr="007E54F1">
        <w:t>, y en el cual manifestó lo siguiente:</w:t>
      </w:r>
    </w:p>
    <w:p w14:paraId="29993A78" w14:textId="77777777" w:rsidR="00FD6BCA" w:rsidRPr="007E54F1" w:rsidRDefault="00FD6BCA" w:rsidP="007E54F1">
      <w:pPr>
        <w:tabs>
          <w:tab w:val="left" w:pos="4667"/>
        </w:tabs>
        <w:ind w:right="539"/>
      </w:pPr>
    </w:p>
    <w:p w14:paraId="7664D0CD" w14:textId="77777777" w:rsidR="00FD6BCA" w:rsidRPr="007E54F1" w:rsidRDefault="00C05457" w:rsidP="007E54F1">
      <w:pPr>
        <w:tabs>
          <w:tab w:val="left" w:pos="4667"/>
        </w:tabs>
        <w:ind w:left="567" w:right="539"/>
        <w:rPr>
          <w:b/>
        </w:rPr>
      </w:pPr>
      <w:r w:rsidRPr="007E54F1">
        <w:rPr>
          <w:b/>
        </w:rPr>
        <w:t>ACTO IMPUGNADO</w:t>
      </w:r>
    </w:p>
    <w:p w14:paraId="4302B1ED" w14:textId="1CE8C52F" w:rsidR="00AE61B9" w:rsidRPr="007E54F1" w:rsidRDefault="00C77CB8" w:rsidP="007E54F1">
      <w:pPr>
        <w:pStyle w:val="Puesto"/>
        <w:ind w:firstLine="0"/>
        <w:rPr>
          <w:b/>
          <w:color w:val="auto"/>
          <w:u w:val="single"/>
        </w:rPr>
      </w:pPr>
      <w:r w:rsidRPr="007E54F1">
        <w:rPr>
          <w:color w:val="auto"/>
        </w:rPr>
        <w:t xml:space="preserve">Solicité atentamente se me proporcione la siguiente información relacionada con los siguientes funcionarios: 1. Nancy Nápoles Pacheco 2. Víctor Avendaño Bustos 3. Erik García Reyes 4. Rosario Zepeda Galicia 5. Heliodoro Miranda Ávila 6. María </w:t>
      </w:r>
      <w:proofErr w:type="spellStart"/>
      <w:r w:rsidRPr="007E54F1">
        <w:rPr>
          <w:color w:val="auto"/>
        </w:rPr>
        <w:t>Angelica</w:t>
      </w:r>
      <w:proofErr w:type="spellEnd"/>
      <w:r w:rsidRPr="007E54F1">
        <w:rPr>
          <w:color w:val="auto"/>
        </w:rPr>
        <w:t xml:space="preserve"> García Puerta 7. Mauricio Gerardo García Quintana 8. Christian Mendoza Guadarrama 9. Héctor Alberto Chavero </w:t>
      </w:r>
      <w:proofErr w:type="spellStart"/>
      <w:r w:rsidRPr="007E54F1">
        <w:rPr>
          <w:color w:val="auto"/>
        </w:rPr>
        <w:t>Rolón</w:t>
      </w:r>
      <w:proofErr w:type="spellEnd"/>
      <w:r w:rsidRPr="007E54F1">
        <w:rPr>
          <w:color w:val="auto"/>
        </w:rPr>
        <w:t xml:space="preserve"> 10. Karina Alondra Mejía </w:t>
      </w:r>
      <w:proofErr w:type="spellStart"/>
      <w:r w:rsidRPr="007E54F1">
        <w:rPr>
          <w:color w:val="auto"/>
        </w:rPr>
        <w:t>Guardian</w:t>
      </w:r>
      <w:proofErr w:type="spellEnd"/>
      <w:r w:rsidRPr="007E54F1">
        <w:rPr>
          <w:color w:val="auto"/>
        </w:rPr>
        <w:t xml:space="preserve"> 1. Especificando: o Nombre completo. </w:t>
      </w:r>
      <w:proofErr w:type="gramStart"/>
      <w:r w:rsidRPr="007E54F1">
        <w:rPr>
          <w:color w:val="auto"/>
        </w:rPr>
        <w:t>o</w:t>
      </w:r>
      <w:proofErr w:type="gramEnd"/>
      <w:r w:rsidRPr="007E54F1">
        <w:rPr>
          <w:color w:val="auto"/>
        </w:rPr>
        <w:t xml:space="preserve"> Cargo o puesto. </w:t>
      </w:r>
      <w:proofErr w:type="gramStart"/>
      <w:r w:rsidRPr="007E54F1">
        <w:rPr>
          <w:color w:val="auto"/>
        </w:rPr>
        <w:t>o</w:t>
      </w:r>
      <w:proofErr w:type="gramEnd"/>
      <w:r w:rsidRPr="007E54F1">
        <w:rPr>
          <w:color w:val="auto"/>
        </w:rPr>
        <w:t xml:space="preserve"> Fecha de nombramiento y/o contratación. Especificando número de oficio. </w:t>
      </w:r>
      <w:proofErr w:type="gramStart"/>
      <w:r w:rsidRPr="007E54F1">
        <w:rPr>
          <w:color w:val="auto"/>
        </w:rPr>
        <w:t>o</w:t>
      </w:r>
      <w:proofErr w:type="gramEnd"/>
      <w:r w:rsidRPr="007E54F1">
        <w:rPr>
          <w:color w:val="auto"/>
        </w:rPr>
        <w:t xml:space="preserve"> Unidad administrativa en la que están adscritos. 2. Remuneraciones y prestaciones que reciben dichos funcionarios, incluyendo: o Sueldo base mensual </w:t>
      </w:r>
      <w:proofErr w:type="gramStart"/>
      <w:r w:rsidRPr="007E54F1">
        <w:rPr>
          <w:color w:val="auto"/>
        </w:rPr>
        <w:t>bruto y neto</w:t>
      </w:r>
      <w:proofErr w:type="gramEnd"/>
      <w:r w:rsidRPr="007E54F1">
        <w:rPr>
          <w:color w:val="auto"/>
        </w:rPr>
        <w:t xml:space="preserve">. </w:t>
      </w:r>
      <w:proofErr w:type="gramStart"/>
      <w:r w:rsidRPr="007E54F1">
        <w:rPr>
          <w:color w:val="auto"/>
        </w:rPr>
        <w:t>o</w:t>
      </w:r>
      <w:proofErr w:type="gramEnd"/>
      <w:r w:rsidRPr="007E54F1">
        <w:rPr>
          <w:color w:val="auto"/>
        </w:rPr>
        <w:t xml:space="preserve"> Compensaciones, bonos o estímulos adicionales. </w:t>
      </w:r>
      <w:proofErr w:type="gramStart"/>
      <w:r w:rsidRPr="007E54F1">
        <w:rPr>
          <w:color w:val="auto"/>
        </w:rPr>
        <w:t>o</w:t>
      </w:r>
      <w:proofErr w:type="gramEnd"/>
      <w:r w:rsidRPr="007E54F1">
        <w:rPr>
          <w:color w:val="auto"/>
        </w:rPr>
        <w:t xml:space="preserve"> Prestaciones laborales y beneficios en especie, en su caso. 3. Perfil y experiencia profesional, incluyendo: o Currículum vitae actualizado. </w:t>
      </w:r>
      <w:proofErr w:type="gramStart"/>
      <w:r w:rsidRPr="007E54F1">
        <w:rPr>
          <w:color w:val="auto"/>
        </w:rPr>
        <w:t>o</w:t>
      </w:r>
      <w:proofErr w:type="gramEnd"/>
      <w:r w:rsidRPr="007E54F1">
        <w:rPr>
          <w:color w:val="auto"/>
        </w:rPr>
        <w:t xml:space="preserve"> Nivel de estudios y títulos obtenidos. </w:t>
      </w:r>
      <w:proofErr w:type="gramStart"/>
      <w:r w:rsidRPr="007E54F1">
        <w:rPr>
          <w:color w:val="auto"/>
        </w:rPr>
        <w:t>o</w:t>
      </w:r>
      <w:proofErr w:type="gramEnd"/>
      <w:r w:rsidRPr="007E54F1">
        <w:rPr>
          <w:color w:val="auto"/>
        </w:rPr>
        <w:t xml:space="preserve"> Experiencia laboral relevante en el sector público o privado. 4. Declaraciones patrimoniales y de intereses. </w:t>
      </w:r>
      <w:r w:rsidRPr="007E54F1">
        <w:rPr>
          <w:b/>
          <w:color w:val="auto"/>
          <w:u w:val="single"/>
        </w:rPr>
        <w:t>Dicha información fue entregada incompleta, debido a que, no se incluyó la información curricular de algunos funcionarios ni sobre sus remuneraciones</w:t>
      </w:r>
    </w:p>
    <w:p w14:paraId="59975F9C" w14:textId="77777777" w:rsidR="00C77CB8" w:rsidRPr="007E54F1" w:rsidRDefault="00C77CB8" w:rsidP="007E54F1">
      <w:pPr>
        <w:tabs>
          <w:tab w:val="left" w:pos="4667"/>
        </w:tabs>
        <w:ind w:left="567" w:right="539"/>
        <w:rPr>
          <w:b/>
        </w:rPr>
      </w:pPr>
    </w:p>
    <w:p w14:paraId="0B6ADB89" w14:textId="77777777" w:rsidR="00FD6BCA" w:rsidRPr="007E54F1" w:rsidRDefault="00C05457" w:rsidP="007E54F1">
      <w:pPr>
        <w:tabs>
          <w:tab w:val="left" w:pos="4667"/>
        </w:tabs>
        <w:ind w:left="567" w:right="539"/>
        <w:rPr>
          <w:b/>
        </w:rPr>
      </w:pPr>
      <w:r w:rsidRPr="007E54F1">
        <w:rPr>
          <w:b/>
        </w:rPr>
        <w:t>RAZONES O MOTIVOS DE LA INCONFORMIDAD</w:t>
      </w:r>
      <w:r w:rsidRPr="007E54F1">
        <w:rPr>
          <w:b/>
        </w:rPr>
        <w:tab/>
      </w:r>
    </w:p>
    <w:p w14:paraId="1D8FDE08" w14:textId="5DD289BD" w:rsidR="00AE61B9" w:rsidRPr="007E54F1" w:rsidRDefault="00C77CB8" w:rsidP="007E54F1">
      <w:pPr>
        <w:pStyle w:val="Puesto"/>
        <w:ind w:firstLine="0"/>
        <w:rPr>
          <w:color w:val="auto"/>
        </w:rPr>
      </w:pPr>
      <w:r w:rsidRPr="007E54F1">
        <w:rPr>
          <w:color w:val="auto"/>
        </w:rPr>
        <w:t xml:space="preserve">C… con correo </w:t>
      </w:r>
      <w:proofErr w:type="gramStart"/>
      <w:r w:rsidRPr="007E54F1">
        <w:rPr>
          <w:color w:val="auto"/>
        </w:rPr>
        <w:t>electrónico …</w:t>
      </w:r>
      <w:proofErr w:type="gramEnd"/>
      <w:r w:rsidRPr="007E54F1">
        <w:rPr>
          <w:color w:val="auto"/>
        </w:rPr>
        <w:t xml:space="preserve">, con </w:t>
      </w:r>
      <w:proofErr w:type="spellStart"/>
      <w:r w:rsidRPr="007E54F1">
        <w:rPr>
          <w:color w:val="auto"/>
        </w:rPr>
        <w:t>numero</w:t>
      </w:r>
      <w:proofErr w:type="spellEnd"/>
      <w:r w:rsidRPr="007E54F1">
        <w:rPr>
          <w:color w:val="auto"/>
        </w:rPr>
        <w:t xml:space="preserve"> de teléfono …, en mi carácter de solicitante de información pública, comparezco a denunciar la actitud sistemática y deliberada del H. Ayuntamiento de TENANCINGO para bloquear el acceso a la información pública, violando flagrantemente la Ley de Transparencia y Acceso a la Información Pública del Estado de México y Municipios, y exigiendo sanciones inmediatas contra los servidores públicos responsables. No se trata de un error administrativo ni de una omisión menor: el Ayuntamiento ha incurrido en una conducta reiterada de opacidad, obstaculización y ocultamiento de información pública, lo que constituye una grave violación a los principios constitucionales de transparencia, rendición de cuentas y combate a la corrupción. I. ANTECEDENTES: TRES SOLICITUDES, TRES NEGATIVAS, TRES VIOLACIONES A LA LEY 1. Primera solicitud de información pública: o Fecha: 10/02/2025 o Folio: 00244/TENANCIN/IP/2025 o Respuesta del Ayuntamiento: Entrega parcial, sin justificación válida 2. Segunda solicitud de información pública: o Fecha: 19/02/2025 o Folio: 00273/TENANCIN/IP/2025 o Respuesta del Ayuntamiento: Entrega parcial nuevamente, sin justificación legal 3. Tercera solicitud de información pública: o Fecha: 28/03/2025 o Folio: 00293/TENANCIN/IP/2025 o Respuesta del Ayuntamiento: Entrega parcial, demostrando una política de ocultamiento de información Pese a haber seguido todos los procedimientos legales y presentar solicitudes claras y precisas, el Ayuntamiento se ha burlado de los principios de transparencia y ha violado sistemáticamente mi derecho a la información, negándose a cumplir con su obligación legal. II. FUNDAMENTOS LEGALES Y VIOLACIONES CLARAS A LA LEY 1. Violación al principio de máxima publicidad (Artículo 4) El artículo 4 establece que toda la información en posesión de los sujetos obligados es pública, salvo las excepciones expresamente señaladas en la ley. La negativa reiterada del Ayuntamiento es ilegal, injustificada y constituye un acto de opacidad deliberada. 2. Ocultamiento intencional de información y falta de documentación de actos administrativos (Artículos 18 y 19) El artículo 18 obliga a los sujetos obligados a documentar todo acto derivado del ejercicio de sus funciones, mientras que el artículo 19 presume que la información debe existir cuando está relacionada con sus atribuciones. Si el Ayuntamiento insiste en entregar la información solicitada de manera parcial, entonces está reconociendo una grave irregularidad administrativa, pues debió entregar la información que se </w:t>
      </w:r>
      <w:proofErr w:type="spellStart"/>
      <w:r w:rsidRPr="007E54F1">
        <w:rPr>
          <w:color w:val="auto"/>
        </w:rPr>
        <w:t>solicito</w:t>
      </w:r>
      <w:proofErr w:type="spellEnd"/>
      <w:r w:rsidRPr="007E54F1">
        <w:rPr>
          <w:color w:val="auto"/>
        </w:rPr>
        <w:t xml:space="preserve"> detalladamente. 3. Falta de actualización y acceso a información pública (Artículos 75, 76 y 77) Estos artículos establecen que la información debe estar disponible, accesible y actualizada. La negativa del Ayuntamiento demuestra una estrategia de opacidad, que impide la fiscalización y el acceso a la rendición de cuentas. 4. Responsabilidad administrativa y sanciones para servidores públicos responsables (Artículo 222) El artículo </w:t>
      </w:r>
      <w:r w:rsidRPr="007E54F1">
        <w:rPr>
          <w:color w:val="auto"/>
        </w:rPr>
        <w:lastRenderedPageBreak/>
        <w:t>222 establece sanciones para servidores públicos que: • Nieguen o retrasen injustificadamente la entrega de información pública. • Oculten o manipulen información pública. • Clasifiquen información de manera indebida. Dado que han transcurrido tres solicitudes sin que el Ayuntamiento entregue la información requerida, se configura una falta grave que amerita sanciones inmediatas. III. EXIGENCIAS CONCRETAS Ante esta violación flagrante y reiterada de la ley, exijo: 1. Que el INFOEM ordene de manera inmediata al H. Ayuntamiento de TENANCINGO la entrega de la información solicitada, sin más pretextos ni dilaciones. 2. Que se inicie un procedimiento sancionador contra los servidores públicos responsables, por incumplimiento deliberado de sus obligaciones de transparencia, con base en el artículo 222 de la Ley de Transparencia del Estado de México. 3. Que se dé vista al Órgano Interno de Control o Contraloría Municipal para que investigue la posible comisión de faltas administrativas graves, derivadas del ocultamiento de información pública. 4. Que se impongan sanciones ejemplares a los funcionarios responsables, incluyendo la posibilidad de inhabilitación y destitución, en caso de acreditarse dolo en la negativa de información. IV. SOLICITUD DE INTERVENCIÓN URGENTE Este escrito NO es una simple queja, sino una exigencia legítima y fundada de que el INFOEM cumpla su función de garantizar la transparencia y sancionar a quienes la obstaculizan deliberadamente. No aceptaré más excusas, respuestas evasivas ni simulaciones. El derecho a la información es un pilar fundamental de la democracia, y la actitud del Ayuntamiento de TENANCINGO es un atentado contra la legalidad, la rendición de cuentas y el Estado de Derecho. Exijo una resolución pronta, efectiva y con sanciones ejemplares. ATENTAMENTE C</w:t>
      </w:r>
      <w:r w:rsidR="00676DA7" w:rsidRPr="007E54F1">
        <w:rPr>
          <w:color w:val="auto"/>
        </w:rPr>
        <w:t>…</w:t>
      </w:r>
      <w:r w:rsidRPr="007E54F1">
        <w:rPr>
          <w:color w:val="auto"/>
        </w:rPr>
        <w:t xml:space="preserve"> Correo electrónico: </w:t>
      </w:r>
      <w:r w:rsidR="00676DA7" w:rsidRPr="007E54F1">
        <w:rPr>
          <w:color w:val="auto"/>
        </w:rPr>
        <w:t>…</w:t>
      </w:r>
      <w:r w:rsidRPr="007E54F1">
        <w:rPr>
          <w:color w:val="auto"/>
        </w:rPr>
        <w:t xml:space="preserve"> Teléfono: </w:t>
      </w:r>
      <w:r w:rsidR="00676DA7" w:rsidRPr="007E54F1">
        <w:rPr>
          <w:color w:val="auto"/>
        </w:rPr>
        <w:t>…</w:t>
      </w:r>
    </w:p>
    <w:p w14:paraId="6AC9B6B9" w14:textId="77777777" w:rsidR="00676DA7" w:rsidRPr="007E54F1" w:rsidRDefault="00676DA7" w:rsidP="007E54F1">
      <w:pPr>
        <w:rPr>
          <w:i/>
        </w:rPr>
      </w:pPr>
    </w:p>
    <w:p w14:paraId="10C2B86A" w14:textId="032B49FA" w:rsidR="00676DA7" w:rsidRPr="007E54F1" w:rsidRDefault="00676DA7" w:rsidP="007E54F1">
      <w:pPr>
        <w:rPr>
          <w:b/>
          <w:bCs/>
          <w:iCs/>
        </w:rPr>
      </w:pPr>
      <w:r w:rsidRPr="007E54F1">
        <w:rPr>
          <w:iCs/>
        </w:rPr>
        <w:t>Cabe señalar que</w:t>
      </w:r>
      <w:r w:rsidRPr="007E54F1">
        <w:t xml:space="preserve">, </w:t>
      </w:r>
      <w:r w:rsidRPr="007E54F1">
        <w:rPr>
          <w:b/>
        </w:rPr>
        <w:t xml:space="preserve">LA PARTE RECURRENTE </w:t>
      </w:r>
      <w:r w:rsidRPr="007E54F1">
        <w:t xml:space="preserve">adjuntó a su escrito de medio de impugnación el archivo denominado </w:t>
      </w:r>
      <w:proofErr w:type="spellStart"/>
      <w:r w:rsidRPr="007E54F1">
        <w:rPr>
          <w:b/>
          <w:bCs/>
          <w:i/>
          <w:iCs/>
        </w:rPr>
        <w:t>Contestación</w:t>
      </w:r>
      <w:proofErr w:type="spellEnd"/>
      <w:r w:rsidRPr="007E54F1">
        <w:rPr>
          <w:b/>
          <w:bCs/>
          <w:i/>
          <w:iCs/>
        </w:rPr>
        <w:t xml:space="preserve"> 00293 </w:t>
      </w:r>
      <w:proofErr w:type="spellStart"/>
      <w:r w:rsidRPr="007E54F1">
        <w:rPr>
          <w:b/>
          <w:bCs/>
          <w:i/>
          <w:iCs/>
        </w:rPr>
        <w:t>Administración</w:t>
      </w:r>
      <w:proofErr w:type="spellEnd"/>
      <w:r w:rsidRPr="007E54F1">
        <w:rPr>
          <w:b/>
          <w:bCs/>
          <w:i/>
          <w:iCs/>
        </w:rPr>
        <w:t xml:space="preserve"> (1).pdf</w:t>
      </w:r>
      <w:r w:rsidRPr="007E54F1">
        <w:t xml:space="preserve"> consistente en la respuesta proporcionada por </w:t>
      </w:r>
      <w:r w:rsidRPr="007E54F1">
        <w:rPr>
          <w:b/>
          <w:bCs/>
        </w:rPr>
        <w:t>EL SUJETO OBLIGADO.</w:t>
      </w:r>
    </w:p>
    <w:p w14:paraId="42FA5546" w14:textId="77777777" w:rsidR="00C77CB8" w:rsidRPr="007E54F1" w:rsidRDefault="00C77CB8" w:rsidP="007E54F1"/>
    <w:p w14:paraId="35E82371" w14:textId="77777777" w:rsidR="00FD6BCA" w:rsidRPr="007E54F1" w:rsidRDefault="00C05457" w:rsidP="007E54F1">
      <w:pPr>
        <w:pStyle w:val="Ttulo3"/>
      </w:pPr>
      <w:bookmarkStart w:id="11" w:name="_Toc199961238"/>
      <w:r w:rsidRPr="007E54F1">
        <w:t>b) Turno del Recurso de Revisión</w:t>
      </w:r>
      <w:bookmarkEnd w:id="11"/>
    </w:p>
    <w:p w14:paraId="25A46BBC" w14:textId="7591B751" w:rsidR="00FD6BCA" w:rsidRPr="007E54F1" w:rsidRDefault="00C05457" w:rsidP="007E54F1">
      <w:r w:rsidRPr="007E54F1">
        <w:t>Con fundamento en el artículo 185, fracción I de la Ley de Transparencia y Acceso a la Información Pública del Estado de México y Municipios, el</w:t>
      </w:r>
      <w:r w:rsidRPr="007E54F1">
        <w:rPr>
          <w:b/>
        </w:rPr>
        <w:t xml:space="preserve"> </w:t>
      </w:r>
      <w:r w:rsidR="00854FBA" w:rsidRPr="007E54F1">
        <w:rPr>
          <w:b/>
        </w:rPr>
        <w:t xml:space="preserve">veintiséis de marzo </w:t>
      </w:r>
      <w:r w:rsidRPr="007E54F1">
        <w:rPr>
          <w:b/>
        </w:rPr>
        <w:t>de dos mil veinticinco,</w:t>
      </w:r>
      <w:r w:rsidRPr="007E54F1">
        <w:t xml:space="preserve"> se turnó el recurso de revisión a través del SAIMEX a la </w:t>
      </w:r>
      <w:r w:rsidRPr="007E54F1">
        <w:rPr>
          <w:b/>
        </w:rPr>
        <w:t>Comisionada Sharon Cristina Morales Martínez</w:t>
      </w:r>
      <w:r w:rsidRPr="007E54F1">
        <w:t xml:space="preserve">, a efecto de decretar su admisión o </w:t>
      </w:r>
      <w:proofErr w:type="spellStart"/>
      <w:r w:rsidRPr="007E54F1">
        <w:t>desechamiento</w:t>
      </w:r>
      <w:proofErr w:type="spellEnd"/>
      <w:r w:rsidRPr="007E54F1">
        <w:t xml:space="preserve">. </w:t>
      </w:r>
    </w:p>
    <w:p w14:paraId="2FC5E24A" w14:textId="77777777" w:rsidR="00FD6BCA" w:rsidRPr="007E54F1" w:rsidRDefault="00FD6BCA" w:rsidP="007E54F1"/>
    <w:p w14:paraId="5587064D" w14:textId="77777777" w:rsidR="00FD6BCA" w:rsidRPr="007E54F1" w:rsidRDefault="00C05457" w:rsidP="007E54F1">
      <w:pPr>
        <w:pStyle w:val="Ttulo3"/>
      </w:pPr>
      <w:bookmarkStart w:id="12" w:name="_Toc199961239"/>
      <w:r w:rsidRPr="007E54F1">
        <w:lastRenderedPageBreak/>
        <w:t>c) Admisión del Recurso de Revisión</w:t>
      </w:r>
      <w:bookmarkEnd w:id="12"/>
    </w:p>
    <w:p w14:paraId="38099483" w14:textId="297D5222" w:rsidR="00FD6BCA" w:rsidRPr="007E54F1" w:rsidRDefault="00C05457" w:rsidP="007E54F1">
      <w:r w:rsidRPr="007E54F1">
        <w:t xml:space="preserve">El </w:t>
      </w:r>
      <w:r w:rsidR="00854FBA" w:rsidRPr="007E54F1">
        <w:rPr>
          <w:b/>
        </w:rPr>
        <w:t xml:space="preserve">treinta y uno </w:t>
      </w:r>
      <w:r w:rsidR="009C1C5D" w:rsidRPr="007E54F1">
        <w:rPr>
          <w:b/>
        </w:rPr>
        <w:t>de marzo</w:t>
      </w:r>
      <w:r w:rsidRPr="007E54F1">
        <w:rPr>
          <w:b/>
        </w:rPr>
        <w:t xml:space="preserve"> de dos mil veinticinco,</w:t>
      </w:r>
      <w:r w:rsidRPr="007E54F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7E54F1" w:rsidRDefault="00FD6BCA" w:rsidP="007E54F1"/>
    <w:p w14:paraId="42157D40" w14:textId="77777777" w:rsidR="00FD6BCA" w:rsidRPr="007E54F1" w:rsidRDefault="00C05457" w:rsidP="007E54F1">
      <w:pPr>
        <w:pStyle w:val="Ttulo3"/>
      </w:pPr>
      <w:bookmarkStart w:id="13" w:name="_Toc199961240"/>
      <w:r w:rsidRPr="007E54F1">
        <w:t>d) Informe Justificado del Sujeto Obligado</w:t>
      </w:r>
      <w:bookmarkEnd w:id="13"/>
    </w:p>
    <w:p w14:paraId="4D72DBF6" w14:textId="0BE014DD" w:rsidR="00FD6BCA" w:rsidRPr="007E54F1" w:rsidRDefault="00C05457" w:rsidP="007E54F1">
      <w:r w:rsidRPr="007E54F1">
        <w:t xml:space="preserve">El </w:t>
      </w:r>
      <w:r w:rsidR="00676DA7" w:rsidRPr="007E54F1">
        <w:rPr>
          <w:b/>
        </w:rPr>
        <w:t>nueve</w:t>
      </w:r>
      <w:r w:rsidR="00775677" w:rsidRPr="007E54F1">
        <w:rPr>
          <w:b/>
        </w:rPr>
        <w:t xml:space="preserve"> de abril</w:t>
      </w:r>
      <w:r w:rsidRPr="007E54F1">
        <w:rPr>
          <w:b/>
        </w:rPr>
        <w:t xml:space="preserve"> de dos mil veinticinco EL SUJETO OBLIGADO</w:t>
      </w:r>
      <w:r w:rsidRPr="007E54F1">
        <w:t xml:space="preserve"> rindió su informe justificado a través del </w:t>
      </w:r>
      <w:r w:rsidRPr="007E54F1">
        <w:rPr>
          <w:b/>
        </w:rPr>
        <w:t>SAIMEX</w:t>
      </w:r>
      <w:r w:rsidRPr="007E54F1">
        <w:t>, que contienen lo siguiente:</w:t>
      </w:r>
    </w:p>
    <w:p w14:paraId="4A6D52CB" w14:textId="77777777" w:rsidR="00FD6BCA" w:rsidRPr="007E54F1" w:rsidRDefault="00FD6BCA" w:rsidP="007E54F1"/>
    <w:p w14:paraId="586AEF9D" w14:textId="58E63D70" w:rsidR="00676DA7" w:rsidRPr="007E54F1" w:rsidRDefault="00676DA7" w:rsidP="007E54F1">
      <w:pPr>
        <w:pStyle w:val="Prrafodelista"/>
        <w:numPr>
          <w:ilvl w:val="0"/>
          <w:numId w:val="22"/>
        </w:numPr>
      </w:pPr>
      <w:r w:rsidRPr="007E54F1">
        <w:rPr>
          <w:b/>
        </w:rPr>
        <w:t>3517.pdf</w:t>
      </w:r>
      <w:r w:rsidR="005F7D45" w:rsidRPr="007E54F1">
        <w:rPr>
          <w:b/>
        </w:rPr>
        <w:t xml:space="preserve">.- </w:t>
      </w:r>
      <w:r w:rsidRPr="007E54F1">
        <w:t>Archivo constante de tres páginas, en las que se advierte el oficio número MTM058/DA/</w:t>
      </w:r>
      <w:r w:rsidR="00506DE1" w:rsidRPr="007E54F1">
        <w:t>406</w:t>
      </w:r>
      <w:r w:rsidRPr="007E54F1">
        <w:t xml:space="preserve">/2025, de fecha </w:t>
      </w:r>
      <w:r w:rsidR="00506DE1" w:rsidRPr="007E54F1">
        <w:t>08 de abril</w:t>
      </w:r>
      <w:r w:rsidRPr="007E54F1">
        <w:t xml:space="preserve"> de 2025, dirigido a la Coordinadora de Transparencia, suscrito por la Directora de Administración, en el que le indicó de manera medular: </w:t>
      </w:r>
    </w:p>
    <w:p w14:paraId="1977421D" w14:textId="77777777" w:rsidR="00676DA7" w:rsidRPr="007E54F1" w:rsidRDefault="00676DA7" w:rsidP="007E54F1">
      <w:pPr>
        <w:pStyle w:val="Prrafodelista"/>
      </w:pPr>
    </w:p>
    <w:p w14:paraId="0F30117A" w14:textId="77777777" w:rsidR="00676DA7" w:rsidRPr="007E54F1" w:rsidRDefault="00676DA7" w:rsidP="007E54F1">
      <w:pPr>
        <w:pStyle w:val="Prrafodelista"/>
        <w:spacing w:line="240" w:lineRule="auto"/>
        <w:rPr>
          <w:i/>
          <w:iCs/>
        </w:rPr>
      </w:pPr>
      <w:r w:rsidRPr="007E54F1">
        <w:rPr>
          <w:i/>
          <w:iCs/>
        </w:rPr>
        <w:t>“…</w:t>
      </w:r>
    </w:p>
    <w:p w14:paraId="2DD953D9" w14:textId="6C94FF2B" w:rsidR="0024291E" w:rsidRPr="007E54F1" w:rsidRDefault="0024291E" w:rsidP="007E54F1">
      <w:pPr>
        <w:pStyle w:val="Prrafodelista"/>
        <w:numPr>
          <w:ilvl w:val="0"/>
          <w:numId w:val="40"/>
        </w:numPr>
        <w:spacing w:line="240" w:lineRule="auto"/>
        <w:rPr>
          <w:i/>
          <w:iCs/>
        </w:rPr>
      </w:pPr>
      <w:r w:rsidRPr="007E54F1">
        <w:rPr>
          <w:i/>
          <w:iCs/>
        </w:rPr>
        <w:t>ESTRUCTURA CENTRALIZADA: fecha de ingreso 01 de enero de 2025.</w:t>
      </w:r>
    </w:p>
    <w:p w14:paraId="55366080" w14:textId="29D5EDC3" w:rsidR="0024291E" w:rsidRPr="007E54F1" w:rsidRDefault="0024291E" w:rsidP="007E54F1">
      <w:pPr>
        <w:pStyle w:val="Prrafodelista"/>
        <w:spacing w:line="240" w:lineRule="auto"/>
        <w:rPr>
          <w:i/>
          <w:iCs/>
        </w:rPr>
      </w:pPr>
      <w:r w:rsidRPr="007E54F1">
        <w:rPr>
          <w:i/>
          <w:iCs/>
        </w:rPr>
        <w:t>1. Oficina de Presidencia. Lic. Nancy Nápoles Pacheco</w:t>
      </w:r>
    </w:p>
    <w:p w14:paraId="50E3C839" w14:textId="63CA7B0E" w:rsidR="0024291E" w:rsidRPr="007E54F1" w:rsidRDefault="0024291E" w:rsidP="007E54F1">
      <w:pPr>
        <w:pStyle w:val="Prrafodelista"/>
        <w:spacing w:line="240" w:lineRule="auto"/>
        <w:rPr>
          <w:i/>
          <w:iCs/>
        </w:rPr>
      </w:pPr>
      <w:r w:rsidRPr="007E54F1">
        <w:rPr>
          <w:i/>
          <w:iCs/>
        </w:rPr>
        <w:t>Síndico Municipal. Víctor Avendaño Bustos</w:t>
      </w:r>
    </w:p>
    <w:p w14:paraId="43A72F05" w14:textId="2F0FAE16" w:rsidR="0024291E" w:rsidRPr="007E54F1" w:rsidRDefault="0024291E" w:rsidP="007E54F1">
      <w:pPr>
        <w:pStyle w:val="Prrafodelista"/>
        <w:numPr>
          <w:ilvl w:val="1"/>
          <w:numId w:val="41"/>
        </w:numPr>
        <w:spacing w:line="240" w:lineRule="auto"/>
        <w:rPr>
          <w:i/>
          <w:iCs/>
        </w:rPr>
      </w:pPr>
      <w:r w:rsidRPr="007E54F1">
        <w:rPr>
          <w:i/>
          <w:iCs/>
        </w:rPr>
        <w:t xml:space="preserve">Secretaría Particular. Lic. Héctor Alberto Chavero </w:t>
      </w:r>
      <w:proofErr w:type="spellStart"/>
      <w:r w:rsidRPr="007E54F1">
        <w:rPr>
          <w:i/>
          <w:iCs/>
        </w:rPr>
        <w:t>Rolon</w:t>
      </w:r>
      <w:proofErr w:type="spellEnd"/>
    </w:p>
    <w:p w14:paraId="2C28C4C1" w14:textId="1885D69B" w:rsidR="0024291E" w:rsidRPr="007E54F1" w:rsidRDefault="0024291E" w:rsidP="007E54F1">
      <w:pPr>
        <w:pStyle w:val="Prrafodelista"/>
        <w:numPr>
          <w:ilvl w:val="1"/>
          <w:numId w:val="41"/>
        </w:numPr>
        <w:spacing w:line="240" w:lineRule="auto"/>
        <w:rPr>
          <w:i/>
          <w:iCs/>
        </w:rPr>
      </w:pPr>
      <w:r w:rsidRPr="007E54F1">
        <w:rPr>
          <w:i/>
          <w:iCs/>
        </w:rPr>
        <w:t>Coordinación de Transparencia. Lcda. Karen Alondra Mejía Guardián</w:t>
      </w:r>
    </w:p>
    <w:p w14:paraId="08985741" w14:textId="0DC18DD5" w:rsidR="0024291E" w:rsidRPr="007E54F1" w:rsidRDefault="00957F45" w:rsidP="007E54F1">
      <w:pPr>
        <w:pStyle w:val="Prrafodelista"/>
        <w:spacing w:line="240" w:lineRule="auto"/>
        <w:ind w:left="360"/>
        <w:rPr>
          <w:i/>
          <w:iCs/>
        </w:rPr>
      </w:pPr>
      <w:r w:rsidRPr="007E54F1">
        <w:rPr>
          <w:i/>
          <w:iCs/>
        </w:rPr>
        <w:t xml:space="preserve">2. </w:t>
      </w:r>
      <w:r w:rsidR="0024291E" w:rsidRPr="007E54F1">
        <w:rPr>
          <w:i/>
          <w:iCs/>
        </w:rPr>
        <w:t>Secretaría del Ayuntamiento. Lcda. María Angélica García Puerta</w:t>
      </w:r>
    </w:p>
    <w:p w14:paraId="60B76569" w14:textId="77777777" w:rsidR="00957F45" w:rsidRPr="007E54F1" w:rsidRDefault="0024291E" w:rsidP="007E54F1">
      <w:pPr>
        <w:pStyle w:val="Prrafodelista"/>
        <w:spacing w:line="240" w:lineRule="auto"/>
        <w:ind w:left="360"/>
        <w:rPr>
          <w:i/>
          <w:iCs/>
        </w:rPr>
      </w:pPr>
      <w:r w:rsidRPr="007E54F1">
        <w:rPr>
          <w:i/>
          <w:iCs/>
        </w:rPr>
        <w:t>3. Tesorería del Ayuntamiento. Lic. Erik García Reyes</w:t>
      </w:r>
    </w:p>
    <w:p w14:paraId="7AF9C5CB" w14:textId="14029AB3" w:rsidR="0024291E" w:rsidRPr="007E54F1" w:rsidRDefault="00957F45" w:rsidP="007E54F1">
      <w:pPr>
        <w:pStyle w:val="Prrafodelista"/>
        <w:spacing w:line="240" w:lineRule="auto"/>
        <w:ind w:left="360"/>
        <w:rPr>
          <w:i/>
          <w:iCs/>
        </w:rPr>
      </w:pPr>
      <w:r w:rsidRPr="007E54F1">
        <w:rPr>
          <w:i/>
          <w:iCs/>
        </w:rPr>
        <w:t xml:space="preserve">4. </w:t>
      </w:r>
      <w:r w:rsidR="0024291E" w:rsidRPr="007E54F1">
        <w:rPr>
          <w:i/>
          <w:iCs/>
        </w:rPr>
        <w:t>Dirección de Obras Públicas, Arq. Heliodoro Miranda Ávila</w:t>
      </w:r>
    </w:p>
    <w:p w14:paraId="5DB77A3E" w14:textId="797D68AE" w:rsidR="0024291E" w:rsidRPr="007E54F1" w:rsidRDefault="0024291E" w:rsidP="007E54F1">
      <w:pPr>
        <w:pStyle w:val="Prrafodelista"/>
        <w:numPr>
          <w:ilvl w:val="0"/>
          <w:numId w:val="42"/>
        </w:numPr>
        <w:spacing w:line="240" w:lineRule="auto"/>
        <w:rPr>
          <w:i/>
          <w:iCs/>
        </w:rPr>
      </w:pPr>
      <w:r w:rsidRPr="007E54F1">
        <w:rPr>
          <w:i/>
          <w:iCs/>
        </w:rPr>
        <w:t>Dirección de Desarrollo Urbano. Arq. Mauricio Gerardo García Quintana</w:t>
      </w:r>
    </w:p>
    <w:p w14:paraId="2F3F810B" w14:textId="77777777" w:rsidR="00957F45" w:rsidRPr="007E54F1" w:rsidRDefault="0024291E" w:rsidP="007E54F1">
      <w:pPr>
        <w:pStyle w:val="Prrafodelista"/>
        <w:numPr>
          <w:ilvl w:val="0"/>
          <w:numId w:val="42"/>
        </w:numPr>
        <w:spacing w:line="240" w:lineRule="auto"/>
        <w:rPr>
          <w:i/>
          <w:iCs/>
        </w:rPr>
      </w:pPr>
      <w:r w:rsidRPr="007E54F1">
        <w:rPr>
          <w:i/>
          <w:iCs/>
        </w:rPr>
        <w:t>Dirección de Administración. Mtra. Rosario Zepeda Galicia</w:t>
      </w:r>
    </w:p>
    <w:p w14:paraId="4EF3C146" w14:textId="2B747F2C" w:rsidR="0024291E" w:rsidRPr="007E54F1" w:rsidRDefault="0024291E" w:rsidP="007E54F1">
      <w:pPr>
        <w:pStyle w:val="Prrafodelista"/>
        <w:numPr>
          <w:ilvl w:val="0"/>
          <w:numId w:val="42"/>
        </w:numPr>
        <w:spacing w:line="240" w:lineRule="auto"/>
        <w:rPr>
          <w:i/>
          <w:iCs/>
        </w:rPr>
      </w:pPr>
      <w:r w:rsidRPr="007E54F1">
        <w:rPr>
          <w:i/>
          <w:iCs/>
        </w:rPr>
        <w:t>Dirección de Turismo. Dr. Christian Mendoza Guadarrama</w:t>
      </w:r>
    </w:p>
    <w:p w14:paraId="4F6FFA68" w14:textId="77777777" w:rsidR="00957F45" w:rsidRPr="007E54F1" w:rsidRDefault="00957F45" w:rsidP="007E54F1">
      <w:pPr>
        <w:pStyle w:val="Prrafodelista"/>
        <w:spacing w:line="240" w:lineRule="auto"/>
        <w:ind w:left="360"/>
        <w:rPr>
          <w:i/>
          <w:iCs/>
        </w:rPr>
      </w:pPr>
    </w:p>
    <w:p w14:paraId="5D78B10B" w14:textId="77777777" w:rsidR="00957F45" w:rsidRPr="007E54F1" w:rsidRDefault="0024291E" w:rsidP="007E54F1">
      <w:pPr>
        <w:pStyle w:val="Prrafodelista"/>
        <w:spacing w:line="240" w:lineRule="auto"/>
        <w:ind w:left="360"/>
        <w:rPr>
          <w:i/>
          <w:iCs/>
        </w:rPr>
      </w:pPr>
      <w:r w:rsidRPr="007E54F1">
        <w:rPr>
          <w:i/>
          <w:iCs/>
        </w:rPr>
        <w:lastRenderedPageBreak/>
        <w:t>Y con relación a los puntos</w:t>
      </w:r>
      <w:r w:rsidRPr="007E54F1">
        <w:rPr>
          <w:b/>
          <w:bCs/>
          <w:i/>
          <w:iCs/>
        </w:rPr>
        <w:t xml:space="preserve"> 2. Remuneraciones y prestaciones que reciben dichos funcionarios, incluyendo o sueldo base mensual bruto y neto, o Compensaciones, bonos o estímulos adicionales, o Prestaciones laborales y beneficios en especie, en su caso… </w:t>
      </w:r>
      <w:r w:rsidRPr="007E54F1">
        <w:rPr>
          <w:i/>
          <w:iCs/>
        </w:rPr>
        <w:t>dicha información se encuentra disponible en la página del Ayuntamiento de Tenancingo, Estado de México en el módulo de Transparencia, apartado IPOMEX, versión 4.0. VIII</w:t>
      </w:r>
      <w:r w:rsidR="001D5052" w:rsidRPr="007E54F1">
        <w:rPr>
          <w:i/>
          <w:iCs/>
        </w:rPr>
        <w:t xml:space="preserve"> A Remuneraciones, o bien con el link </w:t>
      </w:r>
    </w:p>
    <w:p w14:paraId="256A2C04" w14:textId="77777777" w:rsidR="00957F45" w:rsidRPr="007E54F1" w:rsidRDefault="00957F45" w:rsidP="007E54F1">
      <w:pPr>
        <w:pStyle w:val="Prrafodelista"/>
        <w:spacing w:line="240" w:lineRule="auto"/>
        <w:ind w:left="360"/>
        <w:rPr>
          <w:i/>
          <w:iCs/>
        </w:rPr>
      </w:pPr>
    </w:p>
    <w:p w14:paraId="5AA7B2D4" w14:textId="5F196FB7" w:rsidR="00957F45" w:rsidRPr="007E54F1" w:rsidRDefault="00957F45" w:rsidP="007E54F1">
      <w:pPr>
        <w:pStyle w:val="Prrafodelista"/>
        <w:spacing w:line="240" w:lineRule="auto"/>
        <w:ind w:left="360"/>
        <w:rPr>
          <w:i/>
          <w:iCs/>
        </w:rPr>
      </w:pPr>
      <w:r w:rsidRPr="007E54F1">
        <w:rPr>
          <w:i/>
          <w:iCs/>
          <w:noProof/>
        </w:rPr>
        <w:drawing>
          <wp:inline distT="0" distB="0" distL="0" distR="0" wp14:anchorId="6DDFACCC" wp14:editId="38F50ED6">
            <wp:extent cx="5696745" cy="228632"/>
            <wp:effectExtent l="0" t="0" r="0" b="0"/>
            <wp:docPr id="1705727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27914" name=""/>
                    <pic:cNvPicPr/>
                  </pic:nvPicPr>
                  <pic:blipFill>
                    <a:blip r:embed="rId13"/>
                    <a:stretch>
                      <a:fillRect/>
                    </a:stretch>
                  </pic:blipFill>
                  <pic:spPr>
                    <a:xfrm>
                      <a:off x="0" y="0"/>
                      <a:ext cx="5696745" cy="228632"/>
                    </a:xfrm>
                    <a:prstGeom prst="rect">
                      <a:avLst/>
                    </a:prstGeom>
                  </pic:spPr>
                </pic:pic>
              </a:graphicData>
            </a:graphic>
          </wp:inline>
        </w:drawing>
      </w:r>
    </w:p>
    <w:p w14:paraId="042D6A33" w14:textId="77777777" w:rsidR="00957F45" w:rsidRPr="007E54F1" w:rsidRDefault="00957F45" w:rsidP="007E54F1">
      <w:pPr>
        <w:pStyle w:val="Prrafodelista"/>
        <w:spacing w:line="240" w:lineRule="auto"/>
        <w:ind w:left="360"/>
        <w:rPr>
          <w:i/>
          <w:iCs/>
        </w:rPr>
      </w:pPr>
    </w:p>
    <w:p w14:paraId="0BCB5518" w14:textId="77777777" w:rsidR="00957F45" w:rsidRPr="007E54F1" w:rsidRDefault="001D5052" w:rsidP="007E54F1">
      <w:pPr>
        <w:pStyle w:val="Prrafodelista"/>
        <w:spacing w:line="240" w:lineRule="auto"/>
        <w:ind w:left="360"/>
        <w:rPr>
          <w:i/>
          <w:iCs/>
        </w:rPr>
      </w:pPr>
      <w:r w:rsidRPr="007E54F1">
        <w:rPr>
          <w:i/>
          <w:iCs/>
        </w:rPr>
        <w:t xml:space="preserve">Así como el punto </w:t>
      </w:r>
      <w:r w:rsidRPr="007E54F1">
        <w:rPr>
          <w:b/>
          <w:bCs/>
          <w:i/>
          <w:iCs/>
        </w:rPr>
        <w:t xml:space="preserve">3. Perfil y experiencia profesional, incluyendo: o </w:t>
      </w:r>
      <w:proofErr w:type="spellStart"/>
      <w:r w:rsidRPr="007E54F1">
        <w:rPr>
          <w:b/>
          <w:bCs/>
          <w:i/>
          <w:iCs/>
        </w:rPr>
        <w:t>Curriculum</w:t>
      </w:r>
      <w:proofErr w:type="spellEnd"/>
      <w:r w:rsidRPr="007E54F1">
        <w:rPr>
          <w:b/>
          <w:bCs/>
          <w:i/>
          <w:iCs/>
        </w:rPr>
        <w:t xml:space="preserve"> Vitae actualizado, o Nivel de estudios y títulos obtenidos, o Experiencia laboral relevante en el sector público o privado¸ </w:t>
      </w:r>
      <w:r w:rsidRPr="007E54F1">
        <w:rPr>
          <w:i/>
          <w:iCs/>
        </w:rPr>
        <w:t>se localiza en la página del Ayuntamiento de Tenancingo, Estado de México en el módulo de Transparencia, apartado de IPOMEX, versión 4.0. XXI información Curricular y Sanciones, o bien con el link:</w:t>
      </w:r>
    </w:p>
    <w:p w14:paraId="1E8BD58F" w14:textId="77777777" w:rsidR="00957F45" w:rsidRPr="007E54F1" w:rsidRDefault="00957F45" w:rsidP="007E54F1">
      <w:pPr>
        <w:pStyle w:val="Prrafodelista"/>
        <w:spacing w:line="240" w:lineRule="auto"/>
        <w:ind w:left="360"/>
        <w:rPr>
          <w:i/>
          <w:iCs/>
        </w:rPr>
      </w:pPr>
    </w:p>
    <w:p w14:paraId="25897607" w14:textId="2CE9C087" w:rsidR="00957F45" w:rsidRPr="007E54F1" w:rsidRDefault="00957F45" w:rsidP="007E54F1">
      <w:pPr>
        <w:pStyle w:val="Prrafodelista"/>
        <w:spacing w:line="240" w:lineRule="auto"/>
        <w:ind w:left="360"/>
        <w:rPr>
          <w:i/>
          <w:iCs/>
        </w:rPr>
      </w:pPr>
      <w:r w:rsidRPr="007E54F1">
        <w:rPr>
          <w:i/>
          <w:iCs/>
          <w:noProof/>
        </w:rPr>
        <w:drawing>
          <wp:inline distT="0" distB="0" distL="0" distR="0" wp14:anchorId="0B8FDBEA" wp14:editId="28F46252">
            <wp:extent cx="5649113" cy="266737"/>
            <wp:effectExtent l="0" t="0" r="8890" b="0"/>
            <wp:docPr id="1376592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92763" name=""/>
                    <pic:cNvPicPr/>
                  </pic:nvPicPr>
                  <pic:blipFill>
                    <a:blip r:embed="rId14"/>
                    <a:stretch>
                      <a:fillRect/>
                    </a:stretch>
                  </pic:blipFill>
                  <pic:spPr>
                    <a:xfrm>
                      <a:off x="0" y="0"/>
                      <a:ext cx="5649113" cy="266737"/>
                    </a:xfrm>
                    <a:prstGeom prst="rect">
                      <a:avLst/>
                    </a:prstGeom>
                  </pic:spPr>
                </pic:pic>
              </a:graphicData>
            </a:graphic>
          </wp:inline>
        </w:drawing>
      </w:r>
    </w:p>
    <w:p w14:paraId="7E0738E4" w14:textId="77777777" w:rsidR="00957F45" w:rsidRPr="007E54F1" w:rsidRDefault="00957F45" w:rsidP="007E54F1">
      <w:pPr>
        <w:pStyle w:val="Prrafodelista"/>
        <w:spacing w:line="240" w:lineRule="auto"/>
        <w:ind w:left="360"/>
        <w:rPr>
          <w:i/>
          <w:iCs/>
        </w:rPr>
      </w:pPr>
    </w:p>
    <w:p w14:paraId="1FE6F8A4" w14:textId="15DB2DED" w:rsidR="00A3396F" w:rsidRPr="007E54F1" w:rsidRDefault="001D5052" w:rsidP="007E54F1">
      <w:pPr>
        <w:pStyle w:val="Prrafodelista"/>
        <w:spacing w:line="240" w:lineRule="auto"/>
        <w:ind w:left="360"/>
        <w:rPr>
          <w:i/>
          <w:iCs/>
        </w:rPr>
      </w:pPr>
      <w:r w:rsidRPr="007E54F1">
        <w:rPr>
          <w:i/>
          <w:iCs/>
        </w:rPr>
        <w:t xml:space="preserve">En cuanto al punto </w:t>
      </w:r>
      <w:r w:rsidRPr="007E54F1">
        <w:rPr>
          <w:b/>
          <w:bCs/>
          <w:i/>
          <w:iCs/>
        </w:rPr>
        <w:t xml:space="preserve">4. Declaraciones patrimoniales y de intereses, </w:t>
      </w:r>
      <w:r w:rsidRPr="007E54F1">
        <w:rPr>
          <w:i/>
          <w:iCs/>
        </w:rPr>
        <w:t>le informo a Usted, que no es de mi competencia.</w:t>
      </w:r>
      <w:r w:rsidR="00957F45" w:rsidRPr="007E54F1">
        <w:rPr>
          <w:i/>
          <w:iCs/>
        </w:rPr>
        <w:t xml:space="preserve">” </w:t>
      </w:r>
      <w:r w:rsidR="00676DA7" w:rsidRPr="007E54F1">
        <w:rPr>
          <w:i/>
          <w:iCs/>
        </w:rPr>
        <w:t>Sic.</w:t>
      </w:r>
    </w:p>
    <w:p w14:paraId="1B5E1CA2" w14:textId="77777777" w:rsidR="005F7D45" w:rsidRPr="007E54F1" w:rsidRDefault="005F7D45" w:rsidP="007E54F1">
      <w:pPr>
        <w:rPr>
          <w:rFonts w:cs="Arial"/>
          <w:noProof/>
        </w:rPr>
      </w:pPr>
    </w:p>
    <w:p w14:paraId="3D6EFA5B" w14:textId="21B30B95" w:rsidR="00CA1342" w:rsidRPr="007E54F1" w:rsidRDefault="00CA1342" w:rsidP="007E54F1">
      <w:pPr>
        <w:rPr>
          <w:rFonts w:cs="Tahoma"/>
          <w:bCs/>
        </w:rPr>
      </w:pPr>
      <w:r w:rsidRPr="007E54F1">
        <w:rPr>
          <w:rFonts w:cs="Tahoma"/>
          <w:bCs/>
        </w:rPr>
        <w:t xml:space="preserve">Esta información fue puesta a la vista de </w:t>
      </w:r>
      <w:r w:rsidRPr="007E54F1">
        <w:rPr>
          <w:rFonts w:cs="Tahoma"/>
          <w:b/>
        </w:rPr>
        <w:t xml:space="preserve">LA PARTE RECURRENTE </w:t>
      </w:r>
      <w:r w:rsidRPr="007E54F1">
        <w:rPr>
          <w:rFonts w:cs="Tahoma"/>
          <w:bCs/>
        </w:rPr>
        <w:t xml:space="preserve">el </w:t>
      </w:r>
      <w:r w:rsidR="00506DE1" w:rsidRPr="007E54F1">
        <w:rPr>
          <w:rFonts w:cs="Tahoma"/>
          <w:b/>
        </w:rPr>
        <w:t>catorce de mayo</w:t>
      </w:r>
      <w:r w:rsidRPr="007E54F1">
        <w:rPr>
          <w:rFonts w:cs="Tahoma"/>
          <w:b/>
        </w:rPr>
        <w:t xml:space="preserve"> de dos mil veinticinco</w:t>
      </w:r>
      <w:r w:rsidRPr="007E54F1">
        <w:rPr>
          <w:rFonts w:cs="Tahoma"/>
          <w:bCs/>
        </w:rPr>
        <w:t xml:space="preserve"> para que, en un plazo de tres días hábiles, manifestara lo que a su derecho conviniera, de conformidad con lo establecido en el </w:t>
      </w:r>
      <w:r w:rsidRPr="007E54F1">
        <w:rPr>
          <w:rFonts w:cs="Arial"/>
        </w:rPr>
        <w:t>artículo 185, fracción III de la Ley de Transparencia y Acceso a la Información Pública del Estado de México y Municipios</w:t>
      </w:r>
      <w:r w:rsidRPr="007E54F1">
        <w:rPr>
          <w:rFonts w:cs="Tahoma"/>
          <w:bCs/>
        </w:rPr>
        <w:t>.</w:t>
      </w:r>
    </w:p>
    <w:p w14:paraId="2D82B396" w14:textId="77777777" w:rsidR="00CA1342" w:rsidRPr="007E54F1" w:rsidRDefault="00CA1342" w:rsidP="007E54F1"/>
    <w:p w14:paraId="34B10D5F" w14:textId="77777777" w:rsidR="00FD6BCA" w:rsidRPr="007E54F1" w:rsidRDefault="00C05457" w:rsidP="007E54F1">
      <w:pPr>
        <w:pStyle w:val="Ttulo3"/>
      </w:pPr>
      <w:bookmarkStart w:id="14" w:name="_Toc199961241"/>
      <w:r w:rsidRPr="007E54F1">
        <w:t>e) Manifestaciones de la Parte Recurrente</w:t>
      </w:r>
      <w:bookmarkEnd w:id="14"/>
    </w:p>
    <w:p w14:paraId="075AC5D7" w14:textId="24D3392A" w:rsidR="00FD6BCA" w:rsidRPr="007E54F1" w:rsidRDefault="00C05457" w:rsidP="007E54F1">
      <w:r w:rsidRPr="007E54F1">
        <w:rPr>
          <w:b/>
        </w:rPr>
        <w:t>LA PARTE RECURRENTE</w:t>
      </w:r>
      <w:r w:rsidRPr="007E54F1">
        <w:t xml:space="preserve"> realizó</w:t>
      </w:r>
      <w:r w:rsidR="006B791C" w:rsidRPr="007E54F1">
        <w:t xml:space="preserve"> las manifestaciones que consideró pertinentes </w:t>
      </w:r>
      <w:r w:rsidRPr="007E54F1">
        <w:t xml:space="preserve">dentro del término legalmente concedido para tal efecto, </w:t>
      </w:r>
      <w:r w:rsidR="006B791C" w:rsidRPr="007E54F1">
        <w:t xml:space="preserve">por medio del archivo denominado </w:t>
      </w:r>
      <w:r w:rsidR="006B791C" w:rsidRPr="007E54F1">
        <w:rPr>
          <w:b/>
          <w:bCs/>
          <w:i/>
          <w:iCs/>
        </w:rPr>
        <w:t>alegatos infoem.pdf</w:t>
      </w:r>
      <w:r w:rsidRPr="007E54F1">
        <w:rPr>
          <w:b/>
          <w:bCs/>
          <w:i/>
          <w:iCs/>
        </w:rPr>
        <w:t>.</w:t>
      </w:r>
      <w:r w:rsidR="006B791C" w:rsidRPr="007E54F1">
        <w:rPr>
          <w:b/>
          <w:bCs/>
          <w:i/>
          <w:iCs/>
        </w:rPr>
        <w:t xml:space="preserve">, </w:t>
      </w:r>
      <w:r w:rsidR="006B791C" w:rsidRPr="007E54F1">
        <w:t>en los que se contiene lo referido en la parte de razones o motivos de inconformidad descritos en la interposición del recurso de revisión de mérito.</w:t>
      </w:r>
    </w:p>
    <w:p w14:paraId="406471CB" w14:textId="77777777" w:rsidR="00FD6BCA" w:rsidRPr="007E54F1" w:rsidRDefault="00FD6BCA" w:rsidP="007E54F1">
      <w:pPr>
        <w:pStyle w:val="Puesto"/>
        <w:ind w:firstLine="567"/>
        <w:jc w:val="right"/>
        <w:rPr>
          <w:color w:val="auto"/>
        </w:rPr>
      </w:pPr>
    </w:p>
    <w:p w14:paraId="686E446C" w14:textId="77777777" w:rsidR="00FD6BCA" w:rsidRPr="007E54F1" w:rsidRDefault="00C05457" w:rsidP="007E54F1">
      <w:pPr>
        <w:pStyle w:val="Ttulo3"/>
      </w:pPr>
      <w:bookmarkStart w:id="15" w:name="_Toc199961242"/>
      <w:r w:rsidRPr="007E54F1">
        <w:lastRenderedPageBreak/>
        <w:t>f) Cierre de instrucción</w:t>
      </w:r>
      <w:bookmarkEnd w:id="15"/>
    </w:p>
    <w:p w14:paraId="6943CE9B" w14:textId="074CB548" w:rsidR="00FD6BCA" w:rsidRPr="007E54F1" w:rsidRDefault="00C05457" w:rsidP="007E54F1">
      <w:r w:rsidRPr="007E54F1">
        <w:t xml:space="preserve">Al no existir diligencias pendientes por desahogar, el </w:t>
      </w:r>
      <w:r w:rsidR="006B791C" w:rsidRPr="007E54F1">
        <w:rPr>
          <w:b/>
        </w:rPr>
        <w:t>veinte</w:t>
      </w:r>
      <w:r w:rsidR="00713999" w:rsidRPr="007E54F1">
        <w:rPr>
          <w:b/>
        </w:rPr>
        <w:t xml:space="preserve"> de mayo</w:t>
      </w:r>
      <w:r w:rsidRPr="007E54F1">
        <w:rPr>
          <w:b/>
        </w:rPr>
        <w:t xml:space="preserve"> de dos mil veinticinco,</w:t>
      </w:r>
      <w:r w:rsidRPr="007E54F1">
        <w:t xml:space="preserve"> la </w:t>
      </w:r>
      <w:r w:rsidRPr="007E54F1">
        <w:rPr>
          <w:b/>
        </w:rPr>
        <w:t xml:space="preserve">Comisionada Sharon Cristina Morales Martínez </w:t>
      </w:r>
      <w:r w:rsidRPr="007E54F1">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7E54F1">
        <w:rPr>
          <w:b/>
          <w:bCs/>
        </w:rPr>
        <w:t>SAIMEX</w:t>
      </w:r>
      <w:r w:rsidRPr="007E54F1">
        <w:t>.</w:t>
      </w:r>
    </w:p>
    <w:p w14:paraId="6959F54F" w14:textId="77777777" w:rsidR="00FD6BCA" w:rsidRPr="007E54F1" w:rsidRDefault="00FD6BCA" w:rsidP="007E54F1"/>
    <w:p w14:paraId="3B24D235" w14:textId="77777777" w:rsidR="00FD6BCA" w:rsidRPr="007E54F1" w:rsidRDefault="00C05457" w:rsidP="007E54F1">
      <w:pPr>
        <w:pStyle w:val="Ttulo1"/>
      </w:pPr>
      <w:bookmarkStart w:id="16" w:name="_Toc199961243"/>
      <w:r w:rsidRPr="007E54F1">
        <w:t>CONSIDERANDOS</w:t>
      </w:r>
      <w:bookmarkEnd w:id="16"/>
    </w:p>
    <w:p w14:paraId="0EA1146C" w14:textId="77777777" w:rsidR="00FD6BCA" w:rsidRPr="007E54F1" w:rsidRDefault="00FD6BCA" w:rsidP="007E54F1">
      <w:pPr>
        <w:jc w:val="center"/>
        <w:rPr>
          <w:b/>
        </w:rPr>
      </w:pPr>
    </w:p>
    <w:p w14:paraId="54992C8E" w14:textId="77777777" w:rsidR="00FD6BCA" w:rsidRPr="007E54F1" w:rsidRDefault="00C05457" w:rsidP="007E54F1">
      <w:pPr>
        <w:pStyle w:val="Ttulo2"/>
      </w:pPr>
      <w:bookmarkStart w:id="17" w:name="_Toc199961244"/>
      <w:r w:rsidRPr="007E54F1">
        <w:t xml:space="preserve">PRIMERO. </w:t>
      </w:r>
      <w:proofErr w:type="spellStart"/>
      <w:r w:rsidRPr="007E54F1">
        <w:t>Procedibilidad</w:t>
      </w:r>
      <w:bookmarkEnd w:id="17"/>
      <w:proofErr w:type="spellEnd"/>
    </w:p>
    <w:p w14:paraId="134F1BB4" w14:textId="77777777" w:rsidR="00FD6BCA" w:rsidRPr="007E54F1" w:rsidRDefault="00C05457" w:rsidP="007E54F1">
      <w:pPr>
        <w:pStyle w:val="Ttulo3"/>
      </w:pPr>
      <w:bookmarkStart w:id="18" w:name="_Toc199961245"/>
      <w:r w:rsidRPr="007E54F1">
        <w:t>a) Competencia del Instituto</w:t>
      </w:r>
      <w:bookmarkEnd w:id="18"/>
    </w:p>
    <w:p w14:paraId="5CE6933E" w14:textId="072A0507" w:rsidR="00FD6BCA" w:rsidRPr="007E54F1" w:rsidRDefault="00C05457" w:rsidP="007E54F1">
      <w:r w:rsidRPr="007E54F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7E54F1">
        <w:t>séptimo</w:t>
      </w:r>
      <w:r w:rsidRPr="007E54F1">
        <w:t xml:space="preserve">, trigésimo </w:t>
      </w:r>
      <w:r w:rsidR="00014F69" w:rsidRPr="007E54F1">
        <w:t>octavo y trigésimo noveno</w:t>
      </w:r>
      <w:r w:rsidRPr="007E54F1">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7E54F1" w:rsidRDefault="00FD6BCA" w:rsidP="007E54F1"/>
    <w:p w14:paraId="16B1C211" w14:textId="77777777" w:rsidR="00FD6BCA" w:rsidRPr="007E54F1" w:rsidRDefault="00C05457" w:rsidP="007E54F1">
      <w:pPr>
        <w:pStyle w:val="Ttulo3"/>
      </w:pPr>
      <w:bookmarkStart w:id="19" w:name="_Toc199961246"/>
      <w:r w:rsidRPr="007E54F1">
        <w:lastRenderedPageBreak/>
        <w:t>b) Legitimidad de la parte recurrente</w:t>
      </w:r>
      <w:bookmarkEnd w:id="19"/>
    </w:p>
    <w:p w14:paraId="3C6ED633" w14:textId="77777777" w:rsidR="00FD6BCA" w:rsidRPr="007E54F1" w:rsidRDefault="00C05457" w:rsidP="007E54F1">
      <w:r w:rsidRPr="007E54F1">
        <w:t>El recurso de revisión fue interpuesto por parte legítima, ya que se presentó por la misma persona que formuló la solicitud de acceso a la Información Pública,</w:t>
      </w:r>
      <w:r w:rsidRPr="007E54F1">
        <w:rPr>
          <w:b/>
        </w:rPr>
        <w:t xml:space="preserve"> </w:t>
      </w:r>
      <w:r w:rsidRPr="007E54F1">
        <w:t>debido a que los datos de acceso</w:t>
      </w:r>
      <w:r w:rsidRPr="007E54F1">
        <w:rPr>
          <w:b/>
        </w:rPr>
        <w:t xml:space="preserve"> SAIMEX</w:t>
      </w:r>
      <w:r w:rsidRPr="007E54F1">
        <w:t xml:space="preserve"> son personales e irrepetibles.</w:t>
      </w:r>
    </w:p>
    <w:p w14:paraId="031C3C12" w14:textId="77777777" w:rsidR="00FD6BCA" w:rsidRPr="007E54F1" w:rsidRDefault="00FD6BCA" w:rsidP="007E54F1"/>
    <w:p w14:paraId="6D393456" w14:textId="77777777" w:rsidR="00FD6BCA" w:rsidRPr="007E54F1" w:rsidRDefault="00C05457" w:rsidP="007E54F1">
      <w:pPr>
        <w:pStyle w:val="Ttulo3"/>
      </w:pPr>
      <w:bookmarkStart w:id="20" w:name="_Toc199961247"/>
      <w:r w:rsidRPr="007E54F1">
        <w:t>c) Plazo para interponer el recurso</w:t>
      </w:r>
      <w:bookmarkEnd w:id="20"/>
    </w:p>
    <w:p w14:paraId="4699B11E" w14:textId="020D5A7A" w:rsidR="00FD6BCA" w:rsidRPr="007E54F1" w:rsidRDefault="00C05457" w:rsidP="007E54F1">
      <w:r w:rsidRPr="007E54F1">
        <w:rPr>
          <w:b/>
        </w:rPr>
        <w:t>EL SUJETO OBLIGADO</w:t>
      </w:r>
      <w:r w:rsidRPr="007E54F1">
        <w:t xml:space="preserve"> notificó la respuesta a la solicitud de acceso a la Información Pública el</w:t>
      </w:r>
      <w:r w:rsidR="00584AAE" w:rsidRPr="007E54F1">
        <w:t xml:space="preserve"> </w:t>
      </w:r>
      <w:r w:rsidR="00D610AE" w:rsidRPr="007E54F1">
        <w:rPr>
          <w:b/>
        </w:rPr>
        <w:t>veintiuno</w:t>
      </w:r>
      <w:r w:rsidR="009D5B66" w:rsidRPr="007E54F1">
        <w:rPr>
          <w:b/>
        </w:rPr>
        <w:t xml:space="preserve"> de marzo</w:t>
      </w:r>
      <w:r w:rsidRPr="007E54F1">
        <w:rPr>
          <w:b/>
        </w:rPr>
        <w:t xml:space="preserve"> de dos mil veinticinco,</w:t>
      </w:r>
      <w:r w:rsidRPr="007E54F1">
        <w:t xml:space="preserve"> y el recurso que nos ocupa se tuvo por presentado el </w:t>
      </w:r>
      <w:r w:rsidR="00D610AE" w:rsidRPr="007E54F1">
        <w:rPr>
          <w:b/>
        </w:rPr>
        <w:t>veintiséis</w:t>
      </w:r>
      <w:r w:rsidR="00014F69" w:rsidRPr="007E54F1">
        <w:rPr>
          <w:b/>
        </w:rPr>
        <w:t xml:space="preserve"> de marzo</w:t>
      </w:r>
      <w:r w:rsidRPr="007E54F1">
        <w:rPr>
          <w:b/>
        </w:rPr>
        <w:t xml:space="preserve"> de dos mil veinticinco</w:t>
      </w:r>
      <w:r w:rsidRPr="007E54F1">
        <w:t>; por lo tanto, éste se encuentra dentro del margen temporal previsto en el artículo 178 de la Ley de Transparencia y Acceso a la Información Pública del Estado de México y Municipios.</w:t>
      </w:r>
    </w:p>
    <w:p w14:paraId="720FA1F3" w14:textId="77777777" w:rsidR="00014F69" w:rsidRPr="007E54F1" w:rsidRDefault="00014F69" w:rsidP="007E54F1"/>
    <w:p w14:paraId="7A5A8442" w14:textId="77777777" w:rsidR="00FD6BCA" w:rsidRPr="007E54F1" w:rsidRDefault="00C05457" w:rsidP="007E54F1">
      <w:pPr>
        <w:pStyle w:val="Ttulo3"/>
      </w:pPr>
      <w:bookmarkStart w:id="21" w:name="_Toc199961248"/>
      <w:r w:rsidRPr="007E54F1">
        <w:t>d) Causal de Procedencia</w:t>
      </w:r>
      <w:bookmarkEnd w:id="21"/>
    </w:p>
    <w:p w14:paraId="7D90D0D5" w14:textId="619B3700" w:rsidR="00FD6BCA" w:rsidRPr="007E54F1" w:rsidRDefault="00C05457" w:rsidP="007E54F1">
      <w:r w:rsidRPr="007E54F1">
        <w:t>Resulta procedente la interposición del recurso de revisión, ya que se actualiza la causal de procedencia señalada en el artículo 179, fr</w:t>
      </w:r>
      <w:r w:rsidR="005F7D45" w:rsidRPr="007E54F1">
        <w:t xml:space="preserve">acción </w:t>
      </w:r>
      <w:r w:rsidR="005B3F0F" w:rsidRPr="007E54F1">
        <w:t>V</w:t>
      </w:r>
      <w:r w:rsidRPr="007E54F1">
        <w:t xml:space="preserve"> de la Ley de Transparencia y Acceso a la Información Pública del Estado de México y Municipios.</w:t>
      </w:r>
    </w:p>
    <w:p w14:paraId="37A87B22" w14:textId="77777777" w:rsidR="00FD6BCA" w:rsidRPr="007E54F1" w:rsidRDefault="00FD6BCA" w:rsidP="007E54F1"/>
    <w:p w14:paraId="558895A7" w14:textId="77777777" w:rsidR="00FD6BCA" w:rsidRPr="007E54F1" w:rsidRDefault="00C05457" w:rsidP="007E54F1">
      <w:pPr>
        <w:pStyle w:val="Ttulo3"/>
      </w:pPr>
      <w:bookmarkStart w:id="22" w:name="_Toc199961249"/>
      <w:r w:rsidRPr="007E54F1">
        <w:t>e) Requisitos formales para la interposición del recurso</w:t>
      </w:r>
      <w:bookmarkEnd w:id="22"/>
    </w:p>
    <w:p w14:paraId="7D3CD3F5" w14:textId="77777777" w:rsidR="00D610AE" w:rsidRPr="007E54F1" w:rsidRDefault="00D610AE" w:rsidP="007E54F1">
      <w:r w:rsidRPr="007E54F1">
        <w:rPr>
          <w:b/>
        </w:rPr>
        <w:t xml:space="preserve">LA PARTE RECURRENTE </w:t>
      </w:r>
      <w:r w:rsidRPr="007E54F1">
        <w:t>acreditó todos y cada uno de los elementos formales exigidos por el artículo 180 de la misma normatividad.</w:t>
      </w:r>
    </w:p>
    <w:p w14:paraId="479BEFBF" w14:textId="77777777" w:rsidR="00FD6BCA" w:rsidRPr="007E54F1" w:rsidRDefault="00FD6BCA" w:rsidP="007E54F1"/>
    <w:p w14:paraId="444955D1" w14:textId="77777777" w:rsidR="00FD6BCA" w:rsidRPr="007E54F1" w:rsidRDefault="00C05457" w:rsidP="007E54F1">
      <w:pPr>
        <w:pStyle w:val="Ttulo2"/>
      </w:pPr>
      <w:bookmarkStart w:id="23" w:name="_Toc199961250"/>
      <w:r w:rsidRPr="007E54F1">
        <w:lastRenderedPageBreak/>
        <w:t>SEGUNDO. Estudio de Fondo</w:t>
      </w:r>
      <w:bookmarkEnd w:id="23"/>
    </w:p>
    <w:p w14:paraId="4C6E0E30" w14:textId="77777777" w:rsidR="00FD6BCA" w:rsidRPr="007E54F1" w:rsidRDefault="00C05457" w:rsidP="007E54F1">
      <w:pPr>
        <w:pStyle w:val="Ttulo3"/>
      </w:pPr>
      <w:bookmarkStart w:id="24" w:name="_Toc199961251"/>
      <w:r w:rsidRPr="007E54F1">
        <w:t>a) Mandato de transparencia y responsabilidad del Sujeto Obligado</w:t>
      </w:r>
      <w:bookmarkEnd w:id="24"/>
    </w:p>
    <w:p w14:paraId="35232A6B" w14:textId="77777777" w:rsidR="00FD6BCA" w:rsidRPr="007E54F1" w:rsidRDefault="00C05457" w:rsidP="007E54F1">
      <w:r w:rsidRPr="007E54F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7E54F1" w:rsidRDefault="00FD6BCA" w:rsidP="007E54F1"/>
    <w:p w14:paraId="42828F48" w14:textId="77777777" w:rsidR="00FD6BCA" w:rsidRPr="007E54F1" w:rsidRDefault="00C05457" w:rsidP="007E54F1">
      <w:pPr>
        <w:spacing w:line="240" w:lineRule="auto"/>
        <w:ind w:left="567" w:right="539"/>
        <w:rPr>
          <w:b/>
          <w:i/>
        </w:rPr>
      </w:pPr>
      <w:r w:rsidRPr="007E54F1">
        <w:rPr>
          <w:b/>
          <w:i/>
        </w:rPr>
        <w:t>Constitución Política de los Estados Unidos Mexicanos</w:t>
      </w:r>
    </w:p>
    <w:p w14:paraId="25BF92BA" w14:textId="77777777" w:rsidR="00FD6BCA" w:rsidRPr="007E54F1" w:rsidRDefault="00C05457" w:rsidP="007E54F1">
      <w:pPr>
        <w:spacing w:line="240" w:lineRule="auto"/>
        <w:ind w:left="567" w:right="539"/>
        <w:rPr>
          <w:b/>
          <w:i/>
        </w:rPr>
      </w:pPr>
      <w:r w:rsidRPr="007E54F1">
        <w:rPr>
          <w:b/>
          <w:i/>
        </w:rPr>
        <w:t>“Artículo 6.</w:t>
      </w:r>
    </w:p>
    <w:p w14:paraId="416CADAE" w14:textId="77777777" w:rsidR="00FD6BCA" w:rsidRPr="007E54F1" w:rsidRDefault="00C05457" w:rsidP="007E54F1">
      <w:pPr>
        <w:spacing w:line="240" w:lineRule="auto"/>
        <w:ind w:left="567" w:right="539"/>
        <w:rPr>
          <w:i/>
        </w:rPr>
      </w:pPr>
      <w:r w:rsidRPr="007E54F1">
        <w:rPr>
          <w:i/>
        </w:rPr>
        <w:t>(…)</w:t>
      </w:r>
    </w:p>
    <w:p w14:paraId="014FCA53" w14:textId="77777777" w:rsidR="00FD6BCA" w:rsidRPr="007E54F1" w:rsidRDefault="00C05457" w:rsidP="007E54F1">
      <w:pPr>
        <w:spacing w:line="240" w:lineRule="auto"/>
        <w:ind w:left="567" w:right="539"/>
        <w:rPr>
          <w:i/>
        </w:rPr>
      </w:pPr>
      <w:r w:rsidRPr="007E54F1">
        <w:rPr>
          <w:i/>
        </w:rPr>
        <w:t>Para efectos de lo dispuesto en el presente artículo se observará lo siguiente:</w:t>
      </w:r>
    </w:p>
    <w:p w14:paraId="6D118B05" w14:textId="77777777" w:rsidR="00FD6BCA" w:rsidRPr="007E54F1" w:rsidRDefault="00C05457" w:rsidP="007E54F1">
      <w:pPr>
        <w:spacing w:line="240" w:lineRule="auto"/>
        <w:ind w:left="567" w:right="539"/>
        <w:rPr>
          <w:b/>
          <w:i/>
        </w:rPr>
      </w:pPr>
      <w:r w:rsidRPr="007E54F1">
        <w:rPr>
          <w:b/>
          <w:i/>
        </w:rPr>
        <w:t>A</w:t>
      </w:r>
      <w:r w:rsidRPr="007E54F1">
        <w:rPr>
          <w:i/>
        </w:rPr>
        <w:t xml:space="preserve">. </w:t>
      </w:r>
      <w:r w:rsidRPr="007E54F1">
        <w:rPr>
          <w:b/>
          <w:i/>
        </w:rPr>
        <w:t>Para el ejercicio del derecho de acceso a la información</w:t>
      </w:r>
      <w:r w:rsidRPr="007E54F1">
        <w:rPr>
          <w:i/>
        </w:rPr>
        <w:t xml:space="preserve">, la Federación y </w:t>
      </w:r>
      <w:r w:rsidRPr="007E54F1">
        <w:rPr>
          <w:b/>
          <w:i/>
        </w:rPr>
        <w:t>las entidades federativas, en el ámbito de sus respectivas competencias, se regirán por los siguientes principios y bases:</w:t>
      </w:r>
    </w:p>
    <w:p w14:paraId="550F39D9" w14:textId="77777777" w:rsidR="00FD6BCA" w:rsidRPr="007E54F1" w:rsidRDefault="00C05457" w:rsidP="007E54F1">
      <w:pPr>
        <w:spacing w:line="240" w:lineRule="auto"/>
        <w:ind w:left="567" w:right="539"/>
        <w:rPr>
          <w:i/>
        </w:rPr>
      </w:pPr>
      <w:r w:rsidRPr="007E54F1">
        <w:rPr>
          <w:b/>
          <w:i/>
        </w:rPr>
        <w:t xml:space="preserve">I. </w:t>
      </w:r>
      <w:r w:rsidRPr="007E54F1">
        <w:rPr>
          <w:b/>
          <w:i/>
        </w:rPr>
        <w:tab/>
        <w:t>Toda la información en posesión de cualquier</w:t>
      </w:r>
      <w:r w:rsidRPr="007E54F1">
        <w:rPr>
          <w:i/>
        </w:rPr>
        <w:t xml:space="preserve"> </w:t>
      </w:r>
      <w:r w:rsidRPr="007E54F1">
        <w:rPr>
          <w:b/>
          <w:i/>
        </w:rPr>
        <w:t>autoridad</w:t>
      </w:r>
      <w:r w:rsidRPr="007E54F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E54F1">
        <w:rPr>
          <w:b/>
          <w:i/>
        </w:rPr>
        <w:t>municipal</w:t>
      </w:r>
      <w:r w:rsidRPr="007E54F1">
        <w:rPr>
          <w:i/>
        </w:rPr>
        <w:t xml:space="preserve">, </w:t>
      </w:r>
      <w:r w:rsidRPr="007E54F1">
        <w:rPr>
          <w:b/>
          <w:i/>
        </w:rPr>
        <w:t>es pública</w:t>
      </w:r>
      <w:r w:rsidRPr="007E54F1">
        <w:rPr>
          <w:i/>
        </w:rPr>
        <w:t xml:space="preserve"> y sólo podrá ser reservada temporalmente por razones de interés público y seguridad nacional, en los términos que fijen las leyes. </w:t>
      </w:r>
      <w:r w:rsidRPr="007E54F1">
        <w:rPr>
          <w:b/>
          <w:i/>
        </w:rPr>
        <w:t>En la interpretación de este derecho deberá prevalecer el principio de máxima publicidad. Los sujetos obligados deberán documentar todo acto que derive del ejercicio de sus facultades, competencias o funciones</w:t>
      </w:r>
      <w:r w:rsidRPr="007E54F1">
        <w:rPr>
          <w:i/>
        </w:rPr>
        <w:t>, la ley determinará los supuestos específicos bajo los cuales procederá la declaración de inexistencia de la información.”</w:t>
      </w:r>
    </w:p>
    <w:p w14:paraId="442B28F3" w14:textId="77777777" w:rsidR="00FD6BCA" w:rsidRPr="007E54F1" w:rsidRDefault="00FD6BCA" w:rsidP="007E54F1">
      <w:pPr>
        <w:spacing w:line="240" w:lineRule="auto"/>
        <w:ind w:left="567" w:right="539"/>
        <w:rPr>
          <w:b/>
          <w:i/>
        </w:rPr>
      </w:pPr>
    </w:p>
    <w:p w14:paraId="46CEDA6D" w14:textId="77777777" w:rsidR="00FD6BCA" w:rsidRPr="007E54F1" w:rsidRDefault="00C05457" w:rsidP="007E54F1">
      <w:pPr>
        <w:spacing w:line="240" w:lineRule="auto"/>
        <w:ind w:left="567" w:right="539"/>
        <w:rPr>
          <w:b/>
          <w:i/>
        </w:rPr>
      </w:pPr>
      <w:r w:rsidRPr="007E54F1">
        <w:rPr>
          <w:b/>
          <w:i/>
        </w:rPr>
        <w:t>Constitución Política del Estado Libre y Soberano de México</w:t>
      </w:r>
    </w:p>
    <w:p w14:paraId="089E73DF" w14:textId="77777777" w:rsidR="00FD6BCA" w:rsidRPr="007E54F1" w:rsidRDefault="00C05457" w:rsidP="007E54F1">
      <w:pPr>
        <w:spacing w:line="240" w:lineRule="auto"/>
        <w:ind w:left="567" w:right="539"/>
        <w:rPr>
          <w:i/>
        </w:rPr>
      </w:pPr>
      <w:r w:rsidRPr="007E54F1">
        <w:rPr>
          <w:b/>
          <w:i/>
        </w:rPr>
        <w:t>“Artículo 5</w:t>
      </w:r>
      <w:r w:rsidRPr="007E54F1">
        <w:rPr>
          <w:i/>
        </w:rPr>
        <w:t xml:space="preserve">.- </w:t>
      </w:r>
    </w:p>
    <w:p w14:paraId="41CFF78C" w14:textId="77777777" w:rsidR="00FD6BCA" w:rsidRPr="007E54F1" w:rsidRDefault="00C05457" w:rsidP="007E54F1">
      <w:pPr>
        <w:spacing w:line="240" w:lineRule="auto"/>
        <w:ind w:left="567" w:right="539"/>
        <w:rPr>
          <w:i/>
        </w:rPr>
      </w:pPr>
      <w:r w:rsidRPr="007E54F1">
        <w:rPr>
          <w:i/>
        </w:rPr>
        <w:t>(…)</w:t>
      </w:r>
    </w:p>
    <w:p w14:paraId="62587EEA" w14:textId="77777777" w:rsidR="00FD6BCA" w:rsidRPr="007E54F1" w:rsidRDefault="00C05457" w:rsidP="007E54F1">
      <w:pPr>
        <w:spacing w:line="240" w:lineRule="auto"/>
        <w:ind w:left="567" w:right="539"/>
        <w:rPr>
          <w:i/>
        </w:rPr>
      </w:pPr>
      <w:r w:rsidRPr="007E54F1">
        <w:rPr>
          <w:b/>
          <w:i/>
        </w:rPr>
        <w:t>El derecho a la información será garantizado por el Estado. La ley establecerá las previsiones que permitan asegurar la protección, el respeto y la difusión de este derecho</w:t>
      </w:r>
      <w:r w:rsidRPr="007E54F1">
        <w:rPr>
          <w:i/>
        </w:rPr>
        <w:t>.</w:t>
      </w:r>
    </w:p>
    <w:p w14:paraId="7809B4AA" w14:textId="77777777" w:rsidR="00FD6BCA" w:rsidRPr="007E54F1" w:rsidRDefault="00C05457" w:rsidP="007E54F1">
      <w:pPr>
        <w:spacing w:line="240" w:lineRule="auto"/>
        <w:ind w:left="567" w:right="539"/>
        <w:rPr>
          <w:i/>
        </w:rPr>
      </w:pPr>
      <w:r w:rsidRPr="007E54F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7E54F1" w:rsidRDefault="00C05457" w:rsidP="007E54F1">
      <w:pPr>
        <w:spacing w:line="240" w:lineRule="auto"/>
        <w:ind w:left="567" w:right="539"/>
        <w:rPr>
          <w:i/>
        </w:rPr>
      </w:pPr>
      <w:r w:rsidRPr="007E54F1">
        <w:rPr>
          <w:b/>
          <w:i/>
        </w:rPr>
        <w:t>Este derecho se regirá por los principios y bases siguientes</w:t>
      </w:r>
      <w:r w:rsidRPr="007E54F1">
        <w:rPr>
          <w:i/>
        </w:rPr>
        <w:t>:</w:t>
      </w:r>
    </w:p>
    <w:p w14:paraId="63EEB4C0" w14:textId="77777777" w:rsidR="00FD6BCA" w:rsidRPr="007E54F1" w:rsidRDefault="00C05457" w:rsidP="007E54F1">
      <w:pPr>
        <w:spacing w:line="240" w:lineRule="auto"/>
        <w:ind w:left="567" w:right="539"/>
        <w:rPr>
          <w:i/>
        </w:rPr>
      </w:pPr>
      <w:r w:rsidRPr="007E54F1">
        <w:rPr>
          <w:b/>
          <w:i/>
        </w:rPr>
        <w:lastRenderedPageBreak/>
        <w:t>I. Toda la información en posesión de cualquier autoridad, entidad, órgano y organismos de los</w:t>
      </w:r>
      <w:r w:rsidRPr="007E54F1">
        <w:rPr>
          <w:i/>
        </w:rPr>
        <w:t xml:space="preserve"> Poderes Ejecutivo, Legislativo y Judicial, órganos autónomos, partidos políticos, fideicomisos y fondos públicos estatales y </w:t>
      </w:r>
      <w:r w:rsidRPr="007E54F1">
        <w:rPr>
          <w:b/>
          <w:i/>
        </w:rPr>
        <w:t>municipales</w:t>
      </w:r>
      <w:r w:rsidRPr="007E54F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E54F1">
        <w:rPr>
          <w:b/>
          <w:i/>
        </w:rPr>
        <w:t>es pública</w:t>
      </w:r>
      <w:r w:rsidRPr="007E54F1">
        <w:rPr>
          <w:i/>
        </w:rPr>
        <w:t xml:space="preserve"> y sólo podrá ser reservada temporalmente por razones previstas en la Constitución Política de los Estados Unidos Mexicanos de interés público y seguridad, en los términos que fijen las leyes. </w:t>
      </w:r>
      <w:r w:rsidRPr="007E54F1">
        <w:rPr>
          <w:b/>
          <w:i/>
        </w:rPr>
        <w:t>En la interpretación de este derecho deberá prevalecer el principio de máxima publicidad</w:t>
      </w:r>
      <w:r w:rsidRPr="007E54F1">
        <w:rPr>
          <w:i/>
        </w:rPr>
        <w:t xml:space="preserve">. </w:t>
      </w:r>
      <w:r w:rsidRPr="007E54F1">
        <w:rPr>
          <w:b/>
          <w:i/>
        </w:rPr>
        <w:t>Los sujetos obligados deberán documentar todo acto que derive del ejercicio de sus facultades, competencias o funciones</w:t>
      </w:r>
      <w:r w:rsidRPr="007E54F1">
        <w:rPr>
          <w:i/>
        </w:rPr>
        <w:t>, la ley determinará los supuestos específicos bajo los cuales procederá la declaración de inexistencia de la información.”</w:t>
      </w:r>
    </w:p>
    <w:p w14:paraId="5799120D" w14:textId="77777777" w:rsidR="00FD6BCA" w:rsidRPr="007E54F1" w:rsidRDefault="00FD6BCA" w:rsidP="007E54F1">
      <w:pPr>
        <w:rPr>
          <w:b/>
          <w:i/>
        </w:rPr>
      </w:pPr>
    </w:p>
    <w:p w14:paraId="26565092" w14:textId="77777777" w:rsidR="00FD6BCA" w:rsidRPr="007E54F1" w:rsidRDefault="00C05457" w:rsidP="007E54F1">
      <w:pPr>
        <w:rPr>
          <w:i/>
        </w:rPr>
      </w:pPr>
      <w:r w:rsidRPr="007E54F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E54F1">
        <w:rPr>
          <w:i/>
        </w:rPr>
        <w:t>por los principios de simplicidad, rapidez, gratuidad del procedimiento, auxilio y orientación a los particulares.</w:t>
      </w:r>
    </w:p>
    <w:p w14:paraId="585DAE54" w14:textId="77777777" w:rsidR="00FD6BCA" w:rsidRPr="007E54F1" w:rsidRDefault="00FD6BCA" w:rsidP="007E54F1">
      <w:pPr>
        <w:rPr>
          <w:i/>
        </w:rPr>
      </w:pPr>
    </w:p>
    <w:p w14:paraId="1CF5BCB0" w14:textId="77777777" w:rsidR="00FD6BCA" w:rsidRPr="007E54F1" w:rsidRDefault="00C05457" w:rsidP="007E54F1">
      <w:pPr>
        <w:rPr>
          <w:i/>
        </w:rPr>
      </w:pPr>
      <w:r w:rsidRPr="007E54F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7E54F1" w:rsidRDefault="00FD6BCA" w:rsidP="007E54F1"/>
    <w:p w14:paraId="31619CBE" w14:textId="77777777" w:rsidR="00FD6BCA" w:rsidRPr="007E54F1" w:rsidRDefault="00C05457" w:rsidP="007E54F1">
      <w:r w:rsidRPr="007E54F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7E54F1" w:rsidRDefault="00FD6BCA" w:rsidP="007E54F1"/>
    <w:p w14:paraId="52EA6FF3" w14:textId="77777777" w:rsidR="00FD6BCA" w:rsidRPr="007E54F1" w:rsidRDefault="00C05457" w:rsidP="007E54F1">
      <w:r w:rsidRPr="007E54F1">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7E54F1" w:rsidRDefault="00FD6BCA" w:rsidP="007E54F1"/>
    <w:p w14:paraId="4E68E529" w14:textId="77777777" w:rsidR="00FD6BCA" w:rsidRPr="007E54F1" w:rsidRDefault="00C05457" w:rsidP="007E54F1">
      <w:r w:rsidRPr="007E54F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7E54F1" w:rsidRDefault="00FD6BCA" w:rsidP="007E54F1"/>
    <w:p w14:paraId="1FABAB69" w14:textId="77777777" w:rsidR="00FD6BCA" w:rsidRPr="007E54F1" w:rsidRDefault="00C05457" w:rsidP="007E54F1">
      <w:pPr>
        <w:pStyle w:val="Ttulo3"/>
      </w:pPr>
      <w:bookmarkStart w:id="25" w:name="_49x2ik5" w:colFirst="0" w:colLast="0"/>
      <w:bookmarkStart w:id="26" w:name="_Toc199961252"/>
      <w:bookmarkEnd w:id="25"/>
      <w:r w:rsidRPr="007E54F1">
        <w:t>b) Controversia a resolver</w:t>
      </w:r>
      <w:bookmarkEnd w:id="26"/>
    </w:p>
    <w:p w14:paraId="7013E503" w14:textId="0BF865E0" w:rsidR="00FC2F12" w:rsidRPr="007E54F1" w:rsidRDefault="00C05457" w:rsidP="007E54F1">
      <w:pPr>
        <w:rPr>
          <w:i/>
        </w:rPr>
      </w:pPr>
      <w:r w:rsidRPr="007E54F1">
        <w:t xml:space="preserve">Con el objeto de ilustrar la controversia planteada, resulta conveniente precisar que, una vez realizado el estudio de las constancias que integran el expediente en que se actúa, se desprende que </w:t>
      </w:r>
      <w:r w:rsidRPr="007E54F1">
        <w:rPr>
          <w:b/>
        </w:rPr>
        <w:t>LA PARTE RECURRENTE</w:t>
      </w:r>
      <w:r w:rsidRPr="007E54F1">
        <w:t xml:space="preserve"> solicitó</w:t>
      </w:r>
      <w:r w:rsidR="00FC2F12" w:rsidRPr="007E54F1">
        <w:t xml:space="preserve"> </w:t>
      </w:r>
      <w:r w:rsidR="00972666" w:rsidRPr="007E54F1">
        <w:t>información relacionada con los siguientes funcionarios:</w:t>
      </w:r>
      <w:r w:rsidR="00972666" w:rsidRPr="007E54F1">
        <w:rPr>
          <w:i/>
        </w:rPr>
        <w:t xml:space="preserve"> </w:t>
      </w:r>
    </w:p>
    <w:p w14:paraId="331AA751" w14:textId="77777777" w:rsidR="00421FFF" w:rsidRPr="007E54F1" w:rsidRDefault="00421FFF" w:rsidP="007E54F1"/>
    <w:p w14:paraId="74C030D3" w14:textId="77777777" w:rsidR="00FC2F12" w:rsidRPr="007E54F1" w:rsidRDefault="00972666" w:rsidP="007E54F1">
      <w:pPr>
        <w:pStyle w:val="Puesto"/>
        <w:ind w:firstLine="0"/>
        <w:rPr>
          <w:color w:val="auto"/>
        </w:rPr>
      </w:pPr>
      <w:r w:rsidRPr="007E54F1">
        <w:rPr>
          <w:color w:val="auto"/>
        </w:rPr>
        <w:t xml:space="preserve">1. Nancy Nápoles Pacheco </w:t>
      </w:r>
    </w:p>
    <w:p w14:paraId="78E1D13B" w14:textId="77777777" w:rsidR="00FC2F12" w:rsidRPr="007E54F1" w:rsidRDefault="00972666" w:rsidP="007E54F1">
      <w:pPr>
        <w:pStyle w:val="Puesto"/>
        <w:ind w:firstLine="0"/>
        <w:rPr>
          <w:color w:val="auto"/>
        </w:rPr>
      </w:pPr>
      <w:r w:rsidRPr="007E54F1">
        <w:rPr>
          <w:color w:val="auto"/>
        </w:rPr>
        <w:t xml:space="preserve">2. Víctor Avendaño Bustos </w:t>
      </w:r>
    </w:p>
    <w:p w14:paraId="3D342E95" w14:textId="77777777" w:rsidR="00FC2F12" w:rsidRPr="007E54F1" w:rsidRDefault="00972666" w:rsidP="007E54F1">
      <w:pPr>
        <w:pStyle w:val="Puesto"/>
        <w:ind w:firstLine="0"/>
        <w:rPr>
          <w:color w:val="auto"/>
        </w:rPr>
      </w:pPr>
      <w:r w:rsidRPr="007E54F1">
        <w:rPr>
          <w:color w:val="auto"/>
        </w:rPr>
        <w:t xml:space="preserve">3. Erik García Reyes </w:t>
      </w:r>
    </w:p>
    <w:p w14:paraId="16EB8361" w14:textId="77777777" w:rsidR="00FC2F12" w:rsidRPr="007E54F1" w:rsidRDefault="00972666" w:rsidP="007E54F1">
      <w:pPr>
        <w:pStyle w:val="Puesto"/>
        <w:ind w:firstLine="0"/>
        <w:rPr>
          <w:color w:val="auto"/>
        </w:rPr>
      </w:pPr>
      <w:r w:rsidRPr="007E54F1">
        <w:rPr>
          <w:color w:val="auto"/>
        </w:rPr>
        <w:t xml:space="preserve">4. Rosario Zepeda Galicia </w:t>
      </w:r>
    </w:p>
    <w:p w14:paraId="1BC3B793" w14:textId="77777777" w:rsidR="00FC2F12" w:rsidRPr="007E54F1" w:rsidRDefault="00972666" w:rsidP="007E54F1">
      <w:pPr>
        <w:pStyle w:val="Puesto"/>
        <w:ind w:firstLine="0"/>
        <w:rPr>
          <w:color w:val="auto"/>
        </w:rPr>
      </w:pPr>
      <w:r w:rsidRPr="007E54F1">
        <w:rPr>
          <w:color w:val="auto"/>
        </w:rPr>
        <w:t xml:space="preserve">5. Heliodoro Miranda Ávila </w:t>
      </w:r>
    </w:p>
    <w:p w14:paraId="76413B76" w14:textId="77777777" w:rsidR="00FC2F12" w:rsidRPr="007E54F1" w:rsidRDefault="00972666" w:rsidP="007E54F1">
      <w:pPr>
        <w:pStyle w:val="Puesto"/>
        <w:ind w:firstLine="0"/>
        <w:rPr>
          <w:color w:val="auto"/>
        </w:rPr>
      </w:pPr>
      <w:r w:rsidRPr="007E54F1">
        <w:rPr>
          <w:color w:val="auto"/>
        </w:rPr>
        <w:t xml:space="preserve">6. María </w:t>
      </w:r>
      <w:proofErr w:type="spellStart"/>
      <w:r w:rsidRPr="007E54F1">
        <w:rPr>
          <w:color w:val="auto"/>
        </w:rPr>
        <w:t>Angelica</w:t>
      </w:r>
      <w:proofErr w:type="spellEnd"/>
      <w:r w:rsidRPr="007E54F1">
        <w:rPr>
          <w:color w:val="auto"/>
        </w:rPr>
        <w:t xml:space="preserve"> García Puerta </w:t>
      </w:r>
    </w:p>
    <w:p w14:paraId="09ECCA9A" w14:textId="77777777" w:rsidR="00FC2F12" w:rsidRPr="007E54F1" w:rsidRDefault="00972666" w:rsidP="007E54F1">
      <w:pPr>
        <w:pStyle w:val="Puesto"/>
        <w:ind w:firstLine="0"/>
        <w:rPr>
          <w:color w:val="auto"/>
        </w:rPr>
      </w:pPr>
      <w:r w:rsidRPr="007E54F1">
        <w:rPr>
          <w:color w:val="auto"/>
        </w:rPr>
        <w:t xml:space="preserve">7. Mauricio Gerardo García Quintana </w:t>
      </w:r>
    </w:p>
    <w:p w14:paraId="1A7BF159" w14:textId="77777777" w:rsidR="00FC2F12" w:rsidRPr="007E54F1" w:rsidRDefault="00972666" w:rsidP="007E54F1">
      <w:pPr>
        <w:pStyle w:val="Puesto"/>
        <w:ind w:firstLine="0"/>
        <w:rPr>
          <w:color w:val="auto"/>
        </w:rPr>
      </w:pPr>
      <w:r w:rsidRPr="007E54F1">
        <w:rPr>
          <w:color w:val="auto"/>
        </w:rPr>
        <w:lastRenderedPageBreak/>
        <w:t xml:space="preserve">8. Christian Mendoza Guadarrama </w:t>
      </w:r>
    </w:p>
    <w:p w14:paraId="6BAD3AF2" w14:textId="77777777" w:rsidR="00FC2F12" w:rsidRPr="007E54F1" w:rsidRDefault="00972666" w:rsidP="007E54F1">
      <w:pPr>
        <w:pStyle w:val="Puesto"/>
        <w:ind w:firstLine="0"/>
        <w:rPr>
          <w:color w:val="auto"/>
        </w:rPr>
      </w:pPr>
      <w:r w:rsidRPr="007E54F1">
        <w:rPr>
          <w:color w:val="auto"/>
        </w:rPr>
        <w:t xml:space="preserve">9. Héctor Alberto Chavero </w:t>
      </w:r>
      <w:proofErr w:type="spellStart"/>
      <w:r w:rsidRPr="007E54F1">
        <w:rPr>
          <w:color w:val="auto"/>
        </w:rPr>
        <w:t>Rolón</w:t>
      </w:r>
      <w:proofErr w:type="spellEnd"/>
      <w:r w:rsidRPr="007E54F1">
        <w:rPr>
          <w:color w:val="auto"/>
        </w:rPr>
        <w:t xml:space="preserve"> </w:t>
      </w:r>
    </w:p>
    <w:p w14:paraId="011A2C44" w14:textId="77777777" w:rsidR="00FC2F12" w:rsidRPr="007E54F1" w:rsidRDefault="00972666" w:rsidP="007E54F1">
      <w:pPr>
        <w:pStyle w:val="Puesto"/>
        <w:ind w:firstLine="0"/>
        <w:rPr>
          <w:color w:val="auto"/>
        </w:rPr>
      </w:pPr>
      <w:r w:rsidRPr="007E54F1">
        <w:rPr>
          <w:color w:val="auto"/>
        </w:rPr>
        <w:t xml:space="preserve">10. Karina Alondra Mejía </w:t>
      </w:r>
      <w:proofErr w:type="spellStart"/>
      <w:r w:rsidRPr="007E54F1">
        <w:rPr>
          <w:color w:val="auto"/>
        </w:rPr>
        <w:t>Guardian</w:t>
      </w:r>
      <w:proofErr w:type="spellEnd"/>
      <w:r w:rsidRPr="007E54F1">
        <w:rPr>
          <w:color w:val="auto"/>
        </w:rPr>
        <w:t xml:space="preserve"> </w:t>
      </w:r>
    </w:p>
    <w:p w14:paraId="5E1101B1" w14:textId="77777777" w:rsidR="00FC2F12" w:rsidRPr="007E54F1" w:rsidRDefault="00FC2F12" w:rsidP="007E54F1">
      <w:pPr>
        <w:pStyle w:val="Puesto"/>
        <w:ind w:firstLine="0"/>
        <w:rPr>
          <w:color w:val="auto"/>
        </w:rPr>
      </w:pPr>
    </w:p>
    <w:p w14:paraId="79497927" w14:textId="77777777" w:rsidR="00FC2F12" w:rsidRPr="007E54F1" w:rsidRDefault="00972666" w:rsidP="007E54F1">
      <w:pPr>
        <w:pStyle w:val="Puesto"/>
        <w:ind w:firstLine="0"/>
        <w:rPr>
          <w:color w:val="auto"/>
        </w:rPr>
      </w:pPr>
      <w:r w:rsidRPr="007E54F1">
        <w:rPr>
          <w:color w:val="auto"/>
        </w:rPr>
        <w:t xml:space="preserve">1. Especificando: o Nombre completo. </w:t>
      </w:r>
      <w:proofErr w:type="gramStart"/>
      <w:r w:rsidRPr="007E54F1">
        <w:rPr>
          <w:color w:val="auto"/>
        </w:rPr>
        <w:t>o</w:t>
      </w:r>
      <w:proofErr w:type="gramEnd"/>
      <w:r w:rsidRPr="007E54F1">
        <w:rPr>
          <w:color w:val="auto"/>
        </w:rPr>
        <w:t xml:space="preserve"> Cargo o puesto. </w:t>
      </w:r>
      <w:proofErr w:type="gramStart"/>
      <w:r w:rsidRPr="007E54F1">
        <w:rPr>
          <w:color w:val="auto"/>
        </w:rPr>
        <w:t>o</w:t>
      </w:r>
      <w:proofErr w:type="gramEnd"/>
      <w:r w:rsidRPr="007E54F1">
        <w:rPr>
          <w:color w:val="auto"/>
        </w:rPr>
        <w:t xml:space="preserve"> Fecha de nombramiento y/o contratación. Especificando número de oficio. </w:t>
      </w:r>
      <w:proofErr w:type="gramStart"/>
      <w:r w:rsidRPr="007E54F1">
        <w:rPr>
          <w:color w:val="auto"/>
        </w:rPr>
        <w:t>o</w:t>
      </w:r>
      <w:proofErr w:type="gramEnd"/>
      <w:r w:rsidRPr="007E54F1">
        <w:rPr>
          <w:color w:val="auto"/>
        </w:rPr>
        <w:t xml:space="preserve"> Unidad administrativa en la que están adscritos. </w:t>
      </w:r>
    </w:p>
    <w:p w14:paraId="7A3707A4" w14:textId="77777777" w:rsidR="00FC2F12" w:rsidRPr="007E54F1" w:rsidRDefault="00FC2F12" w:rsidP="007E54F1">
      <w:pPr>
        <w:pStyle w:val="Puesto"/>
        <w:ind w:firstLine="0"/>
        <w:rPr>
          <w:color w:val="auto"/>
        </w:rPr>
      </w:pPr>
    </w:p>
    <w:p w14:paraId="59BAD3B6" w14:textId="77777777" w:rsidR="00FC2F12" w:rsidRPr="007E54F1" w:rsidRDefault="00972666" w:rsidP="007E54F1">
      <w:pPr>
        <w:pStyle w:val="Puesto"/>
        <w:ind w:firstLine="0"/>
        <w:rPr>
          <w:color w:val="auto"/>
        </w:rPr>
      </w:pPr>
      <w:r w:rsidRPr="007E54F1">
        <w:rPr>
          <w:color w:val="auto"/>
        </w:rPr>
        <w:t xml:space="preserve">2. Remuneraciones y prestaciones que reciben dichos funcionarios, incluyendo: o Sueldo base mensual </w:t>
      </w:r>
      <w:proofErr w:type="gramStart"/>
      <w:r w:rsidRPr="007E54F1">
        <w:rPr>
          <w:color w:val="auto"/>
        </w:rPr>
        <w:t>bruto y neto</w:t>
      </w:r>
      <w:proofErr w:type="gramEnd"/>
      <w:r w:rsidRPr="007E54F1">
        <w:rPr>
          <w:color w:val="auto"/>
        </w:rPr>
        <w:t xml:space="preserve">. </w:t>
      </w:r>
      <w:proofErr w:type="gramStart"/>
      <w:r w:rsidRPr="007E54F1">
        <w:rPr>
          <w:color w:val="auto"/>
        </w:rPr>
        <w:t>o</w:t>
      </w:r>
      <w:proofErr w:type="gramEnd"/>
      <w:r w:rsidRPr="007E54F1">
        <w:rPr>
          <w:color w:val="auto"/>
        </w:rPr>
        <w:t xml:space="preserve"> Compensaciones, bonos o estímulos adicionales. </w:t>
      </w:r>
      <w:proofErr w:type="gramStart"/>
      <w:r w:rsidRPr="007E54F1">
        <w:rPr>
          <w:color w:val="auto"/>
        </w:rPr>
        <w:t>o</w:t>
      </w:r>
      <w:proofErr w:type="gramEnd"/>
      <w:r w:rsidRPr="007E54F1">
        <w:rPr>
          <w:color w:val="auto"/>
        </w:rPr>
        <w:t xml:space="preserve"> Prestaciones laborales y beneficios en especie, en su caso. </w:t>
      </w:r>
    </w:p>
    <w:p w14:paraId="3C0C1438" w14:textId="77777777" w:rsidR="00FC2F12" w:rsidRPr="007E54F1" w:rsidRDefault="00FC2F12" w:rsidP="007E54F1">
      <w:pPr>
        <w:pStyle w:val="Puesto"/>
        <w:ind w:firstLine="0"/>
        <w:rPr>
          <w:color w:val="auto"/>
        </w:rPr>
      </w:pPr>
    </w:p>
    <w:p w14:paraId="14F45A1D" w14:textId="77777777" w:rsidR="00FC2F12" w:rsidRPr="007E54F1" w:rsidRDefault="00972666" w:rsidP="007E54F1">
      <w:pPr>
        <w:pStyle w:val="Puesto"/>
        <w:ind w:firstLine="0"/>
        <w:rPr>
          <w:color w:val="auto"/>
        </w:rPr>
      </w:pPr>
      <w:r w:rsidRPr="007E54F1">
        <w:rPr>
          <w:color w:val="auto"/>
        </w:rPr>
        <w:t xml:space="preserve">3. Perfil y experiencia profesional, incluyendo: o Currículum vitae actualizado. </w:t>
      </w:r>
      <w:proofErr w:type="gramStart"/>
      <w:r w:rsidRPr="007E54F1">
        <w:rPr>
          <w:color w:val="auto"/>
        </w:rPr>
        <w:t>o</w:t>
      </w:r>
      <w:proofErr w:type="gramEnd"/>
      <w:r w:rsidRPr="007E54F1">
        <w:rPr>
          <w:color w:val="auto"/>
        </w:rPr>
        <w:t xml:space="preserve"> Nivel de estudios y títulos obtenidos. </w:t>
      </w:r>
      <w:proofErr w:type="gramStart"/>
      <w:r w:rsidRPr="007E54F1">
        <w:rPr>
          <w:color w:val="auto"/>
        </w:rPr>
        <w:t>o</w:t>
      </w:r>
      <w:proofErr w:type="gramEnd"/>
      <w:r w:rsidRPr="007E54F1">
        <w:rPr>
          <w:color w:val="auto"/>
        </w:rPr>
        <w:t xml:space="preserve"> Experiencia laboral relevante en el sector público o privado. </w:t>
      </w:r>
    </w:p>
    <w:p w14:paraId="7711593E" w14:textId="77777777" w:rsidR="00FC2F12" w:rsidRPr="007E54F1" w:rsidRDefault="00FC2F12" w:rsidP="007E54F1">
      <w:pPr>
        <w:pStyle w:val="Puesto"/>
        <w:ind w:firstLine="0"/>
        <w:rPr>
          <w:color w:val="auto"/>
        </w:rPr>
      </w:pPr>
    </w:p>
    <w:p w14:paraId="73B3F2C3" w14:textId="59751E8C" w:rsidR="00FC2F12" w:rsidRPr="007E54F1" w:rsidRDefault="00972666" w:rsidP="007E54F1">
      <w:pPr>
        <w:pStyle w:val="Puesto"/>
        <w:ind w:firstLine="0"/>
        <w:rPr>
          <w:color w:val="auto"/>
        </w:rPr>
      </w:pPr>
      <w:r w:rsidRPr="007E54F1">
        <w:rPr>
          <w:color w:val="auto"/>
        </w:rPr>
        <w:t>4. Declaraciones patrimoniales y de intereses.</w:t>
      </w:r>
    </w:p>
    <w:p w14:paraId="68D04DC3" w14:textId="77777777" w:rsidR="00972666" w:rsidRPr="007E54F1" w:rsidRDefault="00972666" w:rsidP="007E54F1"/>
    <w:p w14:paraId="5A0C6FC2" w14:textId="6E93BDA0" w:rsidR="00FC2F12" w:rsidRPr="007E54F1" w:rsidRDefault="00C05457" w:rsidP="007E54F1">
      <w:pPr>
        <w:ind w:right="-28"/>
      </w:pPr>
      <w:r w:rsidRPr="007E54F1">
        <w:t xml:space="preserve">En respuesta, </w:t>
      </w:r>
      <w:r w:rsidRPr="007E54F1">
        <w:rPr>
          <w:b/>
        </w:rPr>
        <w:t>EL SUJETO OBLIGADO</w:t>
      </w:r>
      <w:r w:rsidRPr="007E54F1">
        <w:t xml:space="preserve"> </w:t>
      </w:r>
      <w:r w:rsidR="0021478E" w:rsidRPr="007E54F1">
        <w:t xml:space="preserve">le </w:t>
      </w:r>
      <w:r w:rsidR="00D4628A" w:rsidRPr="007E54F1">
        <w:t xml:space="preserve">manifestó </w:t>
      </w:r>
      <w:r w:rsidR="00FC2F12" w:rsidRPr="007E54F1">
        <w:t xml:space="preserve">que la información solicitada en el punto 1 y 3 se encuentra disponible en la página del Ayuntamiento de Tenancingo, Estado de México en el módulo de Transparencia, IPOMEX 4.0 con el link </w:t>
      </w:r>
      <w:r w:rsidR="00FC2F12" w:rsidRPr="007E54F1">
        <w:rPr>
          <w:noProof/>
        </w:rPr>
        <w:drawing>
          <wp:inline distT="0" distB="0" distL="0" distR="0" wp14:anchorId="77937684" wp14:editId="6F36AFBE">
            <wp:extent cx="3629532" cy="171474"/>
            <wp:effectExtent l="0" t="0" r="0" b="0"/>
            <wp:docPr id="198986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6750" name=""/>
                    <pic:cNvPicPr/>
                  </pic:nvPicPr>
                  <pic:blipFill>
                    <a:blip r:embed="rId15"/>
                    <a:stretch>
                      <a:fillRect/>
                    </a:stretch>
                  </pic:blipFill>
                  <pic:spPr>
                    <a:xfrm>
                      <a:off x="0" y="0"/>
                      <a:ext cx="3629532" cy="171474"/>
                    </a:xfrm>
                    <a:prstGeom prst="rect">
                      <a:avLst/>
                    </a:prstGeom>
                  </pic:spPr>
                </pic:pic>
              </a:graphicData>
            </a:graphic>
          </wp:inline>
        </w:drawing>
      </w:r>
      <w:r w:rsidR="00FC2F12" w:rsidRPr="007E54F1">
        <w:t xml:space="preserve">  y el punto 2 en link</w:t>
      </w:r>
      <w:r w:rsidR="00FC2F12" w:rsidRPr="007E54F1">
        <w:rPr>
          <w:noProof/>
        </w:rPr>
        <w:t xml:space="preserve"> </w:t>
      </w:r>
      <w:r w:rsidR="00FC2F12" w:rsidRPr="007E54F1">
        <w:rPr>
          <w:noProof/>
        </w:rPr>
        <w:drawing>
          <wp:inline distT="0" distB="0" distL="0" distR="0" wp14:anchorId="6985C585" wp14:editId="4BF77015">
            <wp:extent cx="3696216" cy="190527"/>
            <wp:effectExtent l="0" t="0" r="0" b="0"/>
            <wp:docPr id="9071652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65258" name=""/>
                    <pic:cNvPicPr/>
                  </pic:nvPicPr>
                  <pic:blipFill>
                    <a:blip r:embed="rId16"/>
                    <a:stretch>
                      <a:fillRect/>
                    </a:stretch>
                  </pic:blipFill>
                  <pic:spPr>
                    <a:xfrm>
                      <a:off x="0" y="0"/>
                      <a:ext cx="3696216" cy="190527"/>
                    </a:xfrm>
                    <a:prstGeom prst="rect">
                      <a:avLst/>
                    </a:prstGeom>
                  </pic:spPr>
                </pic:pic>
              </a:graphicData>
            </a:graphic>
          </wp:inline>
        </w:drawing>
      </w:r>
    </w:p>
    <w:p w14:paraId="2A284FF4" w14:textId="77777777" w:rsidR="00FC2F12" w:rsidRPr="007E54F1" w:rsidRDefault="00FC2F12" w:rsidP="007E54F1">
      <w:pPr>
        <w:ind w:right="-28"/>
      </w:pPr>
    </w:p>
    <w:p w14:paraId="73237E41" w14:textId="1BB106CD" w:rsidR="00C21831" w:rsidRPr="007E54F1" w:rsidRDefault="00FC2F12" w:rsidP="007E54F1">
      <w:pPr>
        <w:ind w:right="-28"/>
      </w:pPr>
      <w:r w:rsidRPr="007E54F1">
        <w:t>Y en lo que se refiere al punto 4. Declaraciones patrimoniales y de Intereses, que de acuerdo al Manual General de Organización de la Administración Pública del Municipio de Tenancingo, Estado de México, esa información no es de su competencia</w:t>
      </w:r>
      <w:r w:rsidR="0008631F" w:rsidRPr="007E54F1">
        <w:t>.</w:t>
      </w:r>
    </w:p>
    <w:p w14:paraId="1511F141" w14:textId="77777777" w:rsidR="00D4628A" w:rsidRPr="007E54F1" w:rsidRDefault="00D4628A" w:rsidP="007E54F1">
      <w:pPr>
        <w:ind w:right="-28"/>
      </w:pPr>
    </w:p>
    <w:p w14:paraId="72ED2785" w14:textId="67A8386D" w:rsidR="00FD6BCA" w:rsidRPr="007E54F1" w:rsidRDefault="00C21831" w:rsidP="007E54F1">
      <w:pPr>
        <w:rPr>
          <w:b/>
        </w:rPr>
      </w:pPr>
      <w:r w:rsidRPr="007E54F1">
        <w:t xml:space="preserve">En esta tesitura, una vez conocida la respuesta </w:t>
      </w:r>
      <w:r w:rsidRPr="007E54F1">
        <w:rPr>
          <w:b/>
        </w:rPr>
        <w:t>LA PARTE RECURRENTE</w:t>
      </w:r>
      <w:r w:rsidRPr="007E54F1">
        <w:t xml:space="preserve">, se inconformó </w:t>
      </w:r>
      <w:r w:rsidR="00FC2F12" w:rsidRPr="007E54F1">
        <w:t xml:space="preserve">por </w:t>
      </w:r>
      <w:r w:rsidR="003B7B06" w:rsidRPr="007E54F1">
        <w:t xml:space="preserve">la entrega de la información de manera incompleta </w:t>
      </w:r>
      <w:r w:rsidR="00FC2F12" w:rsidRPr="007E54F1">
        <w:t xml:space="preserve">por parte del </w:t>
      </w:r>
      <w:r w:rsidR="00D4628A" w:rsidRPr="007E54F1">
        <w:rPr>
          <w:b/>
        </w:rPr>
        <w:t>SUJETO OBLIGADO</w:t>
      </w:r>
      <w:r w:rsidR="003B7B06" w:rsidRPr="007E54F1">
        <w:rPr>
          <w:b/>
        </w:rPr>
        <w:t xml:space="preserve">, </w:t>
      </w:r>
      <w:r w:rsidR="003B7B06" w:rsidRPr="007E54F1">
        <w:t>precisando que no se incluyó la información curricular de algunos funcionarios ni sobre sus remuneraciones</w:t>
      </w:r>
      <w:r w:rsidR="00FC2F12" w:rsidRPr="007E54F1">
        <w:rPr>
          <w:b/>
        </w:rPr>
        <w:t xml:space="preserve">. </w:t>
      </w:r>
    </w:p>
    <w:p w14:paraId="6064396C" w14:textId="77777777" w:rsidR="00C21831" w:rsidRPr="007E54F1" w:rsidRDefault="00C21831" w:rsidP="007E54F1"/>
    <w:p w14:paraId="5682FFFC" w14:textId="5DF84B25" w:rsidR="00FC2F12" w:rsidRPr="007E54F1" w:rsidRDefault="00C05457" w:rsidP="007E54F1">
      <w:r w:rsidRPr="007E54F1">
        <w:t xml:space="preserve">Abierta la etapa de instrucción, </w:t>
      </w:r>
      <w:r w:rsidRPr="007E54F1">
        <w:rPr>
          <w:b/>
        </w:rPr>
        <w:t>EL SUJETO OBLIGADO</w:t>
      </w:r>
      <w:r w:rsidRPr="007E54F1">
        <w:t xml:space="preserve"> rindió su Informe Justificado, </w:t>
      </w:r>
      <w:r w:rsidR="00FC2F12" w:rsidRPr="007E54F1">
        <w:t>señalando:</w:t>
      </w:r>
    </w:p>
    <w:p w14:paraId="386F4BD2" w14:textId="77777777" w:rsidR="00FC2F12" w:rsidRPr="007E54F1" w:rsidRDefault="00FC2F12" w:rsidP="007E54F1">
      <w:pPr>
        <w:spacing w:line="240" w:lineRule="auto"/>
      </w:pPr>
    </w:p>
    <w:p w14:paraId="4B8479EB" w14:textId="77777777" w:rsidR="00FC2F12" w:rsidRPr="007E54F1" w:rsidRDefault="00FC2F12" w:rsidP="007E54F1">
      <w:pPr>
        <w:pStyle w:val="Prrafodelista"/>
        <w:spacing w:line="240" w:lineRule="auto"/>
        <w:rPr>
          <w:i/>
          <w:iCs/>
        </w:rPr>
      </w:pPr>
    </w:p>
    <w:p w14:paraId="344605E9" w14:textId="77777777" w:rsidR="00FC2F12" w:rsidRPr="007E54F1" w:rsidRDefault="00FC2F12" w:rsidP="007E54F1">
      <w:pPr>
        <w:pStyle w:val="Prrafodelista"/>
        <w:numPr>
          <w:ilvl w:val="0"/>
          <w:numId w:val="40"/>
        </w:numPr>
        <w:spacing w:line="240" w:lineRule="auto"/>
        <w:rPr>
          <w:i/>
          <w:iCs/>
        </w:rPr>
      </w:pPr>
      <w:r w:rsidRPr="007E54F1">
        <w:rPr>
          <w:i/>
          <w:iCs/>
        </w:rPr>
        <w:t>ESTRUCTURA CENTRALIZADA: fecha de ingreso 01 de enero de 2025.</w:t>
      </w:r>
    </w:p>
    <w:p w14:paraId="7D5D97CE" w14:textId="77777777" w:rsidR="00FC2F12" w:rsidRPr="007E54F1" w:rsidRDefault="00FC2F12" w:rsidP="007E54F1">
      <w:pPr>
        <w:pStyle w:val="Prrafodelista"/>
        <w:numPr>
          <w:ilvl w:val="0"/>
          <w:numId w:val="40"/>
        </w:numPr>
        <w:spacing w:line="240" w:lineRule="auto"/>
        <w:rPr>
          <w:i/>
          <w:iCs/>
        </w:rPr>
      </w:pPr>
      <w:r w:rsidRPr="007E54F1">
        <w:rPr>
          <w:i/>
          <w:iCs/>
        </w:rPr>
        <w:t>1. Oficina de Presidencia. Lic. Nancy Nápoles Pacheco</w:t>
      </w:r>
    </w:p>
    <w:p w14:paraId="0A95A3B7" w14:textId="77777777" w:rsidR="00FC2F12" w:rsidRPr="007E54F1" w:rsidRDefault="00FC2F12" w:rsidP="007E54F1">
      <w:pPr>
        <w:pStyle w:val="Prrafodelista"/>
        <w:spacing w:line="240" w:lineRule="auto"/>
        <w:ind w:left="1440"/>
        <w:rPr>
          <w:i/>
          <w:iCs/>
        </w:rPr>
      </w:pPr>
      <w:r w:rsidRPr="007E54F1">
        <w:rPr>
          <w:i/>
          <w:iCs/>
        </w:rPr>
        <w:t>Síndico Municipal. Víctor Avendaño Bustos</w:t>
      </w:r>
    </w:p>
    <w:p w14:paraId="29B649EC" w14:textId="77777777" w:rsidR="00FC2F12" w:rsidRPr="007E54F1" w:rsidRDefault="00FC2F12" w:rsidP="007E54F1">
      <w:pPr>
        <w:pStyle w:val="Prrafodelista"/>
        <w:numPr>
          <w:ilvl w:val="1"/>
          <w:numId w:val="41"/>
        </w:numPr>
        <w:spacing w:line="240" w:lineRule="auto"/>
        <w:rPr>
          <w:i/>
          <w:iCs/>
        </w:rPr>
      </w:pPr>
      <w:r w:rsidRPr="007E54F1">
        <w:rPr>
          <w:i/>
          <w:iCs/>
        </w:rPr>
        <w:t xml:space="preserve">Secretaría Particular. Lic. Héctor Alberto Chavero </w:t>
      </w:r>
      <w:proofErr w:type="spellStart"/>
      <w:r w:rsidRPr="007E54F1">
        <w:rPr>
          <w:i/>
          <w:iCs/>
        </w:rPr>
        <w:t>Rolon</w:t>
      </w:r>
      <w:proofErr w:type="spellEnd"/>
    </w:p>
    <w:p w14:paraId="513E9D2D" w14:textId="77777777" w:rsidR="00FC2F12" w:rsidRPr="007E54F1" w:rsidRDefault="00FC2F12" w:rsidP="007E54F1">
      <w:pPr>
        <w:pStyle w:val="Prrafodelista"/>
        <w:numPr>
          <w:ilvl w:val="1"/>
          <w:numId w:val="41"/>
        </w:numPr>
        <w:spacing w:line="240" w:lineRule="auto"/>
        <w:rPr>
          <w:i/>
          <w:iCs/>
        </w:rPr>
      </w:pPr>
      <w:r w:rsidRPr="007E54F1">
        <w:rPr>
          <w:i/>
          <w:iCs/>
        </w:rPr>
        <w:t>Coordinación de Transparencia. Lcda. Karen Alondra Mejía Guardián</w:t>
      </w:r>
    </w:p>
    <w:p w14:paraId="6A20BB42" w14:textId="77777777" w:rsidR="00FC2F12" w:rsidRPr="007E54F1" w:rsidRDefault="00FC2F12" w:rsidP="007E54F1">
      <w:pPr>
        <w:pStyle w:val="Prrafodelista"/>
        <w:spacing w:line="240" w:lineRule="auto"/>
        <w:ind w:left="360"/>
        <w:rPr>
          <w:i/>
          <w:iCs/>
        </w:rPr>
      </w:pPr>
      <w:r w:rsidRPr="007E54F1">
        <w:rPr>
          <w:i/>
          <w:iCs/>
        </w:rPr>
        <w:t>2. Secretaría del Ayuntamiento. Lcda. María Angélica García Puerta</w:t>
      </w:r>
    </w:p>
    <w:p w14:paraId="04BCD31C" w14:textId="77777777" w:rsidR="00FC2F12" w:rsidRPr="007E54F1" w:rsidRDefault="00FC2F12" w:rsidP="007E54F1">
      <w:pPr>
        <w:pStyle w:val="Prrafodelista"/>
        <w:spacing w:line="240" w:lineRule="auto"/>
        <w:ind w:left="360"/>
        <w:rPr>
          <w:i/>
          <w:iCs/>
        </w:rPr>
      </w:pPr>
      <w:r w:rsidRPr="007E54F1">
        <w:rPr>
          <w:i/>
          <w:iCs/>
        </w:rPr>
        <w:t>3. Tesorería del Ayuntamiento. Lic. Erik García Reyes</w:t>
      </w:r>
    </w:p>
    <w:p w14:paraId="5AFB7D83" w14:textId="77777777" w:rsidR="00FC2F12" w:rsidRPr="007E54F1" w:rsidRDefault="00FC2F12" w:rsidP="007E54F1">
      <w:pPr>
        <w:pStyle w:val="Prrafodelista"/>
        <w:spacing w:line="240" w:lineRule="auto"/>
        <w:ind w:left="360"/>
        <w:rPr>
          <w:i/>
          <w:iCs/>
        </w:rPr>
      </w:pPr>
      <w:r w:rsidRPr="007E54F1">
        <w:rPr>
          <w:i/>
          <w:iCs/>
        </w:rPr>
        <w:t>4. Dirección de Obras Públicas, Arq. Heliodoro Miranda Ávila</w:t>
      </w:r>
    </w:p>
    <w:p w14:paraId="7D0AE819" w14:textId="77777777" w:rsidR="00FC2F12" w:rsidRPr="007E54F1" w:rsidRDefault="00FC2F12" w:rsidP="007E54F1">
      <w:pPr>
        <w:pStyle w:val="Prrafodelista"/>
        <w:numPr>
          <w:ilvl w:val="0"/>
          <w:numId w:val="42"/>
        </w:numPr>
        <w:spacing w:line="240" w:lineRule="auto"/>
        <w:rPr>
          <w:i/>
          <w:iCs/>
        </w:rPr>
      </w:pPr>
      <w:r w:rsidRPr="007E54F1">
        <w:rPr>
          <w:i/>
          <w:iCs/>
        </w:rPr>
        <w:t>Dirección de Desarrollo Urbano. Arq. Mauricio Gerardo García Quintana</w:t>
      </w:r>
    </w:p>
    <w:p w14:paraId="2676FB4C" w14:textId="77777777" w:rsidR="00FC2F12" w:rsidRPr="007E54F1" w:rsidRDefault="00FC2F12" w:rsidP="007E54F1">
      <w:pPr>
        <w:pStyle w:val="Prrafodelista"/>
        <w:numPr>
          <w:ilvl w:val="0"/>
          <w:numId w:val="42"/>
        </w:numPr>
        <w:spacing w:line="240" w:lineRule="auto"/>
        <w:rPr>
          <w:i/>
          <w:iCs/>
        </w:rPr>
      </w:pPr>
      <w:r w:rsidRPr="007E54F1">
        <w:rPr>
          <w:i/>
          <w:iCs/>
        </w:rPr>
        <w:t>Dirección de Administración. Mtra. Rosario Zepeda Galicia</w:t>
      </w:r>
    </w:p>
    <w:p w14:paraId="3D9361F5" w14:textId="77777777" w:rsidR="00FC2F12" w:rsidRPr="007E54F1" w:rsidRDefault="00FC2F12" w:rsidP="007E54F1">
      <w:pPr>
        <w:pStyle w:val="Prrafodelista"/>
        <w:numPr>
          <w:ilvl w:val="0"/>
          <w:numId w:val="42"/>
        </w:numPr>
        <w:spacing w:line="240" w:lineRule="auto"/>
        <w:rPr>
          <w:i/>
          <w:iCs/>
        </w:rPr>
      </w:pPr>
      <w:r w:rsidRPr="007E54F1">
        <w:rPr>
          <w:i/>
          <w:iCs/>
        </w:rPr>
        <w:t>Dirección de Turismo. Dr. Christian Mendoza Guadarrama</w:t>
      </w:r>
    </w:p>
    <w:p w14:paraId="5A21DB8E" w14:textId="77777777" w:rsidR="00FC2F12" w:rsidRPr="007E54F1" w:rsidRDefault="00FC2F12" w:rsidP="007E54F1">
      <w:pPr>
        <w:pStyle w:val="Prrafodelista"/>
        <w:spacing w:line="240" w:lineRule="auto"/>
        <w:ind w:left="360"/>
        <w:rPr>
          <w:i/>
          <w:iCs/>
        </w:rPr>
      </w:pPr>
    </w:p>
    <w:p w14:paraId="5FF0B179" w14:textId="77777777" w:rsidR="00FC2F12" w:rsidRPr="007E54F1" w:rsidRDefault="00FC2F12" w:rsidP="007E54F1">
      <w:pPr>
        <w:pStyle w:val="Prrafodelista"/>
        <w:spacing w:line="240" w:lineRule="auto"/>
        <w:ind w:left="360"/>
        <w:rPr>
          <w:i/>
          <w:iCs/>
        </w:rPr>
      </w:pPr>
      <w:r w:rsidRPr="007E54F1">
        <w:rPr>
          <w:i/>
          <w:iCs/>
        </w:rPr>
        <w:t>Y con relación a los puntos</w:t>
      </w:r>
      <w:r w:rsidRPr="007E54F1">
        <w:rPr>
          <w:b/>
          <w:bCs/>
          <w:i/>
          <w:iCs/>
        </w:rPr>
        <w:t xml:space="preserve"> 2. Remuneraciones y prestaciones que reciben dichos funcionarios, incluyendo o sueldo base mensual bruto y neto, o Compensaciones, bonos o estímulos adicionales, o Prestaciones laborales y beneficios en especie, en su caso… </w:t>
      </w:r>
      <w:r w:rsidRPr="007E54F1">
        <w:rPr>
          <w:i/>
          <w:iCs/>
        </w:rPr>
        <w:t xml:space="preserve">dicha información se encuentra disponible en la página del Ayuntamiento de Tenancingo, Estado de México en el módulo de Transparencia, apartado IPOMEX, versión 4.0. VIII A Remuneraciones, o bien con el link </w:t>
      </w:r>
    </w:p>
    <w:p w14:paraId="2FD55576" w14:textId="77777777" w:rsidR="00FC2F12" w:rsidRPr="007E54F1" w:rsidRDefault="00FC2F12" w:rsidP="007E54F1">
      <w:pPr>
        <w:pStyle w:val="Prrafodelista"/>
        <w:spacing w:line="240" w:lineRule="auto"/>
        <w:ind w:left="360"/>
        <w:rPr>
          <w:i/>
          <w:iCs/>
        </w:rPr>
      </w:pPr>
    </w:p>
    <w:p w14:paraId="263C55ED" w14:textId="77777777" w:rsidR="00FC2F12" w:rsidRPr="007E54F1" w:rsidRDefault="00FC2F12" w:rsidP="007E54F1">
      <w:pPr>
        <w:pStyle w:val="Prrafodelista"/>
        <w:spacing w:line="240" w:lineRule="auto"/>
        <w:ind w:left="360"/>
        <w:rPr>
          <w:i/>
          <w:iCs/>
        </w:rPr>
      </w:pPr>
      <w:r w:rsidRPr="007E54F1">
        <w:rPr>
          <w:i/>
          <w:iCs/>
          <w:noProof/>
        </w:rPr>
        <w:drawing>
          <wp:inline distT="0" distB="0" distL="0" distR="0" wp14:anchorId="46C03F89" wp14:editId="58524CB3">
            <wp:extent cx="5696745" cy="228632"/>
            <wp:effectExtent l="0" t="0" r="0" b="0"/>
            <wp:docPr id="8704420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27914" name=""/>
                    <pic:cNvPicPr/>
                  </pic:nvPicPr>
                  <pic:blipFill>
                    <a:blip r:embed="rId13"/>
                    <a:stretch>
                      <a:fillRect/>
                    </a:stretch>
                  </pic:blipFill>
                  <pic:spPr>
                    <a:xfrm>
                      <a:off x="0" y="0"/>
                      <a:ext cx="5696745" cy="228632"/>
                    </a:xfrm>
                    <a:prstGeom prst="rect">
                      <a:avLst/>
                    </a:prstGeom>
                  </pic:spPr>
                </pic:pic>
              </a:graphicData>
            </a:graphic>
          </wp:inline>
        </w:drawing>
      </w:r>
    </w:p>
    <w:p w14:paraId="73B93891" w14:textId="77777777" w:rsidR="00FC2F12" w:rsidRPr="007E54F1" w:rsidRDefault="00FC2F12" w:rsidP="007E54F1">
      <w:pPr>
        <w:pStyle w:val="Prrafodelista"/>
        <w:spacing w:line="240" w:lineRule="auto"/>
        <w:ind w:left="360"/>
        <w:rPr>
          <w:i/>
          <w:iCs/>
        </w:rPr>
      </w:pPr>
    </w:p>
    <w:p w14:paraId="23BBF9DB" w14:textId="77777777" w:rsidR="00FC2F12" w:rsidRPr="007E54F1" w:rsidRDefault="00FC2F12" w:rsidP="007E54F1">
      <w:pPr>
        <w:pStyle w:val="Prrafodelista"/>
        <w:spacing w:line="240" w:lineRule="auto"/>
        <w:ind w:left="360"/>
        <w:rPr>
          <w:i/>
          <w:iCs/>
        </w:rPr>
      </w:pPr>
      <w:r w:rsidRPr="007E54F1">
        <w:rPr>
          <w:i/>
          <w:iCs/>
        </w:rPr>
        <w:t xml:space="preserve">Así como el punto </w:t>
      </w:r>
      <w:r w:rsidRPr="007E54F1">
        <w:rPr>
          <w:b/>
          <w:bCs/>
          <w:i/>
          <w:iCs/>
        </w:rPr>
        <w:t xml:space="preserve">3. Perfil y experiencia profesional, incluyendo: o </w:t>
      </w:r>
      <w:proofErr w:type="spellStart"/>
      <w:r w:rsidRPr="007E54F1">
        <w:rPr>
          <w:b/>
          <w:bCs/>
          <w:i/>
          <w:iCs/>
        </w:rPr>
        <w:t>Curriculum</w:t>
      </w:r>
      <w:proofErr w:type="spellEnd"/>
      <w:r w:rsidRPr="007E54F1">
        <w:rPr>
          <w:b/>
          <w:bCs/>
          <w:i/>
          <w:iCs/>
        </w:rPr>
        <w:t xml:space="preserve"> Vitae actualizado, o Nivel de estudios y títulos obtenidos, o Experiencia laboral relevante en el sector público o privado¸ </w:t>
      </w:r>
      <w:r w:rsidRPr="007E54F1">
        <w:rPr>
          <w:i/>
          <w:iCs/>
        </w:rPr>
        <w:t>se localiza en la página del Ayuntamiento de Tenancingo, Estado de México en el módulo de Transparencia, apartado de IPOMEX, versión 4.0. XXI información Curricular y Sanciones, o bien con el link:</w:t>
      </w:r>
    </w:p>
    <w:p w14:paraId="7D6CFEAD" w14:textId="77777777" w:rsidR="00FC2F12" w:rsidRPr="007E54F1" w:rsidRDefault="00FC2F12" w:rsidP="007E54F1">
      <w:pPr>
        <w:pStyle w:val="Prrafodelista"/>
        <w:spacing w:line="240" w:lineRule="auto"/>
        <w:ind w:left="360"/>
        <w:rPr>
          <w:i/>
          <w:iCs/>
        </w:rPr>
      </w:pPr>
    </w:p>
    <w:p w14:paraId="597334EC" w14:textId="77777777" w:rsidR="00FC2F12" w:rsidRPr="007E54F1" w:rsidRDefault="00FC2F12" w:rsidP="007E54F1">
      <w:pPr>
        <w:pStyle w:val="Prrafodelista"/>
        <w:spacing w:line="240" w:lineRule="auto"/>
        <w:ind w:left="360"/>
        <w:rPr>
          <w:i/>
          <w:iCs/>
        </w:rPr>
      </w:pPr>
      <w:r w:rsidRPr="007E54F1">
        <w:rPr>
          <w:i/>
          <w:iCs/>
          <w:noProof/>
        </w:rPr>
        <w:drawing>
          <wp:inline distT="0" distB="0" distL="0" distR="0" wp14:anchorId="68555860" wp14:editId="2D2C438D">
            <wp:extent cx="5649113" cy="266737"/>
            <wp:effectExtent l="0" t="0" r="8890" b="0"/>
            <wp:docPr id="2815114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92763" name=""/>
                    <pic:cNvPicPr/>
                  </pic:nvPicPr>
                  <pic:blipFill>
                    <a:blip r:embed="rId14"/>
                    <a:stretch>
                      <a:fillRect/>
                    </a:stretch>
                  </pic:blipFill>
                  <pic:spPr>
                    <a:xfrm>
                      <a:off x="0" y="0"/>
                      <a:ext cx="5649113" cy="266737"/>
                    </a:xfrm>
                    <a:prstGeom prst="rect">
                      <a:avLst/>
                    </a:prstGeom>
                  </pic:spPr>
                </pic:pic>
              </a:graphicData>
            </a:graphic>
          </wp:inline>
        </w:drawing>
      </w:r>
    </w:p>
    <w:p w14:paraId="33C2282A" w14:textId="77777777" w:rsidR="00FC2F12" w:rsidRPr="007E54F1" w:rsidRDefault="00FC2F12" w:rsidP="007E54F1">
      <w:pPr>
        <w:pStyle w:val="Prrafodelista"/>
        <w:spacing w:line="240" w:lineRule="auto"/>
        <w:ind w:left="360"/>
        <w:rPr>
          <w:i/>
          <w:iCs/>
        </w:rPr>
      </w:pPr>
    </w:p>
    <w:p w14:paraId="3A8B9259" w14:textId="77777777" w:rsidR="00FC2F12" w:rsidRPr="007E54F1" w:rsidRDefault="00FC2F12" w:rsidP="007E54F1">
      <w:pPr>
        <w:pStyle w:val="Prrafodelista"/>
        <w:spacing w:line="240" w:lineRule="auto"/>
        <w:ind w:left="360"/>
        <w:rPr>
          <w:i/>
          <w:iCs/>
        </w:rPr>
      </w:pPr>
      <w:r w:rsidRPr="007E54F1">
        <w:rPr>
          <w:i/>
          <w:iCs/>
        </w:rPr>
        <w:t xml:space="preserve">En cuanto al punto </w:t>
      </w:r>
      <w:r w:rsidRPr="007E54F1">
        <w:rPr>
          <w:b/>
          <w:bCs/>
          <w:i/>
          <w:iCs/>
        </w:rPr>
        <w:t xml:space="preserve">4. Declaraciones patrimoniales y de intereses, </w:t>
      </w:r>
      <w:r w:rsidRPr="007E54F1">
        <w:rPr>
          <w:i/>
          <w:iCs/>
        </w:rPr>
        <w:t>le informo a Usted, que no es de mi competencia.” Sic.</w:t>
      </w:r>
    </w:p>
    <w:p w14:paraId="177A37ED" w14:textId="77777777" w:rsidR="00FC2F12" w:rsidRPr="007E54F1" w:rsidRDefault="00FC2F12" w:rsidP="007E54F1">
      <w:pPr>
        <w:rPr>
          <w:rFonts w:cs="Arial"/>
          <w:noProof/>
        </w:rPr>
      </w:pPr>
    </w:p>
    <w:p w14:paraId="0F1202F8" w14:textId="21A67B7F" w:rsidR="00FD6BCA" w:rsidRPr="007E54F1" w:rsidRDefault="00C05457" w:rsidP="007E54F1">
      <w:r w:rsidRPr="007E54F1">
        <w:rPr>
          <w:b/>
        </w:rPr>
        <w:t xml:space="preserve">LA PARTE RECURRENTE </w:t>
      </w:r>
      <w:r w:rsidR="00FC2F12" w:rsidRPr="007E54F1">
        <w:t xml:space="preserve">realizó </w:t>
      </w:r>
      <w:r w:rsidRPr="007E54F1">
        <w:t xml:space="preserve">las manifestaciones que a su derecho </w:t>
      </w:r>
      <w:r w:rsidR="00FC2F12" w:rsidRPr="007E54F1">
        <w:t>convino</w:t>
      </w:r>
      <w:r w:rsidRPr="007E54F1">
        <w:t>.</w:t>
      </w:r>
    </w:p>
    <w:p w14:paraId="41089C11" w14:textId="77777777" w:rsidR="00FD6BCA" w:rsidRPr="007E54F1" w:rsidRDefault="00FD6BCA" w:rsidP="007E54F1"/>
    <w:p w14:paraId="025805F5" w14:textId="1B0C185F" w:rsidR="00FD6BCA" w:rsidRPr="007E54F1" w:rsidRDefault="00C05457" w:rsidP="007E54F1">
      <w:pPr>
        <w:tabs>
          <w:tab w:val="left" w:pos="709"/>
        </w:tabs>
      </w:pPr>
      <w:r w:rsidRPr="007E54F1">
        <w:t xml:space="preserve">Bajo las premisas anteriores, se concluye que la controversia a dilucidar en el presente medio de impugnación será verificar si la información proporcionada en respuesta </w:t>
      </w:r>
      <w:r w:rsidR="00F44D50" w:rsidRPr="007E54F1">
        <w:t xml:space="preserve">y en informe justificado </w:t>
      </w:r>
      <w:r w:rsidRPr="007E54F1">
        <w:t xml:space="preserve">por </w:t>
      </w:r>
      <w:r w:rsidRPr="007E54F1">
        <w:rPr>
          <w:b/>
        </w:rPr>
        <w:t xml:space="preserve">EL SUJETO OBLIGADO </w:t>
      </w:r>
      <w:r w:rsidRPr="007E54F1">
        <w:t xml:space="preserve">es adecuada y suficiente para tener por satisfecho el derecho de acceso a la información pública de </w:t>
      </w:r>
      <w:r w:rsidRPr="007E54F1">
        <w:rPr>
          <w:b/>
        </w:rPr>
        <w:t>LA PARTE RECURRENTE</w:t>
      </w:r>
      <w:r w:rsidRPr="007E54F1">
        <w:t xml:space="preserve">, o en su caso, ordenar la entrega de la información que corresponda. </w:t>
      </w:r>
    </w:p>
    <w:p w14:paraId="05E929F3" w14:textId="77777777" w:rsidR="00FD6BCA" w:rsidRPr="007E54F1" w:rsidRDefault="00FD6BCA" w:rsidP="007E54F1"/>
    <w:p w14:paraId="5CFB0D9E" w14:textId="77777777" w:rsidR="00FD6BCA" w:rsidRPr="007E54F1" w:rsidRDefault="00C05457" w:rsidP="007E54F1">
      <w:pPr>
        <w:pStyle w:val="Ttulo3"/>
      </w:pPr>
      <w:bookmarkStart w:id="27" w:name="_2p2csry" w:colFirst="0" w:colLast="0"/>
      <w:bookmarkStart w:id="28" w:name="_Toc199961253"/>
      <w:bookmarkEnd w:id="27"/>
      <w:r w:rsidRPr="007E54F1">
        <w:t>c) Estudio de la controversia</w:t>
      </w:r>
      <w:bookmarkEnd w:id="28"/>
    </w:p>
    <w:p w14:paraId="27851CEC" w14:textId="4121BF6F" w:rsidR="00441E90" w:rsidRPr="007E54F1" w:rsidRDefault="00441E90" w:rsidP="007E54F1">
      <w:pPr>
        <w:rPr>
          <w:b/>
        </w:rPr>
      </w:pPr>
      <w:r w:rsidRPr="007E54F1">
        <w:t xml:space="preserve">Primero, es de puntualizar que, del análisis realizado al acto impugnado en relación con las razones o motivos de inconformidad, vertido por </w:t>
      </w:r>
      <w:r w:rsidRPr="007E54F1">
        <w:rPr>
          <w:b/>
        </w:rPr>
        <w:t xml:space="preserve">LA PARTE RECURRENTE </w:t>
      </w:r>
      <w:r w:rsidRPr="007E54F1">
        <w:t xml:space="preserve">al momento de presentar su medio de inconformidad en estudio, se advierte que </w:t>
      </w:r>
      <w:r w:rsidRPr="007E54F1">
        <w:rPr>
          <w:b/>
        </w:rPr>
        <w:t>LA PARTE RECURRENTE</w:t>
      </w:r>
      <w:r w:rsidRPr="007E54F1">
        <w:t xml:space="preserve"> únicamente</w:t>
      </w:r>
      <w:r w:rsidRPr="007E54F1">
        <w:rPr>
          <w:b/>
        </w:rPr>
        <w:t xml:space="preserve"> </w:t>
      </w:r>
      <w:r w:rsidRPr="007E54F1">
        <w:t>se inconforma por la falta de información, de manera específica por la información curricular de algunos funcionarios ni sobre sus remuneraciones</w:t>
      </w:r>
      <w:r w:rsidRPr="007E54F1">
        <w:rPr>
          <w:b/>
        </w:rPr>
        <w:t xml:space="preserve">. </w:t>
      </w:r>
    </w:p>
    <w:p w14:paraId="45877D2B" w14:textId="77777777" w:rsidR="008C1B3A" w:rsidRPr="007E54F1" w:rsidRDefault="008C1B3A" w:rsidP="007E54F1">
      <w:pPr>
        <w:rPr>
          <w:b/>
        </w:rPr>
      </w:pPr>
    </w:p>
    <w:p w14:paraId="0D225E26" w14:textId="77777777" w:rsidR="00441E90" w:rsidRPr="007E54F1" w:rsidRDefault="00441E90" w:rsidP="007E54F1">
      <w:r w:rsidRPr="007E54F1">
        <w:t xml:space="preserve">En tal sentido,  este Órgano Garante considera que la restante información entregada en la atención al recurso de revisión de mérito debe declararse consentida; ello en razón de que </w:t>
      </w:r>
      <w:r w:rsidRPr="007E54F1">
        <w:rPr>
          <w:b/>
        </w:rPr>
        <w:t>LA PARTE RECURRENTE</w:t>
      </w:r>
      <w:r w:rsidRPr="007E54F1">
        <w:t xml:space="preserve"> no realizó manifestaciones de inconformidad en relación a la misma.</w:t>
      </w:r>
    </w:p>
    <w:p w14:paraId="7A82A042" w14:textId="77777777" w:rsidR="00441E90" w:rsidRPr="007E54F1" w:rsidRDefault="00441E90" w:rsidP="007E54F1">
      <w:pPr>
        <w:ind w:right="49"/>
      </w:pPr>
    </w:p>
    <w:p w14:paraId="004AF69F" w14:textId="77777777" w:rsidR="00441E90" w:rsidRPr="007E54F1" w:rsidRDefault="00441E90" w:rsidP="007E54F1">
      <w:pPr>
        <w:rPr>
          <w:rFonts w:eastAsiaTheme="minorEastAsia" w:cs="Arial"/>
          <w:lang w:val="es-ES_tradnl"/>
        </w:rPr>
      </w:pPr>
      <w:r w:rsidRPr="007E54F1">
        <w:rPr>
          <w:rFonts w:eastAsiaTheme="minorEastAsia" w:cs="Arial"/>
          <w:lang w:val="es-ES_tradnl"/>
        </w:rPr>
        <w:t>Sirve de sustento, la tesis jurisprudencial número VI.3o.C. J/60, publicada en el Semanario Judicial de la Federación y su Gaceta bajo el número de registro 176,608 que a la letra dice:</w:t>
      </w:r>
    </w:p>
    <w:p w14:paraId="56E3E1F1" w14:textId="77777777" w:rsidR="00441E90" w:rsidRPr="007E54F1" w:rsidRDefault="00441E90" w:rsidP="007E54F1">
      <w:pPr>
        <w:rPr>
          <w:rFonts w:eastAsiaTheme="minorEastAsia" w:cs="Arial"/>
          <w:lang w:val="es-ES_tradnl"/>
        </w:rPr>
      </w:pPr>
    </w:p>
    <w:p w14:paraId="7F5FAC85" w14:textId="77777777" w:rsidR="00441E90" w:rsidRPr="007E54F1" w:rsidRDefault="00441E90" w:rsidP="007E54F1">
      <w:pPr>
        <w:pStyle w:val="Puesto"/>
        <w:ind w:firstLine="0"/>
        <w:rPr>
          <w:rFonts w:eastAsiaTheme="minorEastAsia"/>
          <w:color w:val="auto"/>
          <w:lang w:val="es-ES_tradnl"/>
        </w:rPr>
      </w:pPr>
      <w:r w:rsidRPr="007E54F1">
        <w:rPr>
          <w:rFonts w:eastAsiaTheme="minorEastAsia"/>
          <w:b/>
          <w:bCs/>
          <w:color w:val="auto"/>
          <w:lang w:val="es-ES_tradnl"/>
        </w:rPr>
        <w:t xml:space="preserve">“ACTOS CONSENTIDOS. SON LOS QUE NO SE IMPUGNAN MEDIANTE EL RECURSO IDÓNEO. </w:t>
      </w:r>
      <w:r w:rsidRPr="007E54F1">
        <w:rPr>
          <w:rFonts w:eastAsiaTheme="minorEastAsia"/>
          <w:color w:val="auto"/>
          <w:lang w:val="es-ES_tradnl"/>
        </w:rPr>
        <w:t xml:space="preserve">Debe reputarse como consentido el acto que no se </w:t>
      </w:r>
      <w:r w:rsidRPr="007E54F1">
        <w:rPr>
          <w:rFonts w:eastAsiaTheme="minorEastAsia" w:cs="Arial"/>
          <w:color w:val="auto"/>
          <w:lang w:val="es-ES_tradnl"/>
        </w:rPr>
        <w:t>impugnó</w:t>
      </w:r>
      <w:r w:rsidRPr="007E54F1">
        <w:rPr>
          <w:rFonts w:eastAsiaTheme="minorEastAsia"/>
          <w:color w:val="auto"/>
          <w:lang w:val="es-ES_tradnl"/>
        </w:rPr>
        <w:t xml:space="preserve"> por el medio establecido por la ley, ya que si se hizo uso de otro no previsto por ella o si se hace una simple manifestación de inconformidad, tales actuaciones no producen efectos </w:t>
      </w:r>
      <w:r w:rsidRPr="007E54F1">
        <w:rPr>
          <w:rFonts w:eastAsiaTheme="minorEastAsia"/>
          <w:color w:val="auto"/>
          <w:lang w:val="es-ES_tradnl"/>
        </w:rPr>
        <w:lastRenderedPageBreak/>
        <w:t>jurídicos tendientes a revocar, confirmar o modificar el acto reclamado en amparo, lo que significa consentimiento del mismo por falta de impugnación eficaz.”</w:t>
      </w:r>
    </w:p>
    <w:p w14:paraId="146A6DF8" w14:textId="77777777" w:rsidR="00441E90" w:rsidRPr="007E54F1" w:rsidRDefault="00441E90" w:rsidP="007E54F1">
      <w:pPr>
        <w:rPr>
          <w:rFonts w:eastAsiaTheme="minorEastAsia" w:cstheme="minorBidi"/>
          <w:lang w:val="es-ES_tradnl"/>
        </w:rPr>
      </w:pPr>
    </w:p>
    <w:p w14:paraId="52097C1D" w14:textId="77777777" w:rsidR="00441E90" w:rsidRPr="007E54F1" w:rsidRDefault="00441E90" w:rsidP="007E54F1">
      <w:pPr>
        <w:rPr>
          <w:lang w:val="es-ES_tradnl"/>
        </w:rPr>
      </w:pPr>
      <w:r w:rsidRPr="007E54F1">
        <w:rPr>
          <w:lang w:val="es-ES_tradnl"/>
        </w:rPr>
        <w:t>Lo anterior es así, debido a que cuando el particular</w:t>
      </w:r>
      <w:r w:rsidRPr="007E54F1">
        <w:rPr>
          <w:b/>
          <w:lang w:val="es-ES_tradnl"/>
        </w:rPr>
        <w:t xml:space="preserve"> </w:t>
      </w:r>
      <w:r w:rsidRPr="007E54F1">
        <w:rPr>
          <w:lang w:val="es-ES_tradnl"/>
        </w:rPr>
        <w:t xml:space="preserve">impugnó la respuesta del </w:t>
      </w:r>
      <w:r w:rsidRPr="007E54F1">
        <w:rPr>
          <w:b/>
          <w:lang w:val="es-ES_tradnl"/>
        </w:rPr>
        <w:t>SUJETO OBLIGADO</w:t>
      </w:r>
      <w:r w:rsidRPr="007E54F1">
        <w:rPr>
          <w:lang w:val="es-ES_tradnl"/>
        </w:rPr>
        <w:t xml:space="preserve">, y no expresó razón o motivo de inconformidad en contra de los rubros entregados, dichos rubros deben declararse atendidos, pues se entiende que </w:t>
      </w:r>
      <w:r w:rsidRPr="007E54F1">
        <w:rPr>
          <w:b/>
          <w:lang w:val="es-ES_tradnl"/>
        </w:rPr>
        <w:t>EL RECURRENTE</w:t>
      </w:r>
      <w:r w:rsidRPr="007E54F1">
        <w:rPr>
          <w:lang w:val="es-ES_tradnl"/>
        </w:rPr>
        <w:t xml:space="preserve"> está conforme con la información proporcionada por </w:t>
      </w:r>
      <w:r w:rsidRPr="007E54F1">
        <w:rPr>
          <w:b/>
          <w:lang w:val="es-ES_tradnl"/>
        </w:rPr>
        <w:t>EL SUJETO OBLIGADO</w:t>
      </w:r>
      <w:r w:rsidRPr="007E54F1">
        <w:rPr>
          <w:lang w:val="es-ES_tradnl"/>
        </w:rPr>
        <w:t xml:space="preserve">, al no contravenir la misma. </w:t>
      </w:r>
    </w:p>
    <w:p w14:paraId="50EB4724" w14:textId="77777777" w:rsidR="00441E90" w:rsidRPr="007E54F1" w:rsidRDefault="00441E90" w:rsidP="007E54F1">
      <w:pPr>
        <w:rPr>
          <w:rFonts w:eastAsiaTheme="minorEastAsia" w:cstheme="minorBidi"/>
          <w:lang w:val="es-ES_tradnl"/>
        </w:rPr>
      </w:pPr>
    </w:p>
    <w:p w14:paraId="6D150B6A" w14:textId="77777777" w:rsidR="00441E90" w:rsidRPr="007E54F1" w:rsidRDefault="00441E90" w:rsidP="007E54F1">
      <w:pPr>
        <w:rPr>
          <w:lang w:val="es-ES_tradnl"/>
        </w:rPr>
      </w:pPr>
      <w:r w:rsidRPr="007E54F1">
        <w:rPr>
          <w:lang w:val="es-ES_tradnl"/>
        </w:rPr>
        <w:t xml:space="preserve">Para mayor precisión a lo aquí expuesto, lo anterior guarda relación toda vez que en el caso de que </w:t>
      </w:r>
      <w:r w:rsidRPr="007E54F1">
        <w:rPr>
          <w:b/>
          <w:lang w:val="es-ES_tradnl"/>
        </w:rPr>
        <w:t>LA PARTE RECURRENTE</w:t>
      </w:r>
      <w:r w:rsidRPr="007E54F1">
        <w:rPr>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información respecto de los documentos remitidas en respuesta y se arriba a la conclusión de que estos quedaron firmes. Situación, que se robustece con el Criterio 01/20, emitido por el entonces Instituto Nacional de Transparencia, Acceso a la Información y Protección de Datos Personales, que establece lo siguiente:</w:t>
      </w:r>
    </w:p>
    <w:p w14:paraId="5B63CB75" w14:textId="77777777" w:rsidR="00441E90" w:rsidRPr="007E54F1" w:rsidRDefault="00441E90" w:rsidP="007E54F1">
      <w:pPr>
        <w:rPr>
          <w:lang w:val="es-ES_tradnl"/>
        </w:rPr>
      </w:pPr>
    </w:p>
    <w:p w14:paraId="1E811B5A" w14:textId="77777777" w:rsidR="00441E90" w:rsidRPr="007E54F1" w:rsidRDefault="00441E90" w:rsidP="007E54F1">
      <w:pPr>
        <w:pStyle w:val="Puesto"/>
        <w:ind w:firstLine="0"/>
        <w:rPr>
          <w:color w:val="auto"/>
        </w:rPr>
      </w:pPr>
      <w:r w:rsidRPr="007E54F1">
        <w:rPr>
          <w:b/>
          <w:color w:val="auto"/>
        </w:rPr>
        <w:t xml:space="preserve">“Actos consentidos tácitamente. Improcedencia de su análisis. </w:t>
      </w:r>
      <w:r w:rsidRPr="007E54F1">
        <w:rPr>
          <w:color w:val="auto"/>
        </w:rPr>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5A0308FC" w14:textId="77777777" w:rsidR="00441E90" w:rsidRPr="007E54F1" w:rsidRDefault="00441E90" w:rsidP="007E54F1">
      <w:pPr>
        <w:rPr>
          <w:bCs/>
          <w:iCs/>
        </w:rPr>
      </w:pPr>
    </w:p>
    <w:p w14:paraId="417C9BB7" w14:textId="77777777" w:rsidR="00441E90" w:rsidRPr="007E54F1" w:rsidRDefault="00441E90" w:rsidP="007E54F1">
      <w:pPr>
        <w:rPr>
          <w:rFonts w:eastAsiaTheme="minorEastAsia" w:cstheme="minorBidi"/>
          <w:lang w:val="es-ES_tradnl"/>
        </w:rPr>
      </w:pPr>
      <w:r w:rsidRPr="007E54F1">
        <w:rPr>
          <w:rFonts w:eastAsiaTheme="minorEastAsia" w:cstheme="minorBidi"/>
          <w:lang w:val="es-ES_tradnl"/>
        </w:rPr>
        <w:t>Así como en la Tesis Jurisprudencial Número 3ª./J.7/91, Publicada en el Semanario Judicial de la Federación y su Gaceta bajo el número de registro 174,177, que establece lo siguiente:</w:t>
      </w:r>
    </w:p>
    <w:p w14:paraId="646E9218" w14:textId="77777777" w:rsidR="00441E90" w:rsidRPr="007E54F1" w:rsidRDefault="00441E90" w:rsidP="007E54F1">
      <w:pPr>
        <w:rPr>
          <w:rFonts w:eastAsiaTheme="minorEastAsia" w:cstheme="minorBidi"/>
          <w:lang w:val="es-ES_tradnl"/>
        </w:rPr>
      </w:pPr>
    </w:p>
    <w:p w14:paraId="00E7A207" w14:textId="77777777" w:rsidR="00441E90" w:rsidRPr="007E54F1" w:rsidRDefault="00441E90" w:rsidP="007E54F1">
      <w:pPr>
        <w:pStyle w:val="Puesto"/>
        <w:ind w:firstLine="0"/>
        <w:rPr>
          <w:rFonts w:eastAsiaTheme="minorEastAsia"/>
          <w:color w:val="auto"/>
          <w:lang w:val="es-ES_tradnl"/>
        </w:rPr>
      </w:pPr>
      <w:r w:rsidRPr="007E54F1">
        <w:rPr>
          <w:rFonts w:eastAsiaTheme="minorEastAsia"/>
          <w:b/>
          <w:color w:val="auto"/>
          <w:lang w:val="es-ES_tradnl"/>
        </w:rPr>
        <w:t xml:space="preserve">“REVISIÓN EN AMPARO. LOS RESOLUTIVOS NO COMBATIDOS DEBEN DECLARARSE FIRMES. </w:t>
      </w:r>
      <w:r w:rsidRPr="007E54F1">
        <w:rPr>
          <w:rFonts w:eastAsiaTheme="minorEastAsia"/>
          <w:color w:val="auto"/>
          <w:lang w:val="es-ES_tradnl"/>
        </w:rPr>
        <w:t xml:space="preserve">Cuando algún resolutivo de la sentencia impugnada afecta a la recurrente, y ésta no expresa agravio en contra de las consideraciones que le sirven de </w:t>
      </w:r>
      <w:r w:rsidRPr="007E54F1">
        <w:rPr>
          <w:rFonts w:eastAsiaTheme="minorEastAsia"/>
          <w:color w:val="auto"/>
          <w:lang w:val="es-ES_tradnl"/>
        </w:rPr>
        <w:lastRenderedPageBreak/>
        <w:t>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13F8AF5" w14:textId="77777777" w:rsidR="00441E90" w:rsidRPr="007E54F1" w:rsidRDefault="00441E90" w:rsidP="007E54F1"/>
    <w:p w14:paraId="3B89A5A2" w14:textId="16DC6873" w:rsidR="003B7B06" w:rsidRPr="007E54F1" w:rsidRDefault="00441E90" w:rsidP="007E54F1">
      <w:pPr>
        <w:spacing w:before="240" w:after="240"/>
        <w:ind w:right="49"/>
        <w:rPr>
          <w:rFonts w:cs="Arial"/>
        </w:rPr>
      </w:pPr>
      <w:r w:rsidRPr="007E54F1">
        <w:t xml:space="preserve">Conforme a lo establecido y a todo lo antes expuesto, este Órgano Garante no realizará el análisis de </w:t>
      </w:r>
      <w:r w:rsidRPr="007E54F1">
        <w:rPr>
          <w:bCs/>
        </w:rPr>
        <w:t xml:space="preserve">los documentos remitidos mediante respuesta por parte </w:t>
      </w:r>
      <w:r w:rsidRPr="007E54F1">
        <w:t xml:space="preserve">del </w:t>
      </w:r>
      <w:r w:rsidRPr="007E54F1">
        <w:rPr>
          <w:b/>
        </w:rPr>
        <w:t>SUJETO OBLIGADO</w:t>
      </w:r>
      <w:r w:rsidRPr="007E54F1">
        <w:t xml:space="preserve"> que no fueron impugnadas por </w:t>
      </w:r>
      <w:r w:rsidRPr="007E54F1">
        <w:rPr>
          <w:b/>
        </w:rPr>
        <w:t>LA PARTE RECURRENTE</w:t>
      </w:r>
      <w:r w:rsidRPr="007E54F1">
        <w:rPr>
          <w:bCs/>
        </w:rPr>
        <w:t>; esto es, por lo que corresponde a “</w:t>
      </w:r>
      <w:r w:rsidRPr="007E54F1">
        <w:rPr>
          <w:bCs/>
          <w:i/>
        </w:rPr>
        <w:t xml:space="preserve">1. Especificando: o Nombre completo. </w:t>
      </w:r>
      <w:proofErr w:type="gramStart"/>
      <w:r w:rsidRPr="007E54F1">
        <w:rPr>
          <w:bCs/>
          <w:i/>
        </w:rPr>
        <w:t>o</w:t>
      </w:r>
      <w:proofErr w:type="gramEnd"/>
      <w:r w:rsidRPr="007E54F1">
        <w:rPr>
          <w:bCs/>
          <w:i/>
        </w:rPr>
        <w:t xml:space="preserve"> Cargo o puesto. </w:t>
      </w:r>
      <w:proofErr w:type="gramStart"/>
      <w:r w:rsidRPr="007E54F1">
        <w:rPr>
          <w:bCs/>
          <w:i/>
        </w:rPr>
        <w:t>o</w:t>
      </w:r>
      <w:proofErr w:type="gramEnd"/>
      <w:r w:rsidRPr="007E54F1">
        <w:rPr>
          <w:bCs/>
          <w:i/>
        </w:rPr>
        <w:t xml:space="preserve"> Fecha de nombramiento y/o contratación. Especificando número de oficio. </w:t>
      </w:r>
      <w:proofErr w:type="gramStart"/>
      <w:r w:rsidRPr="007E54F1">
        <w:rPr>
          <w:bCs/>
          <w:i/>
        </w:rPr>
        <w:t>o</w:t>
      </w:r>
      <w:proofErr w:type="gramEnd"/>
      <w:r w:rsidRPr="007E54F1">
        <w:rPr>
          <w:bCs/>
          <w:i/>
        </w:rPr>
        <w:t xml:space="preserve"> Unidad administrativa en la que están adscritos, y 4. Declaraciones patrimoniales y de intereses.”</w:t>
      </w:r>
      <w:r w:rsidR="004A31FC" w:rsidRPr="007E54F1">
        <w:rPr>
          <w:bCs/>
          <w:i/>
        </w:rPr>
        <w:t xml:space="preserve"> Sic.</w:t>
      </w:r>
    </w:p>
    <w:p w14:paraId="1F8A4B7F" w14:textId="0B653AA5" w:rsidR="00066573" w:rsidRPr="007E54F1" w:rsidRDefault="008C1B3A" w:rsidP="007E54F1">
      <w:r w:rsidRPr="007E54F1">
        <w:rPr>
          <w:rFonts w:cs="Arial"/>
        </w:rPr>
        <w:t xml:space="preserve">Determinado lo anterior, es </w:t>
      </w:r>
      <w:r w:rsidR="008821A1" w:rsidRPr="007E54F1">
        <w:t xml:space="preserve">importante </w:t>
      </w:r>
      <w:r w:rsidR="00066573" w:rsidRPr="007E54F1">
        <w:t xml:space="preserve">establecer </w:t>
      </w:r>
      <w:r w:rsidR="00066573" w:rsidRPr="007E54F1">
        <w:rPr>
          <w:bCs/>
        </w:rPr>
        <w:t xml:space="preserve">por principio de cuentas, que </w:t>
      </w:r>
      <w:r w:rsidR="00066573" w:rsidRPr="007E54F1">
        <w:rPr>
          <w:b/>
          <w:bCs/>
        </w:rPr>
        <w:t xml:space="preserve">EL SUJETO OBLIGADO </w:t>
      </w:r>
      <w:r w:rsidR="00066573" w:rsidRPr="007E54F1">
        <w:rPr>
          <w:bCs/>
        </w:rPr>
        <w:t xml:space="preserve">de cierta forma asumió contar con la información </w:t>
      </w:r>
      <w:r w:rsidRPr="007E54F1">
        <w:t xml:space="preserve">peticionada en los numerales </w:t>
      </w:r>
      <w:r w:rsidR="008821A1" w:rsidRPr="007E54F1">
        <w:t xml:space="preserve">2 y 3, </w:t>
      </w:r>
      <w:r w:rsidR="00066573" w:rsidRPr="007E54F1">
        <w:t xml:space="preserve">al señalar que la misma </w:t>
      </w:r>
      <w:r w:rsidR="008821A1" w:rsidRPr="007E54F1">
        <w:t>se localizaba en</w:t>
      </w:r>
      <w:r w:rsidR="00864B5E" w:rsidRPr="007E54F1">
        <w:t xml:space="preserve"> </w:t>
      </w:r>
      <w:r w:rsidR="008821A1" w:rsidRPr="007E54F1">
        <w:t>los links electrónicos referidos del portal IPOMEX VERSIÓN 4.0.</w:t>
      </w:r>
      <w:r w:rsidR="00066573" w:rsidRPr="007E54F1">
        <w:t xml:space="preserve">, </w:t>
      </w:r>
      <w:r w:rsidR="00066573" w:rsidRPr="007E54F1">
        <w:rPr>
          <w:bCs/>
        </w:rPr>
        <w:t xml:space="preserve">razón por la que en el presente asunto, se obviara el estudio jurídico de la naturaleza y/o competencia de la misma, </w:t>
      </w:r>
      <w:r w:rsidR="00066573" w:rsidRPr="007E54F1">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661CF5FE" w14:textId="77777777" w:rsidR="00B92CD7" w:rsidRPr="007E54F1" w:rsidRDefault="00B92CD7" w:rsidP="007E54F1"/>
    <w:p w14:paraId="177F0D7F" w14:textId="77777777" w:rsidR="00066573" w:rsidRPr="007E54F1" w:rsidRDefault="00066573" w:rsidP="007E54F1">
      <w:pPr>
        <w:pStyle w:val="Puesto"/>
        <w:ind w:firstLine="0"/>
        <w:rPr>
          <w:color w:val="auto"/>
        </w:rPr>
      </w:pPr>
      <w:r w:rsidRPr="007E54F1">
        <w:rPr>
          <w:color w:val="auto"/>
        </w:rPr>
        <w:t>“</w:t>
      </w:r>
      <w:r w:rsidRPr="007E54F1">
        <w:rPr>
          <w:b/>
          <w:color w:val="auto"/>
        </w:rPr>
        <w:t>Artículo 12. Quienes generen, recopilen, administren, manejen, procesen, archiven o conserven información pública serán responsables de la misma</w:t>
      </w:r>
      <w:r w:rsidRPr="007E54F1">
        <w:rPr>
          <w:color w:val="auto"/>
        </w:rPr>
        <w:t xml:space="preserve"> en los términos de las disposiciones jurídicas aplicables. </w:t>
      </w:r>
    </w:p>
    <w:p w14:paraId="38EF9DF0" w14:textId="77777777" w:rsidR="00F463BF" w:rsidRPr="007E54F1" w:rsidRDefault="00F463BF" w:rsidP="007E54F1"/>
    <w:p w14:paraId="00358A1F" w14:textId="77777777" w:rsidR="00066573" w:rsidRPr="007E54F1" w:rsidRDefault="00066573" w:rsidP="007E54F1">
      <w:pPr>
        <w:pStyle w:val="Puesto"/>
        <w:ind w:firstLine="0"/>
        <w:rPr>
          <w:color w:val="auto"/>
        </w:rPr>
      </w:pPr>
      <w:r w:rsidRPr="007E54F1">
        <w:rPr>
          <w:b/>
          <w:color w:val="auto"/>
        </w:rPr>
        <w:lastRenderedPageBreak/>
        <w:t>Los sujetos obligados sólo proporcionarán la información pública que se les requiera y que obre en sus archivos y en el estado en que ésta se encuentre.</w:t>
      </w:r>
      <w:r w:rsidRPr="007E54F1">
        <w:rPr>
          <w:color w:val="auto"/>
        </w:rPr>
        <w:t xml:space="preserve"> La obligación de proporcionar información no comprende el procesamiento de la misma, ni el presentarla conforme al interés del solicitante; no estarán obligados a generarla, resumirla, efectuar cálculos o practicar investigaciones.”</w:t>
      </w:r>
    </w:p>
    <w:p w14:paraId="5B8AE0C5" w14:textId="77777777" w:rsidR="00F463BF" w:rsidRPr="007E54F1" w:rsidRDefault="00F463BF" w:rsidP="007E54F1"/>
    <w:p w14:paraId="587D07F2" w14:textId="5E1161E9" w:rsidR="00066573" w:rsidRPr="007E54F1" w:rsidRDefault="00066573" w:rsidP="007E54F1">
      <w:r w:rsidRPr="007E54F1">
        <w:rPr>
          <w:bCs/>
        </w:rPr>
        <w:t xml:space="preserve">En ese tenor, y considerando tanto el motivo de la inconformidad como la documentación remitida por </w:t>
      </w:r>
      <w:r w:rsidRPr="007E54F1">
        <w:rPr>
          <w:b/>
          <w:bCs/>
        </w:rPr>
        <w:t xml:space="preserve">EL SUJETO OBLIGADO </w:t>
      </w:r>
      <w:r w:rsidRPr="007E54F1">
        <w:rPr>
          <w:bCs/>
        </w:rPr>
        <w:t xml:space="preserve">en respuesta y posteriormente en informe justificado, se procede a analizar si dicha información es suficiente para tener por colmado el derecho de acceso a la información de la </w:t>
      </w:r>
      <w:r w:rsidRPr="007E54F1">
        <w:rPr>
          <w:b/>
          <w:bCs/>
        </w:rPr>
        <w:t>PARTE RECURRENTE</w:t>
      </w:r>
      <w:r w:rsidRPr="007E54F1">
        <w:t xml:space="preserve"> o en su caso, ordenar la entrega de la información correspondiente.</w:t>
      </w:r>
    </w:p>
    <w:p w14:paraId="00A9631A" w14:textId="77777777" w:rsidR="00441E6D" w:rsidRPr="007E54F1" w:rsidRDefault="00441E6D" w:rsidP="007E54F1">
      <w:pPr>
        <w:spacing w:before="240"/>
        <w:ind w:right="-28"/>
        <w:contextualSpacing/>
      </w:pPr>
    </w:p>
    <w:p w14:paraId="4E940357" w14:textId="6169D4BB" w:rsidR="00DE25D7" w:rsidRPr="007E54F1" w:rsidRDefault="00DE25D7" w:rsidP="007E54F1">
      <w:r w:rsidRPr="007E54F1">
        <w:t>Contrastando lo requerido contra lo entregado</w:t>
      </w:r>
      <w:r w:rsidR="00D868C2" w:rsidRPr="007E54F1">
        <w:t xml:space="preserve"> tanto en respuesta como en informe justificado</w:t>
      </w:r>
      <w:r w:rsidRPr="007E54F1">
        <w:t>, en el cuadro siguiente:</w:t>
      </w:r>
    </w:p>
    <w:p w14:paraId="2603F37B" w14:textId="77777777" w:rsidR="00066573" w:rsidRPr="007E54F1" w:rsidRDefault="00066573" w:rsidP="007E54F1">
      <w:pPr>
        <w:spacing w:before="240"/>
        <w:ind w:right="-28"/>
        <w:contextualSpacing/>
      </w:pPr>
    </w:p>
    <w:tbl>
      <w:tblPr>
        <w:tblStyle w:val="Tablaconcuadrcula"/>
        <w:tblW w:w="9351" w:type="dxa"/>
        <w:tblLayout w:type="fixed"/>
        <w:tblLook w:val="04A0" w:firstRow="1" w:lastRow="0" w:firstColumn="1" w:lastColumn="0" w:noHBand="0" w:noVBand="1"/>
      </w:tblPr>
      <w:tblGrid>
        <w:gridCol w:w="1411"/>
        <w:gridCol w:w="2883"/>
        <w:gridCol w:w="3923"/>
        <w:gridCol w:w="1134"/>
      </w:tblGrid>
      <w:tr w:rsidR="007E54F1" w:rsidRPr="007E54F1" w14:paraId="0EA18FE0" w14:textId="77777777" w:rsidTr="00B92CD7">
        <w:trPr>
          <w:trHeight w:val="236"/>
          <w:tblHeader/>
        </w:trPr>
        <w:tc>
          <w:tcPr>
            <w:tcW w:w="1411" w:type="dxa"/>
            <w:shd w:val="clear" w:color="auto" w:fill="D9D9D9" w:themeFill="background1" w:themeFillShade="D9"/>
          </w:tcPr>
          <w:p w14:paraId="3412E379" w14:textId="77777777" w:rsidR="00D868C2" w:rsidRPr="007E54F1" w:rsidRDefault="00D868C2" w:rsidP="007E54F1">
            <w:pPr>
              <w:spacing w:before="100" w:beforeAutospacing="1" w:after="100" w:afterAutospacing="1"/>
              <w:jc w:val="center"/>
              <w:rPr>
                <w:b/>
                <w:bCs/>
                <w:sz w:val="18"/>
                <w:szCs w:val="18"/>
              </w:rPr>
            </w:pPr>
            <w:r w:rsidRPr="007E54F1">
              <w:rPr>
                <w:b/>
                <w:bCs/>
                <w:sz w:val="18"/>
                <w:szCs w:val="18"/>
              </w:rPr>
              <w:t>Solicitud</w:t>
            </w:r>
          </w:p>
        </w:tc>
        <w:tc>
          <w:tcPr>
            <w:tcW w:w="2883" w:type="dxa"/>
            <w:shd w:val="clear" w:color="auto" w:fill="D9D9D9" w:themeFill="background1" w:themeFillShade="D9"/>
          </w:tcPr>
          <w:p w14:paraId="53AD751E" w14:textId="77777777" w:rsidR="00D868C2" w:rsidRPr="007E54F1" w:rsidRDefault="00D868C2" w:rsidP="007E54F1">
            <w:pPr>
              <w:spacing w:before="100" w:beforeAutospacing="1" w:after="100" w:afterAutospacing="1"/>
              <w:jc w:val="center"/>
              <w:rPr>
                <w:b/>
                <w:bCs/>
                <w:sz w:val="18"/>
                <w:szCs w:val="18"/>
              </w:rPr>
            </w:pPr>
            <w:r w:rsidRPr="007E54F1">
              <w:rPr>
                <w:b/>
                <w:bCs/>
                <w:sz w:val="18"/>
                <w:szCs w:val="18"/>
              </w:rPr>
              <w:t>Respuesta</w:t>
            </w:r>
          </w:p>
        </w:tc>
        <w:tc>
          <w:tcPr>
            <w:tcW w:w="3923" w:type="dxa"/>
            <w:shd w:val="clear" w:color="auto" w:fill="D9D9D9" w:themeFill="background1" w:themeFillShade="D9"/>
          </w:tcPr>
          <w:p w14:paraId="4072E9C6" w14:textId="77777777" w:rsidR="00D868C2" w:rsidRPr="007E54F1" w:rsidRDefault="00D868C2" w:rsidP="007E54F1">
            <w:pPr>
              <w:spacing w:before="100" w:beforeAutospacing="1" w:after="100" w:afterAutospacing="1"/>
              <w:jc w:val="center"/>
              <w:rPr>
                <w:b/>
                <w:bCs/>
                <w:sz w:val="18"/>
                <w:szCs w:val="18"/>
              </w:rPr>
            </w:pPr>
            <w:r w:rsidRPr="007E54F1">
              <w:rPr>
                <w:b/>
                <w:bCs/>
                <w:sz w:val="18"/>
                <w:szCs w:val="18"/>
              </w:rPr>
              <w:t>Informe Justificado</w:t>
            </w:r>
          </w:p>
        </w:tc>
        <w:tc>
          <w:tcPr>
            <w:tcW w:w="1134" w:type="dxa"/>
            <w:shd w:val="clear" w:color="auto" w:fill="D9D9D9" w:themeFill="background1" w:themeFillShade="D9"/>
            <w:vAlign w:val="center"/>
          </w:tcPr>
          <w:p w14:paraId="137F1DA9" w14:textId="77777777" w:rsidR="00D868C2" w:rsidRPr="007E54F1" w:rsidRDefault="00D868C2" w:rsidP="007E54F1">
            <w:pPr>
              <w:spacing w:before="100" w:beforeAutospacing="1" w:after="100" w:afterAutospacing="1"/>
              <w:jc w:val="center"/>
              <w:rPr>
                <w:b/>
                <w:bCs/>
                <w:sz w:val="18"/>
                <w:szCs w:val="18"/>
              </w:rPr>
            </w:pPr>
            <w:r w:rsidRPr="007E54F1">
              <w:rPr>
                <w:b/>
                <w:bCs/>
                <w:sz w:val="18"/>
                <w:szCs w:val="18"/>
              </w:rPr>
              <w:t>Colma</w:t>
            </w:r>
          </w:p>
        </w:tc>
      </w:tr>
      <w:tr w:rsidR="007E54F1" w:rsidRPr="007E54F1" w14:paraId="6B896673" w14:textId="77777777" w:rsidTr="00B92CD7">
        <w:trPr>
          <w:trHeight w:val="3339"/>
        </w:trPr>
        <w:tc>
          <w:tcPr>
            <w:tcW w:w="1411" w:type="dxa"/>
          </w:tcPr>
          <w:p w14:paraId="67192FAE" w14:textId="77777777" w:rsidR="00D868C2" w:rsidRPr="007E54F1" w:rsidRDefault="00D868C2" w:rsidP="007E54F1">
            <w:pPr>
              <w:rPr>
                <w:i/>
                <w:sz w:val="18"/>
                <w:szCs w:val="18"/>
              </w:rPr>
            </w:pPr>
            <w:r w:rsidRPr="007E54F1">
              <w:rPr>
                <w:i/>
                <w:sz w:val="18"/>
                <w:szCs w:val="18"/>
              </w:rPr>
              <w:t xml:space="preserve">1. Especificando: o Nombre completo. </w:t>
            </w:r>
            <w:proofErr w:type="gramStart"/>
            <w:r w:rsidRPr="007E54F1">
              <w:rPr>
                <w:i/>
                <w:sz w:val="18"/>
                <w:szCs w:val="18"/>
              </w:rPr>
              <w:t>o</w:t>
            </w:r>
            <w:proofErr w:type="gramEnd"/>
            <w:r w:rsidRPr="007E54F1">
              <w:rPr>
                <w:i/>
                <w:sz w:val="18"/>
                <w:szCs w:val="18"/>
              </w:rPr>
              <w:t xml:space="preserve"> Cargo o puesto. </w:t>
            </w:r>
            <w:proofErr w:type="gramStart"/>
            <w:r w:rsidRPr="007E54F1">
              <w:rPr>
                <w:i/>
                <w:sz w:val="18"/>
                <w:szCs w:val="18"/>
              </w:rPr>
              <w:t>o</w:t>
            </w:r>
            <w:proofErr w:type="gramEnd"/>
            <w:r w:rsidRPr="007E54F1">
              <w:rPr>
                <w:i/>
                <w:sz w:val="18"/>
                <w:szCs w:val="18"/>
              </w:rPr>
              <w:t xml:space="preserve"> Fecha de nombramiento y/o contratación. Especificando número de oficio. </w:t>
            </w:r>
            <w:proofErr w:type="gramStart"/>
            <w:r w:rsidRPr="007E54F1">
              <w:rPr>
                <w:i/>
                <w:sz w:val="18"/>
                <w:szCs w:val="18"/>
              </w:rPr>
              <w:t>o</w:t>
            </w:r>
            <w:proofErr w:type="gramEnd"/>
            <w:r w:rsidRPr="007E54F1">
              <w:rPr>
                <w:i/>
                <w:sz w:val="18"/>
                <w:szCs w:val="18"/>
              </w:rPr>
              <w:t xml:space="preserve"> Unidad administrativa en la que están adscritos. </w:t>
            </w:r>
          </w:p>
          <w:p w14:paraId="4C4725F7" w14:textId="77777777" w:rsidR="00D868C2" w:rsidRPr="007E54F1" w:rsidRDefault="00D868C2" w:rsidP="007E54F1">
            <w:pPr>
              <w:rPr>
                <w:i/>
                <w:sz w:val="18"/>
                <w:szCs w:val="18"/>
              </w:rPr>
            </w:pPr>
          </w:p>
          <w:p w14:paraId="608842F4" w14:textId="77777777" w:rsidR="00D868C2" w:rsidRPr="007E54F1" w:rsidRDefault="00D868C2" w:rsidP="007E54F1">
            <w:pPr>
              <w:rPr>
                <w:i/>
                <w:sz w:val="18"/>
                <w:szCs w:val="18"/>
              </w:rPr>
            </w:pPr>
          </w:p>
          <w:p w14:paraId="667D7CC1" w14:textId="77777777" w:rsidR="00D868C2" w:rsidRPr="007E54F1" w:rsidRDefault="00D868C2" w:rsidP="007E54F1">
            <w:pPr>
              <w:rPr>
                <w:i/>
                <w:sz w:val="18"/>
                <w:szCs w:val="18"/>
              </w:rPr>
            </w:pPr>
          </w:p>
        </w:tc>
        <w:tc>
          <w:tcPr>
            <w:tcW w:w="2883" w:type="dxa"/>
          </w:tcPr>
          <w:p w14:paraId="7727EA73" w14:textId="77777777" w:rsidR="00D868C2" w:rsidRPr="007E54F1" w:rsidRDefault="00D868C2" w:rsidP="007E54F1">
            <w:pPr>
              <w:spacing w:before="100" w:beforeAutospacing="1" w:after="100" w:afterAutospacing="1"/>
              <w:rPr>
                <w:sz w:val="18"/>
                <w:szCs w:val="18"/>
              </w:rPr>
            </w:pPr>
            <w:r w:rsidRPr="007E54F1">
              <w:rPr>
                <w:i/>
                <w:iCs/>
                <w:sz w:val="18"/>
                <w:szCs w:val="18"/>
              </w:rPr>
              <w:t xml:space="preserve">1 y 3 se encuentra disponible en la página del Ayuntamiento de Tenancingo, Estado de México en el módulo de Transparencia, IPOMEX 4.0 con el link  </w:t>
            </w:r>
            <w:r w:rsidRPr="007E54F1">
              <w:rPr>
                <w:i/>
                <w:iCs/>
                <w:noProof/>
                <w:sz w:val="18"/>
                <w:szCs w:val="18"/>
              </w:rPr>
              <w:drawing>
                <wp:inline distT="0" distB="0" distL="0" distR="0" wp14:anchorId="34CD8E6A" wp14:editId="4CDD59E8">
                  <wp:extent cx="3677163" cy="200053"/>
                  <wp:effectExtent l="0" t="0" r="0" b="9525"/>
                  <wp:docPr id="2045241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57427" name=""/>
                          <pic:cNvPicPr/>
                        </pic:nvPicPr>
                        <pic:blipFill>
                          <a:blip r:embed="rId11"/>
                          <a:stretch>
                            <a:fillRect/>
                          </a:stretch>
                        </pic:blipFill>
                        <pic:spPr>
                          <a:xfrm>
                            <a:off x="0" y="0"/>
                            <a:ext cx="3677163" cy="200053"/>
                          </a:xfrm>
                          <a:prstGeom prst="rect">
                            <a:avLst/>
                          </a:prstGeom>
                        </pic:spPr>
                      </pic:pic>
                    </a:graphicData>
                  </a:graphic>
                </wp:inline>
              </w:drawing>
            </w:r>
          </w:p>
        </w:tc>
        <w:tc>
          <w:tcPr>
            <w:tcW w:w="3923" w:type="dxa"/>
          </w:tcPr>
          <w:p w14:paraId="515A4506" w14:textId="77777777" w:rsidR="00D868C2" w:rsidRPr="007E54F1" w:rsidRDefault="00D868C2" w:rsidP="007E54F1">
            <w:pPr>
              <w:spacing w:before="100" w:beforeAutospacing="1" w:after="100" w:afterAutospacing="1"/>
              <w:rPr>
                <w:sz w:val="18"/>
                <w:szCs w:val="18"/>
              </w:rPr>
            </w:pPr>
          </w:p>
          <w:p w14:paraId="0F16CBC7" w14:textId="77777777" w:rsidR="00D868C2" w:rsidRPr="007E54F1" w:rsidRDefault="00D868C2" w:rsidP="007E54F1">
            <w:pPr>
              <w:spacing w:before="100" w:beforeAutospacing="1" w:after="100" w:afterAutospacing="1"/>
              <w:rPr>
                <w:sz w:val="18"/>
                <w:szCs w:val="18"/>
              </w:rPr>
            </w:pPr>
            <w:r w:rsidRPr="007E54F1">
              <w:rPr>
                <w:noProof/>
                <w:sz w:val="18"/>
                <w:szCs w:val="18"/>
              </w:rPr>
              <w:drawing>
                <wp:inline distT="0" distB="0" distL="0" distR="0" wp14:anchorId="62CEE8F7" wp14:editId="0269EE80">
                  <wp:extent cx="2524125" cy="1523365"/>
                  <wp:effectExtent l="0" t="0" r="9525" b="635"/>
                  <wp:docPr id="1438241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41767" name=""/>
                          <pic:cNvPicPr/>
                        </pic:nvPicPr>
                        <pic:blipFill>
                          <a:blip r:embed="rId17"/>
                          <a:stretch>
                            <a:fillRect/>
                          </a:stretch>
                        </pic:blipFill>
                        <pic:spPr>
                          <a:xfrm>
                            <a:off x="0" y="0"/>
                            <a:ext cx="2524125" cy="1523365"/>
                          </a:xfrm>
                          <a:prstGeom prst="rect">
                            <a:avLst/>
                          </a:prstGeom>
                        </pic:spPr>
                      </pic:pic>
                    </a:graphicData>
                  </a:graphic>
                </wp:inline>
              </w:drawing>
            </w:r>
          </w:p>
        </w:tc>
        <w:tc>
          <w:tcPr>
            <w:tcW w:w="1134" w:type="dxa"/>
            <w:vAlign w:val="center"/>
          </w:tcPr>
          <w:p w14:paraId="7894478A" w14:textId="6E22C730" w:rsidR="00D868C2" w:rsidRPr="007E54F1" w:rsidRDefault="00B92CD7" w:rsidP="007E54F1">
            <w:pPr>
              <w:spacing w:before="100" w:beforeAutospacing="1" w:after="100" w:afterAutospacing="1"/>
              <w:jc w:val="center"/>
              <w:rPr>
                <w:sz w:val="18"/>
                <w:szCs w:val="18"/>
              </w:rPr>
            </w:pPr>
            <w:r w:rsidRPr="007E54F1">
              <w:rPr>
                <w:sz w:val="18"/>
                <w:szCs w:val="18"/>
              </w:rPr>
              <w:t>Acto consentido</w:t>
            </w:r>
          </w:p>
        </w:tc>
      </w:tr>
      <w:tr w:rsidR="007E54F1" w:rsidRPr="007E54F1" w14:paraId="704E1661" w14:textId="77777777" w:rsidTr="00B92CD7">
        <w:trPr>
          <w:trHeight w:val="3102"/>
        </w:trPr>
        <w:tc>
          <w:tcPr>
            <w:tcW w:w="1411" w:type="dxa"/>
          </w:tcPr>
          <w:p w14:paraId="112C4A95" w14:textId="77777777" w:rsidR="00D868C2" w:rsidRPr="007E54F1" w:rsidRDefault="00D868C2" w:rsidP="007E54F1">
            <w:pPr>
              <w:spacing w:before="100" w:beforeAutospacing="1" w:after="100" w:afterAutospacing="1"/>
              <w:rPr>
                <w:i/>
                <w:sz w:val="18"/>
                <w:szCs w:val="18"/>
              </w:rPr>
            </w:pPr>
            <w:r w:rsidRPr="007E54F1">
              <w:rPr>
                <w:i/>
                <w:sz w:val="18"/>
                <w:szCs w:val="18"/>
              </w:rPr>
              <w:lastRenderedPageBreak/>
              <w:t xml:space="preserve">2. Remuneraciones y prestaciones que reciben dichos funcionarios, incluyendo: o Sueldo base mensual </w:t>
            </w:r>
            <w:proofErr w:type="gramStart"/>
            <w:r w:rsidRPr="007E54F1">
              <w:rPr>
                <w:i/>
                <w:sz w:val="18"/>
                <w:szCs w:val="18"/>
              </w:rPr>
              <w:t>bruto y neto</w:t>
            </w:r>
            <w:proofErr w:type="gramEnd"/>
            <w:r w:rsidRPr="007E54F1">
              <w:rPr>
                <w:i/>
                <w:sz w:val="18"/>
                <w:szCs w:val="18"/>
              </w:rPr>
              <w:t xml:space="preserve">. </w:t>
            </w:r>
            <w:proofErr w:type="gramStart"/>
            <w:r w:rsidRPr="007E54F1">
              <w:rPr>
                <w:i/>
                <w:sz w:val="18"/>
                <w:szCs w:val="18"/>
              </w:rPr>
              <w:t>o</w:t>
            </w:r>
            <w:proofErr w:type="gramEnd"/>
            <w:r w:rsidRPr="007E54F1">
              <w:rPr>
                <w:i/>
                <w:sz w:val="18"/>
                <w:szCs w:val="18"/>
              </w:rPr>
              <w:t xml:space="preserve"> Compensaciones, bonos o estímulos adicionales. </w:t>
            </w:r>
            <w:proofErr w:type="gramStart"/>
            <w:r w:rsidRPr="007E54F1">
              <w:rPr>
                <w:i/>
                <w:sz w:val="18"/>
                <w:szCs w:val="18"/>
              </w:rPr>
              <w:t>o</w:t>
            </w:r>
            <w:proofErr w:type="gramEnd"/>
            <w:r w:rsidRPr="007E54F1">
              <w:rPr>
                <w:i/>
                <w:sz w:val="18"/>
                <w:szCs w:val="18"/>
              </w:rPr>
              <w:t xml:space="preserve"> Prestaciones laborales y beneficios en especie, en su caso. </w:t>
            </w:r>
          </w:p>
        </w:tc>
        <w:tc>
          <w:tcPr>
            <w:tcW w:w="2883" w:type="dxa"/>
          </w:tcPr>
          <w:p w14:paraId="6B35F2E5" w14:textId="77777777" w:rsidR="00D868C2" w:rsidRPr="007E54F1" w:rsidRDefault="00D868C2" w:rsidP="007E54F1">
            <w:pPr>
              <w:pStyle w:val="Prrafodelista"/>
              <w:ind w:left="0"/>
              <w:rPr>
                <w:i/>
                <w:iCs/>
                <w:sz w:val="18"/>
                <w:szCs w:val="18"/>
              </w:rPr>
            </w:pPr>
            <w:r w:rsidRPr="007E54F1">
              <w:rPr>
                <w:i/>
                <w:iCs/>
                <w:sz w:val="18"/>
                <w:szCs w:val="18"/>
              </w:rPr>
              <w:t xml:space="preserve">punto 2 en link </w:t>
            </w:r>
            <w:r w:rsidRPr="007E54F1">
              <w:rPr>
                <w:i/>
                <w:iCs/>
                <w:noProof/>
                <w:sz w:val="18"/>
                <w:szCs w:val="18"/>
              </w:rPr>
              <w:drawing>
                <wp:inline distT="0" distB="0" distL="0" distR="0" wp14:anchorId="54A9D718" wp14:editId="0EDFF84B">
                  <wp:extent cx="1777365" cy="83531"/>
                  <wp:effectExtent l="0" t="0" r="0" b="0"/>
                  <wp:docPr id="3390282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06647" name=""/>
                          <pic:cNvPicPr/>
                        </pic:nvPicPr>
                        <pic:blipFill>
                          <a:blip r:embed="rId12"/>
                          <a:stretch>
                            <a:fillRect/>
                          </a:stretch>
                        </pic:blipFill>
                        <pic:spPr>
                          <a:xfrm>
                            <a:off x="0" y="0"/>
                            <a:ext cx="2190698" cy="102956"/>
                          </a:xfrm>
                          <a:prstGeom prst="rect">
                            <a:avLst/>
                          </a:prstGeom>
                        </pic:spPr>
                      </pic:pic>
                    </a:graphicData>
                  </a:graphic>
                </wp:inline>
              </w:drawing>
            </w:r>
          </w:p>
          <w:p w14:paraId="0FB420F3" w14:textId="77777777" w:rsidR="00D868C2" w:rsidRPr="007E54F1" w:rsidRDefault="00D868C2" w:rsidP="007E54F1">
            <w:pPr>
              <w:spacing w:before="100" w:beforeAutospacing="1" w:after="100" w:afterAutospacing="1"/>
              <w:rPr>
                <w:sz w:val="18"/>
                <w:szCs w:val="18"/>
              </w:rPr>
            </w:pPr>
          </w:p>
        </w:tc>
        <w:tc>
          <w:tcPr>
            <w:tcW w:w="3923" w:type="dxa"/>
          </w:tcPr>
          <w:p w14:paraId="0C60B12B" w14:textId="77777777" w:rsidR="00D868C2" w:rsidRPr="007E54F1" w:rsidRDefault="00D868C2" w:rsidP="007E54F1">
            <w:pPr>
              <w:spacing w:before="100" w:beforeAutospacing="1" w:after="100" w:afterAutospacing="1"/>
              <w:rPr>
                <w:sz w:val="18"/>
                <w:szCs w:val="18"/>
              </w:rPr>
            </w:pPr>
          </w:p>
          <w:p w14:paraId="74797C82" w14:textId="77777777" w:rsidR="00D868C2" w:rsidRPr="007E54F1" w:rsidRDefault="00D868C2" w:rsidP="007E54F1">
            <w:pPr>
              <w:spacing w:before="100" w:beforeAutospacing="1" w:after="100" w:afterAutospacing="1"/>
              <w:rPr>
                <w:sz w:val="18"/>
                <w:szCs w:val="18"/>
              </w:rPr>
            </w:pPr>
            <w:r w:rsidRPr="007E54F1">
              <w:rPr>
                <w:noProof/>
                <w:sz w:val="18"/>
                <w:szCs w:val="18"/>
              </w:rPr>
              <w:drawing>
                <wp:inline distT="0" distB="0" distL="0" distR="0" wp14:anchorId="26B21D68" wp14:editId="594A4E8D">
                  <wp:extent cx="2533650" cy="902970"/>
                  <wp:effectExtent l="0" t="0" r="0" b="0"/>
                  <wp:docPr id="1275539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39893" name=""/>
                          <pic:cNvPicPr/>
                        </pic:nvPicPr>
                        <pic:blipFill>
                          <a:blip r:embed="rId18"/>
                          <a:stretch>
                            <a:fillRect/>
                          </a:stretch>
                        </pic:blipFill>
                        <pic:spPr>
                          <a:xfrm>
                            <a:off x="0" y="0"/>
                            <a:ext cx="2533650" cy="902970"/>
                          </a:xfrm>
                          <a:prstGeom prst="rect">
                            <a:avLst/>
                          </a:prstGeom>
                        </pic:spPr>
                      </pic:pic>
                    </a:graphicData>
                  </a:graphic>
                </wp:inline>
              </w:drawing>
            </w:r>
          </w:p>
        </w:tc>
        <w:tc>
          <w:tcPr>
            <w:tcW w:w="1134" w:type="dxa"/>
            <w:vAlign w:val="center"/>
          </w:tcPr>
          <w:p w14:paraId="73AA88C6" w14:textId="77777777" w:rsidR="00D868C2" w:rsidRPr="007E54F1" w:rsidRDefault="00D868C2" w:rsidP="007E54F1">
            <w:pPr>
              <w:spacing w:before="100" w:beforeAutospacing="1" w:after="100" w:afterAutospacing="1"/>
              <w:jc w:val="center"/>
              <w:rPr>
                <w:sz w:val="18"/>
                <w:szCs w:val="18"/>
              </w:rPr>
            </w:pPr>
            <w:r w:rsidRPr="007E54F1">
              <w:rPr>
                <w:sz w:val="18"/>
                <w:szCs w:val="18"/>
              </w:rPr>
              <w:t>No</w:t>
            </w:r>
          </w:p>
        </w:tc>
      </w:tr>
      <w:tr w:rsidR="007E54F1" w:rsidRPr="007E54F1" w14:paraId="603A8EAD" w14:textId="77777777" w:rsidTr="00B92CD7">
        <w:trPr>
          <w:trHeight w:val="709"/>
        </w:trPr>
        <w:tc>
          <w:tcPr>
            <w:tcW w:w="1411" w:type="dxa"/>
          </w:tcPr>
          <w:p w14:paraId="7EBD6A37" w14:textId="77777777" w:rsidR="00D868C2" w:rsidRPr="007E54F1" w:rsidRDefault="00D868C2" w:rsidP="007E54F1">
            <w:pPr>
              <w:spacing w:before="100" w:beforeAutospacing="1" w:after="100" w:afterAutospacing="1"/>
              <w:rPr>
                <w:i/>
                <w:sz w:val="18"/>
                <w:szCs w:val="18"/>
              </w:rPr>
            </w:pPr>
            <w:r w:rsidRPr="007E54F1">
              <w:rPr>
                <w:i/>
                <w:sz w:val="18"/>
                <w:szCs w:val="18"/>
              </w:rPr>
              <w:t xml:space="preserve">3. Perfil y experiencia profesional, incluyendo: o Currículum vitae actualizado. </w:t>
            </w:r>
            <w:proofErr w:type="gramStart"/>
            <w:r w:rsidRPr="007E54F1">
              <w:rPr>
                <w:i/>
                <w:sz w:val="18"/>
                <w:szCs w:val="18"/>
              </w:rPr>
              <w:t>o</w:t>
            </w:r>
            <w:proofErr w:type="gramEnd"/>
            <w:r w:rsidRPr="007E54F1">
              <w:rPr>
                <w:i/>
                <w:sz w:val="18"/>
                <w:szCs w:val="18"/>
              </w:rPr>
              <w:t xml:space="preserve"> Nivel de estudios y títulos obtenidos. </w:t>
            </w:r>
            <w:proofErr w:type="gramStart"/>
            <w:r w:rsidRPr="007E54F1">
              <w:rPr>
                <w:i/>
                <w:sz w:val="18"/>
                <w:szCs w:val="18"/>
              </w:rPr>
              <w:t>o</w:t>
            </w:r>
            <w:proofErr w:type="gramEnd"/>
            <w:r w:rsidRPr="007E54F1">
              <w:rPr>
                <w:i/>
                <w:sz w:val="18"/>
                <w:szCs w:val="18"/>
              </w:rPr>
              <w:t xml:space="preserve"> Experiencia laboral relevante en el sector público o privado. </w:t>
            </w:r>
          </w:p>
        </w:tc>
        <w:tc>
          <w:tcPr>
            <w:tcW w:w="2883" w:type="dxa"/>
          </w:tcPr>
          <w:p w14:paraId="43A0BE3C" w14:textId="77777777" w:rsidR="00D868C2" w:rsidRPr="007E54F1" w:rsidRDefault="00D868C2" w:rsidP="007E54F1">
            <w:pPr>
              <w:spacing w:before="100" w:beforeAutospacing="1" w:after="100" w:afterAutospacing="1"/>
              <w:rPr>
                <w:sz w:val="18"/>
                <w:szCs w:val="18"/>
              </w:rPr>
            </w:pPr>
            <w:r w:rsidRPr="007E54F1">
              <w:rPr>
                <w:i/>
                <w:iCs/>
                <w:sz w:val="18"/>
                <w:szCs w:val="18"/>
              </w:rPr>
              <w:t xml:space="preserve">1 y 3 se encuentra disponible en la página del Ayuntamiento de Tenancingo, Estado de México en el módulo de Transparencia, IPOMEX 4.0 con el link  </w:t>
            </w:r>
            <w:r w:rsidRPr="007E54F1">
              <w:rPr>
                <w:i/>
                <w:iCs/>
                <w:noProof/>
                <w:sz w:val="18"/>
                <w:szCs w:val="18"/>
              </w:rPr>
              <w:drawing>
                <wp:inline distT="0" distB="0" distL="0" distR="0" wp14:anchorId="30FE1FE4" wp14:editId="608B80F6">
                  <wp:extent cx="1698100" cy="92384"/>
                  <wp:effectExtent l="0" t="0" r="0" b="3175"/>
                  <wp:docPr id="15960962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57427" name=""/>
                          <pic:cNvPicPr/>
                        </pic:nvPicPr>
                        <pic:blipFill>
                          <a:blip r:embed="rId11"/>
                          <a:stretch>
                            <a:fillRect/>
                          </a:stretch>
                        </pic:blipFill>
                        <pic:spPr>
                          <a:xfrm>
                            <a:off x="0" y="0"/>
                            <a:ext cx="1890309" cy="102841"/>
                          </a:xfrm>
                          <a:prstGeom prst="rect">
                            <a:avLst/>
                          </a:prstGeom>
                        </pic:spPr>
                      </pic:pic>
                    </a:graphicData>
                  </a:graphic>
                </wp:inline>
              </w:drawing>
            </w:r>
          </w:p>
        </w:tc>
        <w:tc>
          <w:tcPr>
            <w:tcW w:w="3923" w:type="dxa"/>
          </w:tcPr>
          <w:p w14:paraId="08AEE030" w14:textId="77777777" w:rsidR="00D868C2" w:rsidRPr="007E54F1" w:rsidRDefault="00D868C2" w:rsidP="007E54F1">
            <w:pPr>
              <w:spacing w:before="100" w:beforeAutospacing="1" w:after="100" w:afterAutospacing="1"/>
              <w:rPr>
                <w:sz w:val="18"/>
                <w:szCs w:val="18"/>
              </w:rPr>
            </w:pPr>
          </w:p>
          <w:p w14:paraId="37DB437E" w14:textId="77777777" w:rsidR="00D868C2" w:rsidRPr="007E54F1" w:rsidRDefault="00D868C2" w:rsidP="007E54F1">
            <w:pPr>
              <w:spacing w:before="100" w:beforeAutospacing="1" w:after="100" w:afterAutospacing="1"/>
              <w:rPr>
                <w:sz w:val="18"/>
                <w:szCs w:val="18"/>
              </w:rPr>
            </w:pPr>
            <w:r w:rsidRPr="007E54F1">
              <w:rPr>
                <w:noProof/>
                <w:sz w:val="18"/>
                <w:szCs w:val="18"/>
              </w:rPr>
              <w:drawing>
                <wp:inline distT="0" distB="0" distL="0" distR="0" wp14:anchorId="2B675ADB" wp14:editId="4896F1D4">
                  <wp:extent cx="2657475" cy="693420"/>
                  <wp:effectExtent l="0" t="0" r="9525" b="0"/>
                  <wp:docPr id="1789663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6373" name=""/>
                          <pic:cNvPicPr/>
                        </pic:nvPicPr>
                        <pic:blipFill>
                          <a:blip r:embed="rId19"/>
                          <a:stretch>
                            <a:fillRect/>
                          </a:stretch>
                        </pic:blipFill>
                        <pic:spPr>
                          <a:xfrm>
                            <a:off x="0" y="0"/>
                            <a:ext cx="2660223" cy="694137"/>
                          </a:xfrm>
                          <a:prstGeom prst="rect">
                            <a:avLst/>
                          </a:prstGeom>
                        </pic:spPr>
                      </pic:pic>
                    </a:graphicData>
                  </a:graphic>
                </wp:inline>
              </w:drawing>
            </w:r>
          </w:p>
        </w:tc>
        <w:tc>
          <w:tcPr>
            <w:tcW w:w="1134" w:type="dxa"/>
            <w:vAlign w:val="center"/>
          </w:tcPr>
          <w:p w14:paraId="71B8F922" w14:textId="77777777" w:rsidR="00D868C2" w:rsidRPr="007E54F1" w:rsidRDefault="00D868C2" w:rsidP="007E54F1">
            <w:pPr>
              <w:spacing w:before="100" w:beforeAutospacing="1" w:after="100" w:afterAutospacing="1"/>
              <w:jc w:val="center"/>
              <w:rPr>
                <w:sz w:val="18"/>
                <w:szCs w:val="18"/>
              </w:rPr>
            </w:pPr>
            <w:r w:rsidRPr="007E54F1">
              <w:rPr>
                <w:sz w:val="18"/>
                <w:szCs w:val="18"/>
              </w:rPr>
              <w:t>No</w:t>
            </w:r>
          </w:p>
        </w:tc>
      </w:tr>
      <w:tr w:rsidR="00D868C2" w:rsidRPr="007E54F1" w14:paraId="0C9E6D23" w14:textId="77777777" w:rsidTr="00B92CD7">
        <w:trPr>
          <w:trHeight w:val="1226"/>
        </w:trPr>
        <w:tc>
          <w:tcPr>
            <w:tcW w:w="1411" w:type="dxa"/>
          </w:tcPr>
          <w:p w14:paraId="41807078" w14:textId="77777777" w:rsidR="00D868C2" w:rsidRPr="007E54F1" w:rsidRDefault="00D868C2" w:rsidP="007E54F1">
            <w:pPr>
              <w:spacing w:before="100" w:beforeAutospacing="1" w:after="100" w:afterAutospacing="1"/>
              <w:rPr>
                <w:i/>
                <w:sz w:val="18"/>
                <w:szCs w:val="18"/>
              </w:rPr>
            </w:pPr>
            <w:r w:rsidRPr="007E54F1">
              <w:rPr>
                <w:i/>
                <w:sz w:val="18"/>
                <w:szCs w:val="18"/>
              </w:rPr>
              <w:t>4. Declaraciones patrimoniales y de intereses.</w:t>
            </w:r>
          </w:p>
          <w:p w14:paraId="77677B77" w14:textId="77777777" w:rsidR="00D868C2" w:rsidRPr="007E54F1" w:rsidRDefault="00D868C2" w:rsidP="007E54F1">
            <w:pPr>
              <w:spacing w:before="100" w:beforeAutospacing="1" w:after="100" w:afterAutospacing="1"/>
              <w:rPr>
                <w:sz w:val="18"/>
                <w:szCs w:val="18"/>
              </w:rPr>
            </w:pPr>
          </w:p>
        </w:tc>
        <w:tc>
          <w:tcPr>
            <w:tcW w:w="2883" w:type="dxa"/>
          </w:tcPr>
          <w:p w14:paraId="57F87632" w14:textId="77777777" w:rsidR="00D868C2" w:rsidRPr="007E54F1" w:rsidRDefault="00D868C2" w:rsidP="007E54F1">
            <w:pPr>
              <w:spacing w:before="100" w:beforeAutospacing="1" w:after="100" w:afterAutospacing="1"/>
              <w:rPr>
                <w:sz w:val="18"/>
                <w:szCs w:val="18"/>
              </w:rPr>
            </w:pPr>
            <w:r w:rsidRPr="007E54F1">
              <w:rPr>
                <w:i/>
                <w:iCs/>
                <w:sz w:val="18"/>
                <w:szCs w:val="18"/>
              </w:rPr>
              <w:t>de acuerdo al Manual General de Organización de la Administración Pública del Municipio de Tenancingo, Estado de México, esta información no es de nuestra competencia</w:t>
            </w:r>
          </w:p>
        </w:tc>
        <w:tc>
          <w:tcPr>
            <w:tcW w:w="3923" w:type="dxa"/>
          </w:tcPr>
          <w:p w14:paraId="71DB40A4" w14:textId="77777777" w:rsidR="00D868C2" w:rsidRPr="007E54F1" w:rsidRDefault="00D868C2" w:rsidP="007E54F1">
            <w:pPr>
              <w:spacing w:before="100" w:beforeAutospacing="1" w:after="100" w:afterAutospacing="1"/>
              <w:rPr>
                <w:sz w:val="18"/>
                <w:szCs w:val="18"/>
              </w:rPr>
            </w:pPr>
            <w:r w:rsidRPr="007E54F1">
              <w:rPr>
                <w:noProof/>
                <w:sz w:val="18"/>
                <w:szCs w:val="18"/>
              </w:rPr>
              <w:drawing>
                <wp:inline distT="0" distB="0" distL="0" distR="0" wp14:anchorId="4617ECFB" wp14:editId="080FAAD3">
                  <wp:extent cx="2533650" cy="391795"/>
                  <wp:effectExtent l="0" t="0" r="0" b="8255"/>
                  <wp:docPr id="2129764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64519" name=""/>
                          <pic:cNvPicPr/>
                        </pic:nvPicPr>
                        <pic:blipFill>
                          <a:blip r:embed="rId20"/>
                          <a:stretch>
                            <a:fillRect/>
                          </a:stretch>
                        </pic:blipFill>
                        <pic:spPr>
                          <a:xfrm>
                            <a:off x="0" y="0"/>
                            <a:ext cx="2533650" cy="391795"/>
                          </a:xfrm>
                          <a:prstGeom prst="rect">
                            <a:avLst/>
                          </a:prstGeom>
                        </pic:spPr>
                      </pic:pic>
                    </a:graphicData>
                  </a:graphic>
                </wp:inline>
              </w:drawing>
            </w:r>
          </w:p>
        </w:tc>
        <w:tc>
          <w:tcPr>
            <w:tcW w:w="1134" w:type="dxa"/>
            <w:vAlign w:val="center"/>
          </w:tcPr>
          <w:p w14:paraId="034BC3AD" w14:textId="4A314952" w:rsidR="00D868C2" w:rsidRPr="007E54F1" w:rsidRDefault="00B92CD7" w:rsidP="007E54F1">
            <w:pPr>
              <w:spacing w:before="100" w:beforeAutospacing="1" w:after="100" w:afterAutospacing="1"/>
              <w:jc w:val="center"/>
              <w:rPr>
                <w:sz w:val="18"/>
                <w:szCs w:val="18"/>
              </w:rPr>
            </w:pPr>
            <w:r w:rsidRPr="007E54F1">
              <w:rPr>
                <w:sz w:val="18"/>
                <w:szCs w:val="18"/>
              </w:rPr>
              <w:t>Acto consentido</w:t>
            </w:r>
          </w:p>
        </w:tc>
      </w:tr>
    </w:tbl>
    <w:p w14:paraId="56CBE32F" w14:textId="0D7275DE" w:rsidR="00441E6D" w:rsidRPr="007E54F1" w:rsidRDefault="00441E6D" w:rsidP="007E54F1">
      <w:pPr>
        <w:spacing w:before="240"/>
        <w:ind w:right="-28"/>
        <w:contextualSpacing/>
      </w:pPr>
    </w:p>
    <w:p w14:paraId="1C5846AE" w14:textId="77777777" w:rsidR="008821A1" w:rsidRPr="007E54F1" w:rsidRDefault="008821A1" w:rsidP="007E54F1">
      <w:pPr>
        <w:spacing w:before="240"/>
        <w:ind w:right="-28"/>
        <w:contextualSpacing/>
      </w:pPr>
    </w:p>
    <w:p w14:paraId="2C3D317A" w14:textId="77777777" w:rsidR="009F36CA" w:rsidRPr="007E54F1" w:rsidRDefault="009F36CA" w:rsidP="007E54F1">
      <w:pPr>
        <w:rPr>
          <w:lang w:val="es-ES"/>
        </w:rPr>
      </w:pPr>
    </w:p>
    <w:p w14:paraId="577421EB" w14:textId="500AC2E5" w:rsidR="00C41C4E" w:rsidRPr="007E54F1" w:rsidRDefault="00C41C4E" w:rsidP="007E54F1">
      <w:pPr>
        <w:rPr>
          <w:lang w:val="es-ES"/>
        </w:rPr>
      </w:pPr>
      <w:r w:rsidRPr="007E54F1">
        <w:rPr>
          <w:lang w:val="es-ES"/>
        </w:rPr>
        <w:lastRenderedPageBreak/>
        <w:t>Por lo que concierne a los requerimientos 2 y 3, se advierte que tanto en respuesta como en informe justificado remitió unos links electrónicos, que conforme a su dicho, se localiza la información requerida.</w:t>
      </w:r>
    </w:p>
    <w:p w14:paraId="0242013A" w14:textId="77777777" w:rsidR="00C41C4E" w:rsidRPr="007E54F1" w:rsidRDefault="00C41C4E" w:rsidP="007E54F1">
      <w:pPr>
        <w:rPr>
          <w:b/>
          <w:bCs/>
          <w:lang w:val="es-ES"/>
        </w:rPr>
      </w:pPr>
    </w:p>
    <w:p w14:paraId="54193162" w14:textId="429FD05D" w:rsidR="00864B5E" w:rsidRPr="007E54F1" w:rsidRDefault="00864B5E" w:rsidP="007E54F1">
      <w:pPr>
        <w:rPr>
          <w:lang w:val="es-ES"/>
        </w:rPr>
      </w:pPr>
      <w:r w:rsidRPr="007E54F1">
        <w:rPr>
          <w:lang w:val="es-ES"/>
        </w:rPr>
        <w:t xml:space="preserve">En ese sentido,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65886978" w14:textId="77777777" w:rsidR="00864B5E" w:rsidRPr="007E54F1" w:rsidRDefault="00864B5E" w:rsidP="007E54F1">
      <w:pPr>
        <w:ind w:left="720"/>
        <w:contextualSpacing/>
        <w:rPr>
          <w:i/>
          <w:lang w:val="es-ES"/>
        </w:rPr>
      </w:pPr>
    </w:p>
    <w:p w14:paraId="3D431DE0" w14:textId="77777777" w:rsidR="00864B5E" w:rsidRPr="007E54F1" w:rsidRDefault="00864B5E" w:rsidP="007E54F1">
      <w:pPr>
        <w:pStyle w:val="Puesto"/>
        <w:ind w:firstLine="0"/>
        <w:rPr>
          <w:color w:val="auto"/>
          <w:lang w:val="es-ES"/>
        </w:rPr>
      </w:pPr>
      <w:r w:rsidRPr="007E54F1">
        <w:rPr>
          <w:color w:val="auto"/>
          <w:lang w:val="es-ES"/>
        </w:rPr>
        <w:t>“</w:t>
      </w:r>
      <w:r w:rsidRPr="007E54F1">
        <w:rPr>
          <w:b/>
          <w:color w:val="auto"/>
          <w:lang w:val="es-ES"/>
        </w:rPr>
        <w:t>Artículo 161.</w:t>
      </w:r>
      <w:r w:rsidRPr="007E54F1">
        <w:rPr>
          <w:color w:val="auto"/>
          <w:lang w:val="es-ES"/>
        </w:rPr>
        <w:t xml:space="preserve"> Cuando la información requerida por el solicitante ya esté disponible al público en medios impresos, tales como libros, compendios, trípticos, registros públicos, en formatos electrónicos </w:t>
      </w:r>
      <w:r w:rsidRPr="007E54F1">
        <w:rPr>
          <w:color w:val="auto"/>
        </w:rPr>
        <w:t>disponibles</w:t>
      </w:r>
      <w:r w:rsidRPr="007E54F1">
        <w:rPr>
          <w:color w:val="auto"/>
          <w:lang w:val="es-ES"/>
        </w:rPr>
        <w:t xml:space="preserve"> en Internet o en cualquier otro medio, se le hará saber por el medio requerido por el solicitante la fuente, el lugar y </w:t>
      </w:r>
      <w:r w:rsidRPr="007E54F1">
        <w:rPr>
          <w:b/>
          <w:color w:val="auto"/>
          <w:lang w:val="es-ES"/>
        </w:rPr>
        <w:t>la forma</w:t>
      </w:r>
      <w:r w:rsidRPr="007E54F1">
        <w:rPr>
          <w:color w:val="auto"/>
          <w:lang w:val="es-ES"/>
        </w:rPr>
        <w:t xml:space="preserve"> en que puede consultar, reproducir o adquirir dicha información en un plazo no mayor a cinco días hábiles.</w:t>
      </w:r>
      <w:r w:rsidRPr="007E54F1">
        <w:rPr>
          <w:b/>
          <w:color w:val="auto"/>
          <w:lang w:val="es-ES"/>
        </w:rPr>
        <w:t xml:space="preserve"> La fuente deberá ser precisa y </w:t>
      </w:r>
      <w:r w:rsidRPr="007E54F1">
        <w:rPr>
          <w:b/>
          <w:iCs/>
          <w:color w:val="auto"/>
          <w:lang w:val="es-ES"/>
        </w:rPr>
        <w:t>concreta</w:t>
      </w:r>
      <w:r w:rsidRPr="007E54F1">
        <w:rPr>
          <w:b/>
          <w:color w:val="auto"/>
          <w:lang w:val="es-ES"/>
        </w:rPr>
        <w:t xml:space="preserve"> y no debe implicar que el solicitante realice una búsqueda en toda la información que se encuentre disponible.</w:t>
      </w:r>
      <w:r w:rsidRPr="007E54F1">
        <w:rPr>
          <w:color w:val="auto"/>
          <w:lang w:val="es-ES"/>
        </w:rPr>
        <w:t>”</w:t>
      </w:r>
    </w:p>
    <w:p w14:paraId="52DDE8D3" w14:textId="77777777" w:rsidR="00864B5E" w:rsidRPr="007E54F1" w:rsidRDefault="00864B5E" w:rsidP="007E54F1">
      <w:pPr>
        <w:rPr>
          <w:rFonts w:eastAsiaTheme="minorEastAsia"/>
          <w:lang w:val="es-ES"/>
        </w:rPr>
      </w:pPr>
    </w:p>
    <w:p w14:paraId="6FAAF083" w14:textId="76E2219C" w:rsidR="00864B5E" w:rsidRPr="007E54F1" w:rsidRDefault="00864B5E" w:rsidP="007E54F1">
      <w:pPr>
        <w:ind w:right="49"/>
        <w:contextualSpacing/>
      </w:pPr>
      <w:r w:rsidRPr="007E54F1">
        <w:rPr>
          <w:rFonts w:cs="Arial"/>
          <w:lang w:val="es-ES"/>
        </w:rPr>
        <w:t xml:space="preserve">Así las cosas este Órgano Garante advierte que la información que pretendía entregar </w:t>
      </w:r>
      <w:r w:rsidRPr="007E54F1">
        <w:rPr>
          <w:rFonts w:cs="Arial"/>
          <w:b/>
          <w:lang w:val="es-ES"/>
        </w:rPr>
        <w:t>EL</w:t>
      </w:r>
      <w:r w:rsidRPr="007E54F1">
        <w:rPr>
          <w:rFonts w:cs="Arial"/>
          <w:lang w:val="es-ES"/>
        </w:rPr>
        <w:t xml:space="preserve"> </w:t>
      </w:r>
      <w:r w:rsidRPr="007E54F1">
        <w:rPr>
          <w:rFonts w:cs="Arial"/>
          <w:b/>
          <w:lang w:val="es-ES"/>
        </w:rPr>
        <w:t xml:space="preserve">SUJETO OBLIGADO </w:t>
      </w:r>
      <w:r w:rsidRPr="007E54F1">
        <w:rPr>
          <w:rFonts w:cs="Arial"/>
          <w:lang w:val="es-ES"/>
        </w:rPr>
        <w:t xml:space="preserve">mediante respuesta, </w:t>
      </w:r>
      <w:r w:rsidRPr="007E54F1">
        <w:t>no cumple con lo dispuesto en el artículo 161 de la Ley de Transparencia y Acceso a la Información Pública del Estado de México y Municipios</w:t>
      </w:r>
      <w:r w:rsidRPr="007E54F1">
        <w:rPr>
          <w:i/>
        </w:rPr>
        <w:t xml:space="preserve">, </w:t>
      </w:r>
      <w:r w:rsidRPr="007E54F1">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w:t>
      </w:r>
      <w:r w:rsidRPr="007E54F1">
        <w:rPr>
          <w:b/>
          <w:bCs/>
          <w:u w:val="single"/>
        </w:rPr>
        <w:t>a cinco días hábiles</w:t>
      </w:r>
      <w:r w:rsidRPr="007E54F1">
        <w:t>, comprendiendo:</w:t>
      </w:r>
    </w:p>
    <w:p w14:paraId="0BD9B626" w14:textId="77777777" w:rsidR="00864B5E" w:rsidRPr="007E54F1" w:rsidRDefault="00864B5E" w:rsidP="007E54F1">
      <w:pPr>
        <w:spacing w:before="120" w:after="120" w:line="276" w:lineRule="auto"/>
        <w:ind w:left="284" w:right="51"/>
      </w:pPr>
      <w:r w:rsidRPr="007E54F1">
        <w:lastRenderedPageBreak/>
        <w:t>a) La fuente</w:t>
      </w:r>
    </w:p>
    <w:p w14:paraId="3A2D7A4A" w14:textId="77777777" w:rsidR="00864B5E" w:rsidRPr="007E54F1" w:rsidRDefault="00864B5E" w:rsidP="007E54F1">
      <w:pPr>
        <w:spacing w:before="120" w:after="120" w:line="276" w:lineRule="auto"/>
        <w:ind w:left="284" w:right="51"/>
      </w:pPr>
      <w:r w:rsidRPr="007E54F1">
        <w:t>b) El lugar y</w:t>
      </w:r>
    </w:p>
    <w:p w14:paraId="7DB94258" w14:textId="77777777" w:rsidR="00864B5E" w:rsidRPr="007E54F1" w:rsidRDefault="00864B5E" w:rsidP="007E54F1">
      <w:pPr>
        <w:spacing w:before="120" w:after="120" w:line="276" w:lineRule="auto"/>
        <w:ind w:left="284" w:right="51"/>
      </w:pPr>
      <w:r w:rsidRPr="007E54F1">
        <w:t>c) La forma</w:t>
      </w:r>
    </w:p>
    <w:p w14:paraId="47332587" w14:textId="77777777" w:rsidR="00864B5E" w:rsidRPr="007E54F1" w:rsidRDefault="00864B5E" w:rsidP="007E54F1">
      <w:pPr>
        <w:spacing w:before="240" w:after="240"/>
        <w:ind w:right="49"/>
      </w:pPr>
      <w:r w:rsidRPr="007E54F1">
        <w:t>Asimismo, se establece que la fuente de la información deberá ser:</w:t>
      </w:r>
    </w:p>
    <w:p w14:paraId="103373C1" w14:textId="77777777" w:rsidR="00864B5E" w:rsidRPr="007E54F1" w:rsidRDefault="00864B5E" w:rsidP="007E54F1">
      <w:pPr>
        <w:spacing w:before="120" w:after="120" w:line="276" w:lineRule="auto"/>
        <w:ind w:left="284" w:right="51"/>
      </w:pPr>
      <w:r w:rsidRPr="007E54F1">
        <w:t>a) Precisa</w:t>
      </w:r>
    </w:p>
    <w:p w14:paraId="20EC6013" w14:textId="77777777" w:rsidR="00864B5E" w:rsidRPr="007E54F1" w:rsidRDefault="00864B5E" w:rsidP="007E54F1">
      <w:pPr>
        <w:spacing w:before="120" w:after="120" w:line="276" w:lineRule="auto"/>
        <w:ind w:left="284" w:right="51"/>
      </w:pPr>
      <w:r w:rsidRPr="007E54F1">
        <w:t>b) Concreta</w:t>
      </w:r>
    </w:p>
    <w:p w14:paraId="272E6BC8" w14:textId="77777777" w:rsidR="00864B5E" w:rsidRPr="007E54F1" w:rsidRDefault="00864B5E" w:rsidP="007E54F1">
      <w:pPr>
        <w:spacing w:before="120" w:after="120" w:line="276" w:lineRule="auto"/>
        <w:ind w:left="284" w:right="51"/>
      </w:pPr>
      <w:r w:rsidRPr="007E54F1">
        <w:t>c) Y no debe implicar que el solicitante realice una búsqueda en toda la información que se encuentre disponible.</w:t>
      </w:r>
    </w:p>
    <w:p w14:paraId="3AE997F2" w14:textId="77777777" w:rsidR="00864B5E" w:rsidRPr="007E54F1" w:rsidRDefault="00864B5E" w:rsidP="007E54F1">
      <w:pPr>
        <w:spacing w:before="240" w:after="240"/>
        <w:ind w:right="49"/>
      </w:pPr>
      <w:r w:rsidRPr="007E54F1">
        <w:t>Imperativos legales que establecen el procedimiento que deben seguir los Sujetos Obligados para que pueda tomarse como válida su orientación sobre la forma en que puede consultar la información requerida.</w:t>
      </w:r>
    </w:p>
    <w:p w14:paraId="2DCC8BCA" w14:textId="0192A806" w:rsidR="009326CD" w:rsidRPr="007E54F1" w:rsidRDefault="00864B5E" w:rsidP="007E54F1">
      <w:pPr>
        <w:ind w:right="49"/>
        <w:contextualSpacing/>
        <w:rPr>
          <w:rFonts w:cs="Arial"/>
          <w:lang w:val="es-ES"/>
        </w:rPr>
      </w:pPr>
      <w:r w:rsidRPr="007E54F1">
        <w:t xml:space="preserve">Los cuales en el presente asunto no aconteció, pues si bien es cierto le proporcionó un link, también lo es que </w:t>
      </w:r>
      <w:r w:rsidR="009326CD" w:rsidRPr="007E54F1">
        <w:rPr>
          <w:rFonts w:cs="Arial"/>
          <w:lang w:val="es-ES"/>
        </w:rPr>
        <w:t xml:space="preserve">no se encuentra acorde a lo que establece la Ley de la materia, pues en primer término no se realizó dentro de los primero cinco días; pues la solicitud fue recibida el </w:t>
      </w:r>
      <w:r w:rsidR="009326CD" w:rsidRPr="007E54F1">
        <w:rPr>
          <w:rFonts w:cs="Arial"/>
          <w:b/>
          <w:u w:val="single"/>
          <w:lang w:val="es-ES"/>
        </w:rPr>
        <w:t>28 de febrero de 2025</w:t>
      </w:r>
      <w:r w:rsidR="009326CD" w:rsidRPr="007E54F1">
        <w:rPr>
          <w:rFonts w:cs="Arial"/>
          <w:lang w:val="es-ES"/>
        </w:rPr>
        <w:t xml:space="preserve"> y la respuesta fue proporcionada el </w:t>
      </w:r>
      <w:r w:rsidR="009326CD" w:rsidRPr="007E54F1">
        <w:rPr>
          <w:rFonts w:cs="Arial"/>
          <w:b/>
          <w:bCs/>
          <w:u w:val="single"/>
          <w:lang w:val="es-ES"/>
        </w:rPr>
        <w:t>21 de marzo de 2025</w:t>
      </w:r>
      <w:r w:rsidR="009326CD" w:rsidRPr="007E54F1">
        <w:rPr>
          <w:rFonts w:cs="Arial"/>
          <w:lang w:val="es-ES"/>
        </w:rPr>
        <w:t>; es decir al décimo tercer día hábil, cuando la solicitud debió ser atendida a fin</w:t>
      </w:r>
      <w:r w:rsidR="006A3A9B">
        <w:rPr>
          <w:rFonts w:cs="Arial"/>
          <w:lang w:val="es-ES"/>
        </w:rPr>
        <w:t xml:space="preserve"> </w:t>
      </w:r>
      <w:r w:rsidR="009326CD" w:rsidRPr="007E54F1">
        <w:rPr>
          <w:rFonts w:cs="Arial"/>
          <w:lang w:val="es-ES"/>
        </w:rPr>
        <w:t xml:space="preserve">de dar cumplimiento al 161 antes invocado a más tardar el </w:t>
      </w:r>
      <w:r w:rsidR="009326CD" w:rsidRPr="007E54F1">
        <w:rPr>
          <w:rFonts w:cs="Arial"/>
          <w:b/>
          <w:u w:val="single"/>
          <w:lang w:val="es-ES"/>
        </w:rPr>
        <w:t>10 de marzo de 2025</w:t>
      </w:r>
      <w:r w:rsidR="009326CD" w:rsidRPr="007E54F1">
        <w:rPr>
          <w:rFonts w:cs="Arial"/>
          <w:lang w:val="es-ES"/>
        </w:rPr>
        <w:t xml:space="preserve">. </w:t>
      </w:r>
    </w:p>
    <w:p w14:paraId="2E76F2E9" w14:textId="6AC297CA" w:rsidR="00864B5E" w:rsidRPr="007E54F1" w:rsidRDefault="009326CD" w:rsidP="007E54F1">
      <w:pPr>
        <w:spacing w:before="240" w:after="240"/>
        <w:ind w:right="49"/>
      </w:pPr>
      <w:r w:rsidRPr="007E54F1">
        <w:t xml:space="preserve">Aunado a que se estima que la orientación </w:t>
      </w:r>
      <w:r w:rsidR="00864B5E" w:rsidRPr="007E54F1">
        <w:t>no le señaló el procedimiento a seguir para consultar la información.</w:t>
      </w:r>
    </w:p>
    <w:p w14:paraId="24519FE0" w14:textId="77777777" w:rsidR="00864B5E" w:rsidRPr="007E54F1" w:rsidRDefault="00864B5E" w:rsidP="007E54F1">
      <w:pPr>
        <w:ind w:right="49"/>
        <w:contextualSpacing/>
      </w:pPr>
      <w:r w:rsidRPr="007E54F1">
        <w:rPr>
          <w:rFonts w:cs="Arial"/>
          <w:lang w:val="es-ES"/>
        </w:rPr>
        <w:t xml:space="preserve">Derivado de lo anterior, cabe destacar que </w:t>
      </w:r>
      <w:r w:rsidRPr="007E54F1">
        <w:t xml:space="preserve">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w:t>
      </w:r>
      <w:r w:rsidRPr="007E54F1">
        <w:lastRenderedPageBreak/>
        <w:t>y estándares abiertos para su reproducción y reutilización electrónica de manera libre y sin ninguna restricción.</w:t>
      </w:r>
    </w:p>
    <w:p w14:paraId="6A6F15EF" w14:textId="77777777" w:rsidR="00864B5E" w:rsidRPr="007E54F1" w:rsidRDefault="00864B5E" w:rsidP="007E54F1">
      <w:r w:rsidRPr="007E54F1">
        <w:t> </w:t>
      </w:r>
    </w:p>
    <w:p w14:paraId="42A96F8E" w14:textId="77777777" w:rsidR="00864B5E" w:rsidRPr="007E54F1" w:rsidRDefault="00864B5E" w:rsidP="007E54F1">
      <w:r w:rsidRPr="007E54F1">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9296C7B" w14:textId="77777777" w:rsidR="00864B5E" w:rsidRPr="007E54F1" w:rsidRDefault="00864B5E" w:rsidP="007E54F1">
      <w:r w:rsidRPr="007E54F1">
        <w:t> </w:t>
      </w:r>
    </w:p>
    <w:p w14:paraId="453398FA" w14:textId="2BDDD6A6" w:rsidR="00864B5E" w:rsidRPr="007E54F1" w:rsidRDefault="00864B5E" w:rsidP="007E54F1">
      <w:pPr>
        <w:rPr>
          <w:rFonts w:cs="Tahoma"/>
          <w:b/>
          <w:bCs/>
          <w:i/>
        </w:rPr>
      </w:pPr>
      <w:r w:rsidRPr="007E54F1">
        <w:rPr>
          <w:rFonts w:eastAsia="Calibri" w:cs="Tahoma"/>
          <w:bCs/>
        </w:rPr>
        <w:t xml:space="preserve">Derivado de lo anterior, se considera necesario precisar que </w:t>
      </w:r>
      <w:r w:rsidR="008C0B5E" w:rsidRPr="007E54F1">
        <w:rPr>
          <w:rFonts w:eastAsia="Calibri" w:cs="Tahoma"/>
          <w:bCs/>
        </w:rPr>
        <w:t xml:space="preserve">son los </w:t>
      </w:r>
      <w:r w:rsidRPr="007E54F1">
        <w:rPr>
          <w:rFonts w:eastAsia="Calibri" w:cs="Tahoma"/>
          <w:bCs/>
        </w:rPr>
        <w:t xml:space="preserve">datos abiertos, conforme a la </w:t>
      </w:r>
      <w:r w:rsidRPr="007E54F1">
        <w:rPr>
          <w:rFonts w:cs="Tahoma"/>
          <w:bCs/>
        </w:rPr>
        <w:t>Carta Internacional de Datos Abiertos</w:t>
      </w:r>
      <w:r w:rsidRPr="007E54F1">
        <w:rPr>
          <w:rStyle w:val="Refdenotaalpie"/>
          <w:rFonts w:eastAsiaTheme="majorEastAsia" w:cs="Tahoma"/>
          <w:bCs/>
        </w:rPr>
        <w:footnoteReference w:id="1"/>
      </w:r>
      <w:r w:rsidRPr="007E54F1">
        <w:rPr>
          <w:rFonts w:eastAsia="Calibri" w:cs="Tahoma"/>
          <w:bCs/>
        </w:rPr>
        <w:t xml:space="preserve"> </w:t>
      </w:r>
      <w:r w:rsidRPr="007E54F1">
        <w:rPr>
          <w:rFonts w:cs="Tahoma"/>
          <w:bCs/>
          <w:i/>
        </w:rPr>
        <w:t xml:space="preserve">son datos digitales que son puestos a disposición con las características técnicas y jurídicas necesarias para que </w:t>
      </w:r>
      <w:r w:rsidRPr="007E54F1">
        <w:rPr>
          <w:rFonts w:cs="Tahoma"/>
          <w:b/>
          <w:bCs/>
          <w:i/>
        </w:rPr>
        <w:t xml:space="preserve">puedan ser </w:t>
      </w:r>
      <w:r w:rsidRPr="007E54F1">
        <w:rPr>
          <w:rFonts w:cs="Tahoma"/>
          <w:b/>
          <w:bCs/>
          <w:i/>
          <w:u w:val="single"/>
        </w:rPr>
        <w:t>usados, reutilizados y redistribuidos</w:t>
      </w:r>
      <w:r w:rsidRPr="007E54F1">
        <w:rPr>
          <w:rFonts w:cs="Tahoma"/>
          <w:b/>
          <w:bCs/>
          <w:i/>
        </w:rPr>
        <w:t xml:space="preserve"> libremente por cualquier persona, en cualquier momento y en cualquier lugar.</w:t>
      </w:r>
    </w:p>
    <w:p w14:paraId="6780970B" w14:textId="77777777" w:rsidR="00864B5E" w:rsidRPr="007E54F1" w:rsidRDefault="00864B5E" w:rsidP="007E54F1"/>
    <w:p w14:paraId="4B2F743C" w14:textId="77777777" w:rsidR="00864B5E" w:rsidRPr="007E54F1" w:rsidRDefault="00864B5E" w:rsidP="007E54F1">
      <w:r w:rsidRPr="007E54F1">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68B0992" w14:textId="77777777" w:rsidR="00864B5E" w:rsidRPr="007E54F1" w:rsidRDefault="00864B5E" w:rsidP="007E54F1">
      <w:r w:rsidRPr="007E54F1">
        <w:t> </w:t>
      </w:r>
    </w:p>
    <w:p w14:paraId="4EFB15D5" w14:textId="77777777" w:rsidR="00864B5E" w:rsidRPr="007E54F1" w:rsidRDefault="00864B5E" w:rsidP="007E54F1">
      <w:pPr>
        <w:ind w:left="720"/>
      </w:pPr>
      <w:r w:rsidRPr="007E54F1">
        <w:t xml:space="preserve">·         </w:t>
      </w:r>
      <w:r w:rsidRPr="007E54F1">
        <w:rPr>
          <w:b/>
          <w:bCs/>
        </w:rPr>
        <w:t xml:space="preserve">Dato abierto: </w:t>
      </w:r>
      <w:r w:rsidRPr="007E54F1">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1816685" w14:textId="77777777" w:rsidR="00864B5E" w:rsidRPr="007E54F1" w:rsidRDefault="00864B5E" w:rsidP="007E54F1">
      <w:pPr>
        <w:ind w:left="720"/>
      </w:pPr>
      <w:r w:rsidRPr="007E54F1">
        <w:rPr>
          <w:b/>
          <w:bCs/>
        </w:rPr>
        <w:t> </w:t>
      </w:r>
    </w:p>
    <w:p w14:paraId="2C46C380" w14:textId="77777777" w:rsidR="00864B5E" w:rsidRPr="007E54F1" w:rsidRDefault="00864B5E" w:rsidP="007E54F1">
      <w:pPr>
        <w:ind w:left="720"/>
      </w:pPr>
      <w:r w:rsidRPr="007E54F1">
        <w:t xml:space="preserve">·         </w:t>
      </w:r>
      <w:r w:rsidRPr="007E54F1">
        <w:rPr>
          <w:b/>
          <w:bCs/>
        </w:rPr>
        <w:t xml:space="preserve">Formato accesible: </w:t>
      </w:r>
      <w:r w:rsidRPr="007E54F1">
        <w:t xml:space="preserve">Conjunto de características técnicas y de presentación de la información que corresponden a la estructura lógica usada para almacenar datos de </w:t>
      </w:r>
      <w:r w:rsidRPr="007E54F1">
        <w:lastRenderedPageBreak/>
        <w:t>forma integral y facilitan su procesamiento digital, cuyas especificaciones estás disponibles públicamente y que permite el acceso sin restricción de uso por parte de los usuarios.</w:t>
      </w:r>
    </w:p>
    <w:p w14:paraId="31C6CE68" w14:textId="77777777" w:rsidR="00864B5E" w:rsidRPr="007E54F1" w:rsidRDefault="00864B5E" w:rsidP="007E54F1"/>
    <w:p w14:paraId="32E93B82" w14:textId="77777777" w:rsidR="00864B5E" w:rsidRPr="007E54F1" w:rsidRDefault="00864B5E" w:rsidP="007E54F1">
      <w:pPr>
        <w:rPr>
          <w:rFonts w:cs="Tahoma"/>
          <w:bCs/>
        </w:rPr>
      </w:pPr>
      <w:r w:rsidRPr="007E54F1">
        <w:rPr>
          <w:rFonts w:cs="Tahoma"/>
          <w:bCs/>
        </w:rPr>
        <w:t xml:space="preserve">Es así que, los datos abiertos cumplen con la finalidad de poder ser utilizados, </w:t>
      </w:r>
      <w:r w:rsidRPr="007E54F1">
        <w:rPr>
          <w:rFonts w:cs="Tahoma"/>
          <w:b/>
          <w:bCs/>
          <w:u w:val="single"/>
        </w:rPr>
        <w:t xml:space="preserve">reutilizados </w:t>
      </w:r>
      <w:r w:rsidRPr="007E54F1">
        <w:rPr>
          <w:rFonts w:cs="Tahoma"/>
          <w:bCs/>
        </w:rPr>
        <w:t xml:space="preserve">y redistribuidos; y que el formato de datos abiertos, </w:t>
      </w:r>
      <w:r w:rsidRPr="007E54F1">
        <w:rPr>
          <w:rFonts w:cs="Tahoma"/>
          <w:b/>
          <w:bCs/>
        </w:rPr>
        <w:t>debe permitir la aplicación y reproducción</w:t>
      </w:r>
      <w:r w:rsidRPr="007E54F1">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7E54F1">
        <w:rPr>
          <w:rFonts w:cs="Tahoma"/>
          <w:bCs/>
        </w:rPr>
        <w:t>pdf</w:t>
      </w:r>
      <w:proofErr w:type="spellEnd"/>
      <w:r w:rsidRPr="007E54F1">
        <w:rPr>
          <w:rFonts w:cs="Tahoma"/>
          <w:bCs/>
        </w:rPr>
        <w:t>, no permite seleccionar texto, copiarlo y pegarlo; por tanto, tampoco permite que la información pueda ser utilizada, reutilizada o redistribuida.</w:t>
      </w:r>
    </w:p>
    <w:p w14:paraId="7B778B90" w14:textId="77777777" w:rsidR="00864B5E" w:rsidRPr="007E54F1" w:rsidRDefault="00864B5E" w:rsidP="007E54F1">
      <w:pPr>
        <w:spacing w:before="240"/>
        <w:ind w:right="-28"/>
        <w:contextualSpacing/>
      </w:pPr>
    </w:p>
    <w:p w14:paraId="4B204400" w14:textId="219D9AC4" w:rsidR="008C0B5E" w:rsidRPr="007E54F1" w:rsidRDefault="008C0B5E" w:rsidP="007E54F1">
      <w:pPr>
        <w:ind w:right="49"/>
        <w:contextualSpacing/>
        <w:rPr>
          <w:rFonts w:cs="Arial"/>
          <w:lang w:val="es-ES"/>
        </w:rPr>
      </w:pPr>
      <w:r w:rsidRPr="007E54F1">
        <w:t xml:space="preserve">Puntualizando entonces que, </w:t>
      </w:r>
      <w:r w:rsidRPr="007E54F1">
        <w:rPr>
          <w:rFonts w:cs="Arial"/>
          <w:lang w:val="es-ES"/>
        </w:rPr>
        <w:t xml:space="preserve">el link electrónico proporcionado en respuesta y posteriormente en informe justificado se </w:t>
      </w:r>
      <w:proofErr w:type="gramStart"/>
      <w:r w:rsidRPr="007E54F1">
        <w:rPr>
          <w:rFonts w:cs="Arial"/>
          <w:lang w:val="es-ES"/>
        </w:rPr>
        <w:t>encuentran</w:t>
      </w:r>
      <w:proofErr w:type="gramEnd"/>
      <w:r w:rsidRPr="007E54F1">
        <w:rPr>
          <w:rFonts w:cs="Arial"/>
          <w:lang w:val="es-ES"/>
        </w:rPr>
        <w:t xml:space="preserve"> en formato cerrado; es decir, implica que la hoy </w:t>
      </w:r>
      <w:r w:rsidRPr="007E54F1">
        <w:rPr>
          <w:rFonts w:cs="Arial"/>
          <w:b/>
          <w:bCs/>
          <w:lang w:val="es-ES"/>
        </w:rPr>
        <w:t>PARTE RECURRENTE</w:t>
      </w:r>
      <w:r w:rsidRPr="007E54F1">
        <w:rPr>
          <w:rFonts w:cs="Arial"/>
          <w:lang w:val="es-ES"/>
        </w:rPr>
        <w:t xml:space="preserve"> transcriba el mismo dígito por dígito, a fin de acceder a la m </w:t>
      </w:r>
      <w:r w:rsidR="003D3963" w:rsidRPr="007E54F1">
        <w:rPr>
          <w:rFonts w:cs="Arial"/>
          <w:lang w:val="es-ES"/>
        </w:rPr>
        <w:t>misma</w:t>
      </w:r>
      <w:r w:rsidRPr="007E54F1">
        <w:rPr>
          <w:rFonts w:cs="Arial"/>
          <w:lang w:val="es-ES"/>
        </w:rPr>
        <w:t>, con lo cual se contraviene lo anteriormente señalado, es decir, no es un dato abierto.</w:t>
      </w:r>
    </w:p>
    <w:p w14:paraId="05BFF8BE" w14:textId="77777777" w:rsidR="00C41C4E" w:rsidRPr="007E54F1" w:rsidRDefault="00C41C4E" w:rsidP="007E54F1">
      <w:pPr>
        <w:ind w:right="49"/>
        <w:contextualSpacing/>
        <w:rPr>
          <w:rFonts w:cs="Arial"/>
          <w:lang w:val="es-ES"/>
        </w:rPr>
      </w:pPr>
    </w:p>
    <w:p w14:paraId="3B63CB12" w14:textId="66D2E69C" w:rsidR="0029696F" w:rsidRPr="007E54F1" w:rsidRDefault="00EA7279" w:rsidP="007E54F1">
      <w:pPr>
        <w:ind w:right="49"/>
        <w:contextualSpacing/>
        <w:rPr>
          <w:rFonts w:cs="Arial"/>
          <w:lang w:val="es-ES"/>
        </w:rPr>
      </w:pPr>
      <w:r w:rsidRPr="007E54F1">
        <w:rPr>
          <w:rFonts w:cs="Arial"/>
          <w:lang w:val="es-ES"/>
        </w:rPr>
        <w:t xml:space="preserve">En ese orden de ideas, se </w:t>
      </w:r>
      <w:r w:rsidR="0029696F" w:rsidRPr="007E54F1">
        <w:rPr>
          <w:rFonts w:cs="Arial"/>
          <w:lang w:val="es-ES"/>
        </w:rPr>
        <w:t>insiste</w:t>
      </w:r>
      <w:r w:rsidRPr="007E54F1">
        <w:rPr>
          <w:rFonts w:cs="Arial"/>
          <w:lang w:val="es-ES"/>
        </w:rPr>
        <w:t xml:space="preserve"> que </w:t>
      </w:r>
      <w:r w:rsidRPr="007E54F1">
        <w:rPr>
          <w:rFonts w:cs="Arial"/>
          <w:b/>
          <w:bCs/>
          <w:lang w:val="es-ES"/>
        </w:rPr>
        <w:t xml:space="preserve">EL SUJETO OBLIGADO </w:t>
      </w:r>
      <w:r w:rsidRPr="007E54F1">
        <w:rPr>
          <w:rFonts w:cs="Arial"/>
          <w:lang w:val="es-ES"/>
        </w:rPr>
        <w:t>no dio cumplimiento al numeral 161 de la Ley de Transparencia Local</w:t>
      </w:r>
      <w:r w:rsidR="0029696F" w:rsidRPr="007E54F1">
        <w:rPr>
          <w:rFonts w:cs="Arial"/>
          <w:lang w:val="es-ES"/>
        </w:rPr>
        <w:t>, en la at</w:t>
      </w:r>
      <w:r w:rsidR="00223E01" w:rsidRPr="007E54F1">
        <w:rPr>
          <w:rFonts w:cs="Arial"/>
          <w:lang w:val="es-ES"/>
        </w:rPr>
        <w:t xml:space="preserve">ención de los requerimientos </w:t>
      </w:r>
      <w:r w:rsidR="0029696F" w:rsidRPr="007E54F1">
        <w:rPr>
          <w:rFonts w:cs="Arial"/>
          <w:lang w:val="es-ES"/>
        </w:rPr>
        <w:t>2, y 3 señalados en la solicitud de información.</w:t>
      </w:r>
    </w:p>
    <w:p w14:paraId="36472161" w14:textId="77777777" w:rsidR="003D3963" w:rsidRPr="007E54F1" w:rsidRDefault="003D3963" w:rsidP="007E54F1">
      <w:pPr>
        <w:ind w:right="49"/>
        <w:contextualSpacing/>
        <w:rPr>
          <w:rFonts w:cs="Arial"/>
          <w:lang w:val="es-ES"/>
        </w:rPr>
      </w:pPr>
    </w:p>
    <w:p w14:paraId="295768EC" w14:textId="77777777" w:rsidR="007C58A6" w:rsidRPr="007E54F1" w:rsidRDefault="007C58A6" w:rsidP="007E54F1">
      <w:r w:rsidRPr="007E54F1">
        <w:t xml:space="preserve">Además, 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w:t>
      </w:r>
      <w:r w:rsidRPr="007E54F1">
        <w:lastRenderedPageBreak/>
        <w:t>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1960FEFA" w14:textId="77777777" w:rsidR="007C58A6" w:rsidRPr="007E54F1" w:rsidRDefault="007C58A6" w:rsidP="007E54F1"/>
    <w:p w14:paraId="39227D1C" w14:textId="77777777" w:rsidR="007C58A6" w:rsidRPr="007E54F1" w:rsidRDefault="007C58A6" w:rsidP="007E54F1">
      <w:pPr>
        <w:spacing w:after="160" w:line="276" w:lineRule="auto"/>
        <w:ind w:left="851" w:right="616"/>
      </w:pPr>
      <w:r w:rsidRPr="007E54F1">
        <w:rPr>
          <w:b/>
          <w:i/>
          <w:u w:val="single"/>
        </w:rPr>
        <w:t>“Artículo 7. El Estado de México garantizará el efectivo acceso de toda persona a la información en posesión de cualquier entidad,</w:t>
      </w:r>
      <w:r w:rsidRPr="007E54F1">
        <w:rPr>
          <w:i/>
        </w:rPr>
        <w:t xml:space="preserve"> autoridad, órgano y organismo de los poderes Ejecutivo, Legislativo y Judicial, órganos autónomos, partidos políticos, fideicomisos y fondos públicos, así como de cualquier persona física, jurídico colectiva o sindicato </w:t>
      </w:r>
      <w:r w:rsidRPr="007E54F1">
        <w:rPr>
          <w:b/>
          <w:i/>
          <w:u w:val="single"/>
        </w:rPr>
        <w:t>que reciba y ejerza recursos públicos</w:t>
      </w:r>
      <w:r w:rsidRPr="007E54F1">
        <w:rPr>
          <w:i/>
        </w:rPr>
        <w:t xml:space="preserve"> o realice actos de autoridad </w:t>
      </w:r>
      <w:r w:rsidRPr="007E54F1">
        <w:rPr>
          <w:b/>
          <w:i/>
          <w:u w:val="single"/>
        </w:rPr>
        <w:t>en el ámbito de competencia del Estado de México y sus municipios</w:t>
      </w:r>
      <w:r w:rsidRPr="007E54F1">
        <w:rPr>
          <w:i/>
          <w:u w:val="single"/>
        </w:rPr>
        <w:t>.</w:t>
      </w:r>
    </w:p>
    <w:p w14:paraId="7B266F2A" w14:textId="77777777" w:rsidR="007C58A6" w:rsidRPr="007E54F1" w:rsidRDefault="007C58A6" w:rsidP="007E54F1">
      <w:pPr>
        <w:spacing w:after="160" w:line="276" w:lineRule="auto"/>
        <w:ind w:left="851" w:right="616"/>
      </w:pPr>
      <w:r w:rsidRPr="007E54F1">
        <w:rPr>
          <w:i/>
        </w:rPr>
        <w:t>Artículo 23. Son sujetos obligados a transparentar y permitir el acceso a su información y proteger los datos personales que obren en su poder:</w:t>
      </w:r>
    </w:p>
    <w:p w14:paraId="0C838FDA" w14:textId="77777777" w:rsidR="007C58A6" w:rsidRPr="007E54F1" w:rsidRDefault="007C58A6" w:rsidP="007E54F1">
      <w:pPr>
        <w:spacing w:after="160" w:line="276" w:lineRule="auto"/>
        <w:ind w:left="851" w:right="616"/>
      </w:pPr>
      <w:r w:rsidRPr="007E54F1">
        <w:rPr>
          <w:i/>
        </w:rPr>
        <w:t>(…)</w:t>
      </w:r>
    </w:p>
    <w:p w14:paraId="2E325FC2" w14:textId="77777777" w:rsidR="007C58A6" w:rsidRPr="007E54F1" w:rsidRDefault="007C58A6" w:rsidP="007E54F1">
      <w:pPr>
        <w:spacing w:after="160" w:line="276" w:lineRule="auto"/>
        <w:ind w:left="851" w:right="616"/>
      </w:pPr>
      <w:r w:rsidRPr="007E54F1">
        <w:rPr>
          <w:b/>
          <w:i/>
          <w:u w:val="single"/>
        </w:rPr>
        <w:t>IV. Los ayuntamientos y las dependencias, organismos, órganos y entidades de la administración municipal;</w:t>
      </w:r>
    </w:p>
    <w:p w14:paraId="5D906CD7" w14:textId="77777777" w:rsidR="007C58A6" w:rsidRPr="007E54F1" w:rsidRDefault="007C58A6" w:rsidP="007E54F1">
      <w:pPr>
        <w:spacing w:after="160" w:line="276" w:lineRule="auto"/>
        <w:ind w:left="851" w:right="616"/>
      </w:pPr>
      <w:r w:rsidRPr="007E54F1">
        <w:rPr>
          <w:i/>
        </w:rPr>
        <w:t>(…)</w:t>
      </w:r>
    </w:p>
    <w:p w14:paraId="08AC6C5E" w14:textId="77777777" w:rsidR="007C58A6" w:rsidRPr="007E54F1" w:rsidRDefault="007C58A6" w:rsidP="007E54F1">
      <w:pPr>
        <w:spacing w:after="160" w:line="276" w:lineRule="auto"/>
        <w:ind w:left="851" w:right="616"/>
      </w:pPr>
      <w:r w:rsidRPr="007E54F1">
        <w:rPr>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C61A14" w14:textId="77777777" w:rsidR="007C58A6" w:rsidRPr="007E54F1" w:rsidRDefault="007C58A6" w:rsidP="007E54F1">
      <w:pPr>
        <w:spacing w:after="160" w:line="276" w:lineRule="auto"/>
        <w:ind w:left="851" w:right="616"/>
      </w:pPr>
      <w:r w:rsidRPr="007E54F1">
        <w:rPr>
          <w:i/>
        </w:rPr>
        <w:t>Los servidores públicos deberán transparentar sus acciones así como garantizar y respetar el derecho de acceso a la información pública.”</w:t>
      </w:r>
      <w:r w:rsidRPr="007E54F1">
        <w:rPr>
          <w:b/>
          <w:i/>
        </w:rPr>
        <w:t xml:space="preserve"> </w:t>
      </w:r>
    </w:p>
    <w:p w14:paraId="1FE3597E" w14:textId="77777777" w:rsidR="007C58A6" w:rsidRPr="007E54F1" w:rsidRDefault="007C58A6" w:rsidP="007E54F1">
      <w:pPr>
        <w:contextualSpacing/>
        <w:rPr>
          <w:rFonts w:cs="Tahoma"/>
          <w:bCs/>
          <w:iCs/>
        </w:rPr>
      </w:pPr>
    </w:p>
    <w:p w14:paraId="6FED03A6" w14:textId="77777777" w:rsidR="007C58A6" w:rsidRPr="007E54F1" w:rsidRDefault="007C58A6" w:rsidP="007E54F1">
      <w:r w:rsidRPr="007E54F1">
        <w:t>Ahora bien, el artículo 92, fracción VIII de la Ley de Transparencia y Acceso a la Información Pública del Estado de México y Municipios, antes invocada señala: </w:t>
      </w:r>
    </w:p>
    <w:p w14:paraId="72B1DF14" w14:textId="77777777" w:rsidR="007C58A6" w:rsidRPr="007E54F1" w:rsidRDefault="007C58A6" w:rsidP="007E54F1"/>
    <w:p w14:paraId="2CC7F223" w14:textId="77777777" w:rsidR="007C58A6" w:rsidRPr="007E54F1" w:rsidRDefault="007C58A6" w:rsidP="007E54F1">
      <w:pPr>
        <w:spacing w:line="276" w:lineRule="auto"/>
        <w:ind w:left="851" w:right="900"/>
      </w:pPr>
      <w:r w:rsidRPr="007E54F1">
        <w:rPr>
          <w:i/>
        </w:rPr>
        <w:lastRenderedPageBreak/>
        <w:t>“</w:t>
      </w:r>
      <w:r w:rsidRPr="007E54F1">
        <w:rPr>
          <w:b/>
          <w:i/>
        </w:rPr>
        <w:t>Artículo 92.</w:t>
      </w:r>
      <w:r w:rsidRPr="007E54F1">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DA0E389" w14:textId="77777777" w:rsidR="007C58A6" w:rsidRPr="007E54F1" w:rsidRDefault="007C58A6" w:rsidP="007E54F1">
      <w:pPr>
        <w:spacing w:line="276" w:lineRule="auto"/>
        <w:ind w:left="851" w:right="900"/>
      </w:pPr>
      <w:r w:rsidRPr="007E54F1">
        <w:rPr>
          <w:i/>
        </w:rPr>
        <w:t>(…)</w:t>
      </w:r>
    </w:p>
    <w:p w14:paraId="7045C8CC" w14:textId="77777777" w:rsidR="007C58A6" w:rsidRPr="007E54F1" w:rsidRDefault="007C58A6" w:rsidP="007E54F1">
      <w:pPr>
        <w:spacing w:line="276" w:lineRule="auto"/>
        <w:ind w:left="851" w:right="900"/>
      </w:pPr>
      <w:r w:rsidRPr="007E54F1">
        <w:rPr>
          <w:b/>
          <w:i/>
        </w:rPr>
        <w:t>VIII.</w:t>
      </w:r>
      <w:r w:rsidRPr="007E54F1">
        <w:rPr>
          <w:i/>
        </w:rPr>
        <w:t xml:space="preserve"> </w:t>
      </w:r>
      <w:r w:rsidRPr="007E54F1">
        <w:rPr>
          <w:b/>
          <w:i/>
          <w:u w:val="single"/>
        </w:rPr>
        <w:t>La remuneración bruta y neta de todos los servidores públicos</w:t>
      </w:r>
      <w:r w:rsidRPr="007E54F1">
        <w:rPr>
          <w:i/>
        </w:rPr>
        <w:t xml:space="preserve"> de base o de confianza, de todas las percepciones, incluyendo sueldos, prestaciones, gratificaciones, primas, comisiones, dietas, bonos, estímulos, ingresos y sistemas de compensación, señalando la periodicidad de dicha remuneración;”</w:t>
      </w:r>
    </w:p>
    <w:p w14:paraId="403525A2" w14:textId="77777777" w:rsidR="007C58A6" w:rsidRPr="007E54F1" w:rsidRDefault="007C58A6" w:rsidP="007E54F1">
      <w:pPr>
        <w:ind w:right="49"/>
      </w:pPr>
    </w:p>
    <w:p w14:paraId="51F18481" w14:textId="77777777" w:rsidR="007C58A6" w:rsidRPr="007E54F1" w:rsidRDefault="007C58A6" w:rsidP="007E54F1">
      <w:pPr>
        <w:contextualSpacing/>
        <w:rPr>
          <w:rFonts w:cs="Tahoma"/>
          <w:bCs/>
          <w:iCs/>
        </w:rPr>
      </w:pPr>
      <w:r w:rsidRPr="007E54F1">
        <w:rPr>
          <w:rFonts w:cs="Tahoma"/>
          <w:bCs/>
          <w:iC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7D06A64" w14:textId="77777777" w:rsidR="00376576" w:rsidRPr="007E54F1" w:rsidRDefault="00376576" w:rsidP="007E54F1">
      <w:pPr>
        <w:contextualSpacing/>
        <w:rPr>
          <w:rFonts w:cs="Tahoma"/>
          <w:bCs/>
          <w:iCs/>
        </w:rPr>
      </w:pPr>
    </w:p>
    <w:p w14:paraId="75B170EF" w14:textId="39FA711B" w:rsidR="00376576" w:rsidRPr="007E54F1" w:rsidRDefault="00376576" w:rsidP="007E54F1">
      <w:pPr>
        <w:contextualSpacing/>
        <w:rPr>
          <w:sz w:val="24"/>
          <w:szCs w:val="24"/>
        </w:rPr>
      </w:pPr>
      <w:r w:rsidRPr="007E54F1">
        <w:rPr>
          <w:sz w:val="24"/>
          <w:szCs w:val="24"/>
        </w:rPr>
        <w:t xml:space="preserve">En esa tesitura, debe apuntarse además que la información curricular constituye una obligación de transparencia, pues </w:t>
      </w:r>
      <w:r w:rsidRPr="007E54F1">
        <w:rPr>
          <w:b/>
          <w:sz w:val="24"/>
          <w:szCs w:val="24"/>
        </w:rPr>
        <w:t>EL SUJETO OBLIGADO</w:t>
      </w:r>
      <w:r w:rsidRPr="007E54F1">
        <w:rPr>
          <w:sz w:val="24"/>
          <w:szCs w:val="24"/>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33466E5F" w14:textId="77777777" w:rsidR="00376576" w:rsidRPr="007E54F1" w:rsidRDefault="00376576" w:rsidP="007E54F1">
      <w:pPr>
        <w:contextualSpacing/>
        <w:rPr>
          <w:sz w:val="24"/>
          <w:szCs w:val="24"/>
        </w:rPr>
      </w:pPr>
    </w:p>
    <w:p w14:paraId="3005127F" w14:textId="77777777" w:rsidR="00376576" w:rsidRPr="007E54F1" w:rsidRDefault="00376576" w:rsidP="007E54F1">
      <w:pPr>
        <w:spacing w:before="280" w:after="280" w:line="276" w:lineRule="auto"/>
        <w:ind w:left="567" w:right="612"/>
        <w:contextualSpacing/>
        <w:rPr>
          <w:i/>
          <w:sz w:val="20"/>
        </w:rPr>
      </w:pPr>
      <w:r w:rsidRPr="007E54F1">
        <w:rPr>
          <w:i/>
          <w:sz w:val="24"/>
          <w:szCs w:val="24"/>
        </w:rPr>
        <w:lastRenderedPageBreak/>
        <w:t xml:space="preserve"> “</w:t>
      </w:r>
      <w:r w:rsidRPr="007E54F1">
        <w:rPr>
          <w:b/>
          <w:i/>
          <w:szCs w:val="24"/>
        </w:rPr>
        <w:t>Artículo 92.</w:t>
      </w:r>
      <w:r w:rsidRPr="007E54F1">
        <w:rPr>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A35FC3" w14:textId="77777777" w:rsidR="00376576" w:rsidRPr="007E54F1" w:rsidRDefault="00376576" w:rsidP="007E54F1">
      <w:pPr>
        <w:spacing w:before="280" w:after="280" w:line="276" w:lineRule="auto"/>
        <w:ind w:left="567" w:right="612"/>
        <w:contextualSpacing/>
        <w:rPr>
          <w:i/>
          <w:sz w:val="20"/>
        </w:rPr>
      </w:pPr>
      <w:r w:rsidRPr="007E54F1">
        <w:rPr>
          <w:i/>
          <w:szCs w:val="24"/>
        </w:rPr>
        <w:t>...</w:t>
      </w:r>
    </w:p>
    <w:p w14:paraId="0F9D9C93" w14:textId="77777777" w:rsidR="00376576" w:rsidRPr="007E54F1" w:rsidRDefault="00376576" w:rsidP="007E54F1">
      <w:pPr>
        <w:spacing w:before="280" w:after="280" w:line="276" w:lineRule="auto"/>
        <w:ind w:left="567" w:right="612"/>
        <w:contextualSpacing/>
        <w:rPr>
          <w:i/>
        </w:rPr>
      </w:pPr>
      <w:r w:rsidRPr="007E54F1">
        <w:rPr>
          <w:i/>
          <w:szCs w:val="24"/>
        </w:rPr>
        <w:t>XXI. La información curricular, desde el nivel de jefe de departamento o equivalente, hasta el titular del sujeto obligado, así como, en su caso, las sanciones administrativas de que haya sido objeto;”</w:t>
      </w:r>
    </w:p>
    <w:p w14:paraId="2C8C79FC" w14:textId="77777777" w:rsidR="00376576" w:rsidRPr="007E54F1" w:rsidRDefault="00376576" w:rsidP="007E54F1">
      <w:pPr>
        <w:contextualSpacing/>
        <w:rPr>
          <w:sz w:val="24"/>
          <w:szCs w:val="24"/>
        </w:rPr>
      </w:pPr>
    </w:p>
    <w:p w14:paraId="2430966F" w14:textId="77777777" w:rsidR="00376576" w:rsidRPr="007E54F1" w:rsidRDefault="00376576" w:rsidP="007E54F1">
      <w:pPr>
        <w:contextualSpacing/>
        <w:rPr>
          <w:sz w:val="24"/>
          <w:szCs w:val="24"/>
        </w:rPr>
      </w:pPr>
      <w:r w:rsidRPr="007E54F1">
        <w:rPr>
          <w:sz w:val="24"/>
          <w:szCs w:val="24"/>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7707EAA6" w14:textId="77777777" w:rsidR="00376576" w:rsidRPr="007E54F1" w:rsidRDefault="00376576" w:rsidP="007E54F1">
      <w:pPr>
        <w:contextualSpacing/>
        <w:rPr>
          <w:sz w:val="24"/>
          <w:szCs w:val="24"/>
        </w:rPr>
      </w:pPr>
    </w:p>
    <w:p w14:paraId="05C1E9B4" w14:textId="77777777" w:rsidR="00376576" w:rsidRPr="007E54F1" w:rsidRDefault="00376576" w:rsidP="007E54F1">
      <w:pPr>
        <w:spacing w:before="280" w:after="280" w:line="276" w:lineRule="auto"/>
        <w:ind w:left="567" w:right="612"/>
        <w:contextualSpacing/>
        <w:rPr>
          <w:i/>
          <w:sz w:val="20"/>
        </w:rPr>
      </w:pPr>
      <w:r w:rsidRPr="007E54F1">
        <w:rPr>
          <w:i/>
          <w:sz w:val="24"/>
          <w:szCs w:val="24"/>
        </w:rPr>
        <w:t xml:space="preserve"> </w:t>
      </w:r>
      <w:r w:rsidRPr="007E54F1">
        <w:rPr>
          <w:i/>
          <w:szCs w:val="24"/>
        </w:rPr>
        <w:t xml:space="preserve">“XVII. La información curricular desde el nivel de jefe de departamento o equivalente hasta el titular del sujeto obligado, así como, en su caso, las sanciones administrativas de que haya sido objeto. </w:t>
      </w:r>
    </w:p>
    <w:p w14:paraId="7B2F5A8E" w14:textId="77777777" w:rsidR="00376576" w:rsidRPr="007E54F1" w:rsidRDefault="00376576" w:rsidP="007E54F1">
      <w:pPr>
        <w:spacing w:before="280" w:after="280" w:line="276" w:lineRule="auto"/>
        <w:ind w:left="567" w:right="612"/>
        <w:contextualSpacing/>
        <w:rPr>
          <w:i/>
          <w:sz w:val="20"/>
        </w:rPr>
      </w:pPr>
    </w:p>
    <w:p w14:paraId="62B1F451" w14:textId="77777777" w:rsidR="00376576" w:rsidRPr="007E54F1" w:rsidRDefault="00376576" w:rsidP="007E54F1">
      <w:pPr>
        <w:spacing w:before="280" w:after="280" w:line="276" w:lineRule="auto"/>
        <w:ind w:left="567" w:right="612"/>
        <w:contextualSpacing/>
        <w:rPr>
          <w:i/>
          <w:sz w:val="20"/>
        </w:rPr>
      </w:pPr>
      <w:r w:rsidRPr="007E54F1">
        <w:rPr>
          <w:i/>
          <w:szCs w:val="24"/>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5FF6B5A5" w14:textId="77777777" w:rsidR="00376576" w:rsidRPr="007E54F1" w:rsidRDefault="00376576" w:rsidP="007E54F1">
      <w:pPr>
        <w:spacing w:before="280" w:after="280" w:line="276" w:lineRule="auto"/>
        <w:ind w:left="567" w:right="612"/>
        <w:contextualSpacing/>
        <w:rPr>
          <w:i/>
          <w:sz w:val="20"/>
        </w:rPr>
      </w:pPr>
      <w:r w:rsidRPr="007E54F1">
        <w:rPr>
          <w:i/>
          <w:szCs w:val="24"/>
        </w:rPr>
        <w:lastRenderedPageBreak/>
        <w:t xml:space="preserve">Por cada servidor(a) público(a) se deberá especificar si ha sido acreedor a sanciones administrativas definitivas y que hayan sido aplicadas por autoridad u organismo competente. </w:t>
      </w:r>
    </w:p>
    <w:p w14:paraId="16A35C34" w14:textId="77777777" w:rsidR="00376576" w:rsidRPr="007E54F1" w:rsidRDefault="00376576" w:rsidP="007E54F1">
      <w:pPr>
        <w:spacing w:before="280" w:after="280" w:line="276" w:lineRule="auto"/>
        <w:ind w:left="567" w:right="612"/>
        <w:contextualSpacing/>
        <w:rPr>
          <w:i/>
          <w:sz w:val="20"/>
        </w:rPr>
      </w:pPr>
      <w:r w:rsidRPr="007E54F1">
        <w:rPr>
          <w:i/>
          <w:szCs w:val="24"/>
        </w:rPr>
        <w:t xml:space="preserve">Periodo de actualización: trimestral </w:t>
      </w:r>
    </w:p>
    <w:p w14:paraId="1414E187" w14:textId="77777777" w:rsidR="00376576" w:rsidRPr="007E54F1" w:rsidRDefault="00376576" w:rsidP="007E54F1">
      <w:pPr>
        <w:spacing w:before="280" w:after="280" w:line="276" w:lineRule="auto"/>
        <w:ind w:left="567" w:right="612"/>
        <w:contextualSpacing/>
        <w:rPr>
          <w:i/>
          <w:sz w:val="20"/>
        </w:rPr>
      </w:pPr>
      <w:r w:rsidRPr="007E54F1">
        <w:rPr>
          <w:i/>
          <w:szCs w:val="24"/>
        </w:rPr>
        <w:t>En su caso, 15 días hábiles después de alguna modificación a la información de los servidores públicos que integran el sujeto obligado, así como su información curricular.</w:t>
      </w:r>
    </w:p>
    <w:p w14:paraId="001CB916" w14:textId="77777777" w:rsidR="00376576" w:rsidRPr="007E54F1" w:rsidRDefault="00376576" w:rsidP="007E54F1">
      <w:pPr>
        <w:spacing w:before="280" w:after="280" w:line="276" w:lineRule="auto"/>
        <w:ind w:left="567" w:right="612"/>
        <w:contextualSpacing/>
        <w:rPr>
          <w:i/>
          <w:sz w:val="20"/>
        </w:rPr>
      </w:pPr>
      <w:r w:rsidRPr="007E54F1">
        <w:rPr>
          <w:i/>
          <w:szCs w:val="24"/>
        </w:rPr>
        <w:t xml:space="preserve">Conservar en el sitio de Internet: información vigente </w:t>
      </w:r>
    </w:p>
    <w:p w14:paraId="68F52794" w14:textId="77777777" w:rsidR="00376576" w:rsidRPr="007E54F1" w:rsidRDefault="00376576" w:rsidP="007E54F1">
      <w:pPr>
        <w:spacing w:before="280" w:after="280" w:line="276" w:lineRule="auto"/>
        <w:ind w:left="567" w:right="612"/>
        <w:contextualSpacing/>
        <w:rPr>
          <w:i/>
          <w:sz w:val="20"/>
        </w:rPr>
      </w:pPr>
      <w:r w:rsidRPr="007E54F1">
        <w:rPr>
          <w:i/>
          <w:szCs w:val="24"/>
        </w:rPr>
        <w:t>Aplica a: todos los sujetos obligados”</w:t>
      </w:r>
    </w:p>
    <w:p w14:paraId="1FFC4783" w14:textId="12935354" w:rsidR="00376576" w:rsidRPr="007E54F1" w:rsidRDefault="00AF2929" w:rsidP="007E54F1">
      <w:pPr>
        <w:contextualSpacing/>
        <w:rPr>
          <w:sz w:val="24"/>
          <w:szCs w:val="24"/>
        </w:rPr>
      </w:pPr>
      <w:r w:rsidRPr="007E54F1">
        <w:rPr>
          <w:noProof/>
          <w:sz w:val="24"/>
          <w:szCs w:val="24"/>
        </w:rPr>
        <mc:AlternateContent>
          <mc:Choice Requires="wps">
            <w:drawing>
              <wp:anchor distT="0" distB="0" distL="114300" distR="114300" simplePos="0" relativeHeight="251659264" behindDoc="0" locked="0" layoutInCell="1" allowOverlap="1" wp14:anchorId="38F06946" wp14:editId="6EB17480">
                <wp:simplePos x="0" y="0"/>
                <wp:positionH relativeFrom="column">
                  <wp:posOffset>20320</wp:posOffset>
                </wp:positionH>
                <wp:positionV relativeFrom="paragraph">
                  <wp:posOffset>1969770</wp:posOffset>
                </wp:positionV>
                <wp:extent cx="5572125" cy="11620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5572125" cy="11620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DDCB33C" id="Rectángulo 2" o:spid="_x0000_s1026" style="position:absolute;margin-left:1.6pt;margin-top:155.1pt;width:438.7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" filled="f" strokecolor="red" strokeweight="2.25pt">
                <v:shadow on="t" color="black" opacity="22937f" origin=",.5" offset="0,.63889mm"/>
              </v:rect>
            </w:pict>
          </mc:Fallback>
        </mc:AlternateContent>
      </w:r>
      <w:r w:rsidR="00376576" w:rsidRPr="007E54F1">
        <w:rPr>
          <w:noProof/>
          <w:sz w:val="24"/>
          <w:szCs w:val="24"/>
        </w:rPr>
        <w:drawing>
          <wp:inline distT="0" distB="0" distL="0" distR="0" wp14:anchorId="445F2435" wp14:editId="10FCDB20">
            <wp:extent cx="5612130" cy="31813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3181350"/>
                    </a:xfrm>
                    <a:prstGeom prst="rect">
                      <a:avLst/>
                    </a:prstGeom>
                  </pic:spPr>
                </pic:pic>
              </a:graphicData>
            </a:graphic>
          </wp:inline>
        </w:drawing>
      </w:r>
    </w:p>
    <w:p w14:paraId="2C504049" w14:textId="28CF54F4" w:rsidR="00376576" w:rsidRPr="007E54F1" w:rsidRDefault="00376576" w:rsidP="007E54F1">
      <w:pPr>
        <w:contextualSpacing/>
        <w:rPr>
          <w:sz w:val="24"/>
          <w:szCs w:val="24"/>
        </w:rPr>
      </w:pPr>
    </w:p>
    <w:p w14:paraId="1DBF063D" w14:textId="77777777" w:rsidR="00376576" w:rsidRPr="007E54F1" w:rsidRDefault="00376576" w:rsidP="007E54F1">
      <w:pPr>
        <w:contextualSpacing/>
        <w:rPr>
          <w:b/>
          <w:sz w:val="24"/>
          <w:szCs w:val="24"/>
          <w:u w:val="single"/>
        </w:rPr>
      </w:pPr>
      <w:r w:rsidRPr="007E54F1">
        <w:rPr>
          <w:sz w:val="24"/>
          <w:szCs w:val="24"/>
        </w:rPr>
        <w:t xml:space="preserve">Como se aprecia en el dispositivo legal citado, lo sujetos obligados deben publicar la información curricular desde el nivel del jefe de departamento o equivalente, hasta el titular del </w:t>
      </w:r>
      <w:r w:rsidRPr="007E54F1">
        <w:rPr>
          <w:b/>
          <w:sz w:val="24"/>
          <w:szCs w:val="24"/>
        </w:rPr>
        <w:t>SUJETO OBLIGADO</w:t>
      </w:r>
      <w:r w:rsidRPr="007E54F1">
        <w:rPr>
          <w:sz w:val="24"/>
          <w:szCs w:val="24"/>
        </w:rPr>
        <w:t xml:space="preserve">, como se apreció en la cita, </w:t>
      </w:r>
      <w:r w:rsidRPr="007E54F1">
        <w:rPr>
          <w:b/>
          <w:sz w:val="24"/>
          <w:szCs w:val="24"/>
          <w:u w:val="single"/>
        </w:rPr>
        <w:t xml:space="preserve">respecto a la escolaridad mandata que se publique información referente al nivel máximo de estudios concluido y comprobable, mientras que respecto de la experiencia laboral, se requiere que se incluya información de últimos empleos, en los que se advierta el </w:t>
      </w:r>
      <w:r w:rsidRPr="007E54F1">
        <w:rPr>
          <w:b/>
          <w:sz w:val="24"/>
          <w:szCs w:val="24"/>
          <w:u w:val="single"/>
        </w:rPr>
        <w:lastRenderedPageBreak/>
        <w:t>campo de experiencia que acredite sus habilidades, capacidades o pericia para desempeñar el cargo público.</w:t>
      </w:r>
    </w:p>
    <w:p w14:paraId="7F3BD701" w14:textId="77777777" w:rsidR="0029696F" w:rsidRPr="007E54F1" w:rsidRDefault="0029696F" w:rsidP="007E54F1">
      <w:pPr>
        <w:ind w:right="49"/>
        <w:contextualSpacing/>
        <w:rPr>
          <w:rFonts w:cs="Arial"/>
          <w:lang w:val="es-ES"/>
        </w:rPr>
      </w:pPr>
    </w:p>
    <w:p w14:paraId="27AEAE97" w14:textId="195621B1" w:rsidR="0029696F" w:rsidRPr="007E54F1" w:rsidRDefault="0029696F" w:rsidP="007E54F1">
      <w:pPr>
        <w:ind w:right="49"/>
        <w:contextualSpacing/>
        <w:rPr>
          <w:rFonts w:cs="Arial"/>
          <w:lang w:val="es-ES"/>
        </w:rPr>
      </w:pPr>
      <w:r w:rsidRPr="007E54F1">
        <w:rPr>
          <w:rFonts w:cs="Arial"/>
          <w:lang w:val="es-ES"/>
        </w:rPr>
        <w:t xml:space="preserve"> </w:t>
      </w:r>
      <w:r w:rsidR="00C41C4E" w:rsidRPr="007E54F1">
        <w:rPr>
          <w:rFonts w:cs="Arial"/>
          <w:lang w:val="es-ES"/>
        </w:rPr>
        <w:t>Es por ello, que en el presente caso, no se tiene por colmado, los requerimientos mar</w:t>
      </w:r>
      <w:r w:rsidR="0091452C" w:rsidRPr="007E54F1">
        <w:rPr>
          <w:rFonts w:cs="Arial"/>
          <w:lang w:val="es-ES"/>
        </w:rPr>
        <w:t>cados con los numerales 2 y 3,</w:t>
      </w:r>
      <w:r w:rsidR="00C41C4E" w:rsidRPr="007E54F1">
        <w:rPr>
          <w:rFonts w:cs="Arial"/>
          <w:lang w:val="es-ES"/>
        </w:rPr>
        <w:t xml:space="preserve"> resulta</w:t>
      </w:r>
      <w:r w:rsidR="0091452C" w:rsidRPr="007E54F1">
        <w:rPr>
          <w:rFonts w:cs="Arial"/>
          <w:lang w:val="es-ES"/>
        </w:rPr>
        <w:t>ndo</w:t>
      </w:r>
      <w:r w:rsidR="00C41C4E" w:rsidRPr="007E54F1">
        <w:rPr>
          <w:rFonts w:cs="Arial"/>
          <w:lang w:val="es-ES"/>
        </w:rPr>
        <w:t xml:space="preserve"> dable ordenar la entrega en donde conste, en versión pública de ser procedente.</w:t>
      </w:r>
    </w:p>
    <w:p w14:paraId="4912B540" w14:textId="77777777" w:rsidR="0047178D" w:rsidRPr="007E54F1" w:rsidRDefault="0047178D" w:rsidP="007E54F1">
      <w:pPr>
        <w:ind w:right="49"/>
        <w:contextualSpacing/>
        <w:rPr>
          <w:rFonts w:cs="Arial"/>
          <w:lang w:val="es-ES"/>
        </w:rPr>
      </w:pPr>
    </w:p>
    <w:p w14:paraId="03E95007" w14:textId="175C5035" w:rsidR="0047178D" w:rsidRPr="007E54F1" w:rsidRDefault="0047178D" w:rsidP="007E54F1">
      <w:r w:rsidRPr="007E54F1">
        <w:t xml:space="preserve">Ahora bien, para el caso que una vez se haya realizado una búsqueda exhaustiva y razonable de la información y lo que se ordena respecto del nivel máximo de estudios no obre dentro de los archivos del </w:t>
      </w:r>
      <w:r w:rsidR="00745586" w:rsidRPr="007E54F1">
        <w:rPr>
          <w:b/>
        </w:rPr>
        <w:t>SUJETO OBLIGADO</w:t>
      </w:r>
      <w:r w:rsidR="00745586" w:rsidRPr="007E54F1">
        <w:t xml:space="preserve"> </w:t>
      </w:r>
      <w:r w:rsidRPr="007E54F1">
        <w:t xml:space="preserve">bastará con que así lo haga del conocimiento de </w:t>
      </w:r>
      <w:r w:rsidRPr="007E54F1">
        <w:rPr>
          <w:b/>
        </w:rPr>
        <w:t>LA PARTE RECURRENTE</w:t>
      </w:r>
      <w:r w:rsidRPr="007E54F1">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28AFD2B8" w14:textId="77777777" w:rsidR="0047178D" w:rsidRPr="007E54F1" w:rsidRDefault="0047178D" w:rsidP="007E54F1"/>
    <w:p w14:paraId="7C339CD4" w14:textId="77777777" w:rsidR="0047178D" w:rsidRPr="007E54F1" w:rsidRDefault="0047178D" w:rsidP="007E54F1">
      <w:pPr>
        <w:pStyle w:val="Puesto"/>
        <w:ind w:firstLine="0"/>
        <w:rPr>
          <w:b/>
          <w:color w:val="auto"/>
        </w:rPr>
      </w:pPr>
      <w:r w:rsidRPr="007E54F1">
        <w:rPr>
          <w:color w:val="auto"/>
        </w:rPr>
        <w:t>“</w:t>
      </w:r>
      <w:r w:rsidRPr="007E54F1">
        <w:rPr>
          <w:b/>
          <w:color w:val="auto"/>
        </w:rPr>
        <w:t>Artículo 19…</w:t>
      </w:r>
    </w:p>
    <w:p w14:paraId="631475DD" w14:textId="77777777" w:rsidR="0047178D" w:rsidRPr="007E54F1" w:rsidRDefault="0047178D" w:rsidP="007E54F1">
      <w:pPr>
        <w:pStyle w:val="Puesto"/>
        <w:ind w:firstLine="0"/>
        <w:rPr>
          <w:color w:val="auto"/>
        </w:rPr>
      </w:pPr>
      <w:r w:rsidRPr="007E54F1">
        <w:rPr>
          <w:b/>
          <w:color w:val="auto"/>
        </w:rPr>
        <w:t>En los casos en que ciertas facultades, competencias o funciones no se hayan ejercido, se debe motivar la respuesta en función de las causas que motiven tal circunstancia</w:t>
      </w:r>
      <w:r w:rsidRPr="007E54F1">
        <w:rPr>
          <w:color w:val="auto"/>
        </w:rPr>
        <w:t>.”</w:t>
      </w:r>
    </w:p>
    <w:p w14:paraId="22FA7B13" w14:textId="77777777" w:rsidR="0047178D" w:rsidRPr="007E54F1" w:rsidRDefault="0047178D" w:rsidP="007E54F1">
      <w:pPr>
        <w:ind w:right="49"/>
        <w:contextualSpacing/>
        <w:rPr>
          <w:rFonts w:cs="Arial"/>
          <w:lang w:val="es-ES"/>
        </w:rPr>
      </w:pPr>
    </w:p>
    <w:p w14:paraId="10DA866D" w14:textId="77777777" w:rsidR="00327CA8" w:rsidRPr="007E54F1" w:rsidRDefault="00327CA8" w:rsidP="007E54F1">
      <w:pPr>
        <w:pStyle w:val="Ttulo3"/>
      </w:pPr>
      <w:bookmarkStart w:id="29" w:name="_Toc165402882"/>
      <w:bookmarkStart w:id="30" w:name="_Toc183526901"/>
      <w:bookmarkStart w:id="31" w:name="_Toc197540893"/>
      <w:bookmarkStart w:id="32" w:name="_Toc199961254"/>
      <w:r w:rsidRPr="007E54F1">
        <w:t>d) Versión pública</w:t>
      </w:r>
      <w:bookmarkEnd w:id="29"/>
      <w:bookmarkEnd w:id="30"/>
      <w:bookmarkEnd w:id="31"/>
      <w:bookmarkEnd w:id="32"/>
    </w:p>
    <w:p w14:paraId="2A63B833" w14:textId="77777777" w:rsidR="00327CA8" w:rsidRPr="007E54F1" w:rsidRDefault="00327CA8" w:rsidP="007E54F1">
      <w:pPr>
        <w:rPr>
          <w:bCs/>
        </w:rPr>
      </w:pPr>
      <w:r w:rsidRPr="007E54F1">
        <w:t xml:space="preserve">Para el caso de que el o los documentos de los cuales se ordena su entrega contengan datos personales susceptibles de ser testados, deberán ser entregados en </w:t>
      </w:r>
      <w:r w:rsidRPr="007E54F1">
        <w:rPr>
          <w:b/>
        </w:rPr>
        <w:t>versión pública</w:t>
      </w:r>
      <w:r w:rsidRPr="007E54F1">
        <w:t>, pues el</w:t>
      </w:r>
      <w:r w:rsidRPr="007E54F1">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7E54F1">
        <w:rPr>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9E43A2" w14:textId="77777777" w:rsidR="00327CA8" w:rsidRPr="007E54F1" w:rsidRDefault="00327CA8" w:rsidP="007E54F1">
      <w:pPr>
        <w:rPr>
          <w:rFonts w:eastAsia="Calibri"/>
          <w:bCs/>
          <w:lang w:eastAsia="en-US"/>
        </w:rPr>
      </w:pPr>
    </w:p>
    <w:p w14:paraId="28958627" w14:textId="77777777" w:rsidR="00327CA8" w:rsidRPr="007E54F1" w:rsidRDefault="00327CA8" w:rsidP="007E54F1">
      <w:pPr>
        <w:rPr>
          <w:bCs/>
        </w:rPr>
      </w:pPr>
      <w:r w:rsidRPr="007E54F1">
        <w:rPr>
          <w:bCs/>
        </w:rPr>
        <w:t>A este respecto, los artículos 3, fracciones IX, XX, XXI y XLV; 51 y 52 de la Ley de Transparencia y Acceso a la Información Pública del Estado de México y Municipios establecen:</w:t>
      </w:r>
    </w:p>
    <w:p w14:paraId="0B485A04" w14:textId="77777777" w:rsidR="00327CA8" w:rsidRPr="007E54F1" w:rsidRDefault="00327CA8" w:rsidP="007E54F1"/>
    <w:p w14:paraId="71B208BE" w14:textId="77777777" w:rsidR="00327CA8" w:rsidRPr="007E54F1" w:rsidRDefault="00327CA8" w:rsidP="007E54F1">
      <w:pPr>
        <w:pStyle w:val="Puesto"/>
        <w:ind w:firstLine="0"/>
        <w:rPr>
          <w:color w:val="auto"/>
        </w:rPr>
      </w:pPr>
      <w:r w:rsidRPr="007E54F1">
        <w:rPr>
          <w:b/>
          <w:bCs/>
          <w:noProof/>
          <w:color w:val="auto"/>
        </w:rPr>
        <w:t>“</w:t>
      </w:r>
      <w:r w:rsidRPr="007E54F1">
        <w:rPr>
          <w:b/>
          <w:bCs/>
          <w:color w:val="auto"/>
        </w:rPr>
        <w:t xml:space="preserve">Artículo 3. </w:t>
      </w:r>
      <w:r w:rsidRPr="007E54F1">
        <w:rPr>
          <w:color w:val="auto"/>
        </w:rPr>
        <w:t xml:space="preserve">Para los efectos de la presente Ley se entenderá por: </w:t>
      </w:r>
    </w:p>
    <w:p w14:paraId="56065131" w14:textId="77777777" w:rsidR="00327CA8" w:rsidRPr="007E54F1" w:rsidRDefault="00327CA8" w:rsidP="007E54F1">
      <w:pPr>
        <w:pStyle w:val="Puesto"/>
        <w:ind w:firstLine="0"/>
        <w:rPr>
          <w:color w:val="auto"/>
        </w:rPr>
      </w:pPr>
      <w:r w:rsidRPr="007E54F1">
        <w:rPr>
          <w:b/>
          <w:color w:val="auto"/>
        </w:rPr>
        <w:t>IX.</w:t>
      </w:r>
      <w:r w:rsidRPr="007E54F1">
        <w:rPr>
          <w:color w:val="auto"/>
        </w:rPr>
        <w:t xml:space="preserve"> </w:t>
      </w:r>
      <w:r w:rsidRPr="007E54F1">
        <w:rPr>
          <w:b/>
          <w:color w:val="auto"/>
        </w:rPr>
        <w:t xml:space="preserve">Datos personales: </w:t>
      </w:r>
      <w:r w:rsidRPr="007E54F1">
        <w:rPr>
          <w:color w:val="auto"/>
        </w:rPr>
        <w:t xml:space="preserve">La información concerniente a una persona, identificada o identificable según lo dispuesto por la Ley de Protección de Datos Personales del Estado de México; </w:t>
      </w:r>
    </w:p>
    <w:p w14:paraId="4B659B7E" w14:textId="77777777" w:rsidR="00327CA8" w:rsidRPr="007E54F1" w:rsidRDefault="00327CA8" w:rsidP="007E54F1"/>
    <w:p w14:paraId="140B10AF" w14:textId="77777777" w:rsidR="00327CA8" w:rsidRPr="007E54F1" w:rsidRDefault="00327CA8" w:rsidP="007E54F1">
      <w:pPr>
        <w:pStyle w:val="Puesto"/>
        <w:ind w:firstLine="0"/>
        <w:rPr>
          <w:color w:val="auto"/>
        </w:rPr>
      </w:pPr>
      <w:r w:rsidRPr="007E54F1">
        <w:rPr>
          <w:b/>
          <w:color w:val="auto"/>
        </w:rPr>
        <w:t>XX.</w:t>
      </w:r>
      <w:r w:rsidRPr="007E54F1">
        <w:rPr>
          <w:color w:val="auto"/>
        </w:rPr>
        <w:t xml:space="preserve"> </w:t>
      </w:r>
      <w:r w:rsidRPr="007E54F1">
        <w:rPr>
          <w:b/>
          <w:color w:val="auto"/>
        </w:rPr>
        <w:t>Información clasificada:</w:t>
      </w:r>
      <w:r w:rsidRPr="007E54F1">
        <w:rPr>
          <w:color w:val="auto"/>
        </w:rPr>
        <w:t xml:space="preserve"> Aquella considerada por la presente Ley como reservada o confidencial; </w:t>
      </w:r>
    </w:p>
    <w:p w14:paraId="078BD03C" w14:textId="77777777" w:rsidR="00327CA8" w:rsidRPr="007E54F1" w:rsidRDefault="00327CA8" w:rsidP="007E54F1"/>
    <w:p w14:paraId="19C04C4A" w14:textId="77777777" w:rsidR="00327CA8" w:rsidRPr="007E54F1" w:rsidRDefault="00327CA8" w:rsidP="007E54F1">
      <w:pPr>
        <w:pStyle w:val="Puesto"/>
        <w:ind w:firstLine="0"/>
        <w:rPr>
          <w:color w:val="auto"/>
        </w:rPr>
      </w:pPr>
      <w:r w:rsidRPr="007E54F1">
        <w:rPr>
          <w:b/>
          <w:color w:val="auto"/>
        </w:rPr>
        <w:t>XXI.</w:t>
      </w:r>
      <w:r w:rsidRPr="007E54F1">
        <w:rPr>
          <w:color w:val="auto"/>
        </w:rPr>
        <w:t xml:space="preserve"> </w:t>
      </w:r>
      <w:r w:rsidRPr="007E54F1">
        <w:rPr>
          <w:b/>
          <w:color w:val="auto"/>
        </w:rPr>
        <w:t>Información confidencial</w:t>
      </w:r>
      <w:r w:rsidRPr="007E54F1">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3B7918" w14:textId="77777777" w:rsidR="00327CA8" w:rsidRPr="007E54F1" w:rsidRDefault="00327CA8" w:rsidP="007E54F1"/>
    <w:p w14:paraId="61A148C3" w14:textId="77777777" w:rsidR="00327CA8" w:rsidRPr="007E54F1" w:rsidRDefault="00327CA8" w:rsidP="007E54F1">
      <w:pPr>
        <w:pStyle w:val="Puesto"/>
        <w:ind w:firstLine="0"/>
        <w:rPr>
          <w:color w:val="auto"/>
        </w:rPr>
      </w:pPr>
      <w:r w:rsidRPr="007E54F1">
        <w:rPr>
          <w:b/>
          <w:color w:val="auto"/>
        </w:rPr>
        <w:t>XLV. Versión pública:</w:t>
      </w:r>
      <w:r w:rsidRPr="007E54F1">
        <w:rPr>
          <w:color w:val="auto"/>
        </w:rPr>
        <w:t xml:space="preserve"> Documento en el que se elimine, suprime o borra la información clasificada como reservada o confidencial para permitir su acceso. </w:t>
      </w:r>
    </w:p>
    <w:p w14:paraId="03713FC7" w14:textId="77777777" w:rsidR="00327CA8" w:rsidRPr="007E54F1" w:rsidRDefault="00327CA8" w:rsidP="007E54F1"/>
    <w:p w14:paraId="2AA8798E" w14:textId="77777777" w:rsidR="00327CA8" w:rsidRPr="007E54F1" w:rsidRDefault="00327CA8" w:rsidP="007E54F1">
      <w:pPr>
        <w:pStyle w:val="Puesto"/>
        <w:ind w:firstLine="0"/>
        <w:rPr>
          <w:color w:val="auto"/>
        </w:rPr>
      </w:pPr>
      <w:r w:rsidRPr="007E54F1">
        <w:rPr>
          <w:b/>
          <w:color w:val="auto"/>
        </w:rPr>
        <w:t>Artículo 51.</w:t>
      </w:r>
      <w:r w:rsidRPr="007E54F1">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E54F1">
        <w:rPr>
          <w:b/>
          <w:color w:val="auto"/>
        </w:rPr>
        <w:t xml:space="preserve">y tendrá la responsabilidad de verificar en cada caso que la misma no sea confidencial o reservada. </w:t>
      </w:r>
      <w:r w:rsidRPr="007E54F1">
        <w:rPr>
          <w:color w:val="auto"/>
        </w:rPr>
        <w:t>Dicha Unidad contará con las facultades internas necesarias para gestionar la atención a las solicitudes de información en los términos de la Ley General y la presente Ley.</w:t>
      </w:r>
    </w:p>
    <w:p w14:paraId="1C4C0246" w14:textId="77777777" w:rsidR="00327CA8" w:rsidRPr="007E54F1" w:rsidRDefault="00327CA8" w:rsidP="007E54F1"/>
    <w:p w14:paraId="2AFFE80F" w14:textId="77777777" w:rsidR="00327CA8" w:rsidRPr="007E54F1" w:rsidRDefault="00327CA8" w:rsidP="007E54F1">
      <w:pPr>
        <w:pStyle w:val="Puesto"/>
        <w:ind w:firstLine="0"/>
        <w:rPr>
          <w:color w:val="auto"/>
        </w:rPr>
      </w:pPr>
      <w:r w:rsidRPr="007E54F1">
        <w:rPr>
          <w:b/>
          <w:color w:val="auto"/>
        </w:rPr>
        <w:lastRenderedPageBreak/>
        <w:t>Artículo 52.</w:t>
      </w:r>
      <w:r w:rsidRPr="007E54F1">
        <w:rPr>
          <w:color w:val="auto"/>
        </w:rPr>
        <w:t xml:space="preserve"> Las solicitudes de acceso a la información y las respuestas que se les dé, incluyendo, en su caso, </w:t>
      </w:r>
      <w:r w:rsidRPr="007E54F1">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E54F1">
        <w:rPr>
          <w:color w:val="auto"/>
        </w:rPr>
        <w:t>, siempre y cuando la resolución de referencia se someta a un proceso de disociación, es decir, no haga identificable al titular de tales datos personales.</w:t>
      </w:r>
      <w:r w:rsidRPr="007E54F1">
        <w:rPr>
          <w:bCs/>
          <w:noProof/>
          <w:color w:val="auto"/>
        </w:rPr>
        <w:t xml:space="preserve">” </w:t>
      </w:r>
      <w:r w:rsidRPr="007E54F1">
        <w:rPr>
          <w:i w:val="0"/>
          <w:iCs/>
          <w:color w:val="auto"/>
        </w:rPr>
        <w:t>(Énfasis añadido)</w:t>
      </w:r>
    </w:p>
    <w:p w14:paraId="36765CDE" w14:textId="77777777" w:rsidR="00327CA8" w:rsidRPr="007E54F1" w:rsidRDefault="00327CA8" w:rsidP="007E54F1"/>
    <w:p w14:paraId="75D58D2F" w14:textId="77777777" w:rsidR="00327CA8" w:rsidRPr="007E54F1" w:rsidRDefault="00327CA8" w:rsidP="007E54F1">
      <w:r w:rsidRPr="007E54F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C962A6E" w14:textId="77777777" w:rsidR="00327CA8" w:rsidRPr="007E54F1" w:rsidRDefault="00327CA8" w:rsidP="007E54F1"/>
    <w:p w14:paraId="47E6763B" w14:textId="77777777" w:rsidR="00327CA8" w:rsidRPr="007E54F1" w:rsidRDefault="00327CA8" w:rsidP="007E54F1">
      <w:pPr>
        <w:pStyle w:val="Puesto"/>
        <w:ind w:firstLine="0"/>
        <w:rPr>
          <w:rFonts w:eastAsia="Arial Unicode MS"/>
          <w:color w:val="auto"/>
        </w:rPr>
      </w:pPr>
      <w:r w:rsidRPr="007E54F1">
        <w:rPr>
          <w:rFonts w:eastAsia="Arial Unicode MS"/>
          <w:b/>
          <w:color w:val="auto"/>
        </w:rPr>
        <w:t>“Artículo 22.</w:t>
      </w:r>
      <w:r w:rsidRPr="007E54F1">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F529F14" w14:textId="77777777" w:rsidR="00327CA8" w:rsidRPr="007E54F1" w:rsidRDefault="00327CA8" w:rsidP="007E54F1">
      <w:pPr>
        <w:rPr>
          <w:rFonts w:eastAsia="Arial Unicode MS"/>
        </w:rPr>
      </w:pPr>
    </w:p>
    <w:p w14:paraId="4FADC6D0" w14:textId="77777777" w:rsidR="00327CA8" w:rsidRPr="007E54F1" w:rsidRDefault="00327CA8" w:rsidP="007E54F1">
      <w:pPr>
        <w:pStyle w:val="Puesto"/>
        <w:ind w:firstLine="0"/>
        <w:rPr>
          <w:rFonts w:eastAsia="Arial Unicode MS"/>
          <w:color w:val="auto"/>
        </w:rPr>
      </w:pPr>
      <w:r w:rsidRPr="007E54F1">
        <w:rPr>
          <w:rFonts w:eastAsia="Arial Unicode MS"/>
          <w:b/>
          <w:color w:val="auto"/>
        </w:rPr>
        <w:t>Artículo 38.</w:t>
      </w:r>
      <w:r w:rsidRPr="007E54F1">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E54F1">
        <w:rPr>
          <w:rFonts w:eastAsia="Arial Unicode MS"/>
          <w:b/>
          <w:color w:val="auto"/>
        </w:rPr>
        <w:t>”</w:t>
      </w:r>
      <w:r w:rsidRPr="007E54F1">
        <w:rPr>
          <w:rFonts w:eastAsia="Arial Unicode MS"/>
          <w:color w:val="auto"/>
        </w:rPr>
        <w:t xml:space="preserve"> </w:t>
      </w:r>
    </w:p>
    <w:p w14:paraId="58B0FFD7" w14:textId="77777777" w:rsidR="00327CA8" w:rsidRPr="007E54F1" w:rsidRDefault="00327CA8" w:rsidP="007E54F1">
      <w:pPr>
        <w:rPr>
          <w:rFonts w:eastAsia="Arial Unicode MS"/>
          <w:i/>
        </w:rPr>
      </w:pPr>
    </w:p>
    <w:p w14:paraId="1953B2A0" w14:textId="77777777" w:rsidR="00327CA8" w:rsidRPr="007E54F1" w:rsidRDefault="00327CA8" w:rsidP="007E54F1">
      <w:r w:rsidRPr="007E54F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7E54F1">
        <w:lastRenderedPageBreak/>
        <w:t xml:space="preserve">particulares toda vez que ésta tiene por objeto proteger datos personales, entendiéndose por tales, aquéllos que hacen identificable a una persona. </w:t>
      </w:r>
    </w:p>
    <w:p w14:paraId="3AF85D98" w14:textId="77777777" w:rsidR="00327CA8" w:rsidRPr="007E54F1" w:rsidRDefault="00327CA8" w:rsidP="007E54F1"/>
    <w:p w14:paraId="652B7645" w14:textId="77777777" w:rsidR="00327CA8" w:rsidRPr="007E54F1" w:rsidRDefault="00327CA8" w:rsidP="007E54F1">
      <w:r w:rsidRPr="007E54F1">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E54F1">
        <w:rPr>
          <w:rFonts w:eastAsia="Arial Unicode MS"/>
        </w:rPr>
        <w:t xml:space="preserve"> que debe ser protegida por </w:t>
      </w:r>
      <w:r w:rsidRPr="007E54F1">
        <w:rPr>
          <w:rFonts w:eastAsia="Arial Unicode MS"/>
          <w:b/>
        </w:rPr>
        <w:t>EL SUJETO OBLIGADO,</w:t>
      </w:r>
      <w:r w:rsidRPr="007E54F1">
        <w:rPr>
          <w:rFonts w:eastAsia="Arial Unicode MS"/>
        </w:rPr>
        <w:t xml:space="preserve"> por lo </w:t>
      </w:r>
      <w:r w:rsidRPr="007E54F1">
        <w:t>que, todo dato personal susceptible de clasificación debe ser protegido.</w:t>
      </w:r>
    </w:p>
    <w:p w14:paraId="4F651E0A" w14:textId="77777777" w:rsidR="00327CA8" w:rsidRPr="007E54F1" w:rsidRDefault="00327CA8" w:rsidP="007E54F1"/>
    <w:p w14:paraId="753E51D4" w14:textId="77777777" w:rsidR="00327CA8" w:rsidRPr="007E54F1" w:rsidRDefault="00327CA8" w:rsidP="007E54F1">
      <w:r w:rsidRPr="007E54F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D616F1" w14:textId="77777777" w:rsidR="00327CA8" w:rsidRPr="007E54F1" w:rsidRDefault="00327CA8" w:rsidP="007E54F1"/>
    <w:p w14:paraId="1A3B0F2B" w14:textId="77777777" w:rsidR="00327CA8" w:rsidRPr="007E54F1" w:rsidRDefault="00327CA8" w:rsidP="007E54F1">
      <w:r w:rsidRPr="007E54F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C1A296" w14:textId="77777777" w:rsidR="00327CA8" w:rsidRPr="007E54F1" w:rsidRDefault="00327CA8" w:rsidP="007E54F1"/>
    <w:p w14:paraId="2D8736A6" w14:textId="77777777" w:rsidR="00327CA8" w:rsidRPr="007E54F1" w:rsidRDefault="00327CA8" w:rsidP="007E54F1">
      <w:pPr>
        <w:pStyle w:val="Puesto"/>
        <w:ind w:firstLine="0"/>
        <w:jc w:val="center"/>
        <w:rPr>
          <w:b/>
          <w:color w:val="auto"/>
        </w:rPr>
      </w:pPr>
      <w:r w:rsidRPr="007E54F1">
        <w:rPr>
          <w:b/>
          <w:color w:val="auto"/>
        </w:rPr>
        <w:t>Ley de Transparencia y Acceso a la Información Pública del Estado de México y Municipios</w:t>
      </w:r>
    </w:p>
    <w:p w14:paraId="37485632" w14:textId="77777777" w:rsidR="00327CA8" w:rsidRPr="007E54F1" w:rsidRDefault="00327CA8" w:rsidP="007E54F1">
      <w:pPr>
        <w:pStyle w:val="Puesto"/>
        <w:ind w:firstLine="0"/>
        <w:rPr>
          <w:color w:val="auto"/>
        </w:rPr>
      </w:pPr>
    </w:p>
    <w:p w14:paraId="6D1F9879" w14:textId="77777777" w:rsidR="00327CA8" w:rsidRPr="007E54F1" w:rsidRDefault="00327CA8" w:rsidP="007E54F1">
      <w:pPr>
        <w:pStyle w:val="Puesto"/>
        <w:ind w:firstLine="0"/>
        <w:rPr>
          <w:color w:val="auto"/>
        </w:rPr>
      </w:pPr>
      <w:r w:rsidRPr="007E54F1">
        <w:rPr>
          <w:color w:val="auto"/>
        </w:rPr>
        <w:lastRenderedPageBreak/>
        <w:t>“</w:t>
      </w:r>
      <w:r w:rsidRPr="007E54F1">
        <w:rPr>
          <w:b/>
          <w:color w:val="auto"/>
        </w:rPr>
        <w:t>Artículo 49.</w:t>
      </w:r>
      <w:r w:rsidRPr="007E54F1">
        <w:rPr>
          <w:color w:val="auto"/>
        </w:rPr>
        <w:t xml:space="preserve"> Los Comités de Transparencia tendrán las siguientes atribuciones:</w:t>
      </w:r>
    </w:p>
    <w:p w14:paraId="702951C4" w14:textId="77777777" w:rsidR="00327CA8" w:rsidRPr="007E54F1" w:rsidRDefault="00327CA8" w:rsidP="007E54F1">
      <w:pPr>
        <w:pStyle w:val="Puesto"/>
        <w:ind w:firstLine="0"/>
        <w:rPr>
          <w:color w:val="auto"/>
        </w:rPr>
      </w:pPr>
      <w:r w:rsidRPr="007E54F1">
        <w:rPr>
          <w:color w:val="auto"/>
        </w:rPr>
        <w:t>VIII. Aprobar, modificar o revocar la clasificación de la información;</w:t>
      </w:r>
    </w:p>
    <w:p w14:paraId="7C32B71F" w14:textId="77777777" w:rsidR="00327CA8" w:rsidRPr="007E54F1" w:rsidRDefault="00327CA8" w:rsidP="007E54F1">
      <w:pPr>
        <w:pStyle w:val="Puesto"/>
        <w:ind w:firstLine="0"/>
        <w:rPr>
          <w:color w:val="auto"/>
        </w:rPr>
      </w:pPr>
    </w:p>
    <w:p w14:paraId="40A82842" w14:textId="77777777" w:rsidR="00327CA8" w:rsidRPr="007E54F1" w:rsidRDefault="00327CA8" w:rsidP="007E54F1">
      <w:pPr>
        <w:pStyle w:val="Puesto"/>
        <w:ind w:firstLine="0"/>
        <w:rPr>
          <w:color w:val="auto"/>
        </w:rPr>
      </w:pPr>
      <w:r w:rsidRPr="007E54F1">
        <w:rPr>
          <w:b/>
          <w:color w:val="auto"/>
        </w:rPr>
        <w:t>Artículo 132.</w:t>
      </w:r>
      <w:r w:rsidRPr="007E54F1">
        <w:rPr>
          <w:color w:val="auto"/>
        </w:rPr>
        <w:t xml:space="preserve"> La clasificación de la información se llevará a cabo en el momento en que:</w:t>
      </w:r>
    </w:p>
    <w:p w14:paraId="0E1D3988" w14:textId="77777777" w:rsidR="00327CA8" w:rsidRPr="007E54F1" w:rsidRDefault="00327CA8" w:rsidP="007E54F1">
      <w:pPr>
        <w:pStyle w:val="Puesto"/>
        <w:ind w:firstLine="0"/>
        <w:rPr>
          <w:color w:val="auto"/>
        </w:rPr>
      </w:pPr>
      <w:r w:rsidRPr="007E54F1">
        <w:rPr>
          <w:color w:val="auto"/>
        </w:rPr>
        <w:t>I. Se reciba una solicitud de acceso a la información;</w:t>
      </w:r>
    </w:p>
    <w:p w14:paraId="1234C9CF" w14:textId="77777777" w:rsidR="00327CA8" w:rsidRPr="007E54F1" w:rsidRDefault="00327CA8" w:rsidP="007E54F1">
      <w:pPr>
        <w:pStyle w:val="Puesto"/>
        <w:ind w:firstLine="0"/>
        <w:rPr>
          <w:color w:val="auto"/>
        </w:rPr>
      </w:pPr>
      <w:r w:rsidRPr="007E54F1">
        <w:rPr>
          <w:color w:val="auto"/>
        </w:rPr>
        <w:t>II. Se determine mediante resolución de autoridad competente; o</w:t>
      </w:r>
    </w:p>
    <w:p w14:paraId="0E2ED4E8" w14:textId="77777777" w:rsidR="00327CA8" w:rsidRPr="007E54F1" w:rsidRDefault="00327CA8" w:rsidP="007E54F1">
      <w:pPr>
        <w:pStyle w:val="Puesto"/>
        <w:ind w:firstLine="0"/>
        <w:rPr>
          <w:color w:val="auto"/>
        </w:rPr>
      </w:pPr>
      <w:r w:rsidRPr="007E54F1">
        <w:rPr>
          <w:color w:val="auto"/>
        </w:rPr>
        <w:t>III. Se generen versiones públicas para dar cumplimiento a las obligaciones de transparencia previstas en esta Ley.”</w:t>
      </w:r>
    </w:p>
    <w:p w14:paraId="35AA7F6E" w14:textId="77777777" w:rsidR="00327CA8" w:rsidRPr="007E54F1" w:rsidRDefault="00327CA8" w:rsidP="007E54F1">
      <w:pPr>
        <w:pStyle w:val="Puesto"/>
        <w:ind w:firstLine="0"/>
        <w:rPr>
          <w:color w:val="auto"/>
        </w:rPr>
      </w:pPr>
    </w:p>
    <w:p w14:paraId="68E76CCF" w14:textId="77777777" w:rsidR="00327CA8" w:rsidRPr="007E54F1" w:rsidRDefault="00327CA8" w:rsidP="007E54F1">
      <w:pPr>
        <w:pStyle w:val="Puesto"/>
        <w:ind w:firstLine="0"/>
        <w:rPr>
          <w:color w:val="auto"/>
        </w:rPr>
      </w:pPr>
      <w:r w:rsidRPr="007E54F1">
        <w:rPr>
          <w:color w:val="auto"/>
        </w:rPr>
        <w:t>“</w:t>
      </w:r>
      <w:r w:rsidRPr="007E54F1">
        <w:rPr>
          <w:b/>
          <w:color w:val="auto"/>
        </w:rPr>
        <w:t>Segundo. -</w:t>
      </w:r>
      <w:r w:rsidRPr="007E54F1">
        <w:rPr>
          <w:color w:val="auto"/>
        </w:rPr>
        <w:t xml:space="preserve"> Para efectos de los presentes Lineamientos Generales, se entenderá por:</w:t>
      </w:r>
    </w:p>
    <w:p w14:paraId="114636D7" w14:textId="77777777" w:rsidR="00327CA8" w:rsidRPr="007E54F1" w:rsidRDefault="00327CA8" w:rsidP="007E54F1">
      <w:pPr>
        <w:pStyle w:val="Puesto"/>
        <w:ind w:firstLine="0"/>
        <w:rPr>
          <w:color w:val="auto"/>
        </w:rPr>
      </w:pPr>
      <w:r w:rsidRPr="007E54F1">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B29053" w14:textId="77777777" w:rsidR="00327CA8" w:rsidRPr="007E54F1" w:rsidRDefault="00327CA8" w:rsidP="007E54F1">
      <w:pPr>
        <w:pStyle w:val="Puesto"/>
        <w:ind w:firstLine="0"/>
        <w:rPr>
          <w:color w:val="auto"/>
        </w:rPr>
      </w:pPr>
    </w:p>
    <w:p w14:paraId="56579F29" w14:textId="77777777" w:rsidR="00327CA8" w:rsidRPr="007E54F1" w:rsidRDefault="00327CA8" w:rsidP="007E54F1">
      <w:pPr>
        <w:pStyle w:val="Puesto"/>
        <w:ind w:firstLine="0"/>
        <w:jc w:val="center"/>
        <w:rPr>
          <w:b/>
          <w:color w:val="auto"/>
        </w:rPr>
      </w:pPr>
      <w:r w:rsidRPr="007E54F1">
        <w:rPr>
          <w:b/>
          <w:color w:val="auto"/>
        </w:rPr>
        <w:t>Lineamientos Generales en materia de Clasificación y Desclasificación de la Información</w:t>
      </w:r>
    </w:p>
    <w:p w14:paraId="7A81CE05" w14:textId="77777777" w:rsidR="00327CA8" w:rsidRPr="007E54F1" w:rsidRDefault="00327CA8" w:rsidP="007E54F1">
      <w:pPr>
        <w:pStyle w:val="Puesto"/>
        <w:ind w:firstLine="0"/>
        <w:jc w:val="center"/>
        <w:rPr>
          <w:b/>
          <w:color w:val="auto"/>
        </w:rPr>
      </w:pPr>
    </w:p>
    <w:p w14:paraId="60C985C2" w14:textId="77777777" w:rsidR="00327CA8" w:rsidRPr="007E54F1" w:rsidRDefault="00327CA8" w:rsidP="007E54F1">
      <w:pPr>
        <w:pStyle w:val="Puesto"/>
        <w:ind w:firstLine="0"/>
        <w:rPr>
          <w:color w:val="auto"/>
        </w:rPr>
      </w:pPr>
      <w:r w:rsidRPr="007E54F1">
        <w:rPr>
          <w:b/>
          <w:color w:val="auto"/>
        </w:rPr>
        <w:t>Cuarto.</w:t>
      </w:r>
      <w:r w:rsidRPr="007E54F1">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D4BB4" w14:textId="77777777" w:rsidR="00327CA8" w:rsidRPr="007E54F1" w:rsidRDefault="00327CA8" w:rsidP="007E54F1">
      <w:pPr>
        <w:pStyle w:val="Puesto"/>
        <w:ind w:firstLine="0"/>
        <w:rPr>
          <w:color w:val="auto"/>
        </w:rPr>
      </w:pPr>
      <w:r w:rsidRPr="007E54F1">
        <w:rPr>
          <w:color w:val="auto"/>
        </w:rPr>
        <w:t>Los sujetos obligados deberán aplicar, de manera estricta, las excepciones al derecho de acceso a la información y sólo podrán invocarlas cuando acrediten su procedencia.</w:t>
      </w:r>
    </w:p>
    <w:p w14:paraId="34EE0545" w14:textId="77777777" w:rsidR="00327CA8" w:rsidRPr="007E54F1" w:rsidRDefault="00327CA8" w:rsidP="007E54F1">
      <w:pPr>
        <w:pStyle w:val="Puesto"/>
        <w:ind w:firstLine="0"/>
        <w:rPr>
          <w:color w:val="auto"/>
        </w:rPr>
      </w:pPr>
    </w:p>
    <w:p w14:paraId="2A4CE97B" w14:textId="77777777" w:rsidR="00327CA8" w:rsidRPr="007E54F1" w:rsidRDefault="00327CA8" w:rsidP="007E54F1">
      <w:pPr>
        <w:pStyle w:val="Puesto"/>
        <w:ind w:firstLine="0"/>
        <w:rPr>
          <w:color w:val="auto"/>
        </w:rPr>
      </w:pPr>
      <w:r w:rsidRPr="007E54F1">
        <w:rPr>
          <w:b/>
          <w:color w:val="auto"/>
        </w:rPr>
        <w:t>Quinto.</w:t>
      </w:r>
      <w:r w:rsidRPr="007E54F1">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A5DD1D" w14:textId="77777777" w:rsidR="00327CA8" w:rsidRPr="007E54F1" w:rsidRDefault="00327CA8" w:rsidP="007E54F1">
      <w:pPr>
        <w:pStyle w:val="Puesto"/>
        <w:ind w:firstLine="0"/>
        <w:rPr>
          <w:color w:val="auto"/>
        </w:rPr>
      </w:pPr>
    </w:p>
    <w:p w14:paraId="6D207BAC" w14:textId="77777777" w:rsidR="00327CA8" w:rsidRPr="007E54F1" w:rsidRDefault="00327CA8" w:rsidP="007E54F1">
      <w:pPr>
        <w:pStyle w:val="Puesto"/>
        <w:ind w:firstLine="0"/>
        <w:rPr>
          <w:color w:val="auto"/>
        </w:rPr>
      </w:pPr>
      <w:r w:rsidRPr="007E54F1">
        <w:rPr>
          <w:b/>
          <w:color w:val="auto"/>
        </w:rPr>
        <w:t>Sexto.</w:t>
      </w:r>
      <w:r w:rsidRPr="007E54F1">
        <w:rPr>
          <w:color w:val="auto"/>
        </w:rPr>
        <w:t xml:space="preserve"> Se deroga.</w:t>
      </w:r>
    </w:p>
    <w:p w14:paraId="12356308" w14:textId="77777777" w:rsidR="00327CA8" w:rsidRPr="007E54F1" w:rsidRDefault="00327CA8" w:rsidP="007E54F1">
      <w:pPr>
        <w:pStyle w:val="Puesto"/>
        <w:ind w:firstLine="0"/>
        <w:rPr>
          <w:color w:val="auto"/>
        </w:rPr>
      </w:pPr>
    </w:p>
    <w:p w14:paraId="2524F2F7" w14:textId="77777777" w:rsidR="00327CA8" w:rsidRPr="007E54F1" w:rsidRDefault="00327CA8" w:rsidP="007E54F1">
      <w:pPr>
        <w:pStyle w:val="Puesto"/>
        <w:ind w:firstLine="0"/>
        <w:rPr>
          <w:color w:val="auto"/>
        </w:rPr>
      </w:pPr>
      <w:r w:rsidRPr="007E54F1">
        <w:rPr>
          <w:b/>
          <w:color w:val="auto"/>
        </w:rPr>
        <w:t>Séptimo.</w:t>
      </w:r>
      <w:r w:rsidRPr="007E54F1">
        <w:rPr>
          <w:color w:val="auto"/>
        </w:rPr>
        <w:t xml:space="preserve"> La clasificación de la información se llevará a cabo en el momento en que:</w:t>
      </w:r>
    </w:p>
    <w:p w14:paraId="1589A508" w14:textId="77777777" w:rsidR="00327CA8" w:rsidRPr="007E54F1" w:rsidRDefault="00327CA8" w:rsidP="007E54F1">
      <w:pPr>
        <w:pStyle w:val="Puesto"/>
        <w:ind w:firstLine="0"/>
        <w:rPr>
          <w:color w:val="auto"/>
        </w:rPr>
      </w:pPr>
      <w:r w:rsidRPr="007E54F1">
        <w:rPr>
          <w:color w:val="auto"/>
        </w:rPr>
        <w:t>I.        Se reciba una solicitud de acceso a la información;</w:t>
      </w:r>
    </w:p>
    <w:p w14:paraId="5C8CD954" w14:textId="77777777" w:rsidR="00327CA8" w:rsidRPr="007E54F1" w:rsidRDefault="00327CA8" w:rsidP="007E54F1">
      <w:pPr>
        <w:pStyle w:val="Puesto"/>
        <w:ind w:firstLine="0"/>
        <w:rPr>
          <w:color w:val="auto"/>
        </w:rPr>
      </w:pPr>
      <w:r w:rsidRPr="007E54F1">
        <w:rPr>
          <w:color w:val="auto"/>
        </w:rPr>
        <w:lastRenderedPageBreak/>
        <w:t>II.       Se determine mediante resolución del Comité de Transparencia, el órgano garante competente, o en cumplimiento a una sentencia del Poder Judicial; o</w:t>
      </w:r>
    </w:p>
    <w:p w14:paraId="227A58EA" w14:textId="77777777" w:rsidR="00327CA8" w:rsidRPr="007E54F1" w:rsidRDefault="00327CA8" w:rsidP="007E54F1">
      <w:pPr>
        <w:pStyle w:val="Puesto"/>
        <w:ind w:firstLine="0"/>
        <w:rPr>
          <w:color w:val="auto"/>
        </w:rPr>
      </w:pPr>
      <w:r w:rsidRPr="007E54F1">
        <w:rPr>
          <w:color w:val="auto"/>
        </w:rPr>
        <w:t>III.      Se generen versiones públicas para dar cumplimiento a las obligaciones de transparencia previstas en la Ley General, la Ley Federal y las correspondientes de las entidades federativas.</w:t>
      </w:r>
    </w:p>
    <w:p w14:paraId="4AB1C3FA" w14:textId="77777777" w:rsidR="00327CA8" w:rsidRPr="007E54F1" w:rsidRDefault="00327CA8" w:rsidP="007E54F1">
      <w:pPr>
        <w:pStyle w:val="Puesto"/>
        <w:ind w:firstLine="0"/>
        <w:rPr>
          <w:color w:val="auto"/>
        </w:rPr>
      </w:pPr>
      <w:r w:rsidRPr="007E54F1">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0B825CA" w14:textId="77777777" w:rsidR="00327CA8" w:rsidRPr="007E54F1" w:rsidRDefault="00327CA8" w:rsidP="007E54F1">
      <w:pPr>
        <w:pStyle w:val="Puesto"/>
        <w:ind w:firstLine="0"/>
        <w:rPr>
          <w:color w:val="auto"/>
        </w:rPr>
      </w:pPr>
    </w:p>
    <w:p w14:paraId="538E734C" w14:textId="77777777" w:rsidR="00327CA8" w:rsidRPr="007E54F1" w:rsidRDefault="00327CA8" w:rsidP="007E54F1">
      <w:pPr>
        <w:pStyle w:val="Puesto"/>
        <w:ind w:firstLine="0"/>
        <w:rPr>
          <w:color w:val="auto"/>
        </w:rPr>
      </w:pPr>
      <w:r w:rsidRPr="007E54F1">
        <w:rPr>
          <w:b/>
          <w:color w:val="auto"/>
        </w:rPr>
        <w:t>Octavo.</w:t>
      </w:r>
      <w:r w:rsidRPr="007E54F1">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EA1E4D" w14:textId="77777777" w:rsidR="00327CA8" w:rsidRPr="007E54F1" w:rsidRDefault="00327CA8" w:rsidP="007E54F1">
      <w:pPr>
        <w:pStyle w:val="Puesto"/>
        <w:ind w:firstLine="0"/>
        <w:rPr>
          <w:color w:val="auto"/>
        </w:rPr>
      </w:pPr>
      <w:r w:rsidRPr="007E54F1">
        <w:rPr>
          <w:color w:val="auto"/>
        </w:rPr>
        <w:t>Para motivar la clasificación se deberán señalar las razones o circunstancias especiales que lo llevaron a concluir que el caso particular se ajusta al supuesto previsto por la norma legal invocada como fundamento.</w:t>
      </w:r>
    </w:p>
    <w:p w14:paraId="229934D5" w14:textId="77777777" w:rsidR="00327CA8" w:rsidRPr="007E54F1" w:rsidRDefault="00327CA8" w:rsidP="007E54F1">
      <w:pPr>
        <w:pStyle w:val="Puesto"/>
        <w:ind w:firstLine="0"/>
        <w:rPr>
          <w:color w:val="auto"/>
        </w:rPr>
      </w:pPr>
      <w:r w:rsidRPr="007E54F1">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8CA671" w14:textId="77777777" w:rsidR="00327CA8" w:rsidRPr="007E54F1" w:rsidRDefault="00327CA8" w:rsidP="007E54F1">
      <w:pPr>
        <w:pStyle w:val="Puesto"/>
        <w:ind w:firstLine="0"/>
        <w:rPr>
          <w:color w:val="auto"/>
        </w:rPr>
      </w:pPr>
    </w:p>
    <w:p w14:paraId="30DA3FCD" w14:textId="77777777" w:rsidR="00327CA8" w:rsidRPr="007E54F1" w:rsidRDefault="00327CA8" w:rsidP="007E54F1">
      <w:pPr>
        <w:pStyle w:val="Puesto"/>
        <w:ind w:firstLine="0"/>
        <w:rPr>
          <w:color w:val="auto"/>
        </w:rPr>
      </w:pPr>
      <w:r w:rsidRPr="007E54F1">
        <w:rPr>
          <w:b/>
          <w:color w:val="auto"/>
        </w:rPr>
        <w:t>Noveno.</w:t>
      </w:r>
      <w:r w:rsidRPr="007E54F1">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CE73E3" w14:textId="77777777" w:rsidR="00327CA8" w:rsidRPr="007E54F1" w:rsidRDefault="00327CA8" w:rsidP="007E54F1">
      <w:pPr>
        <w:pStyle w:val="Puesto"/>
        <w:ind w:firstLine="0"/>
        <w:rPr>
          <w:color w:val="auto"/>
        </w:rPr>
      </w:pPr>
    </w:p>
    <w:p w14:paraId="6E40B230" w14:textId="77777777" w:rsidR="00327CA8" w:rsidRPr="007E54F1" w:rsidRDefault="00327CA8" w:rsidP="007E54F1">
      <w:pPr>
        <w:pStyle w:val="Puesto"/>
        <w:ind w:firstLine="0"/>
        <w:rPr>
          <w:color w:val="auto"/>
        </w:rPr>
      </w:pPr>
      <w:r w:rsidRPr="007E54F1">
        <w:rPr>
          <w:b/>
          <w:color w:val="auto"/>
        </w:rPr>
        <w:t>Décimo.</w:t>
      </w:r>
      <w:r w:rsidRPr="007E54F1">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00DCC4" w14:textId="77777777" w:rsidR="00327CA8" w:rsidRPr="007E54F1" w:rsidRDefault="00327CA8" w:rsidP="007E54F1">
      <w:pPr>
        <w:pStyle w:val="Puesto"/>
        <w:ind w:firstLine="0"/>
        <w:rPr>
          <w:color w:val="auto"/>
        </w:rPr>
      </w:pPr>
      <w:r w:rsidRPr="007E54F1">
        <w:rPr>
          <w:color w:val="auto"/>
        </w:rPr>
        <w:t>En ausencia de los titulares de las áreas, la información será clasificada o desclasificada por la persona que lo supla, en términos de la normativa que rija la actuación del sujeto obligado.</w:t>
      </w:r>
    </w:p>
    <w:p w14:paraId="13221277" w14:textId="77777777" w:rsidR="00327CA8" w:rsidRPr="007E54F1" w:rsidRDefault="00327CA8" w:rsidP="007E54F1">
      <w:pPr>
        <w:pStyle w:val="Puesto"/>
        <w:ind w:firstLine="0"/>
        <w:rPr>
          <w:color w:val="auto"/>
        </w:rPr>
      </w:pPr>
      <w:r w:rsidRPr="007E54F1">
        <w:rPr>
          <w:b/>
          <w:color w:val="auto"/>
        </w:rPr>
        <w:t xml:space="preserve">Décimo primero. </w:t>
      </w:r>
      <w:r w:rsidRPr="007E54F1">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2B08BE" w14:textId="77777777" w:rsidR="00327CA8" w:rsidRPr="007E54F1" w:rsidRDefault="00327CA8" w:rsidP="007E54F1"/>
    <w:p w14:paraId="16FB2CA1" w14:textId="77777777" w:rsidR="00327CA8" w:rsidRPr="007E54F1" w:rsidRDefault="00327CA8" w:rsidP="007E54F1">
      <w:pPr>
        <w:rPr>
          <w:lang w:eastAsia="es-CO"/>
        </w:rPr>
      </w:pPr>
      <w:r w:rsidRPr="007E54F1">
        <w:lastRenderedPageBreak/>
        <w:t xml:space="preserve">Consecuentemente, se destaca que la versión pública que elabore </w:t>
      </w:r>
      <w:r w:rsidRPr="007E54F1">
        <w:rPr>
          <w:b/>
        </w:rPr>
        <w:t>EL SUJETO OBLIGADO</w:t>
      </w:r>
      <w:r w:rsidRPr="007E54F1">
        <w:t xml:space="preserve"> debe cumplir con las formalidades exigidas en la Ley, por lo que para tal efecto emitirá el </w:t>
      </w:r>
      <w:r w:rsidRPr="007E54F1">
        <w:rPr>
          <w:b/>
        </w:rPr>
        <w:t>Acuerdo del Comité de Transparencia</w:t>
      </w:r>
      <w:r w:rsidRPr="007E54F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E54F1">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6181B62" w14:textId="77777777" w:rsidR="004409E4" w:rsidRPr="007E54F1" w:rsidRDefault="004409E4" w:rsidP="007E54F1">
      <w:pPr>
        <w:rPr>
          <w:lang w:eastAsia="es-CO"/>
        </w:rPr>
      </w:pPr>
    </w:p>
    <w:p w14:paraId="66A8DD56" w14:textId="77777777" w:rsidR="00916EE0" w:rsidRPr="007E54F1" w:rsidRDefault="00916EE0" w:rsidP="007E54F1">
      <w:r w:rsidRPr="007E54F1">
        <w:t>Es importante señalar que, para el caso en concreto, se deben tomar en consideración los siguientes criterios respecto a la información que debe ser, o no, clasificada como confidencial:</w:t>
      </w:r>
    </w:p>
    <w:p w14:paraId="7740204E" w14:textId="77777777" w:rsidR="00916EE0" w:rsidRPr="007E54F1" w:rsidRDefault="00916EE0" w:rsidP="007E54F1"/>
    <w:p w14:paraId="72243809" w14:textId="77777777" w:rsidR="00916EE0" w:rsidRPr="007E54F1" w:rsidRDefault="00916EE0" w:rsidP="007E54F1">
      <w:pPr>
        <w:numPr>
          <w:ilvl w:val="0"/>
          <w:numId w:val="44"/>
        </w:numPr>
        <w:rPr>
          <w:b/>
        </w:rPr>
      </w:pPr>
      <w:r w:rsidRPr="007E54F1">
        <w:rPr>
          <w:b/>
        </w:rPr>
        <w:t>Registro Federal de Contribuyentes (RFC)</w:t>
      </w:r>
    </w:p>
    <w:p w14:paraId="72869A17" w14:textId="77777777" w:rsidR="00916EE0" w:rsidRPr="007E54F1" w:rsidRDefault="00916EE0" w:rsidP="007E54F1"/>
    <w:p w14:paraId="30D2690E" w14:textId="77777777" w:rsidR="00916EE0" w:rsidRPr="007E54F1" w:rsidRDefault="00916EE0" w:rsidP="007E54F1">
      <w:r w:rsidRPr="007E54F1">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3150BF1" w14:textId="77777777" w:rsidR="00916EE0" w:rsidRPr="007E54F1" w:rsidRDefault="00916EE0" w:rsidP="007E54F1"/>
    <w:p w14:paraId="2977C577" w14:textId="77777777" w:rsidR="00916EE0" w:rsidRPr="007E54F1" w:rsidRDefault="00916EE0" w:rsidP="007E54F1">
      <w:r w:rsidRPr="007E54F1">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7E54F1">
        <w:t>homoclave</w:t>
      </w:r>
      <w:proofErr w:type="spellEnd"/>
      <w:r w:rsidRPr="007E54F1">
        <w:t xml:space="preserve"> que establece el sistema automático del Servicio de Administración Tributaria.</w:t>
      </w:r>
    </w:p>
    <w:p w14:paraId="72DF2072" w14:textId="77777777" w:rsidR="00916EE0" w:rsidRPr="007E54F1" w:rsidRDefault="00916EE0" w:rsidP="007E54F1"/>
    <w:p w14:paraId="74ECBAC9" w14:textId="77777777" w:rsidR="00916EE0" w:rsidRPr="007E54F1" w:rsidRDefault="00916EE0" w:rsidP="007E54F1">
      <w:r w:rsidRPr="007E54F1">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8C69726" w14:textId="77777777" w:rsidR="00916EE0" w:rsidRPr="007E54F1" w:rsidRDefault="00916EE0" w:rsidP="007E54F1"/>
    <w:p w14:paraId="35A15676" w14:textId="77777777" w:rsidR="00916EE0" w:rsidRPr="007E54F1" w:rsidRDefault="00916EE0" w:rsidP="007E54F1">
      <w:r w:rsidRPr="007E54F1">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7E54F1">
        <w:t>involucradas</w:t>
      </w:r>
      <w:proofErr w:type="gramEnd"/>
      <w:r w:rsidRPr="007E54F1">
        <w:t xml:space="preserve">, en el pago de estos, en el presente caso, del pago del Impuesto Sobre el Producto del Trabajo. </w:t>
      </w:r>
    </w:p>
    <w:p w14:paraId="097EB58D" w14:textId="77777777" w:rsidR="00916EE0" w:rsidRPr="007E54F1" w:rsidRDefault="00916EE0" w:rsidP="007E54F1"/>
    <w:p w14:paraId="5D079D0A" w14:textId="77777777" w:rsidR="00916EE0" w:rsidRPr="007E54F1" w:rsidRDefault="00916EE0" w:rsidP="007E54F1">
      <w:r w:rsidRPr="007E54F1">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08207907" w14:textId="77777777" w:rsidR="00916EE0" w:rsidRPr="007E54F1" w:rsidRDefault="00916EE0" w:rsidP="007E54F1"/>
    <w:p w14:paraId="60CFC6B3" w14:textId="77777777" w:rsidR="00916EE0" w:rsidRPr="007E54F1" w:rsidRDefault="00916EE0" w:rsidP="007E54F1">
      <w:pPr>
        <w:pStyle w:val="Puesto"/>
        <w:ind w:firstLine="0"/>
        <w:rPr>
          <w:color w:val="auto"/>
        </w:rPr>
      </w:pPr>
      <w:r w:rsidRPr="007E54F1">
        <w:rPr>
          <w:b/>
          <w:color w:val="auto"/>
        </w:rPr>
        <w:t>“Registro Federal de Contribuyentes (RFC) de personas físicas.</w:t>
      </w:r>
      <w:r w:rsidRPr="007E54F1">
        <w:rPr>
          <w:color w:val="auto"/>
        </w:rPr>
        <w:t xml:space="preserve"> El RFC es una clave de carácter fiscal, única e irrepetible, que permite identificar al titular, su edad y fecha de nacimiento, por lo que es un dato personal de carácter confidencial.”</w:t>
      </w:r>
    </w:p>
    <w:p w14:paraId="1E06B3F8" w14:textId="77777777" w:rsidR="00916EE0" w:rsidRPr="007E54F1" w:rsidRDefault="00916EE0" w:rsidP="007E54F1"/>
    <w:p w14:paraId="0232FD00" w14:textId="77777777" w:rsidR="00916EE0" w:rsidRPr="007E54F1" w:rsidRDefault="00916EE0" w:rsidP="007E54F1">
      <w:r w:rsidRPr="007E54F1">
        <w:lastRenderedPageBreak/>
        <w:t xml:space="preserve">De tal suerte, el Registro Federal de Contribuyentes de los servidores públicos no guarda relación con la transparencia de los recursos públicos, así como tampoco con el desempeño laboral que pueda tener una persona, por lo que </w:t>
      </w:r>
      <w:r w:rsidRPr="007E54F1">
        <w:rPr>
          <w:b/>
          <w:u w:val="single"/>
        </w:rPr>
        <w:t>constituye un dato personal confidencial al actualizar el supuesto normativo del artículo 143, fracción I, de la Ley de Transparencia y Acceso a la Información Pública del Estado de México y Municipios</w:t>
      </w:r>
      <w:r w:rsidRPr="007E54F1">
        <w:t xml:space="preserve">. </w:t>
      </w:r>
    </w:p>
    <w:p w14:paraId="79209C8C" w14:textId="77777777" w:rsidR="00916EE0" w:rsidRPr="007E54F1" w:rsidRDefault="00916EE0" w:rsidP="007E54F1"/>
    <w:p w14:paraId="7322A5DD" w14:textId="77777777" w:rsidR="00916EE0" w:rsidRPr="007E54F1" w:rsidRDefault="00916EE0" w:rsidP="007E54F1">
      <w:pPr>
        <w:numPr>
          <w:ilvl w:val="0"/>
          <w:numId w:val="44"/>
        </w:numPr>
        <w:rPr>
          <w:b/>
        </w:rPr>
      </w:pPr>
      <w:r w:rsidRPr="007E54F1">
        <w:rPr>
          <w:b/>
        </w:rPr>
        <w:t>Clave Única de Registro de Población (CURP)</w:t>
      </w:r>
    </w:p>
    <w:p w14:paraId="1341FB8F" w14:textId="77777777" w:rsidR="00916EE0" w:rsidRPr="007E54F1" w:rsidRDefault="00916EE0" w:rsidP="007E54F1"/>
    <w:p w14:paraId="655C628E" w14:textId="77777777" w:rsidR="00916EE0" w:rsidRPr="007E54F1" w:rsidRDefault="00916EE0" w:rsidP="007E54F1">
      <w:r w:rsidRPr="007E54F1">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43DD7FA" w14:textId="77777777" w:rsidR="00916EE0" w:rsidRPr="007E54F1" w:rsidRDefault="00916EE0" w:rsidP="007E54F1"/>
    <w:p w14:paraId="739344FE" w14:textId="77777777" w:rsidR="00916EE0" w:rsidRPr="007E54F1" w:rsidRDefault="00916EE0" w:rsidP="007E54F1">
      <w:r w:rsidRPr="007E54F1">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3CAC6CC" w14:textId="77777777" w:rsidR="00916EE0" w:rsidRPr="007E54F1" w:rsidRDefault="00916EE0" w:rsidP="007E54F1"/>
    <w:p w14:paraId="45396A22" w14:textId="77777777" w:rsidR="00916EE0" w:rsidRPr="007E54F1" w:rsidRDefault="00916EE0" w:rsidP="007E54F1">
      <w:r w:rsidRPr="007E54F1">
        <w:t xml:space="preserve">En ese orden de ideas, la Secretaría de Gobernación en las direcciones </w:t>
      </w:r>
      <w:hyperlink r:id="rId22">
        <w:r w:rsidRPr="007E54F1">
          <w:rPr>
            <w:u w:val="single"/>
          </w:rPr>
          <w:t>https://consultas.curp.gob.mx/CurpSP/html/informacionecurpPS.html</w:t>
        </w:r>
      </w:hyperlink>
      <w:r w:rsidRPr="007E54F1">
        <w:t xml:space="preserve"> y </w:t>
      </w:r>
      <w:hyperlink r:id="rId23">
        <w:r w:rsidRPr="007E54F1">
          <w:rPr>
            <w:u w:val="single"/>
          </w:rPr>
          <w:t>https://www.gob.mx/segob/renapo/acciones-y-programas/clave-unica-de-registro-de-poblacion-curp-142226</w:t>
        </w:r>
      </w:hyperlink>
      <w:r w:rsidRPr="007E54F1">
        <w:t xml:space="preserve">, estableció que la Clave Única del Registro de Población, es un instrumento de registro que se asigna a todas las personas que viven en el territorio nacional, así como a los mexicanos que residen en el extranjero y se compone de dieciocho elementos, </w:t>
      </w:r>
      <w:r w:rsidRPr="007E54F1">
        <w:lastRenderedPageBreak/>
        <w:t xml:space="preserve">representados por letras y números, que </w:t>
      </w:r>
      <w:r w:rsidRPr="007E54F1">
        <w:rPr>
          <w:b/>
        </w:rPr>
        <w:t>se generan a partir de los datos contenidos en el documento probatorio de la identidad</w:t>
      </w:r>
      <w:r w:rsidRPr="007E54F1">
        <w:t xml:space="preserve"> </w:t>
      </w:r>
      <w:r w:rsidRPr="007E54F1">
        <w:rPr>
          <w:b/>
        </w:rPr>
        <w:t xml:space="preserve">del interesado </w:t>
      </w:r>
      <w:r w:rsidRPr="007E54F1">
        <w:t>(acta de nacimiento, carta de naturalización o documento migratorio) de la siguiente forma:</w:t>
      </w:r>
    </w:p>
    <w:p w14:paraId="46A97517" w14:textId="77777777" w:rsidR="00916EE0" w:rsidRPr="007E54F1" w:rsidRDefault="00916EE0" w:rsidP="007E54F1"/>
    <w:p w14:paraId="6DFDCBEB" w14:textId="77777777" w:rsidR="00916EE0" w:rsidRPr="007E54F1" w:rsidRDefault="00916EE0" w:rsidP="007E54F1">
      <w:pPr>
        <w:numPr>
          <w:ilvl w:val="0"/>
          <w:numId w:val="45"/>
        </w:numPr>
      </w:pPr>
      <w:r w:rsidRPr="007E54F1">
        <w:t>El primero y segundo apellidos, así como al nombre de pila;</w:t>
      </w:r>
    </w:p>
    <w:p w14:paraId="3C84EB09" w14:textId="77777777" w:rsidR="00916EE0" w:rsidRPr="007E54F1" w:rsidRDefault="00916EE0" w:rsidP="007E54F1">
      <w:pPr>
        <w:numPr>
          <w:ilvl w:val="0"/>
          <w:numId w:val="45"/>
        </w:numPr>
      </w:pPr>
      <w:r w:rsidRPr="007E54F1">
        <w:t>La fecha de nacimiento;</w:t>
      </w:r>
    </w:p>
    <w:p w14:paraId="52398B11" w14:textId="77777777" w:rsidR="00916EE0" w:rsidRPr="007E54F1" w:rsidRDefault="00916EE0" w:rsidP="007E54F1">
      <w:pPr>
        <w:numPr>
          <w:ilvl w:val="0"/>
          <w:numId w:val="45"/>
        </w:numPr>
      </w:pPr>
      <w:r w:rsidRPr="007E54F1">
        <w:t>El sexo, y</w:t>
      </w:r>
    </w:p>
    <w:p w14:paraId="0498DA01" w14:textId="77777777" w:rsidR="00916EE0" w:rsidRPr="007E54F1" w:rsidRDefault="00916EE0" w:rsidP="007E54F1">
      <w:pPr>
        <w:numPr>
          <w:ilvl w:val="0"/>
          <w:numId w:val="45"/>
        </w:numPr>
      </w:pPr>
      <w:r w:rsidRPr="007E54F1">
        <w:t>La entidad federativa de nacimiento.</w:t>
      </w:r>
    </w:p>
    <w:p w14:paraId="76F00F22" w14:textId="77777777" w:rsidR="00916EE0" w:rsidRPr="007E54F1" w:rsidRDefault="00916EE0" w:rsidP="007E54F1"/>
    <w:p w14:paraId="72818316" w14:textId="77777777" w:rsidR="00916EE0" w:rsidRPr="007E54F1" w:rsidRDefault="00916EE0" w:rsidP="007E54F1">
      <w:r w:rsidRPr="007E54F1">
        <w:t>Los dos últimos elementos de la Clave Única de Registro de Población evitan la duplicidad de la Clave y garantizan su correcta integración.</w:t>
      </w:r>
    </w:p>
    <w:p w14:paraId="6D8EC705" w14:textId="77777777" w:rsidR="00916EE0" w:rsidRPr="007E54F1" w:rsidRDefault="00916EE0" w:rsidP="007E54F1"/>
    <w:p w14:paraId="1975F78A" w14:textId="77777777" w:rsidR="00916EE0" w:rsidRPr="007E54F1" w:rsidRDefault="00916EE0" w:rsidP="007E54F1">
      <w:r w:rsidRPr="007E54F1">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DA63230" w14:textId="77777777" w:rsidR="00916EE0" w:rsidRPr="007E54F1" w:rsidRDefault="00916EE0" w:rsidP="007E54F1"/>
    <w:p w14:paraId="4BE03919" w14:textId="77777777" w:rsidR="00916EE0" w:rsidRPr="007E54F1" w:rsidRDefault="00916EE0" w:rsidP="007E54F1">
      <w:r w:rsidRPr="007E54F1">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73FB4FDE" w14:textId="77777777" w:rsidR="00916EE0" w:rsidRPr="007E54F1" w:rsidRDefault="00916EE0" w:rsidP="007E54F1">
      <w:pPr>
        <w:ind w:left="567" w:right="567"/>
      </w:pPr>
    </w:p>
    <w:p w14:paraId="0B33E50C" w14:textId="77777777" w:rsidR="00916EE0" w:rsidRPr="007E54F1" w:rsidRDefault="00916EE0" w:rsidP="007E54F1">
      <w:pPr>
        <w:pStyle w:val="Puesto"/>
        <w:ind w:firstLine="0"/>
        <w:rPr>
          <w:color w:val="auto"/>
        </w:rPr>
      </w:pPr>
      <w:r w:rsidRPr="007E54F1">
        <w:rPr>
          <w:b/>
          <w:color w:val="auto"/>
        </w:rPr>
        <w:t xml:space="preserve">“Clave Única de Registro de Población (CURP). </w:t>
      </w:r>
      <w:r w:rsidRPr="007E54F1">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7E54F1">
        <w:rPr>
          <w:color w:val="auto"/>
        </w:rPr>
        <w:lastRenderedPageBreak/>
        <w:t xml:space="preserve">resto de los habitantes del país, por lo que la CURP está considerada como información confidencial.” </w:t>
      </w:r>
    </w:p>
    <w:p w14:paraId="60E6B854" w14:textId="77777777" w:rsidR="00916EE0" w:rsidRPr="007E54F1" w:rsidRDefault="00916EE0" w:rsidP="007E54F1"/>
    <w:p w14:paraId="0E3A467C" w14:textId="77777777" w:rsidR="00916EE0" w:rsidRPr="007E54F1" w:rsidRDefault="00916EE0" w:rsidP="007E54F1">
      <w:pPr>
        <w:rPr>
          <w:b/>
        </w:rPr>
      </w:pPr>
      <w:r w:rsidRPr="007E54F1">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CAEBFF6" w14:textId="77777777" w:rsidR="00916EE0" w:rsidRPr="007E54F1" w:rsidRDefault="00916EE0" w:rsidP="007E54F1">
      <w:pPr>
        <w:tabs>
          <w:tab w:val="left" w:pos="3962"/>
        </w:tabs>
      </w:pPr>
    </w:p>
    <w:p w14:paraId="0707340F" w14:textId="77777777" w:rsidR="00916EE0" w:rsidRPr="007E54F1" w:rsidRDefault="00916EE0" w:rsidP="007E54F1">
      <w:pPr>
        <w:numPr>
          <w:ilvl w:val="0"/>
          <w:numId w:val="44"/>
        </w:numPr>
        <w:rPr>
          <w:b/>
        </w:rPr>
      </w:pPr>
      <w:bookmarkStart w:id="33" w:name="_heading=h.tsc491hqc7kj" w:colFirst="0" w:colLast="0"/>
      <w:bookmarkEnd w:id="33"/>
      <w:r w:rsidRPr="007E54F1">
        <w:rPr>
          <w:b/>
        </w:rPr>
        <w:t>Número de seguridad social del Instituto de Seguridad Social del Estado de México y Municipios</w:t>
      </w:r>
    </w:p>
    <w:p w14:paraId="3A64E84F" w14:textId="77777777" w:rsidR="00916EE0" w:rsidRPr="007E54F1" w:rsidRDefault="00916EE0" w:rsidP="007E54F1">
      <w:pPr>
        <w:rPr>
          <w:b/>
        </w:rPr>
      </w:pPr>
    </w:p>
    <w:p w14:paraId="4C30F5C4" w14:textId="77777777" w:rsidR="00916EE0" w:rsidRPr="007E54F1" w:rsidRDefault="00916EE0" w:rsidP="007E54F1">
      <w:r w:rsidRPr="007E54F1">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D513C98" w14:textId="77777777" w:rsidR="00916EE0" w:rsidRPr="007E54F1" w:rsidRDefault="00916EE0" w:rsidP="007E54F1"/>
    <w:p w14:paraId="008E4546" w14:textId="77777777" w:rsidR="00916EE0" w:rsidRPr="007E54F1" w:rsidRDefault="00916EE0" w:rsidP="007E54F1">
      <w:r w:rsidRPr="007E54F1">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D044ECA" w14:textId="77777777" w:rsidR="00916EE0" w:rsidRPr="007E54F1" w:rsidRDefault="00916EE0" w:rsidP="007E54F1"/>
    <w:p w14:paraId="594F9CB6" w14:textId="77777777" w:rsidR="00916EE0" w:rsidRPr="007E54F1" w:rsidRDefault="00916EE0" w:rsidP="007E54F1">
      <w:r w:rsidRPr="007E54F1">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E3BC4C3" w14:textId="77777777" w:rsidR="00916EE0" w:rsidRPr="007E54F1" w:rsidRDefault="00916EE0" w:rsidP="007E54F1"/>
    <w:p w14:paraId="35F85418" w14:textId="77777777" w:rsidR="00916EE0" w:rsidRPr="007E54F1" w:rsidRDefault="00916EE0" w:rsidP="007E54F1">
      <w:r w:rsidRPr="007E54F1">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12BEDBBD" w14:textId="77777777" w:rsidR="00916EE0" w:rsidRPr="007E54F1" w:rsidRDefault="00916EE0" w:rsidP="007E54F1">
      <w:pPr>
        <w:tabs>
          <w:tab w:val="left" w:pos="3962"/>
        </w:tabs>
      </w:pPr>
    </w:p>
    <w:p w14:paraId="3F008BEC" w14:textId="77777777" w:rsidR="00916EE0" w:rsidRPr="007E54F1" w:rsidRDefault="00916EE0" w:rsidP="007E54F1">
      <w:pPr>
        <w:numPr>
          <w:ilvl w:val="0"/>
          <w:numId w:val="44"/>
        </w:numPr>
        <w:rPr>
          <w:b/>
        </w:rPr>
      </w:pPr>
      <w:r w:rsidRPr="007E54F1">
        <w:rPr>
          <w:b/>
        </w:rPr>
        <w:t xml:space="preserve">Deducciones (Préstamos, Otras deducciones y Total de deducciones). </w:t>
      </w:r>
    </w:p>
    <w:p w14:paraId="1304A14C" w14:textId="77777777" w:rsidR="00916EE0" w:rsidRPr="007E54F1" w:rsidRDefault="00916EE0" w:rsidP="007E54F1">
      <w:pPr>
        <w:spacing w:before="240" w:after="240"/>
      </w:pPr>
      <w:r w:rsidRPr="007E54F1">
        <w:t xml:space="preserve">Sobre las </w:t>
      </w:r>
      <w:r w:rsidRPr="007E54F1">
        <w:rPr>
          <w:b/>
          <w:i/>
        </w:rPr>
        <w:t>deducciones</w:t>
      </w:r>
      <w:r w:rsidRPr="007E54F1">
        <w:t>, para entender los límites y alcances de esta restricción, es oportuno recurrir al artículo 84 de la Ley del Trabajo de los Servidores Públicos del Estado y Municipios:</w:t>
      </w:r>
    </w:p>
    <w:p w14:paraId="33AC9BCE" w14:textId="77777777" w:rsidR="00916EE0" w:rsidRPr="007E54F1" w:rsidRDefault="00916EE0" w:rsidP="007E54F1">
      <w:pPr>
        <w:pStyle w:val="Puesto"/>
        <w:ind w:firstLine="0"/>
        <w:rPr>
          <w:b/>
          <w:color w:val="auto"/>
        </w:rPr>
      </w:pPr>
      <w:bookmarkStart w:id="34" w:name="_heading=h.i9mk3ga8ug63" w:colFirst="0" w:colLast="0"/>
      <w:bookmarkEnd w:id="34"/>
      <w:r w:rsidRPr="007E54F1">
        <w:rPr>
          <w:b/>
          <w:color w:val="auto"/>
        </w:rPr>
        <w:t xml:space="preserve">“ARTÍCULO 84. </w:t>
      </w:r>
      <w:r w:rsidRPr="007E54F1">
        <w:rPr>
          <w:color w:val="auto"/>
        </w:rPr>
        <w:t>Sólo podrán hacerse retenciones, descuentos o deducciones al sueldo de los servidores públicos por concepto de:</w:t>
      </w:r>
    </w:p>
    <w:p w14:paraId="7FE1F457" w14:textId="77777777" w:rsidR="00916EE0" w:rsidRPr="007E54F1" w:rsidRDefault="00916EE0" w:rsidP="007E54F1">
      <w:pPr>
        <w:pStyle w:val="Puesto"/>
        <w:ind w:firstLine="0"/>
        <w:rPr>
          <w:color w:val="auto"/>
        </w:rPr>
      </w:pPr>
      <w:r w:rsidRPr="007E54F1">
        <w:rPr>
          <w:b/>
          <w:color w:val="auto"/>
        </w:rPr>
        <w:t>I.</w:t>
      </w:r>
      <w:r w:rsidRPr="007E54F1">
        <w:rPr>
          <w:color w:val="auto"/>
        </w:rPr>
        <w:t xml:space="preserve"> Gravámenes fiscales relacionados con el sueldo;</w:t>
      </w:r>
    </w:p>
    <w:p w14:paraId="1A67AAE3" w14:textId="77777777" w:rsidR="00916EE0" w:rsidRPr="007E54F1" w:rsidRDefault="00916EE0" w:rsidP="007E54F1">
      <w:pPr>
        <w:pStyle w:val="Puesto"/>
        <w:ind w:firstLine="0"/>
        <w:rPr>
          <w:color w:val="auto"/>
        </w:rPr>
      </w:pPr>
      <w:r w:rsidRPr="007E54F1">
        <w:rPr>
          <w:b/>
          <w:color w:val="auto"/>
        </w:rPr>
        <w:t>II.</w:t>
      </w:r>
      <w:r w:rsidRPr="007E54F1">
        <w:rPr>
          <w:color w:val="auto"/>
        </w:rPr>
        <w:t xml:space="preserve"> Deudas contraídas con las instituciones públicas o dependencias por concepto de anticipos de sueldo, pagos hechos con exceso, errores o pérdidas debidamente comprobados;</w:t>
      </w:r>
    </w:p>
    <w:p w14:paraId="161394EB" w14:textId="77777777" w:rsidR="00916EE0" w:rsidRPr="007E54F1" w:rsidRDefault="00916EE0" w:rsidP="007E54F1">
      <w:pPr>
        <w:pStyle w:val="Puesto"/>
        <w:ind w:firstLine="0"/>
        <w:rPr>
          <w:color w:val="auto"/>
        </w:rPr>
      </w:pPr>
      <w:r w:rsidRPr="007E54F1">
        <w:rPr>
          <w:b/>
          <w:color w:val="auto"/>
        </w:rPr>
        <w:t>III.</w:t>
      </w:r>
      <w:r w:rsidRPr="007E54F1">
        <w:rPr>
          <w:color w:val="auto"/>
        </w:rPr>
        <w:t xml:space="preserve"> </w:t>
      </w:r>
      <w:r w:rsidRPr="007E54F1">
        <w:rPr>
          <w:b/>
          <w:color w:val="auto"/>
        </w:rPr>
        <w:t>Cuotas sindicales</w:t>
      </w:r>
      <w:r w:rsidRPr="007E54F1">
        <w:rPr>
          <w:color w:val="auto"/>
        </w:rPr>
        <w:t>;</w:t>
      </w:r>
    </w:p>
    <w:p w14:paraId="0844B5AB" w14:textId="77777777" w:rsidR="00916EE0" w:rsidRPr="007E54F1" w:rsidRDefault="00916EE0" w:rsidP="007E54F1">
      <w:pPr>
        <w:pStyle w:val="Puesto"/>
        <w:ind w:firstLine="0"/>
        <w:rPr>
          <w:color w:val="auto"/>
        </w:rPr>
      </w:pPr>
      <w:r w:rsidRPr="007E54F1">
        <w:rPr>
          <w:b/>
          <w:color w:val="auto"/>
        </w:rPr>
        <w:t>IV.</w:t>
      </w:r>
      <w:r w:rsidRPr="007E54F1">
        <w:rPr>
          <w:color w:val="auto"/>
        </w:rPr>
        <w:t xml:space="preserve"> Cuotas de aportación a fondos para la constitución de cooperativas y de cajas de ahorro, siempre que el servidor público hubiese manifestado previamente, de manera expresa, su conformidad;</w:t>
      </w:r>
    </w:p>
    <w:p w14:paraId="4EFA20BC" w14:textId="77777777" w:rsidR="00916EE0" w:rsidRPr="007E54F1" w:rsidRDefault="00916EE0" w:rsidP="007E54F1">
      <w:pPr>
        <w:pStyle w:val="Puesto"/>
        <w:ind w:firstLine="0"/>
        <w:rPr>
          <w:color w:val="auto"/>
        </w:rPr>
      </w:pPr>
      <w:r w:rsidRPr="007E54F1">
        <w:rPr>
          <w:b/>
          <w:color w:val="auto"/>
        </w:rPr>
        <w:lastRenderedPageBreak/>
        <w:t>V.</w:t>
      </w:r>
      <w:r w:rsidRPr="007E54F1">
        <w:rPr>
          <w:color w:val="auto"/>
        </w:rPr>
        <w:t xml:space="preserve"> Descuentos ordenados por el Instituto de Seguridad Social del Estado de México y Municipios, con motivo de cuotas y obligaciones contraídas con éste por los servidores públicos;</w:t>
      </w:r>
    </w:p>
    <w:p w14:paraId="6CC6AE4D" w14:textId="77777777" w:rsidR="00916EE0" w:rsidRPr="007E54F1" w:rsidRDefault="00916EE0" w:rsidP="007E54F1">
      <w:pPr>
        <w:pStyle w:val="Puesto"/>
        <w:ind w:firstLine="0"/>
        <w:rPr>
          <w:color w:val="auto"/>
        </w:rPr>
      </w:pPr>
      <w:r w:rsidRPr="007E54F1">
        <w:rPr>
          <w:b/>
          <w:color w:val="auto"/>
        </w:rPr>
        <w:t>VI.</w:t>
      </w:r>
      <w:r w:rsidRPr="007E54F1">
        <w:rPr>
          <w:color w:val="auto"/>
        </w:rPr>
        <w:t xml:space="preserve"> Obligaciones a cargo del servidor público con las que haya consentido, derivadas de la adquisición o del uso de habitaciones consideradas como de interés social;</w:t>
      </w:r>
    </w:p>
    <w:p w14:paraId="1D19B04B" w14:textId="77777777" w:rsidR="00916EE0" w:rsidRPr="007E54F1" w:rsidRDefault="00916EE0" w:rsidP="007E54F1">
      <w:pPr>
        <w:pStyle w:val="Puesto"/>
        <w:ind w:firstLine="0"/>
        <w:rPr>
          <w:color w:val="auto"/>
        </w:rPr>
      </w:pPr>
      <w:r w:rsidRPr="007E54F1">
        <w:rPr>
          <w:b/>
          <w:color w:val="auto"/>
        </w:rPr>
        <w:t>VII.</w:t>
      </w:r>
      <w:r w:rsidRPr="007E54F1">
        <w:rPr>
          <w:color w:val="auto"/>
        </w:rPr>
        <w:t xml:space="preserve"> Faltas de puntualidad o de asistencia injustificadas;</w:t>
      </w:r>
    </w:p>
    <w:p w14:paraId="7D8CEB82" w14:textId="77777777" w:rsidR="00916EE0" w:rsidRPr="007E54F1" w:rsidRDefault="00916EE0" w:rsidP="007E54F1">
      <w:pPr>
        <w:pStyle w:val="Puesto"/>
        <w:ind w:firstLine="0"/>
        <w:rPr>
          <w:color w:val="auto"/>
        </w:rPr>
      </w:pPr>
      <w:r w:rsidRPr="007E54F1">
        <w:rPr>
          <w:b/>
          <w:color w:val="auto"/>
        </w:rPr>
        <w:t>VIII. Pensiones alimenticias ordenadas por la autoridad judicial;</w:t>
      </w:r>
      <w:r w:rsidRPr="007E54F1">
        <w:rPr>
          <w:color w:val="auto"/>
        </w:rPr>
        <w:t xml:space="preserve"> o</w:t>
      </w:r>
    </w:p>
    <w:p w14:paraId="2233D842" w14:textId="77777777" w:rsidR="00916EE0" w:rsidRPr="007E54F1" w:rsidRDefault="00916EE0" w:rsidP="007E54F1">
      <w:pPr>
        <w:pStyle w:val="Puesto"/>
        <w:ind w:firstLine="0"/>
        <w:rPr>
          <w:b/>
          <w:color w:val="auto"/>
        </w:rPr>
      </w:pPr>
      <w:r w:rsidRPr="007E54F1">
        <w:rPr>
          <w:b/>
          <w:color w:val="auto"/>
        </w:rPr>
        <w:t>IX. Cualquier otro convenido con instituciones de servicios y aceptado por el servidor público.</w:t>
      </w:r>
    </w:p>
    <w:p w14:paraId="39FC2389" w14:textId="77777777" w:rsidR="00916EE0" w:rsidRPr="007E54F1" w:rsidRDefault="00916EE0" w:rsidP="007E54F1">
      <w:pPr>
        <w:pStyle w:val="Puesto"/>
        <w:ind w:firstLine="0"/>
        <w:rPr>
          <w:color w:val="auto"/>
        </w:rPr>
      </w:pPr>
      <w:r w:rsidRPr="007E54F1">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8EC0428" w14:textId="77777777" w:rsidR="00916EE0" w:rsidRPr="007E54F1" w:rsidRDefault="00916EE0" w:rsidP="007E54F1"/>
    <w:p w14:paraId="31682DA7" w14:textId="77777777" w:rsidR="00916EE0" w:rsidRPr="007E54F1" w:rsidRDefault="00916EE0" w:rsidP="007E54F1">
      <w:r w:rsidRPr="007E54F1">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04AC1F36" w14:textId="77777777" w:rsidR="00916EE0" w:rsidRPr="007E54F1" w:rsidRDefault="00916EE0" w:rsidP="007E54F1"/>
    <w:p w14:paraId="5A360F4A" w14:textId="77777777" w:rsidR="00916EE0" w:rsidRPr="007E54F1" w:rsidRDefault="00916EE0" w:rsidP="007E54F1">
      <w:r w:rsidRPr="007E54F1">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66F57E52" w14:textId="77777777" w:rsidR="00916EE0" w:rsidRPr="007E54F1" w:rsidRDefault="00916EE0" w:rsidP="007E54F1"/>
    <w:p w14:paraId="72FBF3F7" w14:textId="77777777" w:rsidR="00916EE0" w:rsidRPr="007E54F1" w:rsidRDefault="00916EE0" w:rsidP="007E54F1">
      <w:r w:rsidRPr="007E54F1">
        <w:t xml:space="preserve">Por tal circunstancia y toda vez, que las deducciones por Ley, son de carácter obligatorio y ayuda a rendir cuentas, de que </w:t>
      </w:r>
      <w:r w:rsidRPr="007E54F1">
        <w:rPr>
          <w:b/>
        </w:rPr>
        <w:t>EL SUJETO OBLIGADO</w:t>
      </w:r>
      <w:r w:rsidRPr="007E54F1">
        <w:t xml:space="preserve"> cumple con sus funciones de patrón, al retener determinado monto del sueldo de los servidores públicos, es que se considera que son de naturaleza pública y, por lo tanto, no procede la clasificación, en términos del artículo </w:t>
      </w:r>
      <w:r w:rsidRPr="007E54F1">
        <w:lastRenderedPageBreak/>
        <w:t>143, fracción I, de la Ley de Transparencia y Acceso a la Información Pública del Estado de México y Municipios.</w:t>
      </w:r>
    </w:p>
    <w:p w14:paraId="46CB4550" w14:textId="77777777" w:rsidR="00916EE0" w:rsidRPr="007E54F1" w:rsidRDefault="00916EE0" w:rsidP="007E54F1"/>
    <w:p w14:paraId="7F2EEE31" w14:textId="77777777" w:rsidR="00916EE0" w:rsidRPr="007E54F1" w:rsidRDefault="00916EE0" w:rsidP="007E54F1">
      <w:pPr>
        <w:pBdr>
          <w:top w:val="nil"/>
          <w:left w:val="nil"/>
          <w:bottom w:val="nil"/>
          <w:right w:val="nil"/>
          <w:between w:val="nil"/>
        </w:pBdr>
      </w:pPr>
      <w:r w:rsidRPr="007E54F1">
        <w:t>Tal es el caso del</w:t>
      </w:r>
      <w:r w:rsidRPr="007E54F1">
        <w:rPr>
          <w:b/>
        </w:rPr>
        <w:t xml:space="preserve"> Sistema De Capitalización Individual (SCI), </w:t>
      </w:r>
      <w:r w:rsidRPr="007E54F1">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4674CFBA" w14:textId="77777777" w:rsidR="00916EE0" w:rsidRPr="007E54F1" w:rsidRDefault="00916EE0" w:rsidP="007E54F1">
      <w:pPr>
        <w:pBdr>
          <w:top w:val="nil"/>
          <w:left w:val="nil"/>
          <w:bottom w:val="nil"/>
          <w:right w:val="nil"/>
          <w:between w:val="nil"/>
        </w:pBdr>
      </w:pPr>
    </w:p>
    <w:p w14:paraId="0A51EB37" w14:textId="77777777" w:rsidR="00916EE0" w:rsidRPr="007E54F1" w:rsidRDefault="00916EE0" w:rsidP="007E54F1">
      <w:pPr>
        <w:pStyle w:val="Puesto"/>
        <w:ind w:firstLine="0"/>
        <w:rPr>
          <w:b/>
          <w:color w:val="auto"/>
        </w:rPr>
      </w:pPr>
      <w:r w:rsidRPr="007E54F1">
        <w:rPr>
          <w:color w:val="auto"/>
        </w:rPr>
        <w:t>“</w:t>
      </w:r>
      <w:r w:rsidRPr="007E54F1">
        <w:rPr>
          <w:b/>
          <w:color w:val="auto"/>
        </w:rPr>
        <w:t>ARTICULO 84.-</w:t>
      </w:r>
      <w:r w:rsidRPr="007E54F1">
        <w:rPr>
          <w:color w:val="auto"/>
        </w:rPr>
        <w:t xml:space="preserve"> Las pensiones que otorga esta ley, se basan en un régimen mixto, siendo una parte de beneficios definidos denominado </w:t>
      </w:r>
      <w:r w:rsidRPr="007E54F1">
        <w:rPr>
          <w:b/>
          <w:color w:val="auto"/>
        </w:rPr>
        <w:t>sistema solidario de reparto y otra de contribuciones definidas denominado sistema de capitalización individual.</w:t>
      </w:r>
    </w:p>
    <w:p w14:paraId="03B94BE4" w14:textId="77777777" w:rsidR="00916EE0" w:rsidRPr="007E54F1" w:rsidRDefault="00916EE0" w:rsidP="007E54F1">
      <w:pPr>
        <w:spacing w:line="276" w:lineRule="auto"/>
        <w:ind w:left="567" w:right="900"/>
        <w:rPr>
          <w:i/>
        </w:rPr>
      </w:pPr>
    </w:p>
    <w:p w14:paraId="76A11210" w14:textId="77777777" w:rsidR="00916EE0" w:rsidRPr="007E54F1" w:rsidRDefault="00916EE0" w:rsidP="007E54F1">
      <w:pPr>
        <w:pStyle w:val="Puesto"/>
        <w:ind w:firstLine="0"/>
        <w:rPr>
          <w:color w:val="auto"/>
        </w:rPr>
      </w:pPr>
      <w:r w:rsidRPr="007E54F1">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1C3EDE69" w14:textId="77777777" w:rsidR="00916EE0" w:rsidRPr="007E54F1" w:rsidRDefault="00916EE0" w:rsidP="007E54F1"/>
    <w:p w14:paraId="32E71985" w14:textId="77777777" w:rsidR="00916EE0" w:rsidRPr="007E54F1" w:rsidRDefault="00916EE0" w:rsidP="007E54F1">
      <w:pPr>
        <w:pStyle w:val="Puesto"/>
        <w:ind w:firstLine="0"/>
        <w:rPr>
          <w:color w:val="auto"/>
        </w:rPr>
      </w:pPr>
      <w:r w:rsidRPr="007E54F1">
        <w:rPr>
          <w:color w:val="auto"/>
        </w:rPr>
        <w:t xml:space="preserve"> </w:t>
      </w:r>
      <w:r w:rsidRPr="007E54F1">
        <w:rPr>
          <w:b/>
          <w:color w:val="auto"/>
        </w:rPr>
        <w:t>ARTICULO 115.-</w:t>
      </w:r>
      <w:r w:rsidRPr="007E54F1">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66CABFB5" w14:textId="77777777" w:rsidR="00916EE0" w:rsidRPr="007E54F1" w:rsidRDefault="00916EE0" w:rsidP="007E54F1"/>
    <w:p w14:paraId="0B296C08" w14:textId="77777777" w:rsidR="00916EE0" w:rsidRPr="007E54F1" w:rsidRDefault="00916EE0" w:rsidP="007E54F1">
      <w:r w:rsidRPr="007E54F1">
        <w:t>En esta misma disposición normativa, en los artículos 5 fracciones II, VII y VIII; 32, 34 y 35, dispone lo siguiente:</w:t>
      </w:r>
    </w:p>
    <w:p w14:paraId="4F222A40" w14:textId="77777777" w:rsidR="00916EE0" w:rsidRPr="007E54F1" w:rsidRDefault="00916EE0" w:rsidP="007E54F1"/>
    <w:p w14:paraId="6CBBADB1" w14:textId="77777777" w:rsidR="00916EE0" w:rsidRPr="007E54F1" w:rsidRDefault="00916EE0" w:rsidP="007E54F1">
      <w:pPr>
        <w:pStyle w:val="Puesto"/>
        <w:ind w:firstLine="0"/>
        <w:rPr>
          <w:color w:val="auto"/>
        </w:rPr>
      </w:pPr>
      <w:r w:rsidRPr="007E54F1">
        <w:rPr>
          <w:color w:val="auto"/>
        </w:rPr>
        <w:t>“</w:t>
      </w:r>
      <w:r w:rsidRPr="007E54F1">
        <w:rPr>
          <w:b/>
          <w:color w:val="auto"/>
        </w:rPr>
        <w:t>ARTÍCULO 5</w:t>
      </w:r>
      <w:r w:rsidRPr="007E54F1">
        <w:rPr>
          <w:color w:val="auto"/>
        </w:rPr>
        <w:t>.- Para los efectos de esta ley se entiende por:</w:t>
      </w:r>
    </w:p>
    <w:p w14:paraId="77035456" w14:textId="77777777" w:rsidR="00916EE0" w:rsidRPr="007E54F1" w:rsidRDefault="00916EE0" w:rsidP="007E54F1">
      <w:pPr>
        <w:pStyle w:val="Puesto"/>
        <w:ind w:firstLine="0"/>
        <w:rPr>
          <w:color w:val="auto"/>
        </w:rPr>
      </w:pPr>
      <w:r w:rsidRPr="007E54F1">
        <w:rPr>
          <w:color w:val="auto"/>
        </w:rPr>
        <w:t>…</w:t>
      </w:r>
    </w:p>
    <w:p w14:paraId="55C75CF4" w14:textId="77777777" w:rsidR="00916EE0" w:rsidRPr="007E54F1" w:rsidRDefault="00916EE0" w:rsidP="007E54F1">
      <w:pPr>
        <w:pStyle w:val="Puesto"/>
        <w:ind w:firstLine="0"/>
        <w:rPr>
          <w:color w:val="auto"/>
        </w:rPr>
      </w:pPr>
      <w:r w:rsidRPr="007E54F1">
        <w:rPr>
          <w:color w:val="auto"/>
        </w:rPr>
        <w:t>II. Institución pública, a los poderes públicos del estado, los ayuntamientos de los municipios y los tribunales administrativos, así como los organismos auxiliares y fideicomisos públicos de carácter estatal y municipal;</w:t>
      </w:r>
    </w:p>
    <w:p w14:paraId="5C45E444" w14:textId="77777777" w:rsidR="00916EE0" w:rsidRPr="007E54F1" w:rsidRDefault="00916EE0" w:rsidP="007E54F1">
      <w:pPr>
        <w:pStyle w:val="Puesto"/>
        <w:ind w:firstLine="0"/>
        <w:rPr>
          <w:color w:val="auto"/>
        </w:rPr>
      </w:pPr>
      <w:r w:rsidRPr="007E54F1">
        <w:rPr>
          <w:color w:val="auto"/>
        </w:rPr>
        <w:t>…</w:t>
      </w:r>
    </w:p>
    <w:p w14:paraId="0052E690" w14:textId="77777777" w:rsidR="00916EE0" w:rsidRPr="007E54F1" w:rsidRDefault="00916EE0" w:rsidP="007E54F1">
      <w:pPr>
        <w:pStyle w:val="Puesto"/>
        <w:ind w:firstLine="0"/>
        <w:rPr>
          <w:color w:val="auto"/>
        </w:rPr>
      </w:pPr>
      <w:r w:rsidRPr="007E54F1">
        <w:rPr>
          <w:color w:val="auto"/>
        </w:rPr>
        <w:lastRenderedPageBreak/>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0763DE55" w14:textId="77777777" w:rsidR="00916EE0" w:rsidRPr="007E54F1" w:rsidRDefault="00916EE0" w:rsidP="007E54F1">
      <w:pPr>
        <w:pStyle w:val="Puesto"/>
        <w:ind w:firstLine="0"/>
        <w:rPr>
          <w:b/>
          <w:color w:val="auto"/>
        </w:rPr>
      </w:pPr>
      <w:r w:rsidRPr="007E54F1">
        <w:rPr>
          <w:color w:val="auto"/>
        </w:rPr>
        <w:t xml:space="preserve">VIII. </w:t>
      </w:r>
      <w:r w:rsidRPr="007E54F1">
        <w:rPr>
          <w:b/>
          <w:color w:val="auto"/>
        </w:rPr>
        <w:t>Aportación, al monto que le corresponde cubrir a las instituciones públicas como porcentaje del sueldo sujeto a cotización de cada servidor público;</w:t>
      </w:r>
    </w:p>
    <w:p w14:paraId="1D552951" w14:textId="77777777" w:rsidR="00916EE0" w:rsidRPr="007E54F1" w:rsidRDefault="00916EE0" w:rsidP="007E54F1">
      <w:pPr>
        <w:pStyle w:val="Puesto"/>
        <w:ind w:firstLine="0"/>
        <w:rPr>
          <w:color w:val="auto"/>
        </w:rPr>
      </w:pPr>
      <w:r w:rsidRPr="007E54F1">
        <w:rPr>
          <w:color w:val="auto"/>
        </w:rPr>
        <w:t>…</w:t>
      </w:r>
    </w:p>
    <w:p w14:paraId="671EC063" w14:textId="77777777" w:rsidR="00916EE0" w:rsidRPr="007E54F1" w:rsidRDefault="00916EE0" w:rsidP="007E54F1">
      <w:pPr>
        <w:pStyle w:val="Puesto"/>
        <w:ind w:firstLine="0"/>
        <w:rPr>
          <w:color w:val="auto"/>
        </w:rPr>
      </w:pPr>
    </w:p>
    <w:p w14:paraId="21C77ADC" w14:textId="77777777" w:rsidR="00916EE0" w:rsidRPr="007E54F1" w:rsidRDefault="00916EE0" w:rsidP="007E54F1">
      <w:pPr>
        <w:pStyle w:val="Puesto"/>
        <w:ind w:firstLine="0"/>
        <w:rPr>
          <w:b/>
          <w:color w:val="auto"/>
        </w:rPr>
      </w:pPr>
      <w:r w:rsidRPr="007E54F1">
        <w:rPr>
          <w:b/>
          <w:color w:val="auto"/>
        </w:rPr>
        <w:t>Artículo 32.-</w:t>
      </w:r>
      <w:r w:rsidRPr="007E54F1">
        <w:rPr>
          <w:color w:val="auto"/>
        </w:rPr>
        <w:t xml:space="preserve"> </w:t>
      </w:r>
      <w:r w:rsidRPr="007E54F1">
        <w:rPr>
          <w:b/>
          <w:color w:val="auto"/>
        </w:rPr>
        <w:t xml:space="preserve">Las cuotas obligatorias que deberán cubrir los servidores públicos al Instituto, serán las siguientes: </w:t>
      </w:r>
    </w:p>
    <w:p w14:paraId="7CC10077" w14:textId="77777777" w:rsidR="00916EE0" w:rsidRPr="007E54F1" w:rsidRDefault="00916EE0" w:rsidP="007E54F1">
      <w:pPr>
        <w:pStyle w:val="Puesto"/>
        <w:ind w:firstLine="0"/>
        <w:rPr>
          <w:color w:val="auto"/>
        </w:rPr>
      </w:pPr>
      <w:r w:rsidRPr="007E54F1">
        <w:rPr>
          <w:color w:val="auto"/>
        </w:rPr>
        <w:t xml:space="preserve">I. El 4.625% del sueldo sujeto a cotización, para cubrir las prestaciones de servicios de salud; </w:t>
      </w:r>
    </w:p>
    <w:p w14:paraId="133BDE6D" w14:textId="77777777" w:rsidR="00916EE0" w:rsidRPr="007E54F1" w:rsidRDefault="00916EE0" w:rsidP="007E54F1">
      <w:pPr>
        <w:pStyle w:val="Puesto"/>
        <w:ind w:firstLine="0"/>
        <w:rPr>
          <w:color w:val="auto"/>
        </w:rPr>
      </w:pPr>
      <w:r w:rsidRPr="007E54F1">
        <w:rPr>
          <w:color w:val="auto"/>
        </w:rPr>
        <w:t xml:space="preserve">II. El 7.50% del sueldo sujeto a cotización, para cubrir el financiamiento de pensiones, de la siguiente manera: </w:t>
      </w:r>
    </w:p>
    <w:p w14:paraId="7AD0C58C" w14:textId="77777777" w:rsidR="00916EE0" w:rsidRPr="007E54F1" w:rsidRDefault="00916EE0" w:rsidP="007E54F1">
      <w:pPr>
        <w:pStyle w:val="Puesto"/>
        <w:ind w:firstLine="0"/>
        <w:rPr>
          <w:color w:val="auto"/>
        </w:rPr>
      </w:pPr>
      <w:r w:rsidRPr="007E54F1">
        <w:rPr>
          <w:color w:val="auto"/>
        </w:rPr>
        <w:t xml:space="preserve">a. 6.10% para el fondo del sistema solidario de reparto. </w:t>
      </w:r>
    </w:p>
    <w:p w14:paraId="363796C7" w14:textId="77777777" w:rsidR="00916EE0" w:rsidRPr="007E54F1" w:rsidRDefault="00916EE0" w:rsidP="007E54F1">
      <w:pPr>
        <w:pStyle w:val="Puesto"/>
        <w:ind w:firstLine="0"/>
        <w:rPr>
          <w:b/>
          <w:color w:val="auto"/>
          <w:u w:val="single"/>
        </w:rPr>
      </w:pPr>
      <w:r w:rsidRPr="007E54F1">
        <w:rPr>
          <w:b/>
          <w:color w:val="auto"/>
          <w:u w:val="single"/>
        </w:rPr>
        <w:t xml:space="preserve">b. 1.40% para el sistema de capitalización individual. </w:t>
      </w:r>
    </w:p>
    <w:p w14:paraId="0DA02125" w14:textId="77777777" w:rsidR="00916EE0" w:rsidRPr="007E54F1" w:rsidRDefault="00916EE0" w:rsidP="007E54F1">
      <w:pPr>
        <w:pStyle w:val="Puesto"/>
        <w:ind w:firstLine="0"/>
        <w:rPr>
          <w:color w:val="auto"/>
        </w:rPr>
      </w:pPr>
      <w:r w:rsidRPr="007E54F1">
        <w:rPr>
          <w:color w:val="auto"/>
        </w:rPr>
        <w:t>III. Las que determine anualmente el Consejo Directivo para otras prestaciones, señaladas en el Título IV.</w:t>
      </w:r>
    </w:p>
    <w:p w14:paraId="53243B8B" w14:textId="77777777" w:rsidR="00916EE0" w:rsidRPr="007E54F1" w:rsidRDefault="00916EE0" w:rsidP="007E54F1">
      <w:pPr>
        <w:pStyle w:val="Puesto"/>
        <w:ind w:firstLine="0"/>
        <w:rPr>
          <w:color w:val="auto"/>
        </w:rPr>
      </w:pPr>
      <w:r w:rsidRPr="007E54F1">
        <w:rPr>
          <w:color w:val="auto"/>
        </w:rPr>
        <w:t>…</w:t>
      </w:r>
    </w:p>
    <w:p w14:paraId="300D18B1" w14:textId="77777777" w:rsidR="00916EE0" w:rsidRPr="007E54F1" w:rsidRDefault="00916EE0" w:rsidP="007E54F1">
      <w:pPr>
        <w:pStyle w:val="Puesto"/>
        <w:ind w:firstLine="0"/>
        <w:rPr>
          <w:color w:val="auto"/>
        </w:rPr>
      </w:pPr>
    </w:p>
    <w:p w14:paraId="017905F0" w14:textId="77777777" w:rsidR="00916EE0" w:rsidRPr="007E54F1" w:rsidRDefault="00916EE0" w:rsidP="007E54F1">
      <w:pPr>
        <w:pStyle w:val="Puesto"/>
        <w:ind w:firstLine="0"/>
        <w:rPr>
          <w:color w:val="auto"/>
        </w:rPr>
      </w:pPr>
      <w:r w:rsidRPr="007E54F1">
        <w:rPr>
          <w:b/>
          <w:color w:val="auto"/>
        </w:rPr>
        <w:t>Artículo 34.-</w:t>
      </w:r>
      <w:r w:rsidRPr="007E54F1">
        <w:rPr>
          <w:color w:val="auto"/>
        </w:rPr>
        <w:t xml:space="preserve"> </w:t>
      </w:r>
      <w:r w:rsidRPr="007E54F1">
        <w:rPr>
          <w:b/>
          <w:color w:val="auto"/>
        </w:rPr>
        <w:t>Las aportaciones que deberán cubrir obligatoriamente las instituciones públicas serán las siguientes</w:t>
      </w:r>
      <w:r w:rsidRPr="007E54F1">
        <w:rPr>
          <w:color w:val="auto"/>
        </w:rPr>
        <w:t xml:space="preserve">: </w:t>
      </w:r>
    </w:p>
    <w:p w14:paraId="1AE56E2E" w14:textId="77777777" w:rsidR="00916EE0" w:rsidRPr="007E54F1" w:rsidRDefault="00916EE0" w:rsidP="007E54F1">
      <w:pPr>
        <w:pStyle w:val="Puesto"/>
        <w:ind w:firstLine="0"/>
        <w:rPr>
          <w:color w:val="auto"/>
        </w:rPr>
      </w:pPr>
      <w:r w:rsidRPr="007E54F1">
        <w:rPr>
          <w:color w:val="auto"/>
        </w:rPr>
        <w:t xml:space="preserve">I. El 10% del sueldo sujeto a cotización, para cubrir las prestaciones de servicios de salud; </w:t>
      </w:r>
    </w:p>
    <w:p w14:paraId="6EC091B5" w14:textId="77777777" w:rsidR="00916EE0" w:rsidRPr="007E54F1" w:rsidRDefault="00916EE0" w:rsidP="007E54F1">
      <w:pPr>
        <w:pStyle w:val="Puesto"/>
        <w:ind w:firstLine="0"/>
        <w:rPr>
          <w:color w:val="auto"/>
        </w:rPr>
      </w:pPr>
      <w:r w:rsidRPr="007E54F1">
        <w:rPr>
          <w:color w:val="auto"/>
        </w:rPr>
        <w:t xml:space="preserve">II. El 9.27% del sueldo sujeto a cotización, para cubrir el financiamiento de pensiones, de la siguiente manera: </w:t>
      </w:r>
    </w:p>
    <w:p w14:paraId="6CA2BE88" w14:textId="77777777" w:rsidR="00916EE0" w:rsidRPr="007E54F1" w:rsidRDefault="00916EE0" w:rsidP="007E54F1">
      <w:pPr>
        <w:pStyle w:val="Puesto"/>
        <w:ind w:firstLine="0"/>
        <w:rPr>
          <w:color w:val="auto"/>
        </w:rPr>
      </w:pPr>
      <w:r w:rsidRPr="007E54F1">
        <w:rPr>
          <w:color w:val="auto"/>
        </w:rPr>
        <w:t xml:space="preserve">a. 7.42% para el fondo del sistema solidario de reparto. </w:t>
      </w:r>
    </w:p>
    <w:p w14:paraId="3A744DAF" w14:textId="77777777" w:rsidR="00916EE0" w:rsidRPr="007E54F1" w:rsidRDefault="00916EE0" w:rsidP="007E54F1">
      <w:pPr>
        <w:pStyle w:val="Puesto"/>
        <w:ind w:firstLine="0"/>
        <w:rPr>
          <w:b/>
          <w:color w:val="auto"/>
          <w:u w:val="single"/>
        </w:rPr>
      </w:pPr>
      <w:r w:rsidRPr="007E54F1">
        <w:rPr>
          <w:color w:val="auto"/>
          <w:u w:val="single"/>
        </w:rPr>
        <w:t xml:space="preserve">b. </w:t>
      </w:r>
      <w:r w:rsidRPr="007E54F1">
        <w:rPr>
          <w:b/>
          <w:color w:val="auto"/>
          <w:u w:val="single"/>
        </w:rPr>
        <w:t xml:space="preserve">1.85% para el sistema de capitalización individual. </w:t>
      </w:r>
    </w:p>
    <w:p w14:paraId="1AD50A2B" w14:textId="77777777" w:rsidR="00916EE0" w:rsidRPr="007E54F1" w:rsidRDefault="00916EE0" w:rsidP="007E54F1">
      <w:pPr>
        <w:pStyle w:val="Puesto"/>
        <w:ind w:firstLine="0"/>
        <w:rPr>
          <w:color w:val="auto"/>
        </w:rPr>
      </w:pPr>
      <w:r w:rsidRPr="007E54F1">
        <w:rPr>
          <w:color w:val="auto"/>
        </w:rPr>
        <w:t xml:space="preserve">III. Las que determine anualmente el Consejo Directivo para otras prestaciones, señaladas en el Título IV; </w:t>
      </w:r>
    </w:p>
    <w:p w14:paraId="79F3D40E" w14:textId="77777777" w:rsidR="00916EE0" w:rsidRPr="007E54F1" w:rsidRDefault="00916EE0" w:rsidP="007E54F1">
      <w:pPr>
        <w:pStyle w:val="Puesto"/>
        <w:ind w:firstLine="0"/>
        <w:rPr>
          <w:color w:val="auto"/>
        </w:rPr>
      </w:pPr>
      <w:r w:rsidRPr="007E54F1">
        <w:rPr>
          <w:color w:val="auto"/>
        </w:rPr>
        <w:t xml:space="preserve">IV. El 0.875% para gastos de administración; </w:t>
      </w:r>
    </w:p>
    <w:p w14:paraId="1A1B2562" w14:textId="77777777" w:rsidR="00916EE0" w:rsidRPr="007E54F1" w:rsidRDefault="00916EE0" w:rsidP="007E54F1">
      <w:pPr>
        <w:pStyle w:val="Puesto"/>
        <w:ind w:firstLine="0"/>
        <w:rPr>
          <w:color w:val="auto"/>
        </w:rPr>
      </w:pPr>
      <w:r w:rsidRPr="007E54F1">
        <w:rPr>
          <w:color w:val="auto"/>
        </w:rPr>
        <w:t>V. Las que se generen a cargo de las Instituciones públicas por concepto de riesgos de trabajo.</w:t>
      </w:r>
    </w:p>
    <w:p w14:paraId="1E75E3AA" w14:textId="77777777" w:rsidR="00916EE0" w:rsidRPr="007E54F1" w:rsidRDefault="00916EE0" w:rsidP="007E54F1"/>
    <w:p w14:paraId="2BABBA0A" w14:textId="77777777" w:rsidR="00916EE0" w:rsidRPr="007E54F1" w:rsidRDefault="00916EE0" w:rsidP="007E54F1">
      <w:r w:rsidRPr="007E54F1">
        <w:t xml:space="preserve">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w:t>
      </w:r>
      <w:r w:rsidRPr="007E54F1">
        <w:lastRenderedPageBreak/>
        <w:t>de la Institución pública), es fácilmente identificable al conocer el sueldo del servidor público, por tanto dichos conceptos deberán de ser públicos, aún y cuando se tratan de deducciones al sueldo del trabajador.</w:t>
      </w:r>
    </w:p>
    <w:p w14:paraId="760CDDD5" w14:textId="77777777" w:rsidR="00916EE0" w:rsidRPr="007E54F1" w:rsidRDefault="00916EE0" w:rsidP="007E54F1"/>
    <w:p w14:paraId="66A72A2A" w14:textId="77777777" w:rsidR="00916EE0" w:rsidRPr="007E54F1" w:rsidRDefault="00916EE0" w:rsidP="007E54F1">
      <w:pPr>
        <w:pBdr>
          <w:top w:val="nil"/>
          <w:left w:val="nil"/>
          <w:bottom w:val="nil"/>
          <w:right w:val="nil"/>
          <w:between w:val="nil"/>
        </w:pBdr>
        <w:rPr>
          <w:u w:val="single"/>
        </w:rPr>
      </w:pPr>
      <w:r w:rsidRPr="007E54F1">
        <w:t xml:space="preserve">Es necesario precisar que existen deducciones que se generan con motivo de una decisión libre y voluntaria de los servidores públicos, como son: </w:t>
      </w:r>
      <w:r w:rsidRPr="007E54F1">
        <w:rPr>
          <w:u w:val="single"/>
        </w:rPr>
        <w:t>créditos personales,</w:t>
      </w:r>
      <w:r w:rsidRPr="007E54F1">
        <w:t xml:space="preserve"> </w:t>
      </w:r>
      <w:r w:rsidRPr="007E54F1">
        <w:rPr>
          <w:u w:val="single"/>
        </w:rPr>
        <w:t xml:space="preserve">cuotas sindicales y fondo de resistencia del Sindicato Único de Trabajadores de los Poderes, Municipios e Institución Descentralizadas del Estado de México, seguro de vida, accidentes y enfermedades. </w:t>
      </w:r>
      <w:r w:rsidRPr="007E54F1">
        <w:t xml:space="preserve">Asimismo, hay otras que se generan con motivo de una sentencia judicial, como es la pensión alimenticia que periódicamente se retira de la cuenta de un empleado, a efecto de que sea entregado a un tercero.  </w:t>
      </w:r>
    </w:p>
    <w:p w14:paraId="36097BC7" w14:textId="77777777" w:rsidR="00916EE0" w:rsidRPr="007E54F1" w:rsidRDefault="00916EE0" w:rsidP="007E54F1">
      <w:pPr>
        <w:pBdr>
          <w:top w:val="nil"/>
          <w:left w:val="nil"/>
          <w:bottom w:val="nil"/>
          <w:right w:val="nil"/>
          <w:between w:val="nil"/>
        </w:pBdr>
        <w:ind w:left="720"/>
      </w:pPr>
    </w:p>
    <w:p w14:paraId="24DE5810" w14:textId="77777777" w:rsidR="00916EE0" w:rsidRPr="007E54F1" w:rsidRDefault="00916EE0" w:rsidP="007E54F1">
      <w:pPr>
        <w:pBdr>
          <w:top w:val="nil"/>
          <w:left w:val="nil"/>
          <w:bottom w:val="nil"/>
          <w:right w:val="nil"/>
          <w:between w:val="nil"/>
        </w:pBdr>
      </w:pPr>
      <w:r w:rsidRPr="007E54F1">
        <w:t xml:space="preserve">En consecuencia, este tipo de deducciones son fruto de decisiones que impactan en el patrimonio de un servidor público con la finalidad de obtener un beneficio conforme a la decisión de un trabajador, </w:t>
      </w:r>
      <w:r w:rsidRPr="007E54F1">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7E54F1">
        <w:t xml:space="preserve"> Así, dichas deducciones reflejan el destino que un servidor público da a su patrimonio, lo que se aleja de la transparencia y rendición de cuentas, por tanto, se deben de clasificar como confidenciales.</w:t>
      </w:r>
    </w:p>
    <w:p w14:paraId="00E51E54" w14:textId="77777777" w:rsidR="00916EE0" w:rsidRPr="007E54F1" w:rsidRDefault="00916EE0" w:rsidP="007E54F1"/>
    <w:p w14:paraId="70C93F0D" w14:textId="77777777" w:rsidR="00916EE0" w:rsidRPr="007E54F1" w:rsidRDefault="00916EE0" w:rsidP="007E54F1">
      <w:r w:rsidRPr="007E54F1">
        <w:t xml:space="preserve">Derivado de lo anterior, la ley establece claramente cuáles son esos descuentos o gravámenes que directamente se relacionan con las obligaciones adquiridas como servidores públicos y aquéllos que </w:t>
      </w:r>
      <w:r w:rsidRPr="007E54F1">
        <w:rPr>
          <w:b/>
        </w:rPr>
        <w:t>únicamente inciden en su vida privada</w:t>
      </w:r>
      <w:r w:rsidRPr="007E54F1">
        <w:t xml:space="preserve">. De este modo, descuentos por pensiones alimenticias o créditos adquiridos con instituciones privadas o públicas pero que </w:t>
      </w:r>
      <w:r w:rsidRPr="007E54F1">
        <w:lastRenderedPageBreak/>
        <w:t>fueron contraídas en forma individual, son información que debe clasificarse como confidencial.</w:t>
      </w:r>
    </w:p>
    <w:p w14:paraId="7384BAF3" w14:textId="77777777" w:rsidR="00916EE0" w:rsidRPr="007E54F1" w:rsidRDefault="00916EE0" w:rsidP="007E54F1"/>
    <w:p w14:paraId="4604F0F1" w14:textId="77777777" w:rsidR="00916EE0" w:rsidRPr="007E54F1" w:rsidRDefault="00916EE0" w:rsidP="007E54F1">
      <w:pPr>
        <w:numPr>
          <w:ilvl w:val="0"/>
          <w:numId w:val="44"/>
        </w:numPr>
        <w:rPr>
          <w:b/>
        </w:rPr>
      </w:pPr>
      <w:r w:rsidRPr="007E54F1">
        <w:rPr>
          <w:b/>
        </w:rPr>
        <w:t>Nombre de institución bancaria utilizada por el servidor público.</w:t>
      </w:r>
    </w:p>
    <w:p w14:paraId="469C2059" w14:textId="77777777" w:rsidR="00916EE0" w:rsidRPr="007E54F1" w:rsidRDefault="00916EE0" w:rsidP="007E54F1">
      <w:pPr>
        <w:ind w:left="720"/>
        <w:rPr>
          <w:b/>
        </w:rPr>
      </w:pPr>
    </w:p>
    <w:p w14:paraId="6E91C527" w14:textId="77777777" w:rsidR="00916EE0" w:rsidRPr="007E54F1" w:rsidRDefault="00916EE0" w:rsidP="007E54F1">
      <w:r w:rsidRPr="007E54F1">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69456CAA" w14:textId="77777777" w:rsidR="00916EE0" w:rsidRPr="007E54F1" w:rsidRDefault="00916EE0" w:rsidP="007E54F1"/>
    <w:p w14:paraId="2766AD92" w14:textId="77777777" w:rsidR="00916EE0" w:rsidRPr="007E54F1" w:rsidRDefault="00916EE0" w:rsidP="007E54F1">
      <w:r w:rsidRPr="007E54F1">
        <w:t xml:space="preserve">En ese orden de ideas, en el portal de la Comisión Nacional para la Protección y Defensa de los Usuarios de Servicios Financieros, en </w:t>
      </w:r>
      <w:hyperlink r:id="rId24">
        <w:r w:rsidRPr="007E54F1">
          <w:t>https://www.condusef.gob.mx/Revista/index.php/usuario-inteligente/condusef-responde/777-la-condusef-te-puede-ayudar</w:t>
        </w:r>
      </w:hyperlink>
      <w:r w:rsidRPr="007E54F1">
        <w:t>), se establece que los bancos son instituciones financieras; conforme a lo anterior, se puede advertir que las instituciones bancarias, son personas morales.</w:t>
      </w:r>
    </w:p>
    <w:p w14:paraId="291D7E86" w14:textId="77777777" w:rsidR="00916EE0" w:rsidRPr="007E54F1" w:rsidRDefault="00916EE0" w:rsidP="007E54F1"/>
    <w:p w14:paraId="6B8BB544" w14:textId="77777777" w:rsidR="00916EE0" w:rsidRPr="007E54F1" w:rsidRDefault="00916EE0" w:rsidP="007E54F1">
      <w:r w:rsidRPr="007E54F1">
        <w:lastRenderedPageBreak/>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a las trece horas, en la liga </w:t>
      </w:r>
      <w:hyperlink r:id="rId25">
        <w:r w:rsidRPr="007E54F1">
          <w:rPr>
            <w:u w:val="single"/>
          </w:rPr>
          <w:t>https://webapps.condusef.gob.mx/SIPRES/jsp/pub/index.jsp</w:t>
        </w:r>
      </w:hyperlink>
      <w:r w:rsidRPr="007E54F1">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69B5E2B1" w14:textId="77777777" w:rsidR="00916EE0" w:rsidRPr="007E54F1" w:rsidRDefault="00916EE0" w:rsidP="007E54F1"/>
    <w:p w14:paraId="01C69D36" w14:textId="77777777" w:rsidR="00916EE0" w:rsidRPr="007E54F1" w:rsidRDefault="00916EE0" w:rsidP="007E54F1">
      <w:pPr>
        <w:jc w:val="center"/>
      </w:pPr>
      <w:r w:rsidRPr="007E54F1">
        <w:rPr>
          <w:noProof/>
        </w:rPr>
        <w:drawing>
          <wp:inline distT="0" distB="0" distL="0" distR="0" wp14:anchorId="0F789258" wp14:editId="1F93068C">
            <wp:extent cx="5295900" cy="1295400"/>
            <wp:effectExtent l="0" t="0" r="0" b="0"/>
            <wp:docPr id="2140131851" name="image8.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magen que contiene Escala de tiempo&#10;&#10;Descripción generada automáticamente"/>
                    <pic:cNvPicPr preferRelativeResize="0"/>
                  </pic:nvPicPr>
                  <pic:blipFill>
                    <a:blip r:embed="rId26"/>
                    <a:srcRect t="1" b="52956"/>
                    <a:stretch>
                      <a:fillRect/>
                    </a:stretch>
                  </pic:blipFill>
                  <pic:spPr>
                    <a:xfrm>
                      <a:off x="0" y="0"/>
                      <a:ext cx="5295900" cy="1295400"/>
                    </a:xfrm>
                    <a:prstGeom prst="rect">
                      <a:avLst/>
                    </a:prstGeom>
                    <a:ln/>
                  </pic:spPr>
                </pic:pic>
              </a:graphicData>
            </a:graphic>
          </wp:inline>
        </w:drawing>
      </w:r>
    </w:p>
    <w:p w14:paraId="3B89CC3A" w14:textId="77777777" w:rsidR="00916EE0" w:rsidRPr="007E54F1" w:rsidRDefault="00916EE0" w:rsidP="007E54F1"/>
    <w:p w14:paraId="306C9BF9" w14:textId="77777777" w:rsidR="00916EE0" w:rsidRPr="007E54F1" w:rsidRDefault="00916EE0" w:rsidP="007E54F1">
      <w:pPr>
        <w:ind w:right="-28"/>
      </w:pPr>
      <w:r w:rsidRPr="007E54F1">
        <w:t>Conforme a lo anterior, se logra vislumbrar que el nombre de las instituciones bancarias es de naturaleza pública.</w:t>
      </w:r>
    </w:p>
    <w:p w14:paraId="51A87433" w14:textId="77777777" w:rsidR="00916EE0" w:rsidRPr="007E54F1" w:rsidRDefault="00916EE0" w:rsidP="007E54F1">
      <w:pPr>
        <w:rPr>
          <w:b/>
        </w:rPr>
      </w:pPr>
    </w:p>
    <w:p w14:paraId="4073B4A7" w14:textId="77777777" w:rsidR="00916EE0" w:rsidRPr="007E54F1" w:rsidRDefault="00916EE0" w:rsidP="007E54F1">
      <w:pPr>
        <w:numPr>
          <w:ilvl w:val="0"/>
          <w:numId w:val="44"/>
        </w:numPr>
        <w:rPr>
          <w:b/>
        </w:rPr>
      </w:pPr>
      <w:r w:rsidRPr="007E54F1">
        <w:rPr>
          <w:b/>
        </w:rPr>
        <w:t>Cuenta bancaria.</w:t>
      </w:r>
    </w:p>
    <w:p w14:paraId="31E64ABA" w14:textId="77777777" w:rsidR="00916EE0" w:rsidRPr="007E54F1" w:rsidRDefault="00916EE0" w:rsidP="007E54F1">
      <w:pPr>
        <w:rPr>
          <w:b/>
        </w:rPr>
      </w:pPr>
    </w:p>
    <w:p w14:paraId="6ACD9629" w14:textId="77777777" w:rsidR="00916EE0" w:rsidRPr="007E54F1" w:rsidRDefault="00916EE0" w:rsidP="007E54F1">
      <w:pPr>
        <w:ind w:right="-28"/>
      </w:pPr>
      <w:r w:rsidRPr="007E54F1">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exclusivamente en la cuenta señalada por el cliente y por lo tanto, los datos bancarios </w:t>
      </w:r>
      <w:r w:rsidRPr="007E54F1">
        <w:lastRenderedPageBreak/>
        <w:t>corresponden a información que se encuentra relacionada con el patrimonio de la persona titular de la cuenta.</w:t>
      </w:r>
    </w:p>
    <w:p w14:paraId="6C06A5DE" w14:textId="77777777" w:rsidR="00916EE0" w:rsidRPr="007E54F1" w:rsidRDefault="00916EE0" w:rsidP="007E54F1">
      <w:pPr>
        <w:ind w:right="-28"/>
      </w:pPr>
      <w:r w:rsidRPr="007E54F1">
        <w:t> </w:t>
      </w:r>
    </w:p>
    <w:p w14:paraId="561622F8" w14:textId="77777777" w:rsidR="00916EE0" w:rsidRPr="007E54F1" w:rsidRDefault="00916EE0" w:rsidP="007E54F1">
      <w:pPr>
        <w:ind w:right="-28"/>
      </w:pPr>
      <w:r w:rsidRPr="007E54F1">
        <w:t>A mayor abundamiento, resulta necesario traer a colación el Criterio SO/010/2017, emitido por el entonces Instituto Nacional de Transparencia, Acceso a la Información y Protección de Datos Personales, mismo que establece lo siguiente:</w:t>
      </w:r>
    </w:p>
    <w:p w14:paraId="2A485E89" w14:textId="77777777" w:rsidR="00916EE0" w:rsidRPr="007E54F1" w:rsidRDefault="00916EE0" w:rsidP="007E54F1"/>
    <w:p w14:paraId="355F6A76" w14:textId="77777777" w:rsidR="00916EE0" w:rsidRPr="007E54F1" w:rsidRDefault="00916EE0" w:rsidP="007E54F1">
      <w:pPr>
        <w:pStyle w:val="Puesto"/>
        <w:ind w:firstLine="0"/>
        <w:rPr>
          <w:color w:val="auto"/>
        </w:rPr>
      </w:pPr>
      <w:r w:rsidRPr="007E54F1">
        <w:rPr>
          <w:color w:val="auto"/>
        </w:rPr>
        <w:t>“</w:t>
      </w:r>
      <w:r w:rsidRPr="007E54F1">
        <w:rPr>
          <w:b/>
          <w:color w:val="auto"/>
        </w:rPr>
        <w:t>Cuentas bancarias y/o CLABE interbancaria de personas físicas y morales privadas.</w:t>
      </w:r>
      <w:r w:rsidRPr="007E54F1">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8840FA7" w14:textId="77777777" w:rsidR="00916EE0" w:rsidRPr="007E54F1" w:rsidRDefault="00916EE0" w:rsidP="007E54F1"/>
    <w:p w14:paraId="6D594AE3" w14:textId="77777777" w:rsidR="00916EE0" w:rsidRPr="007E54F1" w:rsidRDefault="00916EE0" w:rsidP="007E54F1">
      <w:pPr>
        <w:ind w:right="113"/>
      </w:pPr>
      <w:r w:rsidRPr="007E54F1">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59AE2C6" w14:textId="77777777" w:rsidR="00916EE0" w:rsidRPr="007E54F1" w:rsidRDefault="00916EE0" w:rsidP="007E54F1">
      <w:pPr>
        <w:rPr>
          <w:b/>
        </w:rPr>
      </w:pPr>
    </w:p>
    <w:p w14:paraId="71FA8697" w14:textId="77777777" w:rsidR="00916EE0" w:rsidRPr="007E54F1" w:rsidRDefault="00916EE0" w:rsidP="007E54F1">
      <w:pPr>
        <w:spacing w:before="240" w:after="240"/>
      </w:pPr>
      <w:r w:rsidRPr="007E54F1">
        <w:t xml:space="preserve">Respecto de los </w:t>
      </w:r>
      <w:r w:rsidRPr="007E54F1">
        <w:rPr>
          <w:b/>
        </w:rPr>
        <w:t>números de cuentas bancari</w:t>
      </w:r>
      <w:r w:rsidRPr="007E54F1">
        <w:t xml:space="preserve">as, </w:t>
      </w:r>
      <w:r w:rsidRPr="007E54F1">
        <w:rPr>
          <w:b/>
        </w:rPr>
        <w:t>claves estandarizadas –interbancarias- (CLABES) y de tarjetas</w:t>
      </w:r>
      <w:r w:rsidRPr="007E54F1">
        <w:t>, el Pleno de este Instituto ha determinado que esa información debe clasificarse como confidencial, y elaborar una versión pública en la que se teste la misma.</w:t>
      </w:r>
    </w:p>
    <w:p w14:paraId="330A45B1" w14:textId="77777777" w:rsidR="00916EE0" w:rsidRPr="007E54F1" w:rsidRDefault="00916EE0" w:rsidP="007E54F1">
      <w:pPr>
        <w:spacing w:before="240" w:after="240"/>
      </w:pPr>
      <w:r w:rsidRPr="007E54F1">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C207470" w14:textId="77777777" w:rsidR="00916EE0" w:rsidRPr="007E54F1" w:rsidRDefault="00916EE0" w:rsidP="007E54F1">
      <w:pPr>
        <w:spacing w:before="240" w:after="240"/>
      </w:pPr>
      <w:r w:rsidRPr="007E54F1">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41FBE0F" w14:textId="77777777" w:rsidR="00916EE0" w:rsidRPr="007E54F1" w:rsidRDefault="00916EE0" w:rsidP="007E54F1">
      <w:pPr>
        <w:pBdr>
          <w:top w:val="nil"/>
          <w:left w:val="nil"/>
          <w:bottom w:val="nil"/>
          <w:right w:val="nil"/>
          <w:between w:val="nil"/>
        </w:pBdr>
        <w:spacing w:before="240" w:after="240"/>
      </w:pPr>
      <w:r w:rsidRPr="007E54F1">
        <w:t xml:space="preserve">En esa virtud, este Pleno determina que dicha información no puede ser del dominio público, toda vez que se podría dar un uso inadecuado a la misma o cometer algún ilícito o fraude como ya ha sido expuesto. </w:t>
      </w:r>
    </w:p>
    <w:p w14:paraId="00CB2955" w14:textId="77777777" w:rsidR="00916EE0" w:rsidRPr="007E54F1" w:rsidRDefault="00916EE0" w:rsidP="007E54F1">
      <w:pPr>
        <w:spacing w:before="240" w:after="240"/>
      </w:pPr>
      <w:r w:rsidRPr="007E54F1">
        <w:t>Lo anterior no es así tratándose de las cuentas bancarias o claves interbancarias de los Sujetos Obligados ya que su publicidad cede a la rendición de cuentas al transparentar la forma en que son administrados los recursos públicos.</w:t>
      </w:r>
    </w:p>
    <w:p w14:paraId="0CFD5A4E" w14:textId="77777777" w:rsidR="00916EE0" w:rsidRPr="007E54F1" w:rsidRDefault="00916EE0" w:rsidP="007E54F1">
      <w:pPr>
        <w:spacing w:before="240" w:after="240"/>
      </w:pPr>
      <w:r w:rsidRPr="007E54F1">
        <w:t>Lo argumentado encuentra sustento en los Criterios orientadores de interpretación con clave de control SO/010/2017 y SO/011/2017, emitidos por el entonces Instituto Nacional de Transparencia, Acceso a la Información y Protección de Datos Personales, INAI, que llevan por rubro y texto los siguientes:</w:t>
      </w:r>
    </w:p>
    <w:p w14:paraId="6E7E0D32" w14:textId="77777777" w:rsidR="00916EE0" w:rsidRPr="007E54F1" w:rsidRDefault="00916EE0" w:rsidP="007E54F1">
      <w:pPr>
        <w:pStyle w:val="Puesto"/>
        <w:ind w:firstLine="0"/>
        <w:rPr>
          <w:color w:val="auto"/>
        </w:rPr>
      </w:pPr>
      <w:r w:rsidRPr="007E54F1">
        <w:rPr>
          <w:color w:val="auto"/>
        </w:rPr>
        <w:t>“</w:t>
      </w:r>
      <w:r w:rsidRPr="007E54F1">
        <w:rPr>
          <w:b/>
          <w:color w:val="auto"/>
        </w:rPr>
        <w:t>Cuentas bancarias y/o CLABE interbancaria de personas físicas y morales privadas.</w:t>
      </w:r>
      <w:r w:rsidRPr="007E54F1">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7E54F1">
        <w:rPr>
          <w:color w:val="auto"/>
        </w:rPr>
        <w:lastRenderedPageBreak/>
        <w:t>artículos 116 de la Ley General de Transparencia y Acceso a la Información Pública y 113 de la Ley Federal de Transparencia y Acceso a la Información Pública.”</w:t>
      </w:r>
    </w:p>
    <w:p w14:paraId="74CD189B" w14:textId="77777777" w:rsidR="00916EE0" w:rsidRPr="007E54F1" w:rsidRDefault="00916EE0" w:rsidP="007E54F1"/>
    <w:p w14:paraId="7B35E805" w14:textId="77777777" w:rsidR="00916EE0" w:rsidRPr="007E54F1" w:rsidRDefault="00916EE0" w:rsidP="007E54F1">
      <w:pPr>
        <w:pStyle w:val="Puesto"/>
        <w:ind w:firstLine="0"/>
        <w:rPr>
          <w:color w:val="auto"/>
        </w:rPr>
      </w:pPr>
      <w:r w:rsidRPr="007E54F1">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E12EF71" w14:textId="77777777" w:rsidR="00916EE0" w:rsidRPr="007E54F1" w:rsidRDefault="00916EE0" w:rsidP="007E54F1">
      <w:pPr>
        <w:spacing w:before="120"/>
      </w:pPr>
    </w:p>
    <w:p w14:paraId="1778A3FC" w14:textId="77777777" w:rsidR="00916EE0" w:rsidRPr="007E54F1" w:rsidRDefault="00916EE0" w:rsidP="007E54F1">
      <w:pPr>
        <w:numPr>
          <w:ilvl w:val="0"/>
          <w:numId w:val="44"/>
        </w:numPr>
        <w:rPr>
          <w:b/>
        </w:rPr>
      </w:pPr>
      <w:r w:rsidRPr="007E54F1">
        <w:rPr>
          <w:b/>
        </w:rPr>
        <w:t xml:space="preserve">Número de empleado </w:t>
      </w:r>
    </w:p>
    <w:p w14:paraId="176EF315" w14:textId="453E0550" w:rsidR="00916EE0" w:rsidRPr="007E54F1" w:rsidRDefault="00BE5F2A" w:rsidP="007E54F1">
      <w:pPr>
        <w:spacing w:before="240" w:after="240"/>
      </w:pPr>
      <w:r w:rsidRPr="007E54F1">
        <w:t>D</w:t>
      </w:r>
      <w:r w:rsidR="00916EE0" w:rsidRPr="007E54F1">
        <w:t>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00916EE0" w:rsidRPr="007E54F1">
        <w:rPr>
          <w:vertAlign w:val="superscript"/>
        </w:rPr>
        <w:footnoteReference w:id="2"/>
      </w:r>
      <w:r w:rsidR="00916EE0" w:rsidRPr="007E54F1">
        <w:t>.</w:t>
      </w:r>
    </w:p>
    <w:p w14:paraId="16703CF4" w14:textId="77777777" w:rsidR="00916EE0" w:rsidRPr="007E54F1" w:rsidRDefault="00916EE0" w:rsidP="007E54F1">
      <w:pPr>
        <w:spacing w:before="240" w:after="240"/>
      </w:pPr>
      <w:r w:rsidRPr="007E54F1">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de interpretación con Clave de control SO/006/2019, que indica lo siguiente:</w:t>
      </w:r>
    </w:p>
    <w:p w14:paraId="6ADF2BB0" w14:textId="77777777" w:rsidR="00916EE0" w:rsidRPr="007E54F1" w:rsidRDefault="00916EE0" w:rsidP="007E54F1">
      <w:pPr>
        <w:pStyle w:val="Puesto"/>
        <w:ind w:firstLine="0"/>
        <w:rPr>
          <w:color w:val="auto"/>
        </w:rPr>
      </w:pPr>
      <w:r w:rsidRPr="007E54F1">
        <w:rPr>
          <w:b/>
          <w:color w:val="auto"/>
        </w:rPr>
        <w:t xml:space="preserve">“Número de empleado. </w:t>
      </w:r>
      <w:r w:rsidRPr="007E54F1">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E9BF0FB" w14:textId="77777777" w:rsidR="00916EE0" w:rsidRPr="007E54F1" w:rsidRDefault="00916EE0" w:rsidP="007E54F1">
      <w:pPr>
        <w:spacing w:before="240" w:after="240"/>
      </w:pPr>
      <w:r w:rsidRPr="007E54F1">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E54F1">
        <w:rPr>
          <w:b/>
        </w:rPr>
        <w:t>Sujeto Obligado</w:t>
      </w:r>
      <w:r w:rsidRPr="007E54F1">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398E587" w14:textId="703842D6" w:rsidR="007F497D" w:rsidRPr="007E54F1" w:rsidRDefault="007F497D" w:rsidP="007E54F1">
      <w:pPr>
        <w:numPr>
          <w:ilvl w:val="0"/>
          <w:numId w:val="44"/>
        </w:numPr>
        <w:rPr>
          <w:b/>
        </w:rPr>
      </w:pPr>
      <w:r w:rsidRPr="007E54F1">
        <w:rPr>
          <w:b/>
        </w:rPr>
        <w:t xml:space="preserve"> Firma.</w:t>
      </w:r>
    </w:p>
    <w:p w14:paraId="3BAA3373" w14:textId="77777777" w:rsidR="007F497D" w:rsidRPr="007E54F1" w:rsidRDefault="007F497D" w:rsidP="007E54F1">
      <w:pPr>
        <w:spacing w:before="240" w:after="240"/>
      </w:pPr>
      <w:r w:rsidRPr="007E54F1">
        <w:t xml:space="preserve">Sobre la </w:t>
      </w:r>
      <w:r w:rsidRPr="007E54F1">
        <w:rPr>
          <w:b/>
        </w:rPr>
        <w:t>Firma</w:t>
      </w:r>
      <w:r w:rsidRPr="007E54F1">
        <w:t>,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7A118436" w14:textId="77777777" w:rsidR="007F497D" w:rsidRPr="007E54F1" w:rsidRDefault="007F497D" w:rsidP="007E54F1">
      <w:pPr>
        <w:spacing w:before="240" w:after="240"/>
      </w:pPr>
      <w:r w:rsidRPr="007E54F1">
        <w:t>La publicidad de dichos datos, se robustece, con el criterio 02/19, emitido por el Instituto Nacional de Transparencia, Acceso a la Información y Protección de Datos Personales, que establece lo siguiente:</w:t>
      </w:r>
    </w:p>
    <w:p w14:paraId="0D0A1723" w14:textId="77777777" w:rsidR="007F497D" w:rsidRPr="007E54F1" w:rsidRDefault="007F497D" w:rsidP="007E54F1">
      <w:pPr>
        <w:spacing w:before="120" w:after="120"/>
        <w:ind w:left="851" w:right="902"/>
        <w:rPr>
          <w:i/>
        </w:rPr>
      </w:pPr>
      <w:r w:rsidRPr="007E54F1">
        <w:rPr>
          <w:b/>
          <w:i/>
        </w:rPr>
        <w:t>“Firma y rúbrica de servidores públicos.</w:t>
      </w:r>
      <w:r w:rsidRPr="007E54F1">
        <w:rPr>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7265595" w14:textId="77777777" w:rsidR="007F497D" w:rsidRPr="007E54F1" w:rsidRDefault="007F497D" w:rsidP="007E54F1">
      <w:pPr>
        <w:spacing w:before="240" w:after="240"/>
      </w:pPr>
      <w:r w:rsidRPr="007E54F1">
        <w:lastRenderedPageBreak/>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74AE13FC" w14:textId="77777777" w:rsidR="007F497D" w:rsidRPr="007E54F1" w:rsidRDefault="007F497D" w:rsidP="007E54F1">
      <w:pPr>
        <w:numPr>
          <w:ilvl w:val="0"/>
          <w:numId w:val="44"/>
        </w:numPr>
        <w:rPr>
          <w:b/>
        </w:rPr>
      </w:pPr>
      <w:r w:rsidRPr="007E54F1">
        <w:rPr>
          <w:b/>
        </w:rPr>
        <w:t>Fotografía.</w:t>
      </w:r>
    </w:p>
    <w:p w14:paraId="5541A91A" w14:textId="77777777" w:rsidR="007F497D" w:rsidRPr="007E54F1" w:rsidRDefault="007F497D" w:rsidP="007E54F1">
      <w:pPr>
        <w:spacing w:before="240" w:after="240"/>
      </w:pPr>
      <w:r w:rsidRPr="007E54F1">
        <w:t>Resulta necesario señalar que el Pleno de este Instituto emitió el criterio 03/2019 cuyo rubro dispone lo siguiente: “Servidores públicos con categoría de mando medio y superior. La fotografía de aquellos es de carácter público”; no obstante, dicho criterio fue interrumpido en términos del artículo 9, fracción XXVII del Reglamento Interior del Instituto de Transparencia, Acceso a la Información Pública y Protección de Datos Personales del Estado de México y Municipios.</w:t>
      </w:r>
    </w:p>
    <w:p w14:paraId="53011C57" w14:textId="77777777" w:rsidR="007F497D" w:rsidRPr="007E54F1" w:rsidRDefault="007F497D" w:rsidP="007E54F1">
      <w:pPr>
        <w:spacing w:before="240" w:after="240"/>
      </w:pPr>
      <w:r w:rsidRPr="007E54F1">
        <w:t xml:space="preserve">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w:t>
      </w:r>
    </w:p>
    <w:p w14:paraId="6CA923E6" w14:textId="77777777" w:rsidR="007F497D" w:rsidRPr="007E54F1" w:rsidRDefault="007F497D" w:rsidP="007E54F1">
      <w:pPr>
        <w:pStyle w:val="NormalWeb"/>
        <w:spacing w:before="240" w:beforeAutospacing="0" w:after="240" w:afterAutospacing="0" w:line="360" w:lineRule="auto"/>
        <w:jc w:val="both"/>
      </w:pPr>
      <w:r w:rsidRPr="007E54F1">
        <w:rPr>
          <w:rFonts w:ascii="Palatino Linotype" w:hAnsi="Palatino Linotype"/>
        </w:rPr>
        <w:t xml:space="preserve">Asimismo,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w:t>
      </w:r>
      <w:r w:rsidRPr="007E54F1">
        <w:rPr>
          <w:rFonts w:ascii="Palatino Linotype" w:hAnsi="Palatino Linotype"/>
        </w:rPr>
        <w:lastRenderedPageBreak/>
        <w:t>desempeñan como servidores públicos tienen el perfil idóneo para desarrollar las actividades y atribuciones que se deriven de su encargo.</w:t>
      </w:r>
    </w:p>
    <w:p w14:paraId="2FD316C8" w14:textId="77777777" w:rsidR="007F497D" w:rsidRPr="007E54F1" w:rsidRDefault="007F497D" w:rsidP="007E54F1">
      <w:pPr>
        <w:pStyle w:val="NormalWeb"/>
        <w:spacing w:before="240" w:beforeAutospacing="0" w:after="240" w:afterAutospacing="0" w:line="360" w:lineRule="auto"/>
        <w:jc w:val="both"/>
        <w:rPr>
          <w:rFonts w:ascii="Palatino Linotype" w:hAnsi="Palatino Linotype"/>
        </w:rPr>
      </w:pPr>
      <w:r w:rsidRPr="007E54F1">
        <w:rPr>
          <w:rFonts w:ascii="Palatino Linotype" w:hAnsi="Palatino Linotype"/>
        </w:rPr>
        <w:t>En este orden de ideas,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501DC39B" w14:textId="2BCDB30E" w:rsidR="007F497D" w:rsidRPr="007E54F1" w:rsidRDefault="007F497D" w:rsidP="007E54F1">
      <w:pPr>
        <w:pStyle w:val="NormalWeb"/>
        <w:spacing w:before="240" w:beforeAutospacing="0" w:after="240" w:afterAutospacing="0" w:line="360" w:lineRule="auto"/>
        <w:ind w:right="49"/>
        <w:jc w:val="both"/>
      </w:pPr>
      <w:r w:rsidRPr="007E54F1">
        <w:rPr>
          <w:rFonts w:ascii="Palatino Linotype" w:hAnsi="Palatino Linotype"/>
        </w:rPr>
        <w:t>Además, resulta necesario traer a colación, el Criterio orientador 15/17 emitido por el entonces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20E6000E" w14:textId="77777777" w:rsidR="007F497D" w:rsidRPr="007E54F1" w:rsidRDefault="007F497D" w:rsidP="007E54F1">
      <w:pPr>
        <w:pStyle w:val="NormalWeb"/>
        <w:spacing w:before="120" w:beforeAutospacing="0" w:after="120" w:afterAutospacing="0"/>
        <w:ind w:left="851" w:right="902"/>
        <w:jc w:val="both"/>
        <w:rPr>
          <w:rFonts w:ascii="Palatino Linotype" w:hAnsi="Palatino Linotype"/>
          <w:i/>
          <w:iCs/>
          <w:sz w:val="22"/>
        </w:rPr>
      </w:pPr>
      <w:r w:rsidRPr="007E54F1">
        <w:rPr>
          <w:rFonts w:ascii="Palatino Linotype" w:hAnsi="Palatino Linotype"/>
          <w:b/>
          <w:bCs/>
          <w:i/>
          <w:iCs/>
          <w:sz w:val="22"/>
        </w:rPr>
        <w:t>“Fotografía en título o cédula profesional es de acceso público.</w:t>
      </w:r>
      <w:r w:rsidRPr="007E54F1">
        <w:rPr>
          <w:rFonts w:ascii="Palatino Linotype" w:hAnsi="Palatino Linotype"/>
          <w:i/>
          <w:iCs/>
          <w:sz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329CDE65" w14:textId="77777777" w:rsidR="007F497D" w:rsidRPr="007E54F1" w:rsidRDefault="007F497D" w:rsidP="007E54F1">
      <w:pPr>
        <w:pStyle w:val="NormalWeb"/>
        <w:spacing w:before="240" w:beforeAutospacing="0" w:after="240" w:afterAutospacing="0" w:line="360" w:lineRule="auto"/>
        <w:ind w:right="51"/>
        <w:jc w:val="both"/>
      </w:pPr>
      <w:r w:rsidRPr="007E54F1">
        <w:rPr>
          <w:rFonts w:ascii="Palatino Linotype" w:hAnsi="Palatino Linotype"/>
        </w:rPr>
        <w:t xml:space="preserve">Conforme al criterio establecido, se podría mencionar que la fotografía de cualquier persona que se encuentre en un título o cédula profesional, no es confidencial; por lo que, dicho dato, para cualquier documento que acredite el nivel de estudios de </w:t>
      </w:r>
      <w:r w:rsidRPr="007E54F1">
        <w:rPr>
          <w:rFonts w:ascii="Palatino Linotype" w:hAnsi="Palatino Linotype"/>
        </w:rPr>
        <w:lastRenderedPageBreak/>
        <w:t>servidores públicos, tampoco podría considerarse clasificado, ya que permite conocer a la ciudadanía de manera clara al trabajador que se ostenta con una calidad profesional específica; lo anterior, toma hincapié pues entregar la fotografía permite identificar plenamente a su titular, como el profesional capacitado para ejercer la profesión para la cual se le ha autorizado o el que tiene la trayectoria laboral que se indica y, por ende, valorar su idoneidad en la función pública que desempeñe.</w:t>
      </w:r>
    </w:p>
    <w:p w14:paraId="470CA334" w14:textId="77777777" w:rsidR="007F497D" w:rsidRPr="007E54F1" w:rsidRDefault="007F497D" w:rsidP="007E54F1">
      <w:pPr>
        <w:pStyle w:val="NormalWeb"/>
        <w:spacing w:before="240" w:beforeAutospacing="0" w:after="240" w:afterAutospacing="0" w:line="360" w:lineRule="auto"/>
        <w:ind w:right="51"/>
        <w:jc w:val="both"/>
        <w:rPr>
          <w:rFonts w:ascii="Palatino Linotype" w:hAnsi="Palatino Linotype"/>
        </w:rPr>
      </w:pPr>
      <w:r w:rsidRPr="007E54F1">
        <w:rPr>
          <w:rFonts w:ascii="Palatino Linotype" w:hAnsi="Palatino Linotype"/>
        </w:rPr>
        <w:t>En ese orden de ideas, el actuar de los servidores públicos incide de manera específica en los derechos de los particulares, pues el acto realizado por un trabajador gubernamental en ejercicio de sus funciones, genera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45497858" w14:textId="77777777" w:rsidR="00327CA8" w:rsidRPr="007E54F1" w:rsidRDefault="00327CA8" w:rsidP="007E54F1">
      <w:pPr>
        <w:pStyle w:val="Ttulo3"/>
        <w:spacing w:line="360" w:lineRule="auto"/>
        <w:ind w:right="-312"/>
      </w:pPr>
      <w:bookmarkStart w:id="35" w:name="_Toc197540894"/>
      <w:bookmarkStart w:id="36" w:name="_Toc199961255"/>
      <w:r w:rsidRPr="007E54F1">
        <w:t>e) Conclusión</w:t>
      </w:r>
      <w:bookmarkEnd w:id="35"/>
      <w:bookmarkEnd w:id="36"/>
    </w:p>
    <w:p w14:paraId="2E9AAA33" w14:textId="261E3CE4" w:rsidR="00327CA8" w:rsidRPr="007E54F1" w:rsidRDefault="00327CA8" w:rsidP="007E54F1">
      <w:pPr>
        <w:widowControl w:val="0"/>
        <w:tabs>
          <w:tab w:val="left" w:pos="1701"/>
          <w:tab w:val="left" w:pos="1843"/>
        </w:tabs>
      </w:pPr>
      <w:r w:rsidRPr="007E54F1">
        <w:t xml:space="preserve">En razón de lo anteriormente expuesto, este Instituto estima que las razones o motivos de inconformidad hechos valer por </w:t>
      </w:r>
      <w:r w:rsidRPr="007E54F1">
        <w:rPr>
          <w:b/>
        </w:rPr>
        <w:t>LA PARTE RECURRENTE</w:t>
      </w:r>
      <w:r w:rsidRPr="007E54F1">
        <w:t xml:space="preserve"> devienen </w:t>
      </w:r>
      <w:r w:rsidRPr="007E54F1">
        <w:rPr>
          <w:b/>
        </w:rPr>
        <w:t>fundadas</w:t>
      </w:r>
      <w:r w:rsidRPr="007E54F1">
        <w:t xml:space="preserve"> y suficientes para </w:t>
      </w:r>
      <w:r w:rsidR="00FB0D73" w:rsidRPr="007E54F1">
        <w:rPr>
          <w:b/>
        </w:rPr>
        <w:t>MODIFICAR</w:t>
      </w:r>
      <w:r w:rsidRPr="007E54F1">
        <w:t xml:space="preserve"> la respuesta del </w:t>
      </w:r>
      <w:r w:rsidRPr="007E54F1">
        <w:rPr>
          <w:b/>
        </w:rPr>
        <w:t>SUJETO OBLIGADO</w:t>
      </w:r>
      <w:r w:rsidRPr="007E54F1">
        <w:t xml:space="preserve"> y ordenarle haga entrega de la información materia de la solicitud.</w:t>
      </w:r>
    </w:p>
    <w:p w14:paraId="7E804562" w14:textId="77777777" w:rsidR="00327CA8" w:rsidRDefault="00327CA8" w:rsidP="007E54F1">
      <w:pPr>
        <w:widowControl w:val="0"/>
        <w:tabs>
          <w:tab w:val="left" w:pos="1701"/>
          <w:tab w:val="left" w:pos="1843"/>
        </w:tabs>
      </w:pPr>
    </w:p>
    <w:p w14:paraId="613B5310" w14:textId="77777777" w:rsidR="007E54F1" w:rsidRPr="007E54F1" w:rsidRDefault="007E54F1" w:rsidP="007E54F1">
      <w:pPr>
        <w:widowControl w:val="0"/>
        <w:tabs>
          <w:tab w:val="left" w:pos="1701"/>
          <w:tab w:val="left" w:pos="1843"/>
        </w:tabs>
      </w:pPr>
    </w:p>
    <w:p w14:paraId="19F2BF28" w14:textId="77777777" w:rsidR="00327CA8" w:rsidRDefault="00327CA8" w:rsidP="007E54F1">
      <w:pPr>
        <w:ind w:right="-93"/>
      </w:pPr>
      <w:bookmarkStart w:id="37" w:name="_32hioqz" w:colFirst="0" w:colLast="0"/>
      <w:bookmarkEnd w:id="37"/>
      <w:r w:rsidRPr="007E54F1">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36DCAE4" w14:textId="77777777" w:rsidR="00327CA8" w:rsidRPr="007E54F1" w:rsidRDefault="00327CA8" w:rsidP="007E54F1">
      <w:pPr>
        <w:pStyle w:val="Ttulo1"/>
      </w:pPr>
      <w:bookmarkStart w:id="38" w:name="_1hmsyys" w:colFirst="0" w:colLast="0"/>
      <w:bookmarkStart w:id="39" w:name="_Toc197540895"/>
      <w:bookmarkStart w:id="40" w:name="_Toc199961256"/>
      <w:bookmarkEnd w:id="38"/>
      <w:r w:rsidRPr="007E54F1">
        <w:t>RESUELVE</w:t>
      </w:r>
      <w:bookmarkEnd w:id="39"/>
      <w:bookmarkEnd w:id="40"/>
    </w:p>
    <w:p w14:paraId="360D750E" w14:textId="77777777" w:rsidR="00327CA8" w:rsidRPr="007E54F1" w:rsidRDefault="00327CA8" w:rsidP="007E54F1">
      <w:pPr>
        <w:ind w:right="113"/>
        <w:rPr>
          <w:b/>
        </w:rPr>
      </w:pPr>
    </w:p>
    <w:p w14:paraId="3D5066F6" w14:textId="3C00D0B2" w:rsidR="00327CA8" w:rsidRPr="007E54F1" w:rsidRDefault="00327CA8" w:rsidP="007E54F1">
      <w:pPr>
        <w:widowControl w:val="0"/>
        <w:spacing w:after="240"/>
      </w:pPr>
      <w:r w:rsidRPr="007E54F1">
        <w:rPr>
          <w:b/>
        </w:rPr>
        <w:t>PRIMERO.</w:t>
      </w:r>
      <w:r w:rsidRPr="007E54F1">
        <w:t xml:space="preserve"> Se</w:t>
      </w:r>
      <w:r w:rsidRPr="007E54F1">
        <w:rPr>
          <w:b/>
        </w:rPr>
        <w:t xml:space="preserve"> </w:t>
      </w:r>
      <w:r w:rsidR="00FB0D73" w:rsidRPr="007E54F1">
        <w:rPr>
          <w:b/>
        </w:rPr>
        <w:t>MODIFICA</w:t>
      </w:r>
      <w:r w:rsidRPr="007E54F1">
        <w:t xml:space="preserve"> la respuesta entregada por el </w:t>
      </w:r>
      <w:r w:rsidRPr="007E54F1">
        <w:rPr>
          <w:b/>
        </w:rPr>
        <w:t>SUJETO OBLIGADO</w:t>
      </w:r>
      <w:r w:rsidRPr="007E54F1">
        <w:t xml:space="preserve"> en la solicitud de información </w:t>
      </w:r>
      <w:r w:rsidR="00854FBA" w:rsidRPr="007E54F1">
        <w:rPr>
          <w:b/>
        </w:rPr>
        <w:t>00293/TENANCIN/IP/2025</w:t>
      </w:r>
      <w:r w:rsidRPr="007E54F1">
        <w:t xml:space="preserve">, por resultar </w:t>
      </w:r>
      <w:r w:rsidRPr="007E54F1">
        <w:rPr>
          <w:b/>
        </w:rPr>
        <w:t>FUNDADAS</w:t>
      </w:r>
      <w:r w:rsidRPr="007E54F1">
        <w:t xml:space="preserve"> las razones o motivos de inconformidad hechos valer por </w:t>
      </w:r>
      <w:r w:rsidRPr="007E54F1">
        <w:rPr>
          <w:b/>
        </w:rPr>
        <w:t>LA PARTE RECURRENTE</w:t>
      </w:r>
      <w:r w:rsidRPr="007E54F1">
        <w:t xml:space="preserve"> en el Recurso de Revisión </w:t>
      </w:r>
      <w:r w:rsidR="00854FBA" w:rsidRPr="007E54F1">
        <w:rPr>
          <w:b/>
        </w:rPr>
        <w:t>03517/INFOEM/IP/RR/2025</w:t>
      </w:r>
      <w:r w:rsidRPr="007E54F1">
        <w:t>,</w:t>
      </w:r>
      <w:r w:rsidRPr="007E54F1">
        <w:rPr>
          <w:b/>
        </w:rPr>
        <w:t xml:space="preserve"> </w:t>
      </w:r>
      <w:r w:rsidRPr="007E54F1">
        <w:t xml:space="preserve">en términos del considerando </w:t>
      </w:r>
      <w:r w:rsidRPr="007E54F1">
        <w:rPr>
          <w:b/>
        </w:rPr>
        <w:t>SEGUNDO</w:t>
      </w:r>
      <w:r w:rsidRPr="007E54F1">
        <w:t xml:space="preserve"> de la presente Resolución.</w:t>
      </w:r>
    </w:p>
    <w:p w14:paraId="4D2DC04D" w14:textId="22FD1CA5" w:rsidR="00B75F4F" w:rsidRPr="007E54F1" w:rsidRDefault="00327CA8" w:rsidP="007E54F1">
      <w:pPr>
        <w:spacing w:after="240"/>
        <w:ind w:right="-93"/>
        <w:rPr>
          <w:i/>
        </w:rPr>
      </w:pPr>
      <w:r w:rsidRPr="007E54F1">
        <w:rPr>
          <w:b/>
        </w:rPr>
        <w:t>SEGUNDO.</w:t>
      </w:r>
      <w:r w:rsidRPr="007E54F1">
        <w:t xml:space="preserve"> Se </w:t>
      </w:r>
      <w:r w:rsidRPr="007E54F1">
        <w:rPr>
          <w:b/>
        </w:rPr>
        <w:t xml:space="preserve">ORDENA </w:t>
      </w:r>
      <w:r w:rsidRPr="007E54F1">
        <w:t xml:space="preserve">al </w:t>
      </w:r>
      <w:r w:rsidRPr="007E54F1">
        <w:rPr>
          <w:b/>
        </w:rPr>
        <w:t>SUJETO OBLIGADO</w:t>
      </w:r>
      <w:r w:rsidRPr="007E54F1">
        <w:t xml:space="preserve">, a efecto de que, entregue, previa búsqueda exhaustiva y razonable de la información, de ser procedente en </w:t>
      </w:r>
      <w:r w:rsidRPr="007E54F1">
        <w:rPr>
          <w:b/>
        </w:rPr>
        <w:t>versión pública</w:t>
      </w:r>
      <w:r w:rsidRPr="007E54F1">
        <w:t xml:space="preserve">, a través del </w:t>
      </w:r>
      <w:r w:rsidRPr="007E54F1">
        <w:rPr>
          <w:b/>
        </w:rPr>
        <w:t>SAIMEX</w:t>
      </w:r>
      <w:r w:rsidRPr="007E54F1">
        <w:t xml:space="preserve">, </w:t>
      </w:r>
      <w:r w:rsidR="00FB0D73" w:rsidRPr="007E54F1">
        <w:rPr>
          <w:i/>
          <w:iCs/>
        </w:rPr>
        <w:t>de los servidores públicos referidos en la solicitud,</w:t>
      </w:r>
      <w:r w:rsidR="00FB0D73" w:rsidRPr="007E54F1">
        <w:t xml:space="preserve"> </w:t>
      </w:r>
      <w:r w:rsidRPr="007E54F1">
        <w:rPr>
          <w:i/>
        </w:rPr>
        <w:t>el o los documentos donde conste</w:t>
      </w:r>
      <w:r w:rsidR="00B75F4F" w:rsidRPr="007E54F1">
        <w:rPr>
          <w:i/>
        </w:rPr>
        <w:t xml:space="preserve"> al 28 de febrero de 2025,</w:t>
      </w:r>
      <w:r w:rsidRPr="007E54F1">
        <w:rPr>
          <w:i/>
        </w:rPr>
        <w:t xml:space="preserve"> lo siguiente: </w:t>
      </w:r>
    </w:p>
    <w:p w14:paraId="682570F4" w14:textId="1C7E26F7" w:rsidR="00451174" w:rsidRPr="007E54F1" w:rsidRDefault="00F463BF" w:rsidP="007E54F1">
      <w:pPr>
        <w:pStyle w:val="Puesto"/>
        <w:ind w:left="851" w:right="822" w:firstLine="0"/>
        <w:rPr>
          <w:color w:val="auto"/>
        </w:rPr>
      </w:pPr>
      <w:r w:rsidRPr="007E54F1">
        <w:rPr>
          <w:color w:val="auto"/>
        </w:rPr>
        <w:t>a) Las p</w:t>
      </w:r>
      <w:r w:rsidR="00451174" w:rsidRPr="007E54F1">
        <w:rPr>
          <w:color w:val="auto"/>
        </w:rPr>
        <w:t>ercepciones brutas y netas, al mayor grado de desagregación, en el que se advierta c</w:t>
      </w:r>
      <w:r w:rsidR="00B75F4F" w:rsidRPr="007E54F1">
        <w:rPr>
          <w:color w:val="auto"/>
        </w:rPr>
        <w:t>ompensaciones, bonos o estímulos adicionales</w:t>
      </w:r>
      <w:r w:rsidR="00451174" w:rsidRPr="007E54F1">
        <w:rPr>
          <w:color w:val="auto"/>
        </w:rPr>
        <w:t xml:space="preserve"> (económicas y en especie) de manera mensual. </w:t>
      </w:r>
    </w:p>
    <w:p w14:paraId="586E7F2D" w14:textId="77777777" w:rsidR="00F463BF" w:rsidRPr="007E54F1" w:rsidRDefault="00F463BF" w:rsidP="007E54F1">
      <w:pPr>
        <w:spacing w:line="240" w:lineRule="auto"/>
        <w:ind w:left="851" w:right="822"/>
        <w:rPr>
          <w:i/>
        </w:rPr>
      </w:pPr>
    </w:p>
    <w:p w14:paraId="182BB5B3" w14:textId="4FFA2EE7" w:rsidR="00B75F4F" w:rsidRPr="007E54F1" w:rsidRDefault="00F463BF" w:rsidP="007E54F1">
      <w:pPr>
        <w:pStyle w:val="Puesto"/>
        <w:ind w:left="851" w:right="822" w:firstLine="0"/>
        <w:rPr>
          <w:color w:val="auto"/>
        </w:rPr>
      </w:pPr>
      <w:r w:rsidRPr="007E54F1">
        <w:rPr>
          <w:color w:val="auto"/>
        </w:rPr>
        <w:t xml:space="preserve">b) </w:t>
      </w:r>
      <w:r w:rsidR="004F76CA" w:rsidRPr="007E54F1">
        <w:rPr>
          <w:color w:val="auto"/>
        </w:rPr>
        <w:t>La información curricular</w:t>
      </w:r>
      <w:r w:rsidR="00E87CA3" w:rsidRPr="007E54F1">
        <w:rPr>
          <w:color w:val="auto"/>
        </w:rPr>
        <w:t>.</w:t>
      </w:r>
    </w:p>
    <w:p w14:paraId="4BE634A6" w14:textId="77777777" w:rsidR="00623B48" w:rsidRPr="007E54F1" w:rsidRDefault="00623B48" w:rsidP="007E54F1">
      <w:pPr>
        <w:spacing w:line="240" w:lineRule="auto"/>
        <w:ind w:left="851" w:right="822"/>
        <w:rPr>
          <w:i/>
        </w:rPr>
      </w:pPr>
    </w:p>
    <w:p w14:paraId="597EB140" w14:textId="013B0C9D" w:rsidR="00623B48" w:rsidRPr="007E54F1" w:rsidRDefault="00623B48" w:rsidP="007E54F1">
      <w:pPr>
        <w:pStyle w:val="Puesto"/>
        <w:ind w:left="851" w:right="822" w:firstLine="0"/>
        <w:rPr>
          <w:color w:val="auto"/>
        </w:rPr>
      </w:pPr>
      <w:r w:rsidRPr="007E54F1">
        <w:rPr>
          <w:color w:val="auto"/>
        </w:rPr>
        <w:t>c) El nivel máximo de estudios.</w:t>
      </w:r>
    </w:p>
    <w:p w14:paraId="2334B04D" w14:textId="77777777" w:rsidR="00B75F4F" w:rsidRPr="007E54F1" w:rsidRDefault="00B75F4F" w:rsidP="007E54F1">
      <w:pPr>
        <w:spacing w:line="240" w:lineRule="auto"/>
        <w:ind w:left="851" w:right="822"/>
        <w:rPr>
          <w:i/>
        </w:rPr>
      </w:pPr>
    </w:p>
    <w:p w14:paraId="2207BC10" w14:textId="5FE65AC2" w:rsidR="00327CA8" w:rsidRPr="007E54F1" w:rsidRDefault="00327CA8" w:rsidP="007E54F1">
      <w:pPr>
        <w:spacing w:line="240" w:lineRule="auto"/>
        <w:ind w:left="851" w:right="822"/>
        <w:rPr>
          <w:i/>
        </w:rPr>
      </w:pPr>
      <w:r w:rsidRPr="007E54F1">
        <w:rPr>
          <w:i/>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BEE6659" w14:textId="77777777" w:rsidR="00623B48" w:rsidRPr="007E54F1" w:rsidRDefault="00623B48" w:rsidP="007E54F1"/>
    <w:p w14:paraId="61A2DF34" w14:textId="267AB13E" w:rsidR="003E3FF3" w:rsidRPr="007E54F1" w:rsidRDefault="003E3FF3" w:rsidP="007E54F1">
      <w:pPr>
        <w:spacing w:line="240" w:lineRule="auto"/>
        <w:ind w:left="851" w:right="822"/>
        <w:rPr>
          <w:i/>
        </w:rPr>
      </w:pPr>
      <w:r w:rsidRPr="007E54F1">
        <w:rPr>
          <w:i/>
        </w:rPr>
        <w:lastRenderedPageBreak/>
        <w:t xml:space="preserve">Para el caso de que parte de la información ordenada en el inciso </w:t>
      </w:r>
      <w:r w:rsidR="00623B48" w:rsidRPr="007E54F1">
        <w:rPr>
          <w:i/>
        </w:rPr>
        <w:t>c</w:t>
      </w:r>
      <w:r w:rsidRPr="007E54F1">
        <w:rPr>
          <w:i/>
        </w:rPr>
        <w:t xml:space="preserve">) respecto del nivel máximo de estudios no obre en los archivos del </w:t>
      </w:r>
      <w:r w:rsidRPr="007E54F1">
        <w:rPr>
          <w:b/>
          <w:i/>
        </w:rPr>
        <w:t>SUJETO OBLIGADO</w:t>
      </w:r>
      <w:r w:rsidRPr="007E54F1">
        <w:rPr>
          <w:i/>
        </w:rPr>
        <w:t xml:space="preserve">, por no haberse generado, bastará con que así lo haga del conocimiento de la parte </w:t>
      </w:r>
      <w:r w:rsidRPr="007E54F1">
        <w:rPr>
          <w:b/>
          <w:i/>
        </w:rPr>
        <w:t xml:space="preserve">RECURRENTE. </w:t>
      </w:r>
    </w:p>
    <w:p w14:paraId="4D661E3D" w14:textId="77777777" w:rsidR="003E3FF3" w:rsidRPr="007E54F1" w:rsidRDefault="003E3FF3" w:rsidP="007E54F1">
      <w:bookmarkStart w:id="41" w:name="_GoBack"/>
      <w:bookmarkEnd w:id="41"/>
    </w:p>
    <w:p w14:paraId="62198E28" w14:textId="77777777" w:rsidR="00327CA8" w:rsidRPr="007E54F1" w:rsidRDefault="00327CA8" w:rsidP="007E54F1">
      <w:r w:rsidRPr="007E54F1">
        <w:rPr>
          <w:b/>
        </w:rPr>
        <w:t>TERCERO.</w:t>
      </w:r>
      <w:r w:rsidRPr="007E54F1">
        <w:t xml:space="preserve"> </w:t>
      </w:r>
      <w:r w:rsidRPr="007E54F1">
        <w:rPr>
          <w:b/>
        </w:rPr>
        <w:t xml:space="preserve">Notifíquese </w:t>
      </w:r>
      <w:r w:rsidRPr="007E54F1">
        <w:t>vía Sistema de Acceso a la Información Mexiquense (</w:t>
      </w:r>
      <w:r w:rsidRPr="007E54F1">
        <w:rPr>
          <w:b/>
        </w:rPr>
        <w:t>SAIMEX</w:t>
      </w:r>
      <w:r w:rsidRPr="007E54F1">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6F6CE0" w14:textId="77777777" w:rsidR="00327CA8" w:rsidRPr="007E54F1" w:rsidRDefault="00327CA8" w:rsidP="007E54F1"/>
    <w:p w14:paraId="12B086C6" w14:textId="77777777" w:rsidR="00327CA8" w:rsidRPr="007E54F1" w:rsidRDefault="00327CA8" w:rsidP="007E54F1">
      <w:r w:rsidRPr="007E54F1">
        <w:rPr>
          <w:b/>
        </w:rPr>
        <w:t>CUARTO.</w:t>
      </w:r>
      <w:r w:rsidRPr="007E54F1">
        <w:t xml:space="preserve"> Notifíquese a </w:t>
      </w:r>
      <w:r w:rsidRPr="007E54F1">
        <w:rPr>
          <w:b/>
        </w:rPr>
        <w:t>LA PARTE RECURRENTE</w:t>
      </w:r>
      <w:r w:rsidRPr="007E54F1">
        <w:t xml:space="preserve"> la presente resolución vía Sistema de Acceso a la Información Mexiquense (</w:t>
      </w:r>
      <w:r w:rsidRPr="007E54F1">
        <w:rPr>
          <w:b/>
        </w:rPr>
        <w:t>SAIMEX</w:t>
      </w:r>
      <w:r w:rsidRPr="007E54F1">
        <w:t>).</w:t>
      </w:r>
    </w:p>
    <w:p w14:paraId="192F12A7" w14:textId="77777777" w:rsidR="00327CA8" w:rsidRPr="007E54F1" w:rsidRDefault="00327CA8" w:rsidP="007E54F1"/>
    <w:p w14:paraId="3DEB5767" w14:textId="77777777" w:rsidR="00327CA8" w:rsidRPr="007E54F1" w:rsidRDefault="00327CA8" w:rsidP="007E54F1">
      <w:r w:rsidRPr="007E54F1">
        <w:rPr>
          <w:b/>
        </w:rPr>
        <w:t>QUINTO</w:t>
      </w:r>
      <w:r w:rsidRPr="007E54F1">
        <w:t xml:space="preserve">. Hágase del conocimiento a </w:t>
      </w:r>
      <w:r w:rsidRPr="007E54F1">
        <w:rPr>
          <w:b/>
        </w:rPr>
        <w:t>LA PARTE RECURRENTE</w:t>
      </w:r>
      <w:r w:rsidRPr="007E54F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884CFE1" w14:textId="77777777" w:rsidR="00327CA8" w:rsidRPr="007E54F1" w:rsidRDefault="00327CA8" w:rsidP="007E54F1"/>
    <w:p w14:paraId="6A27ACD3" w14:textId="77777777" w:rsidR="00327CA8" w:rsidRPr="007E54F1" w:rsidRDefault="00327CA8" w:rsidP="007E54F1">
      <w:r w:rsidRPr="007E54F1">
        <w:rPr>
          <w:b/>
        </w:rPr>
        <w:t>SEXTO.</w:t>
      </w:r>
      <w:r w:rsidRPr="007E54F1">
        <w:t xml:space="preserve"> De conformidad con el artículo 198 de la Ley de Transparencia y Acceso a la Información Pública del Estado de México y Municipios, el </w:t>
      </w:r>
      <w:r w:rsidRPr="007E54F1">
        <w:rPr>
          <w:b/>
        </w:rPr>
        <w:t>SUJETO OBLIGADO</w:t>
      </w:r>
      <w:r w:rsidRPr="007E54F1">
        <w:t xml:space="preserve"> podrá </w:t>
      </w:r>
      <w:r w:rsidRPr="007E54F1">
        <w:lastRenderedPageBreak/>
        <w:t>solicitar una ampliación de plazo de manera fundada y motivada, para el cumplimiento de la presente resolución.</w:t>
      </w:r>
    </w:p>
    <w:p w14:paraId="309F8169" w14:textId="77777777" w:rsidR="00451174" w:rsidRPr="007E54F1" w:rsidRDefault="00451174" w:rsidP="007E54F1"/>
    <w:p w14:paraId="7584C79A" w14:textId="1C7C9841" w:rsidR="00FD6BCA" w:rsidRPr="007E54F1" w:rsidRDefault="00C05457" w:rsidP="007E54F1">
      <w:r w:rsidRPr="007E54F1">
        <w:t>ASÍ LO RESUELVE, POR UNANIMIDAD DE VOTOS EL PLENO DEL INSTITUTO DE TRANSPARENCIA, ACCESO A LA INFORMACIÓN PÚBLICA Y PROTECCIÓN DE DATOS PERSONALES DEL ESTADO DE MÉXICO Y MUNICIPIOS, CONFORMADO POR LOS COMISIONADOS JOSÉ MARTÍNEZ VILCHIS</w:t>
      </w:r>
      <w:r w:rsidR="007912FE">
        <w:t xml:space="preserve"> EMITIENDO VOTO PARTICULAR</w:t>
      </w:r>
      <w:r w:rsidRPr="007E54F1">
        <w:t>, MARÍA DEL ROSARIO MEJÍA AYALA</w:t>
      </w:r>
      <w:r w:rsidR="007912FE">
        <w:t xml:space="preserve"> EMITIENDO VOTO PARTICULAR</w:t>
      </w:r>
      <w:r w:rsidRPr="007E54F1">
        <w:t>, SHARON CRISTINA MORALES MARTÍNEZ, LUIS GUSTAVO PARRA NORIEGA</w:t>
      </w:r>
      <w:r w:rsidR="007912FE">
        <w:t xml:space="preserve"> EMITIENDO VOTO PARTICULAR</w:t>
      </w:r>
      <w:r w:rsidRPr="007E54F1">
        <w:t xml:space="preserve"> Y </w:t>
      </w:r>
      <w:r w:rsidR="00760DFD" w:rsidRPr="007E54F1">
        <w:t>GUADALUPE RAMÍREZ PEÑA</w:t>
      </w:r>
      <w:r w:rsidR="007912FE">
        <w:t xml:space="preserve"> EMITIENDO VOTO PARTICULAR</w:t>
      </w:r>
      <w:r w:rsidR="00760DFD" w:rsidRPr="007E54F1">
        <w:t>, EN LA VIGÉSIMA SESIÓN ORDINARIA, CELEBRADA EL CUATRO DE JUNIO DE DOS MIL VEINTICINCO, ANTE EL SECRETARIO TÉCNICO DEL PLENO, ALEXIS TAPIA RAMÍREZ.</w:t>
      </w:r>
    </w:p>
    <w:p w14:paraId="01EA63CC" w14:textId="77777777" w:rsidR="00FD6BCA" w:rsidRPr="007E54F1" w:rsidRDefault="00C05457" w:rsidP="007E54F1">
      <w:pPr>
        <w:ind w:right="-93"/>
      </w:pPr>
      <w:r w:rsidRPr="007E54F1">
        <w:t>SCMM/AGZ/DEMF/PAG</w:t>
      </w:r>
    </w:p>
    <w:p w14:paraId="18033E89" w14:textId="77777777" w:rsidR="00FD6BCA" w:rsidRPr="007E54F1" w:rsidRDefault="00FD6BCA" w:rsidP="007E54F1">
      <w:pPr>
        <w:ind w:right="-93"/>
      </w:pPr>
    </w:p>
    <w:p w14:paraId="4F82D4CE" w14:textId="77777777" w:rsidR="00FD6BCA" w:rsidRPr="007E54F1" w:rsidRDefault="00FD6BCA" w:rsidP="007E54F1">
      <w:pPr>
        <w:ind w:right="-93"/>
      </w:pPr>
    </w:p>
    <w:p w14:paraId="692AB4CE" w14:textId="77777777" w:rsidR="00FD6BCA" w:rsidRPr="007E54F1" w:rsidRDefault="00FD6BCA" w:rsidP="007E54F1">
      <w:pPr>
        <w:ind w:right="-93"/>
      </w:pPr>
    </w:p>
    <w:p w14:paraId="2667381A" w14:textId="77777777" w:rsidR="00FD6BCA" w:rsidRPr="007E54F1" w:rsidRDefault="00FD6BCA" w:rsidP="007E54F1">
      <w:pPr>
        <w:ind w:right="-93"/>
      </w:pPr>
    </w:p>
    <w:p w14:paraId="60DFFB2F" w14:textId="77777777" w:rsidR="00FD6BCA" w:rsidRPr="007E54F1" w:rsidRDefault="00FD6BCA" w:rsidP="007E54F1">
      <w:pPr>
        <w:ind w:right="-93"/>
      </w:pPr>
    </w:p>
    <w:p w14:paraId="0BB42DB1" w14:textId="77777777" w:rsidR="00FD6BCA" w:rsidRPr="007E54F1" w:rsidRDefault="00FD6BCA" w:rsidP="007E54F1">
      <w:pPr>
        <w:ind w:right="-93"/>
      </w:pPr>
    </w:p>
    <w:p w14:paraId="1A499D32" w14:textId="77777777" w:rsidR="00FD6BCA" w:rsidRPr="007E54F1" w:rsidRDefault="00FD6BCA" w:rsidP="007E54F1">
      <w:pPr>
        <w:ind w:right="-93"/>
      </w:pPr>
    </w:p>
    <w:p w14:paraId="15203BFE" w14:textId="77777777" w:rsidR="00FD6BCA" w:rsidRPr="007E54F1" w:rsidRDefault="00FD6BCA" w:rsidP="007E54F1">
      <w:pPr>
        <w:ind w:right="-93"/>
      </w:pPr>
    </w:p>
    <w:p w14:paraId="10AA34ED" w14:textId="77777777" w:rsidR="00FD6BCA" w:rsidRPr="007E54F1" w:rsidRDefault="00FD6BCA" w:rsidP="007E54F1">
      <w:pPr>
        <w:tabs>
          <w:tab w:val="center" w:pos="4568"/>
        </w:tabs>
        <w:ind w:right="-93"/>
      </w:pPr>
    </w:p>
    <w:p w14:paraId="6CBD1DAB" w14:textId="77777777" w:rsidR="00FD6BCA" w:rsidRPr="007E54F1" w:rsidRDefault="00FD6BCA" w:rsidP="007E54F1">
      <w:pPr>
        <w:tabs>
          <w:tab w:val="center" w:pos="4568"/>
        </w:tabs>
        <w:ind w:right="-93"/>
      </w:pPr>
    </w:p>
    <w:p w14:paraId="2E282474" w14:textId="77777777" w:rsidR="00FD6BCA" w:rsidRPr="007E54F1" w:rsidRDefault="00FD6BCA" w:rsidP="007E54F1">
      <w:pPr>
        <w:tabs>
          <w:tab w:val="center" w:pos="4568"/>
        </w:tabs>
        <w:ind w:right="-93"/>
      </w:pPr>
    </w:p>
    <w:p w14:paraId="550B4F61" w14:textId="77777777" w:rsidR="00FD6BCA" w:rsidRPr="007E54F1" w:rsidRDefault="00FD6BCA" w:rsidP="007E54F1">
      <w:pPr>
        <w:tabs>
          <w:tab w:val="center" w:pos="4568"/>
        </w:tabs>
        <w:ind w:right="-93"/>
      </w:pPr>
    </w:p>
    <w:p w14:paraId="2DF122E4" w14:textId="77777777" w:rsidR="00FD6BCA" w:rsidRPr="007E54F1" w:rsidRDefault="00FD6BCA" w:rsidP="007E54F1">
      <w:pPr>
        <w:tabs>
          <w:tab w:val="center" w:pos="4568"/>
        </w:tabs>
        <w:ind w:right="-93"/>
      </w:pPr>
    </w:p>
    <w:p w14:paraId="16D458D3" w14:textId="77777777" w:rsidR="00FD6BCA" w:rsidRPr="007E54F1" w:rsidRDefault="00FD6BCA" w:rsidP="007E54F1">
      <w:pPr>
        <w:tabs>
          <w:tab w:val="center" w:pos="4568"/>
        </w:tabs>
        <w:ind w:right="-93"/>
      </w:pPr>
    </w:p>
    <w:p w14:paraId="6B6061E1" w14:textId="77777777" w:rsidR="00FD6BCA" w:rsidRPr="007E54F1" w:rsidRDefault="00FD6BCA" w:rsidP="007E54F1">
      <w:pPr>
        <w:tabs>
          <w:tab w:val="center" w:pos="4568"/>
        </w:tabs>
        <w:ind w:right="-93"/>
      </w:pPr>
    </w:p>
    <w:p w14:paraId="6B97DCA9" w14:textId="77777777" w:rsidR="00FD6BCA" w:rsidRPr="007E54F1" w:rsidRDefault="00FD6BCA" w:rsidP="007E54F1">
      <w:pPr>
        <w:tabs>
          <w:tab w:val="center" w:pos="4568"/>
        </w:tabs>
        <w:ind w:right="-93"/>
      </w:pPr>
    </w:p>
    <w:p w14:paraId="3BF93D33" w14:textId="77777777" w:rsidR="00FD6BCA" w:rsidRPr="007E54F1" w:rsidRDefault="00FD6BCA" w:rsidP="007E54F1">
      <w:pPr>
        <w:tabs>
          <w:tab w:val="center" w:pos="4568"/>
        </w:tabs>
        <w:ind w:right="-93"/>
      </w:pPr>
    </w:p>
    <w:p w14:paraId="63ADA677" w14:textId="77777777" w:rsidR="00FD6BCA" w:rsidRPr="007E54F1" w:rsidRDefault="00FD6BCA" w:rsidP="007E54F1">
      <w:pPr>
        <w:tabs>
          <w:tab w:val="center" w:pos="4568"/>
        </w:tabs>
        <w:ind w:right="-93"/>
      </w:pPr>
    </w:p>
    <w:p w14:paraId="17D81460" w14:textId="77777777" w:rsidR="00FD6BCA" w:rsidRPr="007E54F1" w:rsidRDefault="00FD6BCA" w:rsidP="007E54F1">
      <w:pPr>
        <w:tabs>
          <w:tab w:val="center" w:pos="4568"/>
        </w:tabs>
        <w:ind w:right="-93"/>
      </w:pPr>
    </w:p>
    <w:p w14:paraId="579264FD" w14:textId="77777777" w:rsidR="00FD6BCA" w:rsidRPr="007E54F1" w:rsidRDefault="00FD6BCA" w:rsidP="007E54F1">
      <w:pPr>
        <w:tabs>
          <w:tab w:val="center" w:pos="4568"/>
        </w:tabs>
        <w:ind w:right="-93"/>
      </w:pPr>
    </w:p>
    <w:p w14:paraId="26392E01" w14:textId="77777777" w:rsidR="00FD6BCA" w:rsidRPr="007E54F1" w:rsidRDefault="00FD6BCA" w:rsidP="007E54F1">
      <w:pPr>
        <w:tabs>
          <w:tab w:val="center" w:pos="4568"/>
        </w:tabs>
        <w:ind w:right="-93"/>
      </w:pPr>
    </w:p>
    <w:p w14:paraId="7AA6AC02" w14:textId="77777777" w:rsidR="00FD6BCA" w:rsidRPr="007E54F1" w:rsidRDefault="00FD6BCA" w:rsidP="007E54F1"/>
    <w:sectPr w:rsidR="00FD6BCA" w:rsidRPr="007E54F1">
      <w:footerReference w:type="default" r:id="rId2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C2899" w14:textId="77777777" w:rsidR="00835FF3" w:rsidRDefault="00835FF3">
      <w:pPr>
        <w:spacing w:line="240" w:lineRule="auto"/>
      </w:pPr>
      <w:r>
        <w:separator/>
      </w:r>
    </w:p>
  </w:endnote>
  <w:endnote w:type="continuationSeparator" w:id="0">
    <w:p w14:paraId="436F8874" w14:textId="77777777" w:rsidR="00835FF3" w:rsidRDefault="00835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92083A" w:rsidRDefault="0092083A">
    <w:pPr>
      <w:tabs>
        <w:tab w:val="center" w:pos="4550"/>
        <w:tab w:val="left" w:pos="5818"/>
      </w:tabs>
      <w:ind w:right="260"/>
      <w:jc w:val="right"/>
      <w:rPr>
        <w:color w:val="071320"/>
        <w:sz w:val="24"/>
        <w:szCs w:val="24"/>
      </w:rPr>
    </w:pPr>
  </w:p>
  <w:p w14:paraId="2EA5F9BE" w14:textId="77777777" w:rsidR="0092083A" w:rsidRDefault="0092083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175C4D9C" w:rsidR="0092083A" w:rsidRDefault="0092083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A3A9B">
      <w:rPr>
        <w:noProof/>
        <w:color w:val="0A1D30"/>
        <w:sz w:val="24"/>
        <w:szCs w:val="24"/>
      </w:rPr>
      <w:t>54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A3A9B">
      <w:rPr>
        <w:noProof/>
        <w:color w:val="0A1D30"/>
        <w:sz w:val="24"/>
        <w:szCs w:val="24"/>
      </w:rPr>
      <w:t>59</w:t>
    </w:r>
    <w:r>
      <w:rPr>
        <w:color w:val="0A1D30"/>
        <w:sz w:val="24"/>
        <w:szCs w:val="24"/>
      </w:rPr>
      <w:fldChar w:fldCharType="end"/>
    </w:r>
  </w:p>
  <w:p w14:paraId="06DB7526" w14:textId="77777777" w:rsidR="0092083A" w:rsidRDefault="0092083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8CDAE" w14:textId="77777777" w:rsidR="00835FF3" w:rsidRDefault="00835FF3">
      <w:pPr>
        <w:spacing w:line="240" w:lineRule="auto"/>
      </w:pPr>
      <w:r>
        <w:separator/>
      </w:r>
    </w:p>
  </w:footnote>
  <w:footnote w:type="continuationSeparator" w:id="0">
    <w:p w14:paraId="49817837" w14:textId="77777777" w:rsidR="00835FF3" w:rsidRDefault="00835FF3">
      <w:pPr>
        <w:spacing w:line="240" w:lineRule="auto"/>
      </w:pPr>
      <w:r>
        <w:continuationSeparator/>
      </w:r>
    </w:p>
  </w:footnote>
  <w:footnote w:id="1">
    <w:p w14:paraId="389CA7E5" w14:textId="77777777" w:rsidR="0092083A" w:rsidRPr="00BA61D0" w:rsidRDefault="0092083A" w:rsidP="00864B5E">
      <w:pPr>
        <w:pStyle w:val="Textonotapie"/>
        <w:rPr>
          <w:i/>
          <w:iCs/>
          <w:sz w:val="18"/>
          <w:szCs w:val="18"/>
        </w:rPr>
      </w:pPr>
      <w:r>
        <w:rPr>
          <w:rStyle w:val="Refdenotaalpie"/>
          <w:rFonts w:eastAsiaTheme="majorEastAsia"/>
        </w:rPr>
        <w:footnoteRef/>
      </w:r>
      <w:r>
        <w:t xml:space="preserve"> </w:t>
      </w:r>
      <w:hyperlink r:id="rId1" w:history="1">
        <w:r w:rsidRPr="00BA61D0">
          <w:rPr>
            <w:rStyle w:val="Hipervnculo"/>
            <w:rFonts w:eastAsiaTheme="majorEastAsia" w:cs="Tahoma"/>
            <w:bCs/>
            <w:i/>
            <w:iCs/>
            <w:sz w:val="18"/>
            <w:szCs w:val="18"/>
          </w:rPr>
          <w:t>https://opendatacharter.net/principles-es/</w:t>
        </w:r>
      </w:hyperlink>
    </w:p>
  </w:footnote>
  <w:footnote w:id="2">
    <w:p w14:paraId="666EF4C2" w14:textId="77777777" w:rsidR="0092083A" w:rsidRDefault="0092083A" w:rsidP="00916EE0">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92083A" w:rsidRDefault="0092083A">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2083A" w14:paraId="0CD0A5B8" w14:textId="77777777">
      <w:trPr>
        <w:trHeight w:val="144"/>
        <w:jc w:val="right"/>
      </w:trPr>
      <w:tc>
        <w:tcPr>
          <w:tcW w:w="2727" w:type="dxa"/>
        </w:tcPr>
        <w:p w14:paraId="259BF4DF" w14:textId="77777777" w:rsidR="0092083A" w:rsidRDefault="0092083A">
          <w:pPr>
            <w:tabs>
              <w:tab w:val="right" w:pos="8838"/>
            </w:tabs>
            <w:ind w:left="-74" w:right="-105"/>
            <w:rPr>
              <w:b/>
            </w:rPr>
          </w:pPr>
          <w:r>
            <w:rPr>
              <w:b/>
            </w:rPr>
            <w:t>Recurso de Revisión:</w:t>
          </w:r>
        </w:p>
      </w:tc>
      <w:tc>
        <w:tcPr>
          <w:tcW w:w="3402" w:type="dxa"/>
        </w:tcPr>
        <w:p w14:paraId="6B0DD5D1" w14:textId="08BD69FB" w:rsidR="0092083A" w:rsidRDefault="0092083A">
          <w:pPr>
            <w:tabs>
              <w:tab w:val="right" w:pos="8838"/>
            </w:tabs>
            <w:ind w:left="-74" w:right="-105"/>
          </w:pPr>
          <w:r w:rsidRPr="00854FBA">
            <w:t>03517/INFOEM/IP/RR/2025</w:t>
          </w:r>
        </w:p>
      </w:tc>
    </w:tr>
    <w:tr w:rsidR="0092083A" w14:paraId="04096EF4" w14:textId="77777777">
      <w:trPr>
        <w:trHeight w:val="283"/>
        <w:jc w:val="right"/>
      </w:trPr>
      <w:tc>
        <w:tcPr>
          <w:tcW w:w="2727" w:type="dxa"/>
        </w:tcPr>
        <w:p w14:paraId="3B7241CF" w14:textId="77777777" w:rsidR="0092083A" w:rsidRDefault="0092083A">
          <w:pPr>
            <w:tabs>
              <w:tab w:val="right" w:pos="8838"/>
            </w:tabs>
            <w:ind w:left="-74" w:right="-105"/>
            <w:rPr>
              <w:b/>
            </w:rPr>
          </w:pPr>
          <w:r>
            <w:rPr>
              <w:b/>
            </w:rPr>
            <w:t>Sujeto Obligado:</w:t>
          </w:r>
        </w:p>
      </w:tc>
      <w:tc>
        <w:tcPr>
          <w:tcW w:w="3402" w:type="dxa"/>
        </w:tcPr>
        <w:p w14:paraId="2953845B" w14:textId="11454300" w:rsidR="0092083A" w:rsidRDefault="0092083A">
          <w:pPr>
            <w:tabs>
              <w:tab w:val="left" w:pos="2834"/>
              <w:tab w:val="right" w:pos="8838"/>
            </w:tabs>
            <w:ind w:left="-108" w:right="-105"/>
          </w:pPr>
          <w:r w:rsidRPr="00D61B93">
            <w:t>Ayuntamiento de Tenancingo</w:t>
          </w:r>
        </w:p>
      </w:tc>
    </w:tr>
    <w:tr w:rsidR="0092083A" w14:paraId="4A61FAE5" w14:textId="77777777">
      <w:trPr>
        <w:trHeight w:val="283"/>
        <w:jc w:val="right"/>
      </w:trPr>
      <w:tc>
        <w:tcPr>
          <w:tcW w:w="2727" w:type="dxa"/>
        </w:tcPr>
        <w:p w14:paraId="78F23C96" w14:textId="77777777" w:rsidR="0092083A" w:rsidRDefault="0092083A">
          <w:pPr>
            <w:tabs>
              <w:tab w:val="right" w:pos="8838"/>
            </w:tabs>
            <w:ind w:left="-74" w:right="-105"/>
            <w:rPr>
              <w:b/>
            </w:rPr>
          </w:pPr>
          <w:r>
            <w:rPr>
              <w:b/>
            </w:rPr>
            <w:t>Comisionada Ponente:</w:t>
          </w:r>
        </w:p>
      </w:tc>
      <w:tc>
        <w:tcPr>
          <w:tcW w:w="3402" w:type="dxa"/>
        </w:tcPr>
        <w:p w14:paraId="000B3E4F" w14:textId="77777777" w:rsidR="0092083A" w:rsidRDefault="0092083A">
          <w:pPr>
            <w:tabs>
              <w:tab w:val="right" w:pos="8838"/>
            </w:tabs>
            <w:ind w:left="-108" w:right="-105"/>
          </w:pPr>
          <w:r>
            <w:t>Sharon Cristina Morales Martínez</w:t>
          </w:r>
        </w:p>
      </w:tc>
    </w:tr>
  </w:tbl>
  <w:p w14:paraId="2BE304C0" w14:textId="77777777" w:rsidR="0092083A" w:rsidRDefault="0092083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92083A" w:rsidRDefault="0092083A">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92083A" w14:paraId="66AD708E" w14:textId="77777777">
      <w:trPr>
        <w:trHeight w:val="1435"/>
      </w:trPr>
      <w:tc>
        <w:tcPr>
          <w:tcW w:w="283" w:type="dxa"/>
          <w:shd w:val="clear" w:color="auto" w:fill="auto"/>
        </w:tcPr>
        <w:p w14:paraId="35C91EE9" w14:textId="77777777" w:rsidR="0092083A" w:rsidRDefault="0092083A">
          <w:pPr>
            <w:tabs>
              <w:tab w:val="right" w:pos="4273"/>
            </w:tabs>
            <w:rPr>
              <w:rFonts w:ascii="Garamond" w:eastAsia="Garamond" w:hAnsi="Garamond" w:cs="Garamond"/>
            </w:rPr>
          </w:pPr>
        </w:p>
      </w:tc>
      <w:tc>
        <w:tcPr>
          <w:tcW w:w="6379" w:type="dxa"/>
          <w:shd w:val="clear" w:color="auto" w:fill="auto"/>
        </w:tcPr>
        <w:p w14:paraId="7FB39640" w14:textId="77777777" w:rsidR="0092083A" w:rsidRDefault="0092083A">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92083A" w14:paraId="5B773C4D" w14:textId="77777777">
            <w:trPr>
              <w:trHeight w:val="144"/>
            </w:trPr>
            <w:tc>
              <w:tcPr>
                <w:tcW w:w="2581" w:type="dxa"/>
              </w:tcPr>
              <w:p w14:paraId="27980BA3" w14:textId="77777777" w:rsidR="0092083A" w:rsidRDefault="0092083A">
                <w:pPr>
                  <w:tabs>
                    <w:tab w:val="right" w:pos="8838"/>
                  </w:tabs>
                  <w:ind w:left="-74" w:right="-108"/>
                  <w:rPr>
                    <w:b/>
                  </w:rPr>
                </w:pPr>
                <w:bookmarkStart w:id="0" w:name="_41mghml" w:colFirst="0" w:colLast="0"/>
                <w:bookmarkEnd w:id="0"/>
                <w:r>
                  <w:rPr>
                    <w:b/>
                  </w:rPr>
                  <w:t>Recurso de Revisión:</w:t>
                </w:r>
              </w:p>
            </w:tc>
            <w:tc>
              <w:tcPr>
                <w:tcW w:w="3548" w:type="dxa"/>
              </w:tcPr>
              <w:p w14:paraId="0F0345C2" w14:textId="36CD5719" w:rsidR="0092083A" w:rsidRDefault="0092083A">
                <w:pPr>
                  <w:tabs>
                    <w:tab w:val="left" w:pos="3122"/>
                    <w:tab w:val="right" w:pos="8838"/>
                  </w:tabs>
                  <w:ind w:left="-105" w:right="-108"/>
                </w:pPr>
                <w:r w:rsidRPr="00854FBA">
                  <w:t>03517/INFOEM/IP/RR/2025</w:t>
                </w:r>
              </w:p>
            </w:tc>
            <w:tc>
              <w:tcPr>
                <w:tcW w:w="3402" w:type="dxa"/>
              </w:tcPr>
              <w:p w14:paraId="0B97D947" w14:textId="77777777" w:rsidR="0092083A" w:rsidRDefault="0092083A">
                <w:pPr>
                  <w:tabs>
                    <w:tab w:val="right" w:pos="8838"/>
                  </w:tabs>
                  <w:ind w:left="-74" w:right="-108"/>
                </w:pPr>
              </w:p>
            </w:tc>
          </w:tr>
          <w:tr w:rsidR="0092083A" w14:paraId="6D033EFE" w14:textId="77777777">
            <w:trPr>
              <w:trHeight w:val="144"/>
            </w:trPr>
            <w:tc>
              <w:tcPr>
                <w:tcW w:w="2581" w:type="dxa"/>
              </w:tcPr>
              <w:p w14:paraId="08514911" w14:textId="77777777" w:rsidR="0092083A" w:rsidRDefault="0092083A">
                <w:pPr>
                  <w:tabs>
                    <w:tab w:val="right" w:pos="8838"/>
                  </w:tabs>
                  <w:ind w:left="-74" w:right="-108"/>
                  <w:rPr>
                    <w:b/>
                  </w:rPr>
                </w:pPr>
                <w:bookmarkStart w:id="1" w:name="_2grqrue" w:colFirst="0" w:colLast="0"/>
                <w:bookmarkEnd w:id="1"/>
                <w:r>
                  <w:rPr>
                    <w:b/>
                  </w:rPr>
                  <w:t>Recurrente:</w:t>
                </w:r>
              </w:p>
            </w:tc>
            <w:tc>
              <w:tcPr>
                <w:tcW w:w="3548" w:type="dxa"/>
              </w:tcPr>
              <w:p w14:paraId="316CC4A7" w14:textId="4B67FAA8" w:rsidR="0092083A" w:rsidRDefault="0092083A">
                <w:pPr>
                  <w:tabs>
                    <w:tab w:val="left" w:pos="3122"/>
                    <w:tab w:val="right" w:pos="8838"/>
                  </w:tabs>
                  <w:ind w:left="-105" w:right="-108"/>
                </w:pPr>
                <w:r>
                  <w:t xml:space="preserve">XXXXXXXXX XXXXXX </w:t>
                </w:r>
                <w:proofErr w:type="spellStart"/>
                <w:r>
                  <w:t>XXXXXX</w:t>
                </w:r>
                <w:proofErr w:type="spellEnd"/>
              </w:p>
            </w:tc>
            <w:tc>
              <w:tcPr>
                <w:tcW w:w="3402" w:type="dxa"/>
              </w:tcPr>
              <w:p w14:paraId="34C10C57" w14:textId="77777777" w:rsidR="0092083A" w:rsidRDefault="0092083A">
                <w:pPr>
                  <w:tabs>
                    <w:tab w:val="left" w:pos="3122"/>
                    <w:tab w:val="right" w:pos="8838"/>
                  </w:tabs>
                  <w:ind w:left="-105" w:right="-108"/>
                </w:pPr>
              </w:p>
            </w:tc>
          </w:tr>
          <w:tr w:rsidR="0092083A" w14:paraId="1DFCEC8E" w14:textId="77777777">
            <w:trPr>
              <w:trHeight w:val="283"/>
            </w:trPr>
            <w:tc>
              <w:tcPr>
                <w:tcW w:w="2581" w:type="dxa"/>
              </w:tcPr>
              <w:p w14:paraId="30948ADD" w14:textId="77777777" w:rsidR="0092083A" w:rsidRDefault="0092083A">
                <w:pPr>
                  <w:tabs>
                    <w:tab w:val="right" w:pos="8838"/>
                  </w:tabs>
                  <w:ind w:left="-74" w:right="-108"/>
                  <w:rPr>
                    <w:b/>
                  </w:rPr>
                </w:pPr>
                <w:r>
                  <w:rPr>
                    <w:b/>
                  </w:rPr>
                  <w:t>Sujeto Obligado:</w:t>
                </w:r>
              </w:p>
            </w:tc>
            <w:tc>
              <w:tcPr>
                <w:tcW w:w="3548" w:type="dxa"/>
              </w:tcPr>
              <w:p w14:paraId="4DA00C0A" w14:textId="68F57DAF" w:rsidR="0092083A" w:rsidRDefault="0092083A">
                <w:pPr>
                  <w:tabs>
                    <w:tab w:val="left" w:pos="2834"/>
                    <w:tab w:val="right" w:pos="8838"/>
                  </w:tabs>
                  <w:ind w:left="-108" w:right="-108"/>
                </w:pPr>
                <w:r w:rsidRPr="00D61B93">
                  <w:t>Ayuntamiento de Tenancingo</w:t>
                </w:r>
              </w:p>
            </w:tc>
            <w:tc>
              <w:tcPr>
                <w:tcW w:w="3402" w:type="dxa"/>
              </w:tcPr>
              <w:p w14:paraId="0FFAA79D" w14:textId="77777777" w:rsidR="0092083A" w:rsidRDefault="0092083A">
                <w:pPr>
                  <w:tabs>
                    <w:tab w:val="left" w:pos="2834"/>
                    <w:tab w:val="right" w:pos="8838"/>
                  </w:tabs>
                  <w:ind w:left="-108" w:right="-108"/>
                </w:pPr>
              </w:p>
            </w:tc>
          </w:tr>
          <w:tr w:rsidR="0092083A" w14:paraId="05127856" w14:textId="77777777">
            <w:trPr>
              <w:trHeight w:val="283"/>
            </w:trPr>
            <w:tc>
              <w:tcPr>
                <w:tcW w:w="2581" w:type="dxa"/>
              </w:tcPr>
              <w:p w14:paraId="0B0BD81C" w14:textId="77777777" w:rsidR="0092083A" w:rsidRDefault="0092083A">
                <w:pPr>
                  <w:tabs>
                    <w:tab w:val="right" w:pos="8838"/>
                  </w:tabs>
                  <w:ind w:left="-74" w:right="-108"/>
                  <w:rPr>
                    <w:b/>
                  </w:rPr>
                </w:pPr>
                <w:r>
                  <w:rPr>
                    <w:b/>
                  </w:rPr>
                  <w:t>Comisionada Ponente:</w:t>
                </w:r>
              </w:p>
            </w:tc>
            <w:tc>
              <w:tcPr>
                <w:tcW w:w="3548" w:type="dxa"/>
              </w:tcPr>
              <w:p w14:paraId="606E5973" w14:textId="77777777" w:rsidR="0092083A" w:rsidRDefault="0092083A">
                <w:pPr>
                  <w:tabs>
                    <w:tab w:val="right" w:pos="8838"/>
                  </w:tabs>
                  <w:ind w:left="-108" w:right="-108"/>
                </w:pPr>
                <w:r>
                  <w:t>Sharon Cristina Morales Martínez</w:t>
                </w:r>
              </w:p>
            </w:tc>
            <w:tc>
              <w:tcPr>
                <w:tcW w:w="3402" w:type="dxa"/>
              </w:tcPr>
              <w:p w14:paraId="046A8239" w14:textId="77777777" w:rsidR="0092083A" w:rsidRDefault="0092083A">
                <w:pPr>
                  <w:tabs>
                    <w:tab w:val="right" w:pos="8838"/>
                  </w:tabs>
                  <w:ind w:left="-108" w:right="-108"/>
                </w:pPr>
              </w:p>
            </w:tc>
          </w:tr>
        </w:tbl>
        <w:p w14:paraId="309F347D" w14:textId="77777777" w:rsidR="0092083A" w:rsidRDefault="0092083A">
          <w:pPr>
            <w:tabs>
              <w:tab w:val="right" w:pos="8838"/>
            </w:tabs>
            <w:ind w:left="-28"/>
            <w:rPr>
              <w:rFonts w:ascii="Arial" w:eastAsia="Arial" w:hAnsi="Arial" w:cs="Arial"/>
              <w:b/>
            </w:rPr>
          </w:pPr>
        </w:p>
      </w:tc>
    </w:tr>
  </w:tbl>
  <w:p w14:paraId="26C3ECED" w14:textId="77777777" w:rsidR="0092083A" w:rsidRDefault="0092083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B31C86"/>
    <w:multiLevelType w:val="multilevel"/>
    <w:tmpl w:val="0144D4D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84629"/>
    <w:multiLevelType w:val="multilevel"/>
    <w:tmpl w:val="986017A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273741"/>
    <w:multiLevelType w:val="hybridMultilevel"/>
    <w:tmpl w:val="33C22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533FF2"/>
    <w:multiLevelType w:val="hybridMultilevel"/>
    <w:tmpl w:val="8064F0C2"/>
    <w:lvl w:ilvl="0" w:tplc="AF528FE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D42DB2"/>
    <w:multiLevelType w:val="hybridMultilevel"/>
    <w:tmpl w:val="856268F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2A0252"/>
    <w:multiLevelType w:val="hybridMultilevel"/>
    <w:tmpl w:val="80D85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9"/>
  </w:num>
  <w:num w:numId="2">
    <w:abstractNumId w:val="7"/>
  </w:num>
  <w:num w:numId="3">
    <w:abstractNumId w:val="24"/>
  </w:num>
  <w:num w:numId="4">
    <w:abstractNumId w:val="8"/>
  </w:num>
  <w:num w:numId="5">
    <w:abstractNumId w:val="12"/>
  </w:num>
  <w:num w:numId="6">
    <w:abstractNumId w:val="2"/>
  </w:num>
  <w:num w:numId="7">
    <w:abstractNumId w:val="6"/>
  </w:num>
  <w:num w:numId="8">
    <w:abstractNumId w:val="3"/>
  </w:num>
  <w:num w:numId="9">
    <w:abstractNumId w:val="17"/>
  </w:num>
  <w:num w:numId="10">
    <w:abstractNumId w:val="16"/>
  </w:num>
  <w:num w:numId="11">
    <w:abstractNumId w:val="20"/>
  </w:num>
  <w:num w:numId="12">
    <w:abstractNumId w:val="23"/>
  </w:num>
  <w:num w:numId="13">
    <w:abstractNumId w:val="34"/>
  </w:num>
  <w:num w:numId="14">
    <w:abstractNumId w:val="36"/>
  </w:num>
  <w:num w:numId="15">
    <w:abstractNumId w:val="13"/>
  </w:num>
  <w:num w:numId="16">
    <w:abstractNumId w:val="33"/>
  </w:num>
  <w:num w:numId="17">
    <w:abstractNumId w:val="35"/>
  </w:num>
  <w:num w:numId="18">
    <w:abstractNumId w:val="43"/>
  </w:num>
  <w:num w:numId="19">
    <w:abstractNumId w:val="41"/>
  </w:num>
  <w:num w:numId="20">
    <w:abstractNumId w:val="22"/>
  </w:num>
  <w:num w:numId="21">
    <w:abstractNumId w:val="30"/>
  </w:num>
  <w:num w:numId="22">
    <w:abstractNumId w:val="25"/>
  </w:num>
  <w:num w:numId="23">
    <w:abstractNumId w:val="40"/>
  </w:num>
  <w:num w:numId="24">
    <w:abstractNumId w:val="14"/>
  </w:num>
  <w:num w:numId="25">
    <w:abstractNumId w:val="4"/>
  </w:num>
  <w:num w:numId="26">
    <w:abstractNumId w:val="31"/>
  </w:num>
  <w:num w:numId="27">
    <w:abstractNumId w:val="0"/>
  </w:num>
  <w:num w:numId="28">
    <w:abstractNumId w:val="29"/>
  </w:num>
  <w:num w:numId="29">
    <w:abstractNumId w:val="19"/>
  </w:num>
  <w:num w:numId="30">
    <w:abstractNumId w:val="5"/>
  </w:num>
  <w:num w:numId="31">
    <w:abstractNumId w:val="11"/>
  </w:num>
  <w:num w:numId="32">
    <w:abstractNumId w:val="1"/>
  </w:num>
  <w:num w:numId="33">
    <w:abstractNumId w:val="9"/>
  </w:num>
  <w:num w:numId="34">
    <w:abstractNumId w:val="21"/>
  </w:num>
  <w:num w:numId="35">
    <w:abstractNumId w:val="44"/>
  </w:num>
  <w:num w:numId="36">
    <w:abstractNumId w:val="27"/>
  </w:num>
  <w:num w:numId="37">
    <w:abstractNumId w:val="32"/>
  </w:num>
  <w:num w:numId="38">
    <w:abstractNumId w:val="42"/>
  </w:num>
  <w:num w:numId="39">
    <w:abstractNumId w:val="26"/>
  </w:num>
  <w:num w:numId="40">
    <w:abstractNumId w:val="28"/>
  </w:num>
  <w:num w:numId="41">
    <w:abstractNumId w:val="10"/>
  </w:num>
  <w:num w:numId="42">
    <w:abstractNumId w:val="37"/>
  </w:num>
  <w:num w:numId="43">
    <w:abstractNumId w:val="38"/>
  </w:num>
  <w:num w:numId="44">
    <w:abstractNumId w:val="18"/>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0DDE"/>
    <w:rsid w:val="00012E15"/>
    <w:rsid w:val="00014F69"/>
    <w:rsid w:val="000173FF"/>
    <w:rsid w:val="00023503"/>
    <w:rsid w:val="00023B97"/>
    <w:rsid w:val="00025ECF"/>
    <w:rsid w:val="00031D21"/>
    <w:rsid w:val="00051794"/>
    <w:rsid w:val="00056B99"/>
    <w:rsid w:val="00056D49"/>
    <w:rsid w:val="00066573"/>
    <w:rsid w:val="00073FCA"/>
    <w:rsid w:val="0008631F"/>
    <w:rsid w:val="00091C56"/>
    <w:rsid w:val="0009648A"/>
    <w:rsid w:val="000968CA"/>
    <w:rsid w:val="000B5159"/>
    <w:rsid w:val="000B61AA"/>
    <w:rsid w:val="000C4268"/>
    <w:rsid w:val="000D2A32"/>
    <w:rsid w:val="000D64BC"/>
    <w:rsid w:val="000D7D53"/>
    <w:rsid w:val="000E3601"/>
    <w:rsid w:val="000F2A34"/>
    <w:rsid w:val="000F3D05"/>
    <w:rsid w:val="0010759C"/>
    <w:rsid w:val="00113152"/>
    <w:rsid w:val="00123003"/>
    <w:rsid w:val="001233F3"/>
    <w:rsid w:val="00123716"/>
    <w:rsid w:val="00127039"/>
    <w:rsid w:val="0013573E"/>
    <w:rsid w:val="0014189A"/>
    <w:rsid w:val="001437A0"/>
    <w:rsid w:val="0014578C"/>
    <w:rsid w:val="0015116B"/>
    <w:rsid w:val="001539C6"/>
    <w:rsid w:val="00157E63"/>
    <w:rsid w:val="00161FFD"/>
    <w:rsid w:val="00170F1B"/>
    <w:rsid w:val="00176E81"/>
    <w:rsid w:val="00185545"/>
    <w:rsid w:val="0018731B"/>
    <w:rsid w:val="00187ECC"/>
    <w:rsid w:val="001B2F45"/>
    <w:rsid w:val="001B78DA"/>
    <w:rsid w:val="001C095A"/>
    <w:rsid w:val="001C2118"/>
    <w:rsid w:val="001D295B"/>
    <w:rsid w:val="001D2B57"/>
    <w:rsid w:val="001D5052"/>
    <w:rsid w:val="001E0FA2"/>
    <w:rsid w:val="001F2CB2"/>
    <w:rsid w:val="00206D54"/>
    <w:rsid w:val="0021478E"/>
    <w:rsid w:val="00223E01"/>
    <w:rsid w:val="00224186"/>
    <w:rsid w:val="002275BE"/>
    <w:rsid w:val="0024291E"/>
    <w:rsid w:val="00257020"/>
    <w:rsid w:val="0026106E"/>
    <w:rsid w:val="002646A2"/>
    <w:rsid w:val="00274889"/>
    <w:rsid w:val="002935D8"/>
    <w:rsid w:val="00296683"/>
    <w:rsid w:val="0029696F"/>
    <w:rsid w:val="002A59F9"/>
    <w:rsid w:val="002B2DA0"/>
    <w:rsid w:val="002B6568"/>
    <w:rsid w:val="002C4C8D"/>
    <w:rsid w:val="002D22F7"/>
    <w:rsid w:val="002D3E6F"/>
    <w:rsid w:val="002D4193"/>
    <w:rsid w:val="002D59C7"/>
    <w:rsid w:val="002D613C"/>
    <w:rsid w:val="0030190A"/>
    <w:rsid w:val="00305028"/>
    <w:rsid w:val="003157E2"/>
    <w:rsid w:val="0032478E"/>
    <w:rsid w:val="00327CA8"/>
    <w:rsid w:val="00341FDF"/>
    <w:rsid w:val="00344EAA"/>
    <w:rsid w:val="00352591"/>
    <w:rsid w:val="00352E6D"/>
    <w:rsid w:val="003542A0"/>
    <w:rsid w:val="00356998"/>
    <w:rsid w:val="00362C07"/>
    <w:rsid w:val="0036588D"/>
    <w:rsid w:val="00366096"/>
    <w:rsid w:val="00370FBA"/>
    <w:rsid w:val="003731BD"/>
    <w:rsid w:val="00376576"/>
    <w:rsid w:val="0038523D"/>
    <w:rsid w:val="003A50F3"/>
    <w:rsid w:val="003A7C30"/>
    <w:rsid w:val="003B4A65"/>
    <w:rsid w:val="003B6540"/>
    <w:rsid w:val="003B7B06"/>
    <w:rsid w:val="003C02FB"/>
    <w:rsid w:val="003C30F3"/>
    <w:rsid w:val="003D258B"/>
    <w:rsid w:val="003D2713"/>
    <w:rsid w:val="003D3227"/>
    <w:rsid w:val="003D3963"/>
    <w:rsid w:val="003E3146"/>
    <w:rsid w:val="003E3FF3"/>
    <w:rsid w:val="003E6E92"/>
    <w:rsid w:val="003E74EA"/>
    <w:rsid w:val="003F04D4"/>
    <w:rsid w:val="003F740A"/>
    <w:rsid w:val="004051BF"/>
    <w:rsid w:val="0041249F"/>
    <w:rsid w:val="00412F14"/>
    <w:rsid w:val="004166E8"/>
    <w:rsid w:val="00421FFF"/>
    <w:rsid w:val="004251AF"/>
    <w:rsid w:val="004268EA"/>
    <w:rsid w:val="00427653"/>
    <w:rsid w:val="004314B4"/>
    <w:rsid w:val="00432855"/>
    <w:rsid w:val="004400FE"/>
    <w:rsid w:val="004409E4"/>
    <w:rsid w:val="00441E6D"/>
    <w:rsid w:val="00441E90"/>
    <w:rsid w:val="00451174"/>
    <w:rsid w:val="004652FE"/>
    <w:rsid w:val="0047178D"/>
    <w:rsid w:val="00472205"/>
    <w:rsid w:val="00475509"/>
    <w:rsid w:val="00475AC2"/>
    <w:rsid w:val="004A2F8F"/>
    <w:rsid w:val="004A31FC"/>
    <w:rsid w:val="004A5124"/>
    <w:rsid w:val="004B6CC5"/>
    <w:rsid w:val="004B77C8"/>
    <w:rsid w:val="004D2CFB"/>
    <w:rsid w:val="004D4C3E"/>
    <w:rsid w:val="004D4D29"/>
    <w:rsid w:val="004D5BC3"/>
    <w:rsid w:val="004F2C8A"/>
    <w:rsid w:val="004F76CA"/>
    <w:rsid w:val="00506DE1"/>
    <w:rsid w:val="0051706F"/>
    <w:rsid w:val="00522451"/>
    <w:rsid w:val="00530354"/>
    <w:rsid w:val="005479D6"/>
    <w:rsid w:val="005554FE"/>
    <w:rsid w:val="00562AEE"/>
    <w:rsid w:val="00573B09"/>
    <w:rsid w:val="00581247"/>
    <w:rsid w:val="00584AAE"/>
    <w:rsid w:val="005951D5"/>
    <w:rsid w:val="00597DEB"/>
    <w:rsid w:val="005A2C96"/>
    <w:rsid w:val="005A43DD"/>
    <w:rsid w:val="005A45D1"/>
    <w:rsid w:val="005A4DB8"/>
    <w:rsid w:val="005B3F0F"/>
    <w:rsid w:val="005B56F9"/>
    <w:rsid w:val="005D1DFD"/>
    <w:rsid w:val="005E3B61"/>
    <w:rsid w:val="005E683D"/>
    <w:rsid w:val="005F03ED"/>
    <w:rsid w:val="005F7D45"/>
    <w:rsid w:val="005F7DC7"/>
    <w:rsid w:val="006003D1"/>
    <w:rsid w:val="0060350E"/>
    <w:rsid w:val="00603D11"/>
    <w:rsid w:val="00604133"/>
    <w:rsid w:val="006054AD"/>
    <w:rsid w:val="006067ED"/>
    <w:rsid w:val="00607F51"/>
    <w:rsid w:val="00611D91"/>
    <w:rsid w:val="0061315A"/>
    <w:rsid w:val="00622AAB"/>
    <w:rsid w:val="00623B48"/>
    <w:rsid w:val="006241EE"/>
    <w:rsid w:val="00624576"/>
    <w:rsid w:val="00636D82"/>
    <w:rsid w:val="0064063E"/>
    <w:rsid w:val="00643FE2"/>
    <w:rsid w:val="00656B8F"/>
    <w:rsid w:val="00660EB4"/>
    <w:rsid w:val="0066275E"/>
    <w:rsid w:val="006668F2"/>
    <w:rsid w:val="00671034"/>
    <w:rsid w:val="00676DA7"/>
    <w:rsid w:val="006810C1"/>
    <w:rsid w:val="006925CC"/>
    <w:rsid w:val="00693187"/>
    <w:rsid w:val="006A3A9B"/>
    <w:rsid w:val="006B791C"/>
    <w:rsid w:val="006C34E5"/>
    <w:rsid w:val="006C5865"/>
    <w:rsid w:val="006D0589"/>
    <w:rsid w:val="006D7DD2"/>
    <w:rsid w:val="006E6533"/>
    <w:rsid w:val="006F1C4B"/>
    <w:rsid w:val="00703490"/>
    <w:rsid w:val="00713999"/>
    <w:rsid w:val="00715D31"/>
    <w:rsid w:val="007252A1"/>
    <w:rsid w:val="0074065A"/>
    <w:rsid w:val="00740676"/>
    <w:rsid w:val="00741A5F"/>
    <w:rsid w:val="00745586"/>
    <w:rsid w:val="00747399"/>
    <w:rsid w:val="00754CAB"/>
    <w:rsid w:val="00760DFD"/>
    <w:rsid w:val="00760ECF"/>
    <w:rsid w:val="00765AD8"/>
    <w:rsid w:val="007676BF"/>
    <w:rsid w:val="00775677"/>
    <w:rsid w:val="007912FE"/>
    <w:rsid w:val="007A1BAB"/>
    <w:rsid w:val="007B434A"/>
    <w:rsid w:val="007C18C7"/>
    <w:rsid w:val="007C58A6"/>
    <w:rsid w:val="007C7A80"/>
    <w:rsid w:val="007D0A93"/>
    <w:rsid w:val="007E38D2"/>
    <w:rsid w:val="007E42F0"/>
    <w:rsid w:val="007E54F1"/>
    <w:rsid w:val="007F497D"/>
    <w:rsid w:val="00800477"/>
    <w:rsid w:val="0080154F"/>
    <w:rsid w:val="0080551D"/>
    <w:rsid w:val="00821EF8"/>
    <w:rsid w:val="00824948"/>
    <w:rsid w:val="00835731"/>
    <w:rsid w:val="00835FF3"/>
    <w:rsid w:val="00842415"/>
    <w:rsid w:val="0084306D"/>
    <w:rsid w:val="00854FBA"/>
    <w:rsid w:val="00855282"/>
    <w:rsid w:val="00860C19"/>
    <w:rsid w:val="008621FC"/>
    <w:rsid w:val="00864B5E"/>
    <w:rsid w:val="00867919"/>
    <w:rsid w:val="008752F4"/>
    <w:rsid w:val="008821A1"/>
    <w:rsid w:val="00882E80"/>
    <w:rsid w:val="008861AC"/>
    <w:rsid w:val="00895796"/>
    <w:rsid w:val="008A6F65"/>
    <w:rsid w:val="008B02FE"/>
    <w:rsid w:val="008C0B5E"/>
    <w:rsid w:val="008C1B3A"/>
    <w:rsid w:val="008E20D1"/>
    <w:rsid w:val="008E4F04"/>
    <w:rsid w:val="008F67FB"/>
    <w:rsid w:val="008F7D16"/>
    <w:rsid w:val="00906432"/>
    <w:rsid w:val="0091452C"/>
    <w:rsid w:val="009165C4"/>
    <w:rsid w:val="00916EE0"/>
    <w:rsid w:val="0092083A"/>
    <w:rsid w:val="009326CD"/>
    <w:rsid w:val="009352AB"/>
    <w:rsid w:val="009403C7"/>
    <w:rsid w:val="0094270A"/>
    <w:rsid w:val="00947A60"/>
    <w:rsid w:val="00957F45"/>
    <w:rsid w:val="00963500"/>
    <w:rsid w:val="009643C0"/>
    <w:rsid w:val="00964A04"/>
    <w:rsid w:val="00972666"/>
    <w:rsid w:val="00972683"/>
    <w:rsid w:val="00972B06"/>
    <w:rsid w:val="0097508E"/>
    <w:rsid w:val="00975D74"/>
    <w:rsid w:val="009760D3"/>
    <w:rsid w:val="00992DEE"/>
    <w:rsid w:val="009A2BB9"/>
    <w:rsid w:val="009B002F"/>
    <w:rsid w:val="009C1C5D"/>
    <w:rsid w:val="009C6B10"/>
    <w:rsid w:val="009C7E1F"/>
    <w:rsid w:val="009D4451"/>
    <w:rsid w:val="009D5B66"/>
    <w:rsid w:val="009D7429"/>
    <w:rsid w:val="009D76AD"/>
    <w:rsid w:val="009E0516"/>
    <w:rsid w:val="009E390F"/>
    <w:rsid w:val="009F0290"/>
    <w:rsid w:val="009F36CA"/>
    <w:rsid w:val="00A147F7"/>
    <w:rsid w:val="00A20D0C"/>
    <w:rsid w:val="00A22201"/>
    <w:rsid w:val="00A22F35"/>
    <w:rsid w:val="00A24FEE"/>
    <w:rsid w:val="00A26A8C"/>
    <w:rsid w:val="00A273EC"/>
    <w:rsid w:val="00A321DB"/>
    <w:rsid w:val="00A3396F"/>
    <w:rsid w:val="00A341AD"/>
    <w:rsid w:val="00A4181F"/>
    <w:rsid w:val="00A50359"/>
    <w:rsid w:val="00A61BEC"/>
    <w:rsid w:val="00A62309"/>
    <w:rsid w:val="00A62919"/>
    <w:rsid w:val="00A64700"/>
    <w:rsid w:val="00A742AA"/>
    <w:rsid w:val="00A75DC2"/>
    <w:rsid w:val="00A8085F"/>
    <w:rsid w:val="00A80BEC"/>
    <w:rsid w:val="00A960BB"/>
    <w:rsid w:val="00AA15B2"/>
    <w:rsid w:val="00AA3213"/>
    <w:rsid w:val="00AA4261"/>
    <w:rsid w:val="00AB6642"/>
    <w:rsid w:val="00AB76FE"/>
    <w:rsid w:val="00AC05E7"/>
    <w:rsid w:val="00AE61B9"/>
    <w:rsid w:val="00AF2929"/>
    <w:rsid w:val="00B11709"/>
    <w:rsid w:val="00B441C1"/>
    <w:rsid w:val="00B64508"/>
    <w:rsid w:val="00B75F4F"/>
    <w:rsid w:val="00B82CD7"/>
    <w:rsid w:val="00B83BFB"/>
    <w:rsid w:val="00B87C78"/>
    <w:rsid w:val="00B92CD7"/>
    <w:rsid w:val="00B92CF7"/>
    <w:rsid w:val="00BB3804"/>
    <w:rsid w:val="00BC2297"/>
    <w:rsid w:val="00BC24C8"/>
    <w:rsid w:val="00BD1F04"/>
    <w:rsid w:val="00BD3423"/>
    <w:rsid w:val="00BD5695"/>
    <w:rsid w:val="00BE5F2A"/>
    <w:rsid w:val="00BF6722"/>
    <w:rsid w:val="00C04631"/>
    <w:rsid w:val="00C05457"/>
    <w:rsid w:val="00C1109E"/>
    <w:rsid w:val="00C21831"/>
    <w:rsid w:val="00C21DFB"/>
    <w:rsid w:val="00C4162B"/>
    <w:rsid w:val="00C41C4E"/>
    <w:rsid w:val="00C5184E"/>
    <w:rsid w:val="00C52D89"/>
    <w:rsid w:val="00C53808"/>
    <w:rsid w:val="00C613DC"/>
    <w:rsid w:val="00C77CB8"/>
    <w:rsid w:val="00C86DFD"/>
    <w:rsid w:val="00C96C05"/>
    <w:rsid w:val="00CA1342"/>
    <w:rsid w:val="00CB0E19"/>
    <w:rsid w:val="00CB231F"/>
    <w:rsid w:val="00CB3E85"/>
    <w:rsid w:val="00CB4283"/>
    <w:rsid w:val="00CB76C4"/>
    <w:rsid w:val="00CC0D41"/>
    <w:rsid w:val="00CC59F0"/>
    <w:rsid w:val="00CC6385"/>
    <w:rsid w:val="00CD16AD"/>
    <w:rsid w:val="00CD205C"/>
    <w:rsid w:val="00CD3AFD"/>
    <w:rsid w:val="00CE07A7"/>
    <w:rsid w:val="00CE734C"/>
    <w:rsid w:val="00D10586"/>
    <w:rsid w:val="00D21823"/>
    <w:rsid w:val="00D2400C"/>
    <w:rsid w:val="00D350D0"/>
    <w:rsid w:val="00D36DF5"/>
    <w:rsid w:val="00D42E5C"/>
    <w:rsid w:val="00D4628A"/>
    <w:rsid w:val="00D52925"/>
    <w:rsid w:val="00D54199"/>
    <w:rsid w:val="00D60F99"/>
    <w:rsid w:val="00D610AE"/>
    <w:rsid w:val="00D61B93"/>
    <w:rsid w:val="00D62CBE"/>
    <w:rsid w:val="00D64B5B"/>
    <w:rsid w:val="00D81054"/>
    <w:rsid w:val="00D868C2"/>
    <w:rsid w:val="00D86AD1"/>
    <w:rsid w:val="00DA26A5"/>
    <w:rsid w:val="00DA33F1"/>
    <w:rsid w:val="00DA78A8"/>
    <w:rsid w:val="00DB04A7"/>
    <w:rsid w:val="00DB4B97"/>
    <w:rsid w:val="00DC33FD"/>
    <w:rsid w:val="00DC767E"/>
    <w:rsid w:val="00DD11CA"/>
    <w:rsid w:val="00DD1D1D"/>
    <w:rsid w:val="00DD23EC"/>
    <w:rsid w:val="00DD7474"/>
    <w:rsid w:val="00DD7778"/>
    <w:rsid w:val="00DE0C99"/>
    <w:rsid w:val="00DE134A"/>
    <w:rsid w:val="00DE25D7"/>
    <w:rsid w:val="00DE3CA5"/>
    <w:rsid w:val="00DF4566"/>
    <w:rsid w:val="00E210E1"/>
    <w:rsid w:val="00E22793"/>
    <w:rsid w:val="00E50D2D"/>
    <w:rsid w:val="00E5102E"/>
    <w:rsid w:val="00E5178E"/>
    <w:rsid w:val="00E56E2B"/>
    <w:rsid w:val="00E57302"/>
    <w:rsid w:val="00E631D9"/>
    <w:rsid w:val="00E71448"/>
    <w:rsid w:val="00E8094F"/>
    <w:rsid w:val="00E832AD"/>
    <w:rsid w:val="00E833B6"/>
    <w:rsid w:val="00E87CA3"/>
    <w:rsid w:val="00E93B5A"/>
    <w:rsid w:val="00EA2426"/>
    <w:rsid w:val="00EA36D1"/>
    <w:rsid w:val="00EA7279"/>
    <w:rsid w:val="00ED0694"/>
    <w:rsid w:val="00ED5903"/>
    <w:rsid w:val="00EE0FDD"/>
    <w:rsid w:val="00EE7BE0"/>
    <w:rsid w:val="00EF2B92"/>
    <w:rsid w:val="00F01D81"/>
    <w:rsid w:val="00F04907"/>
    <w:rsid w:val="00F05FAC"/>
    <w:rsid w:val="00F11367"/>
    <w:rsid w:val="00F12F22"/>
    <w:rsid w:val="00F13E17"/>
    <w:rsid w:val="00F14430"/>
    <w:rsid w:val="00F154AB"/>
    <w:rsid w:val="00F20F44"/>
    <w:rsid w:val="00F21236"/>
    <w:rsid w:val="00F3688E"/>
    <w:rsid w:val="00F36E02"/>
    <w:rsid w:val="00F371EE"/>
    <w:rsid w:val="00F37DE2"/>
    <w:rsid w:val="00F44620"/>
    <w:rsid w:val="00F44D50"/>
    <w:rsid w:val="00F463BF"/>
    <w:rsid w:val="00F5467A"/>
    <w:rsid w:val="00F6665C"/>
    <w:rsid w:val="00F80A40"/>
    <w:rsid w:val="00F82049"/>
    <w:rsid w:val="00F85DA2"/>
    <w:rsid w:val="00F9005E"/>
    <w:rsid w:val="00F94F33"/>
    <w:rsid w:val="00F96856"/>
    <w:rsid w:val="00F97018"/>
    <w:rsid w:val="00F979FB"/>
    <w:rsid w:val="00FA17CE"/>
    <w:rsid w:val="00FA284D"/>
    <w:rsid w:val="00FB0A44"/>
    <w:rsid w:val="00FB0D73"/>
    <w:rsid w:val="00FC02ED"/>
    <w:rsid w:val="00FC2F12"/>
    <w:rsid w:val="00FC6A23"/>
    <w:rsid w:val="00FD20C4"/>
    <w:rsid w:val="00FD411C"/>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unhideWhenUsed/>
    <w:qFormat/>
    <w:rsid w:val="00F463B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D61B93"/>
    <w:rPr>
      <w:color w:val="605E5C"/>
      <w:shd w:val="clear" w:color="auto" w:fill="E1DFDD"/>
    </w:rPr>
  </w:style>
  <w:style w:type="character" w:customStyle="1" w:styleId="Ttulo7Car">
    <w:name w:val="Título 7 Car"/>
    <w:basedOn w:val="Fuentedeprrafopredeter"/>
    <w:link w:val="Ttulo7"/>
    <w:uiPriority w:val="9"/>
    <w:rsid w:val="00F463B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261181642">
      <w:bodyDiv w:val="1"/>
      <w:marLeft w:val="0"/>
      <w:marRight w:val="0"/>
      <w:marTop w:val="0"/>
      <w:marBottom w:val="0"/>
      <w:divBdr>
        <w:top w:val="none" w:sz="0" w:space="0" w:color="auto"/>
        <w:left w:val="none" w:sz="0" w:space="0" w:color="auto"/>
        <w:bottom w:val="none" w:sz="0" w:space="0" w:color="auto"/>
        <w:right w:val="none" w:sz="0" w:space="0" w:color="auto"/>
      </w:divBdr>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24028581">
      <w:bodyDiv w:val="1"/>
      <w:marLeft w:val="0"/>
      <w:marRight w:val="0"/>
      <w:marTop w:val="0"/>
      <w:marBottom w:val="0"/>
      <w:divBdr>
        <w:top w:val="none" w:sz="0" w:space="0" w:color="auto"/>
        <w:left w:val="none" w:sz="0" w:space="0" w:color="auto"/>
        <w:bottom w:val="none" w:sz="0" w:space="0" w:color="auto"/>
        <w:right w:val="none" w:sz="0" w:space="0" w:color="auto"/>
      </w:divBdr>
    </w:div>
    <w:div w:id="554438971">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96351976">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929968812">
      <w:bodyDiv w:val="1"/>
      <w:marLeft w:val="0"/>
      <w:marRight w:val="0"/>
      <w:marTop w:val="0"/>
      <w:marBottom w:val="0"/>
      <w:divBdr>
        <w:top w:val="none" w:sz="0" w:space="0" w:color="auto"/>
        <w:left w:val="none" w:sz="0" w:space="0" w:color="auto"/>
        <w:bottom w:val="none" w:sz="0" w:space="0" w:color="auto"/>
        <w:right w:val="none" w:sz="0" w:space="0" w:color="auto"/>
      </w:divBdr>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46837257">
      <w:bodyDiv w:val="1"/>
      <w:marLeft w:val="0"/>
      <w:marRight w:val="0"/>
      <w:marTop w:val="0"/>
      <w:marBottom w:val="0"/>
      <w:divBdr>
        <w:top w:val="none" w:sz="0" w:space="0" w:color="auto"/>
        <w:left w:val="none" w:sz="0" w:space="0" w:color="auto"/>
        <w:bottom w:val="none" w:sz="0" w:space="0" w:color="auto"/>
        <w:right w:val="none" w:sz="0" w:space="0" w:color="auto"/>
      </w:divBdr>
      <w:divsChild>
        <w:div w:id="43144182">
          <w:marLeft w:val="0"/>
          <w:marRight w:val="0"/>
          <w:marTop w:val="0"/>
          <w:marBottom w:val="0"/>
          <w:divBdr>
            <w:top w:val="none" w:sz="0" w:space="0" w:color="auto"/>
            <w:left w:val="none" w:sz="0" w:space="0" w:color="auto"/>
            <w:bottom w:val="none" w:sz="0" w:space="0" w:color="auto"/>
            <w:right w:val="none" w:sz="0" w:space="0" w:color="auto"/>
          </w:divBdr>
        </w:div>
      </w:divsChild>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180050134">
      <w:bodyDiv w:val="1"/>
      <w:marLeft w:val="0"/>
      <w:marRight w:val="0"/>
      <w:marTop w:val="0"/>
      <w:marBottom w:val="0"/>
      <w:divBdr>
        <w:top w:val="none" w:sz="0" w:space="0" w:color="auto"/>
        <w:left w:val="none" w:sz="0" w:space="0" w:color="auto"/>
        <w:bottom w:val="none" w:sz="0" w:space="0" w:color="auto"/>
        <w:right w:val="none" w:sz="0" w:space="0" w:color="auto"/>
      </w:divBdr>
    </w:div>
    <w:div w:id="1261984736">
      <w:bodyDiv w:val="1"/>
      <w:marLeft w:val="0"/>
      <w:marRight w:val="0"/>
      <w:marTop w:val="0"/>
      <w:marBottom w:val="0"/>
      <w:divBdr>
        <w:top w:val="none" w:sz="0" w:space="0" w:color="auto"/>
        <w:left w:val="none" w:sz="0" w:space="0" w:color="auto"/>
        <w:bottom w:val="none" w:sz="0" w:space="0" w:color="auto"/>
        <w:right w:val="none" w:sz="0" w:space="0" w:color="auto"/>
      </w:divBdr>
    </w:div>
    <w:div w:id="1432358687">
      <w:bodyDiv w:val="1"/>
      <w:marLeft w:val="0"/>
      <w:marRight w:val="0"/>
      <w:marTop w:val="0"/>
      <w:marBottom w:val="0"/>
      <w:divBdr>
        <w:top w:val="none" w:sz="0" w:space="0" w:color="auto"/>
        <w:left w:val="none" w:sz="0" w:space="0" w:color="auto"/>
        <w:bottom w:val="none" w:sz="0" w:space="0" w:color="auto"/>
        <w:right w:val="none" w:sz="0" w:space="0" w:color="auto"/>
      </w:divBdr>
      <w:divsChild>
        <w:div w:id="342098604">
          <w:marLeft w:val="0"/>
          <w:marRight w:val="0"/>
          <w:marTop w:val="0"/>
          <w:marBottom w:val="0"/>
          <w:divBdr>
            <w:top w:val="none" w:sz="0" w:space="0" w:color="auto"/>
            <w:left w:val="none" w:sz="0" w:space="0" w:color="auto"/>
            <w:bottom w:val="none" w:sz="0" w:space="0" w:color="auto"/>
            <w:right w:val="none" w:sz="0" w:space="0" w:color="auto"/>
          </w:divBdr>
        </w:div>
      </w:divsChild>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26232463">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9421579">
      <w:bodyDiv w:val="1"/>
      <w:marLeft w:val="0"/>
      <w:marRight w:val="0"/>
      <w:marTop w:val="0"/>
      <w:marBottom w:val="0"/>
      <w:divBdr>
        <w:top w:val="none" w:sz="0" w:space="0" w:color="auto"/>
        <w:left w:val="none" w:sz="0" w:space="0" w:color="auto"/>
        <w:bottom w:val="none" w:sz="0" w:space="0" w:color="auto"/>
        <w:right w:val="none" w:sz="0" w:space="0" w:color="auto"/>
      </w:divBdr>
    </w:div>
    <w:div w:id="1800227141">
      <w:bodyDiv w:val="1"/>
      <w:marLeft w:val="0"/>
      <w:marRight w:val="0"/>
      <w:marTop w:val="0"/>
      <w:marBottom w:val="0"/>
      <w:divBdr>
        <w:top w:val="none" w:sz="0" w:space="0" w:color="auto"/>
        <w:left w:val="none" w:sz="0" w:space="0" w:color="auto"/>
        <w:bottom w:val="none" w:sz="0" w:space="0" w:color="auto"/>
        <w:right w:val="none" w:sz="0" w:space="0" w:color="auto"/>
      </w:divBdr>
    </w:div>
    <w:div w:id="1824546428">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87794063">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ebapps.condusef.gob.mx/SIPRES/jsp/pub/index.jsp"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condusef.gob.mx/Revista/index.php/usuario-inteligente/condusef-responde/777-la-condusef-te-puede-ayudar"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gob.mx/segob/renapo/acciones-y-programas/clave-unica-de-registro-de-poblacion-curp-142226"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consultas.curp.gob.mx/CurpSP/html/informacionecurpPS.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C834F-490B-4E4F-A994-9FA64A3E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59</Pages>
  <Words>15904</Words>
  <Characters>87478</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INFOEM381</cp:lastModifiedBy>
  <cp:revision>11</cp:revision>
  <cp:lastPrinted>2025-06-05T23:07:00Z</cp:lastPrinted>
  <dcterms:created xsi:type="dcterms:W3CDTF">2025-05-20T00:56:00Z</dcterms:created>
  <dcterms:modified xsi:type="dcterms:W3CDTF">2025-08-07T20:07:00Z</dcterms:modified>
</cp:coreProperties>
</file>