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77D76E" w14:textId="0F305931" w:rsidR="00546C2A" w:rsidRPr="002E6831" w:rsidRDefault="00546C2A" w:rsidP="00546C2A">
      <w:pPr>
        <w:spacing w:line="360" w:lineRule="auto"/>
        <w:jc w:val="both"/>
        <w:rPr>
          <w:rFonts w:ascii="Palatino Linotype" w:eastAsia="Palatino Linotype" w:hAnsi="Palatino Linotype" w:cs="Palatino Linotype"/>
          <w:sz w:val="24"/>
          <w:szCs w:val="24"/>
        </w:rPr>
      </w:pPr>
      <w:bookmarkStart w:id="0" w:name="_Toc87549675"/>
      <w:r w:rsidRPr="002E6831">
        <w:rPr>
          <w:rFonts w:ascii="Palatino Linotype" w:eastAsia="Palatino Linotype" w:hAnsi="Palatino Linotype" w:cs="Palatino Linotype"/>
          <w:sz w:val="24"/>
          <w:szCs w:val="24"/>
        </w:rPr>
        <w:t xml:space="preserve">Resolución del Pleno del Instituto de Transparencia, Acceso a la Información Pública y Protección de Datos Personales del Estado de México y Municipios, con domicilio en Metepec, Estado de México; de </w:t>
      </w:r>
      <w:r w:rsidR="009C4837" w:rsidRPr="002E6831">
        <w:rPr>
          <w:rFonts w:ascii="Palatino Linotype" w:eastAsia="Palatino Linotype" w:hAnsi="Palatino Linotype" w:cs="Palatino Linotype"/>
          <w:b/>
          <w:sz w:val="24"/>
          <w:szCs w:val="24"/>
        </w:rPr>
        <w:t xml:space="preserve">veintiséis </w:t>
      </w:r>
      <w:r w:rsidR="001C6110" w:rsidRPr="002E6831">
        <w:rPr>
          <w:rFonts w:ascii="Palatino Linotype" w:eastAsia="Palatino Linotype" w:hAnsi="Palatino Linotype" w:cs="Palatino Linotype"/>
          <w:b/>
          <w:sz w:val="24"/>
          <w:szCs w:val="24"/>
        </w:rPr>
        <w:t xml:space="preserve">de marzo </w:t>
      </w:r>
      <w:r w:rsidRPr="002E6831">
        <w:rPr>
          <w:rFonts w:ascii="Palatino Linotype" w:eastAsia="Palatino Linotype" w:hAnsi="Palatino Linotype" w:cs="Palatino Linotype"/>
          <w:b/>
          <w:sz w:val="24"/>
          <w:szCs w:val="24"/>
        </w:rPr>
        <w:t xml:space="preserve">de dos mil veinticinco. </w:t>
      </w:r>
    </w:p>
    <w:p w14:paraId="3790767F" w14:textId="77777777" w:rsidR="00546C2A" w:rsidRPr="002E6831" w:rsidRDefault="00546C2A" w:rsidP="00546C2A">
      <w:pPr>
        <w:spacing w:line="360" w:lineRule="auto"/>
        <w:jc w:val="both"/>
        <w:rPr>
          <w:rFonts w:ascii="Palatino Linotype" w:eastAsia="Palatino Linotype" w:hAnsi="Palatino Linotype" w:cs="Palatino Linotype"/>
          <w:sz w:val="24"/>
          <w:szCs w:val="24"/>
        </w:rPr>
      </w:pPr>
    </w:p>
    <w:p w14:paraId="3C1EB051" w14:textId="43D11A58" w:rsidR="00546C2A" w:rsidRPr="002E6831" w:rsidRDefault="00546C2A" w:rsidP="00546C2A">
      <w:pPr>
        <w:spacing w:line="360" w:lineRule="auto"/>
        <w:jc w:val="both"/>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t>VISTO</w:t>
      </w:r>
      <w:r w:rsidRPr="002E6831">
        <w:rPr>
          <w:rFonts w:ascii="Palatino Linotype" w:eastAsia="Palatino Linotype" w:hAnsi="Palatino Linotype" w:cs="Palatino Linotype"/>
          <w:sz w:val="24"/>
          <w:szCs w:val="24"/>
        </w:rPr>
        <w:t xml:space="preserve"> el expediente electrónico formado con</w:t>
      </w:r>
      <w:r w:rsidR="00FA2E10" w:rsidRPr="002E6831">
        <w:rPr>
          <w:rFonts w:ascii="Palatino Linotype" w:eastAsia="Palatino Linotype" w:hAnsi="Palatino Linotype" w:cs="Palatino Linotype"/>
          <w:sz w:val="24"/>
          <w:szCs w:val="24"/>
        </w:rPr>
        <w:t xml:space="preserve"> motivo del recurso de revisión</w:t>
      </w:r>
      <w:r w:rsidR="00FA2E10" w:rsidRPr="002E6831">
        <w:rPr>
          <w:rFonts w:ascii="Palatino Linotype" w:eastAsia="Palatino Linotype" w:hAnsi="Palatino Linotype" w:cs="Palatino Linotype"/>
          <w:b/>
          <w:bCs/>
          <w:sz w:val="24"/>
          <w:szCs w:val="24"/>
        </w:rPr>
        <w:t> </w:t>
      </w:r>
      <w:r w:rsidR="00823FBA" w:rsidRPr="002E6831">
        <w:rPr>
          <w:rFonts w:ascii="Palatino Linotype" w:eastAsia="Palatino Linotype" w:hAnsi="Palatino Linotype" w:cs="Palatino Linotype"/>
          <w:b/>
          <w:bCs/>
          <w:sz w:val="24"/>
          <w:szCs w:val="24"/>
        </w:rPr>
        <w:t>00603/INFOEM/IP/RR/2025</w:t>
      </w:r>
      <w:r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sz w:val="24"/>
          <w:szCs w:val="24"/>
        </w:rPr>
        <w:t>promovido por</w:t>
      </w:r>
      <w:r w:rsidRPr="002E6831">
        <w:rPr>
          <w:rFonts w:ascii="Palatino Linotype" w:eastAsia="Palatino Linotype" w:hAnsi="Palatino Linotype" w:cs="Palatino Linotype"/>
          <w:b/>
          <w:color w:val="FF0000"/>
          <w:sz w:val="24"/>
          <w:szCs w:val="24"/>
        </w:rPr>
        <w:t xml:space="preserve"> </w:t>
      </w:r>
      <w:r w:rsidR="009C4837" w:rsidRPr="002E6831">
        <w:rPr>
          <w:rFonts w:ascii="Palatino Linotype" w:eastAsia="Palatino Linotype" w:hAnsi="Palatino Linotype" w:cs="Palatino Linotype"/>
          <w:b/>
          <w:bCs/>
          <w:sz w:val="24"/>
          <w:szCs w:val="24"/>
        </w:rPr>
        <w:t>una persona que no proporciono datos de identificación</w:t>
      </w:r>
      <w:r w:rsidR="001C6110" w:rsidRPr="002E6831">
        <w:rPr>
          <w:rFonts w:ascii="Palatino Linotype" w:eastAsia="Palatino Linotype" w:hAnsi="Palatino Linotype" w:cs="Palatino Linotype"/>
          <w:b/>
          <w:bCs/>
          <w:sz w:val="24"/>
          <w:szCs w:val="24"/>
        </w:rPr>
        <w:t xml:space="preserve"> </w:t>
      </w:r>
      <w:r w:rsidRPr="002E6831">
        <w:rPr>
          <w:rFonts w:ascii="Palatino Linotype" w:eastAsia="Palatino Linotype" w:hAnsi="Palatino Linotype" w:cs="Palatino Linotype"/>
          <w:sz w:val="24"/>
          <w:szCs w:val="24"/>
        </w:rPr>
        <w:t xml:space="preserve">y a quien en lo sucesivo se identificará como </w:t>
      </w:r>
      <w:r w:rsidRPr="002E6831">
        <w:rPr>
          <w:rFonts w:ascii="Palatino Linotype" w:eastAsia="Palatino Linotype" w:hAnsi="Palatino Linotype" w:cs="Palatino Linotype"/>
          <w:b/>
          <w:sz w:val="24"/>
          <w:szCs w:val="24"/>
        </w:rPr>
        <w:t>EL RECURRENTE</w:t>
      </w:r>
      <w:r w:rsidR="00FA2E10" w:rsidRPr="002E6831">
        <w:rPr>
          <w:rFonts w:ascii="Palatino Linotype" w:eastAsia="Palatino Linotype" w:hAnsi="Palatino Linotype" w:cs="Palatino Linotype"/>
          <w:sz w:val="24"/>
          <w:szCs w:val="24"/>
        </w:rPr>
        <w:t>,</w:t>
      </w:r>
      <w:r w:rsidR="001C6110" w:rsidRPr="002E6831">
        <w:rPr>
          <w:rFonts w:ascii="Palatino Linotype" w:eastAsia="Palatino Linotype" w:hAnsi="Palatino Linotype" w:cs="Palatino Linotype"/>
          <w:sz w:val="24"/>
          <w:szCs w:val="24"/>
        </w:rPr>
        <w:t xml:space="preserve"> en contra de la respuesta del</w:t>
      </w:r>
      <w:r w:rsidRPr="002E6831">
        <w:rPr>
          <w:rFonts w:ascii="Palatino Linotype" w:eastAsia="Palatino Linotype" w:hAnsi="Palatino Linotype" w:cs="Palatino Linotype"/>
          <w:sz w:val="24"/>
          <w:szCs w:val="24"/>
        </w:rPr>
        <w:t xml:space="preserve"> </w:t>
      </w:r>
      <w:r w:rsidR="005029F8" w:rsidRPr="002E6831">
        <w:rPr>
          <w:rFonts w:ascii="Palatino Linotype" w:eastAsia="Palatino Linotype" w:hAnsi="Palatino Linotype" w:cs="Palatino Linotype"/>
          <w:b/>
          <w:bCs/>
          <w:sz w:val="24"/>
          <w:szCs w:val="24"/>
        </w:rPr>
        <w:t>Ayuntamiento de Toluca</w:t>
      </w:r>
      <w:r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sz w:val="24"/>
          <w:szCs w:val="24"/>
        </w:rPr>
        <w:t>en lo sucesivo el</w:t>
      </w:r>
      <w:r w:rsidRPr="002E6831">
        <w:rPr>
          <w:rFonts w:ascii="Palatino Linotype" w:eastAsia="Palatino Linotype" w:hAnsi="Palatino Linotype" w:cs="Palatino Linotype"/>
          <w:b/>
          <w:sz w:val="24"/>
          <w:szCs w:val="24"/>
        </w:rPr>
        <w:t xml:space="preserve"> SUJETO OBLIGADO</w:t>
      </w:r>
      <w:r w:rsidRPr="002E6831">
        <w:rPr>
          <w:rFonts w:ascii="Palatino Linotype" w:eastAsia="Palatino Linotype" w:hAnsi="Palatino Linotype" w:cs="Palatino Linotype"/>
          <w:sz w:val="24"/>
          <w:szCs w:val="24"/>
        </w:rPr>
        <w:t>, por lo que se procede a dictar la presente resolución, con base en los siguientes:</w:t>
      </w:r>
    </w:p>
    <w:p w14:paraId="53BE6703" w14:textId="075D4E7F" w:rsidR="00546C2A" w:rsidRPr="002E6831" w:rsidRDefault="00546C2A" w:rsidP="00546C2A">
      <w:pPr>
        <w:keepNext/>
        <w:keepLines/>
        <w:spacing w:line="360" w:lineRule="auto"/>
        <w:jc w:val="center"/>
        <w:rPr>
          <w:rFonts w:ascii="Palatino Linotype" w:eastAsia="Palatino Linotype" w:hAnsi="Palatino Linotype" w:cs="Palatino Linotype"/>
          <w:b/>
          <w:sz w:val="24"/>
          <w:szCs w:val="24"/>
        </w:rPr>
      </w:pPr>
      <w:bookmarkStart w:id="1" w:name="_heading=h.gjdgxs" w:colFirst="0" w:colLast="0"/>
      <w:bookmarkEnd w:id="1"/>
      <w:r w:rsidRPr="002E6831">
        <w:rPr>
          <w:rFonts w:ascii="Palatino Linotype" w:eastAsia="Palatino Linotype" w:hAnsi="Palatino Linotype" w:cs="Palatino Linotype"/>
          <w:b/>
          <w:sz w:val="24"/>
          <w:szCs w:val="24"/>
        </w:rPr>
        <w:t>A</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N</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T</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E</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C</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E</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D</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E</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N</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T</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E</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S</w:t>
      </w:r>
    </w:p>
    <w:p w14:paraId="4A82D11B" w14:textId="77777777" w:rsidR="00546C2A" w:rsidRPr="002E6831" w:rsidRDefault="00546C2A" w:rsidP="00546C2A">
      <w:pPr>
        <w:keepNext/>
        <w:keepLines/>
        <w:spacing w:line="360" w:lineRule="auto"/>
        <w:jc w:val="center"/>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t>SOLICITUD</w:t>
      </w:r>
    </w:p>
    <w:p w14:paraId="179CDA11" w14:textId="1003649B" w:rsidR="00546C2A" w:rsidRPr="002E6831" w:rsidRDefault="00546C2A" w:rsidP="00823FBA">
      <w:pPr>
        <w:numPr>
          <w:ilvl w:val="0"/>
          <w:numId w:val="3"/>
        </w:numPr>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El </w:t>
      </w:r>
      <w:r w:rsidR="005029F8" w:rsidRPr="002E6831">
        <w:rPr>
          <w:rFonts w:ascii="Palatino Linotype" w:eastAsia="Palatino Linotype" w:hAnsi="Palatino Linotype" w:cs="Palatino Linotype"/>
          <w:b/>
          <w:sz w:val="24"/>
          <w:szCs w:val="24"/>
        </w:rPr>
        <w:t>trece</w:t>
      </w:r>
      <w:r w:rsidR="001C6110" w:rsidRPr="002E6831">
        <w:rPr>
          <w:rFonts w:ascii="Palatino Linotype" w:eastAsia="Palatino Linotype" w:hAnsi="Palatino Linotype" w:cs="Palatino Linotype"/>
          <w:b/>
          <w:sz w:val="24"/>
          <w:szCs w:val="24"/>
        </w:rPr>
        <w:t xml:space="preserve"> de enero de dos mil veinticinco</w:t>
      </w:r>
      <w:r w:rsidRPr="002E6831">
        <w:rPr>
          <w:rFonts w:ascii="Palatino Linotype" w:eastAsia="Palatino Linotype" w:hAnsi="Palatino Linotype" w:cs="Palatino Linotype"/>
          <w:sz w:val="24"/>
          <w:szCs w:val="24"/>
        </w:rPr>
        <w:t xml:space="preserve">, </w:t>
      </w:r>
      <w:r w:rsidRPr="002E6831">
        <w:rPr>
          <w:rFonts w:ascii="Palatino Linotype" w:eastAsia="Palatino Linotype" w:hAnsi="Palatino Linotype" w:cs="Palatino Linotype"/>
          <w:b/>
          <w:sz w:val="24"/>
          <w:szCs w:val="24"/>
        </w:rPr>
        <w:t>EL RECURRENTE,</w:t>
      </w:r>
      <w:r w:rsidRPr="002E6831">
        <w:rPr>
          <w:rFonts w:ascii="Palatino Linotype" w:eastAsia="Palatino Linotype" w:hAnsi="Palatino Linotype" w:cs="Palatino Linotype"/>
          <w:sz w:val="24"/>
          <w:szCs w:val="24"/>
        </w:rPr>
        <w:t xml:space="preserve"> ante el </w:t>
      </w:r>
      <w:r w:rsidR="00823FBA" w:rsidRPr="002E6831">
        <w:rPr>
          <w:rFonts w:ascii="Palatino Linotype" w:eastAsia="Palatino Linotype" w:hAnsi="Palatino Linotype" w:cs="Palatino Linotype"/>
          <w:b/>
          <w:sz w:val="24"/>
          <w:szCs w:val="24"/>
        </w:rPr>
        <w:t xml:space="preserve">SUJETO </w:t>
      </w:r>
      <w:r w:rsidRPr="002E6831">
        <w:rPr>
          <w:rFonts w:ascii="Palatino Linotype" w:eastAsia="Palatino Linotype" w:hAnsi="Palatino Linotype" w:cs="Palatino Linotype"/>
          <w:b/>
          <w:sz w:val="24"/>
          <w:szCs w:val="24"/>
        </w:rPr>
        <w:t>OBLIGADO</w:t>
      </w:r>
      <w:r w:rsidRPr="002E6831">
        <w:rPr>
          <w:rFonts w:ascii="Palatino Linotype" w:eastAsia="Palatino Linotype" w:hAnsi="Palatino Linotype" w:cs="Palatino Linotype"/>
          <w:sz w:val="24"/>
          <w:szCs w:val="24"/>
        </w:rPr>
        <w:t xml:space="preserve"> vía Sistema de Acceso a la Información Mexiquense (</w:t>
      </w:r>
      <w:r w:rsidRPr="002E6831">
        <w:rPr>
          <w:rFonts w:ascii="Palatino Linotype" w:eastAsia="Palatino Linotype" w:hAnsi="Palatino Linotype" w:cs="Palatino Linotype"/>
          <w:b/>
          <w:sz w:val="24"/>
          <w:szCs w:val="24"/>
        </w:rPr>
        <w:t>SAIMEX)</w:t>
      </w:r>
      <w:r w:rsidR="005029F8" w:rsidRPr="002E6831">
        <w:rPr>
          <w:rFonts w:ascii="Palatino Linotype" w:eastAsia="Palatino Linotype" w:hAnsi="Palatino Linotype" w:cs="Palatino Linotype"/>
          <w:sz w:val="24"/>
          <w:szCs w:val="24"/>
        </w:rPr>
        <w:t>,</w:t>
      </w:r>
      <w:r w:rsidRPr="002E6831">
        <w:rPr>
          <w:rFonts w:ascii="Palatino Linotype" w:eastAsia="Palatino Linotype" w:hAnsi="Palatino Linotype" w:cs="Palatino Linotype"/>
          <w:sz w:val="24"/>
          <w:szCs w:val="24"/>
        </w:rPr>
        <w:t>presentó la solicitud de infor</w:t>
      </w:r>
      <w:r w:rsidR="001C6110" w:rsidRPr="002E6831">
        <w:rPr>
          <w:rFonts w:ascii="Palatino Linotype" w:eastAsia="Palatino Linotype" w:hAnsi="Palatino Linotype" w:cs="Palatino Linotype"/>
          <w:sz w:val="24"/>
          <w:szCs w:val="24"/>
        </w:rPr>
        <w:t>mación registrada con el número</w:t>
      </w:r>
      <w:r w:rsidR="00FA2E10" w:rsidRPr="002E6831">
        <w:rPr>
          <w:rFonts w:ascii="Palatino Linotype" w:eastAsia="Palatino Linotype" w:hAnsi="Palatino Linotype" w:cs="Palatino Linotype"/>
          <w:b/>
          <w:bCs/>
          <w:sz w:val="24"/>
          <w:szCs w:val="24"/>
        </w:rPr>
        <w:t> </w:t>
      </w:r>
      <w:r w:rsidR="00823FBA" w:rsidRPr="002E6831">
        <w:rPr>
          <w:rFonts w:ascii="Palatino Linotype" w:eastAsia="Palatino Linotype" w:hAnsi="Palatino Linotype" w:cs="Palatino Linotype"/>
          <w:b/>
          <w:bCs/>
          <w:sz w:val="24"/>
          <w:szCs w:val="24"/>
        </w:rPr>
        <w:t>00067/TOLUCA/IP/2025</w:t>
      </w:r>
      <w:r w:rsidR="00FA2E10" w:rsidRPr="002E6831">
        <w:rPr>
          <w:rFonts w:ascii="Palatino Linotype" w:eastAsia="Palatino Linotype" w:hAnsi="Palatino Linotype" w:cs="Palatino Linotype"/>
          <w:b/>
          <w:bCs/>
          <w:sz w:val="24"/>
          <w:szCs w:val="24"/>
        </w:rPr>
        <w:t>,</w:t>
      </w:r>
      <w:r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sz w:val="24"/>
          <w:szCs w:val="24"/>
        </w:rPr>
        <w:t>mediante la cual solicitó lo siguiente:</w:t>
      </w:r>
    </w:p>
    <w:p w14:paraId="77668F2C" w14:textId="77777777" w:rsidR="00546C2A" w:rsidRPr="002E6831" w:rsidRDefault="00546C2A" w:rsidP="00546C2A">
      <w:pPr>
        <w:pBdr>
          <w:top w:val="nil"/>
          <w:left w:val="nil"/>
          <w:bottom w:val="nil"/>
          <w:right w:val="nil"/>
          <w:between w:val="nil"/>
        </w:pBdr>
        <w:spacing w:line="360" w:lineRule="auto"/>
        <w:ind w:left="1069" w:right="567"/>
        <w:jc w:val="both"/>
        <w:rPr>
          <w:rFonts w:ascii="Palatino Linotype" w:eastAsia="Palatino Linotype" w:hAnsi="Palatino Linotype" w:cs="Palatino Linotype"/>
          <w:i/>
          <w:color w:val="000000"/>
          <w:sz w:val="24"/>
          <w:szCs w:val="24"/>
        </w:rPr>
      </w:pPr>
    </w:p>
    <w:p w14:paraId="348F7263" w14:textId="71566D94" w:rsidR="00546C2A" w:rsidRPr="002E6831" w:rsidRDefault="00546C2A" w:rsidP="00823FBA">
      <w:pPr>
        <w:pBdr>
          <w:top w:val="nil"/>
          <w:left w:val="nil"/>
          <w:bottom w:val="nil"/>
          <w:right w:val="nil"/>
          <w:between w:val="nil"/>
        </w:pBdr>
        <w:ind w:left="567" w:right="567"/>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w:t>
      </w:r>
      <w:r w:rsidR="00823FBA" w:rsidRPr="002E6831">
        <w:rPr>
          <w:rFonts w:ascii="Palatino Linotype" w:eastAsia="Palatino Linotype" w:hAnsi="Palatino Linotype" w:cs="Palatino Linotype"/>
          <w:i/>
          <w:color w:val="000000"/>
          <w:sz w:val="24"/>
          <w:szCs w:val="24"/>
        </w:rPr>
        <w:t>De conformidad con lo 5 constitucional se solicitan los oficios firmados por el titular de desarrollo social en 2008</w:t>
      </w:r>
      <w:r w:rsidR="005029F8" w:rsidRPr="002E6831">
        <w:rPr>
          <w:rFonts w:ascii="Palatino Linotype" w:eastAsia="Palatino Linotype" w:hAnsi="Palatino Linotype" w:cs="Palatino Linotype"/>
          <w:i/>
          <w:color w:val="000000"/>
          <w:sz w:val="24"/>
          <w:szCs w:val="24"/>
        </w:rPr>
        <w:t xml:space="preserve">” </w:t>
      </w:r>
      <w:r w:rsidRPr="002E6831">
        <w:rPr>
          <w:rFonts w:ascii="Palatino Linotype" w:eastAsia="Palatino Linotype" w:hAnsi="Palatino Linotype" w:cs="Palatino Linotype"/>
          <w:i/>
          <w:color w:val="000000"/>
          <w:sz w:val="24"/>
          <w:szCs w:val="24"/>
        </w:rPr>
        <w:t xml:space="preserve">(Sic) </w:t>
      </w:r>
    </w:p>
    <w:p w14:paraId="7E240CEA" w14:textId="77777777" w:rsidR="00546C2A" w:rsidRPr="002E6831" w:rsidRDefault="00546C2A" w:rsidP="00546C2A">
      <w:pPr>
        <w:pBdr>
          <w:top w:val="nil"/>
          <w:left w:val="nil"/>
          <w:bottom w:val="nil"/>
          <w:right w:val="nil"/>
          <w:between w:val="nil"/>
        </w:pBdr>
        <w:ind w:left="567" w:right="567"/>
        <w:jc w:val="both"/>
        <w:rPr>
          <w:rFonts w:ascii="Palatino Linotype" w:eastAsia="Palatino Linotype" w:hAnsi="Palatino Linotype" w:cs="Palatino Linotype"/>
          <w:i/>
          <w:color w:val="000000"/>
          <w:sz w:val="24"/>
          <w:szCs w:val="24"/>
        </w:rPr>
      </w:pPr>
    </w:p>
    <w:p w14:paraId="547C301C" w14:textId="66219E25" w:rsidR="00FA2E10" w:rsidRPr="002E6831" w:rsidRDefault="00546C2A" w:rsidP="001C6110">
      <w:pPr>
        <w:numPr>
          <w:ilvl w:val="0"/>
          <w:numId w:val="4"/>
        </w:numPr>
        <w:spacing w:line="360" w:lineRule="auto"/>
        <w:ind w:right="567"/>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Modalidad de entrega: </w:t>
      </w:r>
      <w:r w:rsidRPr="002E6831">
        <w:rPr>
          <w:rFonts w:ascii="Palatino Linotype" w:eastAsia="Palatino Linotype" w:hAnsi="Palatino Linotype" w:cs="Palatino Linotype"/>
          <w:b/>
          <w:sz w:val="24"/>
          <w:szCs w:val="24"/>
        </w:rPr>
        <w:t>Vía SAIMEX.</w:t>
      </w:r>
    </w:p>
    <w:p w14:paraId="32BCEC66" w14:textId="77777777" w:rsidR="001C6110" w:rsidRPr="002E6831" w:rsidRDefault="001C6110" w:rsidP="001C6110">
      <w:pPr>
        <w:spacing w:line="360" w:lineRule="auto"/>
        <w:ind w:left="1146" w:right="567"/>
        <w:jc w:val="both"/>
        <w:rPr>
          <w:rFonts w:ascii="Palatino Linotype" w:eastAsia="Palatino Linotype" w:hAnsi="Palatino Linotype" w:cs="Palatino Linotype"/>
          <w:sz w:val="24"/>
          <w:szCs w:val="24"/>
        </w:rPr>
      </w:pPr>
    </w:p>
    <w:p w14:paraId="3694897D" w14:textId="77777777" w:rsidR="00546C2A" w:rsidRPr="002E6831" w:rsidRDefault="00546C2A" w:rsidP="00546C2A">
      <w:pPr>
        <w:keepNext/>
        <w:keepLines/>
        <w:spacing w:line="360" w:lineRule="auto"/>
        <w:jc w:val="center"/>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lastRenderedPageBreak/>
        <w:t>RESPUESTA</w:t>
      </w:r>
    </w:p>
    <w:p w14:paraId="412FD52B" w14:textId="7284817D" w:rsidR="005029F8" w:rsidRPr="002E6831" w:rsidRDefault="00823FBA" w:rsidP="00823FBA">
      <w:pPr>
        <w:numPr>
          <w:ilvl w:val="0"/>
          <w:numId w:val="3"/>
        </w:numPr>
        <w:spacing w:line="360" w:lineRule="auto"/>
        <w:ind w:left="0" w:firstLine="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sz w:val="24"/>
          <w:szCs w:val="24"/>
        </w:rPr>
        <w:t xml:space="preserve">De acuerdo a las constancias que obran en el SAIMEX, se advierte que el </w:t>
      </w:r>
      <w:r w:rsidRPr="002E6831">
        <w:rPr>
          <w:rFonts w:ascii="Palatino Linotype" w:eastAsia="Palatino Linotype" w:hAnsi="Palatino Linotype" w:cs="Palatino Linotype"/>
          <w:b/>
          <w:sz w:val="24"/>
          <w:szCs w:val="24"/>
        </w:rPr>
        <w:t xml:space="preserve">SUJETO OBLIGADO, </w:t>
      </w:r>
      <w:r w:rsidRPr="002E6831">
        <w:rPr>
          <w:rFonts w:ascii="Palatino Linotype" w:eastAsia="Palatino Linotype" w:hAnsi="Palatino Linotype" w:cs="Palatino Linotype"/>
          <w:sz w:val="24"/>
          <w:szCs w:val="24"/>
        </w:rPr>
        <w:t>no dio respuesta al recurso de revisión que nos ocupa.</w:t>
      </w:r>
    </w:p>
    <w:p w14:paraId="60688C79" w14:textId="77777777" w:rsidR="00823FBA" w:rsidRPr="002E6831" w:rsidRDefault="00823FBA" w:rsidP="00823FBA">
      <w:pPr>
        <w:spacing w:line="360" w:lineRule="auto"/>
        <w:jc w:val="both"/>
        <w:rPr>
          <w:rFonts w:ascii="Palatino Linotype" w:eastAsia="Palatino Linotype" w:hAnsi="Palatino Linotype" w:cs="Palatino Linotype"/>
          <w:i/>
          <w:sz w:val="24"/>
          <w:szCs w:val="24"/>
        </w:rPr>
      </w:pPr>
    </w:p>
    <w:p w14:paraId="0F15EE82" w14:textId="77777777" w:rsidR="00546C2A" w:rsidRPr="002E6831" w:rsidRDefault="00546C2A" w:rsidP="00546C2A">
      <w:pPr>
        <w:keepNext/>
        <w:keepLines/>
        <w:spacing w:line="360" w:lineRule="auto"/>
        <w:jc w:val="center"/>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t xml:space="preserve">INCONFORMIDAD </w:t>
      </w:r>
    </w:p>
    <w:p w14:paraId="576BAD3E" w14:textId="77777777" w:rsidR="00546C2A" w:rsidRPr="002E6831" w:rsidRDefault="00546C2A" w:rsidP="00546C2A">
      <w:pPr>
        <w:spacing w:line="360" w:lineRule="auto"/>
        <w:jc w:val="both"/>
        <w:rPr>
          <w:rFonts w:ascii="Palatino Linotype" w:eastAsia="Palatino Linotype" w:hAnsi="Palatino Linotype" w:cs="Palatino Linotype"/>
          <w:sz w:val="24"/>
          <w:szCs w:val="24"/>
        </w:rPr>
      </w:pPr>
    </w:p>
    <w:p w14:paraId="58E21051" w14:textId="6AB1BE35" w:rsidR="00546C2A" w:rsidRPr="002E6831" w:rsidRDefault="00546C2A" w:rsidP="00CF6481">
      <w:pPr>
        <w:numPr>
          <w:ilvl w:val="0"/>
          <w:numId w:val="3"/>
        </w:numPr>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Inconforme con lo anterior, el </w:t>
      </w:r>
      <w:r w:rsidR="00823FBA" w:rsidRPr="002E6831">
        <w:rPr>
          <w:rFonts w:ascii="Palatino Linotype" w:eastAsia="Palatino Linotype" w:hAnsi="Palatino Linotype" w:cs="Palatino Linotype"/>
          <w:b/>
          <w:sz w:val="24"/>
          <w:szCs w:val="24"/>
        </w:rPr>
        <w:t>cinco</w:t>
      </w:r>
      <w:r w:rsidR="009C4837" w:rsidRPr="002E6831">
        <w:rPr>
          <w:rFonts w:ascii="Palatino Linotype" w:eastAsia="Palatino Linotype" w:hAnsi="Palatino Linotype" w:cs="Palatino Linotype"/>
          <w:b/>
          <w:sz w:val="24"/>
          <w:szCs w:val="24"/>
        </w:rPr>
        <w:t xml:space="preserve"> de febrero</w:t>
      </w:r>
      <w:r w:rsidR="001C6110" w:rsidRPr="002E6831">
        <w:rPr>
          <w:rFonts w:ascii="Palatino Linotype" w:eastAsia="Palatino Linotype" w:hAnsi="Palatino Linotype" w:cs="Palatino Linotype"/>
          <w:b/>
          <w:sz w:val="24"/>
          <w:szCs w:val="24"/>
        </w:rPr>
        <w:t xml:space="preserve"> de dos mil veinticinco</w:t>
      </w:r>
      <w:r w:rsidRPr="002E6831">
        <w:rPr>
          <w:rFonts w:ascii="Palatino Linotype" w:eastAsia="Palatino Linotype" w:hAnsi="Palatino Linotype" w:cs="Palatino Linotype"/>
          <w:sz w:val="24"/>
          <w:szCs w:val="24"/>
        </w:rPr>
        <w:t xml:space="preserve">,  el </w:t>
      </w:r>
      <w:r w:rsidRPr="002E6831">
        <w:rPr>
          <w:rFonts w:ascii="Palatino Linotype" w:eastAsia="Palatino Linotype" w:hAnsi="Palatino Linotype" w:cs="Palatino Linotype"/>
          <w:b/>
          <w:sz w:val="24"/>
          <w:szCs w:val="24"/>
        </w:rPr>
        <w:t xml:space="preserve">SUJETO OBLIGADO </w:t>
      </w:r>
      <w:r w:rsidRPr="002E6831">
        <w:rPr>
          <w:rFonts w:ascii="Palatino Linotype" w:eastAsia="Palatino Linotype" w:hAnsi="Palatino Linotype" w:cs="Palatino Linotype"/>
          <w:sz w:val="24"/>
          <w:szCs w:val="24"/>
        </w:rPr>
        <w:t xml:space="preserve">interpuso recurso de revisión, arguyendo como </w:t>
      </w:r>
    </w:p>
    <w:p w14:paraId="7398E9BC" w14:textId="77777777" w:rsidR="00546C2A" w:rsidRPr="002E6831" w:rsidRDefault="00546C2A" w:rsidP="00546C2A">
      <w:pPr>
        <w:spacing w:line="360" w:lineRule="auto"/>
        <w:jc w:val="both"/>
        <w:rPr>
          <w:rFonts w:ascii="Palatino Linotype" w:eastAsia="Palatino Linotype" w:hAnsi="Palatino Linotype" w:cs="Palatino Linotype"/>
          <w:sz w:val="24"/>
          <w:szCs w:val="24"/>
        </w:rPr>
      </w:pPr>
    </w:p>
    <w:p w14:paraId="4C4BCA3B" w14:textId="7CDBA367" w:rsidR="00546C2A" w:rsidRPr="002E6831" w:rsidRDefault="00546C2A" w:rsidP="00823FBA">
      <w:pPr>
        <w:numPr>
          <w:ilvl w:val="0"/>
          <w:numId w:val="5"/>
        </w:numPr>
        <w:pBdr>
          <w:top w:val="nil"/>
          <w:left w:val="nil"/>
          <w:bottom w:val="nil"/>
          <w:right w:val="nil"/>
          <w:between w:val="nil"/>
        </w:pBdr>
        <w:ind w:right="539"/>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b/>
          <w:color w:val="000000"/>
          <w:sz w:val="24"/>
          <w:szCs w:val="24"/>
        </w:rPr>
        <w:t>Acto impugnado</w:t>
      </w:r>
      <w:r w:rsidRPr="002E6831">
        <w:rPr>
          <w:rFonts w:ascii="Palatino Linotype" w:eastAsia="Palatino Linotype" w:hAnsi="Palatino Linotype" w:cs="Palatino Linotype"/>
          <w:b/>
          <w:i/>
          <w:color w:val="000000"/>
          <w:sz w:val="24"/>
          <w:szCs w:val="24"/>
        </w:rPr>
        <w:t>:</w:t>
      </w:r>
      <w:r w:rsidRPr="002E6831">
        <w:rPr>
          <w:rFonts w:ascii="Palatino Linotype" w:eastAsia="Palatino Linotype" w:hAnsi="Palatino Linotype" w:cs="Palatino Linotype"/>
          <w:color w:val="000000"/>
          <w:sz w:val="24"/>
          <w:szCs w:val="24"/>
        </w:rPr>
        <w:t xml:space="preserve"> </w:t>
      </w:r>
      <w:r w:rsidRPr="002E6831">
        <w:rPr>
          <w:rFonts w:ascii="Palatino Linotype" w:eastAsia="Palatino Linotype" w:hAnsi="Palatino Linotype" w:cs="Palatino Linotype"/>
          <w:i/>
          <w:color w:val="000000"/>
          <w:sz w:val="24"/>
          <w:szCs w:val="24"/>
        </w:rPr>
        <w:t>“</w:t>
      </w:r>
      <w:r w:rsidR="00823FBA" w:rsidRPr="002E6831">
        <w:rPr>
          <w:rFonts w:ascii="Palatino Linotype" w:eastAsia="Palatino Linotype" w:hAnsi="Palatino Linotype" w:cs="Palatino Linotype"/>
          <w:i/>
          <w:color w:val="000000"/>
          <w:sz w:val="24"/>
          <w:szCs w:val="24"/>
        </w:rPr>
        <w:t>No dieron respuesta que puedo recurrí sino dieron respuesta se pide la intervención del Infoem por que cumple con mi derecho de acceso</w:t>
      </w:r>
      <w:r w:rsidRPr="002E6831">
        <w:rPr>
          <w:rFonts w:ascii="Palatino Linotype" w:eastAsia="Palatino Linotype" w:hAnsi="Palatino Linotype" w:cs="Palatino Linotype"/>
          <w:i/>
          <w:color w:val="000000"/>
          <w:sz w:val="24"/>
          <w:szCs w:val="24"/>
        </w:rPr>
        <w:t>” (sic)</w:t>
      </w:r>
    </w:p>
    <w:p w14:paraId="129A19DF" w14:textId="77777777" w:rsidR="00546C2A" w:rsidRPr="002E6831" w:rsidRDefault="00546C2A" w:rsidP="00087F25">
      <w:pPr>
        <w:pBdr>
          <w:top w:val="nil"/>
          <w:left w:val="nil"/>
          <w:bottom w:val="nil"/>
          <w:right w:val="nil"/>
          <w:between w:val="nil"/>
        </w:pBdr>
        <w:spacing w:line="360" w:lineRule="auto"/>
        <w:ind w:left="720" w:right="539"/>
        <w:jc w:val="both"/>
        <w:rPr>
          <w:rFonts w:ascii="Palatino Linotype" w:eastAsia="Palatino Linotype" w:hAnsi="Palatino Linotype" w:cs="Palatino Linotype"/>
          <w:color w:val="000000"/>
          <w:sz w:val="24"/>
          <w:szCs w:val="24"/>
        </w:rPr>
      </w:pPr>
    </w:p>
    <w:p w14:paraId="3CDF2AB9" w14:textId="3088A652" w:rsidR="00546C2A" w:rsidRPr="002E6831" w:rsidRDefault="00546C2A" w:rsidP="00823FBA">
      <w:pPr>
        <w:pStyle w:val="Listaconvietas2"/>
        <w:numPr>
          <w:ilvl w:val="0"/>
          <w:numId w:val="5"/>
        </w:numPr>
        <w:tabs>
          <w:tab w:val="clear" w:pos="643"/>
        </w:tabs>
        <w:ind w:right="539"/>
        <w:jc w:val="both"/>
        <w:rPr>
          <w:rFonts w:ascii="Palatino Linotype" w:eastAsia="Palatino Linotype" w:hAnsi="Palatino Linotype" w:cs="Palatino Linotype"/>
          <w:color w:val="000000"/>
          <w:sz w:val="24"/>
          <w:szCs w:val="24"/>
        </w:rPr>
      </w:pPr>
      <w:r w:rsidRPr="002E6831">
        <w:rPr>
          <w:rFonts w:ascii="Palatino Linotype" w:eastAsia="Palatino Linotype" w:hAnsi="Palatino Linotype" w:cs="Palatino Linotype"/>
          <w:b/>
          <w:color w:val="000000"/>
          <w:sz w:val="24"/>
          <w:szCs w:val="24"/>
        </w:rPr>
        <w:t xml:space="preserve">Razones o Motivos de inconformidad: </w:t>
      </w:r>
      <w:r w:rsidR="001C6110" w:rsidRPr="002E6831">
        <w:rPr>
          <w:rFonts w:ascii="Palatino Linotype" w:eastAsia="Palatino Linotype" w:hAnsi="Palatino Linotype" w:cs="Palatino Linotype"/>
          <w:b/>
          <w:color w:val="000000"/>
          <w:sz w:val="24"/>
          <w:szCs w:val="24"/>
        </w:rPr>
        <w:t>“</w:t>
      </w:r>
      <w:r w:rsidR="00823FBA" w:rsidRPr="002E6831">
        <w:rPr>
          <w:rFonts w:ascii="Palatino Linotype" w:eastAsia="Palatino Linotype" w:hAnsi="Palatino Linotype" w:cs="Palatino Linotype"/>
          <w:i/>
          <w:color w:val="000000"/>
          <w:sz w:val="24"/>
          <w:szCs w:val="24"/>
        </w:rPr>
        <w:t>No contestaron</w:t>
      </w:r>
      <w:r w:rsidRPr="002E6831">
        <w:rPr>
          <w:rFonts w:ascii="Palatino Linotype" w:eastAsia="Palatino Linotype" w:hAnsi="Palatino Linotype" w:cs="Palatino Linotype"/>
          <w:i/>
          <w:color w:val="000000"/>
          <w:sz w:val="24"/>
          <w:szCs w:val="24"/>
        </w:rPr>
        <w:t>“(Sic)</w:t>
      </w:r>
    </w:p>
    <w:p w14:paraId="5876C336" w14:textId="77777777" w:rsidR="00546C2A" w:rsidRPr="002E6831" w:rsidRDefault="00546C2A" w:rsidP="00546C2A">
      <w:pPr>
        <w:spacing w:line="360" w:lineRule="auto"/>
        <w:jc w:val="both"/>
        <w:rPr>
          <w:rFonts w:ascii="Palatino Linotype" w:eastAsia="Palatino Linotype" w:hAnsi="Palatino Linotype" w:cs="Palatino Linotype"/>
          <w:sz w:val="24"/>
          <w:szCs w:val="24"/>
        </w:rPr>
      </w:pPr>
    </w:p>
    <w:p w14:paraId="5F2BDDCF" w14:textId="77777777" w:rsidR="00546C2A" w:rsidRPr="002E6831" w:rsidRDefault="00546C2A" w:rsidP="00CF6481">
      <w:pPr>
        <w:numPr>
          <w:ilvl w:val="0"/>
          <w:numId w:val="3"/>
        </w:numPr>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Se registró el recurso de revisión bajo el número de expediente al rubro indicado, asimismo con fundamento en lo dispuesto por el artículo 185 fracción I de la </w:t>
      </w:r>
      <w:r w:rsidRPr="002E6831">
        <w:rPr>
          <w:rFonts w:ascii="Palatino Linotype" w:eastAsia="Palatino Linotype" w:hAnsi="Palatino Linotype" w:cs="Palatino Linotype"/>
          <w:b/>
          <w:sz w:val="24"/>
          <w:szCs w:val="24"/>
        </w:rPr>
        <w:t xml:space="preserve">Ley de Transparencia y Acceso a la Información Pública del Estado de México y Municipios </w:t>
      </w:r>
      <w:r w:rsidRPr="002E6831">
        <w:rPr>
          <w:rFonts w:ascii="Palatino Linotype" w:eastAsia="Palatino Linotype" w:hAnsi="Palatino Linotype" w:cs="Palatino Linotype"/>
          <w:sz w:val="24"/>
          <w:szCs w:val="24"/>
        </w:rPr>
        <w:t xml:space="preserve">se turnó a la </w:t>
      </w:r>
      <w:r w:rsidRPr="002E6831">
        <w:rPr>
          <w:rFonts w:ascii="Palatino Linotype" w:eastAsia="Palatino Linotype" w:hAnsi="Palatino Linotype" w:cs="Palatino Linotype"/>
          <w:b/>
          <w:sz w:val="24"/>
          <w:szCs w:val="24"/>
        </w:rPr>
        <w:t xml:space="preserve">Comisionada María del Rosario Mejía Ayala, </w:t>
      </w:r>
      <w:r w:rsidRPr="002E6831">
        <w:rPr>
          <w:rFonts w:ascii="Palatino Linotype" w:eastAsia="Palatino Linotype" w:hAnsi="Palatino Linotype" w:cs="Palatino Linotype"/>
          <w:sz w:val="24"/>
          <w:szCs w:val="24"/>
        </w:rPr>
        <w:t xml:space="preserve">con el objeto de su análisis. </w:t>
      </w:r>
    </w:p>
    <w:p w14:paraId="30E93D52" w14:textId="77777777" w:rsidR="00546C2A" w:rsidRPr="002E6831" w:rsidRDefault="00546C2A" w:rsidP="00546C2A">
      <w:pPr>
        <w:spacing w:line="360" w:lineRule="auto"/>
        <w:jc w:val="both"/>
        <w:rPr>
          <w:rFonts w:ascii="Palatino Linotype" w:eastAsia="Palatino Linotype" w:hAnsi="Palatino Linotype" w:cs="Palatino Linotype"/>
          <w:sz w:val="24"/>
          <w:szCs w:val="24"/>
        </w:rPr>
      </w:pPr>
    </w:p>
    <w:p w14:paraId="7EE23493" w14:textId="1DE9DE0D" w:rsidR="00546C2A" w:rsidRPr="002E6831" w:rsidRDefault="00546C2A" w:rsidP="00CF6481">
      <w:pPr>
        <w:numPr>
          <w:ilvl w:val="0"/>
          <w:numId w:val="3"/>
        </w:numPr>
        <w:spacing w:line="360" w:lineRule="auto"/>
        <w:ind w:left="0" w:firstLine="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sz w:val="24"/>
          <w:szCs w:val="24"/>
        </w:rPr>
        <w:t xml:space="preserve">La Comisionada Ponente con fundamento en lo dispuesto por el artículo 18 fracción II de la ley de la materia, a través del acuerdo de admisión notificado el </w:t>
      </w:r>
      <w:r w:rsidR="00823FBA" w:rsidRPr="002E6831">
        <w:rPr>
          <w:rFonts w:ascii="Palatino Linotype" w:eastAsia="Palatino Linotype" w:hAnsi="Palatino Linotype" w:cs="Palatino Linotype"/>
          <w:b/>
          <w:sz w:val="24"/>
          <w:szCs w:val="24"/>
        </w:rPr>
        <w:t>seis</w:t>
      </w:r>
      <w:r w:rsidR="005029F8" w:rsidRPr="002E6831">
        <w:rPr>
          <w:rFonts w:ascii="Palatino Linotype" w:eastAsia="Palatino Linotype" w:hAnsi="Palatino Linotype" w:cs="Palatino Linotype"/>
          <w:b/>
          <w:sz w:val="24"/>
          <w:szCs w:val="24"/>
        </w:rPr>
        <w:t xml:space="preserve"> de febrero</w:t>
      </w:r>
      <w:r w:rsidR="001C6110" w:rsidRPr="002E6831">
        <w:rPr>
          <w:rFonts w:ascii="Palatino Linotype" w:eastAsia="Palatino Linotype" w:hAnsi="Palatino Linotype" w:cs="Palatino Linotype"/>
          <w:b/>
          <w:sz w:val="24"/>
          <w:szCs w:val="24"/>
        </w:rPr>
        <w:t xml:space="preserve"> de dos mil veinticinco</w:t>
      </w:r>
      <w:r w:rsidRPr="002E6831">
        <w:rPr>
          <w:rFonts w:ascii="Palatino Linotype" w:eastAsia="Palatino Linotype" w:hAnsi="Palatino Linotype" w:cs="Palatino Linotype"/>
          <w:b/>
          <w:sz w:val="24"/>
          <w:szCs w:val="24"/>
        </w:rPr>
        <w:t>,</w:t>
      </w:r>
      <w:r w:rsidRPr="002E6831">
        <w:rPr>
          <w:rFonts w:ascii="Palatino Linotype" w:eastAsia="Palatino Linotype" w:hAnsi="Palatino Linotype" w:cs="Palatino Linotype"/>
          <w:sz w:val="24"/>
          <w:szCs w:val="24"/>
        </w:rPr>
        <w:t xml:space="preserve"> se puso a disposición de las partes el expediente </w:t>
      </w:r>
      <w:r w:rsidRPr="002E6831">
        <w:rPr>
          <w:rFonts w:ascii="Palatino Linotype" w:eastAsia="Palatino Linotype" w:hAnsi="Palatino Linotype" w:cs="Palatino Linotype"/>
          <w:sz w:val="24"/>
          <w:szCs w:val="24"/>
        </w:rPr>
        <w:lastRenderedPageBreak/>
        <w:t xml:space="preserve">electrónico vía </w:t>
      </w:r>
      <w:r w:rsidRPr="002E6831">
        <w:rPr>
          <w:rFonts w:ascii="Palatino Linotype" w:eastAsia="Palatino Linotype" w:hAnsi="Palatino Linotype" w:cs="Palatino Linotype"/>
          <w:b/>
          <w:sz w:val="24"/>
          <w:szCs w:val="24"/>
        </w:rPr>
        <w:t xml:space="preserve">SAIMEX </w:t>
      </w:r>
      <w:r w:rsidRPr="002E6831">
        <w:rPr>
          <w:rFonts w:ascii="Palatino Linotype" w:eastAsia="Palatino Linotype" w:hAnsi="Palatino Linotype" w:cs="Palatino Linotype"/>
          <w:sz w:val="24"/>
          <w:szCs w:val="24"/>
        </w:rPr>
        <w:t xml:space="preserve">a efecto de que en un plazo máximo de siete días manifestaran lo que a derecho convinieran, ofrecieran pruebas y alegatos según corresponda al caso concreto, de esta forma para que el </w:t>
      </w:r>
      <w:r w:rsidRPr="002E6831">
        <w:rPr>
          <w:rFonts w:ascii="Palatino Linotype" w:eastAsia="Palatino Linotype" w:hAnsi="Palatino Linotype" w:cs="Palatino Linotype"/>
          <w:b/>
          <w:sz w:val="24"/>
          <w:szCs w:val="24"/>
        </w:rPr>
        <w:t>SUJETO OBLIGADO</w:t>
      </w:r>
      <w:r w:rsidRPr="002E6831">
        <w:rPr>
          <w:rFonts w:ascii="Palatino Linotype" w:eastAsia="Palatino Linotype" w:hAnsi="Palatino Linotype" w:cs="Palatino Linotype"/>
          <w:sz w:val="24"/>
          <w:szCs w:val="24"/>
        </w:rPr>
        <w:t xml:space="preserve"> presentara el informe justificado procedente. </w:t>
      </w:r>
    </w:p>
    <w:p w14:paraId="12E9CD76" w14:textId="77777777" w:rsidR="00546C2A" w:rsidRPr="002E6831" w:rsidRDefault="00546C2A" w:rsidP="00546C2A">
      <w:pPr>
        <w:spacing w:line="360" w:lineRule="auto"/>
        <w:jc w:val="both"/>
        <w:rPr>
          <w:rFonts w:ascii="Palatino Linotype" w:eastAsia="Palatino Linotype" w:hAnsi="Palatino Linotype" w:cs="Palatino Linotype"/>
          <w:i/>
          <w:sz w:val="24"/>
          <w:szCs w:val="24"/>
        </w:rPr>
      </w:pPr>
    </w:p>
    <w:p w14:paraId="2E7BD187" w14:textId="77777777" w:rsidR="00546C2A" w:rsidRPr="002E6831" w:rsidRDefault="00546C2A" w:rsidP="00546C2A">
      <w:pPr>
        <w:keepNext/>
        <w:keepLines/>
        <w:spacing w:line="360" w:lineRule="auto"/>
        <w:jc w:val="center"/>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t>MANIFESTACIONES</w:t>
      </w:r>
    </w:p>
    <w:p w14:paraId="5F220195" w14:textId="77777777" w:rsidR="00546C2A" w:rsidRPr="002E6831" w:rsidRDefault="00546C2A" w:rsidP="00546C2A">
      <w:pPr>
        <w:spacing w:line="360" w:lineRule="auto"/>
        <w:jc w:val="both"/>
        <w:rPr>
          <w:rFonts w:ascii="Palatino Linotype" w:eastAsia="Palatino Linotype" w:hAnsi="Palatino Linotype" w:cs="Palatino Linotype"/>
          <w:i/>
          <w:sz w:val="24"/>
          <w:szCs w:val="24"/>
        </w:rPr>
      </w:pPr>
    </w:p>
    <w:p w14:paraId="0E01DCAC" w14:textId="4A844280" w:rsidR="009C4837" w:rsidRPr="002E6831" w:rsidRDefault="00546C2A" w:rsidP="00546C2A">
      <w:pPr>
        <w:numPr>
          <w:ilvl w:val="0"/>
          <w:numId w:val="3"/>
        </w:numPr>
        <w:spacing w:line="360" w:lineRule="auto"/>
        <w:ind w:left="0" w:firstLine="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sz w:val="24"/>
          <w:szCs w:val="24"/>
        </w:rPr>
        <w:t xml:space="preserve">De las constancias que obran en el expediente electrónico SAIMEX, se advierte que el </w:t>
      </w:r>
      <w:r w:rsidRPr="002E6831">
        <w:rPr>
          <w:rFonts w:ascii="Palatino Linotype" w:eastAsia="Palatino Linotype" w:hAnsi="Palatino Linotype" w:cs="Palatino Linotype"/>
          <w:b/>
          <w:sz w:val="24"/>
          <w:szCs w:val="24"/>
        </w:rPr>
        <w:t>PARTICULAR,</w:t>
      </w:r>
      <w:r w:rsidRPr="002E6831">
        <w:rPr>
          <w:rFonts w:ascii="Palatino Linotype" w:eastAsia="Palatino Linotype" w:hAnsi="Palatino Linotype" w:cs="Palatino Linotype"/>
          <w:sz w:val="24"/>
          <w:szCs w:val="24"/>
        </w:rPr>
        <w:t xml:space="preserve"> </w:t>
      </w:r>
      <w:r w:rsidR="009C4837" w:rsidRPr="002E6831">
        <w:rPr>
          <w:rFonts w:ascii="Palatino Linotype" w:eastAsia="Palatino Linotype" w:hAnsi="Palatino Linotype" w:cs="Palatino Linotype"/>
          <w:sz w:val="24"/>
          <w:szCs w:val="24"/>
        </w:rPr>
        <w:t>no realizo manifestación alguna.</w:t>
      </w:r>
    </w:p>
    <w:p w14:paraId="4EF80170" w14:textId="77777777" w:rsidR="009C4837" w:rsidRPr="002E6831" w:rsidRDefault="009C4837" w:rsidP="009C4837">
      <w:pPr>
        <w:spacing w:line="360" w:lineRule="auto"/>
        <w:jc w:val="both"/>
        <w:rPr>
          <w:rFonts w:ascii="Palatino Linotype" w:eastAsia="Palatino Linotype" w:hAnsi="Palatino Linotype" w:cs="Palatino Linotype"/>
          <w:i/>
          <w:sz w:val="24"/>
          <w:szCs w:val="24"/>
        </w:rPr>
      </w:pPr>
    </w:p>
    <w:p w14:paraId="3C25AB4F" w14:textId="4D5D96BD" w:rsidR="005029F8" w:rsidRPr="002E6831" w:rsidRDefault="009C4837" w:rsidP="00823FBA">
      <w:pPr>
        <w:numPr>
          <w:ilvl w:val="0"/>
          <w:numId w:val="3"/>
        </w:numPr>
        <w:spacing w:line="360" w:lineRule="auto"/>
        <w:ind w:left="0" w:firstLine="0"/>
        <w:jc w:val="both"/>
        <w:rPr>
          <w:rFonts w:ascii="Palatino Linotype" w:eastAsia="Palatino Linotype" w:hAnsi="Palatino Linotype" w:cs="Palatino Linotype"/>
          <w:color w:val="FF0000"/>
          <w:sz w:val="24"/>
          <w:szCs w:val="24"/>
        </w:rPr>
      </w:pPr>
      <w:r w:rsidRPr="002E6831">
        <w:rPr>
          <w:rFonts w:ascii="Palatino Linotype" w:eastAsia="Palatino Linotype" w:hAnsi="Palatino Linotype" w:cs="Palatino Linotype"/>
          <w:sz w:val="24"/>
          <w:szCs w:val="24"/>
        </w:rPr>
        <w:t>El</w:t>
      </w:r>
      <w:r w:rsidR="001C6110" w:rsidRPr="002E6831">
        <w:rPr>
          <w:rFonts w:ascii="Palatino Linotype" w:eastAsia="Palatino Linotype" w:hAnsi="Palatino Linotype" w:cs="Palatino Linotype"/>
          <w:sz w:val="24"/>
          <w:szCs w:val="24"/>
        </w:rPr>
        <w:t xml:space="preserve"> </w:t>
      </w:r>
      <w:r w:rsidR="00546C2A" w:rsidRPr="002E6831">
        <w:rPr>
          <w:rFonts w:ascii="Palatino Linotype" w:eastAsia="Palatino Linotype" w:hAnsi="Palatino Linotype" w:cs="Palatino Linotype"/>
          <w:b/>
          <w:sz w:val="24"/>
          <w:szCs w:val="24"/>
        </w:rPr>
        <w:t xml:space="preserve">SUJETO OBLIGADO, </w:t>
      </w:r>
      <w:r w:rsidR="00823FBA" w:rsidRPr="002E6831">
        <w:rPr>
          <w:rFonts w:ascii="Palatino Linotype" w:eastAsia="Palatino Linotype" w:hAnsi="Palatino Linotype" w:cs="Palatino Linotype"/>
          <w:sz w:val="24"/>
          <w:szCs w:val="24"/>
        </w:rPr>
        <w:t>remitió los archivos siguientes:</w:t>
      </w:r>
    </w:p>
    <w:p w14:paraId="5B03B2A3" w14:textId="77777777" w:rsidR="00823FBA" w:rsidRPr="002E6831" w:rsidRDefault="00823FBA" w:rsidP="00823FBA">
      <w:pPr>
        <w:spacing w:line="360" w:lineRule="auto"/>
        <w:jc w:val="both"/>
        <w:rPr>
          <w:rFonts w:ascii="Palatino Linotype" w:eastAsia="Palatino Linotype" w:hAnsi="Palatino Linotype" w:cs="Palatino Linotype"/>
          <w:color w:val="FF0000"/>
          <w:sz w:val="24"/>
          <w:szCs w:val="24"/>
        </w:rPr>
      </w:pPr>
    </w:p>
    <w:p w14:paraId="1A6CAC3A" w14:textId="1F2AF6A7" w:rsidR="00823FBA" w:rsidRPr="002E6831" w:rsidRDefault="00823FBA" w:rsidP="00823FBA">
      <w:pPr>
        <w:pStyle w:val="Prrafodelista"/>
        <w:numPr>
          <w:ilvl w:val="0"/>
          <w:numId w:val="25"/>
        </w:numPr>
        <w:spacing w:line="360" w:lineRule="auto"/>
        <w:jc w:val="both"/>
        <w:rPr>
          <w:rFonts w:ascii="Palatino Linotype" w:eastAsia="Palatino Linotype" w:hAnsi="Palatino Linotype" w:cs="Palatino Linotype"/>
          <w:b/>
          <w:i/>
          <w:sz w:val="24"/>
        </w:rPr>
      </w:pPr>
      <w:r w:rsidRPr="002E6831">
        <w:rPr>
          <w:rFonts w:ascii="Palatino Linotype" w:eastAsia="Palatino Linotype" w:hAnsi="Palatino Linotype" w:cs="Palatino Linotype"/>
          <w:b/>
          <w:i/>
          <w:sz w:val="24"/>
        </w:rPr>
        <w:t>INFORME JUSTIFICADO 00603-2025.pdf</w:t>
      </w:r>
    </w:p>
    <w:p w14:paraId="061F48BF" w14:textId="77777777" w:rsidR="00823FBA" w:rsidRPr="002E6831" w:rsidRDefault="00823FBA" w:rsidP="00823FBA">
      <w:pPr>
        <w:spacing w:line="360" w:lineRule="auto"/>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Informe Justificado, firmado por el Titular de la Unidad de Transparencia, por el que informó que:</w:t>
      </w:r>
    </w:p>
    <w:p w14:paraId="7E481965" w14:textId="69BF3A3F" w:rsidR="00823FBA" w:rsidRPr="002E6831" w:rsidRDefault="00823FBA" w:rsidP="00823FBA">
      <w:pPr>
        <w:pStyle w:val="Prrafodelista"/>
        <w:numPr>
          <w:ilvl w:val="0"/>
          <w:numId w:val="24"/>
        </w:numPr>
        <w:spacing w:line="360" w:lineRule="auto"/>
        <w:jc w:val="both"/>
        <w:rPr>
          <w:rFonts w:ascii="Palatino Linotype" w:eastAsia="Palatino Linotype" w:hAnsi="Palatino Linotype" w:cs="Palatino Linotype"/>
          <w:sz w:val="24"/>
        </w:rPr>
      </w:pPr>
      <w:r w:rsidRPr="002E6831">
        <w:rPr>
          <w:rFonts w:ascii="Palatino Linotype" w:eastAsia="Palatino Linotype" w:hAnsi="Palatino Linotype" w:cs="Palatino Linotype"/>
          <w:sz w:val="24"/>
        </w:rPr>
        <w:t>debido a fallas técnicas del SAIMEX, no pudo dar contestación la solicitud de información que nos ocupa en tiempo y forma</w:t>
      </w:r>
    </w:p>
    <w:p w14:paraId="12F26FE9" w14:textId="567C9A42" w:rsidR="00823FBA" w:rsidRPr="002E6831" w:rsidRDefault="00823FBA" w:rsidP="00823FBA">
      <w:pPr>
        <w:pStyle w:val="Prrafodelista"/>
        <w:numPr>
          <w:ilvl w:val="0"/>
          <w:numId w:val="24"/>
        </w:numPr>
        <w:spacing w:line="360" w:lineRule="auto"/>
        <w:jc w:val="both"/>
        <w:rPr>
          <w:rFonts w:ascii="Palatino Linotype" w:eastAsia="Palatino Linotype" w:hAnsi="Palatino Linotype" w:cs="Palatino Linotype"/>
          <w:sz w:val="24"/>
        </w:rPr>
      </w:pPr>
      <w:r w:rsidRPr="002E6831">
        <w:rPr>
          <w:rFonts w:ascii="Palatino Linotype" w:eastAsia="Palatino Linotype" w:hAnsi="Palatino Linotype" w:cs="Palatino Linotype"/>
          <w:sz w:val="24"/>
        </w:rPr>
        <w:t>De acuerdo a los periodos de conservación, procesos de transferencia así como eliminación de documentos, expedientes físicos y digitales, se confirma la respuesta primigenia.</w:t>
      </w:r>
    </w:p>
    <w:p w14:paraId="29A97C2F" w14:textId="77777777" w:rsidR="00823FBA" w:rsidRPr="002E6831" w:rsidRDefault="00823FBA" w:rsidP="00823FBA">
      <w:pPr>
        <w:spacing w:line="360" w:lineRule="auto"/>
        <w:jc w:val="both"/>
        <w:rPr>
          <w:rFonts w:ascii="Palatino Linotype" w:eastAsia="Palatino Linotype" w:hAnsi="Palatino Linotype" w:cs="Palatino Linotype"/>
          <w:sz w:val="24"/>
          <w:szCs w:val="24"/>
        </w:rPr>
      </w:pPr>
    </w:p>
    <w:p w14:paraId="6CDA6EDB" w14:textId="0ED5061D" w:rsidR="00823FBA" w:rsidRPr="002E6831" w:rsidRDefault="00823FBA" w:rsidP="00823FBA">
      <w:pPr>
        <w:pStyle w:val="Prrafodelista"/>
        <w:numPr>
          <w:ilvl w:val="0"/>
          <w:numId w:val="25"/>
        </w:numPr>
        <w:spacing w:line="360" w:lineRule="auto"/>
        <w:jc w:val="both"/>
        <w:rPr>
          <w:rFonts w:ascii="Palatino Linotype" w:eastAsia="Palatino Linotype" w:hAnsi="Palatino Linotype" w:cs="Palatino Linotype"/>
          <w:b/>
          <w:i/>
          <w:sz w:val="24"/>
        </w:rPr>
      </w:pPr>
      <w:r w:rsidRPr="002E6831">
        <w:rPr>
          <w:rFonts w:ascii="Palatino Linotype" w:eastAsia="Palatino Linotype" w:hAnsi="Palatino Linotype" w:cs="Palatino Linotype"/>
          <w:b/>
          <w:i/>
          <w:sz w:val="24"/>
        </w:rPr>
        <w:t>RESPUESTA 0067. 2025.pdf</w:t>
      </w:r>
    </w:p>
    <w:p w14:paraId="12DBC4C4" w14:textId="593E1806" w:rsidR="00823FBA" w:rsidRPr="002E6831" w:rsidRDefault="00823FBA" w:rsidP="00823FBA">
      <w:pPr>
        <w:pStyle w:val="Prrafodelista"/>
        <w:numPr>
          <w:ilvl w:val="0"/>
          <w:numId w:val="24"/>
        </w:numPr>
        <w:spacing w:line="360" w:lineRule="auto"/>
        <w:jc w:val="both"/>
        <w:rPr>
          <w:rFonts w:ascii="Palatino Linotype" w:eastAsia="Palatino Linotype" w:hAnsi="Palatino Linotype" w:cs="Palatino Linotype"/>
          <w:sz w:val="24"/>
        </w:rPr>
      </w:pPr>
      <w:r w:rsidRPr="002E6831">
        <w:rPr>
          <w:rFonts w:ascii="Palatino Linotype" w:eastAsia="Palatino Linotype" w:hAnsi="Palatino Linotype" w:cs="Palatino Linotype"/>
          <w:sz w:val="24"/>
        </w:rPr>
        <w:lastRenderedPageBreak/>
        <w:t>Oficio de cuatro de febrero de dos mil veinticinco, firmado por el Titular de la Unidad de Trasparencia, por el que informo que la Dirección General de Desarrollo Social y Servidor Público Habilitado manifestó que después de haber realizado un búsqueda minuciosa y exhaustiva en los archivos de esa dirección, no se encontró la información solicitada.</w:t>
      </w:r>
    </w:p>
    <w:p w14:paraId="14185AC3" w14:textId="77777777" w:rsidR="00823FBA" w:rsidRPr="002E6831" w:rsidRDefault="00823FBA" w:rsidP="00823FBA">
      <w:pPr>
        <w:spacing w:line="360" w:lineRule="auto"/>
        <w:jc w:val="both"/>
        <w:rPr>
          <w:rFonts w:ascii="Palatino Linotype" w:eastAsia="Palatino Linotype" w:hAnsi="Palatino Linotype" w:cs="Palatino Linotype"/>
          <w:color w:val="FF0000"/>
          <w:sz w:val="24"/>
          <w:szCs w:val="24"/>
        </w:rPr>
      </w:pPr>
    </w:p>
    <w:p w14:paraId="1808D753" w14:textId="2AE48B72" w:rsidR="00546C2A" w:rsidRPr="002E6831" w:rsidRDefault="00546C2A" w:rsidP="00CF6481">
      <w:pPr>
        <w:numPr>
          <w:ilvl w:val="0"/>
          <w:numId w:val="3"/>
        </w:numPr>
        <w:tabs>
          <w:tab w:val="left" w:pos="426"/>
        </w:tabs>
        <w:spacing w:line="360" w:lineRule="auto"/>
        <w:ind w:left="0" w:firstLine="0"/>
        <w:jc w:val="both"/>
        <w:rPr>
          <w:rFonts w:ascii="Palatino Linotype" w:eastAsia="Palatino Linotype" w:hAnsi="Palatino Linotype" w:cs="Palatino Linotype"/>
          <w:b/>
          <w:sz w:val="24"/>
          <w:szCs w:val="24"/>
          <w:u w:val="single"/>
        </w:rPr>
      </w:pPr>
      <w:r w:rsidRPr="002E6831">
        <w:rPr>
          <w:rFonts w:ascii="Palatino Linotype" w:eastAsia="Palatino Linotype" w:hAnsi="Palatino Linotype" w:cs="Palatino Linotype"/>
          <w:sz w:val="24"/>
          <w:szCs w:val="24"/>
        </w:rPr>
        <w:t xml:space="preserve">El </w:t>
      </w:r>
      <w:r w:rsidR="009757AA" w:rsidRPr="002E6831">
        <w:rPr>
          <w:rFonts w:ascii="Palatino Linotype" w:eastAsia="Palatino Linotype" w:hAnsi="Palatino Linotype" w:cs="Palatino Linotype"/>
          <w:b/>
          <w:sz w:val="24"/>
          <w:szCs w:val="24"/>
        </w:rPr>
        <w:t>veintiséis</w:t>
      </w:r>
      <w:r w:rsidR="001C6110" w:rsidRPr="002E6831">
        <w:rPr>
          <w:rFonts w:ascii="Palatino Linotype" w:eastAsia="Palatino Linotype" w:hAnsi="Palatino Linotype" w:cs="Palatino Linotype"/>
          <w:b/>
          <w:sz w:val="24"/>
          <w:szCs w:val="24"/>
        </w:rPr>
        <w:t xml:space="preserve"> de marzo de dos mil veinticinco</w:t>
      </w:r>
      <w:r w:rsidRPr="002E6831">
        <w:rPr>
          <w:rFonts w:ascii="Palatino Linotype" w:eastAsia="Palatino Linotype" w:hAnsi="Palatino Linotype" w:cs="Palatino Linotype"/>
          <w:sz w:val="24"/>
          <w:szCs w:val="24"/>
        </w:rPr>
        <w:t>, la Comisionada Ponente decretó el cierre de instrucción y al no existir diligencias por realizar y se turnó el expediente a resolución correspondiente, por lo que no habiendo más que hacer constar, y --------------------------------------------------------------------------------------------------</w:t>
      </w:r>
      <w:r w:rsidR="009757AA" w:rsidRPr="002E6831">
        <w:rPr>
          <w:rFonts w:ascii="Palatino Linotype" w:eastAsia="Palatino Linotype" w:hAnsi="Palatino Linotype" w:cs="Palatino Linotype"/>
          <w:sz w:val="24"/>
          <w:szCs w:val="24"/>
        </w:rPr>
        <w:t>-------------------------</w:t>
      </w:r>
    </w:p>
    <w:p w14:paraId="6078F595" w14:textId="77777777" w:rsidR="00546C2A" w:rsidRPr="002E6831" w:rsidRDefault="00546C2A" w:rsidP="00546C2A">
      <w:pPr>
        <w:tabs>
          <w:tab w:val="left" w:pos="426"/>
        </w:tabs>
        <w:spacing w:line="360" w:lineRule="auto"/>
        <w:jc w:val="both"/>
        <w:rPr>
          <w:rFonts w:ascii="Palatino Linotype" w:eastAsia="Palatino Linotype" w:hAnsi="Palatino Linotype" w:cs="Palatino Linotype"/>
          <w:b/>
          <w:sz w:val="24"/>
          <w:szCs w:val="24"/>
          <w:u w:val="single"/>
        </w:rPr>
      </w:pPr>
    </w:p>
    <w:p w14:paraId="26393C62" w14:textId="432801BB" w:rsidR="00546C2A" w:rsidRPr="002E6831" w:rsidRDefault="00546C2A" w:rsidP="00546C2A">
      <w:pPr>
        <w:keepNext/>
        <w:keepLines/>
        <w:spacing w:line="360" w:lineRule="auto"/>
        <w:jc w:val="center"/>
        <w:rPr>
          <w:rFonts w:ascii="Palatino Linotype" w:eastAsia="Palatino Linotype" w:hAnsi="Palatino Linotype" w:cs="Palatino Linotype"/>
          <w:b/>
          <w:sz w:val="24"/>
          <w:szCs w:val="24"/>
        </w:rPr>
      </w:pPr>
      <w:bookmarkStart w:id="2" w:name="_heading=h.30j0zll" w:colFirst="0" w:colLast="0"/>
      <w:bookmarkEnd w:id="2"/>
      <w:r w:rsidRPr="002E6831">
        <w:rPr>
          <w:rFonts w:ascii="Palatino Linotype" w:eastAsia="Palatino Linotype" w:hAnsi="Palatino Linotype" w:cs="Palatino Linotype"/>
          <w:b/>
          <w:sz w:val="24"/>
          <w:szCs w:val="24"/>
        </w:rPr>
        <w:t>C</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O</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N</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S</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I</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D</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E</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R</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A</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N</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D</w:t>
      </w:r>
      <w:r w:rsidR="0012793B"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b/>
          <w:sz w:val="24"/>
          <w:szCs w:val="24"/>
        </w:rPr>
        <w:t xml:space="preserve">O </w:t>
      </w:r>
    </w:p>
    <w:p w14:paraId="7CCE3C09" w14:textId="77777777" w:rsidR="00546C2A" w:rsidRPr="002E6831" w:rsidRDefault="00546C2A" w:rsidP="00546C2A">
      <w:pPr>
        <w:spacing w:line="360" w:lineRule="auto"/>
        <w:rPr>
          <w:rFonts w:ascii="Palatino Linotype" w:eastAsia="Palatino Linotype" w:hAnsi="Palatino Linotype" w:cs="Palatino Linotype"/>
          <w:sz w:val="24"/>
          <w:szCs w:val="24"/>
        </w:rPr>
      </w:pPr>
    </w:p>
    <w:p w14:paraId="0EE22D91" w14:textId="77777777" w:rsidR="00546C2A" w:rsidRPr="002E6831" w:rsidRDefault="00546C2A" w:rsidP="00546C2A">
      <w:pPr>
        <w:keepNext/>
        <w:keepLines/>
        <w:spacing w:line="360" w:lineRule="auto"/>
        <w:rPr>
          <w:rFonts w:ascii="Palatino Linotype" w:eastAsia="Palatino Linotype" w:hAnsi="Palatino Linotype" w:cs="Palatino Linotype"/>
          <w:b/>
          <w:sz w:val="24"/>
          <w:szCs w:val="24"/>
        </w:rPr>
      </w:pPr>
      <w:bookmarkStart w:id="3" w:name="_heading=h.1fob9te" w:colFirst="0" w:colLast="0"/>
      <w:bookmarkEnd w:id="3"/>
      <w:r w:rsidRPr="002E6831">
        <w:rPr>
          <w:rFonts w:ascii="Palatino Linotype" w:eastAsia="Palatino Linotype" w:hAnsi="Palatino Linotype" w:cs="Palatino Linotype"/>
          <w:b/>
          <w:sz w:val="24"/>
          <w:szCs w:val="24"/>
        </w:rPr>
        <w:t>PRIMERO. De la competencia</w:t>
      </w:r>
    </w:p>
    <w:p w14:paraId="15FAD6BD" w14:textId="77777777" w:rsidR="00546C2A" w:rsidRPr="002E6831" w:rsidRDefault="00546C2A" w:rsidP="00546C2A">
      <w:pPr>
        <w:rPr>
          <w:rFonts w:ascii="Palatino Linotype" w:eastAsia="Palatino Linotype" w:hAnsi="Palatino Linotype" w:cs="Palatino Linotype"/>
          <w:sz w:val="24"/>
          <w:szCs w:val="24"/>
        </w:rPr>
      </w:pPr>
    </w:p>
    <w:p w14:paraId="530CD9F0" w14:textId="77777777" w:rsidR="00546C2A" w:rsidRPr="002E6831" w:rsidRDefault="00546C2A" w:rsidP="00CF6481">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rPr>
      </w:pPr>
      <w:r w:rsidRPr="002E6831">
        <w:rPr>
          <w:rFonts w:ascii="Palatino Linotype" w:eastAsia="Palatino Linotype" w:hAnsi="Palatino Linotype" w:cs="Palatino Linotype"/>
          <w:color w:val="000000"/>
          <w:sz w:val="24"/>
          <w:szCs w:val="24"/>
        </w:rPr>
        <w:t xml:space="preserve">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trigésimo, trigésimo primero y trigésimo segundo, fracciones IV y V, de la Constitución Política del Estado Libre y Soberano de México; artículos 1, 2 fracción II, 13, 29, 36 fracciones I y II, 176, 178, 179, 181 párrafo tercero y </w:t>
      </w:r>
      <w:r w:rsidRPr="002E6831">
        <w:rPr>
          <w:rFonts w:ascii="Palatino Linotype" w:eastAsia="Palatino Linotype" w:hAnsi="Palatino Linotype" w:cs="Palatino Linotype"/>
          <w:color w:val="000000"/>
          <w:sz w:val="24"/>
          <w:szCs w:val="24"/>
        </w:rPr>
        <w:lastRenderedPageBreak/>
        <w:t>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2F11BEC1" w14:textId="77777777" w:rsidR="00546C2A" w:rsidRPr="002E6831" w:rsidRDefault="00546C2A" w:rsidP="00546C2A">
      <w:pPr>
        <w:tabs>
          <w:tab w:val="left" w:pos="426"/>
        </w:tabs>
        <w:spacing w:line="360" w:lineRule="auto"/>
        <w:jc w:val="both"/>
        <w:rPr>
          <w:rFonts w:ascii="Palatino Linotype" w:eastAsia="Palatino Linotype" w:hAnsi="Palatino Linotype" w:cs="Palatino Linotype"/>
          <w:color w:val="000000"/>
          <w:sz w:val="24"/>
          <w:szCs w:val="24"/>
        </w:rPr>
      </w:pPr>
    </w:p>
    <w:p w14:paraId="56CFC189" w14:textId="77777777" w:rsidR="00546C2A" w:rsidRPr="002E6831" w:rsidRDefault="00546C2A" w:rsidP="00546C2A">
      <w:pPr>
        <w:keepNext/>
        <w:keepLines/>
        <w:spacing w:line="360" w:lineRule="auto"/>
        <w:rPr>
          <w:rFonts w:ascii="Palatino Linotype" w:eastAsia="Palatino Linotype" w:hAnsi="Palatino Linotype" w:cs="Palatino Linotype"/>
          <w:b/>
          <w:sz w:val="24"/>
          <w:szCs w:val="24"/>
        </w:rPr>
      </w:pPr>
      <w:bookmarkStart w:id="4" w:name="_heading=h.3znysh7" w:colFirst="0" w:colLast="0"/>
      <w:bookmarkEnd w:id="4"/>
      <w:r w:rsidRPr="002E6831">
        <w:rPr>
          <w:rFonts w:ascii="Palatino Linotype" w:eastAsia="Palatino Linotype" w:hAnsi="Palatino Linotype" w:cs="Palatino Linotype"/>
          <w:b/>
          <w:sz w:val="24"/>
          <w:szCs w:val="24"/>
        </w:rPr>
        <w:t>SEGUNDO. De la oportunidad y procedencia.</w:t>
      </w:r>
    </w:p>
    <w:p w14:paraId="1ED9B2F4" w14:textId="77777777" w:rsidR="00823FBA" w:rsidRPr="002E6831" w:rsidRDefault="00823FBA" w:rsidP="00546C2A">
      <w:pPr>
        <w:keepNext/>
        <w:keepLines/>
        <w:spacing w:line="360" w:lineRule="auto"/>
        <w:rPr>
          <w:rFonts w:ascii="Palatino Linotype" w:eastAsia="Palatino Linotype" w:hAnsi="Palatino Linotype" w:cs="Palatino Linotype"/>
          <w:b/>
          <w:sz w:val="24"/>
          <w:szCs w:val="24"/>
        </w:rPr>
      </w:pPr>
    </w:p>
    <w:p w14:paraId="01D7FBBB" w14:textId="77777777" w:rsidR="00823FBA" w:rsidRPr="002E6831" w:rsidRDefault="00823FBA" w:rsidP="009F5862">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lang w:eastAsia="es-MX"/>
        </w:rPr>
      </w:pPr>
      <w:r w:rsidRPr="002E6831">
        <w:rPr>
          <w:rFonts w:ascii="Palatino Linotype" w:eastAsia="Palatino Linotype" w:hAnsi="Palatino Linotype" w:cs="Palatino Linotype"/>
          <w:sz w:val="24"/>
          <w:szCs w:val="24"/>
          <w:lang w:eastAsia="es-MX"/>
        </w:rPr>
        <w:t xml:space="preserve">Es de precisar, que la Ley de Transparencia y Acceso a la Información Pública del Estado de México y Municipios, en el artículo 178 describe la procedencia del recurso de revisión, asimismo señala que el plazo del </w:t>
      </w:r>
      <w:r w:rsidRPr="002E6831">
        <w:rPr>
          <w:rFonts w:ascii="Palatino Linotype" w:eastAsia="Palatino Linotype" w:hAnsi="Palatino Linotype" w:cs="Palatino Linotype"/>
          <w:b/>
          <w:sz w:val="24"/>
          <w:szCs w:val="24"/>
          <w:lang w:eastAsia="es-MX"/>
        </w:rPr>
        <w:t>SUJETO OBLIGADO</w:t>
      </w:r>
      <w:r w:rsidRPr="002E6831">
        <w:rPr>
          <w:rFonts w:ascii="Palatino Linotype" w:eastAsia="Palatino Linotype" w:hAnsi="Palatino Linotype" w:cs="Palatino Linotype"/>
          <w:sz w:val="24"/>
          <w:szCs w:val="24"/>
          <w:lang w:eastAsia="es-MX"/>
        </w:rPr>
        <w:t xml:space="preserve"> para entregar la respuesta a una solicitud de información pública, es de quince días hábiles posteriores a la presentación de ésta; por lo que, transcurrido este término, cuando no entregue la respuesta a la solicitud dentro del plazo previsto en la Ley, la solicitud se entenderá negada y el solicitante podrá interponer el recurso de revisión previsto en el ordenamiento en cita.  </w:t>
      </w:r>
    </w:p>
    <w:p w14:paraId="55E0D800" w14:textId="77777777" w:rsidR="00823FBA" w:rsidRPr="002E6831" w:rsidRDefault="00823FBA" w:rsidP="00823FBA">
      <w:pPr>
        <w:tabs>
          <w:tab w:val="left" w:pos="284"/>
        </w:tabs>
        <w:spacing w:line="360" w:lineRule="auto"/>
        <w:jc w:val="both"/>
        <w:rPr>
          <w:rFonts w:ascii="Palatino Linotype" w:eastAsia="Palatino Linotype" w:hAnsi="Palatino Linotype" w:cs="Palatino Linotype"/>
          <w:color w:val="000000"/>
          <w:sz w:val="24"/>
          <w:szCs w:val="24"/>
          <w:lang w:eastAsia="es-MX"/>
        </w:rPr>
      </w:pPr>
    </w:p>
    <w:p w14:paraId="2DCB6923" w14:textId="77777777" w:rsidR="00823FBA" w:rsidRPr="002E6831" w:rsidRDefault="00823FBA" w:rsidP="009F5862">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lang w:eastAsia="es-MX"/>
        </w:rPr>
      </w:pPr>
      <w:r w:rsidRPr="002E6831">
        <w:rPr>
          <w:rFonts w:ascii="Palatino Linotype" w:eastAsia="Palatino Linotype" w:hAnsi="Palatino Linotype" w:cs="Palatino Linotype"/>
          <w:sz w:val="24"/>
          <w:szCs w:val="24"/>
          <w:lang w:eastAsia="es-MX"/>
        </w:rPr>
        <w:t xml:space="preserve">Por ende, se constituye la figura jurídica de la </w:t>
      </w:r>
      <w:r w:rsidRPr="002E6831">
        <w:rPr>
          <w:rFonts w:ascii="Palatino Linotype" w:eastAsia="Palatino Linotype" w:hAnsi="Palatino Linotype" w:cs="Palatino Linotype"/>
          <w:i/>
          <w:sz w:val="24"/>
          <w:szCs w:val="24"/>
          <w:lang w:eastAsia="es-MX"/>
        </w:rPr>
        <w:t>negativa ficta</w:t>
      </w:r>
      <w:r w:rsidRPr="002E6831">
        <w:rPr>
          <w:rFonts w:ascii="Palatino Linotype" w:eastAsia="Palatino Linotype" w:hAnsi="Palatino Linotype" w:cs="Palatino Linotype"/>
          <w:sz w:val="24"/>
          <w:szCs w:val="24"/>
          <w:lang w:eastAsia="es-MX"/>
        </w:rPr>
        <w:t xml:space="preserve">, cuya esencia es atribuir un efecto negativo al silencio de la autoridad administrativa frente a las instancias y solicitudes que hagan los particulares, lo cual encuentra sustento en lo que establece el artículo </w:t>
      </w:r>
      <w:r w:rsidRPr="002E6831">
        <w:rPr>
          <w:rFonts w:ascii="Palatino Linotype" w:eastAsia="Palatino Linotype" w:hAnsi="Palatino Linotype" w:cs="Palatino Linotype"/>
          <w:b/>
          <w:sz w:val="24"/>
          <w:szCs w:val="24"/>
          <w:lang w:eastAsia="es-MX"/>
        </w:rPr>
        <w:t>178</w:t>
      </w:r>
      <w:r w:rsidRPr="002E6831">
        <w:rPr>
          <w:rFonts w:ascii="Palatino Linotype" w:eastAsia="Palatino Linotype" w:hAnsi="Palatino Linotype" w:cs="Palatino Linotype"/>
          <w:sz w:val="24"/>
          <w:szCs w:val="24"/>
          <w:lang w:eastAsia="es-MX"/>
        </w:rPr>
        <w:t xml:space="preserve"> segundo párrafo de </w:t>
      </w:r>
      <w:r w:rsidRPr="002E6831">
        <w:rPr>
          <w:rFonts w:ascii="Palatino Linotype" w:eastAsia="Palatino Linotype" w:hAnsi="Palatino Linotype" w:cs="Palatino Linotype"/>
          <w:b/>
          <w:sz w:val="24"/>
          <w:szCs w:val="24"/>
          <w:lang w:eastAsia="es-MX"/>
        </w:rPr>
        <w:t>Ley de Transparencia y Acceso a la Información Pública del Estado de México y Municipios</w:t>
      </w:r>
      <w:r w:rsidRPr="002E6831">
        <w:rPr>
          <w:rFonts w:ascii="Palatino Linotype" w:eastAsia="Palatino Linotype" w:hAnsi="Palatino Linotype" w:cs="Palatino Linotype"/>
          <w:color w:val="000000"/>
          <w:sz w:val="24"/>
          <w:szCs w:val="24"/>
          <w:lang w:eastAsia="es-MX"/>
        </w:rPr>
        <w:t xml:space="preserve">, que dispone; ante la falta de respuesta del </w:t>
      </w:r>
      <w:r w:rsidRPr="002E6831">
        <w:rPr>
          <w:rFonts w:ascii="Palatino Linotype" w:eastAsia="Palatino Linotype" w:hAnsi="Palatino Linotype" w:cs="Palatino Linotype"/>
          <w:b/>
          <w:color w:val="000000"/>
          <w:sz w:val="24"/>
          <w:szCs w:val="24"/>
          <w:lang w:eastAsia="es-MX"/>
        </w:rPr>
        <w:t>SUJETO OBLIGADO,</w:t>
      </w:r>
      <w:r w:rsidRPr="002E6831">
        <w:rPr>
          <w:rFonts w:ascii="Palatino Linotype" w:eastAsia="Palatino Linotype" w:hAnsi="Palatino Linotype" w:cs="Palatino Linotype"/>
          <w:color w:val="000000"/>
          <w:sz w:val="24"/>
          <w:szCs w:val="24"/>
          <w:lang w:eastAsia="es-MX"/>
        </w:rPr>
        <w:t xml:space="preserve"> dentro de los plazos establecidos en esta Ley, a una </w:t>
      </w:r>
      <w:r w:rsidRPr="002E6831">
        <w:rPr>
          <w:rFonts w:ascii="Palatino Linotype" w:eastAsia="Palatino Linotype" w:hAnsi="Palatino Linotype" w:cs="Palatino Linotype"/>
          <w:color w:val="000000"/>
          <w:sz w:val="24"/>
          <w:szCs w:val="24"/>
          <w:lang w:eastAsia="es-MX"/>
        </w:rPr>
        <w:lastRenderedPageBreak/>
        <w:t xml:space="preserve">solicitud de acceso a la información pública, el recurso </w:t>
      </w:r>
      <w:r w:rsidRPr="002E6831">
        <w:rPr>
          <w:rFonts w:ascii="Palatino Linotype" w:eastAsia="Palatino Linotype" w:hAnsi="Palatino Linotype" w:cs="Palatino Linotype"/>
          <w:b/>
          <w:color w:val="000000"/>
          <w:sz w:val="24"/>
          <w:szCs w:val="24"/>
          <w:lang w:eastAsia="es-MX"/>
        </w:rPr>
        <w:t xml:space="preserve">podrá ser interpuesto en cualquier momento. </w:t>
      </w:r>
    </w:p>
    <w:p w14:paraId="6F8D408C" w14:textId="77777777" w:rsidR="00823FBA" w:rsidRPr="002E6831" w:rsidRDefault="00823FBA" w:rsidP="00823FBA">
      <w:pPr>
        <w:tabs>
          <w:tab w:val="left" w:pos="284"/>
        </w:tabs>
        <w:spacing w:line="360" w:lineRule="auto"/>
        <w:jc w:val="both"/>
        <w:rPr>
          <w:rFonts w:ascii="Palatino Linotype" w:eastAsia="Palatino Linotype" w:hAnsi="Palatino Linotype" w:cs="Palatino Linotype"/>
          <w:color w:val="000000"/>
          <w:sz w:val="24"/>
          <w:szCs w:val="24"/>
          <w:lang w:eastAsia="es-MX"/>
        </w:rPr>
      </w:pPr>
    </w:p>
    <w:p w14:paraId="18F23D16" w14:textId="77777777" w:rsidR="00823FBA" w:rsidRPr="002E6831" w:rsidRDefault="00823FBA" w:rsidP="009F5862">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lang w:eastAsia="es-MX"/>
        </w:rPr>
      </w:pPr>
      <w:r w:rsidRPr="002E6831">
        <w:rPr>
          <w:rFonts w:ascii="Palatino Linotype" w:eastAsia="Palatino Linotype" w:hAnsi="Palatino Linotype" w:cs="Palatino Linotype"/>
          <w:sz w:val="24"/>
          <w:szCs w:val="24"/>
          <w:lang w:eastAsia="es-MX"/>
        </w:rPr>
        <w:t xml:space="preserve">Por lo que, tratándose de la </w:t>
      </w:r>
      <w:r w:rsidRPr="002E6831">
        <w:rPr>
          <w:rFonts w:ascii="Palatino Linotype" w:eastAsia="Palatino Linotype" w:hAnsi="Palatino Linotype" w:cs="Palatino Linotype"/>
          <w:i/>
          <w:sz w:val="24"/>
          <w:szCs w:val="24"/>
          <w:lang w:eastAsia="es-MX"/>
        </w:rPr>
        <w:t>negativa ficta</w:t>
      </w:r>
      <w:r w:rsidRPr="002E6831">
        <w:rPr>
          <w:rFonts w:ascii="Palatino Linotype" w:eastAsia="Palatino Linotype" w:hAnsi="Palatino Linotype" w:cs="Palatino Linotype"/>
          <w:sz w:val="24"/>
          <w:szCs w:val="24"/>
          <w:lang w:eastAsia="es-MX"/>
        </w:rPr>
        <w:t xml:space="preserve"> no existe respuesta que se haga del conocimiento al particular, a partir de la cual pueda computarse el plazo legal establecido, por tal motivo es pertinente señalar que no existe plazo para la interposición del recurso de revisión, sirviendo de apoyo a lo anterior lo que dispone el Criterio de Interpretación en el orden administrativo número 001-15, emitido por el Pleno del Instituto de Transparencia y Acceso a la Información Pública del Estado de México y Municipios, en la Sexta Sesión Ordinaria, y publicada en el Periódico Oficial “Gaceta del Gobierno” el veintitrés de abril de dos mil quince, relativo a la interposición del recurso de revisión en cualquier tiempo cuando exista </w:t>
      </w:r>
      <w:r w:rsidRPr="002E6831">
        <w:rPr>
          <w:rFonts w:ascii="Palatino Linotype" w:eastAsia="Palatino Linotype" w:hAnsi="Palatino Linotype" w:cs="Palatino Linotype"/>
          <w:i/>
          <w:sz w:val="24"/>
          <w:szCs w:val="24"/>
          <w:lang w:eastAsia="es-MX"/>
        </w:rPr>
        <w:t>negativa ficta</w:t>
      </w:r>
      <w:r w:rsidRPr="002E6831">
        <w:rPr>
          <w:rFonts w:ascii="Palatino Linotype" w:eastAsia="Palatino Linotype" w:hAnsi="Palatino Linotype" w:cs="Palatino Linotype"/>
          <w:sz w:val="24"/>
          <w:szCs w:val="24"/>
          <w:lang w:eastAsia="es-MX"/>
        </w:rPr>
        <w:t>, que señala:</w:t>
      </w:r>
    </w:p>
    <w:p w14:paraId="201E4325" w14:textId="77777777" w:rsidR="00823FBA" w:rsidRPr="002E6831" w:rsidRDefault="00823FBA" w:rsidP="00823FBA">
      <w:pPr>
        <w:tabs>
          <w:tab w:val="left" w:pos="284"/>
          <w:tab w:val="left" w:pos="7655"/>
        </w:tabs>
        <w:spacing w:after="240"/>
        <w:ind w:left="709" w:right="539" w:firstLine="425"/>
        <w:jc w:val="center"/>
        <w:rPr>
          <w:rFonts w:ascii="Palatino Linotype" w:eastAsia="Palatino Linotype" w:hAnsi="Palatino Linotype" w:cs="Palatino Linotype"/>
          <w:b/>
          <w:sz w:val="24"/>
          <w:szCs w:val="24"/>
          <w:lang w:eastAsia="es-MX"/>
        </w:rPr>
      </w:pPr>
      <w:r w:rsidRPr="002E6831">
        <w:rPr>
          <w:rFonts w:ascii="Palatino Linotype" w:eastAsia="Palatino Linotype" w:hAnsi="Palatino Linotype" w:cs="Palatino Linotype"/>
          <w:b/>
          <w:sz w:val="24"/>
          <w:szCs w:val="24"/>
          <w:lang w:eastAsia="es-MX"/>
        </w:rPr>
        <w:t>Criterio 0001-15</w:t>
      </w:r>
    </w:p>
    <w:p w14:paraId="4402A73A" w14:textId="77777777" w:rsidR="00823FBA" w:rsidRPr="002E6831" w:rsidRDefault="00823FBA" w:rsidP="00823FBA">
      <w:pPr>
        <w:tabs>
          <w:tab w:val="left" w:pos="284"/>
          <w:tab w:val="left" w:pos="7655"/>
        </w:tabs>
        <w:spacing w:before="240" w:after="240"/>
        <w:ind w:left="709" w:right="539" w:firstLine="425"/>
        <w:jc w:val="both"/>
        <w:rPr>
          <w:rFonts w:ascii="Palatino Linotype" w:eastAsia="Palatino Linotype" w:hAnsi="Palatino Linotype" w:cs="Palatino Linotype"/>
          <w:i/>
          <w:sz w:val="24"/>
          <w:szCs w:val="24"/>
          <w:lang w:eastAsia="es-MX"/>
        </w:rPr>
      </w:pPr>
      <w:r w:rsidRPr="002E6831">
        <w:rPr>
          <w:rFonts w:ascii="Palatino Linotype" w:eastAsia="Palatino Linotype" w:hAnsi="Palatino Linotype" w:cs="Palatino Linotype"/>
          <w:b/>
          <w:i/>
          <w:sz w:val="24"/>
          <w:szCs w:val="24"/>
          <w:lang w:eastAsia="es-MX"/>
        </w:rPr>
        <w:t>NEGATIVA FICTA. PLAZO PARA INTERPONER EL RECURSO DE REVISIÓN TRATÁNDOSE DE.</w:t>
      </w:r>
      <w:r w:rsidRPr="002E6831">
        <w:rPr>
          <w:rFonts w:ascii="Palatino Linotype" w:eastAsia="Palatino Linotype" w:hAnsi="Palatino Linotype" w:cs="Palatino Linotype"/>
          <w:i/>
          <w:sz w:val="24"/>
          <w:szCs w:val="24"/>
          <w:lang w:eastAsia="es-MX"/>
        </w:rPr>
        <w:t xml:space="preserve"> El artículo 48, párrafo tercero de la Ley de Transparencia y Acceso a la Información Pública del Estado de México y Municipios establece que, cuando no se entregue la respuesta a la solicitud dentro del plazo de 15 días establecidos en el artículo 46 de la Ley de la materia, se entenderá por negada la solicitud y podrá interponerse el recurso correspondiente. Por su parte, el artículo 72 del mismo ordenamiento legal establece el plazo de 15 días para interponer el recurso de revisión a partir del día siguiente al que tuvo conocimiento de la respuesta recaída a su solicitud, sin que se establezca excepción alguna tratándose de una falta de respuesta del sujeto obligado. Así, entonces, resulta evidente que, al no emitirse respuesta dentro del plazo establecido, se </w:t>
      </w:r>
      <w:r w:rsidRPr="002E6831">
        <w:rPr>
          <w:rFonts w:ascii="Palatino Linotype" w:eastAsia="Palatino Linotype" w:hAnsi="Palatino Linotype" w:cs="Palatino Linotype"/>
          <w:i/>
          <w:sz w:val="24"/>
          <w:szCs w:val="24"/>
          <w:lang w:eastAsia="es-MX"/>
        </w:rPr>
        <w:lastRenderedPageBreak/>
        <w:t>genera la ficción legal de una respuesta en sentido negativo; en el entendido de que el plazo para impugnar esa negativa podrá ser en cualquier tiempo y hasta en tanto no se dicte resolución expresa; es decir, mientras no haya respuesta por parte del Sujeto Obligado, momento a partir del cual deberá computarse el plazo previsto en el artículo 72 de la citada Ley.</w:t>
      </w:r>
    </w:p>
    <w:p w14:paraId="34D62C2B" w14:textId="77777777" w:rsidR="00823FBA" w:rsidRPr="002E6831" w:rsidRDefault="00823FBA" w:rsidP="00823FBA">
      <w:pPr>
        <w:tabs>
          <w:tab w:val="left" w:pos="284"/>
          <w:tab w:val="left" w:pos="7655"/>
        </w:tabs>
        <w:spacing w:before="240" w:after="240"/>
        <w:ind w:right="822"/>
        <w:jc w:val="both"/>
        <w:rPr>
          <w:rFonts w:ascii="Palatino Linotype" w:eastAsia="Palatino Linotype" w:hAnsi="Palatino Linotype" w:cs="Palatino Linotype"/>
          <w:i/>
          <w:sz w:val="24"/>
          <w:szCs w:val="24"/>
          <w:lang w:eastAsia="es-MX"/>
        </w:rPr>
      </w:pPr>
    </w:p>
    <w:p w14:paraId="17694E22" w14:textId="77777777" w:rsidR="00823FBA" w:rsidRPr="002E6831" w:rsidRDefault="00823FBA" w:rsidP="009F5862">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lang w:eastAsia="es-MX"/>
        </w:rPr>
      </w:pPr>
      <w:r w:rsidRPr="002E6831">
        <w:rPr>
          <w:rFonts w:ascii="Palatino Linotype" w:eastAsia="Palatino Linotype" w:hAnsi="Palatino Linotype" w:cs="Palatino Linotype"/>
          <w:color w:val="000000"/>
          <w:sz w:val="24"/>
          <w:szCs w:val="24"/>
          <w:lang w:eastAsia="es-MX"/>
        </w:rPr>
        <w:t xml:space="preserve">Lo anterior, se explica porque la </w:t>
      </w:r>
      <w:r w:rsidRPr="002E6831">
        <w:rPr>
          <w:rFonts w:ascii="Palatino Linotype" w:eastAsia="Palatino Linotype" w:hAnsi="Palatino Linotype" w:cs="Palatino Linotype"/>
          <w:b/>
          <w:color w:val="000000"/>
          <w:sz w:val="24"/>
          <w:szCs w:val="24"/>
          <w:u w:val="single"/>
          <w:lang w:eastAsia="es-MX"/>
        </w:rPr>
        <w:t>posible ausencia</w:t>
      </w:r>
      <w:r w:rsidRPr="002E6831">
        <w:rPr>
          <w:rFonts w:ascii="Palatino Linotype" w:eastAsia="Palatino Linotype" w:hAnsi="Palatino Linotype" w:cs="Palatino Linotype"/>
          <w:color w:val="000000"/>
          <w:sz w:val="24"/>
          <w:szCs w:val="24"/>
          <w:lang w:eastAsia="es-MX"/>
        </w:rPr>
        <w:t xml:space="preserve"> de una respuesta en la solicitud constituye un acto que vulnera el derecho de manera continua y actualizable cada día en tanto, no se emita la respuesta a la que esté impuesto el </w:t>
      </w:r>
      <w:r w:rsidRPr="002E6831">
        <w:rPr>
          <w:rFonts w:ascii="Palatino Linotype" w:eastAsia="Palatino Linotype" w:hAnsi="Palatino Linotype" w:cs="Palatino Linotype"/>
          <w:b/>
          <w:color w:val="000000"/>
          <w:sz w:val="24"/>
          <w:szCs w:val="24"/>
          <w:lang w:eastAsia="es-MX"/>
        </w:rPr>
        <w:t>SUJETO OBLIGADO</w:t>
      </w:r>
      <w:r w:rsidRPr="002E6831">
        <w:rPr>
          <w:rFonts w:ascii="Palatino Linotype" w:eastAsia="Palatino Linotype" w:hAnsi="Palatino Linotype" w:cs="Palatino Linotype"/>
          <w:color w:val="000000"/>
          <w:sz w:val="24"/>
          <w:szCs w:val="24"/>
          <w:lang w:eastAsia="es-MX"/>
        </w:rPr>
        <w:t>.</w:t>
      </w:r>
    </w:p>
    <w:p w14:paraId="3DE72008" w14:textId="77777777" w:rsidR="00823FBA" w:rsidRPr="002E6831" w:rsidRDefault="00823FBA" w:rsidP="00823FBA">
      <w:pPr>
        <w:spacing w:line="360" w:lineRule="auto"/>
        <w:contextualSpacing/>
        <w:jc w:val="both"/>
        <w:rPr>
          <w:rFonts w:ascii="Palatino Linotype" w:eastAsia="Calibri" w:hAnsi="Palatino Linotype" w:cs="Arial"/>
          <w:sz w:val="24"/>
          <w:szCs w:val="24"/>
          <w:lang w:eastAsia="es-MX"/>
        </w:rPr>
      </w:pPr>
    </w:p>
    <w:p w14:paraId="3CD9D78B" w14:textId="5A0FD442" w:rsidR="00823FBA" w:rsidRPr="002E6831" w:rsidRDefault="00823FBA" w:rsidP="009F5862">
      <w:pPr>
        <w:numPr>
          <w:ilvl w:val="0"/>
          <w:numId w:val="3"/>
        </w:numPr>
        <w:tabs>
          <w:tab w:val="left" w:pos="426"/>
        </w:tabs>
        <w:spacing w:line="360" w:lineRule="auto"/>
        <w:ind w:left="0" w:firstLine="0"/>
        <w:jc w:val="both"/>
        <w:rPr>
          <w:rFonts w:ascii="Palatino Linotype" w:eastAsia="Palatino Linotype" w:hAnsi="Palatino Linotype" w:cs="Palatino Linotype"/>
          <w:b/>
          <w:sz w:val="24"/>
          <w:szCs w:val="24"/>
          <w:lang w:eastAsia="es-MX"/>
        </w:rPr>
      </w:pPr>
      <w:r w:rsidRPr="002E6831">
        <w:rPr>
          <w:rFonts w:ascii="Palatino Linotype" w:eastAsia="Palatino Linotype" w:hAnsi="Palatino Linotype" w:cs="Palatino Linotype"/>
          <w:sz w:val="24"/>
          <w:szCs w:val="24"/>
          <w:lang w:eastAsia="es-MX"/>
        </w:rPr>
        <w:t>Expuesto lo anterior,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1F3F4B55" w14:textId="77777777" w:rsidR="00546C2A" w:rsidRPr="002E6831" w:rsidRDefault="00546C2A" w:rsidP="00546C2A">
      <w:pPr>
        <w:spacing w:line="360" w:lineRule="auto"/>
        <w:ind w:right="49"/>
        <w:jc w:val="both"/>
        <w:rPr>
          <w:rFonts w:ascii="Palatino Linotype" w:eastAsia="Palatino Linotype" w:hAnsi="Palatino Linotype" w:cs="Palatino Linotype"/>
          <w:sz w:val="24"/>
          <w:szCs w:val="24"/>
        </w:rPr>
      </w:pPr>
      <w:bookmarkStart w:id="5" w:name="_heading=h.2et92p0" w:colFirst="0" w:colLast="0"/>
      <w:bookmarkEnd w:id="5"/>
    </w:p>
    <w:p w14:paraId="1E91C6E0" w14:textId="77777777" w:rsidR="003043D0" w:rsidRPr="002E6831" w:rsidRDefault="003043D0" w:rsidP="003043D0">
      <w:pPr>
        <w:tabs>
          <w:tab w:val="left" w:pos="426"/>
        </w:tabs>
        <w:spacing w:line="360" w:lineRule="auto"/>
        <w:jc w:val="both"/>
        <w:rPr>
          <w:rFonts w:ascii="Palatino Linotype" w:eastAsia="Palatino Linotype" w:hAnsi="Palatino Linotype" w:cs="Palatino Linotype"/>
          <w:color w:val="000000"/>
          <w:sz w:val="24"/>
          <w:szCs w:val="24"/>
        </w:rPr>
      </w:pPr>
      <w:bookmarkStart w:id="6" w:name="_heading=h.tyjcwt" w:colFirst="0" w:colLast="0"/>
      <w:bookmarkEnd w:id="0"/>
      <w:bookmarkEnd w:id="6"/>
    </w:p>
    <w:p w14:paraId="0EBDF6F8" w14:textId="77777777" w:rsidR="0069015B" w:rsidRPr="002E6831" w:rsidRDefault="0069015B" w:rsidP="0069015B">
      <w:pPr>
        <w:pStyle w:val="Ttulo1"/>
        <w:spacing w:before="0" w:line="360" w:lineRule="auto"/>
        <w:rPr>
          <w:rFonts w:ascii="Palatino Linotype" w:eastAsia="Palatino Linotype" w:hAnsi="Palatino Linotype" w:cs="Palatino Linotype"/>
          <w:b/>
          <w:color w:val="000000"/>
          <w:sz w:val="24"/>
          <w:szCs w:val="24"/>
        </w:rPr>
      </w:pPr>
      <w:r w:rsidRPr="002E6831">
        <w:rPr>
          <w:rFonts w:ascii="Palatino Linotype" w:eastAsia="Palatino Linotype" w:hAnsi="Palatino Linotype" w:cs="Palatino Linotype"/>
          <w:b/>
          <w:color w:val="000000"/>
          <w:sz w:val="24"/>
          <w:szCs w:val="24"/>
        </w:rPr>
        <w:t xml:space="preserve">TERCERO. Del planteamiento de la </w:t>
      </w:r>
      <w:r w:rsidRPr="002E6831">
        <w:rPr>
          <w:rFonts w:ascii="Palatino Linotype" w:eastAsia="Palatino Linotype" w:hAnsi="Palatino Linotype" w:cs="Palatino Linotype"/>
          <w:b/>
          <w:i/>
          <w:color w:val="000000"/>
          <w:sz w:val="24"/>
          <w:szCs w:val="24"/>
        </w:rPr>
        <w:t>Litis</w:t>
      </w:r>
      <w:r w:rsidRPr="002E6831">
        <w:rPr>
          <w:rFonts w:ascii="Palatino Linotype" w:eastAsia="Palatino Linotype" w:hAnsi="Palatino Linotype" w:cs="Palatino Linotype"/>
          <w:b/>
          <w:color w:val="000000"/>
          <w:sz w:val="24"/>
          <w:szCs w:val="24"/>
        </w:rPr>
        <w:t>.</w:t>
      </w:r>
    </w:p>
    <w:p w14:paraId="3ADA3193"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sz w:val="24"/>
          <w:szCs w:val="24"/>
        </w:rPr>
      </w:pPr>
    </w:p>
    <w:p w14:paraId="28B84982"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b/>
          <w:sz w:val="24"/>
          <w:szCs w:val="24"/>
        </w:rPr>
      </w:pPr>
      <w:r w:rsidRPr="002E6831">
        <w:rPr>
          <w:rFonts w:ascii="Palatino Linotype" w:eastAsia="Palatino Linotype" w:hAnsi="Palatino Linotype" w:cs="Palatino Linotype"/>
          <w:sz w:val="24"/>
          <w:szCs w:val="24"/>
        </w:rPr>
        <w:t>De las constancias en el expediente al rubro indicado, se desprende que la particular solicitó la información que a continuación se desagrega:</w:t>
      </w:r>
    </w:p>
    <w:p w14:paraId="40E8C9A8" w14:textId="77777777" w:rsidR="0069015B" w:rsidRPr="002E6831" w:rsidRDefault="0069015B" w:rsidP="0069015B">
      <w:pPr>
        <w:pBdr>
          <w:top w:val="nil"/>
          <w:left w:val="nil"/>
          <w:bottom w:val="nil"/>
          <w:right w:val="nil"/>
          <w:between w:val="nil"/>
        </w:pBdr>
        <w:tabs>
          <w:tab w:val="left" w:pos="1305"/>
        </w:tabs>
        <w:spacing w:line="360" w:lineRule="auto"/>
        <w:jc w:val="both"/>
        <w:rPr>
          <w:rFonts w:ascii="Palatino Linotype" w:eastAsia="Palatino Linotype" w:hAnsi="Palatino Linotype" w:cs="Palatino Linotype"/>
          <w:b/>
          <w:color w:val="000000"/>
          <w:sz w:val="24"/>
          <w:szCs w:val="24"/>
        </w:rPr>
      </w:pPr>
      <w:r w:rsidRPr="002E6831">
        <w:rPr>
          <w:rFonts w:ascii="Palatino Linotype" w:eastAsia="Palatino Linotype" w:hAnsi="Palatino Linotype" w:cs="Palatino Linotype"/>
          <w:b/>
          <w:color w:val="000000"/>
          <w:sz w:val="24"/>
          <w:szCs w:val="24"/>
        </w:rPr>
        <w:tab/>
      </w:r>
    </w:p>
    <w:p w14:paraId="3D8D0C2C" w14:textId="3F1348D1" w:rsidR="0069015B" w:rsidRPr="002E6831" w:rsidRDefault="0069015B" w:rsidP="0069015B">
      <w:pPr>
        <w:numPr>
          <w:ilvl w:val="0"/>
          <w:numId w:val="33"/>
        </w:numPr>
        <w:pBdr>
          <w:top w:val="nil"/>
          <w:left w:val="nil"/>
          <w:bottom w:val="nil"/>
          <w:right w:val="nil"/>
          <w:between w:val="nil"/>
        </w:pBdr>
        <w:spacing w:line="360" w:lineRule="auto"/>
        <w:jc w:val="both"/>
        <w:rPr>
          <w:rFonts w:ascii="Palatino Linotype" w:eastAsia="Palatino Linotype" w:hAnsi="Palatino Linotype" w:cs="Palatino Linotype"/>
          <w:b/>
          <w:color w:val="000000"/>
          <w:sz w:val="24"/>
          <w:szCs w:val="24"/>
        </w:rPr>
      </w:pPr>
      <w:r w:rsidRPr="002E6831">
        <w:rPr>
          <w:rFonts w:ascii="Palatino Linotype" w:eastAsia="Palatino Linotype" w:hAnsi="Palatino Linotype" w:cs="Palatino Linotype"/>
          <w:b/>
          <w:color w:val="000000"/>
          <w:sz w:val="24"/>
          <w:szCs w:val="24"/>
        </w:rPr>
        <w:t xml:space="preserve">Oficios firmados por el Director de Desarrollo Social del año dos mil ocho </w:t>
      </w:r>
    </w:p>
    <w:p w14:paraId="6718BB2A" w14:textId="77777777" w:rsidR="0069015B" w:rsidRPr="002E6831" w:rsidRDefault="0069015B" w:rsidP="0069015B">
      <w:pPr>
        <w:pBdr>
          <w:top w:val="nil"/>
          <w:left w:val="nil"/>
          <w:bottom w:val="nil"/>
          <w:right w:val="nil"/>
          <w:between w:val="nil"/>
        </w:pBdr>
        <w:spacing w:line="360" w:lineRule="auto"/>
        <w:ind w:left="778"/>
        <w:jc w:val="both"/>
        <w:rPr>
          <w:rFonts w:ascii="Palatino Linotype" w:eastAsia="Palatino Linotype" w:hAnsi="Palatino Linotype" w:cs="Palatino Linotype"/>
          <w:b/>
          <w:color w:val="000000"/>
          <w:sz w:val="24"/>
          <w:szCs w:val="24"/>
        </w:rPr>
      </w:pPr>
    </w:p>
    <w:p w14:paraId="3AD12987"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lastRenderedPageBreak/>
        <w:t xml:space="preserve">Tal y como se observa en el tablero del expediente electrónico el </w:t>
      </w:r>
      <w:r w:rsidRPr="002E6831">
        <w:rPr>
          <w:rFonts w:ascii="Palatino Linotype" w:eastAsia="Palatino Linotype" w:hAnsi="Palatino Linotype" w:cs="Palatino Linotype"/>
          <w:b/>
          <w:sz w:val="24"/>
          <w:szCs w:val="24"/>
        </w:rPr>
        <w:t xml:space="preserve">SUJETO OBLIGADO </w:t>
      </w:r>
      <w:r w:rsidRPr="002E6831">
        <w:rPr>
          <w:rFonts w:ascii="Palatino Linotype" w:eastAsia="Palatino Linotype" w:hAnsi="Palatino Linotype" w:cs="Palatino Linotype"/>
          <w:sz w:val="24"/>
          <w:szCs w:val="24"/>
        </w:rPr>
        <w:t xml:space="preserve">fue omiso en entregar respuesta.  </w:t>
      </w:r>
    </w:p>
    <w:p w14:paraId="0532EFC5"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0E25163C" w14:textId="0922879D"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En dichas condiciones, la </w:t>
      </w:r>
      <w:r w:rsidRPr="002E6831">
        <w:rPr>
          <w:rFonts w:ascii="Palatino Linotype" w:eastAsia="Palatino Linotype" w:hAnsi="Palatino Linotype" w:cs="Palatino Linotype"/>
          <w:i/>
          <w:sz w:val="24"/>
          <w:szCs w:val="24"/>
        </w:rPr>
        <w:t>Litis</w:t>
      </w:r>
      <w:r w:rsidRPr="002E6831">
        <w:rPr>
          <w:rFonts w:ascii="Palatino Linotype" w:eastAsia="Palatino Linotype" w:hAnsi="Palatino Linotype" w:cs="Palatino Linotype"/>
          <w:sz w:val="24"/>
          <w:szCs w:val="24"/>
        </w:rPr>
        <w:t xml:space="preserve"> a resolver en este recurso se circunscribe a determinar si se actualizan las causales de procedencia previstas en el artículo 179, </w:t>
      </w:r>
      <w:r w:rsidRPr="002E6831">
        <w:rPr>
          <w:rFonts w:ascii="Palatino Linotype" w:eastAsia="Palatino Linotype" w:hAnsi="Palatino Linotype" w:cs="Palatino Linotype"/>
          <w:b/>
          <w:sz w:val="24"/>
          <w:szCs w:val="24"/>
        </w:rPr>
        <w:t xml:space="preserve">fracción </w:t>
      </w:r>
      <w:r w:rsidR="00957D4C" w:rsidRPr="002E6831">
        <w:rPr>
          <w:rFonts w:ascii="Palatino Linotype" w:eastAsia="Palatino Linotype" w:hAnsi="Palatino Linotype" w:cs="Palatino Linotype"/>
          <w:b/>
          <w:sz w:val="24"/>
          <w:szCs w:val="24"/>
        </w:rPr>
        <w:t>VI</w:t>
      </w:r>
      <w:r w:rsidRPr="002E6831">
        <w:rPr>
          <w:rFonts w:ascii="Palatino Linotype" w:eastAsia="Palatino Linotype" w:hAnsi="Palatino Linotype" w:cs="Palatino Linotype"/>
          <w:b/>
          <w:sz w:val="24"/>
          <w:szCs w:val="24"/>
        </w:rPr>
        <w:t xml:space="preserve">I </w:t>
      </w:r>
      <w:r w:rsidRPr="002E6831">
        <w:rPr>
          <w:rFonts w:ascii="Palatino Linotype" w:eastAsia="Palatino Linotype" w:hAnsi="Palatino Linotype" w:cs="Palatino Linotype"/>
          <w:sz w:val="24"/>
          <w:szCs w:val="24"/>
        </w:rPr>
        <w:t>de la</w:t>
      </w:r>
      <w:r w:rsidRPr="002E6831">
        <w:rPr>
          <w:rFonts w:ascii="Palatino Linotype" w:eastAsia="Palatino Linotype" w:hAnsi="Palatino Linotype" w:cs="Palatino Linotype"/>
          <w:color w:val="000000"/>
          <w:sz w:val="24"/>
          <w:szCs w:val="24"/>
        </w:rPr>
        <w:t xml:space="preserve"> Ley</w:t>
      </w:r>
      <w:r w:rsidRPr="002E6831">
        <w:rPr>
          <w:rFonts w:ascii="Palatino Linotype" w:eastAsia="Palatino Linotype" w:hAnsi="Palatino Linotype" w:cs="Palatino Linotype"/>
          <w:b/>
          <w:sz w:val="24"/>
          <w:szCs w:val="24"/>
        </w:rPr>
        <w:t xml:space="preserve"> de Transparencia y Acceso a la Información Pública del Estado de </w:t>
      </w:r>
      <w:r w:rsidRPr="002E6831">
        <w:rPr>
          <w:rFonts w:ascii="Palatino Linotype" w:eastAsia="Palatino Linotype" w:hAnsi="Palatino Linotype" w:cs="Palatino Linotype"/>
          <w:sz w:val="24"/>
          <w:szCs w:val="24"/>
        </w:rPr>
        <w:t>México</w:t>
      </w:r>
      <w:r w:rsidRPr="002E6831">
        <w:rPr>
          <w:rFonts w:ascii="Palatino Linotype" w:eastAsia="Palatino Linotype" w:hAnsi="Palatino Linotype" w:cs="Palatino Linotype"/>
          <w:b/>
          <w:sz w:val="24"/>
          <w:szCs w:val="24"/>
        </w:rPr>
        <w:t xml:space="preserve"> y Municipios</w:t>
      </w:r>
      <w:r w:rsidRPr="002E6831">
        <w:rPr>
          <w:rFonts w:ascii="Palatino Linotype" w:eastAsia="Palatino Linotype" w:hAnsi="Palatino Linotype" w:cs="Palatino Linotype"/>
          <w:sz w:val="24"/>
          <w:szCs w:val="24"/>
        </w:rPr>
        <w:t xml:space="preserve">; </w:t>
      </w:r>
      <w:r w:rsidRPr="002E6831">
        <w:rPr>
          <w:rFonts w:ascii="Palatino Linotype" w:eastAsia="Palatino Linotype" w:hAnsi="Palatino Linotype" w:cs="Palatino Linotype"/>
          <w:color w:val="000000"/>
          <w:sz w:val="24"/>
          <w:szCs w:val="24"/>
        </w:rPr>
        <w:t>fracción que dete</w:t>
      </w:r>
      <w:r w:rsidR="00957D4C" w:rsidRPr="002E6831">
        <w:rPr>
          <w:rFonts w:ascii="Palatino Linotype" w:eastAsia="Palatino Linotype" w:hAnsi="Palatino Linotype" w:cs="Palatino Linotype"/>
          <w:color w:val="000000"/>
          <w:sz w:val="24"/>
          <w:szCs w:val="24"/>
        </w:rPr>
        <w:t>rmina la hipótesis relativa a la falta de respuesta a una solicitud de acceso a la información</w:t>
      </w:r>
      <w:r w:rsidRPr="002E6831">
        <w:rPr>
          <w:rFonts w:ascii="Palatino Linotype" w:eastAsia="Palatino Linotype" w:hAnsi="Palatino Linotype" w:cs="Palatino Linotype"/>
          <w:color w:val="000000"/>
          <w:sz w:val="24"/>
          <w:szCs w:val="24"/>
        </w:rPr>
        <w:t xml:space="preserve">; </w:t>
      </w:r>
      <w:r w:rsidRPr="002E6831">
        <w:rPr>
          <w:rFonts w:ascii="Palatino Linotype" w:eastAsia="Palatino Linotype" w:hAnsi="Palatino Linotype" w:cs="Palatino Linotype"/>
          <w:sz w:val="24"/>
          <w:szCs w:val="24"/>
        </w:rPr>
        <w:t xml:space="preserve">contexto del cual se dolió </w:t>
      </w:r>
      <w:r w:rsidRPr="002E6831">
        <w:rPr>
          <w:rFonts w:ascii="Palatino Linotype" w:eastAsia="Palatino Linotype" w:hAnsi="Palatino Linotype" w:cs="Palatino Linotype"/>
          <w:b/>
          <w:sz w:val="24"/>
          <w:szCs w:val="24"/>
        </w:rPr>
        <w:t xml:space="preserve">EL RECURRENTE </w:t>
      </w:r>
      <w:r w:rsidRPr="002E6831">
        <w:rPr>
          <w:rFonts w:ascii="Palatino Linotype" w:eastAsia="Palatino Linotype" w:hAnsi="Palatino Linotype" w:cs="Palatino Linotype"/>
          <w:sz w:val="24"/>
          <w:szCs w:val="24"/>
        </w:rPr>
        <w:t>al momento de interponer su inconformidad.</w:t>
      </w:r>
    </w:p>
    <w:p w14:paraId="3FD2C214"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136C61A5"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color w:val="000000"/>
          <w:sz w:val="24"/>
          <w:szCs w:val="24"/>
        </w:rPr>
        <w:t xml:space="preserve">De modo tal que el presente recurso de revisión se abocara en determinar si el </w:t>
      </w:r>
      <w:r w:rsidRPr="002E6831">
        <w:rPr>
          <w:rFonts w:ascii="Palatino Linotype" w:eastAsia="Palatino Linotype" w:hAnsi="Palatino Linotype" w:cs="Palatino Linotype"/>
          <w:b/>
          <w:sz w:val="24"/>
          <w:szCs w:val="24"/>
        </w:rPr>
        <w:t>SUJETO</w:t>
      </w:r>
      <w:r w:rsidRPr="002E6831">
        <w:rPr>
          <w:rFonts w:ascii="Palatino Linotype" w:eastAsia="Palatino Linotype" w:hAnsi="Palatino Linotype" w:cs="Palatino Linotype"/>
          <w:b/>
          <w:color w:val="000000"/>
          <w:sz w:val="24"/>
          <w:szCs w:val="24"/>
        </w:rPr>
        <w:t xml:space="preserve"> OBLIGADO</w:t>
      </w:r>
      <w:r w:rsidRPr="002E6831">
        <w:rPr>
          <w:rFonts w:ascii="Palatino Linotype" w:eastAsia="Palatino Linotype" w:hAnsi="Palatino Linotype" w:cs="Palatino Linotype"/>
          <w:color w:val="000000"/>
          <w:sz w:val="24"/>
          <w:szCs w:val="24"/>
        </w:rPr>
        <w:t xml:space="preserve"> con su respuesta ciertamente actualiza la causal de procedencia</w:t>
      </w:r>
      <w:r w:rsidRPr="002E6831">
        <w:rPr>
          <w:rFonts w:ascii="Palatino Linotype" w:eastAsia="Palatino Linotype" w:hAnsi="Palatino Linotype" w:cs="Palatino Linotype"/>
          <w:b/>
          <w:color w:val="000000"/>
          <w:sz w:val="24"/>
          <w:szCs w:val="24"/>
        </w:rPr>
        <w:t xml:space="preserve"> </w:t>
      </w:r>
      <w:r w:rsidRPr="002E6831">
        <w:rPr>
          <w:rFonts w:ascii="Palatino Linotype" w:eastAsia="Palatino Linotype" w:hAnsi="Palatino Linotype" w:cs="Palatino Linotype"/>
          <w:color w:val="000000"/>
          <w:sz w:val="24"/>
          <w:szCs w:val="24"/>
        </w:rPr>
        <w:t>antes señalada; asimismo, determinar si se vulnera el derecho de acceso a la información del particular por la inobservancia a los principios contenidos en el artículo 11 de la Ley de Transparencia y Acceso a la Información Pública del Estado de México y Municipios, los cuales señala entre otros, que en la generación y entrega de información se deberá garantizar que sea oportuna, expedita, completa e integral.</w:t>
      </w:r>
    </w:p>
    <w:p w14:paraId="3FEAAB64" w14:textId="77777777" w:rsidR="0069015B" w:rsidRPr="002E6831" w:rsidRDefault="0069015B" w:rsidP="0069015B">
      <w:pPr>
        <w:spacing w:line="360" w:lineRule="auto"/>
        <w:jc w:val="both"/>
        <w:rPr>
          <w:rFonts w:ascii="Palatino Linotype" w:eastAsia="Palatino Linotype" w:hAnsi="Palatino Linotype" w:cs="Palatino Linotype"/>
          <w:sz w:val="24"/>
          <w:szCs w:val="24"/>
        </w:rPr>
      </w:pPr>
    </w:p>
    <w:p w14:paraId="28BDFADD" w14:textId="77777777" w:rsidR="0069015B" w:rsidRPr="002E6831" w:rsidRDefault="0069015B" w:rsidP="0069015B">
      <w:pPr>
        <w:keepNext/>
        <w:keepLines/>
        <w:spacing w:line="360" w:lineRule="auto"/>
        <w:rPr>
          <w:rFonts w:ascii="Palatino Linotype" w:eastAsia="Palatino Linotype" w:hAnsi="Palatino Linotype" w:cs="Palatino Linotype"/>
          <w:b/>
          <w:color w:val="000000"/>
          <w:sz w:val="24"/>
          <w:szCs w:val="24"/>
        </w:rPr>
      </w:pPr>
      <w:r w:rsidRPr="002E6831">
        <w:rPr>
          <w:rFonts w:ascii="Palatino Linotype" w:eastAsia="Palatino Linotype" w:hAnsi="Palatino Linotype" w:cs="Palatino Linotype"/>
          <w:b/>
          <w:color w:val="000000"/>
          <w:sz w:val="24"/>
          <w:szCs w:val="24"/>
        </w:rPr>
        <w:t>CUARTO. Del estudio y resolución del asunto</w:t>
      </w:r>
    </w:p>
    <w:p w14:paraId="1B4DBA77" w14:textId="77777777" w:rsidR="0069015B" w:rsidRPr="002E6831" w:rsidRDefault="0069015B" w:rsidP="0069015B">
      <w:pPr>
        <w:spacing w:line="360" w:lineRule="auto"/>
        <w:jc w:val="both"/>
        <w:rPr>
          <w:rFonts w:ascii="Palatino Linotype" w:eastAsia="Palatino Linotype" w:hAnsi="Palatino Linotype" w:cs="Palatino Linotype"/>
          <w:sz w:val="24"/>
          <w:szCs w:val="24"/>
        </w:rPr>
      </w:pPr>
    </w:p>
    <w:p w14:paraId="1A856CDA"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rPr>
      </w:pPr>
      <w:bookmarkStart w:id="7" w:name="_heading=h.1t3h5sf" w:colFirst="0" w:colLast="0"/>
      <w:bookmarkEnd w:id="7"/>
      <w:r w:rsidRPr="002E6831">
        <w:rPr>
          <w:rFonts w:ascii="Palatino Linotype" w:eastAsia="Palatino Linotype" w:hAnsi="Palatino Linotype" w:cs="Palatino Linotype"/>
          <w:color w:val="000000"/>
          <w:sz w:val="24"/>
          <w:szCs w:val="24"/>
        </w:rPr>
        <w:t xml:space="preserve">El Derecho de Acceso a la Información Pública, es un derecho humano reconocido en el Pacto de Derechos Civiles y Políticos en su artículo 19.2; en la Convención </w:t>
      </w:r>
      <w:r w:rsidRPr="002E6831">
        <w:rPr>
          <w:rFonts w:ascii="Palatino Linotype" w:eastAsia="Palatino Linotype" w:hAnsi="Palatino Linotype" w:cs="Palatino Linotype"/>
          <w:color w:val="000000"/>
          <w:sz w:val="24"/>
          <w:szCs w:val="24"/>
        </w:rPr>
        <w:lastRenderedPageBreak/>
        <w:t xml:space="preserve">Americana sobre Derechos Humanos en su artículo 13.1; en el artículo sexto de la Constitución Política de los Estados Unidos Mexicanos y en el artículo quinto de la Particular del Estado de México. </w:t>
      </w:r>
    </w:p>
    <w:p w14:paraId="0BADB3DA" w14:textId="77777777" w:rsidR="0069015B" w:rsidRPr="002E6831" w:rsidRDefault="0069015B" w:rsidP="0069015B">
      <w:pPr>
        <w:spacing w:line="360" w:lineRule="auto"/>
        <w:ind w:right="48"/>
        <w:jc w:val="both"/>
        <w:rPr>
          <w:rFonts w:ascii="Palatino Linotype" w:eastAsia="Palatino Linotype" w:hAnsi="Palatino Linotype" w:cs="Palatino Linotype"/>
          <w:sz w:val="24"/>
          <w:szCs w:val="24"/>
        </w:rPr>
      </w:pPr>
    </w:p>
    <w:p w14:paraId="21D95EB4"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Definiendo el Derecho de Acceso a la Información Pública como: </w:t>
      </w:r>
      <w:r w:rsidRPr="002E6831">
        <w:rPr>
          <w:rFonts w:ascii="Palatino Linotype" w:eastAsia="Palatino Linotype" w:hAnsi="Palatino Linotype" w:cs="Palatino Linotype"/>
          <w:i/>
          <w:color w:val="000000"/>
          <w:sz w:val="24"/>
          <w:szCs w:val="24"/>
        </w:rPr>
        <w:t>La igualdad de oportunidades para recibir, buscar e impartir información</w:t>
      </w:r>
      <w:r w:rsidRPr="002E6831">
        <w:rPr>
          <w:rFonts w:ascii="Palatino Linotype" w:eastAsia="Palatino Linotype" w:hAnsi="Palatino Linotype" w:cs="Palatino Linotype"/>
          <w:i/>
          <w:sz w:val="24"/>
          <w:szCs w:val="24"/>
          <w:vertAlign w:val="superscript"/>
        </w:rPr>
        <w:footnoteReference w:id="1"/>
      </w:r>
      <w:r w:rsidRPr="002E6831">
        <w:rPr>
          <w:rFonts w:ascii="Palatino Linotype" w:eastAsia="Palatino Linotype" w:hAnsi="Palatino Linotype" w:cs="Palatino Linotype"/>
          <w:i/>
          <w:color w:val="000000"/>
          <w:sz w:val="24"/>
          <w:szCs w:val="24"/>
        </w:rPr>
        <w:t>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w:t>
      </w:r>
      <w:r w:rsidRPr="002E6831">
        <w:rPr>
          <w:rFonts w:ascii="Palatino Linotype" w:eastAsia="Palatino Linotype" w:hAnsi="Palatino Linotype" w:cs="Palatino Linotype"/>
          <w:i/>
          <w:sz w:val="24"/>
          <w:szCs w:val="24"/>
          <w:vertAlign w:val="superscript"/>
        </w:rPr>
        <w:footnoteReference w:id="2"/>
      </w:r>
      <w:r w:rsidRPr="002E6831">
        <w:rPr>
          <w:rFonts w:ascii="Palatino Linotype" w:eastAsia="Palatino Linotype" w:hAnsi="Palatino Linotype" w:cs="Palatino Linotype"/>
          <w:color w:val="000000"/>
          <w:sz w:val="24"/>
          <w:szCs w:val="24"/>
        </w:rPr>
        <w:t>que se constituye como una herramienta fundamental para ejercer</w:t>
      </w:r>
      <w:r w:rsidRPr="002E6831">
        <w:rPr>
          <w:rFonts w:ascii="Palatino Linotype" w:eastAsia="Palatino Linotype" w:hAnsi="Palatino Linotype" w:cs="Palatino Linotype"/>
          <w:i/>
          <w:color w:val="000000"/>
          <w:sz w:val="24"/>
          <w:szCs w:val="24"/>
        </w:rPr>
        <w:t xml:space="preserve"> el control democrático de las gestiones estatales, de forma tal que puedan cuestionar, indagar y considerar si se está dando un adecuado cumplimiento a las funciones públicas,</w:t>
      </w:r>
      <w:r w:rsidRPr="002E6831">
        <w:rPr>
          <w:rFonts w:ascii="Palatino Linotype" w:eastAsia="Palatino Linotype" w:hAnsi="Palatino Linotype" w:cs="Palatino Linotype"/>
          <w:i/>
          <w:sz w:val="24"/>
          <w:szCs w:val="24"/>
          <w:vertAlign w:val="superscript"/>
        </w:rPr>
        <w:footnoteReference w:id="3"/>
      </w:r>
      <w:r w:rsidRPr="002E6831">
        <w:rPr>
          <w:rFonts w:ascii="Palatino Linotype" w:eastAsia="Palatino Linotype" w:hAnsi="Palatino Linotype" w:cs="Palatino Linotype"/>
          <w:color w:val="000000"/>
          <w:sz w:val="24"/>
          <w:szCs w:val="24"/>
        </w:rPr>
        <w:t>fomentando</w:t>
      </w:r>
      <w:r w:rsidRPr="002E6831">
        <w:rPr>
          <w:rFonts w:ascii="Palatino Linotype" w:eastAsia="Palatino Linotype" w:hAnsi="Palatino Linotype" w:cs="Palatino Linotype"/>
          <w:i/>
          <w:color w:val="000000"/>
          <w:sz w:val="24"/>
          <w:szCs w:val="24"/>
        </w:rPr>
        <w:t xml:space="preserve"> la transparencia de las actividades estatales y </w:t>
      </w:r>
      <w:r w:rsidRPr="002E6831">
        <w:rPr>
          <w:rFonts w:ascii="Palatino Linotype" w:eastAsia="Palatino Linotype" w:hAnsi="Palatino Linotype" w:cs="Palatino Linotype"/>
          <w:color w:val="000000"/>
          <w:sz w:val="24"/>
          <w:szCs w:val="24"/>
        </w:rPr>
        <w:t>promoviendo</w:t>
      </w:r>
      <w:r w:rsidRPr="002E6831">
        <w:rPr>
          <w:rFonts w:ascii="Palatino Linotype" w:eastAsia="Palatino Linotype" w:hAnsi="Palatino Linotype" w:cs="Palatino Linotype"/>
          <w:i/>
          <w:color w:val="000000"/>
          <w:sz w:val="24"/>
          <w:szCs w:val="24"/>
        </w:rPr>
        <w:t xml:space="preserve"> la responsabilidad de los funcionarios sobre su gestión pública,</w:t>
      </w:r>
      <w:r w:rsidRPr="002E6831">
        <w:rPr>
          <w:rFonts w:ascii="Palatino Linotype" w:eastAsia="Palatino Linotype" w:hAnsi="Palatino Linotype" w:cs="Palatino Linotype"/>
          <w:i/>
          <w:sz w:val="24"/>
          <w:szCs w:val="24"/>
          <w:vertAlign w:val="superscript"/>
        </w:rPr>
        <w:footnoteReference w:id="4"/>
      </w:r>
      <w:r w:rsidRPr="002E6831">
        <w:rPr>
          <w:rFonts w:ascii="Palatino Linotype" w:eastAsia="Palatino Linotype" w:hAnsi="Palatino Linotype" w:cs="Palatino Linotype"/>
          <w:color w:val="000000"/>
          <w:sz w:val="24"/>
          <w:szCs w:val="24"/>
        </w:rPr>
        <w:t>que permite</w:t>
      </w:r>
      <w:r w:rsidRPr="002E6831">
        <w:rPr>
          <w:rFonts w:ascii="Palatino Linotype" w:eastAsia="Palatino Linotype" w:hAnsi="Palatino Linotype" w:cs="Palatino Linotype"/>
          <w:i/>
          <w:color w:val="000000"/>
          <w:sz w:val="24"/>
          <w:szCs w:val="24"/>
        </w:rPr>
        <w:t xml:space="preserve"> saber qué están haciendo los gobiernos por sus pueblos, sin lo cual la verdad languidecería y la participación en el gobierno permanecería fragmentada.</w:t>
      </w:r>
    </w:p>
    <w:p w14:paraId="2B12F52F" w14:textId="77777777" w:rsidR="0069015B" w:rsidRPr="002E6831" w:rsidRDefault="0069015B" w:rsidP="0069015B">
      <w:pPr>
        <w:spacing w:line="360" w:lineRule="auto"/>
        <w:ind w:right="49"/>
        <w:jc w:val="both"/>
        <w:rPr>
          <w:rFonts w:ascii="Palatino Linotype" w:eastAsia="Palatino Linotype" w:hAnsi="Palatino Linotype" w:cs="Palatino Linotype"/>
          <w:sz w:val="24"/>
          <w:szCs w:val="24"/>
        </w:rPr>
      </w:pPr>
    </w:p>
    <w:p w14:paraId="1154E518"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lastRenderedPageBreak/>
        <w:t>En México, además de los derechos, están reconocidas las garantías para su protección, en ese sentido el párrafo tercero de artículo primero de la Constitución Política de los Estados Unidos Mexicanos dispone lo siguiente:</w:t>
      </w:r>
    </w:p>
    <w:p w14:paraId="00E5751B" w14:textId="77777777" w:rsidR="0069015B" w:rsidRPr="002E6831" w:rsidRDefault="0069015B" w:rsidP="0069015B">
      <w:pPr>
        <w:ind w:right="49"/>
        <w:jc w:val="both"/>
        <w:rPr>
          <w:rFonts w:ascii="Palatino Linotype" w:eastAsia="Palatino Linotype" w:hAnsi="Palatino Linotype" w:cs="Palatino Linotype"/>
          <w:sz w:val="24"/>
          <w:szCs w:val="24"/>
        </w:rPr>
      </w:pPr>
    </w:p>
    <w:p w14:paraId="7DCA46CD"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w:t>
      </w:r>
      <w:r w:rsidRPr="002E6831">
        <w:rPr>
          <w:rFonts w:ascii="Palatino Linotype" w:eastAsia="Palatino Linotype" w:hAnsi="Palatino Linotype" w:cs="Palatino Linotype"/>
          <w:b/>
          <w:i/>
          <w:sz w:val="24"/>
          <w:szCs w:val="24"/>
        </w:rPr>
        <w:t>Artículo 1.-</w:t>
      </w:r>
      <w:r w:rsidRPr="002E6831">
        <w:rPr>
          <w:rFonts w:ascii="Palatino Linotype" w:eastAsia="Palatino Linotype" w:hAnsi="Palatino Linotype" w:cs="Palatino Linotype"/>
          <w:i/>
          <w:sz w:val="24"/>
          <w:szCs w:val="24"/>
        </w:rPr>
        <w:t xml:space="preserve"> </w:t>
      </w:r>
    </w:p>
    <w:p w14:paraId="540B16F1"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w:t>
      </w:r>
    </w:p>
    <w:p w14:paraId="487BF34B"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Todas las</w:t>
      </w:r>
      <w:r w:rsidRPr="002E6831">
        <w:rPr>
          <w:rFonts w:ascii="Palatino Linotype" w:eastAsia="Palatino Linotype" w:hAnsi="Palatino Linotype" w:cs="Palatino Linotype"/>
          <w:sz w:val="24"/>
          <w:szCs w:val="24"/>
        </w:rPr>
        <w:t xml:space="preserve"> </w:t>
      </w:r>
      <w:r w:rsidRPr="002E6831">
        <w:rPr>
          <w:rFonts w:ascii="Palatino Linotype" w:eastAsia="Palatino Linotype" w:hAnsi="Palatino Linotype" w:cs="Palatino Linotype"/>
          <w:i/>
          <w:sz w:val="24"/>
          <w:szCs w:val="24"/>
        </w:rPr>
        <w:t>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14:paraId="5631529F" w14:textId="77777777" w:rsidR="0069015B" w:rsidRPr="002E6831" w:rsidRDefault="0069015B" w:rsidP="0069015B">
      <w:pPr>
        <w:ind w:left="1134" w:right="90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i/>
          <w:sz w:val="24"/>
          <w:szCs w:val="24"/>
        </w:rPr>
        <w:t>(…)</w:t>
      </w:r>
      <w:r w:rsidRPr="002E6831">
        <w:rPr>
          <w:rFonts w:ascii="Palatino Linotype" w:eastAsia="Palatino Linotype" w:hAnsi="Palatino Linotype" w:cs="Palatino Linotype"/>
          <w:sz w:val="24"/>
          <w:szCs w:val="24"/>
        </w:rPr>
        <w:t>”.</w:t>
      </w:r>
    </w:p>
    <w:p w14:paraId="3D3B7774" w14:textId="77777777" w:rsidR="0069015B" w:rsidRPr="002E6831" w:rsidRDefault="0069015B" w:rsidP="0069015B">
      <w:pPr>
        <w:ind w:left="1134" w:right="900"/>
        <w:jc w:val="both"/>
        <w:rPr>
          <w:rFonts w:ascii="Palatino Linotype" w:eastAsia="Palatino Linotype" w:hAnsi="Palatino Linotype" w:cs="Palatino Linotype"/>
          <w:b/>
          <w:sz w:val="24"/>
          <w:szCs w:val="24"/>
        </w:rPr>
      </w:pPr>
    </w:p>
    <w:p w14:paraId="2D6260E1"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Por lo anterior, se deduce que el Derecho de Acceso a la Información Pública es un Derecho Humano de Fuente Internacional y Constitucionalmente reconocido. Además del derecho, también se reconocen garantías para su protección, lo que vincula con el mandato del párrafo tercero del mismo artículo.</w:t>
      </w:r>
    </w:p>
    <w:p w14:paraId="322B5302" w14:textId="77777777" w:rsidR="0069015B" w:rsidRPr="002E6831" w:rsidRDefault="0069015B" w:rsidP="0069015B">
      <w:pPr>
        <w:spacing w:line="360" w:lineRule="auto"/>
        <w:ind w:right="49"/>
        <w:jc w:val="both"/>
        <w:rPr>
          <w:rFonts w:ascii="Palatino Linotype" w:eastAsia="Palatino Linotype" w:hAnsi="Palatino Linotype" w:cs="Palatino Linotype"/>
          <w:sz w:val="24"/>
          <w:szCs w:val="24"/>
        </w:rPr>
      </w:pPr>
    </w:p>
    <w:p w14:paraId="431C4134"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Así, conforme a la Constitución Política de las Estado Unidos Mexicanos y la Constitución Política del Estado Libre y Soberano de México respectivamente, el </w:t>
      </w:r>
      <w:r w:rsidRPr="002E6831">
        <w:rPr>
          <w:rFonts w:ascii="Palatino Linotype" w:eastAsia="Palatino Linotype" w:hAnsi="Palatino Linotype" w:cs="Palatino Linotype"/>
          <w:color w:val="000000"/>
          <w:sz w:val="24"/>
          <w:szCs w:val="24"/>
        </w:rPr>
        <w:t>cumplimiento</w:t>
      </w:r>
      <w:r w:rsidRPr="002E6831">
        <w:rPr>
          <w:rFonts w:ascii="Palatino Linotype" w:eastAsia="Palatino Linotype" w:hAnsi="Palatino Linotype" w:cs="Palatino Linotype"/>
          <w:sz w:val="24"/>
          <w:szCs w:val="24"/>
        </w:rPr>
        <w:t xml:space="preserve"> de las garantías primarias, entendidas como obligaciones inmediatamente relacionadas con el Derecho de Acceso a la Información Pública, permiten que todas las autoridades, en el ámbito de sus atribuciones lo respeten, protejan y garanticen.</w:t>
      </w:r>
    </w:p>
    <w:p w14:paraId="2DFE3AB0" w14:textId="77777777" w:rsidR="0069015B" w:rsidRPr="002E6831" w:rsidRDefault="0069015B" w:rsidP="0069015B">
      <w:pPr>
        <w:spacing w:line="360" w:lineRule="auto"/>
        <w:ind w:right="49"/>
        <w:jc w:val="both"/>
        <w:rPr>
          <w:rFonts w:ascii="Palatino Linotype" w:eastAsia="Palatino Linotype" w:hAnsi="Palatino Linotype" w:cs="Palatino Linotype"/>
          <w:sz w:val="24"/>
          <w:szCs w:val="24"/>
        </w:rPr>
      </w:pPr>
    </w:p>
    <w:p w14:paraId="0D1E40C4" w14:textId="77777777" w:rsidR="0069015B" w:rsidRPr="002E6831" w:rsidRDefault="0069015B" w:rsidP="0069015B">
      <w:pPr>
        <w:tabs>
          <w:tab w:val="left" w:pos="7938"/>
        </w:tabs>
        <w:spacing w:after="240"/>
        <w:ind w:left="1134" w:right="900"/>
        <w:jc w:val="both"/>
        <w:rPr>
          <w:rFonts w:ascii="Palatino Linotype" w:eastAsia="Palatino Linotype" w:hAnsi="Palatino Linotype" w:cs="Palatino Linotype"/>
          <w:b/>
          <w:i/>
          <w:sz w:val="24"/>
          <w:szCs w:val="24"/>
        </w:rPr>
      </w:pPr>
      <w:r w:rsidRPr="002E6831">
        <w:rPr>
          <w:rFonts w:ascii="Palatino Linotype" w:eastAsia="Palatino Linotype" w:hAnsi="Palatino Linotype" w:cs="Palatino Linotype"/>
          <w:b/>
          <w:i/>
          <w:sz w:val="24"/>
          <w:szCs w:val="24"/>
        </w:rPr>
        <w:lastRenderedPageBreak/>
        <w:t>Constitución Política de los Estados Unidos Mexicanos</w:t>
      </w:r>
    </w:p>
    <w:p w14:paraId="5CA755F9"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b/>
          <w:i/>
          <w:sz w:val="24"/>
          <w:szCs w:val="24"/>
        </w:rPr>
      </w:pPr>
      <w:r w:rsidRPr="002E6831">
        <w:rPr>
          <w:rFonts w:ascii="Palatino Linotype" w:eastAsia="Palatino Linotype" w:hAnsi="Palatino Linotype" w:cs="Palatino Linotype"/>
          <w:b/>
          <w:i/>
          <w:sz w:val="24"/>
          <w:szCs w:val="24"/>
        </w:rPr>
        <w:t>“Artículo 6.</w:t>
      </w:r>
    </w:p>
    <w:p w14:paraId="1A9A2932"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w:t>
      </w:r>
    </w:p>
    <w:p w14:paraId="272B20AF"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Para efectos de lo dispuesto en el presente artículo se observará lo siguiente:</w:t>
      </w:r>
    </w:p>
    <w:p w14:paraId="3C9191EC"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b/>
          <w:i/>
          <w:sz w:val="24"/>
          <w:szCs w:val="24"/>
        </w:rPr>
      </w:pPr>
      <w:r w:rsidRPr="002E6831">
        <w:rPr>
          <w:rFonts w:ascii="Palatino Linotype" w:eastAsia="Palatino Linotype" w:hAnsi="Palatino Linotype" w:cs="Palatino Linotype"/>
          <w:b/>
          <w:i/>
          <w:sz w:val="24"/>
          <w:szCs w:val="24"/>
        </w:rPr>
        <w:t>A</w:t>
      </w:r>
      <w:r w:rsidRPr="002E6831">
        <w:rPr>
          <w:rFonts w:ascii="Palatino Linotype" w:eastAsia="Palatino Linotype" w:hAnsi="Palatino Linotype" w:cs="Palatino Linotype"/>
          <w:i/>
          <w:sz w:val="24"/>
          <w:szCs w:val="24"/>
        </w:rPr>
        <w:t xml:space="preserve">. </w:t>
      </w:r>
      <w:r w:rsidRPr="002E6831">
        <w:rPr>
          <w:rFonts w:ascii="Palatino Linotype" w:eastAsia="Palatino Linotype" w:hAnsi="Palatino Linotype" w:cs="Palatino Linotype"/>
          <w:b/>
          <w:i/>
          <w:sz w:val="24"/>
          <w:szCs w:val="24"/>
        </w:rPr>
        <w:t>Para el ejercicio del derecho de acceso a la información</w:t>
      </w:r>
      <w:r w:rsidRPr="002E6831">
        <w:rPr>
          <w:rFonts w:ascii="Palatino Linotype" w:eastAsia="Palatino Linotype" w:hAnsi="Palatino Linotype" w:cs="Palatino Linotype"/>
          <w:i/>
          <w:sz w:val="24"/>
          <w:szCs w:val="24"/>
        </w:rPr>
        <w:t xml:space="preserve">, la Federación y </w:t>
      </w:r>
      <w:r w:rsidRPr="002E6831">
        <w:rPr>
          <w:rFonts w:ascii="Palatino Linotype" w:eastAsia="Palatino Linotype" w:hAnsi="Palatino Linotype" w:cs="Palatino Linotype"/>
          <w:b/>
          <w:i/>
          <w:sz w:val="24"/>
          <w:szCs w:val="24"/>
        </w:rPr>
        <w:t>las entidades federativas, en el ámbito de sus respectivas competencias, se regirán por los siguientes principios y bases:</w:t>
      </w:r>
    </w:p>
    <w:p w14:paraId="3797D4FD"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I. Toda la información en posesión de cualquier</w:t>
      </w:r>
      <w:r w:rsidRPr="002E6831">
        <w:rPr>
          <w:rFonts w:ascii="Palatino Linotype" w:eastAsia="Palatino Linotype" w:hAnsi="Palatino Linotype" w:cs="Palatino Linotype"/>
          <w:i/>
          <w:sz w:val="24"/>
          <w:szCs w:val="24"/>
        </w:rPr>
        <w:t xml:space="preserve"> </w:t>
      </w:r>
      <w:r w:rsidRPr="002E6831">
        <w:rPr>
          <w:rFonts w:ascii="Palatino Linotype" w:eastAsia="Palatino Linotype" w:hAnsi="Palatino Linotype" w:cs="Palatino Linotype"/>
          <w:b/>
          <w:i/>
          <w:sz w:val="24"/>
          <w:szCs w:val="24"/>
        </w:rPr>
        <w:t>autoridad</w:t>
      </w:r>
      <w:r w:rsidRPr="002E6831">
        <w:rPr>
          <w:rFonts w:ascii="Palatino Linotype" w:eastAsia="Palatino Linotype" w:hAnsi="Palatino Linotype" w:cs="Palatino Linotype"/>
          <w:i/>
          <w:sz w:val="24"/>
          <w:szCs w:val="24"/>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2E6831">
        <w:rPr>
          <w:rFonts w:ascii="Palatino Linotype" w:eastAsia="Palatino Linotype" w:hAnsi="Palatino Linotype" w:cs="Palatino Linotype"/>
          <w:b/>
          <w:i/>
          <w:sz w:val="24"/>
          <w:szCs w:val="24"/>
        </w:rPr>
        <w:t>municipal</w:t>
      </w:r>
      <w:r w:rsidRPr="002E6831">
        <w:rPr>
          <w:rFonts w:ascii="Palatino Linotype" w:eastAsia="Palatino Linotype" w:hAnsi="Palatino Linotype" w:cs="Palatino Linotype"/>
          <w:i/>
          <w:sz w:val="24"/>
          <w:szCs w:val="24"/>
        </w:rPr>
        <w:t xml:space="preserve">, </w:t>
      </w:r>
      <w:r w:rsidRPr="002E6831">
        <w:rPr>
          <w:rFonts w:ascii="Palatino Linotype" w:eastAsia="Palatino Linotype" w:hAnsi="Palatino Linotype" w:cs="Palatino Linotype"/>
          <w:b/>
          <w:i/>
          <w:sz w:val="24"/>
          <w:szCs w:val="24"/>
        </w:rPr>
        <w:t>es pública</w:t>
      </w:r>
      <w:r w:rsidRPr="002E6831">
        <w:rPr>
          <w:rFonts w:ascii="Palatino Linotype" w:eastAsia="Palatino Linotype" w:hAnsi="Palatino Linotype" w:cs="Palatino Linotype"/>
          <w:i/>
          <w:sz w:val="24"/>
          <w:szCs w:val="24"/>
        </w:rPr>
        <w:t xml:space="preserve"> y sólo podrá ser reservada temporalmente por razones de interés público y seguridad nacional, en los términos que fijen las leyes. </w:t>
      </w:r>
      <w:r w:rsidRPr="002E6831">
        <w:rPr>
          <w:rFonts w:ascii="Palatino Linotype" w:eastAsia="Palatino Linotype" w:hAnsi="Palatino Linotype" w:cs="Palatino Linotype"/>
          <w:b/>
          <w:i/>
          <w:sz w:val="24"/>
          <w:szCs w:val="24"/>
        </w:rPr>
        <w:t>En la interpretación de este derecho deberá prevalecer el principio de máxima publicidad. Los sujetos obligados deberán documentar todo acto que derive del ejercicio de sus facultades, competencias o funciones</w:t>
      </w:r>
      <w:r w:rsidRPr="002E6831">
        <w:rPr>
          <w:rFonts w:ascii="Palatino Linotype" w:eastAsia="Palatino Linotype" w:hAnsi="Palatino Linotype" w:cs="Palatino Linotype"/>
          <w:i/>
          <w:sz w:val="24"/>
          <w:szCs w:val="24"/>
        </w:rPr>
        <w:t>, la ley determinará los supuestos específicos bajo los cuales procederá la declaración de inexistencia de la información.”</w:t>
      </w:r>
    </w:p>
    <w:p w14:paraId="56D2C7F9" w14:textId="77777777" w:rsidR="0069015B" w:rsidRPr="002E6831" w:rsidRDefault="0069015B" w:rsidP="0069015B">
      <w:pPr>
        <w:tabs>
          <w:tab w:val="left" w:pos="567"/>
          <w:tab w:val="left" w:pos="7938"/>
        </w:tabs>
        <w:spacing w:before="240"/>
        <w:ind w:left="1134" w:right="900"/>
        <w:jc w:val="both"/>
        <w:rPr>
          <w:rFonts w:ascii="Palatino Linotype" w:eastAsia="Palatino Linotype" w:hAnsi="Palatino Linotype" w:cs="Palatino Linotype"/>
          <w:b/>
          <w:i/>
          <w:sz w:val="24"/>
          <w:szCs w:val="24"/>
        </w:rPr>
      </w:pPr>
    </w:p>
    <w:p w14:paraId="6F4E8208" w14:textId="77777777" w:rsidR="0069015B" w:rsidRPr="002E6831" w:rsidRDefault="0069015B" w:rsidP="0069015B">
      <w:pPr>
        <w:tabs>
          <w:tab w:val="left" w:pos="7938"/>
        </w:tabs>
        <w:spacing w:after="240"/>
        <w:ind w:left="1134" w:right="900"/>
        <w:jc w:val="both"/>
        <w:rPr>
          <w:rFonts w:ascii="Palatino Linotype" w:eastAsia="Palatino Linotype" w:hAnsi="Palatino Linotype" w:cs="Palatino Linotype"/>
          <w:b/>
          <w:i/>
          <w:sz w:val="24"/>
          <w:szCs w:val="24"/>
        </w:rPr>
      </w:pPr>
      <w:r w:rsidRPr="002E6831">
        <w:rPr>
          <w:rFonts w:ascii="Palatino Linotype" w:eastAsia="Palatino Linotype" w:hAnsi="Palatino Linotype" w:cs="Palatino Linotype"/>
          <w:b/>
          <w:i/>
          <w:sz w:val="24"/>
          <w:szCs w:val="24"/>
        </w:rPr>
        <w:t>Constitución Política del Estado Libre y Soberano de México</w:t>
      </w:r>
    </w:p>
    <w:p w14:paraId="31DF604C"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“Artículo 5</w:t>
      </w:r>
      <w:r w:rsidRPr="002E6831">
        <w:rPr>
          <w:rFonts w:ascii="Palatino Linotype" w:eastAsia="Palatino Linotype" w:hAnsi="Palatino Linotype" w:cs="Palatino Linotype"/>
          <w:i/>
          <w:sz w:val="24"/>
          <w:szCs w:val="24"/>
        </w:rPr>
        <w:t xml:space="preserve">.- </w:t>
      </w:r>
    </w:p>
    <w:p w14:paraId="617E12F5"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w:t>
      </w:r>
    </w:p>
    <w:p w14:paraId="3CAA288E"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lastRenderedPageBreak/>
        <w:t>El derecho a la información será garantizado por el Estado. La ley establecerá las previsiones que permitan asegurar la protección, el respeto y la difusión de este derecho</w:t>
      </w:r>
      <w:r w:rsidRPr="002E6831">
        <w:rPr>
          <w:rFonts w:ascii="Palatino Linotype" w:eastAsia="Palatino Linotype" w:hAnsi="Palatino Linotype" w:cs="Palatino Linotype"/>
          <w:i/>
          <w:sz w:val="24"/>
          <w:szCs w:val="24"/>
        </w:rPr>
        <w:t>.</w:t>
      </w:r>
    </w:p>
    <w:p w14:paraId="66E2AA79"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14:paraId="20B2CA76"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Este derecho se regirá por los principios y bases siguientes</w:t>
      </w:r>
      <w:r w:rsidRPr="002E6831">
        <w:rPr>
          <w:rFonts w:ascii="Palatino Linotype" w:eastAsia="Palatino Linotype" w:hAnsi="Palatino Linotype" w:cs="Palatino Linotype"/>
          <w:i/>
          <w:sz w:val="24"/>
          <w:szCs w:val="24"/>
        </w:rPr>
        <w:t>:</w:t>
      </w:r>
    </w:p>
    <w:p w14:paraId="060DD6EE" w14:textId="77777777" w:rsidR="0069015B" w:rsidRPr="002E6831" w:rsidRDefault="0069015B" w:rsidP="0069015B">
      <w:pPr>
        <w:tabs>
          <w:tab w:val="left" w:pos="7938"/>
        </w:tabs>
        <w:spacing w:before="240" w:after="240"/>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I. Toda la información en posesión de cualquier autoridad, entidad, órgano y organismos de los</w:t>
      </w:r>
      <w:r w:rsidRPr="002E6831">
        <w:rPr>
          <w:rFonts w:ascii="Palatino Linotype" w:eastAsia="Palatino Linotype" w:hAnsi="Palatino Linotype" w:cs="Palatino Linotype"/>
          <w:i/>
          <w:sz w:val="24"/>
          <w:szCs w:val="24"/>
        </w:rPr>
        <w:t xml:space="preserve"> Poderes Ejecutivo, Legislativo y Judicial, órganos autónomos, partidos políticos, fideicomisos y fondos públicos estatales y </w:t>
      </w:r>
      <w:r w:rsidRPr="002E6831">
        <w:rPr>
          <w:rFonts w:ascii="Palatino Linotype" w:eastAsia="Palatino Linotype" w:hAnsi="Palatino Linotype" w:cs="Palatino Linotype"/>
          <w:b/>
          <w:i/>
          <w:sz w:val="24"/>
          <w:szCs w:val="24"/>
        </w:rPr>
        <w:t>municipales</w:t>
      </w:r>
      <w:r w:rsidRPr="002E6831">
        <w:rPr>
          <w:rFonts w:ascii="Palatino Linotype" w:eastAsia="Palatino Linotype" w:hAnsi="Palatino Linotype" w:cs="Palatino Linotype"/>
          <w:i/>
          <w:sz w:val="24"/>
          <w:szCs w:val="24"/>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2E6831">
        <w:rPr>
          <w:rFonts w:ascii="Palatino Linotype" w:eastAsia="Palatino Linotype" w:hAnsi="Palatino Linotype" w:cs="Palatino Linotype"/>
          <w:b/>
          <w:i/>
          <w:sz w:val="24"/>
          <w:szCs w:val="24"/>
        </w:rPr>
        <w:t>es pública</w:t>
      </w:r>
      <w:r w:rsidRPr="002E6831">
        <w:rPr>
          <w:rFonts w:ascii="Palatino Linotype" w:eastAsia="Palatino Linotype" w:hAnsi="Palatino Linotype" w:cs="Palatino Linotype"/>
          <w:i/>
          <w:sz w:val="24"/>
          <w:szCs w:val="24"/>
        </w:rPr>
        <w:t xml:space="preserve"> y sólo podrá ser reservada temporalmente por razones previstas en la Constitución Política de los Estados Unidos Mexicanos de interés público y seguridad, en los términos que fijen las leyes. </w:t>
      </w:r>
      <w:r w:rsidRPr="002E6831">
        <w:rPr>
          <w:rFonts w:ascii="Palatino Linotype" w:eastAsia="Palatino Linotype" w:hAnsi="Palatino Linotype" w:cs="Palatino Linotype"/>
          <w:b/>
          <w:i/>
          <w:sz w:val="24"/>
          <w:szCs w:val="24"/>
        </w:rPr>
        <w:t>En la interpretación de este derecho deberá prevalecer el principio de máxima publicidad</w:t>
      </w:r>
      <w:r w:rsidRPr="002E6831">
        <w:rPr>
          <w:rFonts w:ascii="Palatino Linotype" w:eastAsia="Palatino Linotype" w:hAnsi="Palatino Linotype" w:cs="Palatino Linotype"/>
          <w:i/>
          <w:sz w:val="24"/>
          <w:szCs w:val="24"/>
        </w:rPr>
        <w:t xml:space="preserve">. </w:t>
      </w:r>
      <w:r w:rsidRPr="002E6831">
        <w:rPr>
          <w:rFonts w:ascii="Palatino Linotype" w:eastAsia="Palatino Linotype" w:hAnsi="Palatino Linotype" w:cs="Palatino Linotype"/>
          <w:b/>
          <w:i/>
          <w:sz w:val="24"/>
          <w:szCs w:val="24"/>
        </w:rPr>
        <w:t>Los sujetos obligados deberán documentar todo acto que derive del ejercicio de sus facultades, competencias o funciones</w:t>
      </w:r>
      <w:r w:rsidRPr="002E6831">
        <w:rPr>
          <w:rFonts w:ascii="Palatino Linotype" w:eastAsia="Palatino Linotype" w:hAnsi="Palatino Linotype" w:cs="Palatino Linotype"/>
          <w:i/>
          <w:sz w:val="24"/>
          <w:szCs w:val="24"/>
        </w:rPr>
        <w:t>, la ley determinará los supuestos específicos bajo los cuales procederá la declaración de inexistencia de la información.”</w:t>
      </w:r>
    </w:p>
    <w:p w14:paraId="5BFB1591" w14:textId="77777777" w:rsidR="0069015B" w:rsidRPr="002E6831" w:rsidRDefault="0069015B" w:rsidP="0069015B">
      <w:pPr>
        <w:tabs>
          <w:tab w:val="left" w:pos="567"/>
        </w:tabs>
        <w:spacing w:before="240" w:after="240"/>
        <w:ind w:right="567"/>
        <w:jc w:val="both"/>
        <w:rPr>
          <w:rFonts w:ascii="Palatino Linotype" w:eastAsia="Palatino Linotype" w:hAnsi="Palatino Linotype" w:cs="Palatino Linotype"/>
          <w:b/>
          <w:i/>
          <w:sz w:val="24"/>
          <w:szCs w:val="24"/>
        </w:rPr>
      </w:pPr>
    </w:p>
    <w:p w14:paraId="4A7742DA"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Según el artículo 150 de la Ley de Transparencia del Estado, la solicitud es la garantía primaria del Derecho de Acceso a la Información, además, establece que se regirá </w:t>
      </w:r>
      <w:r w:rsidRPr="002E6831">
        <w:rPr>
          <w:rFonts w:ascii="Palatino Linotype" w:eastAsia="Palatino Linotype" w:hAnsi="Palatino Linotype" w:cs="Palatino Linotype"/>
          <w:i/>
          <w:sz w:val="24"/>
          <w:szCs w:val="24"/>
        </w:rPr>
        <w:t xml:space="preserve">por los principios de simplicidad, rapidez gratuidad del procedimiento, auxilio y </w:t>
      </w:r>
      <w:r w:rsidRPr="002E6831">
        <w:rPr>
          <w:rFonts w:ascii="Palatino Linotype" w:eastAsia="Palatino Linotype" w:hAnsi="Palatino Linotype" w:cs="Palatino Linotype"/>
          <w:i/>
          <w:sz w:val="24"/>
          <w:szCs w:val="24"/>
        </w:rPr>
        <w:lastRenderedPageBreak/>
        <w:t>orientación a los particulares</w:t>
      </w:r>
      <w:r w:rsidRPr="002E6831">
        <w:rPr>
          <w:rFonts w:ascii="Palatino Linotype" w:eastAsia="Palatino Linotype" w:hAnsi="Palatino Linotype" w:cs="Palatino Linotype"/>
          <w:sz w:val="24"/>
          <w:szCs w:val="24"/>
        </w:rPr>
        <w:t>, contemplando el derecho de las personas con discapacidad y hablantes de lengua indígena.</w:t>
      </w:r>
    </w:p>
    <w:p w14:paraId="5C4C839B" w14:textId="77777777" w:rsidR="0069015B" w:rsidRPr="002E6831" w:rsidRDefault="0069015B" w:rsidP="0069015B">
      <w:pPr>
        <w:spacing w:line="360" w:lineRule="auto"/>
        <w:ind w:right="49"/>
        <w:jc w:val="both"/>
        <w:rPr>
          <w:rFonts w:ascii="Palatino Linotype" w:eastAsia="Palatino Linotype" w:hAnsi="Palatino Linotype" w:cs="Palatino Linotype"/>
          <w:sz w:val="24"/>
          <w:szCs w:val="24"/>
        </w:rPr>
      </w:pPr>
    </w:p>
    <w:p w14:paraId="7E61A60D"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El Derecho de Acceso a la Información se garantiza y respeta oportunamente, y según lo que dispone la Ley, las </w:t>
      </w:r>
      <w:r w:rsidRPr="002E6831">
        <w:rPr>
          <w:rFonts w:ascii="Palatino Linotype" w:eastAsia="Palatino Linotype" w:hAnsi="Palatino Linotype" w:cs="Palatino Linotype"/>
          <w:i/>
          <w:sz w:val="24"/>
          <w:szCs w:val="24"/>
        </w:rPr>
        <w:t>solicitudes de acceso a la información</w:t>
      </w:r>
      <w:r w:rsidRPr="002E6831">
        <w:rPr>
          <w:rFonts w:ascii="Palatino Linotype" w:eastAsia="Palatino Linotype" w:hAnsi="Palatino Linotype" w:cs="Palatino Linotype"/>
          <w:sz w:val="24"/>
          <w:szCs w:val="24"/>
        </w:rPr>
        <w:t>.</w:t>
      </w:r>
    </w:p>
    <w:p w14:paraId="032C2B46" w14:textId="77777777" w:rsidR="0069015B" w:rsidRPr="002E6831" w:rsidRDefault="0069015B" w:rsidP="0069015B">
      <w:pPr>
        <w:spacing w:line="360" w:lineRule="auto"/>
        <w:ind w:right="49"/>
        <w:jc w:val="both"/>
        <w:rPr>
          <w:rFonts w:ascii="Palatino Linotype" w:eastAsia="Palatino Linotype" w:hAnsi="Palatino Linotype" w:cs="Palatino Linotype"/>
          <w:sz w:val="24"/>
          <w:szCs w:val="24"/>
        </w:rPr>
      </w:pPr>
    </w:p>
    <w:p w14:paraId="5084DB4B"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bookmarkStart w:id="8" w:name="_heading=h.4d34og8" w:colFirst="0" w:colLast="0"/>
      <w:bookmarkEnd w:id="8"/>
      <w:r w:rsidRPr="002E6831">
        <w:rPr>
          <w:rFonts w:ascii="Palatino Linotype" w:eastAsia="Palatino Linotype" w:hAnsi="Palatino Linotype" w:cs="Palatino Linotype"/>
          <w:sz w:val="24"/>
          <w:szCs w:val="24"/>
        </w:rPr>
        <w:t xml:space="preserve">Así entonces, se procede analizar, en primer lugar, si el </w:t>
      </w:r>
      <w:r w:rsidRPr="002E6831">
        <w:rPr>
          <w:rFonts w:ascii="Palatino Linotype" w:eastAsia="Palatino Linotype" w:hAnsi="Palatino Linotype" w:cs="Palatino Linotype"/>
          <w:b/>
          <w:sz w:val="24"/>
          <w:szCs w:val="24"/>
        </w:rPr>
        <w:t>SUJETO OBLIGADO</w:t>
      </w:r>
      <w:r w:rsidRPr="002E6831">
        <w:rPr>
          <w:rFonts w:ascii="Palatino Linotype" w:eastAsia="Palatino Linotype" w:hAnsi="Palatino Linotype" w:cs="Palatino Linotype"/>
          <w:sz w:val="24"/>
          <w:szCs w:val="24"/>
        </w:rPr>
        <w:t xml:space="preserve"> al atender la solicitud de acceso a la información, satisfizo la garantía primaria del derecho según lo dispuesto por el artículo 150 de la Ley de Transparencia y Acceso a la Información Pública del Estado de México y Municipios y en segundo término si cumplió con su deber de respetar y garantizar el derecho, entregando la información solicitada.</w:t>
      </w:r>
    </w:p>
    <w:p w14:paraId="13DDB54D" w14:textId="77777777" w:rsidR="0069015B" w:rsidRPr="002E6831" w:rsidRDefault="0069015B" w:rsidP="0069015B">
      <w:pPr>
        <w:spacing w:line="360" w:lineRule="auto"/>
        <w:ind w:right="49"/>
        <w:jc w:val="both"/>
        <w:rPr>
          <w:rFonts w:ascii="Palatino Linotype" w:eastAsia="Palatino Linotype" w:hAnsi="Palatino Linotype" w:cs="Palatino Linotype"/>
          <w:sz w:val="24"/>
          <w:szCs w:val="24"/>
        </w:rPr>
      </w:pPr>
    </w:p>
    <w:p w14:paraId="602CA23F" w14:textId="25B65BC4"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b/>
          <w:sz w:val="24"/>
          <w:szCs w:val="24"/>
        </w:rPr>
      </w:pPr>
      <w:bookmarkStart w:id="9" w:name="_heading=h.2s8eyo1" w:colFirst="0" w:colLast="0"/>
      <w:bookmarkEnd w:id="9"/>
      <w:r w:rsidRPr="002E6831">
        <w:rPr>
          <w:rFonts w:ascii="Palatino Linotype" w:eastAsia="Palatino Linotype" w:hAnsi="Palatino Linotype" w:cs="Palatino Linotype"/>
          <w:sz w:val="24"/>
          <w:szCs w:val="24"/>
        </w:rPr>
        <w:t xml:space="preserve">Ahora bien, es necesario recordar la información que fue solicitada por el </w:t>
      </w:r>
      <w:r w:rsidRPr="002E6831">
        <w:rPr>
          <w:rFonts w:ascii="Palatino Linotype" w:eastAsia="Palatino Linotype" w:hAnsi="Palatino Linotype" w:cs="Palatino Linotype"/>
          <w:b/>
          <w:sz w:val="24"/>
          <w:szCs w:val="24"/>
        </w:rPr>
        <w:t xml:space="preserve">RECURRENTE </w:t>
      </w:r>
      <w:r w:rsidRPr="002E6831">
        <w:rPr>
          <w:rFonts w:ascii="Palatino Linotype" w:eastAsia="Palatino Linotype" w:hAnsi="Palatino Linotype" w:cs="Palatino Linotype"/>
          <w:sz w:val="24"/>
          <w:szCs w:val="24"/>
        </w:rPr>
        <w:t xml:space="preserve">consistió en obtener los oficios por el entonces Director de Desarrollo Social del año dos mil ocho. </w:t>
      </w:r>
    </w:p>
    <w:p w14:paraId="2B593FA0" w14:textId="77777777" w:rsidR="0069015B" w:rsidRPr="002E6831" w:rsidRDefault="0069015B" w:rsidP="0069015B">
      <w:pPr>
        <w:pBdr>
          <w:top w:val="nil"/>
          <w:left w:val="nil"/>
          <w:bottom w:val="nil"/>
          <w:right w:val="nil"/>
          <w:between w:val="nil"/>
        </w:pBdr>
        <w:ind w:left="720"/>
        <w:jc w:val="both"/>
        <w:rPr>
          <w:rFonts w:ascii="Palatino Linotype" w:eastAsia="Palatino Linotype" w:hAnsi="Palatino Linotype" w:cs="Palatino Linotype"/>
          <w:b/>
          <w:i/>
          <w:color w:val="000000"/>
          <w:sz w:val="24"/>
          <w:szCs w:val="24"/>
        </w:rPr>
      </w:pPr>
    </w:p>
    <w:p w14:paraId="19EAB6D1"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b/>
          <w:sz w:val="24"/>
          <w:szCs w:val="24"/>
        </w:rPr>
      </w:pPr>
      <w:r w:rsidRPr="002E6831">
        <w:rPr>
          <w:rFonts w:ascii="Palatino Linotype" w:eastAsia="Palatino Linotype" w:hAnsi="Palatino Linotype" w:cs="Palatino Linotype"/>
          <w:sz w:val="24"/>
          <w:szCs w:val="24"/>
        </w:rPr>
        <w:t xml:space="preserve">Tal y como se observa del expediente electrónico el </w:t>
      </w:r>
      <w:r w:rsidRPr="002E6831">
        <w:rPr>
          <w:rFonts w:ascii="Palatino Linotype" w:eastAsia="Palatino Linotype" w:hAnsi="Palatino Linotype" w:cs="Palatino Linotype"/>
          <w:b/>
          <w:sz w:val="24"/>
          <w:szCs w:val="24"/>
        </w:rPr>
        <w:t xml:space="preserve">SUJETO OBLIGADO </w:t>
      </w:r>
      <w:r w:rsidRPr="002E6831">
        <w:rPr>
          <w:rFonts w:ascii="Palatino Linotype" w:eastAsia="Palatino Linotype" w:hAnsi="Palatino Linotype" w:cs="Palatino Linotype"/>
          <w:sz w:val="24"/>
          <w:szCs w:val="24"/>
        </w:rPr>
        <w:t xml:space="preserve">fue omiso en entregar su respuesta inicial, situación por la cual el entonces solicitante interpuso el recurso de revisión manifestando que no se había dado respuesta a lo solicitado. </w:t>
      </w:r>
    </w:p>
    <w:p w14:paraId="5C7433A9"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b/>
          <w:sz w:val="24"/>
          <w:szCs w:val="24"/>
        </w:rPr>
      </w:pPr>
    </w:p>
    <w:p w14:paraId="70EEBC06"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lastRenderedPageBreak/>
        <w:t xml:space="preserve">Posteriormente durante la etapa de manifestaciones el </w:t>
      </w:r>
      <w:r w:rsidRPr="002E6831">
        <w:rPr>
          <w:rFonts w:ascii="Palatino Linotype" w:eastAsia="Palatino Linotype" w:hAnsi="Palatino Linotype" w:cs="Palatino Linotype"/>
          <w:b/>
          <w:sz w:val="24"/>
          <w:szCs w:val="24"/>
        </w:rPr>
        <w:t xml:space="preserve">SUJETO OBLIGADO por medio de la Dirección General de Bienestar </w:t>
      </w:r>
      <w:r w:rsidRPr="002E6831">
        <w:rPr>
          <w:rFonts w:ascii="Palatino Linotype" w:eastAsia="Palatino Linotype" w:hAnsi="Palatino Linotype" w:cs="Palatino Linotype"/>
          <w:sz w:val="24"/>
          <w:szCs w:val="24"/>
        </w:rPr>
        <w:t>manifestó que la unidad administrativa tiene plazos de conservación, procesos de transferencia, así como la eliminación de documentos, expedientes físicos y digitales y la información solicitada encuadra en la conservación de seis años, periodo que ya concluyo.</w:t>
      </w:r>
    </w:p>
    <w:p w14:paraId="11B02606"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 </w:t>
      </w:r>
    </w:p>
    <w:p w14:paraId="2DAF60C3"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En esa línea, se debe de analizar si el Titular de la Unidad de Transparencia remitió la solicitud de información al área habilitada del </w:t>
      </w:r>
      <w:r w:rsidRPr="002E6831">
        <w:rPr>
          <w:rFonts w:ascii="Palatino Linotype" w:eastAsia="Palatino Linotype" w:hAnsi="Palatino Linotype" w:cs="Palatino Linotype"/>
          <w:b/>
          <w:color w:val="000000"/>
          <w:sz w:val="24"/>
          <w:szCs w:val="24"/>
        </w:rPr>
        <w:t xml:space="preserve">SUJETO OBLIGADO. </w:t>
      </w:r>
    </w:p>
    <w:p w14:paraId="3C1FF59A" w14:textId="77777777" w:rsidR="0069015B" w:rsidRPr="002E6831" w:rsidRDefault="0069015B" w:rsidP="0069015B">
      <w:pPr>
        <w:pBdr>
          <w:top w:val="nil"/>
          <w:left w:val="nil"/>
          <w:bottom w:val="nil"/>
          <w:right w:val="nil"/>
          <w:between w:val="nil"/>
        </w:pBdr>
        <w:ind w:left="720"/>
        <w:rPr>
          <w:rFonts w:ascii="Palatino Linotype" w:eastAsia="Palatino Linotype" w:hAnsi="Palatino Linotype" w:cs="Palatino Linotype"/>
          <w:color w:val="000000"/>
          <w:sz w:val="24"/>
          <w:szCs w:val="24"/>
        </w:rPr>
      </w:pPr>
    </w:p>
    <w:p w14:paraId="311DE9D7"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Consecuentemente de conformidad con el artículo 90 del Bando de Municipal se observa que el Ayuntamiento de Toluca, se integra por las siguientes dependencias centralizadas. </w:t>
      </w:r>
    </w:p>
    <w:p w14:paraId="63A0AF3A"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Artículo 90. Para la consulta, estudio, planeación, gestión y ejecución en los diferentes ámbitos de aplicación de la Administración Pública Municipal, la o el Presidente Municipal se regirá por la Constitución Política de los Estados Unidos Mexicanos, la Constitución Política del Estado Libre y Soberano de México, la Ley Orgánica Municipal, el presente Bando y demás disposiciones aplicables, y se auxiliará de las siguientes: </w:t>
      </w:r>
    </w:p>
    <w:p w14:paraId="6875B6BB"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p>
    <w:p w14:paraId="266F20E9"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 DEPENDENCIAS: </w:t>
      </w:r>
    </w:p>
    <w:p w14:paraId="104E4026"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1. Secretaría del Ayuntamiento; </w:t>
      </w:r>
    </w:p>
    <w:p w14:paraId="24FF9972"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2. Tesorería Municipal; </w:t>
      </w:r>
    </w:p>
    <w:p w14:paraId="7CAE6142"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3.Órgano Interno de Control; </w:t>
      </w:r>
    </w:p>
    <w:p w14:paraId="48D61FAE"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4. Dirección General de Gobierno; </w:t>
      </w:r>
    </w:p>
    <w:p w14:paraId="598A360B"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5. Dirección General de Seguridad y Protección; </w:t>
      </w:r>
    </w:p>
    <w:p w14:paraId="26482A0D"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6. Dirección General de Administración; </w:t>
      </w:r>
    </w:p>
    <w:p w14:paraId="3981F756"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lastRenderedPageBreak/>
        <w:t xml:space="preserve">7. Dirección General de Medio Ambiente; </w:t>
      </w:r>
    </w:p>
    <w:p w14:paraId="49FA6413"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8. Dirección General de Servicios Públicos; </w:t>
      </w:r>
    </w:p>
    <w:p w14:paraId="25DE11D5"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9. Dirección General de Innovación, Planeación y Gestión Urbana; </w:t>
      </w:r>
    </w:p>
    <w:p w14:paraId="535EE58E"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10. Dirección General de Obras Públicas; </w:t>
      </w:r>
    </w:p>
    <w:p w14:paraId="7A9955DE"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11. Dirección General de Desarrollo Económico; </w:t>
      </w:r>
    </w:p>
    <w:p w14:paraId="67802B52"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b/>
          <w:i/>
          <w:color w:val="000000"/>
          <w:sz w:val="24"/>
          <w:szCs w:val="24"/>
        </w:rPr>
      </w:pPr>
      <w:r w:rsidRPr="002E6831">
        <w:rPr>
          <w:rFonts w:ascii="Palatino Linotype" w:eastAsia="Palatino Linotype" w:hAnsi="Palatino Linotype" w:cs="Palatino Linotype"/>
          <w:b/>
          <w:i/>
          <w:color w:val="000000"/>
          <w:sz w:val="24"/>
          <w:szCs w:val="24"/>
        </w:rPr>
        <w:t xml:space="preserve">12. Dirección General de Bienestar; y </w:t>
      </w:r>
    </w:p>
    <w:p w14:paraId="3B0AC46D"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13. Dirección General de Educación, Cultura y Turismo.</w:t>
      </w:r>
    </w:p>
    <w:p w14:paraId="271E690F" w14:textId="77777777" w:rsidR="0069015B" w:rsidRPr="002E6831" w:rsidRDefault="0069015B" w:rsidP="0069015B">
      <w:pPr>
        <w:rPr>
          <w:rFonts w:ascii="Palatino Linotype" w:eastAsia="Palatino Linotype" w:hAnsi="Palatino Linotype" w:cs="Palatino Linotype"/>
          <w:color w:val="000000"/>
          <w:sz w:val="24"/>
          <w:szCs w:val="24"/>
        </w:rPr>
      </w:pPr>
    </w:p>
    <w:p w14:paraId="54B127A9"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Del articulado señalado, se observa que el Ayuntamiento de Toluca se integra por la Dirección General de Bienestar, quien de acuerdo con el artículo 92 fracción XII, tiene las siguientes funciones. </w:t>
      </w:r>
    </w:p>
    <w:p w14:paraId="06F018FA"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2B4B559D" w14:textId="77777777" w:rsidR="0069015B" w:rsidRPr="002E6831" w:rsidRDefault="0069015B" w:rsidP="0069015B">
      <w:pPr>
        <w:pBdr>
          <w:top w:val="nil"/>
          <w:left w:val="nil"/>
          <w:bottom w:val="nil"/>
          <w:right w:val="nil"/>
          <w:between w:val="nil"/>
        </w:pBdr>
        <w:ind w:left="1134" w:right="900"/>
        <w:jc w:val="both"/>
        <w:rPr>
          <w:rFonts w:ascii="Palatino Linotype" w:hAnsi="Palatino Linotype"/>
          <w:sz w:val="24"/>
          <w:szCs w:val="24"/>
        </w:rPr>
      </w:pPr>
      <w:r w:rsidRPr="002E6831">
        <w:rPr>
          <w:rFonts w:ascii="Palatino Linotype" w:eastAsia="Palatino Linotype" w:hAnsi="Palatino Linotype" w:cs="Palatino Linotype"/>
          <w:b/>
          <w:i/>
          <w:color w:val="000000"/>
          <w:sz w:val="24"/>
          <w:szCs w:val="24"/>
        </w:rPr>
        <w:t>Artículo 92.</w:t>
      </w:r>
      <w:r w:rsidRPr="002E6831">
        <w:rPr>
          <w:rFonts w:ascii="Palatino Linotype" w:eastAsia="Palatino Linotype" w:hAnsi="Palatino Linotype" w:cs="Palatino Linotype"/>
          <w:i/>
          <w:color w:val="000000"/>
          <w:sz w:val="24"/>
          <w:szCs w:val="24"/>
        </w:rPr>
        <w:t xml:space="preserve"> La administración pública municipal será centralizada, descentralizada y autónoma. Para el ejercicio del poder público municipal, las personas titulares de las Direcciones Generales, los Organismos Descentralizados y el Órgano Autónomo tendrán las atribuciones y facultades que le otorguen las disposiciones legales aplicables a su campo de actuación y las que este Bando y el Código Reglamentario les confiera.</w:t>
      </w:r>
      <w:r w:rsidRPr="002E6831">
        <w:rPr>
          <w:rFonts w:ascii="Palatino Linotype" w:hAnsi="Palatino Linotype"/>
          <w:sz w:val="24"/>
          <w:szCs w:val="24"/>
        </w:rPr>
        <w:t xml:space="preserve"> </w:t>
      </w:r>
    </w:p>
    <w:p w14:paraId="04202C00"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b/>
          <w:i/>
          <w:color w:val="000000"/>
          <w:sz w:val="24"/>
          <w:szCs w:val="24"/>
        </w:rPr>
        <w:t>XII.</w:t>
      </w:r>
      <w:r w:rsidRPr="002E6831">
        <w:rPr>
          <w:rFonts w:ascii="Palatino Linotype" w:eastAsia="Palatino Linotype" w:hAnsi="Palatino Linotype" w:cs="Palatino Linotype"/>
          <w:i/>
          <w:color w:val="000000"/>
          <w:sz w:val="24"/>
          <w:szCs w:val="24"/>
        </w:rPr>
        <w:t xml:space="preserve"> La persona titular de la </w:t>
      </w:r>
      <w:r w:rsidRPr="002E6831">
        <w:rPr>
          <w:rFonts w:ascii="Palatino Linotype" w:eastAsia="Palatino Linotype" w:hAnsi="Palatino Linotype" w:cs="Palatino Linotype"/>
          <w:b/>
          <w:i/>
          <w:color w:val="000000"/>
          <w:sz w:val="24"/>
          <w:szCs w:val="24"/>
        </w:rPr>
        <w:t>Dirección General de Bienestar</w:t>
      </w:r>
      <w:r w:rsidRPr="002E6831">
        <w:rPr>
          <w:rFonts w:ascii="Palatino Linotype" w:eastAsia="Palatino Linotype" w:hAnsi="Palatino Linotype" w:cs="Palatino Linotype"/>
          <w:i/>
          <w:color w:val="000000"/>
          <w:sz w:val="24"/>
          <w:szCs w:val="24"/>
        </w:rPr>
        <w:t xml:space="preserve"> es responsable </w:t>
      </w:r>
      <w:r w:rsidRPr="002E6831">
        <w:rPr>
          <w:rFonts w:ascii="Palatino Linotype" w:eastAsia="Palatino Linotype" w:hAnsi="Palatino Linotype" w:cs="Palatino Linotype"/>
          <w:b/>
          <w:i/>
          <w:color w:val="000000"/>
          <w:sz w:val="24"/>
          <w:szCs w:val="24"/>
        </w:rPr>
        <w:t>de planear, impulsar, ejecutar programas y acciones que garanticen el pleno ejercicio de los derechos sociales, promoviendo un desarrollo inclusivo y equitativo en el municipio.</w:t>
      </w:r>
      <w:r w:rsidRPr="002E6831">
        <w:rPr>
          <w:rFonts w:ascii="Palatino Linotype" w:eastAsia="Palatino Linotype" w:hAnsi="Palatino Linotype" w:cs="Palatino Linotype"/>
          <w:i/>
          <w:color w:val="000000"/>
          <w:sz w:val="24"/>
          <w:szCs w:val="24"/>
        </w:rPr>
        <w:t xml:space="preserve"> Su labor se orienta a fortalecer la justicia social, </w:t>
      </w:r>
      <w:r w:rsidRPr="002E6831">
        <w:rPr>
          <w:rFonts w:ascii="Palatino Linotype" w:eastAsia="Palatino Linotype" w:hAnsi="Palatino Linotype" w:cs="Palatino Linotype"/>
          <w:b/>
          <w:i/>
          <w:color w:val="000000"/>
          <w:sz w:val="24"/>
          <w:szCs w:val="24"/>
        </w:rPr>
        <w:t>priorizando a los sectores más vulnerables,</w:t>
      </w:r>
      <w:r w:rsidRPr="002E6831">
        <w:rPr>
          <w:rFonts w:ascii="Palatino Linotype" w:eastAsia="Palatino Linotype" w:hAnsi="Palatino Linotype" w:cs="Palatino Linotype"/>
          <w:i/>
          <w:color w:val="000000"/>
          <w:sz w:val="24"/>
          <w:szCs w:val="24"/>
        </w:rPr>
        <w:t xml:space="preserve"> incluyendo a los pueblos originarios y comunidades indígenas, mediante la preservación de sus tradiciones y el acceso a programas federales y estatales. Coordinará iniciativas en salud, educación, vivienda, empleo y cultura para construir una sociedad más justa, solidaria y equitativa, combatiendo las desigualdades que    generan discriminación, violencia y exclusión. </w:t>
      </w:r>
    </w:p>
    <w:p w14:paraId="6144A5CF"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Además, fomentará la participación ciudadana y la colaboración con los sectores público, privado, político, social y cultural, promoviendo el </w:t>
      </w:r>
      <w:r w:rsidRPr="002E6831">
        <w:rPr>
          <w:rFonts w:ascii="Palatino Linotype" w:eastAsia="Palatino Linotype" w:hAnsi="Palatino Linotype" w:cs="Palatino Linotype"/>
          <w:i/>
          <w:color w:val="000000"/>
          <w:sz w:val="24"/>
          <w:szCs w:val="24"/>
        </w:rPr>
        <w:lastRenderedPageBreak/>
        <w:t xml:space="preserve">autoempleo y la mejora de las condiciones de vida de todas las toluqueñas y toluqueños, bajo los principios de austeridad, honestidad y transformación social.          </w:t>
      </w:r>
    </w:p>
    <w:p w14:paraId="2199DDAD"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     </w:t>
      </w:r>
    </w:p>
    <w:p w14:paraId="26DA09C5"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De lo anterior, se colige que la Dirección General de Bienestar es el área encargada de planear, impulsar, ejecutar programas y acciones que garanticen el ejercicio de los derechos sociales en beneficio de los habitantes del municipio.</w:t>
      </w:r>
    </w:p>
    <w:p w14:paraId="15B58ED4"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713520B2"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Ahora bien, dicha Dirección General de Bienestar, tuvo un cambio de nombre en la presente administración, toda vez que para la administración 2022-2024 llevaba por nombre Dirección General de Desarrollo Social, quien de acuerdo con su Manual de Organización tiene las siguientes funciones. </w:t>
      </w:r>
    </w:p>
    <w:p w14:paraId="43FAEEA9"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1E344A06"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b/>
          <w:i/>
          <w:color w:val="000000"/>
          <w:sz w:val="24"/>
          <w:szCs w:val="24"/>
        </w:rPr>
        <w:t>Artículo 3.59.</w:t>
      </w:r>
      <w:r w:rsidRPr="002E6831">
        <w:rPr>
          <w:rFonts w:ascii="Palatino Linotype" w:eastAsia="Palatino Linotype" w:hAnsi="Palatino Linotype" w:cs="Palatino Linotype"/>
          <w:i/>
          <w:color w:val="000000"/>
          <w:sz w:val="24"/>
          <w:szCs w:val="24"/>
        </w:rPr>
        <w:t xml:space="preserve"> La o el titular de la Dirección General de Desarrollo Social, tendrá las siguientes atribuciones: </w:t>
      </w:r>
    </w:p>
    <w:p w14:paraId="5708774F" w14:textId="77777777" w:rsidR="0069015B" w:rsidRPr="002E6831" w:rsidRDefault="0069015B" w:rsidP="0069015B">
      <w:pPr>
        <w:numPr>
          <w:ilvl w:val="0"/>
          <w:numId w:val="29"/>
        </w:numPr>
        <w:pBdr>
          <w:top w:val="nil"/>
          <w:left w:val="nil"/>
          <w:bottom w:val="nil"/>
          <w:right w:val="nil"/>
          <w:between w:val="nil"/>
        </w:pBdr>
        <w:ind w:left="1134" w:right="90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Planear, impulsar y operar programas, proyectos y acciones para garantizar el pleno ejercicio de los derechos sociales consagrados en la Constitución Política de los Estados Unidos Mexicanos y la Constitución del Estado Libre y Soberano de México, asegurando el acceso de toda la población al desarrollo social; </w:t>
      </w:r>
    </w:p>
    <w:p w14:paraId="7AD5F533"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II. Participar, en el ámbito de sus atribuciones en el Sistema Nacional de Desarrollo Social; </w:t>
      </w:r>
    </w:p>
    <w:p w14:paraId="7D2CAE1E"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b/>
          <w:i/>
          <w:color w:val="000000"/>
          <w:sz w:val="24"/>
          <w:szCs w:val="24"/>
        </w:rPr>
      </w:pPr>
      <w:r w:rsidRPr="002E6831">
        <w:rPr>
          <w:rFonts w:ascii="Palatino Linotype" w:eastAsia="Palatino Linotype" w:hAnsi="Palatino Linotype" w:cs="Palatino Linotype"/>
          <w:b/>
          <w:i/>
          <w:color w:val="000000"/>
          <w:sz w:val="24"/>
          <w:szCs w:val="24"/>
        </w:rPr>
        <w:t xml:space="preserve">III. Impulsar, supervisar, controlar y evaluar los programas en materia de asistencia social dirigidos a la población en situación de vulnerabilidad del municipio; </w:t>
      </w:r>
    </w:p>
    <w:p w14:paraId="3620BA32"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IV. Promover, respetar y difundir las costumbres y tradiciones de los pueblos indígenas, preservando sus lenguas y escritura, llevando a cabo acciones concretas; </w:t>
      </w:r>
    </w:p>
    <w:p w14:paraId="2093EF66"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lastRenderedPageBreak/>
        <w:t xml:space="preserve">V. Promover la inclusión de los pueblos indígenas, para que accedan a los beneficios que otorgan los programas federales y estatales en la materia; </w:t>
      </w:r>
    </w:p>
    <w:p w14:paraId="6653F0B9"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VI. Promover servicios educativos de cualquier tipo o modalidad, de acuerdo a los programas establecidos, por el gobierno federal y estatal; </w:t>
      </w:r>
    </w:p>
    <w:p w14:paraId="3D46CCCA"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VII. Promover y ejecutar cursos y talleres dirigidos a la ciudadanía toluqueña para el desarrollo de habilidades que generen autoempleo; </w:t>
      </w:r>
    </w:p>
    <w:p w14:paraId="602B2438"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b/>
          <w:i/>
          <w:color w:val="000000"/>
          <w:sz w:val="24"/>
          <w:szCs w:val="24"/>
        </w:rPr>
      </w:pPr>
      <w:r w:rsidRPr="002E6831">
        <w:rPr>
          <w:rFonts w:ascii="Palatino Linotype" w:eastAsia="Palatino Linotype" w:hAnsi="Palatino Linotype" w:cs="Palatino Linotype"/>
          <w:b/>
          <w:i/>
          <w:color w:val="000000"/>
          <w:sz w:val="24"/>
          <w:szCs w:val="24"/>
        </w:rPr>
        <w:t xml:space="preserve">VIII. Coordinar con las instancias responsables del gobierno municipal, la ejecución de programas integrales de desarrollo social, cultural y económico, incluidos los de salud, educación, vivienda, empleo, deporte y desarrollo urbano, con miras a disminuir los factores que pueden generar actitudes violentas o delictivas en la sociedad; </w:t>
      </w:r>
    </w:p>
    <w:p w14:paraId="72195314"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IX. Coordinar las acciones que deriven de los convenios suscritos con el gobierno Federal y con el gobierno del Estado de México, cuyo objeto detente el desarrollo social; </w:t>
      </w:r>
    </w:p>
    <w:p w14:paraId="50952532"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X. Promover la participación de los sectores social y privado para la atención de las necesidades básicas de la población del municipio; </w:t>
      </w:r>
    </w:p>
    <w:p w14:paraId="04C0BD9E"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b/>
          <w:i/>
          <w:color w:val="000000"/>
          <w:sz w:val="24"/>
          <w:szCs w:val="24"/>
        </w:rPr>
      </w:pPr>
      <w:r w:rsidRPr="002E6831">
        <w:rPr>
          <w:rFonts w:ascii="Palatino Linotype" w:eastAsia="Palatino Linotype" w:hAnsi="Palatino Linotype" w:cs="Palatino Linotype"/>
          <w:b/>
          <w:i/>
          <w:color w:val="000000"/>
          <w:sz w:val="24"/>
          <w:szCs w:val="24"/>
        </w:rPr>
        <w:t xml:space="preserve">XI. Generar y promover, en coordinación con dependencias federales, estatales y con organismos no gubernamentales, la ejecución de programas, proyectos y acciones para mejorar las condiciones de vida de las comunidades indígenas reconocidas en el municipio de Toluca; y </w:t>
      </w:r>
    </w:p>
    <w:p w14:paraId="713710B1"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XII. Las demás que le confieran otros ordenamientos jurídicos, el H. Ayuntamiento y el presidente municipal. </w:t>
      </w:r>
    </w:p>
    <w:p w14:paraId="68883C47"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4D7D51E0"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En esa línea, se entiende que el Director de la ahora Dirección General de Bienestar, realiza diversas actividades con las que debe de tener comunicación con autoridades de nivel estatal y federal, así como grupos o asociaciones, entre los que se puede referir que la comunicación principal se realiza por medio de los oficios. </w:t>
      </w:r>
    </w:p>
    <w:p w14:paraId="5BBACF4C"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28AF770B"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rPr>
      </w:pPr>
      <w:r w:rsidRPr="002E6831">
        <w:rPr>
          <w:rFonts w:ascii="Palatino Linotype" w:eastAsia="Palatino Linotype" w:hAnsi="Palatino Linotype" w:cs="Palatino Linotype"/>
          <w:color w:val="000000"/>
          <w:sz w:val="24"/>
          <w:szCs w:val="24"/>
        </w:rPr>
        <w:lastRenderedPageBreak/>
        <w:t xml:space="preserve">De todo lo expuesto, se determina que el Titular de la Unidad de Transparencia, turno la solicitud de información de información al área habilitada, por lo que debe de tenerse presente su respuesta al referir que no se cuenta con la información toda que la Unidad Administrativa está sujeta a plazos de conservación por procesos de transferencia, así como la eliminación de documentos, expedientes físicos y digitales. </w:t>
      </w:r>
    </w:p>
    <w:p w14:paraId="6E76B211"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color w:val="000000"/>
          <w:sz w:val="24"/>
          <w:szCs w:val="24"/>
        </w:rPr>
      </w:pPr>
    </w:p>
    <w:p w14:paraId="5A9A248B"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En ese sentido, el </w:t>
      </w:r>
      <w:r w:rsidRPr="002E6831">
        <w:rPr>
          <w:rFonts w:ascii="Palatino Linotype" w:eastAsia="Palatino Linotype" w:hAnsi="Palatino Linotype" w:cs="Palatino Linotype"/>
          <w:b/>
          <w:color w:val="000000"/>
          <w:sz w:val="24"/>
          <w:szCs w:val="24"/>
        </w:rPr>
        <w:t xml:space="preserve">SUJETO OBLIGADO </w:t>
      </w:r>
      <w:r w:rsidRPr="002E6831">
        <w:rPr>
          <w:rFonts w:ascii="Palatino Linotype" w:eastAsia="Palatino Linotype" w:hAnsi="Palatino Linotype" w:cs="Palatino Linotype"/>
          <w:color w:val="000000"/>
          <w:sz w:val="24"/>
          <w:szCs w:val="24"/>
        </w:rPr>
        <w:t xml:space="preserve">debió de emitir el Acuerdo de Inexistencia por parte del Comité de Transparencia mediante el cual de manera fundada y motivada expusieran las razones por las cuales no se administra la información solicitada, tal y como lo regulan los siguientes artículo de la Ley de Transparencia y Acceso a la Información Pública del Estado de México y Municipios. </w:t>
      </w:r>
    </w:p>
    <w:p w14:paraId="6678D7C3" w14:textId="77777777" w:rsidR="0069015B" w:rsidRPr="002E6831" w:rsidRDefault="0069015B" w:rsidP="0069015B">
      <w:pPr>
        <w:pBdr>
          <w:top w:val="nil"/>
          <w:left w:val="nil"/>
          <w:bottom w:val="nil"/>
          <w:right w:val="nil"/>
          <w:between w:val="nil"/>
        </w:pBdr>
        <w:ind w:left="720"/>
        <w:rPr>
          <w:rFonts w:ascii="Palatino Linotype" w:eastAsia="Palatino Linotype" w:hAnsi="Palatino Linotype" w:cs="Palatino Linotype"/>
          <w:color w:val="000000"/>
          <w:sz w:val="24"/>
          <w:szCs w:val="24"/>
        </w:rPr>
      </w:pPr>
    </w:p>
    <w:p w14:paraId="44FA49ED"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b/>
          <w:i/>
          <w:color w:val="000000"/>
          <w:sz w:val="24"/>
          <w:szCs w:val="24"/>
        </w:rPr>
        <w:t>Artículo 19.</w:t>
      </w:r>
      <w:r w:rsidRPr="002E6831">
        <w:rPr>
          <w:rFonts w:ascii="Palatino Linotype" w:eastAsia="Palatino Linotype" w:hAnsi="Palatino Linotype" w:cs="Palatino Linotype"/>
          <w:i/>
          <w:color w:val="000000"/>
          <w:sz w:val="24"/>
          <w:szCs w:val="24"/>
        </w:rPr>
        <w:t xml:space="preserve"> Se presume que la información debe existir si se refiere a las facultades, competencias y funciones que los ordenamientos jurídicos aplicables otorgan a los sujetos obligados. </w:t>
      </w:r>
    </w:p>
    <w:p w14:paraId="50F2ED20" w14:textId="77777777" w:rsidR="0069015B" w:rsidRPr="002E6831" w:rsidRDefault="0069015B" w:rsidP="0069015B">
      <w:pPr>
        <w:pBdr>
          <w:top w:val="nil"/>
          <w:left w:val="nil"/>
          <w:bottom w:val="nil"/>
          <w:right w:val="nil"/>
          <w:between w:val="nil"/>
        </w:pBdr>
        <w:ind w:left="1134" w:right="900"/>
        <w:jc w:val="both"/>
        <w:rPr>
          <w:rFonts w:ascii="Palatino Linotype" w:eastAsia="Calibri" w:hAnsi="Palatino Linotype"/>
          <w:i/>
          <w:color w:val="000000"/>
          <w:sz w:val="24"/>
          <w:szCs w:val="24"/>
        </w:rPr>
      </w:pPr>
      <w:r w:rsidRPr="002E6831">
        <w:rPr>
          <w:rFonts w:ascii="Palatino Linotype" w:eastAsia="Palatino Linotype" w:hAnsi="Palatino Linotype" w:cs="Palatino Linotype"/>
          <w:i/>
          <w:color w:val="000000"/>
          <w:sz w:val="24"/>
          <w:szCs w:val="24"/>
        </w:rPr>
        <w:t>En los casos en que ciertas facultades, competencias o funciones no se hayan ejercido, se debe motivar la respuesta en función de las causas que motiven tal circunstancia</w:t>
      </w:r>
      <w:r w:rsidRPr="002E6831">
        <w:rPr>
          <w:rFonts w:ascii="Palatino Linotype" w:eastAsia="Calibri" w:hAnsi="Palatino Linotype"/>
          <w:i/>
          <w:color w:val="000000"/>
          <w:sz w:val="24"/>
          <w:szCs w:val="24"/>
        </w:rPr>
        <w:t xml:space="preserve"> </w:t>
      </w:r>
    </w:p>
    <w:p w14:paraId="127FD146"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w:t>
      </w:r>
    </w:p>
    <w:p w14:paraId="4C8C2C71" w14:textId="77777777" w:rsidR="0069015B" w:rsidRPr="002E6831" w:rsidRDefault="0069015B" w:rsidP="0069015B">
      <w:pPr>
        <w:pBdr>
          <w:top w:val="nil"/>
          <w:left w:val="nil"/>
          <w:bottom w:val="nil"/>
          <w:right w:val="nil"/>
          <w:between w:val="nil"/>
        </w:pBdr>
        <w:ind w:left="1134" w:right="900"/>
        <w:jc w:val="both"/>
        <w:rPr>
          <w:rFonts w:ascii="Palatino Linotype" w:eastAsia="Calibri" w:hAnsi="Palatino Linotype"/>
          <w:color w:val="000000"/>
          <w:sz w:val="24"/>
          <w:szCs w:val="24"/>
        </w:rPr>
      </w:pPr>
      <w:r w:rsidRPr="002E6831">
        <w:rPr>
          <w:rFonts w:ascii="Palatino Linotype" w:eastAsia="Palatino Linotype" w:hAnsi="Palatino Linotype" w:cs="Palatino Linotype"/>
          <w:b/>
          <w:i/>
          <w:color w:val="000000"/>
          <w:sz w:val="24"/>
          <w:szCs w:val="24"/>
        </w:rPr>
        <w:t xml:space="preserve">Artículo 49. </w:t>
      </w:r>
      <w:r w:rsidRPr="002E6831">
        <w:rPr>
          <w:rFonts w:ascii="Palatino Linotype" w:eastAsia="Palatino Linotype" w:hAnsi="Palatino Linotype" w:cs="Palatino Linotype"/>
          <w:i/>
          <w:color w:val="000000"/>
          <w:sz w:val="24"/>
          <w:szCs w:val="24"/>
        </w:rPr>
        <w:t>Los Comités de Transparencia tendrán las siguientes atribuciones:</w:t>
      </w:r>
      <w:r w:rsidRPr="002E6831">
        <w:rPr>
          <w:rFonts w:ascii="Palatino Linotype" w:eastAsia="Calibri" w:hAnsi="Palatino Linotype"/>
          <w:color w:val="000000"/>
          <w:sz w:val="24"/>
          <w:szCs w:val="24"/>
        </w:rPr>
        <w:t xml:space="preserve"> </w:t>
      </w:r>
    </w:p>
    <w:p w14:paraId="3891C5DD" w14:textId="77777777" w:rsidR="0069015B" w:rsidRPr="002E6831" w:rsidRDefault="0069015B" w:rsidP="0069015B">
      <w:pPr>
        <w:pBdr>
          <w:top w:val="nil"/>
          <w:left w:val="nil"/>
          <w:bottom w:val="nil"/>
          <w:right w:val="nil"/>
          <w:between w:val="nil"/>
        </w:pBdr>
        <w:ind w:left="1134" w:right="900"/>
        <w:jc w:val="both"/>
        <w:rPr>
          <w:rFonts w:ascii="Palatino Linotype" w:eastAsia="Calibri" w:hAnsi="Palatino Linotype"/>
          <w:color w:val="000000"/>
          <w:sz w:val="24"/>
          <w:szCs w:val="24"/>
        </w:rPr>
      </w:pPr>
      <w:r w:rsidRPr="002E6831">
        <w:rPr>
          <w:rFonts w:ascii="Palatino Linotype" w:eastAsia="Palatino Linotype" w:hAnsi="Palatino Linotype" w:cs="Palatino Linotype"/>
          <w:i/>
          <w:color w:val="000000"/>
          <w:sz w:val="24"/>
          <w:szCs w:val="24"/>
        </w:rPr>
        <w:t xml:space="preserve">II. Confirmar, modificar o revocar las determinaciones que en materia de ampliación del plazo de respuesta, clasificación de la información y </w:t>
      </w:r>
      <w:r w:rsidRPr="002E6831">
        <w:rPr>
          <w:rFonts w:ascii="Palatino Linotype" w:eastAsia="Palatino Linotype" w:hAnsi="Palatino Linotype" w:cs="Palatino Linotype"/>
          <w:i/>
          <w:color w:val="000000"/>
          <w:sz w:val="24"/>
          <w:szCs w:val="24"/>
        </w:rPr>
        <w:lastRenderedPageBreak/>
        <w:t>declaración de inexistencia o de incompetencia realicen los titulares de las áreas de los sujetos obligados;</w:t>
      </w:r>
      <w:r w:rsidRPr="002E6831">
        <w:rPr>
          <w:rFonts w:ascii="Palatino Linotype" w:eastAsia="Calibri" w:hAnsi="Palatino Linotype"/>
          <w:color w:val="000000"/>
          <w:sz w:val="24"/>
          <w:szCs w:val="24"/>
        </w:rPr>
        <w:t xml:space="preserve"> </w:t>
      </w:r>
    </w:p>
    <w:p w14:paraId="4B608ED1"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XIII. Dictaminar las declaratorias de inexistencia de la información que les remitan las unidades administrativas y resolver en consecuencia;</w:t>
      </w:r>
    </w:p>
    <w:p w14:paraId="5253D878"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b/>
          <w:i/>
          <w:color w:val="000000"/>
          <w:sz w:val="24"/>
          <w:szCs w:val="24"/>
        </w:rPr>
        <w:t>Artículo 170.</w:t>
      </w:r>
      <w:r w:rsidRPr="002E6831">
        <w:rPr>
          <w:rFonts w:ascii="Palatino Linotype" w:eastAsia="Palatino Linotype" w:hAnsi="Palatino Linotype" w:cs="Palatino Linotype"/>
          <w:i/>
          <w:color w:val="000000"/>
          <w:sz w:val="24"/>
          <w:szCs w:val="24"/>
        </w:rPr>
        <w:t xml:space="preserve"> La resolución del Comité de Transparencia que confirme la inexistencia de la información solicitada contendrá los elementos mínimos que permitan al solicitante tener la certeza de que se utilizó un criterio de búsqueda exhaustivo, además de señalar las circunstancias de tiempo, modo y lugar que generaron la existencia en cuestión y señalará al servidor público responsable de contar con la misma.</w:t>
      </w:r>
    </w:p>
    <w:p w14:paraId="75A446B0" w14:textId="77777777" w:rsidR="0069015B" w:rsidRPr="002E6831" w:rsidRDefault="0069015B" w:rsidP="0069015B">
      <w:pPr>
        <w:pBdr>
          <w:top w:val="nil"/>
          <w:left w:val="nil"/>
          <w:bottom w:val="nil"/>
          <w:right w:val="nil"/>
          <w:between w:val="nil"/>
        </w:pBdr>
        <w:ind w:left="1134" w:right="900"/>
        <w:jc w:val="both"/>
        <w:rPr>
          <w:rFonts w:ascii="Palatino Linotype" w:eastAsia="Palatino Linotype" w:hAnsi="Palatino Linotype" w:cs="Palatino Linotype"/>
          <w:i/>
          <w:color w:val="000000"/>
          <w:sz w:val="24"/>
          <w:szCs w:val="24"/>
        </w:rPr>
      </w:pPr>
    </w:p>
    <w:p w14:paraId="3A38B8A3"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Como se observa el </w:t>
      </w:r>
      <w:r w:rsidRPr="002E6831">
        <w:rPr>
          <w:rFonts w:ascii="Palatino Linotype" w:eastAsia="Palatino Linotype" w:hAnsi="Palatino Linotype" w:cs="Palatino Linotype"/>
          <w:b/>
          <w:color w:val="000000"/>
          <w:sz w:val="24"/>
          <w:szCs w:val="24"/>
        </w:rPr>
        <w:t xml:space="preserve">SUJETO OBLIGADO </w:t>
      </w:r>
      <w:r w:rsidRPr="002E6831">
        <w:rPr>
          <w:rFonts w:ascii="Palatino Linotype" w:eastAsia="Palatino Linotype" w:hAnsi="Palatino Linotype" w:cs="Palatino Linotype"/>
          <w:color w:val="000000"/>
          <w:sz w:val="24"/>
          <w:szCs w:val="24"/>
        </w:rPr>
        <w:t xml:space="preserve">debió de entregar el Acuerdo de Inexistencia del Comité de Transparencia mediante el cual de manera fundada y motivada expusiera las razones por las cuales no cuenta en sus archivos con los oficios firmados del Director de Desarrollo Social del año dos mil trece. </w:t>
      </w:r>
    </w:p>
    <w:p w14:paraId="2D1011DE"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5C8A4485" w14:textId="0CB9244D"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color w:val="000000"/>
          <w:sz w:val="24"/>
          <w:szCs w:val="24"/>
        </w:rPr>
        <w:t xml:space="preserve">En ese sentido, para colmar el derecho de acceso a la información del </w:t>
      </w:r>
      <w:r w:rsidRPr="002E6831">
        <w:rPr>
          <w:rFonts w:ascii="Palatino Linotype" w:eastAsia="Palatino Linotype" w:hAnsi="Palatino Linotype" w:cs="Palatino Linotype"/>
          <w:b/>
          <w:color w:val="000000"/>
          <w:sz w:val="24"/>
          <w:szCs w:val="24"/>
        </w:rPr>
        <w:t xml:space="preserve">RECURRENTE </w:t>
      </w:r>
      <w:r w:rsidRPr="002E6831">
        <w:rPr>
          <w:rFonts w:ascii="Palatino Linotype" w:eastAsia="Palatino Linotype" w:hAnsi="Palatino Linotype" w:cs="Palatino Linotype"/>
          <w:color w:val="000000"/>
          <w:sz w:val="24"/>
          <w:szCs w:val="24"/>
        </w:rPr>
        <w:t xml:space="preserve">el </w:t>
      </w:r>
      <w:r w:rsidRPr="002E6831">
        <w:rPr>
          <w:rFonts w:ascii="Palatino Linotype" w:eastAsia="Palatino Linotype" w:hAnsi="Palatino Linotype" w:cs="Palatino Linotype"/>
          <w:b/>
          <w:color w:val="000000"/>
          <w:sz w:val="24"/>
          <w:szCs w:val="24"/>
        </w:rPr>
        <w:t xml:space="preserve">SUJETO OBLIGADO </w:t>
      </w:r>
      <w:r w:rsidRPr="002E6831">
        <w:rPr>
          <w:rFonts w:ascii="Palatino Linotype" w:eastAsia="Palatino Linotype" w:hAnsi="Palatino Linotype" w:cs="Palatino Linotype"/>
          <w:color w:val="000000"/>
          <w:sz w:val="24"/>
          <w:szCs w:val="24"/>
        </w:rPr>
        <w:t xml:space="preserve">deberá de emitir el Acuerdo de Inexistencia, por lo que deberá de tener en cuanto lo siguiente. </w:t>
      </w:r>
    </w:p>
    <w:p w14:paraId="3F73781C" w14:textId="77777777" w:rsidR="0069015B" w:rsidRPr="002E6831" w:rsidRDefault="0069015B" w:rsidP="0069015B">
      <w:pPr>
        <w:pBdr>
          <w:top w:val="nil"/>
          <w:left w:val="nil"/>
          <w:bottom w:val="nil"/>
          <w:right w:val="nil"/>
          <w:between w:val="nil"/>
        </w:pBdr>
        <w:ind w:left="720"/>
        <w:rPr>
          <w:rFonts w:ascii="Palatino Linotype" w:eastAsia="Palatino Linotype" w:hAnsi="Palatino Linotype" w:cs="Palatino Linotype"/>
          <w:color w:val="000000"/>
          <w:sz w:val="24"/>
          <w:szCs w:val="24"/>
        </w:rPr>
      </w:pPr>
    </w:p>
    <w:p w14:paraId="4BD3A330"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De lo anterior,  es importante referir el estudio de la baja documental que considera la </w:t>
      </w:r>
      <w:r w:rsidRPr="002E6831">
        <w:rPr>
          <w:rFonts w:ascii="Palatino Linotype" w:eastAsia="Palatino Linotype" w:hAnsi="Palatino Linotype" w:cs="Palatino Linotype"/>
          <w:b/>
          <w:sz w:val="24"/>
          <w:szCs w:val="24"/>
        </w:rPr>
        <w:t xml:space="preserve">LEY DE ARCHIVOS Y ADMINISTRACIÓN DE DOCUMENTOS DEL ESTADO DE MÉXICO Y MUNICIPIOS, en su artículo 1 ° </w:t>
      </w:r>
      <w:r w:rsidRPr="002E6831">
        <w:rPr>
          <w:rFonts w:ascii="Palatino Linotype" w:eastAsia="Palatino Linotype" w:hAnsi="Palatino Linotype" w:cs="Palatino Linotype"/>
          <w:sz w:val="24"/>
          <w:szCs w:val="24"/>
        </w:rPr>
        <w:t xml:space="preserve">tiene como objeto </w:t>
      </w:r>
      <w:r w:rsidRPr="002E6831">
        <w:rPr>
          <w:rFonts w:ascii="Palatino Linotype" w:eastAsia="Palatino Linotype" w:hAnsi="Palatino Linotype" w:cs="Palatino Linotype"/>
          <w:i/>
          <w:sz w:val="24"/>
          <w:szCs w:val="24"/>
        </w:rPr>
        <w:t xml:space="preserve">“Artículo 1. La presente Ley es de orden público y de observancia general en el Estado de México, y tiene por objeto establecer la organización, conservación, administración y preservación homogénea de los Archivos en posesión de cualquier autoridad, entidad, órgano y organismo de los poderes </w:t>
      </w:r>
      <w:r w:rsidRPr="002E6831">
        <w:rPr>
          <w:rFonts w:ascii="Palatino Linotype" w:eastAsia="Palatino Linotype" w:hAnsi="Palatino Linotype" w:cs="Palatino Linotype"/>
          <w:i/>
          <w:sz w:val="24"/>
          <w:szCs w:val="24"/>
        </w:rPr>
        <w:lastRenderedPageBreak/>
        <w:t xml:space="preserve">Legislativo, Ejecutivo y Judicial, órganos autónomos, partidos políticos, fideicomisos y fondos públicos, así como de cualquier persona física, jurídica colectiva o sindicato que reciba y ejerza recursos públicos o realice actos de autoridad del Estado de México y municipios. Así como determinar las bases de organización y funcionamiento del Sistema Estatal de Archivos y </w:t>
      </w:r>
      <w:r w:rsidRPr="002E6831">
        <w:rPr>
          <w:rFonts w:ascii="Palatino Linotype" w:eastAsia="Palatino Linotype" w:hAnsi="Palatino Linotype" w:cs="Palatino Linotype"/>
          <w:b/>
          <w:i/>
          <w:sz w:val="24"/>
          <w:szCs w:val="24"/>
        </w:rPr>
        <w:t>fomentar el resguardo, difusión y acceso público</w:t>
      </w:r>
      <w:r w:rsidRPr="002E6831">
        <w:rPr>
          <w:rFonts w:ascii="Palatino Linotype" w:eastAsia="Palatino Linotype" w:hAnsi="Palatino Linotype" w:cs="Palatino Linotype"/>
          <w:i/>
          <w:sz w:val="24"/>
          <w:szCs w:val="24"/>
        </w:rPr>
        <w:t xml:space="preserve"> de Archivos privados de relevancia histórica, social, cultural, científica y técnica estatal…” </w:t>
      </w:r>
    </w:p>
    <w:p w14:paraId="11283A30" w14:textId="77777777" w:rsidR="0069015B" w:rsidRPr="002E6831" w:rsidRDefault="0069015B" w:rsidP="0069015B">
      <w:pPr>
        <w:spacing w:line="360" w:lineRule="auto"/>
        <w:ind w:right="-787"/>
        <w:jc w:val="both"/>
        <w:rPr>
          <w:rFonts w:ascii="Palatino Linotype" w:eastAsia="Palatino Linotype" w:hAnsi="Palatino Linotype" w:cs="Palatino Linotype"/>
          <w:i/>
          <w:sz w:val="24"/>
          <w:szCs w:val="24"/>
        </w:rPr>
      </w:pPr>
    </w:p>
    <w:p w14:paraId="4F4CFD6E"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Así mismo, la normativa citada con antelación, considera en su artículo cuarto lo siguientes hechos que son de relevancia para el estudio del presente recurso: </w:t>
      </w:r>
    </w:p>
    <w:p w14:paraId="57A3556D"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V. Archivo de Concentración</w:t>
      </w:r>
      <w:r w:rsidRPr="002E6831">
        <w:rPr>
          <w:rFonts w:ascii="Palatino Linotype" w:eastAsia="Palatino Linotype" w:hAnsi="Palatino Linotype" w:cs="Palatino Linotype"/>
          <w:i/>
          <w:sz w:val="24"/>
          <w:szCs w:val="24"/>
        </w:rPr>
        <w:t xml:space="preserve">: Al integrado por documentos transferidos desde las áreas o unidades productoras, cuyo uso y consulta es esporádica y que permanecen en él, hasta su Disposición Documental; </w:t>
      </w:r>
    </w:p>
    <w:p w14:paraId="30112917"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VI. </w:t>
      </w:r>
      <w:r w:rsidRPr="002E6831">
        <w:rPr>
          <w:rFonts w:ascii="Palatino Linotype" w:eastAsia="Palatino Linotype" w:hAnsi="Palatino Linotype" w:cs="Palatino Linotype"/>
          <w:b/>
          <w:i/>
          <w:sz w:val="24"/>
          <w:szCs w:val="24"/>
        </w:rPr>
        <w:t>Archivo de Trámite</w:t>
      </w:r>
      <w:r w:rsidRPr="002E6831">
        <w:rPr>
          <w:rFonts w:ascii="Palatino Linotype" w:eastAsia="Palatino Linotype" w:hAnsi="Palatino Linotype" w:cs="Palatino Linotype"/>
          <w:i/>
          <w:sz w:val="24"/>
          <w:szCs w:val="24"/>
        </w:rPr>
        <w:t xml:space="preserve">: Al integrado por Documentos de Archivo de uso cotidiano y necesario para el ejercicio de las atribuciones y funciones de los Sujetos Obligados; </w:t>
      </w:r>
    </w:p>
    <w:p w14:paraId="1D621FD0"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VII</w:t>
      </w:r>
      <w:r w:rsidRPr="002E6831">
        <w:rPr>
          <w:rFonts w:ascii="Palatino Linotype" w:eastAsia="Palatino Linotype" w:hAnsi="Palatino Linotype" w:cs="Palatino Linotype"/>
          <w:b/>
          <w:i/>
          <w:sz w:val="24"/>
          <w:szCs w:val="24"/>
        </w:rPr>
        <w:t>. Archivo General:</w:t>
      </w:r>
      <w:r w:rsidRPr="002E6831">
        <w:rPr>
          <w:rFonts w:ascii="Palatino Linotype" w:eastAsia="Palatino Linotype" w:hAnsi="Palatino Linotype" w:cs="Palatino Linotype"/>
          <w:i/>
          <w:sz w:val="24"/>
          <w:szCs w:val="24"/>
        </w:rPr>
        <w:t xml:space="preserve"> Al Archivo General de la Nación</w:t>
      </w:r>
    </w:p>
    <w:p w14:paraId="586B3AD7"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VIII. Archivo General del Estado:</w:t>
      </w:r>
      <w:r w:rsidRPr="002E6831">
        <w:rPr>
          <w:rFonts w:ascii="Palatino Linotype" w:eastAsia="Palatino Linotype" w:hAnsi="Palatino Linotype" w:cs="Palatino Linotype"/>
          <w:i/>
          <w:sz w:val="24"/>
          <w:szCs w:val="24"/>
        </w:rPr>
        <w:t xml:space="preserve"> Al Archivo General del Estado de México;</w:t>
      </w:r>
    </w:p>
    <w:p w14:paraId="24BD2080"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 </w:t>
      </w:r>
      <w:r w:rsidRPr="002E6831">
        <w:rPr>
          <w:rFonts w:ascii="Palatino Linotype" w:eastAsia="Palatino Linotype" w:hAnsi="Palatino Linotype" w:cs="Palatino Linotype"/>
          <w:b/>
          <w:i/>
          <w:sz w:val="24"/>
          <w:szCs w:val="24"/>
        </w:rPr>
        <w:t>IX. Archivo Histórico:</w:t>
      </w:r>
      <w:r w:rsidRPr="002E6831">
        <w:rPr>
          <w:rFonts w:ascii="Palatino Linotype" w:eastAsia="Palatino Linotype" w:hAnsi="Palatino Linotype" w:cs="Palatino Linotype"/>
          <w:i/>
          <w:sz w:val="24"/>
          <w:szCs w:val="24"/>
        </w:rPr>
        <w:t xml:space="preserve"> Al integrado por documentos de conservación permanente y de relevancia para la memoria estatal o municipal de carácter público;</w:t>
      </w:r>
    </w:p>
    <w:p w14:paraId="0694928A"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XIII. </w:t>
      </w:r>
      <w:r w:rsidRPr="002E6831">
        <w:rPr>
          <w:rFonts w:ascii="Palatino Linotype" w:eastAsia="Palatino Linotype" w:hAnsi="Palatino Linotype" w:cs="Palatino Linotype"/>
          <w:b/>
          <w:i/>
          <w:sz w:val="24"/>
          <w:szCs w:val="24"/>
        </w:rPr>
        <w:t>Baja Documental:</w:t>
      </w:r>
      <w:r w:rsidRPr="002E6831">
        <w:rPr>
          <w:rFonts w:ascii="Palatino Linotype" w:eastAsia="Palatino Linotype" w:hAnsi="Palatino Linotype" w:cs="Palatino Linotype"/>
          <w:i/>
          <w:sz w:val="24"/>
          <w:szCs w:val="24"/>
        </w:rPr>
        <w:t xml:space="preserve"> A la eliminación de aquella documentación que haya prescrito su vigencia, valores documentales y, en su caso, plazos de conservación; y que no posea valores históricos, de acuerdo con la Ley y las disposiciones jurídicas aplicables; </w:t>
      </w:r>
    </w:p>
    <w:p w14:paraId="0CC668EA"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XIV</w:t>
      </w:r>
      <w:r w:rsidRPr="002E6831">
        <w:rPr>
          <w:rFonts w:ascii="Palatino Linotype" w:eastAsia="Palatino Linotype" w:hAnsi="Palatino Linotype" w:cs="Palatino Linotype"/>
          <w:b/>
          <w:i/>
          <w:sz w:val="24"/>
          <w:szCs w:val="24"/>
        </w:rPr>
        <w:t>. Catálogo de Disposición Documental:</w:t>
      </w:r>
      <w:r w:rsidRPr="002E6831">
        <w:rPr>
          <w:rFonts w:ascii="Palatino Linotype" w:eastAsia="Palatino Linotype" w:hAnsi="Palatino Linotype" w:cs="Palatino Linotype"/>
          <w:i/>
          <w:sz w:val="24"/>
          <w:szCs w:val="24"/>
        </w:rPr>
        <w:t xml:space="preserve"> Al registro general y sistemático que establece los valores documentales, la Vigencia Documental, los plazos de conservación y la Disposición Documental; </w:t>
      </w:r>
    </w:p>
    <w:p w14:paraId="32B39600"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lastRenderedPageBreak/>
        <w:t>XV. Ciclo Vital:</w:t>
      </w:r>
      <w:r w:rsidRPr="002E6831">
        <w:rPr>
          <w:rFonts w:ascii="Palatino Linotype" w:eastAsia="Palatino Linotype" w:hAnsi="Palatino Linotype" w:cs="Palatino Linotype"/>
          <w:i/>
          <w:sz w:val="24"/>
          <w:szCs w:val="24"/>
        </w:rPr>
        <w:t xml:space="preserve"> A las etapas por las que atraviesan los Documentos de Archivo desde su producción o recepción hasta su Baja Documental o Transferencia a un Archivo Histórico;”</w:t>
      </w:r>
    </w:p>
    <w:p w14:paraId="2E8E524C" w14:textId="77777777" w:rsidR="0069015B" w:rsidRPr="002E6831" w:rsidRDefault="0069015B" w:rsidP="0069015B">
      <w:pPr>
        <w:ind w:right="-787"/>
        <w:rPr>
          <w:rFonts w:ascii="Palatino Linotype" w:eastAsia="Palatino Linotype" w:hAnsi="Palatino Linotype" w:cs="Palatino Linotype"/>
          <w:i/>
          <w:sz w:val="24"/>
          <w:szCs w:val="24"/>
        </w:rPr>
      </w:pPr>
    </w:p>
    <w:p w14:paraId="24F7EE59"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Es necesario precisar que la LEY DE ARCHIVOS Y ADMINISTRACIÓN DE DOCUMENTOS DEL ESTADO DE MÉXICO Y MUNICIPIOS, en su artículo 10° refiere que los sujetos obligados son responsables de organizar y conservar sus Archivos; de la operación de su Sistema Institucional; del cumplimiento de lo dispuesto por esta Ley; así como por las determinaciones que emita el Consejo Estatal, según corresponda; y deberán garantizar que no se sustraigan, dañen o eliminen Documentos de Archivo y la información a su cargo. </w:t>
      </w:r>
    </w:p>
    <w:p w14:paraId="567FA3C6" w14:textId="77777777" w:rsidR="0069015B" w:rsidRPr="002E6831" w:rsidRDefault="0069015B" w:rsidP="0069015B">
      <w:pPr>
        <w:spacing w:line="360" w:lineRule="auto"/>
        <w:ind w:right="-787"/>
        <w:jc w:val="both"/>
        <w:rPr>
          <w:rFonts w:ascii="Palatino Linotype" w:eastAsia="Palatino Linotype" w:hAnsi="Palatino Linotype" w:cs="Palatino Linotype"/>
          <w:i/>
          <w:sz w:val="24"/>
          <w:szCs w:val="24"/>
        </w:rPr>
      </w:pPr>
    </w:p>
    <w:p w14:paraId="79BABBCB"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Por su parte, la ley de  la materia en el ámbito estatal en su artículo 3°, fracción XLI refiere que el sujeto obligado es : </w:t>
      </w:r>
    </w:p>
    <w:p w14:paraId="0BC344EC"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Sujetos obligados:</w:t>
      </w:r>
      <w:r w:rsidRPr="002E6831">
        <w:rPr>
          <w:rFonts w:ascii="Palatino Linotype" w:eastAsia="Palatino Linotype" w:hAnsi="Palatino Linotype" w:cs="Palatino Linotype"/>
          <w:i/>
          <w:sz w:val="24"/>
          <w:szCs w:val="24"/>
        </w:rPr>
        <w:t xml:space="preserve"> Cualquier autoridad, entidad, órgano y organismo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jurídico colectiva o sindicato que reciba y ejerza recursos públicos o realice actos de autoridad en el ámbito estatal y municipal, que deba cumplir con las obligaciones previstas en la presente Ley;</w:t>
      </w:r>
    </w:p>
    <w:p w14:paraId="5D37D40B" w14:textId="77777777" w:rsidR="0069015B" w:rsidRPr="002E6831" w:rsidRDefault="0069015B" w:rsidP="0069015B">
      <w:pPr>
        <w:spacing w:line="360" w:lineRule="auto"/>
        <w:ind w:right="-787"/>
        <w:rPr>
          <w:rFonts w:ascii="Palatino Linotype" w:eastAsia="Palatino Linotype" w:hAnsi="Palatino Linotype" w:cs="Palatino Linotype"/>
          <w:i/>
          <w:sz w:val="24"/>
          <w:szCs w:val="24"/>
        </w:rPr>
      </w:pPr>
    </w:p>
    <w:p w14:paraId="41CEA0AF"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color w:val="000000"/>
          <w:sz w:val="24"/>
          <w:szCs w:val="24"/>
        </w:rPr>
        <w:t>Ahora</w:t>
      </w:r>
      <w:r w:rsidRPr="002E6831">
        <w:rPr>
          <w:rFonts w:ascii="Palatino Linotype" w:eastAsia="Palatino Linotype" w:hAnsi="Palatino Linotype" w:cs="Palatino Linotype"/>
          <w:sz w:val="24"/>
          <w:szCs w:val="24"/>
        </w:rPr>
        <w:t xml:space="preserve"> bien, el artículo 31 ° de la LEY DE ARCHIVOS Y ADMINISTRACIÓN DE DOCUMENTOS DEL ESTADO DE MÉXICO Y MUNICIPIOS, establece que Cada </w:t>
      </w:r>
      <w:r w:rsidRPr="002E6831">
        <w:rPr>
          <w:rFonts w:ascii="Palatino Linotype" w:eastAsia="Palatino Linotype" w:hAnsi="Palatino Linotype" w:cs="Palatino Linotype"/>
          <w:sz w:val="24"/>
          <w:szCs w:val="24"/>
        </w:rPr>
        <w:lastRenderedPageBreak/>
        <w:t xml:space="preserve">Sujeto Obligado debe contar con un Archivo de Concentración, que tendrá las siguientes funciones: </w:t>
      </w:r>
    </w:p>
    <w:p w14:paraId="2EF728A0"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Asegurar y describir los Fondos Documentales bajo su resguardo, así como la consulta de los Expedientes; </w:t>
      </w:r>
    </w:p>
    <w:p w14:paraId="5ADE4DCD"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Recibir las Transferencias Primarias y brindar servicios de préstamo y consulta a las unidades o áreas administrativas productoras de la documentación que resguarda; </w:t>
      </w:r>
    </w:p>
    <w:p w14:paraId="1D5B9CD9"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b/>
          <w:i/>
          <w:sz w:val="24"/>
          <w:szCs w:val="24"/>
        </w:rPr>
      </w:pPr>
      <w:r w:rsidRPr="002E6831">
        <w:rPr>
          <w:rFonts w:ascii="Palatino Linotype" w:eastAsia="Palatino Linotype" w:hAnsi="Palatino Linotype" w:cs="Palatino Linotype"/>
          <w:b/>
          <w:i/>
          <w:sz w:val="24"/>
          <w:szCs w:val="24"/>
        </w:rPr>
        <w:t xml:space="preserve">Conservar los Expedientes hasta cumplir su Vigencia Documental de acuerdo con lo establecido en el Catálogo de Disposición Documental; </w:t>
      </w:r>
    </w:p>
    <w:p w14:paraId="5E9CEF78"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Colaborar con el Área Coordinadora de Archivos en la elaboración de los Instrumentos de Control Archivístico previstos en esta Ley y en sus disposiciones reglamentarias;</w:t>
      </w:r>
      <w:r w:rsidRPr="002E6831">
        <w:rPr>
          <w:rFonts w:ascii="Palatino Linotype" w:eastAsia="Calibri" w:hAnsi="Palatino Linotype"/>
          <w:sz w:val="24"/>
          <w:szCs w:val="24"/>
        </w:rPr>
        <w:t xml:space="preserve"> </w:t>
      </w:r>
    </w:p>
    <w:p w14:paraId="459BC91A"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Participar con el Área Coordinadora de Archivos en la elaboración de los criterios de Valoración y Disposición Documental; </w:t>
      </w:r>
    </w:p>
    <w:p w14:paraId="047EC39D"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b/>
          <w:i/>
          <w:sz w:val="24"/>
          <w:szCs w:val="24"/>
        </w:rPr>
      </w:pPr>
      <w:r w:rsidRPr="002E6831">
        <w:rPr>
          <w:rFonts w:ascii="Palatino Linotype" w:eastAsia="Palatino Linotype" w:hAnsi="Palatino Linotype" w:cs="Palatino Linotype"/>
          <w:i/>
          <w:sz w:val="24"/>
          <w:szCs w:val="24"/>
        </w:rPr>
        <w:t xml:space="preserve"> </w:t>
      </w:r>
      <w:r w:rsidRPr="002E6831">
        <w:rPr>
          <w:rFonts w:ascii="Palatino Linotype" w:eastAsia="Palatino Linotype" w:hAnsi="Palatino Linotype" w:cs="Palatino Linotype"/>
          <w:b/>
          <w:i/>
          <w:sz w:val="24"/>
          <w:szCs w:val="24"/>
        </w:rPr>
        <w:t xml:space="preserve">Promover la Baja Documental de los Expedientes que integran las Series documentales que hayan cumplido su Vigencia Documental y, en su caso, plazos de conservación y que no posean valores históricos, conforme a las disposiciones jurídicas aplicables; </w:t>
      </w:r>
    </w:p>
    <w:p w14:paraId="0E23175C"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Identificar los Expedientes que integran las Series documentales que hayan cumplido su Vigencia Documental y que cuenten con valores históricos, y que serán transferidos a los Archivos Históricos de los Sujetos Obligados, según corresponda;</w:t>
      </w:r>
    </w:p>
    <w:p w14:paraId="7343D62C"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 Integrar a sus respectivos Expedientes, el registro de los procesos de Disposición Documental, incluyendo dictámenes, actas e inventarios;</w:t>
      </w:r>
    </w:p>
    <w:p w14:paraId="0C7C4734"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Publicar, al final de cada año, los dictámenes y actas de Baja Documental y Transferencia Secundaria, en los términos que establezcan las disposiciones en la materia y conservarlos en el Archivo de Concentración por un periodo mínimo de siete años a partir de la fecha de su elaboración;</w:t>
      </w:r>
    </w:p>
    <w:p w14:paraId="16C45B0D"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lastRenderedPageBreak/>
        <w:t>Realizar la Transferencia Secundaria de las Series documentales que hayan cumplido su Vigencia Documental y posean valores evidenciales, testimoniales e informativos al Archivo Histórico del Sujeto Obligado, o al Archivo General del Estado según corresponda, y</w:t>
      </w:r>
    </w:p>
    <w:p w14:paraId="05E5CE4E" w14:textId="77777777" w:rsidR="0069015B" w:rsidRPr="002E6831" w:rsidRDefault="0069015B" w:rsidP="0069015B">
      <w:pPr>
        <w:numPr>
          <w:ilvl w:val="0"/>
          <w:numId w:val="31"/>
        </w:numPr>
        <w:ind w:left="1134" w:right="900" w:firstLine="6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 xml:space="preserve"> Las que establezca el Consejo Estatal, y las disposiciones jurídicas aplicables.</w:t>
      </w:r>
    </w:p>
    <w:p w14:paraId="5C282BE0" w14:textId="77777777" w:rsidR="0069015B" w:rsidRPr="002E6831" w:rsidRDefault="0069015B" w:rsidP="0069015B">
      <w:pPr>
        <w:ind w:right="-787"/>
        <w:rPr>
          <w:rFonts w:ascii="Palatino Linotype" w:eastAsia="Palatino Linotype" w:hAnsi="Palatino Linotype" w:cs="Palatino Linotype"/>
          <w:sz w:val="24"/>
          <w:szCs w:val="24"/>
        </w:rPr>
      </w:pPr>
    </w:p>
    <w:p w14:paraId="0C280A4B"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En ese sentido, de acuerdo con se elimina palabra los Criterios Técnicos que deberán observar la dependencias y Organismos Auxiliares de la Administración Pública Estatal Para la Elaboración, Actualización, Registro y Validación del Catálogo de Disposición Documental, mismo que refiere en su artículo 8 la vigencia y plazos de conservación documental de la siguiente manera. </w:t>
      </w:r>
    </w:p>
    <w:p w14:paraId="771F9185" w14:textId="77777777" w:rsidR="0069015B" w:rsidRPr="002E6831" w:rsidRDefault="0069015B" w:rsidP="0069015B">
      <w:pPr>
        <w:tabs>
          <w:tab w:val="left" w:pos="851"/>
        </w:tabs>
        <w:ind w:left="1134" w:right="900"/>
        <w:jc w:val="both"/>
        <w:rPr>
          <w:rFonts w:ascii="Palatino Linotype" w:eastAsia="Calibri" w:hAnsi="Palatino Linotype"/>
          <w:i/>
          <w:sz w:val="24"/>
          <w:szCs w:val="24"/>
        </w:rPr>
      </w:pPr>
      <w:r w:rsidRPr="002E6831">
        <w:rPr>
          <w:rFonts w:ascii="Palatino Linotype" w:eastAsia="Palatino Linotype" w:hAnsi="Palatino Linotype" w:cs="Palatino Linotype"/>
          <w:b/>
          <w:i/>
          <w:color w:val="000000"/>
          <w:sz w:val="24"/>
          <w:szCs w:val="24"/>
        </w:rPr>
        <w:t>Artículo 8.</w:t>
      </w:r>
      <w:r w:rsidRPr="002E6831">
        <w:rPr>
          <w:rFonts w:ascii="Palatino Linotype" w:eastAsia="Palatino Linotype" w:hAnsi="Palatino Linotype" w:cs="Palatino Linotype"/>
          <w:i/>
          <w:color w:val="000000"/>
          <w:sz w:val="24"/>
          <w:szCs w:val="24"/>
        </w:rPr>
        <w:t xml:space="preserve"> Para el establecimiento de las vigencias documentales, los plazos de conservación y la disposición final de las series, las dependencias y organismos deberán contemplar el marco normativo bajo el cual se produjeron las series y considerar los periodos de guarda y custodia siguientes:</w:t>
      </w:r>
      <w:r w:rsidRPr="002E6831">
        <w:rPr>
          <w:rFonts w:ascii="Palatino Linotype" w:eastAsia="Calibri" w:hAnsi="Palatino Linotype"/>
          <w:i/>
          <w:sz w:val="24"/>
          <w:szCs w:val="24"/>
        </w:rPr>
        <w:t xml:space="preserve"> </w:t>
      </w:r>
    </w:p>
    <w:p w14:paraId="111E96F4" w14:textId="77777777" w:rsidR="0069015B" w:rsidRPr="002E6831" w:rsidRDefault="0069015B" w:rsidP="0069015B">
      <w:pPr>
        <w:numPr>
          <w:ilvl w:val="0"/>
          <w:numId w:val="30"/>
        </w:numPr>
        <w:tabs>
          <w:tab w:val="left" w:pos="851"/>
        </w:tabs>
        <w:ind w:left="1134" w:right="900" w:firstLine="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2 años como mínimo para expedientes de asuntos concluidos en los archivos de trámite de las unidades administrativas, periodo que se computará a partir del día siguiente a la fecha del documento con el que se dé por concluido el asunto que motivó la integración de cada expediente; </w:t>
      </w:r>
    </w:p>
    <w:p w14:paraId="5D91B707" w14:textId="77777777" w:rsidR="0069015B" w:rsidRPr="002E6831" w:rsidRDefault="0069015B" w:rsidP="0069015B">
      <w:pPr>
        <w:tabs>
          <w:tab w:val="left" w:pos="851"/>
        </w:tabs>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II. 6 años para expedientes de series documentales con valor documental administrativo; </w:t>
      </w:r>
    </w:p>
    <w:p w14:paraId="3A275DB6" w14:textId="77777777" w:rsidR="0069015B" w:rsidRPr="002E6831" w:rsidRDefault="0069015B" w:rsidP="0069015B">
      <w:pPr>
        <w:tabs>
          <w:tab w:val="left" w:pos="851"/>
        </w:tabs>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III. 6 años como mínimo para expedientes de series documentales con valor documental fiscal-contable; </w:t>
      </w:r>
    </w:p>
    <w:p w14:paraId="1342E49D" w14:textId="77777777" w:rsidR="0069015B" w:rsidRPr="002E6831" w:rsidRDefault="0069015B" w:rsidP="0069015B">
      <w:pPr>
        <w:tabs>
          <w:tab w:val="left" w:pos="851"/>
        </w:tabs>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IV. 12 años para expedientes de series documentales con valor documental jurídico-legal; </w:t>
      </w:r>
    </w:p>
    <w:p w14:paraId="0849182E" w14:textId="77777777" w:rsidR="0069015B" w:rsidRPr="002E6831" w:rsidRDefault="0069015B" w:rsidP="0069015B">
      <w:pPr>
        <w:tabs>
          <w:tab w:val="left" w:pos="851"/>
        </w:tabs>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t xml:space="preserve">V. Cuando en la legislación se establezca un tiempo superior al señalado en las fracciones anteriores, se considerará éste para establecer los plazos de conservación de las series. </w:t>
      </w:r>
    </w:p>
    <w:p w14:paraId="77315893" w14:textId="77777777" w:rsidR="0069015B" w:rsidRPr="002E6831" w:rsidRDefault="0069015B" w:rsidP="0069015B">
      <w:pPr>
        <w:tabs>
          <w:tab w:val="left" w:pos="851"/>
        </w:tabs>
        <w:ind w:left="1134" w:right="900"/>
        <w:jc w:val="both"/>
        <w:rPr>
          <w:rFonts w:ascii="Palatino Linotype" w:eastAsia="Palatino Linotype" w:hAnsi="Palatino Linotype" w:cs="Palatino Linotype"/>
          <w:i/>
          <w:color w:val="000000"/>
          <w:sz w:val="24"/>
          <w:szCs w:val="24"/>
        </w:rPr>
      </w:pPr>
      <w:r w:rsidRPr="002E6831">
        <w:rPr>
          <w:rFonts w:ascii="Palatino Linotype" w:eastAsia="Palatino Linotype" w:hAnsi="Palatino Linotype" w:cs="Palatino Linotype"/>
          <w:i/>
          <w:color w:val="000000"/>
          <w:sz w:val="24"/>
          <w:szCs w:val="24"/>
        </w:rPr>
        <w:lastRenderedPageBreak/>
        <w:t>VI. Los plazos de conservación relativos al archivo contable gubernamental se determinarán atendiendo lo señalado en el Código Financiero del Estado de México y Municipios y en las disposiciones establecidas al respecto por la Secretaría de Finanzas del Gobierno del Estado de México y la Secretaría de Hacienda y Crédito Público.</w:t>
      </w:r>
    </w:p>
    <w:p w14:paraId="3B2004A0" w14:textId="77777777" w:rsidR="0069015B" w:rsidRPr="002E6831" w:rsidRDefault="0069015B" w:rsidP="0069015B">
      <w:pPr>
        <w:tabs>
          <w:tab w:val="left" w:pos="851"/>
        </w:tabs>
        <w:ind w:left="1134" w:right="-787"/>
        <w:jc w:val="both"/>
        <w:rPr>
          <w:rFonts w:ascii="Palatino Linotype" w:eastAsia="Palatino Linotype" w:hAnsi="Palatino Linotype" w:cs="Palatino Linotype"/>
          <w:i/>
          <w:color w:val="000000"/>
          <w:sz w:val="24"/>
          <w:szCs w:val="24"/>
        </w:rPr>
      </w:pPr>
    </w:p>
    <w:p w14:paraId="565E4677" w14:textId="77777777"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color w:val="000000"/>
          <w:sz w:val="24"/>
          <w:szCs w:val="24"/>
        </w:rPr>
      </w:pPr>
      <w:r w:rsidRPr="002E6831">
        <w:rPr>
          <w:rFonts w:ascii="Palatino Linotype" w:eastAsia="Palatino Linotype" w:hAnsi="Palatino Linotype" w:cs="Palatino Linotype"/>
          <w:sz w:val="24"/>
          <w:szCs w:val="24"/>
        </w:rPr>
        <w:t>Sirve</w:t>
      </w:r>
      <w:r w:rsidRPr="002E6831">
        <w:rPr>
          <w:rFonts w:ascii="Palatino Linotype" w:eastAsia="Palatino Linotype" w:hAnsi="Palatino Linotype" w:cs="Palatino Linotype"/>
          <w:color w:val="000000"/>
          <w:sz w:val="24"/>
          <w:szCs w:val="24"/>
        </w:rPr>
        <w:t xml:space="preserve"> de apoyo a lo anterior por analogía el criterio 14-09 que emite el Instituto Nacional de Transparencia, Acceso a la Información y Protección de Datos Personales que a la letra dice:</w:t>
      </w:r>
    </w:p>
    <w:p w14:paraId="79C222FC"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b/>
          <w:i/>
          <w:sz w:val="24"/>
          <w:szCs w:val="24"/>
        </w:rPr>
        <w:t>Baja documental</w:t>
      </w:r>
      <w:r w:rsidRPr="002E6831">
        <w:rPr>
          <w:rFonts w:ascii="Palatino Linotype" w:eastAsia="Palatino Linotype" w:hAnsi="Palatino Linotype" w:cs="Palatino Linotype"/>
          <w:i/>
          <w:sz w:val="24"/>
          <w:szCs w:val="24"/>
        </w:rPr>
        <w:t>. Las dependencias y entidades deben proporcionar a los particulares el documento que acredite dicha situación. De conformidad con lo previsto en los artículos 24 y 46 de la Ley Federal de Transparencia y Acceso a la Información Pública Gubernamental 70, fracción V y 78, fracción III de su Reglamento, las dependencias y entidades deberán expedir una resolución que comunique a los solicitantes la inexistencia de la información requerida, en caso de que ésta no sea localizada en los archivos de la dependencia o entidad de que se trate después de una búsqueda exhaustiva. En este supuesto, las dependencias y entidades deberán acompañar a la resolución por la que se confirma la declaración de inexistencia, el acta de baja documental, esto es, el documento mediante la cual se acredita la legal destrucción de la información solicitada, en todos aquellos casos en los que la normatividad en materia archivística prevea que la misma debe existir.</w:t>
      </w:r>
    </w:p>
    <w:p w14:paraId="27C522FF" w14:textId="77777777" w:rsidR="0069015B" w:rsidRPr="002E6831" w:rsidRDefault="0069015B" w:rsidP="0069015B">
      <w:pPr>
        <w:ind w:left="1134" w:right="900"/>
        <w:jc w:val="both"/>
        <w:rPr>
          <w:rFonts w:ascii="Palatino Linotype" w:eastAsia="Palatino Linotype" w:hAnsi="Palatino Linotype" w:cs="Palatino Linotype"/>
          <w:i/>
          <w:sz w:val="24"/>
          <w:szCs w:val="24"/>
        </w:rPr>
      </w:pPr>
    </w:p>
    <w:p w14:paraId="50DC5771"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Expedientes:</w:t>
      </w:r>
    </w:p>
    <w:p w14:paraId="30137CD8"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4650/07 Instituto de Seguridad y Servicios Sociales de los Trabajadores del</w:t>
      </w:r>
    </w:p>
    <w:p w14:paraId="76A9286E"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Estado – Alonso Lujambio Irazábal</w:t>
      </w:r>
    </w:p>
    <w:p w14:paraId="52810C7B"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0908/08 Instituto Mexicano del Seguro Social – Alonso Lujambio Irazábal</w:t>
      </w:r>
    </w:p>
    <w:p w14:paraId="3BC8A2BA"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lastRenderedPageBreak/>
        <w:t>4961/08 Instituto Mexicano del Seguro Social – Alonso Gómez-Robledo V.</w:t>
      </w:r>
    </w:p>
    <w:p w14:paraId="1B177D75"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0820/09  Secretaría de Agricultura, Ganadería, Desarrollo Rural, Pesca y</w:t>
      </w:r>
    </w:p>
    <w:p w14:paraId="6F34BAB5"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Alimentación – Jacqueline Peschard Mariscal</w:t>
      </w:r>
    </w:p>
    <w:p w14:paraId="54EB9D5A"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3928/09 Administración Federal de Servicios Educativos en el Distrito Federal –</w:t>
      </w:r>
    </w:p>
    <w:p w14:paraId="6E00593D" w14:textId="77777777" w:rsidR="0069015B" w:rsidRPr="002E6831" w:rsidRDefault="0069015B" w:rsidP="0069015B">
      <w:pPr>
        <w:ind w:left="1134" w:right="900"/>
        <w:jc w:val="both"/>
        <w:rPr>
          <w:rFonts w:ascii="Palatino Linotype" w:eastAsia="Palatino Linotype" w:hAnsi="Palatino Linotype" w:cs="Palatino Linotype"/>
          <w:i/>
          <w:sz w:val="24"/>
          <w:szCs w:val="24"/>
        </w:rPr>
      </w:pPr>
      <w:r w:rsidRPr="002E6831">
        <w:rPr>
          <w:rFonts w:ascii="Palatino Linotype" w:eastAsia="Palatino Linotype" w:hAnsi="Palatino Linotype" w:cs="Palatino Linotype"/>
          <w:i/>
          <w:sz w:val="24"/>
          <w:szCs w:val="24"/>
        </w:rPr>
        <w:t>María Marván Laborde</w:t>
      </w:r>
    </w:p>
    <w:p w14:paraId="1E6C674F" w14:textId="77777777" w:rsidR="0069015B" w:rsidRPr="002E6831" w:rsidRDefault="0069015B" w:rsidP="0069015B">
      <w:pPr>
        <w:pBdr>
          <w:top w:val="nil"/>
          <w:left w:val="nil"/>
          <w:bottom w:val="nil"/>
          <w:right w:val="nil"/>
          <w:between w:val="nil"/>
        </w:pBdr>
        <w:ind w:left="1134" w:right="-787"/>
        <w:rPr>
          <w:rFonts w:ascii="Palatino Linotype" w:eastAsia="Palatino Linotype" w:hAnsi="Palatino Linotype" w:cs="Palatino Linotype"/>
          <w:color w:val="000000"/>
          <w:sz w:val="24"/>
          <w:szCs w:val="24"/>
        </w:rPr>
      </w:pPr>
    </w:p>
    <w:p w14:paraId="3FC3F5C6" w14:textId="77777777" w:rsidR="0069015B" w:rsidRPr="002E6831" w:rsidRDefault="0069015B" w:rsidP="0069015B">
      <w:pPr>
        <w:ind w:left="1134" w:right="-787"/>
        <w:jc w:val="both"/>
        <w:rPr>
          <w:rFonts w:ascii="Palatino Linotype" w:eastAsia="Palatino Linotype" w:hAnsi="Palatino Linotype" w:cs="Palatino Linotype"/>
          <w:sz w:val="24"/>
          <w:szCs w:val="24"/>
        </w:rPr>
      </w:pPr>
    </w:p>
    <w:p w14:paraId="5BB88FFC" w14:textId="7E5545AF" w:rsidR="0069015B" w:rsidRPr="002E6831" w:rsidRDefault="0069015B" w:rsidP="0069015B">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color w:val="000000"/>
          <w:sz w:val="24"/>
          <w:szCs w:val="24"/>
        </w:rPr>
        <w:t xml:space="preserve">De lo anterior, toda vez que del año dos mil ocho al año dos mil veinticinco, han transcurrido de </w:t>
      </w:r>
      <w:r w:rsidRPr="002E6831">
        <w:rPr>
          <w:rFonts w:ascii="Palatino Linotype" w:eastAsia="Palatino Linotype" w:hAnsi="Palatino Linotype" w:cs="Palatino Linotype"/>
          <w:color w:val="000000"/>
          <w:sz w:val="24"/>
          <w:szCs w:val="24"/>
          <w:u w:val="single"/>
        </w:rPr>
        <w:t>diecisiete años</w:t>
      </w:r>
      <w:r w:rsidRPr="002E6831">
        <w:rPr>
          <w:rFonts w:ascii="Palatino Linotype" w:eastAsia="Palatino Linotype" w:hAnsi="Palatino Linotype" w:cs="Palatino Linotype"/>
          <w:color w:val="000000"/>
          <w:sz w:val="24"/>
          <w:szCs w:val="24"/>
        </w:rPr>
        <w:t xml:space="preserve"> al ingreso de  la fecha de la solicitud de información es que tal y como como ya lo preciso el </w:t>
      </w:r>
      <w:r w:rsidRPr="002E6831">
        <w:rPr>
          <w:rFonts w:ascii="Palatino Linotype" w:eastAsia="Palatino Linotype" w:hAnsi="Palatino Linotype" w:cs="Palatino Linotype"/>
          <w:b/>
          <w:color w:val="000000"/>
          <w:sz w:val="24"/>
          <w:szCs w:val="24"/>
        </w:rPr>
        <w:t xml:space="preserve">SUJETO OBLIGADO </w:t>
      </w:r>
      <w:r w:rsidRPr="002E6831">
        <w:rPr>
          <w:rFonts w:ascii="Palatino Linotype" w:eastAsia="Palatino Linotype" w:hAnsi="Palatino Linotype" w:cs="Palatino Linotype"/>
          <w:color w:val="000000"/>
          <w:sz w:val="24"/>
          <w:szCs w:val="24"/>
        </w:rPr>
        <w:t xml:space="preserve">la información ya no se encuentra en los archivos de la Dirección General de Bienestar que es el área habilitada, por lo que dicha información ya causo baja documental, por lo que, el </w:t>
      </w:r>
      <w:r w:rsidRPr="002E6831">
        <w:rPr>
          <w:rFonts w:ascii="Palatino Linotype" w:eastAsia="Palatino Linotype" w:hAnsi="Palatino Linotype" w:cs="Palatino Linotype"/>
          <w:b/>
          <w:color w:val="000000"/>
          <w:sz w:val="24"/>
          <w:szCs w:val="24"/>
        </w:rPr>
        <w:t xml:space="preserve">SUJETO OBLIGADO </w:t>
      </w:r>
      <w:r w:rsidRPr="002E6831">
        <w:rPr>
          <w:rFonts w:ascii="Palatino Linotype" w:eastAsia="Palatino Linotype" w:hAnsi="Palatino Linotype" w:cs="Palatino Linotype"/>
          <w:color w:val="000000"/>
          <w:sz w:val="24"/>
          <w:szCs w:val="24"/>
        </w:rPr>
        <w:t xml:space="preserve">deberá de emitir el Acuerdo de Inexistencia en términos de </w:t>
      </w:r>
      <w:r w:rsidRPr="002E6831">
        <w:rPr>
          <w:rFonts w:ascii="Palatino Linotype" w:eastAsia="Palatino Linotype" w:hAnsi="Palatino Linotype" w:cs="Palatino Linotype"/>
          <w:sz w:val="24"/>
          <w:szCs w:val="24"/>
        </w:rPr>
        <w:t>los artículos 49, fracciones II y XIII, 169 y 170 de la Ley de Transparencia y Acceso a la Información Pública del Estado de México y Municipios que al respecto emita su Comité de Transparencia, acompañado del acta de baja documental.</w:t>
      </w:r>
    </w:p>
    <w:p w14:paraId="52789555" w14:textId="77777777" w:rsidR="0069015B" w:rsidRPr="002E6831" w:rsidRDefault="0069015B" w:rsidP="0069015B">
      <w:pPr>
        <w:pBdr>
          <w:top w:val="nil"/>
          <w:left w:val="nil"/>
          <w:bottom w:val="nil"/>
          <w:right w:val="nil"/>
          <w:between w:val="nil"/>
        </w:pBdr>
        <w:tabs>
          <w:tab w:val="left" w:pos="0"/>
        </w:tabs>
        <w:spacing w:line="360" w:lineRule="auto"/>
        <w:ind w:right="49"/>
        <w:jc w:val="both"/>
        <w:rPr>
          <w:rFonts w:ascii="Palatino Linotype" w:eastAsia="Palatino Linotype" w:hAnsi="Palatino Linotype" w:cs="Palatino Linotype"/>
          <w:i/>
          <w:color w:val="000000"/>
          <w:sz w:val="24"/>
          <w:szCs w:val="24"/>
        </w:rPr>
      </w:pPr>
    </w:p>
    <w:p w14:paraId="7705AF19" w14:textId="77777777" w:rsidR="0069015B" w:rsidRPr="002E6831" w:rsidRDefault="0069015B" w:rsidP="0069015B">
      <w:pPr>
        <w:pBdr>
          <w:top w:val="nil"/>
          <w:left w:val="nil"/>
          <w:bottom w:val="nil"/>
          <w:right w:val="nil"/>
          <w:between w:val="nil"/>
        </w:pBdr>
        <w:ind w:left="720"/>
        <w:rPr>
          <w:rFonts w:ascii="Palatino Linotype" w:eastAsia="Palatino Linotype" w:hAnsi="Palatino Linotype" w:cs="Palatino Linotype"/>
          <w:color w:val="000000"/>
          <w:sz w:val="24"/>
          <w:szCs w:val="24"/>
        </w:rPr>
      </w:pPr>
    </w:p>
    <w:p w14:paraId="301B4E64"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t>QUINTO</w:t>
      </w:r>
      <w:r w:rsidRPr="002E6831">
        <w:rPr>
          <w:rFonts w:ascii="Palatino Linotype" w:eastAsia="Palatino Linotype" w:hAnsi="Palatino Linotype" w:cs="Palatino Linotype"/>
          <w:sz w:val="24"/>
          <w:szCs w:val="24"/>
        </w:rPr>
        <w:t xml:space="preserve">. </w:t>
      </w:r>
      <w:r w:rsidRPr="002E6831">
        <w:rPr>
          <w:rFonts w:ascii="Palatino Linotype" w:eastAsia="Palatino Linotype" w:hAnsi="Palatino Linotype" w:cs="Palatino Linotype"/>
          <w:b/>
          <w:sz w:val="24"/>
          <w:szCs w:val="24"/>
        </w:rPr>
        <w:t>Vista a la Secretaría Técnica del Pleno</w:t>
      </w:r>
    </w:p>
    <w:p w14:paraId="54F89681"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b/>
          <w:sz w:val="24"/>
          <w:szCs w:val="24"/>
        </w:rPr>
      </w:pPr>
    </w:p>
    <w:p w14:paraId="229B12FE"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En el caso en estudio, ha quedado acreditado que el Ayuntamiento de Toluca omitió dar respuesta en el plazo señalado en el artículo 163 de la Ley de Transparencia y Acceso a la Información Pública del Estado de México y Municipios. </w:t>
      </w:r>
    </w:p>
    <w:p w14:paraId="32346ABF" w14:textId="77777777" w:rsidR="0069015B" w:rsidRPr="002E6831" w:rsidRDefault="0069015B" w:rsidP="0069015B">
      <w:pPr>
        <w:spacing w:line="360" w:lineRule="auto"/>
        <w:rPr>
          <w:rFonts w:ascii="Palatino Linotype" w:hAnsi="Palatino Linotype"/>
          <w:sz w:val="24"/>
          <w:szCs w:val="24"/>
        </w:rPr>
      </w:pPr>
    </w:p>
    <w:p w14:paraId="1FEFFE60"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Al respecto, el artículo 36, fracción X, del ordenamiento jurídico en cita, establece que es atribución de este Instituto hacer del conocimiento al Área competente de cada Sujeto Obligado las infracciones a esta Ley. </w:t>
      </w:r>
    </w:p>
    <w:p w14:paraId="54FE6C4F" w14:textId="77777777" w:rsidR="0069015B" w:rsidRPr="002E6831" w:rsidRDefault="0069015B" w:rsidP="0069015B">
      <w:pPr>
        <w:spacing w:line="360" w:lineRule="auto"/>
        <w:ind w:right="-93"/>
        <w:rPr>
          <w:rFonts w:ascii="Palatino Linotype" w:hAnsi="Palatino Linotype"/>
          <w:sz w:val="24"/>
          <w:szCs w:val="24"/>
        </w:rPr>
      </w:pPr>
    </w:p>
    <w:p w14:paraId="3F8DFED2"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En ese sentido, de conformidad con lo previsto en el artículo 222, fracción II, de dicho ordenamiento, son causas de responsabilidad administrativa los incumplimientos de las obligaciones establecida en la Ley de la materia, entre otras conductas, la falta de respuesta a las solicitudes de información en los plazos señalados, a saber, dentro de los quince días siguientes a la presentación del requerimiento. </w:t>
      </w:r>
    </w:p>
    <w:p w14:paraId="45759C40" w14:textId="77777777" w:rsidR="0069015B" w:rsidRPr="002E6831" w:rsidRDefault="0069015B" w:rsidP="0069015B">
      <w:pPr>
        <w:spacing w:line="360" w:lineRule="auto"/>
        <w:ind w:right="-93"/>
        <w:rPr>
          <w:rFonts w:ascii="Palatino Linotype" w:hAnsi="Palatino Linotype"/>
          <w:sz w:val="24"/>
          <w:szCs w:val="24"/>
        </w:rPr>
      </w:pPr>
    </w:p>
    <w:p w14:paraId="4BF8148C"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Por su parte, el artículo 223 de la Ley de Transparencia y Acceso a la Información Pública del Estado de México y Municipios, prevé que este Instituto deberá dar vista al Área competente, con el fin de que determine el grado de responsabilidad de los servidores públicos que incumplan con las obligaciones establecidas en la Ley. </w:t>
      </w:r>
    </w:p>
    <w:p w14:paraId="07391BC6" w14:textId="77777777" w:rsidR="0069015B" w:rsidRPr="002E6831" w:rsidRDefault="0069015B" w:rsidP="0069015B">
      <w:pPr>
        <w:spacing w:line="360" w:lineRule="auto"/>
        <w:ind w:right="-93"/>
        <w:rPr>
          <w:rFonts w:ascii="Palatino Linotype" w:hAnsi="Palatino Linotype"/>
          <w:sz w:val="24"/>
          <w:szCs w:val="24"/>
        </w:rPr>
      </w:pPr>
    </w:p>
    <w:p w14:paraId="34EB3766"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 xml:space="preserve">En ese contexto, la fracción XXVII, del artículo 19, del Reglamento Interior del Instituto de Transparencia, Acceso a la Información Pública y Protección de Datos Personales del Estado de México y Municipios, establece que es función de la Secretaría Técnica del Pleno, remitir al Órgano Interno de Control de los Sujetos </w:t>
      </w:r>
      <w:r w:rsidRPr="002E6831">
        <w:rPr>
          <w:rFonts w:ascii="Palatino Linotype" w:eastAsia="Palatino Linotype" w:hAnsi="Palatino Linotype" w:cs="Palatino Linotype"/>
          <w:sz w:val="24"/>
          <w:szCs w:val="24"/>
        </w:rPr>
        <w:lastRenderedPageBreak/>
        <w:t>Obligados, las presuntas infracciones cometidas en el marco de la Ley de la materia, para la promoción de responsabilidades y sanciones.</w:t>
      </w:r>
    </w:p>
    <w:p w14:paraId="3EB90DEF" w14:textId="77777777" w:rsidR="0069015B" w:rsidRPr="002E6831" w:rsidRDefault="0069015B" w:rsidP="0069015B">
      <w:pPr>
        <w:spacing w:line="360" w:lineRule="auto"/>
        <w:ind w:right="-93"/>
        <w:rPr>
          <w:rFonts w:ascii="Palatino Linotype" w:hAnsi="Palatino Linotype"/>
          <w:sz w:val="24"/>
          <w:szCs w:val="24"/>
        </w:rPr>
      </w:pPr>
    </w:p>
    <w:p w14:paraId="5C586769"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Sobre el particular, si bien, la presente resolución no tiene por objetivo investigar y determinar posibles violaciones al derecho de acceso a la información, toda vez que este Organismo Autónomo, advirtió la falta de respuesta del Sujeto Obligado, se considera procedente dar vista a la Secretaría Técnica de este Instituto, para que realice lo conducente.</w:t>
      </w:r>
    </w:p>
    <w:p w14:paraId="4683FBF7" w14:textId="77777777" w:rsidR="0069015B" w:rsidRPr="002E6831" w:rsidRDefault="0069015B" w:rsidP="0069015B">
      <w:pPr>
        <w:pBdr>
          <w:top w:val="nil"/>
          <w:left w:val="nil"/>
          <w:bottom w:val="nil"/>
          <w:right w:val="nil"/>
          <w:between w:val="nil"/>
        </w:pBdr>
        <w:spacing w:line="360" w:lineRule="auto"/>
        <w:jc w:val="both"/>
        <w:rPr>
          <w:rFonts w:ascii="Palatino Linotype" w:eastAsia="Palatino Linotype" w:hAnsi="Palatino Linotype" w:cs="Palatino Linotype"/>
          <w:sz w:val="24"/>
          <w:szCs w:val="24"/>
        </w:rPr>
      </w:pPr>
    </w:p>
    <w:p w14:paraId="5065FDE2" w14:textId="77777777" w:rsidR="0069015B" w:rsidRPr="002E6831" w:rsidRDefault="0069015B" w:rsidP="00220ED2">
      <w:pPr>
        <w:numPr>
          <w:ilvl w:val="0"/>
          <w:numId w:val="3"/>
        </w:numPr>
        <w:tabs>
          <w:tab w:val="left" w:pos="426"/>
        </w:tabs>
        <w:spacing w:line="360" w:lineRule="auto"/>
        <w:ind w:left="0" w:firstLine="0"/>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Por lo anteriormente expuesto y fundado, este ÓRGANO GARANTE emite los siguientes:</w:t>
      </w:r>
    </w:p>
    <w:p w14:paraId="73C9A80E" w14:textId="77777777" w:rsidR="0069015B" w:rsidRPr="002E6831" w:rsidRDefault="0069015B" w:rsidP="0069015B">
      <w:pPr>
        <w:rPr>
          <w:rFonts w:ascii="Palatino Linotype" w:eastAsia="Palatino Linotype" w:hAnsi="Palatino Linotype" w:cs="Palatino Linotype"/>
          <w:color w:val="000000"/>
          <w:sz w:val="24"/>
          <w:szCs w:val="24"/>
        </w:rPr>
      </w:pPr>
      <w:bookmarkStart w:id="10" w:name="_heading=h.lnxbz9" w:colFirst="0" w:colLast="0"/>
      <w:bookmarkEnd w:id="10"/>
    </w:p>
    <w:p w14:paraId="1A4122F0" w14:textId="77777777" w:rsidR="0069015B" w:rsidRPr="002E6831" w:rsidRDefault="0069015B" w:rsidP="0069015B">
      <w:pPr>
        <w:pStyle w:val="Ttulo1"/>
        <w:jc w:val="center"/>
        <w:rPr>
          <w:rFonts w:ascii="Palatino Linotype" w:eastAsia="Palatino Linotype" w:hAnsi="Palatino Linotype" w:cs="Palatino Linotype"/>
          <w:b/>
          <w:color w:val="000000"/>
          <w:sz w:val="24"/>
          <w:szCs w:val="24"/>
        </w:rPr>
      </w:pPr>
      <w:r w:rsidRPr="002E6831">
        <w:rPr>
          <w:rFonts w:ascii="Palatino Linotype" w:eastAsia="Palatino Linotype" w:hAnsi="Palatino Linotype" w:cs="Palatino Linotype"/>
          <w:b/>
          <w:color w:val="000000"/>
          <w:sz w:val="24"/>
          <w:szCs w:val="24"/>
        </w:rPr>
        <w:t>R E S O L U T I V O S</w:t>
      </w:r>
    </w:p>
    <w:p w14:paraId="4FE622C9" w14:textId="77777777" w:rsidR="0069015B" w:rsidRPr="002E6831" w:rsidRDefault="0069015B" w:rsidP="0069015B">
      <w:pPr>
        <w:tabs>
          <w:tab w:val="left" w:pos="284"/>
        </w:tabs>
        <w:spacing w:line="360" w:lineRule="auto"/>
        <w:jc w:val="both"/>
        <w:rPr>
          <w:rFonts w:ascii="Palatino Linotype" w:eastAsia="Palatino Linotype" w:hAnsi="Palatino Linotype" w:cs="Palatino Linotype"/>
          <w:b/>
          <w:sz w:val="24"/>
          <w:szCs w:val="24"/>
        </w:rPr>
      </w:pPr>
    </w:p>
    <w:p w14:paraId="4AD14B71" w14:textId="7AEBC197" w:rsidR="0069015B" w:rsidRPr="002E6831" w:rsidRDefault="0069015B" w:rsidP="0069015B">
      <w:pPr>
        <w:tabs>
          <w:tab w:val="left" w:pos="284"/>
        </w:tabs>
        <w:spacing w:line="360" w:lineRule="auto"/>
        <w:jc w:val="both"/>
        <w:rPr>
          <w:rFonts w:ascii="Palatino Linotype" w:eastAsia="Palatino Linotype" w:hAnsi="Palatino Linotype" w:cs="Palatino Linotype"/>
          <w:b/>
          <w:sz w:val="24"/>
          <w:szCs w:val="24"/>
        </w:rPr>
      </w:pPr>
      <w:r w:rsidRPr="002E6831">
        <w:rPr>
          <w:rFonts w:ascii="Palatino Linotype" w:eastAsia="Palatino Linotype" w:hAnsi="Palatino Linotype" w:cs="Palatino Linotype"/>
          <w:b/>
          <w:sz w:val="24"/>
          <w:szCs w:val="24"/>
        </w:rPr>
        <w:t xml:space="preserve">PRIMERO. </w:t>
      </w:r>
      <w:r w:rsidRPr="002E6831">
        <w:rPr>
          <w:rFonts w:ascii="Palatino Linotype" w:eastAsia="Palatino Linotype" w:hAnsi="Palatino Linotype" w:cs="Palatino Linotype"/>
          <w:sz w:val="24"/>
          <w:szCs w:val="24"/>
        </w:rPr>
        <w:t>Resultan fundadas las</w:t>
      </w:r>
      <w:r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sz w:val="24"/>
          <w:szCs w:val="24"/>
        </w:rPr>
        <w:t xml:space="preserve">razones o motivos de inconformidad hechos valer en el recurso de revisión </w:t>
      </w:r>
      <w:r w:rsidRPr="002E6831">
        <w:rPr>
          <w:rFonts w:ascii="Palatino Linotype" w:eastAsia="Palatino Linotype" w:hAnsi="Palatino Linotype" w:cs="Palatino Linotype"/>
          <w:b/>
          <w:sz w:val="24"/>
          <w:szCs w:val="24"/>
        </w:rPr>
        <w:t>00603/INFOEM/IP/RR/2025</w:t>
      </w:r>
      <w:r w:rsidR="00E440A6" w:rsidRPr="002E6831">
        <w:rPr>
          <w:rFonts w:ascii="Palatino Linotype" w:eastAsia="Palatino Linotype" w:hAnsi="Palatino Linotype" w:cs="Palatino Linotype"/>
          <w:b/>
          <w:sz w:val="24"/>
          <w:szCs w:val="24"/>
        </w:rPr>
        <w:t xml:space="preserve"> </w:t>
      </w:r>
      <w:r w:rsidRPr="002E6831">
        <w:rPr>
          <w:rFonts w:ascii="Palatino Linotype" w:eastAsia="Palatino Linotype" w:hAnsi="Palatino Linotype" w:cs="Palatino Linotype"/>
          <w:sz w:val="24"/>
          <w:szCs w:val="24"/>
        </w:rPr>
        <w:t xml:space="preserve">en términos de los </w:t>
      </w:r>
      <w:r w:rsidRPr="002E6831">
        <w:rPr>
          <w:rFonts w:ascii="Palatino Linotype" w:eastAsia="Palatino Linotype" w:hAnsi="Palatino Linotype" w:cs="Palatino Linotype"/>
          <w:b/>
          <w:sz w:val="24"/>
          <w:szCs w:val="24"/>
        </w:rPr>
        <w:t xml:space="preserve">Considerando CUARTO </w:t>
      </w:r>
      <w:r w:rsidRPr="002E6831">
        <w:rPr>
          <w:rFonts w:ascii="Palatino Linotype" w:eastAsia="Palatino Linotype" w:hAnsi="Palatino Linotype" w:cs="Palatino Linotype"/>
          <w:sz w:val="24"/>
          <w:szCs w:val="24"/>
        </w:rPr>
        <w:t>de la presente resolución.</w:t>
      </w:r>
    </w:p>
    <w:p w14:paraId="5A480065" w14:textId="77777777" w:rsidR="0069015B" w:rsidRPr="002E6831" w:rsidRDefault="0069015B" w:rsidP="0069015B">
      <w:pPr>
        <w:tabs>
          <w:tab w:val="left" w:pos="284"/>
        </w:tabs>
        <w:spacing w:line="360" w:lineRule="auto"/>
        <w:jc w:val="both"/>
        <w:rPr>
          <w:rFonts w:ascii="Palatino Linotype" w:eastAsia="Palatino Linotype" w:hAnsi="Palatino Linotype" w:cs="Palatino Linotype"/>
          <w:sz w:val="24"/>
          <w:szCs w:val="24"/>
        </w:rPr>
      </w:pPr>
    </w:p>
    <w:p w14:paraId="1744146F" w14:textId="77777777" w:rsidR="0069015B" w:rsidRPr="002E6831" w:rsidRDefault="0069015B" w:rsidP="0069015B">
      <w:pPr>
        <w:tabs>
          <w:tab w:val="left" w:pos="284"/>
        </w:tabs>
        <w:spacing w:line="360" w:lineRule="auto"/>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b/>
          <w:sz w:val="24"/>
          <w:szCs w:val="24"/>
        </w:rPr>
        <w:t xml:space="preserve">SEGUNDO. </w:t>
      </w:r>
      <w:r w:rsidRPr="002E6831">
        <w:rPr>
          <w:rFonts w:ascii="Palatino Linotype" w:eastAsia="Palatino Linotype" w:hAnsi="Palatino Linotype" w:cs="Palatino Linotype"/>
          <w:sz w:val="24"/>
          <w:szCs w:val="24"/>
        </w:rPr>
        <w:t xml:space="preserve">Se </w:t>
      </w:r>
      <w:r w:rsidRPr="002E6831">
        <w:rPr>
          <w:rFonts w:ascii="Palatino Linotype" w:eastAsia="Palatino Linotype" w:hAnsi="Palatino Linotype" w:cs="Palatino Linotype"/>
          <w:b/>
          <w:sz w:val="24"/>
          <w:szCs w:val="24"/>
        </w:rPr>
        <w:t xml:space="preserve">ORDENA </w:t>
      </w:r>
      <w:r w:rsidRPr="002E6831">
        <w:rPr>
          <w:rFonts w:ascii="Palatino Linotype" w:eastAsia="Palatino Linotype" w:hAnsi="Palatino Linotype" w:cs="Palatino Linotype"/>
          <w:sz w:val="24"/>
          <w:szCs w:val="24"/>
        </w:rPr>
        <w:t xml:space="preserve">al </w:t>
      </w:r>
      <w:r w:rsidRPr="002E6831">
        <w:rPr>
          <w:rFonts w:ascii="Palatino Linotype" w:eastAsia="Palatino Linotype" w:hAnsi="Palatino Linotype" w:cs="Palatino Linotype"/>
          <w:b/>
          <w:sz w:val="24"/>
          <w:szCs w:val="24"/>
        </w:rPr>
        <w:t xml:space="preserve">Ayuntamiento de Toluca </w:t>
      </w:r>
      <w:r w:rsidRPr="002E6831">
        <w:rPr>
          <w:rFonts w:ascii="Palatino Linotype" w:eastAsia="Palatino Linotype" w:hAnsi="Palatino Linotype" w:cs="Palatino Linotype"/>
          <w:sz w:val="24"/>
          <w:szCs w:val="24"/>
        </w:rPr>
        <w:t xml:space="preserve">entregar vía Sistema de Acceso a la Información Mexiquense </w:t>
      </w:r>
      <w:r w:rsidRPr="002E6831">
        <w:rPr>
          <w:rFonts w:ascii="Palatino Linotype" w:eastAsia="Palatino Linotype" w:hAnsi="Palatino Linotype" w:cs="Palatino Linotype"/>
          <w:b/>
          <w:sz w:val="24"/>
          <w:szCs w:val="24"/>
        </w:rPr>
        <w:t>(SAIMEX)</w:t>
      </w:r>
      <w:r w:rsidRPr="002E6831">
        <w:rPr>
          <w:rFonts w:ascii="Palatino Linotype" w:eastAsia="Palatino Linotype" w:hAnsi="Palatino Linotype" w:cs="Palatino Linotype"/>
          <w:sz w:val="24"/>
          <w:szCs w:val="24"/>
        </w:rPr>
        <w:t xml:space="preserve">, la siguiente información. </w:t>
      </w:r>
    </w:p>
    <w:p w14:paraId="07FB5AF1" w14:textId="77777777" w:rsidR="0069015B" w:rsidRPr="002E6831" w:rsidRDefault="0069015B" w:rsidP="0069015B">
      <w:pPr>
        <w:spacing w:line="360" w:lineRule="auto"/>
        <w:jc w:val="both"/>
        <w:rPr>
          <w:rFonts w:ascii="Palatino Linotype" w:eastAsia="Palatino Linotype" w:hAnsi="Palatino Linotype" w:cs="Palatino Linotype"/>
          <w:b/>
          <w:sz w:val="24"/>
          <w:szCs w:val="24"/>
        </w:rPr>
      </w:pPr>
    </w:p>
    <w:p w14:paraId="50DC9070" w14:textId="7A57F4B8" w:rsidR="0069015B" w:rsidRPr="002E6831" w:rsidRDefault="0069015B" w:rsidP="00220ED2">
      <w:pPr>
        <w:numPr>
          <w:ilvl w:val="0"/>
          <w:numId w:val="33"/>
        </w:numPr>
        <w:pBdr>
          <w:top w:val="nil"/>
          <w:left w:val="nil"/>
          <w:bottom w:val="nil"/>
          <w:right w:val="nil"/>
          <w:between w:val="nil"/>
        </w:pBdr>
        <w:spacing w:after="160" w:line="360" w:lineRule="auto"/>
        <w:ind w:right="680"/>
        <w:jc w:val="both"/>
        <w:rPr>
          <w:rFonts w:ascii="Palatino Linotype" w:eastAsia="Calibri" w:hAnsi="Palatino Linotype"/>
          <w:b/>
          <w:color w:val="000000"/>
          <w:sz w:val="24"/>
          <w:szCs w:val="24"/>
        </w:rPr>
      </w:pPr>
      <w:r w:rsidRPr="002E6831">
        <w:rPr>
          <w:rFonts w:ascii="Palatino Linotype" w:eastAsia="Palatino Linotype" w:hAnsi="Palatino Linotype" w:cs="Palatino Linotype"/>
          <w:b/>
          <w:color w:val="000000"/>
          <w:sz w:val="24"/>
          <w:szCs w:val="24"/>
        </w:rPr>
        <w:lastRenderedPageBreak/>
        <w:t>Acuerdo del Comité de Transparencia en el que de manera fundada y motivada d</w:t>
      </w:r>
      <w:bookmarkStart w:id="11" w:name="_GoBack"/>
      <w:bookmarkEnd w:id="11"/>
      <w:r w:rsidRPr="002E6831">
        <w:rPr>
          <w:rFonts w:ascii="Palatino Linotype" w:eastAsia="Palatino Linotype" w:hAnsi="Palatino Linotype" w:cs="Palatino Linotype"/>
          <w:b/>
          <w:color w:val="000000"/>
          <w:sz w:val="24"/>
          <w:szCs w:val="24"/>
        </w:rPr>
        <w:t>eclare la inexistencia de los oficios firmados por el Director de Desarrollo Social en funcion</w:t>
      </w:r>
      <w:r w:rsidR="00957D4C" w:rsidRPr="002E6831">
        <w:rPr>
          <w:rFonts w:ascii="Palatino Linotype" w:eastAsia="Palatino Linotype" w:hAnsi="Palatino Linotype" w:cs="Palatino Linotype"/>
          <w:b/>
          <w:color w:val="000000"/>
          <w:sz w:val="24"/>
          <w:szCs w:val="24"/>
        </w:rPr>
        <w:t>es durante el año dos mil ocho,</w:t>
      </w:r>
      <w:r w:rsidR="004F431E" w:rsidRPr="002E6831">
        <w:rPr>
          <w:rFonts w:ascii="Palatino Linotype" w:eastAsia="Palatino Linotype" w:hAnsi="Palatino Linotype" w:cs="Palatino Linotype"/>
          <w:b/>
          <w:color w:val="000000"/>
          <w:sz w:val="24"/>
          <w:szCs w:val="24"/>
        </w:rPr>
        <w:t xml:space="preserve"> </w:t>
      </w:r>
      <w:r w:rsidRPr="002E6831">
        <w:rPr>
          <w:rFonts w:ascii="Palatino Linotype" w:eastAsia="Palatino Linotype" w:hAnsi="Palatino Linotype" w:cs="Palatino Linotype"/>
          <w:b/>
          <w:color w:val="000000"/>
          <w:sz w:val="24"/>
          <w:szCs w:val="24"/>
        </w:rPr>
        <w:t xml:space="preserve">en términos de los artículos 49, fracciones II y XIII, 169 y 170 de la Ley de Transparencia y Acceso a la Información Pública del Estado de México y Municipios. </w:t>
      </w:r>
    </w:p>
    <w:p w14:paraId="389DFE11" w14:textId="77777777" w:rsidR="0069015B" w:rsidRPr="002E6831" w:rsidRDefault="0069015B" w:rsidP="0069015B">
      <w:pPr>
        <w:tabs>
          <w:tab w:val="left" w:pos="284"/>
        </w:tabs>
        <w:spacing w:line="360" w:lineRule="auto"/>
        <w:jc w:val="both"/>
        <w:rPr>
          <w:rFonts w:ascii="Palatino Linotype" w:eastAsia="Palatino Linotype" w:hAnsi="Palatino Linotype" w:cs="Palatino Linotype"/>
          <w:sz w:val="24"/>
          <w:szCs w:val="24"/>
        </w:rPr>
      </w:pPr>
    </w:p>
    <w:p w14:paraId="2028A2CD" w14:textId="77777777" w:rsidR="0069015B" w:rsidRPr="002E6831" w:rsidRDefault="0069015B" w:rsidP="0069015B">
      <w:pPr>
        <w:tabs>
          <w:tab w:val="left" w:pos="284"/>
          <w:tab w:val="left" w:pos="8080"/>
        </w:tabs>
        <w:spacing w:line="360" w:lineRule="auto"/>
        <w:ind w:right="49"/>
        <w:jc w:val="both"/>
        <w:rPr>
          <w:rFonts w:ascii="Palatino Linotype" w:eastAsia="Palatino Linotype" w:hAnsi="Palatino Linotype" w:cs="Palatino Linotype"/>
          <w:color w:val="222222"/>
          <w:sz w:val="24"/>
          <w:szCs w:val="24"/>
        </w:rPr>
      </w:pPr>
      <w:r w:rsidRPr="002E6831">
        <w:rPr>
          <w:rFonts w:ascii="Palatino Linotype" w:eastAsia="Palatino Linotype" w:hAnsi="Palatino Linotype" w:cs="Palatino Linotype"/>
          <w:b/>
          <w:sz w:val="24"/>
          <w:szCs w:val="24"/>
        </w:rPr>
        <w:t xml:space="preserve">TERCERO. </w:t>
      </w:r>
      <w:r w:rsidRPr="002E6831">
        <w:rPr>
          <w:rFonts w:ascii="Palatino Linotype" w:eastAsia="Palatino Linotype" w:hAnsi="Palatino Linotype" w:cs="Palatino Linotype"/>
          <w:b/>
          <w:color w:val="222222"/>
          <w:sz w:val="24"/>
          <w:szCs w:val="24"/>
        </w:rPr>
        <w:t>NOTIFÍQUESE</w:t>
      </w:r>
      <w:r w:rsidRPr="002E6831">
        <w:rPr>
          <w:rFonts w:ascii="Palatino Linotype" w:eastAsia="Palatino Linotype" w:hAnsi="Palatino Linotype" w:cs="Palatino Linotype"/>
          <w:color w:val="222222"/>
          <w:sz w:val="24"/>
          <w:szCs w:val="24"/>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sidRPr="002E6831">
        <w:rPr>
          <w:rFonts w:ascii="Palatino Linotype" w:eastAsia="Palatino Linotype" w:hAnsi="Palatino Linotype" w:cs="Palatino Linotype"/>
          <w:b/>
          <w:color w:val="222222"/>
          <w:sz w:val="24"/>
          <w:szCs w:val="24"/>
        </w:rPr>
        <w:t>dé cumplimiento a lo ordenado dentro del plazo de diez días hábiles</w:t>
      </w:r>
      <w:r w:rsidRPr="002E6831">
        <w:rPr>
          <w:rFonts w:ascii="Palatino Linotype" w:eastAsia="Palatino Linotype" w:hAnsi="Palatino Linotype" w:cs="Palatino Linotype"/>
          <w:color w:val="222222"/>
          <w:sz w:val="24"/>
          <w:szCs w:val="24"/>
        </w:rPr>
        <w:t>,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51FA5708" w14:textId="77777777" w:rsidR="0069015B" w:rsidRPr="002E6831" w:rsidRDefault="0069015B" w:rsidP="0069015B">
      <w:pPr>
        <w:tabs>
          <w:tab w:val="left" w:pos="284"/>
          <w:tab w:val="left" w:pos="8080"/>
        </w:tabs>
        <w:spacing w:line="360" w:lineRule="auto"/>
        <w:ind w:right="49"/>
        <w:jc w:val="both"/>
        <w:rPr>
          <w:rFonts w:ascii="Palatino Linotype" w:eastAsia="Palatino Linotype" w:hAnsi="Palatino Linotype" w:cs="Palatino Linotype"/>
          <w:color w:val="222222"/>
          <w:sz w:val="24"/>
          <w:szCs w:val="24"/>
        </w:rPr>
      </w:pPr>
    </w:p>
    <w:p w14:paraId="0BE9AF77" w14:textId="77777777" w:rsidR="0069015B" w:rsidRPr="002E6831" w:rsidRDefault="0069015B" w:rsidP="0069015B">
      <w:pPr>
        <w:tabs>
          <w:tab w:val="left" w:pos="8080"/>
        </w:tabs>
        <w:spacing w:line="360" w:lineRule="auto"/>
        <w:ind w:right="49"/>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b/>
          <w:sz w:val="24"/>
          <w:szCs w:val="24"/>
        </w:rPr>
        <w:t xml:space="preserve">CUARTO. </w:t>
      </w:r>
      <w:r w:rsidRPr="002E6831">
        <w:rPr>
          <w:rFonts w:ascii="Palatino Linotype" w:eastAsia="Palatino Linotype" w:hAnsi="Palatino Linotype" w:cs="Palatino Linotype"/>
          <w:sz w:val="24"/>
          <w:szCs w:val="24"/>
        </w:rPr>
        <w:t xml:space="preserve">Notifíquese a </w:t>
      </w:r>
      <w:r w:rsidRPr="002E6831">
        <w:rPr>
          <w:rFonts w:ascii="Palatino Linotype" w:eastAsia="Palatino Linotype" w:hAnsi="Palatino Linotype" w:cs="Palatino Linotype"/>
          <w:b/>
          <w:sz w:val="24"/>
          <w:szCs w:val="24"/>
        </w:rPr>
        <w:t>EL RECURRENTE</w:t>
      </w:r>
      <w:r w:rsidRPr="002E6831">
        <w:rPr>
          <w:rFonts w:ascii="Palatino Linotype" w:eastAsia="Palatino Linotype" w:hAnsi="Palatino Linotype" w:cs="Palatino Linotype"/>
          <w:sz w:val="24"/>
          <w:szCs w:val="24"/>
        </w:rPr>
        <w:t xml:space="preserve"> la presente resolución, vía SAIMEX.</w:t>
      </w:r>
    </w:p>
    <w:p w14:paraId="1EFD2EBE" w14:textId="77777777" w:rsidR="0069015B" w:rsidRPr="002E6831" w:rsidRDefault="0069015B" w:rsidP="0069015B">
      <w:pPr>
        <w:shd w:val="clear" w:color="auto" w:fill="FFFFFF"/>
        <w:spacing w:line="360" w:lineRule="auto"/>
        <w:jc w:val="both"/>
        <w:rPr>
          <w:rFonts w:ascii="Palatino Linotype" w:eastAsia="Palatino Linotype" w:hAnsi="Palatino Linotype" w:cs="Palatino Linotype"/>
          <w:sz w:val="24"/>
          <w:szCs w:val="24"/>
        </w:rPr>
      </w:pPr>
    </w:p>
    <w:p w14:paraId="71F6DF93" w14:textId="77777777" w:rsidR="0069015B" w:rsidRPr="002E6831" w:rsidRDefault="0069015B" w:rsidP="0069015B">
      <w:pPr>
        <w:spacing w:line="360" w:lineRule="auto"/>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b/>
          <w:sz w:val="24"/>
          <w:szCs w:val="24"/>
        </w:rPr>
        <w:t xml:space="preserve">QUINTO. Gírese </w:t>
      </w:r>
      <w:r w:rsidRPr="002E6831">
        <w:rPr>
          <w:rFonts w:ascii="Palatino Linotype" w:eastAsia="Palatino Linotype" w:hAnsi="Palatino Linotype" w:cs="Palatino Linotype"/>
          <w:sz w:val="24"/>
          <w:szCs w:val="24"/>
        </w:rPr>
        <w:t xml:space="preserve">oficio a la Secretaría Técnica del Pleno de este Instituto para hacer del conocimiento del Órgano Interno de Control competente la presente resolución, a </w:t>
      </w:r>
      <w:r w:rsidRPr="002E6831">
        <w:rPr>
          <w:rFonts w:ascii="Palatino Linotype" w:eastAsia="Palatino Linotype" w:hAnsi="Palatino Linotype" w:cs="Palatino Linotype"/>
          <w:sz w:val="24"/>
          <w:szCs w:val="24"/>
        </w:rPr>
        <w:lastRenderedPageBreak/>
        <w:t xml:space="preserve">fin de que de conformidad con el artículo 190 de la Ley de Transparencia y Acceso a la Información Pública del Estado de México y Municipios se determine lo conducente, en términos de lo señalado en el Considerando </w:t>
      </w:r>
      <w:r w:rsidRPr="002E6831">
        <w:rPr>
          <w:rFonts w:ascii="Palatino Linotype" w:eastAsia="Palatino Linotype" w:hAnsi="Palatino Linotype" w:cs="Palatino Linotype"/>
          <w:b/>
          <w:sz w:val="24"/>
          <w:szCs w:val="24"/>
        </w:rPr>
        <w:t>CUARTO</w:t>
      </w:r>
      <w:r w:rsidRPr="002E6831">
        <w:rPr>
          <w:rFonts w:ascii="Palatino Linotype" w:eastAsia="Palatino Linotype" w:hAnsi="Palatino Linotype" w:cs="Palatino Linotype"/>
          <w:sz w:val="24"/>
          <w:szCs w:val="24"/>
        </w:rPr>
        <w:t xml:space="preserve"> de la presente resolución.</w:t>
      </w:r>
    </w:p>
    <w:p w14:paraId="26EBFF38" w14:textId="77777777" w:rsidR="0069015B" w:rsidRPr="002E6831" w:rsidRDefault="0069015B" w:rsidP="0069015B">
      <w:pPr>
        <w:shd w:val="clear" w:color="auto" w:fill="FFFFFF"/>
        <w:spacing w:line="360" w:lineRule="auto"/>
        <w:jc w:val="both"/>
        <w:rPr>
          <w:rFonts w:ascii="Palatino Linotype" w:eastAsia="Palatino Linotype" w:hAnsi="Palatino Linotype" w:cs="Palatino Linotype"/>
          <w:sz w:val="8"/>
          <w:szCs w:val="24"/>
        </w:rPr>
      </w:pPr>
    </w:p>
    <w:p w14:paraId="46AAC1B6" w14:textId="77777777" w:rsidR="0069015B" w:rsidRPr="002E6831" w:rsidRDefault="0069015B" w:rsidP="0069015B">
      <w:pPr>
        <w:shd w:val="clear" w:color="auto" w:fill="FFFFFF"/>
        <w:spacing w:line="360" w:lineRule="auto"/>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b/>
          <w:sz w:val="24"/>
          <w:szCs w:val="24"/>
        </w:rPr>
        <w:t>SEXTO</w:t>
      </w:r>
      <w:r w:rsidRPr="002E6831">
        <w:rPr>
          <w:rFonts w:ascii="Palatino Linotype" w:eastAsia="Palatino Linotype" w:hAnsi="Palatino Linotype" w:cs="Palatino Linotype"/>
          <w:sz w:val="24"/>
          <w:szCs w:val="24"/>
        </w:rPr>
        <w:t xml:space="preserve">. Hágase del conocimiento del </w:t>
      </w:r>
      <w:r w:rsidRPr="002E6831">
        <w:rPr>
          <w:rFonts w:ascii="Palatino Linotype" w:eastAsia="Palatino Linotype" w:hAnsi="Palatino Linotype" w:cs="Palatino Linotype"/>
          <w:b/>
          <w:sz w:val="24"/>
          <w:szCs w:val="24"/>
        </w:rPr>
        <w:t>RECURRENTE</w:t>
      </w:r>
      <w:r w:rsidRPr="002E6831">
        <w:rPr>
          <w:rFonts w:ascii="Palatino Linotype" w:eastAsia="Palatino Linotype" w:hAnsi="Palatino Linotype" w:cs="Palatino Linotype"/>
          <w:sz w:val="24"/>
          <w:szCs w:val="24"/>
        </w:rPr>
        <w:t xml:space="preserve"> que la respuesta que dé </w:t>
      </w:r>
      <w:r w:rsidRPr="002E6831">
        <w:rPr>
          <w:rFonts w:ascii="Palatino Linotype" w:eastAsia="Palatino Linotype" w:hAnsi="Palatino Linotype" w:cs="Palatino Linotype"/>
          <w:b/>
          <w:sz w:val="24"/>
          <w:szCs w:val="24"/>
        </w:rPr>
        <w:t>EL SUJETO OBLIGADO</w:t>
      </w:r>
      <w:r w:rsidRPr="002E6831">
        <w:rPr>
          <w:rFonts w:ascii="Palatino Linotype" w:eastAsia="Palatino Linotype" w:hAnsi="Palatino Linotype" w:cs="Palatino Linotype"/>
          <w:sz w:val="24"/>
          <w:szCs w:val="24"/>
        </w:rPr>
        <w:t xml:space="preserve"> derivada de la presente resolución es susceptible de ser impugnada nuevamente, mediante recurso de revisión, ante el Instituto, en términos del artículo 179, último párrafo de la Ley de Transparencia y Acceso a la Información Pública del Estado de México y Municipios.</w:t>
      </w:r>
      <w:r w:rsidRPr="002E6831">
        <w:rPr>
          <w:rFonts w:ascii="Palatino Linotype" w:eastAsia="Palatino Linotype" w:hAnsi="Palatino Linotype" w:cs="Palatino Linotype"/>
          <w:sz w:val="24"/>
          <w:szCs w:val="24"/>
        </w:rPr>
        <w:tab/>
      </w:r>
    </w:p>
    <w:p w14:paraId="62A51682" w14:textId="77777777" w:rsidR="00E440A6" w:rsidRPr="002E6831" w:rsidRDefault="00E440A6" w:rsidP="0069015B">
      <w:pPr>
        <w:shd w:val="clear" w:color="auto" w:fill="FFFFFF"/>
        <w:spacing w:line="360" w:lineRule="auto"/>
        <w:jc w:val="both"/>
        <w:rPr>
          <w:rFonts w:ascii="Palatino Linotype" w:eastAsia="Palatino Linotype" w:hAnsi="Palatino Linotype" w:cs="Palatino Linotype"/>
          <w:sz w:val="8"/>
          <w:szCs w:val="24"/>
        </w:rPr>
      </w:pPr>
    </w:p>
    <w:p w14:paraId="57EEB817" w14:textId="24A17111" w:rsidR="0069015B" w:rsidRPr="002E6831" w:rsidRDefault="00E440A6" w:rsidP="002E6831">
      <w:pPr>
        <w:shd w:val="clear" w:color="auto" w:fill="FFFFFF"/>
        <w:spacing w:line="360" w:lineRule="auto"/>
        <w:ind w:right="113"/>
        <w:jc w:val="both"/>
        <w:rPr>
          <w:rFonts w:ascii="Palatino Linotype" w:eastAsia="Palatino Linotype" w:hAnsi="Palatino Linotype" w:cs="Palatino Linotype"/>
          <w:color w:val="000000"/>
          <w:sz w:val="24"/>
          <w:szCs w:val="24"/>
        </w:rPr>
      </w:pPr>
      <w:r w:rsidRPr="002E6831">
        <w:rPr>
          <w:rFonts w:ascii="Palatino Linotype" w:eastAsia="Palatino Linotype" w:hAnsi="Palatino Linotype" w:cs="Palatino Linotype"/>
          <w:b/>
          <w:sz w:val="24"/>
          <w:szCs w:val="24"/>
        </w:rPr>
        <w:t xml:space="preserve">SÉPTIMO. </w:t>
      </w:r>
      <w:r w:rsidRPr="002E6831">
        <w:rPr>
          <w:rFonts w:ascii="Palatino Linotype" w:eastAsia="Palatino Linotype" w:hAnsi="Palatino Linotype" w:cs="Palatino Linotype"/>
          <w:color w:val="000000"/>
          <w:sz w:val="24"/>
          <w:szCs w:val="24"/>
        </w:rPr>
        <w:t xml:space="preserve">Se hace del conocimiento de </w:t>
      </w:r>
      <w:r w:rsidRPr="002E6831">
        <w:rPr>
          <w:rFonts w:ascii="Palatino Linotype" w:eastAsia="Palatino Linotype" w:hAnsi="Palatino Linotype" w:cs="Palatino Linotype"/>
          <w:b/>
          <w:color w:val="000000"/>
          <w:sz w:val="24"/>
          <w:szCs w:val="24"/>
        </w:rPr>
        <w:t>EL RECURRENTE</w:t>
      </w:r>
      <w:r w:rsidRPr="002E6831">
        <w:rPr>
          <w:rFonts w:ascii="Palatino Linotype" w:eastAsia="Palatino Linotype" w:hAnsi="Palatino Linotype" w:cs="Palatino Linotype"/>
          <w:color w:val="000000"/>
          <w:sz w:val="24"/>
          <w:szCs w:val="24"/>
        </w:rPr>
        <w:t xml:space="preserve"> que, de conformidad con lo establecido en el artículo 196 de la Ley de Transparencia y Acceso a la Información Pública del Estado de México y Municipios, en caso de que considere que la resolución le cause algún perjuicio podrá </w:t>
      </w:r>
      <w:r w:rsidRPr="002E6831">
        <w:rPr>
          <w:rFonts w:ascii="Palatino Linotype" w:eastAsia="Palatino Linotype" w:hAnsi="Palatino Linotype" w:cs="Palatino Linotype"/>
          <w:sz w:val="24"/>
          <w:szCs w:val="24"/>
        </w:rPr>
        <w:t>impugnar vía</w:t>
      </w:r>
      <w:r w:rsidRPr="002E6831">
        <w:rPr>
          <w:rFonts w:ascii="Palatino Linotype" w:eastAsia="Palatino Linotype" w:hAnsi="Palatino Linotype" w:cs="Palatino Linotype"/>
          <w:color w:val="000000"/>
          <w:sz w:val="24"/>
          <w:szCs w:val="24"/>
        </w:rPr>
        <w:t xml:space="preserve"> juicio de amparo en los términos de las leyes aplicables.</w:t>
      </w:r>
    </w:p>
    <w:p w14:paraId="7C192CCF" w14:textId="113EED88" w:rsidR="0069015B" w:rsidRPr="0012793B" w:rsidRDefault="0012793B" w:rsidP="002E6831">
      <w:pPr>
        <w:spacing w:before="240" w:after="240" w:line="276" w:lineRule="auto"/>
        <w:jc w:val="both"/>
        <w:rPr>
          <w:rFonts w:ascii="Palatino Linotype" w:eastAsia="Palatino Linotype" w:hAnsi="Palatino Linotype" w:cs="Palatino Linotype"/>
          <w:sz w:val="24"/>
          <w:szCs w:val="24"/>
        </w:rPr>
      </w:pPr>
      <w:r w:rsidRPr="002E6831">
        <w:rPr>
          <w:rFonts w:ascii="Palatino Linotype" w:eastAsia="Palatino Linotype" w:hAnsi="Palatino Linotype" w:cs="Palatino Linotype"/>
          <w:sz w:val="24"/>
          <w:szCs w:val="24"/>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DÉCIMA PRIMERA SESIÓN ORDINARIA, CELEBRADA EL VEINTISÉIS (26) DE MARZO DE DOS MIL VEINTICINCO, ANTE EL SECRETARIO TÉCNICO DEL PLENO ALEXIS TAPIA RAMÍREZ.</w:t>
      </w:r>
    </w:p>
    <w:p w14:paraId="6CD8F4F6" w14:textId="77777777" w:rsidR="0069015B" w:rsidRPr="0012793B" w:rsidRDefault="0069015B" w:rsidP="0069015B">
      <w:pPr>
        <w:spacing w:line="360" w:lineRule="auto"/>
        <w:jc w:val="both"/>
        <w:rPr>
          <w:rFonts w:ascii="Palatino Linotype" w:eastAsia="Palatino Linotype" w:hAnsi="Palatino Linotype" w:cs="Palatino Linotype"/>
          <w:sz w:val="24"/>
          <w:szCs w:val="24"/>
        </w:rPr>
      </w:pPr>
    </w:p>
    <w:p w14:paraId="5A3A73A2" w14:textId="77777777" w:rsidR="0069015B" w:rsidRPr="0012793B" w:rsidRDefault="0069015B" w:rsidP="0069015B">
      <w:pPr>
        <w:spacing w:line="360" w:lineRule="auto"/>
        <w:jc w:val="both"/>
        <w:rPr>
          <w:rFonts w:ascii="Palatino Linotype" w:eastAsia="Palatino Linotype" w:hAnsi="Palatino Linotype" w:cs="Palatino Linotype"/>
          <w:sz w:val="24"/>
          <w:szCs w:val="24"/>
        </w:rPr>
      </w:pPr>
    </w:p>
    <w:p w14:paraId="0F72E7D8" w14:textId="77777777" w:rsidR="0069015B" w:rsidRPr="0012793B" w:rsidRDefault="0069015B" w:rsidP="0069015B">
      <w:pPr>
        <w:spacing w:line="360" w:lineRule="auto"/>
        <w:jc w:val="both"/>
        <w:rPr>
          <w:rFonts w:ascii="Palatino Linotype" w:eastAsia="Palatino Linotype" w:hAnsi="Palatino Linotype" w:cs="Palatino Linotype"/>
          <w:sz w:val="24"/>
          <w:szCs w:val="24"/>
        </w:rPr>
      </w:pPr>
    </w:p>
    <w:p w14:paraId="463502B7"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7AB5F7A0"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31E9AA77"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6C3D5C16"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0902B56D"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47F6CCC5"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621A87EB" w14:textId="77777777" w:rsidR="0069015B" w:rsidRPr="0012793B" w:rsidRDefault="0069015B" w:rsidP="0069015B">
      <w:pPr>
        <w:spacing w:line="360" w:lineRule="auto"/>
        <w:rPr>
          <w:rFonts w:ascii="Palatino Linotype" w:eastAsia="Palatino Linotype" w:hAnsi="Palatino Linotype" w:cs="Palatino Linotype"/>
          <w:sz w:val="24"/>
          <w:szCs w:val="24"/>
        </w:rPr>
      </w:pPr>
    </w:p>
    <w:p w14:paraId="17E344F5" w14:textId="12BD3168" w:rsidR="00810AA9" w:rsidRPr="002E6831" w:rsidRDefault="00810AA9" w:rsidP="002E6831">
      <w:pPr>
        <w:tabs>
          <w:tab w:val="left" w:pos="3374"/>
        </w:tabs>
        <w:spacing w:line="360" w:lineRule="auto"/>
        <w:rPr>
          <w:rFonts w:ascii="Palatino Linotype" w:eastAsia="Palatino Linotype" w:hAnsi="Palatino Linotype" w:cs="Palatino Linotype"/>
          <w:sz w:val="24"/>
          <w:szCs w:val="24"/>
        </w:rPr>
      </w:pPr>
      <w:bookmarkStart w:id="12" w:name="_heading=h.3dy6vkm" w:colFirst="0" w:colLast="0"/>
      <w:bookmarkEnd w:id="12"/>
    </w:p>
    <w:sectPr w:rsidR="00810AA9" w:rsidRPr="002E6831">
      <w:headerReference w:type="even" r:id="rId9"/>
      <w:headerReference w:type="default" r:id="rId10"/>
      <w:footerReference w:type="default" r:id="rId11"/>
      <w:headerReference w:type="first" r:id="rId12"/>
      <w:footerReference w:type="first" r:id="rId13"/>
      <w:type w:val="continuous"/>
      <w:pgSz w:w="12240" w:h="15840"/>
      <w:pgMar w:top="80" w:right="1608" w:bottom="1418" w:left="1588" w:header="709" w:footer="73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9478E1" w14:textId="77777777" w:rsidR="00DC2C09" w:rsidRDefault="00DC2C09">
      <w:r>
        <w:separator/>
      </w:r>
    </w:p>
  </w:endnote>
  <w:endnote w:type="continuationSeparator" w:id="0">
    <w:p w14:paraId="1B2F0475" w14:textId="77777777" w:rsidR="00DC2C09" w:rsidRDefault="00DC2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等线 Light">
    <w:panose1 w:val="00000000000000000000"/>
    <w:charset w:val="80"/>
    <w:family w:val="roman"/>
    <w:notTrueType/>
    <w:pitch w:val="default"/>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等线">
    <w:panose1 w:val="00000000000000000000"/>
    <w:charset w:val="80"/>
    <w:family w:val="roman"/>
    <w:notTrueType/>
    <w:pitch w:val="default"/>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980448"/>
      <w:docPartObj>
        <w:docPartGallery w:val="AutoText"/>
      </w:docPartObj>
    </w:sdtPr>
    <w:sdtEndPr/>
    <w:sdtContent>
      <w:sdt>
        <w:sdtPr>
          <w:id w:val="935561987"/>
          <w:docPartObj>
            <w:docPartGallery w:val="AutoText"/>
          </w:docPartObj>
        </w:sdtPr>
        <w:sdtEndPr/>
        <w:sdtContent>
          <w:p w14:paraId="2020A581" w14:textId="42058121" w:rsidR="00823FBA" w:rsidRDefault="00823FBA">
            <w:pPr>
              <w:pStyle w:val="Piedepgina"/>
              <w:jc w:val="right"/>
            </w:pPr>
          </w:p>
          <w:p w14:paraId="1F7A191C" w14:textId="2A69F491" w:rsidR="00823FBA" w:rsidRDefault="00823FBA">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2E6831">
              <w:rPr>
                <w:b/>
                <w:bCs/>
                <w:noProof/>
              </w:rPr>
              <w:t>29</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2E6831">
              <w:rPr>
                <w:b/>
                <w:bCs/>
                <w:noProof/>
              </w:rPr>
              <w:t>30</w:t>
            </w:r>
            <w:r>
              <w:rPr>
                <w:b/>
                <w:bCs/>
                <w:sz w:val="24"/>
                <w:szCs w:val="24"/>
              </w:rPr>
              <w:fldChar w:fldCharType="end"/>
            </w:r>
          </w:p>
        </w:sdtContent>
      </w:sdt>
    </w:sdtContent>
  </w:sdt>
  <w:p w14:paraId="2A221972" w14:textId="77777777" w:rsidR="00823FBA" w:rsidRDefault="00823FBA">
    <w:pPr>
      <w:pStyle w:val="Piedepgina"/>
    </w:pPr>
  </w:p>
  <w:p w14:paraId="1D6FF208" w14:textId="77777777" w:rsidR="00823FBA" w:rsidRDefault="00823FBA"/>
  <w:p w14:paraId="70055CD7" w14:textId="77777777" w:rsidR="00823FBA" w:rsidRDefault="00823FBA"/>
  <w:p w14:paraId="5452645F" w14:textId="77777777" w:rsidR="00823FBA" w:rsidRDefault="00823FB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1533840"/>
      <w:docPartObj>
        <w:docPartGallery w:val="AutoText"/>
      </w:docPartObj>
    </w:sdtPr>
    <w:sdtEndPr/>
    <w:sdtContent>
      <w:sdt>
        <w:sdtPr>
          <w:id w:val="1068300638"/>
          <w:docPartObj>
            <w:docPartGallery w:val="AutoText"/>
          </w:docPartObj>
        </w:sdtPr>
        <w:sdtEndPr/>
        <w:sdtContent>
          <w:p w14:paraId="696399DD" w14:textId="598BCC50" w:rsidR="00823FBA" w:rsidRDefault="00823FBA">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2E6831">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2E6831">
              <w:rPr>
                <w:b/>
                <w:bCs/>
                <w:noProof/>
              </w:rPr>
              <w:t>30</w:t>
            </w:r>
            <w:r>
              <w:rPr>
                <w:b/>
                <w:bCs/>
                <w:sz w:val="24"/>
                <w:szCs w:val="24"/>
              </w:rPr>
              <w:fldChar w:fldCharType="end"/>
            </w:r>
          </w:p>
        </w:sdtContent>
      </w:sdt>
    </w:sdtContent>
  </w:sdt>
  <w:p w14:paraId="2D12AEB2" w14:textId="77777777" w:rsidR="00823FBA" w:rsidRDefault="00823FBA">
    <w:pPr>
      <w:pStyle w:val="Piedepgina"/>
    </w:pPr>
  </w:p>
  <w:p w14:paraId="54227169" w14:textId="77777777" w:rsidR="00823FBA" w:rsidRDefault="00823FBA"/>
  <w:p w14:paraId="7DE40FB1" w14:textId="77777777" w:rsidR="00823FBA" w:rsidRDefault="00823FBA"/>
  <w:p w14:paraId="33755E87" w14:textId="77777777" w:rsidR="00823FBA" w:rsidRDefault="00823FB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8D9EA6" w14:textId="77777777" w:rsidR="00DC2C09" w:rsidRDefault="00DC2C09">
      <w:r>
        <w:separator/>
      </w:r>
    </w:p>
  </w:footnote>
  <w:footnote w:type="continuationSeparator" w:id="0">
    <w:p w14:paraId="30299771" w14:textId="77777777" w:rsidR="00DC2C09" w:rsidRDefault="00DC2C09">
      <w:r>
        <w:continuationSeparator/>
      </w:r>
    </w:p>
  </w:footnote>
  <w:footnote w:id="1">
    <w:p w14:paraId="1AAA5A5E" w14:textId="77777777" w:rsidR="0069015B" w:rsidRDefault="0069015B" w:rsidP="0069015B">
      <w:pPr>
        <w:pBdr>
          <w:top w:val="nil"/>
          <w:left w:val="nil"/>
          <w:bottom w:val="nil"/>
          <w:right w:val="nil"/>
          <w:between w:val="nil"/>
        </w:pBdr>
        <w:rPr>
          <w:rFonts w:eastAsia="Calibri"/>
          <w:color w:val="000000"/>
        </w:rPr>
      </w:pPr>
      <w:r>
        <w:rPr>
          <w:vertAlign w:val="superscript"/>
        </w:rPr>
        <w:footnoteRef/>
      </w:r>
      <w:r>
        <w:rPr>
          <w:rFonts w:eastAsia="Calibri"/>
          <w:color w:val="000000"/>
        </w:rPr>
        <w:t xml:space="preserve"> Convención Americana sobre Derechos Humanos. Artículo 13.</w:t>
      </w:r>
    </w:p>
  </w:footnote>
  <w:footnote w:id="2">
    <w:p w14:paraId="1459807F" w14:textId="77777777" w:rsidR="0069015B" w:rsidRDefault="0069015B" w:rsidP="0069015B">
      <w:pPr>
        <w:pBdr>
          <w:top w:val="nil"/>
          <w:left w:val="nil"/>
          <w:bottom w:val="nil"/>
          <w:right w:val="nil"/>
          <w:between w:val="nil"/>
        </w:pBdr>
        <w:rPr>
          <w:rFonts w:eastAsia="Calibri"/>
          <w:color w:val="000000"/>
        </w:rPr>
      </w:pPr>
      <w:r>
        <w:rPr>
          <w:vertAlign w:val="superscript"/>
        </w:rPr>
        <w:footnoteRef/>
      </w:r>
      <w:r>
        <w:rPr>
          <w:rFonts w:eastAsia="Calibri"/>
          <w:color w:val="000000"/>
        </w:rPr>
        <w:t xml:space="preserve"> Constitución Política de los Estados Unidos Mexicanos. Artículo sexto, sección A, fracción I.</w:t>
      </w:r>
    </w:p>
  </w:footnote>
  <w:footnote w:id="3">
    <w:p w14:paraId="48A35264" w14:textId="77777777" w:rsidR="0069015B" w:rsidRDefault="0069015B" w:rsidP="0069015B">
      <w:pPr>
        <w:pBdr>
          <w:top w:val="nil"/>
          <w:left w:val="nil"/>
          <w:bottom w:val="nil"/>
          <w:right w:val="nil"/>
          <w:between w:val="nil"/>
        </w:pBdr>
        <w:rPr>
          <w:rFonts w:eastAsia="Calibri"/>
          <w:color w:val="000000"/>
        </w:rPr>
      </w:pPr>
      <w:r>
        <w:rPr>
          <w:vertAlign w:val="superscript"/>
        </w:rPr>
        <w:footnoteRef/>
      </w:r>
      <w:r>
        <w:rPr>
          <w:rFonts w:eastAsia="Calibri"/>
          <w:color w:val="000000"/>
        </w:rPr>
        <w:t xml:space="preserve"> Corte Interamericana de Derechos Humanos. Caso Claude Reyes y otros vs. Chile. Sentencia de 19 de septiembre de 2006. Serie C. No. 151. Párr. 86.</w:t>
      </w:r>
    </w:p>
  </w:footnote>
  <w:footnote w:id="4">
    <w:p w14:paraId="3C9CA064" w14:textId="77777777" w:rsidR="0069015B" w:rsidRDefault="0069015B" w:rsidP="0069015B">
      <w:pPr>
        <w:pBdr>
          <w:top w:val="nil"/>
          <w:left w:val="nil"/>
          <w:bottom w:val="nil"/>
          <w:right w:val="nil"/>
          <w:between w:val="nil"/>
        </w:pBdr>
        <w:rPr>
          <w:rFonts w:eastAsia="Calibri"/>
          <w:color w:val="000000"/>
        </w:rPr>
      </w:pPr>
      <w:r>
        <w:rPr>
          <w:vertAlign w:val="superscript"/>
        </w:rPr>
        <w:footnoteRef/>
      </w:r>
      <w:r>
        <w:rPr>
          <w:rFonts w:eastAsia="Calibri"/>
          <w:color w:val="000000"/>
        </w:rPr>
        <w:t xml:space="preserve"> Ibídem. Parr. 87.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70EE7" w14:textId="0AFD4CA4" w:rsidR="00823FBA" w:rsidRDefault="00DC2C09">
    <w:pPr>
      <w:pStyle w:val="Encabezado"/>
    </w:pPr>
    <w:r>
      <w:rPr>
        <w:noProof/>
        <w:lang w:eastAsia="es-MX"/>
      </w:rPr>
      <w:pict w14:anchorId="2893F8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27053610" o:spid="_x0000_s2060" type="#_x0000_t75" alt="" style="position:absolute;margin-left:0;margin-top:0;width:663.5pt;height:12in;z-index:-251657216;mso-wrap-edited:f;mso-width-percent:0;mso-height-percent:0;mso-position-horizontal:center;mso-position-horizontal-relative:margin;mso-position-vertical:center;mso-position-vertical-relative:margin;mso-width-percent:0;mso-height-percent:0" o:allowincell="f">
          <v:imagedata r:id="rId1" o:title="marcaaguaINFOEM"/>
          <w10:wrap anchorx="margin" anchory="margin"/>
        </v:shape>
      </w:pict>
    </w:r>
  </w:p>
  <w:p w14:paraId="133C4830" w14:textId="77777777" w:rsidR="00823FBA" w:rsidRDefault="00823FBA"/>
  <w:p w14:paraId="77B719CE" w14:textId="77777777" w:rsidR="00823FBA" w:rsidRDefault="00823FBA"/>
  <w:p w14:paraId="50A3AAAA" w14:textId="77777777" w:rsidR="00823FBA" w:rsidRDefault="00823FB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356" w:type="dxa"/>
      <w:tblLayout w:type="fixed"/>
      <w:tblLook w:val="04A0" w:firstRow="1" w:lastRow="0" w:firstColumn="1" w:lastColumn="0" w:noHBand="0" w:noVBand="1"/>
    </w:tblPr>
    <w:tblGrid>
      <w:gridCol w:w="1843"/>
      <w:gridCol w:w="7513"/>
    </w:tblGrid>
    <w:tr w:rsidR="00823FBA" w14:paraId="6255E3A4" w14:textId="77777777" w:rsidTr="00814079">
      <w:trPr>
        <w:trHeight w:val="1435"/>
      </w:trPr>
      <w:tc>
        <w:tcPr>
          <w:tcW w:w="1843" w:type="dxa"/>
          <w:shd w:val="clear" w:color="auto" w:fill="auto"/>
        </w:tcPr>
        <w:p w14:paraId="3E05202F" w14:textId="4A7C9DF8" w:rsidR="00823FBA" w:rsidRDefault="00823FBA">
          <w:pPr>
            <w:tabs>
              <w:tab w:val="right" w:pos="4273"/>
            </w:tabs>
            <w:rPr>
              <w:rFonts w:ascii="Garamond" w:eastAsia="Calibri" w:hAnsi="Garamond"/>
              <w:sz w:val="16"/>
              <w:szCs w:val="16"/>
              <w:lang w:eastAsia="en-US"/>
            </w:rPr>
          </w:pPr>
          <w:r>
            <w:rPr>
              <w:rFonts w:ascii="Garamond" w:eastAsia="Calibri" w:hAnsi="Garamond"/>
              <w:sz w:val="16"/>
              <w:szCs w:val="16"/>
              <w:lang w:eastAsia="en-US"/>
            </w:rPr>
            <w:t xml:space="preserve"> </w:t>
          </w:r>
        </w:p>
      </w:tc>
      <w:tc>
        <w:tcPr>
          <w:tcW w:w="7513" w:type="dxa"/>
          <w:shd w:val="clear" w:color="auto" w:fill="auto"/>
        </w:tcPr>
        <w:p w14:paraId="65B08C7B" w14:textId="77777777" w:rsidR="00823FBA" w:rsidRDefault="00823FBA"/>
        <w:tbl>
          <w:tblPr>
            <w:tblStyle w:val="Tablaconcuadrcula"/>
            <w:tblW w:w="5811" w:type="dxa"/>
            <w:tblInd w:w="1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1"/>
            <w:gridCol w:w="3260"/>
          </w:tblGrid>
          <w:tr w:rsidR="00823FBA" w:rsidRPr="007E6F52" w14:paraId="727F90BF" w14:textId="77777777" w:rsidTr="007E6F52">
            <w:trPr>
              <w:trHeight w:val="338"/>
            </w:trPr>
            <w:tc>
              <w:tcPr>
                <w:tcW w:w="2551" w:type="dxa"/>
              </w:tcPr>
              <w:p w14:paraId="410A3741" w14:textId="535C9D39" w:rsidR="00823FBA" w:rsidRPr="007E6F52" w:rsidRDefault="00823FBA">
                <w:pPr>
                  <w:tabs>
                    <w:tab w:val="right" w:pos="8838"/>
                  </w:tabs>
                  <w:ind w:right="-105"/>
                  <w:rPr>
                    <w:rFonts w:ascii="Palatino Linotype" w:eastAsia="Calibri" w:hAnsi="Palatino Linotype" w:cs="Tahoma"/>
                    <w:b/>
                    <w:sz w:val="22"/>
                    <w:lang w:eastAsia="en-US"/>
                  </w:rPr>
                </w:pPr>
                <w:r w:rsidRPr="007E6F52">
                  <w:rPr>
                    <w:rFonts w:ascii="Palatino Linotype" w:eastAsia="Calibri" w:hAnsi="Palatino Linotype" w:cs="Tahoma"/>
                    <w:b/>
                    <w:sz w:val="22"/>
                    <w:lang w:eastAsia="en-US"/>
                  </w:rPr>
                  <w:t>Recurso de Revisión:</w:t>
                </w:r>
              </w:p>
            </w:tc>
            <w:tc>
              <w:tcPr>
                <w:tcW w:w="3260" w:type="dxa"/>
              </w:tcPr>
              <w:p w14:paraId="3FF69A05" w14:textId="2920CBBF" w:rsidR="00823FBA" w:rsidRPr="007E6F52" w:rsidRDefault="00823FBA" w:rsidP="001C6110">
                <w:pPr>
                  <w:tabs>
                    <w:tab w:val="right" w:pos="8838"/>
                  </w:tabs>
                  <w:ind w:right="-105"/>
                  <w:jc w:val="both"/>
                  <w:rPr>
                    <w:rFonts w:ascii="Palatino Linotype" w:eastAsia="Calibri" w:hAnsi="Palatino Linotype" w:cs="Tahoma"/>
                    <w:b/>
                    <w:sz w:val="22"/>
                    <w:lang w:eastAsia="en-US"/>
                  </w:rPr>
                </w:pPr>
                <w:r w:rsidRPr="00823FBA">
                  <w:rPr>
                    <w:rFonts w:ascii="Palatino Linotype" w:eastAsia="Calibri" w:hAnsi="Palatino Linotype" w:cs="Tahoma"/>
                    <w:b/>
                    <w:sz w:val="22"/>
                    <w:lang w:eastAsia="en-US"/>
                  </w:rPr>
                  <w:t>00603/INFOEM/IP/RR/2025</w:t>
                </w:r>
              </w:p>
            </w:tc>
          </w:tr>
          <w:tr w:rsidR="00823FBA" w:rsidRPr="007E6F52" w14:paraId="1389436A" w14:textId="128385F2" w:rsidTr="007E6F52">
            <w:trPr>
              <w:trHeight w:val="283"/>
            </w:trPr>
            <w:tc>
              <w:tcPr>
                <w:tcW w:w="2551" w:type="dxa"/>
              </w:tcPr>
              <w:p w14:paraId="22E0F4E9" w14:textId="77777777" w:rsidR="00823FBA" w:rsidRPr="007E6F52" w:rsidRDefault="00823FBA">
                <w:pPr>
                  <w:tabs>
                    <w:tab w:val="right" w:pos="8838"/>
                  </w:tabs>
                  <w:ind w:right="-105"/>
                  <w:rPr>
                    <w:rFonts w:ascii="Palatino Linotype" w:eastAsia="Calibri" w:hAnsi="Palatino Linotype" w:cs="Tahoma"/>
                    <w:b/>
                    <w:sz w:val="22"/>
                    <w:lang w:eastAsia="en-US"/>
                  </w:rPr>
                </w:pPr>
                <w:bookmarkStart w:id="13" w:name="_Hlk33010189"/>
                <w:r w:rsidRPr="007E6F52">
                  <w:rPr>
                    <w:rFonts w:ascii="Palatino Linotype" w:eastAsia="Calibri" w:hAnsi="Palatino Linotype" w:cs="Tahoma"/>
                    <w:b/>
                    <w:sz w:val="22"/>
                    <w:lang w:eastAsia="en-US"/>
                  </w:rPr>
                  <w:t>Sujeto Obligado:</w:t>
                </w:r>
              </w:p>
            </w:tc>
            <w:tc>
              <w:tcPr>
                <w:tcW w:w="3260" w:type="dxa"/>
              </w:tcPr>
              <w:p w14:paraId="2B205C7F" w14:textId="773BBA83" w:rsidR="00823FBA" w:rsidRPr="009C4837" w:rsidRDefault="00823FBA" w:rsidP="008E251A">
                <w:pPr>
                  <w:tabs>
                    <w:tab w:val="left" w:pos="2834"/>
                    <w:tab w:val="right" w:pos="8838"/>
                  </w:tabs>
                  <w:ind w:right="-107"/>
                  <w:jc w:val="both"/>
                  <w:rPr>
                    <w:rFonts w:ascii="Palatino Linotype" w:hAnsi="Palatino Linotype"/>
                    <w:b/>
                    <w:bCs/>
                    <w:color w:val="000000"/>
                    <w:sz w:val="22"/>
                    <w:lang w:val="es-MX"/>
                  </w:rPr>
                </w:pPr>
                <w:r w:rsidRPr="009C4837">
                  <w:rPr>
                    <w:rFonts w:ascii="Palatino Linotype" w:hAnsi="Palatino Linotype"/>
                    <w:b/>
                    <w:bCs/>
                    <w:color w:val="000000"/>
                    <w:sz w:val="22"/>
                    <w:lang w:val="es-MX"/>
                  </w:rPr>
                  <w:t>Ayu</w:t>
                </w:r>
                <w:r>
                  <w:rPr>
                    <w:rFonts w:ascii="Palatino Linotype" w:hAnsi="Palatino Linotype"/>
                    <w:b/>
                    <w:bCs/>
                    <w:color w:val="000000"/>
                    <w:sz w:val="22"/>
                    <w:lang w:val="es-MX"/>
                  </w:rPr>
                  <w:t>ntamiento de Toluca</w:t>
                </w:r>
              </w:p>
            </w:tc>
          </w:tr>
          <w:bookmarkEnd w:id="13"/>
          <w:tr w:rsidR="00823FBA" w:rsidRPr="007E6F52" w14:paraId="28CCE4E5" w14:textId="77777777" w:rsidTr="007E6F52">
            <w:trPr>
              <w:trHeight w:val="283"/>
            </w:trPr>
            <w:tc>
              <w:tcPr>
                <w:tcW w:w="2551" w:type="dxa"/>
              </w:tcPr>
              <w:p w14:paraId="13EBF3BB" w14:textId="6E4ECE4B" w:rsidR="00823FBA" w:rsidRPr="007E6F52" w:rsidRDefault="00823FBA">
                <w:pPr>
                  <w:tabs>
                    <w:tab w:val="right" w:pos="8838"/>
                  </w:tabs>
                  <w:ind w:right="-105"/>
                  <w:rPr>
                    <w:rFonts w:ascii="Palatino Linotype" w:eastAsia="Calibri" w:hAnsi="Palatino Linotype" w:cs="Tahoma"/>
                    <w:b/>
                    <w:sz w:val="22"/>
                    <w:lang w:eastAsia="en-US"/>
                  </w:rPr>
                </w:pPr>
                <w:r w:rsidRPr="007E6F52">
                  <w:rPr>
                    <w:rFonts w:ascii="Palatino Linotype" w:eastAsia="Calibri" w:hAnsi="Palatino Linotype" w:cs="Tahoma"/>
                    <w:b/>
                    <w:sz w:val="22"/>
                    <w:lang w:eastAsia="en-US"/>
                  </w:rPr>
                  <w:t>Comisionada Ponente:</w:t>
                </w:r>
              </w:p>
            </w:tc>
            <w:tc>
              <w:tcPr>
                <w:tcW w:w="3260" w:type="dxa"/>
              </w:tcPr>
              <w:p w14:paraId="5DF20594" w14:textId="1A6CDEA4" w:rsidR="00823FBA" w:rsidRPr="007E6F52" w:rsidRDefault="00823FBA" w:rsidP="00187E51">
                <w:pPr>
                  <w:tabs>
                    <w:tab w:val="right" w:pos="8838"/>
                  </w:tabs>
                  <w:ind w:left="-113" w:right="-105"/>
                  <w:jc w:val="both"/>
                  <w:rPr>
                    <w:rFonts w:ascii="Palatino Linotype" w:eastAsia="Calibri" w:hAnsi="Palatino Linotype" w:cs="Tahoma"/>
                    <w:b/>
                    <w:sz w:val="22"/>
                    <w:lang w:eastAsia="en-US"/>
                  </w:rPr>
                </w:pPr>
                <w:r w:rsidRPr="007E6F52">
                  <w:rPr>
                    <w:rFonts w:ascii="Palatino Linotype" w:eastAsia="Calibri" w:hAnsi="Palatino Linotype" w:cs="Tahoma"/>
                    <w:b/>
                    <w:sz w:val="22"/>
                    <w:lang w:eastAsia="en-US"/>
                  </w:rPr>
                  <w:t>María del Rosario Mejía Ayala</w:t>
                </w:r>
              </w:p>
            </w:tc>
          </w:tr>
        </w:tbl>
        <w:p w14:paraId="5775EEC5" w14:textId="77777777" w:rsidR="00823FBA" w:rsidRDefault="00823FBA">
          <w:pPr>
            <w:tabs>
              <w:tab w:val="right" w:pos="8838"/>
            </w:tabs>
            <w:ind w:left="-28"/>
            <w:jc w:val="both"/>
            <w:rPr>
              <w:rFonts w:ascii="Arial" w:eastAsia="Calibri" w:hAnsi="Arial" w:cs="Arial"/>
              <w:b/>
              <w:sz w:val="22"/>
              <w:szCs w:val="22"/>
              <w:lang w:eastAsia="en-US"/>
            </w:rPr>
          </w:pPr>
        </w:p>
      </w:tc>
    </w:tr>
  </w:tbl>
  <w:p w14:paraId="07EF2D29" w14:textId="1620A8B4" w:rsidR="00823FBA" w:rsidRDefault="00DC2C09" w:rsidP="00814079">
    <w:pPr>
      <w:pStyle w:val="Encabezado"/>
      <w:rPr>
        <w:sz w:val="14"/>
      </w:rPr>
    </w:pPr>
    <w:r>
      <w:rPr>
        <w:noProof/>
        <w:sz w:val="14"/>
        <w:lang w:eastAsia="es-MX"/>
      </w:rPr>
      <w:pict w14:anchorId="3DCE25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27053611" o:spid="_x0000_s2059" type="#_x0000_t75" alt="" style="position:absolute;margin-left:-104.3pt;margin-top:-133.1pt;width:663.5pt;height:12in;z-index:-251656192;mso-wrap-edited:f;mso-width-percent:0;mso-height-percent:0;mso-position-horizontal-relative:margin;mso-position-vertical-relative:margin;mso-width-percent:0;mso-height-percent:0" o:allowincell="f">
          <v:imagedata r:id="rId1" o:title="marcaaguaINFOEM"/>
          <w10:wrap anchorx="margin" anchory="margin"/>
        </v:shape>
      </w:pict>
    </w:r>
  </w:p>
  <w:p w14:paraId="0AE465A1" w14:textId="77777777" w:rsidR="00823FBA" w:rsidRDefault="00823FBA"/>
  <w:p w14:paraId="104386EF" w14:textId="77777777" w:rsidR="00823FBA" w:rsidRDefault="00823FBA"/>
  <w:p w14:paraId="60A3E393" w14:textId="77777777" w:rsidR="00823FBA" w:rsidRDefault="00823FB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tblLayout w:type="fixed"/>
      <w:tblLook w:val="04A0" w:firstRow="1" w:lastRow="0" w:firstColumn="1" w:lastColumn="0" w:noHBand="0" w:noVBand="1"/>
    </w:tblPr>
    <w:tblGrid>
      <w:gridCol w:w="1560"/>
      <w:gridCol w:w="7938"/>
    </w:tblGrid>
    <w:tr w:rsidR="00823FBA" w14:paraId="61517A1D" w14:textId="77777777" w:rsidTr="003A6126">
      <w:trPr>
        <w:trHeight w:val="1435"/>
      </w:trPr>
      <w:tc>
        <w:tcPr>
          <w:tcW w:w="1560" w:type="dxa"/>
          <w:shd w:val="clear" w:color="auto" w:fill="auto"/>
        </w:tcPr>
        <w:p w14:paraId="4B74E846" w14:textId="1E0D62B9" w:rsidR="00823FBA" w:rsidRDefault="00823FBA">
          <w:pPr>
            <w:tabs>
              <w:tab w:val="right" w:pos="4273"/>
            </w:tabs>
            <w:rPr>
              <w:rFonts w:ascii="Garamond" w:eastAsia="Calibri" w:hAnsi="Garamond"/>
              <w:sz w:val="22"/>
              <w:szCs w:val="22"/>
              <w:lang w:eastAsia="en-US"/>
            </w:rPr>
          </w:pPr>
        </w:p>
      </w:tc>
      <w:tc>
        <w:tcPr>
          <w:tcW w:w="7938" w:type="dxa"/>
          <w:shd w:val="clear" w:color="auto" w:fill="auto"/>
        </w:tcPr>
        <w:tbl>
          <w:tblPr>
            <w:tblStyle w:val="Tablaconcuadrcula"/>
            <w:tblW w:w="8930" w:type="dxa"/>
            <w:tblInd w:w="18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44"/>
            <w:gridCol w:w="3507"/>
            <w:gridCol w:w="2979"/>
          </w:tblGrid>
          <w:tr w:rsidR="00823FBA" w14:paraId="7F59E1EF" w14:textId="77777777" w:rsidTr="001C6110">
            <w:trPr>
              <w:trHeight w:val="144"/>
            </w:trPr>
            <w:tc>
              <w:tcPr>
                <w:tcW w:w="2444" w:type="dxa"/>
              </w:tcPr>
              <w:p w14:paraId="5EFF942E" w14:textId="77777777" w:rsidR="00823FBA" w:rsidRPr="006751E8" w:rsidRDefault="00823FBA" w:rsidP="000D485D">
                <w:pPr>
                  <w:tabs>
                    <w:tab w:val="right" w:pos="8838"/>
                  </w:tabs>
                  <w:ind w:left="-74" w:right="-105"/>
                  <w:rPr>
                    <w:rFonts w:ascii="Palatino Linotype" w:eastAsia="Calibri" w:hAnsi="Palatino Linotype" w:cs="Tahoma"/>
                    <w:b/>
                    <w:sz w:val="22"/>
                    <w:szCs w:val="22"/>
                    <w:lang w:eastAsia="en-US"/>
                  </w:rPr>
                </w:pPr>
                <w:bookmarkStart w:id="14" w:name="_Hlk12526980"/>
                <w:r w:rsidRPr="006751E8">
                  <w:rPr>
                    <w:rFonts w:ascii="Palatino Linotype" w:eastAsia="Calibri" w:hAnsi="Palatino Linotype" w:cs="Tahoma"/>
                    <w:b/>
                    <w:sz w:val="22"/>
                    <w:szCs w:val="22"/>
                    <w:lang w:eastAsia="en-US"/>
                  </w:rPr>
                  <w:t>Recurso de Revisión:</w:t>
                </w:r>
              </w:p>
            </w:tc>
            <w:tc>
              <w:tcPr>
                <w:tcW w:w="3507" w:type="dxa"/>
              </w:tcPr>
              <w:p w14:paraId="0DE47EE2" w14:textId="20EAF9F1" w:rsidR="00823FBA" w:rsidRPr="006751E8" w:rsidRDefault="00823FBA" w:rsidP="00A87524">
                <w:pPr>
                  <w:tabs>
                    <w:tab w:val="right" w:pos="8838"/>
                  </w:tabs>
                  <w:ind w:left="-3" w:right="-105"/>
                  <w:jc w:val="both"/>
                  <w:rPr>
                    <w:rFonts w:ascii="Palatino Linotype" w:eastAsia="Calibri" w:hAnsi="Palatino Linotype" w:cs="Tahoma"/>
                    <w:b/>
                    <w:sz w:val="22"/>
                    <w:szCs w:val="22"/>
                    <w:lang w:eastAsia="en-US"/>
                  </w:rPr>
                </w:pPr>
                <w:r w:rsidRPr="001C6110">
                  <w:rPr>
                    <w:rFonts w:ascii="Palatino Linotype" w:eastAsia="Calibri" w:hAnsi="Palatino Linotype" w:cs="Tahoma"/>
                    <w:b/>
                    <w:bCs/>
                    <w:sz w:val="22"/>
                    <w:lang w:val="es-MX" w:eastAsia="en-US"/>
                  </w:rPr>
                  <w:t> </w:t>
                </w:r>
                <w:r w:rsidRPr="00823FBA">
                  <w:rPr>
                    <w:rFonts w:ascii="Palatino Linotype" w:eastAsia="Calibri" w:hAnsi="Palatino Linotype" w:cs="Tahoma"/>
                    <w:b/>
                    <w:bCs/>
                    <w:sz w:val="22"/>
                    <w:lang w:val="es-MX" w:eastAsia="en-US"/>
                  </w:rPr>
                  <w:t>00603/INFOEM/IP/RR/2025</w:t>
                </w:r>
              </w:p>
            </w:tc>
            <w:tc>
              <w:tcPr>
                <w:tcW w:w="2979" w:type="dxa"/>
              </w:tcPr>
              <w:p w14:paraId="11E4533C" w14:textId="3B21362A" w:rsidR="00823FBA" w:rsidRDefault="00823FBA">
                <w:pPr>
                  <w:tabs>
                    <w:tab w:val="right" w:pos="8838"/>
                  </w:tabs>
                  <w:ind w:left="-74" w:right="-105"/>
                  <w:jc w:val="both"/>
                  <w:rPr>
                    <w:rFonts w:ascii="Palatino Linotype" w:eastAsia="Calibri" w:hAnsi="Palatino Linotype" w:cs="Tahoma"/>
                    <w:bCs/>
                    <w:sz w:val="22"/>
                    <w:szCs w:val="22"/>
                    <w:lang w:eastAsia="en-US"/>
                  </w:rPr>
                </w:pPr>
              </w:p>
            </w:tc>
          </w:tr>
          <w:tr w:rsidR="00823FBA" w14:paraId="3FC4FA7D" w14:textId="77777777" w:rsidTr="001C6110">
            <w:trPr>
              <w:trHeight w:val="144"/>
            </w:trPr>
            <w:tc>
              <w:tcPr>
                <w:tcW w:w="2444" w:type="dxa"/>
              </w:tcPr>
              <w:p w14:paraId="363D966B" w14:textId="77777777" w:rsidR="00823FBA" w:rsidRPr="006751E8" w:rsidRDefault="00823FBA" w:rsidP="000D485D">
                <w:pPr>
                  <w:tabs>
                    <w:tab w:val="right" w:pos="8838"/>
                  </w:tabs>
                  <w:ind w:left="-74" w:right="-105"/>
                  <w:rPr>
                    <w:rFonts w:ascii="Palatino Linotype" w:eastAsia="Calibri" w:hAnsi="Palatino Linotype" w:cs="Tahoma"/>
                    <w:b/>
                    <w:sz w:val="22"/>
                    <w:szCs w:val="22"/>
                    <w:lang w:eastAsia="en-US"/>
                  </w:rPr>
                </w:pPr>
                <w:bookmarkStart w:id="15" w:name="_Hlk10641523"/>
                <w:bookmarkEnd w:id="14"/>
                <w:r w:rsidRPr="006751E8">
                  <w:rPr>
                    <w:rFonts w:ascii="Palatino Linotype" w:eastAsia="Calibri" w:hAnsi="Palatino Linotype" w:cs="Tahoma"/>
                    <w:b/>
                    <w:sz w:val="22"/>
                    <w:szCs w:val="22"/>
                    <w:lang w:eastAsia="en-US"/>
                  </w:rPr>
                  <w:t>Recurrente:</w:t>
                </w:r>
              </w:p>
            </w:tc>
            <w:tc>
              <w:tcPr>
                <w:tcW w:w="3507" w:type="dxa"/>
              </w:tcPr>
              <w:p w14:paraId="73C065CD" w14:textId="3DC3AD5B" w:rsidR="00823FBA" w:rsidRPr="006751E8" w:rsidRDefault="00823FBA" w:rsidP="00A36BE2">
                <w:pPr>
                  <w:tabs>
                    <w:tab w:val="left" w:pos="3122"/>
                    <w:tab w:val="right" w:pos="8838"/>
                  </w:tabs>
                  <w:ind w:right="1457"/>
                  <w:jc w:val="both"/>
                  <w:rPr>
                    <w:rFonts w:ascii="Palatino Linotype" w:eastAsia="Calibri" w:hAnsi="Palatino Linotype" w:cs="Tahoma"/>
                    <w:b/>
                    <w:sz w:val="22"/>
                    <w:szCs w:val="22"/>
                    <w:lang w:eastAsia="en-US"/>
                  </w:rPr>
                </w:pPr>
              </w:p>
            </w:tc>
            <w:tc>
              <w:tcPr>
                <w:tcW w:w="2979" w:type="dxa"/>
              </w:tcPr>
              <w:p w14:paraId="370E6EFF" w14:textId="3B7EABB6" w:rsidR="00823FBA" w:rsidRDefault="00823FBA" w:rsidP="003037E1">
                <w:pPr>
                  <w:tabs>
                    <w:tab w:val="left" w:pos="3122"/>
                    <w:tab w:val="right" w:pos="8838"/>
                  </w:tabs>
                  <w:ind w:right="-105"/>
                  <w:jc w:val="both"/>
                  <w:rPr>
                    <w:rFonts w:ascii="Palatino Linotype" w:eastAsia="Calibri" w:hAnsi="Palatino Linotype" w:cs="Tahoma"/>
                    <w:sz w:val="22"/>
                    <w:szCs w:val="22"/>
                    <w:lang w:eastAsia="en-US"/>
                  </w:rPr>
                </w:pPr>
              </w:p>
            </w:tc>
          </w:tr>
          <w:bookmarkEnd w:id="15"/>
          <w:tr w:rsidR="00823FBA" w14:paraId="4D832A43" w14:textId="77777777" w:rsidTr="001C6110">
            <w:trPr>
              <w:trHeight w:val="283"/>
            </w:trPr>
            <w:tc>
              <w:tcPr>
                <w:tcW w:w="2444" w:type="dxa"/>
              </w:tcPr>
              <w:p w14:paraId="02CA5CB0" w14:textId="77777777" w:rsidR="00823FBA" w:rsidRPr="006751E8" w:rsidRDefault="00823FBA" w:rsidP="000D485D">
                <w:pPr>
                  <w:tabs>
                    <w:tab w:val="right" w:pos="8838"/>
                  </w:tabs>
                  <w:ind w:left="-74" w:right="-105"/>
                  <w:rPr>
                    <w:rFonts w:ascii="Palatino Linotype" w:eastAsia="Calibri" w:hAnsi="Palatino Linotype" w:cs="Tahoma"/>
                    <w:b/>
                    <w:sz w:val="22"/>
                    <w:szCs w:val="22"/>
                    <w:lang w:eastAsia="en-US"/>
                  </w:rPr>
                </w:pPr>
                <w:r w:rsidRPr="006751E8">
                  <w:rPr>
                    <w:rFonts w:ascii="Palatino Linotype" w:eastAsia="Calibri" w:hAnsi="Palatino Linotype" w:cs="Tahoma"/>
                    <w:b/>
                    <w:sz w:val="22"/>
                    <w:szCs w:val="22"/>
                    <w:lang w:eastAsia="en-US"/>
                  </w:rPr>
                  <w:t>Sujeto Obligado:</w:t>
                </w:r>
              </w:p>
            </w:tc>
            <w:tc>
              <w:tcPr>
                <w:tcW w:w="3507" w:type="dxa"/>
              </w:tcPr>
              <w:p w14:paraId="28528629" w14:textId="348FDF46" w:rsidR="00823FBA" w:rsidRPr="006751E8" w:rsidRDefault="0012793B" w:rsidP="007451C1">
                <w:pPr>
                  <w:tabs>
                    <w:tab w:val="left" w:pos="2834"/>
                    <w:tab w:val="right" w:pos="8838"/>
                  </w:tabs>
                  <w:ind w:left="-3" w:right="-105"/>
                  <w:jc w:val="both"/>
                  <w:rPr>
                    <w:rFonts w:ascii="Palatino Linotype" w:eastAsia="Calibri" w:hAnsi="Palatino Linotype" w:cs="Tahoma"/>
                    <w:b/>
                    <w:lang w:eastAsia="en-US"/>
                  </w:rPr>
                </w:pPr>
                <w:r w:rsidRPr="0012793B">
                  <w:rPr>
                    <w:rFonts w:ascii="Palatino Linotype" w:hAnsi="Palatino Linotype"/>
                    <w:b/>
                    <w:bCs/>
                    <w:color w:val="000000"/>
                    <w:sz w:val="24"/>
                    <w:lang w:val="es-MX"/>
                  </w:rPr>
                  <w:t>Ayuntamiento de Toluca</w:t>
                </w:r>
              </w:p>
            </w:tc>
            <w:tc>
              <w:tcPr>
                <w:tcW w:w="2979" w:type="dxa"/>
              </w:tcPr>
              <w:p w14:paraId="00F18B8C" w14:textId="77777777" w:rsidR="00823FBA" w:rsidRPr="006751E8" w:rsidRDefault="00823FBA">
                <w:pPr>
                  <w:tabs>
                    <w:tab w:val="left" w:pos="2834"/>
                    <w:tab w:val="right" w:pos="8838"/>
                  </w:tabs>
                  <w:ind w:left="-74" w:right="-105"/>
                  <w:jc w:val="both"/>
                  <w:rPr>
                    <w:rFonts w:ascii="Palatino Linotype" w:eastAsia="Calibri" w:hAnsi="Palatino Linotype" w:cs="Tahoma"/>
                    <w:b/>
                    <w:bCs/>
                    <w:lang w:eastAsia="en-US"/>
                  </w:rPr>
                </w:pPr>
              </w:p>
            </w:tc>
          </w:tr>
          <w:tr w:rsidR="00823FBA" w14:paraId="7BC74D7A" w14:textId="77777777" w:rsidTr="001C6110">
            <w:trPr>
              <w:trHeight w:val="283"/>
            </w:trPr>
            <w:tc>
              <w:tcPr>
                <w:tcW w:w="2444" w:type="dxa"/>
              </w:tcPr>
              <w:p w14:paraId="3BF93338" w14:textId="01E84F2D" w:rsidR="00823FBA" w:rsidRPr="006751E8" w:rsidRDefault="00823FBA" w:rsidP="000D485D">
                <w:pPr>
                  <w:tabs>
                    <w:tab w:val="right" w:pos="8838"/>
                  </w:tabs>
                  <w:ind w:left="-74" w:right="-105"/>
                  <w:rPr>
                    <w:rFonts w:ascii="Palatino Linotype" w:eastAsia="Calibri" w:hAnsi="Palatino Linotype" w:cs="Tahoma"/>
                    <w:b/>
                    <w:sz w:val="22"/>
                    <w:szCs w:val="22"/>
                    <w:lang w:eastAsia="en-US"/>
                  </w:rPr>
                </w:pPr>
                <w:r w:rsidRPr="006751E8">
                  <w:rPr>
                    <w:rFonts w:ascii="Palatino Linotype" w:eastAsia="Calibri" w:hAnsi="Palatino Linotype" w:cs="Tahoma"/>
                    <w:b/>
                    <w:sz w:val="22"/>
                    <w:szCs w:val="22"/>
                    <w:lang w:eastAsia="en-US"/>
                  </w:rPr>
                  <w:t>Comisionada Ponente:</w:t>
                </w:r>
              </w:p>
            </w:tc>
            <w:tc>
              <w:tcPr>
                <w:tcW w:w="3507" w:type="dxa"/>
              </w:tcPr>
              <w:p w14:paraId="3589422E" w14:textId="64278750" w:rsidR="00823FBA" w:rsidRPr="006751E8" w:rsidRDefault="00823FBA" w:rsidP="003037E1">
                <w:pPr>
                  <w:tabs>
                    <w:tab w:val="right" w:pos="8838"/>
                  </w:tabs>
                  <w:ind w:left="-3" w:right="-105"/>
                  <w:jc w:val="both"/>
                  <w:rPr>
                    <w:rFonts w:ascii="Palatino Linotype" w:eastAsia="Calibri" w:hAnsi="Palatino Linotype" w:cs="Tahoma"/>
                    <w:b/>
                    <w:lang w:eastAsia="en-US"/>
                  </w:rPr>
                </w:pPr>
                <w:r w:rsidRPr="006751E8">
                  <w:rPr>
                    <w:rFonts w:ascii="Palatino Linotype" w:eastAsia="Calibri" w:hAnsi="Palatino Linotype" w:cs="Tahoma"/>
                    <w:b/>
                    <w:lang w:eastAsia="en-US"/>
                  </w:rPr>
                  <w:t>María del Rosario Mejía Ayala</w:t>
                </w:r>
              </w:p>
            </w:tc>
            <w:tc>
              <w:tcPr>
                <w:tcW w:w="2979" w:type="dxa"/>
              </w:tcPr>
              <w:p w14:paraId="6DBCB70D" w14:textId="77777777" w:rsidR="00823FBA" w:rsidRPr="006751E8" w:rsidRDefault="00823FBA">
                <w:pPr>
                  <w:tabs>
                    <w:tab w:val="right" w:pos="8838"/>
                  </w:tabs>
                  <w:ind w:left="-74" w:right="-105"/>
                  <w:jc w:val="both"/>
                  <w:rPr>
                    <w:rFonts w:ascii="Palatino Linotype" w:eastAsia="Calibri" w:hAnsi="Palatino Linotype" w:cs="Tahoma"/>
                    <w:b/>
                    <w:bCs/>
                    <w:lang w:eastAsia="en-US"/>
                  </w:rPr>
                </w:pPr>
              </w:p>
            </w:tc>
          </w:tr>
        </w:tbl>
        <w:p w14:paraId="27F446EB" w14:textId="77777777" w:rsidR="00823FBA" w:rsidRDefault="00823FBA">
          <w:pPr>
            <w:tabs>
              <w:tab w:val="right" w:pos="8838"/>
            </w:tabs>
            <w:ind w:left="-28"/>
            <w:jc w:val="both"/>
            <w:rPr>
              <w:rFonts w:ascii="Arial" w:eastAsia="Calibri" w:hAnsi="Arial" w:cs="Arial"/>
              <w:b/>
              <w:sz w:val="22"/>
              <w:szCs w:val="22"/>
              <w:lang w:eastAsia="en-US"/>
            </w:rPr>
          </w:pPr>
        </w:p>
      </w:tc>
    </w:tr>
  </w:tbl>
  <w:p w14:paraId="5F654A99" w14:textId="6CB7D4AE" w:rsidR="00823FBA" w:rsidRDefault="00DC2C09" w:rsidP="003A6126">
    <w:pPr>
      <w:pStyle w:val="Encabezado"/>
      <w:tabs>
        <w:tab w:val="clear" w:pos="4419"/>
        <w:tab w:val="clear" w:pos="8838"/>
        <w:tab w:val="center" w:pos="4522"/>
      </w:tabs>
    </w:pPr>
    <w:r>
      <w:rPr>
        <w:noProof/>
        <w:sz w:val="14"/>
        <w:szCs w:val="22"/>
        <w:lang w:eastAsia="es-MX"/>
      </w:rPr>
      <w:pict w14:anchorId="7EFA6F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27053609" o:spid="_x0000_s2058" type="#_x0000_t75" alt="" style="position:absolute;margin-left:-75.8pt;margin-top:-134.3pt;width:663.5pt;height:12in;z-index:-251658240;mso-wrap-edited:f;mso-width-percent:0;mso-height-percent:0;mso-position-horizontal-relative:margin;mso-position-vertical-relative:margin;mso-width-percent:0;mso-height-percent:0" o:allowincell="f">
          <v:imagedata r:id="rId1" o:title="marcaaguaINFOEM"/>
          <w10:wrap anchorx="margin" anchory="margin"/>
        </v:shape>
      </w:pict>
    </w:r>
  </w:p>
  <w:p w14:paraId="673BC59D" w14:textId="77777777" w:rsidR="00823FBA" w:rsidRDefault="00823FBA"/>
  <w:p w14:paraId="69AC6122" w14:textId="77777777" w:rsidR="00823FBA" w:rsidRDefault="00823FB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FFFFFF83"/>
    <w:lvl w:ilvl="0">
      <w:start w:val="1"/>
      <w:numFmt w:val="bullet"/>
      <w:pStyle w:val="Listaconvietas2"/>
      <w:lvlText w:val=""/>
      <w:lvlJc w:val="left"/>
      <w:pPr>
        <w:tabs>
          <w:tab w:val="left" w:pos="643"/>
        </w:tabs>
        <w:ind w:left="643" w:hanging="360"/>
      </w:pPr>
      <w:rPr>
        <w:rFonts w:ascii="Symbol" w:hAnsi="Symbol" w:hint="default"/>
      </w:rPr>
    </w:lvl>
  </w:abstractNum>
  <w:abstractNum w:abstractNumId="1">
    <w:nsid w:val="000603E0"/>
    <w:multiLevelType w:val="multilevel"/>
    <w:tmpl w:val="CA4AED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055E1C9B"/>
    <w:multiLevelType w:val="hybridMultilevel"/>
    <w:tmpl w:val="DFA45718"/>
    <w:lvl w:ilvl="0" w:tplc="17EC1D6A">
      <w:start w:val="1"/>
      <w:numFmt w:val="bullet"/>
      <w:lvlText w:val="-"/>
      <w:lvlJc w:val="left"/>
      <w:pPr>
        <w:ind w:left="720" w:hanging="360"/>
      </w:pPr>
      <w:rPr>
        <w:rFonts w:ascii="Sylfaen" w:hAnsi="Sylfae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6092A13"/>
    <w:multiLevelType w:val="multilevel"/>
    <w:tmpl w:val="A46C4558"/>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8D03BEB"/>
    <w:multiLevelType w:val="hybridMultilevel"/>
    <w:tmpl w:val="97842A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96B7FE5"/>
    <w:multiLevelType w:val="multilevel"/>
    <w:tmpl w:val="A1F0101C"/>
    <w:lvl w:ilvl="0">
      <w:start w:val="1"/>
      <w:numFmt w:val="upperRoman"/>
      <w:lvlText w:val="%1."/>
      <w:lvlJc w:val="left"/>
      <w:pPr>
        <w:ind w:left="1854" w:hanging="72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6">
    <w:nsid w:val="0D343EED"/>
    <w:multiLevelType w:val="hybridMultilevel"/>
    <w:tmpl w:val="A88472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1B2002C"/>
    <w:multiLevelType w:val="multilevel"/>
    <w:tmpl w:val="0C0C87A0"/>
    <w:lvl w:ilvl="0">
      <w:start w:val="1"/>
      <w:numFmt w:val="bullet"/>
      <w:lvlText w:val=""/>
      <w:lvlJc w:val="left"/>
      <w:pPr>
        <w:ind w:left="1146" w:hanging="360"/>
      </w:pPr>
      <w:rPr>
        <w:rFonts w:ascii="Symbol" w:hAnsi="Symbol" w:hint="default"/>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8">
    <w:nsid w:val="16B31864"/>
    <w:multiLevelType w:val="hybridMultilevel"/>
    <w:tmpl w:val="782E1EE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B5A11A6"/>
    <w:multiLevelType w:val="hybridMultilevel"/>
    <w:tmpl w:val="C7246038"/>
    <w:lvl w:ilvl="0" w:tplc="080A0001">
      <w:start w:val="1"/>
      <w:numFmt w:val="bullet"/>
      <w:lvlText w:val=""/>
      <w:lvlJc w:val="left"/>
      <w:pPr>
        <w:ind w:left="1429" w:hanging="360"/>
      </w:pPr>
      <w:rPr>
        <w:rFonts w:ascii="Symbol" w:hAnsi="Symbol"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10">
    <w:nsid w:val="1B891CF8"/>
    <w:multiLevelType w:val="multilevel"/>
    <w:tmpl w:val="1DB62F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nsid w:val="1BF82721"/>
    <w:multiLevelType w:val="multilevel"/>
    <w:tmpl w:val="A118929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2">
    <w:nsid w:val="1DC722D3"/>
    <w:multiLevelType w:val="hybridMultilevel"/>
    <w:tmpl w:val="21E6C992"/>
    <w:lvl w:ilvl="0" w:tplc="A52C2E2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D927D1D"/>
    <w:multiLevelType w:val="hybridMultilevel"/>
    <w:tmpl w:val="50682128"/>
    <w:lvl w:ilvl="0" w:tplc="3A646C4A">
      <w:start w:val="9"/>
      <w:numFmt w:val="decimal"/>
      <w:lvlText w:val="%1."/>
      <w:lvlJc w:val="left"/>
      <w:pPr>
        <w:ind w:left="720" w:hanging="360"/>
      </w:pPr>
      <w:rPr>
        <w:rFonts w:hint="default"/>
        <w:b/>
        <w:i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FD258E3"/>
    <w:multiLevelType w:val="hybridMultilevel"/>
    <w:tmpl w:val="755A9056"/>
    <w:lvl w:ilvl="0" w:tplc="4A029FF2">
      <w:start w:val="1"/>
      <w:numFmt w:val="decimal"/>
      <w:lvlText w:val="%1."/>
      <w:lvlJc w:val="left"/>
      <w:pPr>
        <w:ind w:left="720" w:hanging="360"/>
      </w:pPr>
      <w:rPr>
        <w:rFonts w:hint="default"/>
        <w:b/>
        <w:i w:val="0"/>
      </w:rPr>
    </w:lvl>
    <w:lvl w:ilvl="1" w:tplc="080A0019">
      <w:start w:val="1"/>
      <w:numFmt w:val="lowerLetter"/>
      <w:lvlText w:val="%2."/>
      <w:lvlJc w:val="left"/>
      <w:pPr>
        <w:ind w:left="1440" w:hanging="360"/>
      </w:pPr>
    </w:lvl>
    <w:lvl w:ilvl="2" w:tplc="6B3E8456">
      <w:start w:val="1"/>
      <w:numFmt w:val="lowerLetter"/>
      <w:lvlText w:val="%3)"/>
      <w:lvlJc w:val="left"/>
      <w:pPr>
        <w:ind w:left="2340" w:hanging="360"/>
      </w:pPr>
      <w:rPr>
        <w:rFonts w:hint="default"/>
      </w:rPr>
    </w:lvl>
    <w:lvl w:ilvl="3" w:tplc="B3C41AD2">
      <w:start w:val="1"/>
      <w:numFmt w:val="upperRoman"/>
      <w:lvlText w:val="%4."/>
      <w:lvlJc w:val="left"/>
      <w:pPr>
        <w:ind w:left="3240" w:hanging="720"/>
      </w:pPr>
      <w:rPr>
        <w:rFonts w:hint="default"/>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304F76FC"/>
    <w:multiLevelType w:val="multilevel"/>
    <w:tmpl w:val="D86E86E0"/>
    <w:lvl w:ilvl="0">
      <w:start w:val="1"/>
      <w:numFmt w:val="bullet"/>
      <w:lvlText w:val="●"/>
      <w:lvlJc w:val="left"/>
      <w:pPr>
        <w:ind w:left="2382" w:hanging="360"/>
      </w:pPr>
      <w:rPr>
        <w:rFonts w:ascii="Noto Sans Symbols" w:eastAsia="Noto Sans Symbols" w:hAnsi="Noto Sans Symbols" w:cs="Noto Sans Symbols"/>
      </w:rPr>
    </w:lvl>
    <w:lvl w:ilvl="1">
      <w:start w:val="1"/>
      <w:numFmt w:val="bullet"/>
      <w:lvlText w:val="o"/>
      <w:lvlJc w:val="left"/>
      <w:pPr>
        <w:ind w:left="3102" w:hanging="360"/>
      </w:pPr>
      <w:rPr>
        <w:rFonts w:ascii="Courier New" w:eastAsia="Courier New" w:hAnsi="Courier New" w:cs="Courier New"/>
      </w:rPr>
    </w:lvl>
    <w:lvl w:ilvl="2">
      <w:start w:val="1"/>
      <w:numFmt w:val="bullet"/>
      <w:lvlText w:val="▪"/>
      <w:lvlJc w:val="left"/>
      <w:pPr>
        <w:ind w:left="3822" w:hanging="360"/>
      </w:pPr>
      <w:rPr>
        <w:rFonts w:ascii="Noto Sans Symbols" w:eastAsia="Noto Sans Symbols" w:hAnsi="Noto Sans Symbols" w:cs="Noto Sans Symbols"/>
      </w:rPr>
    </w:lvl>
    <w:lvl w:ilvl="3">
      <w:start w:val="1"/>
      <w:numFmt w:val="bullet"/>
      <w:lvlText w:val="●"/>
      <w:lvlJc w:val="left"/>
      <w:pPr>
        <w:ind w:left="4542" w:hanging="360"/>
      </w:pPr>
      <w:rPr>
        <w:rFonts w:ascii="Noto Sans Symbols" w:eastAsia="Noto Sans Symbols" w:hAnsi="Noto Sans Symbols" w:cs="Noto Sans Symbols"/>
      </w:rPr>
    </w:lvl>
    <w:lvl w:ilvl="4">
      <w:start w:val="1"/>
      <w:numFmt w:val="bullet"/>
      <w:lvlText w:val="o"/>
      <w:lvlJc w:val="left"/>
      <w:pPr>
        <w:ind w:left="5262" w:hanging="360"/>
      </w:pPr>
      <w:rPr>
        <w:rFonts w:ascii="Courier New" w:eastAsia="Courier New" w:hAnsi="Courier New" w:cs="Courier New"/>
      </w:rPr>
    </w:lvl>
    <w:lvl w:ilvl="5">
      <w:start w:val="1"/>
      <w:numFmt w:val="bullet"/>
      <w:lvlText w:val="▪"/>
      <w:lvlJc w:val="left"/>
      <w:pPr>
        <w:ind w:left="5982" w:hanging="360"/>
      </w:pPr>
      <w:rPr>
        <w:rFonts w:ascii="Noto Sans Symbols" w:eastAsia="Noto Sans Symbols" w:hAnsi="Noto Sans Symbols" w:cs="Noto Sans Symbols"/>
      </w:rPr>
    </w:lvl>
    <w:lvl w:ilvl="6">
      <w:start w:val="1"/>
      <w:numFmt w:val="bullet"/>
      <w:lvlText w:val="●"/>
      <w:lvlJc w:val="left"/>
      <w:pPr>
        <w:ind w:left="6702" w:hanging="360"/>
      </w:pPr>
      <w:rPr>
        <w:rFonts w:ascii="Noto Sans Symbols" w:eastAsia="Noto Sans Symbols" w:hAnsi="Noto Sans Symbols" w:cs="Noto Sans Symbols"/>
      </w:rPr>
    </w:lvl>
    <w:lvl w:ilvl="7">
      <w:start w:val="1"/>
      <w:numFmt w:val="bullet"/>
      <w:lvlText w:val="o"/>
      <w:lvlJc w:val="left"/>
      <w:pPr>
        <w:ind w:left="7422" w:hanging="360"/>
      </w:pPr>
      <w:rPr>
        <w:rFonts w:ascii="Courier New" w:eastAsia="Courier New" w:hAnsi="Courier New" w:cs="Courier New"/>
      </w:rPr>
    </w:lvl>
    <w:lvl w:ilvl="8">
      <w:start w:val="1"/>
      <w:numFmt w:val="bullet"/>
      <w:lvlText w:val="▪"/>
      <w:lvlJc w:val="left"/>
      <w:pPr>
        <w:ind w:left="8142" w:hanging="360"/>
      </w:pPr>
      <w:rPr>
        <w:rFonts w:ascii="Noto Sans Symbols" w:eastAsia="Noto Sans Symbols" w:hAnsi="Noto Sans Symbols" w:cs="Noto Sans Symbols"/>
      </w:rPr>
    </w:lvl>
  </w:abstractNum>
  <w:abstractNum w:abstractNumId="16">
    <w:nsid w:val="3284339E"/>
    <w:multiLevelType w:val="multilevel"/>
    <w:tmpl w:val="F62E03B8"/>
    <w:lvl w:ilvl="0">
      <w:start w:val="1"/>
      <w:numFmt w:val="upperRoman"/>
      <w:lvlText w:val="%1."/>
      <w:lvlJc w:val="left"/>
      <w:pPr>
        <w:ind w:left="1430" w:hanging="720"/>
      </w:p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abstractNum w:abstractNumId="17">
    <w:nsid w:val="33283AAC"/>
    <w:multiLevelType w:val="multilevel"/>
    <w:tmpl w:val="226AC762"/>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34317490"/>
    <w:multiLevelType w:val="hybridMultilevel"/>
    <w:tmpl w:val="02EC67D8"/>
    <w:lvl w:ilvl="0" w:tplc="F5C4018E">
      <w:start w:val="1"/>
      <w:numFmt w:val="decimal"/>
      <w:lvlText w:val="%1."/>
      <w:lvlJc w:val="left"/>
      <w:pPr>
        <w:ind w:left="360" w:hanging="360"/>
      </w:pPr>
      <w:rPr>
        <w:rFonts w:ascii="Palatino Linotype" w:hAnsi="Palatino Linotype" w:hint="default"/>
        <w:b/>
        <w:i w:val="0"/>
        <w:color w:val="auto"/>
        <w:sz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AD8321B"/>
    <w:multiLevelType w:val="hybridMultilevel"/>
    <w:tmpl w:val="5846EA66"/>
    <w:lvl w:ilvl="0" w:tplc="E16EFDF6">
      <w:start w:val="29"/>
      <w:numFmt w:val="decimal"/>
      <w:lvlText w:val="%1."/>
      <w:lvlJc w:val="left"/>
      <w:pPr>
        <w:ind w:left="502" w:hanging="360"/>
      </w:pPr>
      <w:rPr>
        <w:rFonts w:cs="Times New Roman" w:hint="default"/>
        <w:b/>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20">
    <w:nsid w:val="484C5F90"/>
    <w:multiLevelType w:val="hybridMultilevel"/>
    <w:tmpl w:val="64E2CE3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B8316F3"/>
    <w:multiLevelType w:val="hybridMultilevel"/>
    <w:tmpl w:val="43C650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4BF24AB1"/>
    <w:multiLevelType w:val="multilevel"/>
    <w:tmpl w:val="458C7F8A"/>
    <w:lvl w:ilvl="0">
      <w:start w:val="1"/>
      <w:numFmt w:val="upperRoman"/>
      <w:lvlText w:val="%1."/>
      <w:lvlJc w:val="left"/>
      <w:pPr>
        <w:ind w:left="1854" w:hanging="720"/>
      </w:p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23">
    <w:nsid w:val="4C7A18D0"/>
    <w:multiLevelType w:val="hybridMultilevel"/>
    <w:tmpl w:val="68B2048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51206E6F"/>
    <w:multiLevelType w:val="hybridMultilevel"/>
    <w:tmpl w:val="BED22C5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5">
    <w:nsid w:val="5A1105BC"/>
    <w:multiLevelType w:val="hybridMultilevel"/>
    <w:tmpl w:val="4E6284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68C810E8"/>
    <w:multiLevelType w:val="hybridMultilevel"/>
    <w:tmpl w:val="8504947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6BD77336"/>
    <w:multiLevelType w:val="hybridMultilevel"/>
    <w:tmpl w:val="E05EFA9C"/>
    <w:lvl w:ilvl="0" w:tplc="CEECE336">
      <w:start w:val="1"/>
      <w:numFmt w:val="upperRoman"/>
      <w:lvlText w:val="%1."/>
      <w:lvlJc w:val="left"/>
      <w:pPr>
        <w:ind w:left="1080" w:hanging="720"/>
      </w:pPr>
      <w:rPr>
        <w:rFonts w:ascii="Palatino Linotype" w:eastAsia="Times New Roman" w:hAnsi="Palatino Linotype" w:cs="Times New Roman"/>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72270B05"/>
    <w:multiLevelType w:val="hybridMultilevel"/>
    <w:tmpl w:val="0BE82DC2"/>
    <w:lvl w:ilvl="0" w:tplc="F374348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74A94E56"/>
    <w:multiLevelType w:val="hybridMultilevel"/>
    <w:tmpl w:val="10E6A0C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77375022"/>
    <w:multiLevelType w:val="multilevel"/>
    <w:tmpl w:val="DEDE6B06"/>
    <w:lvl w:ilvl="0">
      <w:start w:val="1"/>
      <w:numFmt w:val="decimal"/>
      <w:lvlText w:val="%1."/>
      <w:lvlJc w:val="left"/>
      <w:pPr>
        <w:ind w:left="501" w:hanging="359"/>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7A403F65"/>
    <w:multiLevelType w:val="hybridMultilevel"/>
    <w:tmpl w:val="6A001F4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2">
    <w:nsid w:val="7F6F26A5"/>
    <w:multiLevelType w:val="hybridMultilevel"/>
    <w:tmpl w:val="C8D2DC3E"/>
    <w:lvl w:ilvl="0" w:tplc="2312D3BE">
      <w:start w:val="1"/>
      <w:numFmt w:val="decimal"/>
      <w:lvlText w:val="%1)"/>
      <w:lvlJc w:val="lef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30"/>
  </w:num>
  <w:num w:numId="4">
    <w:abstractNumId w:val="7"/>
  </w:num>
  <w:num w:numId="5">
    <w:abstractNumId w:val="10"/>
  </w:num>
  <w:num w:numId="6">
    <w:abstractNumId w:val="9"/>
  </w:num>
  <w:num w:numId="7">
    <w:abstractNumId w:val="8"/>
  </w:num>
  <w:num w:numId="8">
    <w:abstractNumId w:val="29"/>
  </w:num>
  <w:num w:numId="9">
    <w:abstractNumId w:val="28"/>
  </w:num>
  <w:num w:numId="10">
    <w:abstractNumId w:val="12"/>
  </w:num>
  <w:num w:numId="11">
    <w:abstractNumId w:val="20"/>
  </w:num>
  <w:num w:numId="12">
    <w:abstractNumId w:val="4"/>
  </w:num>
  <w:num w:numId="13">
    <w:abstractNumId w:val="32"/>
  </w:num>
  <w:num w:numId="14">
    <w:abstractNumId w:val="26"/>
  </w:num>
  <w:num w:numId="15">
    <w:abstractNumId w:val="27"/>
  </w:num>
  <w:num w:numId="16">
    <w:abstractNumId w:val="23"/>
  </w:num>
  <w:num w:numId="17">
    <w:abstractNumId w:val="14"/>
  </w:num>
  <w:num w:numId="18">
    <w:abstractNumId w:val="18"/>
  </w:num>
  <w:num w:numId="19">
    <w:abstractNumId w:val="21"/>
  </w:num>
  <w:num w:numId="20">
    <w:abstractNumId w:val="19"/>
  </w:num>
  <w:num w:numId="21">
    <w:abstractNumId w:val="25"/>
  </w:num>
  <w:num w:numId="22">
    <w:abstractNumId w:val="24"/>
  </w:num>
  <w:num w:numId="23">
    <w:abstractNumId w:val="6"/>
  </w:num>
  <w:num w:numId="24">
    <w:abstractNumId w:val="2"/>
  </w:num>
  <w:num w:numId="25">
    <w:abstractNumId w:val="31"/>
  </w:num>
  <w:num w:numId="26">
    <w:abstractNumId w:val="15"/>
  </w:num>
  <w:num w:numId="27">
    <w:abstractNumId w:val="11"/>
  </w:num>
  <w:num w:numId="28">
    <w:abstractNumId w:val="3"/>
  </w:num>
  <w:num w:numId="29">
    <w:abstractNumId w:val="22"/>
  </w:num>
  <w:num w:numId="30">
    <w:abstractNumId w:val="5"/>
  </w:num>
  <w:num w:numId="31">
    <w:abstractNumId w:val="17"/>
  </w:num>
  <w:num w:numId="32">
    <w:abstractNumId w:val="16"/>
  </w:num>
  <w:num w:numId="33">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noPunctuationKerning/>
  <w:characterSpacingControl w:val="doNotCompress"/>
  <w:hdrShapeDefaults>
    <o:shapedefaults v:ext="edit" spidmax="2061" fillcolor="white">
      <v:fill color="white"/>
    </o:shapedefaults>
    <o:shapelayout v:ext="edit">
      <o:idmap v:ext="edit" data="2"/>
    </o:shapelayout>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222"/>
    <w:rsid w:val="000016AA"/>
    <w:rsid w:val="00001EA7"/>
    <w:rsid w:val="00002485"/>
    <w:rsid w:val="000027EB"/>
    <w:rsid w:val="00002B33"/>
    <w:rsid w:val="00002CB5"/>
    <w:rsid w:val="0000485A"/>
    <w:rsid w:val="000048DD"/>
    <w:rsid w:val="00006543"/>
    <w:rsid w:val="00006EB8"/>
    <w:rsid w:val="000077E8"/>
    <w:rsid w:val="00010B0D"/>
    <w:rsid w:val="00012CD0"/>
    <w:rsid w:val="00013A19"/>
    <w:rsid w:val="00013DD9"/>
    <w:rsid w:val="000143FA"/>
    <w:rsid w:val="00014465"/>
    <w:rsid w:val="0001556E"/>
    <w:rsid w:val="000159F0"/>
    <w:rsid w:val="00015A4E"/>
    <w:rsid w:val="00017050"/>
    <w:rsid w:val="00017348"/>
    <w:rsid w:val="00017858"/>
    <w:rsid w:val="00017D26"/>
    <w:rsid w:val="00020818"/>
    <w:rsid w:val="00020CAE"/>
    <w:rsid w:val="00020CF1"/>
    <w:rsid w:val="000212E5"/>
    <w:rsid w:val="000217A4"/>
    <w:rsid w:val="00021C64"/>
    <w:rsid w:val="00022835"/>
    <w:rsid w:val="00023C98"/>
    <w:rsid w:val="00024052"/>
    <w:rsid w:val="000241C5"/>
    <w:rsid w:val="00024D74"/>
    <w:rsid w:val="00025941"/>
    <w:rsid w:val="00025F1B"/>
    <w:rsid w:val="00025F5D"/>
    <w:rsid w:val="00030C87"/>
    <w:rsid w:val="000313A7"/>
    <w:rsid w:val="000321C5"/>
    <w:rsid w:val="0003260C"/>
    <w:rsid w:val="00032F5B"/>
    <w:rsid w:val="00033079"/>
    <w:rsid w:val="00033881"/>
    <w:rsid w:val="00033BCA"/>
    <w:rsid w:val="00033BE7"/>
    <w:rsid w:val="00034777"/>
    <w:rsid w:val="00034E9D"/>
    <w:rsid w:val="00034EF0"/>
    <w:rsid w:val="00035F9E"/>
    <w:rsid w:val="0003659E"/>
    <w:rsid w:val="000373BC"/>
    <w:rsid w:val="000378BC"/>
    <w:rsid w:val="00037B34"/>
    <w:rsid w:val="00037F4B"/>
    <w:rsid w:val="0004017A"/>
    <w:rsid w:val="00041201"/>
    <w:rsid w:val="000415F1"/>
    <w:rsid w:val="000424FC"/>
    <w:rsid w:val="00043374"/>
    <w:rsid w:val="00043C4B"/>
    <w:rsid w:val="000441A1"/>
    <w:rsid w:val="000441C4"/>
    <w:rsid w:val="000446B3"/>
    <w:rsid w:val="00045B8E"/>
    <w:rsid w:val="0004646B"/>
    <w:rsid w:val="00050224"/>
    <w:rsid w:val="00051F91"/>
    <w:rsid w:val="000527B4"/>
    <w:rsid w:val="000528E6"/>
    <w:rsid w:val="00052EB7"/>
    <w:rsid w:val="00053EEF"/>
    <w:rsid w:val="000542F8"/>
    <w:rsid w:val="0005574A"/>
    <w:rsid w:val="00057250"/>
    <w:rsid w:val="00057E50"/>
    <w:rsid w:val="0006017B"/>
    <w:rsid w:val="00060323"/>
    <w:rsid w:val="000605D1"/>
    <w:rsid w:val="00060855"/>
    <w:rsid w:val="00061502"/>
    <w:rsid w:val="000618C9"/>
    <w:rsid w:val="000620E1"/>
    <w:rsid w:val="00062CA2"/>
    <w:rsid w:val="00064855"/>
    <w:rsid w:val="00064EC4"/>
    <w:rsid w:val="00065B48"/>
    <w:rsid w:val="00066328"/>
    <w:rsid w:val="000663F6"/>
    <w:rsid w:val="00066AD8"/>
    <w:rsid w:val="000677C5"/>
    <w:rsid w:val="0007134D"/>
    <w:rsid w:val="00071A4A"/>
    <w:rsid w:val="00071F02"/>
    <w:rsid w:val="00072BFF"/>
    <w:rsid w:val="000741E2"/>
    <w:rsid w:val="000758B2"/>
    <w:rsid w:val="0007605E"/>
    <w:rsid w:val="00076D35"/>
    <w:rsid w:val="0008033A"/>
    <w:rsid w:val="00081064"/>
    <w:rsid w:val="000812BE"/>
    <w:rsid w:val="000813B0"/>
    <w:rsid w:val="0008148B"/>
    <w:rsid w:val="00082026"/>
    <w:rsid w:val="000827E1"/>
    <w:rsid w:val="00082B18"/>
    <w:rsid w:val="00084E6C"/>
    <w:rsid w:val="00085010"/>
    <w:rsid w:val="00085304"/>
    <w:rsid w:val="00085D14"/>
    <w:rsid w:val="00087F25"/>
    <w:rsid w:val="000904E7"/>
    <w:rsid w:val="0009197A"/>
    <w:rsid w:val="00092475"/>
    <w:rsid w:val="00092518"/>
    <w:rsid w:val="00095E71"/>
    <w:rsid w:val="00097211"/>
    <w:rsid w:val="0009748A"/>
    <w:rsid w:val="00097BBE"/>
    <w:rsid w:val="000A0518"/>
    <w:rsid w:val="000A0861"/>
    <w:rsid w:val="000A0C91"/>
    <w:rsid w:val="000A2009"/>
    <w:rsid w:val="000A20A4"/>
    <w:rsid w:val="000A2577"/>
    <w:rsid w:val="000A2DB6"/>
    <w:rsid w:val="000A4AC7"/>
    <w:rsid w:val="000A5058"/>
    <w:rsid w:val="000A5C6A"/>
    <w:rsid w:val="000A60ED"/>
    <w:rsid w:val="000A7211"/>
    <w:rsid w:val="000A77A3"/>
    <w:rsid w:val="000A7E5D"/>
    <w:rsid w:val="000B12E2"/>
    <w:rsid w:val="000B1D37"/>
    <w:rsid w:val="000B2C93"/>
    <w:rsid w:val="000B3457"/>
    <w:rsid w:val="000B36DD"/>
    <w:rsid w:val="000B5711"/>
    <w:rsid w:val="000B6020"/>
    <w:rsid w:val="000B6107"/>
    <w:rsid w:val="000B704D"/>
    <w:rsid w:val="000B7F48"/>
    <w:rsid w:val="000C1986"/>
    <w:rsid w:val="000C2283"/>
    <w:rsid w:val="000C2347"/>
    <w:rsid w:val="000C27CA"/>
    <w:rsid w:val="000C2D70"/>
    <w:rsid w:val="000C36A4"/>
    <w:rsid w:val="000C469B"/>
    <w:rsid w:val="000C59CB"/>
    <w:rsid w:val="000D0B08"/>
    <w:rsid w:val="000D1A29"/>
    <w:rsid w:val="000D1DDF"/>
    <w:rsid w:val="000D2A27"/>
    <w:rsid w:val="000D485D"/>
    <w:rsid w:val="000D5156"/>
    <w:rsid w:val="000D5383"/>
    <w:rsid w:val="000D60B0"/>
    <w:rsid w:val="000D62EF"/>
    <w:rsid w:val="000D686E"/>
    <w:rsid w:val="000D68C7"/>
    <w:rsid w:val="000D6CF8"/>
    <w:rsid w:val="000D77A7"/>
    <w:rsid w:val="000E008A"/>
    <w:rsid w:val="000E0BEA"/>
    <w:rsid w:val="000E36AB"/>
    <w:rsid w:val="000E3BE8"/>
    <w:rsid w:val="000E5550"/>
    <w:rsid w:val="000E6FEE"/>
    <w:rsid w:val="000E7AB1"/>
    <w:rsid w:val="000E7E4F"/>
    <w:rsid w:val="000F0A30"/>
    <w:rsid w:val="000F0C82"/>
    <w:rsid w:val="000F178F"/>
    <w:rsid w:val="000F24C8"/>
    <w:rsid w:val="000F2580"/>
    <w:rsid w:val="000F2EBF"/>
    <w:rsid w:val="000F3DA0"/>
    <w:rsid w:val="000F4183"/>
    <w:rsid w:val="000F4876"/>
    <w:rsid w:val="000F555D"/>
    <w:rsid w:val="000F58ED"/>
    <w:rsid w:val="000F5E32"/>
    <w:rsid w:val="000F60AE"/>
    <w:rsid w:val="000F65AB"/>
    <w:rsid w:val="000F6834"/>
    <w:rsid w:val="000F6966"/>
    <w:rsid w:val="000F76AB"/>
    <w:rsid w:val="000F7A45"/>
    <w:rsid w:val="000F7FD8"/>
    <w:rsid w:val="001007D9"/>
    <w:rsid w:val="00100BAC"/>
    <w:rsid w:val="001011E4"/>
    <w:rsid w:val="001017B7"/>
    <w:rsid w:val="00101865"/>
    <w:rsid w:val="001024F2"/>
    <w:rsid w:val="001028A2"/>
    <w:rsid w:val="001034C6"/>
    <w:rsid w:val="001036BF"/>
    <w:rsid w:val="0010415F"/>
    <w:rsid w:val="001049B0"/>
    <w:rsid w:val="00104ADB"/>
    <w:rsid w:val="001057BC"/>
    <w:rsid w:val="001058B8"/>
    <w:rsid w:val="00105CDD"/>
    <w:rsid w:val="0010687C"/>
    <w:rsid w:val="00106FD4"/>
    <w:rsid w:val="00107D2F"/>
    <w:rsid w:val="00107EB6"/>
    <w:rsid w:val="001112C9"/>
    <w:rsid w:val="001118E3"/>
    <w:rsid w:val="001124F0"/>
    <w:rsid w:val="001133D5"/>
    <w:rsid w:val="001139FD"/>
    <w:rsid w:val="00114068"/>
    <w:rsid w:val="00114BD2"/>
    <w:rsid w:val="001150E9"/>
    <w:rsid w:val="001166C8"/>
    <w:rsid w:val="00116F92"/>
    <w:rsid w:val="001171BD"/>
    <w:rsid w:val="00117E18"/>
    <w:rsid w:val="0012107A"/>
    <w:rsid w:val="001221B8"/>
    <w:rsid w:val="0012305A"/>
    <w:rsid w:val="001237D5"/>
    <w:rsid w:val="00127757"/>
    <w:rsid w:val="0012793B"/>
    <w:rsid w:val="001279BF"/>
    <w:rsid w:val="00127E43"/>
    <w:rsid w:val="00127FF6"/>
    <w:rsid w:val="001301F3"/>
    <w:rsid w:val="001313F8"/>
    <w:rsid w:val="00132573"/>
    <w:rsid w:val="00132A80"/>
    <w:rsid w:val="00132F95"/>
    <w:rsid w:val="00132FE8"/>
    <w:rsid w:val="00134409"/>
    <w:rsid w:val="001350E9"/>
    <w:rsid w:val="0013647C"/>
    <w:rsid w:val="00137147"/>
    <w:rsid w:val="0013791C"/>
    <w:rsid w:val="00137AE3"/>
    <w:rsid w:val="00137B8F"/>
    <w:rsid w:val="00141895"/>
    <w:rsid w:val="0014307A"/>
    <w:rsid w:val="00143189"/>
    <w:rsid w:val="001432BD"/>
    <w:rsid w:val="00144747"/>
    <w:rsid w:val="00144D0B"/>
    <w:rsid w:val="00145B37"/>
    <w:rsid w:val="00146558"/>
    <w:rsid w:val="00146766"/>
    <w:rsid w:val="00147566"/>
    <w:rsid w:val="00147666"/>
    <w:rsid w:val="00147887"/>
    <w:rsid w:val="00147955"/>
    <w:rsid w:val="00147A67"/>
    <w:rsid w:val="001500C2"/>
    <w:rsid w:val="00150E21"/>
    <w:rsid w:val="00151053"/>
    <w:rsid w:val="001519CC"/>
    <w:rsid w:val="00151DCA"/>
    <w:rsid w:val="00151FBB"/>
    <w:rsid w:val="00153143"/>
    <w:rsid w:val="0015381E"/>
    <w:rsid w:val="00153C5E"/>
    <w:rsid w:val="00155F96"/>
    <w:rsid w:val="001561CB"/>
    <w:rsid w:val="00156408"/>
    <w:rsid w:val="00156A6B"/>
    <w:rsid w:val="00156BFA"/>
    <w:rsid w:val="001605E6"/>
    <w:rsid w:val="00160677"/>
    <w:rsid w:val="00161C05"/>
    <w:rsid w:val="00161DF9"/>
    <w:rsid w:val="00162383"/>
    <w:rsid w:val="00162CCE"/>
    <w:rsid w:val="0016457B"/>
    <w:rsid w:val="00165221"/>
    <w:rsid w:val="00165253"/>
    <w:rsid w:val="00165891"/>
    <w:rsid w:val="00166286"/>
    <w:rsid w:val="001679B4"/>
    <w:rsid w:val="001702A8"/>
    <w:rsid w:val="00170545"/>
    <w:rsid w:val="00171ADD"/>
    <w:rsid w:val="00172D4F"/>
    <w:rsid w:val="00174363"/>
    <w:rsid w:val="0017459B"/>
    <w:rsid w:val="00174A74"/>
    <w:rsid w:val="00174A8F"/>
    <w:rsid w:val="00175428"/>
    <w:rsid w:val="00175BB6"/>
    <w:rsid w:val="00175CEB"/>
    <w:rsid w:val="00176367"/>
    <w:rsid w:val="00176773"/>
    <w:rsid w:val="00176E8E"/>
    <w:rsid w:val="00177944"/>
    <w:rsid w:val="00180118"/>
    <w:rsid w:val="001807FF"/>
    <w:rsid w:val="0018081B"/>
    <w:rsid w:val="00182D6C"/>
    <w:rsid w:val="00182DCE"/>
    <w:rsid w:val="00182F0F"/>
    <w:rsid w:val="00183D24"/>
    <w:rsid w:val="00184C8A"/>
    <w:rsid w:val="001851A6"/>
    <w:rsid w:val="001875A7"/>
    <w:rsid w:val="001879E1"/>
    <w:rsid w:val="00187E51"/>
    <w:rsid w:val="0019070D"/>
    <w:rsid w:val="0019151D"/>
    <w:rsid w:val="00191D10"/>
    <w:rsid w:val="00192AE6"/>
    <w:rsid w:val="0019361B"/>
    <w:rsid w:val="0019375E"/>
    <w:rsid w:val="0019389B"/>
    <w:rsid w:val="0019396A"/>
    <w:rsid w:val="00194CDF"/>
    <w:rsid w:val="00194FF3"/>
    <w:rsid w:val="00195BA5"/>
    <w:rsid w:val="001961FC"/>
    <w:rsid w:val="00196522"/>
    <w:rsid w:val="001A0C96"/>
    <w:rsid w:val="001A1B94"/>
    <w:rsid w:val="001A22F5"/>
    <w:rsid w:val="001A32CB"/>
    <w:rsid w:val="001A3EA6"/>
    <w:rsid w:val="001A3EE2"/>
    <w:rsid w:val="001A4B83"/>
    <w:rsid w:val="001A7FD2"/>
    <w:rsid w:val="001B0041"/>
    <w:rsid w:val="001B0125"/>
    <w:rsid w:val="001B01AD"/>
    <w:rsid w:val="001B107D"/>
    <w:rsid w:val="001B1108"/>
    <w:rsid w:val="001B1E95"/>
    <w:rsid w:val="001B20A8"/>
    <w:rsid w:val="001B2CD9"/>
    <w:rsid w:val="001B38FF"/>
    <w:rsid w:val="001B39C2"/>
    <w:rsid w:val="001B62A0"/>
    <w:rsid w:val="001B7973"/>
    <w:rsid w:val="001C066E"/>
    <w:rsid w:val="001C17B0"/>
    <w:rsid w:val="001C2357"/>
    <w:rsid w:val="001C282F"/>
    <w:rsid w:val="001C2D8D"/>
    <w:rsid w:val="001C2F9F"/>
    <w:rsid w:val="001C3087"/>
    <w:rsid w:val="001C6110"/>
    <w:rsid w:val="001C62E6"/>
    <w:rsid w:val="001C6A89"/>
    <w:rsid w:val="001C7F97"/>
    <w:rsid w:val="001D0086"/>
    <w:rsid w:val="001D0094"/>
    <w:rsid w:val="001D00D6"/>
    <w:rsid w:val="001D10E0"/>
    <w:rsid w:val="001D230D"/>
    <w:rsid w:val="001D2311"/>
    <w:rsid w:val="001D43DB"/>
    <w:rsid w:val="001D4965"/>
    <w:rsid w:val="001D4A5C"/>
    <w:rsid w:val="001D51A3"/>
    <w:rsid w:val="001D59E5"/>
    <w:rsid w:val="001D67AC"/>
    <w:rsid w:val="001D6F55"/>
    <w:rsid w:val="001D7012"/>
    <w:rsid w:val="001D7BD2"/>
    <w:rsid w:val="001E0C62"/>
    <w:rsid w:val="001E1AF6"/>
    <w:rsid w:val="001E2A4D"/>
    <w:rsid w:val="001E53C2"/>
    <w:rsid w:val="001E57C1"/>
    <w:rsid w:val="001E5979"/>
    <w:rsid w:val="001E6927"/>
    <w:rsid w:val="001E6FC5"/>
    <w:rsid w:val="001F0E9C"/>
    <w:rsid w:val="001F0EB8"/>
    <w:rsid w:val="001F1540"/>
    <w:rsid w:val="001F176D"/>
    <w:rsid w:val="001F2768"/>
    <w:rsid w:val="001F2DB2"/>
    <w:rsid w:val="001F2FF9"/>
    <w:rsid w:val="001F3D1A"/>
    <w:rsid w:val="001F4A67"/>
    <w:rsid w:val="001F652C"/>
    <w:rsid w:val="001F67A1"/>
    <w:rsid w:val="001F7690"/>
    <w:rsid w:val="001F78D9"/>
    <w:rsid w:val="0020044B"/>
    <w:rsid w:val="00201349"/>
    <w:rsid w:val="002013B6"/>
    <w:rsid w:val="00202766"/>
    <w:rsid w:val="00202DB8"/>
    <w:rsid w:val="00204265"/>
    <w:rsid w:val="00205934"/>
    <w:rsid w:val="00205F0B"/>
    <w:rsid w:val="002060B4"/>
    <w:rsid w:val="0020681A"/>
    <w:rsid w:val="00206E74"/>
    <w:rsid w:val="00207736"/>
    <w:rsid w:val="00207CD6"/>
    <w:rsid w:val="00210A50"/>
    <w:rsid w:val="002122CB"/>
    <w:rsid w:val="00212460"/>
    <w:rsid w:val="002127CA"/>
    <w:rsid w:val="002127E0"/>
    <w:rsid w:val="00213D51"/>
    <w:rsid w:val="002140E9"/>
    <w:rsid w:val="0021453D"/>
    <w:rsid w:val="0021599D"/>
    <w:rsid w:val="00215D0D"/>
    <w:rsid w:val="00215E41"/>
    <w:rsid w:val="00216E9C"/>
    <w:rsid w:val="0021730F"/>
    <w:rsid w:val="00217551"/>
    <w:rsid w:val="00217AEF"/>
    <w:rsid w:val="00217ED8"/>
    <w:rsid w:val="00220E23"/>
    <w:rsid w:val="00220ED2"/>
    <w:rsid w:val="00221EC9"/>
    <w:rsid w:val="00222731"/>
    <w:rsid w:val="002229C6"/>
    <w:rsid w:val="002232D9"/>
    <w:rsid w:val="00223C6D"/>
    <w:rsid w:val="00223ECD"/>
    <w:rsid w:val="002241A6"/>
    <w:rsid w:val="002241E8"/>
    <w:rsid w:val="002244D2"/>
    <w:rsid w:val="00224774"/>
    <w:rsid w:val="002247B0"/>
    <w:rsid w:val="00224F7A"/>
    <w:rsid w:val="00225152"/>
    <w:rsid w:val="002260D8"/>
    <w:rsid w:val="002275FF"/>
    <w:rsid w:val="00230E81"/>
    <w:rsid w:val="002312EA"/>
    <w:rsid w:val="00231D7C"/>
    <w:rsid w:val="00232673"/>
    <w:rsid w:val="0023301D"/>
    <w:rsid w:val="00233CFE"/>
    <w:rsid w:val="002348E4"/>
    <w:rsid w:val="00234F23"/>
    <w:rsid w:val="00236863"/>
    <w:rsid w:val="00236B3F"/>
    <w:rsid w:val="00237C1F"/>
    <w:rsid w:val="00237D0D"/>
    <w:rsid w:val="00241116"/>
    <w:rsid w:val="002417D7"/>
    <w:rsid w:val="00242711"/>
    <w:rsid w:val="00242C30"/>
    <w:rsid w:val="002432D8"/>
    <w:rsid w:val="002433A4"/>
    <w:rsid w:val="002435DC"/>
    <w:rsid w:val="0024366B"/>
    <w:rsid w:val="00243EAA"/>
    <w:rsid w:val="00246501"/>
    <w:rsid w:val="002475C7"/>
    <w:rsid w:val="00247B17"/>
    <w:rsid w:val="00250389"/>
    <w:rsid w:val="00251439"/>
    <w:rsid w:val="00251FF7"/>
    <w:rsid w:val="00252669"/>
    <w:rsid w:val="00254209"/>
    <w:rsid w:val="00254288"/>
    <w:rsid w:val="0025469C"/>
    <w:rsid w:val="00254BE7"/>
    <w:rsid w:val="0025667F"/>
    <w:rsid w:val="00256ED9"/>
    <w:rsid w:val="002579CE"/>
    <w:rsid w:val="00260492"/>
    <w:rsid w:val="00260FEC"/>
    <w:rsid w:val="002610D3"/>
    <w:rsid w:val="002613A0"/>
    <w:rsid w:val="00261DD6"/>
    <w:rsid w:val="00262A50"/>
    <w:rsid w:val="002657E2"/>
    <w:rsid w:val="00267FAA"/>
    <w:rsid w:val="00271D68"/>
    <w:rsid w:val="00271E0B"/>
    <w:rsid w:val="002727CC"/>
    <w:rsid w:val="00273679"/>
    <w:rsid w:val="00275CC4"/>
    <w:rsid w:val="002767EE"/>
    <w:rsid w:val="00281A35"/>
    <w:rsid w:val="00281AD9"/>
    <w:rsid w:val="00281DA5"/>
    <w:rsid w:val="00282956"/>
    <w:rsid w:val="00283568"/>
    <w:rsid w:val="00284486"/>
    <w:rsid w:val="00285118"/>
    <w:rsid w:val="00285644"/>
    <w:rsid w:val="0028581E"/>
    <w:rsid w:val="00286CFD"/>
    <w:rsid w:val="00287034"/>
    <w:rsid w:val="0028757D"/>
    <w:rsid w:val="00287DB9"/>
    <w:rsid w:val="00291497"/>
    <w:rsid w:val="00291D61"/>
    <w:rsid w:val="0029209D"/>
    <w:rsid w:val="00293491"/>
    <w:rsid w:val="002934DF"/>
    <w:rsid w:val="00294301"/>
    <w:rsid w:val="00295D6A"/>
    <w:rsid w:val="00295F53"/>
    <w:rsid w:val="00296AE5"/>
    <w:rsid w:val="00296D46"/>
    <w:rsid w:val="00297D7D"/>
    <w:rsid w:val="002A0FB8"/>
    <w:rsid w:val="002A19D4"/>
    <w:rsid w:val="002A1B97"/>
    <w:rsid w:val="002A1FC1"/>
    <w:rsid w:val="002A3A25"/>
    <w:rsid w:val="002A42EA"/>
    <w:rsid w:val="002A4AE4"/>
    <w:rsid w:val="002A5191"/>
    <w:rsid w:val="002A57D2"/>
    <w:rsid w:val="002A6193"/>
    <w:rsid w:val="002A66CD"/>
    <w:rsid w:val="002A7BD4"/>
    <w:rsid w:val="002A7F32"/>
    <w:rsid w:val="002B1648"/>
    <w:rsid w:val="002B2042"/>
    <w:rsid w:val="002B20A1"/>
    <w:rsid w:val="002B226E"/>
    <w:rsid w:val="002B3E72"/>
    <w:rsid w:val="002B41E5"/>
    <w:rsid w:val="002B46D4"/>
    <w:rsid w:val="002B531B"/>
    <w:rsid w:val="002B54CF"/>
    <w:rsid w:val="002B592B"/>
    <w:rsid w:val="002B61C0"/>
    <w:rsid w:val="002B6533"/>
    <w:rsid w:val="002B68BD"/>
    <w:rsid w:val="002B726F"/>
    <w:rsid w:val="002C02B9"/>
    <w:rsid w:val="002C0440"/>
    <w:rsid w:val="002C06E4"/>
    <w:rsid w:val="002C0DC2"/>
    <w:rsid w:val="002C255D"/>
    <w:rsid w:val="002C2EA7"/>
    <w:rsid w:val="002C33B4"/>
    <w:rsid w:val="002C3951"/>
    <w:rsid w:val="002C4046"/>
    <w:rsid w:val="002C458A"/>
    <w:rsid w:val="002C51B6"/>
    <w:rsid w:val="002C711A"/>
    <w:rsid w:val="002D15E8"/>
    <w:rsid w:val="002D1819"/>
    <w:rsid w:val="002D1BE4"/>
    <w:rsid w:val="002D1D6C"/>
    <w:rsid w:val="002D4AE8"/>
    <w:rsid w:val="002D7463"/>
    <w:rsid w:val="002E1C06"/>
    <w:rsid w:val="002E1E21"/>
    <w:rsid w:val="002E2418"/>
    <w:rsid w:val="002E4F9B"/>
    <w:rsid w:val="002E5015"/>
    <w:rsid w:val="002E55B9"/>
    <w:rsid w:val="002E5C3A"/>
    <w:rsid w:val="002E647A"/>
    <w:rsid w:val="002E6831"/>
    <w:rsid w:val="002E6AD8"/>
    <w:rsid w:val="002E6BF7"/>
    <w:rsid w:val="002E77A9"/>
    <w:rsid w:val="002E78B1"/>
    <w:rsid w:val="002E7ACF"/>
    <w:rsid w:val="002F02B9"/>
    <w:rsid w:val="002F0C1A"/>
    <w:rsid w:val="002F0CE9"/>
    <w:rsid w:val="002F0FC5"/>
    <w:rsid w:val="002F3BD0"/>
    <w:rsid w:val="002F3DBF"/>
    <w:rsid w:val="002F58D8"/>
    <w:rsid w:val="002F5C8A"/>
    <w:rsid w:val="002F5FCB"/>
    <w:rsid w:val="002F69C1"/>
    <w:rsid w:val="002F6F44"/>
    <w:rsid w:val="002F77DA"/>
    <w:rsid w:val="0030032A"/>
    <w:rsid w:val="003005D5"/>
    <w:rsid w:val="003007B1"/>
    <w:rsid w:val="00300A0B"/>
    <w:rsid w:val="003014A1"/>
    <w:rsid w:val="00301F46"/>
    <w:rsid w:val="003026E8"/>
    <w:rsid w:val="003037E1"/>
    <w:rsid w:val="00303CAD"/>
    <w:rsid w:val="00303CD6"/>
    <w:rsid w:val="00303E71"/>
    <w:rsid w:val="00304172"/>
    <w:rsid w:val="003043D0"/>
    <w:rsid w:val="00304E7C"/>
    <w:rsid w:val="00306418"/>
    <w:rsid w:val="00306902"/>
    <w:rsid w:val="003074B3"/>
    <w:rsid w:val="003100F3"/>
    <w:rsid w:val="003107D9"/>
    <w:rsid w:val="00310B76"/>
    <w:rsid w:val="00310C11"/>
    <w:rsid w:val="00310FA6"/>
    <w:rsid w:val="00311D8B"/>
    <w:rsid w:val="00312456"/>
    <w:rsid w:val="00315604"/>
    <w:rsid w:val="00315651"/>
    <w:rsid w:val="00316600"/>
    <w:rsid w:val="0031664C"/>
    <w:rsid w:val="00316EEE"/>
    <w:rsid w:val="003172EC"/>
    <w:rsid w:val="00320F16"/>
    <w:rsid w:val="0032170B"/>
    <w:rsid w:val="00321C43"/>
    <w:rsid w:val="003221F7"/>
    <w:rsid w:val="003225B5"/>
    <w:rsid w:val="00322AF7"/>
    <w:rsid w:val="00322F72"/>
    <w:rsid w:val="00323325"/>
    <w:rsid w:val="00323F56"/>
    <w:rsid w:val="00324372"/>
    <w:rsid w:val="003243B0"/>
    <w:rsid w:val="00325EC0"/>
    <w:rsid w:val="0032692F"/>
    <w:rsid w:val="00326A39"/>
    <w:rsid w:val="00330729"/>
    <w:rsid w:val="00330DA7"/>
    <w:rsid w:val="00332F55"/>
    <w:rsid w:val="00333116"/>
    <w:rsid w:val="003340EC"/>
    <w:rsid w:val="003345D8"/>
    <w:rsid w:val="00334F60"/>
    <w:rsid w:val="003350FF"/>
    <w:rsid w:val="0033581B"/>
    <w:rsid w:val="00335E24"/>
    <w:rsid w:val="003374B1"/>
    <w:rsid w:val="0034057C"/>
    <w:rsid w:val="003407FA"/>
    <w:rsid w:val="00340D51"/>
    <w:rsid w:val="00341DA8"/>
    <w:rsid w:val="00342BF2"/>
    <w:rsid w:val="00343417"/>
    <w:rsid w:val="00345880"/>
    <w:rsid w:val="00345EF4"/>
    <w:rsid w:val="00346919"/>
    <w:rsid w:val="00346926"/>
    <w:rsid w:val="003472DE"/>
    <w:rsid w:val="00347DE3"/>
    <w:rsid w:val="00350142"/>
    <w:rsid w:val="00350D3D"/>
    <w:rsid w:val="003514F4"/>
    <w:rsid w:val="00352BAE"/>
    <w:rsid w:val="003535F4"/>
    <w:rsid w:val="00353724"/>
    <w:rsid w:val="00353B6D"/>
    <w:rsid w:val="00354920"/>
    <w:rsid w:val="00355DC6"/>
    <w:rsid w:val="003565AB"/>
    <w:rsid w:val="00357700"/>
    <w:rsid w:val="003604D7"/>
    <w:rsid w:val="00360759"/>
    <w:rsid w:val="00360D94"/>
    <w:rsid w:val="00361176"/>
    <w:rsid w:val="0036164E"/>
    <w:rsid w:val="0036194F"/>
    <w:rsid w:val="003627C6"/>
    <w:rsid w:val="0036351E"/>
    <w:rsid w:val="00363615"/>
    <w:rsid w:val="00364521"/>
    <w:rsid w:val="00365026"/>
    <w:rsid w:val="0036506C"/>
    <w:rsid w:val="00366353"/>
    <w:rsid w:val="00367F82"/>
    <w:rsid w:val="00370CB0"/>
    <w:rsid w:val="003717CF"/>
    <w:rsid w:val="0037229E"/>
    <w:rsid w:val="00372798"/>
    <w:rsid w:val="00372803"/>
    <w:rsid w:val="00373387"/>
    <w:rsid w:val="003749EC"/>
    <w:rsid w:val="003756AF"/>
    <w:rsid w:val="00375815"/>
    <w:rsid w:val="003758FD"/>
    <w:rsid w:val="00375E9B"/>
    <w:rsid w:val="00377383"/>
    <w:rsid w:val="003778BD"/>
    <w:rsid w:val="00380441"/>
    <w:rsid w:val="00380BDB"/>
    <w:rsid w:val="003811BA"/>
    <w:rsid w:val="00381431"/>
    <w:rsid w:val="00381447"/>
    <w:rsid w:val="00382696"/>
    <w:rsid w:val="00382E61"/>
    <w:rsid w:val="0038358D"/>
    <w:rsid w:val="00383D33"/>
    <w:rsid w:val="0038438A"/>
    <w:rsid w:val="00385FFC"/>
    <w:rsid w:val="003864D2"/>
    <w:rsid w:val="00390249"/>
    <w:rsid w:val="00390BF8"/>
    <w:rsid w:val="00390D40"/>
    <w:rsid w:val="0039109D"/>
    <w:rsid w:val="00392877"/>
    <w:rsid w:val="00392E12"/>
    <w:rsid w:val="0039353B"/>
    <w:rsid w:val="003942BA"/>
    <w:rsid w:val="00394B72"/>
    <w:rsid w:val="00394C37"/>
    <w:rsid w:val="00394D7E"/>
    <w:rsid w:val="003956E9"/>
    <w:rsid w:val="00395809"/>
    <w:rsid w:val="00395EB4"/>
    <w:rsid w:val="003963CA"/>
    <w:rsid w:val="003965EC"/>
    <w:rsid w:val="00396BA0"/>
    <w:rsid w:val="00396CF5"/>
    <w:rsid w:val="00397543"/>
    <w:rsid w:val="00397BC9"/>
    <w:rsid w:val="003A0927"/>
    <w:rsid w:val="003A0E17"/>
    <w:rsid w:val="003A0EBA"/>
    <w:rsid w:val="003A16DB"/>
    <w:rsid w:val="003A24F5"/>
    <w:rsid w:val="003A349F"/>
    <w:rsid w:val="003A357E"/>
    <w:rsid w:val="003A461D"/>
    <w:rsid w:val="003A6126"/>
    <w:rsid w:val="003A6663"/>
    <w:rsid w:val="003A6E62"/>
    <w:rsid w:val="003A6E68"/>
    <w:rsid w:val="003A78B5"/>
    <w:rsid w:val="003A7B37"/>
    <w:rsid w:val="003A7BE8"/>
    <w:rsid w:val="003A7C85"/>
    <w:rsid w:val="003A7FBE"/>
    <w:rsid w:val="003B0074"/>
    <w:rsid w:val="003B0B01"/>
    <w:rsid w:val="003B0D09"/>
    <w:rsid w:val="003B0EDD"/>
    <w:rsid w:val="003B1454"/>
    <w:rsid w:val="003B14CB"/>
    <w:rsid w:val="003B165A"/>
    <w:rsid w:val="003B1A7B"/>
    <w:rsid w:val="003B2140"/>
    <w:rsid w:val="003B5897"/>
    <w:rsid w:val="003B5AD4"/>
    <w:rsid w:val="003B5D41"/>
    <w:rsid w:val="003B6BEF"/>
    <w:rsid w:val="003B794E"/>
    <w:rsid w:val="003C0AFA"/>
    <w:rsid w:val="003C1B21"/>
    <w:rsid w:val="003C28B8"/>
    <w:rsid w:val="003C443E"/>
    <w:rsid w:val="003C497F"/>
    <w:rsid w:val="003C52A2"/>
    <w:rsid w:val="003C5327"/>
    <w:rsid w:val="003C5753"/>
    <w:rsid w:val="003C5C01"/>
    <w:rsid w:val="003C6934"/>
    <w:rsid w:val="003C798E"/>
    <w:rsid w:val="003C7FD0"/>
    <w:rsid w:val="003D0268"/>
    <w:rsid w:val="003D118A"/>
    <w:rsid w:val="003D1A43"/>
    <w:rsid w:val="003D1A64"/>
    <w:rsid w:val="003D1BFF"/>
    <w:rsid w:val="003D5FF4"/>
    <w:rsid w:val="003D6067"/>
    <w:rsid w:val="003D624F"/>
    <w:rsid w:val="003D75E8"/>
    <w:rsid w:val="003D778F"/>
    <w:rsid w:val="003D7EEF"/>
    <w:rsid w:val="003E1166"/>
    <w:rsid w:val="003E1C6C"/>
    <w:rsid w:val="003E31E5"/>
    <w:rsid w:val="003E32ED"/>
    <w:rsid w:val="003E3A39"/>
    <w:rsid w:val="003E47E0"/>
    <w:rsid w:val="003E58C9"/>
    <w:rsid w:val="003E5AD4"/>
    <w:rsid w:val="003E6100"/>
    <w:rsid w:val="003E61DD"/>
    <w:rsid w:val="003E655E"/>
    <w:rsid w:val="003E68B5"/>
    <w:rsid w:val="003E7C65"/>
    <w:rsid w:val="003F0DFC"/>
    <w:rsid w:val="003F164F"/>
    <w:rsid w:val="003F1A16"/>
    <w:rsid w:val="003F5558"/>
    <w:rsid w:val="003F5B65"/>
    <w:rsid w:val="003F650B"/>
    <w:rsid w:val="003F7D12"/>
    <w:rsid w:val="003F7E89"/>
    <w:rsid w:val="004004E9"/>
    <w:rsid w:val="004005A1"/>
    <w:rsid w:val="004011BD"/>
    <w:rsid w:val="0040185F"/>
    <w:rsid w:val="00401E7C"/>
    <w:rsid w:val="004030F5"/>
    <w:rsid w:val="004052C5"/>
    <w:rsid w:val="004059FB"/>
    <w:rsid w:val="00406B9B"/>
    <w:rsid w:val="00407715"/>
    <w:rsid w:val="00407A93"/>
    <w:rsid w:val="004100AA"/>
    <w:rsid w:val="00410CD2"/>
    <w:rsid w:val="00411AF1"/>
    <w:rsid w:val="00412203"/>
    <w:rsid w:val="004134C9"/>
    <w:rsid w:val="00413D17"/>
    <w:rsid w:val="00414814"/>
    <w:rsid w:val="00414F9B"/>
    <w:rsid w:val="004153E3"/>
    <w:rsid w:val="00415D63"/>
    <w:rsid w:val="00416D4C"/>
    <w:rsid w:val="00417C10"/>
    <w:rsid w:val="00417DE3"/>
    <w:rsid w:val="00420B07"/>
    <w:rsid w:val="00420BF3"/>
    <w:rsid w:val="00421BA5"/>
    <w:rsid w:val="00422869"/>
    <w:rsid w:val="00423D2F"/>
    <w:rsid w:val="00423DC3"/>
    <w:rsid w:val="00423F48"/>
    <w:rsid w:val="004247D0"/>
    <w:rsid w:val="0042519C"/>
    <w:rsid w:val="004259BA"/>
    <w:rsid w:val="00426448"/>
    <w:rsid w:val="00426613"/>
    <w:rsid w:val="00427457"/>
    <w:rsid w:val="00427B6E"/>
    <w:rsid w:val="00427B9F"/>
    <w:rsid w:val="00430482"/>
    <w:rsid w:val="0043142A"/>
    <w:rsid w:val="00431C6D"/>
    <w:rsid w:val="00431CE3"/>
    <w:rsid w:val="004321C5"/>
    <w:rsid w:val="004324CF"/>
    <w:rsid w:val="0043257A"/>
    <w:rsid w:val="00432FB6"/>
    <w:rsid w:val="00433645"/>
    <w:rsid w:val="004339FC"/>
    <w:rsid w:val="00433B88"/>
    <w:rsid w:val="00434202"/>
    <w:rsid w:val="004344E2"/>
    <w:rsid w:val="00435661"/>
    <w:rsid w:val="004356F7"/>
    <w:rsid w:val="00436DD4"/>
    <w:rsid w:val="00436FD3"/>
    <w:rsid w:val="00437789"/>
    <w:rsid w:val="004401D4"/>
    <w:rsid w:val="004406CF"/>
    <w:rsid w:val="00441804"/>
    <w:rsid w:val="004435B4"/>
    <w:rsid w:val="00443A63"/>
    <w:rsid w:val="004448B0"/>
    <w:rsid w:val="00444B20"/>
    <w:rsid w:val="0044550A"/>
    <w:rsid w:val="004461BC"/>
    <w:rsid w:val="004463BA"/>
    <w:rsid w:val="00447F7D"/>
    <w:rsid w:val="00451065"/>
    <w:rsid w:val="0045504F"/>
    <w:rsid w:val="00456223"/>
    <w:rsid w:val="00460032"/>
    <w:rsid w:val="0046048A"/>
    <w:rsid w:val="00460BA0"/>
    <w:rsid w:val="00463AE9"/>
    <w:rsid w:val="00463D81"/>
    <w:rsid w:val="004641EB"/>
    <w:rsid w:val="00465C75"/>
    <w:rsid w:val="00466346"/>
    <w:rsid w:val="00466604"/>
    <w:rsid w:val="004702B0"/>
    <w:rsid w:val="00472003"/>
    <w:rsid w:val="0047317B"/>
    <w:rsid w:val="00473CCF"/>
    <w:rsid w:val="004751D6"/>
    <w:rsid w:val="00475E6B"/>
    <w:rsid w:val="00476BA1"/>
    <w:rsid w:val="00476E2C"/>
    <w:rsid w:val="004777D3"/>
    <w:rsid w:val="00477DBA"/>
    <w:rsid w:val="00477E20"/>
    <w:rsid w:val="00480707"/>
    <w:rsid w:val="00480938"/>
    <w:rsid w:val="00480BB8"/>
    <w:rsid w:val="00481D51"/>
    <w:rsid w:val="00483482"/>
    <w:rsid w:val="00483936"/>
    <w:rsid w:val="00483A63"/>
    <w:rsid w:val="00483AAE"/>
    <w:rsid w:val="0048519E"/>
    <w:rsid w:val="004851D5"/>
    <w:rsid w:val="00485C4A"/>
    <w:rsid w:val="00485E3E"/>
    <w:rsid w:val="00485EC7"/>
    <w:rsid w:val="004860BD"/>
    <w:rsid w:val="00487430"/>
    <w:rsid w:val="00490CC6"/>
    <w:rsid w:val="00492B02"/>
    <w:rsid w:val="00492B6A"/>
    <w:rsid w:val="00495DAC"/>
    <w:rsid w:val="00496768"/>
    <w:rsid w:val="00497C24"/>
    <w:rsid w:val="004A071D"/>
    <w:rsid w:val="004A0A7B"/>
    <w:rsid w:val="004A0BB0"/>
    <w:rsid w:val="004A1646"/>
    <w:rsid w:val="004A260B"/>
    <w:rsid w:val="004A26CD"/>
    <w:rsid w:val="004A2C97"/>
    <w:rsid w:val="004A300B"/>
    <w:rsid w:val="004A3584"/>
    <w:rsid w:val="004A466C"/>
    <w:rsid w:val="004A5121"/>
    <w:rsid w:val="004A577A"/>
    <w:rsid w:val="004A5780"/>
    <w:rsid w:val="004A61D0"/>
    <w:rsid w:val="004A6ECB"/>
    <w:rsid w:val="004A76C5"/>
    <w:rsid w:val="004A7990"/>
    <w:rsid w:val="004B1796"/>
    <w:rsid w:val="004B1CC2"/>
    <w:rsid w:val="004B1DF4"/>
    <w:rsid w:val="004B372C"/>
    <w:rsid w:val="004B591D"/>
    <w:rsid w:val="004B6078"/>
    <w:rsid w:val="004B63BD"/>
    <w:rsid w:val="004B7387"/>
    <w:rsid w:val="004B7542"/>
    <w:rsid w:val="004B769A"/>
    <w:rsid w:val="004B7DB2"/>
    <w:rsid w:val="004C080C"/>
    <w:rsid w:val="004C14AC"/>
    <w:rsid w:val="004C201C"/>
    <w:rsid w:val="004C3224"/>
    <w:rsid w:val="004C36E5"/>
    <w:rsid w:val="004C4ACC"/>
    <w:rsid w:val="004C6B28"/>
    <w:rsid w:val="004C6F68"/>
    <w:rsid w:val="004C74C3"/>
    <w:rsid w:val="004C7AA9"/>
    <w:rsid w:val="004C7E83"/>
    <w:rsid w:val="004C7F28"/>
    <w:rsid w:val="004D0A3B"/>
    <w:rsid w:val="004D1C06"/>
    <w:rsid w:val="004D2B43"/>
    <w:rsid w:val="004D2D1A"/>
    <w:rsid w:val="004D2F08"/>
    <w:rsid w:val="004D452E"/>
    <w:rsid w:val="004D45DF"/>
    <w:rsid w:val="004D583C"/>
    <w:rsid w:val="004D5DB3"/>
    <w:rsid w:val="004D6BFF"/>
    <w:rsid w:val="004D7B0B"/>
    <w:rsid w:val="004E1DCE"/>
    <w:rsid w:val="004E2126"/>
    <w:rsid w:val="004E24D9"/>
    <w:rsid w:val="004E345F"/>
    <w:rsid w:val="004E3BBA"/>
    <w:rsid w:val="004E401B"/>
    <w:rsid w:val="004E41C7"/>
    <w:rsid w:val="004E4274"/>
    <w:rsid w:val="004E4726"/>
    <w:rsid w:val="004E59B8"/>
    <w:rsid w:val="004E5EAD"/>
    <w:rsid w:val="004E6A3B"/>
    <w:rsid w:val="004E7DB7"/>
    <w:rsid w:val="004F1A6A"/>
    <w:rsid w:val="004F1E2D"/>
    <w:rsid w:val="004F2D88"/>
    <w:rsid w:val="004F2E85"/>
    <w:rsid w:val="004F3D21"/>
    <w:rsid w:val="004F431E"/>
    <w:rsid w:val="004F44D0"/>
    <w:rsid w:val="004F583D"/>
    <w:rsid w:val="004F60EF"/>
    <w:rsid w:val="004F66B6"/>
    <w:rsid w:val="004F7B6E"/>
    <w:rsid w:val="005000AA"/>
    <w:rsid w:val="005029F8"/>
    <w:rsid w:val="005034EE"/>
    <w:rsid w:val="005059CD"/>
    <w:rsid w:val="00506429"/>
    <w:rsid w:val="00506E71"/>
    <w:rsid w:val="005070C3"/>
    <w:rsid w:val="00507A11"/>
    <w:rsid w:val="00507C00"/>
    <w:rsid w:val="0051276F"/>
    <w:rsid w:val="00512D06"/>
    <w:rsid w:val="005130AC"/>
    <w:rsid w:val="005130CC"/>
    <w:rsid w:val="00513DF5"/>
    <w:rsid w:val="0051676E"/>
    <w:rsid w:val="005178F8"/>
    <w:rsid w:val="005179FB"/>
    <w:rsid w:val="00520212"/>
    <w:rsid w:val="005220BE"/>
    <w:rsid w:val="00522CC8"/>
    <w:rsid w:val="005244D0"/>
    <w:rsid w:val="0052465B"/>
    <w:rsid w:val="005248FB"/>
    <w:rsid w:val="00526575"/>
    <w:rsid w:val="0053014B"/>
    <w:rsid w:val="00531DFA"/>
    <w:rsid w:val="00532546"/>
    <w:rsid w:val="00532842"/>
    <w:rsid w:val="00532DCC"/>
    <w:rsid w:val="005334E8"/>
    <w:rsid w:val="00533B79"/>
    <w:rsid w:val="00533FD4"/>
    <w:rsid w:val="00534258"/>
    <w:rsid w:val="00534815"/>
    <w:rsid w:val="00535F37"/>
    <w:rsid w:val="00536006"/>
    <w:rsid w:val="005370F3"/>
    <w:rsid w:val="005411EA"/>
    <w:rsid w:val="00541AD6"/>
    <w:rsid w:val="005421AC"/>
    <w:rsid w:val="00542B5F"/>
    <w:rsid w:val="00542D5F"/>
    <w:rsid w:val="005435DE"/>
    <w:rsid w:val="00543AD3"/>
    <w:rsid w:val="005441AD"/>
    <w:rsid w:val="00544916"/>
    <w:rsid w:val="00544C28"/>
    <w:rsid w:val="005452AA"/>
    <w:rsid w:val="0054589F"/>
    <w:rsid w:val="00546769"/>
    <w:rsid w:val="00546998"/>
    <w:rsid w:val="00546BAE"/>
    <w:rsid w:val="00546C2A"/>
    <w:rsid w:val="00546C4E"/>
    <w:rsid w:val="005478D5"/>
    <w:rsid w:val="00547C2B"/>
    <w:rsid w:val="005502D2"/>
    <w:rsid w:val="00550C2F"/>
    <w:rsid w:val="0055126B"/>
    <w:rsid w:val="005525C5"/>
    <w:rsid w:val="00552623"/>
    <w:rsid w:val="00552EBD"/>
    <w:rsid w:val="00553108"/>
    <w:rsid w:val="00553827"/>
    <w:rsid w:val="00553943"/>
    <w:rsid w:val="00553988"/>
    <w:rsid w:val="00554A04"/>
    <w:rsid w:val="00554B85"/>
    <w:rsid w:val="00555F71"/>
    <w:rsid w:val="005601B9"/>
    <w:rsid w:val="00563BEB"/>
    <w:rsid w:val="00566849"/>
    <w:rsid w:val="00566F49"/>
    <w:rsid w:val="00570981"/>
    <w:rsid w:val="00571CE1"/>
    <w:rsid w:val="00571D56"/>
    <w:rsid w:val="0057318B"/>
    <w:rsid w:val="005740F6"/>
    <w:rsid w:val="005743D2"/>
    <w:rsid w:val="00575905"/>
    <w:rsid w:val="0057600C"/>
    <w:rsid w:val="0057608D"/>
    <w:rsid w:val="00577102"/>
    <w:rsid w:val="005774D1"/>
    <w:rsid w:val="005802BD"/>
    <w:rsid w:val="00580BBC"/>
    <w:rsid w:val="00581A10"/>
    <w:rsid w:val="00581ABD"/>
    <w:rsid w:val="00581FA4"/>
    <w:rsid w:val="00583D42"/>
    <w:rsid w:val="00584F84"/>
    <w:rsid w:val="0058655A"/>
    <w:rsid w:val="00586586"/>
    <w:rsid w:val="00586C18"/>
    <w:rsid w:val="00586FA8"/>
    <w:rsid w:val="00587A4C"/>
    <w:rsid w:val="00587F23"/>
    <w:rsid w:val="0059068D"/>
    <w:rsid w:val="00591E3A"/>
    <w:rsid w:val="00592397"/>
    <w:rsid w:val="00592977"/>
    <w:rsid w:val="00593673"/>
    <w:rsid w:val="00593CB4"/>
    <w:rsid w:val="00593E68"/>
    <w:rsid w:val="00594652"/>
    <w:rsid w:val="005948CA"/>
    <w:rsid w:val="0059552A"/>
    <w:rsid w:val="00597B3C"/>
    <w:rsid w:val="005A0362"/>
    <w:rsid w:val="005A11E2"/>
    <w:rsid w:val="005A184C"/>
    <w:rsid w:val="005A18B3"/>
    <w:rsid w:val="005A237B"/>
    <w:rsid w:val="005A474A"/>
    <w:rsid w:val="005A52AC"/>
    <w:rsid w:val="005A5EB9"/>
    <w:rsid w:val="005A5F83"/>
    <w:rsid w:val="005A62BE"/>
    <w:rsid w:val="005A7188"/>
    <w:rsid w:val="005A7326"/>
    <w:rsid w:val="005B0028"/>
    <w:rsid w:val="005B056B"/>
    <w:rsid w:val="005B08E6"/>
    <w:rsid w:val="005B0D7C"/>
    <w:rsid w:val="005B0E86"/>
    <w:rsid w:val="005B1914"/>
    <w:rsid w:val="005B1ADD"/>
    <w:rsid w:val="005B2307"/>
    <w:rsid w:val="005B290B"/>
    <w:rsid w:val="005B3306"/>
    <w:rsid w:val="005B34BE"/>
    <w:rsid w:val="005B39F2"/>
    <w:rsid w:val="005B5CB1"/>
    <w:rsid w:val="005B5CC4"/>
    <w:rsid w:val="005B6585"/>
    <w:rsid w:val="005B6854"/>
    <w:rsid w:val="005B7D18"/>
    <w:rsid w:val="005B7EA6"/>
    <w:rsid w:val="005C1943"/>
    <w:rsid w:val="005C2452"/>
    <w:rsid w:val="005C2FFD"/>
    <w:rsid w:val="005C37A0"/>
    <w:rsid w:val="005C3851"/>
    <w:rsid w:val="005C4034"/>
    <w:rsid w:val="005C483A"/>
    <w:rsid w:val="005C5A57"/>
    <w:rsid w:val="005C5FED"/>
    <w:rsid w:val="005C651C"/>
    <w:rsid w:val="005C656A"/>
    <w:rsid w:val="005C7FA3"/>
    <w:rsid w:val="005D09C1"/>
    <w:rsid w:val="005D120B"/>
    <w:rsid w:val="005D1427"/>
    <w:rsid w:val="005D2178"/>
    <w:rsid w:val="005D22D3"/>
    <w:rsid w:val="005D2411"/>
    <w:rsid w:val="005D457F"/>
    <w:rsid w:val="005D49C8"/>
    <w:rsid w:val="005D5607"/>
    <w:rsid w:val="005D5DA0"/>
    <w:rsid w:val="005D602C"/>
    <w:rsid w:val="005D63F4"/>
    <w:rsid w:val="005D6A2B"/>
    <w:rsid w:val="005D6AD9"/>
    <w:rsid w:val="005D72F9"/>
    <w:rsid w:val="005D7A98"/>
    <w:rsid w:val="005E1EE5"/>
    <w:rsid w:val="005E37E9"/>
    <w:rsid w:val="005E4B8C"/>
    <w:rsid w:val="005E50A8"/>
    <w:rsid w:val="005E512C"/>
    <w:rsid w:val="005E750A"/>
    <w:rsid w:val="005F001D"/>
    <w:rsid w:val="005F03DB"/>
    <w:rsid w:val="005F268F"/>
    <w:rsid w:val="005F2C8A"/>
    <w:rsid w:val="005F3B37"/>
    <w:rsid w:val="005F48F1"/>
    <w:rsid w:val="005F5098"/>
    <w:rsid w:val="005F605D"/>
    <w:rsid w:val="005F6158"/>
    <w:rsid w:val="005F71AB"/>
    <w:rsid w:val="005F761F"/>
    <w:rsid w:val="0060008D"/>
    <w:rsid w:val="0060077A"/>
    <w:rsid w:val="00601011"/>
    <w:rsid w:val="00601DEF"/>
    <w:rsid w:val="00601E59"/>
    <w:rsid w:val="00602AC2"/>
    <w:rsid w:val="00602CC0"/>
    <w:rsid w:val="006034C1"/>
    <w:rsid w:val="00603A46"/>
    <w:rsid w:val="00604E52"/>
    <w:rsid w:val="00606194"/>
    <w:rsid w:val="006072D7"/>
    <w:rsid w:val="0061115C"/>
    <w:rsid w:val="00611550"/>
    <w:rsid w:val="00611A49"/>
    <w:rsid w:val="006126E4"/>
    <w:rsid w:val="00613017"/>
    <w:rsid w:val="00613A54"/>
    <w:rsid w:val="00614EBF"/>
    <w:rsid w:val="00615C0E"/>
    <w:rsid w:val="00616189"/>
    <w:rsid w:val="00616297"/>
    <w:rsid w:val="006170EF"/>
    <w:rsid w:val="006172A0"/>
    <w:rsid w:val="006174B6"/>
    <w:rsid w:val="00617E7B"/>
    <w:rsid w:val="0062078C"/>
    <w:rsid w:val="00620868"/>
    <w:rsid w:val="00620C3E"/>
    <w:rsid w:val="00620E8F"/>
    <w:rsid w:val="00621760"/>
    <w:rsid w:val="006217BB"/>
    <w:rsid w:val="00623CC7"/>
    <w:rsid w:val="0062404F"/>
    <w:rsid w:val="00624AAD"/>
    <w:rsid w:val="00625BD5"/>
    <w:rsid w:val="00625C0E"/>
    <w:rsid w:val="00625DFB"/>
    <w:rsid w:val="006277B7"/>
    <w:rsid w:val="00627A01"/>
    <w:rsid w:val="00630438"/>
    <w:rsid w:val="006318F7"/>
    <w:rsid w:val="00632139"/>
    <w:rsid w:val="006325E4"/>
    <w:rsid w:val="00633E0D"/>
    <w:rsid w:val="006342A2"/>
    <w:rsid w:val="00634D1A"/>
    <w:rsid w:val="00637179"/>
    <w:rsid w:val="00637C01"/>
    <w:rsid w:val="00637D3A"/>
    <w:rsid w:val="006407AA"/>
    <w:rsid w:val="00640BD8"/>
    <w:rsid w:val="00640EF8"/>
    <w:rsid w:val="00641804"/>
    <w:rsid w:val="006418ED"/>
    <w:rsid w:val="00641C5F"/>
    <w:rsid w:val="00642A9E"/>
    <w:rsid w:val="00642B13"/>
    <w:rsid w:val="006431FF"/>
    <w:rsid w:val="0064345F"/>
    <w:rsid w:val="00643C2B"/>
    <w:rsid w:val="00645F7D"/>
    <w:rsid w:val="00646100"/>
    <w:rsid w:val="006476CA"/>
    <w:rsid w:val="006544EC"/>
    <w:rsid w:val="00654855"/>
    <w:rsid w:val="00654967"/>
    <w:rsid w:val="006552AE"/>
    <w:rsid w:val="00655773"/>
    <w:rsid w:val="00656364"/>
    <w:rsid w:val="006563CA"/>
    <w:rsid w:val="0065686E"/>
    <w:rsid w:val="00656A7B"/>
    <w:rsid w:val="006578FC"/>
    <w:rsid w:val="00657AAB"/>
    <w:rsid w:val="006608AB"/>
    <w:rsid w:val="0066143F"/>
    <w:rsid w:val="006620DA"/>
    <w:rsid w:val="00662C42"/>
    <w:rsid w:val="0066370E"/>
    <w:rsid w:val="00664587"/>
    <w:rsid w:val="00666BD7"/>
    <w:rsid w:val="00666F25"/>
    <w:rsid w:val="00666FE3"/>
    <w:rsid w:val="00667C1C"/>
    <w:rsid w:val="0067001F"/>
    <w:rsid w:val="00670A43"/>
    <w:rsid w:val="00671495"/>
    <w:rsid w:val="006725FC"/>
    <w:rsid w:val="0067273A"/>
    <w:rsid w:val="00673510"/>
    <w:rsid w:val="00673A41"/>
    <w:rsid w:val="00673B95"/>
    <w:rsid w:val="00673DD4"/>
    <w:rsid w:val="00674AEB"/>
    <w:rsid w:val="006751E8"/>
    <w:rsid w:val="0067655A"/>
    <w:rsid w:val="0067785F"/>
    <w:rsid w:val="006811F2"/>
    <w:rsid w:val="00681785"/>
    <w:rsid w:val="006828D8"/>
    <w:rsid w:val="00682AD1"/>
    <w:rsid w:val="0068455C"/>
    <w:rsid w:val="00684887"/>
    <w:rsid w:val="006850CE"/>
    <w:rsid w:val="006867FA"/>
    <w:rsid w:val="00687C4D"/>
    <w:rsid w:val="0069015B"/>
    <w:rsid w:val="00691804"/>
    <w:rsid w:val="006918B1"/>
    <w:rsid w:val="00691B69"/>
    <w:rsid w:val="00692778"/>
    <w:rsid w:val="00692F47"/>
    <w:rsid w:val="00693AAD"/>
    <w:rsid w:val="00693BD3"/>
    <w:rsid w:val="00693C8E"/>
    <w:rsid w:val="006969BA"/>
    <w:rsid w:val="00696C0F"/>
    <w:rsid w:val="00697C93"/>
    <w:rsid w:val="00697FF1"/>
    <w:rsid w:val="006A026A"/>
    <w:rsid w:val="006A0425"/>
    <w:rsid w:val="006A1D62"/>
    <w:rsid w:val="006A2CD8"/>
    <w:rsid w:val="006A4B87"/>
    <w:rsid w:val="006A4EAE"/>
    <w:rsid w:val="006A56C3"/>
    <w:rsid w:val="006A59BC"/>
    <w:rsid w:val="006A5A3A"/>
    <w:rsid w:val="006A6B88"/>
    <w:rsid w:val="006A6D7F"/>
    <w:rsid w:val="006A7A69"/>
    <w:rsid w:val="006B0298"/>
    <w:rsid w:val="006B0E83"/>
    <w:rsid w:val="006B2A0C"/>
    <w:rsid w:val="006B2A7B"/>
    <w:rsid w:val="006B490F"/>
    <w:rsid w:val="006B49BC"/>
    <w:rsid w:val="006B4CDA"/>
    <w:rsid w:val="006B5493"/>
    <w:rsid w:val="006B580F"/>
    <w:rsid w:val="006B72E4"/>
    <w:rsid w:val="006B7584"/>
    <w:rsid w:val="006B77E2"/>
    <w:rsid w:val="006C10C0"/>
    <w:rsid w:val="006C1136"/>
    <w:rsid w:val="006C1B1D"/>
    <w:rsid w:val="006C271A"/>
    <w:rsid w:val="006C32BB"/>
    <w:rsid w:val="006C3747"/>
    <w:rsid w:val="006C3DED"/>
    <w:rsid w:val="006C41A8"/>
    <w:rsid w:val="006C4A9F"/>
    <w:rsid w:val="006C6AD3"/>
    <w:rsid w:val="006C7015"/>
    <w:rsid w:val="006C7760"/>
    <w:rsid w:val="006C7776"/>
    <w:rsid w:val="006C79C0"/>
    <w:rsid w:val="006C7EEA"/>
    <w:rsid w:val="006D052F"/>
    <w:rsid w:val="006D07CA"/>
    <w:rsid w:val="006D174B"/>
    <w:rsid w:val="006D1DEB"/>
    <w:rsid w:val="006D1F0C"/>
    <w:rsid w:val="006D233A"/>
    <w:rsid w:val="006D3356"/>
    <w:rsid w:val="006D3563"/>
    <w:rsid w:val="006D522C"/>
    <w:rsid w:val="006D56AA"/>
    <w:rsid w:val="006D6D9B"/>
    <w:rsid w:val="006D7795"/>
    <w:rsid w:val="006D7ACB"/>
    <w:rsid w:val="006E00EF"/>
    <w:rsid w:val="006E06BB"/>
    <w:rsid w:val="006E190A"/>
    <w:rsid w:val="006E1A7A"/>
    <w:rsid w:val="006E338C"/>
    <w:rsid w:val="006E4632"/>
    <w:rsid w:val="006E4723"/>
    <w:rsid w:val="006E477D"/>
    <w:rsid w:val="006E5844"/>
    <w:rsid w:val="006E695D"/>
    <w:rsid w:val="006E716F"/>
    <w:rsid w:val="006E7D89"/>
    <w:rsid w:val="006E7DA9"/>
    <w:rsid w:val="006E7DEE"/>
    <w:rsid w:val="006F01E7"/>
    <w:rsid w:val="006F07D9"/>
    <w:rsid w:val="006F13AA"/>
    <w:rsid w:val="006F1F3A"/>
    <w:rsid w:val="006F20CD"/>
    <w:rsid w:val="006F3C5E"/>
    <w:rsid w:val="006F70DE"/>
    <w:rsid w:val="006F7115"/>
    <w:rsid w:val="006F785E"/>
    <w:rsid w:val="006F7EB8"/>
    <w:rsid w:val="007003A9"/>
    <w:rsid w:val="0070094A"/>
    <w:rsid w:val="00700AA4"/>
    <w:rsid w:val="00702DD7"/>
    <w:rsid w:val="007047D3"/>
    <w:rsid w:val="00705663"/>
    <w:rsid w:val="00705C40"/>
    <w:rsid w:val="007102EC"/>
    <w:rsid w:val="00710757"/>
    <w:rsid w:val="0071087E"/>
    <w:rsid w:val="00710E1B"/>
    <w:rsid w:val="00711898"/>
    <w:rsid w:val="00713EBF"/>
    <w:rsid w:val="00714066"/>
    <w:rsid w:val="007147C2"/>
    <w:rsid w:val="00715B8D"/>
    <w:rsid w:val="00716894"/>
    <w:rsid w:val="007169A8"/>
    <w:rsid w:val="00717A74"/>
    <w:rsid w:val="00720311"/>
    <w:rsid w:val="00721648"/>
    <w:rsid w:val="007218DF"/>
    <w:rsid w:val="007229A1"/>
    <w:rsid w:val="00722F18"/>
    <w:rsid w:val="0072347B"/>
    <w:rsid w:val="007235AA"/>
    <w:rsid w:val="00725AEB"/>
    <w:rsid w:val="00725B49"/>
    <w:rsid w:val="00725E35"/>
    <w:rsid w:val="00730151"/>
    <w:rsid w:val="00730D35"/>
    <w:rsid w:val="00732289"/>
    <w:rsid w:val="00732BBB"/>
    <w:rsid w:val="00734267"/>
    <w:rsid w:val="007343FD"/>
    <w:rsid w:val="0073449B"/>
    <w:rsid w:val="0073473F"/>
    <w:rsid w:val="007347F3"/>
    <w:rsid w:val="00734C8F"/>
    <w:rsid w:val="00735915"/>
    <w:rsid w:val="00735C21"/>
    <w:rsid w:val="0073614A"/>
    <w:rsid w:val="00736158"/>
    <w:rsid w:val="007365D5"/>
    <w:rsid w:val="00736E5B"/>
    <w:rsid w:val="00736FF2"/>
    <w:rsid w:val="00736FF9"/>
    <w:rsid w:val="007372A8"/>
    <w:rsid w:val="00740927"/>
    <w:rsid w:val="00740C8C"/>
    <w:rsid w:val="00740E16"/>
    <w:rsid w:val="00741048"/>
    <w:rsid w:val="00741683"/>
    <w:rsid w:val="00741AC4"/>
    <w:rsid w:val="007421DC"/>
    <w:rsid w:val="00742CA5"/>
    <w:rsid w:val="007441D8"/>
    <w:rsid w:val="00744DE1"/>
    <w:rsid w:val="007451C1"/>
    <w:rsid w:val="007460D7"/>
    <w:rsid w:val="00750566"/>
    <w:rsid w:val="007513F0"/>
    <w:rsid w:val="007515BC"/>
    <w:rsid w:val="00752606"/>
    <w:rsid w:val="0075402E"/>
    <w:rsid w:val="00755967"/>
    <w:rsid w:val="00756B83"/>
    <w:rsid w:val="00756D3D"/>
    <w:rsid w:val="007573B2"/>
    <w:rsid w:val="007574BB"/>
    <w:rsid w:val="0075764C"/>
    <w:rsid w:val="00757897"/>
    <w:rsid w:val="007616E5"/>
    <w:rsid w:val="0076204C"/>
    <w:rsid w:val="00762198"/>
    <w:rsid w:val="00762D65"/>
    <w:rsid w:val="00763CE8"/>
    <w:rsid w:val="00765E5E"/>
    <w:rsid w:val="007705F9"/>
    <w:rsid w:val="00770792"/>
    <w:rsid w:val="007709DD"/>
    <w:rsid w:val="007729CD"/>
    <w:rsid w:val="007737B5"/>
    <w:rsid w:val="00774BF5"/>
    <w:rsid w:val="00774FFE"/>
    <w:rsid w:val="00775638"/>
    <w:rsid w:val="00775677"/>
    <w:rsid w:val="0077599A"/>
    <w:rsid w:val="00776811"/>
    <w:rsid w:val="0077724D"/>
    <w:rsid w:val="00777353"/>
    <w:rsid w:val="00780CD6"/>
    <w:rsid w:val="00781352"/>
    <w:rsid w:val="00781A64"/>
    <w:rsid w:val="00782EA4"/>
    <w:rsid w:val="00782F1B"/>
    <w:rsid w:val="00785461"/>
    <w:rsid w:val="00785985"/>
    <w:rsid w:val="00786FF3"/>
    <w:rsid w:val="007876CF"/>
    <w:rsid w:val="00787B77"/>
    <w:rsid w:val="00790827"/>
    <w:rsid w:val="00791665"/>
    <w:rsid w:val="00792298"/>
    <w:rsid w:val="00792BE5"/>
    <w:rsid w:val="00793090"/>
    <w:rsid w:val="00795BA7"/>
    <w:rsid w:val="00796C9B"/>
    <w:rsid w:val="00796F2A"/>
    <w:rsid w:val="0079788B"/>
    <w:rsid w:val="007A0176"/>
    <w:rsid w:val="007A0314"/>
    <w:rsid w:val="007A0390"/>
    <w:rsid w:val="007A0F2A"/>
    <w:rsid w:val="007A2F67"/>
    <w:rsid w:val="007A323F"/>
    <w:rsid w:val="007A3918"/>
    <w:rsid w:val="007A5398"/>
    <w:rsid w:val="007A5713"/>
    <w:rsid w:val="007A5B6E"/>
    <w:rsid w:val="007A5D0E"/>
    <w:rsid w:val="007A5D9B"/>
    <w:rsid w:val="007A5E69"/>
    <w:rsid w:val="007A75DF"/>
    <w:rsid w:val="007B0CD9"/>
    <w:rsid w:val="007B0E33"/>
    <w:rsid w:val="007B0E89"/>
    <w:rsid w:val="007B1272"/>
    <w:rsid w:val="007B1F14"/>
    <w:rsid w:val="007B2C38"/>
    <w:rsid w:val="007B2E54"/>
    <w:rsid w:val="007B46E7"/>
    <w:rsid w:val="007B56A8"/>
    <w:rsid w:val="007B66A9"/>
    <w:rsid w:val="007B7498"/>
    <w:rsid w:val="007B7AEE"/>
    <w:rsid w:val="007C1D65"/>
    <w:rsid w:val="007C1FD9"/>
    <w:rsid w:val="007C28D5"/>
    <w:rsid w:val="007C3593"/>
    <w:rsid w:val="007C500F"/>
    <w:rsid w:val="007C5B51"/>
    <w:rsid w:val="007C5C9B"/>
    <w:rsid w:val="007C5F5E"/>
    <w:rsid w:val="007C6C24"/>
    <w:rsid w:val="007C751E"/>
    <w:rsid w:val="007C7EB6"/>
    <w:rsid w:val="007C7FFD"/>
    <w:rsid w:val="007D03A1"/>
    <w:rsid w:val="007D1E16"/>
    <w:rsid w:val="007D2A5D"/>
    <w:rsid w:val="007D2F75"/>
    <w:rsid w:val="007D3839"/>
    <w:rsid w:val="007D3967"/>
    <w:rsid w:val="007D3DAA"/>
    <w:rsid w:val="007D5424"/>
    <w:rsid w:val="007D710E"/>
    <w:rsid w:val="007D7952"/>
    <w:rsid w:val="007D7E3A"/>
    <w:rsid w:val="007E1177"/>
    <w:rsid w:val="007E1CCA"/>
    <w:rsid w:val="007E21DA"/>
    <w:rsid w:val="007E22E7"/>
    <w:rsid w:val="007E2893"/>
    <w:rsid w:val="007E3507"/>
    <w:rsid w:val="007E4078"/>
    <w:rsid w:val="007E4232"/>
    <w:rsid w:val="007E5C74"/>
    <w:rsid w:val="007E5F16"/>
    <w:rsid w:val="007E69BB"/>
    <w:rsid w:val="007E6AB8"/>
    <w:rsid w:val="007E6B23"/>
    <w:rsid w:val="007E6F52"/>
    <w:rsid w:val="007E7E96"/>
    <w:rsid w:val="007F0DF4"/>
    <w:rsid w:val="007F2109"/>
    <w:rsid w:val="007F21C5"/>
    <w:rsid w:val="007F2562"/>
    <w:rsid w:val="007F26EE"/>
    <w:rsid w:val="007F324F"/>
    <w:rsid w:val="007F366D"/>
    <w:rsid w:val="007F3849"/>
    <w:rsid w:val="007F3EF1"/>
    <w:rsid w:val="007F5179"/>
    <w:rsid w:val="007F56C5"/>
    <w:rsid w:val="007F7004"/>
    <w:rsid w:val="0080056E"/>
    <w:rsid w:val="00801457"/>
    <w:rsid w:val="00801BCE"/>
    <w:rsid w:val="00801E7D"/>
    <w:rsid w:val="00802515"/>
    <w:rsid w:val="00803BFF"/>
    <w:rsid w:val="008051F8"/>
    <w:rsid w:val="008057BD"/>
    <w:rsid w:val="00805BE2"/>
    <w:rsid w:val="00805E95"/>
    <w:rsid w:val="00806A8E"/>
    <w:rsid w:val="00806ABD"/>
    <w:rsid w:val="00807232"/>
    <w:rsid w:val="008079E5"/>
    <w:rsid w:val="00810AA9"/>
    <w:rsid w:val="00810F06"/>
    <w:rsid w:val="0081144C"/>
    <w:rsid w:val="008115EE"/>
    <w:rsid w:val="0081283F"/>
    <w:rsid w:val="00812C0C"/>
    <w:rsid w:val="00813194"/>
    <w:rsid w:val="00813257"/>
    <w:rsid w:val="0081347B"/>
    <w:rsid w:val="008139F1"/>
    <w:rsid w:val="00814079"/>
    <w:rsid w:val="0081480A"/>
    <w:rsid w:val="00814EAD"/>
    <w:rsid w:val="008169C5"/>
    <w:rsid w:val="00817774"/>
    <w:rsid w:val="008202EB"/>
    <w:rsid w:val="008205C0"/>
    <w:rsid w:val="00820F86"/>
    <w:rsid w:val="008233F6"/>
    <w:rsid w:val="00823FBA"/>
    <w:rsid w:val="00824238"/>
    <w:rsid w:val="008242C5"/>
    <w:rsid w:val="00824600"/>
    <w:rsid w:val="0082664E"/>
    <w:rsid w:val="00827AEB"/>
    <w:rsid w:val="00827F88"/>
    <w:rsid w:val="008315CE"/>
    <w:rsid w:val="008336A5"/>
    <w:rsid w:val="00833DE9"/>
    <w:rsid w:val="00835474"/>
    <w:rsid w:val="00835F80"/>
    <w:rsid w:val="00836695"/>
    <w:rsid w:val="00836DF1"/>
    <w:rsid w:val="008373C0"/>
    <w:rsid w:val="0084105A"/>
    <w:rsid w:val="0084145F"/>
    <w:rsid w:val="00841DA2"/>
    <w:rsid w:val="00843890"/>
    <w:rsid w:val="00844AE0"/>
    <w:rsid w:val="00844CB5"/>
    <w:rsid w:val="00844F78"/>
    <w:rsid w:val="008450BE"/>
    <w:rsid w:val="008458F6"/>
    <w:rsid w:val="00845AED"/>
    <w:rsid w:val="0084708E"/>
    <w:rsid w:val="00851AE4"/>
    <w:rsid w:val="00852697"/>
    <w:rsid w:val="008528FF"/>
    <w:rsid w:val="008531E9"/>
    <w:rsid w:val="00853E98"/>
    <w:rsid w:val="00855019"/>
    <w:rsid w:val="008554B6"/>
    <w:rsid w:val="008554E1"/>
    <w:rsid w:val="0085598D"/>
    <w:rsid w:val="00855DD6"/>
    <w:rsid w:val="00856919"/>
    <w:rsid w:val="00857E1C"/>
    <w:rsid w:val="00857FF2"/>
    <w:rsid w:val="00860941"/>
    <w:rsid w:val="00860B59"/>
    <w:rsid w:val="0086155C"/>
    <w:rsid w:val="00861AD3"/>
    <w:rsid w:val="00862771"/>
    <w:rsid w:val="008633B1"/>
    <w:rsid w:val="00863A1C"/>
    <w:rsid w:val="008659D6"/>
    <w:rsid w:val="0086682F"/>
    <w:rsid w:val="008675BF"/>
    <w:rsid w:val="00867687"/>
    <w:rsid w:val="008704DF"/>
    <w:rsid w:val="00870B07"/>
    <w:rsid w:val="00871738"/>
    <w:rsid w:val="00871E32"/>
    <w:rsid w:val="008721EF"/>
    <w:rsid w:val="00872370"/>
    <w:rsid w:val="0087247B"/>
    <w:rsid w:val="0087268B"/>
    <w:rsid w:val="00874175"/>
    <w:rsid w:val="00874748"/>
    <w:rsid w:val="00874894"/>
    <w:rsid w:val="00876017"/>
    <w:rsid w:val="00876F54"/>
    <w:rsid w:val="00877292"/>
    <w:rsid w:val="0087754A"/>
    <w:rsid w:val="0087766C"/>
    <w:rsid w:val="00880552"/>
    <w:rsid w:val="00880C7E"/>
    <w:rsid w:val="008839DA"/>
    <w:rsid w:val="00884EE8"/>
    <w:rsid w:val="00885168"/>
    <w:rsid w:val="00886535"/>
    <w:rsid w:val="0089048E"/>
    <w:rsid w:val="0089173B"/>
    <w:rsid w:val="00891E76"/>
    <w:rsid w:val="0089220F"/>
    <w:rsid w:val="008924C1"/>
    <w:rsid w:val="008935AA"/>
    <w:rsid w:val="0089384F"/>
    <w:rsid w:val="00894E66"/>
    <w:rsid w:val="008951CA"/>
    <w:rsid w:val="008963F0"/>
    <w:rsid w:val="00896BD5"/>
    <w:rsid w:val="008973EC"/>
    <w:rsid w:val="00897444"/>
    <w:rsid w:val="008978CF"/>
    <w:rsid w:val="008A03A5"/>
    <w:rsid w:val="008A0DF3"/>
    <w:rsid w:val="008A12E2"/>
    <w:rsid w:val="008A1919"/>
    <w:rsid w:val="008A1B76"/>
    <w:rsid w:val="008A2519"/>
    <w:rsid w:val="008A282C"/>
    <w:rsid w:val="008A3765"/>
    <w:rsid w:val="008A4138"/>
    <w:rsid w:val="008A44D6"/>
    <w:rsid w:val="008A4DB1"/>
    <w:rsid w:val="008A5D96"/>
    <w:rsid w:val="008A6E96"/>
    <w:rsid w:val="008A7BB5"/>
    <w:rsid w:val="008B0922"/>
    <w:rsid w:val="008B1370"/>
    <w:rsid w:val="008B1DF8"/>
    <w:rsid w:val="008B2357"/>
    <w:rsid w:val="008B4826"/>
    <w:rsid w:val="008B4FFA"/>
    <w:rsid w:val="008B5AB3"/>
    <w:rsid w:val="008B5CCB"/>
    <w:rsid w:val="008B666C"/>
    <w:rsid w:val="008B6765"/>
    <w:rsid w:val="008B6848"/>
    <w:rsid w:val="008B6A74"/>
    <w:rsid w:val="008B7265"/>
    <w:rsid w:val="008C2BBC"/>
    <w:rsid w:val="008C2F39"/>
    <w:rsid w:val="008C2FA1"/>
    <w:rsid w:val="008C3245"/>
    <w:rsid w:val="008C37E5"/>
    <w:rsid w:val="008C3F59"/>
    <w:rsid w:val="008C57C2"/>
    <w:rsid w:val="008C58DF"/>
    <w:rsid w:val="008D0090"/>
    <w:rsid w:val="008D1369"/>
    <w:rsid w:val="008D189A"/>
    <w:rsid w:val="008D189D"/>
    <w:rsid w:val="008D2C4C"/>
    <w:rsid w:val="008D36ED"/>
    <w:rsid w:val="008D41B3"/>
    <w:rsid w:val="008D60EF"/>
    <w:rsid w:val="008D62B9"/>
    <w:rsid w:val="008D7AB7"/>
    <w:rsid w:val="008D7C6E"/>
    <w:rsid w:val="008D7E0D"/>
    <w:rsid w:val="008D7EDB"/>
    <w:rsid w:val="008E019E"/>
    <w:rsid w:val="008E0927"/>
    <w:rsid w:val="008E1829"/>
    <w:rsid w:val="008E1A61"/>
    <w:rsid w:val="008E2327"/>
    <w:rsid w:val="008E251A"/>
    <w:rsid w:val="008E2D66"/>
    <w:rsid w:val="008E2F3E"/>
    <w:rsid w:val="008E35D2"/>
    <w:rsid w:val="008E3CA2"/>
    <w:rsid w:val="008E412A"/>
    <w:rsid w:val="008E48CE"/>
    <w:rsid w:val="008E4C9B"/>
    <w:rsid w:val="008E5077"/>
    <w:rsid w:val="008E54AD"/>
    <w:rsid w:val="008E554C"/>
    <w:rsid w:val="008E57B1"/>
    <w:rsid w:val="008E6432"/>
    <w:rsid w:val="008E64F0"/>
    <w:rsid w:val="008E69F1"/>
    <w:rsid w:val="008E6FF3"/>
    <w:rsid w:val="008E799F"/>
    <w:rsid w:val="008E7B05"/>
    <w:rsid w:val="008E7EF3"/>
    <w:rsid w:val="008F0A29"/>
    <w:rsid w:val="008F18ED"/>
    <w:rsid w:val="008F23E5"/>
    <w:rsid w:val="008F35BB"/>
    <w:rsid w:val="008F4298"/>
    <w:rsid w:val="008F46C2"/>
    <w:rsid w:val="008F5209"/>
    <w:rsid w:val="008F5DC2"/>
    <w:rsid w:val="008F6F29"/>
    <w:rsid w:val="008F7068"/>
    <w:rsid w:val="00900320"/>
    <w:rsid w:val="00900CBA"/>
    <w:rsid w:val="009021B9"/>
    <w:rsid w:val="00902912"/>
    <w:rsid w:val="00902D00"/>
    <w:rsid w:val="0090360E"/>
    <w:rsid w:val="00903D37"/>
    <w:rsid w:val="0090553A"/>
    <w:rsid w:val="00906EAF"/>
    <w:rsid w:val="00906F91"/>
    <w:rsid w:val="009079D1"/>
    <w:rsid w:val="00907C2E"/>
    <w:rsid w:val="0091055D"/>
    <w:rsid w:val="00911958"/>
    <w:rsid w:val="00912F1D"/>
    <w:rsid w:val="009141C6"/>
    <w:rsid w:val="0091468B"/>
    <w:rsid w:val="00914C61"/>
    <w:rsid w:val="009157D9"/>
    <w:rsid w:val="00916923"/>
    <w:rsid w:val="00917B3F"/>
    <w:rsid w:val="00917D6F"/>
    <w:rsid w:val="0092007F"/>
    <w:rsid w:val="0092073B"/>
    <w:rsid w:val="00920E85"/>
    <w:rsid w:val="00921B1A"/>
    <w:rsid w:val="00921B7F"/>
    <w:rsid w:val="00921DDA"/>
    <w:rsid w:val="00921EBC"/>
    <w:rsid w:val="00922DE1"/>
    <w:rsid w:val="00923A73"/>
    <w:rsid w:val="0092411C"/>
    <w:rsid w:val="00925941"/>
    <w:rsid w:val="0092600D"/>
    <w:rsid w:val="009264D6"/>
    <w:rsid w:val="009276AD"/>
    <w:rsid w:val="00930345"/>
    <w:rsid w:val="0093039D"/>
    <w:rsid w:val="00931E4F"/>
    <w:rsid w:val="0093364D"/>
    <w:rsid w:val="009337E6"/>
    <w:rsid w:val="0093395C"/>
    <w:rsid w:val="009340E4"/>
    <w:rsid w:val="0093429F"/>
    <w:rsid w:val="009347EC"/>
    <w:rsid w:val="00935ED9"/>
    <w:rsid w:val="00936574"/>
    <w:rsid w:val="00937EC5"/>
    <w:rsid w:val="00937EE1"/>
    <w:rsid w:val="00940C2D"/>
    <w:rsid w:val="00943BCE"/>
    <w:rsid w:val="00945DBE"/>
    <w:rsid w:val="009508A0"/>
    <w:rsid w:val="00951C32"/>
    <w:rsid w:val="00951FBB"/>
    <w:rsid w:val="00953EDC"/>
    <w:rsid w:val="00953FF0"/>
    <w:rsid w:val="00954950"/>
    <w:rsid w:val="009566A5"/>
    <w:rsid w:val="00957D4C"/>
    <w:rsid w:val="00960346"/>
    <w:rsid w:val="009617D3"/>
    <w:rsid w:val="009629BE"/>
    <w:rsid w:val="00962C63"/>
    <w:rsid w:val="00964061"/>
    <w:rsid w:val="0096463B"/>
    <w:rsid w:val="00967869"/>
    <w:rsid w:val="0096796E"/>
    <w:rsid w:val="00967DA5"/>
    <w:rsid w:val="00971A46"/>
    <w:rsid w:val="00971BF7"/>
    <w:rsid w:val="00971F24"/>
    <w:rsid w:val="00971F54"/>
    <w:rsid w:val="009725C5"/>
    <w:rsid w:val="00972AEA"/>
    <w:rsid w:val="00972B4E"/>
    <w:rsid w:val="00973F40"/>
    <w:rsid w:val="009757AA"/>
    <w:rsid w:val="00976F59"/>
    <w:rsid w:val="00977299"/>
    <w:rsid w:val="0097736F"/>
    <w:rsid w:val="00977520"/>
    <w:rsid w:val="0098056C"/>
    <w:rsid w:val="00980900"/>
    <w:rsid w:val="009823AF"/>
    <w:rsid w:val="009831DB"/>
    <w:rsid w:val="00983D6A"/>
    <w:rsid w:val="00983EDC"/>
    <w:rsid w:val="00983EED"/>
    <w:rsid w:val="009849EF"/>
    <w:rsid w:val="009850C9"/>
    <w:rsid w:val="00986909"/>
    <w:rsid w:val="00986DB7"/>
    <w:rsid w:val="009870A5"/>
    <w:rsid w:val="00987252"/>
    <w:rsid w:val="00987465"/>
    <w:rsid w:val="009875A8"/>
    <w:rsid w:val="00987917"/>
    <w:rsid w:val="00990B6C"/>
    <w:rsid w:val="00990C3A"/>
    <w:rsid w:val="00991FA0"/>
    <w:rsid w:val="009934CF"/>
    <w:rsid w:val="00994396"/>
    <w:rsid w:val="00994FB1"/>
    <w:rsid w:val="0099730E"/>
    <w:rsid w:val="009A0031"/>
    <w:rsid w:val="009A0D75"/>
    <w:rsid w:val="009A2459"/>
    <w:rsid w:val="009A306D"/>
    <w:rsid w:val="009A323E"/>
    <w:rsid w:val="009A33E6"/>
    <w:rsid w:val="009A347A"/>
    <w:rsid w:val="009A3F45"/>
    <w:rsid w:val="009A54B4"/>
    <w:rsid w:val="009A620E"/>
    <w:rsid w:val="009A6606"/>
    <w:rsid w:val="009A6658"/>
    <w:rsid w:val="009B1289"/>
    <w:rsid w:val="009B33A1"/>
    <w:rsid w:val="009B37E8"/>
    <w:rsid w:val="009B3DF9"/>
    <w:rsid w:val="009B610E"/>
    <w:rsid w:val="009B6452"/>
    <w:rsid w:val="009B662C"/>
    <w:rsid w:val="009B6A6F"/>
    <w:rsid w:val="009C031C"/>
    <w:rsid w:val="009C0B58"/>
    <w:rsid w:val="009C0CAA"/>
    <w:rsid w:val="009C1AFE"/>
    <w:rsid w:val="009C295D"/>
    <w:rsid w:val="009C3E33"/>
    <w:rsid w:val="009C447D"/>
    <w:rsid w:val="009C4837"/>
    <w:rsid w:val="009C5F24"/>
    <w:rsid w:val="009C7B35"/>
    <w:rsid w:val="009D00D2"/>
    <w:rsid w:val="009D047D"/>
    <w:rsid w:val="009D048B"/>
    <w:rsid w:val="009D0A9A"/>
    <w:rsid w:val="009D0F8D"/>
    <w:rsid w:val="009D1593"/>
    <w:rsid w:val="009D1B5C"/>
    <w:rsid w:val="009D1B5D"/>
    <w:rsid w:val="009D22C8"/>
    <w:rsid w:val="009D36A4"/>
    <w:rsid w:val="009D43FE"/>
    <w:rsid w:val="009D4856"/>
    <w:rsid w:val="009D4A04"/>
    <w:rsid w:val="009D5C33"/>
    <w:rsid w:val="009D6197"/>
    <w:rsid w:val="009D6634"/>
    <w:rsid w:val="009D69C6"/>
    <w:rsid w:val="009D6F70"/>
    <w:rsid w:val="009D7D99"/>
    <w:rsid w:val="009E0D72"/>
    <w:rsid w:val="009E10E1"/>
    <w:rsid w:val="009E110C"/>
    <w:rsid w:val="009E20AB"/>
    <w:rsid w:val="009E34CC"/>
    <w:rsid w:val="009E466A"/>
    <w:rsid w:val="009E49AA"/>
    <w:rsid w:val="009E5419"/>
    <w:rsid w:val="009E5A6E"/>
    <w:rsid w:val="009E613C"/>
    <w:rsid w:val="009E70E7"/>
    <w:rsid w:val="009F074A"/>
    <w:rsid w:val="009F2492"/>
    <w:rsid w:val="009F25A8"/>
    <w:rsid w:val="009F3A6A"/>
    <w:rsid w:val="009F3E8C"/>
    <w:rsid w:val="009F46DC"/>
    <w:rsid w:val="009F4C58"/>
    <w:rsid w:val="009F5862"/>
    <w:rsid w:val="009F58BE"/>
    <w:rsid w:val="009F65AF"/>
    <w:rsid w:val="009F7BFD"/>
    <w:rsid w:val="00A01666"/>
    <w:rsid w:val="00A01C00"/>
    <w:rsid w:val="00A02488"/>
    <w:rsid w:val="00A025B1"/>
    <w:rsid w:val="00A03A1B"/>
    <w:rsid w:val="00A05E6F"/>
    <w:rsid w:val="00A06A67"/>
    <w:rsid w:val="00A06CC5"/>
    <w:rsid w:val="00A07EDA"/>
    <w:rsid w:val="00A07F30"/>
    <w:rsid w:val="00A07F71"/>
    <w:rsid w:val="00A10699"/>
    <w:rsid w:val="00A11CAD"/>
    <w:rsid w:val="00A131FA"/>
    <w:rsid w:val="00A13224"/>
    <w:rsid w:val="00A15DB7"/>
    <w:rsid w:val="00A1620D"/>
    <w:rsid w:val="00A16AC0"/>
    <w:rsid w:val="00A16DC1"/>
    <w:rsid w:val="00A1738B"/>
    <w:rsid w:val="00A2035C"/>
    <w:rsid w:val="00A2054B"/>
    <w:rsid w:val="00A228D6"/>
    <w:rsid w:val="00A22D45"/>
    <w:rsid w:val="00A23D31"/>
    <w:rsid w:val="00A23F08"/>
    <w:rsid w:val="00A24C9B"/>
    <w:rsid w:val="00A24F33"/>
    <w:rsid w:val="00A25083"/>
    <w:rsid w:val="00A26ECD"/>
    <w:rsid w:val="00A275DE"/>
    <w:rsid w:val="00A27D2B"/>
    <w:rsid w:val="00A30176"/>
    <w:rsid w:val="00A301A7"/>
    <w:rsid w:val="00A30545"/>
    <w:rsid w:val="00A30C34"/>
    <w:rsid w:val="00A30FD3"/>
    <w:rsid w:val="00A32266"/>
    <w:rsid w:val="00A33434"/>
    <w:rsid w:val="00A34223"/>
    <w:rsid w:val="00A344F1"/>
    <w:rsid w:val="00A349AA"/>
    <w:rsid w:val="00A34F11"/>
    <w:rsid w:val="00A35E2F"/>
    <w:rsid w:val="00A36013"/>
    <w:rsid w:val="00A36977"/>
    <w:rsid w:val="00A36BE2"/>
    <w:rsid w:val="00A37891"/>
    <w:rsid w:val="00A37A88"/>
    <w:rsid w:val="00A400AE"/>
    <w:rsid w:val="00A40503"/>
    <w:rsid w:val="00A40A51"/>
    <w:rsid w:val="00A40F3B"/>
    <w:rsid w:val="00A415BA"/>
    <w:rsid w:val="00A423C8"/>
    <w:rsid w:val="00A437EC"/>
    <w:rsid w:val="00A43816"/>
    <w:rsid w:val="00A43CD2"/>
    <w:rsid w:val="00A4594F"/>
    <w:rsid w:val="00A47054"/>
    <w:rsid w:val="00A47916"/>
    <w:rsid w:val="00A47B0A"/>
    <w:rsid w:val="00A5088B"/>
    <w:rsid w:val="00A513DB"/>
    <w:rsid w:val="00A526EE"/>
    <w:rsid w:val="00A536DA"/>
    <w:rsid w:val="00A53E11"/>
    <w:rsid w:val="00A5406C"/>
    <w:rsid w:val="00A54720"/>
    <w:rsid w:val="00A54801"/>
    <w:rsid w:val="00A55271"/>
    <w:rsid w:val="00A5596D"/>
    <w:rsid w:val="00A56F39"/>
    <w:rsid w:val="00A571CD"/>
    <w:rsid w:val="00A57C3D"/>
    <w:rsid w:val="00A60A2E"/>
    <w:rsid w:val="00A64F18"/>
    <w:rsid w:val="00A65FFD"/>
    <w:rsid w:val="00A66808"/>
    <w:rsid w:val="00A6697B"/>
    <w:rsid w:val="00A67022"/>
    <w:rsid w:val="00A67F68"/>
    <w:rsid w:val="00A71340"/>
    <w:rsid w:val="00A719AA"/>
    <w:rsid w:val="00A72DB1"/>
    <w:rsid w:val="00A73DE3"/>
    <w:rsid w:val="00A74C2D"/>
    <w:rsid w:val="00A74D33"/>
    <w:rsid w:val="00A74E1B"/>
    <w:rsid w:val="00A7564A"/>
    <w:rsid w:val="00A75BBA"/>
    <w:rsid w:val="00A76B34"/>
    <w:rsid w:val="00A8015B"/>
    <w:rsid w:val="00A83487"/>
    <w:rsid w:val="00A84A8E"/>
    <w:rsid w:val="00A84E9E"/>
    <w:rsid w:val="00A852AC"/>
    <w:rsid w:val="00A854FF"/>
    <w:rsid w:val="00A86DF4"/>
    <w:rsid w:val="00A86E30"/>
    <w:rsid w:val="00A87035"/>
    <w:rsid w:val="00A871C4"/>
    <w:rsid w:val="00A8745D"/>
    <w:rsid w:val="00A87524"/>
    <w:rsid w:val="00A90573"/>
    <w:rsid w:val="00A908DA"/>
    <w:rsid w:val="00A90B7A"/>
    <w:rsid w:val="00A90F9B"/>
    <w:rsid w:val="00A918FA"/>
    <w:rsid w:val="00A92694"/>
    <w:rsid w:val="00A93072"/>
    <w:rsid w:val="00A94965"/>
    <w:rsid w:val="00A9629C"/>
    <w:rsid w:val="00A96514"/>
    <w:rsid w:val="00A966F6"/>
    <w:rsid w:val="00A96E80"/>
    <w:rsid w:val="00A97448"/>
    <w:rsid w:val="00AA04D2"/>
    <w:rsid w:val="00AA18DB"/>
    <w:rsid w:val="00AA2289"/>
    <w:rsid w:val="00AA2AFF"/>
    <w:rsid w:val="00AA2E00"/>
    <w:rsid w:val="00AA35D5"/>
    <w:rsid w:val="00AA417B"/>
    <w:rsid w:val="00AA533F"/>
    <w:rsid w:val="00AA58C8"/>
    <w:rsid w:val="00AA5A86"/>
    <w:rsid w:val="00AA6CCD"/>
    <w:rsid w:val="00AA7F48"/>
    <w:rsid w:val="00AB0073"/>
    <w:rsid w:val="00AB010D"/>
    <w:rsid w:val="00AB0749"/>
    <w:rsid w:val="00AB273B"/>
    <w:rsid w:val="00AB51B1"/>
    <w:rsid w:val="00AB5239"/>
    <w:rsid w:val="00AB61AD"/>
    <w:rsid w:val="00AB75E2"/>
    <w:rsid w:val="00AB7659"/>
    <w:rsid w:val="00AB76D8"/>
    <w:rsid w:val="00AB76F6"/>
    <w:rsid w:val="00AB7A1A"/>
    <w:rsid w:val="00AB7ABB"/>
    <w:rsid w:val="00AB7E6A"/>
    <w:rsid w:val="00AC1B50"/>
    <w:rsid w:val="00AC1B61"/>
    <w:rsid w:val="00AC2C6E"/>
    <w:rsid w:val="00AC3DB7"/>
    <w:rsid w:val="00AC5EE6"/>
    <w:rsid w:val="00AC5F9E"/>
    <w:rsid w:val="00AC7DC1"/>
    <w:rsid w:val="00AC7E1F"/>
    <w:rsid w:val="00AD0D24"/>
    <w:rsid w:val="00AD0E38"/>
    <w:rsid w:val="00AD1923"/>
    <w:rsid w:val="00AD1F60"/>
    <w:rsid w:val="00AD2195"/>
    <w:rsid w:val="00AD2611"/>
    <w:rsid w:val="00AD27D6"/>
    <w:rsid w:val="00AD38FD"/>
    <w:rsid w:val="00AD3AC5"/>
    <w:rsid w:val="00AD3D57"/>
    <w:rsid w:val="00AD43A4"/>
    <w:rsid w:val="00AD4866"/>
    <w:rsid w:val="00AD497C"/>
    <w:rsid w:val="00AD4A8A"/>
    <w:rsid w:val="00AD50F9"/>
    <w:rsid w:val="00AD71D9"/>
    <w:rsid w:val="00AD7C5E"/>
    <w:rsid w:val="00AE0B4B"/>
    <w:rsid w:val="00AE0CDB"/>
    <w:rsid w:val="00AE1169"/>
    <w:rsid w:val="00AE12AA"/>
    <w:rsid w:val="00AE22EA"/>
    <w:rsid w:val="00AE370F"/>
    <w:rsid w:val="00AE3BE3"/>
    <w:rsid w:val="00AE47BF"/>
    <w:rsid w:val="00AE489D"/>
    <w:rsid w:val="00AE4BD1"/>
    <w:rsid w:val="00AE552E"/>
    <w:rsid w:val="00AF08DA"/>
    <w:rsid w:val="00AF0A77"/>
    <w:rsid w:val="00AF19F2"/>
    <w:rsid w:val="00AF1A7E"/>
    <w:rsid w:val="00AF28C8"/>
    <w:rsid w:val="00AF3B03"/>
    <w:rsid w:val="00AF3DDB"/>
    <w:rsid w:val="00AF4C29"/>
    <w:rsid w:val="00AF51A8"/>
    <w:rsid w:val="00AF6432"/>
    <w:rsid w:val="00AF6D3D"/>
    <w:rsid w:val="00AF6DED"/>
    <w:rsid w:val="00AF7502"/>
    <w:rsid w:val="00AF79BD"/>
    <w:rsid w:val="00AF7DB8"/>
    <w:rsid w:val="00B007F7"/>
    <w:rsid w:val="00B00C80"/>
    <w:rsid w:val="00B01191"/>
    <w:rsid w:val="00B01BB6"/>
    <w:rsid w:val="00B03392"/>
    <w:rsid w:val="00B04CD6"/>
    <w:rsid w:val="00B06882"/>
    <w:rsid w:val="00B077ED"/>
    <w:rsid w:val="00B07F12"/>
    <w:rsid w:val="00B07FE3"/>
    <w:rsid w:val="00B103D7"/>
    <w:rsid w:val="00B10BAE"/>
    <w:rsid w:val="00B116CC"/>
    <w:rsid w:val="00B1369F"/>
    <w:rsid w:val="00B14154"/>
    <w:rsid w:val="00B1415B"/>
    <w:rsid w:val="00B15278"/>
    <w:rsid w:val="00B15525"/>
    <w:rsid w:val="00B16975"/>
    <w:rsid w:val="00B200CA"/>
    <w:rsid w:val="00B222A2"/>
    <w:rsid w:val="00B234EC"/>
    <w:rsid w:val="00B235FB"/>
    <w:rsid w:val="00B2564D"/>
    <w:rsid w:val="00B26C66"/>
    <w:rsid w:val="00B274AE"/>
    <w:rsid w:val="00B274BF"/>
    <w:rsid w:val="00B27BE1"/>
    <w:rsid w:val="00B31222"/>
    <w:rsid w:val="00B318C9"/>
    <w:rsid w:val="00B31FDB"/>
    <w:rsid w:val="00B330C9"/>
    <w:rsid w:val="00B33258"/>
    <w:rsid w:val="00B37DE4"/>
    <w:rsid w:val="00B40EE4"/>
    <w:rsid w:val="00B4114B"/>
    <w:rsid w:val="00B41DF3"/>
    <w:rsid w:val="00B42006"/>
    <w:rsid w:val="00B4291A"/>
    <w:rsid w:val="00B42C7F"/>
    <w:rsid w:val="00B42E81"/>
    <w:rsid w:val="00B4329D"/>
    <w:rsid w:val="00B44FF5"/>
    <w:rsid w:val="00B45BEE"/>
    <w:rsid w:val="00B46F7A"/>
    <w:rsid w:val="00B5076A"/>
    <w:rsid w:val="00B520F9"/>
    <w:rsid w:val="00B52812"/>
    <w:rsid w:val="00B5495A"/>
    <w:rsid w:val="00B54A9C"/>
    <w:rsid w:val="00B568D8"/>
    <w:rsid w:val="00B56994"/>
    <w:rsid w:val="00B56F24"/>
    <w:rsid w:val="00B577A3"/>
    <w:rsid w:val="00B5785F"/>
    <w:rsid w:val="00B60C10"/>
    <w:rsid w:val="00B6144B"/>
    <w:rsid w:val="00B6170F"/>
    <w:rsid w:val="00B61AA8"/>
    <w:rsid w:val="00B63BE6"/>
    <w:rsid w:val="00B643AF"/>
    <w:rsid w:val="00B64641"/>
    <w:rsid w:val="00B647DE"/>
    <w:rsid w:val="00B65BCE"/>
    <w:rsid w:val="00B672A2"/>
    <w:rsid w:val="00B704B5"/>
    <w:rsid w:val="00B7262F"/>
    <w:rsid w:val="00B727C5"/>
    <w:rsid w:val="00B73267"/>
    <w:rsid w:val="00B7364D"/>
    <w:rsid w:val="00B73FD4"/>
    <w:rsid w:val="00B74FC5"/>
    <w:rsid w:val="00B750FC"/>
    <w:rsid w:val="00B75A6C"/>
    <w:rsid w:val="00B7795B"/>
    <w:rsid w:val="00B779F7"/>
    <w:rsid w:val="00B80C3D"/>
    <w:rsid w:val="00B80E90"/>
    <w:rsid w:val="00B82F2D"/>
    <w:rsid w:val="00B83E2A"/>
    <w:rsid w:val="00B83E38"/>
    <w:rsid w:val="00B8408A"/>
    <w:rsid w:val="00B84516"/>
    <w:rsid w:val="00B84F85"/>
    <w:rsid w:val="00B85DF3"/>
    <w:rsid w:val="00B86C19"/>
    <w:rsid w:val="00B87167"/>
    <w:rsid w:val="00B90737"/>
    <w:rsid w:val="00B9113E"/>
    <w:rsid w:val="00B91CE1"/>
    <w:rsid w:val="00B92EDF"/>
    <w:rsid w:val="00B9316E"/>
    <w:rsid w:val="00B93510"/>
    <w:rsid w:val="00B93640"/>
    <w:rsid w:val="00B93E33"/>
    <w:rsid w:val="00B93FFB"/>
    <w:rsid w:val="00B94957"/>
    <w:rsid w:val="00B94B67"/>
    <w:rsid w:val="00B954F3"/>
    <w:rsid w:val="00B95BCD"/>
    <w:rsid w:val="00B95CDC"/>
    <w:rsid w:val="00B95CE5"/>
    <w:rsid w:val="00B96107"/>
    <w:rsid w:val="00B9614C"/>
    <w:rsid w:val="00B96F60"/>
    <w:rsid w:val="00B97BD4"/>
    <w:rsid w:val="00BA0D0B"/>
    <w:rsid w:val="00BA0D3C"/>
    <w:rsid w:val="00BA1099"/>
    <w:rsid w:val="00BA10DC"/>
    <w:rsid w:val="00BA1732"/>
    <w:rsid w:val="00BA1893"/>
    <w:rsid w:val="00BA1FB0"/>
    <w:rsid w:val="00BA206A"/>
    <w:rsid w:val="00BA4CE5"/>
    <w:rsid w:val="00BA688A"/>
    <w:rsid w:val="00BB18B8"/>
    <w:rsid w:val="00BB1B3C"/>
    <w:rsid w:val="00BB375D"/>
    <w:rsid w:val="00BB391B"/>
    <w:rsid w:val="00BB3A74"/>
    <w:rsid w:val="00BB3D85"/>
    <w:rsid w:val="00BB40A3"/>
    <w:rsid w:val="00BB49A0"/>
    <w:rsid w:val="00BB515F"/>
    <w:rsid w:val="00BB532B"/>
    <w:rsid w:val="00BB545D"/>
    <w:rsid w:val="00BC0924"/>
    <w:rsid w:val="00BC1FA5"/>
    <w:rsid w:val="00BC2592"/>
    <w:rsid w:val="00BC2C0C"/>
    <w:rsid w:val="00BC3C5F"/>
    <w:rsid w:val="00BC4DAC"/>
    <w:rsid w:val="00BC6FDD"/>
    <w:rsid w:val="00BC732A"/>
    <w:rsid w:val="00BC758B"/>
    <w:rsid w:val="00BC7B92"/>
    <w:rsid w:val="00BD223D"/>
    <w:rsid w:val="00BD2EAC"/>
    <w:rsid w:val="00BD4059"/>
    <w:rsid w:val="00BD455F"/>
    <w:rsid w:val="00BD4617"/>
    <w:rsid w:val="00BD4BB3"/>
    <w:rsid w:val="00BD782A"/>
    <w:rsid w:val="00BD798E"/>
    <w:rsid w:val="00BE17C6"/>
    <w:rsid w:val="00BE183F"/>
    <w:rsid w:val="00BE2BD3"/>
    <w:rsid w:val="00BE47E2"/>
    <w:rsid w:val="00BE4843"/>
    <w:rsid w:val="00BE4865"/>
    <w:rsid w:val="00BE5595"/>
    <w:rsid w:val="00BE5735"/>
    <w:rsid w:val="00BE5A62"/>
    <w:rsid w:val="00BE69BF"/>
    <w:rsid w:val="00BE6C99"/>
    <w:rsid w:val="00BE6E79"/>
    <w:rsid w:val="00BE725A"/>
    <w:rsid w:val="00BE73C1"/>
    <w:rsid w:val="00BE7430"/>
    <w:rsid w:val="00BE7B48"/>
    <w:rsid w:val="00BE7C6B"/>
    <w:rsid w:val="00BF03EB"/>
    <w:rsid w:val="00BF1B9F"/>
    <w:rsid w:val="00BF28E7"/>
    <w:rsid w:val="00BF3381"/>
    <w:rsid w:val="00BF3AEA"/>
    <w:rsid w:val="00BF45F2"/>
    <w:rsid w:val="00BF475C"/>
    <w:rsid w:val="00BF48AB"/>
    <w:rsid w:val="00BF5322"/>
    <w:rsid w:val="00BF667D"/>
    <w:rsid w:val="00BF75D9"/>
    <w:rsid w:val="00BF799D"/>
    <w:rsid w:val="00C004B6"/>
    <w:rsid w:val="00C01579"/>
    <w:rsid w:val="00C03922"/>
    <w:rsid w:val="00C03AA9"/>
    <w:rsid w:val="00C067AC"/>
    <w:rsid w:val="00C06AEE"/>
    <w:rsid w:val="00C076CE"/>
    <w:rsid w:val="00C10FCF"/>
    <w:rsid w:val="00C12810"/>
    <w:rsid w:val="00C145CF"/>
    <w:rsid w:val="00C14B76"/>
    <w:rsid w:val="00C14EE1"/>
    <w:rsid w:val="00C1588B"/>
    <w:rsid w:val="00C15903"/>
    <w:rsid w:val="00C16B4B"/>
    <w:rsid w:val="00C16D1C"/>
    <w:rsid w:val="00C16E51"/>
    <w:rsid w:val="00C17427"/>
    <w:rsid w:val="00C20A16"/>
    <w:rsid w:val="00C20C00"/>
    <w:rsid w:val="00C210FD"/>
    <w:rsid w:val="00C21A0D"/>
    <w:rsid w:val="00C22183"/>
    <w:rsid w:val="00C22901"/>
    <w:rsid w:val="00C25238"/>
    <w:rsid w:val="00C26B6F"/>
    <w:rsid w:val="00C2734F"/>
    <w:rsid w:val="00C305F2"/>
    <w:rsid w:val="00C31040"/>
    <w:rsid w:val="00C31AF4"/>
    <w:rsid w:val="00C32A89"/>
    <w:rsid w:val="00C3345C"/>
    <w:rsid w:val="00C3426A"/>
    <w:rsid w:val="00C36A0F"/>
    <w:rsid w:val="00C36BB3"/>
    <w:rsid w:val="00C40653"/>
    <w:rsid w:val="00C407E5"/>
    <w:rsid w:val="00C41F64"/>
    <w:rsid w:val="00C42DAC"/>
    <w:rsid w:val="00C4342B"/>
    <w:rsid w:val="00C43450"/>
    <w:rsid w:val="00C436E3"/>
    <w:rsid w:val="00C443B2"/>
    <w:rsid w:val="00C44666"/>
    <w:rsid w:val="00C44A1F"/>
    <w:rsid w:val="00C459A9"/>
    <w:rsid w:val="00C4752A"/>
    <w:rsid w:val="00C477E7"/>
    <w:rsid w:val="00C502A5"/>
    <w:rsid w:val="00C521F7"/>
    <w:rsid w:val="00C53008"/>
    <w:rsid w:val="00C5413A"/>
    <w:rsid w:val="00C54600"/>
    <w:rsid w:val="00C5509C"/>
    <w:rsid w:val="00C55151"/>
    <w:rsid w:val="00C5575D"/>
    <w:rsid w:val="00C558FF"/>
    <w:rsid w:val="00C560FA"/>
    <w:rsid w:val="00C56772"/>
    <w:rsid w:val="00C57C74"/>
    <w:rsid w:val="00C57FF9"/>
    <w:rsid w:val="00C60B87"/>
    <w:rsid w:val="00C6187E"/>
    <w:rsid w:val="00C61D80"/>
    <w:rsid w:val="00C62178"/>
    <w:rsid w:val="00C62694"/>
    <w:rsid w:val="00C64434"/>
    <w:rsid w:val="00C64A51"/>
    <w:rsid w:val="00C64B27"/>
    <w:rsid w:val="00C65C4D"/>
    <w:rsid w:val="00C65FED"/>
    <w:rsid w:val="00C6600C"/>
    <w:rsid w:val="00C66EEB"/>
    <w:rsid w:val="00C67AC2"/>
    <w:rsid w:val="00C700DA"/>
    <w:rsid w:val="00C7063C"/>
    <w:rsid w:val="00C714C9"/>
    <w:rsid w:val="00C71502"/>
    <w:rsid w:val="00C71F4C"/>
    <w:rsid w:val="00C73C57"/>
    <w:rsid w:val="00C746D9"/>
    <w:rsid w:val="00C74D12"/>
    <w:rsid w:val="00C74D43"/>
    <w:rsid w:val="00C75CA7"/>
    <w:rsid w:val="00C7683D"/>
    <w:rsid w:val="00C772A0"/>
    <w:rsid w:val="00C80751"/>
    <w:rsid w:val="00C80BC9"/>
    <w:rsid w:val="00C81EB6"/>
    <w:rsid w:val="00C8257A"/>
    <w:rsid w:val="00C83CDA"/>
    <w:rsid w:val="00C83F2A"/>
    <w:rsid w:val="00C8485E"/>
    <w:rsid w:val="00C84D57"/>
    <w:rsid w:val="00C84FD3"/>
    <w:rsid w:val="00C860A8"/>
    <w:rsid w:val="00C86432"/>
    <w:rsid w:val="00C86478"/>
    <w:rsid w:val="00C86FC6"/>
    <w:rsid w:val="00C901BB"/>
    <w:rsid w:val="00C9024D"/>
    <w:rsid w:val="00C90CD3"/>
    <w:rsid w:val="00C9116A"/>
    <w:rsid w:val="00C91637"/>
    <w:rsid w:val="00C92183"/>
    <w:rsid w:val="00C92552"/>
    <w:rsid w:val="00C92C27"/>
    <w:rsid w:val="00C939E8"/>
    <w:rsid w:val="00C93AC2"/>
    <w:rsid w:val="00C93F1B"/>
    <w:rsid w:val="00C94EF0"/>
    <w:rsid w:val="00C95093"/>
    <w:rsid w:val="00C95AB0"/>
    <w:rsid w:val="00C96DFE"/>
    <w:rsid w:val="00C9709F"/>
    <w:rsid w:val="00C976D1"/>
    <w:rsid w:val="00C97851"/>
    <w:rsid w:val="00CA123D"/>
    <w:rsid w:val="00CA2A14"/>
    <w:rsid w:val="00CA2DFC"/>
    <w:rsid w:val="00CA308F"/>
    <w:rsid w:val="00CA3902"/>
    <w:rsid w:val="00CA69DB"/>
    <w:rsid w:val="00CA6F0D"/>
    <w:rsid w:val="00CA71D4"/>
    <w:rsid w:val="00CA7CCC"/>
    <w:rsid w:val="00CA7D7D"/>
    <w:rsid w:val="00CB1A0D"/>
    <w:rsid w:val="00CB5D29"/>
    <w:rsid w:val="00CB675A"/>
    <w:rsid w:val="00CB6EC8"/>
    <w:rsid w:val="00CB782B"/>
    <w:rsid w:val="00CC082B"/>
    <w:rsid w:val="00CC0E77"/>
    <w:rsid w:val="00CC2092"/>
    <w:rsid w:val="00CC285C"/>
    <w:rsid w:val="00CC29E8"/>
    <w:rsid w:val="00CC327E"/>
    <w:rsid w:val="00CC34C5"/>
    <w:rsid w:val="00CC4C0B"/>
    <w:rsid w:val="00CC5595"/>
    <w:rsid w:val="00CC5E76"/>
    <w:rsid w:val="00CC6730"/>
    <w:rsid w:val="00CC69E7"/>
    <w:rsid w:val="00CC6C08"/>
    <w:rsid w:val="00CC7D3E"/>
    <w:rsid w:val="00CD0214"/>
    <w:rsid w:val="00CD049D"/>
    <w:rsid w:val="00CD1770"/>
    <w:rsid w:val="00CD3A5D"/>
    <w:rsid w:val="00CD51ED"/>
    <w:rsid w:val="00CD5FD4"/>
    <w:rsid w:val="00CD6A36"/>
    <w:rsid w:val="00CD724D"/>
    <w:rsid w:val="00CE07B8"/>
    <w:rsid w:val="00CE0A60"/>
    <w:rsid w:val="00CE0DCE"/>
    <w:rsid w:val="00CE1B6A"/>
    <w:rsid w:val="00CE1BC9"/>
    <w:rsid w:val="00CE321D"/>
    <w:rsid w:val="00CE33C1"/>
    <w:rsid w:val="00CE4DD6"/>
    <w:rsid w:val="00CE597A"/>
    <w:rsid w:val="00CE6763"/>
    <w:rsid w:val="00CE7442"/>
    <w:rsid w:val="00CE76FF"/>
    <w:rsid w:val="00CF1CF7"/>
    <w:rsid w:val="00CF2954"/>
    <w:rsid w:val="00CF3BFD"/>
    <w:rsid w:val="00CF3C35"/>
    <w:rsid w:val="00CF4012"/>
    <w:rsid w:val="00CF43D5"/>
    <w:rsid w:val="00CF474E"/>
    <w:rsid w:val="00CF5EC7"/>
    <w:rsid w:val="00CF6481"/>
    <w:rsid w:val="00CF76A8"/>
    <w:rsid w:val="00CF7D0F"/>
    <w:rsid w:val="00D01349"/>
    <w:rsid w:val="00D01836"/>
    <w:rsid w:val="00D01F75"/>
    <w:rsid w:val="00D02BC6"/>
    <w:rsid w:val="00D02CFC"/>
    <w:rsid w:val="00D0310D"/>
    <w:rsid w:val="00D03A15"/>
    <w:rsid w:val="00D04099"/>
    <w:rsid w:val="00D041C8"/>
    <w:rsid w:val="00D047A7"/>
    <w:rsid w:val="00D051FE"/>
    <w:rsid w:val="00D05803"/>
    <w:rsid w:val="00D05C7C"/>
    <w:rsid w:val="00D05CA7"/>
    <w:rsid w:val="00D05EEA"/>
    <w:rsid w:val="00D06906"/>
    <w:rsid w:val="00D07742"/>
    <w:rsid w:val="00D10A0F"/>
    <w:rsid w:val="00D10F9D"/>
    <w:rsid w:val="00D1202D"/>
    <w:rsid w:val="00D1276A"/>
    <w:rsid w:val="00D131D5"/>
    <w:rsid w:val="00D14DB7"/>
    <w:rsid w:val="00D14F18"/>
    <w:rsid w:val="00D15ED5"/>
    <w:rsid w:val="00D15F1A"/>
    <w:rsid w:val="00D16656"/>
    <w:rsid w:val="00D172C9"/>
    <w:rsid w:val="00D200AB"/>
    <w:rsid w:val="00D20B81"/>
    <w:rsid w:val="00D22AD2"/>
    <w:rsid w:val="00D23ACA"/>
    <w:rsid w:val="00D244BD"/>
    <w:rsid w:val="00D2465A"/>
    <w:rsid w:val="00D24EFC"/>
    <w:rsid w:val="00D24F48"/>
    <w:rsid w:val="00D2558C"/>
    <w:rsid w:val="00D26C9C"/>
    <w:rsid w:val="00D30834"/>
    <w:rsid w:val="00D31521"/>
    <w:rsid w:val="00D31CD5"/>
    <w:rsid w:val="00D31DC6"/>
    <w:rsid w:val="00D32B96"/>
    <w:rsid w:val="00D32E24"/>
    <w:rsid w:val="00D3354D"/>
    <w:rsid w:val="00D340C6"/>
    <w:rsid w:val="00D34402"/>
    <w:rsid w:val="00D348F7"/>
    <w:rsid w:val="00D35065"/>
    <w:rsid w:val="00D3564E"/>
    <w:rsid w:val="00D36EF4"/>
    <w:rsid w:val="00D371D0"/>
    <w:rsid w:val="00D403A3"/>
    <w:rsid w:val="00D4062A"/>
    <w:rsid w:val="00D407D3"/>
    <w:rsid w:val="00D40BC3"/>
    <w:rsid w:val="00D41A35"/>
    <w:rsid w:val="00D42F2E"/>
    <w:rsid w:val="00D431F4"/>
    <w:rsid w:val="00D434EC"/>
    <w:rsid w:val="00D43E69"/>
    <w:rsid w:val="00D44E9D"/>
    <w:rsid w:val="00D454A6"/>
    <w:rsid w:val="00D466D0"/>
    <w:rsid w:val="00D472A7"/>
    <w:rsid w:val="00D51515"/>
    <w:rsid w:val="00D53731"/>
    <w:rsid w:val="00D538C7"/>
    <w:rsid w:val="00D54BD5"/>
    <w:rsid w:val="00D55A7D"/>
    <w:rsid w:val="00D575F0"/>
    <w:rsid w:val="00D575F1"/>
    <w:rsid w:val="00D57A95"/>
    <w:rsid w:val="00D603BA"/>
    <w:rsid w:val="00D60578"/>
    <w:rsid w:val="00D61A0E"/>
    <w:rsid w:val="00D62B63"/>
    <w:rsid w:val="00D634BD"/>
    <w:rsid w:val="00D63FD4"/>
    <w:rsid w:val="00D64F30"/>
    <w:rsid w:val="00D71685"/>
    <w:rsid w:val="00D71CF9"/>
    <w:rsid w:val="00D72264"/>
    <w:rsid w:val="00D731A8"/>
    <w:rsid w:val="00D73603"/>
    <w:rsid w:val="00D74DC2"/>
    <w:rsid w:val="00D7675E"/>
    <w:rsid w:val="00D768D8"/>
    <w:rsid w:val="00D80080"/>
    <w:rsid w:val="00D809E2"/>
    <w:rsid w:val="00D80F9D"/>
    <w:rsid w:val="00D80FFB"/>
    <w:rsid w:val="00D8189D"/>
    <w:rsid w:val="00D81BAE"/>
    <w:rsid w:val="00D8237E"/>
    <w:rsid w:val="00D83774"/>
    <w:rsid w:val="00D848E9"/>
    <w:rsid w:val="00D84B17"/>
    <w:rsid w:val="00D8507D"/>
    <w:rsid w:val="00D86735"/>
    <w:rsid w:val="00D8718E"/>
    <w:rsid w:val="00D871FB"/>
    <w:rsid w:val="00D87AA2"/>
    <w:rsid w:val="00D90C9D"/>
    <w:rsid w:val="00D90E57"/>
    <w:rsid w:val="00D91910"/>
    <w:rsid w:val="00D91AA8"/>
    <w:rsid w:val="00D944A6"/>
    <w:rsid w:val="00D949A3"/>
    <w:rsid w:val="00D95B5F"/>
    <w:rsid w:val="00D96FC3"/>
    <w:rsid w:val="00DA0839"/>
    <w:rsid w:val="00DA0FE1"/>
    <w:rsid w:val="00DA12C3"/>
    <w:rsid w:val="00DA1A8A"/>
    <w:rsid w:val="00DA22B5"/>
    <w:rsid w:val="00DA267B"/>
    <w:rsid w:val="00DA420D"/>
    <w:rsid w:val="00DA495D"/>
    <w:rsid w:val="00DA4F15"/>
    <w:rsid w:val="00DA5512"/>
    <w:rsid w:val="00DA57BE"/>
    <w:rsid w:val="00DA5DCA"/>
    <w:rsid w:val="00DA7095"/>
    <w:rsid w:val="00DA70B4"/>
    <w:rsid w:val="00DA7BA0"/>
    <w:rsid w:val="00DB1C1D"/>
    <w:rsid w:val="00DB2180"/>
    <w:rsid w:val="00DB42F5"/>
    <w:rsid w:val="00DB469A"/>
    <w:rsid w:val="00DB4B8A"/>
    <w:rsid w:val="00DB4DC0"/>
    <w:rsid w:val="00DB52C3"/>
    <w:rsid w:val="00DB5454"/>
    <w:rsid w:val="00DB5DA3"/>
    <w:rsid w:val="00DB7E5F"/>
    <w:rsid w:val="00DC10B0"/>
    <w:rsid w:val="00DC1246"/>
    <w:rsid w:val="00DC1594"/>
    <w:rsid w:val="00DC2884"/>
    <w:rsid w:val="00DC2B02"/>
    <w:rsid w:val="00DC2C09"/>
    <w:rsid w:val="00DC4770"/>
    <w:rsid w:val="00DC4BCD"/>
    <w:rsid w:val="00DC4E3D"/>
    <w:rsid w:val="00DC6770"/>
    <w:rsid w:val="00DC68D6"/>
    <w:rsid w:val="00DC7455"/>
    <w:rsid w:val="00DC770A"/>
    <w:rsid w:val="00DC7ECE"/>
    <w:rsid w:val="00DD086D"/>
    <w:rsid w:val="00DD0FEA"/>
    <w:rsid w:val="00DD1107"/>
    <w:rsid w:val="00DD11AC"/>
    <w:rsid w:val="00DD178F"/>
    <w:rsid w:val="00DD1A82"/>
    <w:rsid w:val="00DD1FE4"/>
    <w:rsid w:val="00DD2332"/>
    <w:rsid w:val="00DD2E71"/>
    <w:rsid w:val="00DD30C6"/>
    <w:rsid w:val="00DD4A88"/>
    <w:rsid w:val="00DD5221"/>
    <w:rsid w:val="00DD7DC3"/>
    <w:rsid w:val="00DE0808"/>
    <w:rsid w:val="00DE1C03"/>
    <w:rsid w:val="00DE2065"/>
    <w:rsid w:val="00DE2966"/>
    <w:rsid w:val="00DE3A0C"/>
    <w:rsid w:val="00DE3AF1"/>
    <w:rsid w:val="00DE40E0"/>
    <w:rsid w:val="00DE4107"/>
    <w:rsid w:val="00DE4F8D"/>
    <w:rsid w:val="00DE70AE"/>
    <w:rsid w:val="00DE7D92"/>
    <w:rsid w:val="00DF0353"/>
    <w:rsid w:val="00DF04ED"/>
    <w:rsid w:val="00DF06B6"/>
    <w:rsid w:val="00DF0B5E"/>
    <w:rsid w:val="00DF0ED5"/>
    <w:rsid w:val="00DF140A"/>
    <w:rsid w:val="00DF18E0"/>
    <w:rsid w:val="00DF1FEA"/>
    <w:rsid w:val="00DF39C6"/>
    <w:rsid w:val="00DF54E4"/>
    <w:rsid w:val="00DF6537"/>
    <w:rsid w:val="00DF6A00"/>
    <w:rsid w:val="00DF6F8B"/>
    <w:rsid w:val="00DF72D9"/>
    <w:rsid w:val="00DF7526"/>
    <w:rsid w:val="00DF7C06"/>
    <w:rsid w:val="00DF7DF3"/>
    <w:rsid w:val="00DF7EC8"/>
    <w:rsid w:val="00E00EC3"/>
    <w:rsid w:val="00E028ED"/>
    <w:rsid w:val="00E02901"/>
    <w:rsid w:val="00E02A5D"/>
    <w:rsid w:val="00E0499F"/>
    <w:rsid w:val="00E04AA7"/>
    <w:rsid w:val="00E0682E"/>
    <w:rsid w:val="00E06E31"/>
    <w:rsid w:val="00E078DD"/>
    <w:rsid w:val="00E079D7"/>
    <w:rsid w:val="00E104F6"/>
    <w:rsid w:val="00E10748"/>
    <w:rsid w:val="00E109BD"/>
    <w:rsid w:val="00E11282"/>
    <w:rsid w:val="00E123CC"/>
    <w:rsid w:val="00E12ED3"/>
    <w:rsid w:val="00E12F57"/>
    <w:rsid w:val="00E14282"/>
    <w:rsid w:val="00E155D8"/>
    <w:rsid w:val="00E156F2"/>
    <w:rsid w:val="00E17436"/>
    <w:rsid w:val="00E17728"/>
    <w:rsid w:val="00E17D55"/>
    <w:rsid w:val="00E17FA7"/>
    <w:rsid w:val="00E208B2"/>
    <w:rsid w:val="00E2250E"/>
    <w:rsid w:val="00E22B7E"/>
    <w:rsid w:val="00E22FE4"/>
    <w:rsid w:val="00E24BF5"/>
    <w:rsid w:val="00E25494"/>
    <w:rsid w:val="00E256C4"/>
    <w:rsid w:val="00E25982"/>
    <w:rsid w:val="00E2674B"/>
    <w:rsid w:val="00E272DC"/>
    <w:rsid w:val="00E27DC8"/>
    <w:rsid w:val="00E27DDF"/>
    <w:rsid w:val="00E27E01"/>
    <w:rsid w:val="00E30469"/>
    <w:rsid w:val="00E30A90"/>
    <w:rsid w:val="00E314D5"/>
    <w:rsid w:val="00E32C71"/>
    <w:rsid w:val="00E32DBA"/>
    <w:rsid w:val="00E34B25"/>
    <w:rsid w:val="00E3553C"/>
    <w:rsid w:val="00E35655"/>
    <w:rsid w:val="00E367AD"/>
    <w:rsid w:val="00E36EE1"/>
    <w:rsid w:val="00E401D4"/>
    <w:rsid w:val="00E40B85"/>
    <w:rsid w:val="00E4236F"/>
    <w:rsid w:val="00E433BE"/>
    <w:rsid w:val="00E43469"/>
    <w:rsid w:val="00E4369C"/>
    <w:rsid w:val="00E43A0F"/>
    <w:rsid w:val="00E440A6"/>
    <w:rsid w:val="00E445DA"/>
    <w:rsid w:val="00E44A42"/>
    <w:rsid w:val="00E45379"/>
    <w:rsid w:val="00E465CB"/>
    <w:rsid w:val="00E47C0D"/>
    <w:rsid w:val="00E47D4C"/>
    <w:rsid w:val="00E50B22"/>
    <w:rsid w:val="00E51263"/>
    <w:rsid w:val="00E51E18"/>
    <w:rsid w:val="00E5287B"/>
    <w:rsid w:val="00E52F9B"/>
    <w:rsid w:val="00E533BD"/>
    <w:rsid w:val="00E53706"/>
    <w:rsid w:val="00E56FE1"/>
    <w:rsid w:val="00E57CE2"/>
    <w:rsid w:val="00E6096D"/>
    <w:rsid w:val="00E60E5A"/>
    <w:rsid w:val="00E617BD"/>
    <w:rsid w:val="00E61CA8"/>
    <w:rsid w:val="00E61E05"/>
    <w:rsid w:val="00E64BD9"/>
    <w:rsid w:val="00E6519C"/>
    <w:rsid w:val="00E65B7C"/>
    <w:rsid w:val="00E660AA"/>
    <w:rsid w:val="00E661F3"/>
    <w:rsid w:val="00E67E50"/>
    <w:rsid w:val="00E705B4"/>
    <w:rsid w:val="00E71C8B"/>
    <w:rsid w:val="00E7233D"/>
    <w:rsid w:val="00E72967"/>
    <w:rsid w:val="00E75472"/>
    <w:rsid w:val="00E75AF7"/>
    <w:rsid w:val="00E773B4"/>
    <w:rsid w:val="00E77E5E"/>
    <w:rsid w:val="00E80DA7"/>
    <w:rsid w:val="00E8155D"/>
    <w:rsid w:val="00E816C6"/>
    <w:rsid w:val="00E82615"/>
    <w:rsid w:val="00E82D63"/>
    <w:rsid w:val="00E84132"/>
    <w:rsid w:val="00E84A66"/>
    <w:rsid w:val="00E84AD7"/>
    <w:rsid w:val="00E85CC0"/>
    <w:rsid w:val="00E861B4"/>
    <w:rsid w:val="00E905B8"/>
    <w:rsid w:val="00E90627"/>
    <w:rsid w:val="00E9193D"/>
    <w:rsid w:val="00E958AD"/>
    <w:rsid w:val="00E96E1A"/>
    <w:rsid w:val="00EA0E04"/>
    <w:rsid w:val="00EA1A98"/>
    <w:rsid w:val="00EA200D"/>
    <w:rsid w:val="00EA216F"/>
    <w:rsid w:val="00EA220D"/>
    <w:rsid w:val="00EA2F71"/>
    <w:rsid w:val="00EA3156"/>
    <w:rsid w:val="00EA34A1"/>
    <w:rsid w:val="00EA40A2"/>
    <w:rsid w:val="00EA498C"/>
    <w:rsid w:val="00EA4CD5"/>
    <w:rsid w:val="00EA5D2C"/>
    <w:rsid w:val="00EA5D8E"/>
    <w:rsid w:val="00EA5D9F"/>
    <w:rsid w:val="00EA7E07"/>
    <w:rsid w:val="00EB06FC"/>
    <w:rsid w:val="00EB07CF"/>
    <w:rsid w:val="00EB0D0E"/>
    <w:rsid w:val="00EB1363"/>
    <w:rsid w:val="00EB266C"/>
    <w:rsid w:val="00EB2F67"/>
    <w:rsid w:val="00EB3337"/>
    <w:rsid w:val="00EB36EC"/>
    <w:rsid w:val="00EB3B88"/>
    <w:rsid w:val="00EB3BB1"/>
    <w:rsid w:val="00EB4A02"/>
    <w:rsid w:val="00EB7B79"/>
    <w:rsid w:val="00EC0928"/>
    <w:rsid w:val="00EC0C14"/>
    <w:rsid w:val="00EC2B42"/>
    <w:rsid w:val="00EC385E"/>
    <w:rsid w:val="00EC3B8F"/>
    <w:rsid w:val="00EC5CA0"/>
    <w:rsid w:val="00EC64A8"/>
    <w:rsid w:val="00EC7372"/>
    <w:rsid w:val="00ED00D7"/>
    <w:rsid w:val="00ED0ADC"/>
    <w:rsid w:val="00ED107F"/>
    <w:rsid w:val="00ED19D1"/>
    <w:rsid w:val="00ED1A47"/>
    <w:rsid w:val="00ED1FC9"/>
    <w:rsid w:val="00ED2AC0"/>
    <w:rsid w:val="00ED30E8"/>
    <w:rsid w:val="00ED3438"/>
    <w:rsid w:val="00ED36D0"/>
    <w:rsid w:val="00ED3B69"/>
    <w:rsid w:val="00ED3CF9"/>
    <w:rsid w:val="00ED3ECA"/>
    <w:rsid w:val="00ED3F39"/>
    <w:rsid w:val="00ED4492"/>
    <w:rsid w:val="00ED63AE"/>
    <w:rsid w:val="00ED646D"/>
    <w:rsid w:val="00ED6CD1"/>
    <w:rsid w:val="00ED6EE7"/>
    <w:rsid w:val="00ED76D1"/>
    <w:rsid w:val="00ED7A42"/>
    <w:rsid w:val="00ED7EEC"/>
    <w:rsid w:val="00EE0395"/>
    <w:rsid w:val="00EE1D80"/>
    <w:rsid w:val="00EE1EE0"/>
    <w:rsid w:val="00EE2BFB"/>
    <w:rsid w:val="00EE2EEA"/>
    <w:rsid w:val="00EE5F2E"/>
    <w:rsid w:val="00EE6511"/>
    <w:rsid w:val="00EF07AB"/>
    <w:rsid w:val="00EF16DB"/>
    <w:rsid w:val="00EF1F54"/>
    <w:rsid w:val="00EF2C2D"/>
    <w:rsid w:val="00EF4537"/>
    <w:rsid w:val="00EF4A64"/>
    <w:rsid w:val="00EF4D52"/>
    <w:rsid w:val="00EF54EA"/>
    <w:rsid w:val="00F016F0"/>
    <w:rsid w:val="00F02171"/>
    <w:rsid w:val="00F0260C"/>
    <w:rsid w:val="00F03228"/>
    <w:rsid w:val="00F033EF"/>
    <w:rsid w:val="00F04076"/>
    <w:rsid w:val="00F04B15"/>
    <w:rsid w:val="00F0528B"/>
    <w:rsid w:val="00F061A6"/>
    <w:rsid w:val="00F06B3A"/>
    <w:rsid w:val="00F0710C"/>
    <w:rsid w:val="00F07A3A"/>
    <w:rsid w:val="00F07A69"/>
    <w:rsid w:val="00F07C58"/>
    <w:rsid w:val="00F07ECC"/>
    <w:rsid w:val="00F11AB3"/>
    <w:rsid w:val="00F11E70"/>
    <w:rsid w:val="00F1286E"/>
    <w:rsid w:val="00F12B32"/>
    <w:rsid w:val="00F14017"/>
    <w:rsid w:val="00F14D17"/>
    <w:rsid w:val="00F1608F"/>
    <w:rsid w:val="00F1684C"/>
    <w:rsid w:val="00F16894"/>
    <w:rsid w:val="00F16DC0"/>
    <w:rsid w:val="00F16EA7"/>
    <w:rsid w:val="00F20633"/>
    <w:rsid w:val="00F21A93"/>
    <w:rsid w:val="00F21DD6"/>
    <w:rsid w:val="00F225C9"/>
    <w:rsid w:val="00F24372"/>
    <w:rsid w:val="00F249E5"/>
    <w:rsid w:val="00F24CE9"/>
    <w:rsid w:val="00F251E7"/>
    <w:rsid w:val="00F25CFE"/>
    <w:rsid w:val="00F26CC2"/>
    <w:rsid w:val="00F302FE"/>
    <w:rsid w:val="00F31CC8"/>
    <w:rsid w:val="00F321B1"/>
    <w:rsid w:val="00F33758"/>
    <w:rsid w:val="00F346C1"/>
    <w:rsid w:val="00F35243"/>
    <w:rsid w:val="00F36E9F"/>
    <w:rsid w:val="00F41B19"/>
    <w:rsid w:val="00F41BBB"/>
    <w:rsid w:val="00F41BDB"/>
    <w:rsid w:val="00F425D5"/>
    <w:rsid w:val="00F42AB5"/>
    <w:rsid w:val="00F42F01"/>
    <w:rsid w:val="00F43915"/>
    <w:rsid w:val="00F43E6E"/>
    <w:rsid w:val="00F43EBF"/>
    <w:rsid w:val="00F44423"/>
    <w:rsid w:val="00F454F8"/>
    <w:rsid w:val="00F4653F"/>
    <w:rsid w:val="00F466DE"/>
    <w:rsid w:val="00F50BE6"/>
    <w:rsid w:val="00F51236"/>
    <w:rsid w:val="00F51438"/>
    <w:rsid w:val="00F516D0"/>
    <w:rsid w:val="00F51CBF"/>
    <w:rsid w:val="00F533AB"/>
    <w:rsid w:val="00F5374C"/>
    <w:rsid w:val="00F541B8"/>
    <w:rsid w:val="00F55329"/>
    <w:rsid w:val="00F55D63"/>
    <w:rsid w:val="00F56368"/>
    <w:rsid w:val="00F56B6D"/>
    <w:rsid w:val="00F56CC2"/>
    <w:rsid w:val="00F57689"/>
    <w:rsid w:val="00F57CD4"/>
    <w:rsid w:val="00F60105"/>
    <w:rsid w:val="00F60B07"/>
    <w:rsid w:val="00F60BC0"/>
    <w:rsid w:val="00F615A8"/>
    <w:rsid w:val="00F61B7F"/>
    <w:rsid w:val="00F62370"/>
    <w:rsid w:val="00F62750"/>
    <w:rsid w:val="00F628D3"/>
    <w:rsid w:val="00F62EF2"/>
    <w:rsid w:val="00F636DA"/>
    <w:rsid w:val="00F638C3"/>
    <w:rsid w:val="00F645B3"/>
    <w:rsid w:val="00F6497E"/>
    <w:rsid w:val="00F65227"/>
    <w:rsid w:val="00F65512"/>
    <w:rsid w:val="00F66B06"/>
    <w:rsid w:val="00F671D1"/>
    <w:rsid w:val="00F677E2"/>
    <w:rsid w:val="00F67B74"/>
    <w:rsid w:val="00F70830"/>
    <w:rsid w:val="00F70C89"/>
    <w:rsid w:val="00F70E5B"/>
    <w:rsid w:val="00F70FBD"/>
    <w:rsid w:val="00F71320"/>
    <w:rsid w:val="00F714A9"/>
    <w:rsid w:val="00F717E6"/>
    <w:rsid w:val="00F73751"/>
    <w:rsid w:val="00F73DC5"/>
    <w:rsid w:val="00F75EAD"/>
    <w:rsid w:val="00F76073"/>
    <w:rsid w:val="00F76E51"/>
    <w:rsid w:val="00F77154"/>
    <w:rsid w:val="00F772D5"/>
    <w:rsid w:val="00F779B0"/>
    <w:rsid w:val="00F77E2E"/>
    <w:rsid w:val="00F80243"/>
    <w:rsid w:val="00F80F33"/>
    <w:rsid w:val="00F84001"/>
    <w:rsid w:val="00F846D6"/>
    <w:rsid w:val="00F86059"/>
    <w:rsid w:val="00F86997"/>
    <w:rsid w:val="00F86C20"/>
    <w:rsid w:val="00F871D7"/>
    <w:rsid w:val="00F9173A"/>
    <w:rsid w:val="00F91800"/>
    <w:rsid w:val="00F93469"/>
    <w:rsid w:val="00F93AF9"/>
    <w:rsid w:val="00F942BD"/>
    <w:rsid w:val="00F94E99"/>
    <w:rsid w:val="00F9540C"/>
    <w:rsid w:val="00F960D5"/>
    <w:rsid w:val="00F9650A"/>
    <w:rsid w:val="00F967C7"/>
    <w:rsid w:val="00FA0437"/>
    <w:rsid w:val="00FA1166"/>
    <w:rsid w:val="00FA1A3E"/>
    <w:rsid w:val="00FA206B"/>
    <w:rsid w:val="00FA233F"/>
    <w:rsid w:val="00FA2E05"/>
    <w:rsid w:val="00FA2E10"/>
    <w:rsid w:val="00FA30E8"/>
    <w:rsid w:val="00FA3DF0"/>
    <w:rsid w:val="00FA7547"/>
    <w:rsid w:val="00FA7D57"/>
    <w:rsid w:val="00FB0008"/>
    <w:rsid w:val="00FB029E"/>
    <w:rsid w:val="00FB05EB"/>
    <w:rsid w:val="00FB071C"/>
    <w:rsid w:val="00FB1030"/>
    <w:rsid w:val="00FB1ACE"/>
    <w:rsid w:val="00FB1B08"/>
    <w:rsid w:val="00FB2A36"/>
    <w:rsid w:val="00FB3EA0"/>
    <w:rsid w:val="00FB53BC"/>
    <w:rsid w:val="00FB55F4"/>
    <w:rsid w:val="00FB58D8"/>
    <w:rsid w:val="00FB5C1A"/>
    <w:rsid w:val="00FB5E6F"/>
    <w:rsid w:val="00FB6514"/>
    <w:rsid w:val="00FB677F"/>
    <w:rsid w:val="00FB7115"/>
    <w:rsid w:val="00FB7140"/>
    <w:rsid w:val="00FC0B63"/>
    <w:rsid w:val="00FC12ED"/>
    <w:rsid w:val="00FC1748"/>
    <w:rsid w:val="00FC1EEB"/>
    <w:rsid w:val="00FC2209"/>
    <w:rsid w:val="00FC4367"/>
    <w:rsid w:val="00FC6F8C"/>
    <w:rsid w:val="00FC7531"/>
    <w:rsid w:val="00FC7EAA"/>
    <w:rsid w:val="00FD05F2"/>
    <w:rsid w:val="00FD1A86"/>
    <w:rsid w:val="00FD3C34"/>
    <w:rsid w:val="00FD49A2"/>
    <w:rsid w:val="00FD4FA5"/>
    <w:rsid w:val="00FD5166"/>
    <w:rsid w:val="00FD6CDE"/>
    <w:rsid w:val="00FD758C"/>
    <w:rsid w:val="00FE108D"/>
    <w:rsid w:val="00FE1955"/>
    <w:rsid w:val="00FE19D5"/>
    <w:rsid w:val="00FE3D58"/>
    <w:rsid w:val="00FE5983"/>
    <w:rsid w:val="00FE62DC"/>
    <w:rsid w:val="00FE731D"/>
    <w:rsid w:val="00FF05B9"/>
    <w:rsid w:val="00FF0EB1"/>
    <w:rsid w:val="00FF30DE"/>
    <w:rsid w:val="00FF456A"/>
    <w:rsid w:val="00FF46FD"/>
    <w:rsid w:val="00FF6204"/>
    <w:rsid w:val="00FF634D"/>
    <w:rsid w:val="00FF7BD4"/>
    <w:rsid w:val="6E0A5F70"/>
    <w:rsid w:val="78FB70C1"/>
  </w:rsids>
  <m:mathPr>
    <m:mathFont m:val="Cambria Math"/>
    <m:brkBin m:val="before"/>
    <m:brkBinSub m:val="--"/>
    <m:smallFrac/>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2061" fillcolor="white">
      <v:fill color="white"/>
    </o:shapedefaults>
    <o:shapelayout v:ext="edit">
      <o:idmap v:ext="edit" data="1"/>
    </o:shapelayout>
  </w:shapeDefaults>
  <w:decimalSymbol w:val="."/>
  <w:listSeparator w:val=","/>
  <w14:docId w14:val="1C92F87A"/>
  <w15:docId w15:val="{A6048244-DB7A-4924-BD1D-0929A02DB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nhideWhenUsed="1" w:qFormat="1"/>
    <w:lsdException w:name="List Bullet" w:semiHidden="1" w:unhideWhenUsed="1"/>
    <w:lsdException w:name="List Number" w:semiHidden="1" w:unhideWhenUsed="1"/>
    <w:lsdException w:name="List 2" w:unhideWhenUsed="1" w:qFormat="1"/>
    <w:lsdException w:name="List 3" w:unhideWhenUsed="1" w:qFormat="1"/>
    <w:lsdException w:name="List 4" w:unhideWhenUsed="1" w:qFormat="1"/>
    <w:lsdException w:name="List 5" w:semiHidden="1" w:unhideWhenUsed="1"/>
    <w:lsdException w:name="List Bullet 2"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nhideWhenUsed="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nhideWhenUsed="1" w:qFormat="1"/>
    <w:lsdException w:name="Date" w:semiHidden="1" w:unhideWhenUsed="1"/>
    <w:lsdException w:name="Body Text First Indent" w:semiHidden="1" w:unhideWhenUsed="1"/>
    <w:lsdException w:name="Body Text First Indent 2"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72"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eastAsia="Times New Roman"/>
      <w:lang w:eastAsia="es-ES"/>
    </w:rPr>
  </w:style>
  <w:style w:type="paragraph" w:styleId="Ttulo1">
    <w:name w:val="heading 1"/>
    <w:basedOn w:val="Normal"/>
    <w:next w:val="Normal"/>
    <w:link w:val="Ttulo1Car"/>
    <w:uiPriority w:val="9"/>
    <w:qFormat/>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8E643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8E6432"/>
    <w:pPr>
      <w:keepNext/>
      <w:keepLines/>
      <w:spacing w:before="40"/>
      <w:outlineLvl w:val="2"/>
    </w:pPr>
    <w:rPr>
      <w:rFonts w:asciiTheme="majorHAnsi" w:eastAsiaTheme="majorEastAsia" w:hAnsiTheme="majorHAnsi" w:cstheme="majorBidi"/>
      <w:color w:val="1F3763" w:themeColor="accent1" w:themeShade="7F"/>
      <w:sz w:val="24"/>
      <w:szCs w:val="24"/>
      <w:lang w:val="es-ES_tradnl"/>
    </w:rPr>
  </w:style>
  <w:style w:type="paragraph" w:styleId="Ttulo4">
    <w:name w:val="heading 4"/>
    <w:basedOn w:val="Normal"/>
    <w:next w:val="Normal"/>
    <w:link w:val="Ttulo4Car"/>
    <w:uiPriority w:val="9"/>
    <w:unhideWhenUsed/>
    <w:qFormat/>
    <w:rsid w:val="008E6432"/>
    <w:pPr>
      <w:keepNext/>
      <w:keepLines/>
      <w:spacing w:before="40"/>
      <w:outlineLvl w:val="3"/>
    </w:pPr>
    <w:rPr>
      <w:rFonts w:asciiTheme="majorHAnsi" w:eastAsiaTheme="majorEastAsia" w:hAnsiTheme="majorHAnsi" w:cstheme="majorBidi"/>
      <w:i/>
      <w:iCs/>
      <w:color w:val="2F5496" w:themeColor="accent1" w:themeShade="BF"/>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Pr>
      <w:rFonts w:ascii="Calibri" w:eastAsia="Calibri" w:hAnsi="Calibri"/>
      <w:lang w:eastAsia="en-US"/>
    </w:rPr>
  </w:style>
  <w:style w:type="paragraph" w:styleId="Asuntodelcomentario">
    <w:name w:val="annotation subject"/>
    <w:basedOn w:val="Textocomentario"/>
    <w:next w:val="Textocomentario"/>
    <w:link w:val="AsuntodelcomentarioCar"/>
    <w:uiPriority w:val="99"/>
    <w:semiHidden/>
    <w:unhideWhenUsed/>
    <w:qFormat/>
    <w:rPr>
      <w:b/>
      <w:bCs/>
    </w:rPr>
  </w:style>
  <w:style w:type="paragraph" w:styleId="Textocomentario">
    <w:name w:val="annotation text"/>
    <w:basedOn w:val="Normal"/>
    <w:link w:val="TextocomentarioCar"/>
    <w:uiPriority w:val="99"/>
    <w:semiHidden/>
    <w:unhideWhenUsed/>
  </w:style>
  <w:style w:type="paragraph" w:styleId="Textodeglobo">
    <w:name w:val="Balloon Text"/>
    <w:basedOn w:val="Normal"/>
    <w:link w:val="TextodegloboCar"/>
    <w:uiPriority w:val="99"/>
    <w:semiHidden/>
    <w:unhideWhenUsed/>
    <w:qFormat/>
    <w:rPr>
      <w:rFonts w:ascii="Segoe UI" w:hAnsi="Segoe UI" w:cs="Segoe UI"/>
      <w:sz w:val="18"/>
      <w:szCs w:val="18"/>
    </w:rPr>
  </w:style>
  <w:style w:type="paragraph" w:styleId="Lista3">
    <w:name w:val="List 3"/>
    <w:basedOn w:val="Normal"/>
    <w:uiPriority w:val="99"/>
    <w:unhideWhenUsed/>
    <w:qFormat/>
    <w:pPr>
      <w:ind w:left="849" w:hanging="283"/>
      <w:contextualSpacing/>
    </w:pPr>
  </w:style>
  <w:style w:type="paragraph" w:styleId="Encabezado">
    <w:name w:val="header"/>
    <w:basedOn w:val="Normal"/>
    <w:link w:val="EncabezadoCar"/>
    <w:uiPriority w:val="99"/>
    <w:unhideWhenUsed/>
    <w:qFormat/>
    <w:pPr>
      <w:tabs>
        <w:tab w:val="center" w:pos="4419"/>
        <w:tab w:val="right" w:pos="8838"/>
      </w:tabs>
    </w:pPr>
  </w:style>
  <w:style w:type="paragraph" w:styleId="HTMLconformatoprevio">
    <w:name w:val="HTML Preformatted"/>
    <w:basedOn w:val="Normal"/>
    <w:link w:val="HTMLconformatoprevioCar"/>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es-MX"/>
    </w:rPr>
  </w:style>
  <w:style w:type="paragraph" w:styleId="Sangradetextonormal">
    <w:name w:val="Body Text Indent"/>
    <w:basedOn w:val="Normal"/>
    <w:link w:val="SangradetextonormalCar"/>
    <w:uiPriority w:val="99"/>
    <w:unhideWhenUsed/>
    <w:qFormat/>
    <w:pPr>
      <w:spacing w:after="120"/>
      <w:ind w:left="283"/>
    </w:pPr>
  </w:style>
  <w:style w:type="paragraph" w:styleId="Lista2">
    <w:name w:val="List 2"/>
    <w:basedOn w:val="Normal"/>
    <w:uiPriority w:val="99"/>
    <w:unhideWhenUsed/>
    <w:qFormat/>
    <w:pPr>
      <w:ind w:left="566" w:hanging="283"/>
      <w:contextualSpacing/>
    </w:pPr>
  </w:style>
  <w:style w:type="paragraph" w:styleId="Lista">
    <w:name w:val="List"/>
    <w:basedOn w:val="Normal"/>
    <w:uiPriority w:val="99"/>
    <w:unhideWhenUsed/>
    <w:qFormat/>
    <w:pPr>
      <w:ind w:left="283" w:hanging="283"/>
      <w:contextualSpacing/>
    </w:pPr>
  </w:style>
  <w:style w:type="paragraph" w:styleId="Lista4">
    <w:name w:val="List 4"/>
    <w:basedOn w:val="Normal"/>
    <w:uiPriority w:val="99"/>
    <w:unhideWhenUsed/>
    <w:qFormat/>
    <w:pPr>
      <w:ind w:left="1132" w:hanging="283"/>
      <w:contextualSpacing/>
    </w:pPr>
  </w:style>
  <w:style w:type="paragraph" w:styleId="Listaconvietas2">
    <w:name w:val="List Bullet 2"/>
    <w:basedOn w:val="Normal"/>
    <w:uiPriority w:val="99"/>
    <w:unhideWhenUsed/>
    <w:qFormat/>
    <w:pPr>
      <w:numPr>
        <w:numId w:val="1"/>
      </w:numPr>
      <w:contextualSpacing/>
    </w:pPr>
  </w:style>
  <w:style w:type="paragraph" w:styleId="Piedepgina">
    <w:name w:val="footer"/>
    <w:basedOn w:val="Normal"/>
    <w:link w:val="PiedepginaCar"/>
    <w:uiPriority w:val="99"/>
    <w:unhideWhenUsed/>
    <w:qFormat/>
    <w:pPr>
      <w:tabs>
        <w:tab w:val="center" w:pos="4419"/>
        <w:tab w:val="right" w:pos="8838"/>
      </w:tabs>
    </w:pPr>
  </w:style>
  <w:style w:type="paragraph" w:styleId="Saludo">
    <w:name w:val="Salutation"/>
    <w:basedOn w:val="Normal"/>
    <w:next w:val="Normal"/>
    <w:link w:val="SaludoCar"/>
    <w:uiPriority w:val="99"/>
    <w:unhideWhenUsed/>
    <w:qFormat/>
  </w:style>
  <w:style w:type="paragraph" w:styleId="Textoindependiente">
    <w:name w:val="Body Text"/>
    <w:basedOn w:val="Normal"/>
    <w:link w:val="TextoindependienteCar"/>
    <w:uiPriority w:val="99"/>
    <w:unhideWhenUsed/>
    <w:qFormat/>
    <w:pPr>
      <w:spacing w:after="120"/>
    </w:pPr>
  </w:style>
  <w:style w:type="paragraph" w:styleId="Textoindependienteprimerasangra2">
    <w:name w:val="Body Text First Indent 2"/>
    <w:basedOn w:val="Sangradetextonormal"/>
    <w:link w:val="Textoindependienteprimerasangra2Car"/>
    <w:uiPriority w:val="99"/>
    <w:unhideWhenUsed/>
    <w:qFormat/>
    <w:pPr>
      <w:spacing w:after="0"/>
      <w:ind w:left="360" w:firstLine="360"/>
    </w:pPr>
  </w:style>
  <w:style w:type="paragraph" w:styleId="Puesto">
    <w:name w:val="Title"/>
    <w:basedOn w:val="Normal"/>
    <w:next w:val="Normal"/>
    <w:link w:val="PuestoCar"/>
    <w:uiPriority w:val="10"/>
    <w:qFormat/>
    <w:pPr>
      <w:contextualSpacing/>
    </w:pPr>
    <w:rPr>
      <w:rFonts w:asciiTheme="majorHAnsi" w:eastAsiaTheme="majorEastAsia" w:hAnsiTheme="majorHAnsi" w:cstheme="majorBidi"/>
      <w:spacing w:val="-10"/>
      <w:kern w:val="28"/>
      <w:sz w:val="56"/>
      <w:szCs w:val="56"/>
    </w:rPr>
  </w:style>
  <w:style w:type="character" w:styleId="Refdecomentario">
    <w:name w:val="annotation reference"/>
    <w:basedOn w:val="Fuentedeprrafopredeter"/>
    <w:uiPriority w:val="99"/>
    <w:semiHidden/>
    <w:unhideWhenUsed/>
    <w:qFormat/>
    <w:rPr>
      <w:sz w:val="16"/>
      <w:szCs w:val="16"/>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Pr>
      <w:vertAlign w:val="superscript"/>
    </w:rPr>
  </w:style>
  <w:style w:type="character" w:styleId="Hipervnculo">
    <w:name w:val="Hyperlink"/>
    <w:aliases w:val="Hipervínculo1,Hipervínculo11,Hipervínculo12,Hipervínculo13,Hipervínculo14,Hipervínculo15"/>
    <w:basedOn w:val="Fuentedeprrafopredeter"/>
    <w:uiPriority w:val="99"/>
    <w:unhideWhenUsed/>
    <w:qFormat/>
    <w:rPr>
      <w:color w:val="0563C1" w:themeColor="hyperlink"/>
      <w:u w:val="single"/>
    </w:rPr>
  </w:style>
  <w:style w:type="character" w:styleId="Hipervnculovisitado">
    <w:name w:val="FollowedHyperlink"/>
    <w:basedOn w:val="Fuentedeprrafopredeter"/>
    <w:uiPriority w:val="99"/>
    <w:semiHidden/>
    <w:unhideWhenUsed/>
    <w:qFormat/>
    <w:rPr>
      <w:color w:val="954F72" w:themeColor="followedHyperlink"/>
      <w:u w:val="single"/>
    </w:rPr>
  </w:style>
  <w:style w:type="character" w:styleId="Textoennegrita">
    <w:name w:val="Strong"/>
    <w:uiPriority w:val="22"/>
    <w:qFormat/>
    <w:rPr>
      <w:b/>
      <w:bCs/>
    </w:rPr>
  </w:style>
  <w:style w:type="table" w:styleId="Tablaconcuadrcula">
    <w:name w:val="Table Grid"/>
    <w:basedOn w:val="Tablanormal"/>
    <w:uiPriority w:val="39"/>
    <w:qFormat/>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ar">
    <w:name w:val="Título 1 Car"/>
    <w:basedOn w:val="Fuentedeprrafopredeter"/>
    <w:link w:val="Ttulo1"/>
    <w:uiPriority w:val="9"/>
    <w:rPr>
      <w:rFonts w:asciiTheme="majorHAnsi" w:eastAsiaTheme="majorEastAsia" w:hAnsiTheme="majorHAnsi" w:cstheme="majorBidi"/>
      <w:color w:val="2F5496" w:themeColor="accent1" w:themeShade="BF"/>
      <w:sz w:val="32"/>
      <w:szCs w:val="32"/>
      <w:lang w:val="es-ES" w:eastAsia="es-ES"/>
    </w:rPr>
  </w:style>
  <w:style w:type="character" w:customStyle="1" w:styleId="EncabezadoCar">
    <w:name w:val="Encabezado Car"/>
    <w:basedOn w:val="Fuentedeprrafopredeter"/>
    <w:link w:val="Encabezado"/>
    <w:uiPriority w:val="99"/>
    <w:qFormat/>
    <w:rPr>
      <w:rFonts w:ascii="Times New Roman" w:eastAsia="Times New Roman" w:hAnsi="Times New Roman" w:cs="Times New Roman"/>
      <w:sz w:val="20"/>
      <w:szCs w:val="20"/>
      <w:lang w:val="es-ES" w:eastAsia="es-ES"/>
    </w:rPr>
  </w:style>
  <w:style w:type="character" w:customStyle="1" w:styleId="PiedepginaCar">
    <w:name w:val="Pie de página Car"/>
    <w:basedOn w:val="Fuentedeprrafopredeter"/>
    <w:link w:val="Piedepgina"/>
    <w:uiPriority w:val="99"/>
    <w:qFormat/>
    <w:rPr>
      <w:rFonts w:ascii="Times New Roman" w:eastAsia="Times New Roman" w:hAnsi="Times New Roman" w:cs="Times New Roman"/>
      <w:sz w:val="20"/>
      <w:szCs w:val="20"/>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pPr>
      <w:ind w:left="720"/>
      <w:contextualSpacing/>
    </w:pPr>
    <w:rPr>
      <w:rFonts w:ascii="Century Gothic" w:hAnsi="Century Gothic"/>
      <w:sz w:val="22"/>
      <w:szCs w:val="24"/>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72"/>
    <w:qFormat/>
    <w:rPr>
      <w:rFonts w:ascii="Century Gothic" w:eastAsia="Times New Roman" w:hAnsi="Century Gothic" w:cs="Times New Roman"/>
      <w:szCs w:val="24"/>
      <w:lang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Pr>
      <w:rFonts w:ascii="Calibri" w:eastAsia="Calibri" w:hAnsi="Calibri" w:cs="Times New Roman"/>
      <w:sz w:val="20"/>
      <w:szCs w:val="20"/>
    </w:rPr>
  </w:style>
  <w:style w:type="character" w:customStyle="1" w:styleId="TextodegloboCar">
    <w:name w:val="Texto de globo Car"/>
    <w:basedOn w:val="Fuentedeprrafopredeter"/>
    <w:link w:val="Textodeglobo"/>
    <w:uiPriority w:val="99"/>
    <w:semiHidden/>
    <w:qFormat/>
    <w:rPr>
      <w:rFonts w:ascii="Segoe UI" w:eastAsia="Times New Roman" w:hAnsi="Segoe UI" w:cs="Segoe UI"/>
      <w:sz w:val="18"/>
      <w:szCs w:val="18"/>
      <w:lang w:val="es-ES" w:eastAsia="es-ES"/>
    </w:rPr>
  </w:style>
  <w:style w:type="character" w:customStyle="1" w:styleId="TextocomentarioCar">
    <w:name w:val="Texto comentario Car"/>
    <w:basedOn w:val="Fuentedeprrafopredeter"/>
    <w:link w:val="Textocomentario"/>
    <w:uiPriority w:val="99"/>
    <w:semiHidden/>
    <w:qFormat/>
    <w:rPr>
      <w:rFonts w:ascii="Times New Roman" w:eastAsia="Times New Roman" w:hAnsi="Times New Roman" w:cs="Times New Roman"/>
      <w:sz w:val="20"/>
      <w:szCs w:val="20"/>
      <w:lang w:val="es-ES" w:eastAsia="es-ES"/>
    </w:rPr>
  </w:style>
  <w:style w:type="character" w:customStyle="1" w:styleId="AsuntodelcomentarioCar">
    <w:name w:val="Asunto del comentario Car"/>
    <w:basedOn w:val="TextocomentarioCar"/>
    <w:link w:val="Asuntodelcomentario"/>
    <w:uiPriority w:val="99"/>
    <w:semiHidden/>
    <w:qFormat/>
    <w:rPr>
      <w:rFonts w:ascii="Times New Roman" w:eastAsia="Times New Roman" w:hAnsi="Times New Roman" w:cs="Times New Roman"/>
      <w:b/>
      <w:bCs/>
      <w:sz w:val="20"/>
      <w:szCs w:val="20"/>
      <w:lang w:val="es-ES" w:eastAsia="es-ES"/>
    </w:rPr>
  </w:style>
  <w:style w:type="character" w:customStyle="1" w:styleId="Mencionar1">
    <w:name w:val="Mencionar1"/>
    <w:basedOn w:val="Fuentedeprrafopredeter"/>
    <w:uiPriority w:val="99"/>
    <w:semiHidden/>
    <w:unhideWhenUsed/>
    <w:qFormat/>
    <w:rPr>
      <w:color w:val="2B579A"/>
      <w:shd w:val="clear" w:color="auto" w:fill="E6E6E6"/>
    </w:rPr>
  </w:style>
  <w:style w:type="character" w:customStyle="1" w:styleId="Mencionar2">
    <w:name w:val="Mencionar2"/>
    <w:basedOn w:val="Fuentedeprrafopredeter"/>
    <w:uiPriority w:val="99"/>
    <w:semiHidden/>
    <w:unhideWhenUsed/>
    <w:qFormat/>
    <w:rPr>
      <w:color w:val="2B579A"/>
      <w:shd w:val="clear" w:color="auto" w:fill="E6E6E6"/>
    </w:rPr>
  </w:style>
  <w:style w:type="character" w:customStyle="1" w:styleId="maestrofonttexto">
    <w:name w:val="maestro_fonttexto"/>
    <w:basedOn w:val="Fuentedeprrafopredeter"/>
    <w:qFormat/>
  </w:style>
  <w:style w:type="character" w:customStyle="1" w:styleId="HTMLconformatoprevioCar">
    <w:name w:val="HTML con formato previo Car"/>
    <w:basedOn w:val="Fuentedeprrafopredeter"/>
    <w:link w:val="HTMLconformatoprevio"/>
    <w:uiPriority w:val="99"/>
    <w:semiHidden/>
    <w:qFormat/>
    <w:rPr>
      <w:rFonts w:ascii="Courier New" w:eastAsia="Times New Roman" w:hAnsi="Courier New" w:cs="Courier New"/>
      <w:sz w:val="20"/>
      <w:szCs w:val="20"/>
      <w:lang w:eastAsia="es-MX"/>
    </w:rPr>
  </w:style>
  <w:style w:type="paragraph" w:customStyle="1" w:styleId="Default">
    <w:name w:val="Default"/>
    <w:qFormat/>
    <w:pPr>
      <w:autoSpaceDE w:val="0"/>
      <w:autoSpaceDN w:val="0"/>
      <w:adjustRightInd w:val="0"/>
      <w:spacing w:after="0" w:line="240" w:lineRule="auto"/>
    </w:pPr>
    <w:rPr>
      <w:rFonts w:ascii="Arial" w:eastAsiaTheme="minorHAnsi" w:hAnsi="Arial" w:cs="Arial"/>
      <w:color w:val="000000"/>
      <w:sz w:val="24"/>
      <w:szCs w:val="24"/>
      <w:lang w:eastAsia="en-US"/>
    </w:rPr>
  </w:style>
  <w:style w:type="character" w:customStyle="1" w:styleId="CharacterStyle1">
    <w:name w:val="Character Style 1"/>
    <w:uiPriority w:val="99"/>
    <w:qFormat/>
    <w:rPr>
      <w:sz w:val="20"/>
      <w:szCs w:val="20"/>
    </w:rPr>
  </w:style>
  <w:style w:type="paragraph" w:customStyle="1" w:styleId="Estilo1">
    <w:name w:val="Estilo1"/>
    <w:basedOn w:val="Textoindependiente"/>
    <w:qFormat/>
  </w:style>
  <w:style w:type="character" w:customStyle="1" w:styleId="TextoindependienteCar">
    <w:name w:val="Texto independiente Car"/>
    <w:basedOn w:val="Fuentedeprrafopredeter"/>
    <w:link w:val="Textoindependiente"/>
    <w:uiPriority w:val="99"/>
    <w:qFormat/>
    <w:rPr>
      <w:rFonts w:ascii="Times New Roman" w:eastAsia="Times New Roman" w:hAnsi="Times New Roman" w:cs="Times New Roman"/>
      <w:sz w:val="20"/>
      <w:szCs w:val="20"/>
      <w:lang w:val="es-ES" w:eastAsia="es-ES"/>
    </w:rPr>
  </w:style>
  <w:style w:type="paragraph" w:styleId="Sinespaciado">
    <w:name w:val="No Spacing"/>
    <w:aliases w:val="Francesa,INAI"/>
    <w:link w:val="SinespaciadoCar"/>
    <w:uiPriority w:val="1"/>
    <w:qFormat/>
    <w:pPr>
      <w:spacing w:after="0" w:line="240" w:lineRule="auto"/>
      <w:ind w:left="567" w:right="567"/>
      <w:jc w:val="both"/>
    </w:pPr>
    <w:rPr>
      <w:rFonts w:ascii="Arial" w:eastAsia="Batang" w:hAnsi="Arial"/>
      <w:szCs w:val="24"/>
      <w:lang w:eastAsia="es-ES"/>
    </w:rPr>
  </w:style>
  <w:style w:type="character" w:customStyle="1" w:styleId="SinespaciadoCar">
    <w:name w:val="Sin espaciado Car"/>
    <w:aliases w:val="Francesa Car,INAI Car"/>
    <w:basedOn w:val="Fuentedeprrafopredeter"/>
    <w:link w:val="Sinespaciado"/>
    <w:uiPriority w:val="1"/>
    <w:qFormat/>
    <w:rPr>
      <w:rFonts w:ascii="Arial" w:eastAsia="Batang" w:hAnsi="Arial" w:cs="Times New Roman"/>
      <w:sz w:val="20"/>
      <w:szCs w:val="24"/>
      <w:lang w:eastAsia="es-ES"/>
    </w:rPr>
  </w:style>
  <w:style w:type="character" w:customStyle="1" w:styleId="SaludoCar">
    <w:name w:val="Saludo Car"/>
    <w:basedOn w:val="Fuentedeprrafopredeter"/>
    <w:link w:val="Saludo"/>
    <w:uiPriority w:val="99"/>
    <w:qFormat/>
    <w:rPr>
      <w:rFonts w:ascii="Times New Roman" w:eastAsia="Times New Roman" w:hAnsi="Times New Roman" w:cs="Times New Roman"/>
      <w:sz w:val="20"/>
      <w:szCs w:val="20"/>
      <w:lang w:val="es-ES" w:eastAsia="es-ES"/>
    </w:rPr>
  </w:style>
  <w:style w:type="character" w:customStyle="1" w:styleId="PuestoCar">
    <w:name w:val="Puesto Car"/>
    <w:basedOn w:val="Fuentedeprrafopredeter"/>
    <w:link w:val="Puesto"/>
    <w:uiPriority w:val="10"/>
    <w:qFormat/>
    <w:rPr>
      <w:rFonts w:asciiTheme="majorHAnsi" w:eastAsiaTheme="majorEastAsia" w:hAnsiTheme="majorHAnsi" w:cstheme="majorBidi"/>
      <w:spacing w:val="-10"/>
      <w:kern w:val="28"/>
      <w:sz w:val="56"/>
      <w:szCs w:val="56"/>
      <w:lang w:val="es-ES" w:eastAsia="es-ES"/>
    </w:rPr>
  </w:style>
  <w:style w:type="character" w:customStyle="1" w:styleId="SangradetextonormalCar">
    <w:name w:val="Sangría de texto normal Car"/>
    <w:basedOn w:val="Fuentedeprrafopredeter"/>
    <w:link w:val="Sangradetextonormal"/>
    <w:uiPriority w:val="99"/>
    <w:qFormat/>
    <w:rPr>
      <w:rFonts w:ascii="Times New Roman" w:eastAsia="Times New Roman" w:hAnsi="Times New Roman" w:cs="Times New Roman"/>
      <w:sz w:val="20"/>
      <w:szCs w:val="20"/>
      <w:lang w:val="es-ES" w:eastAsia="es-ES"/>
    </w:rPr>
  </w:style>
  <w:style w:type="character" w:customStyle="1" w:styleId="Textoindependienteprimerasangra2Car">
    <w:name w:val="Texto independiente primera sangría 2 Car"/>
    <w:basedOn w:val="SangradetextonormalCar"/>
    <w:link w:val="Textoindependienteprimerasangra2"/>
    <w:uiPriority w:val="99"/>
    <w:qFormat/>
    <w:rPr>
      <w:rFonts w:ascii="Times New Roman" w:eastAsia="Times New Roman" w:hAnsi="Times New Roman" w:cs="Times New Roman"/>
      <w:sz w:val="20"/>
      <w:szCs w:val="20"/>
      <w:lang w:val="es-ES" w:eastAsia="es-ES"/>
    </w:rPr>
  </w:style>
  <w:style w:type="character" w:customStyle="1" w:styleId="Mencionar3">
    <w:name w:val="Mencionar3"/>
    <w:basedOn w:val="Fuentedeprrafopredeter"/>
    <w:uiPriority w:val="99"/>
    <w:semiHidden/>
    <w:unhideWhenUsed/>
    <w:qFormat/>
    <w:rPr>
      <w:color w:val="2B579A"/>
      <w:shd w:val="clear" w:color="auto" w:fill="E6E6E6"/>
    </w:rPr>
  </w:style>
  <w:style w:type="character" w:customStyle="1" w:styleId="Mencionar4">
    <w:name w:val="Mencionar4"/>
    <w:basedOn w:val="Fuentedeprrafopredeter"/>
    <w:uiPriority w:val="99"/>
    <w:semiHidden/>
    <w:unhideWhenUsed/>
    <w:qFormat/>
    <w:rPr>
      <w:color w:val="2B579A"/>
      <w:shd w:val="clear" w:color="auto" w:fill="E6E6E6"/>
    </w:rPr>
  </w:style>
  <w:style w:type="character" w:customStyle="1" w:styleId="maestrofonttexto1">
    <w:name w:val="maestro_fonttexto1"/>
    <w:basedOn w:val="Fuentedeprrafopredeter"/>
    <w:qFormat/>
    <w:rPr>
      <w:rFonts w:ascii="Arial" w:hAnsi="Arial" w:cs="Arial" w:hint="default"/>
      <w:sz w:val="15"/>
      <w:szCs w:val="15"/>
    </w:rPr>
  </w:style>
  <w:style w:type="character" w:customStyle="1" w:styleId="apple-converted-space">
    <w:name w:val="apple-converted-space"/>
    <w:basedOn w:val="Fuentedeprrafopredeter"/>
    <w:qFormat/>
  </w:style>
  <w:style w:type="table" w:customStyle="1" w:styleId="Tablaconcuadrcula1">
    <w:name w:val="Tabla con cuadrícula1"/>
    <w:basedOn w:val="Tablanormal"/>
    <w:uiPriority w:val="59"/>
    <w:qFormat/>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ar">
    <w:name w:val="Título 2 Car"/>
    <w:basedOn w:val="Fuentedeprrafopredeter"/>
    <w:link w:val="Ttulo2"/>
    <w:uiPriority w:val="9"/>
    <w:rsid w:val="008E6432"/>
    <w:rPr>
      <w:rFonts w:asciiTheme="majorHAnsi" w:eastAsiaTheme="majorEastAsia" w:hAnsiTheme="majorHAnsi" w:cstheme="majorBidi"/>
      <w:color w:val="2F5496" w:themeColor="accent1" w:themeShade="BF"/>
      <w:sz w:val="26"/>
      <w:szCs w:val="26"/>
      <w:lang w:eastAsia="es-ES"/>
    </w:rPr>
  </w:style>
  <w:style w:type="character" w:customStyle="1" w:styleId="Ttulo3Car">
    <w:name w:val="Título 3 Car"/>
    <w:basedOn w:val="Fuentedeprrafopredeter"/>
    <w:link w:val="Ttulo3"/>
    <w:uiPriority w:val="9"/>
    <w:rsid w:val="008E6432"/>
    <w:rPr>
      <w:rFonts w:asciiTheme="majorHAnsi" w:eastAsiaTheme="majorEastAsia" w:hAnsiTheme="majorHAnsi" w:cstheme="majorBidi"/>
      <w:color w:val="1F3763" w:themeColor="accent1" w:themeShade="7F"/>
      <w:sz w:val="24"/>
      <w:szCs w:val="24"/>
      <w:lang w:val="es-ES_tradnl" w:eastAsia="es-ES"/>
    </w:rPr>
  </w:style>
  <w:style w:type="character" w:customStyle="1" w:styleId="Ttulo4Car">
    <w:name w:val="Título 4 Car"/>
    <w:basedOn w:val="Fuentedeprrafopredeter"/>
    <w:link w:val="Ttulo4"/>
    <w:uiPriority w:val="9"/>
    <w:rsid w:val="008E6432"/>
    <w:rPr>
      <w:rFonts w:asciiTheme="majorHAnsi" w:eastAsiaTheme="majorEastAsia" w:hAnsiTheme="majorHAnsi" w:cstheme="majorBidi"/>
      <w:i/>
      <w:iCs/>
      <w:color w:val="2F5496" w:themeColor="accent1" w:themeShade="BF"/>
      <w:sz w:val="24"/>
      <w:szCs w:val="24"/>
      <w:lang w:val="es-ES_tradnl" w:eastAsia="es-ES"/>
    </w:rPr>
  </w:style>
  <w:style w:type="paragraph" w:styleId="TDC1">
    <w:name w:val="toc 1"/>
    <w:basedOn w:val="Normal"/>
    <w:next w:val="Normal"/>
    <w:autoRedefine/>
    <w:uiPriority w:val="39"/>
    <w:unhideWhenUsed/>
    <w:rsid w:val="008E6432"/>
    <w:pPr>
      <w:tabs>
        <w:tab w:val="right" w:leader="dot" w:pos="8779"/>
      </w:tabs>
      <w:spacing w:after="100"/>
      <w:ind w:left="142"/>
    </w:pPr>
    <w:rPr>
      <w:rFonts w:ascii="Palatino Linotype" w:eastAsiaTheme="minorEastAsia" w:hAnsi="Palatino Linotype" w:cstheme="minorBidi"/>
      <w:b/>
      <w:bCs/>
      <w:noProof/>
      <w:sz w:val="24"/>
      <w:szCs w:val="24"/>
      <w:lang w:val="es-ES_tradnl"/>
    </w:rPr>
  </w:style>
  <w:style w:type="paragraph" w:styleId="TDC2">
    <w:name w:val="toc 2"/>
    <w:basedOn w:val="Normal"/>
    <w:next w:val="Normal"/>
    <w:autoRedefine/>
    <w:uiPriority w:val="39"/>
    <w:unhideWhenUsed/>
    <w:rsid w:val="008E6432"/>
    <w:pPr>
      <w:tabs>
        <w:tab w:val="left" w:pos="567"/>
        <w:tab w:val="right" w:leader="dot" w:pos="8779"/>
      </w:tabs>
      <w:spacing w:after="100"/>
      <w:ind w:left="142"/>
    </w:pPr>
    <w:rPr>
      <w:rFonts w:asciiTheme="minorHAnsi" w:eastAsiaTheme="minorEastAsia" w:hAnsiTheme="minorHAnsi" w:cstheme="minorBidi"/>
      <w:sz w:val="24"/>
      <w:szCs w:val="24"/>
      <w:lang w:val="es-ES_tradnl"/>
    </w:rPr>
  </w:style>
  <w:style w:type="paragraph" w:styleId="TtulodeTDC">
    <w:name w:val="TOC Heading"/>
    <w:basedOn w:val="Ttulo1"/>
    <w:next w:val="Normal"/>
    <w:uiPriority w:val="39"/>
    <w:unhideWhenUsed/>
    <w:qFormat/>
    <w:rsid w:val="008E6432"/>
    <w:pPr>
      <w:spacing w:line="259" w:lineRule="auto"/>
      <w:outlineLvl w:val="9"/>
    </w:pPr>
    <w:rPr>
      <w:rFonts w:ascii="Palatino Linotype" w:hAnsi="Palatino Linotype"/>
      <w:b/>
      <w:color w:val="auto"/>
      <w:sz w:val="24"/>
      <w:lang w:eastAsia="es-MX"/>
    </w:rPr>
  </w:style>
  <w:style w:type="paragraph" w:styleId="Textoindependiente2">
    <w:name w:val="Body Text 2"/>
    <w:basedOn w:val="Normal"/>
    <w:link w:val="Textoindependiente2Car"/>
    <w:uiPriority w:val="99"/>
    <w:semiHidden/>
    <w:unhideWhenUsed/>
    <w:rsid w:val="008E6432"/>
    <w:pPr>
      <w:spacing w:after="120" w:line="480" w:lineRule="auto"/>
    </w:pPr>
    <w:rPr>
      <w:rFonts w:asciiTheme="minorHAnsi" w:eastAsiaTheme="minorEastAsia" w:hAnsiTheme="minorHAnsi" w:cstheme="minorBidi"/>
      <w:sz w:val="24"/>
      <w:szCs w:val="24"/>
      <w:lang w:val="es-ES_tradnl"/>
    </w:rPr>
  </w:style>
  <w:style w:type="character" w:customStyle="1" w:styleId="Textoindependiente2Car">
    <w:name w:val="Texto independiente 2 Car"/>
    <w:basedOn w:val="Fuentedeprrafopredeter"/>
    <w:link w:val="Textoindependiente2"/>
    <w:uiPriority w:val="99"/>
    <w:semiHidden/>
    <w:rsid w:val="008E6432"/>
    <w:rPr>
      <w:rFonts w:asciiTheme="minorHAnsi" w:eastAsiaTheme="minorEastAsia" w:hAnsiTheme="minorHAnsi" w:cstheme="minorBidi"/>
      <w:sz w:val="24"/>
      <w:szCs w:val="24"/>
      <w:lang w:val="es-ES_tradnl" w:eastAsia="es-ES"/>
    </w:rPr>
  </w:style>
  <w:style w:type="paragraph" w:customStyle="1" w:styleId="Textonotapie1">
    <w:name w:val="Texto nota pie1"/>
    <w:basedOn w:val="Normal"/>
    <w:next w:val="Textonotapie"/>
    <w:unhideWhenUsed/>
    <w:rsid w:val="008E6432"/>
    <w:rPr>
      <w:rFonts w:asciiTheme="minorHAnsi" w:eastAsia="Cambria" w:hAnsiTheme="minorHAnsi" w:cstheme="minorBidi"/>
      <w:lang w:eastAsia="en-US"/>
    </w:rPr>
  </w:style>
  <w:style w:type="paragraph" w:styleId="TDC3">
    <w:name w:val="toc 3"/>
    <w:basedOn w:val="Normal"/>
    <w:next w:val="Normal"/>
    <w:autoRedefine/>
    <w:uiPriority w:val="39"/>
    <w:unhideWhenUsed/>
    <w:rsid w:val="008E6432"/>
    <w:pPr>
      <w:tabs>
        <w:tab w:val="left" w:pos="567"/>
        <w:tab w:val="right" w:leader="dot" w:pos="8779"/>
      </w:tabs>
      <w:spacing w:after="100"/>
      <w:ind w:left="142"/>
    </w:pPr>
    <w:rPr>
      <w:rFonts w:asciiTheme="minorHAnsi" w:eastAsiaTheme="minorEastAsia" w:hAnsiTheme="minorHAnsi" w:cstheme="minorBidi"/>
      <w:sz w:val="24"/>
      <w:szCs w:val="24"/>
      <w:lang w:val="es-ES_tradnl"/>
    </w:rPr>
  </w:style>
  <w:style w:type="paragraph" w:customStyle="1" w:styleId="m1609377113336227858gmail-msonormal">
    <w:name w:val="m_1609377113336227858gmail-msonormal"/>
    <w:basedOn w:val="Normal"/>
    <w:rsid w:val="008E6432"/>
    <w:pPr>
      <w:spacing w:before="100" w:beforeAutospacing="1" w:after="100" w:afterAutospacing="1"/>
    </w:pPr>
    <w:rPr>
      <w:sz w:val="24"/>
      <w:szCs w:val="24"/>
      <w:lang w:val="es-ES"/>
    </w:rPr>
  </w:style>
  <w:style w:type="paragraph" w:customStyle="1" w:styleId="m3527742037047551335gmail-msolistparagraph">
    <w:name w:val="m_3527742037047551335gmail-msolistparagraph"/>
    <w:basedOn w:val="Normal"/>
    <w:rsid w:val="008E6432"/>
    <w:pPr>
      <w:spacing w:before="100" w:beforeAutospacing="1" w:after="100" w:afterAutospacing="1"/>
    </w:pPr>
    <w:rPr>
      <w:sz w:val="24"/>
      <w:szCs w:val="24"/>
      <w:lang w:eastAsia="es-MX"/>
    </w:rPr>
  </w:style>
  <w:style w:type="paragraph" w:customStyle="1" w:styleId="m-698976158124685028gmail-msolistparagraph">
    <w:name w:val="m_-698976158124685028gmail-msolistparagraph"/>
    <w:basedOn w:val="Normal"/>
    <w:rsid w:val="008E6432"/>
    <w:pPr>
      <w:spacing w:before="100" w:beforeAutospacing="1" w:after="100" w:afterAutospacing="1"/>
    </w:pPr>
    <w:rPr>
      <w:sz w:val="24"/>
      <w:szCs w:val="24"/>
      <w:lang w:eastAsia="es-MX"/>
    </w:rPr>
  </w:style>
  <w:style w:type="paragraph" w:customStyle="1" w:styleId="m-698976158124685028gmail-default">
    <w:name w:val="m_-698976158124685028gmail-default"/>
    <w:basedOn w:val="Normal"/>
    <w:rsid w:val="008E6432"/>
    <w:pPr>
      <w:spacing w:before="100" w:beforeAutospacing="1" w:after="100" w:afterAutospacing="1"/>
    </w:pPr>
    <w:rPr>
      <w:sz w:val="24"/>
      <w:szCs w:val="24"/>
      <w:lang w:eastAsia="es-MX"/>
    </w:rPr>
  </w:style>
  <w:style w:type="paragraph" w:customStyle="1" w:styleId="m-698976158124685028gmail-m483811427706604298gmail-msolistparagraph">
    <w:name w:val="m_-698976158124685028gmail-m483811427706604298gmail-msolistparagraph"/>
    <w:basedOn w:val="Normal"/>
    <w:rsid w:val="008E6432"/>
    <w:pPr>
      <w:spacing w:before="100" w:beforeAutospacing="1" w:after="100" w:afterAutospacing="1"/>
    </w:pPr>
    <w:rPr>
      <w:sz w:val="24"/>
      <w:szCs w:val="24"/>
      <w:lang w:eastAsia="es-MX"/>
    </w:rPr>
  </w:style>
  <w:style w:type="paragraph" w:customStyle="1" w:styleId="m-698976158124685028gmail-msonormal">
    <w:name w:val="m_-698976158124685028gmail-msonormal"/>
    <w:basedOn w:val="Normal"/>
    <w:rsid w:val="008E6432"/>
    <w:pPr>
      <w:spacing w:before="100" w:beforeAutospacing="1" w:after="100" w:afterAutospacing="1"/>
    </w:pPr>
    <w:rPr>
      <w:sz w:val="24"/>
      <w:szCs w:val="24"/>
      <w:lang w:eastAsia="es-MX"/>
    </w:rPr>
  </w:style>
  <w:style w:type="character" w:customStyle="1" w:styleId="m-698976158124685028gmail-apple-converted-space">
    <w:name w:val="m_-698976158124685028gmail-apple-converted-space"/>
    <w:basedOn w:val="Fuentedeprrafopredeter"/>
    <w:rsid w:val="008E6432"/>
  </w:style>
  <w:style w:type="character" w:customStyle="1" w:styleId="apple-style-span">
    <w:name w:val="apple-style-span"/>
    <w:rsid w:val="008E6432"/>
  </w:style>
  <w:style w:type="table" w:customStyle="1" w:styleId="Tablaconcuadrcula2">
    <w:name w:val="Tabla con cuadrícula2"/>
    <w:basedOn w:val="Tablanormal"/>
    <w:next w:val="Tablaconcuadrcula"/>
    <w:uiPriority w:val="39"/>
    <w:rsid w:val="008E6432"/>
    <w:pPr>
      <w:spacing w:after="0" w:line="240" w:lineRule="auto"/>
    </w:pPr>
    <w:rPr>
      <w:rFonts w:asciiTheme="minorHAnsi" w:eastAsiaTheme="minorEastAsia" w:hAnsiTheme="minorHAnsi" w:cstheme="minorBidi"/>
      <w:sz w:val="24"/>
      <w:szCs w:val="24"/>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normal11">
    <w:name w:val="Tabla normal 11"/>
    <w:basedOn w:val="Tablanormal"/>
    <w:next w:val="Tablanormal1"/>
    <w:uiPriority w:val="41"/>
    <w:rsid w:val="008E6432"/>
    <w:pPr>
      <w:spacing w:after="0" w:line="240" w:lineRule="auto"/>
    </w:pPr>
    <w:rPr>
      <w:rFonts w:asciiTheme="minorHAnsi" w:eastAsiaTheme="minorHAnsi" w:hAnsiTheme="minorHAnsi" w:cstheme="minorBidi"/>
      <w:sz w:val="22"/>
      <w:szCs w:val="22"/>
      <w:lang w:eastAsia="en-US"/>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1">
    <w:name w:val="Plain Table 1"/>
    <w:basedOn w:val="Tablanormal"/>
    <w:uiPriority w:val="41"/>
    <w:rsid w:val="008E6432"/>
    <w:pPr>
      <w:spacing w:after="0" w:line="240" w:lineRule="auto"/>
    </w:pPr>
    <w:rPr>
      <w:rFonts w:asciiTheme="minorHAnsi" w:eastAsiaTheme="minorHAnsi" w:hAnsiTheme="minorHAnsi" w:cstheme="minorBidi"/>
      <w:sz w:val="22"/>
      <w:szCs w:val="22"/>
      <w:lang w:eastAsia="en-US"/>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semiHidden/>
    <w:unhideWhenUsed/>
    <w:rsid w:val="008E6432"/>
    <w:pPr>
      <w:spacing w:before="100" w:beforeAutospacing="1" w:after="100" w:afterAutospacing="1"/>
    </w:pPr>
    <w:rPr>
      <w:sz w:val="24"/>
      <w:szCs w:val="24"/>
      <w:lang w:eastAsia="es-MX"/>
    </w:rPr>
  </w:style>
  <w:style w:type="table" w:styleId="Tabladecuadrcula6concolores">
    <w:name w:val="Grid Table 6 Colorful"/>
    <w:basedOn w:val="Tablanormal"/>
    <w:uiPriority w:val="51"/>
    <w:rsid w:val="008E6432"/>
    <w:pPr>
      <w:spacing w:after="0" w:line="240" w:lineRule="auto"/>
    </w:pPr>
    <w:rPr>
      <w:rFonts w:asciiTheme="minorHAnsi" w:eastAsiaTheme="minorEastAsia" w:hAnsiTheme="minorHAnsi" w:cstheme="minorBidi"/>
      <w:color w:val="000000" w:themeColor="text1"/>
      <w:sz w:val="24"/>
      <w:szCs w:val="24"/>
      <w:lang w:val="es-ES_tradnl" w:eastAsia="es-ES"/>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ADB1">
    <w:name w:val="ADB1"/>
    <w:basedOn w:val="Normal"/>
    <w:next w:val="Textonotapie"/>
    <w:uiPriority w:val="99"/>
    <w:unhideWhenUsed/>
    <w:qFormat/>
    <w:rsid w:val="008E6432"/>
    <w:rPr>
      <w:rFonts w:asciiTheme="minorHAnsi" w:eastAsia="Cambria" w:hAnsiTheme="minorHAnsi" w:cstheme="minorBidi"/>
      <w:lang w:eastAsia="en-US"/>
    </w:rPr>
  </w:style>
  <w:style w:type="character" w:customStyle="1" w:styleId="Mencinsinresolver1">
    <w:name w:val="Mención sin resolver1"/>
    <w:basedOn w:val="Fuentedeprrafopredeter"/>
    <w:uiPriority w:val="99"/>
    <w:semiHidden/>
    <w:unhideWhenUsed/>
    <w:rsid w:val="008E6432"/>
    <w:rPr>
      <w:color w:val="605E5C"/>
      <w:shd w:val="clear" w:color="auto" w:fill="E1DFDD"/>
    </w:rPr>
  </w:style>
  <w:style w:type="table" w:customStyle="1" w:styleId="Tablaconcuadrcula11">
    <w:name w:val="Tabla con cuadrícula11"/>
    <w:basedOn w:val="Tablanormal"/>
    <w:next w:val="Tablaconcuadrcula"/>
    <w:uiPriority w:val="59"/>
    <w:rsid w:val="008E6432"/>
    <w:pPr>
      <w:spacing w:after="0" w:line="240" w:lineRule="auto"/>
    </w:pPr>
    <w:rPr>
      <w:rFonts w:asciiTheme="minorHAnsi" w:eastAsia="Times New Roman" w:hAnsiTheme="minorHAnsi" w:cstheme="minorBidi"/>
      <w:sz w:val="24"/>
      <w:szCs w:val="24"/>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xto">
    <w:name w:val="Texto"/>
    <w:basedOn w:val="Normal"/>
    <w:link w:val="TextoCar"/>
    <w:rsid w:val="008E6432"/>
    <w:pPr>
      <w:spacing w:after="101" w:line="216" w:lineRule="exact"/>
      <w:ind w:firstLine="288"/>
      <w:jc w:val="both"/>
    </w:pPr>
    <w:rPr>
      <w:rFonts w:ascii="Arial" w:hAnsi="Arial" w:cs="Arial"/>
      <w:sz w:val="18"/>
      <w:lang w:val="es-ES"/>
    </w:rPr>
  </w:style>
  <w:style w:type="character" w:customStyle="1" w:styleId="TextoCar">
    <w:name w:val="Texto Car"/>
    <w:link w:val="Texto"/>
    <w:locked/>
    <w:rsid w:val="008E6432"/>
    <w:rPr>
      <w:rFonts w:ascii="Arial" w:eastAsia="Times New Roman" w:hAnsi="Arial" w:cs="Arial"/>
      <w:sz w:val="18"/>
      <w:lang w:val="es-ES" w:eastAsia="es-ES"/>
    </w:rPr>
  </w:style>
  <w:style w:type="paragraph" w:customStyle="1" w:styleId="m5907675151158779931gmail-msolistparagraph">
    <w:name w:val="m_5907675151158779931gmail-msolistparagraph"/>
    <w:basedOn w:val="Normal"/>
    <w:rsid w:val="00427B9F"/>
    <w:pPr>
      <w:spacing w:before="100" w:beforeAutospacing="1" w:after="100" w:afterAutospacing="1"/>
    </w:pPr>
    <w:rPr>
      <w:sz w:val="24"/>
      <w:szCs w:val="24"/>
      <w:lang w:eastAsia="es-MX"/>
    </w:rPr>
  </w:style>
  <w:style w:type="paragraph" w:customStyle="1" w:styleId="j">
    <w:name w:val="j"/>
    <w:basedOn w:val="Normal"/>
    <w:rsid w:val="005502D2"/>
    <w:pPr>
      <w:spacing w:before="100" w:beforeAutospacing="1" w:after="100" w:afterAutospacing="1"/>
    </w:pPr>
    <w:rPr>
      <w:rFonts w:eastAsiaTheme="minorHAnsi"/>
      <w:sz w:val="24"/>
      <w:szCs w:val="24"/>
      <w:lang w:val="es-ES_tradnl" w:eastAsia="es-ES_tradnl"/>
    </w:rPr>
  </w:style>
  <w:style w:type="character" w:customStyle="1" w:styleId="medium">
    <w:name w:val="medium"/>
    <w:basedOn w:val="Fuentedeprrafopredeter"/>
    <w:rsid w:val="00E04AA7"/>
  </w:style>
  <w:style w:type="paragraph" w:customStyle="1" w:styleId="p">
    <w:name w:val="p"/>
    <w:basedOn w:val="Normal"/>
    <w:rsid w:val="00E82D63"/>
    <w:pPr>
      <w:spacing w:before="100" w:beforeAutospacing="1" w:after="100" w:afterAutospacing="1"/>
    </w:pPr>
    <w:rPr>
      <w:sz w:val="24"/>
      <w:szCs w:val="24"/>
      <w:lang w:eastAsia="es-MX"/>
    </w:rPr>
  </w:style>
  <w:style w:type="paragraph" w:styleId="Continuarlista">
    <w:name w:val="List Continue"/>
    <w:basedOn w:val="Normal"/>
    <w:uiPriority w:val="99"/>
    <w:unhideWhenUsed/>
    <w:rsid w:val="006B2A7B"/>
    <w:pPr>
      <w:spacing w:after="120"/>
      <w:ind w:left="283"/>
      <w:contextualSpacing/>
    </w:pPr>
    <w:rPr>
      <w:sz w:val="24"/>
      <w:szCs w:val="24"/>
      <w:lang w:eastAsia="es-MX"/>
    </w:rPr>
  </w:style>
  <w:style w:type="character" w:customStyle="1" w:styleId="Hipervnculo151">
    <w:name w:val="Hipervínculo151"/>
    <w:basedOn w:val="Fuentedeprrafopredeter"/>
    <w:uiPriority w:val="99"/>
    <w:unhideWhenUsed/>
    <w:rsid w:val="0008106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74204">
      <w:bodyDiv w:val="1"/>
      <w:marLeft w:val="0"/>
      <w:marRight w:val="0"/>
      <w:marTop w:val="0"/>
      <w:marBottom w:val="0"/>
      <w:divBdr>
        <w:top w:val="none" w:sz="0" w:space="0" w:color="auto"/>
        <w:left w:val="none" w:sz="0" w:space="0" w:color="auto"/>
        <w:bottom w:val="none" w:sz="0" w:space="0" w:color="auto"/>
        <w:right w:val="none" w:sz="0" w:space="0" w:color="auto"/>
      </w:divBdr>
      <w:divsChild>
        <w:div w:id="346755064">
          <w:marLeft w:val="0"/>
          <w:marRight w:val="0"/>
          <w:marTop w:val="0"/>
          <w:marBottom w:val="0"/>
          <w:divBdr>
            <w:top w:val="none" w:sz="0" w:space="0" w:color="auto"/>
            <w:left w:val="none" w:sz="0" w:space="0" w:color="auto"/>
            <w:bottom w:val="none" w:sz="0" w:space="0" w:color="auto"/>
            <w:right w:val="none" w:sz="0" w:space="0" w:color="auto"/>
          </w:divBdr>
        </w:div>
      </w:divsChild>
    </w:div>
    <w:div w:id="15429451">
      <w:bodyDiv w:val="1"/>
      <w:marLeft w:val="0"/>
      <w:marRight w:val="0"/>
      <w:marTop w:val="0"/>
      <w:marBottom w:val="0"/>
      <w:divBdr>
        <w:top w:val="none" w:sz="0" w:space="0" w:color="auto"/>
        <w:left w:val="none" w:sz="0" w:space="0" w:color="auto"/>
        <w:bottom w:val="none" w:sz="0" w:space="0" w:color="auto"/>
        <w:right w:val="none" w:sz="0" w:space="0" w:color="auto"/>
      </w:divBdr>
    </w:div>
    <w:div w:id="39017932">
      <w:bodyDiv w:val="1"/>
      <w:marLeft w:val="0"/>
      <w:marRight w:val="0"/>
      <w:marTop w:val="0"/>
      <w:marBottom w:val="0"/>
      <w:divBdr>
        <w:top w:val="none" w:sz="0" w:space="0" w:color="auto"/>
        <w:left w:val="none" w:sz="0" w:space="0" w:color="auto"/>
        <w:bottom w:val="none" w:sz="0" w:space="0" w:color="auto"/>
        <w:right w:val="none" w:sz="0" w:space="0" w:color="auto"/>
      </w:divBdr>
    </w:div>
    <w:div w:id="49573316">
      <w:bodyDiv w:val="1"/>
      <w:marLeft w:val="0"/>
      <w:marRight w:val="0"/>
      <w:marTop w:val="0"/>
      <w:marBottom w:val="0"/>
      <w:divBdr>
        <w:top w:val="none" w:sz="0" w:space="0" w:color="auto"/>
        <w:left w:val="none" w:sz="0" w:space="0" w:color="auto"/>
        <w:bottom w:val="none" w:sz="0" w:space="0" w:color="auto"/>
        <w:right w:val="none" w:sz="0" w:space="0" w:color="auto"/>
      </w:divBdr>
    </w:div>
    <w:div w:id="62727166">
      <w:bodyDiv w:val="1"/>
      <w:marLeft w:val="0"/>
      <w:marRight w:val="0"/>
      <w:marTop w:val="0"/>
      <w:marBottom w:val="0"/>
      <w:divBdr>
        <w:top w:val="none" w:sz="0" w:space="0" w:color="auto"/>
        <w:left w:val="none" w:sz="0" w:space="0" w:color="auto"/>
        <w:bottom w:val="none" w:sz="0" w:space="0" w:color="auto"/>
        <w:right w:val="none" w:sz="0" w:space="0" w:color="auto"/>
      </w:divBdr>
    </w:div>
    <w:div w:id="69037247">
      <w:bodyDiv w:val="1"/>
      <w:marLeft w:val="0"/>
      <w:marRight w:val="0"/>
      <w:marTop w:val="0"/>
      <w:marBottom w:val="0"/>
      <w:divBdr>
        <w:top w:val="none" w:sz="0" w:space="0" w:color="auto"/>
        <w:left w:val="none" w:sz="0" w:space="0" w:color="auto"/>
        <w:bottom w:val="none" w:sz="0" w:space="0" w:color="auto"/>
        <w:right w:val="none" w:sz="0" w:space="0" w:color="auto"/>
      </w:divBdr>
    </w:div>
    <w:div w:id="80875594">
      <w:bodyDiv w:val="1"/>
      <w:marLeft w:val="0"/>
      <w:marRight w:val="0"/>
      <w:marTop w:val="0"/>
      <w:marBottom w:val="0"/>
      <w:divBdr>
        <w:top w:val="none" w:sz="0" w:space="0" w:color="auto"/>
        <w:left w:val="none" w:sz="0" w:space="0" w:color="auto"/>
        <w:bottom w:val="none" w:sz="0" w:space="0" w:color="auto"/>
        <w:right w:val="none" w:sz="0" w:space="0" w:color="auto"/>
      </w:divBdr>
    </w:div>
    <w:div w:id="95175533">
      <w:bodyDiv w:val="1"/>
      <w:marLeft w:val="0"/>
      <w:marRight w:val="0"/>
      <w:marTop w:val="0"/>
      <w:marBottom w:val="0"/>
      <w:divBdr>
        <w:top w:val="none" w:sz="0" w:space="0" w:color="auto"/>
        <w:left w:val="none" w:sz="0" w:space="0" w:color="auto"/>
        <w:bottom w:val="none" w:sz="0" w:space="0" w:color="auto"/>
        <w:right w:val="none" w:sz="0" w:space="0" w:color="auto"/>
      </w:divBdr>
    </w:div>
    <w:div w:id="112674043">
      <w:bodyDiv w:val="1"/>
      <w:marLeft w:val="0"/>
      <w:marRight w:val="0"/>
      <w:marTop w:val="0"/>
      <w:marBottom w:val="0"/>
      <w:divBdr>
        <w:top w:val="none" w:sz="0" w:space="0" w:color="auto"/>
        <w:left w:val="none" w:sz="0" w:space="0" w:color="auto"/>
        <w:bottom w:val="none" w:sz="0" w:space="0" w:color="auto"/>
        <w:right w:val="none" w:sz="0" w:space="0" w:color="auto"/>
      </w:divBdr>
    </w:div>
    <w:div w:id="115999151">
      <w:bodyDiv w:val="1"/>
      <w:marLeft w:val="0"/>
      <w:marRight w:val="0"/>
      <w:marTop w:val="0"/>
      <w:marBottom w:val="0"/>
      <w:divBdr>
        <w:top w:val="none" w:sz="0" w:space="0" w:color="auto"/>
        <w:left w:val="none" w:sz="0" w:space="0" w:color="auto"/>
        <w:bottom w:val="none" w:sz="0" w:space="0" w:color="auto"/>
        <w:right w:val="none" w:sz="0" w:space="0" w:color="auto"/>
      </w:divBdr>
    </w:div>
    <w:div w:id="125130487">
      <w:bodyDiv w:val="1"/>
      <w:marLeft w:val="0"/>
      <w:marRight w:val="0"/>
      <w:marTop w:val="0"/>
      <w:marBottom w:val="0"/>
      <w:divBdr>
        <w:top w:val="none" w:sz="0" w:space="0" w:color="auto"/>
        <w:left w:val="none" w:sz="0" w:space="0" w:color="auto"/>
        <w:bottom w:val="none" w:sz="0" w:space="0" w:color="auto"/>
        <w:right w:val="none" w:sz="0" w:space="0" w:color="auto"/>
      </w:divBdr>
    </w:div>
    <w:div w:id="129639936">
      <w:bodyDiv w:val="1"/>
      <w:marLeft w:val="0"/>
      <w:marRight w:val="0"/>
      <w:marTop w:val="0"/>
      <w:marBottom w:val="0"/>
      <w:divBdr>
        <w:top w:val="none" w:sz="0" w:space="0" w:color="auto"/>
        <w:left w:val="none" w:sz="0" w:space="0" w:color="auto"/>
        <w:bottom w:val="none" w:sz="0" w:space="0" w:color="auto"/>
        <w:right w:val="none" w:sz="0" w:space="0" w:color="auto"/>
      </w:divBdr>
    </w:div>
    <w:div w:id="131295755">
      <w:bodyDiv w:val="1"/>
      <w:marLeft w:val="0"/>
      <w:marRight w:val="0"/>
      <w:marTop w:val="0"/>
      <w:marBottom w:val="0"/>
      <w:divBdr>
        <w:top w:val="none" w:sz="0" w:space="0" w:color="auto"/>
        <w:left w:val="none" w:sz="0" w:space="0" w:color="auto"/>
        <w:bottom w:val="none" w:sz="0" w:space="0" w:color="auto"/>
        <w:right w:val="none" w:sz="0" w:space="0" w:color="auto"/>
      </w:divBdr>
    </w:div>
    <w:div w:id="139737937">
      <w:bodyDiv w:val="1"/>
      <w:marLeft w:val="0"/>
      <w:marRight w:val="0"/>
      <w:marTop w:val="0"/>
      <w:marBottom w:val="0"/>
      <w:divBdr>
        <w:top w:val="none" w:sz="0" w:space="0" w:color="auto"/>
        <w:left w:val="none" w:sz="0" w:space="0" w:color="auto"/>
        <w:bottom w:val="none" w:sz="0" w:space="0" w:color="auto"/>
        <w:right w:val="none" w:sz="0" w:space="0" w:color="auto"/>
      </w:divBdr>
    </w:div>
    <w:div w:id="144779992">
      <w:bodyDiv w:val="1"/>
      <w:marLeft w:val="0"/>
      <w:marRight w:val="0"/>
      <w:marTop w:val="0"/>
      <w:marBottom w:val="0"/>
      <w:divBdr>
        <w:top w:val="none" w:sz="0" w:space="0" w:color="auto"/>
        <w:left w:val="none" w:sz="0" w:space="0" w:color="auto"/>
        <w:bottom w:val="none" w:sz="0" w:space="0" w:color="auto"/>
        <w:right w:val="none" w:sz="0" w:space="0" w:color="auto"/>
      </w:divBdr>
    </w:div>
    <w:div w:id="157549671">
      <w:bodyDiv w:val="1"/>
      <w:marLeft w:val="0"/>
      <w:marRight w:val="0"/>
      <w:marTop w:val="0"/>
      <w:marBottom w:val="0"/>
      <w:divBdr>
        <w:top w:val="none" w:sz="0" w:space="0" w:color="auto"/>
        <w:left w:val="none" w:sz="0" w:space="0" w:color="auto"/>
        <w:bottom w:val="none" w:sz="0" w:space="0" w:color="auto"/>
        <w:right w:val="none" w:sz="0" w:space="0" w:color="auto"/>
      </w:divBdr>
    </w:div>
    <w:div w:id="173812781">
      <w:bodyDiv w:val="1"/>
      <w:marLeft w:val="0"/>
      <w:marRight w:val="0"/>
      <w:marTop w:val="0"/>
      <w:marBottom w:val="0"/>
      <w:divBdr>
        <w:top w:val="none" w:sz="0" w:space="0" w:color="auto"/>
        <w:left w:val="none" w:sz="0" w:space="0" w:color="auto"/>
        <w:bottom w:val="none" w:sz="0" w:space="0" w:color="auto"/>
        <w:right w:val="none" w:sz="0" w:space="0" w:color="auto"/>
      </w:divBdr>
    </w:div>
    <w:div w:id="177276154">
      <w:bodyDiv w:val="1"/>
      <w:marLeft w:val="0"/>
      <w:marRight w:val="0"/>
      <w:marTop w:val="0"/>
      <w:marBottom w:val="0"/>
      <w:divBdr>
        <w:top w:val="none" w:sz="0" w:space="0" w:color="auto"/>
        <w:left w:val="none" w:sz="0" w:space="0" w:color="auto"/>
        <w:bottom w:val="none" w:sz="0" w:space="0" w:color="auto"/>
        <w:right w:val="none" w:sz="0" w:space="0" w:color="auto"/>
      </w:divBdr>
    </w:div>
    <w:div w:id="190075990">
      <w:bodyDiv w:val="1"/>
      <w:marLeft w:val="0"/>
      <w:marRight w:val="0"/>
      <w:marTop w:val="0"/>
      <w:marBottom w:val="0"/>
      <w:divBdr>
        <w:top w:val="none" w:sz="0" w:space="0" w:color="auto"/>
        <w:left w:val="none" w:sz="0" w:space="0" w:color="auto"/>
        <w:bottom w:val="none" w:sz="0" w:space="0" w:color="auto"/>
        <w:right w:val="none" w:sz="0" w:space="0" w:color="auto"/>
      </w:divBdr>
    </w:div>
    <w:div w:id="190654307">
      <w:bodyDiv w:val="1"/>
      <w:marLeft w:val="0"/>
      <w:marRight w:val="0"/>
      <w:marTop w:val="0"/>
      <w:marBottom w:val="0"/>
      <w:divBdr>
        <w:top w:val="none" w:sz="0" w:space="0" w:color="auto"/>
        <w:left w:val="none" w:sz="0" w:space="0" w:color="auto"/>
        <w:bottom w:val="none" w:sz="0" w:space="0" w:color="auto"/>
        <w:right w:val="none" w:sz="0" w:space="0" w:color="auto"/>
      </w:divBdr>
    </w:div>
    <w:div w:id="190919084">
      <w:bodyDiv w:val="1"/>
      <w:marLeft w:val="0"/>
      <w:marRight w:val="0"/>
      <w:marTop w:val="0"/>
      <w:marBottom w:val="0"/>
      <w:divBdr>
        <w:top w:val="none" w:sz="0" w:space="0" w:color="auto"/>
        <w:left w:val="none" w:sz="0" w:space="0" w:color="auto"/>
        <w:bottom w:val="none" w:sz="0" w:space="0" w:color="auto"/>
        <w:right w:val="none" w:sz="0" w:space="0" w:color="auto"/>
      </w:divBdr>
    </w:div>
    <w:div w:id="194468249">
      <w:bodyDiv w:val="1"/>
      <w:marLeft w:val="0"/>
      <w:marRight w:val="0"/>
      <w:marTop w:val="0"/>
      <w:marBottom w:val="0"/>
      <w:divBdr>
        <w:top w:val="none" w:sz="0" w:space="0" w:color="auto"/>
        <w:left w:val="none" w:sz="0" w:space="0" w:color="auto"/>
        <w:bottom w:val="none" w:sz="0" w:space="0" w:color="auto"/>
        <w:right w:val="none" w:sz="0" w:space="0" w:color="auto"/>
      </w:divBdr>
    </w:div>
    <w:div w:id="202249434">
      <w:bodyDiv w:val="1"/>
      <w:marLeft w:val="0"/>
      <w:marRight w:val="0"/>
      <w:marTop w:val="0"/>
      <w:marBottom w:val="0"/>
      <w:divBdr>
        <w:top w:val="none" w:sz="0" w:space="0" w:color="auto"/>
        <w:left w:val="none" w:sz="0" w:space="0" w:color="auto"/>
        <w:bottom w:val="none" w:sz="0" w:space="0" w:color="auto"/>
        <w:right w:val="none" w:sz="0" w:space="0" w:color="auto"/>
      </w:divBdr>
    </w:div>
    <w:div w:id="207449975">
      <w:bodyDiv w:val="1"/>
      <w:marLeft w:val="0"/>
      <w:marRight w:val="0"/>
      <w:marTop w:val="0"/>
      <w:marBottom w:val="0"/>
      <w:divBdr>
        <w:top w:val="none" w:sz="0" w:space="0" w:color="auto"/>
        <w:left w:val="none" w:sz="0" w:space="0" w:color="auto"/>
        <w:bottom w:val="none" w:sz="0" w:space="0" w:color="auto"/>
        <w:right w:val="none" w:sz="0" w:space="0" w:color="auto"/>
      </w:divBdr>
    </w:div>
    <w:div w:id="228031448">
      <w:bodyDiv w:val="1"/>
      <w:marLeft w:val="0"/>
      <w:marRight w:val="0"/>
      <w:marTop w:val="0"/>
      <w:marBottom w:val="0"/>
      <w:divBdr>
        <w:top w:val="none" w:sz="0" w:space="0" w:color="auto"/>
        <w:left w:val="none" w:sz="0" w:space="0" w:color="auto"/>
        <w:bottom w:val="none" w:sz="0" w:space="0" w:color="auto"/>
        <w:right w:val="none" w:sz="0" w:space="0" w:color="auto"/>
      </w:divBdr>
    </w:div>
    <w:div w:id="230846437">
      <w:bodyDiv w:val="1"/>
      <w:marLeft w:val="0"/>
      <w:marRight w:val="0"/>
      <w:marTop w:val="0"/>
      <w:marBottom w:val="0"/>
      <w:divBdr>
        <w:top w:val="none" w:sz="0" w:space="0" w:color="auto"/>
        <w:left w:val="none" w:sz="0" w:space="0" w:color="auto"/>
        <w:bottom w:val="none" w:sz="0" w:space="0" w:color="auto"/>
        <w:right w:val="none" w:sz="0" w:space="0" w:color="auto"/>
      </w:divBdr>
    </w:div>
    <w:div w:id="235550228">
      <w:bodyDiv w:val="1"/>
      <w:marLeft w:val="0"/>
      <w:marRight w:val="0"/>
      <w:marTop w:val="0"/>
      <w:marBottom w:val="0"/>
      <w:divBdr>
        <w:top w:val="none" w:sz="0" w:space="0" w:color="auto"/>
        <w:left w:val="none" w:sz="0" w:space="0" w:color="auto"/>
        <w:bottom w:val="none" w:sz="0" w:space="0" w:color="auto"/>
        <w:right w:val="none" w:sz="0" w:space="0" w:color="auto"/>
      </w:divBdr>
    </w:div>
    <w:div w:id="238636194">
      <w:bodyDiv w:val="1"/>
      <w:marLeft w:val="0"/>
      <w:marRight w:val="0"/>
      <w:marTop w:val="0"/>
      <w:marBottom w:val="0"/>
      <w:divBdr>
        <w:top w:val="none" w:sz="0" w:space="0" w:color="auto"/>
        <w:left w:val="none" w:sz="0" w:space="0" w:color="auto"/>
        <w:bottom w:val="none" w:sz="0" w:space="0" w:color="auto"/>
        <w:right w:val="none" w:sz="0" w:space="0" w:color="auto"/>
      </w:divBdr>
    </w:div>
    <w:div w:id="247541361">
      <w:bodyDiv w:val="1"/>
      <w:marLeft w:val="0"/>
      <w:marRight w:val="0"/>
      <w:marTop w:val="0"/>
      <w:marBottom w:val="0"/>
      <w:divBdr>
        <w:top w:val="none" w:sz="0" w:space="0" w:color="auto"/>
        <w:left w:val="none" w:sz="0" w:space="0" w:color="auto"/>
        <w:bottom w:val="none" w:sz="0" w:space="0" w:color="auto"/>
        <w:right w:val="none" w:sz="0" w:space="0" w:color="auto"/>
      </w:divBdr>
    </w:div>
    <w:div w:id="247737561">
      <w:bodyDiv w:val="1"/>
      <w:marLeft w:val="0"/>
      <w:marRight w:val="0"/>
      <w:marTop w:val="0"/>
      <w:marBottom w:val="0"/>
      <w:divBdr>
        <w:top w:val="none" w:sz="0" w:space="0" w:color="auto"/>
        <w:left w:val="none" w:sz="0" w:space="0" w:color="auto"/>
        <w:bottom w:val="none" w:sz="0" w:space="0" w:color="auto"/>
        <w:right w:val="none" w:sz="0" w:space="0" w:color="auto"/>
      </w:divBdr>
    </w:div>
    <w:div w:id="258100924">
      <w:bodyDiv w:val="1"/>
      <w:marLeft w:val="0"/>
      <w:marRight w:val="0"/>
      <w:marTop w:val="0"/>
      <w:marBottom w:val="0"/>
      <w:divBdr>
        <w:top w:val="none" w:sz="0" w:space="0" w:color="auto"/>
        <w:left w:val="none" w:sz="0" w:space="0" w:color="auto"/>
        <w:bottom w:val="none" w:sz="0" w:space="0" w:color="auto"/>
        <w:right w:val="none" w:sz="0" w:space="0" w:color="auto"/>
      </w:divBdr>
    </w:div>
    <w:div w:id="268052648">
      <w:bodyDiv w:val="1"/>
      <w:marLeft w:val="0"/>
      <w:marRight w:val="0"/>
      <w:marTop w:val="0"/>
      <w:marBottom w:val="0"/>
      <w:divBdr>
        <w:top w:val="none" w:sz="0" w:space="0" w:color="auto"/>
        <w:left w:val="none" w:sz="0" w:space="0" w:color="auto"/>
        <w:bottom w:val="none" w:sz="0" w:space="0" w:color="auto"/>
        <w:right w:val="none" w:sz="0" w:space="0" w:color="auto"/>
      </w:divBdr>
    </w:div>
    <w:div w:id="269777761">
      <w:bodyDiv w:val="1"/>
      <w:marLeft w:val="0"/>
      <w:marRight w:val="0"/>
      <w:marTop w:val="0"/>
      <w:marBottom w:val="0"/>
      <w:divBdr>
        <w:top w:val="none" w:sz="0" w:space="0" w:color="auto"/>
        <w:left w:val="none" w:sz="0" w:space="0" w:color="auto"/>
        <w:bottom w:val="none" w:sz="0" w:space="0" w:color="auto"/>
        <w:right w:val="none" w:sz="0" w:space="0" w:color="auto"/>
      </w:divBdr>
    </w:div>
    <w:div w:id="271281598">
      <w:bodyDiv w:val="1"/>
      <w:marLeft w:val="0"/>
      <w:marRight w:val="0"/>
      <w:marTop w:val="0"/>
      <w:marBottom w:val="0"/>
      <w:divBdr>
        <w:top w:val="none" w:sz="0" w:space="0" w:color="auto"/>
        <w:left w:val="none" w:sz="0" w:space="0" w:color="auto"/>
        <w:bottom w:val="none" w:sz="0" w:space="0" w:color="auto"/>
        <w:right w:val="none" w:sz="0" w:space="0" w:color="auto"/>
      </w:divBdr>
    </w:div>
    <w:div w:id="281964772">
      <w:bodyDiv w:val="1"/>
      <w:marLeft w:val="0"/>
      <w:marRight w:val="0"/>
      <w:marTop w:val="0"/>
      <w:marBottom w:val="0"/>
      <w:divBdr>
        <w:top w:val="none" w:sz="0" w:space="0" w:color="auto"/>
        <w:left w:val="none" w:sz="0" w:space="0" w:color="auto"/>
        <w:bottom w:val="none" w:sz="0" w:space="0" w:color="auto"/>
        <w:right w:val="none" w:sz="0" w:space="0" w:color="auto"/>
      </w:divBdr>
    </w:div>
    <w:div w:id="301740936">
      <w:bodyDiv w:val="1"/>
      <w:marLeft w:val="0"/>
      <w:marRight w:val="0"/>
      <w:marTop w:val="0"/>
      <w:marBottom w:val="0"/>
      <w:divBdr>
        <w:top w:val="none" w:sz="0" w:space="0" w:color="auto"/>
        <w:left w:val="none" w:sz="0" w:space="0" w:color="auto"/>
        <w:bottom w:val="none" w:sz="0" w:space="0" w:color="auto"/>
        <w:right w:val="none" w:sz="0" w:space="0" w:color="auto"/>
      </w:divBdr>
    </w:div>
    <w:div w:id="308245836">
      <w:bodyDiv w:val="1"/>
      <w:marLeft w:val="0"/>
      <w:marRight w:val="0"/>
      <w:marTop w:val="0"/>
      <w:marBottom w:val="0"/>
      <w:divBdr>
        <w:top w:val="none" w:sz="0" w:space="0" w:color="auto"/>
        <w:left w:val="none" w:sz="0" w:space="0" w:color="auto"/>
        <w:bottom w:val="none" w:sz="0" w:space="0" w:color="auto"/>
        <w:right w:val="none" w:sz="0" w:space="0" w:color="auto"/>
      </w:divBdr>
    </w:div>
    <w:div w:id="310211995">
      <w:bodyDiv w:val="1"/>
      <w:marLeft w:val="0"/>
      <w:marRight w:val="0"/>
      <w:marTop w:val="0"/>
      <w:marBottom w:val="0"/>
      <w:divBdr>
        <w:top w:val="none" w:sz="0" w:space="0" w:color="auto"/>
        <w:left w:val="none" w:sz="0" w:space="0" w:color="auto"/>
        <w:bottom w:val="none" w:sz="0" w:space="0" w:color="auto"/>
        <w:right w:val="none" w:sz="0" w:space="0" w:color="auto"/>
      </w:divBdr>
    </w:div>
    <w:div w:id="325520571">
      <w:bodyDiv w:val="1"/>
      <w:marLeft w:val="0"/>
      <w:marRight w:val="0"/>
      <w:marTop w:val="0"/>
      <w:marBottom w:val="0"/>
      <w:divBdr>
        <w:top w:val="none" w:sz="0" w:space="0" w:color="auto"/>
        <w:left w:val="none" w:sz="0" w:space="0" w:color="auto"/>
        <w:bottom w:val="none" w:sz="0" w:space="0" w:color="auto"/>
        <w:right w:val="none" w:sz="0" w:space="0" w:color="auto"/>
      </w:divBdr>
    </w:div>
    <w:div w:id="349378182">
      <w:bodyDiv w:val="1"/>
      <w:marLeft w:val="0"/>
      <w:marRight w:val="0"/>
      <w:marTop w:val="0"/>
      <w:marBottom w:val="0"/>
      <w:divBdr>
        <w:top w:val="none" w:sz="0" w:space="0" w:color="auto"/>
        <w:left w:val="none" w:sz="0" w:space="0" w:color="auto"/>
        <w:bottom w:val="none" w:sz="0" w:space="0" w:color="auto"/>
        <w:right w:val="none" w:sz="0" w:space="0" w:color="auto"/>
      </w:divBdr>
    </w:div>
    <w:div w:id="369844929">
      <w:bodyDiv w:val="1"/>
      <w:marLeft w:val="0"/>
      <w:marRight w:val="0"/>
      <w:marTop w:val="0"/>
      <w:marBottom w:val="0"/>
      <w:divBdr>
        <w:top w:val="none" w:sz="0" w:space="0" w:color="auto"/>
        <w:left w:val="none" w:sz="0" w:space="0" w:color="auto"/>
        <w:bottom w:val="none" w:sz="0" w:space="0" w:color="auto"/>
        <w:right w:val="none" w:sz="0" w:space="0" w:color="auto"/>
      </w:divBdr>
    </w:div>
    <w:div w:id="376055543">
      <w:bodyDiv w:val="1"/>
      <w:marLeft w:val="0"/>
      <w:marRight w:val="0"/>
      <w:marTop w:val="0"/>
      <w:marBottom w:val="0"/>
      <w:divBdr>
        <w:top w:val="none" w:sz="0" w:space="0" w:color="auto"/>
        <w:left w:val="none" w:sz="0" w:space="0" w:color="auto"/>
        <w:bottom w:val="none" w:sz="0" w:space="0" w:color="auto"/>
        <w:right w:val="none" w:sz="0" w:space="0" w:color="auto"/>
      </w:divBdr>
    </w:div>
    <w:div w:id="387000353">
      <w:bodyDiv w:val="1"/>
      <w:marLeft w:val="0"/>
      <w:marRight w:val="0"/>
      <w:marTop w:val="0"/>
      <w:marBottom w:val="0"/>
      <w:divBdr>
        <w:top w:val="none" w:sz="0" w:space="0" w:color="auto"/>
        <w:left w:val="none" w:sz="0" w:space="0" w:color="auto"/>
        <w:bottom w:val="none" w:sz="0" w:space="0" w:color="auto"/>
        <w:right w:val="none" w:sz="0" w:space="0" w:color="auto"/>
      </w:divBdr>
    </w:div>
    <w:div w:id="413864414">
      <w:bodyDiv w:val="1"/>
      <w:marLeft w:val="0"/>
      <w:marRight w:val="0"/>
      <w:marTop w:val="0"/>
      <w:marBottom w:val="0"/>
      <w:divBdr>
        <w:top w:val="none" w:sz="0" w:space="0" w:color="auto"/>
        <w:left w:val="none" w:sz="0" w:space="0" w:color="auto"/>
        <w:bottom w:val="none" w:sz="0" w:space="0" w:color="auto"/>
        <w:right w:val="none" w:sz="0" w:space="0" w:color="auto"/>
      </w:divBdr>
    </w:div>
    <w:div w:id="425810479">
      <w:bodyDiv w:val="1"/>
      <w:marLeft w:val="0"/>
      <w:marRight w:val="0"/>
      <w:marTop w:val="0"/>
      <w:marBottom w:val="0"/>
      <w:divBdr>
        <w:top w:val="none" w:sz="0" w:space="0" w:color="auto"/>
        <w:left w:val="none" w:sz="0" w:space="0" w:color="auto"/>
        <w:bottom w:val="none" w:sz="0" w:space="0" w:color="auto"/>
        <w:right w:val="none" w:sz="0" w:space="0" w:color="auto"/>
      </w:divBdr>
    </w:div>
    <w:div w:id="435517771">
      <w:bodyDiv w:val="1"/>
      <w:marLeft w:val="0"/>
      <w:marRight w:val="0"/>
      <w:marTop w:val="0"/>
      <w:marBottom w:val="0"/>
      <w:divBdr>
        <w:top w:val="none" w:sz="0" w:space="0" w:color="auto"/>
        <w:left w:val="none" w:sz="0" w:space="0" w:color="auto"/>
        <w:bottom w:val="none" w:sz="0" w:space="0" w:color="auto"/>
        <w:right w:val="none" w:sz="0" w:space="0" w:color="auto"/>
      </w:divBdr>
    </w:div>
    <w:div w:id="465007391">
      <w:bodyDiv w:val="1"/>
      <w:marLeft w:val="0"/>
      <w:marRight w:val="0"/>
      <w:marTop w:val="0"/>
      <w:marBottom w:val="0"/>
      <w:divBdr>
        <w:top w:val="none" w:sz="0" w:space="0" w:color="auto"/>
        <w:left w:val="none" w:sz="0" w:space="0" w:color="auto"/>
        <w:bottom w:val="none" w:sz="0" w:space="0" w:color="auto"/>
        <w:right w:val="none" w:sz="0" w:space="0" w:color="auto"/>
      </w:divBdr>
    </w:div>
    <w:div w:id="472256329">
      <w:bodyDiv w:val="1"/>
      <w:marLeft w:val="0"/>
      <w:marRight w:val="0"/>
      <w:marTop w:val="0"/>
      <w:marBottom w:val="0"/>
      <w:divBdr>
        <w:top w:val="none" w:sz="0" w:space="0" w:color="auto"/>
        <w:left w:val="none" w:sz="0" w:space="0" w:color="auto"/>
        <w:bottom w:val="none" w:sz="0" w:space="0" w:color="auto"/>
        <w:right w:val="none" w:sz="0" w:space="0" w:color="auto"/>
      </w:divBdr>
    </w:div>
    <w:div w:id="488788351">
      <w:bodyDiv w:val="1"/>
      <w:marLeft w:val="0"/>
      <w:marRight w:val="0"/>
      <w:marTop w:val="0"/>
      <w:marBottom w:val="0"/>
      <w:divBdr>
        <w:top w:val="none" w:sz="0" w:space="0" w:color="auto"/>
        <w:left w:val="none" w:sz="0" w:space="0" w:color="auto"/>
        <w:bottom w:val="none" w:sz="0" w:space="0" w:color="auto"/>
        <w:right w:val="none" w:sz="0" w:space="0" w:color="auto"/>
      </w:divBdr>
    </w:div>
    <w:div w:id="491140161">
      <w:bodyDiv w:val="1"/>
      <w:marLeft w:val="0"/>
      <w:marRight w:val="0"/>
      <w:marTop w:val="0"/>
      <w:marBottom w:val="0"/>
      <w:divBdr>
        <w:top w:val="none" w:sz="0" w:space="0" w:color="auto"/>
        <w:left w:val="none" w:sz="0" w:space="0" w:color="auto"/>
        <w:bottom w:val="none" w:sz="0" w:space="0" w:color="auto"/>
        <w:right w:val="none" w:sz="0" w:space="0" w:color="auto"/>
      </w:divBdr>
    </w:div>
    <w:div w:id="504323226">
      <w:bodyDiv w:val="1"/>
      <w:marLeft w:val="0"/>
      <w:marRight w:val="0"/>
      <w:marTop w:val="0"/>
      <w:marBottom w:val="0"/>
      <w:divBdr>
        <w:top w:val="none" w:sz="0" w:space="0" w:color="auto"/>
        <w:left w:val="none" w:sz="0" w:space="0" w:color="auto"/>
        <w:bottom w:val="none" w:sz="0" w:space="0" w:color="auto"/>
        <w:right w:val="none" w:sz="0" w:space="0" w:color="auto"/>
      </w:divBdr>
    </w:div>
    <w:div w:id="518082209">
      <w:bodyDiv w:val="1"/>
      <w:marLeft w:val="0"/>
      <w:marRight w:val="0"/>
      <w:marTop w:val="0"/>
      <w:marBottom w:val="0"/>
      <w:divBdr>
        <w:top w:val="none" w:sz="0" w:space="0" w:color="auto"/>
        <w:left w:val="none" w:sz="0" w:space="0" w:color="auto"/>
        <w:bottom w:val="none" w:sz="0" w:space="0" w:color="auto"/>
        <w:right w:val="none" w:sz="0" w:space="0" w:color="auto"/>
      </w:divBdr>
    </w:div>
    <w:div w:id="532351346">
      <w:bodyDiv w:val="1"/>
      <w:marLeft w:val="0"/>
      <w:marRight w:val="0"/>
      <w:marTop w:val="0"/>
      <w:marBottom w:val="0"/>
      <w:divBdr>
        <w:top w:val="none" w:sz="0" w:space="0" w:color="auto"/>
        <w:left w:val="none" w:sz="0" w:space="0" w:color="auto"/>
        <w:bottom w:val="none" w:sz="0" w:space="0" w:color="auto"/>
        <w:right w:val="none" w:sz="0" w:space="0" w:color="auto"/>
      </w:divBdr>
    </w:div>
    <w:div w:id="536430139">
      <w:bodyDiv w:val="1"/>
      <w:marLeft w:val="0"/>
      <w:marRight w:val="0"/>
      <w:marTop w:val="0"/>
      <w:marBottom w:val="0"/>
      <w:divBdr>
        <w:top w:val="none" w:sz="0" w:space="0" w:color="auto"/>
        <w:left w:val="none" w:sz="0" w:space="0" w:color="auto"/>
        <w:bottom w:val="none" w:sz="0" w:space="0" w:color="auto"/>
        <w:right w:val="none" w:sz="0" w:space="0" w:color="auto"/>
      </w:divBdr>
    </w:div>
    <w:div w:id="549921223">
      <w:bodyDiv w:val="1"/>
      <w:marLeft w:val="0"/>
      <w:marRight w:val="0"/>
      <w:marTop w:val="0"/>
      <w:marBottom w:val="0"/>
      <w:divBdr>
        <w:top w:val="none" w:sz="0" w:space="0" w:color="auto"/>
        <w:left w:val="none" w:sz="0" w:space="0" w:color="auto"/>
        <w:bottom w:val="none" w:sz="0" w:space="0" w:color="auto"/>
        <w:right w:val="none" w:sz="0" w:space="0" w:color="auto"/>
      </w:divBdr>
    </w:div>
    <w:div w:id="549994479">
      <w:bodyDiv w:val="1"/>
      <w:marLeft w:val="0"/>
      <w:marRight w:val="0"/>
      <w:marTop w:val="0"/>
      <w:marBottom w:val="0"/>
      <w:divBdr>
        <w:top w:val="none" w:sz="0" w:space="0" w:color="auto"/>
        <w:left w:val="none" w:sz="0" w:space="0" w:color="auto"/>
        <w:bottom w:val="none" w:sz="0" w:space="0" w:color="auto"/>
        <w:right w:val="none" w:sz="0" w:space="0" w:color="auto"/>
      </w:divBdr>
    </w:div>
    <w:div w:id="558783783">
      <w:bodyDiv w:val="1"/>
      <w:marLeft w:val="0"/>
      <w:marRight w:val="0"/>
      <w:marTop w:val="0"/>
      <w:marBottom w:val="0"/>
      <w:divBdr>
        <w:top w:val="none" w:sz="0" w:space="0" w:color="auto"/>
        <w:left w:val="none" w:sz="0" w:space="0" w:color="auto"/>
        <w:bottom w:val="none" w:sz="0" w:space="0" w:color="auto"/>
        <w:right w:val="none" w:sz="0" w:space="0" w:color="auto"/>
      </w:divBdr>
    </w:div>
    <w:div w:id="563027461">
      <w:bodyDiv w:val="1"/>
      <w:marLeft w:val="0"/>
      <w:marRight w:val="0"/>
      <w:marTop w:val="0"/>
      <w:marBottom w:val="0"/>
      <w:divBdr>
        <w:top w:val="none" w:sz="0" w:space="0" w:color="auto"/>
        <w:left w:val="none" w:sz="0" w:space="0" w:color="auto"/>
        <w:bottom w:val="none" w:sz="0" w:space="0" w:color="auto"/>
        <w:right w:val="none" w:sz="0" w:space="0" w:color="auto"/>
      </w:divBdr>
    </w:div>
    <w:div w:id="565409672">
      <w:bodyDiv w:val="1"/>
      <w:marLeft w:val="0"/>
      <w:marRight w:val="0"/>
      <w:marTop w:val="0"/>
      <w:marBottom w:val="0"/>
      <w:divBdr>
        <w:top w:val="none" w:sz="0" w:space="0" w:color="auto"/>
        <w:left w:val="none" w:sz="0" w:space="0" w:color="auto"/>
        <w:bottom w:val="none" w:sz="0" w:space="0" w:color="auto"/>
        <w:right w:val="none" w:sz="0" w:space="0" w:color="auto"/>
      </w:divBdr>
    </w:div>
    <w:div w:id="570164580">
      <w:bodyDiv w:val="1"/>
      <w:marLeft w:val="0"/>
      <w:marRight w:val="0"/>
      <w:marTop w:val="0"/>
      <w:marBottom w:val="0"/>
      <w:divBdr>
        <w:top w:val="none" w:sz="0" w:space="0" w:color="auto"/>
        <w:left w:val="none" w:sz="0" w:space="0" w:color="auto"/>
        <w:bottom w:val="none" w:sz="0" w:space="0" w:color="auto"/>
        <w:right w:val="none" w:sz="0" w:space="0" w:color="auto"/>
      </w:divBdr>
    </w:div>
    <w:div w:id="570777781">
      <w:bodyDiv w:val="1"/>
      <w:marLeft w:val="0"/>
      <w:marRight w:val="0"/>
      <w:marTop w:val="0"/>
      <w:marBottom w:val="0"/>
      <w:divBdr>
        <w:top w:val="none" w:sz="0" w:space="0" w:color="auto"/>
        <w:left w:val="none" w:sz="0" w:space="0" w:color="auto"/>
        <w:bottom w:val="none" w:sz="0" w:space="0" w:color="auto"/>
        <w:right w:val="none" w:sz="0" w:space="0" w:color="auto"/>
      </w:divBdr>
      <w:divsChild>
        <w:div w:id="1622303985">
          <w:marLeft w:val="0"/>
          <w:marRight w:val="0"/>
          <w:marTop w:val="0"/>
          <w:marBottom w:val="0"/>
          <w:divBdr>
            <w:top w:val="none" w:sz="0" w:space="0" w:color="auto"/>
            <w:left w:val="none" w:sz="0" w:space="0" w:color="auto"/>
            <w:bottom w:val="none" w:sz="0" w:space="0" w:color="auto"/>
            <w:right w:val="none" w:sz="0" w:space="0" w:color="auto"/>
          </w:divBdr>
        </w:div>
      </w:divsChild>
    </w:div>
    <w:div w:id="576089458">
      <w:bodyDiv w:val="1"/>
      <w:marLeft w:val="0"/>
      <w:marRight w:val="0"/>
      <w:marTop w:val="0"/>
      <w:marBottom w:val="0"/>
      <w:divBdr>
        <w:top w:val="none" w:sz="0" w:space="0" w:color="auto"/>
        <w:left w:val="none" w:sz="0" w:space="0" w:color="auto"/>
        <w:bottom w:val="none" w:sz="0" w:space="0" w:color="auto"/>
        <w:right w:val="none" w:sz="0" w:space="0" w:color="auto"/>
      </w:divBdr>
    </w:div>
    <w:div w:id="576478720">
      <w:bodyDiv w:val="1"/>
      <w:marLeft w:val="0"/>
      <w:marRight w:val="0"/>
      <w:marTop w:val="0"/>
      <w:marBottom w:val="0"/>
      <w:divBdr>
        <w:top w:val="none" w:sz="0" w:space="0" w:color="auto"/>
        <w:left w:val="none" w:sz="0" w:space="0" w:color="auto"/>
        <w:bottom w:val="none" w:sz="0" w:space="0" w:color="auto"/>
        <w:right w:val="none" w:sz="0" w:space="0" w:color="auto"/>
      </w:divBdr>
    </w:div>
    <w:div w:id="610432743">
      <w:bodyDiv w:val="1"/>
      <w:marLeft w:val="0"/>
      <w:marRight w:val="0"/>
      <w:marTop w:val="0"/>
      <w:marBottom w:val="0"/>
      <w:divBdr>
        <w:top w:val="none" w:sz="0" w:space="0" w:color="auto"/>
        <w:left w:val="none" w:sz="0" w:space="0" w:color="auto"/>
        <w:bottom w:val="none" w:sz="0" w:space="0" w:color="auto"/>
        <w:right w:val="none" w:sz="0" w:space="0" w:color="auto"/>
      </w:divBdr>
    </w:div>
    <w:div w:id="615789599">
      <w:bodyDiv w:val="1"/>
      <w:marLeft w:val="0"/>
      <w:marRight w:val="0"/>
      <w:marTop w:val="0"/>
      <w:marBottom w:val="0"/>
      <w:divBdr>
        <w:top w:val="none" w:sz="0" w:space="0" w:color="auto"/>
        <w:left w:val="none" w:sz="0" w:space="0" w:color="auto"/>
        <w:bottom w:val="none" w:sz="0" w:space="0" w:color="auto"/>
        <w:right w:val="none" w:sz="0" w:space="0" w:color="auto"/>
      </w:divBdr>
    </w:div>
    <w:div w:id="631523462">
      <w:bodyDiv w:val="1"/>
      <w:marLeft w:val="0"/>
      <w:marRight w:val="0"/>
      <w:marTop w:val="0"/>
      <w:marBottom w:val="0"/>
      <w:divBdr>
        <w:top w:val="none" w:sz="0" w:space="0" w:color="auto"/>
        <w:left w:val="none" w:sz="0" w:space="0" w:color="auto"/>
        <w:bottom w:val="none" w:sz="0" w:space="0" w:color="auto"/>
        <w:right w:val="none" w:sz="0" w:space="0" w:color="auto"/>
      </w:divBdr>
    </w:div>
    <w:div w:id="633175003">
      <w:bodyDiv w:val="1"/>
      <w:marLeft w:val="0"/>
      <w:marRight w:val="0"/>
      <w:marTop w:val="0"/>
      <w:marBottom w:val="0"/>
      <w:divBdr>
        <w:top w:val="none" w:sz="0" w:space="0" w:color="auto"/>
        <w:left w:val="none" w:sz="0" w:space="0" w:color="auto"/>
        <w:bottom w:val="none" w:sz="0" w:space="0" w:color="auto"/>
        <w:right w:val="none" w:sz="0" w:space="0" w:color="auto"/>
      </w:divBdr>
    </w:div>
    <w:div w:id="639193226">
      <w:bodyDiv w:val="1"/>
      <w:marLeft w:val="0"/>
      <w:marRight w:val="0"/>
      <w:marTop w:val="0"/>
      <w:marBottom w:val="0"/>
      <w:divBdr>
        <w:top w:val="none" w:sz="0" w:space="0" w:color="auto"/>
        <w:left w:val="none" w:sz="0" w:space="0" w:color="auto"/>
        <w:bottom w:val="none" w:sz="0" w:space="0" w:color="auto"/>
        <w:right w:val="none" w:sz="0" w:space="0" w:color="auto"/>
      </w:divBdr>
    </w:div>
    <w:div w:id="664629813">
      <w:bodyDiv w:val="1"/>
      <w:marLeft w:val="0"/>
      <w:marRight w:val="0"/>
      <w:marTop w:val="0"/>
      <w:marBottom w:val="0"/>
      <w:divBdr>
        <w:top w:val="none" w:sz="0" w:space="0" w:color="auto"/>
        <w:left w:val="none" w:sz="0" w:space="0" w:color="auto"/>
        <w:bottom w:val="none" w:sz="0" w:space="0" w:color="auto"/>
        <w:right w:val="none" w:sz="0" w:space="0" w:color="auto"/>
      </w:divBdr>
    </w:div>
    <w:div w:id="707681860">
      <w:bodyDiv w:val="1"/>
      <w:marLeft w:val="0"/>
      <w:marRight w:val="0"/>
      <w:marTop w:val="0"/>
      <w:marBottom w:val="0"/>
      <w:divBdr>
        <w:top w:val="none" w:sz="0" w:space="0" w:color="auto"/>
        <w:left w:val="none" w:sz="0" w:space="0" w:color="auto"/>
        <w:bottom w:val="none" w:sz="0" w:space="0" w:color="auto"/>
        <w:right w:val="none" w:sz="0" w:space="0" w:color="auto"/>
      </w:divBdr>
    </w:div>
    <w:div w:id="719207465">
      <w:bodyDiv w:val="1"/>
      <w:marLeft w:val="0"/>
      <w:marRight w:val="0"/>
      <w:marTop w:val="0"/>
      <w:marBottom w:val="0"/>
      <w:divBdr>
        <w:top w:val="none" w:sz="0" w:space="0" w:color="auto"/>
        <w:left w:val="none" w:sz="0" w:space="0" w:color="auto"/>
        <w:bottom w:val="none" w:sz="0" w:space="0" w:color="auto"/>
        <w:right w:val="none" w:sz="0" w:space="0" w:color="auto"/>
      </w:divBdr>
      <w:divsChild>
        <w:div w:id="471336215">
          <w:marLeft w:val="0"/>
          <w:marRight w:val="0"/>
          <w:marTop w:val="0"/>
          <w:marBottom w:val="101"/>
          <w:divBdr>
            <w:top w:val="none" w:sz="0" w:space="0" w:color="auto"/>
            <w:left w:val="none" w:sz="0" w:space="0" w:color="auto"/>
            <w:bottom w:val="none" w:sz="0" w:space="0" w:color="auto"/>
            <w:right w:val="none" w:sz="0" w:space="0" w:color="auto"/>
          </w:divBdr>
        </w:div>
        <w:div w:id="1136795023">
          <w:marLeft w:val="0"/>
          <w:marRight w:val="0"/>
          <w:marTop w:val="0"/>
          <w:marBottom w:val="101"/>
          <w:divBdr>
            <w:top w:val="none" w:sz="0" w:space="0" w:color="auto"/>
            <w:left w:val="none" w:sz="0" w:space="0" w:color="auto"/>
            <w:bottom w:val="none" w:sz="0" w:space="0" w:color="auto"/>
            <w:right w:val="none" w:sz="0" w:space="0" w:color="auto"/>
          </w:divBdr>
        </w:div>
        <w:div w:id="206570758">
          <w:marLeft w:val="864"/>
          <w:marRight w:val="0"/>
          <w:marTop w:val="0"/>
          <w:marBottom w:val="101"/>
          <w:divBdr>
            <w:top w:val="none" w:sz="0" w:space="0" w:color="auto"/>
            <w:left w:val="none" w:sz="0" w:space="0" w:color="auto"/>
            <w:bottom w:val="none" w:sz="0" w:space="0" w:color="auto"/>
            <w:right w:val="none" w:sz="0" w:space="0" w:color="auto"/>
          </w:divBdr>
        </w:div>
        <w:div w:id="913852647">
          <w:marLeft w:val="864"/>
          <w:marRight w:val="0"/>
          <w:marTop w:val="0"/>
          <w:marBottom w:val="101"/>
          <w:divBdr>
            <w:top w:val="none" w:sz="0" w:space="0" w:color="auto"/>
            <w:left w:val="none" w:sz="0" w:space="0" w:color="auto"/>
            <w:bottom w:val="none" w:sz="0" w:space="0" w:color="auto"/>
            <w:right w:val="none" w:sz="0" w:space="0" w:color="auto"/>
          </w:divBdr>
        </w:div>
        <w:div w:id="1932616041">
          <w:marLeft w:val="864"/>
          <w:marRight w:val="0"/>
          <w:marTop w:val="0"/>
          <w:marBottom w:val="101"/>
          <w:divBdr>
            <w:top w:val="none" w:sz="0" w:space="0" w:color="auto"/>
            <w:left w:val="none" w:sz="0" w:space="0" w:color="auto"/>
            <w:bottom w:val="none" w:sz="0" w:space="0" w:color="auto"/>
            <w:right w:val="none" w:sz="0" w:space="0" w:color="auto"/>
          </w:divBdr>
        </w:div>
        <w:div w:id="300157043">
          <w:marLeft w:val="864"/>
          <w:marRight w:val="0"/>
          <w:marTop w:val="0"/>
          <w:marBottom w:val="101"/>
          <w:divBdr>
            <w:top w:val="none" w:sz="0" w:space="0" w:color="auto"/>
            <w:left w:val="none" w:sz="0" w:space="0" w:color="auto"/>
            <w:bottom w:val="none" w:sz="0" w:space="0" w:color="auto"/>
            <w:right w:val="none" w:sz="0" w:space="0" w:color="auto"/>
          </w:divBdr>
        </w:div>
      </w:divsChild>
    </w:div>
    <w:div w:id="733623360">
      <w:bodyDiv w:val="1"/>
      <w:marLeft w:val="0"/>
      <w:marRight w:val="0"/>
      <w:marTop w:val="0"/>
      <w:marBottom w:val="0"/>
      <w:divBdr>
        <w:top w:val="none" w:sz="0" w:space="0" w:color="auto"/>
        <w:left w:val="none" w:sz="0" w:space="0" w:color="auto"/>
        <w:bottom w:val="none" w:sz="0" w:space="0" w:color="auto"/>
        <w:right w:val="none" w:sz="0" w:space="0" w:color="auto"/>
      </w:divBdr>
    </w:div>
    <w:div w:id="740102458">
      <w:bodyDiv w:val="1"/>
      <w:marLeft w:val="0"/>
      <w:marRight w:val="0"/>
      <w:marTop w:val="0"/>
      <w:marBottom w:val="0"/>
      <w:divBdr>
        <w:top w:val="none" w:sz="0" w:space="0" w:color="auto"/>
        <w:left w:val="none" w:sz="0" w:space="0" w:color="auto"/>
        <w:bottom w:val="none" w:sz="0" w:space="0" w:color="auto"/>
        <w:right w:val="none" w:sz="0" w:space="0" w:color="auto"/>
      </w:divBdr>
    </w:div>
    <w:div w:id="759957181">
      <w:bodyDiv w:val="1"/>
      <w:marLeft w:val="0"/>
      <w:marRight w:val="0"/>
      <w:marTop w:val="0"/>
      <w:marBottom w:val="0"/>
      <w:divBdr>
        <w:top w:val="none" w:sz="0" w:space="0" w:color="auto"/>
        <w:left w:val="none" w:sz="0" w:space="0" w:color="auto"/>
        <w:bottom w:val="none" w:sz="0" w:space="0" w:color="auto"/>
        <w:right w:val="none" w:sz="0" w:space="0" w:color="auto"/>
      </w:divBdr>
    </w:div>
    <w:div w:id="763961113">
      <w:bodyDiv w:val="1"/>
      <w:marLeft w:val="0"/>
      <w:marRight w:val="0"/>
      <w:marTop w:val="0"/>
      <w:marBottom w:val="0"/>
      <w:divBdr>
        <w:top w:val="none" w:sz="0" w:space="0" w:color="auto"/>
        <w:left w:val="none" w:sz="0" w:space="0" w:color="auto"/>
        <w:bottom w:val="none" w:sz="0" w:space="0" w:color="auto"/>
        <w:right w:val="none" w:sz="0" w:space="0" w:color="auto"/>
      </w:divBdr>
    </w:div>
    <w:div w:id="765031404">
      <w:bodyDiv w:val="1"/>
      <w:marLeft w:val="0"/>
      <w:marRight w:val="0"/>
      <w:marTop w:val="0"/>
      <w:marBottom w:val="0"/>
      <w:divBdr>
        <w:top w:val="none" w:sz="0" w:space="0" w:color="auto"/>
        <w:left w:val="none" w:sz="0" w:space="0" w:color="auto"/>
        <w:bottom w:val="none" w:sz="0" w:space="0" w:color="auto"/>
        <w:right w:val="none" w:sz="0" w:space="0" w:color="auto"/>
      </w:divBdr>
    </w:div>
    <w:div w:id="775101071">
      <w:bodyDiv w:val="1"/>
      <w:marLeft w:val="0"/>
      <w:marRight w:val="0"/>
      <w:marTop w:val="0"/>
      <w:marBottom w:val="0"/>
      <w:divBdr>
        <w:top w:val="none" w:sz="0" w:space="0" w:color="auto"/>
        <w:left w:val="none" w:sz="0" w:space="0" w:color="auto"/>
        <w:bottom w:val="none" w:sz="0" w:space="0" w:color="auto"/>
        <w:right w:val="none" w:sz="0" w:space="0" w:color="auto"/>
      </w:divBdr>
    </w:div>
    <w:div w:id="781002080">
      <w:bodyDiv w:val="1"/>
      <w:marLeft w:val="0"/>
      <w:marRight w:val="0"/>
      <w:marTop w:val="0"/>
      <w:marBottom w:val="0"/>
      <w:divBdr>
        <w:top w:val="none" w:sz="0" w:space="0" w:color="auto"/>
        <w:left w:val="none" w:sz="0" w:space="0" w:color="auto"/>
        <w:bottom w:val="none" w:sz="0" w:space="0" w:color="auto"/>
        <w:right w:val="none" w:sz="0" w:space="0" w:color="auto"/>
      </w:divBdr>
      <w:divsChild>
        <w:div w:id="2057773598">
          <w:marLeft w:val="0"/>
          <w:marRight w:val="0"/>
          <w:marTop w:val="0"/>
          <w:marBottom w:val="82"/>
          <w:divBdr>
            <w:top w:val="none" w:sz="0" w:space="0" w:color="auto"/>
            <w:left w:val="none" w:sz="0" w:space="0" w:color="auto"/>
            <w:bottom w:val="none" w:sz="0" w:space="0" w:color="auto"/>
            <w:right w:val="none" w:sz="0" w:space="0" w:color="auto"/>
          </w:divBdr>
        </w:div>
        <w:div w:id="1837259677">
          <w:marLeft w:val="0"/>
          <w:marRight w:val="0"/>
          <w:marTop w:val="0"/>
          <w:marBottom w:val="82"/>
          <w:divBdr>
            <w:top w:val="none" w:sz="0" w:space="0" w:color="auto"/>
            <w:left w:val="none" w:sz="0" w:space="0" w:color="auto"/>
            <w:bottom w:val="none" w:sz="0" w:space="0" w:color="auto"/>
            <w:right w:val="none" w:sz="0" w:space="0" w:color="auto"/>
          </w:divBdr>
        </w:div>
        <w:div w:id="1006520419">
          <w:marLeft w:val="0"/>
          <w:marRight w:val="0"/>
          <w:marTop w:val="0"/>
          <w:marBottom w:val="82"/>
          <w:divBdr>
            <w:top w:val="none" w:sz="0" w:space="0" w:color="auto"/>
            <w:left w:val="none" w:sz="0" w:space="0" w:color="auto"/>
            <w:bottom w:val="none" w:sz="0" w:space="0" w:color="auto"/>
            <w:right w:val="none" w:sz="0" w:space="0" w:color="auto"/>
          </w:divBdr>
        </w:div>
      </w:divsChild>
    </w:div>
    <w:div w:id="793475896">
      <w:bodyDiv w:val="1"/>
      <w:marLeft w:val="0"/>
      <w:marRight w:val="0"/>
      <w:marTop w:val="0"/>
      <w:marBottom w:val="0"/>
      <w:divBdr>
        <w:top w:val="none" w:sz="0" w:space="0" w:color="auto"/>
        <w:left w:val="none" w:sz="0" w:space="0" w:color="auto"/>
        <w:bottom w:val="none" w:sz="0" w:space="0" w:color="auto"/>
        <w:right w:val="none" w:sz="0" w:space="0" w:color="auto"/>
      </w:divBdr>
    </w:div>
    <w:div w:id="805857505">
      <w:bodyDiv w:val="1"/>
      <w:marLeft w:val="0"/>
      <w:marRight w:val="0"/>
      <w:marTop w:val="0"/>
      <w:marBottom w:val="0"/>
      <w:divBdr>
        <w:top w:val="none" w:sz="0" w:space="0" w:color="auto"/>
        <w:left w:val="none" w:sz="0" w:space="0" w:color="auto"/>
        <w:bottom w:val="none" w:sz="0" w:space="0" w:color="auto"/>
        <w:right w:val="none" w:sz="0" w:space="0" w:color="auto"/>
      </w:divBdr>
    </w:div>
    <w:div w:id="821695453">
      <w:bodyDiv w:val="1"/>
      <w:marLeft w:val="0"/>
      <w:marRight w:val="0"/>
      <w:marTop w:val="0"/>
      <w:marBottom w:val="0"/>
      <w:divBdr>
        <w:top w:val="none" w:sz="0" w:space="0" w:color="auto"/>
        <w:left w:val="none" w:sz="0" w:space="0" w:color="auto"/>
        <w:bottom w:val="none" w:sz="0" w:space="0" w:color="auto"/>
        <w:right w:val="none" w:sz="0" w:space="0" w:color="auto"/>
      </w:divBdr>
    </w:div>
    <w:div w:id="822813506">
      <w:bodyDiv w:val="1"/>
      <w:marLeft w:val="0"/>
      <w:marRight w:val="0"/>
      <w:marTop w:val="0"/>
      <w:marBottom w:val="0"/>
      <w:divBdr>
        <w:top w:val="none" w:sz="0" w:space="0" w:color="auto"/>
        <w:left w:val="none" w:sz="0" w:space="0" w:color="auto"/>
        <w:bottom w:val="none" w:sz="0" w:space="0" w:color="auto"/>
        <w:right w:val="none" w:sz="0" w:space="0" w:color="auto"/>
      </w:divBdr>
    </w:div>
    <w:div w:id="836960406">
      <w:bodyDiv w:val="1"/>
      <w:marLeft w:val="0"/>
      <w:marRight w:val="0"/>
      <w:marTop w:val="0"/>
      <w:marBottom w:val="0"/>
      <w:divBdr>
        <w:top w:val="none" w:sz="0" w:space="0" w:color="auto"/>
        <w:left w:val="none" w:sz="0" w:space="0" w:color="auto"/>
        <w:bottom w:val="none" w:sz="0" w:space="0" w:color="auto"/>
        <w:right w:val="none" w:sz="0" w:space="0" w:color="auto"/>
      </w:divBdr>
    </w:div>
    <w:div w:id="846791831">
      <w:bodyDiv w:val="1"/>
      <w:marLeft w:val="0"/>
      <w:marRight w:val="0"/>
      <w:marTop w:val="0"/>
      <w:marBottom w:val="0"/>
      <w:divBdr>
        <w:top w:val="none" w:sz="0" w:space="0" w:color="auto"/>
        <w:left w:val="none" w:sz="0" w:space="0" w:color="auto"/>
        <w:bottom w:val="none" w:sz="0" w:space="0" w:color="auto"/>
        <w:right w:val="none" w:sz="0" w:space="0" w:color="auto"/>
      </w:divBdr>
    </w:div>
    <w:div w:id="882256641">
      <w:bodyDiv w:val="1"/>
      <w:marLeft w:val="0"/>
      <w:marRight w:val="0"/>
      <w:marTop w:val="0"/>
      <w:marBottom w:val="0"/>
      <w:divBdr>
        <w:top w:val="none" w:sz="0" w:space="0" w:color="auto"/>
        <w:left w:val="none" w:sz="0" w:space="0" w:color="auto"/>
        <w:bottom w:val="none" w:sz="0" w:space="0" w:color="auto"/>
        <w:right w:val="none" w:sz="0" w:space="0" w:color="auto"/>
      </w:divBdr>
    </w:div>
    <w:div w:id="891038541">
      <w:bodyDiv w:val="1"/>
      <w:marLeft w:val="0"/>
      <w:marRight w:val="0"/>
      <w:marTop w:val="0"/>
      <w:marBottom w:val="0"/>
      <w:divBdr>
        <w:top w:val="none" w:sz="0" w:space="0" w:color="auto"/>
        <w:left w:val="none" w:sz="0" w:space="0" w:color="auto"/>
        <w:bottom w:val="none" w:sz="0" w:space="0" w:color="auto"/>
        <w:right w:val="none" w:sz="0" w:space="0" w:color="auto"/>
      </w:divBdr>
    </w:div>
    <w:div w:id="898132658">
      <w:bodyDiv w:val="1"/>
      <w:marLeft w:val="0"/>
      <w:marRight w:val="0"/>
      <w:marTop w:val="0"/>
      <w:marBottom w:val="0"/>
      <w:divBdr>
        <w:top w:val="none" w:sz="0" w:space="0" w:color="auto"/>
        <w:left w:val="none" w:sz="0" w:space="0" w:color="auto"/>
        <w:bottom w:val="none" w:sz="0" w:space="0" w:color="auto"/>
        <w:right w:val="none" w:sz="0" w:space="0" w:color="auto"/>
      </w:divBdr>
    </w:div>
    <w:div w:id="967665999">
      <w:bodyDiv w:val="1"/>
      <w:marLeft w:val="0"/>
      <w:marRight w:val="0"/>
      <w:marTop w:val="0"/>
      <w:marBottom w:val="0"/>
      <w:divBdr>
        <w:top w:val="none" w:sz="0" w:space="0" w:color="auto"/>
        <w:left w:val="none" w:sz="0" w:space="0" w:color="auto"/>
        <w:bottom w:val="none" w:sz="0" w:space="0" w:color="auto"/>
        <w:right w:val="none" w:sz="0" w:space="0" w:color="auto"/>
      </w:divBdr>
    </w:div>
    <w:div w:id="971718265">
      <w:bodyDiv w:val="1"/>
      <w:marLeft w:val="0"/>
      <w:marRight w:val="0"/>
      <w:marTop w:val="0"/>
      <w:marBottom w:val="0"/>
      <w:divBdr>
        <w:top w:val="none" w:sz="0" w:space="0" w:color="auto"/>
        <w:left w:val="none" w:sz="0" w:space="0" w:color="auto"/>
        <w:bottom w:val="none" w:sz="0" w:space="0" w:color="auto"/>
        <w:right w:val="none" w:sz="0" w:space="0" w:color="auto"/>
      </w:divBdr>
    </w:div>
    <w:div w:id="995570247">
      <w:bodyDiv w:val="1"/>
      <w:marLeft w:val="0"/>
      <w:marRight w:val="0"/>
      <w:marTop w:val="0"/>
      <w:marBottom w:val="0"/>
      <w:divBdr>
        <w:top w:val="none" w:sz="0" w:space="0" w:color="auto"/>
        <w:left w:val="none" w:sz="0" w:space="0" w:color="auto"/>
        <w:bottom w:val="none" w:sz="0" w:space="0" w:color="auto"/>
        <w:right w:val="none" w:sz="0" w:space="0" w:color="auto"/>
      </w:divBdr>
    </w:div>
    <w:div w:id="1006178008">
      <w:bodyDiv w:val="1"/>
      <w:marLeft w:val="0"/>
      <w:marRight w:val="0"/>
      <w:marTop w:val="0"/>
      <w:marBottom w:val="0"/>
      <w:divBdr>
        <w:top w:val="none" w:sz="0" w:space="0" w:color="auto"/>
        <w:left w:val="none" w:sz="0" w:space="0" w:color="auto"/>
        <w:bottom w:val="none" w:sz="0" w:space="0" w:color="auto"/>
        <w:right w:val="none" w:sz="0" w:space="0" w:color="auto"/>
      </w:divBdr>
    </w:div>
    <w:div w:id="1033966617">
      <w:bodyDiv w:val="1"/>
      <w:marLeft w:val="0"/>
      <w:marRight w:val="0"/>
      <w:marTop w:val="0"/>
      <w:marBottom w:val="0"/>
      <w:divBdr>
        <w:top w:val="none" w:sz="0" w:space="0" w:color="auto"/>
        <w:left w:val="none" w:sz="0" w:space="0" w:color="auto"/>
        <w:bottom w:val="none" w:sz="0" w:space="0" w:color="auto"/>
        <w:right w:val="none" w:sz="0" w:space="0" w:color="auto"/>
      </w:divBdr>
    </w:div>
    <w:div w:id="1041395086">
      <w:bodyDiv w:val="1"/>
      <w:marLeft w:val="0"/>
      <w:marRight w:val="0"/>
      <w:marTop w:val="0"/>
      <w:marBottom w:val="0"/>
      <w:divBdr>
        <w:top w:val="none" w:sz="0" w:space="0" w:color="auto"/>
        <w:left w:val="none" w:sz="0" w:space="0" w:color="auto"/>
        <w:bottom w:val="none" w:sz="0" w:space="0" w:color="auto"/>
        <w:right w:val="none" w:sz="0" w:space="0" w:color="auto"/>
      </w:divBdr>
    </w:div>
    <w:div w:id="1048410726">
      <w:bodyDiv w:val="1"/>
      <w:marLeft w:val="0"/>
      <w:marRight w:val="0"/>
      <w:marTop w:val="0"/>
      <w:marBottom w:val="0"/>
      <w:divBdr>
        <w:top w:val="none" w:sz="0" w:space="0" w:color="auto"/>
        <w:left w:val="none" w:sz="0" w:space="0" w:color="auto"/>
        <w:bottom w:val="none" w:sz="0" w:space="0" w:color="auto"/>
        <w:right w:val="none" w:sz="0" w:space="0" w:color="auto"/>
      </w:divBdr>
      <w:divsChild>
        <w:div w:id="1979991036">
          <w:marLeft w:val="0"/>
          <w:marRight w:val="0"/>
          <w:marTop w:val="0"/>
          <w:marBottom w:val="0"/>
          <w:divBdr>
            <w:top w:val="none" w:sz="0" w:space="0" w:color="auto"/>
            <w:left w:val="none" w:sz="0" w:space="0" w:color="auto"/>
            <w:bottom w:val="none" w:sz="0" w:space="0" w:color="auto"/>
            <w:right w:val="none" w:sz="0" w:space="0" w:color="auto"/>
          </w:divBdr>
        </w:div>
      </w:divsChild>
    </w:div>
    <w:div w:id="1051079652">
      <w:bodyDiv w:val="1"/>
      <w:marLeft w:val="0"/>
      <w:marRight w:val="0"/>
      <w:marTop w:val="0"/>
      <w:marBottom w:val="0"/>
      <w:divBdr>
        <w:top w:val="none" w:sz="0" w:space="0" w:color="auto"/>
        <w:left w:val="none" w:sz="0" w:space="0" w:color="auto"/>
        <w:bottom w:val="none" w:sz="0" w:space="0" w:color="auto"/>
        <w:right w:val="none" w:sz="0" w:space="0" w:color="auto"/>
      </w:divBdr>
    </w:div>
    <w:div w:id="1057389729">
      <w:bodyDiv w:val="1"/>
      <w:marLeft w:val="0"/>
      <w:marRight w:val="0"/>
      <w:marTop w:val="0"/>
      <w:marBottom w:val="0"/>
      <w:divBdr>
        <w:top w:val="none" w:sz="0" w:space="0" w:color="auto"/>
        <w:left w:val="none" w:sz="0" w:space="0" w:color="auto"/>
        <w:bottom w:val="none" w:sz="0" w:space="0" w:color="auto"/>
        <w:right w:val="none" w:sz="0" w:space="0" w:color="auto"/>
      </w:divBdr>
    </w:div>
    <w:div w:id="1064066917">
      <w:bodyDiv w:val="1"/>
      <w:marLeft w:val="0"/>
      <w:marRight w:val="0"/>
      <w:marTop w:val="0"/>
      <w:marBottom w:val="0"/>
      <w:divBdr>
        <w:top w:val="none" w:sz="0" w:space="0" w:color="auto"/>
        <w:left w:val="none" w:sz="0" w:space="0" w:color="auto"/>
        <w:bottom w:val="none" w:sz="0" w:space="0" w:color="auto"/>
        <w:right w:val="none" w:sz="0" w:space="0" w:color="auto"/>
      </w:divBdr>
    </w:div>
    <w:div w:id="1066298772">
      <w:bodyDiv w:val="1"/>
      <w:marLeft w:val="0"/>
      <w:marRight w:val="0"/>
      <w:marTop w:val="0"/>
      <w:marBottom w:val="0"/>
      <w:divBdr>
        <w:top w:val="none" w:sz="0" w:space="0" w:color="auto"/>
        <w:left w:val="none" w:sz="0" w:space="0" w:color="auto"/>
        <w:bottom w:val="none" w:sz="0" w:space="0" w:color="auto"/>
        <w:right w:val="none" w:sz="0" w:space="0" w:color="auto"/>
      </w:divBdr>
    </w:div>
    <w:div w:id="1100681983">
      <w:bodyDiv w:val="1"/>
      <w:marLeft w:val="0"/>
      <w:marRight w:val="0"/>
      <w:marTop w:val="0"/>
      <w:marBottom w:val="0"/>
      <w:divBdr>
        <w:top w:val="none" w:sz="0" w:space="0" w:color="auto"/>
        <w:left w:val="none" w:sz="0" w:space="0" w:color="auto"/>
        <w:bottom w:val="none" w:sz="0" w:space="0" w:color="auto"/>
        <w:right w:val="none" w:sz="0" w:space="0" w:color="auto"/>
      </w:divBdr>
    </w:div>
    <w:div w:id="1103839501">
      <w:bodyDiv w:val="1"/>
      <w:marLeft w:val="0"/>
      <w:marRight w:val="0"/>
      <w:marTop w:val="0"/>
      <w:marBottom w:val="0"/>
      <w:divBdr>
        <w:top w:val="none" w:sz="0" w:space="0" w:color="auto"/>
        <w:left w:val="none" w:sz="0" w:space="0" w:color="auto"/>
        <w:bottom w:val="none" w:sz="0" w:space="0" w:color="auto"/>
        <w:right w:val="none" w:sz="0" w:space="0" w:color="auto"/>
      </w:divBdr>
    </w:div>
    <w:div w:id="1105492631">
      <w:bodyDiv w:val="1"/>
      <w:marLeft w:val="0"/>
      <w:marRight w:val="0"/>
      <w:marTop w:val="0"/>
      <w:marBottom w:val="0"/>
      <w:divBdr>
        <w:top w:val="none" w:sz="0" w:space="0" w:color="auto"/>
        <w:left w:val="none" w:sz="0" w:space="0" w:color="auto"/>
        <w:bottom w:val="none" w:sz="0" w:space="0" w:color="auto"/>
        <w:right w:val="none" w:sz="0" w:space="0" w:color="auto"/>
      </w:divBdr>
    </w:div>
    <w:div w:id="1108695413">
      <w:bodyDiv w:val="1"/>
      <w:marLeft w:val="0"/>
      <w:marRight w:val="0"/>
      <w:marTop w:val="0"/>
      <w:marBottom w:val="0"/>
      <w:divBdr>
        <w:top w:val="none" w:sz="0" w:space="0" w:color="auto"/>
        <w:left w:val="none" w:sz="0" w:space="0" w:color="auto"/>
        <w:bottom w:val="none" w:sz="0" w:space="0" w:color="auto"/>
        <w:right w:val="none" w:sz="0" w:space="0" w:color="auto"/>
      </w:divBdr>
    </w:div>
    <w:div w:id="1113750838">
      <w:bodyDiv w:val="1"/>
      <w:marLeft w:val="0"/>
      <w:marRight w:val="0"/>
      <w:marTop w:val="0"/>
      <w:marBottom w:val="0"/>
      <w:divBdr>
        <w:top w:val="none" w:sz="0" w:space="0" w:color="auto"/>
        <w:left w:val="none" w:sz="0" w:space="0" w:color="auto"/>
        <w:bottom w:val="none" w:sz="0" w:space="0" w:color="auto"/>
        <w:right w:val="none" w:sz="0" w:space="0" w:color="auto"/>
      </w:divBdr>
    </w:div>
    <w:div w:id="1120687603">
      <w:bodyDiv w:val="1"/>
      <w:marLeft w:val="0"/>
      <w:marRight w:val="0"/>
      <w:marTop w:val="0"/>
      <w:marBottom w:val="0"/>
      <w:divBdr>
        <w:top w:val="none" w:sz="0" w:space="0" w:color="auto"/>
        <w:left w:val="none" w:sz="0" w:space="0" w:color="auto"/>
        <w:bottom w:val="none" w:sz="0" w:space="0" w:color="auto"/>
        <w:right w:val="none" w:sz="0" w:space="0" w:color="auto"/>
      </w:divBdr>
    </w:div>
    <w:div w:id="1127508920">
      <w:bodyDiv w:val="1"/>
      <w:marLeft w:val="0"/>
      <w:marRight w:val="0"/>
      <w:marTop w:val="0"/>
      <w:marBottom w:val="0"/>
      <w:divBdr>
        <w:top w:val="none" w:sz="0" w:space="0" w:color="auto"/>
        <w:left w:val="none" w:sz="0" w:space="0" w:color="auto"/>
        <w:bottom w:val="none" w:sz="0" w:space="0" w:color="auto"/>
        <w:right w:val="none" w:sz="0" w:space="0" w:color="auto"/>
      </w:divBdr>
    </w:div>
    <w:div w:id="1130855729">
      <w:bodyDiv w:val="1"/>
      <w:marLeft w:val="0"/>
      <w:marRight w:val="0"/>
      <w:marTop w:val="0"/>
      <w:marBottom w:val="0"/>
      <w:divBdr>
        <w:top w:val="none" w:sz="0" w:space="0" w:color="auto"/>
        <w:left w:val="none" w:sz="0" w:space="0" w:color="auto"/>
        <w:bottom w:val="none" w:sz="0" w:space="0" w:color="auto"/>
        <w:right w:val="none" w:sz="0" w:space="0" w:color="auto"/>
      </w:divBdr>
    </w:div>
    <w:div w:id="1149857459">
      <w:bodyDiv w:val="1"/>
      <w:marLeft w:val="0"/>
      <w:marRight w:val="0"/>
      <w:marTop w:val="0"/>
      <w:marBottom w:val="0"/>
      <w:divBdr>
        <w:top w:val="none" w:sz="0" w:space="0" w:color="auto"/>
        <w:left w:val="none" w:sz="0" w:space="0" w:color="auto"/>
        <w:bottom w:val="none" w:sz="0" w:space="0" w:color="auto"/>
        <w:right w:val="none" w:sz="0" w:space="0" w:color="auto"/>
      </w:divBdr>
    </w:div>
    <w:div w:id="1172600720">
      <w:bodyDiv w:val="1"/>
      <w:marLeft w:val="0"/>
      <w:marRight w:val="0"/>
      <w:marTop w:val="0"/>
      <w:marBottom w:val="0"/>
      <w:divBdr>
        <w:top w:val="none" w:sz="0" w:space="0" w:color="auto"/>
        <w:left w:val="none" w:sz="0" w:space="0" w:color="auto"/>
        <w:bottom w:val="none" w:sz="0" w:space="0" w:color="auto"/>
        <w:right w:val="none" w:sz="0" w:space="0" w:color="auto"/>
      </w:divBdr>
    </w:div>
    <w:div w:id="1181745903">
      <w:bodyDiv w:val="1"/>
      <w:marLeft w:val="0"/>
      <w:marRight w:val="0"/>
      <w:marTop w:val="0"/>
      <w:marBottom w:val="0"/>
      <w:divBdr>
        <w:top w:val="none" w:sz="0" w:space="0" w:color="auto"/>
        <w:left w:val="none" w:sz="0" w:space="0" w:color="auto"/>
        <w:bottom w:val="none" w:sz="0" w:space="0" w:color="auto"/>
        <w:right w:val="none" w:sz="0" w:space="0" w:color="auto"/>
      </w:divBdr>
    </w:div>
    <w:div w:id="1192182570">
      <w:bodyDiv w:val="1"/>
      <w:marLeft w:val="0"/>
      <w:marRight w:val="0"/>
      <w:marTop w:val="0"/>
      <w:marBottom w:val="0"/>
      <w:divBdr>
        <w:top w:val="none" w:sz="0" w:space="0" w:color="auto"/>
        <w:left w:val="none" w:sz="0" w:space="0" w:color="auto"/>
        <w:bottom w:val="none" w:sz="0" w:space="0" w:color="auto"/>
        <w:right w:val="none" w:sz="0" w:space="0" w:color="auto"/>
      </w:divBdr>
    </w:div>
    <w:div w:id="1196428752">
      <w:bodyDiv w:val="1"/>
      <w:marLeft w:val="0"/>
      <w:marRight w:val="0"/>
      <w:marTop w:val="0"/>
      <w:marBottom w:val="0"/>
      <w:divBdr>
        <w:top w:val="none" w:sz="0" w:space="0" w:color="auto"/>
        <w:left w:val="none" w:sz="0" w:space="0" w:color="auto"/>
        <w:bottom w:val="none" w:sz="0" w:space="0" w:color="auto"/>
        <w:right w:val="none" w:sz="0" w:space="0" w:color="auto"/>
      </w:divBdr>
    </w:div>
    <w:div w:id="1204559646">
      <w:bodyDiv w:val="1"/>
      <w:marLeft w:val="0"/>
      <w:marRight w:val="0"/>
      <w:marTop w:val="0"/>
      <w:marBottom w:val="0"/>
      <w:divBdr>
        <w:top w:val="none" w:sz="0" w:space="0" w:color="auto"/>
        <w:left w:val="none" w:sz="0" w:space="0" w:color="auto"/>
        <w:bottom w:val="none" w:sz="0" w:space="0" w:color="auto"/>
        <w:right w:val="none" w:sz="0" w:space="0" w:color="auto"/>
      </w:divBdr>
    </w:div>
    <w:div w:id="1230186640">
      <w:bodyDiv w:val="1"/>
      <w:marLeft w:val="0"/>
      <w:marRight w:val="0"/>
      <w:marTop w:val="0"/>
      <w:marBottom w:val="0"/>
      <w:divBdr>
        <w:top w:val="none" w:sz="0" w:space="0" w:color="auto"/>
        <w:left w:val="none" w:sz="0" w:space="0" w:color="auto"/>
        <w:bottom w:val="none" w:sz="0" w:space="0" w:color="auto"/>
        <w:right w:val="none" w:sz="0" w:space="0" w:color="auto"/>
      </w:divBdr>
    </w:div>
    <w:div w:id="1232079861">
      <w:bodyDiv w:val="1"/>
      <w:marLeft w:val="0"/>
      <w:marRight w:val="0"/>
      <w:marTop w:val="0"/>
      <w:marBottom w:val="0"/>
      <w:divBdr>
        <w:top w:val="none" w:sz="0" w:space="0" w:color="auto"/>
        <w:left w:val="none" w:sz="0" w:space="0" w:color="auto"/>
        <w:bottom w:val="none" w:sz="0" w:space="0" w:color="auto"/>
        <w:right w:val="none" w:sz="0" w:space="0" w:color="auto"/>
      </w:divBdr>
    </w:div>
    <w:div w:id="1236352625">
      <w:bodyDiv w:val="1"/>
      <w:marLeft w:val="0"/>
      <w:marRight w:val="0"/>
      <w:marTop w:val="0"/>
      <w:marBottom w:val="0"/>
      <w:divBdr>
        <w:top w:val="none" w:sz="0" w:space="0" w:color="auto"/>
        <w:left w:val="none" w:sz="0" w:space="0" w:color="auto"/>
        <w:bottom w:val="none" w:sz="0" w:space="0" w:color="auto"/>
        <w:right w:val="none" w:sz="0" w:space="0" w:color="auto"/>
      </w:divBdr>
    </w:div>
    <w:div w:id="1246770568">
      <w:bodyDiv w:val="1"/>
      <w:marLeft w:val="0"/>
      <w:marRight w:val="0"/>
      <w:marTop w:val="0"/>
      <w:marBottom w:val="0"/>
      <w:divBdr>
        <w:top w:val="none" w:sz="0" w:space="0" w:color="auto"/>
        <w:left w:val="none" w:sz="0" w:space="0" w:color="auto"/>
        <w:bottom w:val="none" w:sz="0" w:space="0" w:color="auto"/>
        <w:right w:val="none" w:sz="0" w:space="0" w:color="auto"/>
      </w:divBdr>
    </w:div>
    <w:div w:id="1275363284">
      <w:bodyDiv w:val="1"/>
      <w:marLeft w:val="0"/>
      <w:marRight w:val="0"/>
      <w:marTop w:val="0"/>
      <w:marBottom w:val="0"/>
      <w:divBdr>
        <w:top w:val="none" w:sz="0" w:space="0" w:color="auto"/>
        <w:left w:val="none" w:sz="0" w:space="0" w:color="auto"/>
        <w:bottom w:val="none" w:sz="0" w:space="0" w:color="auto"/>
        <w:right w:val="none" w:sz="0" w:space="0" w:color="auto"/>
      </w:divBdr>
    </w:div>
    <w:div w:id="1278217174">
      <w:bodyDiv w:val="1"/>
      <w:marLeft w:val="0"/>
      <w:marRight w:val="0"/>
      <w:marTop w:val="0"/>
      <w:marBottom w:val="0"/>
      <w:divBdr>
        <w:top w:val="none" w:sz="0" w:space="0" w:color="auto"/>
        <w:left w:val="none" w:sz="0" w:space="0" w:color="auto"/>
        <w:bottom w:val="none" w:sz="0" w:space="0" w:color="auto"/>
        <w:right w:val="none" w:sz="0" w:space="0" w:color="auto"/>
      </w:divBdr>
    </w:div>
    <w:div w:id="1281764780">
      <w:bodyDiv w:val="1"/>
      <w:marLeft w:val="0"/>
      <w:marRight w:val="0"/>
      <w:marTop w:val="0"/>
      <w:marBottom w:val="0"/>
      <w:divBdr>
        <w:top w:val="none" w:sz="0" w:space="0" w:color="auto"/>
        <w:left w:val="none" w:sz="0" w:space="0" w:color="auto"/>
        <w:bottom w:val="none" w:sz="0" w:space="0" w:color="auto"/>
        <w:right w:val="none" w:sz="0" w:space="0" w:color="auto"/>
      </w:divBdr>
    </w:div>
    <w:div w:id="1295597826">
      <w:bodyDiv w:val="1"/>
      <w:marLeft w:val="0"/>
      <w:marRight w:val="0"/>
      <w:marTop w:val="0"/>
      <w:marBottom w:val="0"/>
      <w:divBdr>
        <w:top w:val="none" w:sz="0" w:space="0" w:color="auto"/>
        <w:left w:val="none" w:sz="0" w:space="0" w:color="auto"/>
        <w:bottom w:val="none" w:sz="0" w:space="0" w:color="auto"/>
        <w:right w:val="none" w:sz="0" w:space="0" w:color="auto"/>
      </w:divBdr>
    </w:div>
    <w:div w:id="1300763708">
      <w:bodyDiv w:val="1"/>
      <w:marLeft w:val="0"/>
      <w:marRight w:val="0"/>
      <w:marTop w:val="0"/>
      <w:marBottom w:val="0"/>
      <w:divBdr>
        <w:top w:val="none" w:sz="0" w:space="0" w:color="auto"/>
        <w:left w:val="none" w:sz="0" w:space="0" w:color="auto"/>
        <w:bottom w:val="none" w:sz="0" w:space="0" w:color="auto"/>
        <w:right w:val="none" w:sz="0" w:space="0" w:color="auto"/>
      </w:divBdr>
      <w:divsChild>
        <w:div w:id="1492062123">
          <w:marLeft w:val="0"/>
          <w:marRight w:val="0"/>
          <w:marTop w:val="0"/>
          <w:marBottom w:val="0"/>
          <w:divBdr>
            <w:top w:val="none" w:sz="0" w:space="0" w:color="auto"/>
            <w:left w:val="none" w:sz="0" w:space="0" w:color="auto"/>
            <w:bottom w:val="none" w:sz="0" w:space="0" w:color="auto"/>
            <w:right w:val="none" w:sz="0" w:space="0" w:color="auto"/>
          </w:divBdr>
        </w:div>
      </w:divsChild>
    </w:div>
    <w:div w:id="1313289894">
      <w:bodyDiv w:val="1"/>
      <w:marLeft w:val="0"/>
      <w:marRight w:val="0"/>
      <w:marTop w:val="0"/>
      <w:marBottom w:val="0"/>
      <w:divBdr>
        <w:top w:val="none" w:sz="0" w:space="0" w:color="auto"/>
        <w:left w:val="none" w:sz="0" w:space="0" w:color="auto"/>
        <w:bottom w:val="none" w:sz="0" w:space="0" w:color="auto"/>
        <w:right w:val="none" w:sz="0" w:space="0" w:color="auto"/>
      </w:divBdr>
    </w:div>
    <w:div w:id="1340159527">
      <w:bodyDiv w:val="1"/>
      <w:marLeft w:val="0"/>
      <w:marRight w:val="0"/>
      <w:marTop w:val="0"/>
      <w:marBottom w:val="0"/>
      <w:divBdr>
        <w:top w:val="none" w:sz="0" w:space="0" w:color="auto"/>
        <w:left w:val="none" w:sz="0" w:space="0" w:color="auto"/>
        <w:bottom w:val="none" w:sz="0" w:space="0" w:color="auto"/>
        <w:right w:val="none" w:sz="0" w:space="0" w:color="auto"/>
      </w:divBdr>
    </w:div>
    <w:div w:id="1349991246">
      <w:bodyDiv w:val="1"/>
      <w:marLeft w:val="0"/>
      <w:marRight w:val="0"/>
      <w:marTop w:val="0"/>
      <w:marBottom w:val="0"/>
      <w:divBdr>
        <w:top w:val="none" w:sz="0" w:space="0" w:color="auto"/>
        <w:left w:val="none" w:sz="0" w:space="0" w:color="auto"/>
        <w:bottom w:val="none" w:sz="0" w:space="0" w:color="auto"/>
        <w:right w:val="none" w:sz="0" w:space="0" w:color="auto"/>
      </w:divBdr>
    </w:div>
    <w:div w:id="1358315837">
      <w:bodyDiv w:val="1"/>
      <w:marLeft w:val="0"/>
      <w:marRight w:val="0"/>
      <w:marTop w:val="0"/>
      <w:marBottom w:val="0"/>
      <w:divBdr>
        <w:top w:val="none" w:sz="0" w:space="0" w:color="auto"/>
        <w:left w:val="none" w:sz="0" w:space="0" w:color="auto"/>
        <w:bottom w:val="none" w:sz="0" w:space="0" w:color="auto"/>
        <w:right w:val="none" w:sz="0" w:space="0" w:color="auto"/>
      </w:divBdr>
    </w:div>
    <w:div w:id="1365205606">
      <w:bodyDiv w:val="1"/>
      <w:marLeft w:val="0"/>
      <w:marRight w:val="0"/>
      <w:marTop w:val="0"/>
      <w:marBottom w:val="0"/>
      <w:divBdr>
        <w:top w:val="none" w:sz="0" w:space="0" w:color="auto"/>
        <w:left w:val="none" w:sz="0" w:space="0" w:color="auto"/>
        <w:bottom w:val="none" w:sz="0" w:space="0" w:color="auto"/>
        <w:right w:val="none" w:sz="0" w:space="0" w:color="auto"/>
      </w:divBdr>
    </w:div>
    <w:div w:id="1369984909">
      <w:bodyDiv w:val="1"/>
      <w:marLeft w:val="0"/>
      <w:marRight w:val="0"/>
      <w:marTop w:val="0"/>
      <w:marBottom w:val="0"/>
      <w:divBdr>
        <w:top w:val="none" w:sz="0" w:space="0" w:color="auto"/>
        <w:left w:val="none" w:sz="0" w:space="0" w:color="auto"/>
        <w:bottom w:val="none" w:sz="0" w:space="0" w:color="auto"/>
        <w:right w:val="none" w:sz="0" w:space="0" w:color="auto"/>
      </w:divBdr>
    </w:div>
    <w:div w:id="1379403529">
      <w:bodyDiv w:val="1"/>
      <w:marLeft w:val="0"/>
      <w:marRight w:val="0"/>
      <w:marTop w:val="0"/>
      <w:marBottom w:val="0"/>
      <w:divBdr>
        <w:top w:val="none" w:sz="0" w:space="0" w:color="auto"/>
        <w:left w:val="none" w:sz="0" w:space="0" w:color="auto"/>
        <w:bottom w:val="none" w:sz="0" w:space="0" w:color="auto"/>
        <w:right w:val="none" w:sz="0" w:space="0" w:color="auto"/>
      </w:divBdr>
    </w:div>
    <w:div w:id="1386638943">
      <w:bodyDiv w:val="1"/>
      <w:marLeft w:val="0"/>
      <w:marRight w:val="0"/>
      <w:marTop w:val="0"/>
      <w:marBottom w:val="0"/>
      <w:divBdr>
        <w:top w:val="none" w:sz="0" w:space="0" w:color="auto"/>
        <w:left w:val="none" w:sz="0" w:space="0" w:color="auto"/>
        <w:bottom w:val="none" w:sz="0" w:space="0" w:color="auto"/>
        <w:right w:val="none" w:sz="0" w:space="0" w:color="auto"/>
      </w:divBdr>
    </w:div>
    <w:div w:id="1390113905">
      <w:bodyDiv w:val="1"/>
      <w:marLeft w:val="0"/>
      <w:marRight w:val="0"/>
      <w:marTop w:val="0"/>
      <w:marBottom w:val="0"/>
      <w:divBdr>
        <w:top w:val="none" w:sz="0" w:space="0" w:color="auto"/>
        <w:left w:val="none" w:sz="0" w:space="0" w:color="auto"/>
        <w:bottom w:val="none" w:sz="0" w:space="0" w:color="auto"/>
        <w:right w:val="none" w:sz="0" w:space="0" w:color="auto"/>
      </w:divBdr>
    </w:div>
    <w:div w:id="1397778221">
      <w:bodyDiv w:val="1"/>
      <w:marLeft w:val="0"/>
      <w:marRight w:val="0"/>
      <w:marTop w:val="0"/>
      <w:marBottom w:val="0"/>
      <w:divBdr>
        <w:top w:val="none" w:sz="0" w:space="0" w:color="auto"/>
        <w:left w:val="none" w:sz="0" w:space="0" w:color="auto"/>
        <w:bottom w:val="none" w:sz="0" w:space="0" w:color="auto"/>
        <w:right w:val="none" w:sz="0" w:space="0" w:color="auto"/>
      </w:divBdr>
    </w:div>
    <w:div w:id="1399093868">
      <w:bodyDiv w:val="1"/>
      <w:marLeft w:val="0"/>
      <w:marRight w:val="0"/>
      <w:marTop w:val="0"/>
      <w:marBottom w:val="0"/>
      <w:divBdr>
        <w:top w:val="none" w:sz="0" w:space="0" w:color="auto"/>
        <w:left w:val="none" w:sz="0" w:space="0" w:color="auto"/>
        <w:bottom w:val="none" w:sz="0" w:space="0" w:color="auto"/>
        <w:right w:val="none" w:sz="0" w:space="0" w:color="auto"/>
      </w:divBdr>
    </w:div>
    <w:div w:id="1439526493">
      <w:bodyDiv w:val="1"/>
      <w:marLeft w:val="0"/>
      <w:marRight w:val="0"/>
      <w:marTop w:val="0"/>
      <w:marBottom w:val="0"/>
      <w:divBdr>
        <w:top w:val="none" w:sz="0" w:space="0" w:color="auto"/>
        <w:left w:val="none" w:sz="0" w:space="0" w:color="auto"/>
        <w:bottom w:val="none" w:sz="0" w:space="0" w:color="auto"/>
        <w:right w:val="none" w:sz="0" w:space="0" w:color="auto"/>
      </w:divBdr>
    </w:div>
    <w:div w:id="1441608862">
      <w:bodyDiv w:val="1"/>
      <w:marLeft w:val="0"/>
      <w:marRight w:val="0"/>
      <w:marTop w:val="0"/>
      <w:marBottom w:val="0"/>
      <w:divBdr>
        <w:top w:val="none" w:sz="0" w:space="0" w:color="auto"/>
        <w:left w:val="none" w:sz="0" w:space="0" w:color="auto"/>
        <w:bottom w:val="none" w:sz="0" w:space="0" w:color="auto"/>
        <w:right w:val="none" w:sz="0" w:space="0" w:color="auto"/>
      </w:divBdr>
    </w:div>
    <w:div w:id="1451128548">
      <w:bodyDiv w:val="1"/>
      <w:marLeft w:val="0"/>
      <w:marRight w:val="0"/>
      <w:marTop w:val="0"/>
      <w:marBottom w:val="0"/>
      <w:divBdr>
        <w:top w:val="none" w:sz="0" w:space="0" w:color="auto"/>
        <w:left w:val="none" w:sz="0" w:space="0" w:color="auto"/>
        <w:bottom w:val="none" w:sz="0" w:space="0" w:color="auto"/>
        <w:right w:val="none" w:sz="0" w:space="0" w:color="auto"/>
      </w:divBdr>
    </w:div>
    <w:div w:id="1462961040">
      <w:bodyDiv w:val="1"/>
      <w:marLeft w:val="0"/>
      <w:marRight w:val="0"/>
      <w:marTop w:val="0"/>
      <w:marBottom w:val="0"/>
      <w:divBdr>
        <w:top w:val="none" w:sz="0" w:space="0" w:color="auto"/>
        <w:left w:val="none" w:sz="0" w:space="0" w:color="auto"/>
        <w:bottom w:val="none" w:sz="0" w:space="0" w:color="auto"/>
        <w:right w:val="none" w:sz="0" w:space="0" w:color="auto"/>
      </w:divBdr>
    </w:div>
    <w:div w:id="1471633634">
      <w:bodyDiv w:val="1"/>
      <w:marLeft w:val="0"/>
      <w:marRight w:val="0"/>
      <w:marTop w:val="0"/>
      <w:marBottom w:val="0"/>
      <w:divBdr>
        <w:top w:val="none" w:sz="0" w:space="0" w:color="auto"/>
        <w:left w:val="none" w:sz="0" w:space="0" w:color="auto"/>
        <w:bottom w:val="none" w:sz="0" w:space="0" w:color="auto"/>
        <w:right w:val="none" w:sz="0" w:space="0" w:color="auto"/>
      </w:divBdr>
    </w:div>
    <w:div w:id="1483305739">
      <w:bodyDiv w:val="1"/>
      <w:marLeft w:val="0"/>
      <w:marRight w:val="0"/>
      <w:marTop w:val="0"/>
      <w:marBottom w:val="0"/>
      <w:divBdr>
        <w:top w:val="none" w:sz="0" w:space="0" w:color="auto"/>
        <w:left w:val="none" w:sz="0" w:space="0" w:color="auto"/>
        <w:bottom w:val="none" w:sz="0" w:space="0" w:color="auto"/>
        <w:right w:val="none" w:sz="0" w:space="0" w:color="auto"/>
      </w:divBdr>
    </w:div>
    <w:div w:id="1488665294">
      <w:bodyDiv w:val="1"/>
      <w:marLeft w:val="0"/>
      <w:marRight w:val="0"/>
      <w:marTop w:val="0"/>
      <w:marBottom w:val="0"/>
      <w:divBdr>
        <w:top w:val="none" w:sz="0" w:space="0" w:color="auto"/>
        <w:left w:val="none" w:sz="0" w:space="0" w:color="auto"/>
        <w:bottom w:val="none" w:sz="0" w:space="0" w:color="auto"/>
        <w:right w:val="none" w:sz="0" w:space="0" w:color="auto"/>
      </w:divBdr>
    </w:div>
    <w:div w:id="1490902426">
      <w:bodyDiv w:val="1"/>
      <w:marLeft w:val="0"/>
      <w:marRight w:val="0"/>
      <w:marTop w:val="0"/>
      <w:marBottom w:val="0"/>
      <w:divBdr>
        <w:top w:val="none" w:sz="0" w:space="0" w:color="auto"/>
        <w:left w:val="none" w:sz="0" w:space="0" w:color="auto"/>
        <w:bottom w:val="none" w:sz="0" w:space="0" w:color="auto"/>
        <w:right w:val="none" w:sz="0" w:space="0" w:color="auto"/>
      </w:divBdr>
    </w:div>
    <w:div w:id="1491293753">
      <w:bodyDiv w:val="1"/>
      <w:marLeft w:val="0"/>
      <w:marRight w:val="0"/>
      <w:marTop w:val="0"/>
      <w:marBottom w:val="0"/>
      <w:divBdr>
        <w:top w:val="none" w:sz="0" w:space="0" w:color="auto"/>
        <w:left w:val="none" w:sz="0" w:space="0" w:color="auto"/>
        <w:bottom w:val="none" w:sz="0" w:space="0" w:color="auto"/>
        <w:right w:val="none" w:sz="0" w:space="0" w:color="auto"/>
      </w:divBdr>
    </w:div>
    <w:div w:id="1491867372">
      <w:bodyDiv w:val="1"/>
      <w:marLeft w:val="0"/>
      <w:marRight w:val="0"/>
      <w:marTop w:val="0"/>
      <w:marBottom w:val="0"/>
      <w:divBdr>
        <w:top w:val="none" w:sz="0" w:space="0" w:color="auto"/>
        <w:left w:val="none" w:sz="0" w:space="0" w:color="auto"/>
        <w:bottom w:val="none" w:sz="0" w:space="0" w:color="auto"/>
        <w:right w:val="none" w:sz="0" w:space="0" w:color="auto"/>
      </w:divBdr>
    </w:div>
    <w:div w:id="1498573636">
      <w:bodyDiv w:val="1"/>
      <w:marLeft w:val="0"/>
      <w:marRight w:val="0"/>
      <w:marTop w:val="0"/>
      <w:marBottom w:val="0"/>
      <w:divBdr>
        <w:top w:val="none" w:sz="0" w:space="0" w:color="auto"/>
        <w:left w:val="none" w:sz="0" w:space="0" w:color="auto"/>
        <w:bottom w:val="none" w:sz="0" w:space="0" w:color="auto"/>
        <w:right w:val="none" w:sz="0" w:space="0" w:color="auto"/>
      </w:divBdr>
    </w:div>
    <w:div w:id="1501003471">
      <w:bodyDiv w:val="1"/>
      <w:marLeft w:val="0"/>
      <w:marRight w:val="0"/>
      <w:marTop w:val="0"/>
      <w:marBottom w:val="0"/>
      <w:divBdr>
        <w:top w:val="none" w:sz="0" w:space="0" w:color="auto"/>
        <w:left w:val="none" w:sz="0" w:space="0" w:color="auto"/>
        <w:bottom w:val="none" w:sz="0" w:space="0" w:color="auto"/>
        <w:right w:val="none" w:sz="0" w:space="0" w:color="auto"/>
      </w:divBdr>
    </w:div>
    <w:div w:id="1525826027">
      <w:bodyDiv w:val="1"/>
      <w:marLeft w:val="0"/>
      <w:marRight w:val="0"/>
      <w:marTop w:val="0"/>
      <w:marBottom w:val="0"/>
      <w:divBdr>
        <w:top w:val="none" w:sz="0" w:space="0" w:color="auto"/>
        <w:left w:val="none" w:sz="0" w:space="0" w:color="auto"/>
        <w:bottom w:val="none" w:sz="0" w:space="0" w:color="auto"/>
        <w:right w:val="none" w:sz="0" w:space="0" w:color="auto"/>
      </w:divBdr>
    </w:div>
    <w:div w:id="1530145323">
      <w:bodyDiv w:val="1"/>
      <w:marLeft w:val="0"/>
      <w:marRight w:val="0"/>
      <w:marTop w:val="0"/>
      <w:marBottom w:val="0"/>
      <w:divBdr>
        <w:top w:val="none" w:sz="0" w:space="0" w:color="auto"/>
        <w:left w:val="none" w:sz="0" w:space="0" w:color="auto"/>
        <w:bottom w:val="none" w:sz="0" w:space="0" w:color="auto"/>
        <w:right w:val="none" w:sz="0" w:space="0" w:color="auto"/>
      </w:divBdr>
    </w:div>
    <w:div w:id="1544051412">
      <w:bodyDiv w:val="1"/>
      <w:marLeft w:val="0"/>
      <w:marRight w:val="0"/>
      <w:marTop w:val="0"/>
      <w:marBottom w:val="0"/>
      <w:divBdr>
        <w:top w:val="none" w:sz="0" w:space="0" w:color="auto"/>
        <w:left w:val="none" w:sz="0" w:space="0" w:color="auto"/>
        <w:bottom w:val="none" w:sz="0" w:space="0" w:color="auto"/>
        <w:right w:val="none" w:sz="0" w:space="0" w:color="auto"/>
      </w:divBdr>
    </w:div>
    <w:div w:id="1545675350">
      <w:bodyDiv w:val="1"/>
      <w:marLeft w:val="0"/>
      <w:marRight w:val="0"/>
      <w:marTop w:val="0"/>
      <w:marBottom w:val="0"/>
      <w:divBdr>
        <w:top w:val="none" w:sz="0" w:space="0" w:color="auto"/>
        <w:left w:val="none" w:sz="0" w:space="0" w:color="auto"/>
        <w:bottom w:val="none" w:sz="0" w:space="0" w:color="auto"/>
        <w:right w:val="none" w:sz="0" w:space="0" w:color="auto"/>
      </w:divBdr>
    </w:div>
    <w:div w:id="1545942265">
      <w:bodyDiv w:val="1"/>
      <w:marLeft w:val="0"/>
      <w:marRight w:val="0"/>
      <w:marTop w:val="0"/>
      <w:marBottom w:val="0"/>
      <w:divBdr>
        <w:top w:val="none" w:sz="0" w:space="0" w:color="auto"/>
        <w:left w:val="none" w:sz="0" w:space="0" w:color="auto"/>
        <w:bottom w:val="none" w:sz="0" w:space="0" w:color="auto"/>
        <w:right w:val="none" w:sz="0" w:space="0" w:color="auto"/>
      </w:divBdr>
    </w:div>
    <w:div w:id="1552040631">
      <w:bodyDiv w:val="1"/>
      <w:marLeft w:val="0"/>
      <w:marRight w:val="0"/>
      <w:marTop w:val="0"/>
      <w:marBottom w:val="0"/>
      <w:divBdr>
        <w:top w:val="none" w:sz="0" w:space="0" w:color="auto"/>
        <w:left w:val="none" w:sz="0" w:space="0" w:color="auto"/>
        <w:bottom w:val="none" w:sz="0" w:space="0" w:color="auto"/>
        <w:right w:val="none" w:sz="0" w:space="0" w:color="auto"/>
      </w:divBdr>
    </w:div>
    <w:div w:id="1558513674">
      <w:bodyDiv w:val="1"/>
      <w:marLeft w:val="0"/>
      <w:marRight w:val="0"/>
      <w:marTop w:val="0"/>
      <w:marBottom w:val="0"/>
      <w:divBdr>
        <w:top w:val="none" w:sz="0" w:space="0" w:color="auto"/>
        <w:left w:val="none" w:sz="0" w:space="0" w:color="auto"/>
        <w:bottom w:val="none" w:sz="0" w:space="0" w:color="auto"/>
        <w:right w:val="none" w:sz="0" w:space="0" w:color="auto"/>
      </w:divBdr>
    </w:div>
    <w:div w:id="1575235150">
      <w:bodyDiv w:val="1"/>
      <w:marLeft w:val="0"/>
      <w:marRight w:val="0"/>
      <w:marTop w:val="0"/>
      <w:marBottom w:val="0"/>
      <w:divBdr>
        <w:top w:val="none" w:sz="0" w:space="0" w:color="auto"/>
        <w:left w:val="none" w:sz="0" w:space="0" w:color="auto"/>
        <w:bottom w:val="none" w:sz="0" w:space="0" w:color="auto"/>
        <w:right w:val="none" w:sz="0" w:space="0" w:color="auto"/>
      </w:divBdr>
    </w:div>
    <w:div w:id="1579440544">
      <w:bodyDiv w:val="1"/>
      <w:marLeft w:val="0"/>
      <w:marRight w:val="0"/>
      <w:marTop w:val="0"/>
      <w:marBottom w:val="0"/>
      <w:divBdr>
        <w:top w:val="none" w:sz="0" w:space="0" w:color="auto"/>
        <w:left w:val="none" w:sz="0" w:space="0" w:color="auto"/>
        <w:bottom w:val="none" w:sz="0" w:space="0" w:color="auto"/>
        <w:right w:val="none" w:sz="0" w:space="0" w:color="auto"/>
      </w:divBdr>
    </w:div>
    <w:div w:id="1580401747">
      <w:bodyDiv w:val="1"/>
      <w:marLeft w:val="0"/>
      <w:marRight w:val="0"/>
      <w:marTop w:val="0"/>
      <w:marBottom w:val="0"/>
      <w:divBdr>
        <w:top w:val="none" w:sz="0" w:space="0" w:color="auto"/>
        <w:left w:val="none" w:sz="0" w:space="0" w:color="auto"/>
        <w:bottom w:val="none" w:sz="0" w:space="0" w:color="auto"/>
        <w:right w:val="none" w:sz="0" w:space="0" w:color="auto"/>
      </w:divBdr>
    </w:div>
    <w:div w:id="1596403438">
      <w:bodyDiv w:val="1"/>
      <w:marLeft w:val="0"/>
      <w:marRight w:val="0"/>
      <w:marTop w:val="0"/>
      <w:marBottom w:val="0"/>
      <w:divBdr>
        <w:top w:val="none" w:sz="0" w:space="0" w:color="auto"/>
        <w:left w:val="none" w:sz="0" w:space="0" w:color="auto"/>
        <w:bottom w:val="none" w:sz="0" w:space="0" w:color="auto"/>
        <w:right w:val="none" w:sz="0" w:space="0" w:color="auto"/>
      </w:divBdr>
    </w:div>
    <w:div w:id="1597860267">
      <w:bodyDiv w:val="1"/>
      <w:marLeft w:val="0"/>
      <w:marRight w:val="0"/>
      <w:marTop w:val="0"/>
      <w:marBottom w:val="0"/>
      <w:divBdr>
        <w:top w:val="none" w:sz="0" w:space="0" w:color="auto"/>
        <w:left w:val="none" w:sz="0" w:space="0" w:color="auto"/>
        <w:bottom w:val="none" w:sz="0" w:space="0" w:color="auto"/>
        <w:right w:val="none" w:sz="0" w:space="0" w:color="auto"/>
      </w:divBdr>
    </w:div>
    <w:div w:id="1600259596">
      <w:bodyDiv w:val="1"/>
      <w:marLeft w:val="0"/>
      <w:marRight w:val="0"/>
      <w:marTop w:val="0"/>
      <w:marBottom w:val="0"/>
      <w:divBdr>
        <w:top w:val="none" w:sz="0" w:space="0" w:color="auto"/>
        <w:left w:val="none" w:sz="0" w:space="0" w:color="auto"/>
        <w:bottom w:val="none" w:sz="0" w:space="0" w:color="auto"/>
        <w:right w:val="none" w:sz="0" w:space="0" w:color="auto"/>
      </w:divBdr>
    </w:div>
    <w:div w:id="1607272135">
      <w:bodyDiv w:val="1"/>
      <w:marLeft w:val="0"/>
      <w:marRight w:val="0"/>
      <w:marTop w:val="0"/>
      <w:marBottom w:val="0"/>
      <w:divBdr>
        <w:top w:val="none" w:sz="0" w:space="0" w:color="auto"/>
        <w:left w:val="none" w:sz="0" w:space="0" w:color="auto"/>
        <w:bottom w:val="none" w:sz="0" w:space="0" w:color="auto"/>
        <w:right w:val="none" w:sz="0" w:space="0" w:color="auto"/>
      </w:divBdr>
    </w:div>
    <w:div w:id="1635865652">
      <w:bodyDiv w:val="1"/>
      <w:marLeft w:val="0"/>
      <w:marRight w:val="0"/>
      <w:marTop w:val="0"/>
      <w:marBottom w:val="0"/>
      <w:divBdr>
        <w:top w:val="none" w:sz="0" w:space="0" w:color="auto"/>
        <w:left w:val="none" w:sz="0" w:space="0" w:color="auto"/>
        <w:bottom w:val="none" w:sz="0" w:space="0" w:color="auto"/>
        <w:right w:val="none" w:sz="0" w:space="0" w:color="auto"/>
      </w:divBdr>
    </w:div>
    <w:div w:id="1646281505">
      <w:bodyDiv w:val="1"/>
      <w:marLeft w:val="0"/>
      <w:marRight w:val="0"/>
      <w:marTop w:val="0"/>
      <w:marBottom w:val="0"/>
      <w:divBdr>
        <w:top w:val="none" w:sz="0" w:space="0" w:color="auto"/>
        <w:left w:val="none" w:sz="0" w:space="0" w:color="auto"/>
        <w:bottom w:val="none" w:sz="0" w:space="0" w:color="auto"/>
        <w:right w:val="none" w:sz="0" w:space="0" w:color="auto"/>
      </w:divBdr>
    </w:div>
    <w:div w:id="1661881022">
      <w:bodyDiv w:val="1"/>
      <w:marLeft w:val="0"/>
      <w:marRight w:val="0"/>
      <w:marTop w:val="0"/>
      <w:marBottom w:val="0"/>
      <w:divBdr>
        <w:top w:val="none" w:sz="0" w:space="0" w:color="auto"/>
        <w:left w:val="none" w:sz="0" w:space="0" w:color="auto"/>
        <w:bottom w:val="none" w:sz="0" w:space="0" w:color="auto"/>
        <w:right w:val="none" w:sz="0" w:space="0" w:color="auto"/>
      </w:divBdr>
    </w:div>
    <w:div w:id="1664091182">
      <w:bodyDiv w:val="1"/>
      <w:marLeft w:val="0"/>
      <w:marRight w:val="0"/>
      <w:marTop w:val="0"/>
      <w:marBottom w:val="0"/>
      <w:divBdr>
        <w:top w:val="none" w:sz="0" w:space="0" w:color="auto"/>
        <w:left w:val="none" w:sz="0" w:space="0" w:color="auto"/>
        <w:bottom w:val="none" w:sz="0" w:space="0" w:color="auto"/>
        <w:right w:val="none" w:sz="0" w:space="0" w:color="auto"/>
      </w:divBdr>
    </w:div>
    <w:div w:id="1681929754">
      <w:bodyDiv w:val="1"/>
      <w:marLeft w:val="0"/>
      <w:marRight w:val="0"/>
      <w:marTop w:val="0"/>
      <w:marBottom w:val="0"/>
      <w:divBdr>
        <w:top w:val="none" w:sz="0" w:space="0" w:color="auto"/>
        <w:left w:val="none" w:sz="0" w:space="0" w:color="auto"/>
        <w:bottom w:val="none" w:sz="0" w:space="0" w:color="auto"/>
        <w:right w:val="none" w:sz="0" w:space="0" w:color="auto"/>
      </w:divBdr>
    </w:div>
    <w:div w:id="1693845462">
      <w:bodyDiv w:val="1"/>
      <w:marLeft w:val="0"/>
      <w:marRight w:val="0"/>
      <w:marTop w:val="0"/>
      <w:marBottom w:val="0"/>
      <w:divBdr>
        <w:top w:val="none" w:sz="0" w:space="0" w:color="auto"/>
        <w:left w:val="none" w:sz="0" w:space="0" w:color="auto"/>
        <w:bottom w:val="none" w:sz="0" w:space="0" w:color="auto"/>
        <w:right w:val="none" w:sz="0" w:space="0" w:color="auto"/>
      </w:divBdr>
    </w:div>
    <w:div w:id="1707676001">
      <w:bodyDiv w:val="1"/>
      <w:marLeft w:val="0"/>
      <w:marRight w:val="0"/>
      <w:marTop w:val="0"/>
      <w:marBottom w:val="0"/>
      <w:divBdr>
        <w:top w:val="none" w:sz="0" w:space="0" w:color="auto"/>
        <w:left w:val="none" w:sz="0" w:space="0" w:color="auto"/>
        <w:bottom w:val="none" w:sz="0" w:space="0" w:color="auto"/>
        <w:right w:val="none" w:sz="0" w:space="0" w:color="auto"/>
      </w:divBdr>
    </w:div>
    <w:div w:id="1710034656">
      <w:bodyDiv w:val="1"/>
      <w:marLeft w:val="0"/>
      <w:marRight w:val="0"/>
      <w:marTop w:val="0"/>
      <w:marBottom w:val="0"/>
      <w:divBdr>
        <w:top w:val="none" w:sz="0" w:space="0" w:color="auto"/>
        <w:left w:val="none" w:sz="0" w:space="0" w:color="auto"/>
        <w:bottom w:val="none" w:sz="0" w:space="0" w:color="auto"/>
        <w:right w:val="none" w:sz="0" w:space="0" w:color="auto"/>
      </w:divBdr>
    </w:div>
    <w:div w:id="1715347226">
      <w:bodyDiv w:val="1"/>
      <w:marLeft w:val="0"/>
      <w:marRight w:val="0"/>
      <w:marTop w:val="0"/>
      <w:marBottom w:val="0"/>
      <w:divBdr>
        <w:top w:val="none" w:sz="0" w:space="0" w:color="auto"/>
        <w:left w:val="none" w:sz="0" w:space="0" w:color="auto"/>
        <w:bottom w:val="none" w:sz="0" w:space="0" w:color="auto"/>
        <w:right w:val="none" w:sz="0" w:space="0" w:color="auto"/>
      </w:divBdr>
    </w:div>
    <w:div w:id="1736539415">
      <w:bodyDiv w:val="1"/>
      <w:marLeft w:val="0"/>
      <w:marRight w:val="0"/>
      <w:marTop w:val="0"/>
      <w:marBottom w:val="0"/>
      <w:divBdr>
        <w:top w:val="none" w:sz="0" w:space="0" w:color="auto"/>
        <w:left w:val="none" w:sz="0" w:space="0" w:color="auto"/>
        <w:bottom w:val="none" w:sz="0" w:space="0" w:color="auto"/>
        <w:right w:val="none" w:sz="0" w:space="0" w:color="auto"/>
      </w:divBdr>
    </w:div>
    <w:div w:id="1745686692">
      <w:bodyDiv w:val="1"/>
      <w:marLeft w:val="0"/>
      <w:marRight w:val="0"/>
      <w:marTop w:val="0"/>
      <w:marBottom w:val="0"/>
      <w:divBdr>
        <w:top w:val="none" w:sz="0" w:space="0" w:color="auto"/>
        <w:left w:val="none" w:sz="0" w:space="0" w:color="auto"/>
        <w:bottom w:val="none" w:sz="0" w:space="0" w:color="auto"/>
        <w:right w:val="none" w:sz="0" w:space="0" w:color="auto"/>
      </w:divBdr>
    </w:div>
    <w:div w:id="1750998212">
      <w:bodyDiv w:val="1"/>
      <w:marLeft w:val="0"/>
      <w:marRight w:val="0"/>
      <w:marTop w:val="0"/>
      <w:marBottom w:val="0"/>
      <w:divBdr>
        <w:top w:val="none" w:sz="0" w:space="0" w:color="auto"/>
        <w:left w:val="none" w:sz="0" w:space="0" w:color="auto"/>
        <w:bottom w:val="none" w:sz="0" w:space="0" w:color="auto"/>
        <w:right w:val="none" w:sz="0" w:space="0" w:color="auto"/>
      </w:divBdr>
    </w:div>
    <w:div w:id="1767841432">
      <w:bodyDiv w:val="1"/>
      <w:marLeft w:val="0"/>
      <w:marRight w:val="0"/>
      <w:marTop w:val="0"/>
      <w:marBottom w:val="0"/>
      <w:divBdr>
        <w:top w:val="none" w:sz="0" w:space="0" w:color="auto"/>
        <w:left w:val="none" w:sz="0" w:space="0" w:color="auto"/>
        <w:bottom w:val="none" w:sz="0" w:space="0" w:color="auto"/>
        <w:right w:val="none" w:sz="0" w:space="0" w:color="auto"/>
      </w:divBdr>
    </w:div>
    <w:div w:id="1772555358">
      <w:bodyDiv w:val="1"/>
      <w:marLeft w:val="0"/>
      <w:marRight w:val="0"/>
      <w:marTop w:val="0"/>
      <w:marBottom w:val="0"/>
      <w:divBdr>
        <w:top w:val="none" w:sz="0" w:space="0" w:color="auto"/>
        <w:left w:val="none" w:sz="0" w:space="0" w:color="auto"/>
        <w:bottom w:val="none" w:sz="0" w:space="0" w:color="auto"/>
        <w:right w:val="none" w:sz="0" w:space="0" w:color="auto"/>
      </w:divBdr>
    </w:div>
    <w:div w:id="1773738902">
      <w:bodyDiv w:val="1"/>
      <w:marLeft w:val="0"/>
      <w:marRight w:val="0"/>
      <w:marTop w:val="0"/>
      <w:marBottom w:val="0"/>
      <w:divBdr>
        <w:top w:val="none" w:sz="0" w:space="0" w:color="auto"/>
        <w:left w:val="none" w:sz="0" w:space="0" w:color="auto"/>
        <w:bottom w:val="none" w:sz="0" w:space="0" w:color="auto"/>
        <w:right w:val="none" w:sz="0" w:space="0" w:color="auto"/>
      </w:divBdr>
    </w:div>
    <w:div w:id="1774938336">
      <w:bodyDiv w:val="1"/>
      <w:marLeft w:val="0"/>
      <w:marRight w:val="0"/>
      <w:marTop w:val="0"/>
      <w:marBottom w:val="0"/>
      <w:divBdr>
        <w:top w:val="none" w:sz="0" w:space="0" w:color="auto"/>
        <w:left w:val="none" w:sz="0" w:space="0" w:color="auto"/>
        <w:bottom w:val="none" w:sz="0" w:space="0" w:color="auto"/>
        <w:right w:val="none" w:sz="0" w:space="0" w:color="auto"/>
      </w:divBdr>
    </w:div>
    <w:div w:id="1776516693">
      <w:bodyDiv w:val="1"/>
      <w:marLeft w:val="0"/>
      <w:marRight w:val="0"/>
      <w:marTop w:val="0"/>
      <w:marBottom w:val="0"/>
      <w:divBdr>
        <w:top w:val="none" w:sz="0" w:space="0" w:color="auto"/>
        <w:left w:val="none" w:sz="0" w:space="0" w:color="auto"/>
        <w:bottom w:val="none" w:sz="0" w:space="0" w:color="auto"/>
        <w:right w:val="none" w:sz="0" w:space="0" w:color="auto"/>
      </w:divBdr>
    </w:div>
    <w:div w:id="1804694842">
      <w:bodyDiv w:val="1"/>
      <w:marLeft w:val="0"/>
      <w:marRight w:val="0"/>
      <w:marTop w:val="0"/>
      <w:marBottom w:val="0"/>
      <w:divBdr>
        <w:top w:val="none" w:sz="0" w:space="0" w:color="auto"/>
        <w:left w:val="none" w:sz="0" w:space="0" w:color="auto"/>
        <w:bottom w:val="none" w:sz="0" w:space="0" w:color="auto"/>
        <w:right w:val="none" w:sz="0" w:space="0" w:color="auto"/>
      </w:divBdr>
    </w:div>
    <w:div w:id="1811433288">
      <w:bodyDiv w:val="1"/>
      <w:marLeft w:val="0"/>
      <w:marRight w:val="0"/>
      <w:marTop w:val="0"/>
      <w:marBottom w:val="0"/>
      <w:divBdr>
        <w:top w:val="none" w:sz="0" w:space="0" w:color="auto"/>
        <w:left w:val="none" w:sz="0" w:space="0" w:color="auto"/>
        <w:bottom w:val="none" w:sz="0" w:space="0" w:color="auto"/>
        <w:right w:val="none" w:sz="0" w:space="0" w:color="auto"/>
      </w:divBdr>
    </w:div>
    <w:div w:id="1816331152">
      <w:bodyDiv w:val="1"/>
      <w:marLeft w:val="0"/>
      <w:marRight w:val="0"/>
      <w:marTop w:val="0"/>
      <w:marBottom w:val="0"/>
      <w:divBdr>
        <w:top w:val="none" w:sz="0" w:space="0" w:color="auto"/>
        <w:left w:val="none" w:sz="0" w:space="0" w:color="auto"/>
        <w:bottom w:val="none" w:sz="0" w:space="0" w:color="auto"/>
        <w:right w:val="none" w:sz="0" w:space="0" w:color="auto"/>
      </w:divBdr>
    </w:div>
    <w:div w:id="1817255574">
      <w:bodyDiv w:val="1"/>
      <w:marLeft w:val="0"/>
      <w:marRight w:val="0"/>
      <w:marTop w:val="0"/>
      <w:marBottom w:val="0"/>
      <w:divBdr>
        <w:top w:val="none" w:sz="0" w:space="0" w:color="auto"/>
        <w:left w:val="none" w:sz="0" w:space="0" w:color="auto"/>
        <w:bottom w:val="none" w:sz="0" w:space="0" w:color="auto"/>
        <w:right w:val="none" w:sz="0" w:space="0" w:color="auto"/>
      </w:divBdr>
    </w:div>
    <w:div w:id="1826895626">
      <w:bodyDiv w:val="1"/>
      <w:marLeft w:val="0"/>
      <w:marRight w:val="0"/>
      <w:marTop w:val="0"/>
      <w:marBottom w:val="0"/>
      <w:divBdr>
        <w:top w:val="none" w:sz="0" w:space="0" w:color="auto"/>
        <w:left w:val="none" w:sz="0" w:space="0" w:color="auto"/>
        <w:bottom w:val="none" w:sz="0" w:space="0" w:color="auto"/>
        <w:right w:val="none" w:sz="0" w:space="0" w:color="auto"/>
      </w:divBdr>
    </w:div>
    <w:div w:id="1835992791">
      <w:bodyDiv w:val="1"/>
      <w:marLeft w:val="0"/>
      <w:marRight w:val="0"/>
      <w:marTop w:val="0"/>
      <w:marBottom w:val="0"/>
      <w:divBdr>
        <w:top w:val="none" w:sz="0" w:space="0" w:color="auto"/>
        <w:left w:val="none" w:sz="0" w:space="0" w:color="auto"/>
        <w:bottom w:val="none" w:sz="0" w:space="0" w:color="auto"/>
        <w:right w:val="none" w:sz="0" w:space="0" w:color="auto"/>
      </w:divBdr>
    </w:div>
    <w:div w:id="1856377809">
      <w:bodyDiv w:val="1"/>
      <w:marLeft w:val="0"/>
      <w:marRight w:val="0"/>
      <w:marTop w:val="0"/>
      <w:marBottom w:val="0"/>
      <w:divBdr>
        <w:top w:val="none" w:sz="0" w:space="0" w:color="auto"/>
        <w:left w:val="none" w:sz="0" w:space="0" w:color="auto"/>
        <w:bottom w:val="none" w:sz="0" w:space="0" w:color="auto"/>
        <w:right w:val="none" w:sz="0" w:space="0" w:color="auto"/>
      </w:divBdr>
    </w:div>
    <w:div w:id="1856923885">
      <w:bodyDiv w:val="1"/>
      <w:marLeft w:val="0"/>
      <w:marRight w:val="0"/>
      <w:marTop w:val="0"/>
      <w:marBottom w:val="0"/>
      <w:divBdr>
        <w:top w:val="none" w:sz="0" w:space="0" w:color="auto"/>
        <w:left w:val="none" w:sz="0" w:space="0" w:color="auto"/>
        <w:bottom w:val="none" w:sz="0" w:space="0" w:color="auto"/>
        <w:right w:val="none" w:sz="0" w:space="0" w:color="auto"/>
      </w:divBdr>
    </w:div>
    <w:div w:id="1861164541">
      <w:bodyDiv w:val="1"/>
      <w:marLeft w:val="0"/>
      <w:marRight w:val="0"/>
      <w:marTop w:val="0"/>
      <w:marBottom w:val="0"/>
      <w:divBdr>
        <w:top w:val="none" w:sz="0" w:space="0" w:color="auto"/>
        <w:left w:val="none" w:sz="0" w:space="0" w:color="auto"/>
        <w:bottom w:val="none" w:sz="0" w:space="0" w:color="auto"/>
        <w:right w:val="none" w:sz="0" w:space="0" w:color="auto"/>
      </w:divBdr>
    </w:div>
    <w:div w:id="1861578163">
      <w:bodyDiv w:val="1"/>
      <w:marLeft w:val="0"/>
      <w:marRight w:val="0"/>
      <w:marTop w:val="0"/>
      <w:marBottom w:val="0"/>
      <w:divBdr>
        <w:top w:val="none" w:sz="0" w:space="0" w:color="auto"/>
        <w:left w:val="none" w:sz="0" w:space="0" w:color="auto"/>
        <w:bottom w:val="none" w:sz="0" w:space="0" w:color="auto"/>
        <w:right w:val="none" w:sz="0" w:space="0" w:color="auto"/>
      </w:divBdr>
    </w:div>
    <w:div w:id="1908756446">
      <w:bodyDiv w:val="1"/>
      <w:marLeft w:val="0"/>
      <w:marRight w:val="0"/>
      <w:marTop w:val="0"/>
      <w:marBottom w:val="0"/>
      <w:divBdr>
        <w:top w:val="none" w:sz="0" w:space="0" w:color="auto"/>
        <w:left w:val="none" w:sz="0" w:space="0" w:color="auto"/>
        <w:bottom w:val="none" w:sz="0" w:space="0" w:color="auto"/>
        <w:right w:val="none" w:sz="0" w:space="0" w:color="auto"/>
      </w:divBdr>
    </w:div>
    <w:div w:id="1910075770">
      <w:bodyDiv w:val="1"/>
      <w:marLeft w:val="0"/>
      <w:marRight w:val="0"/>
      <w:marTop w:val="0"/>
      <w:marBottom w:val="0"/>
      <w:divBdr>
        <w:top w:val="none" w:sz="0" w:space="0" w:color="auto"/>
        <w:left w:val="none" w:sz="0" w:space="0" w:color="auto"/>
        <w:bottom w:val="none" w:sz="0" w:space="0" w:color="auto"/>
        <w:right w:val="none" w:sz="0" w:space="0" w:color="auto"/>
      </w:divBdr>
    </w:div>
    <w:div w:id="1910992747">
      <w:bodyDiv w:val="1"/>
      <w:marLeft w:val="0"/>
      <w:marRight w:val="0"/>
      <w:marTop w:val="0"/>
      <w:marBottom w:val="0"/>
      <w:divBdr>
        <w:top w:val="none" w:sz="0" w:space="0" w:color="auto"/>
        <w:left w:val="none" w:sz="0" w:space="0" w:color="auto"/>
        <w:bottom w:val="none" w:sz="0" w:space="0" w:color="auto"/>
        <w:right w:val="none" w:sz="0" w:space="0" w:color="auto"/>
      </w:divBdr>
    </w:div>
    <w:div w:id="1927760989">
      <w:bodyDiv w:val="1"/>
      <w:marLeft w:val="0"/>
      <w:marRight w:val="0"/>
      <w:marTop w:val="0"/>
      <w:marBottom w:val="0"/>
      <w:divBdr>
        <w:top w:val="none" w:sz="0" w:space="0" w:color="auto"/>
        <w:left w:val="none" w:sz="0" w:space="0" w:color="auto"/>
        <w:bottom w:val="none" w:sz="0" w:space="0" w:color="auto"/>
        <w:right w:val="none" w:sz="0" w:space="0" w:color="auto"/>
      </w:divBdr>
    </w:div>
    <w:div w:id="1933319251">
      <w:bodyDiv w:val="1"/>
      <w:marLeft w:val="0"/>
      <w:marRight w:val="0"/>
      <w:marTop w:val="0"/>
      <w:marBottom w:val="0"/>
      <w:divBdr>
        <w:top w:val="none" w:sz="0" w:space="0" w:color="auto"/>
        <w:left w:val="none" w:sz="0" w:space="0" w:color="auto"/>
        <w:bottom w:val="none" w:sz="0" w:space="0" w:color="auto"/>
        <w:right w:val="none" w:sz="0" w:space="0" w:color="auto"/>
      </w:divBdr>
    </w:div>
    <w:div w:id="1935435357">
      <w:bodyDiv w:val="1"/>
      <w:marLeft w:val="0"/>
      <w:marRight w:val="0"/>
      <w:marTop w:val="0"/>
      <w:marBottom w:val="0"/>
      <w:divBdr>
        <w:top w:val="none" w:sz="0" w:space="0" w:color="auto"/>
        <w:left w:val="none" w:sz="0" w:space="0" w:color="auto"/>
        <w:bottom w:val="none" w:sz="0" w:space="0" w:color="auto"/>
        <w:right w:val="none" w:sz="0" w:space="0" w:color="auto"/>
      </w:divBdr>
    </w:div>
    <w:div w:id="1947692327">
      <w:bodyDiv w:val="1"/>
      <w:marLeft w:val="0"/>
      <w:marRight w:val="0"/>
      <w:marTop w:val="0"/>
      <w:marBottom w:val="0"/>
      <w:divBdr>
        <w:top w:val="none" w:sz="0" w:space="0" w:color="auto"/>
        <w:left w:val="none" w:sz="0" w:space="0" w:color="auto"/>
        <w:bottom w:val="none" w:sz="0" w:space="0" w:color="auto"/>
        <w:right w:val="none" w:sz="0" w:space="0" w:color="auto"/>
      </w:divBdr>
    </w:div>
    <w:div w:id="1956061800">
      <w:bodyDiv w:val="1"/>
      <w:marLeft w:val="0"/>
      <w:marRight w:val="0"/>
      <w:marTop w:val="0"/>
      <w:marBottom w:val="0"/>
      <w:divBdr>
        <w:top w:val="none" w:sz="0" w:space="0" w:color="auto"/>
        <w:left w:val="none" w:sz="0" w:space="0" w:color="auto"/>
        <w:bottom w:val="none" w:sz="0" w:space="0" w:color="auto"/>
        <w:right w:val="none" w:sz="0" w:space="0" w:color="auto"/>
      </w:divBdr>
    </w:div>
    <w:div w:id="1961565658">
      <w:bodyDiv w:val="1"/>
      <w:marLeft w:val="0"/>
      <w:marRight w:val="0"/>
      <w:marTop w:val="0"/>
      <w:marBottom w:val="0"/>
      <w:divBdr>
        <w:top w:val="none" w:sz="0" w:space="0" w:color="auto"/>
        <w:left w:val="none" w:sz="0" w:space="0" w:color="auto"/>
        <w:bottom w:val="none" w:sz="0" w:space="0" w:color="auto"/>
        <w:right w:val="none" w:sz="0" w:space="0" w:color="auto"/>
      </w:divBdr>
    </w:div>
    <w:div w:id="1968970854">
      <w:bodyDiv w:val="1"/>
      <w:marLeft w:val="0"/>
      <w:marRight w:val="0"/>
      <w:marTop w:val="0"/>
      <w:marBottom w:val="0"/>
      <w:divBdr>
        <w:top w:val="none" w:sz="0" w:space="0" w:color="auto"/>
        <w:left w:val="none" w:sz="0" w:space="0" w:color="auto"/>
        <w:bottom w:val="none" w:sz="0" w:space="0" w:color="auto"/>
        <w:right w:val="none" w:sz="0" w:space="0" w:color="auto"/>
      </w:divBdr>
    </w:div>
    <w:div w:id="1988435493">
      <w:bodyDiv w:val="1"/>
      <w:marLeft w:val="0"/>
      <w:marRight w:val="0"/>
      <w:marTop w:val="0"/>
      <w:marBottom w:val="0"/>
      <w:divBdr>
        <w:top w:val="none" w:sz="0" w:space="0" w:color="auto"/>
        <w:left w:val="none" w:sz="0" w:space="0" w:color="auto"/>
        <w:bottom w:val="none" w:sz="0" w:space="0" w:color="auto"/>
        <w:right w:val="none" w:sz="0" w:space="0" w:color="auto"/>
      </w:divBdr>
    </w:div>
    <w:div w:id="1991714911">
      <w:bodyDiv w:val="1"/>
      <w:marLeft w:val="0"/>
      <w:marRight w:val="0"/>
      <w:marTop w:val="0"/>
      <w:marBottom w:val="0"/>
      <w:divBdr>
        <w:top w:val="none" w:sz="0" w:space="0" w:color="auto"/>
        <w:left w:val="none" w:sz="0" w:space="0" w:color="auto"/>
        <w:bottom w:val="none" w:sz="0" w:space="0" w:color="auto"/>
        <w:right w:val="none" w:sz="0" w:space="0" w:color="auto"/>
      </w:divBdr>
    </w:div>
    <w:div w:id="1993674437">
      <w:bodyDiv w:val="1"/>
      <w:marLeft w:val="0"/>
      <w:marRight w:val="0"/>
      <w:marTop w:val="0"/>
      <w:marBottom w:val="0"/>
      <w:divBdr>
        <w:top w:val="none" w:sz="0" w:space="0" w:color="auto"/>
        <w:left w:val="none" w:sz="0" w:space="0" w:color="auto"/>
        <w:bottom w:val="none" w:sz="0" w:space="0" w:color="auto"/>
        <w:right w:val="none" w:sz="0" w:space="0" w:color="auto"/>
      </w:divBdr>
    </w:div>
    <w:div w:id="2038919612">
      <w:bodyDiv w:val="1"/>
      <w:marLeft w:val="0"/>
      <w:marRight w:val="0"/>
      <w:marTop w:val="0"/>
      <w:marBottom w:val="0"/>
      <w:divBdr>
        <w:top w:val="none" w:sz="0" w:space="0" w:color="auto"/>
        <w:left w:val="none" w:sz="0" w:space="0" w:color="auto"/>
        <w:bottom w:val="none" w:sz="0" w:space="0" w:color="auto"/>
        <w:right w:val="none" w:sz="0" w:space="0" w:color="auto"/>
      </w:divBdr>
    </w:div>
    <w:div w:id="2039894004">
      <w:bodyDiv w:val="1"/>
      <w:marLeft w:val="0"/>
      <w:marRight w:val="0"/>
      <w:marTop w:val="0"/>
      <w:marBottom w:val="0"/>
      <w:divBdr>
        <w:top w:val="none" w:sz="0" w:space="0" w:color="auto"/>
        <w:left w:val="none" w:sz="0" w:space="0" w:color="auto"/>
        <w:bottom w:val="none" w:sz="0" w:space="0" w:color="auto"/>
        <w:right w:val="none" w:sz="0" w:space="0" w:color="auto"/>
      </w:divBdr>
    </w:div>
    <w:div w:id="2046635694">
      <w:bodyDiv w:val="1"/>
      <w:marLeft w:val="0"/>
      <w:marRight w:val="0"/>
      <w:marTop w:val="0"/>
      <w:marBottom w:val="0"/>
      <w:divBdr>
        <w:top w:val="none" w:sz="0" w:space="0" w:color="auto"/>
        <w:left w:val="none" w:sz="0" w:space="0" w:color="auto"/>
        <w:bottom w:val="none" w:sz="0" w:space="0" w:color="auto"/>
        <w:right w:val="none" w:sz="0" w:space="0" w:color="auto"/>
      </w:divBdr>
    </w:div>
    <w:div w:id="2068799551">
      <w:bodyDiv w:val="1"/>
      <w:marLeft w:val="0"/>
      <w:marRight w:val="0"/>
      <w:marTop w:val="0"/>
      <w:marBottom w:val="0"/>
      <w:divBdr>
        <w:top w:val="none" w:sz="0" w:space="0" w:color="auto"/>
        <w:left w:val="none" w:sz="0" w:space="0" w:color="auto"/>
        <w:bottom w:val="none" w:sz="0" w:space="0" w:color="auto"/>
        <w:right w:val="none" w:sz="0" w:space="0" w:color="auto"/>
      </w:divBdr>
    </w:div>
    <w:div w:id="2079280638">
      <w:bodyDiv w:val="1"/>
      <w:marLeft w:val="0"/>
      <w:marRight w:val="0"/>
      <w:marTop w:val="0"/>
      <w:marBottom w:val="0"/>
      <w:divBdr>
        <w:top w:val="none" w:sz="0" w:space="0" w:color="auto"/>
        <w:left w:val="none" w:sz="0" w:space="0" w:color="auto"/>
        <w:bottom w:val="none" w:sz="0" w:space="0" w:color="auto"/>
        <w:right w:val="none" w:sz="0" w:space="0" w:color="auto"/>
      </w:divBdr>
    </w:div>
    <w:div w:id="2094007621">
      <w:bodyDiv w:val="1"/>
      <w:marLeft w:val="0"/>
      <w:marRight w:val="0"/>
      <w:marTop w:val="0"/>
      <w:marBottom w:val="0"/>
      <w:divBdr>
        <w:top w:val="none" w:sz="0" w:space="0" w:color="auto"/>
        <w:left w:val="none" w:sz="0" w:space="0" w:color="auto"/>
        <w:bottom w:val="none" w:sz="0" w:space="0" w:color="auto"/>
        <w:right w:val="none" w:sz="0" w:space="0" w:color="auto"/>
      </w:divBdr>
    </w:div>
    <w:div w:id="2102792571">
      <w:bodyDiv w:val="1"/>
      <w:marLeft w:val="0"/>
      <w:marRight w:val="0"/>
      <w:marTop w:val="0"/>
      <w:marBottom w:val="0"/>
      <w:divBdr>
        <w:top w:val="none" w:sz="0" w:space="0" w:color="auto"/>
        <w:left w:val="none" w:sz="0" w:space="0" w:color="auto"/>
        <w:bottom w:val="none" w:sz="0" w:space="0" w:color="auto"/>
        <w:right w:val="none" w:sz="0" w:space="0" w:color="auto"/>
      </w:divBdr>
    </w:div>
    <w:div w:id="2107145060">
      <w:bodyDiv w:val="1"/>
      <w:marLeft w:val="0"/>
      <w:marRight w:val="0"/>
      <w:marTop w:val="0"/>
      <w:marBottom w:val="0"/>
      <w:divBdr>
        <w:top w:val="none" w:sz="0" w:space="0" w:color="auto"/>
        <w:left w:val="none" w:sz="0" w:space="0" w:color="auto"/>
        <w:bottom w:val="none" w:sz="0" w:space="0" w:color="auto"/>
        <w:right w:val="none" w:sz="0" w:space="0" w:color="auto"/>
      </w:divBdr>
    </w:div>
    <w:div w:id="2115125011">
      <w:bodyDiv w:val="1"/>
      <w:marLeft w:val="0"/>
      <w:marRight w:val="0"/>
      <w:marTop w:val="0"/>
      <w:marBottom w:val="0"/>
      <w:divBdr>
        <w:top w:val="none" w:sz="0" w:space="0" w:color="auto"/>
        <w:left w:val="none" w:sz="0" w:space="0" w:color="auto"/>
        <w:bottom w:val="none" w:sz="0" w:space="0" w:color="auto"/>
        <w:right w:val="none" w:sz="0" w:space="0" w:color="auto"/>
      </w:divBdr>
    </w:div>
    <w:div w:id="2135902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161B8DD-F68F-47F8-A875-7ECAE83CF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30</Pages>
  <Words>6449</Words>
  <Characters>35474</Characters>
  <Application>Microsoft Office Word</Application>
  <DocSecurity>0</DocSecurity>
  <Lines>295</Lines>
  <Paragraphs>83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41840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José Fernado Lobato Rodríguez</dc:creator>
  <cp:lastModifiedBy>INFOEM416</cp:lastModifiedBy>
  <cp:revision>6</cp:revision>
  <cp:lastPrinted>2025-03-27T16:19:00Z</cp:lastPrinted>
  <dcterms:created xsi:type="dcterms:W3CDTF">2025-03-24T23:53:00Z</dcterms:created>
  <dcterms:modified xsi:type="dcterms:W3CDTF">2025-03-27T16:19:00Z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2058-11.2.0.9150</vt:lpwstr>
  </property>
</Properties>
</file>