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6B234F" w:rsidRDefault="009D3673" w:rsidP="003E3D6C">
      <w:pPr>
        <w:tabs>
          <w:tab w:val="left" w:pos="3465"/>
        </w:tabs>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6B234F">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6B234F">
        <w:rPr>
          <w:rFonts w:ascii="Palatino Linotype" w:eastAsia="Palatino Linotype" w:hAnsi="Palatino Linotype" w:cs="Palatino Linotype"/>
          <w:color w:val="000000" w:themeColor="text1"/>
        </w:rPr>
        <w:t xml:space="preserve">tado de México; </w:t>
      </w:r>
      <w:r w:rsidR="0081462E" w:rsidRPr="006B234F">
        <w:rPr>
          <w:rFonts w:ascii="Palatino Linotype" w:eastAsia="Palatino Linotype" w:hAnsi="Palatino Linotype" w:cs="Palatino Linotype"/>
          <w:b/>
          <w:color w:val="000000" w:themeColor="text1"/>
        </w:rPr>
        <w:t xml:space="preserve">de fecha </w:t>
      </w:r>
      <w:r w:rsidR="004B5F96" w:rsidRPr="006B234F">
        <w:rPr>
          <w:rFonts w:ascii="Palatino Linotype" w:eastAsia="Palatino Linotype" w:hAnsi="Palatino Linotype" w:cs="Palatino Linotype"/>
          <w:b/>
          <w:color w:val="000000" w:themeColor="text1"/>
        </w:rPr>
        <w:t>diez</w:t>
      </w:r>
      <w:r w:rsidR="00D97CDB">
        <w:rPr>
          <w:rFonts w:ascii="Palatino Linotype" w:eastAsia="Palatino Linotype" w:hAnsi="Palatino Linotype" w:cs="Palatino Linotype"/>
          <w:b/>
          <w:color w:val="000000" w:themeColor="text1"/>
        </w:rPr>
        <w:t xml:space="preserve"> (10)</w:t>
      </w:r>
      <w:r w:rsidR="004B5F96" w:rsidRPr="006B234F">
        <w:rPr>
          <w:rFonts w:ascii="Palatino Linotype" w:eastAsia="Palatino Linotype" w:hAnsi="Palatino Linotype" w:cs="Palatino Linotype"/>
          <w:b/>
          <w:color w:val="000000" w:themeColor="text1"/>
        </w:rPr>
        <w:t xml:space="preserve"> de septiembre</w:t>
      </w:r>
      <w:r w:rsidRPr="006B234F">
        <w:rPr>
          <w:rFonts w:ascii="Palatino Linotype" w:eastAsia="Palatino Linotype" w:hAnsi="Palatino Linotype" w:cs="Palatino Linotype"/>
          <w:b/>
          <w:color w:val="000000" w:themeColor="text1"/>
        </w:rPr>
        <w:t xml:space="preserve"> de dos mil veinticinco.</w:t>
      </w:r>
    </w:p>
    <w:p w:rsidR="00B84DF1" w:rsidRPr="006B234F" w:rsidRDefault="00B84DF1" w:rsidP="003E3D6C">
      <w:pPr>
        <w:tabs>
          <w:tab w:val="left" w:pos="3465"/>
        </w:tabs>
        <w:spacing w:line="360" w:lineRule="auto"/>
        <w:ind w:right="49"/>
        <w:jc w:val="both"/>
        <w:rPr>
          <w:rFonts w:ascii="Palatino Linotype" w:eastAsia="Palatino Linotype" w:hAnsi="Palatino Linotype" w:cs="Palatino Linotype"/>
          <w:color w:val="000000" w:themeColor="text1"/>
        </w:rPr>
      </w:pPr>
    </w:p>
    <w:p w:rsidR="00B84DF1" w:rsidRPr="006B234F" w:rsidRDefault="009D3673" w:rsidP="003E3D6C">
      <w:pPr>
        <w:spacing w:line="360" w:lineRule="auto"/>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b/>
          <w:color w:val="000000" w:themeColor="text1"/>
        </w:rPr>
        <w:t xml:space="preserve">VISTAS </w:t>
      </w:r>
      <w:r w:rsidRPr="006B234F">
        <w:rPr>
          <w:rFonts w:ascii="Palatino Linotype" w:eastAsia="Palatino Linotype" w:hAnsi="Palatino Linotype" w:cs="Palatino Linotype"/>
          <w:color w:val="000000" w:themeColor="text1"/>
        </w:rPr>
        <w:t xml:space="preserve">las constancias para resolver el Recurso de Revisión </w:t>
      </w:r>
      <w:r w:rsidR="006E79B6" w:rsidRPr="006B234F">
        <w:rPr>
          <w:rFonts w:ascii="Palatino Linotype" w:eastAsia="Palatino Linotype" w:hAnsi="Palatino Linotype" w:cs="Palatino Linotype"/>
          <w:b/>
          <w:color w:val="000000" w:themeColor="text1"/>
        </w:rPr>
        <w:t>03648</w:t>
      </w:r>
      <w:r w:rsidR="00CB1566" w:rsidRPr="006B234F">
        <w:rPr>
          <w:rFonts w:ascii="Palatino Linotype" w:eastAsia="Palatino Linotype" w:hAnsi="Palatino Linotype" w:cs="Palatino Linotype"/>
          <w:b/>
          <w:color w:val="000000" w:themeColor="text1"/>
        </w:rPr>
        <w:t>/INFOEM/IP/RR/2025</w:t>
      </w:r>
      <w:r w:rsidRPr="006B234F">
        <w:rPr>
          <w:rFonts w:ascii="Palatino Linotype" w:eastAsia="Palatino Linotype" w:hAnsi="Palatino Linotype" w:cs="Palatino Linotype"/>
          <w:b/>
          <w:color w:val="000000" w:themeColor="text1"/>
        </w:rPr>
        <w:t>,</w:t>
      </w:r>
      <w:r w:rsidRPr="006B234F">
        <w:rPr>
          <w:rFonts w:ascii="Palatino Linotype" w:eastAsia="Palatino Linotype" w:hAnsi="Palatino Linotype" w:cs="Palatino Linotype"/>
          <w:color w:val="000000" w:themeColor="text1"/>
        </w:rPr>
        <w:t xml:space="preserve"> presentado por </w:t>
      </w:r>
      <w:r w:rsidR="007351FF" w:rsidRPr="007351FF">
        <w:rPr>
          <w:rFonts w:ascii="Palatino Linotype" w:eastAsia="Palatino Linotype" w:hAnsi="Palatino Linotype" w:cs="Palatino Linotype"/>
          <w:b/>
          <w:color w:val="000000" w:themeColor="text1"/>
        </w:rPr>
        <w:t>XXXX</w:t>
      </w:r>
      <w:r w:rsidRPr="007351FF">
        <w:rPr>
          <w:rFonts w:ascii="Palatino Linotype" w:eastAsia="Palatino Linotype" w:hAnsi="Palatino Linotype" w:cs="Palatino Linotype"/>
          <w:b/>
          <w:color w:val="000000" w:themeColor="text1"/>
        </w:rPr>
        <w:t>,</w:t>
      </w:r>
      <w:r w:rsidRPr="006B234F">
        <w:rPr>
          <w:rFonts w:ascii="Palatino Linotype" w:eastAsia="Palatino Linotype" w:hAnsi="Palatino Linotype" w:cs="Palatino Linotype"/>
          <w:color w:val="000000" w:themeColor="text1"/>
        </w:rPr>
        <w:t xml:space="preserve"> a quie</w:t>
      </w:r>
      <w:r w:rsidR="0064652D" w:rsidRPr="006B234F">
        <w:rPr>
          <w:rFonts w:ascii="Palatino Linotype" w:eastAsia="Palatino Linotype" w:hAnsi="Palatino Linotype" w:cs="Palatino Linotype"/>
          <w:color w:val="000000" w:themeColor="text1"/>
        </w:rPr>
        <w:t xml:space="preserve">n en lo sucesivo se denominará </w:t>
      </w:r>
      <w:r w:rsidRPr="006B234F">
        <w:rPr>
          <w:rFonts w:ascii="Palatino Linotype" w:eastAsia="Palatino Linotype" w:hAnsi="Palatino Linotype" w:cs="Palatino Linotype"/>
          <w:b/>
          <w:color w:val="000000" w:themeColor="text1"/>
        </w:rPr>
        <w:t>EL RECURRENTE</w:t>
      </w:r>
      <w:r w:rsidRPr="006B234F">
        <w:rPr>
          <w:rFonts w:ascii="Palatino Linotype" w:eastAsia="Palatino Linotype" w:hAnsi="Palatino Linotype" w:cs="Palatino Linotype"/>
          <w:color w:val="000000" w:themeColor="text1"/>
        </w:rPr>
        <w:t xml:space="preserve">, en contra de la respuesta otorgada a la solicitud de información con número de folio </w:t>
      </w:r>
      <w:r w:rsidR="006E79B6" w:rsidRPr="006B234F">
        <w:rPr>
          <w:rFonts w:ascii="Palatino Linotype" w:eastAsia="Palatino Linotype" w:hAnsi="Palatino Linotype" w:cs="Palatino Linotype"/>
          <w:b/>
          <w:color w:val="000000" w:themeColor="text1"/>
        </w:rPr>
        <w:t>00013/UAI/IP/2025</w:t>
      </w:r>
      <w:r w:rsidRPr="006B234F">
        <w:rPr>
          <w:rFonts w:ascii="Palatino Linotype" w:eastAsia="Palatino Linotype" w:hAnsi="Palatino Linotype" w:cs="Palatino Linotype"/>
          <w:color w:val="000000" w:themeColor="text1"/>
        </w:rPr>
        <w:t>, por parte de</w:t>
      </w:r>
      <w:r w:rsidR="004B5F96" w:rsidRPr="006B234F">
        <w:rPr>
          <w:rFonts w:ascii="Palatino Linotype" w:eastAsia="Palatino Linotype" w:hAnsi="Palatino Linotype" w:cs="Palatino Linotype"/>
          <w:color w:val="000000" w:themeColor="text1"/>
        </w:rPr>
        <w:t xml:space="preserve"> </w:t>
      </w:r>
      <w:r w:rsidRPr="006B234F">
        <w:rPr>
          <w:rFonts w:ascii="Palatino Linotype" w:eastAsia="Palatino Linotype" w:hAnsi="Palatino Linotype" w:cs="Palatino Linotype"/>
          <w:color w:val="000000" w:themeColor="text1"/>
        </w:rPr>
        <w:t>l</w:t>
      </w:r>
      <w:r w:rsidR="004B5F96" w:rsidRPr="006B234F">
        <w:rPr>
          <w:rFonts w:ascii="Palatino Linotype" w:eastAsia="Palatino Linotype" w:hAnsi="Palatino Linotype" w:cs="Palatino Linotype"/>
          <w:color w:val="000000" w:themeColor="text1"/>
        </w:rPr>
        <w:t>a</w:t>
      </w:r>
      <w:r w:rsidRPr="006B234F">
        <w:rPr>
          <w:rFonts w:ascii="Palatino Linotype" w:eastAsia="Palatino Linotype" w:hAnsi="Palatino Linotype" w:cs="Palatino Linotype"/>
          <w:color w:val="000000" w:themeColor="text1"/>
        </w:rPr>
        <w:t xml:space="preserve"> </w:t>
      </w:r>
      <w:r w:rsidR="006E79B6" w:rsidRPr="006B234F">
        <w:rPr>
          <w:rFonts w:ascii="Palatino Linotype" w:eastAsia="Palatino Linotype" w:hAnsi="Palatino Linotype" w:cs="Palatino Linotype"/>
          <w:b/>
          <w:color w:val="000000" w:themeColor="text1"/>
        </w:rPr>
        <w:t>Unidad de Asuntos Internos</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 xml:space="preserve">en adelante </w:t>
      </w:r>
      <w:r w:rsidRPr="006B234F">
        <w:rPr>
          <w:rFonts w:ascii="Palatino Linotype" w:eastAsia="Palatino Linotype" w:hAnsi="Palatino Linotype" w:cs="Palatino Linotype"/>
          <w:b/>
          <w:color w:val="000000" w:themeColor="text1"/>
        </w:rPr>
        <w:t>EL SUJETO OBLIGADO,</w:t>
      </w:r>
      <w:r w:rsidRPr="006B234F">
        <w:rPr>
          <w:rFonts w:ascii="Palatino Linotype" w:eastAsia="Palatino Linotype" w:hAnsi="Palatino Linotype" w:cs="Palatino Linotype"/>
          <w:color w:val="000000" w:themeColor="text1"/>
        </w:rPr>
        <w:t xml:space="preserve"> se emite la presente </w:t>
      </w:r>
      <w:r w:rsidR="0081462E" w:rsidRPr="006B234F">
        <w:rPr>
          <w:rFonts w:ascii="Palatino Linotype" w:eastAsia="Palatino Linotype" w:hAnsi="Palatino Linotype" w:cs="Palatino Linotype"/>
          <w:color w:val="000000" w:themeColor="text1"/>
        </w:rPr>
        <w:t>R</w:t>
      </w:r>
      <w:r w:rsidRPr="006B234F">
        <w:rPr>
          <w:rFonts w:ascii="Palatino Linotype" w:eastAsia="Palatino Linotype" w:hAnsi="Palatino Linotype" w:cs="Palatino Linotype"/>
          <w:color w:val="000000" w:themeColor="text1"/>
        </w:rPr>
        <w:t>esolución con base en los siguientes:</w:t>
      </w:r>
    </w:p>
    <w:p w:rsidR="00B84DF1" w:rsidRPr="006B234F"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6B234F" w:rsidRDefault="009D3673" w:rsidP="003E3D6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6B234F">
        <w:rPr>
          <w:rFonts w:ascii="Palatino Linotype" w:eastAsia="Palatino Linotype" w:hAnsi="Palatino Linotype" w:cs="Palatino Linotype"/>
          <w:b/>
          <w:color w:val="000000" w:themeColor="text1"/>
          <w:sz w:val="24"/>
          <w:szCs w:val="24"/>
        </w:rPr>
        <w:t>A N T E C E D E N T E S</w:t>
      </w:r>
    </w:p>
    <w:p w:rsidR="00B84DF1" w:rsidRPr="006B234F" w:rsidRDefault="00B84DF1" w:rsidP="003E3D6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6B234F" w:rsidRDefault="009D3673" w:rsidP="003E3D6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El día</w:t>
      </w:r>
      <w:r w:rsidRPr="006B234F">
        <w:rPr>
          <w:rFonts w:ascii="Palatino Linotype" w:eastAsia="Palatino Linotype" w:hAnsi="Palatino Linotype" w:cs="Palatino Linotype"/>
          <w:b/>
          <w:color w:val="000000" w:themeColor="text1"/>
        </w:rPr>
        <w:t xml:space="preserve"> </w:t>
      </w:r>
      <w:r w:rsidR="004B5F96" w:rsidRPr="006B234F">
        <w:rPr>
          <w:rFonts w:ascii="Palatino Linotype" w:eastAsia="Palatino Linotype" w:hAnsi="Palatino Linotype" w:cs="Palatino Linotype"/>
          <w:b/>
          <w:color w:val="000000" w:themeColor="text1"/>
        </w:rPr>
        <w:t>cinco de marzo</w:t>
      </w:r>
      <w:r w:rsidRPr="006B234F">
        <w:rPr>
          <w:rFonts w:ascii="Palatino Linotype" w:eastAsia="Palatino Linotype" w:hAnsi="Palatino Linotype" w:cs="Palatino Linotype"/>
          <w:b/>
          <w:color w:val="000000" w:themeColor="text1"/>
        </w:rPr>
        <w:t xml:space="preserve"> dos mil veintic</w:t>
      </w:r>
      <w:r w:rsidR="00AC01CA" w:rsidRPr="006B234F">
        <w:rPr>
          <w:rFonts w:ascii="Palatino Linotype" w:eastAsia="Palatino Linotype" w:hAnsi="Palatino Linotype" w:cs="Palatino Linotype"/>
          <w:b/>
          <w:color w:val="000000" w:themeColor="text1"/>
        </w:rPr>
        <w:t>inco</w:t>
      </w:r>
      <w:r w:rsidRPr="006B234F">
        <w:rPr>
          <w:rFonts w:ascii="Palatino Linotype" w:eastAsia="Palatino Linotype" w:hAnsi="Palatino Linotype" w:cs="Palatino Linotype"/>
          <w:color w:val="000000" w:themeColor="text1"/>
        </w:rPr>
        <w:t>,</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B84DF1" w:rsidRPr="006B234F" w:rsidRDefault="00B84DF1"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6B234F" w:rsidRDefault="009D3673" w:rsidP="003E3D6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00C33B64" w:rsidRPr="006B234F">
        <w:rPr>
          <w:rFonts w:ascii="Palatino Linotype" w:eastAsia="Palatino Linotype" w:hAnsi="Palatino Linotype" w:cs="Palatino Linotype"/>
          <w:i/>
          <w:color w:val="000000" w:themeColor="text1"/>
        </w:rPr>
        <w:t>versión pública de recibos de nómina de todos los servidores públicos adscritos y comisionados a la unidad de asuntos internos del 01 de enero de 2025 al 05 de marzo de marzo de 2025</w:t>
      </w:r>
      <w:r w:rsidRPr="006B234F">
        <w:rPr>
          <w:rFonts w:ascii="Palatino Linotype" w:eastAsia="Palatino Linotype" w:hAnsi="Palatino Linotype" w:cs="Palatino Linotype"/>
          <w:i/>
          <w:color w:val="000000" w:themeColor="text1"/>
        </w:rPr>
        <w:t>”</w:t>
      </w:r>
    </w:p>
    <w:p w:rsidR="00B84DF1" w:rsidRPr="006B234F" w:rsidRDefault="00B84DF1"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D97CDB" w:rsidRDefault="009D3673" w:rsidP="003E3D6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Se eligió como modalidad de entrega de la información: </w:t>
      </w:r>
      <w:r w:rsidR="00CB1566" w:rsidRPr="006B234F">
        <w:rPr>
          <w:rFonts w:ascii="Palatino Linotype" w:eastAsia="Palatino Linotype" w:hAnsi="Palatino Linotype" w:cs="Palatino Linotype"/>
          <w:b/>
          <w:color w:val="000000" w:themeColor="text1"/>
        </w:rPr>
        <w:t>a través de SAIMEX</w:t>
      </w:r>
    </w:p>
    <w:p w:rsidR="00D97CDB" w:rsidRPr="006B234F" w:rsidRDefault="00D97CDB" w:rsidP="00D97CD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CB1566" w:rsidRPr="006B234F" w:rsidRDefault="009D3673" w:rsidP="003E3D6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color w:val="000000" w:themeColor="text1"/>
        </w:rPr>
        <w:lastRenderedPageBreak/>
        <w:t xml:space="preserve">El </w:t>
      </w:r>
      <w:r w:rsidR="00C33B64" w:rsidRPr="006B234F">
        <w:rPr>
          <w:rFonts w:ascii="Palatino Linotype" w:eastAsia="Palatino Linotype" w:hAnsi="Palatino Linotype" w:cs="Palatino Linotype"/>
          <w:b/>
          <w:color w:val="000000" w:themeColor="text1"/>
        </w:rPr>
        <w:t>cinco de marz</w:t>
      </w:r>
      <w:r w:rsidR="009F6E27" w:rsidRPr="006B234F">
        <w:rPr>
          <w:rFonts w:ascii="Palatino Linotype" w:eastAsia="Palatino Linotype" w:hAnsi="Palatino Linotype" w:cs="Palatino Linotype"/>
          <w:b/>
          <w:color w:val="000000" w:themeColor="text1"/>
        </w:rPr>
        <w:t>o de</w:t>
      </w:r>
      <w:r w:rsidR="00BE415E" w:rsidRPr="006B234F">
        <w:rPr>
          <w:rFonts w:ascii="Palatino Linotype" w:eastAsia="Palatino Linotype" w:hAnsi="Palatino Linotype" w:cs="Palatino Linotype"/>
          <w:b/>
          <w:color w:val="000000" w:themeColor="text1"/>
        </w:rPr>
        <w:t xml:space="preserve"> </w:t>
      </w:r>
      <w:r w:rsidR="00654047" w:rsidRPr="006B234F">
        <w:rPr>
          <w:rFonts w:ascii="Palatino Linotype" w:eastAsia="Palatino Linotype" w:hAnsi="Palatino Linotype" w:cs="Palatino Linotype"/>
          <w:b/>
          <w:color w:val="000000" w:themeColor="text1"/>
        </w:rPr>
        <w:t>dos mil veinticinco</w:t>
      </w:r>
      <w:r w:rsidRPr="006B234F">
        <w:rPr>
          <w:rFonts w:ascii="Palatino Linotype" w:eastAsia="Palatino Linotype" w:hAnsi="Palatino Linotype" w:cs="Palatino Linotype"/>
          <w:color w:val="000000" w:themeColor="text1"/>
        </w:rPr>
        <w:t xml:space="preserve">, </w:t>
      </w:r>
      <w:r w:rsidR="00CB1566" w:rsidRPr="006B234F">
        <w:rPr>
          <w:rFonts w:ascii="Palatino Linotype" w:eastAsia="Palatino Linotype" w:hAnsi="Palatino Linotype" w:cs="Palatino Linotype"/>
          <w:color w:val="000000" w:themeColor="text1"/>
        </w:rPr>
        <w:t xml:space="preserve">el </w:t>
      </w:r>
      <w:r w:rsidR="0064652D" w:rsidRPr="006B234F">
        <w:rPr>
          <w:rFonts w:ascii="Palatino Linotype" w:eastAsia="Palatino Linotype" w:hAnsi="Palatino Linotype" w:cs="Palatino Linotype"/>
          <w:b/>
          <w:color w:val="000000" w:themeColor="text1"/>
        </w:rPr>
        <w:t>SUJETO OBLIGADO</w:t>
      </w:r>
      <w:r w:rsidR="00CB1566" w:rsidRPr="006B234F">
        <w:rPr>
          <w:rFonts w:ascii="Palatino Linotype" w:eastAsia="Palatino Linotype" w:hAnsi="Palatino Linotype" w:cs="Palatino Linotype"/>
          <w:b/>
          <w:color w:val="000000" w:themeColor="text1"/>
        </w:rPr>
        <w:t xml:space="preserve"> </w:t>
      </w:r>
      <w:r w:rsidR="00CB1566" w:rsidRPr="006B234F">
        <w:rPr>
          <w:rFonts w:ascii="Palatino Linotype" w:eastAsia="Palatino Linotype" w:hAnsi="Palatino Linotype" w:cs="Palatino Linotype"/>
          <w:color w:val="000000" w:themeColor="text1"/>
        </w:rPr>
        <w:t xml:space="preserve">envió su respuesta a la solicitud de acceso a la información a través de SAIMEX, sustancialmente en los términos siguientes:   </w:t>
      </w:r>
    </w:p>
    <w:p w:rsidR="0064652D" w:rsidRPr="006B234F" w:rsidRDefault="0064652D" w:rsidP="003E3D6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9F6E27" w:rsidRPr="006B234F" w:rsidRDefault="00C33B64" w:rsidP="003E3D6C">
      <w:pPr>
        <w:pStyle w:val="Prrafodelista"/>
        <w:numPr>
          <w:ilvl w:val="0"/>
          <w:numId w:val="27"/>
        </w:numPr>
        <w:spacing w:line="360" w:lineRule="auto"/>
        <w:ind w:left="0" w:right="49" w:firstLine="0"/>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R- folio 00013-2025.pdf</w:t>
      </w:r>
      <w:r w:rsidR="00760330" w:rsidRPr="006B234F">
        <w:rPr>
          <w:rFonts w:ascii="Palatino Linotype" w:eastAsia="Palatino Linotype" w:hAnsi="Palatino Linotype" w:cs="Palatino Linotype"/>
          <w:i/>
          <w:color w:val="000000" w:themeColor="text1"/>
        </w:rPr>
        <w:t xml:space="preserve">, </w:t>
      </w:r>
      <w:r w:rsidR="00760330" w:rsidRPr="006B234F">
        <w:rPr>
          <w:rFonts w:ascii="Palatino Linotype" w:eastAsia="Palatino Linotype" w:hAnsi="Palatino Linotype" w:cs="Palatino Linotype"/>
          <w:color w:val="000000" w:themeColor="text1"/>
        </w:rPr>
        <w:t xml:space="preserve">que </w:t>
      </w:r>
      <w:r w:rsidR="00025289" w:rsidRPr="006B234F">
        <w:rPr>
          <w:rFonts w:ascii="Palatino Linotype" w:eastAsia="Palatino Linotype" w:hAnsi="Palatino Linotype" w:cs="Palatino Linotype"/>
          <w:color w:val="000000" w:themeColor="text1"/>
        </w:rPr>
        <w:t xml:space="preserve">corresponde a un oficio suscrito por el Titular de la Unidad de Transparencia, a través del cual refiere que la Unidad de Apoyo Administrativo y área competente, informó de una imposibilidad de entregar la información en razón de que lo solicitado requiere que sea buscada para posteriormente ser extraída y digitalizada para </w:t>
      </w:r>
      <w:r w:rsidR="00CA7D5D" w:rsidRPr="006B234F">
        <w:rPr>
          <w:rFonts w:ascii="Palatino Linotype" w:eastAsia="Palatino Linotype" w:hAnsi="Palatino Linotype" w:cs="Palatino Linotype"/>
          <w:color w:val="000000" w:themeColor="text1"/>
        </w:rPr>
        <w:t xml:space="preserve">estar en posibilidad de otorgarla electrónicamente a través del SAIMEX, en disco compacto, USB, correo electrónico o vinculo electrónico, o bien en copias simples o certificadas, información que consta de cincuenta (50) fojas. Contexto que a decir del </w:t>
      </w:r>
      <w:r w:rsidR="00CA7D5D" w:rsidRPr="006B234F">
        <w:rPr>
          <w:rFonts w:ascii="Palatino Linotype" w:eastAsia="Palatino Linotype" w:hAnsi="Palatino Linotype" w:cs="Palatino Linotype"/>
          <w:b/>
          <w:color w:val="000000" w:themeColor="text1"/>
        </w:rPr>
        <w:t>SUJETO OBLIGADO</w:t>
      </w:r>
      <w:r w:rsidR="00025289" w:rsidRPr="006B234F">
        <w:rPr>
          <w:rFonts w:ascii="Palatino Linotype" w:eastAsia="Palatino Linotype" w:hAnsi="Palatino Linotype" w:cs="Palatino Linotype"/>
          <w:color w:val="000000" w:themeColor="text1"/>
        </w:rPr>
        <w:t xml:space="preserve"> </w:t>
      </w:r>
      <w:r w:rsidR="00CA7D5D" w:rsidRPr="006B234F">
        <w:rPr>
          <w:rFonts w:ascii="Palatino Linotype" w:eastAsia="Palatino Linotype" w:hAnsi="Palatino Linotype" w:cs="Palatino Linotype"/>
          <w:color w:val="000000" w:themeColor="text1"/>
        </w:rPr>
        <w:t>sobrepasa la</w:t>
      </w:r>
      <w:r w:rsidR="00025289" w:rsidRPr="006B234F">
        <w:rPr>
          <w:rFonts w:ascii="Palatino Linotype" w:eastAsia="Palatino Linotype" w:hAnsi="Palatino Linotype" w:cs="Palatino Linotype"/>
          <w:color w:val="000000" w:themeColor="text1"/>
        </w:rPr>
        <w:t>s capacidades del área poseedora, por tanto se pone a disposición lo solicitado en consulta directa informando del domicilio, días y horarios en que podrá realizarse la consulta. Finalmente informa que  respecto a los recibos de nómina de los servidores públicos comisionados a la Unidad de Asuntos Interno, deberá dirigir su solicitud a la Unidad de Transparencia de la Secretaria de Seguridad del Estado de México.</w:t>
      </w:r>
    </w:p>
    <w:p w:rsidR="00E87C17" w:rsidRPr="006B234F" w:rsidRDefault="00E87C17" w:rsidP="003E3D6C">
      <w:pPr>
        <w:pStyle w:val="Prrafodelista"/>
        <w:spacing w:line="360" w:lineRule="auto"/>
        <w:ind w:left="0" w:right="49"/>
        <w:jc w:val="both"/>
        <w:rPr>
          <w:rFonts w:ascii="Palatino Linotype" w:eastAsia="Palatino Linotype" w:hAnsi="Palatino Linotype" w:cs="Palatino Linotype"/>
          <w:i/>
          <w:color w:val="000000" w:themeColor="text1"/>
        </w:rPr>
      </w:pPr>
    </w:p>
    <w:p w:rsidR="00CB1566" w:rsidRPr="006B234F" w:rsidRDefault="009D3673" w:rsidP="003E3D6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El</w:t>
      </w:r>
      <w:r w:rsidRPr="006B234F">
        <w:rPr>
          <w:rFonts w:ascii="Palatino Linotype" w:eastAsia="Palatino Linotype" w:hAnsi="Palatino Linotype" w:cs="Palatino Linotype"/>
          <w:b/>
          <w:color w:val="000000" w:themeColor="text1"/>
        </w:rPr>
        <w:t xml:space="preserve"> </w:t>
      </w:r>
      <w:r w:rsidR="004A2ACD" w:rsidRPr="006B234F">
        <w:rPr>
          <w:rFonts w:ascii="Palatino Linotype" w:eastAsia="Palatino Linotype" w:hAnsi="Palatino Linotype" w:cs="Palatino Linotype"/>
          <w:b/>
          <w:color w:val="000000" w:themeColor="text1"/>
        </w:rPr>
        <w:t>veintisiete de marzo</w:t>
      </w:r>
      <w:r w:rsidR="00CB1566" w:rsidRPr="006B234F">
        <w:rPr>
          <w:rFonts w:ascii="Palatino Linotype" w:eastAsia="Palatino Linotype" w:hAnsi="Palatino Linotype" w:cs="Palatino Linotype"/>
          <w:b/>
          <w:color w:val="000000" w:themeColor="text1"/>
        </w:rPr>
        <w:t xml:space="preserve"> de dos mil veinticinco, </w:t>
      </w:r>
      <w:r w:rsidR="00CB1566" w:rsidRPr="006B234F">
        <w:rPr>
          <w:rFonts w:ascii="Palatino Linotype" w:eastAsia="Palatino Linotype" w:hAnsi="Palatino Linotype" w:cs="Palatino Linotype"/>
          <w:color w:val="000000" w:themeColor="text1"/>
        </w:rPr>
        <w:t xml:space="preserve">la parte </w:t>
      </w:r>
      <w:r w:rsidR="00CB1566" w:rsidRPr="006B234F">
        <w:rPr>
          <w:rFonts w:ascii="Palatino Linotype" w:eastAsia="Palatino Linotype" w:hAnsi="Palatino Linotype" w:cs="Palatino Linotype"/>
          <w:b/>
          <w:color w:val="000000" w:themeColor="text1"/>
        </w:rPr>
        <w:t>Recurrente</w:t>
      </w:r>
      <w:r w:rsidR="00CB1566" w:rsidRPr="006B234F">
        <w:rPr>
          <w:rFonts w:ascii="Palatino Linotype" w:eastAsia="Palatino Linotype" w:hAnsi="Palatino Linotype" w:cs="Palatino Linotype"/>
          <w:color w:val="000000" w:themeColor="text1"/>
        </w:rPr>
        <w:t xml:space="preserve"> interpuso el recurso de revisión a través de </w:t>
      </w:r>
      <w:r w:rsidR="00CB1566" w:rsidRPr="006B234F">
        <w:rPr>
          <w:rFonts w:ascii="Palatino Linotype" w:eastAsia="Palatino Linotype" w:hAnsi="Palatino Linotype" w:cs="Palatino Linotype"/>
          <w:b/>
          <w:color w:val="000000" w:themeColor="text1"/>
        </w:rPr>
        <w:t xml:space="preserve">SAIMEX, </w:t>
      </w:r>
      <w:r w:rsidR="00CB1566" w:rsidRPr="006B234F">
        <w:rPr>
          <w:rFonts w:ascii="Palatino Linotype" w:eastAsia="Palatino Linotype" w:hAnsi="Palatino Linotype" w:cs="Palatino Linotype"/>
          <w:color w:val="000000" w:themeColor="text1"/>
        </w:rPr>
        <w:t>en donde se manifestó de la siguiente manera:</w:t>
      </w:r>
    </w:p>
    <w:p w:rsidR="00CB1566" w:rsidRPr="006B234F" w:rsidRDefault="00CB1566" w:rsidP="003E3D6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CB1566" w:rsidRPr="00D97CDB" w:rsidRDefault="00CB1566" w:rsidP="00D97CDB">
      <w:pPr>
        <w:pStyle w:val="Prrafodelista"/>
        <w:numPr>
          <w:ilvl w:val="0"/>
          <w:numId w:val="27"/>
        </w:numPr>
        <w:tabs>
          <w:tab w:val="left" w:pos="2745"/>
        </w:tabs>
        <w:spacing w:line="360" w:lineRule="auto"/>
        <w:ind w:right="49"/>
        <w:jc w:val="both"/>
        <w:rPr>
          <w:rFonts w:ascii="Palatino Linotype" w:eastAsia="Palatino Linotype" w:hAnsi="Palatino Linotype" w:cs="Palatino Linotype"/>
          <w:b/>
          <w:color w:val="000000" w:themeColor="text1"/>
        </w:rPr>
      </w:pPr>
      <w:r w:rsidRPr="00D97CDB">
        <w:rPr>
          <w:rFonts w:ascii="Palatino Linotype" w:eastAsia="Palatino Linotype" w:hAnsi="Palatino Linotype" w:cs="Palatino Linotype"/>
          <w:b/>
          <w:color w:val="000000" w:themeColor="text1"/>
        </w:rPr>
        <w:t xml:space="preserve">Acto impugnado: </w:t>
      </w:r>
    </w:p>
    <w:p w:rsidR="00CB1566" w:rsidRPr="006B234F" w:rsidRDefault="00CB1566" w:rsidP="003E3D6C">
      <w:pPr>
        <w:tabs>
          <w:tab w:val="left" w:pos="2745"/>
        </w:tabs>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004A2ACD" w:rsidRPr="006B234F">
        <w:rPr>
          <w:rFonts w:ascii="Palatino Linotype" w:eastAsia="Palatino Linotype" w:hAnsi="Palatino Linotype" w:cs="Palatino Linotype"/>
          <w:i/>
          <w:color w:val="000000" w:themeColor="text1"/>
        </w:rPr>
        <w:t xml:space="preserve">el cambio de modalidad en la entrega de la información; son obligaciones de transparencia aunado a que al poner a la vista información susceptible de clasificarse como reservada incurrirían en </w:t>
      </w:r>
      <w:r w:rsidR="004A2ACD" w:rsidRPr="006B234F">
        <w:rPr>
          <w:rFonts w:ascii="Palatino Linotype" w:eastAsia="Palatino Linotype" w:hAnsi="Palatino Linotype" w:cs="Palatino Linotype"/>
          <w:i/>
          <w:color w:val="000000" w:themeColor="text1"/>
        </w:rPr>
        <w:lastRenderedPageBreak/>
        <w:t>severas faltas administrativas, dejen de ser tan opacos en la transparencia y aprendan un poco de la ley....</w:t>
      </w:r>
      <w:r w:rsidR="009F6E27" w:rsidRPr="006B234F">
        <w:rPr>
          <w:rFonts w:ascii="Palatino Linotype" w:eastAsia="Palatino Linotype" w:hAnsi="Palatino Linotype" w:cs="Palatino Linotype"/>
          <w:i/>
          <w:color w:val="000000" w:themeColor="text1"/>
        </w:rPr>
        <w:t>”</w:t>
      </w:r>
    </w:p>
    <w:p w:rsidR="00CB1566" w:rsidRPr="006B234F" w:rsidRDefault="00CB1566" w:rsidP="003E3D6C">
      <w:pPr>
        <w:tabs>
          <w:tab w:val="left" w:pos="2745"/>
        </w:tabs>
        <w:spacing w:line="360" w:lineRule="auto"/>
        <w:ind w:right="49"/>
        <w:jc w:val="both"/>
        <w:rPr>
          <w:rFonts w:ascii="Palatino Linotype" w:eastAsia="Palatino Linotype" w:hAnsi="Palatino Linotype" w:cs="Palatino Linotype"/>
          <w:i/>
          <w:color w:val="000000" w:themeColor="text1"/>
        </w:rPr>
      </w:pPr>
    </w:p>
    <w:p w:rsidR="00CB1566" w:rsidRPr="00D97CDB" w:rsidRDefault="00CB1566" w:rsidP="00D97CDB">
      <w:pPr>
        <w:pStyle w:val="Prrafodelista"/>
        <w:numPr>
          <w:ilvl w:val="0"/>
          <w:numId w:val="27"/>
        </w:numPr>
        <w:spacing w:line="360" w:lineRule="auto"/>
        <w:ind w:right="49"/>
        <w:jc w:val="both"/>
        <w:rPr>
          <w:rFonts w:ascii="Palatino Linotype" w:eastAsia="Palatino Linotype" w:hAnsi="Palatino Linotype" w:cs="Palatino Linotype"/>
          <w:color w:val="000000" w:themeColor="text1"/>
        </w:rPr>
      </w:pPr>
      <w:bookmarkStart w:id="2" w:name="_heading=h.30j0zll" w:colFirst="0" w:colLast="0"/>
      <w:bookmarkEnd w:id="2"/>
      <w:r w:rsidRPr="00D97CDB">
        <w:rPr>
          <w:rFonts w:ascii="Palatino Linotype" w:eastAsia="Palatino Linotype" w:hAnsi="Palatino Linotype" w:cs="Palatino Linotype"/>
          <w:b/>
          <w:color w:val="000000" w:themeColor="text1"/>
        </w:rPr>
        <w:t>Razones o motivos de inconformidad</w:t>
      </w:r>
      <w:r w:rsidRPr="00D97CDB">
        <w:rPr>
          <w:rFonts w:ascii="Palatino Linotype" w:eastAsia="Palatino Linotype" w:hAnsi="Palatino Linotype" w:cs="Palatino Linotype"/>
          <w:color w:val="000000" w:themeColor="text1"/>
        </w:rPr>
        <w:t>:</w:t>
      </w:r>
    </w:p>
    <w:p w:rsidR="00CB1566" w:rsidRPr="006B234F" w:rsidRDefault="00CB1566" w:rsidP="003E3D6C">
      <w:pPr>
        <w:tabs>
          <w:tab w:val="left" w:pos="2745"/>
        </w:tabs>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004A2ACD" w:rsidRPr="006B234F">
        <w:rPr>
          <w:rFonts w:ascii="Palatino Linotype" w:eastAsia="Palatino Linotype" w:hAnsi="Palatino Linotype" w:cs="Palatino Linotype"/>
          <w:i/>
          <w:color w:val="000000" w:themeColor="text1"/>
        </w:rPr>
        <w:t>el cambio de modalidad en la entrega de la información; son obligaciones de transparencia aunado a que al poner a la vista información susceptible de clasificarse como reservada incurrirían en severas faltas administrativas, dejen de ser tan opacos en la transparencia y aprendan un poco de la ley....</w:t>
      </w:r>
      <w:r w:rsidR="009F6E27" w:rsidRPr="006B234F">
        <w:rPr>
          <w:rFonts w:ascii="Palatino Linotype" w:eastAsia="Palatino Linotype" w:hAnsi="Palatino Linotype" w:cs="Palatino Linotype"/>
          <w:b/>
          <w:i/>
          <w:color w:val="000000" w:themeColor="text1"/>
        </w:rPr>
        <w:t>”</w:t>
      </w:r>
    </w:p>
    <w:p w:rsidR="00AF6023" w:rsidRPr="006B234F" w:rsidRDefault="00AF6023" w:rsidP="003E3D6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B84DF1" w:rsidRPr="006B234F" w:rsidRDefault="00CB1566" w:rsidP="003E3D6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Con fecha</w:t>
      </w:r>
      <w:r w:rsidRPr="006B234F">
        <w:rPr>
          <w:rFonts w:ascii="Palatino Linotype" w:eastAsia="Palatino Linotype" w:hAnsi="Palatino Linotype" w:cs="Palatino Linotype"/>
          <w:b/>
          <w:color w:val="000000" w:themeColor="text1"/>
        </w:rPr>
        <w:t xml:space="preserve"> </w:t>
      </w:r>
      <w:r w:rsidR="0090156E" w:rsidRPr="006B234F">
        <w:rPr>
          <w:rFonts w:ascii="Palatino Linotype" w:eastAsia="Palatino Linotype" w:hAnsi="Palatino Linotype" w:cs="Palatino Linotype"/>
          <w:b/>
          <w:color w:val="000000" w:themeColor="text1"/>
        </w:rPr>
        <w:t>treinta y uno</w:t>
      </w:r>
      <w:r w:rsidRPr="006B234F">
        <w:rPr>
          <w:rFonts w:ascii="Palatino Linotype" w:eastAsia="Palatino Linotype" w:hAnsi="Palatino Linotype" w:cs="Palatino Linotype"/>
          <w:b/>
          <w:color w:val="000000" w:themeColor="text1"/>
        </w:rPr>
        <w:t xml:space="preserve"> de </w:t>
      </w:r>
      <w:r w:rsidR="0090156E" w:rsidRPr="006B234F">
        <w:rPr>
          <w:rFonts w:ascii="Palatino Linotype" w:eastAsia="Palatino Linotype" w:hAnsi="Palatino Linotype" w:cs="Palatino Linotype"/>
          <w:b/>
          <w:color w:val="000000" w:themeColor="text1"/>
        </w:rPr>
        <w:t xml:space="preserve">marzo </w:t>
      </w:r>
      <w:r w:rsidRPr="006B234F">
        <w:rPr>
          <w:rFonts w:ascii="Palatino Linotype" w:eastAsia="Palatino Linotype" w:hAnsi="Palatino Linotype" w:cs="Palatino Linotype"/>
          <w:b/>
          <w:color w:val="000000" w:themeColor="text1"/>
        </w:rPr>
        <w:t xml:space="preserve">dos mil veinticinco, </w:t>
      </w:r>
      <w:r w:rsidRPr="006B234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B234F">
        <w:rPr>
          <w:rFonts w:ascii="Palatino Linotype" w:eastAsia="Palatino Linotype" w:hAnsi="Palatino Linotype" w:cs="Palatino Linotype"/>
          <w:b/>
          <w:color w:val="000000" w:themeColor="text1"/>
        </w:rPr>
        <w:t xml:space="preserve">Sujeto Obligado </w:t>
      </w:r>
      <w:r w:rsidRPr="006B234F">
        <w:rPr>
          <w:rFonts w:ascii="Palatino Linotype" w:eastAsia="Palatino Linotype" w:hAnsi="Palatino Linotype" w:cs="Palatino Linotype"/>
          <w:color w:val="000000" w:themeColor="text1"/>
        </w:rPr>
        <w:t>presentara su informe justificado.</w:t>
      </w:r>
    </w:p>
    <w:p w:rsidR="00C273BD" w:rsidRPr="006B234F" w:rsidRDefault="00C273BD"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6B234F" w:rsidRDefault="00760330" w:rsidP="003E3D6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color w:val="000000" w:themeColor="text1"/>
        </w:rPr>
        <w:t>E</w:t>
      </w:r>
      <w:r w:rsidR="00874872" w:rsidRPr="006B234F">
        <w:rPr>
          <w:rFonts w:ascii="Palatino Linotype" w:eastAsia="Palatino Linotype" w:hAnsi="Palatino Linotype" w:cs="Palatino Linotype"/>
          <w:color w:val="000000" w:themeColor="text1"/>
        </w:rPr>
        <w:t>l</w:t>
      </w:r>
      <w:r w:rsidR="00874872" w:rsidRPr="006B234F">
        <w:rPr>
          <w:rFonts w:ascii="Palatino Linotype" w:eastAsia="Palatino Linotype" w:hAnsi="Palatino Linotype" w:cs="Palatino Linotype"/>
          <w:b/>
          <w:color w:val="000000" w:themeColor="text1"/>
        </w:rPr>
        <w:t xml:space="preserve"> SUJETO OBLIGADO </w:t>
      </w:r>
      <w:r w:rsidR="0090156E" w:rsidRPr="006B234F">
        <w:rPr>
          <w:rFonts w:ascii="Palatino Linotype" w:eastAsia="Palatino Linotype" w:hAnsi="Palatino Linotype" w:cs="Palatino Linotype"/>
          <w:color w:val="000000" w:themeColor="text1"/>
        </w:rPr>
        <w:t>en fecha siete de abril de dos mil veinticuatro</w:t>
      </w:r>
      <w:r w:rsidR="0090156E" w:rsidRPr="006B234F">
        <w:rPr>
          <w:rFonts w:ascii="Palatino Linotype" w:eastAsia="Palatino Linotype" w:hAnsi="Palatino Linotype" w:cs="Palatino Linotype"/>
          <w:b/>
          <w:color w:val="000000" w:themeColor="text1"/>
        </w:rPr>
        <w:t xml:space="preserve"> </w:t>
      </w:r>
      <w:r w:rsidR="0090156E" w:rsidRPr="006B234F">
        <w:rPr>
          <w:rFonts w:ascii="Palatino Linotype" w:eastAsia="Palatino Linotype" w:hAnsi="Palatino Linotype" w:cs="Palatino Linotype"/>
          <w:color w:val="000000" w:themeColor="text1"/>
        </w:rPr>
        <w:t xml:space="preserve">rindió informe justificado mediante escrito signado por el Titular de la Unidad de Transparencia, donde se confirma la respuesta inicial y se solicita se confirme en la resolución que para tal efecto se emita. </w:t>
      </w:r>
      <w:r w:rsidR="00B05FE8" w:rsidRPr="006B234F">
        <w:rPr>
          <w:rFonts w:ascii="Palatino Linotype" w:eastAsia="Palatino Linotype" w:hAnsi="Palatino Linotype" w:cs="Palatino Linotype"/>
          <w:color w:val="000000" w:themeColor="text1"/>
        </w:rPr>
        <w:t>Por su parte el solicitante fue omiso en realizar manifestaciones que a su derecho conviniera y asistiera.</w:t>
      </w:r>
      <w:r w:rsidR="00D97CDB">
        <w:rPr>
          <w:rFonts w:ascii="Palatino Linotype" w:eastAsia="Palatino Linotype" w:hAnsi="Palatino Linotype" w:cs="Palatino Linotype"/>
          <w:color w:val="000000" w:themeColor="text1"/>
        </w:rPr>
        <w:t xml:space="preserve"> ------------------------------------------</w:t>
      </w:r>
    </w:p>
    <w:p w:rsidR="00B84DF1" w:rsidRDefault="00B84DF1" w:rsidP="003E3D6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D97CDB" w:rsidRDefault="00D97CDB" w:rsidP="003E3D6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D97CDB" w:rsidRPr="006B234F" w:rsidRDefault="00D97CDB" w:rsidP="003E3D6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6B234F" w:rsidRDefault="009D3673" w:rsidP="003E3D6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b/>
          <w:color w:val="000000" w:themeColor="text1"/>
        </w:rPr>
        <w:lastRenderedPageBreak/>
        <w:t>C O N S I D E R A C I O N E S</w:t>
      </w:r>
    </w:p>
    <w:p w:rsidR="00B84DF1" w:rsidRPr="006B234F" w:rsidRDefault="00B84DF1" w:rsidP="003E3D6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6B234F" w:rsidRDefault="003B59FA" w:rsidP="003E3D6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6B234F">
        <w:rPr>
          <w:rFonts w:ascii="Palatino Linotype" w:eastAsia="Palatino Linotype" w:hAnsi="Palatino Linotype" w:cs="Palatino Linotype"/>
          <w:b/>
          <w:color w:val="000000" w:themeColor="text1"/>
          <w:sz w:val="24"/>
          <w:szCs w:val="24"/>
        </w:rPr>
        <w:t>PRIMERO</w:t>
      </w:r>
      <w:r w:rsidR="009D3673" w:rsidRPr="006B234F">
        <w:rPr>
          <w:rFonts w:ascii="Palatino Linotype" w:eastAsia="Palatino Linotype" w:hAnsi="Palatino Linotype" w:cs="Palatino Linotype"/>
          <w:b/>
          <w:color w:val="000000" w:themeColor="text1"/>
          <w:sz w:val="24"/>
          <w:szCs w:val="24"/>
        </w:rPr>
        <w:t>. Competencia</w:t>
      </w:r>
    </w:p>
    <w:p w:rsidR="00B84DF1" w:rsidRPr="006B234F" w:rsidRDefault="0090156E" w:rsidP="003E3D6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6B234F" w:rsidRDefault="006535A3"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6B234F" w:rsidRDefault="009D3673" w:rsidP="003E3D6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6B234F">
        <w:rPr>
          <w:rFonts w:ascii="Palatino Linotype" w:eastAsia="Palatino Linotype" w:hAnsi="Palatino Linotype" w:cs="Palatino Linotype"/>
          <w:b/>
          <w:color w:val="000000" w:themeColor="text1"/>
          <w:sz w:val="24"/>
          <w:szCs w:val="24"/>
        </w:rPr>
        <w:t>SEGUND</w:t>
      </w:r>
      <w:r w:rsidR="003B59FA" w:rsidRPr="006B234F">
        <w:rPr>
          <w:rFonts w:ascii="Palatino Linotype" w:eastAsia="Palatino Linotype" w:hAnsi="Palatino Linotype" w:cs="Palatino Linotype"/>
          <w:b/>
          <w:color w:val="000000" w:themeColor="text1"/>
          <w:sz w:val="24"/>
          <w:szCs w:val="24"/>
        </w:rPr>
        <w:t>O</w:t>
      </w:r>
      <w:r w:rsidRPr="006B234F">
        <w:rPr>
          <w:rFonts w:ascii="Palatino Linotype" w:eastAsia="Palatino Linotype" w:hAnsi="Palatino Linotype" w:cs="Palatino Linotype"/>
          <w:b/>
          <w:color w:val="000000" w:themeColor="text1"/>
          <w:sz w:val="24"/>
          <w:szCs w:val="24"/>
        </w:rPr>
        <w:t>. Procedencia.</w:t>
      </w:r>
    </w:p>
    <w:p w:rsidR="00B84DF1" w:rsidRPr="006B234F" w:rsidRDefault="009D3673" w:rsidP="003E3D6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90156E" w:rsidRPr="006B234F" w:rsidRDefault="0090156E"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90156E" w:rsidRPr="006B234F" w:rsidRDefault="0090156E" w:rsidP="003E3D6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w:t>
      </w:r>
      <w:r w:rsidRPr="006B234F">
        <w:rPr>
          <w:rFonts w:ascii="Palatino Linotype" w:eastAsia="Palatino Linotype" w:hAnsi="Palatino Linotype" w:cs="Palatino Linotype"/>
          <w:color w:val="000000" w:themeColor="text1"/>
        </w:rPr>
        <w:lastRenderedPageBreak/>
        <w:t xml:space="preserve">no es motivo para </w:t>
      </w:r>
      <w:r w:rsidRPr="006B234F">
        <w:rPr>
          <w:rFonts w:ascii="Palatino Linotype" w:eastAsia="Calibri" w:hAnsi="Palatino Linotype" w:cs="Arial"/>
          <w:color w:val="000000" w:themeColor="text1"/>
        </w:rPr>
        <w:t>archivar</w:t>
      </w:r>
      <w:r w:rsidRPr="006B234F">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rsidR="0090156E" w:rsidRPr="006B234F" w:rsidRDefault="0090156E"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Pr="006B234F">
        <w:rPr>
          <w:rFonts w:ascii="Palatino Linotype" w:eastAsia="Palatino Linotype" w:hAnsi="Palatino Linotype" w:cs="Palatino Linotype"/>
          <w:b/>
          <w:i/>
          <w:color w:val="000000" w:themeColor="text1"/>
        </w:rPr>
        <w:t>Las solicitudes anónimas</w:t>
      </w:r>
      <w:r w:rsidRPr="006B234F">
        <w:rPr>
          <w:rFonts w:ascii="Palatino Linotype" w:eastAsia="Palatino Linotype" w:hAnsi="Palatino Linotype" w:cs="Palatino Linotype"/>
          <w:i/>
          <w:color w:val="000000" w:themeColor="text1"/>
        </w:rPr>
        <w:t xml:space="preserve">, con nombre incompleto o seudónimo </w:t>
      </w:r>
      <w:r w:rsidRPr="006B234F">
        <w:rPr>
          <w:rFonts w:ascii="Palatino Linotype" w:eastAsia="Palatino Linotype" w:hAnsi="Palatino Linotype" w:cs="Palatino Linotype"/>
          <w:b/>
          <w:i/>
          <w:color w:val="000000" w:themeColor="text1"/>
        </w:rPr>
        <w:t>serán procedentes para su trámite por parte del sujeto obligado ante quien se presente</w:t>
      </w:r>
      <w:r w:rsidRPr="006B234F">
        <w:rPr>
          <w:rFonts w:ascii="Palatino Linotype" w:eastAsia="Palatino Linotype" w:hAnsi="Palatino Linotype" w:cs="Palatino Linotype"/>
          <w:i/>
          <w:color w:val="000000" w:themeColor="text1"/>
        </w:rPr>
        <w:t>. No podrá requerirse información adicional con motivo del nombre proporcionado por el solicitante."</w:t>
      </w:r>
    </w:p>
    <w:p w:rsidR="00B64111" w:rsidRPr="006B234F" w:rsidRDefault="00B64111"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6B234F" w:rsidRDefault="009D3673" w:rsidP="003E3D6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Finalmente, el escrito contiene las formalidades previstas por el artículo 180 último </w:t>
      </w:r>
      <w:r w:rsidR="00A227E2" w:rsidRPr="006B234F">
        <w:rPr>
          <w:rFonts w:ascii="Palatino Linotype" w:eastAsia="Palatino Linotype" w:hAnsi="Palatino Linotype" w:cs="Palatino Linotype"/>
          <w:color w:val="000000" w:themeColor="text1"/>
        </w:rPr>
        <w:t>párrafo de la citada Ley de la M</w:t>
      </w:r>
      <w:r w:rsidRPr="006B234F">
        <w:rPr>
          <w:rFonts w:ascii="Palatino Linotype" w:eastAsia="Palatino Linotype" w:hAnsi="Palatino Linotype" w:cs="Palatino Linotype"/>
          <w:color w:val="000000" w:themeColor="text1"/>
        </w:rPr>
        <w:t>ateria, por lo que es procedente que este Instituto conozca y resuelva el presente Recurso de Revisión.</w:t>
      </w:r>
    </w:p>
    <w:p w:rsidR="00B84DF1" w:rsidRPr="006B234F" w:rsidRDefault="00B84DF1" w:rsidP="003E3D6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313EA6" w:rsidRPr="006B234F" w:rsidRDefault="00313EA6" w:rsidP="003E3D6C">
      <w:pPr>
        <w:pStyle w:val="Ttulo2"/>
        <w:tabs>
          <w:tab w:val="left" w:pos="284"/>
          <w:tab w:val="left" w:pos="426"/>
        </w:tabs>
        <w:spacing w:before="0" w:line="360" w:lineRule="auto"/>
        <w:ind w:right="49"/>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6B234F">
        <w:rPr>
          <w:rFonts w:ascii="Palatino Linotype" w:hAnsi="Palatino Linotype"/>
          <w:b/>
          <w:bCs/>
          <w:color w:val="000000" w:themeColor="text1"/>
          <w:sz w:val="24"/>
          <w:szCs w:val="24"/>
        </w:rPr>
        <w:t xml:space="preserve">TERCERO. </w:t>
      </w:r>
      <w:bookmarkEnd w:id="6"/>
      <w:bookmarkEnd w:id="7"/>
      <w:r w:rsidRPr="006B234F">
        <w:rPr>
          <w:rFonts w:ascii="Palatino Linotype" w:hAnsi="Palatino Linotype"/>
          <w:b/>
          <w:bCs/>
          <w:color w:val="000000" w:themeColor="text1"/>
          <w:sz w:val="24"/>
          <w:szCs w:val="24"/>
        </w:rPr>
        <w:t xml:space="preserve">Del planteamiento de la </w:t>
      </w:r>
      <w:r w:rsidRPr="006B234F">
        <w:rPr>
          <w:rFonts w:ascii="Palatino Linotype" w:hAnsi="Palatino Linotype"/>
          <w:b/>
          <w:bCs/>
          <w:i/>
          <w:color w:val="000000" w:themeColor="text1"/>
          <w:sz w:val="24"/>
          <w:szCs w:val="24"/>
        </w:rPr>
        <w:t>Litis.</w:t>
      </w:r>
    </w:p>
    <w:p w:rsidR="00313EA6" w:rsidRPr="006B234F" w:rsidRDefault="00313EA6" w:rsidP="003E3D6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6B234F">
        <w:rPr>
          <w:rFonts w:ascii="Palatino Linotype" w:hAnsi="Palatino Linotype"/>
          <w:color w:val="000000" w:themeColor="text1"/>
        </w:rPr>
        <w:t xml:space="preserve">Se solicitó </w:t>
      </w:r>
      <w:r w:rsidRPr="006B234F">
        <w:rPr>
          <w:rFonts w:ascii="Palatino Linotype" w:eastAsia="Palatino Linotype" w:hAnsi="Palatino Linotype" w:cs="Palatino Linotype"/>
          <w:color w:val="000000" w:themeColor="text1"/>
        </w:rPr>
        <w:t>tener</w:t>
      </w:r>
      <w:r w:rsidRPr="006B234F">
        <w:rPr>
          <w:rFonts w:ascii="Palatino Linotype" w:hAnsi="Palatino Linotype"/>
          <w:color w:val="000000" w:themeColor="text1"/>
        </w:rPr>
        <w:t xml:space="preserve"> </w:t>
      </w:r>
      <w:r w:rsidRPr="006B234F">
        <w:rPr>
          <w:rFonts w:ascii="Palatino Linotype" w:eastAsia="Palatino Linotype" w:hAnsi="Palatino Linotype" w:cs="Palatino Linotype"/>
          <w:color w:val="000000" w:themeColor="text1"/>
        </w:rPr>
        <w:t>acceso</w:t>
      </w:r>
      <w:r w:rsidRPr="006B234F">
        <w:rPr>
          <w:rFonts w:ascii="Palatino Linotype" w:hAnsi="Palatino Linotype"/>
          <w:color w:val="000000" w:themeColor="text1"/>
        </w:rPr>
        <w:t>, a la información que a continuación se simplifica:</w:t>
      </w:r>
    </w:p>
    <w:p w:rsidR="00313EA6" w:rsidRPr="006B234F" w:rsidRDefault="00F11260" w:rsidP="003E3D6C">
      <w:pPr>
        <w:pStyle w:val="Prrafodelista"/>
        <w:numPr>
          <w:ilvl w:val="0"/>
          <w:numId w:val="35"/>
        </w:numPr>
        <w:spacing w:line="360" w:lineRule="auto"/>
        <w:ind w:left="0" w:right="49" w:firstLine="0"/>
        <w:contextualSpacing w:val="0"/>
        <w:jc w:val="both"/>
        <w:rPr>
          <w:rFonts w:ascii="Palatino Linotype" w:eastAsia="Calibri" w:hAnsi="Palatino Linotype" w:cs="Arial"/>
          <w:b/>
          <w:color w:val="000000" w:themeColor="text1"/>
          <w:lang w:val="es-AR"/>
        </w:rPr>
      </w:pPr>
      <w:r w:rsidRPr="006B234F">
        <w:rPr>
          <w:rFonts w:ascii="Palatino Linotype" w:eastAsia="Calibri" w:hAnsi="Palatino Linotype" w:cs="Arial"/>
          <w:b/>
          <w:color w:val="000000" w:themeColor="text1"/>
        </w:rPr>
        <w:t>R</w:t>
      </w:r>
      <w:r w:rsidR="0090156E" w:rsidRPr="006B234F">
        <w:rPr>
          <w:rFonts w:ascii="Palatino Linotype" w:eastAsia="Calibri" w:hAnsi="Palatino Linotype" w:cs="Arial"/>
          <w:b/>
          <w:color w:val="000000" w:themeColor="text1"/>
        </w:rPr>
        <w:t xml:space="preserve">ecibos de nómina de todos los servidores públicos adscritos y comisionados a la </w:t>
      </w:r>
      <w:r w:rsidRPr="006B234F">
        <w:rPr>
          <w:rFonts w:ascii="Palatino Linotype" w:eastAsia="Calibri" w:hAnsi="Palatino Linotype" w:cs="Arial"/>
          <w:b/>
          <w:color w:val="000000" w:themeColor="text1"/>
        </w:rPr>
        <w:t>U</w:t>
      </w:r>
      <w:r w:rsidR="0090156E" w:rsidRPr="006B234F">
        <w:rPr>
          <w:rFonts w:ascii="Palatino Linotype" w:eastAsia="Calibri" w:hAnsi="Palatino Linotype" w:cs="Arial"/>
          <w:b/>
          <w:color w:val="000000" w:themeColor="text1"/>
        </w:rPr>
        <w:t xml:space="preserve">nidad de </w:t>
      </w:r>
      <w:r w:rsidRPr="006B234F">
        <w:rPr>
          <w:rFonts w:ascii="Palatino Linotype" w:eastAsia="Calibri" w:hAnsi="Palatino Linotype" w:cs="Arial"/>
          <w:b/>
          <w:color w:val="000000" w:themeColor="text1"/>
        </w:rPr>
        <w:t>Asuntos I</w:t>
      </w:r>
      <w:r w:rsidR="0090156E" w:rsidRPr="006B234F">
        <w:rPr>
          <w:rFonts w:ascii="Palatino Linotype" w:eastAsia="Calibri" w:hAnsi="Palatino Linotype" w:cs="Arial"/>
          <w:b/>
          <w:color w:val="000000" w:themeColor="text1"/>
        </w:rPr>
        <w:t>nternos</w:t>
      </w:r>
      <w:r w:rsidR="00B05FE8" w:rsidRPr="006B234F">
        <w:rPr>
          <w:rFonts w:ascii="Palatino Linotype" w:eastAsia="Calibri" w:hAnsi="Palatino Linotype" w:cs="Arial"/>
          <w:b/>
          <w:color w:val="000000" w:themeColor="text1"/>
        </w:rPr>
        <w:t>,</w:t>
      </w:r>
      <w:r w:rsidR="0090156E" w:rsidRPr="006B234F">
        <w:rPr>
          <w:rFonts w:ascii="Palatino Linotype" w:eastAsia="Calibri" w:hAnsi="Palatino Linotype" w:cs="Arial"/>
          <w:b/>
          <w:color w:val="000000" w:themeColor="text1"/>
        </w:rPr>
        <w:t xml:space="preserve"> del 01 de enero de 2025 al 05 de marzo de marzo de 2025</w:t>
      </w:r>
      <w:r w:rsidR="00313EA6" w:rsidRPr="006B234F">
        <w:rPr>
          <w:rFonts w:ascii="Palatino Linotype" w:eastAsia="Calibri" w:hAnsi="Palatino Linotype" w:cs="Arial"/>
          <w:b/>
          <w:color w:val="000000" w:themeColor="text1"/>
          <w:lang w:val="es-AR"/>
        </w:rPr>
        <w:t>.</w:t>
      </w:r>
    </w:p>
    <w:p w:rsidR="00313EA6" w:rsidRPr="006B234F" w:rsidRDefault="00313EA6" w:rsidP="003E3D6C">
      <w:pPr>
        <w:pStyle w:val="Prrafodelista"/>
        <w:spacing w:line="360" w:lineRule="auto"/>
        <w:ind w:left="0" w:right="49"/>
        <w:jc w:val="both"/>
        <w:rPr>
          <w:rFonts w:ascii="Palatino Linotype" w:hAnsi="Palatino Linotype"/>
          <w:color w:val="000000" w:themeColor="text1"/>
        </w:rPr>
      </w:pPr>
    </w:p>
    <w:p w:rsidR="00313EA6" w:rsidRPr="006B234F" w:rsidRDefault="00313EA6" w:rsidP="003E3D6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6B234F">
        <w:rPr>
          <w:rFonts w:ascii="Palatino Linotype" w:hAnsi="Palatino Linotype"/>
          <w:color w:val="000000" w:themeColor="text1"/>
        </w:rPr>
        <w:t xml:space="preserve">Inconforme con la respuesta, el solicitante interpuso recurso de revisión </w:t>
      </w:r>
      <w:r w:rsidR="00F11260" w:rsidRPr="006B234F">
        <w:rPr>
          <w:rFonts w:ascii="Palatino Linotype" w:hAnsi="Palatino Linotype"/>
          <w:color w:val="000000" w:themeColor="text1"/>
        </w:rPr>
        <w:t>en contra del cambio de modalidad propuesto</w:t>
      </w:r>
      <w:r w:rsidRPr="006B234F">
        <w:rPr>
          <w:rFonts w:ascii="Palatino Linotype" w:eastAsia="Palatino Linotype" w:hAnsi="Palatino Linotype" w:cs="Palatino Linotype"/>
          <w:color w:val="000000" w:themeColor="text1"/>
        </w:rPr>
        <w:t xml:space="preserve">. </w:t>
      </w:r>
      <w:r w:rsidRPr="006B234F">
        <w:rPr>
          <w:rFonts w:ascii="Palatino Linotype" w:hAnsi="Palatino Linotype"/>
          <w:color w:val="000000" w:themeColor="text1"/>
        </w:rPr>
        <w:t>En dichas condiciones, la controversia a resolver en el presente proveído, corresponde a determinar si se actualiza la causal de procedencia prevista en el artículo 179, fracción V</w:t>
      </w:r>
      <w:r w:rsidR="00F11260" w:rsidRPr="006B234F">
        <w:rPr>
          <w:rFonts w:ascii="Palatino Linotype" w:hAnsi="Palatino Linotype"/>
          <w:color w:val="000000" w:themeColor="text1"/>
        </w:rPr>
        <w:t>III</w:t>
      </w:r>
      <w:r w:rsidRPr="006B234F">
        <w:rPr>
          <w:rFonts w:ascii="Palatino Linotype" w:hAnsi="Palatino Linotype"/>
          <w:color w:val="000000" w:themeColor="text1"/>
        </w:rPr>
        <w:t xml:space="preserve">, de la Ley de Transparencia y Acceso a la Información Pública del Estado de México y Municipios; fracción que determina la hipótesis relativa a la </w:t>
      </w:r>
      <w:r w:rsidR="00F11260" w:rsidRPr="006B234F">
        <w:rPr>
          <w:rFonts w:ascii="Palatino Linotype" w:hAnsi="Palatino Linotype"/>
          <w:color w:val="000000" w:themeColor="text1"/>
        </w:rPr>
        <w:t xml:space="preserve">notificación, entrega o puesta a disposición de información en una </w:t>
      </w:r>
      <w:r w:rsidR="00F11260" w:rsidRPr="006B234F">
        <w:rPr>
          <w:rFonts w:ascii="Palatino Linotype" w:hAnsi="Palatino Linotype"/>
          <w:color w:val="000000" w:themeColor="text1"/>
        </w:rPr>
        <w:lastRenderedPageBreak/>
        <w:t>modalidad o formato distinto al solicitado;</w:t>
      </w:r>
      <w:r w:rsidRPr="006B234F">
        <w:rPr>
          <w:rFonts w:ascii="Palatino Linotype" w:hAnsi="Palatino Linotype"/>
          <w:color w:val="000000" w:themeColor="text1"/>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6B234F" w:rsidRDefault="00313EA6" w:rsidP="003E3D6C">
      <w:pPr>
        <w:pStyle w:val="Prrafodelista"/>
        <w:spacing w:line="360" w:lineRule="auto"/>
        <w:ind w:left="0" w:right="49"/>
        <w:rPr>
          <w:rFonts w:ascii="Palatino Linotype" w:hAnsi="Palatino Linotype"/>
          <w:color w:val="000000" w:themeColor="text1"/>
        </w:rPr>
      </w:pPr>
    </w:p>
    <w:p w:rsidR="00313EA6" w:rsidRPr="006B234F" w:rsidRDefault="00313EA6" w:rsidP="003E3D6C">
      <w:pPr>
        <w:spacing w:line="360" w:lineRule="auto"/>
        <w:ind w:right="49"/>
        <w:rPr>
          <w:rFonts w:ascii="Palatino Linotype" w:hAnsi="Palatino Linotype"/>
          <w:b/>
          <w:bCs/>
          <w:color w:val="000000" w:themeColor="text1"/>
        </w:rPr>
      </w:pPr>
      <w:r w:rsidRPr="006B234F">
        <w:rPr>
          <w:rFonts w:ascii="Palatino Linotype" w:hAnsi="Palatino Linotype"/>
          <w:b/>
          <w:bCs/>
          <w:color w:val="000000" w:themeColor="text1"/>
        </w:rPr>
        <w:t>CUARTO. Del estudio y resolución del asunto.</w:t>
      </w:r>
    </w:p>
    <w:p w:rsidR="00313EA6" w:rsidRPr="006B234F" w:rsidRDefault="00313EA6" w:rsidP="003E3D6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6B234F">
        <w:rPr>
          <w:rFonts w:ascii="Palatino Linotype" w:hAnsi="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6B234F" w:rsidRDefault="00313EA6" w:rsidP="003E3D6C">
      <w:pPr>
        <w:pStyle w:val="Prrafodelista"/>
        <w:spacing w:line="360" w:lineRule="auto"/>
        <w:ind w:left="0" w:right="49"/>
        <w:jc w:val="both"/>
        <w:rPr>
          <w:rFonts w:ascii="Palatino Linotype" w:hAnsi="Palatino Linotype"/>
          <w:color w:val="000000" w:themeColor="text1"/>
        </w:rPr>
      </w:pPr>
    </w:p>
    <w:p w:rsidR="00313EA6" w:rsidRPr="006B234F" w:rsidRDefault="00313EA6" w:rsidP="003E3D6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6B234F">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6B234F" w:rsidRDefault="00313EA6" w:rsidP="003E3D6C">
      <w:pPr>
        <w:pStyle w:val="Prrafodelista"/>
        <w:spacing w:line="360" w:lineRule="auto"/>
        <w:ind w:left="0" w:right="49"/>
        <w:rPr>
          <w:rFonts w:ascii="Palatino Linotype" w:hAnsi="Palatino Linotype"/>
          <w:color w:val="000000" w:themeColor="text1"/>
        </w:rPr>
      </w:pPr>
    </w:p>
    <w:p w:rsidR="00313EA6" w:rsidRPr="006B234F" w:rsidRDefault="00313EA6" w:rsidP="003E3D6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6B234F">
        <w:rPr>
          <w:rFonts w:ascii="Palatino Linotype" w:hAnsi="Palatino Linotype"/>
          <w:color w:val="000000" w:themeColor="text1"/>
        </w:rPr>
        <w:t xml:space="preserve">Los artículos antes citados, refieren que el derecho de acceso a la información pública es un derecho humano que abarca el solicitar, investigar, difundir y buscar </w:t>
      </w:r>
      <w:r w:rsidRPr="006B234F">
        <w:rPr>
          <w:rFonts w:ascii="Palatino Linotype" w:hAnsi="Palatino Linotype"/>
          <w:color w:val="000000" w:themeColor="text1"/>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6B234F" w:rsidRDefault="00F867E2" w:rsidP="003E3D6C">
      <w:pPr>
        <w:pStyle w:val="Prrafodelista"/>
        <w:spacing w:line="360" w:lineRule="auto"/>
        <w:ind w:left="0" w:right="49"/>
        <w:rPr>
          <w:rFonts w:ascii="Palatino Linotype" w:hAnsi="Palatino Linotype"/>
          <w:color w:val="000000" w:themeColor="text1"/>
        </w:rPr>
      </w:pPr>
    </w:p>
    <w:p w:rsidR="007E1DBF" w:rsidRPr="006B234F" w:rsidRDefault="00313EA6" w:rsidP="003E3D6C">
      <w:pPr>
        <w:numPr>
          <w:ilvl w:val="0"/>
          <w:numId w:val="1"/>
        </w:numPr>
        <w:spacing w:line="360" w:lineRule="auto"/>
        <w:ind w:left="0" w:right="49" w:firstLine="0"/>
        <w:jc w:val="both"/>
        <w:rPr>
          <w:rFonts w:ascii="Palatino Linotype" w:hAnsi="Palatino Linotype" w:cs="Arial"/>
          <w:color w:val="000000" w:themeColor="text1"/>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6B234F">
        <w:rPr>
          <w:rFonts w:ascii="Palatino Linotype" w:eastAsia="Palatino Linotype" w:hAnsi="Palatino Linotype" w:cs="Palatino Linotype"/>
          <w:color w:val="000000" w:themeColor="text1"/>
        </w:rPr>
        <w:t>Dicho lo anterior es necesario recordar</w:t>
      </w:r>
      <w:r w:rsidR="007E1DBF" w:rsidRPr="006B234F">
        <w:rPr>
          <w:rFonts w:ascii="Palatino Linotype" w:eastAsia="Palatino Linotype" w:hAnsi="Palatino Linotype" w:cs="Palatino Linotype"/>
          <w:color w:val="000000" w:themeColor="text1"/>
        </w:rPr>
        <w:t xml:space="preserve"> la respuesta que </w:t>
      </w:r>
      <w:r w:rsidR="007E1DBF" w:rsidRPr="006B234F">
        <w:rPr>
          <w:rFonts w:ascii="Palatino Linotype" w:eastAsia="Palatino Linotype" w:hAnsi="Palatino Linotype" w:cs="Palatino Linotype"/>
          <w:b/>
          <w:color w:val="000000" w:themeColor="text1"/>
        </w:rPr>
        <w:t>se encuentra dividida en dos segmentos</w:t>
      </w:r>
      <w:r w:rsidR="007E1DBF" w:rsidRPr="006B234F">
        <w:rPr>
          <w:rFonts w:ascii="Palatino Linotype" w:eastAsia="Palatino Linotype" w:hAnsi="Palatino Linotype" w:cs="Palatino Linotype"/>
          <w:color w:val="000000" w:themeColor="text1"/>
        </w:rPr>
        <w:t xml:space="preserve">, el primero de ellos es referente a los recibos de nómina del personal adscrito a la Unidad de Asuntos Internos del cual recayó una respuesta proponiendo un cambio de modalidad </w:t>
      </w:r>
      <w:r w:rsidR="00B05FE8" w:rsidRPr="006B234F">
        <w:rPr>
          <w:rFonts w:ascii="Palatino Linotype" w:eastAsia="Palatino Linotype" w:hAnsi="Palatino Linotype" w:cs="Palatino Linotype"/>
          <w:color w:val="000000" w:themeColor="text1"/>
        </w:rPr>
        <w:t xml:space="preserve">de entrega de la información </w:t>
      </w:r>
      <w:r w:rsidR="007E1DBF" w:rsidRPr="006B234F">
        <w:rPr>
          <w:rFonts w:ascii="Palatino Linotype" w:eastAsia="Palatino Linotype" w:hAnsi="Palatino Linotype" w:cs="Palatino Linotype"/>
          <w:color w:val="000000" w:themeColor="text1"/>
        </w:rPr>
        <w:t>y, el segundo segmento que atañe a los recibos de nómina del personal comisionado el cual recayó una respuesta</w:t>
      </w:r>
      <w:r w:rsidR="00B05FE8" w:rsidRPr="006B234F">
        <w:rPr>
          <w:rFonts w:ascii="Palatino Linotype" w:eastAsia="Palatino Linotype" w:hAnsi="Palatino Linotype" w:cs="Palatino Linotype"/>
          <w:color w:val="000000" w:themeColor="text1"/>
        </w:rPr>
        <w:t xml:space="preserve"> en donde se</w:t>
      </w:r>
      <w:r w:rsidR="007E1DBF" w:rsidRPr="006B234F">
        <w:rPr>
          <w:rFonts w:ascii="Palatino Linotype" w:eastAsia="Palatino Linotype" w:hAnsi="Palatino Linotype" w:cs="Palatino Linotype"/>
          <w:color w:val="000000" w:themeColor="text1"/>
        </w:rPr>
        <w:t xml:space="preserve"> </w:t>
      </w:r>
      <w:r w:rsidR="00B05FE8" w:rsidRPr="006B234F">
        <w:rPr>
          <w:rFonts w:ascii="Palatino Linotype" w:eastAsia="Palatino Linotype" w:hAnsi="Palatino Linotype" w:cs="Palatino Linotype"/>
          <w:color w:val="000000" w:themeColor="text1"/>
        </w:rPr>
        <w:t>declina la</w:t>
      </w:r>
      <w:r w:rsidR="007E1DBF" w:rsidRPr="006B234F">
        <w:rPr>
          <w:rFonts w:ascii="Palatino Linotype" w:eastAsia="Palatino Linotype" w:hAnsi="Palatino Linotype" w:cs="Palatino Linotype"/>
          <w:color w:val="000000" w:themeColor="text1"/>
        </w:rPr>
        <w:t xml:space="preserve"> competencia a</w:t>
      </w:r>
      <w:r w:rsidR="00B05FE8" w:rsidRPr="006B234F">
        <w:rPr>
          <w:rFonts w:ascii="Palatino Linotype" w:eastAsia="Palatino Linotype" w:hAnsi="Palatino Linotype" w:cs="Palatino Linotype"/>
          <w:color w:val="000000" w:themeColor="text1"/>
        </w:rPr>
        <w:t xml:space="preserve"> un Sujeto Obligado diverso como lo es</w:t>
      </w:r>
      <w:r w:rsidR="007E1DBF" w:rsidRPr="006B234F">
        <w:rPr>
          <w:rFonts w:ascii="Palatino Linotype" w:eastAsia="Palatino Linotype" w:hAnsi="Palatino Linotype" w:cs="Palatino Linotype"/>
          <w:color w:val="000000" w:themeColor="text1"/>
        </w:rPr>
        <w:t xml:space="preserve"> la Secretaría de Seguridad. En ese sentido se impugnó únicamente la parte relativa los recibos de nómina del personal adscrito y del que se propuso un cambio de modalidad.</w:t>
      </w:r>
    </w:p>
    <w:p w:rsidR="007E1DBF" w:rsidRPr="006B234F" w:rsidRDefault="007E1DBF" w:rsidP="003E3D6C">
      <w:pPr>
        <w:pStyle w:val="Prrafodelista"/>
        <w:spacing w:line="360" w:lineRule="auto"/>
        <w:ind w:left="0" w:right="49"/>
        <w:rPr>
          <w:rFonts w:ascii="Palatino Linotype" w:eastAsia="Palatino Linotype" w:hAnsi="Palatino Linotype" w:cs="Palatino Linotype"/>
          <w:color w:val="000000" w:themeColor="text1"/>
        </w:rPr>
      </w:pPr>
    </w:p>
    <w:p w:rsidR="00F0736F" w:rsidRPr="006B234F" w:rsidRDefault="00F0736F"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644E0D" w:rsidRPr="006B234F" w:rsidRDefault="00644E0D" w:rsidP="003E3D6C">
      <w:pPr>
        <w:pStyle w:val="Prrafodelista"/>
        <w:spacing w:line="360" w:lineRule="auto"/>
        <w:ind w:left="0" w:right="49"/>
        <w:rPr>
          <w:rFonts w:ascii="Palatino Linotype" w:eastAsia="Palatino Linotype" w:hAnsi="Palatino Linotype" w:cs="Palatino Linotype"/>
          <w:color w:val="000000" w:themeColor="text1"/>
        </w:rPr>
      </w:pPr>
    </w:p>
    <w:p w:rsidR="00F0736F" w:rsidRPr="006B234F" w:rsidRDefault="00F0736F"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Sirve de sustento, la tesis jurisprudencial número VI.3o.C. J/60, publicada en el Semanario Judicial de la Federación y su Gaceta bajo el número de registro 176,608 que a la letra dice:</w:t>
      </w:r>
    </w:p>
    <w:p w:rsidR="00F0736F" w:rsidRPr="006B234F" w:rsidRDefault="00F0736F" w:rsidP="003E3D6C">
      <w:pPr>
        <w:tabs>
          <w:tab w:val="left" w:pos="851"/>
        </w:tabs>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 xml:space="preserve">“ACTOS CONSENTIDOS. SON LOS QUE NO SE IMPUGNAN MEDIANTE EL RECURSO IDÓNEO. </w:t>
      </w:r>
      <w:r w:rsidRPr="006B234F">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44E0D" w:rsidRPr="006B234F" w:rsidRDefault="00644E0D" w:rsidP="003E3D6C">
      <w:pPr>
        <w:tabs>
          <w:tab w:val="left" w:pos="851"/>
        </w:tabs>
        <w:spacing w:line="360" w:lineRule="auto"/>
        <w:ind w:right="49"/>
        <w:jc w:val="both"/>
        <w:rPr>
          <w:rFonts w:ascii="Palatino Linotype" w:eastAsia="Palatino Linotype" w:hAnsi="Palatino Linotype" w:cs="Palatino Linotype"/>
          <w:i/>
          <w:color w:val="000000" w:themeColor="text1"/>
        </w:rPr>
      </w:pPr>
    </w:p>
    <w:p w:rsidR="00F0736F" w:rsidRPr="006B234F" w:rsidRDefault="00F0736F"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6B234F">
        <w:rPr>
          <w:rFonts w:ascii="Palatino Linotype" w:eastAsia="Palatino Linotype" w:hAnsi="Palatino Linotype" w:cs="Palatino Linotype"/>
          <w:b/>
          <w:color w:val="000000" w:themeColor="text1"/>
        </w:rPr>
        <w:t>EL RECURRENTE</w:t>
      </w:r>
      <w:r w:rsidRPr="006B234F">
        <w:rPr>
          <w:rFonts w:ascii="Palatino Linotype" w:eastAsia="Palatino Linotype" w:hAnsi="Palatino Linotype" w:cs="Palatino Linotype"/>
          <w:color w:val="000000" w:themeColor="text1"/>
        </w:rPr>
        <w:t xml:space="preserve"> está conforme con la respuesta proporcionada por </w:t>
      </w:r>
      <w:r w:rsidRPr="006B234F">
        <w:rPr>
          <w:rFonts w:ascii="Palatino Linotype" w:eastAsia="Palatino Linotype" w:hAnsi="Palatino Linotype" w:cs="Palatino Linotype"/>
          <w:b/>
          <w:color w:val="000000" w:themeColor="text1"/>
        </w:rPr>
        <w:t>EL SUJETO OBLIGADO,</w:t>
      </w:r>
      <w:r w:rsidRPr="006B234F">
        <w:rPr>
          <w:rFonts w:ascii="Palatino Linotype" w:eastAsia="Palatino Linotype" w:hAnsi="Palatino Linotype" w:cs="Palatino Linotype"/>
          <w:color w:val="000000" w:themeColor="text1"/>
        </w:rPr>
        <w:t xml:space="preserve"> al no contravenir la misma. </w:t>
      </w:r>
    </w:p>
    <w:p w:rsidR="00644E0D" w:rsidRPr="006B234F" w:rsidRDefault="00644E0D" w:rsidP="003E3D6C">
      <w:pPr>
        <w:spacing w:line="360" w:lineRule="auto"/>
        <w:ind w:right="49"/>
        <w:jc w:val="both"/>
        <w:rPr>
          <w:rFonts w:ascii="Palatino Linotype" w:eastAsia="Palatino Linotype" w:hAnsi="Palatino Linotype" w:cs="Palatino Linotype"/>
          <w:color w:val="000000" w:themeColor="text1"/>
        </w:rPr>
      </w:pPr>
    </w:p>
    <w:p w:rsidR="00F0736F" w:rsidRPr="006B234F" w:rsidRDefault="00F0736F"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F0736F" w:rsidRPr="006B234F" w:rsidRDefault="00F0736F" w:rsidP="003E3D6C">
      <w:pPr>
        <w:tabs>
          <w:tab w:val="left" w:pos="7937"/>
          <w:tab w:val="left" w:pos="8222"/>
        </w:tabs>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 xml:space="preserve">“REVISIÓN EN AMPARO. LOS RESOLUTIVOS NO COMBATIDOS DEBEN DECLARARSE FIRMES. </w:t>
      </w:r>
      <w:r w:rsidRPr="006B234F">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w:t>
      </w:r>
      <w:r w:rsidRPr="006B234F">
        <w:rPr>
          <w:rFonts w:ascii="Palatino Linotype" w:eastAsia="Palatino Linotype" w:hAnsi="Palatino Linotype" w:cs="Palatino Linotype"/>
          <w:i/>
          <w:color w:val="000000" w:themeColor="text1"/>
        </w:rPr>
        <w:lastRenderedPageBreak/>
        <w:t>aquéllos en contra de los cuales no se formuló agravio y dicha declaración de firmeza debe reflejarse en la parte considerativa y en los resolutivos debe confirmarse la sentencia recurrida en la parte correspondiente.”</w:t>
      </w:r>
    </w:p>
    <w:p w:rsidR="00644E0D" w:rsidRPr="006B234F" w:rsidRDefault="00644E0D" w:rsidP="003E3D6C">
      <w:pPr>
        <w:tabs>
          <w:tab w:val="left" w:pos="7937"/>
          <w:tab w:val="left" w:pos="8222"/>
        </w:tabs>
        <w:spacing w:line="360" w:lineRule="auto"/>
        <w:ind w:right="49"/>
        <w:jc w:val="both"/>
        <w:rPr>
          <w:rFonts w:ascii="Palatino Linotype" w:eastAsia="Palatino Linotype" w:hAnsi="Palatino Linotype" w:cs="Palatino Linotype"/>
          <w:i/>
          <w:color w:val="000000" w:themeColor="text1"/>
        </w:rPr>
      </w:pPr>
    </w:p>
    <w:p w:rsidR="00F0736F" w:rsidRPr="006B234F" w:rsidRDefault="00644E0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Luego entonces </w:t>
      </w:r>
      <w:r w:rsidR="00B05FE8" w:rsidRPr="006B234F">
        <w:rPr>
          <w:rFonts w:ascii="Palatino Linotype" w:eastAsia="Palatino Linotype" w:hAnsi="Palatino Linotype" w:cs="Palatino Linotype"/>
          <w:color w:val="000000" w:themeColor="text1"/>
        </w:rPr>
        <w:t xml:space="preserve">respecto de </w:t>
      </w:r>
      <w:r w:rsidRPr="006B234F">
        <w:rPr>
          <w:rFonts w:ascii="Palatino Linotype" w:eastAsia="Palatino Linotype" w:hAnsi="Palatino Linotype" w:cs="Palatino Linotype"/>
          <w:color w:val="000000" w:themeColor="text1"/>
        </w:rPr>
        <w:t>los recibos de nómina del personal comisionado,</w:t>
      </w:r>
      <w:r w:rsidR="00F0736F" w:rsidRPr="006B234F">
        <w:rPr>
          <w:rFonts w:ascii="Palatino Linotype" w:eastAsia="Palatino Linotype" w:hAnsi="Palatino Linotype" w:cs="Palatino Linotype"/>
          <w:color w:val="000000" w:themeColor="text1"/>
        </w:rPr>
        <w:t xml:space="preserve"> </w:t>
      </w:r>
      <w:r w:rsidRPr="006B234F">
        <w:rPr>
          <w:rFonts w:ascii="Palatino Linotype" w:eastAsia="Palatino Linotype" w:hAnsi="Palatino Linotype" w:cs="Palatino Linotype"/>
          <w:color w:val="000000" w:themeColor="text1"/>
        </w:rPr>
        <w:t>s</w:t>
      </w:r>
      <w:r w:rsidR="00F0736F" w:rsidRPr="006B234F">
        <w:rPr>
          <w:rFonts w:ascii="Palatino Linotype" w:eastAsia="Palatino Linotype" w:hAnsi="Palatino Linotype" w:cs="Palatino Linotype"/>
          <w:color w:val="000000" w:themeColor="text1"/>
        </w:rPr>
        <w:t xml:space="preserve">e consideran un acto consentido y, en consecuencia, este Órgano Resolutor no entrará al estudio del mismo por las razones hasta aquí expuestas. </w:t>
      </w:r>
    </w:p>
    <w:p w:rsidR="007E1DBF" w:rsidRPr="006B234F" w:rsidRDefault="007E1DBF" w:rsidP="003E3D6C">
      <w:pPr>
        <w:pStyle w:val="Prrafodelista"/>
        <w:spacing w:line="360" w:lineRule="auto"/>
        <w:ind w:left="0" w:right="49"/>
        <w:rPr>
          <w:rFonts w:ascii="Palatino Linotype" w:eastAsia="Palatino Linotype" w:hAnsi="Palatino Linotype" w:cs="Palatino Linotype"/>
          <w:color w:val="000000" w:themeColor="text1"/>
        </w:rPr>
      </w:pPr>
    </w:p>
    <w:p w:rsidR="00B05FE8" w:rsidRPr="006B234F" w:rsidRDefault="00644E0D" w:rsidP="003E3D6C">
      <w:pPr>
        <w:numPr>
          <w:ilvl w:val="0"/>
          <w:numId w:val="1"/>
        </w:numPr>
        <w:spacing w:line="360" w:lineRule="auto"/>
        <w:ind w:left="0" w:right="49" w:firstLine="0"/>
        <w:jc w:val="both"/>
        <w:rPr>
          <w:rFonts w:ascii="Palatino Linotype" w:hAnsi="Palatino Linotype" w:cs="Arial"/>
          <w:color w:val="000000" w:themeColor="text1"/>
        </w:rPr>
      </w:pPr>
      <w:r w:rsidRPr="006B234F">
        <w:rPr>
          <w:rFonts w:ascii="Palatino Linotype" w:hAnsi="Palatino Linotype" w:cs="Arial"/>
          <w:color w:val="000000" w:themeColor="text1"/>
        </w:rPr>
        <w:t xml:space="preserve">En esa tesitura, respecto del </w:t>
      </w:r>
      <w:r w:rsidR="00B05FE8" w:rsidRPr="006B234F">
        <w:rPr>
          <w:rFonts w:ascii="Palatino Linotype" w:hAnsi="Palatino Linotype" w:cs="Arial"/>
          <w:color w:val="000000" w:themeColor="text1"/>
        </w:rPr>
        <w:t xml:space="preserve">rubro impugnado, en donde se propone un </w:t>
      </w:r>
      <w:r w:rsidRPr="006B234F">
        <w:rPr>
          <w:rFonts w:ascii="Palatino Linotype" w:hAnsi="Palatino Linotype" w:cs="Arial"/>
          <w:color w:val="000000" w:themeColor="text1"/>
        </w:rPr>
        <w:t xml:space="preserve">cambio de modalidad </w:t>
      </w:r>
      <w:r w:rsidR="00B05FE8" w:rsidRPr="006B234F">
        <w:rPr>
          <w:rFonts w:ascii="Palatino Linotype" w:hAnsi="Palatino Linotype" w:cs="Arial"/>
          <w:color w:val="000000" w:themeColor="text1"/>
        </w:rPr>
        <w:t>de entrega de</w:t>
      </w:r>
      <w:r w:rsidRPr="006B234F">
        <w:rPr>
          <w:rFonts w:ascii="Palatino Linotype" w:hAnsi="Palatino Linotype" w:cs="Arial"/>
          <w:color w:val="000000" w:themeColor="text1"/>
        </w:rPr>
        <w:t xml:space="preserve"> los recibos de nómina del personal adscrito a la Unidad de Asuntos Internos, </w:t>
      </w:r>
      <w:r w:rsidR="00B05FE8" w:rsidRPr="006B234F">
        <w:rPr>
          <w:rFonts w:ascii="Palatino Linotype" w:hAnsi="Palatino Linotype" w:cs="Arial"/>
          <w:color w:val="000000" w:themeColor="text1"/>
        </w:rPr>
        <w:t>obedece a</w:t>
      </w:r>
      <w:r w:rsidRPr="006B234F">
        <w:rPr>
          <w:rFonts w:ascii="Palatino Linotype" w:hAnsi="Palatino Linotype" w:cs="Arial"/>
          <w:color w:val="000000" w:themeColor="text1"/>
        </w:rPr>
        <w:t xml:space="preserve"> que a decir del </w:t>
      </w:r>
      <w:r w:rsidRPr="006B234F">
        <w:rPr>
          <w:rFonts w:ascii="Palatino Linotype" w:hAnsi="Palatino Linotype" w:cs="Arial"/>
          <w:b/>
          <w:color w:val="000000" w:themeColor="text1"/>
        </w:rPr>
        <w:t>SUJETO OBLIGADO</w:t>
      </w:r>
      <w:r w:rsidRPr="006B234F">
        <w:rPr>
          <w:rFonts w:ascii="Palatino Linotype" w:hAnsi="Palatino Linotype" w:cs="Arial"/>
          <w:color w:val="000000" w:themeColor="text1"/>
        </w:rPr>
        <w:t xml:space="preserve"> </w:t>
      </w:r>
      <w:r w:rsidR="00B05FE8" w:rsidRPr="006B234F">
        <w:rPr>
          <w:rFonts w:ascii="Palatino Linotype" w:hAnsi="Palatino Linotype" w:cs="Arial"/>
          <w:color w:val="000000" w:themeColor="text1"/>
        </w:rPr>
        <w:t>concurre</w:t>
      </w:r>
      <w:r w:rsidRPr="006B234F">
        <w:rPr>
          <w:rFonts w:ascii="Palatino Linotype" w:hAnsi="Palatino Linotype" w:cs="Arial"/>
          <w:color w:val="000000" w:themeColor="text1"/>
        </w:rPr>
        <w:t xml:space="preserve"> una imposibilidad al existir</w:t>
      </w:r>
      <w:r w:rsidR="00CA7D5D" w:rsidRPr="006B234F">
        <w:rPr>
          <w:rFonts w:ascii="Palatino Linotype" w:eastAsia="Palatino Linotype" w:hAnsi="Palatino Linotype" w:cs="Palatino Linotype"/>
          <w:color w:val="000000" w:themeColor="text1"/>
        </w:rPr>
        <w:t xml:space="preserve"> un procedimiento que sobrepasa las capacidades del área poseedora, como lo es</w:t>
      </w:r>
      <w:r w:rsidRPr="006B234F">
        <w:rPr>
          <w:rFonts w:ascii="Palatino Linotype" w:eastAsia="Palatino Linotype" w:hAnsi="Palatino Linotype" w:cs="Palatino Linotype"/>
          <w:color w:val="000000" w:themeColor="text1"/>
        </w:rPr>
        <w:t>: búsqueda de la información</w:t>
      </w:r>
      <w:r w:rsidR="00CA7D5D" w:rsidRPr="006B234F">
        <w:rPr>
          <w:rFonts w:ascii="Palatino Linotype" w:eastAsia="Palatino Linotype" w:hAnsi="Palatino Linotype" w:cs="Palatino Linotype"/>
          <w:color w:val="000000" w:themeColor="text1"/>
        </w:rPr>
        <w:t xml:space="preserve">, </w:t>
      </w:r>
      <w:r w:rsidRPr="006B234F">
        <w:rPr>
          <w:rFonts w:ascii="Palatino Linotype" w:eastAsia="Palatino Linotype" w:hAnsi="Palatino Linotype" w:cs="Palatino Linotype"/>
          <w:color w:val="000000" w:themeColor="text1"/>
        </w:rPr>
        <w:t>extracción y digitalización</w:t>
      </w:r>
      <w:r w:rsidR="00B05FE8" w:rsidRPr="006B234F">
        <w:rPr>
          <w:rFonts w:ascii="Palatino Linotype" w:eastAsia="Palatino Linotype" w:hAnsi="Palatino Linotype" w:cs="Palatino Linotype"/>
          <w:color w:val="000000" w:themeColor="text1"/>
        </w:rPr>
        <w:t>.</w:t>
      </w:r>
    </w:p>
    <w:p w:rsidR="00B05FE8" w:rsidRPr="006B234F" w:rsidRDefault="00B05FE8" w:rsidP="003E3D6C">
      <w:pPr>
        <w:pStyle w:val="Prrafodelista"/>
        <w:ind w:left="0" w:right="49"/>
        <w:rPr>
          <w:rFonts w:ascii="Palatino Linotype" w:eastAsia="Palatino Linotype" w:hAnsi="Palatino Linotype" w:cs="Palatino Linotype"/>
          <w:color w:val="000000" w:themeColor="text1"/>
        </w:rPr>
      </w:pPr>
    </w:p>
    <w:p w:rsidR="006C4EFA" w:rsidRPr="006B234F" w:rsidRDefault="00B05FE8" w:rsidP="003E3D6C">
      <w:pPr>
        <w:numPr>
          <w:ilvl w:val="0"/>
          <w:numId w:val="1"/>
        </w:numPr>
        <w:spacing w:line="360" w:lineRule="auto"/>
        <w:ind w:left="0" w:right="49" w:firstLine="0"/>
        <w:jc w:val="both"/>
        <w:rPr>
          <w:rFonts w:ascii="Palatino Linotype" w:hAnsi="Palatino Linotype" w:cs="Arial"/>
          <w:color w:val="000000" w:themeColor="text1"/>
        </w:rPr>
      </w:pPr>
      <w:r w:rsidRPr="006B234F">
        <w:rPr>
          <w:rFonts w:ascii="Palatino Linotype" w:eastAsia="Palatino Linotype" w:hAnsi="Palatino Linotype" w:cs="Palatino Linotype"/>
          <w:color w:val="000000" w:themeColor="text1"/>
        </w:rPr>
        <w:t>E</w:t>
      </w:r>
      <w:r w:rsidR="00644E0D" w:rsidRPr="006B234F">
        <w:rPr>
          <w:rFonts w:ascii="Palatino Linotype" w:eastAsia="Palatino Linotype" w:hAnsi="Palatino Linotype" w:cs="Palatino Linotype"/>
          <w:color w:val="000000" w:themeColor="text1"/>
        </w:rPr>
        <w:t xml:space="preserve">tapas que deben llevarse </w:t>
      </w:r>
      <w:r w:rsidRPr="006B234F">
        <w:rPr>
          <w:rFonts w:ascii="Palatino Linotype" w:eastAsia="Palatino Linotype" w:hAnsi="Palatino Linotype" w:cs="Palatino Linotype"/>
          <w:color w:val="000000" w:themeColor="text1"/>
        </w:rPr>
        <w:t>a cabo</w:t>
      </w:r>
      <w:r w:rsidR="00CA7D5D" w:rsidRPr="006B234F">
        <w:rPr>
          <w:rFonts w:ascii="Palatino Linotype" w:eastAsia="Palatino Linotype" w:hAnsi="Palatino Linotype" w:cs="Palatino Linotype"/>
          <w:color w:val="000000" w:themeColor="text1"/>
        </w:rPr>
        <w:t xml:space="preserve"> para estar en posibilidad de otorgarla electrónicamente a través del SAIMEX, en disco compacto, USB, correo electrónico o vinculo electrónico, o bien en copias simples o certificadas, información que consta de cincuenta (50) fojas. </w:t>
      </w:r>
    </w:p>
    <w:p w:rsidR="00F22E98" w:rsidRPr="006B234F" w:rsidRDefault="00F22E98" w:rsidP="003E3D6C">
      <w:pPr>
        <w:pStyle w:val="Prrafodelista"/>
        <w:spacing w:line="360" w:lineRule="auto"/>
        <w:ind w:left="0" w:right="49"/>
        <w:rPr>
          <w:rFonts w:ascii="Palatino Linotype" w:eastAsia="Palatino Linotype" w:hAnsi="Palatino Linotype" w:cs="Palatino Linotype"/>
          <w:color w:val="000000" w:themeColor="text1"/>
        </w:rPr>
      </w:pPr>
    </w:p>
    <w:p w:rsidR="005B2DCD" w:rsidRPr="006B234F" w:rsidRDefault="00644E0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hAnsi="Palatino Linotype" w:cs="Arial"/>
          <w:color w:val="000000" w:themeColor="text1"/>
          <w:lang w:val="es-ES"/>
        </w:rPr>
        <w:t>Contexto que se desestima</w:t>
      </w:r>
      <w:r w:rsidR="00B05FE8" w:rsidRPr="006B234F">
        <w:rPr>
          <w:rFonts w:ascii="Palatino Linotype" w:hAnsi="Palatino Linotype" w:cs="Arial"/>
          <w:color w:val="000000" w:themeColor="text1"/>
          <w:lang w:val="es-ES"/>
        </w:rPr>
        <w:t>. Lo anterior</w:t>
      </w:r>
      <w:r w:rsidRPr="006B234F">
        <w:rPr>
          <w:rFonts w:ascii="Palatino Linotype" w:hAnsi="Palatino Linotype" w:cs="Arial"/>
          <w:color w:val="000000" w:themeColor="text1"/>
          <w:lang w:val="es-ES"/>
        </w:rPr>
        <w:t xml:space="preserve"> en virtud que para actualizar un pretendido cambio de modalidad de entrega de la información</w:t>
      </w:r>
      <w:r w:rsidR="005B2DCD" w:rsidRPr="006B234F">
        <w:rPr>
          <w:rFonts w:ascii="Palatino Linotype" w:hAnsi="Palatino Linotype" w:cs="Arial"/>
          <w:color w:val="000000" w:themeColor="text1"/>
          <w:lang w:val="es-ES"/>
        </w:rPr>
        <w:t xml:space="preserve"> es necesario otorgar observancia a lo dispuesto por </w:t>
      </w:r>
      <w:r w:rsidR="005B2DCD" w:rsidRPr="006B234F">
        <w:rPr>
          <w:rFonts w:ascii="Palatino Linotype" w:eastAsia="Palatino Linotype" w:hAnsi="Palatino Linotype" w:cs="Palatino Linotype"/>
          <w:color w:val="000000" w:themeColor="text1"/>
        </w:rPr>
        <w:t xml:space="preserve">el artículo 155, fracción V, de la Ley de Transparencia y Acceso a la Información Pública del Estado de México y Municipios, el cual precisa que para presentar una solicitud, el particular podrá señalar </w:t>
      </w:r>
      <w:r w:rsidR="005B2DCD" w:rsidRPr="006B234F">
        <w:rPr>
          <w:rFonts w:ascii="Palatino Linotype" w:eastAsia="Palatino Linotype" w:hAnsi="Palatino Linotype" w:cs="Palatino Linotype"/>
          <w:b/>
          <w:color w:val="000000" w:themeColor="text1"/>
        </w:rPr>
        <w:t xml:space="preserve">la modalidad en la que prefiere </w:t>
      </w:r>
      <w:r w:rsidR="005B2DCD" w:rsidRPr="006B234F">
        <w:rPr>
          <w:rFonts w:ascii="Palatino Linotype" w:eastAsia="Palatino Linotype" w:hAnsi="Palatino Linotype" w:cs="Palatino Linotype"/>
          <w:b/>
          <w:color w:val="000000" w:themeColor="text1"/>
        </w:rPr>
        <w:lastRenderedPageBreak/>
        <w:t>se otorgue el acceso a la información</w:t>
      </w:r>
      <w:r w:rsidR="005B2DCD" w:rsidRPr="006B234F">
        <w:rPr>
          <w:rFonts w:ascii="Palatino Linotype" w:eastAsia="Palatino Linotype" w:hAnsi="Palatino Linotype" w:cs="Palatino Linotype"/>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rsidR="005B2DCD" w:rsidRPr="006B234F" w:rsidRDefault="005B2DCD" w:rsidP="003E3D6C">
      <w:pPr>
        <w:pStyle w:val="Prrafodelista"/>
        <w:spacing w:line="360" w:lineRule="auto"/>
        <w:ind w:left="0" w:right="49"/>
        <w:rPr>
          <w:rFonts w:ascii="Palatino Linotype" w:eastAsia="Palatino Linotype" w:hAnsi="Palatino Linotype" w:cs="Palatino Linotype"/>
          <w:color w:val="000000" w:themeColor="text1"/>
        </w:rPr>
      </w:pP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color w:val="000000" w:themeColor="text1"/>
        </w:rPr>
        <w:t>Por su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w:t>
      </w:r>
      <w:r w:rsidR="00B05FE8" w:rsidRPr="006B234F">
        <w:rPr>
          <w:rFonts w:ascii="Palatino Linotype" w:eastAsia="Palatino Linotype" w:hAnsi="Palatino Linotype" w:cs="Palatino Linotype"/>
          <w:color w:val="000000" w:themeColor="text1"/>
        </w:rPr>
        <w:t>, podrá</w:t>
      </w:r>
      <w:r w:rsidRPr="006B234F">
        <w:rPr>
          <w:rFonts w:ascii="Palatino Linotype" w:eastAsia="Palatino Linotype" w:hAnsi="Palatino Linotype" w:cs="Palatino Linotype"/>
          <w:color w:val="000000" w:themeColor="text1"/>
        </w:rPr>
        <w:t xml:space="preserve"> poner a disposición del solicitante la información en consulta directa, hecho que en el presente caso no se acredita.</w:t>
      </w:r>
    </w:p>
    <w:p w:rsidR="005B2DCD" w:rsidRPr="006B234F" w:rsidRDefault="005B2DCD" w:rsidP="003E3D6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w:t>
      </w:r>
      <w:r w:rsidRPr="006B234F">
        <w:rPr>
          <w:rFonts w:ascii="Palatino Linotype" w:eastAsia="Palatino Linotype" w:hAnsi="Palatino Linotype" w:cs="Palatino Linotype"/>
          <w:b/>
          <w:color w:val="000000" w:themeColor="text1"/>
        </w:rPr>
        <w:t>se deberá fundar y motivar</w:t>
      </w:r>
      <w:r w:rsidRPr="006B234F">
        <w:rPr>
          <w:rFonts w:ascii="Palatino Linotype" w:eastAsia="Palatino Linotype" w:hAnsi="Palatino Linotype" w:cs="Palatino Linotype"/>
          <w:color w:val="000000" w:themeColor="text1"/>
        </w:rPr>
        <w:t xml:space="preserve"> la necesidad de ofrecer otras modalidades.</w:t>
      </w:r>
    </w:p>
    <w:p w:rsidR="005B2DCD" w:rsidRPr="006B234F" w:rsidRDefault="005B2DCD" w:rsidP="003E3D6C">
      <w:pPr>
        <w:spacing w:line="360" w:lineRule="auto"/>
        <w:ind w:right="49"/>
        <w:jc w:val="both"/>
        <w:rPr>
          <w:rFonts w:ascii="Palatino Linotype" w:eastAsia="Palatino Linotype" w:hAnsi="Palatino Linotype" w:cs="Palatino Linotype"/>
          <w:color w:val="000000" w:themeColor="text1"/>
        </w:rPr>
      </w:pP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B234F">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6B234F">
        <w:rPr>
          <w:rFonts w:ascii="Palatino Linotype" w:eastAsia="Palatino Linotype" w:hAnsi="Palatino Linotype" w:cs="Palatino Linotype"/>
          <w:color w:val="000000" w:themeColor="text1"/>
        </w:rPr>
        <w:t xml:space="preserve">, en cuyo caso, deberán exponerse las razones por las cuales no es posible </w:t>
      </w:r>
      <w:r w:rsidRPr="006B234F">
        <w:rPr>
          <w:rFonts w:ascii="Palatino Linotype" w:eastAsia="Palatino Linotype" w:hAnsi="Palatino Linotype" w:cs="Palatino Linotype"/>
          <w:color w:val="000000" w:themeColor="text1"/>
        </w:rPr>
        <w:lastRenderedPageBreak/>
        <w:t xml:space="preserve">utilizar el medio de reproducción solicitado; en este sentido, la entrega de la información en una modalidad distinta a la elegida por la particular </w:t>
      </w:r>
      <w:r w:rsidRPr="006B234F">
        <w:rPr>
          <w:rFonts w:ascii="Palatino Linotype" w:eastAsia="Palatino Linotype" w:hAnsi="Palatino Linotype" w:cs="Palatino Linotype"/>
          <w:b/>
          <w:color w:val="000000" w:themeColor="text1"/>
        </w:rPr>
        <w:t>sólo procede, en caso de que se acredite la imposibilidad de atenderla.</w:t>
      </w:r>
      <w:r w:rsidRPr="006B234F">
        <w:rPr>
          <w:rFonts w:ascii="Palatino Linotype" w:eastAsia="Palatino Linotype" w:hAnsi="Palatino Linotype" w:cs="Palatino Linotype"/>
          <w:color w:val="000000" w:themeColor="text1"/>
        </w:rPr>
        <w:t xml:space="preserve"> </w:t>
      </w:r>
    </w:p>
    <w:p w:rsidR="005B2DCD" w:rsidRPr="006B234F" w:rsidRDefault="005B2DCD" w:rsidP="003E3D6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Así, cuando se justifique el impedimento, los Sujetos Obligados deberán ofrecer al</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particular</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5B2DCD" w:rsidRPr="006B234F" w:rsidRDefault="005B2DCD"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6B234F">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5B2DCD" w:rsidRPr="006B234F" w:rsidRDefault="005B2DCD" w:rsidP="003E3D6C">
      <w:pPr>
        <w:spacing w:line="360" w:lineRule="auto"/>
        <w:ind w:right="49"/>
        <w:jc w:val="both"/>
        <w:rPr>
          <w:rFonts w:ascii="Palatino Linotype" w:eastAsia="Palatino Linotype" w:hAnsi="Palatino Linotype" w:cs="Palatino Linotype"/>
          <w:color w:val="000000" w:themeColor="text1"/>
        </w:rPr>
      </w:pP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color w:val="000000" w:themeColor="text1"/>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5B2DCD" w:rsidRPr="006B234F" w:rsidRDefault="005B2DCD" w:rsidP="003E3D6C">
      <w:pPr>
        <w:numPr>
          <w:ilvl w:val="0"/>
          <w:numId w:val="3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Las razones por las cuales la información implicaba un análisis, estudio o procesamiento de datos;</w:t>
      </w:r>
    </w:p>
    <w:p w:rsidR="005B2DCD" w:rsidRPr="006B234F" w:rsidRDefault="005B2DCD" w:rsidP="003E3D6C">
      <w:pPr>
        <w:numPr>
          <w:ilvl w:val="0"/>
          <w:numId w:val="3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El tiempo no es suficiente para atender la solicitud en la modalidad elegida, y</w:t>
      </w:r>
    </w:p>
    <w:p w:rsidR="005B2DCD" w:rsidRPr="006B234F" w:rsidRDefault="005B2DCD" w:rsidP="003E3D6C">
      <w:pPr>
        <w:numPr>
          <w:ilvl w:val="0"/>
          <w:numId w:val="3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La cantidad de recursos humanos y materiales con los que cuenta el Sujeto Obligado son insuficientes.</w:t>
      </w:r>
    </w:p>
    <w:p w:rsidR="005B2DCD" w:rsidRPr="006B234F" w:rsidRDefault="005B2DCD" w:rsidP="003E3D6C">
      <w:pPr>
        <w:spacing w:line="360" w:lineRule="auto"/>
        <w:ind w:right="49"/>
        <w:jc w:val="both"/>
        <w:rPr>
          <w:rFonts w:ascii="Palatino Linotype" w:eastAsia="Palatino Linotype" w:hAnsi="Palatino Linotype" w:cs="Palatino Linotype"/>
          <w:b/>
          <w:color w:val="000000" w:themeColor="text1"/>
        </w:rPr>
      </w:pPr>
    </w:p>
    <w:p w:rsidR="005B2DCD" w:rsidRPr="006B234F" w:rsidRDefault="005B2DCD"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Luego entonces, se insiste que en el asunto de mérito es evidente que no se acreditó la imposibilidad para proporcionar la información a través del Sistema de Acceso a la Información Mexiquense. Bajo los argumentos expuestos, resulta procedente ordenar al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xml:space="preserve"> poner a disposición de la persona solicitante la información requerida, en la modalidad inicialmente elegida; es decir a través de correo electrónico y del SAIMEX,</w:t>
      </w:r>
      <w:r w:rsidRPr="006B234F">
        <w:rPr>
          <w:rFonts w:ascii="Palatino Linotype" w:hAnsi="Palatino Linotype"/>
          <w:color w:val="000000" w:themeColor="text1"/>
        </w:rPr>
        <w:t xml:space="preserve"> </w:t>
      </w:r>
      <w:r w:rsidRPr="006B234F">
        <w:rPr>
          <w:rFonts w:ascii="Palatino Linotype" w:eastAsia="Palatino Linotype" w:hAnsi="Palatino Linotype" w:cs="Palatino Linotype"/>
          <w:color w:val="000000" w:themeColor="text1"/>
        </w:rPr>
        <w:t>dado que no se acredita que lo solicitado supera las capacidades técnicas del SAIMEX</w:t>
      </w:r>
      <w:r w:rsidR="00B05FE8" w:rsidRPr="006B234F">
        <w:rPr>
          <w:rFonts w:ascii="Palatino Linotype" w:eastAsia="Palatino Linotype" w:hAnsi="Palatino Linotype" w:cs="Palatino Linotype"/>
          <w:color w:val="000000" w:themeColor="text1"/>
        </w:rPr>
        <w:t xml:space="preserve"> que es de ocho mil hojas</w:t>
      </w:r>
      <w:r w:rsidRPr="006B234F">
        <w:rPr>
          <w:rFonts w:ascii="Palatino Linotype" w:eastAsia="Palatino Linotype" w:hAnsi="Palatino Linotype" w:cs="Palatino Linotype"/>
          <w:color w:val="000000" w:themeColor="text1"/>
        </w:rPr>
        <w:t xml:space="preserve"> (8,000), de lo que se tiene certeza; toda vez que el propio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xml:space="preserve"> i</w:t>
      </w:r>
      <w:r w:rsidR="00B05FE8" w:rsidRPr="006B234F">
        <w:rPr>
          <w:rFonts w:ascii="Palatino Linotype" w:eastAsia="Palatino Linotype" w:hAnsi="Palatino Linotype" w:cs="Palatino Linotype"/>
          <w:color w:val="000000" w:themeColor="text1"/>
        </w:rPr>
        <w:t>ndica que se trata el soporte documental a entregar</w:t>
      </w:r>
      <w:r w:rsidRPr="006B234F">
        <w:rPr>
          <w:rFonts w:ascii="Palatino Linotype" w:eastAsia="Palatino Linotype" w:hAnsi="Palatino Linotype" w:cs="Palatino Linotype"/>
          <w:color w:val="000000" w:themeColor="text1"/>
        </w:rPr>
        <w:t xml:space="preserve"> de cincuenta (50) fojas, lo que evidentemente no supera capacidades técnicas.</w:t>
      </w:r>
    </w:p>
    <w:p w:rsidR="005B2DCD" w:rsidRPr="006B234F" w:rsidRDefault="005B2DCD" w:rsidP="003E3D6C">
      <w:pPr>
        <w:spacing w:line="360" w:lineRule="auto"/>
        <w:ind w:right="49"/>
        <w:jc w:val="both"/>
        <w:rPr>
          <w:rFonts w:ascii="Palatino Linotype" w:eastAsia="Palatino Linotype" w:hAnsi="Palatino Linotype" w:cs="Palatino Linotype"/>
          <w:color w:val="000000" w:themeColor="text1"/>
        </w:rPr>
      </w:pPr>
    </w:p>
    <w:p w:rsidR="005B2DCD" w:rsidRPr="006B234F" w:rsidRDefault="00A77DDE" w:rsidP="003E3D6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Por otro lado, relativo al argumento de que debe realizarse una búsqueda de la información como imposibilidad, corresponde a un contexto que indiscutiblemente </w:t>
      </w:r>
      <w:r w:rsidRPr="006B234F">
        <w:rPr>
          <w:rFonts w:ascii="Palatino Linotype" w:eastAsia="Palatino Linotype" w:hAnsi="Palatino Linotype" w:cs="Palatino Linotype"/>
          <w:color w:val="000000" w:themeColor="text1"/>
        </w:rPr>
        <w:lastRenderedPageBreak/>
        <w:t xml:space="preserve">resulta improcedente, al ser esta una obligación de los sujetos </w:t>
      </w:r>
      <w:r w:rsidR="00B05FE8" w:rsidRPr="006B234F">
        <w:rPr>
          <w:rFonts w:ascii="Palatino Linotype" w:eastAsia="Palatino Linotype" w:hAnsi="Palatino Linotype" w:cs="Palatino Linotype"/>
          <w:color w:val="000000" w:themeColor="text1"/>
        </w:rPr>
        <w:t xml:space="preserve">obligados </w:t>
      </w:r>
      <w:r w:rsidRPr="006B234F">
        <w:rPr>
          <w:rFonts w:ascii="Palatino Linotype" w:eastAsia="Palatino Linotype" w:hAnsi="Palatino Linotype" w:cs="Palatino Linotype"/>
          <w:color w:val="000000" w:themeColor="text1"/>
        </w:rPr>
        <w:t>la búsqueda y localización de la información y de ser el caso, su digitalización</w:t>
      </w:r>
      <w:r w:rsidR="00B05FE8" w:rsidRPr="006B234F">
        <w:rPr>
          <w:rFonts w:ascii="Palatino Linotype" w:eastAsia="Palatino Linotype" w:hAnsi="Palatino Linotype" w:cs="Palatino Linotype"/>
          <w:color w:val="000000" w:themeColor="text1"/>
        </w:rPr>
        <w:t>, ante la interposición de solicitudes de información;</w:t>
      </w:r>
      <w:r w:rsidRPr="006B234F">
        <w:rPr>
          <w:rFonts w:ascii="Palatino Linotype" w:eastAsia="Palatino Linotype" w:hAnsi="Palatino Linotype" w:cs="Palatino Linotype"/>
          <w:color w:val="000000" w:themeColor="text1"/>
        </w:rPr>
        <w:t xml:space="preserve"> luego entonces no resulta aplicable como argumento para sustentar un cambio de modalidad, sirve por analogía el Criterio Reiterado 02/19 emitido por este Instituto, a saber:</w:t>
      </w:r>
    </w:p>
    <w:p w:rsidR="00A77DDE" w:rsidRPr="006B234F" w:rsidRDefault="00A77DDE" w:rsidP="003E3D6C">
      <w:pPr>
        <w:spacing w:line="360" w:lineRule="auto"/>
        <w:ind w:right="49"/>
        <w:jc w:val="both"/>
        <w:rPr>
          <w:rFonts w:ascii="Palatino Linotype" w:hAnsi="Palatino Linotype"/>
          <w:color w:val="000000" w:themeColor="text1"/>
        </w:rPr>
      </w:pPr>
      <w:r w:rsidRPr="006B234F">
        <w:rPr>
          <w:rFonts w:ascii="Palatino Linotype" w:hAnsi="Palatino Linotype"/>
          <w:b/>
          <w:i/>
          <w:color w:val="000000" w:themeColor="text1"/>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B234F">
        <w:rPr>
          <w:rFonts w:ascii="Palatino Linotype" w:hAnsi="Palatino Linotype"/>
          <w:i/>
          <w:color w:val="000000" w:themeColor="text1"/>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w:t>
      </w:r>
      <w:r w:rsidRPr="006B234F">
        <w:rPr>
          <w:rFonts w:ascii="Palatino Linotype" w:hAnsi="Palatino Linotype"/>
          <w:b/>
          <w:i/>
          <w:color w:val="000000" w:themeColor="text1"/>
          <w:u w:val="single"/>
        </w:rPr>
        <w:t>esta búsqueda es una actividad necesaria e indispensable para la correcta atención de las solicitudes de información que permite la localización de aquella documentación requerida por el solicitante</w:t>
      </w:r>
      <w:r w:rsidRPr="006B234F">
        <w:rPr>
          <w:rFonts w:ascii="Palatino Linotype" w:hAnsi="Palatino Linotype"/>
          <w:i/>
          <w:color w:val="000000" w:themeColor="text1"/>
        </w:rPr>
        <w:t xml:space="preserv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w:t>
      </w:r>
      <w:r w:rsidRPr="006B234F">
        <w:rPr>
          <w:rFonts w:ascii="Palatino Linotype" w:hAnsi="Palatino Linotype"/>
          <w:i/>
          <w:color w:val="000000" w:themeColor="text1"/>
        </w:rPr>
        <w:lastRenderedPageBreak/>
        <w:t>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r w:rsidRPr="006B234F">
        <w:rPr>
          <w:rFonts w:ascii="Palatino Linotype" w:hAnsi="Palatino Linotype"/>
          <w:color w:val="000000" w:themeColor="text1"/>
        </w:rPr>
        <w:t xml:space="preserve"> </w:t>
      </w:r>
    </w:p>
    <w:p w:rsidR="00A77DDE" w:rsidRPr="006B234F" w:rsidRDefault="00A77DDE" w:rsidP="003E3D6C">
      <w:pPr>
        <w:spacing w:line="360" w:lineRule="auto"/>
        <w:ind w:right="49"/>
        <w:jc w:val="both"/>
        <w:rPr>
          <w:rFonts w:ascii="Palatino Linotype" w:hAnsi="Palatino Linotype"/>
          <w:color w:val="000000" w:themeColor="text1"/>
        </w:rPr>
      </w:pPr>
      <w:r w:rsidRPr="006B234F">
        <w:rPr>
          <w:rFonts w:ascii="Palatino Linotype" w:hAnsi="Palatino Linotype"/>
          <w:color w:val="000000" w:themeColor="text1"/>
        </w:rPr>
        <w:t>Énfasis añadido</w:t>
      </w:r>
    </w:p>
    <w:p w:rsidR="005B2DCD" w:rsidRPr="006B234F" w:rsidRDefault="005B2DCD" w:rsidP="003E3D6C">
      <w:pPr>
        <w:spacing w:line="360" w:lineRule="auto"/>
        <w:ind w:right="49"/>
        <w:jc w:val="both"/>
        <w:rPr>
          <w:rFonts w:ascii="Palatino Linotype" w:eastAsia="Palatino Linotype" w:hAnsi="Palatino Linotype" w:cs="Palatino Linotype"/>
          <w:color w:val="000000" w:themeColor="text1"/>
        </w:rPr>
      </w:pPr>
    </w:p>
    <w:p w:rsidR="006C4EFA" w:rsidRPr="006B234F" w:rsidRDefault="006C4EFA" w:rsidP="003E3D6C">
      <w:pPr>
        <w:numPr>
          <w:ilvl w:val="0"/>
          <w:numId w:val="1"/>
        </w:numPr>
        <w:spacing w:line="360" w:lineRule="auto"/>
        <w:ind w:left="0" w:right="49" w:firstLine="0"/>
        <w:jc w:val="both"/>
        <w:rPr>
          <w:rFonts w:ascii="Palatino Linotype" w:hAnsi="Palatino Linotype" w:cs="Arial"/>
          <w:color w:val="000000" w:themeColor="text1"/>
          <w:lang w:val="es-ES"/>
        </w:rPr>
      </w:pPr>
      <w:r w:rsidRPr="006B234F">
        <w:rPr>
          <w:rFonts w:ascii="Palatino Linotype" w:eastAsia="Palatino Linotype" w:hAnsi="Palatino Linotype" w:cs="Palatino Linotype"/>
          <w:color w:val="000000" w:themeColor="text1"/>
        </w:rPr>
        <w:t xml:space="preserve">En esa tesitura </w:t>
      </w:r>
      <w:r w:rsidR="00A77DDE" w:rsidRPr="006B234F">
        <w:rPr>
          <w:rFonts w:ascii="Palatino Linotype" w:eastAsia="Palatino Linotype" w:hAnsi="Palatino Linotype" w:cs="Palatino Linotype"/>
          <w:color w:val="000000" w:themeColor="text1"/>
        </w:rPr>
        <w:t xml:space="preserve">es dable ordenar los multicitados recibos de nómina, mismos que han sido asumidos de manera expresa por el </w:t>
      </w:r>
      <w:r w:rsidR="00A77DDE" w:rsidRPr="006B234F">
        <w:rPr>
          <w:rFonts w:ascii="Palatino Linotype" w:eastAsia="Palatino Linotype" w:hAnsi="Palatino Linotype" w:cs="Palatino Linotype"/>
          <w:b/>
          <w:color w:val="000000" w:themeColor="text1"/>
        </w:rPr>
        <w:t>SUJETO OBLIGADO</w:t>
      </w:r>
      <w:r w:rsidR="00A77DDE" w:rsidRPr="006B234F">
        <w:rPr>
          <w:rFonts w:ascii="Palatino Linotype" w:eastAsia="Palatino Linotype" w:hAnsi="Palatino Linotype" w:cs="Palatino Linotype"/>
          <w:color w:val="000000" w:themeColor="text1"/>
        </w:rPr>
        <w:t xml:space="preserve">, siendo dable omitir un análisis pormenorizado de su fuente obligacional para determinar si los genera, posee o administra, pues se insiste ya asumió contar con ellos tan es así que los pone en consulta directa y conoce el número de fojas que integran el soporte documental. Lo anterior con fundamento en </w:t>
      </w:r>
      <w:r w:rsidRPr="006B234F">
        <w:rPr>
          <w:rFonts w:ascii="Palatino Linotype" w:eastAsia="Palatino Linotype" w:hAnsi="Palatino Linotype" w:cs="Palatino Linotype"/>
          <w:color w:val="000000" w:themeColor="text1"/>
        </w:rPr>
        <w:t>l</w:t>
      </w:r>
      <w:r w:rsidRPr="006B234F">
        <w:rPr>
          <w:rFonts w:ascii="Palatino Linotype" w:hAnsi="Palatino Linotype" w:cs="Arial"/>
          <w:color w:val="000000" w:themeColor="text1"/>
          <w:lang w:val="es-ES"/>
        </w:rPr>
        <w:t>os artículos 1</w:t>
      </w:r>
      <w:r w:rsidR="00651421" w:rsidRPr="006B234F">
        <w:rPr>
          <w:rFonts w:ascii="Palatino Linotype" w:hAnsi="Palatino Linotype" w:cs="Arial"/>
          <w:color w:val="000000" w:themeColor="text1"/>
          <w:lang w:val="es-ES"/>
        </w:rPr>
        <w:t>2</w:t>
      </w:r>
      <w:r w:rsidRPr="006B234F">
        <w:rPr>
          <w:rFonts w:ascii="Palatino Linotype" w:hAnsi="Palatino Linotype" w:cs="Arial"/>
          <w:color w:val="000000" w:themeColor="text1"/>
          <w:lang w:val="es-ES"/>
        </w:rPr>
        <w:t xml:space="preserve"> de la Ley de Transparencia y Acceso a la Información Pública del Estado de México y Municipios:</w:t>
      </w:r>
    </w:p>
    <w:p w:rsidR="00651421" w:rsidRPr="006B234F" w:rsidRDefault="00651421" w:rsidP="003E3D6C">
      <w:pPr>
        <w:spacing w:line="360" w:lineRule="auto"/>
        <w:ind w:right="49"/>
        <w:jc w:val="both"/>
        <w:rPr>
          <w:rFonts w:ascii="Palatino Linotype" w:hAnsi="Palatino Linotype"/>
          <w:i/>
          <w:color w:val="000000" w:themeColor="text1"/>
        </w:rPr>
      </w:pPr>
      <w:r w:rsidRPr="006B234F">
        <w:rPr>
          <w:rFonts w:ascii="Palatino Linotype" w:hAnsi="Palatino Linotype"/>
          <w:i/>
          <w:color w:val="000000" w:themeColor="text1"/>
        </w:rPr>
        <w:t>“Artículo 12. Quienes generen, recopilen, administren, manejen, procesen, archiven o conserven información pública serán responsables de la misma en los términos de las disposiciones jurídicas aplicables.</w:t>
      </w:r>
    </w:p>
    <w:p w:rsidR="006C4EFA" w:rsidRPr="006B234F" w:rsidRDefault="00651421" w:rsidP="003E3D6C">
      <w:pPr>
        <w:spacing w:line="360" w:lineRule="auto"/>
        <w:ind w:right="49"/>
        <w:jc w:val="both"/>
        <w:rPr>
          <w:rFonts w:ascii="Palatino Linotype" w:hAnsi="Palatino Linotype"/>
          <w:i/>
          <w:color w:val="000000" w:themeColor="text1"/>
        </w:rPr>
      </w:pPr>
      <w:r w:rsidRPr="006B234F">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C4EFA" w:rsidRPr="006B234F" w:rsidRDefault="006C4EFA" w:rsidP="003E3D6C">
      <w:pPr>
        <w:spacing w:line="360" w:lineRule="auto"/>
        <w:ind w:right="49"/>
        <w:jc w:val="both"/>
        <w:rPr>
          <w:rFonts w:ascii="Palatino Linotype" w:hAnsi="Palatino Linotype"/>
          <w:b/>
          <w:i/>
          <w:color w:val="000000" w:themeColor="text1"/>
        </w:rPr>
      </w:pPr>
    </w:p>
    <w:p w:rsidR="00A43841" w:rsidRPr="006B234F" w:rsidRDefault="00A4384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Finalmente no pasa desapercibido que los extremos temporales propuestos por el </w:t>
      </w:r>
      <w:r w:rsidRPr="006B234F">
        <w:rPr>
          <w:rFonts w:ascii="Palatino Linotype" w:eastAsia="Palatino Linotype" w:hAnsi="Palatino Linotype" w:cs="Palatino Linotype"/>
          <w:b/>
          <w:color w:val="000000" w:themeColor="text1"/>
        </w:rPr>
        <w:t xml:space="preserve">RECURRENTE </w:t>
      </w:r>
      <w:r w:rsidRPr="006B234F">
        <w:rPr>
          <w:rFonts w:ascii="Palatino Linotype" w:eastAsia="Palatino Linotype" w:hAnsi="Palatino Linotype" w:cs="Palatino Linotype"/>
          <w:color w:val="000000" w:themeColor="text1"/>
        </w:rPr>
        <w:t xml:space="preserve">son del 01 de enero de 2025 al 05 de marzo de marzo de 2025; es decir al día en que interpuso su solicitud de información, sin embargo al encontrarse en curso la </w:t>
      </w:r>
      <w:r w:rsidRPr="006B234F">
        <w:rPr>
          <w:rFonts w:ascii="Palatino Linotype" w:eastAsia="Palatino Linotype" w:hAnsi="Palatino Linotype" w:cs="Palatino Linotype"/>
          <w:color w:val="000000" w:themeColor="text1"/>
        </w:rPr>
        <w:lastRenderedPageBreak/>
        <w:t>primera quincena de marzo en dicha temporalidad, lo dable es ordenar de la primera quincena de enero a la segundo de febrero del año en curso, por ser las quincenas que ya se han materializado al 05 de marzo de 2025.</w:t>
      </w:r>
    </w:p>
    <w:p w:rsidR="00A43841" w:rsidRPr="006B234F" w:rsidRDefault="00A43841" w:rsidP="003E3D6C">
      <w:pPr>
        <w:pStyle w:val="Sinespaciado"/>
        <w:spacing w:line="360" w:lineRule="auto"/>
        <w:ind w:right="49"/>
        <w:jc w:val="both"/>
        <w:rPr>
          <w:rFonts w:ascii="Palatino Linotype" w:eastAsia="Palatino Linotype" w:hAnsi="Palatino Linotype" w:cs="Palatino Linotype"/>
          <w:color w:val="000000" w:themeColor="text1"/>
        </w:rPr>
      </w:pPr>
    </w:p>
    <w:p w:rsidR="00313EA6" w:rsidRPr="006B234F" w:rsidRDefault="00313EA6"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w:t>
      </w:r>
      <w:r w:rsidRPr="006B234F">
        <w:rPr>
          <w:rFonts w:ascii="Palatino Linotype" w:hAnsi="Palatino Linotype"/>
          <w:color w:val="000000" w:themeColor="text1"/>
        </w:rPr>
        <w:t>Garante</w:t>
      </w:r>
      <w:r w:rsidRPr="006B234F">
        <w:rPr>
          <w:rFonts w:ascii="Palatino Linotype" w:eastAsia="Palatino Linotype" w:hAnsi="Palatino Linotype" w:cs="Palatino Linotype"/>
          <w:color w:val="000000" w:themeColor="text1"/>
        </w:rPr>
        <w:t xml:space="preserve"> corresponde a la  </w:t>
      </w:r>
      <w:r w:rsidRPr="006B234F">
        <w:rPr>
          <w:rFonts w:ascii="Palatino Linotype" w:eastAsia="Palatino Linotype" w:hAnsi="Palatino Linotype" w:cs="Palatino Linotype"/>
          <w:i/>
          <w:color w:val="000000" w:themeColor="text1"/>
        </w:rPr>
        <w:t>igualdad de oportunidades para recibir, buscar e impartir información</w:t>
      </w:r>
      <w:r w:rsidRPr="006B234F">
        <w:rPr>
          <w:rFonts w:ascii="Palatino Linotype" w:eastAsia="Palatino Linotype" w:hAnsi="Palatino Linotype" w:cs="Palatino Linotype"/>
          <w:i/>
          <w:color w:val="000000" w:themeColor="text1"/>
          <w:vertAlign w:val="superscript"/>
        </w:rPr>
        <w:footnoteReference w:id="1"/>
      </w:r>
      <w:r w:rsidRPr="006B234F">
        <w:rPr>
          <w:rFonts w:ascii="Palatino Linotype" w:eastAsia="Palatino Linotype" w:hAnsi="Palatino Linotype" w:cs="Palatino Linotype"/>
          <w:i/>
          <w:color w:val="000000" w:themeColor="text1"/>
        </w:rPr>
        <w:t xml:space="preserve"> en posesión de cualquier autoridad, entidad, órgano y organismo de los </w:t>
      </w:r>
      <w:r w:rsidRPr="006B234F">
        <w:rPr>
          <w:rFonts w:ascii="Palatino Linotype" w:eastAsia="Palatino Linotype" w:hAnsi="Palatino Linotype" w:cs="Palatino Linotype"/>
          <w:color w:val="000000" w:themeColor="text1"/>
        </w:rPr>
        <w:t>poderes</w:t>
      </w:r>
      <w:r w:rsidRPr="006B234F">
        <w:rPr>
          <w:rFonts w:ascii="Palatino Linotype" w:eastAsia="Palatino Linotype" w:hAnsi="Palatino Linotype" w:cs="Palatino Linotype"/>
          <w:i/>
          <w:color w:val="000000" w:themeColor="text1"/>
        </w:rPr>
        <w:t xml:space="preserve"> Ejecutivo, Legislativo y Judicial, órganos autónomos, partidos políticos, </w:t>
      </w:r>
      <w:r w:rsidRPr="006B234F">
        <w:rPr>
          <w:rFonts w:ascii="Palatino Linotype" w:eastAsia="Palatino Linotype" w:hAnsi="Palatino Linotype" w:cs="Palatino Linotype"/>
          <w:color w:val="000000" w:themeColor="text1"/>
        </w:rPr>
        <w:t>fideicomisos</w:t>
      </w:r>
      <w:r w:rsidRPr="006B234F">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6B234F">
        <w:rPr>
          <w:rFonts w:ascii="Palatino Linotype" w:eastAsia="Palatino Linotype" w:hAnsi="Palatino Linotype" w:cs="Palatino Linotype"/>
          <w:color w:val="000000" w:themeColor="text1"/>
          <w:vertAlign w:val="superscript"/>
        </w:rPr>
        <w:footnoteReference w:id="2"/>
      </w:r>
      <w:r w:rsidRPr="006B234F">
        <w:rPr>
          <w:rFonts w:ascii="Palatino Linotype" w:eastAsia="Palatino Linotype" w:hAnsi="Palatino Linotype" w:cs="Palatino Linotype"/>
          <w:i/>
          <w:color w:val="000000" w:themeColor="text1"/>
        </w:rPr>
        <w:t xml:space="preserve"> </w:t>
      </w:r>
      <w:r w:rsidRPr="006B234F">
        <w:rPr>
          <w:rFonts w:ascii="Palatino Linotype" w:eastAsia="Palatino Linotype" w:hAnsi="Palatino Linotype" w:cs="Palatino Linotype"/>
          <w:color w:val="000000" w:themeColor="text1"/>
        </w:rPr>
        <w:t xml:space="preserve">que se constituye como una herramienta fundamental para </w:t>
      </w:r>
      <w:r w:rsidRPr="006B234F">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6B234F">
        <w:rPr>
          <w:rFonts w:ascii="Palatino Linotype" w:eastAsia="Palatino Linotype" w:hAnsi="Palatino Linotype" w:cs="Palatino Linotype"/>
          <w:i/>
          <w:color w:val="000000" w:themeColor="text1"/>
          <w:vertAlign w:val="superscript"/>
        </w:rPr>
        <w:footnoteReference w:id="3"/>
      </w:r>
      <w:r w:rsidRPr="006B234F">
        <w:rPr>
          <w:rFonts w:ascii="Palatino Linotype" w:eastAsia="Palatino Linotype" w:hAnsi="Palatino Linotype" w:cs="Palatino Linotype"/>
          <w:color w:val="000000" w:themeColor="text1"/>
        </w:rPr>
        <w:t>fomentando</w:t>
      </w:r>
      <w:r w:rsidRPr="006B234F">
        <w:rPr>
          <w:rFonts w:ascii="Palatino Linotype" w:eastAsia="Palatino Linotype" w:hAnsi="Palatino Linotype" w:cs="Palatino Linotype"/>
          <w:i/>
          <w:color w:val="000000" w:themeColor="text1"/>
        </w:rPr>
        <w:t xml:space="preserve"> la transparencia de las actividades estatales y</w:t>
      </w:r>
      <w:r w:rsidRPr="006B234F">
        <w:rPr>
          <w:rFonts w:ascii="Palatino Linotype" w:eastAsia="Palatino Linotype" w:hAnsi="Palatino Linotype" w:cs="Palatino Linotype"/>
          <w:color w:val="000000" w:themeColor="text1"/>
        </w:rPr>
        <w:t xml:space="preserve"> promoviendo</w:t>
      </w:r>
      <w:r w:rsidRPr="006B234F">
        <w:rPr>
          <w:rFonts w:ascii="Palatino Linotype" w:eastAsia="Palatino Linotype" w:hAnsi="Palatino Linotype" w:cs="Palatino Linotype"/>
          <w:i/>
          <w:color w:val="000000" w:themeColor="text1"/>
        </w:rPr>
        <w:t xml:space="preserve"> la responsabilidad de los funcionarios sobre su gestión pública</w:t>
      </w:r>
      <w:r w:rsidRPr="006B234F">
        <w:rPr>
          <w:rFonts w:ascii="Palatino Linotype" w:eastAsia="Palatino Linotype" w:hAnsi="Palatino Linotype" w:cs="Palatino Linotype"/>
          <w:i/>
          <w:color w:val="000000" w:themeColor="text1"/>
          <w:vertAlign w:val="superscript"/>
        </w:rPr>
        <w:footnoteReference w:id="4"/>
      </w:r>
      <w:r w:rsidRPr="006B234F">
        <w:rPr>
          <w:rFonts w:ascii="Palatino Linotype" w:eastAsia="Palatino Linotype" w:hAnsi="Palatino Linotype" w:cs="Palatino Linotype"/>
          <w:i/>
          <w:color w:val="000000" w:themeColor="text1"/>
        </w:rPr>
        <w:t xml:space="preserve"> </w:t>
      </w:r>
      <w:r w:rsidRPr="006B234F">
        <w:rPr>
          <w:rFonts w:ascii="Palatino Linotype" w:eastAsia="Palatino Linotype" w:hAnsi="Palatino Linotype" w:cs="Palatino Linotype"/>
          <w:color w:val="000000" w:themeColor="text1"/>
        </w:rPr>
        <w:t>que permite</w:t>
      </w:r>
      <w:r w:rsidRPr="006B234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6B234F">
        <w:rPr>
          <w:rFonts w:ascii="Palatino Linotype" w:eastAsia="Palatino Linotype" w:hAnsi="Palatino Linotype" w:cs="Palatino Linotype"/>
          <w:i/>
          <w:color w:val="000000" w:themeColor="text1"/>
          <w:vertAlign w:val="superscript"/>
        </w:rPr>
        <w:footnoteReference w:id="5"/>
      </w:r>
      <w:r w:rsidRPr="006B234F">
        <w:rPr>
          <w:rFonts w:ascii="Palatino Linotype" w:eastAsia="Palatino Linotype" w:hAnsi="Palatino Linotype" w:cs="Palatino Linotype"/>
          <w:color w:val="000000" w:themeColor="text1"/>
        </w:rPr>
        <w:t xml:space="preserve"> ” </w:t>
      </w:r>
    </w:p>
    <w:p w:rsidR="00313EA6" w:rsidRPr="006B234F" w:rsidRDefault="00313EA6"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3EA6" w:rsidRPr="006B234F" w:rsidRDefault="00313EA6" w:rsidP="003E3D6C">
      <w:pPr>
        <w:spacing w:line="360" w:lineRule="auto"/>
        <w:ind w:right="49"/>
        <w:jc w:val="both"/>
        <w:rPr>
          <w:rFonts w:ascii="Palatino Linotype" w:eastAsia="Palatino Linotype" w:hAnsi="Palatino Linotype" w:cs="Palatino Linotype"/>
          <w:b/>
          <w:i/>
          <w:color w:val="000000" w:themeColor="text1"/>
        </w:rPr>
      </w:pPr>
      <w:r w:rsidRPr="006B234F">
        <w:rPr>
          <w:rFonts w:ascii="Palatino Linotype" w:eastAsia="Palatino Linotype" w:hAnsi="Palatino Linotype" w:cs="Palatino Linotype"/>
          <w:b/>
          <w:i/>
          <w:color w:val="000000" w:themeColor="text1"/>
        </w:rPr>
        <w:t>“CRITERIO 0002-11</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6B234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13EA6" w:rsidRPr="006B234F" w:rsidRDefault="00313EA6" w:rsidP="003E3D6C">
      <w:pPr>
        <w:spacing w:line="360" w:lineRule="auto"/>
        <w:ind w:right="49"/>
        <w:jc w:val="both"/>
        <w:rPr>
          <w:rFonts w:ascii="Palatino Linotype" w:eastAsia="Palatino Linotype" w:hAnsi="Palatino Linotype" w:cs="Palatino Linotype"/>
          <w:color w:val="000000" w:themeColor="text1"/>
        </w:rPr>
      </w:pPr>
    </w:p>
    <w:p w:rsidR="00313EA6" w:rsidRPr="006B234F" w:rsidRDefault="00313EA6"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6B234F">
        <w:rPr>
          <w:rFonts w:ascii="Palatino Linotype" w:eastAsia="Palatino Linotype" w:hAnsi="Palatino Linotype" w:cs="Palatino Linotype"/>
          <w:b/>
          <w:color w:val="000000" w:themeColor="text1"/>
        </w:rPr>
        <w:t xml:space="preserve">deben </w:t>
      </w:r>
      <w:r w:rsidRPr="006B234F">
        <w:rPr>
          <w:rFonts w:ascii="Palatino Linotype" w:eastAsia="Palatino Linotype" w:hAnsi="Palatino Linotype" w:cs="Palatino Linotype"/>
          <w:color w:val="000000" w:themeColor="text1"/>
        </w:rPr>
        <w:t>estar</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651421" w:rsidRPr="006B234F" w:rsidRDefault="00651421" w:rsidP="003E3D6C">
      <w:pPr>
        <w:pStyle w:val="Sinespaciado"/>
        <w:spacing w:line="360" w:lineRule="auto"/>
        <w:ind w:right="49"/>
        <w:jc w:val="both"/>
        <w:rPr>
          <w:rFonts w:ascii="Palatino Linotype" w:eastAsia="Palatino Linotype" w:hAnsi="Palatino Linotype" w:cs="Palatino Linotype"/>
          <w:color w:val="000000" w:themeColor="text1"/>
        </w:rPr>
      </w:pPr>
    </w:p>
    <w:p w:rsidR="00313EA6" w:rsidRPr="006B234F" w:rsidRDefault="00313EA6"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 xml:space="preserve">“Artículo 4. </w:t>
      </w:r>
      <w:r w:rsidRPr="006B234F">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Toda la información</w:t>
      </w:r>
      <w:r w:rsidRPr="006B234F">
        <w:rPr>
          <w:rFonts w:ascii="Palatino Linotype" w:eastAsia="Palatino Linotype" w:hAnsi="Palatino Linotype" w:cs="Palatino Linotype"/>
          <w:i/>
          <w:color w:val="000000" w:themeColor="text1"/>
        </w:rPr>
        <w:t xml:space="preserve"> generada, obtenida, adquirida, transformada, administrada o </w:t>
      </w:r>
      <w:r w:rsidRPr="006B234F">
        <w:rPr>
          <w:rFonts w:ascii="Palatino Linotype" w:eastAsia="Palatino Linotype" w:hAnsi="Palatino Linotype" w:cs="Palatino Linotype"/>
          <w:b/>
          <w:i/>
          <w:color w:val="000000" w:themeColor="text1"/>
        </w:rPr>
        <w:t>en posesión de los sujetos obligados es pública</w:t>
      </w:r>
      <w:r w:rsidRPr="006B234F">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3EA6" w:rsidRPr="006B234F" w:rsidRDefault="00313EA6" w:rsidP="003E3D6C">
      <w:pPr>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13EA6" w:rsidRPr="006B234F" w:rsidRDefault="00313EA6" w:rsidP="003E3D6C">
      <w:pPr>
        <w:spacing w:line="360" w:lineRule="auto"/>
        <w:ind w:right="49"/>
        <w:jc w:val="both"/>
        <w:rPr>
          <w:rFonts w:ascii="Palatino Linotype" w:eastAsia="Palatino Linotype" w:hAnsi="Palatino Linotype" w:cs="Palatino Linotype"/>
          <w:color w:val="000000" w:themeColor="text1"/>
        </w:rPr>
      </w:pPr>
    </w:p>
    <w:p w:rsidR="00313EA6" w:rsidRPr="006B234F" w:rsidRDefault="00313EA6"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w:t>
      </w:r>
      <w:r w:rsidRPr="006B234F">
        <w:rPr>
          <w:rFonts w:ascii="Palatino Linotype" w:eastAsia="Palatino Linotype" w:hAnsi="Palatino Linotype" w:cs="Palatino Linotype"/>
          <w:color w:val="000000" w:themeColor="text1"/>
        </w:rPr>
        <w:lastRenderedPageBreak/>
        <w:t>que por otro, se ven impuestos por la obligación de hacer pública toda aquella información que se encuentre en su posesión en estricto apego a los principios de eficacia</w:t>
      </w:r>
      <w:r w:rsidRPr="006B234F">
        <w:rPr>
          <w:rFonts w:ascii="Palatino Linotype" w:eastAsia="Palatino Linotype" w:hAnsi="Palatino Linotype" w:cs="Palatino Linotype"/>
          <w:color w:val="000000" w:themeColor="text1"/>
          <w:vertAlign w:val="superscript"/>
        </w:rPr>
        <w:footnoteReference w:id="6"/>
      </w:r>
      <w:r w:rsidRPr="006B234F">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13EA6" w:rsidRPr="006B234F" w:rsidRDefault="00313EA6" w:rsidP="003E3D6C">
      <w:pPr>
        <w:spacing w:line="360" w:lineRule="auto"/>
        <w:ind w:right="49"/>
        <w:jc w:val="both"/>
        <w:rPr>
          <w:rFonts w:ascii="Palatino Linotype" w:eastAsia="Palatino Linotype" w:hAnsi="Palatino Linotype" w:cs="Palatino Linotype"/>
          <w:color w:val="000000" w:themeColor="text1"/>
        </w:rPr>
      </w:pPr>
    </w:p>
    <w:p w:rsidR="00313EA6" w:rsidRPr="006B234F" w:rsidRDefault="00313EA6"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13EA6" w:rsidRPr="006B234F" w:rsidRDefault="00313EA6" w:rsidP="003E3D6C">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6B234F">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w:t>
      </w:r>
      <w:r w:rsidRPr="006B234F">
        <w:rPr>
          <w:rFonts w:ascii="Palatino Linotype" w:eastAsia="Palatino Linotype" w:hAnsi="Palatino Linotype" w:cs="Palatino Linotype"/>
          <w:i/>
          <w:color w:val="000000" w:themeColor="text1"/>
        </w:rPr>
        <w:lastRenderedPageBreak/>
        <w:t>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13EA6" w:rsidRPr="006B234F" w:rsidRDefault="00313EA6" w:rsidP="003E3D6C">
      <w:pPr>
        <w:pStyle w:val="Prrafodelista"/>
        <w:spacing w:line="360" w:lineRule="auto"/>
        <w:ind w:left="0" w:right="49"/>
        <w:rPr>
          <w:rFonts w:ascii="Palatino Linotype" w:eastAsia="Palatino Linotype" w:hAnsi="Palatino Linotype" w:cs="Palatino Linotype"/>
          <w:b/>
          <w:color w:val="000000" w:themeColor="text1"/>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13EA6" w:rsidRPr="006B234F" w:rsidRDefault="00313EA6" w:rsidP="003E3D6C">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b/>
          <w:color w:val="000000" w:themeColor="text1"/>
        </w:rPr>
        <w:t>QUINTO. De la versión pública.</w:t>
      </w: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00651421" w:rsidRPr="006B234F">
        <w:rPr>
          <w:rFonts w:ascii="Palatino Linotype" w:eastAsia="Palatino Linotype" w:hAnsi="Palatino Linotype" w:cs="Palatino Linotype"/>
          <w:b/>
          <w:color w:val="000000" w:themeColor="text1"/>
        </w:rPr>
        <w:t>SUJETO OBLIGADO</w:t>
      </w:r>
      <w:r w:rsidR="00651421" w:rsidRPr="006B234F">
        <w:rPr>
          <w:rFonts w:ascii="Palatino Linotype" w:eastAsia="Palatino Linotype" w:hAnsi="Palatino Linotype" w:cs="Palatino Linotype"/>
          <w:color w:val="000000" w:themeColor="text1"/>
        </w:rPr>
        <w:t xml:space="preserve"> </w:t>
      </w:r>
      <w:r w:rsidRPr="006B234F">
        <w:rPr>
          <w:rFonts w:ascii="Palatino Linotype" w:eastAsia="Palatino Linotype" w:hAnsi="Palatino Linotype" w:cs="Palatino Linotype"/>
          <w:color w:val="000000" w:themeColor="text1"/>
        </w:rPr>
        <w:t>deberá hacer la elaboración de la versión pública de tales documentos a fin de satisfacer el derecho de acceso a la información pública del recurrente sin menoscabo al derecho a la protección de los datos personales de terceros.</w:t>
      </w:r>
    </w:p>
    <w:p w:rsidR="00246311" w:rsidRPr="006B234F" w:rsidRDefault="00246311" w:rsidP="003E3D6C">
      <w:pPr>
        <w:pStyle w:val="Prrafodelista"/>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Por lo que, para efectos de la elaboración de la versión pública se deberá observar lo dispuesto por los artículos 3 fracciones IX, XX, XXI, XXXII y XLV; 6, 49 fracción VIII, </w:t>
      </w:r>
      <w:r w:rsidRPr="006B234F">
        <w:rPr>
          <w:rFonts w:ascii="Palatino Linotype" w:eastAsia="Palatino Linotype" w:hAnsi="Palatino Linotype" w:cs="Palatino Linotype"/>
          <w:color w:val="000000" w:themeColor="text1"/>
        </w:rPr>
        <w:lastRenderedPageBreak/>
        <w:t>91, 137, 143 Fracción I, de la Ley de Transparencia y Acceso a la Información Pública del Estado de México y Municipios vigente, que establecen:</w:t>
      </w:r>
    </w:p>
    <w:p w:rsidR="00651421" w:rsidRPr="006B234F" w:rsidRDefault="0065142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3E3D6C">
      <w:pPr>
        <w:ind w:right="49"/>
        <w:jc w:val="both"/>
        <w:rPr>
          <w:rFonts w:ascii="Palatino Linotype" w:eastAsia="Palatino Linotype" w:hAnsi="Palatino Linotype" w:cs="Palatino Linotype"/>
          <w:b/>
          <w:i/>
          <w:color w:val="000000" w:themeColor="text1"/>
        </w:rPr>
      </w:pPr>
      <w:r w:rsidRPr="006B234F">
        <w:rPr>
          <w:rFonts w:ascii="Palatino Linotype" w:eastAsia="Palatino Linotype" w:hAnsi="Palatino Linotype" w:cs="Palatino Linotype"/>
          <w:b/>
          <w:i/>
          <w:color w:val="000000" w:themeColor="text1"/>
        </w:rPr>
        <w:t xml:space="preserve"> “Artículo 3. Para los efectos de la presente Ley se entenderá por:</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IX. Datos personales:</w:t>
      </w:r>
      <w:r w:rsidRPr="006B234F">
        <w:rPr>
          <w:rFonts w:ascii="Palatino Linotype" w:eastAsia="Palatino Linotype" w:hAnsi="Palatino Linotype" w:cs="Palatino Linotype"/>
          <w:i/>
          <w:color w:val="000000" w:themeColor="text1"/>
        </w:rPr>
        <w:t xml:space="preserve"> </w:t>
      </w:r>
      <w:r w:rsidRPr="006B234F">
        <w:rPr>
          <w:rFonts w:ascii="Palatino Linotype" w:eastAsia="Palatino Linotype" w:hAnsi="Palatino Linotype" w:cs="Palatino Linotype"/>
          <w:b/>
          <w:i/>
          <w:color w:val="000000" w:themeColor="text1"/>
        </w:rPr>
        <w:t>La información concerniente a una persona, identificada o identificable</w:t>
      </w:r>
      <w:r w:rsidRPr="006B234F">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XX. Información clasificada:</w:t>
      </w:r>
      <w:r w:rsidRPr="006B234F">
        <w:rPr>
          <w:rFonts w:ascii="Palatino Linotype" w:eastAsia="Palatino Linotype" w:hAnsi="Palatino Linotype" w:cs="Palatino Linotype"/>
          <w:i/>
          <w:color w:val="000000" w:themeColor="text1"/>
        </w:rPr>
        <w:t xml:space="preserve"> Aquella considerada por la presente Ley como reservada o confidencial;</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XXXII. Protección de Datos Personales:</w:t>
      </w:r>
      <w:r w:rsidRPr="006B234F">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XLV. Versión pública</w:t>
      </w:r>
      <w:r w:rsidRPr="006B234F">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246311" w:rsidRPr="006B234F" w:rsidRDefault="00246311" w:rsidP="003E3D6C">
      <w:pPr>
        <w:ind w:right="49"/>
        <w:jc w:val="both"/>
        <w:rPr>
          <w:rFonts w:ascii="Palatino Linotype" w:eastAsia="Palatino Linotype" w:hAnsi="Palatino Linotype" w:cs="Palatino Linotype"/>
          <w:i/>
          <w:color w:val="000000" w:themeColor="text1"/>
        </w:rPr>
      </w:pP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“Artículo 6.</w:t>
      </w:r>
      <w:r w:rsidRPr="006B234F">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46311" w:rsidRPr="006B234F" w:rsidRDefault="00246311" w:rsidP="003E3D6C">
      <w:pPr>
        <w:ind w:right="49"/>
        <w:jc w:val="both"/>
        <w:rPr>
          <w:rFonts w:ascii="Palatino Linotype" w:eastAsia="Palatino Linotype" w:hAnsi="Palatino Linotype" w:cs="Palatino Linotype"/>
          <w:i/>
          <w:color w:val="000000" w:themeColor="text1"/>
        </w:rPr>
      </w:pP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 </w:t>
      </w:r>
      <w:r w:rsidRPr="006B234F">
        <w:rPr>
          <w:rFonts w:ascii="Palatino Linotype" w:eastAsia="Palatino Linotype" w:hAnsi="Palatino Linotype" w:cs="Palatino Linotype"/>
          <w:b/>
          <w:i/>
          <w:color w:val="000000" w:themeColor="text1"/>
        </w:rPr>
        <w:t>Artículo 49.</w:t>
      </w:r>
      <w:r w:rsidRPr="006B234F">
        <w:rPr>
          <w:rFonts w:ascii="Palatino Linotype" w:eastAsia="Palatino Linotype" w:hAnsi="Palatino Linotype" w:cs="Palatino Linotype"/>
          <w:i/>
          <w:color w:val="000000" w:themeColor="text1"/>
        </w:rPr>
        <w:t> Los Comités de Transparencia tendrán las siguientes atribuciones:</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VIII</w:t>
      </w:r>
      <w:r w:rsidRPr="006B234F">
        <w:rPr>
          <w:rFonts w:ascii="Palatino Linotype" w:eastAsia="Palatino Linotype" w:hAnsi="Palatino Linotype" w:cs="Palatino Linotype"/>
          <w:i/>
          <w:color w:val="000000" w:themeColor="text1"/>
        </w:rPr>
        <w:t>. Aprobar, modificar o revocar la clasificación de la información;</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 xml:space="preserve">Artículo 91. </w:t>
      </w:r>
      <w:r w:rsidRPr="006B234F">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246311" w:rsidRPr="006B234F" w:rsidRDefault="00246311" w:rsidP="003E3D6C">
      <w:pPr>
        <w:ind w:right="49"/>
        <w:jc w:val="both"/>
        <w:rPr>
          <w:rFonts w:ascii="Palatino Linotype" w:eastAsia="Palatino Linotype" w:hAnsi="Palatino Linotype" w:cs="Palatino Linotype"/>
          <w:i/>
          <w:color w:val="000000" w:themeColor="text1"/>
        </w:rPr>
      </w:pPr>
    </w:p>
    <w:p w:rsidR="00246311" w:rsidRPr="006B234F" w:rsidRDefault="00246311" w:rsidP="003E3D6C">
      <w:pPr>
        <w:ind w:right="49"/>
        <w:jc w:val="both"/>
        <w:rPr>
          <w:rFonts w:ascii="Palatino Linotype" w:eastAsia="Palatino Linotype" w:hAnsi="Palatino Linotype" w:cs="Palatino Linotype"/>
          <w:b/>
          <w:i/>
          <w:color w:val="000000" w:themeColor="text1"/>
        </w:rPr>
      </w:pPr>
      <w:r w:rsidRPr="006B234F">
        <w:rPr>
          <w:rFonts w:ascii="Palatino Linotype" w:eastAsia="Palatino Linotype" w:hAnsi="Palatino Linotype" w:cs="Palatino Linotype"/>
          <w:b/>
          <w:i/>
          <w:color w:val="000000" w:themeColor="text1"/>
        </w:rPr>
        <w:t>“Artículo 137.</w:t>
      </w:r>
      <w:r w:rsidRPr="006B234F">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46311" w:rsidRPr="006B234F" w:rsidRDefault="00246311" w:rsidP="003E3D6C">
      <w:pPr>
        <w:ind w:right="49"/>
        <w:jc w:val="both"/>
        <w:rPr>
          <w:rFonts w:ascii="Palatino Linotype" w:eastAsia="Palatino Linotype" w:hAnsi="Palatino Linotype" w:cs="Palatino Linotype"/>
          <w:b/>
          <w:i/>
          <w:color w:val="000000" w:themeColor="text1"/>
        </w:rPr>
      </w:pP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lastRenderedPageBreak/>
        <w:t>“Artículo 143</w:t>
      </w:r>
      <w:r w:rsidRPr="006B234F">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I.</w:t>
      </w:r>
      <w:r w:rsidRPr="006B234F">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246311" w:rsidRPr="006B234F" w:rsidRDefault="00246311" w:rsidP="003E3D6C">
      <w:pPr>
        <w:ind w:right="49"/>
        <w:jc w:val="both"/>
        <w:rPr>
          <w:rFonts w:ascii="Palatino Linotype" w:eastAsia="Palatino Linotype" w:hAnsi="Palatino Linotype" w:cs="Palatino Linotype"/>
          <w:i/>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“Artículo 49.</w:t>
      </w:r>
      <w:r w:rsidRPr="006B234F">
        <w:rPr>
          <w:rFonts w:ascii="Palatino Linotype" w:eastAsia="Palatino Linotype" w:hAnsi="Palatino Linotype" w:cs="Palatino Linotype"/>
          <w:i/>
          <w:color w:val="000000" w:themeColor="text1"/>
        </w:rPr>
        <w:t xml:space="preserve"> </w:t>
      </w:r>
      <w:r w:rsidRPr="006B234F">
        <w:rPr>
          <w:rFonts w:ascii="Palatino Linotype" w:eastAsia="Palatino Linotype" w:hAnsi="Palatino Linotype" w:cs="Palatino Linotype"/>
          <w:b/>
          <w:i/>
          <w:color w:val="000000" w:themeColor="text1"/>
        </w:rPr>
        <w:t>Los Comités de Transparencia</w:t>
      </w:r>
      <w:r w:rsidRPr="006B234F">
        <w:rPr>
          <w:rFonts w:ascii="Palatino Linotype" w:eastAsia="Palatino Linotype" w:hAnsi="Palatino Linotype" w:cs="Palatino Linotype"/>
          <w:i/>
          <w:color w:val="000000" w:themeColor="text1"/>
        </w:rPr>
        <w:t xml:space="preserve"> tendrán las siguientes atribuciones:</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VIII. Aprobar, modificar o revocar la clasificación de la información</w:t>
      </w:r>
      <w:r w:rsidRPr="006B234F">
        <w:rPr>
          <w:rFonts w:ascii="Palatino Linotype" w:eastAsia="Palatino Linotype" w:hAnsi="Palatino Linotype" w:cs="Palatino Linotype"/>
          <w:i/>
          <w:color w:val="000000" w:themeColor="text1"/>
        </w:rPr>
        <w:t>…”</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Pr="006B234F">
        <w:rPr>
          <w:rFonts w:ascii="Palatino Linotype" w:eastAsia="Palatino Linotype" w:hAnsi="Palatino Linotype" w:cs="Palatino Linotype"/>
          <w:b/>
          <w:i/>
          <w:color w:val="000000" w:themeColor="text1"/>
        </w:rPr>
        <w:t>Artículo 53.</w:t>
      </w:r>
      <w:r w:rsidRPr="006B234F">
        <w:rPr>
          <w:rFonts w:ascii="Palatino Linotype" w:eastAsia="Palatino Linotype" w:hAnsi="Palatino Linotype" w:cs="Palatino Linotype"/>
          <w:i/>
          <w:color w:val="000000" w:themeColor="text1"/>
        </w:rPr>
        <w:t xml:space="preserve"> Las </w:t>
      </w:r>
      <w:r w:rsidRPr="006B234F">
        <w:rPr>
          <w:rFonts w:ascii="Palatino Linotype" w:eastAsia="Palatino Linotype" w:hAnsi="Palatino Linotype" w:cs="Palatino Linotype"/>
          <w:b/>
          <w:i/>
          <w:color w:val="000000" w:themeColor="text1"/>
        </w:rPr>
        <w:t>Unidades de Transparencia</w:t>
      </w:r>
      <w:r w:rsidRPr="006B234F">
        <w:rPr>
          <w:rFonts w:ascii="Palatino Linotype" w:eastAsia="Palatino Linotype" w:hAnsi="Palatino Linotype" w:cs="Palatino Linotype"/>
          <w:i/>
          <w:color w:val="000000" w:themeColor="text1"/>
        </w:rPr>
        <w:t xml:space="preserve"> tendrán las siguientes </w:t>
      </w:r>
      <w:r w:rsidRPr="006B234F">
        <w:rPr>
          <w:rFonts w:ascii="Palatino Linotype" w:eastAsia="Palatino Linotype" w:hAnsi="Palatino Linotype" w:cs="Palatino Linotype"/>
          <w:b/>
          <w:i/>
          <w:color w:val="000000" w:themeColor="text1"/>
        </w:rPr>
        <w:t>funciones</w:t>
      </w:r>
      <w:r w:rsidRPr="006B234F">
        <w:rPr>
          <w:rFonts w:ascii="Palatino Linotype" w:eastAsia="Palatino Linotype" w:hAnsi="Palatino Linotype" w:cs="Palatino Linotype"/>
          <w:i/>
          <w:color w:val="000000" w:themeColor="text1"/>
        </w:rPr>
        <w:t>:</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X. Presentar ante el Comité, el proyecto de clasificación de información</w:t>
      </w:r>
      <w:r w:rsidRPr="006B234F">
        <w:rPr>
          <w:rFonts w:ascii="Palatino Linotype" w:eastAsia="Palatino Linotype" w:hAnsi="Palatino Linotype" w:cs="Palatino Linotype"/>
          <w:i/>
          <w:color w:val="000000" w:themeColor="text1"/>
        </w:rPr>
        <w:t xml:space="preserve">…” </w:t>
      </w:r>
    </w:p>
    <w:p w:rsidR="00246311" w:rsidRPr="006B234F"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“Artículo 59.</w:t>
      </w:r>
      <w:r w:rsidRPr="006B234F">
        <w:rPr>
          <w:rFonts w:ascii="Palatino Linotype" w:eastAsia="Palatino Linotype" w:hAnsi="Palatino Linotype" w:cs="Palatino Linotype"/>
          <w:i/>
          <w:color w:val="000000" w:themeColor="text1"/>
        </w:rPr>
        <w:t xml:space="preserve"> Los </w:t>
      </w:r>
      <w:r w:rsidRPr="006B234F">
        <w:rPr>
          <w:rFonts w:ascii="Palatino Linotype" w:eastAsia="Palatino Linotype" w:hAnsi="Palatino Linotype" w:cs="Palatino Linotype"/>
          <w:b/>
          <w:i/>
          <w:color w:val="000000" w:themeColor="text1"/>
        </w:rPr>
        <w:t>servidores públicos habilitados</w:t>
      </w:r>
      <w:r w:rsidRPr="006B234F">
        <w:rPr>
          <w:rFonts w:ascii="Palatino Linotype" w:eastAsia="Palatino Linotype" w:hAnsi="Palatino Linotype" w:cs="Palatino Linotype"/>
          <w:i/>
          <w:color w:val="000000" w:themeColor="text1"/>
        </w:rPr>
        <w:t xml:space="preserve"> tendrán las </w:t>
      </w:r>
      <w:r w:rsidRPr="006B234F">
        <w:rPr>
          <w:rFonts w:ascii="Palatino Linotype" w:eastAsia="Palatino Linotype" w:hAnsi="Palatino Linotype" w:cs="Palatino Linotype"/>
          <w:b/>
          <w:i/>
          <w:color w:val="000000" w:themeColor="text1"/>
        </w:rPr>
        <w:t>funciones</w:t>
      </w:r>
      <w:r w:rsidRPr="006B234F">
        <w:rPr>
          <w:rFonts w:ascii="Palatino Linotype" w:eastAsia="Palatino Linotype" w:hAnsi="Palatino Linotype" w:cs="Palatino Linotype"/>
          <w:i/>
          <w:color w:val="000000" w:themeColor="text1"/>
        </w:rPr>
        <w:t xml:space="preserve"> siguientes:</w:t>
      </w:r>
    </w:p>
    <w:p w:rsidR="00246311" w:rsidRDefault="00246311" w:rsidP="003E3D6C">
      <w:pPr>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6B234F">
        <w:rPr>
          <w:rFonts w:ascii="Palatino Linotype" w:eastAsia="Palatino Linotype" w:hAnsi="Palatino Linotype" w:cs="Palatino Linotype"/>
          <w:i/>
          <w:color w:val="000000" w:themeColor="text1"/>
        </w:rPr>
        <w:t>, la cual tendrá los fundamentos y argumentos en que se basa dicha propuesta…”</w:t>
      </w:r>
    </w:p>
    <w:p w:rsidR="00D97CDB" w:rsidRDefault="00D97CDB" w:rsidP="003E3D6C">
      <w:pPr>
        <w:ind w:right="49"/>
        <w:jc w:val="both"/>
        <w:rPr>
          <w:rFonts w:ascii="Palatino Linotype" w:eastAsia="Palatino Linotype" w:hAnsi="Palatino Linotype" w:cs="Palatino Linotype"/>
          <w:i/>
          <w:color w:val="000000" w:themeColor="text1"/>
        </w:rPr>
      </w:pPr>
    </w:p>
    <w:p w:rsidR="00D97CDB" w:rsidRPr="006B234F" w:rsidRDefault="00D97CDB" w:rsidP="003E3D6C">
      <w:pPr>
        <w:ind w:right="49"/>
        <w:jc w:val="both"/>
        <w:rPr>
          <w:rFonts w:ascii="Palatino Linotype" w:eastAsia="Palatino Linotype" w:hAnsi="Palatino Linotype" w:cs="Palatino Linotype"/>
          <w:i/>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Para lo cual, a su vez en el caso de información de carácter confidencial, se debe atender a lo que señala el artículo 149 de la Ley de Transparencia Local vigente, que se lee como sigue:</w:t>
      </w:r>
    </w:p>
    <w:p w:rsidR="00246311" w:rsidRPr="006B234F" w:rsidRDefault="00246311" w:rsidP="003E3D6C">
      <w:pPr>
        <w:spacing w:after="24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Pr="006B234F">
        <w:rPr>
          <w:rFonts w:ascii="Palatino Linotype" w:eastAsia="Palatino Linotype" w:hAnsi="Palatino Linotype" w:cs="Palatino Linotype"/>
          <w:b/>
          <w:i/>
          <w:color w:val="000000" w:themeColor="text1"/>
        </w:rPr>
        <w:t>Artículo 149.</w:t>
      </w:r>
      <w:r w:rsidRPr="006B234F">
        <w:rPr>
          <w:rFonts w:ascii="Palatino Linotype" w:eastAsia="Palatino Linotype" w:hAnsi="Palatino Linotype" w:cs="Palatino Linotype"/>
          <w:i/>
          <w:color w:val="000000" w:themeColor="text1"/>
        </w:rPr>
        <w:t xml:space="preserve"> El </w:t>
      </w:r>
      <w:r w:rsidRPr="006B234F">
        <w:rPr>
          <w:rFonts w:ascii="Palatino Linotype" w:eastAsia="Palatino Linotype" w:hAnsi="Palatino Linotype" w:cs="Palatino Linotype"/>
          <w:b/>
          <w:i/>
          <w:color w:val="000000" w:themeColor="text1"/>
        </w:rPr>
        <w:t>acuerdo que clasifique la información como confidencial</w:t>
      </w:r>
      <w:r w:rsidRPr="006B234F">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246311" w:rsidRPr="006B234F" w:rsidRDefault="00246311" w:rsidP="003E3D6C">
      <w:pPr>
        <w:pStyle w:val="Sinespaciado"/>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46311" w:rsidRPr="006B234F" w:rsidRDefault="00246311" w:rsidP="003E3D6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B234F">
        <w:rPr>
          <w:rFonts w:ascii="Palatino Linotype" w:eastAsia="Palatino Linotype" w:hAnsi="Palatino Linotype" w:cs="Palatino Linotype"/>
          <w:b/>
          <w:color w:val="000000" w:themeColor="text1"/>
        </w:rPr>
        <w:t>Registro Federal de Contribuyentes</w:t>
      </w:r>
      <w:r w:rsidRPr="006B234F">
        <w:rPr>
          <w:rFonts w:ascii="Palatino Linotype" w:eastAsia="Palatino Linotype" w:hAnsi="Palatino Linotype" w:cs="Palatino Linotype"/>
          <w:color w:val="000000" w:themeColor="text1"/>
        </w:rPr>
        <w:t xml:space="preserve"> (RFC), la </w:t>
      </w:r>
      <w:r w:rsidRPr="006B234F">
        <w:rPr>
          <w:rFonts w:ascii="Palatino Linotype" w:eastAsia="Palatino Linotype" w:hAnsi="Palatino Linotype" w:cs="Palatino Linotype"/>
          <w:b/>
          <w:color w:val="000000" w:themeColor="text1"/>
        </w:rPr>
        <w:t>Clave Única de Registro de Población</w:t>
      </w:r>
      <w:r w:rsidRPr="006B234F">
        <w:rPr>
          <w:rFonts w:ascii="Palatino Linotype" w:eastAsia="Palatino Linotype" w:hAnsi="Palatino Linotype" w:cs="Palatino Linotype"/>
          <w:color w:val="000000" w:themeColor="text1"/>
        </w:rPr>
        <w:t xml:space="preserve"> (CURP), la </w:t>
      </w:r>
      <w:r w:rsidRPr="006B234F">
        <w:rPr>
          <w:rFonts w:ascii="Palatino Linotype" w:eastAsia="Palatino Linotype" w:hAnsi="Palatino Linotype" w:cs="Palatino Linotype"/>
          <w:b/>
          <w:color w:val="000000" w:themeColor="text1"/>
        </w:rPr>
        <w:t xml:space="preserve">Clave de </w:t>
      </w:r>
      <w:r w:rsidRPr="006B234F">
        <w:rPr>
          <w:rFonts w:ascii="Palatino Linotype" w:eastAsia="Palatino Linotype" w:hAnsi="Palatino Linotype" w:cs="Palatino Linotype"/>
          <w:b/>
          <w:color w:val="000000" w:themeColor="text1"/>
        </w:rPr>
        <w:lastRenderedPageBreak/>
        <w:t>cualquier tipo de seguridad social</w:t>
      </w:r>
      <w:r w:rsidRPr="006B234F">
        <w:rPr>
          <w:rFonts w:ascii="Palatino Linotype" w:eastAsia="Palatino Linotype" w:hAnsi="Palatino Linotype" w:cs="Palatino Linotype"/>
          <w:color w:val="000000" w:themeColor="text1"/>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Por cuanto hace al </w:t>
      </w:r>
      <w:r w:rsidRPr="006B234F">
        <w:rPr>
          <w:rFonts w:ascii="Palatino Linotype" w:eastAsia="Palatino Linotype" w:hAnsi="Palatino Linotype" w:cs="Palatino Linotype"/>
          <w:b/>
          <w:color w:val="000000" w:themeColor="text1"/>
        </w:rPr>
        <w:t>Registro Federal de Contribuyentes (RFC),</w:t>
      </w:r>
      <w:r w:rsidRPr="006B234F">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46311" w:rsidRPr="006B234F" w:rsidRDefault="00246311" w:rsidP="003E3D6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19/17, el cual es del tenor literal siguiente:</w:t>
      </w: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“Registro Federal de Contribuyentes (RFC) de personas físicas</w:t>
      </w:r>
      <w:r w:rsidRPr="006B234F">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246311" w:rsidRPr="006B234F" w:rsidRDefault="00246311" w:rsidP="003E3D6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De igual manera la </w:t>
      </w:r>
      <w:r w:rsidRPr="006B234F">
        <w:rPr>
          <w:rFonts w:ascii="Palatino Linotype" w:eastAsia="Palatino Linotype" w:hAnsi="Palatino Linotype" w:cs="Palatino Linotype"/>
          <w:b/>
          <w:color w:val="000000" w:themeColor="text1"/>
        </w:rPr>
        <w:t>Clave Única de Registro de Población (CURP)</w:t>
      </w:r>
      <w:r w:rsidRPr="006B234F">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Argumento que es compartido por el Instituto Nacional de Transparencia, Acceso a la Información y Protección de Datos Personales, INAI</w:t>
      </w:r>
      <w:r w:rsidRPr="006B234F">
        <w:rPr>
          <w:rFonts w:ascii="Palatino Linotype" w:eastAsia="Palatino Linotype" w:hAnsi="Palatino Linotype" w:cs="Palatino Linotype"/>
          <w:b/>
          <w:color w:val="000000" w:themeColor="text1"/>
        </w:rPr>
        <w:t xml:space="preserve">, conforme al </w:t>
      </w:r>
      <w:r w:rsidRPr="006B234F">
        <w:rPr>
          <w:rFonts w:ascii="Palatino Linotype" w:eastAsia="Palatino Linotype" w:hAnsi="Palatino Linotype" w:cs="Palatino Linotype"/>
          <w:color w:val="000000" w:themeColor="text1"/>
        </w:rPr>
        <w:t xml:space="preserve">criterio 18/17, el cual refiere: </w:t>
      </w: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 xml:space="preserve">“Clave Única de Registro de Población (CURP). </w:t>
      </w:r>
      <w:r w:rsidRPr="006B234F">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 xml:space="preserve">Por cuanto hace a la </w:t>
      </w:r>
      <w:r w:rsidRPr="006B234F">
        <w:rPr>
          <w:rFonts w:ascii="Palatino Linotype" w:eastAsia="Palatino Linotype" w:hAnsi="Palatino Linotype" w:cs="Palatino Linotype"/>
          <w:b/>
          <w:color w:val="000000" w:themeColor="text1"/>
        </w:rPr>
        <w:t xml:space="preserve">Clave de cualquier tipo de seguridad social (ISSEMyM, u otros), </w:t>
      </w:r>
      <w:r w:rsidRPr="006B234F">
        <w:rPr>
          <w:rFonts w:ascii="Palatino Linotype" w:eastAsia="Palatino Linotype" w:hAnsi="Palatino Linotype" w:cs="Palatino Linotype"/>
          <w:color w:val="000000" w:themeColor="text1"/>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46311" w:rsidRPr="006B234F" w:rsidRDefault="00246311" w:rsidP="003E3D6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u w:val="single"/>
        </w:rPr>
      </w:pPr>
      <w:r w:rsidRPr="006B234F">
        <w:rPr>
          <w:rFonts w:ascii="Palatino Linotype" w:eastAsia="Palatino Linotype" w:hAnsi="Palatino Linotype" w:cs="Palatino Linotype"/>
          <w:color w:val="000000" w:themeColor="text1"/>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B234F">
        <w:rPr>
          <w:rFonts w:ascii="Palatino Linotype" w:eastAsia="Palatino Linotype" w:hAnsi="Palatino Linotype" w:cs="Palatino Linotype"/>
          <w:color w:val="000000" w:themeColor="text1"/>
          <w:u w:val="single"/>
        </w:rPr>
        <w:t>se le asigna una clave para hacer identificable al trabajador con el objetivo de poder proporcionar los servicios que brinda el ISSEMYM.</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w:t>
      </w:r>
      <w:r w:rsidRPr="006B234F">
        <w:rPr>
          <w:rFonts w:ascii="Palatino Linotype" w:eastAsia="Palatino Linotype" w:hAnsi="Palatino Linotype" w:cs="Palatino Linotype"/>
          <w:color w:val="000000" w:themeColor="text1"/>
        </w:rPr>
        <w:lastRenderedPageBreak/>
        <w:t xml:space="preserve">ocasiones, con motivo de haber trabajado en diferentes instituciones públicas de la Entidad. </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651421" w:rsidRPr="006B234F" w:rsidRDefault="0065142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hAnsi="Palatino Linotype"/>
          <w:color w:val="000000" w:themeColor="text1"/>
        </w:rPr>
      </w:pPr>
      <w:r w:rsidRPr="006B234F">
        <w:rPr>
          <w:rFonts w:ascii="Palatino Linotype" w:eastAsia="Palatino Linotype" w:hAnsi="Palatino Linotype" w:cs="Palatino Linotype"/>
          <w:color w:val="000000" w:themeColor="text1"/>
        </w:rPr>
        <w:t xml:space="preserve">Respecto de los </w:t>
      </w:r>
      <w:r w:rsidRPr="006B234F">
        <w:rPr>
          <w:rFonts w:ascii="Palatino Linotype" w:eastAsia="Palatino Linotype" w:hAnsi="Palatino Linotype" w:cs="Palatino Linotype"/>
          <w:b/>
          <w:color w:val="000000" w:themeColor="text1"/>
        </w:rPr>
        <w:t>préstamos o descuentos</w:t>
      </w:r>
      <w:r w:rsidRPr="006B234F">
        <w:rPr>
          <w:rFonts w:ascii="Palatino Linotype" w:eastAsia="Palatino Linotype" w:hAnsi="Palatino Linotype" w:cs="Palatino Linotype"/>
          <w:color w:val="000000" w:themeColor="text1"/>
        </w:rPr>
        <w:t xml:space="preserve"> </w:t>
      </w:r>
      <w:r w:rsidRPr="006B234F">
        <w:rPr>
          <w:rFonts w:ascii="Palatino Linotype" w:eastAsia="Palatino Linotype" w:hAnsi="Palatino Linotype" w:cs="Palatino Linotype"/>
          <w:b/>
          <w:color w:val="000000" w:themeColor="text1"/>
        </w:rPr>
        <w:t>de carácter personal</w:t>
      </w:r>
      <w:r w:rsidRPr="006B234F">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246311" w:rsidRPr="006B234F" w:rsidRDefault="00246311" w:rsidP="003E3D6C">
      <w:pPr>
        <w:pStyle w:val="Prrafodelista"/>
        <w:ind w:left="0" w:right="49"/>
        <w:rPr>
          <w:rFonts w:ascii="Palatino Linotype" w:hAnsi="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hAnsi="Palatino Linotype"/>
          <w:color w:val="000000" w:themeColor="text1"/>
        </w:rPr>
      </w:pPr>
      <w:r w:rsidRPr="006B234F">
        <w:rPr>
          <w:rFonts w:ascii="Palatino Linotype" w:eastAsia="Palatino Linotype" w:hAnsi="Palatino Linotype" w:cs="Palatino Linotype"/>
          <w:color w:val="000000" w:themeColor="text1"/>
        </w:rPr>
        <w:t>Por su parte, el artículo 84 de la Ley del Trabajo de los Servidores Públicos del Estado y Municipios, señala:</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i/>
          <w:color w:val="000000" w:themeColor="text1"/>
        </w:rPr>
        <w:t>“</w:t>
      </w:r>
      <w:r w:rsidRPr="006B234F">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i/>
          <w:color w:val="000000" w:themeColor="text1"/>
        </w:rPr>
        <w:t>I. Gravámenes fiscales relacionados con el sueldo;</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b/>
          <w:i/>
          <w:color w:val="000000" w:themeColor="text1"/>
        </w:rPr>
        <w:t>II. Deudas contraídas con las instituciones públicas o dependencias</w:t>
      </w:r>
      <w:r w:rsidRPr="006B234F">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b/>
          <w:i/>
          <w:color w:val="000000" w:themeColor="text1"/>
        </w:rPr>
        <w:t>III. Cuotas sindicales</w:t>
      </w:r>
      <w:r w:rsidRPr="006B234F">
        <w:rPr>
          <w:rFonts w:ascii="Palatino Linotype" w:eastAsia="Palatino Linotype" w:hAnsi="Palatino Linotype" w:cs="Palatino Linotype"/>
          <w:i/>
          <w:color w:val="000000" w:themeColor="text1"/>
        </w:rPr>
        <w:t>;</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i/>
          <w:color w:val="000000" w:themeColor="text1"/>
        </w:rPr>
        <w:lastRenderedPageBreak/>
        <w:t>IV. Cuotas de aportación a fondos para la constitución de cooperativas y de cajas de ahorro, siempre que el servidor público hubiese manifestado previamente, de manera expresa, su conformidad;</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b/>
          <w:i/>
          <w:color w:val="000000" w:themeColor="text1"/>
        </w:rPr>
        <w:t>VI. Obligaciones a cargo del servidor público con las que haya consentido</w:t>
      </w:r>
      <w:r w:rsidRPr="006B234F">
        <w:rPr>
          <w:rFonts w:ascii="Palatino Linotype" w:eastAsia="Palatino Linotype" w:hAnsi="Palatino Linotype" w:cs="Palatino Linotype"/>
          <w:i/>
          <w:color w:val="000000" w:themeColor="text1"/>
        </w:rPr>
        <w:t>, derivadas de la adquisición o del uso de habitaciones consideradas como de interés social;</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i/>
          <w:color w:val="000000" w:themeColor="text1"/>
        </w:rPr>
        <w:t>VII. Faltas de puntualidad o de asistencia injustificadas;</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b/>
          <w:i/>
          <w:color w:val="000000" w:themeColor="text1"/>
        </w:rPr>
        <w:t>VIII. Pensiones alimenticias ordenadas por la autoridad judicial;</w:t>
      </w:r>
      <w:r w:rsidRPr="006B234F">
        <w:rPr>
          <w:rFonts w:ascii="Palatino Linotype" w:eastAsia="Palatino Linotype" w:hAnsi="Palatino Linotype" w:cs="Palatino Linotype"/>
          <w:i/>
          <w:color w:val="000000" w:themeColor="text1"/>
        </w:rPr>
        <w:t xml:space="preserve"> o</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b/>
          <w:i/>
          <w:color w:val="000000" w:themeColor="text1"/>
        </w:rPr>
        <w:t>IX. Cualquier otro convenido con instituciones de servicios y aceptado por el servidor público.</w:t>
      </w:r>
    </w:p>
    <w:p w:rsidR="00246311" w:rsidRPr="006B234F" w:rsidRDefault="00246311" w:rsidP="003E3D6C">
      <w:pPr>
        <w:spacing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246311" w:rsidRPr="006B234F" w:rsidRDefault="00246311" w:rsidP="003E3D6C">
      <w:pPr>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(Énfasis añadido)</w:t>
      </w:r>
    </w:p>
    <w:p w:rsidR="00246311" w:rsidRDefault="00246311" w:rsidP="003E3D6C">
      <w:pPr>
        <w:ind w:right="49"/>
        <w:jc w:val="both"/>
        <w:rPr>
          <w:rFonts w:ascii="Palatino Linotype" w:hAnsi="Palatino Linotype"/>
          <w:color w:val="000000" w:themeColor="text1"/>
        </w:rPr>
      </w:pPr>
    </w:p>
    <w:p w:rsidR="007351FF" w:rsidRPr="006B234F" w:rsidRDefault="007351FF" w:rsidP="003E3D6C">
      <w:pPr>
        <w:ind w:right="49"/>
        <w:jc w:val="both"/>
        <w:rPr>
          <w:rFonts w:ascii="Palatino Linotype" w:hAnsi="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hAnsi="Palatino Linotype"/>
          <w:color w:val="000000" w:themeColor="text1"/>
        </w:rPr>
      </w:pPr>
      <w:r w:rsidRPr="006B234F">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6B234F">
        <w:rPr>
          <w:rFonts w:ascii="Palatino Linotype" w:eastAsia="Palatino Linotype" w:hAnsi="Palatino Linotype" w:cs="Palatino Linotype"/>
          <w:b/>
          <w:color w:val="000000" w:themeColor="text1"/>
        </w:rPr>
        <w:t>únicamente inciden en su vida privada</w:t>
      </w:r>
      <w:r w:rsidRPr="006B234F">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246311" w:rsidRPr="006B234F" w:rsidRDefault="00246311" w:rsidP="003E3D6C">
      <w:pPr>
        <w:pStyle w:val="Prrafodelista"/>
        <w:tabs>
          <w:tab w:val="left" w:pos="284"/>
          <w:tab w:val="left" w:pos="426"/>
        </w:tabs>
        <w:spacing w:line="360" w:lineRule="auto"/>
        <w:ind w:left="0" w:right="49"/>
        <w:jc w:val="both"/>
        <w:rPr>
          <w:rFonts w:ascii="Palatino Linotype" w:hAnsi="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w:t>
      </w:r>
      <w:r w:rsidRPr="006B234F">
        <w:rPr>
          <w:rFonts w:ascii="Palatino Linotype" w:eastAsia="Palatino Linotype" w:hAnsi="Palatino Linotype" w:cs="Palatino Linotype"/>
          <w:color w:val="000000" w:themeColor="text1"/>
        </w:rPr>
        <w:lastRenderedPageBreak/>
        <w:t>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Sirven de sustento a lo anterior, las tesis jurisprudenciales </w:t>
      </w:r>
      <w:r w:rsidRPr="006B234F">
        <w:rPr>
          <w:rFonts w:ascii="Palatino Linotype" w:eastAsia="Palatino Linotype" w:hAnsi="Palatino Linotype" w:cs="Palatino Linotype"/>
          <w:i/>
          <w:color w:val="000000" w:themeColor="text1"/>
        </w:rPr>
        <w:t xml:space="preserve">P. LX/2000 </w:t>
      </w:r>
      <w:r w:rsidRPr="006B234F">
        <w:rPr>
          <w:rFonts w:ascii="Palatino Linotype" w:eastAsia="Palatino Linotype" w:hAnsi="Palatino Linotype" w:cs="Palatino Linotype"/>
          <w:color w:val="000000" w:themeColor="text1"/>
        </w:rPr>
        <w:t xml:space="preserve">y </w:t>
      </w:r>
      <w:r w:rsidRPr="006B234F">
        <w:rPr>
          <w:rFonts w:ascii="Palatino Linotype" w:eastAsia="Palatino Linotype" w:hAnsi="Palatino Linotype" w:cs="Palatino Linotype"/>
          <w:i/>
          <w:color w:val="000000" w:themeColor="text1"/>
        </w:rPr>
        <w:t>2a. XLIII/2008</w:t>
      </w:r>
      <w:r w:rsidRPr="006B234F">
        <w:rPr>
          <w:rFonts w:ascii="Palatino Linotype" w:eastAsia="Tahoma" w:hAnsi="Palatino Linotype" w:cs="Tahoma"/>
          <w:b/>
          <w:color w:val="000000" w:themeColor="text1"/>
        </w:rPr>
        <w:t xml:space="preserve"> </w:t>
      </w:r>
      <w:r w:rsidRPr="006B234F">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6B234F">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B234F">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6B234F">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6B234F">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6B234F">
        <w:rPr>
          <w:rFonts w:ascii="Palatino Linotype" w:eastAsia="Palatino Linotype" w:hAnsi="Palatino Linotype" w:cs="Palatino Linotype"/>
          <w:i/>
          <w:color w:val="000000" w:themeColor="text1"/>
        </w:rPr>
        <w:t>.”</w:t>
      </w: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b/>
          <w:i/>
          <w:color w:val="000000" w:themeColor="text1"/>
        </w:rPr>
        <w:lastRenderedPageBreak/>
        <w:t xml:space="preserve">“TRANSPARENCIA Y ACCESO A LA INFORMACIÓN PÚBLICA GUBERNAMENTAL. EL ARTÍCULO 14, FRACCIÓN I, DE LA LEY FEDERAL RELATIVA, NO VIOLA LA GARANTÍA DE ACCESO A LA INFORMACIÓN. </w:t>
      </w:r>
      <w:r w:rsidRPr="006B234F">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B234F">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B234F">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246311" w:rsidRPr="006B234F" w:rsidRDefault="00246311" w:rsidP="003E3D6C">
      <w:pPr>
        <w:ind w:right="49"/>
        <w:jc w:val="both"/>
        <w:rPr>
          <w:rFonts w:ascii="Palatino Linotype" w:eastAsia="Palatino Linotype" w:hAnsi="Palatino Linotype" w:cs="Palatino Linotype"/>
          <w:i/>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color w:val="000000" w:themeColor="text1"/>
        </w:rPr>
        <w:t>También,</w:t>
      </w:r>
      <w:r w:rsidRPr="006B234F">
        <w:rPr>
          <w:rFonts w:ascii="Palatino Linotype" w:eastAsia="Palatino Linotype" w:hAnsi="Palatino Linotype" w:cs="Palatino Linotype"/>
          <w:b/>
          <w:color w:val="000000" w:themeColor="text1"/>
        </w:rPr>
        <w:t xml:space="preserve"> el número de cuenta bancario</w:t>
      </w:r>
      <w:r w:rsidRPr="006B234F">
        <w:rPr>
          <w:rFonts w:ascii="Palatino Linotype" w:eastAsia="Palatino Linotype" w:hAnsi="Palatino Linotype" w:cs="Palatino Linotype"/>
          <w:color w:val="000000" w:themeColor="text1"/>
        </w:rPr>
        <w:t>, en el Criterio 10/17 emitido por el Pleno del Instituto Nacional de Transparencia, Acceso a la Información y Protección de Datos Personales  se establece lo siguiente:</w:t>
      </w:r>
    </w:p>
    <w:p w:rsidR="00246311" w:rsidRPr="006B234F" w:rsidRDefault="00246311" w:rsidP="003E3D6C">
      <w:pPr>
        <w:shd w:val="clear" w:color="auto" w:fill="FFFFFF"/>
        <w:spacing w:line="276" w:lineRule="auto"/>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w:t>
      </w:r>
      <w:r w:rsidRPr="006B234F">
        <w:rPr>
          <w:rFonts w:ascii="Palatino Linotype" w:eastAsia="Palatino Linotype" w:hAnsi="Palatino Linotype" w:cs="Palatino Linotype"/>
          <w:b/>
          <w:i/>
          <w:color w:val="000000" w:themeColor="text1"/>
        </w:rPr>
        <w:t>Cuentas bancarias y/o CLABE interbancaria de personas físicas y morales privadas.</w:t>
      </w:r>
      <w:r w:rsidRPr="006B234F">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w:t>
      </w:r>
      <w:r w:rsidRPr="006B234F">
        <w:rPr>
          <w:rFonts w:ascii="Palatino Linotype" w:eastAsia="Palatino Linotype" w:hAnsi="Palatino Linotype" w:cs="Palatino Linotype"/>
          <w:i/>
          <w:color w:val="000000" w:themeColor="text1"/>
        </w:rPr>
        <w:lastRenderedPageBreak/>
        <w:t>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6B234F">
        <w:rPr>
          <w:rFonts w:ascii="Palatino Linotype" w:eastAsia="Palatino Linotype" w:hAnsi="Palatino Linotype" w:cs="Palatino Linotype"/>
          <w:color w:val="000000" w:themeColor="text1"/>
        </w:rPr>
        <w:t>.”</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6B234F">
        <w:rPr>
          <w:rFonts w:ascii="Palatino Linotype" w:eastAsia="Palatino Linotype" w:hAnsi="Palatino Linotype" w:cs="Palatino Linotype"/>
          <w:color w:val="000000" w:themeColor="text1"/>
        </w:rPr>
        <w:t xml:space="preserve">El </w:t>
      </w:r>
      <w:r w:rsidRPr="006B234F">
        <w:rPr>
          <w:rFonts w:ascii="Palatino Linotype" w:eastAsia="Palatino Linotype" w:hAnsi="Palatino Linotype" w:cs="Palatino Linotype"/>
          <w:b/>
          <w:color w:val="000000" w:themeColor="text1"/>
        </w:rPr>
        <w:t>Código de barras bidimensional (QR)</w:t>
      </w:r>
      <w:r w:rsidRPr="006B234F">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w:t>
      </w:r>
      <w:r w:rsidRPr="006B234F">
        <w:rPr>
          <w:rFonts w:ascii="Palatino Linotype" w:eastAsia="Palatino Linotype" w:hAnsi="Palatino Linotype" w:cs="Palatino Linotype"/>
          <w:i/>
          <w:color w:val="000000" w:themeColor="text1"/>
        </w:rPr>
        <w:t>QR Code (Quick Response Code)</w:t>
      </w:r>
      <w:r w:rsidRPr="006B234F">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6B234F">
          <w:rPr>
            <w:rFonts w:ascii="Palatino Linotype" w:eastAsia="Palatino Linotype" w:hAnsi="Palatino Linotype" w:cs="Palatino Linotype"/>
            <w:color w:val="000000" w:themeColor="text1"/>
            <w:u w:val="single"/>
          </w:rPr>
          <w:t>http://dof.gob.mx/nota_detalle.php?codigo=5492254&amp;fecha=28/07/2017</w:t>
        </w:r>
      </w:hyperlink>
      <w:r w:rsidRPr="006B234F">
        <w:rPr>
          <w:rFonts w:ascii="Palatino Linotype" w:eastAsia="Palatino Linotype" w:hAnsi="Palatino Linotype" w:cs="Palatino Linotype"/>
          <w:color w:val="000000" w:themeColor="text1"/>
        </w:rPr>
        <w:t xml:space="preserve">. Incluso con la captura de dicho código, a través de la aplicación móvil del Servicio de Administración Tributaria, permite el acceso al Registro Federal de Contribuyentes, como del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como de la persona física o moral correspondiente.</w:t>
      </w: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hAnsi="Palatino Linotype"/>
          <w:color w:val="000000" w:themeColor="text1"/>
        </w:rPr>
      </w:pPr>
      <w:r w:rsidRPr="006B234F">
        <w:rPr>
          <w:rFonts w:ascii="Palatino Linotype" w:eastAsia="Palatino Linotype" w:hAnsi="Palatino Linotype" w:cs="Palatino Linotype"/>
          <w:color w:val="000000" w:themeColor="text1"/>
        </w:rPr>
        <w:t>Por otra parte y respecto a</w:t>
      </w:r>
      <w:r w:rsidRPr="006B234F">
        <w:rPr>
          <w:rFonts w:ascii="Palatino Linotype" w:eastAsia="Palatino Linotype" w:hAnsi="Palatino Linotype" w:cs="Palatino Linotype"/>
          <w:b/>
          <w:color w:val="000000" w:themeColor="text1"/>
        </w:rPr>
        <w:t xml:space="preserve"> la clave de seguridad social y en su caso clave o número del servidor público –trabajador-,</w:t>
      </w:r>
      <w:r w:rsidRPr="006B234F">
        <w:rPr>
          <w:rFonts w:ascii="Palatino Linotype" w:eastAsia="Palatino Linotype" w:hAnsi="Palatino Linotype" w:cs="Palatino Linotype"/>
          <w:color w:val="000000" w:themeColor="text1"/>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246311" w:rsidRPr="006B234F" w:rsidRDefault="00246311" w:rsidP="003E3D6C">
      <w:pPr>
        <w:shd w:val="clear" w:color="auto" w:fill="FFFFFF"/>
        <w:spacing w:before="240" w:after="240" w:line="276" w:lineRule="auto"/>
        <w:ind w:right="49"/>
        <w:jc w:val="both"/>
        <w:rPr>
          <w:rFonts w:ascii="Palatino Linotype" w:hAnsi="Palatino Linotype"/>
          <w:color w:val="000000" w:themeColor="text1"/>
        </w:rPr>
      </w:pPr>
      <w:r w:rsidRPr="006B234F">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6B234F">
        <w:rPr>
          <w:rFonts w:ascii="Palatino Linotype" w:eastAsia="Palatino Linotype" w:hAnsi="Palatino Linotype" w:cs="Palatino Linotype"/>
          <w:i/>
          <w:color w:val="000000" w:themeColor="text1"/>
        </w:rPr>
        <w:t> </w:t>
      </w:r>
      <w:r w:rsidRPr="006B234F">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6B234F">
        <w:rPr>
          <w:rFonts w:ascii="Palatino Linotype" w:eastAsia="Palatino Linotype" w:hAnsi="Palatino Linotype" w:cs="Palatino Linotype"/>
          <w:i/>
          <w:color w:val="000000" w:themeColor="text1"/>
        </w:rPr>
        <w:t>, </w:t>
      </w:r>
      <w:r w:rsidRPr="006B234F">
        <w:rPr>
          <w:rFonts w:ascii="Palatino Linotype" w:eastAsia="Palatino Linotype" w:hAnsi="Palatino Linotype" w:cs="Palatino Linotype"/>
          <w:i/>
          <w:color w:val="000000" w:themeColor="text1"/>
          <w:u w:val="single"/>
        </w:rPr>
        <w:t>dicha información es susceptible de clasificarse con el carácter de confidencial</w:t>
      </w:r>
      <w:r w:rsidRPr="006B234F">
        <w:rPr>
          <w:rFonts w:ascii="Palatino Linotype" w:eastAsia="Palatino Linotype" w:hAnsi="Palatino Linotype" w:cs="Palatino Linotype"/>
          <w:i/>
          <w:color w:val="000000" w:themeColor="text1"/>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Al respecto, es de señalar que </w:t>
      </w:r>
      <w:r w:rsidRPr="006B234F">
        <w:rPr>
          <w:rFonts w:ascii="Palatino Linotype" w:eastAsia="Palatino Linotype" w:hAnsi="Palatino Linotype" w:cs="Palatino Linotype"/>
          <w:b/>
          <w:color w:val="000000" w:themeColor="text1"/>
        </w:rPr>
        <w:t xml:space="preserve">la firma </w:t>
      </w:r>
      <w:r w:rsidRPr="006B234F">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w:t>
      </w:r>
      <w:r w:rsidRPr="006B234F">
        <w:rPr>
          <w:rFonts w:ascii="Palatino Linotype" w:eastAsia="Palatino Linotype" w:hAnsi="Palatino Linotype" w:cs="Palatino Linotype"/>
          <w:color w:val="000000" w:themeColor="text1"/>
        </w:rPr>
        <w:lastRenderedPageBreak/>
        <w:t xml:space="preserve">públicos y privados; no obstante, en el presente caso, dicho dato, es de la autoridad emisora del comprobante de los arqueos de caja. </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246311" w:rsidRPr="006B234F" w:rsidRDefault="00246311" w:rsidP="003E3D6C">
      <w:pPr>
        <w:spacing w:line="360" w:lineRule="auto"/>
        <w:ind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rsidR="00246311" w:rsidRPr="006B234F" w:rsidRDefault="00246311" w:rsidP="003E3D6C">
      <w:pPr>
        <w:spacing w:line="276" w:lineRule="auto"/>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w:t>
      </w:r>
      <w:r w:rsidRPr="006B234F">
        <w:rPr>
          <w:rFonts w:ascii="Palatino Linotype" w:eastAsia="Palatino Linotype" w:hAnsi="Palatino Linotype" w:cs="Palatino Linotype"/>
          <w:b/>
          <w:i/>
          <w:color w:val="000000" w:themeColor="text1"/>
        </w:rPr>
        <w:t>FIRMA Y RÚBRICA DE SERVIDORES PÚBLICOS.</w:t>
      </w:r>
      <w:r w:rsidRPr="006B234F">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246311" w:rsidRDefault="00246311" w:rsidP="003E3D6C">
      <w:pPr>
        <w:spacing w:line="276" w:lineRule="auto"/>
        <w:ind w:right="49"/>
        <w:jc w:val="both"/>
        <w:rPr>
          <w:rFonts w:ascii="Palatino Linotype" w:eastAsia="Palatino Linotype" w:hAnsi="Palatino Linotype" w:cs="Palatino Linotype"/>
          <w:i/>
          <w:color w:val="000000" w:themeColor="text1"/>
        </w:rPr>
      </w:pPr>
    </w:p>
    <w:p w:rsidR="00D97CDB" w:rsidRPr="006B234F" w:rsidRDefault="00D97CDB" w:rsidP="003E3D6C">
      <w:pPr>
        <w:spacing w:line="276" w:lineRule="auto"/>
        <w:ind w:right="49"/>
        <w:jc w:val="both"/>
        <w:rPr>
          <w:rFonts w:ascii="Palatino Linotype" w:eastAsia="Palatino Linotype" w:hAnsi="Palatino Linotype" w:cs="Palatino Linotype"/>
          <w:i/>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Al respecto, se destaca que la versión pública que elabore el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w:t>
      </w:r>
      <w:r w:rsidRPr="006B234F">
        <w:rPr>
          <w:rFonts w:ascii="Palatino Linotype" w:eastAsia="Palatino Linotype" w:hAnsi="Palatino Linotype" w:cs="Palatino Linotype"/>
          <w:color w:val="000000" w:themeColor="text1"/>
        </w:rPr>
        <w:lastRenderedPageBreak/>
        <w:t>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246311" w:rsidRPr="006B234F" w:rsidRDefault="00246311" w:rsidP="003E3D6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651421" w:rsidRPr="006B234F" w:rsidRDefault="0065142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B234F">
        <w:rPr>
          <w:rFonts w:ascii="Palatino Linotype" w:eastAsia="Palatino Linotype" w:hAnsi="Palatino Linotype" w:cs="Palatino Linotype"/>
          <w:b/>
          <w:color w:val="000000" w:themeColor="text1"/>
        </w:rPr>
        <w:t>RECURRENTE.</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46311" w:rsidRPr="006B234F" w:rsidRDefault="00246311" w:rsidP="003E3D6C">
      <w:pPr>
        <w:pStyle w:val="Prrafodelista"/>
        <w:ind w:left="0"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“Quincuagésimo sexto</w:t>
      </w:r>
      <w:r w:rsidRPr="006B234F">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lastRenderedPageBreak/>
        <w:t xml:space="preserve">II. El nombre de los servidores públicos en los documentos, y sus firmas autógrafas, cuando sean utilizados en el ejercicio de las facultades conferidas para el desempeño del servicio público, y </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r w:rsidRPr="006B234F">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246311" w:rsidRPr="006B234F" w:rsidRDefault="00246311" w:rsidP="003E3D6C">
      <w:pPr>
        <w:spacing w:before="120" w:after="120"/>
        <w:ind w:right="49"/>
        <w:jc w:val="both"/>
        <w:rPr>
          <w:rFonts w:ascii="Palatino Linotype" w:eastAsia="Palatino Linotype" w:hAnsi="Palatino Linotype" w:cs="Palatino Linotype"/>
          <w:i/>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Por lo tanto, </w:t>
      </w:r>
      <w:r w:rsidRPr="006B234F">
        <w:rPr>
          <w:rFonts w:ascii="Palatino Linotype" w:eastAsia="Palatino Linotype" w:hAnsi="Palatino Linotype" w:cs="Palatino Linotype"/>
          <w:b/>
          <w:color w:val="000000" w:themeColor="text1"/>
        </w:rPr>
        <w:t xml:space="preserve">la entrega de documentos en su versión pública debe </w:t>
      </w:r>
      <w:r w:rsidRPr="006B234F">
        <w:rPr>
          <w:rFonts w:ascii="Palatino Linotype" w:eastAsia="Palatino Linotype" w:hAnsi="Palatino Linotype" w:cs="Palatino Linotype"/>
          <w:color w:val="000000" w:themeColor="text1"/>
        </w:rPr>
        <w:t>acompañarse</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necesariamente</w:t>
      </w:r>
      <w:r w:rsidRPr="006B234F">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6B234F">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46311" w:rsidRPr="006B234F" w:rsidRDefault="00246311" w:rsidP="003E3D6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Los sujetos obligados</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w:t>
      </w:r>
      <w:r w:rsidRPr="006B234F">
        <w:rPr>
          <w:rFonts w:ascii="Palatino Linotype" w:eastAsia="Palatino Linotype" w:hAnsi="Palatino Linotype" w:cs="Palatino Linotype"/>
          <w:color w:val="000000" w:themeColor="text1"/>
        </w:rPr>
        <w:lastRenderedPageBreak/>
        <w:t>la clasificación de la información, se deben seguir una serie de pasos y procedimientos, por lo que es menester reiterar los mismos:</w:t>
      </w:r>
    </w:p>
    <w:p w:rsidR="00246311" w:rsidRPr="006B234F" w:rsidRDefault="00246311" w:rsidP="003E3D6C">
      <w:pPr>
        <w:tabs>
          <w:tab w:val="left" w:pos="284"/>
        </w:tabs>
        <w:spacing w:line="360" w:lineRule="auto"/>
        <w:ind w:right="49"/>
        <w:jc w:val="both"/>
        <w:rPr>
          <w:rFonts w:ascii="Palatino Linotype" w:eastAsia="Palatino Linotype" w:hAnsi="Palatino Linotype" w:cs="Palatino Linotype"/>
          <w:color w:val="000000" w:themeColor="text1"/>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972"/>
        <w:gridCol w:w="6379"/>
      </w:tblGrid>
      <w:tr w:rsidR="003E3D6C" w:rsidRPr="006B234F" w:rsidTr="00D97CDB">
        <w:tc>
          <w:tcPr>
            <w:tcW w:w="2972" w:type="dxa"/>
          </w:tcPr>
          <w:p w:rsidR="00246311" w:rsidRPr="006B234F" w:rsidRDefault="00246311" w:rsidP="003E3D6C">
            <w:pPr>
              <w:tabs>
                <w:tab w:val="left" w:pos="284"/>
              </w:tabs>
              <w:ind w:right="49"/>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 Requisitos previos.</w:t>
            </w:r>
          </w:p>
        </w:tc>
        <w:tc>
          <w:tcPr>
            <w:tcW w:w="6379" w:type="dxa"/>
          </w:tcPr>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6B234F">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6B234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p>
        </w:tc>
      </w:tr>
      <w:tr w:rsidR="003E3D6C" w:rsidRPr="006B234F" w:rsidTr="00D97CDB">
        <w:tc>
          <w:tcPr>
            <w:tcW w:w="2972" w:type="dxa"/>
          </w:tcPr>
          <w:p w:rsidR="00246311" w:rsidRPr="006B234F" w:rsidRDefault="00246311" w:rsidP="003E3D6C">
            <w:pPr>
              <w:tabs>
                <w:tab w:val="left" w:pos="284"/>
              </w:tabs>
              <w:ind w:right="49"/>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b) Supuestos de clasificación.</w:t>
            </w:r>
          </w:p>
        </w:tc>
        <w:tc>
          <w:tcPr>
            <w:tcW w:w="6379" w:type="dxa"/>
          </w:tcPr>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w:t>
            </w:r>
            <w:r w:rsidRPr="006B234F">
              <w:rPr>
                <w:rFonts w:ascii="Palatino Linotype" w:eastAsia="Palatino Linotype" w:hAnsi="Palatino Linotype" w:cs="Palatino Linotype"/>
                <w:color w:val="000000" w:themeColor="text1"/>
              </w:rPr>
              <w:lastRenderedPageBreak/>
              <w:t>esta condición y no se pueden ampliar las excepciones o supuestos de clasificación aduciendo analogía o mayoría de razón.</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El </w:t>
            </w:r>
            <w:r w:rsidRPr="006B234F">
              <w:rPr>
                <w:rFonts w:ascii="Palatino Linotype" w:eastAsia="Palatino Linotype" w:hAnsi="Palatino Linotype" w:cs="Palatino Linotype"/>
                <w:b/>
                <w:color w:val="000000" w:themeColor="text1"/>
              </w:rPr>
              <w:t>Sujeto Obligado</w:t>
            </w:r>
            <w:r w:rsidRPr="006B234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p>
        </w:tc>
      </w:tr>
      <w:tr w:rsidR="003E3D6C" w:rsidRPr="006B234F" w:rsidTr="00D97CDB">
        <w:tc>
          <w:tcPr>
            <w:tcW w:w="2972" w:type="dxa"/>
          </w:tcPr>
          <w:p w:rsidR="00246311" w:rsidRPr="006B234F" w:rsidRDefault="00246311" w:rsidP="003E3D6C">
            <w:pPr>
              <w:tabs>
                <w:tab w:val="left" w:pos="284"/>
              </w:tabs>
              <w:ind w:right="49"/>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c) Formalidades para emitir el acuerdo de clasificación.</w:t>
            </w:r>
          </w:p>
        </w:tc>
        <w:tc>
          <w:tcPr>
            <w:tcW w:w="6379" w:type="dxa"/>
          </w:tcPr>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Es necesario que </w:t>
            </w:r>
            <w:r w:rsidRPr="006B234F">
              <w:rPr>
                <w:rFonts w:ascii="Palatino Linotype" w:eastAsia="Palatino Linotype" w:hAnsi="Palatino Linotype" w:cs="Palatino Linotype"/>
                <w:b/>
                <w:color w:val="000000" w:themeColor="text1"/>
                <w:u w:val="single"/>
              </w:rPr>
              <w:t>el acto reúna con los requisitos elementales</w:t>
            </w:r>
            <w:r w:rsidRPr="006B234F">
              <w:rPr>
                <w:rFonts w:ascii="Palatino Linotype" w:eastAsia="Palatino Linotype" w:hAnsi="Palatino Linotype" w:cs="Palatino Linotype"/>
                <w:color w:val="000000" w:themeColor="text1"/>
              </w:rPr>
              <w:t>, entre ellos, que la autoridad que va a emitir el acto de autoridad sea la legalmente facultada para ello.</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p>
        </w:tc>
      </w:tr>
      <w:tr w:rsidR="003E3D6C" w:rsidRPr="006B234F" w:rsidTr="00D97CDB">
        <w:tc>
          <w:tcPr>
            <w:tcW w:w="2972" w:type="dxa"/>
          </w:tcPr>
          <w:p w:rsidR="00246311" w:rsidRPr="006B234F" w:rsidRDefault="00246311" w:rsidP="003E3D6C">
            <w:pPr>
              <w:tabs>
                <w:tab w:val="left" w:pos="284"/>
              </w:tabs>
              <w:ind w:right="49"/>
              <w:rPr>
                <w:rFonts w:ascii="Palatino Linotype" w:eastAsia="Palatino Linotype" w:hAnsi="Palatino Linotype" w:cs="Palatino Linotype"/>
                <w:color w:val="000000" w:themeColor="text1"/>
              </w:rPr>
            </w:pP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d) Requisitos de fondo del acuerdo de clasificación. </w:t>
            </w:r>
          </w:p>
        </w:tc>
        <w:tc>
          <w:tcPr>
            <w:tcW w:w="6379" w:type="dxa"/>
          </w:tcPr>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234F">
              <w:rPr>
                <w:rFonts w:ascii="Palatino Linotype" w:eastAsia="Palatino Linotype" w:hAnsi="Palatino Linotype" w:cs="Palatino Linotype"/>
                <w:b/>
                <w:color w:val="000000" w:themeColor="text1"/>
              </w:rPr>
              <w:lastRenderedPageBreak/>
              <w:t>Sujetos Obligados</w:t>
            </w:r>
            <w:r w:rsidRPr="006B234F">
              <w:rPr>
                <w:rFonts w:ascii="Palatino Linotype" w:eastAsia="Palatino Linotype" w:hAnsi="Palatino Linotype" w:cs="Palatino Linotype"/>
                <w:color w:val="000000" w:themeColor="text1"/>
              </w:rPr>
              <w:t xml:space="preserve">, por lo que deberán fundar y motivar debidamente la clasificación. </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De lo anterior, se desprende que para una correcta </w:t>
            </w:r>
            <w:r w:rsidRPr="006B234F">
              <w:rPr>
                <w:rFonts w:ascii="Palatino Linotype" w:eastAsia="Palatino Linotype" w:hAnsi="Palatino Linotype" w:cs="Palatino Linotype"/>
                <w:b/>
                <w:color w:val="000000" w:themeColor="text1"/>
              </w:rPr>
              <w:t>clasificación total o parcial</w:t>
            </w:r>
            <w:r w:rsidRPr="006B234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Ahora bien, </w:t>
            </w:r>
            <w:r w:rsidRPr="006B234F">
              <w:rPr>
                <w:rFonts w:ascii="Palatino Linotype" w:eastAsia="Palatino Linotype" w:hAnsi="Palatino Linotype" w:cs="Palatino Linotype"/>
                <w:b/>
                <w:color w:val="000000" w:themeColor="text1"/>
                <w:u w:val="single"/>
              </w:rPr>
              <w:t>para cada caso además de fundar y motivar</w:t>
            </w:r>
            <w:r w:rsidRPr="006B234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p>
        </w:tc>
      </w:tr>
      <w:tr w:rsidR="00246311" w:rsidRPr="006B234F" w:rsidTr="00D97CDB">
        <w:tc>
          <w:tcPr>
            <w:tcW w:w="2972" w:type="dxa"/>
          </w:tcPr>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 xml:space="preserve">e) Condiciones especiales de la clasificación de la </w:t>
            </w:r>
            <w:r w:rsidRPr="006B234F">
              <w:rPr>
                <w:rFonts w:ascii="Palatino Linotype" w:eastAsia="Palatino Linotype" w:hAnsi="Palatino Linotype" w:cs="Palatino Linotype"/>
                <w:color w:val="000000" w:themeColor="text1"/>
              </w:rPr>
              <w:lastRenderedPageBreak/>
              <w:t xml:space="preserve">información como confidencial. </w:t>
            </w:r>
          </w:p>
        </w:tc>
        <w:tc>
          <w:tcPr>
            <w:tcW w:w="6379" w:type="dxa"/>
          </w:tcPr>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w:t>
            </w:r>
            <w:r w:rsidRPr="006B234F">
              <w:rPr>
                <w:rFonts w:ascii="Palatino Linotype" w:eastAsia="Palatino Linotype" w:hAnsi="Palatino Linotype" w:cs="Palatino Linotype"/>
                <w:color w:val="000000" w:themeColor="text1"/>
              </w:rPr>
              <w:lastRenderedPageBreak/>
              <w:t xml:space="preserve">de datos personales, se podrán proporcionar, incluso sin solicitar el consentimiento de su titular. </w:t>
            </w:r>
          </w:p>
          <w:p w:rsidR="00246311" w:rsidRPr="006B234F" w:rsidRDefault="00246311" w:rsidP="003E3D6C">
            <w:pPr>
              <w:tabs>
                <w:tab w:val="left" w:pos="284"/>
              </w:tabs>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46311" w:rsidRPr="006B234F" w:rsidRDefault="00246311" w:rsidP="003E3D6C">
            <w:pPr>
              <w:tabs>
                <w:tab w:val="left" w:pos="284"/>
              </w:tabs>
              <w:ind w:right="49"/>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246311" w:rsidRPr="006B234F" w:rsidRDefault="00246311" w:rsidP="003E3D6C">
            <w:pPr>
              <w:tabs>
                <w:tab w:val="left" w:pos="284"/>
              </w:tabs>
              <w:ind w:right="49"/>
              <w:rPr>
                <w:rFonts w:ascii="Palatino Linotype" w:eastAsia="Palatino Linotype" w:hAnsi="Palatino Linotype" w:cs="Palatino Linotype"/>
                <w:color w:val="000000" w:themeColor="text1"/>
              </w:rPr>
            </w:pPr>
          </w:p>
        </w:tc>
      </w:tr>
    </w:tbl>
    <w:p w:rsidR="00246311" w:rsidRPr="006B234F" w:rsidRDefault="00246311" w:rsidP="003E3D6C">
      <w:pPr>
        <w:tabs>
          <w:tab w:val="left" w:pos="284"/>
        </w:tabs>
        <w:spacing w:line="360" w:lineRule="auto"/>
        <w:ind w:right="49"/>
        <w:rPr>
          <w:rFonts w:ascii="Palatino Linotype" w:eastAsia="Palatino Linotype" w:hAnsi="Palatino Linotype" w:cs="Palatino Linotype"/>
          <w:color w:val="000000" w:themeColor="text1"/>
        </w:rPr>
      </w:pPr>
    </w:p>
    <w:p w:rsidR="00246311" w:rsidRPr="006B234F" w:rsidRDefault="00246311" w:rsidP="00D97CDB">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Si el servidor </w:t>
      </w:r>
      <w:r w:rsidRPr="006B234F">
        <w:rPr>
          <w:rFonts w:ascii="Palatino Linotype" w:eastAsia="Arial Unicode MS" w:hAnsi="Palatino Linotype" w:cs="Arial"/>
          <w:color w:val="000000" w:themeColor="text1"/>
        </w:rPr>
        <w:t>público</w:t>
      </w:r>
      <w:r w:rsidRPr="006B234F">
        <w:rPr>
          <w:rFonts w:ascii="Palatino Linotype" w:eastAsia="Palatino Linotype" w:hAnsi="Palatino Linotype" w:cs="Palatino Linotype"/>
          <w:color w:val="000000" w:themeColor="text1"/>
        </w:rPr>
        <w:t xml:space="preserve"> incumple con estas formalidades y entrega la información </w:t>
      </w:r>
      <w:r w:rsidRPr="006B234F">
        <w:rPr>
          <w:rFonts w:ascii="Palatino Linotype" w:eastAsia="Arial Unicode MS" w:hAnsi="Palatino Linotype" w:cs="Arial"/>
          <w:color w:val="000000" w:themeColor="text1"/>
        </w:rPr>
        <w:t>sin</w:t>
      </w:r>
      <w:r w:rsidRPr="006B234F">
        <w:rPr>
          <w:rFonts w:ascii="Palatino Linotype" w:eastAsia="Palatino Linotype" w:hAnsi="Palatino Linotype" w:cs="Palatino Linotype"/>
          <w:color w:val="000000" w:themeColor="text1"/>
        </w:rPr>
        <w:t xml:space="preserve"> proteger los datos personales incumple con lo que estipula las disposiciones legales establecidas, asimismo que si entrega un documento testado sin el debido acuerdo de clasificación.</w:t>
      </w:r>
    </w:p>
    <w:p w:rsidR="00246311" w:rsidRPr="006B234F" w:rsidRDefault="00246311" w:rsidP="003E3D6C">
      <w:pPr>
        <w:pStyle w:val="Prrafodelista"/>
        <w:widowControl w:val="0"/>
        <w:autoSpaceDE w:val="0"/>
        <w:autoSpaceDN w:val="0"/>
        <w:adjustRightInd w:val="0"/>
        <w:spacing w:line="360" w:lineRule="auto"/>
        <w:ind w:left="0" w:right="49"/>
        <w:jc w:val="both"/>
        <w:rPr>
          <w:rFonts w:ascii="Palatino Linotype" w:eastAsia="Calibri" w:hAnsi="Palatino Linotype" w:cs="Arial"/>
          <w:color w:val="000000" w:themeColor="text1"/>
        </w:rPr>
      </w:pPr>
    </w:p>
    <w:p w:rsidR="00246311" w:rsidRPr="00D97CDB" w:rsidRDefault="00246311" w:rsidP="00D97CDB">
      <w:pPr>
        <w:pStyle w:val="Sinespaciado"/>
        <w:numPr>
          <w:ilvl w:val="0"/>
          <w:numId w:val="1"/>
        </w:numPr>
        <w:spacing w:line="360" w:lineRule="auto"/>
        <w:ind w:left="0" w:right="49" w:firstLine="0"/>
        <w:jc w:val="both"/>
        <w:rPr>
          <w:rFonts w:ascii="Palatino Linotype" w:hAnsi="Palatino Linotype" w:cs="Arial"/>
          <w:color w:val="000000" w:themeColor="text1"/>
        </w:rPr>
      </w:pPr>
      <w:r w:rsidRPr="006B234F">
        <w:rPr>
          <w:rFonts w:ascii="Palatino Linotype" w:eastAsia="Arial Unicode MS" w:hAnsi="Palatino Linotype" w:cs="Arial"/>
          <w:color w:val="000000" w:themeColor="text1"/>
        </w:rPr>
        <w:t>Por</w:t>
      </w:r>
      <w:r w:rsidRPr="006B234F">
        <w:rPr>
          <w:rFonts w:ascii="Palatino Linotype" w:eastAsia="MS Mincho" w:hAnsi="Palatino Linotype"/>
          <w:color w:val="000000" w:themeColor="text1"/>
        </w:rPr>
        <w:t xml:space="preserve"> lo </w:t>
      </w:r>
      <w:r w:rsidRPr="006B234F">
        <w:rPr>
          <w:rFonts w:ascii="Palatino Linotype" w:eastAsia="Arial Unicode MS" w:hAnsi="Palatino Linotype" w:cs="Arial"/>
          <w:color w:val="000000" w:themeColor="text1"/>
        </w:rPr>
        <w:t>anteriormente</w:t>
      </w:r>
      <w:r w:rsidRPr="006B234F">
        <w:rPr>
          <w:rFonts w:ascii="Palatino Linotype" w:eastAsia="MS Mincho" w:hAnsi="Palatino Linotype"/>
          <w:color w:val="000000" w:themeColor="text1"/>
        </w:rPr>
        <w:t xml:space="preserve"> expuesto y fundado, este Órgano Garante emite los siguientes: </w:t>
      </w:r>
      <w:r w:rsidR="00D97CDB">
        <w:rPr>
          <w:rFonts w:ascii="Palatino Linotype" w:eastAsia="MS Mincho" w:hAnsi="Palatino Linotype"/>
          <w:color w:val="000000" w:themeColor="text1"/>
        </w:rPr>
        <w:t>-----------------------------------------------------------------------------------------------------</w:t>
      </w:r>
    </w:p>
    <w:p w:rsidR="00D97CDB" w:rsidRDefault="00D97CDB" w:rsidP="00D97CDB">
      <w:pPr>
        <w:pStyle w:val="Prrafodelista"/>
        <w:rPr>
          <w:rFonts w:ascii="Palatino Linotype" w:hAnsi="Palatino Linotype" w:cs="Arial"/>
          <w:color w:val="000000" w:themeColor="text1"/>
        </w:rPr>
      </w:pPr>
    </w:p>
    <w:p w:rsidR="00D97CDB" w:rsidRDefault="00D97CDB" w:rsidP="00D97CDB">
      <w:pPr>
        <w:pStyle w:val="Sinespaciado"/>
        <w:spacing w:line="360" w:lineRule="auto"/>
        <w:ind w:right="49"/>
        <w:jc w:val="both"/>
        <w:rPr>
          <w:rFonts w:ascii="Palatino Linotype" w:hAnsi="Palatino Linotype" w:cs="Arial"/>
          <w:color w:val="000000" w:themeColor="text1"/>
        </w:rPr>
      </w:pPr>
    </w:p>
    <w:p w:rsidR="00D97CDB" w:rsidRDefault="00D97CDB" w:rsidP="00D97CDB">
      <w:pPr>
        <w:pStyle w:val="Sinespaciado"/>
        <w:spacing w:line="360" w:lineRule="auto"/>
        <w:ind w:right="49"/>
        <w:jc w:val="both"/>
        <w:rPr>
          <w:rFonts w:ascii="Palatino Linotype" w:hAnsi="Palatino Linotype" w:cs="Arial"/>
          <w:color w:val="000000" w:themeColor="text1"/>
        </w:rPr>
      </w:pPr>
    </w:p>
    <w:p w:rsidR="00D97CDB" w:rsidRDefault="00D97CDB" w:rsidP="00D97CDB">
      <w:pPr>
        <w:pStyle w:val="Sinespaciado"/>
        <w:spacing w:line="360" w:lineRule="auto"/>
        <w:ind w:right="49"/>
        <w:jc w:val="both"/>
        <w:rPr>
          <w:rFonts w:ascii="Palatino Linotype" w:hAnsi="Palatino Linotype" w:cs="Arial"/>
          <w:color w:val="000000" w:themeColor="text1"/>
        </w:rPr>
      </w:pPr>
    </w:p>
    <w:p w:rsidR="00D97CDB" w:rsidRPr="006B234F" w:rsidRDefault="00D97CDB" w:rsidP="00D97CDB">
      <w:pPr>
        <w:pStyle w:val="Sinespaciado"/>
        <w:spacing w:line="360" w:lineRule="auto"/>
        <w:ind w:right="49"/>
        <w:jc w:val="both"/>
        <w:rPr>
          <w:rFonts w:ascii="Palatino Linotype" w:hAnsi="Palatino Linotype" w:cs="Arial"/>
          <w:color w:val="000000" w:themeColor="text1"/>
        </w:rPr>
      </w:pPr>
    </w:p>
    <w:p w:rsidR="00313EA6" w:rsidRPr="006B234F" w:rsidRDefault="00313EA6" w:rsidP="003E3D6C">
      <w:pPr>
        <w:pStyle w:val="Ttulo1"/>
        <w:spacing w:before="0" w:line="360" w:lineRule="auto"/>
        <w:ind w:right="49"/>
        <w:jc w:val="center"/>
        <w:rPr>
          <w:rFonts w:ascii="Palatino Linotype" w:hAnsi="Palatino Linotype"/>
          <w:b/>
          <w:color w:val="000000" w:themeColor="text1"/>
          <w:sz w:val="24"/>
          <w:szCs w:val="24"/>
        </w:rPr>
      </w:pPr>
      <w:bookmarkStart w:id="36" w:name="_Toc81233128"/>
      <w:r w:rsidRPr="006B234F">
        <w:rPr>
          <w:rFonts w:ascii="Palatino Linotype" w:hAnsi="Palatino Linotype"/>
          <w:b/>
          <w:color w:val="000000" w:themeColor="text1"/>
          <w:sz w:val="24"/>
          <w:szCs w:val="24"/>
        </w:rPr>
        <w:lastRenderedPageBreak/>
        <w:t>R E S O L U T I V O S</w:t>
      </w:r>
      <w:bookmarkEnd w:id="32"/>
      <w:bookmarkEnd w:id="33"/>
      <w:bookmarkEnd w:id="34"/>
      <w:bookmarkEnd w:id="35"/>
      <w:bookmarkEnd w:id="36"/>
    </w:p>
    <w:p w:rsidR="00313EA6" w:rsidRPr="006B234F" w:rsidRDefault="00313EA6" w:rsidP="003E3D6C">
      <w:pPr>
        <w:spacing w:line="360" w:lineRule="auto"/>
        <w:ind w:right="49"/>
        <w:rPr>
          <w:rFonts w:ascii="Palatino Linotype" w:hAnsi="Palatino Linotype"/>
          <w:color w:val="000000" w:themeColor="text1"/>
        </w:rPr>
      </w:pPr>
    </w:p>
    <w:p w:rsidR="00313EA6" w:rsidRPr="006B234F" w:rsidRDefault="00313EA6" w:rsidP="003E3D6C">
      <w:pPr>
        <w:spacing w:line="360" w:lineRule="auto"/>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b/>
          <w:color w:val="000000" w:themeColor="text1"/>
        </w:rPr>
        <w:t>PRIMERO</w:t>
      </w:r>
      <w:r w:rsidRPr="006B234F">
        <w:rPr>
          <w:rFonts w:ascii="Palatino Linotype" w:eastAsia="Palatino Linotype" w:hAnsi="Palatino Linotype" w:cs="Palatino Linotype"/>
          <w:color w:val="000000" w:themeColor="text1"/>
        </w:rPr>
        <w:t>. Resultan fundadas las</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 xml:space="preserve">razones o motivos de inconformidad hechos valer en el Recurso de Revisión </w:t>
      </w:r>
      <w:r w:rsidR="009F74E7" w:rsidRPr="006B234F">
        <w:rPr>
          <w:rFonts w:ascii="Palatino Linotype" w:hAnsi="Palatino Linotype"/>
          <w:b/>
          <w:bCs/>
          <w:color w:val="000000" w:themeColor="text1"/>
        </w:rPr>
        <w:t>036</w:t>
      </w:r>
      <w:r w:rsidRPr="006B234F">
        <w:rPr>
          <w:rFonts w:ascii="Palatino Linotype" w:hAnsi="Palatino Linotype"/>
          <w:b/>
          <w:bCs/>
          <w:color w:val="000000" w:themeColor="text1"/>
        </w:rPr>
        <w:t>48/INFOEM/IP/RR/2025</w:t>
      </w:r>
      <w:r w:rsidRPr="006B234F">
        <w:rPr>
          <w:rFonts w:ascii="Palatino Linotype" w:eastAsia="Palatino Linotype" w:hAnsi="Palatino Linotype" w:cs="Palatino Linotype"/>
          <w:b/>
          <w:color w:val="000000" w:themeColor="text1"/>
        </w:rPr>
        <w:t xml:space="preserve">, </w:t>
      </w:r>
      <w:r w:rsidRPr="006B234F">
        <w:rPr>
          <w:rFonts w:ascii="Palatino Linotype" w:eastAsia="Palatino Linotype" w:hAnsi="Palatino Linotype" w:cs="Palatino Linotype"/>
          <w:color w:val="000000" w:themeColor="text1"/>
        </w:rPr>
        <w:t xml:space="preserve">en términos de los </w:t>
      </w:r>
      <w:r w:rsidRPr="006B234F">
        <w:rPr>
          <w:rFonts w:ascii="Palatino Linotype" w:eastAsia="Palatino Linotype" w:hAnsi="Palatino Linotype" w:cs="Palatino Linotype"/>
          <w:b/>
          <w:color w:val="000000" w:themeColor="text1"/>
        </w:rPr>
        <w:t>Considerandos</w:t>
      </w:r>
      <w:r w:rsidRPr="006B234F">
        <w:rPr>
          <w:rFonts w:ascii="Palatino Linotype" w:eastAsia="Palatino Linotype" w:hAnsi="Palatino Linotype" w:cs="Palatino Linotype"/>
          <w:color w:val="000000" w:themeColor="text1"/>
        </w:rPr>
        <w:t xml:space="preserve"> </w:t>
      </w:r>
      <w:r w:rsidRPr="006B234F">
        <w:rPr>
          <w:rFonts w:ascii="Palatino Linotype" w:eastAsia="Palatino Linotype" w:hAnsi="Palatino Linotype" w:cs="Palatino Linotype"/>
          <w:b/>
          <w:color w:val="000000" w:themeColor="text1"/>
        </w:rPr>
        <w:t>CUARTO</w:t>
      </w:r>
      <w:r w:rsidRPr="006B234F">
        <w:rPr>
          <w:rFonts w:ascii="Palatino Linotype" w:eastAsia="Palatino Linotype" w:hAnsi="Palatino Linotype" w:cs="Palatino Linotype"/>
          <w:color w:val="000000" w:themeColor="text1"/>
        </w:rPr>
        <w:t xml:space="preserve"> y </w:t>
      </w:r>
      <w:r w:rsidRPr="006B234F">
        <w:rPr>
          <w:rFonts w:ascii="Palatino Linotype" w:eastAsia="Palatino Linotype" w:hAnsi="Palatino Linotype" w:cs="Palatino Linotype"/>
          <w:b/>
          <w:color w:val="000000" w:themeColor="text1"/>
        </w:rPr>
        <w:t xml:space="preserve">QUINTO </w:t>
      </w:r>
      <w:r w:rsidRPr="006B234F">
        <w:rPr>
          <w:rFonts w:ascii="Palatino Linotype" w:eastAsia="Palatino Linotype" w:hAnsi="Palatino Linotype" w:cs="Palatino Linotype"/>
          <w:color w:val="000000" w:themeColor="text1"/>
        </w:rPr>
        <w:t>de la presente Resolución.</w:t>
      </w:r>
    </w:p>
    <w:p w:rsidR="009F74E7" w:rsidRPr="006B234F" w:rsidRDefault="009F74E7" w:rsidP="003E3D6C">
      <w:pPr>
        <w:spacing w:line="360" w:lineRule="auto"/>
        <w:ind w:right="49"/>
        <w:jc w:val="both"/>
        <w:rPr>
          <w:rFonts w:ascii="Palatino Linotype" w:eastAsia="Palatino Linotype" w:hAnsi="Palatino Linotype" w:cs="Palatino Linotype"/>
          <w:color w:val="000000" w:themeColor="text1"/>
        </w:rPr>
      </w:pPr>
    </w:p>
    <w:p w:rsidR="00313EA6" w:rsidRPr="006B234F" w:rsidRDefault="00313EA6" w:rsidP="003E3D6C">
      <w:pPr>
        <w:spacing w:line="360" w:lineRule="auto"/>
        <w:ind w:right="49"/>
        <w:jc w:val="both"/>
        <w:rPr>
          <w:rFonts w:ascii="Palatino Linotype" w:hAnsi="Palatino Linotype" w:cs="Arial"/>
          <w:color w:val="000000" w:themeColor="text1"/>
        </w:rPr>
      </w:pPr>
      <w:r w:rsidRPr="006B234F">
        <w:rPr>
          <w:rFonts w:ascii="Palatino Linotype" w:hAnsi="Palatino Linotype"/>
          <w:b/>
          <w:color w:val="000000" w:themeColor="text1"/>
        </w:rPr>
        <w:t xml:space="preserve">SEGUNDO. </w:t>
      </w:r>
      <w:r w:rsidRPr="006B234F">
        <w:rPr>
          <w:rFonts w:ascii="Palatino Linotype" w:eastAsia="MS Mincho" w:hAnsi="Palatino Linotype"/>
          <w:color w:val="000000" w:themeColor="text1"/>
        </w:rPr>
        <w:t xml:space="preserve">Se </w:t>
      </w:r>
      <w:r w:rsidRPr="006B234F">
        <w:rPr>
          <w:rFonts w:ascii="Palatino Linotype" w:eastAsia="MS Mincho" w:hAnsi="Palatino Linotype"/>
          <w:b/>
          <w:color w:val="000000" w:themeColor="text1"/>
        </w:rPr>
        <w:t xml:space="preserve">REVOCA </w:t>
      </w:r>
      <w:r w:rsidR="009F74E7" w:rsidRPr="006B234F">
        <w:rPr>
          <w:rFonts w:ascii="Palatino Linotype" w:eastAsia="MS Mincho" w:hAnsi="Palatino Linotype"/>
          <w:color w:val="000000" w:themeColor="text1"/>
        </w:rPr>
        <w:t xml:space="preserve">la respuesta emitida por </w:t>
      </w:r>
      <w:r w:rsidRPr="006B234F">
        <w:rPr>
          <w:rFonts w:ascii="Palatino Linotype" w:eastAsia="MS Mincho" w:hAnsi="Palatino Linotype"/>
          <w:color w:val="000000" w:themeColor="text1"/>
        </w:rPr>
        <w:t>l</w:t>
      </w:r>
      <w:r w:rsidR="009F74E7" w:rsidRPr="006B234F">
        <w:rPr>
          <w:rFonts w:ascii="Palatino Linotype" w:eastAsia="MS Mincho" w:hAnsi="Palatino Linotype"/>
          <w:color w:val="000000" w:themeColor="text1"/>
        </w:rPr>
        <w:t>a</w:t>
      </w:r>
      <w:r w:rsidRPr="006B234F">
        <w:rPr>
          <w:rFonts w:ascii="Palatino Linotype" w:eastAsia="MS Mincho" w:hAnsi="Palatino Linotype"/>
          <w:color w:val="000000" w:themeColor="text1"/>
        </w:rPr>
        <w:t xml:space="preserve"> </w:t>
      </w:r>
      <w:r w:rsidR="009F74E7" w:rsidRPr="006B234F">
        <w:rPr>
          <w:rFonts w:ascii="Palatino Linotype" w:eastAsia="Calibri" w:hAnsi="Palatino Linotype" w:cs="Tahoma"/>
          <w:b/>
          <w:color w:val="000000" w:themeColor="text1"/>
          <w:lang w:eastAsia="en-US"/>
        </w:rPr>
        <w:t>Unidad de Asuntos Internos</w:t>
      </w:r>
      <w:r w:rsidRPr="006B234F">
        <w:rPr>
          <w:rFonts w:ascii="Palatino Linotype" w:eastAsia="MS Mincho" w:hAnsi="Palatino Linotype"/>
          <w:color w:val="000000" w:themeColor="text1"/>
        </w:rPr>
        <w:t xml:space="preserve"> y se </w:t>
      </w:r>
      <w:r w:rsidRPr="006B234F">
        <w:rPr>
          <w:rFonts w:ascii="Palatino Linotype" w:eastAsia="MS Mincho" w:hAnsi="Palatino Linotype"/>
          <w:b/>
          <w:color w:val="000000" w:themeColor="text1"/>
        </w:rPr>
        <w:t>ORDENA</w:t>
      </w:r>
      <w:r w:rsidRPr="006B234F">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6B234F">
        <w:rPr>
          <w:rFonts w:ascii="Palatino Linotype" w:eastAsia="MS Mincho" w:hAnsi="Palatino Linotype"/>
          <w:color w:val="000000" w:themeColor="text1"/>
        </w:rPr>
        <w:t>entregar vía Sistema de Acceso a la Información Mexiquense (SAIMEX), en versión pública, la siguiente información</w:t>
      </w:r>
      <w:r w:rsidRPr="006B234F">
        <w:rPr>
          <w:rFonts w:ascii="Palatino Linotype" w:hAnsi="Palatino Linotype" w:cs="Arial"/>
          <w:color w:val="000000" w:themeColor="text1"/>
        </w:rPr>
        <w:t>:</w:t>
      </w:r>
    </w:p>
    <w:p w:rsidR="00313EA6" w:rsidRPr="006B234F" w:rsidRDefault="00313EA6" w:rsidP="003E3D6C">
      <w:pPr>
        <w:pStyle w:val="Prrafodelista"/>
        <w:tabs>
          <w:tab w:val="left" w:pos="8080"/>
        </w:tabs>
        <w:spacing w:line="360" w:lineRule="auto"/>
        <w:ind w:left="0" w:right="49"/>
        <w:jc w:val="both"/>
        <w:rPr>
          <w:rFonts w:ascii="Palatino Linotype" w:hAnsi="Palatino Linotype" w:cs="Arial"/>
          <w:i/>
          <w:color w:val="000000" w:themeColor="text1"/>
        </w:rPr>
      </w:pPr>
    </w:p>
    <w:p w:rsidR="007D1050" w:rsidRPr="006B234F" w:rsidRDefault="007D1050" w:rsidP="003E3D6C">
      <w:pPr>
        <w:pStyle w:val="Prrafodelista"/>
        <w:numPr>
          <w:ilvl w:val="0"/>
          <w:numId w:val="34"/>
        </w:numPr>
        <w:spacing w:line="360" w:lineRule="auto"/>
        <w:ind w:left="0" w:right="49" w:firstLine="0"/>
        <w:contextualSpacing w:val="0"/>
        <w:jc w:val="both"/>
        <w:rPr>
          <w:rFonts w:ascii="Palatino Linotype" w:eastAsia="Calibri" w:hAnsi="Palatino Linotype" w:cs="Arial"/>
          <w:b/>
          <w:color w:val="000000" w:themeColor="text1"/>
          <w:lang w:val="es-AR"/>
        </w:rPr>
      </w:pPr>
      <w:r w:rsidRPr="006B234F">
        <w:rPr>
          <w:rFonts w:ascii="Palatino Linotype" w:eastAsia="Calibri" w:hAnsi="Palatino Linotype" w:cs="Arial"/>
          <w:b/>
          <w:color w:val="000000" w:themeColor="text1"/>
        </w:rPr>
        <w:t>Recibos de nómina de los servidores públicos adscritos a la Unidad de Asuntos Internos, del 01 de enero al 28 de febrero de 2025</w:t>
      </w:r>
      <w:r w:rsidRPr="006B234F">
        <w:rPr>
          <w:rFonts w:ascii="Palatino Linotype" w:eastAsia="Calibri" w:hAnsi="Palatino Linotype" w:cs="Arial"/>
          <w:b/>
          <w:color w:val="000000" w:themeColor="text1"/>
          <w:lang w:val="es-AR"/>
        </w:rPr>
        <w:t>.</w:t>
      </w:r>
    </w:p>
    <w:p w:rsidR="00313EA6" w:rsidRPr="006B234F" w:rsidRDefault="00313EA6" w:rsidP="003E3D6C">
      <w:pPr>
        <w:pStyle w:val="Prrafodelista"/>
        <w:spacing w:line="360" w:lineRule="auto"/>
        <w:ind w:left="0" w:right="49"/>
        <w:rPr>
          <w:rFonts w:ascii="Palatino Linotype" w:eastAsia="Palatino Linotype" w:hAnsi="Palatino Linotype" w:cs="Palatino Linotype"/>
          <w:b/>
          <w:color w:val="000000" w:themeColor="text1"/>
        </w:rPr>
      </w:pPr>
    </w:p>
    <w:p w:rsidR="00313EA6" w:rsidRPr="006B234F" w:rsidRDefault="00313EA6" w:rsidP="003E3D6C">
      <w:pPr>
        <w:tabs>
          <w:tab w:val="left" w:pos="8080"/>
        </w:tabs>
        <w:spacing w:line="360" w:lineRule="auto"/>
        <w:ind w:right="49"/>
        <w:jc w:val="both"/>
        <w:rPr>
          <w:rFonts w:ascii="Palatino Linotype" w:eastAsia="Palatino Linotype" w:hAnsi="Palatino Linotype" w:cs="Palatino Linotype"/>
          <w:color w:val="000000" w:themeColor="text1"/>
        </w:rPr>
      </w:pPr>
      <w:r w:rsidRPr="006B234F">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6B234F">
        <w:rPr>
          <w:rFonts w:ascii="Palatino Linotype" w:eastAsia="Palatino Linotype" w:hAnsi="Palatino Linotype" w:cs="Palatino Linotype"/>
          <w:b/>
          <w:color w:val="000000" w:themeColor="text1"/>
        </w:rPr>
        <w:t>RECURRENTE</w:t>
      </w:r>
      <w:r w:rsidRPr="006B234F">
        <w:rPr>
          <w:rFonts w:ascii="Palatino Linotype" w:eastAsia="Palatino Linotype" w:hAnsi="Palatino Linotype" w:cs="Palatino Linotype"/>
          <w:color w:val="000000" w:themeColor="text1"/>
        </w:rPr>
        <w:t>.</w:t>
      </w:r>
    </w:p>
    <w:p w:rsidR="00313EA6" w:rsidRPr="006B234F" w:rsidRDefault="00313EA6" w:rsidP="003E3D6C">
      <w:pPr>
        <w:tabs>
          <w:tab w:val="left" w:pos="8080"/>
        </w:tabs>
        <w:spacing w:line="360" w:lineRule="auto"/>
        <w:ind w:right="49"/>
        <w:jc w:val="both"/>
        <w:rPr>
          <w:rFonts w:ascii="Palatino Linotype" w:eastAsia="Palatino Linotype" w:hAnsi="Palatino Linotype" w:cs="Palatino Linotype"/>
          <w:color w:val="000000" w:themeColor="text1"/>
        </w:rPr>
      </w:pPr>
    </w:p>
    <w:bookmarkEnd w:id="37"/>
    <w:bookmarkEnd w:id="38"/>
    <w:bookmarkEnd w:id="39"/>
    <w:bookmarkEnd w:id="40"/>
    <w:bookmarkEnd w:id="41"/>
    <w:bookmarkEnd w:id="42"/>
    <w:bookmarkEnd w:id="43"/>
    <w:bookmarkEnd w:id="44"/>
    <w:p w:rsidR="00313EA6" w:rsidRPr="006B234F" w:rsidRDefault="00313EA6" w:rsidP="003E3D6C">
      <w:pPr>
        <w:spacing w:line="360" w:lineRule="auto"/>
        <w:ind w:right="49"/>
        <w:jc w:val="both"/>
        <w:rPr>
          <w:rFonts w:ascii="Palatino Linotype" w:hAnsi="Palatino Linotype"/>
          <w:color w:val="000000" w:themeColor="text1"/>
        </w:rPr>
      </w:pPr>
      <w:r w:rsidRPr="006B234F">
        <w:rPr>
          <w:rFonts w:ascii="Palatino Linotype" w:hAnsi="Palatino Linotype" w:cs="Arial"/>
          <w:b/>
          <w:bCs/>
          <w:color w:val="000000" w:themeColor="text1"/>
        </w:rPr>
        <w:t>TERCERO</w:t>
      </w:r>
      <w:r w:rsidRPr="006B234F">
        <w:rPr>
          <w:rFonts w:ascii="Palatino Linotype" w:hAnsi="Palatino Linotype" w:cs="Arial"/>
          <w:b/>
          <w:color w:val="000000" w:themeColor="text1"/>
        </w:rPr>
        <w:t>.</w:t>
      </w:r>
      <w:r w:rsidRPr="006B234F">
        <w:rPr>
          <w:rFonts w:ascii="Palatino Linotype" w:eastAsia="Palatino Linotype" w:hAnsi="Palatino Linotype" w:cs="Palatino Linotype"/>
          <w:b/>
          <w:color w:val="000000" w:themeColor="text1"/>
        </w:rPr>
        <w:t xml:space="preserve"> </w:t>
      </w:r>
      <w:r w:rsidRPr="006B234F">
        <w:rPr>
          <w:rFonts w:ascii="Palatino Linotype" w:hAnsi="Palatino Linotype"/>
          <w:b/>
          <w:color w:val="000000" w:themeColor="text1"/>
        </w:rPr>
        <w:t xml:space="preserve">Notifíquese </w:t>
      </w:r>
      <w:r w:rsidRPr="006B234F">
        <w:rPr>
          <w:rFonts w:ascii="Palatino Linotype" w:hAnsi="Palatino Linotype"/>
          <w:color w:val="000000" w:themeColor="text1"/>
        </w:rPr>
        <w:t xml:space="preserve">la presente Resolución al Titular de la Unidad de Transparencia del Sujeto Obligado vía </w:t>
      </w:r>
      <w:r w:rsidRPr="006B234F">
        <w:rPr>
          <w:rFonts w:ascii="Palatino Linotype" w:hAnsi="Palatino Linotype"/>
          <w:b/>
          <w:color w:val="000000" w:themeColor="text1"/>
        </w:rPr>
        <w:t>SAIMEX</w:t>
      </w:r>
      <w:r w:rsidRPr="006B234F">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6B234F">
        <w:rPr>
          <w:rFonts w:ascii="Palatino Linotype" w:hAnsi="Palatino Linotype"/>
          <w:b/>
          <w:color w:val="000000" w:themeColor="text1"/>
        </w:rPr>
        <w:t xml:space="preserve">dé cumplimiento a lo ordenado dentro del plazo de </w:t>
      </w:r>
      <w:r w:rsidRPr="006B234F">
        <w:rPr>
          <w:rFonts w:ascii="Palatino Linotype" w:hAnsi="Palatino Linotype"/>
          <w:b/>
          <w:color w:val="000000" w:themeColor="text1"/>
        </w:rPr>
        <w:lastRenderedPageBreak/>
        <w:t>diez días hábiles</w:t>
      </w:r>
      <w:r w:rsidRPr="006B234F">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3EA6" w:rsidRPr="006B234F" w:rsidRDefault="00313EA6" w:rsidP="003E3D6C">
      <w:pPr>
        <w:spacing w:line="360" w:lineRule="auto"/>
        <w:ind w:right="49"/>
        <w:jc w:val="both"/>
        <w:rPr>
          <w:rFonts w:ascii="Palatino Linotype" w:hAnsi="Palatino Linotype"/>
          <w:color w:val="000000" w:themeColor="text1"/>
        </w:rPr>
      </w:pPr>
    </w:p>
    <w:p w:rsidR="00313EA6" w:rsidRPr="006B234F" w:rsidRDefault="00313EA6" w:rsidP="003E3D6C">
      <w:pPr>
        <w:spacing w:line="360" w:lineRule="auto"/>
        <w:ind w:right="49"/>
        <w:jc w:val="both"/>
        <w:rPr>
          <w:rFonts w:ascii="Palatino Linotype" w:hAnsi="Palatino Linotype" w:cs="Arial"/>
          <w:bCs/>
          <w:color w:val="000000" w:themeColor="text1"/>
        </w:rPr>
      </w:pPr>
      <w:r w:rsidRPr="006B234F">
        <w:rPr>
          <w:rFonts w:ascii="Palatino Linotype" w:hAnsi="Palatino Linotype" w:cs="Arial"/>
          <w:b/>
          <w:color w:val="000000" w:themeColor="text1"/>
        </w:rPr>
        <w:t xml:space="preserve">CUARTO. </w:t>
      </w:r>
      <w:r w:rsidRPr="006B234F">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6B234F">
        <w:rPr>
          <w:rFonts w:ascii="Palatino Linotype" w:hAnsi="Palatino Linotype" w:cs="Arial"/>
          <w:b/>
          <w:bCs/>
          <w:color w:val="000000" w:themeColor="text1"/>
        </w:rPr>
        <w:t>SUJETO OBLIGADO</w:t>
      </w:r>
      <w:r w:rsidRPr="006B234F">
        <w:rPr>
          <w:rFonts w:ascii="Palatino Linotype" w:hAnsi="Palatino Linotype" w:cs="Arial"/>
          <w:bCs/>
          <w:color w:val="000000" w:themeColor="text1"/>
        </w:rPr>
        <w:t xml:space="preserve"> de manera fundada y motivada, podrá solicitar una ampliación de plazo para el cumplimiento de la presente Resolución.</w:t>
      </w:r>
    </w:p>
    <w:p w:rsidR="00313EA6" w:rsidRPr="006B234F" w:rsidRDefault="00313EA6" w:rsidP="003E3D6C">
      <w:pPr>
        <w:spacing w:line="360" w:lineRule="auto"/>
        <w:ind w:right="49"/>
        <w:jc w:val="both"/>
        <w:rPr>
          <w:rFonts w:ascii="Palatino Linotype" w:hAnsi="Palatino Linotype" w:cs="Arial"/>
          <w:bCs/>
          <w:color w:val="000000" w:themeColor="text1"/>
        </w:rPr>
      </w:pPr>
    </w:p>
    <w:p w:rsidR="00313EA6" w:rsidRPr="006B234F" w:rsidRDefault="00313EA6" w:rsidP="003E3D6C">
      <w:pPr>
        <w:tabs>
          <w:tab w:val="left" w:pos="8080"/>
        </w:tabs>
        <w:spacing w:line="360" w:lineRule="auto"/>
        <w:ind w:right="49"/>
        <w:jc w:val="both"/>
        <w:rPr>
          <w:rFonts w:ascii="Palatino Linotype" w:hAnsi="Palatino Linotype"/>
          <w:color w:val="000000" w:themeColor="text1"/>
        </w:rPr>
      </w:pPr>
      <w:bookmarkStart w:id="45" w:name="_Toc492590393"/>
      <w:bookmarkStart w:id="46" w:name="_Toc503891611"/>
      <w:bookmarkStart w:id="47" w:name="_Toc511647759"/>
      <w:bookmarkStart w:id="48" w:name="_Toc511647820"/>
      <w:r w:rsidRPr="006B234F">
        <w:rPr>
          <w:rFonts w:ascii="Palatino Linotype" w:hAnsi="Palatino Linotype"/>
          <w:b/>
          <w:color w:val="000000" w:themeColor="text1"/>
        </w:rPr>
        <w:t xml:space="preserve">QUINTO. </w:t>
      </w:r>
      <w:r w:rsidRPr="006B234F">
        <w:rPr>
          <w:rFonts w:ascii="Palatino Linotype" w:hAnsi="Palatino Linotype"/>
          <w:color w:val="000000" w:themeColor="text1"/>
        </w:rPr>
        <w:t>Notifíquese</w:t>
      </w:r>
      <w:bookmarkEnd w:id="45"/>
      <w:bookmarkEnd w:id="46"/>
      <w:bookmarkEnd w:id="47"/>
      <w:bookmarkEnd w:id="48"/>
      <w:r w:rsidRPr="006B234F">
        <w:rPr>
          <w:rFonts w:ascii="Palatino Linotype" w:hAnsi="Palatino Linotype"/>
          <w:color w:val="000000" w:themeColor="text1"/>
        </w:rPr>
        <w:t xml:space="preserve"> al </w:t>
      </w:r>
      <w:r w:rsidRPr="006B234F">
        <w:rPr>
          <w:rFonts w:ascii="Palatino Linotype" w:hAnsi="Palatino Linotype"/>
          <w:b/>
          <w:color w:val="000000" w:themeColor="text1"/>
        </w:rPr>
        <w:t>RECURRENTE</w:t>
      </w:r>
      <w:r w:rsidRPr="006B234F">
        <w:rPr>
          <w:rFonts w:ascii="Palatino Linotype" w:hAnsi="Palatino Linotype"/>
          <w:color w:val="000000" w:themeColor="text1"/>
        </w:rPr>
        <w:t xml:space="preserve"> la presente Resolución, vía </w:t>
      </w:r>
      <w:r w:rsidRPr="006B234F">
        <w:rPr>
          <w:rFonts w:ascii="Palatino Linotype" w:hAnsi="Palatino Linotype"/>
          <w:b/>
          <w:color w:val="000000" w:themeColor="text1"/>
        </w:rPr>
        <w:t>SAIMEX</w:t>
      </w:r>
      <w:r w:rsidRPr="006B234F">
        <w:rPr>
          <w:rFonts w:ascii="Palatino Linotype" w:hAnsi="Palatino Linotype"/>
          <w:color w:val="000000" w:themeColor="text1"/>
        </w:rPr>
        <w:t>.</w:t>
      </w:r>
    </w:p>
    <w:p w:rsidR="003E3D6C" w:rsidRPr="006B234F" w:rsidRDefault="003E3D6C" w:rsidP="003E3D6C">
      <w:pPr>
        <w:tabs>
          <w:tab w:val="left" w:pos="8080"/>
        </w:tabs>
        <w:spacing w:line="360" w:lineRule="auto"/>
        <w:ind w:right="49"/>
        <w:jc w:val="both"/>
        <w:rPr>
          <w:rFonts w:ascii="Palatino Linotype" w:hAnsi="Palatino Linotype"/>
          <w:color w:val="000000" w:themeColor="text1"/>
        </w:rPr>
      </w:pPr>
    </w:p>
    <w:p w:rsidR="00313EA6" w:rsidRPr="006B234F" w:rsidRDefault="00313EA6" w:rsidP="003E3D6C">
      <w:pPr>
        <w:shd w:val="clear" w:color="auto" w:fill="FFFFFF"/>
        <w:spacing w:line="360" w:lineRule="auto"/>
        <w:ind w:right="49"/>
        <w:jc w:val="both"/>
        <w:rPr>
          <w:rFonts w:ascii="Palatino Linotype" w:hAnsi="Palatino Linotype"/>
          <w:color w:val="000000" w:themeColor="text1"/>
          <w:lang w:eastAsia="en-US"/>
        </w:rPr>
      </w:pPr>
      <w:r w:rsidRPr="006B234F">
        <w:rPr>
          <w:rFonts w:ascii="Palatino Linotype" w:hAnsi="Palatino Linotype"/>
          <w:b/>
          <w:color w:val="000000" w:themeColor="text1"/>
          <w:lang w:eastAsia="en-US"/>
        </w:rPr>
        <w:t xml:space="preserve">SEXTO. </w:t>
      </w:r>
      <w:r w:rsidRPr="006B234F">
        <w:rPr>
          <w:rFonts w:ascii="Palatino Linotype" w:hAnsi="Palatino Linotype"/>
          <w:color w:val="000000" w:themeColor="text1"/>
          <w:lang w:eastAsia="en-US"/>
        </w:rPr>
        <w:t>Se hace del conocimiento del</w:t>
      </w:r>
      <w:r w:rsidRPr="006B234F">
        <w:rPr>
          <w:rFonts w:ascii="Palatino Linotype" w:hAnsi="Palatino Linotype"/>
          <w:b/>
          <w:color w:val="000000" w:themeColor="text1"/>
          <w:lang w:eastAsia="en-US"/>
        </w:rPr>
        <w:t xml:space="preserve"> RECURRENTE </w:t>
      </w:r>
      <w:r w:rsidRPr="006B234F">
        <w:rPr>
          <w:rFonts w:ascii="Palatino Linotype"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65101" w:rsidRPr="006B234F" w:rsidRDefault="00B65101" w:rsidP="003E3D6C">
      <w:pPr>
        <w:shd w:val="clear" w:color="auto" w:fill="FFFFFF"/>
        <w:spacing w:line="360" w:lineRule="auto"/>
        <w:ind w:right="49"/>
        <w:jc w:val="both"/>
        <w:rPr>
          <w:rFonts w:ascii="Palatino Linotype" w:eastAsia="Palatino Linotype" w:hAnsi="Palatino Linotype" w:cs="Palatino Linotype"/>
          <w:color w:val="000000" w:themeColor="text1"/>
        </w:rPr>
      </w:pPr>
    </w:p>
    <w:p w:rsidR="003E3D6C" w:rsidRPr="00444783" w:rsidRDefault="006B234F" w:rsidP="003E3D6C">
      <w:pPr>
        <w:spacing w:line="360" w:lineRule="auto"/>
        <w:ind w:right="49"/>
        <w:jc w:val="both"/>
        <w:rPr>
          <w:rFonts w:ascii="Palatino Linotype" w:eastAsia="Palatino Linotype" w:hAnsi="Palatino Linotype" w:cs="Palatino Linotype"/>
        </w:rPr>
      </w:pPr>
      <w:r w:rsidRPr="006B234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sidRPr="006B234F">
        <w:rPr>
          <w:rFonts w:ascii="Palatino Linotype" w:eastAsia="Palatino Linotype" w:hAnsi="Palatino Linotype" w:cs="Palatino Linotype"/>
        </w:rPr>
        <w:lastRenderedPageBreak/>
        <w:t>MEJÍA AYALA, SHARON CRISTINA MORALES MARTÍNEZ, LUIS GUSTAVO PARRA NORIEGA Y GUADALUPE RAMÍREZ PEÑA; EN LA TRIGÉSIMA SEGUNDA SESIÓN ORDINARIA, CELEBRADA EL DIEZ (10) DE SEPTIEMBRE DE DOS MIL VEINTICINCO, ANTE EL SECRETARIO TÉCNICO DEL PLENO ALEXIS TAPIA RAMÍREZ</w:t>
      </w:r>
      <w:r w:rsidR="003E3D6C" w:rsidRPr="006B234F">
        <w:rPr>
          <w:rFonts w:ascii="Palatino Linotype" w:eastAsia="Palatino Linotype" w:hAnsi="Palatino Linotype" w:cs="Palatino Linotype"/>
        </w:rPr>
        <w:t>.</w:t>
      </w:r>
    </w:p>
    <w:p w:rsidR="00B84DF1" w:rsidRPr="003E3D6C" w:rsidRDefault="00B84DF1" w:rsidP="003E3D6C">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jc w:val="both"/>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p w:rsidR="00B84DF1" w:rsidRPr="003E3D6C" w:rsidRDefault="009D3673" w:rsidP="003E3D6C">
      <w:pPr>
        <w:tabs>
          <w:tab w:val="left" w:pos="3374"/>
        </w:tabs>
        <w:spacing w:line="360" w:lineRule="auto"/>
        <w:ind w:right="49"/>
        <w:rPr>
          <w:rFonts w:ascii="Palatino Linotype" w:eastAsia="Palatino Linotype" w:hAnsi="Palatino Linotype" w:cs="Palatino Linotype"/>
          <w:color w:val="000000" w:themeColor="text1"/>
        </w:rPr>
      </w:pPr>
      <w:r w:rsidRPr="003E3D6C">
        <w:rPr>
          <w:rFonts w:ascii="Palatino Linotype" w:eastAsia="Palatino Linotype" w:hAnsi="Palatino Linotype" w:cs="Palatino Linotype"/>
          <w:color w:val="000000" w:themeColor="text1"/>
        </w:rPr>
        <w:tab/>
      </w: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tabs>
          <w:tab w:val="left" w:pos="3374"/>
        </w:tabs>
        <w:spacing w:line="360" w:lineRule="auto"/>
        <w:ind w:right="49"/>
        <w:rPr>
          <w:rFonts w:ascii="Palatino Linotype" w:eastAsia="Palatino Linotype" w:hAnsi="Palatino Linotype" w:cs="Palatino Linotype"/>
          <w:color w:val="000000" w:themeColor="text1"/>
        </w:rPr>
      </w:pPr>
    </w:p>
    <w:p w:rsidR="00B84DF1" w:rsidRPr="003E3D6C" w:rsidRDefault="00B84DF1" w:rsidP="003E3D6C">
      <w:pPr>
        <w:spacing w:line="360" w:lineRule="auto"/>
        <w:ind w:right="49"/>
        <w:rPr>
          <w:rFonts w:ascii="Palatino Linotype" w:eastAsia="Palatino Linotype" w:hAnsi="Palatino Linotype" w:cs="Palatino Linotype"/>
          <w:color w:val="000000" w:themeColor="text1"/>
        </w:rPr>
      </w:pPr>
    </w:p>
    <w:sectPr w:rsidR="00B84DF1" w:rsidRPr="003E3D6C" w:rsidSect="00D97CDB">
      <w:headerReference w:type="even" r:id="rId10"/>
      <w:headerReference w:type="default" r:id="rId11"/>
      <w:footerReference w:type="default" r:id="rId12"/>
      <w:headerReference w:type="first" r:id="rId13"/>
      <w:footerReference w:type="first" r:id="rId14"/>
      <w:pgSz w:w="12240" w:h="15840"/>
      <w:pgMar w:top="2268"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0B4" w:rsidRDefault="009F20B4">
      <w:r>
        <w:separator/>
      </w:r>
    </w:p>
  </w:endnote>
  <w:endnote w:type="continuationSeparator" w:id="0">
    <w:p w:rsidR="009F20B4" w:rsidRDefault="009F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11" w:rsidRDefault="002463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51F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51FF">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246311" w:rsidRDefault="0024631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11" w:rsidRDefault="0024631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351F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351FF">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246311" w:rsidRDefault="0024631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0B4" w:rsidRDefault="009F20B4">
      <w:r>
        <w:separator/>
      </w:r>
    </w:p>
  </w:footnote>
  <w:footnote w:type="continuationSeparator" w:id="0">
    <w:p w:rsidR="009F20B4" w:rsidRDefault="009F20B4">
      <w:r>
        <w:continuationSeparator/>
      </w:r>
    </w:p>
  </w:footnote>
  <w:footnote w:id="1">
    <w:p w:rsidR="00246311" w:rsidRDefault="00246311" w:rsidP="00313EA6">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246311" w:rsidRDefault="00246311" w:rsidP="00313EA6">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246311" w:rsidRDefault="00246311"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246311" w:rsidRDefault="00246311"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246311" w:rsidRDefault="00246311" w:rsidP="00313EA6">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246311" w:rsidRDefault="00246311" w:rsidP="00313EA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246311" w:rsidRDefault="00246311" w:rsidP="00313EA6">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246311" w:rsidRDefault="00246311" w:rsidP="00313EA6">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11" w:rsidRDefault="009F20B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2977" w:type="dxa"/>
      <w:tblLayout w:type="fixed"/>
      <w:tblLook w:val="0400" w:firstRow="0" w:lastRow="0" w:firstColumn="0" w:lastColumn="0" w:noHBand="0" w:noVBand="1"/>
    </w:tblPr>
    <w:tblGrid>
      <w:gridCol w:w="2976"/>
      <w:gridCol w:w="3543"/>
    </w:tblGrid>
    <w:tr w:rsidR="00246311" w:rsidTr="00D97CDB">
      <w:trPr>
        <w:trHeight w:val="227"/>
      </w:trPr>
      <w:tc>
        <w:tcPr>
          <w:tcW w:w="2976" w:type="dxa"/>
          <w:vAlign w:val="center"/>
        </w:tcPr>
        <w:p w:rsidR="00246311" w:rsidRPr="003E3D6C" w:rsidRDefault="00246311" w:rsidP="003E3D6C">
          <w:pPr>
            <w:ind w:right="34"/>
            <w:jc w:val="right"/>
            <w:rPr>
              <w:rFonts w:ascii="Palatino Linotype" w:eastAsia="Palatino Linotype" w:hAnsi="Palatino Linotype" w:cs="Palatino Linotype"/>
              <w:b/>
            </w:rPr>
          </w:pPr>
          <w:r w:rsidRPr="003E3D6C">
            <w:rPr>
              <w:rFonts w:ascii="Palatino Linotype" w:eastAsia="Palatino Linotype" w:hAnsi="Palatino Linotype" w:cs="Palatino Linotype"/>
              <w:b/>
            </w:rPr>
            <w:t>Recurso de Revisión:</w:t>
          </w:r>
        </w:p>
      </w:tc>
      <w:tc>
        <w:tcPr>
          <w:tcW w:w="3543" w:type="dxa"/>
          <w:vAlign w:val="center"/>
        </w:tcPr>
        <w:p w:rsidR="00246311" w:rsidRPr="003E3D6C" w:rsidRDefault="00246311" w:rsidP="003E3D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E3D6C">
            <w:rPr>
              <w:rFonts w:ascii="Palatino Linotype" w:eastAsia="Palatino Linotype" w:hAnsi="Palatino Linotype" w:cs="Palatino Linotype"/>
              <w:color w:val="000000"/>
            </w:rPr>
            <w:t>03648/INFOEM/IP/RR/2025</w:t>
          </w:r>
        </w:p>
      </w:tc>
    </w:tr>
    <w:tr w:rsidR="00246311" w:rsidTr="00D97CDB">
      <w:trPr>
        <w:trHeight w:val="242"/>
      </w:trPr>
      <w:tc>
        <w:tcPr>
          <w:tcW w:w="2976" w:type="dxa"/>
          <w:vAlign w:val="center"/>
        </w:tcPr>
        <w:p w:rsidR="00246311" w:rsidRPr="003E3D6C" w:rsidRDefault="00246311" w:rsidP="003E3D6C">
          <w:pPr>
            <w:ind w:right="34"/>
            <w:jc w:val="right"/>
            <w:rPr>
              <w:rFonts w:ascii="Palatino Linotype" w:eastAsia="Palatino Linotype" w:hAnsi="Palatino Linotype" w:cs="Palatino Linotype"/>
              <w:b/>
            </w:rPr>
          </w:pPr>
          <w:r w:rsidRPr="003E3D6C">
            <w:rPr>
              <w:rFonts w:ascii="Palatino Linotype" w:eastAsia="Palatino Linotype" w:hAnsi="Palatino Linotype" w:cs="Palatino Linotype"/>
              <w:b/>
            </w:rPr>
            <w:t>Sujeto Obligado:</w:t>
          </w:r>
        </w:p>
      </w:tc>
      <w:tc>
        <w:tcPr>
          <w:tcW w:w="3543" w:type="dxa"/>
          <w:vAlign w:val="center"/>
        </w:tcPr>
        <w:p w:rsidR="00246311" w:rsidRPr="003E3D6C" w:rsidRDefault="00246311" w:rsidP="003E3D6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E3D6C">
            <w:rPr>
              <w:rFonts w:ascii="Palatino Linotype" w:eastAsia="Palatino Linotype" w:hAnsi="Palatino Linotype" w:cs="Palatino Linotype"/>
              <w:color w:val="000000"/>
            </w:rPr>
            <w:t>Unidad de Asuntos Internos</w:t>
          </w:r>
        </w:p>
      </w:tc>
    </w:tr>
    <w:tr w:rsidR="00246311" w:rsidTr="00D97CDB">
      <w:trPr>
        <w:trHeight w:val="342"/>
      </w:trPr>
      <w:tc>
        <w:tcPr>
          <w:tcW w:w="2976" w:type="dxa"/>
          <w:vAlign w:val="center"/>
        </w:tcPr>
        <w:p w:rsidR="00246311" w:rsidRPr="003E3D6C" w:rsidRDefault="00246311" w:rsidP="003E3D6C">
          <w:pPr>
            <w:ind w:right="34"/>
            <w:jc w:val="right"/>
            <w:rPr>
              <w:rFonts w:ascii="Palatino Linotype" w:eastAsia="Palatino Linotype" w:hAnsi="Palatino Linotype" w:cs="Palatino Linotype"/>
              <w:b/>
            </w:rPr>
          </w:pPr>
          <w:r w:rsidRPr="003E3D6C">
            <w:rPr>
              <w:rFonts w:ascii="Palatino Linotype" w:eastAsia="Palatino Linotype" w:hAnsi="Palatino Linotype" w:cs="Palatino Linotype"/>
              <w:b/>
            </w:rPr>
            <w:t>Comisionada Ponente:</w:t>
          </w:r>
        </w:p>
      </w:tc>
      <w:tc>
        <w:tcPr>
          <w:tcW w:w="3543" w:type="dxa"/>
          <w:vAlign w:val="center"/>
        </w:tcPr>
        <w:p w:rsidR="00246311" w:rsidRPr="003E3D6C" w:rsidRDefault="00246311" w:rsidP="003E3D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E3D6C">
            <w:rPr>
              <w:rFonts w:ascii="Palatino Linotype" w:eastAsia="Palatino Linotype" w:hAnsi="Palatino Linotype" w:cs="Palatino Linotype"/>
              <w:color w:val="000000"/>
            </w:rPr>
            <w:t>María del Rosario Mejía Ayala</w:t>
          </w:r>
        </w:p>
      </w:tc>
    </w:tr>
  </w:tbl>
  <w:p w:rsidR="00246311" w:rsidRDefault="009F20B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4.6pt;margin-top:-124.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087" w:type="dxa"/>
      <w:tblInd w:w="2977" w:type="dxa"/>
      <w:tblLayout w:type="fixed"/>
      <w:tblLook w:val="0400" w:firstRow="0" w:lastRow="0" w:firstColumn="0" w:lastColumn="0" w:noHBand="0" w:noVBand="1"/>
    </w:tblPr>
    <w:tblGrid>
      <w:gridCol w:w="2977"/>
      <w:gridCol w:w="4110"/>
    </w:tblGrid>
    <w:tr w:rsidR="00246311" w:rsidTr="00D97CDB">
      <w:trPr>
        <w:trHeight w:val="227"/>
      </w:trPr>
      <w:tc>
        <w:tcPr>
          <w:tcW w:w="2977" w:type="dxa"/>
          <w:vAlign w:val="center"/>
        </w:tcPr>
        <w:p w:rsidR="00246311" w:rsidRPr="003E3D6C" w:rsidRDefault="00246311" w:rsidP="003E3D6C">
          <w:pPr>
            <w:jc w:val="right"/>
            <w:rPr>
              <w:rFonts w:ascii="Palatino Linotype" w:eastAsia="Palatino Linotype" w:hAnsi="Palatino Linotype" w:cs="Palatino Linotype"/>
              <w:b/>
            </w:rPr>
          </w:pPr>
          <w:r w:rsidRPr="003E3D6C">
            <w:rPr>
              <w:rFonts w:ascii="Palatino Linotype" w:eastAsia="Palatino Linotype" w:hAnsi="Palatino Linotype" w:cs="Palatino Linotype"/>
              <w:b/>
            </w:rPr>
            <w:t>Recurso de Revisión:</w:t>
          </w:r>
        </w:p>
      </w:tc>
      <w:tc>
        <w:tcPr>
          <w:tcW w:w="4110" w:type="dxa"/>
          <w:vAlign w:val="center"/>
        </w:tcPr>
        <w:p w:rsidR="00246311" w:rsidRPr="003E3D6C" w:rsidRDefault="00246311" w:rsidP="003E3D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E3D6C">
            <w:rPr>
              <w:rFonts w:ascii="Palatino Linotype" w:eastAsia="Palatino Linotype" w:hAnsi="Palatino Linotype" w:cs="Palatino Linotype"/>
              <w:color w:val="000000"/>
            </w:rPr>
            <w:t>03648/INFOEM/IP/RR/2025</w:t>
          </w:r>
        </w:p>
      </w:tc>
    </w:tr>
    <w:tr w:rsidR="00246311" w:rsidTr="00D97CDB">
      <w:trPr>
        <w:trHeight w:val="242"/>
      </w:trPr>
      <w:tc>
        <w:tcPr>
          <w:tcW w:w="2977" w:type="dxa"/>
          <w:vAlign w:val="center"/>
        </w:tcPr>
        <w:p w:rsidR="00246311" w:rsidRPr="003E3D6C" w:rsidRDefault="00246311" w:rsidP="003E3D6C">
          <w:pPr>
            <w:jc w:val="right"/>
            <w:rPr>
              <w:rFonts w:ascii="Palatino Linotype" w:eastAsia="Palatino Linotype" w:hAnsi="Palatino Linotype" w:cs="Palatino Linotype"/>
              <w:b/>
            </w:rPr>
          </w:pPr>
          <w:r w:rsidRPr="003E3D6C">
            <w:rPr>
              <w:rFonts w:ascii="Palatino Linotype" w:eastAsia="Palatino Linotype" w:hAnsi="Palatino Linotype" w:cs="Palatino Linotype"/>
              <w:b/>
            </w:rPr>
            <w:t>Recurrente:</w:t>
          </w:r>
        </w:p>
      </w:tc>
      <w:tc>
        <w:tcPr>
          <w:tcW w:w="4110" w:type="dxa"/>
        </w:tcPr>
        <w:p w:rsidR="00246311" w:rsidRPr="003E3D6C" w:rsidRDefault="007351FF" w:rsidP="003E3D6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246311" w:rsidTr="00D97CDB">
      <w:trPr>
        <w:trHeight w:val="342"/>
      </w:trPr>
      <w:tc>
        <w:tcPr>
          <w:tcW w:w="2977" w:type="dxa"/>
          <w:vAlign w:val="center"/>
        </w:tcPr>
        <w:p w:rsidR="00246311" w:rsidRPr="003E3D6C" w:rsidRDefault="00246311" w:rsidP="003E3D6C">
          <w:pPr>
            <w:jc w:val="right"/>
            <w:rPr>
              <w:rFonts w:ascii="Palatino Linotype" w:eastAsia="Palatino Linotype" w:hAnsi="Palatino Linotype" w:cs="Palatino Linotype"/>
              <w:b/>
            </w:rPr>
          </w:pPr>
          <w:r w:rsidRPr="003E3D6C">
            <w:rPr>
              <w:rFonts w:ascii="Palatino Linotype" w:eastAsia="Palatino Linotype" w:hAnsi="Palatino Linotype" w:cs="Palatino Linotype"/>
              <w:b/>
            </w:rPr>
            <w:t>Sujeto Obligado:</w:t>
          </w:r>
        </w:p>
      </w:tc>
      <w:tc>
        <w:tcPr>
          <w:tcW w:w="4110" w:type="dxa"/>
          <w:vAlign w:val="center"/>
        </w:tcPr>
        <w:p w:rsidR="00246311" w:rsidRPr="003E3D6C" w:rsidRDefault="00246311" w:rsidP="003E3D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E3D6C">
            <w:rPr>
              <w:rFonts w:ascii="Palatino Linotype" w:eastAsia="Palatino Linotype" w:hAnsi="Palatino Linotype" w:cs="Palatino Linotype"/>
              <w:color w:val="000000"/>
            </w:rPr>
            <w:t>Unidad de Asuntos Internos</w:t>
          </w:r>
        </w:p>
      </w:tc>
    </w:tr>
    <w:tr w:rsidR="00246311" w:rsidTr="00D97CDB">
      <w:trPr>
        <w:trHeight w:val="342"/>
      </w:trPr>
      <w:tc>
        <w:tcPr>
          <w:tcW w:w="2977" w:type="dxa"/>
          <w:vAlign w:val="center"/>
        </w:tcPr>
        <w:p w:rsidR="00246311" w:rsidRPr="003E3D6C" w:rsidRDefault="00246311" w:rsidP="003E3D6C">
          <w:pPr>
            <w:jc w:val="right"/>
            <w:rPr>
              <w:rFonts w:ascii="Palatino Linotype" w:eastAsia="Palatino Linotype" w:hAnsi="Palatino Linotype" w:cs="Palatino Linotype"/>
              <w:b/>
            </w:rPr>
          </w:pPr>
          <w:r w:rsidRPr="003E3D6C">
            <w:rPr>
              <w:rFonts w:ascii="Palatino Linotype" w:eastAsia="Palatino Linotype" w:hAnsi="Palatino Linotype" w:cs="Palatino Linotype"/>
              <w:b/>
            </w:rPr>
            <w:t>Comisionada Ponente:</w:t>
          </w:r>
        </w:p>
      </w:tc>
      <w:tc>
        <w:tcPr>
          <w:tcW w:w="4110" w:type="dxa"/>
          <w:vAlign w:val="center"/>
        </w:tcPr>
        <w:p w:rsidR="00246311" w:rsidRPr="003E3D6C" w:rsidRDefault="00246311" w:rsidP="003E3D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E3D6C">
            <w:rPr>
              <w:rFonts w:ascii="Palatino Linotype" w:eastAsia="Palatino Linotype" w:hAnsi="Palatino Linotype" w:cs="Palatino Linotype"/>
              <w:color w:val="000000"/>
            </w:rPr>
            <w:t>María del Rosario Mejía Ayala</w:t>
          </w:r>
        </w:p>
      </w:tc>
    </w:tr>
  </w:tbl>
  <w:p w:rsidR="00246311" w:rsidRDefault="009F20B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5.4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4EF4BDC"/>
    <w:multiLevelType w:val="hybridMultilevel"/>
    <w:tmpl w:val="0A8279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2"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1"/>
  </w:num>
  <w:num w:numId="3">
    <w:abstractNumId w:val="21"/>
  </w:num>
  <w:num w:numId="4">
    <w:abstractNumId w:val="33"/>
  </w:num>
  <w:num w:numId="5">
    <w:abstractNumId w:val="31"/>
  </w:num>
  <w:num w:numId="6">
    <w:abstractNumId w:val="3"/>
  </w:num>
  <w:num w:numId="7">
    <w:abstractNumId w:val="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7"/>
    <w:lvlOverride w:ilvl="0">
      <w:lvl w:ilvl="0">
        <w:numFmt w:val="decimal"/>
        <w:lvlText w:val="%1."/>
        <w:lvlJc w:val="left"/>
        <w:rPr>
          <w:b/>
        </w:rPr>
      </w:lvl>
    </w:lvlOverride>
  </w:num>
  <w:num w:numId="11">
    <w:abstractNumId w:val="13"/>
  </w:num>
  <w:num w:numId="12">
    <w:abstractNumId w:val="15"/>
  </w:num>
  <w:num w:numId="13">
    <w:abstractNumId w:val="6"/>
  </w:num>
  <w:num w:numId="14">
    <w:abstractNumId w:val="35"/>
  </w:num>
  <w:num w:numId="15">
    <w:abstractNumId w:val="19"/>
  </w:num>
  <w:num w:numId="16">
    <w:abstractNumId w:val="12"/>
  </w:num>
  <w:num w:numId="17">
    <w:abstractNumId w:val="0"/>
  </w:num>
  <w:num w:numId="18">
    <w:abstractNumId w:val="5"/>
  </w:num>
  <w:num w:numId="19">
    <w:abstractNumId w:val="24"/>
  </w:num>
  <w:num w:numId="20">
    <w:abstractNumId w:val="34"/>
  </w:num>
  <w:num w:numId="21">
    <w:abstractNumId w:val="2"/>
  </w:num>
  <w:num w:numId="22">
    <w:abstractNumId w:val="22"/>
  </w:num>
  <w:num w:numId="23">
    <w:abstractNumId w:val="29"/>
  </w:num>
  <w:num w:numId="24">
    <w:abstractNumId w:val="38"/>
  </w:num>
  <w:num w:numId="25">
    <w:abstractNumId w:val="4"/>
  </w:num>
  <w:num w:numId="26">
    <w:abstractNumId w:val="16"/>
  </w:num>
  <w:num w:numId="27">
    <w:abstractNumId w:val="17"/>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8"/>
  </w:num>
  <w:num w:numId="33">
    <w:abstractNumId w:val="18"/>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7"/>
  </w:num>
  <w:num w:numId="37">
    <w:abstractNumId w:val="36"/>
  </w:num>
  <w:num w:numId="38">
    <w:abstractNumId w:val="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25289"/>
    <w:rsid w:val="00034F10"/>
    <w:rsid w:val="000378F8"/>
    <w:rsid w:val="00041443"/>
    <w:rsid w:val="000444BD"/>
    <w:rsid w:val="00053809"/>
    <w:rsid w:val="00071823"/>
    <w:rsid w:val="000A6833"/>
    <w:rsid w:val="000B137A"/>
    <w:rsid w:val="000B554D"/>
    <w:rsid w:val="000C7A68"/>
    <w:rsid w:val="000E5750"/>
    <w:rsid w:val="000E7F59"/>
    <w:rsid w:val="000F1E77"/>
    <w:rsid w:val="00120600"/>
    <w:rsid w:val="001268E9"/>
    <w:rsid w:val="00134848"/>
    <w:rsid w:val="00137E3A"/>
    <w:rsid w:val="001737E1"/>
    <w:rsid w:val="00194544"/>
    <w:rsid w:val="001964B7"/>
    <w:rsid w:val="001C3453"/>
    <w:rsid w:val="0021003A"/>
    <w:rsid w:val="00212FD8"/>
    <w:rsid w:val="0023609E"/>
    <w:rsid w:val="00246311"/>
    <w:rsid w:val="00256C47"/>
    <w:rsid w:val="00260274"/>
    <w:rsid w:val="0026452F"/>
    <w:rsid w:val="00267DE2"/>
    <w:rsid w:val="0029404D"/>
    <w:rsid w:val="002B1760"/>
    <w:rsid w:val="002C2106"/>
    <w:rsid w:val="002D50F0"/>
    <w:rsid w:val="002E0DF4"/>
    <w:rsid w:val="002E5220"/>
    <w:rsid w:val="003063EE"/>
    <w:rsid w:val="00313EA6"/>
    <w:rsid w:val="00320F2D"/>
    <w:rsid w:val="0032619C"/>
    <w:rsid w:val="003A10C2"/>
    <w:rsid w:val="003A4B0A"/>
    <w:rsid w:val="003B54B3"/>
    <w:rsid w:val="003B59FA"/>
    <w:rsid w:val="003B6629"/>
    <w:rsid w:val="003D2130"/>
    <w:rsid w:val="003D7E7B"/>
    <w:rsid w:val="003E15C4"/>
    <w:rsid w:val="003E3D6C"/>
    <w:rsid w:val="004204F5"/>
    <w:rsid w:val="00425628"/>
    <w:rsid w:val="00435EA5"/>
    <w:rsid w:val="00447084"/>
    <w:rsid w:val="00454DEC"/>
    <w:rsid w:val="00456AC6"/>
    <w:rsid w:val="004656BC"/>
    <w:rsid w:val="00472A9C"/>
    <w:rsid w:val="004A0C6B"/>
    <w:rsid w:val="004A2ACD"/>
    <w:rsid w:val="004B459A"/>
    <w:rsid w:val="004B5F96"/>
    <w:rsid w:val="004D47CA"/>
    <w:rsid w:val="004E4B9F"/>
    <w:rsid w:val="00514236"/>
    <w:rsid w:val="005531B6"/>
    <w:rsid w:val="00555782"/>
    <w:rsid w:val="00561B00"/>
    <w:rsid w:val="00564C26"/>
    <w:rsid w:val="0057241F"/>
    <w:rsid w:val="005B2DCD"/>
    <w:rsid w:val="005D442D"/>
    <w:rsid w:val="006027C3"/>
    <w:rsid w:val="006261B6"/>
    <w:rsid w:val="00644E0D"/>
    <w:rsid w:val="0064652D"/>
    <w:rsid w:val="00651421"/>
    <w:rsid w:val="006535A3"/>
    <w:rsid w:val="00654047"/>
    <w:rsid w:val="00655B77"/>
    <w:rsid w:val="00671E11"/>
    <w:rsid w:val="00681C04"/>
    <w:rsid w:val="006B234F"/>
    <w:rsid w:val="006B7977"/>
    <w:rsid w:val="006C4EFA"/>
    <w:rsid w:val="006E36A4"/>
    <w:rsid w:val="006E7948"/>
    <w:rsid w:val="006E79B6"/>
    <w:rsid w:val="00704604"/>
    <w:rsid w:val="007137AB"/>
    <w:rsid w:val="00714C89"/>
    <w:rsid w:val="00725BBA"/>
    <w:rsid w:val="0073213D"/>
    <w:rsid w:val="007351FF"/>
    <w:rsid w:val="00760330"/>
    <w:rsid w:val="00792763"/>
    <w:rsid w:val="007A402E"/>
    <w:rsid w:val="007D1050"/>
    <w:rsid w:val="007D4A48"/>
    <w:rsid w:val="007E1DBF"/>
    <w:rsid w:val="007F745B"/>
    <w:rsid w:val="00805D93"/>
    <w:rsid w:val="0081462E"/>
    <w:rsid w:val="00825F36"/>
    <w:rsid w:val="00826A75"/>
    <w:rsid w:val="008311D3"/>
    <w:rsid w:val="0083179B"/>
    <w:rsid w:val="00831F7B"/>
    <w:rsid w:val="008330D2"/>
    <w:rsid w:val="00834AB8"/>
    <w:rsid w:val="0086180F"/>
    <w:rsid w:val="008704F4"/>
    <w:rsid w:val="00874872"/>
    <w:rsid w:val="00885F80"/>
    <w:rsid w:val="00886BE8"/>
    <w:rsid w:val="00900624"/>
    <w:rsid w:val="0090156E"/>
    <w:rsid w:val="00924256"/>
    <w:rsid w:val="00961CA6"/>
    <w:rsid w:val="00972164"/>
    <w:rsid w:val="009C08D3"/>
    <w:rsid w:val="009D3673"/>
    <w:rsid w:val="009F12B3"/>
    <w:rsid w:val="009F20B4"/>
    <w:rsid w:val="009F6E27"/>
    <w:rsid w:val="009F74E7"/>
    <w:rsid w:val="009F7C6A"/>
    <w:rsid w:val="00A1164D"/>
    <w:rsid w:val="00A227E2"/>
    <w:rsid w:val="00A36A65"/>
    <w:rsid w:val="00A43841"/>
    <w:rsid w:val="00A502B5"/>
    <w:rsid w:val="00A634F0"/>
    <w:rsid w:val="00A77DDE"/>
    <w:rsid w:val="00AA53A0"/>
    <w:rsid w:val="00AC01CA"/>
    <w:rsid w:val="00AD2D90"/>
    <w:rsid w:val="00AD30C0"/>
    <w:rsid w:val="00AD753F"/>
    <w:rsid w:val="00AE3D3C"/>
    <w:rsid w:val="00AF6023"/>
    <w:rsid w:val="00B01467"/>
    <w:rsid w:val="00B02063"/>
    <w:rsid w:val="00B05FE8"/>
    <w:rsid w:val="00B11C54"/>
    <w:rsid w:val="00B21ADF"/>
    <w:rsid w:val="00B33052"/>
    <w:rsid w:val="00B3387E"/>
    <w:rsid w:val="00B36DB4"/>
    <w:rsid w:val="00B41162"/>
    <w:rsid w:val="00B44995"/>
    <w:rsid w:val="00B5309F"/>
    <w:rsid w:val="00B60BC1"/>
    <w:rsid w:val="00B62425"/>
    <w:rsid w:val="00B64111"/>
    <w:rsid w:val="00B65101"/>
    <w:rsid w:val="00B84DF1"/>
    <w:rsid w:val="00B91685"/>
    <w:rsid w:val="00BA3D27"/>
    <w:rsid w:val="00BD5B3D"/>
    <w:rsid w:val="00BD7237"/>
    <w:rsid w:val="00BE415E"/>
    <w:rsid w:val="00BE5C3A"/>
    <w:rsid w:val="00C273BD"/>
    <w:rsid w:val="00C33B64"/>
    <w:rsid w:val="00C449F2"/>
    <w:rsid w:val="00C45F15"/>
    <w:rsid w:val="00CA7D5D"/>
    <w:rsid w:val="00CB1566"/>
    <w:rsid w:val="00CB4A28"/>
    <w:rsid w:val="00CC616B"/>
    <w:rsid w:val="00CC78CD"/>
    <w:rsid w:val="00CD27D3"/>
    <w:rsid w:val="00CE34F2"/>
    <w:rsid w:val="00CE38F5"/>
    <w:rsid w:val="00CF5DF5"/>
    <w:rsid w:val="00CF698F"/>
    <w:rsid w:val="00CF798E"/>
    <w:rsid w:val="00D03A0D"/>
    <w:rsid w:val="00D11877"/>
    <w:rsid w:val="00D77568"/>
    <w:rsid w:val="00D82D8C"/>
    <w:rsid w:val="00D97CDB"/>
    <w:rsid w:val="00DB20B2"/>
    <w:rsid w:val="00DC2BB2"/>
    <w:rsid w:val="00DC7C5B"/>
    <w:rsid w:val="00DD370B"/>
    <w:rsid w:val="00DF2FE0"/>
    <w:rsid w:val="00DF36EF"/>
    <w:rsid w:val="00DF4E01"/>
    <w:rsid w:val="00E17E99"/>
    <w:rsid w:val="00E30F92"/>
    <w:rsid w:val="00E46D33"/>
    <w:rsid w:val="00E64C80"/>
    <w:rsid w:val="00E81E4D"/>
    <w:rsid w:val="00E845E2"/>
    <w:rsid w:val="00E8516D"/>
    <w:rsid w:val="00E87C17"/>
    <w:rsid w:val="00E96581"/>
    <w:rsid w:val="00EC2856"/>
    <w:rsid w:val="00ED0A54"/>
    <w:rsid w:val="00EE5A08"/>
    <w:rsid w:val="00EF7EF9"/>
    <w:rsid w:val="00F0736F"/>
    <w:rsid w:val="00F11260"/>
    <w:rsid w:val="00F15452"/>
    <w:rsid w:val="00F167E6"/>
    <w:rsid w:val="00F22E98"/>
    <w:rsid w:val="00F321D3"/>
    <w:rsid w:val="00F33652"/>
    <w:rsid w:val="00F6082D"/>
    <w:rsid w:val="00F816BF"/>
    <w:rsid w:val="00F867E2"/>
    <w:rsid w:val="00F916D5"/>
    <w:rsid w:val="00F97F2C"/>
    <w:rsid w:val="00FC4FF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F621E-70C2-4DE7-80EF-F565EB63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44</Pages>
  <Words>11014</Words>
  <Characters>60583</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16</cp:revision>
  <cp:lastPrinted>2025-09-11T15:50:00Z</cp:lastPrinted>
  <dcterms:created xsi:type="dcterms:W3CDTF">2025-09-03T23:00:00Z</dcterms:created>
  <dcterms:modified xsi:type="dcterms:W3CDTF">2025-09-23T19:19:00Z</dcterms:modified>
</cp:coreProperties>
</file>