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35F" w:rsidRPr="00A37E66" w:rsidRDefault="0087135F" w:rsidP="00A37E66">
      <w:pPr>
        <w:widowControl w:val="0"/>
        <w:pBdr>
          <w:top w:val="nil"/>
          <w:left w:val="nil"/>
          <w:bottom w:val="nil"/>
          <w:right w:val="nil"/>
          <w:between w:val="nil"/>
        </w:pBdr>
        <w:spacing w:line="276" w:lineRule="auto"/>
        <w:rPr>
          <w:rFonts w:ascii="Palatino Linotype" w:hAnsi="Palatino Linotype"/>
        </w:rPr>
      </w:pPr>
    </w:p>
    <w:p w:rsidR="0087135F" w:rsidRPr="00D60C9B" w:rsidRDefault="0073782B"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0" w:name="_heading=h.lzgm1wmfm5lc" w:colFirst="0" w:colLast="0"/>
      <w:bookmarkEnd w:id="0"/>
      <w:r w:rsidRPr="00D60C9B">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w:t>
      </w:r>
      <w:r w:rsidR="00A37E66" w:rsidRPr="00D60C9B">
        <w:rPr>
          <w:rFonts w:ascii="Palatino Linotype" w:eastAsia="Palatino Linotype" w:hAnsi="Palatino Linotype" w:cs="Palatino Linotype"/>
          <w:color w:val="000000"/>
        </w:rPr>
        <w:t>l</w:t>
      </w:r>
      <w:r w:rsidRPr="00D60C9B">
        <w:rPr>
          <w:rFonts w:ascii="Palatino Linotype" w:eastAsia="Palatino Linotype" w:hAnsi="Palatino Linotype" w:cs="Palatino Linotype"/>
          <w:color w:val="000000"/>
        </w:rPr>
        <w:t xml:space="preserve"> </w:t>
      </w:r>
      <w:r w:rsidR="00A37E66" w:rsidRPr="00D60C9B">
        <w:rPr>
          <w:rFonts w:ascii="Palatino Linotype" w:eastAsia="Palatino Linotype" w:hAnsi="Palatino Linotype" w:cs="Palatino Linotype"/>
          <w:b/>
          <w:color w:val="000000"/>
        </w:rPr>
        <w:t xml:space="preserve">treinta </w:t>
      </w:r>
      <w:r w:rsidRPr="00D60C9B">
        <w:rPr>
          <w:rFonts w:ascii="Palatino Linotype" w:eastAsia="Palatino Linotype" w:hAnsi="Palatino Linotype" w:cs="Palatino Linotype"/>
          <w:b/>
          <w:color w:val="000000"/>
        </w:rPr>
        <w:t>de abril de dos mil veinticinco.</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7135F" w:rsidRPr="00D60C9B" w:rsidRDefault="00A37E66"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1" w:name="_heading=h.xp61tlspu1ml" w:colFirst="0" w:colLast="0"/>
      <w:bookmarkEnd w:id="1"/>
      <w:r w:rsidRPr="00D60C9B">
        <w:rPr>
          <w:rFonts w:ascii="Palatino Linotype" w:eastAsia="Palatino Linotype" w:hAnsi="Palatino Linotype" w:cs="Palatino Linotype"/>
          <w:b/>
          <w:color w:val="000000"/>
        </w:rPr>
        <w:t xml:space="preserve">VISTO </w:t>
      </w:r>
      <w:r w:rsidR="0073782B" w:rsidRPr="00D60C9B">
        <w:rPr>
          <w:rFonts w:ascii="Palatino Linotype" w:eastAsia="Palatino Linotype" w:hAnsi="Palatino Linotype" w:cs="Palatino Linotype"/>
          <w:color w:val="000000"/>
        </w:rPr>
        <w:t xml:space="preserve">los expedientes electrónicos formados con motivo de los Recursos de Revisión </w:t>
      </w:r>
      <w:r w:rsidR="0073782B" w:rsidRPr="00D60C9B">
        <w:rPr>
          <w:rFonts w:ascii="Palatino Linotype" w:eastAsia="Palatino Linotype" w:hAnsi="Palatino Linotype" w:cs="Palatino Linotype"/>
          <w:b/>
          <w:color w:val="000000"/>
        </w:rPr>
        <w:t>03788/INFOEM/IP/RR</w:t>
      </w:r>
      <w:r w:rsidRPr="00D60C9B">
        <w:rPr>
          <w:rFonts w:ascii="Palatino Linotype" w:eastAsia="Palatino Linotype" w:hAnsi="Palatino Linotype" w:cs="Palatino Linotype"/>
          <w:b/>
          <w:color w:val="000000"/>
        </w:rPr>
        <w:t>/2025 y 03789/INFOEM/IP/RR/2025</w:t>
      </w:r>
      <w:r w:rsidR="0073782B" w:rsidRPr="00D60C9B">
        <w:rPr>
          <w:rFonts w:ascii="Palatino Linotype" w:eastAsia="Palatino Linotype" w:hAnsi="Palatino Linotype" w:cs="Palatino Linotype"/>
          <w:color w:val="000000"/>
        </w:rPr>
        <w:t>, promovidos por  </w:t>
      </w:r>
      <w:r w:rsidR="0073782B" w:rsidRPr="00D60C9B">
        <w:rPr>
          <w:rFonts w:ascii="Palatino Linotype" w:eastAsia="Palatino Linotype" w:hAnsi="Palatino Linotype" w:cs="Palatino Linotype"/>
          <w:b/>
          <w:color w:val="000000"/>
        </w:rPr>
        <w:t xml:space="preserve">una persona que proporciona datos de </w:t>
      </w:r>
      <w:r w:rsidRPr="00D60C9B">
        <w:rPr>
          <w:rFonts w:ascii="Palatino Linotype" w:eastAsia="Palatino Linotype" w:hAnsi="Palatino Linotype" w:cs="Palatino Linotype"/>
          <w:b/>
          <w:color w:val="000000"/>
        </w:rPr>
        <w:t>identificación</w:t>
      </w:r>
      <w:r w:rsidR="0073782B" w:rsidRPr="00D60C9B">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0073782B" w:rsidRPr="00D60C9B">
        <w:rPr>
          <w:rFonts w:ascii="Palatino Linotype" w:eastAsia="Palatino Linotype" w:hAnsi="Palatino Linotype" w:cs="Palatino Linotype"/>
          <w:b/>
          <w:color w:val="000000"/>
        </w:rPr>
        <w:t>EL RECURRENTE</w:t>
      </w:r>
      <w:r w:rsidR="0073782B" w:rsidRPr="00D60C9B">
        <w:rPr>
          <w:rFonts w:ascii="Palatino Linotype" w:eastAsia="Palatino Linotype" w:hAnsi="Palatino Linotype" w:cs="Palatino Linotype"/>
          <w:color w:val="000000"/>
        </w:rPr>
        <w:t xml:space="preserve">, en contra de las respuestas del </w:t>
      </w:r>
      <w:r w:rsidR="0073782B" w:rsidRPr="00D60C9B">
        <w:rPr>
          <w:rFonts w:ascii="Palatino Linotype" w:eastAsia="Palatino Linotype" w:hAnsi="Palatino Linotype" w:cs="Palatino Linotype"/>
          <w:b/>
          <w:color w:val="000000"/>
        </w:rPr>
        <w:t>Ayuntamiento de T</w:t>
      </w:r>
      <w:r w:rsidRPr="00D60C9B">
        <w:rPr>
          <w:rFonts w:ascii="Palatino Linotype" w:eastAsia="Palatino Linotype" w:hAnsi="Palatino Linotype" w:cs="Palatino Linotype"/>
          <w:b/>
          <w:color w:val="000000"/>
        </w:rPr>
        <w:t>oluca</w:t>
      </w:r>
      <w:r w:rsidR="0073782B" w:rsidRPr="00D60C9B">
        <w:rPr>
          <w:rFonts w:ascii="Palatino Linotype" w:eastAsia="Palatino Linotype" w:hAnsi="Palatino Linotype" w:cs="Palatino Linotype"/>
          <w:color w:val="000000"/>
        </w:rPr>
        <w:t xml:space="preserve">, en lo sucesivo </w:t>
      </w:r>
      <w:r w:rsidR="0073782B" w:rsidRPr="00D60C9B">
        <w:rPr>
          <w:rFonts w:ascii="Palatino Linotype" w:eastAsia="Palatino Linotype" w:hAnsi="Palatino Linotype" w:cs="Palatino Linotype"/>
          <w:b/>
          <w:color w:val="000000"/>
        </w:rPr>
        <w:t>EL SUJETO OBLIGADO</w:t>
      </w:r>
      <w:r w:rsidR="0073782B" w:rsidRPr="00D60C9B">
        <w:rPr>
          <w:rFonts w:ascii="Palatino Linotype" w:eastAsia="Palatino Linotype" w:hAnsi="Palatino Linotype" w:cs="Palatino Linotype"/>
          <w:color w:val="000000"/>
        </w:rPr>
        <w:t>, se procede a dictar la presente resolución, con base en los siguientes:</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D60C9B">
        <w:rPr>
          <w:rFonts w:ascii="Palatino Linotype" w:eastAsia="Palatino Linotype" w:hAnsi="Palatino Linotype" w:cs="Palatino Linotype"/>
          <w:b/>
          <w:color w:val="000000"/>
        </w:rPr>
        <w:t>A N T E C E D E N T E S</w:t>
      </w:r>
    </w:p>
    <w:p w:rsidR="0087135F" w:rsidRPr="00D60C9B" w:rsidRDefault="0087135F" w:rsidP="00A37E66">
      <w:pPr>
        <w:spacing w:line="360" w:lineRule="auto"/>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El día </w:t>
      </w:r>
      <w:r w:rsidRPr="00D60C9B">
        <w:rPr>
          <w:rFonts w:ascii="Palatino Linotype" w:eastAsia="Palatino Linotype" w:hAnsi="Palatino Linotype" w:cs="Palatino Linotype"/>
          <w:b/>
          <w:color w:val="000000"/>
        </w:rPr>
        <w:t xml:space="preserve">diecinueve de febrero de dos mil veinticinco, </w:t>
      </w:r>
      <w:r w:rsidRPr="00D60C9B">
        <w:rPr>
          <w:rFonts w:ascii="Palatino Linotype" w:eastAsia="Palatino Linotype" w:hAnsi="Palatino Linotype" w:cs="Palatino Linotype"/>
          <w:color w:val="000000"/>
        </w:rPr>
        <w:t xml:space="preserve">se presentó ante 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 xml:space="preserve"> vía </w:t>
      </w:r>
      <w:r w:rsidRPr="00D60C9B">
        <w:rPr>
          <w:rFonts w:ascii="Palatino Linotype" w:eastAsia="Palatino Linotype" w:hAnsi="Palatino Linotype" w:cs="Palatino Linotype"/>
          <w:b/>
          <w:color w:val="000000"/>
        </w:rPr>
        <w:t>SAIMEX</w:t>
      </w:r>
      <w:r w:rsidRPr="00D60C9B">
        <w:rPr>
          <w:rFonts w:ascii="Palatino Linotype" w:eastAsia="Palatino Linotype" w:hAnsi="Palatino Linotype" w:cs="Palatino Linotype"/>
          <w:color w:val="000000"/>
        </w:rPr>
        <w:t>, las solicitudes de información pública registradas con los números</w:t>
      </w:r>
      <w:r w:rsidRPr="00D60C9B">
        <w:rPr>
          <w:rFonts w:ascii="Palatino Linotype" w:eastAsia="Palatino Linotype" w:hAnsi="Palatino Linotype" w:cs="Palatino Linotype"/>
          <w:b/>
          <w:color w:val="000000"/>
        </w:rPr>
        <w:t xml:space="preserve"> 01021/TOLUCA/IP/2025 y 01020/TOLUCA/IP/2025, </w:t>
      </w:r>
      <w:r w:rsidRPr="00D60C9B">
        <w:rPr>
          <w:rFonts w:ascii="Palatino Linotype" w:eastAsia="Palatino Linotype" w:hAnsi="Palatino Linotype" w:cs="Palatino Linotype"/>
          <w:color w:val="000000"/>
        </w:rPr>
        <w:t>mediante las cuales se solicitó la siguiente información:</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Solicitud 01021/TOLUCA/IP/</w:t>
      </w:r>
      <w:proofErr w:type="gramStart"/>
      <w:r w:rsidRPr="00D60C9B">
        <w:rPr>
          <w:rFonts w:ascii="Palatino Linotype" w:eastAsia="Palatino Linotype" w:hAnsi="Palatino Linotype" w:cs="Palatino Linotype"/>
          <w:b/>
          <w:i/>
          <w:color w:val="000000"/>
        </w:rPr>
        <w:t>2025 :</w:t>
      </w:r>
      <w:proofErr w:type="gramEnd"/>
      <w:r w:rsidRPr="00D60C9B">
        <w:rPr>
          <w:rFonts w:ascii="Palatino Linotype" w:eastAsia="Palatino Linotype" w:hAnsi="Palatino Linotype" w:cs="Palatino Linotype"/>
          <w:i/>
          <w:color w:val="000000"/>
        </w:rPr>
        <w:t xml:space="preserve"> “SOLICITO LA NOMINA DE TODA LA DIRECCIÒN GENERAL DE OBRAS.”</w:t>
      </w:r>
    </w:p>
    <w:p w:rsidR="0087135F" w:rsidRPr="00D60C9B" w:rsidRDefault="0087135F" w:rsidP="00A37E66">
      <w:pPr>
        <w:ind w:right="900"/>
        <w:jc w:val="both"/>
        <w:rPr>
          <w:rFonts w:ascii="Palatino Linotype" w:eastAsia="Palatino Linotype" w:hAnsi="Palatino Linotype" w:cs="Palatino Linotype"/>
          <w:i/>
        </w:rPr>
      </w:pP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 xml:space="preserve">Solicitud 01020/TOLUCA/IP/2025: </w:t>
      </w:r>
      <w:r w:rsidRPr="00D60C9B">
        <w:rPr>
          <w:rFonts w:ascii="Palatino Linotype" w:eastAsia="Palatino Linotype" w:hAnsi="Palatino Linotype" w:cs="Palatino Linotype"/>
          <w:i/>
          <w:color w:val="000000"/>
        </w:rPr>
        <w:t>“SOLICITO LOS RECIBOS DE NOMINA DE LA DIRECCION DE OBRAS DE ENERO Y FEBRERO”</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87135F" w:rsidRPr="00D60C9B" w:rsidRDefault="0073782B" w:rsidP="00A37E66">
      <w:pPr>
        <w:numPr>
          <w:ilvl w:val="0"/>
          <w:numId w:val="6"/>
        </w:numPr>
        <w:pBdr>
          <w:top w:val="nil"/>
          <w:left w:val="nil"/>
          <w:bottom w:val="nil"/>
          <w:right w:val="nil"/>
          <w:between w:val="nil"/>
        </w:pBdr>
        <w:spacing w:line="360" w:lineRule="auto"/>
        <w:ind w:left="0" w:right="474"/>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b/>
          <w:color w:val="000000"/>
        </w:rPr>
        <w:t>Modalidad de entrega</w:t>
      </w:r>
      <w:r w:rsidRPr="00D60C9B">
        <w:rPr>
          <w:rFonts w:ascii="Palatino Linotype" w:eastAsia="Palatino Linotype" w:hAnsi="Palatino Linotype" w:cs="Palatino Linotype"/>
          <w:color w:val="000000"/>
        </w:rPr>
        <w:t>: Vía SAIMEX.</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lo anterior, el </w:t>
      </w:r>
      <w:r w:rsidRPr="00D60C9B">
        <w:rPr>
          <w:rFonts w:ascii="Palatino Linotype" w:eastAsia="Palatino Linotype" w:hAnsi="Palatino Linotype" w:cs="Palatino Linotype"/>
          <w:b/>
          <w:color w:val="000000"/>
        </w:rPr>
        <w:t xml:space="preserve">veinte de febrero de dos mil veinticinco </w:t>
      </w:r>
      <w:r w:rsidRPr="00D60C9B">
        <w:rPr>
          <w:rFonts w:ascii="Palatino Linotype" w:eastAsia="Palatino Linotype" w:hAnsi="Palatino Linotype" w:cs="Palatino Linotype"/>
          <w:color w:val="000000"/>
        </w:rPr>
        <w:t xml:space="preserve">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giro los requerimientos para que fueran atendidas las solitudes de información </w:t>
      </w:r>
      <w:r w:rsidRPr="00D60C9B">
        <w:rPr>
          <w:rFonts w:ascii="Palatino Linotype" w:eastAsia="Palatino Linotype" w:hAnsi="Palatino Linotype" w:cs="Palatino Linotype"/>
          <w:b/>
          <w:color w:val="000000"/>
        </w:rPr>
        <w:t xml:space="preserve">01021/TOLUCA/IP/2025 y 01020/TOLUCA/IP/2025. </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Seguidamente, el </w:t>
      </w:r>
      <w:r w:rsidRPr="00D60C9B">
        <w:rPr>
          <w:rFonts w:ascii="Palatino Linotype" w:eastAsia="Palatino Linotype" w:hAnsi="Palatino Linotype" w:cs="Palatino Linotype"/>
          <w:b/>
          <w:color w:val="000000"/>
        </w:rPr>
        <w:t xml:space="preserve">trece de marzo de dos mil veinticinco </w:t>
      </w:r>
      <w:r w:rsidRPr="00D60C9B">
        <w:rPr>
          <w:rFonts w:ascii="Palatino Linotype" w:eastAsia="Palatino Linotype" w:hAnsi="Palatino Linotype" w:cs="Palatino Linotype"/>
          <w:color w:val="000000"/>
        </w:rPr>
        <w:t xml:space="preserve">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dio respuesta a las solicitudes de información </w:t>
      </w:r>
      <w:r w:rsidRPr="00D60C9B">
        <w:rPr>
          <w:rFonts w:ascii="Palatino Linotype" w:eastAsia="Palatino Linotype" w:hAnsi="Palatino Linotype" w:cs="Palatino Linotype"/>
          <w:b/>
          <w:color w:val="000000"/>
        </w:rPr>
        <w:t xml:space="preserve">01021/TOLUCA/IP/2025 y 01020/TOLUCA/IP/2025, </w:t>
      </w:r>
      <w:r w:rsidRPr="00D60C9B">
        <w:rPr>
          <w:rFonts w:ascii="Palatino Linotype" w:eastAsia="Palatino Linotype" w:hAnsi="Palatino Linotype" w:cs="Palatino Linotype"/>
          <w:color w:val="000000"/>
        </w:rPr>
        <w:t>con un archivo electrónico cuyo contenido grosso modo es el siguiente:</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531"/>
      </w:tblGrid>
      <w:tr w:rsidR="0087135F" w:rsidRPr="00D60C9B" w:rsidTr="00A37E66">
        <w:tc>
          <w:tcPr>
            <w:tcW w:w="4248" w:type="dxa"/>
          </w:tcPr>
          <w:p w:rsidR="0087135F" w:rsidRPr="00D60C9B" w:rsidRDefault="0073782B" w:rsidP="00A37E66">
            <w:pPr>
              <w:pBdr>
                <w:top w:val="nil"/>
                <w:left w:val="nil"/>
                <w:bottom w:val="nil"/>
                <w:right w:val="nil"/>
                <w:between w:val="nil"/>
              </w:pBdr>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Solicitudes</w:t>
            </w:r>
          </w:p>
        </w:tc>
        <w:tc>
          <w:tcPr>
            <w:tcW w:w="4531" w:type="dxa"/>
          </w:tcPr>
          <w:p w:rsidR="0087135F" w:rsidRPr="00D60C9B" w:rsidRDefault="0073782B" w:rsidP="00A37E66">
            <w:pPr>
              <w:pBdr>
                <w:top w:val="nil"/>
                <w:left w:val="nil"/>
                <w:bottom w:val="nil"/>
                <w:right w:val="nil"/>
                <w:between w:val="nil"/>
              </w:pBdr>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Respuesta </w:t>
            </w:r>
          </w:p>
        </w:tc>
      </w:tr>
      <w:tr w:rsidR="0087135F" w:rsidRPr="00D60C9B" w:rsidTr="00A37E66">
        <w:tc>
          <w:tcPr>
            <w:tcW w:w="4248" w:type="dxa"/>
          </w:tcPr>
          <w:p w:rsidR="0087135F" w:rsidRPr="00D60C9B" w:rsidRDefault="0087135F" w:rsidP="00A37E66">
            <w:pPr>
              <w:pBdr>
                <w:top w:val="nil"/>
                <w:left w:val="nil"/>
                <w:bottom w:val="nil"/>
                <w:right w:val="nil"/>
                <w:between w:val="nil"/>
              </w:pBdr>
              <w:rPr>
                <w:rFonts w:ascii="Palatino Linotype" w:eastAsia="Palatino Linotype" w:hAnsi="Palatino Linotype" w:cs="Palatino Linotype"/>
                <w:i/>
                <w:color w:val="000000"/>
              </w:rPr>
            </w:pPr>
          </w:p>
          <w:p w:rsidR="0087135F" w:rsidRPr="00D60C9B" w:rsidRDefault="0073782B" w:rsidP="00A37E66">
            <w:pPr>
              <w:pBdr>
                <w:top w:val="nil"/>
                <w:left w:val="nil"/>
                <w:bottom w:val="nil"/>
                <w:right w:val="nil"/>
                <w:between w:val="nil"/>
              </w:pBdr>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 xml:space="preserve">Solicitud 01021/TOLUCA/IP/2025: </w:t>
            </w:r>
            <w:r w:rsidRPr="00D60C9B">
              <w:rPr>
                <w:rFonts w:ascii="Palatino Linotype" w:eastAsia="Palatino Linotype" w:hAnsi="Palatino Linotype" w:cs="Palatino Linotype"/>
                <w:i/>
                <w:color w:val="000000"/>
              </w:rPr>
              <w:t>R. 1021. 2025.pdf</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i/>
                <w:color w:val="000000"/>
              </w:rPr>
            </w:pPr>
          </w:p>
          <w:p w:rsidR="0087135F" w:rsidRPr="00D60C9B" w:rsidRDefault="0073782B" w:rsidP="00A37E66">
            <w:pPr>
              <w:pBdr>
                <w:top w:val="nil"/>
                <w:left w:val="nil"/>
                <w:bottom w:val="nil"/>
                <w:right w:val="nil"/>
                <w:between w:val="nil"/>
              </w:pBdr>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Solicitud 01020/TOLUCA/IP/2025</w:t>
            </w:r>
            <w:r w:rsidRPr="00D60C9B">
              <w:rPr>
                <w:rFonts w:ascii="Palatino Linotype" w:eastAsia="Palatino Linotype" w:hAnsi="Palatino Linotype" w:cs="Palatino Linotype"/>
                <w:i/>
                <w:color w:val="000000"/>
              </w:rPr>
              <w:t>: R. 01020. 2025.pdf</w:t>
            </w:r>
          </w:p>
        </w:tc>
        <w:tc>
          <w:tcPr>
            <w:tcW w:w="4531" w:type="dxa"/>
          </w:tcPr>
          <w:p w:rsidR="0087135F" w:rsidRPr="00D60C9B" w:rsidRDefault="0087135F" w:rsidP="00A37E66">
            <w:pPr>
              <w:pBdr>
                <w:top w:val="nil"/>
                <w:left w:val="nil"/>
                <w:bottom w:val="nil"/>
                <w:right w:val="nil"/>
                <w:between w:val="nil"/>
              </w:pBdr>
              <w:jc w:val="both"/>
              <w:rPr>
                <w:rFonts w:ascii="Palatino Linotype" w:eastAsia="Palatino Linotype" w:hAnsi="Palatino Linotype" w:cs="Palatino Linotype"/>
                <w:i/>
                <w:color w:val="000000"/>
              </w:rPr>
            </w:pPr>
          </w:p>
          <w:p w:rsidR="0087135F" w:rsidRPr="00D60C9B" w:rsidRDefault="0073782B" w:rsidP="00A37E66">
            <w:pPr>
              <w:pBdr>
                <w:top w:val="nil"/>
                <w:left w:val="nil"/>
                <w:bottom w:val="nil"/>
                <w:right w:val="nil"/>
                <w:between w:val="nil"/>
              </w:pBdr>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Oficio del Titular de la Unidad de Transparencia mediante el cual informa que la Dirección General de Administración anexa la liga electrónica </w:t>
            </w:r>
            <w:hyperlink r:id="rId8" w:anchor="/info-fraccion/11/197/28">
              <w:r w:rsidRPr="00D60C9B">
                <w:rPr>
                  <w:rFonts w:ascii="Palatino Linotype" w:eastAsia="Palatino Linotype" w:hAnsi="Palatino Linotype" w:cs="Palatino Linotype"/>
                  <w:i/>
                  <w:color w:val="0563C1"/>
                  <w:u w:val="single"/>
                </w:rPr>
                <w:t>https://ipomex.org.mx/ipomex/#/info-fraccion/11/197/28</w:t>
              </w:r>
            </w:hyperlink>
            <w:r w:rsidRPr="00D60C9B">
              <w:rPr>
                <w:rFonts w:ascii="Palatino Linotype" w:eastAsia="Palatino Linotype" w:hAnsi="Palatino Linotype" w:cs="Palatino Linotype"/>
                <w:i/>
                <w:color w:val="000000"/>
              </w:rPr>
              <w:t xml:space="preserve">, en la que se encuentra la información solicitada.  </w:t>
            </w:r>
          </w:p>
        </w:tc>
      </w:tr>
    </w:tbl>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El </w:t>
      </w:r>
      <w:r w:rsidRPr="00D60C9B">
        <w:rPr>
          <w:rFonts w:ascii="Palatino Linotype" w:eastAsia="Palatino Linotype" w:hAnsi="Palatino Linotype" w:cs="Palatino Linotype"/>
          <w:b/>
          <w:color w:val="000000"/>
        </w:rPr>
        <w:t>treinta y uno de marzo de dos mil veinticinco</w:t>
      </w:r>
      <w:r w:rsidRPr="00D60C9B">
        <w:rPr>
          <w:rFonts w:ascii="Palatino Linotype" w:eastAsia="Palatino Linotype" w:hAnsi="Palatino Linotype" w:cs="Palatino Linotype"/>
          <w:color w:val="000000"/>
        </w:rPr>
        <w:t xml:space="preserve">, el </w:t>
      </w:r>
      <w:r w:rsidRPr="00D60C9B">
        <w:rPr>
          <w:rFonts w:ascii="Palatino Linotype" w:eastAsia="Palatino Linotype" w:hAnsi="Palatino Linotype" w:cs="Palatino Linotype"/>
          <w:b/>
          <w:smallCaps/>
          <w:color w:val="000000"/>
        </w:rPr>
        <w:t>SOLICITANTE</w:t>
      </w:r>
      <w:r w:rsidRPr="00D60C9B">
        <w:rPr>
          <w:rFonts w:ascii="Palatino Linotype" w:eastAsia="Palatino Linotype" w:hAnsi="Palatino Linotype" w:cs="Palatino Linotype"/>
          <w:color w:val="000000"/>
        </w:rPr>
        <w:t xml:space="preserve"> interpuso recurso de revisión en las solicitudes de información </w:t>
      </w:r>
      <w:r w:rsidRPr="00D60C9B">
        <w:rPr>
          <w:rFonts w:ascii="Palatino Linotype" w:eastAsia="Palatino Linotype" w:hAnsi="Palatino Linotype" w:cs="Palatino Linotype"/>
          <w:b/>
          <w:color w:val="000000"/>
        </w:rPr>
        <w:t xml:space="preserve">01021/TOLUCA/IP/2025 y </w:t>
      </w:r>
      <w:r w:rsidRPr="00D60C9B">
        <w:rPr>
          <w:rFonts w:ascii="Palatino Linotype" w:eastAsia="Palatino Linotype" w:hAnsi="Palatino Linotype" w:cs="Palatino Linotype"/>
          <w:b/>
          <w:color w:val="000000"/>
        </w:rPr>
        <w:lastRenderedPageBreak/>
        <w:t xml:space="preserve">01020/TOLUCA/IP/2025, </w:t>
      </w:r>
      <w:r w:rsidRPr="00D60C9B">
        <w:rPr>
          <w:rFonts w:ascii="Palatino Linotype" w:eastAsia="Palatino Linotype" w:hAnsi="Palatino Linotype" w:cs="Palatino Linotype"/>
          <w:color w:val="000000"/>
        </w:rPr>
        <w:t xml:space="preserve">en contra de las respuestas emitidas por 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 señalando las siguientes razones o motivos de inconformidad:</w:t>
      </w:r>
    </w:p>
    <w:p w:rsidR="00A37E66" w:rsidRPr="00D60C9B" w:rsidRDefault="00A37E66"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0"/>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3"/>
        <w:gridCol w:w="4966"/>
      </w:tblGrid>
      <w:tr w:rsidR="0087135F" w:rsidRPr="00D60C9B">
        <w:tc>
          <w:tcPr>
            <w:tcW w:w="3813" w:type="dxa"/>
          </w:tcPr>
          <w:p w:rsidR="0087135F" w:rsidRPr="00D60C9B" w:rsidRDefault="0073782B" w:rsidP="00A37E66">
            <w:pPr>
              <w:pBdr>
                <w:top w:val="nil"/>
                <w:left w:val="nil"/>
                <w:bottom w:val="nil"/>
                <w:right w:val="nil"/>
                <w:between w:val="nil"/>
              </w:pBdr>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Recursos de Revisión</w:t>
            </w:r>
          </w:p>
        </w:tc>
        <w:tc>
          <w:tcPr>
            <w:tcW w:w="4966" w:type="dxa"/>
          </w:tcPr>
          <w:p w:rsidR="0087135F" w:rsidRPr="00D60C9B" w:rsidRDefault="0073782B" w:rsidP="00A37E66">
            <w:pPr>
              <w:pBdr>
                <w:top w:val="nil"/>
                <w:left w:val="nil"/>
                <w:bottom w:val="nil"/>
                <w:right w:val="nil"/>
                <w:between w:val="nil"/>
              </w:pBdr>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Acto Impugnado y Razones o Motivos de Inconformidad</w:t>
            </w:r>
          </w:p>
        </w:tc>
      </w:tr>
      <w:tr w:rsidR="0087135F" w:rsidRPr="00D60C9B">
        <w:tc>
          <w:tcPr>
            <w:tcW w:w="3813" w:type="dxa"/>
          </w:tcPr>
          <w:p w:rsidR="0087135F" w:rsidRPr="00D60C9B" w:rsidRDefault="0087135F" w:rsidP="00A37E66">
            <w:pPr>
              <w:rPr>
                <w:rFonts w:ascii="Palatino Linotype" w:eastAsia="Palatino Linotype" w:hAnsi="Palatino Linotype" w:cs="Palatino Linotype"/>
                <w:i/>
              </w:rPr>
            </w:pPr>
          </w:p>
          <w:p w:rsidR="0087135F" w:rsidRPr="00D60C9B" w:rsidRDefault="0073782B" w:rsidP="00A37E66">
            <w:pPr>
              <w:rPr>
                <w:rFonts w:ascii="Palatino Linotype" w:eastAsia="Palatino Linotype" w:hAnsi="Palatino Linotype" w:cs="Palatino Linotype"/>
                <w:i/>
              </w:rPr>
            </w:pPr>
            <w:r w:rsidRPr="00D60C9B">
              <w:rPr>
                <w:rFonts w:ascii="Palatino Linotype" w:eastAsia="Palatino Linotype" w:hAnsi="Palatino Linotype" w:cs="Palatino Linotype"/>
                <w:b/>
                <w:i/>
              </w:rPr>
              <w:t xml:space="preserve">Recurso de Revisión 03788/INFOEM/IP/RR/2025: </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i/>
                <w:color w:val="000000"/>
              </w:rPr>
            </w:pPr>
          </w:p>
          <w:p w:rsidR="0087135F" w:rsidRPr="00D60C9B" w:rsidRDefault="0087135F" w:rsidP="00A37E66">
            <w:pPr>
              <w:pBdr>
                <w:top w:val="nil"/>
                <w:left w:val="nil"/>
                <w:bottom w:val="nil"/>
                <w:right w:val="nil"/>
                <w:between w:val="nil"/>
              </w:pBdr>
              <w:rPr>
                <w:rFonts w:ascii="Palatino Linotype" w:eastAsia="Palatino Linotype" w:hAnsi="Palatino Linotype" w:cs="Palatino Linotype"/>
                <w:i/>
                <w:color w:val="000000"/>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73782B" w:rsidP="00A37E66">
            <w:pPr>
              <w:rPr>
                <w:rFonts w:ascii="Palatino Linotype" w:eastAsia="Palatino Linotype" w:hAnsi="Palatino Linotype" w:cs="Palatino Linotype"/>
                <w:i/>
              </w:rPr>
            </w:pPr>
            <w:r w:rsidRPr="00D60C9B">
              <w:rPr>
                <w:rFonts w:ascii="Palatino Linotype" w:eastAsia="Palatino Linotype" w:hAnsi="Palatino Linotype" w:cs="Palatino Linotype"/>
                <w:b/>
                <w:i/>
              </w:rPr>
              <w:t xml:space="preserve">Recurso de Revisión 03789/INFOEM/IP/RR/2025: </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i/>
                <w:color w:val="000000"/>
              </w:rPr>
            </w:pPr>
          </w:p>
        </w:tc>
        <w:tc>
          <w:tcPr>
            <w:tcW w:w="4966" w:type="dxa"/>
          </w:tcPr>
          <w:p w:rsidR="0087135F" w:rsidRPr="00D60C9B" w:rsidRDefault="0087135F" w:rsidP="00A37E66">
            <w:pPr>
              <w:pBdr>
                <w:top w:val="nil"/>
                <w:left w:val="nil"/>
                <w:bottom w:val="nil"/>
                <w:right w:val="nil"/>
                <w:between w:val="nil"/>
              </w:pBdr>
              <w:jc w:val="both"/>
              <w:rPr>
                <w:rFonts w:ascii="Palatino Linotype" w:eastAsia="Palatino Linotype" w:hAnsi="Palatino Linotype" w:cs="Palatino Linotype"/>
                <w:i/>
                <w:color w:val="000000"/>
              </w:rPr>
            </w:pPr>
          </w:p>
          <w:p w:rsidR="0087135F" w:rsidRPr="00D60C9B" w:rsidRDefault="0087135F" w:rsidP="00A37E66">
            <w:pPr>
              <w:pBdr>
                <w:top w:val="nil"/>
                <w:left w:val="nil"/>
                <w:bottom w:val="nil"/>
                <w:right w:val="nil"/>
                <w:between w:val="nil"/>
              </w:pBdr>
              <w:jc w:val="both"/>
              <w:rPr>
                <w:rFonts w:ascii="Palatino Linotype" w:eastAsia="Palatino Linotype" w:hAnsi="Palatino Linotype" w:cs="Palatino Linotype"/>
                <w:i/>
                <w:color w:val="000000"/>
              </w:rPr>
            </w:pPr>
          </w:p>
          <w:p w:rsidR="0087135F" w:rsidRPr="00D60C9B" w:rsidRDefault="0087135F" w:rsidP="00A37E66">
            <w:pPr>
              <w:pBdr>
                <w:top w:val="nil"/>
                <w:left w:val="nil"/>
                <w:bottom w:val="nil"/>
                <w:right w:val="nil"/>
                <w:between w:val="nil"/>
              </w:pBdr>
              <w:jc w:val="both"/>
              <w:rPr>
                <w:rFonts w:ascii="Palatino Linotype" w:eastAsia="Palatino Linotype" w:hAnsi="Palatino Linotype" w:cs="Palatino Linotype"/>
                <w:i/>
                <w:color w:val="000000"/>
              </w:rPr>
            </w:pPr>
          </w:p>
          <w:p w:rsidR="0087135F" w:rsidRPr="00D60C9B" w:rsidRDefault="0087135F" w:rsidP="00A37E66">
            <w:pPr>
              <w:jc w:val="both"/>
              <w:rPr>
                <w:rFonts w:ascii="Palatino Linotype" w:eastAsia="Palatino Linotype" w:hAnsi="Palatino Linotype" w:cs="Palatino Linotype"/>
                <w:i/>
              </w:rPr>
            </w:pPr>
          </w:p>
          <w:p w:rsidR="0087135F" w:rsidRPr="00D60C9B" w:rsidRDefault="0073782B" w:rsidP="00A37E66">
            <w:pPr>
              <w:jc w:val="both"/>
              <w:rPr>
                <w:rFonts w:ascii="Palatino Linotype" w:eastAsia="Palatino Linotype" w:hAnsi="Palatino Linotype" w:cs="Palatino Linotype"/>
                <w:i/>
              </w:rPr>
            </w:pPr>
            <w:r w:rsidRPr="00D60C9B">
              <w:rPr>
                <w:rFonts w:ascii="Palatino Linotype" w:eastAsia="Palatino Linotype" w:hAnsi="Palatino Linotype" w:cs="Palatino Linotype"/>
                <w:b/>
                <w:i/>
              </w:rPr>
              <w:t>Acto impugnado:</w:t>
            </w:r>
            <w:r w:rsidRPr="00D60C9B">
              <w:rPr>
                <w:rFonts w:ascii="Palatino Linotype" w:eastAsia="Palatino Linotype" w:hAnsi="Palatino Linotype" w:cs="Palatino Linotype"/>
                <w:i/>
              </w:rPr>
              <w:t xml:space="preserve"> “la respuesta que me dan”</w:t>
            </w:r>
          </w:p>
          <w:p w:rsidR="0087135F" w:rsidRPr="00D60C9B" w:rsidRDefault="0087135F" w:rsidP="00A37E66">
            <w:pPr>
              <w:jc w:val="both"/>
              <w:rPr>
                <w:rFonts w:ascii="Palatino Linotype" w:eastAsia="Palatino Linotype" w:hAnsi="Palatino Linotype" w:cs="Palatino Linotype"/>
                <w:i/>
              </w:rPr>
            </w:pPr>
          </w:p>
          <w:p w:rsidR="0087135F" w:rsidRPr="00D60C9B" w:rsidRDefault="0073782B" w:rsidP="00A37E66">
            <w:pPr>
              <w:jc w:val="both"/>
              <w:rPr>
                <w:rFonts w:ascii="Palatino Linotype" w:eastAsia="Palatino Linotype" w:hAnsi="Palatino Linotype" w:cs="Palatino Linotype"/>
                <w:i/>
              </w:rPr>
            </w:pPr>
            <w:r w:rsidRPr="00D60C9B">
              <w:rPr>
                <w:rFonts w:ascii="Palatino Linotype" w:eastAsia="Palatino Linotype" w:hAnsi="Palatino Linotype" w:cs="Palatino Linotype"/>
                <w:i/>
              </w:rPr>
              <w:t xml:space="preserve"> </w:t>
            </w:r>
          </w:p>
          <w:p w:rsidR="0087135F" w:rsidRPr="00D60C9B" w:rsidRDefault="0073782B" w:rsidP="00A37E66">
            <w:pPr>
              <w:jc w:val="both"/>
              <w:rPr>
                <w:rFonts w:ascii="Palatino Linotype" w:eastAsia="Palatino Linotype" w:hAnsi="Palatino Linotype" w:cs="Palatino Linotype"/>
                <w:b/>
                <w:i/>
              </w:rPr>
            </w:pPr>
            <w:r w:rsidRPr="00D60C9B">
              <w:rPr>
                <w:rFonts w:ascii="Palatino Linotype" w:eastAsia="Palatino Linotype" w:hAnsi="Palatino Linotype" w:cs="Palatino Linotype"/>
                <w:b/>
                <w:i/>
              </w:rPr>
              <w:t>Razones o Motivos de inconformidad:</w:t>
            </w:r>
            <w:r w:rsidRPr="00D60C9B">
              <w:rPr>
                <w:rFonts w:ascii="Palatino Linotype" w:eastAsia="Palatino Linotype" w:hAnsi="Palatino Linotype" w:cs="Palatino Linotype"/>
                <w:i/>
              </w:rPr>
              <w:t xml:space="preserve"> “la </w:t>
            </w:r>
            <w:proofErr w:type="spellStart"/>
            <w:r w:rsidRPr="00D60C9B">
              <w:rPr>
                <w:rFonts w:ascii="Palatino Linotype" w:eastAsia="Palatino Linotype" w:hAnsi="Palatino Linotype" w:cs="Palatino Linotype"/>
                <w:i/>
              </w:rPr>
              <w:t>nomina</w:t>
            </w:r>
            <w:proofErr w:type="spellEnd"/>
            <w:r w:rsidRPr="00D60C9B">
              <w:rPr>
                <w:rFonts w:ascii="Palatino Linotype" w:eastAsia="Palatino Linotype" w:hAnsi="Palatino Linotype" w:cs="Palatino Linotype"/>
                <w:i/>
              </w:rPr>
              <w:t xml:space="preserve"> de este trimestre no </w:t>
            </w:r>
            <w:proofErr w:type="spellStart"/>
            <w:r w:rsidRPr="00D60C9B">
              <w:rPr>
                <w:rFonts w:ascii="Palatino Linotype" w:eastAsia="Palatino Linotype" w:hAnsi="Palatino Linotype" w:cs="Palatino Linotype"/>
                <w:i/>
              </w:rPr>
              <w:t>esta</w:t>
            </w:r>
            <w:proofErr w:type="spellEnd"/>
            <w:r w:rsidRPr="00D60C9B">
              <w:rPr>
                <w:rFonts w:ascii="Palatino Linotype" w:eastAsia="Palatino Linotype" w:hAnsi="Palatino Linotype" w:cs="Palatino Linotype"/>
                <w:i/>
              </w:rPr>
              <w:t xml:space="preserve"> actualizada en el </w:t>
            </w:r>
            <w:proofErr w:type="spellStart"/>
            <w:r w:rsidRPr="00D60C9B">
              <w:rPr>
                <w:rFonts w:ascii="Palatino Linotype" w:eastAsia="Palatino Linotype" w:hAnsi="Palatino Linotype" w:cs="Palatino Linotype"/>
                <w:i/>
              </w:rPr>
              <w:t>ipomex</w:t>
            </w:r>
            <w:proofErr w:type="spellEnd"/>
            <w:r w:rsidRPr="00D60C9B">
              <w:rPr>
                <w:rFonts w:ascii="Palatino Linotype" w:eastAsia="Palatino Linotype" w:hAnsi="Palatino Linotype" w:cs="Palatino Linotype"/>
                <w:i/>
              </w:rPr>
              <w:t xml:space="preserve"> a donde me remiten, no nos quieran tomar el pelo a los ciudadanos, se nota que esconden algo.”</w:t>
            </w:r>
          </w:p>
          <w:p w:rsidR="0087135F" w:rsidRPr="00D60C9B" w:rsidRDefault="0087135F" w:rsidP="00A37E66">
            <w:pPr>
              <w:jc w:val="both"/>
              <w:rPr>
                <w:rFonts w:ascii="Palatino Linotype" w:eastAsia="Palatino Linotype" w:hAnsi="Palatino Linotype" w:cs="Palatino Linotype"/>
                <w:b/>
                <w:i/>
              </w:rPr>
            </w:pPr>
          </w:p>
          <w:p w:rsidR="0087135F" w:rsidRPr="00D60C9B" w:rsidRDefault="0087135F" w:rsidP="00A37E66">
            <w:pPr>
              <w:rPr>
                <w:rFonts w:ascii="Palatino Linotype" w:eastAsia="Palatino Linotype" w:hAnsi="Palatino Linotype" w:cs="Palatino Linotype"/>
                <w:b/>
                <w:i/>
              </w:rPr>
            </w:pPr>
          </w:p>
          <w:p w:rsidR="0087135F" w:rsidRPr="00D60C9B" w:rsidRDefault="0087135F" w:rsidP="00A37E66">
            <w:pPr>
              <w:pBdr>
                <w:top w:val="nil"/>
                <w:left w:val="nil"/>
                <w:bottom w:val="nil"/>
                <w:right w:val="nil"/>
                <w:between w:val="nil"/>
              </w:pBdr>
              <w:jc w:val="both"/>
              <w:rPr>
                <w:rFonts w:ascii="Palatino Linotype" w:eastAsia="Palatino Linotype" w:hAnsi="Palatino Linotype" w:cs="Palatino Linotype"/>
                <w:b/>
                <w:i/>
                <w:color w:val="000000"/>
              </w:rPr>
            </w:pPr>
          </w:p>
          <w:p w:rsidR="0087135F" w:rsidRPr="00D60C9B" w:rsidRDefault="0087135F" w:rsidP="00A37E66">
            <w:pPr>
              <w:pBdr>
                <w:top w:val="nil"/>
                <w:left w:val="nil"/>
                <w:bottom w:val="nil"/>
                <w:right w:val="nil"/>
                <w:between w:val="nil"/>
              </w:pBdr>
              <w:jc w:val="both"/>
              <w:rPr>
                <w:rFonts w:ascii="Palatino Linotype" w:eastAsia="Palatino Linotype" w:hAnsi="Palatino Linotype" w:cs="Palatino Linotype"/>
                <w:i/>
                <w:color w:val="000000"/>
              </w:rPr>
            </w:pPr>
          </w:p>
        </w:tc>
      </w:tr>
    </w:tbl>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Consecutivamente</w:t>
      </w:r>
      <w:r w:rsidRPr="00D60C9B">
        <w:rPr>
          <w:rFonts w:ascii="Palatino Linotype" w:eastAsia="Palatino Linotype" w:hAnsi="Palatino Linotype" w:cs="Palatino Linotype"/>
          <w:i/>
          <w:color w:val="000000"/>
        </w:rPr>
        <w:t xml:space="preserve">, </w:t>
      </w:r>
      <w:r w:rsidRPr="00D60C9B">
        <w:rPr>
          <w:rFonts w:ascii="Palatino Linotype" w:eastAsia="Palatino Linotype" w:hAnsi="Palatino Linotype" w:cs="Palatino Linotype"/>
          <w:color w:val="000000"/>
        </w:rPr>
        <w:t xml:space="preserve">con fundamento en lo dispuesto por el artículo 185 </w:t>
      </w:r>
      <w:proofErr w:type="gramStart"/>
      <w:r w:rsidRPr="00D60C9B">
        <w:rPr>
          <w:rFonts w:ascii="Palatino Linotype" w:eastAsia="Palatino Linotype" w:hAnsi="Palatino Linotype" w:cs="Palatino Linotype"/>
          <w:color w:val="000000"/>
        </w:rPr>
        <w:t>fracción</w:t>
      </w:r>
      <w:proofErr w:type="gramEnd"/>
      <w:r w:rsidRPr="00D60C9B">
        <w:rPr>
          <w:rFonts w:ascii="Palatino Linotype" w:eastAsia="Palatino Linotype" w:hAnsi="Palatino Linotype" w:cs="Palatino Linotype"/>
          <w:color w:val="000000"/>
        </w:rPr>
        <w:t xml:space="preserve"> I de la Ley de Transparencia y Acceso a la Información Pública del Estado de México y Municipios, los recursos de referencia, fueron turnados</w:t>
      </w:r>
      <w:r w:rsidRPr="00D60C9B">
        <w:rPr>
          <w:rFonts w:ascii="Palatino Linotype" w:eastAsia="Palatino Linotype" w:hAnsi="Palatino Linotype" w:cs="Palatino Linotype"/>
          <w:b/>
          <w:color w:val="000000"/>
        </w:rPr>
        <w:t xml:space="preserve"> </w:t>
      </w:r>
      <w:r w:rsidRPr="00D60C9B">
        <w:rPr>
          <w:rFonts w:ascii="Palatino Linotype" w:eastAsia="Palatino Linotype" w:hAnsi="Palatino Linotype" w:cs="Palatino Linotype"/>
          <w:color w:val="000000"/>
        </w:rPr>
        <w:t xml:space="preserve">a las Comisionadas </w:t>
      </w:r>
      <w:r w:rsidRPr="00D60C9B">
        <w:rPr>
          <w:rFonts w:ascii="Palatino Linotype" w:eastAsia="Palatino Linotype" w:hAnsi="Palatino Linotype" w:cs="Palatino Linotype"/>
          <w:b/>
          <w:color w:val="000000"/>
        </w:rPr>
        <w:t>María del Rosario Mejía Ayala y Guadalupe Ramírez Peña,</w:t>
      </w:r>
      <w:r w:rsidRPr="00D60C9B">
        <w:rPr>
          <w:rFonts w:ascii="Palatino Linotype" w:eastAsia="Palatino Linotype" w:hAnsi="Palatino Linotype" w:cs="Palatino Linotype"/>
          <w:color w:val="000000"/>
        </w:rPr>
        <w:t xml:space="preserve"> </w:t>
      </w:r>
      <w:r w:rsidRPr="00D60C9B">
        <w:rPr>
          <w:rFonts w:ascii="Palatino Linotype" w:eastAsia="Palatino Linotype" w:hAnsi="Palatino Linotype" w:cs="Palatino Linotype"/>
          <w:b/>
          <w:color w:val="000000"/>
        </w:rPr>
        <w:t xml:space="preserve"> </w:t>
      </w:r>
      <w:r w:rsidRPr="00D60C9B">
        <w:rPr>
          <w:rFonts w:ascii="Palatino Linotype" w:eastAsia="Palatino Linotype" w:hAnsi="Palatino Linotype" w:cs="Palatino Linotype"/>
          <w:color w:val="000000"/>
        </w:rPr>
        <w:t>con el objeto de su análisis.</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lastRenderedPageBreak/>
        <w:t xml:space="preserve">Las Comisionadas Ponentes de origen con fundamento en lo dispuesto por el artículo 185 fracción II de la ley de la materia, a través de los </w:t>
      </w:r>
      <w:r w:rsidRPr="00D60C9B">
        <w:rPr>
          <w:rFonts w:ascii="Palatino Linotype" w:eastAsia="Palatino Linotype" w:hAnsi="Palatino Linotype" w:cs="Palatino Linotype"/>
          <w:b/>
          <w:color w:val="000000"/>
        </w:rPr>
        <w:t xml:space="preserve">acuerdos de admisión </w:t>
      </w:r>
      <w:r w:rsidRPr="00D60C9B">
        <w:rPr>
          <w:rFonts w:ascii="Palatino Linotype" w:eastAsia="Palatino Linotype" w:hAnsi="Palatino Linotype" w:cs="Palatino Linotype"/>
          <w:color w:val="000000"/>
        </w:rPr>
        <w:t>de fechas</w:t>
      </w:r>
      <w:r w:rsidRPr="00D60C9B">
        <w:rPr>
          <w:rFonts w:ascii="Palatino Linotype" w:eastAsia="Palatino Linotype" w:hAnsi="Palatino Linotype" w:cs="Palatino Linotype"/>
          <w:b/>
          <w:color w:val="000000"/>
        </w:rPr>
        <w:t xml:space="preserve"> tres y cuatro de abril de dos mil veinticinco</w:t>
      </w:r>
      <w:r w:rsidRPr="00D60C9B">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manifestaran lo que a su derecho conviniera, ofrecieran pruebas y alegatos según corresponda al caso concreto, de esta forma para que 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presentara el Informe Justificado procedente.</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Posteriormente el Pleno de este Órgano Autónomo, en la</w:t>
      </w:r>
      <w:r w:rsidRPr="00D60C9B">
        <w:rPr>
          <w:rFonts w:ascii="Palatino Linotype" w:eastAsia="Palatino Linotype" w:hAnsi="Palatino Linotype" w:cs="Palatino Linotype"/>
          <w:b/>
          <w:color w:val="000000"/>
        </w:rPr>
        <w:t xml:space="preserve"> Décima Tercera Sesión Ordinaria </w:t>
      </w:r>
      <w:r w:rsidRPr="00D60C9B">
        <w:rPr>
          <w:rFonts w:ascii="Palatino Linotype" w:eastAsia="Palatino Linotype" w:hAnsi="Palatino Linotype" w:cs="Palatino Linotype"/>
          <w:color w:val="000000"/>
        </w:rPr>
        <w:t>de fecha</w:t>
      </w:r>
      <w:r w:rsidRPr="00D60C9B">
        <w:rPr>
          <w:rFonts w:ascii="Palatino Linotype" w:eastAsia="Palatino Linotype" w:hAnsi="Palatino Linotype" w:cs="Palatino Linotype"/>
          <w:b/>
          <w:color w:val="000000"/>
        </w:rPr>
        <w:t xml:space="preserve"> nueve de abril de dos mil veinticinco</w:t>
      </w:r>
      <w:r w:rsidRPr="00D60C9B">
        <w:rPr>
          <w:rFonts w:ascii="Palatino Linotype" w:eastAsia="Palatino Linotype" w:hAnsi="Palatino Linotype" w:cs="Palatino Linotype"/>
          <w:color w:val="000000"/>
        </w:rPr>
        <w:t xml:space="preserve">; ordenó la acumulación de los recursos de revisión de mérito, a efecto de que la Ponencia de la </w:t>
      </w:r>
      <w:r w:rsidRPr="00D60C9B">
        <w:rPr>
          <w:rFonts w:ascii="Palatino Linotype" w:eastAsia="Palatino Linotype" w:hAnsi="Palatino Linotype" w:cs="Palatino Linotype"/>
          <w:b/>
          <w:color w:val="000000"/>
        </w:rPr>
        <w:t xml:space="preserve">Comisionada María del Rosario Mejía Ayala </w:t>
      </w:r>
      <w:r w:rsidRPr="00D60C9B">
        <w:rPr>
          <w:rFonts w:ascii="Palatino Linotype" w:eastAsia="Palatino Linotype" w:hAnsi="Palatino Linotype" w:cs="Palatino Linotype"/>
          <w:color w:val="000000"/>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D60C9B">
        <w:rPr>
          <w:rFonts w:ascii="Palatino Linotype" w:eastAsia="Palatino Linotype" w:hAnsi="Palatino Linotype" w:cs="Palatino Linotype"/>
          <w:i/>
          <w:color w:val="000000"/>
          <w:vertAlign w:val="superscript"/>
        </w:rPr>
        <w:footnoteReference w:id="1"/>
      </w:r>
      <w:r w:rsidRPr="00D60C9B">
        <w:rPr>
          <w:rFonts w:ascii="Palatino Linotype" w:eastAsia="Palatino Linotype" w:hAnsi="Palatino Linotype" w:cs="Palatino Linotype"/>
          <w:color w:val="000000"/>
        </w:rPr>
        <w:t>, que señala:</w:t>
      </w:r>
    </w:p>
    <w:p w:rsidR="0087135F" w:rsidRPr="00D60C9B" w:rsidRDefault="0087135F" w:rsidP="00A37E66">
      <w:pPr>
        <w:pBdr>
          <w:top w:val="nil"/>
          <w:left w:val="nil"/>
          <w:bottom w:val="nil"/>
          <w:right w:val="nil"/>
          <w:between w:val="nil"/>
        </w:pBdr>
        <w:ind w:right="900"/>
        <w:jc w:val="both"/>
        <w:rPr>
          <w:rFonts w:ascii="Palatino Linotype" w:eastAsia="Palatino Linotype" w:hAnsi="Palatino Linotype" w:cs="Palatino Linotype"/>
          <w:color w:val="000000"/>
        </w:rPr>
      </w:pPr>
    </w:p>
    <w:p w:rsidR="0087135F" w:rsidRPr="00D60C9B" w:rsidRDefault="0073782B" w:rsidP="00A37E66">
      <w:pPr>
        <w:pBdr>
          <w:top w:val="nil"/>
          <w:left w:val="nil"/>
          <w:bottom w:val="nil"/>
          <w:right w:val="nil"/>
          <w:between w:val="nil"/>
        </w:pBdr>
        <w:tabs>
          <w:tab w:val="left" w:pos="426"/>
        </w:tabs>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“ONCE.</w:t>
      </w:r>
      <w:r w:rsidRPr="00D60C9B">
        <w:rPr>
          <w:rFonts w:ascii="Palatino Linotype" w:eastAsia="Palatino Linotype" w:hAnsi="Palatino Linotype" w:cs="Palatino Linotype"/>
          <w:i/>
          <w:color w:val="000000"/>
        </w:rPr>
        <w:t xml:space="preserve"> El Instituto, para mejor resolver y evitar la emisión de resoluciones contradictorias, podrá acordar la acumulación de los expedientes de recursos de revisión, de oficio o a petición de parte cuando:</w:t>
      </w:r>
    </w:p>
    <w:p w:rsidR="0087135F" w:rsidRPr="00D60C9B" w:rsidRDefault="0073782B" w:rsidP="00A37E66">
      <w:pPr>
        <w:pBdr>
          <w:top w:val="nil"/>
          <w:left w:val="nil"/>
          <w:bottom w:val="nil"/>
          <w:right w:val="nil"/>
          <w:between w:val="nil"/>
        </w:pBdr>
        <w:tabs>
          <w:tab w:val="left" w:pos="426"/>
        </w:tabs>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w:t>
      </w:r>
      <w:r w:rsidRPr="00D60C9B">
        <w:rPr>
          <w:rFonts w:ascii="Palatino Linotype" w:eastAsia="Palatino Linotype" w:hAnsi="Palatino Linotype" w:cs="Palatino Linotype"/>
          <w:i/>
          <w:color w:val="000000"/>
        </w:rPr>
        <w:tab/>
      </w:r>
    </w:p>
    <w:p w:rsidR="0087135F" w:rsidRPr="00D60C9B" w:rsidRDefault="0073782B" w:rsidP="00A37E66">
      <w:pPr>
        <w:pBdr>
          <w:top w:val="nil"/>
          <w:left w:val="nil"/>
          <w:bottom w:val="nil"/>
          <w:right w:val="nil"/>
          <w:between w:val="nil"/>
        </w:pBdr>
        <w:tabs>
          <w:tab w:val="left" w:pos="426"/>
        </w:tabs>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b) Las partes o los actos impugnados sean iguales</w:t>
      </w:r>
    </w:p>
    <w:p w:rsidR="0087135F" w:rsidRPr="00D60C9B" w:rsidRDefault="0073782B" w:rsidP="00A37E66">
      <w:pPr>
        <w:pBdr>
          <w:top w:val="nil"/>
          <w:left w:val="nil"/>
          <w:bottom w:val="nil"/>
          <w:right w:val="nil"/>
          <w:between w:val="nil"/>
        </w:pBdr>
        <w:tabs>
          <w:tab w:val="left" w:pos="426"/>
        </w:tabs>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c) Cuando se trate del mismo solicitante, el mismo SUJETO OBLIGADO, aunque se trate de solicitudes diversas;</w:t>
      </w:r>
    </w:p>
    <w:p w:rsidR="0087135F" w:rsidRPr="00D60C9B" w:rsidRDefault="0073782B" w:rsidP="00A37E66">
      <w:pPr>
        <w:pBdr>
          <w:top w:val="nil"/>
          <w:left w:val="nil"/>
          <w:bottom w:val="nil"/>
          <w:right w:val="nil"/>
          <w:between w:val="nil"/>
        </w:pBdr>
        <w:tabs>
          <w:tab w:val="left" w:pos="426"/>
        </w:tabs>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lastRenderedPageBreak/>
        <w:t>(…)”</w:t>
      </w:r>
    </w:p>
    <w:p w:rsidR="0087135F" w:rsidRPr="00D60C9B" w:rsidRDefault="0073782B" w:rsidP="00A37E66">
      <w:pPr>
        <w:pBdr>
          <w:top w:val="nil"/>
          <w:left w:val="nil"/>
          <w:bottom w:val="nil"/>
          <w:right w:val="nil"/>
          <w:between w:val="nil"/>
        </w:pBdr>
        <w:tabs>
          <w:tab w:val="left" w:pos="426"/>
        </w:tabs>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(Énfasis añadido)</w:t>
      </w:r>
    </w:p>
    <w:p w:rsidR="0087135F" w:rsidRPr="00D60C9B" w:rsidRDefault="0087135F" w:rsidP="00A37E66">
      <w:pPr>
        <w:pBdr>
          <w:top w:val="nil"/>
          <w:left w:val="nil"/>
          <w:bottom w:val="nil"/>
          <w:right w:val="nil"/>
          <w:between w:val="nil"/>
        </w:pBdr>
        <w:tabs>
          <w:tab w:val="left" w:pos="426"/>
        </w:tabs>
        <w:spacing w:line="360" w:lineRule="auto"/>
        <w:ind w:right="616"/>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Es así que,</w:t>
      </w:r>
      <w:r w:rsidRPr="00D60C9B">
        <w:rPr>
          <w:rFonts w:ascii="Palatino Linotype" w:eastAsia="Palatino Linotype" w:hAnsi="Palatino Linotype" w:cs="Palatino Linotype"/>
          <w:i/>
          <w:color w:val="000000"/>
        </w:rPr>
        <w:t xml:space="preserve"> </w:t>
      </w:r>
      <w:r w:rsidRPr="00D60C9B">
        <w:rPr>
          <w:rFonts w:ascii="Palatino Linotype" w:eastAsia="Palatino Linotype" w:hAnsi="Palatino Linotype" w:cs="Palatino Linotype"/>
          <w:color w:val="000000"/>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Código de Procedimientos Administrativos del Estado de México.</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“Artículo 18.-</w:t>
      </w:r>
      <w:r w:rsidRPr="00D60C9B">
        <w:rPr>
          <w:rFonts w:ascii="Palatino Linotype" w:eastAsia="Palatino Linotype" w:hAnsi="Palatino Linotype" w:cs="Palatino Linotype"/>
          <w:i/>
          <w:color w:val="000000"/>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Ley de Transparencia y Acceso a la Información Pública del Estado de México y Municipios</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“Artículo 195.</w:t>
      </w:r>
      <w:r w:rsidRPr="00D60C9B">
        <w:rPr>
          <w:rFonts w:ascii="Palatino Linotype" w:eastAsia="Palatino Linotype" w:hAnsi="Palatino Linotype" w:cs="Palatino Linotype"/>
          <w:i/>
          <w:color w:val="000000"/>
        </w:rPr>
        <w:t xml:space="preserve"> En la tramitación del recurso de revisión se aplicarán supletoriamente las disposiciones contenidas en el Código de Procedimientos Administrativos del Estado de México.”</w:t>
      </w:r>
    </w:p>
    <w:p w:rsidR="0087135F" w:rsidRPr="00D60C9B" w:rsidRDefault="0073782B" w:rsidP="00A37E66">
      <w:pPr>
        <w:pBdr>
          <w:top w:val="nil"/>
          <w:left w:val="nil"/>
          <w:bottom w:val="nil"/>
          <w:right w:val="nil"/>
          <w:between w:val="nil"/>
        </w:pBdr>
        <w:ind w:right="900" w:firstLine="36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(Énfasis añadido)</w:t>
      </w:r>
    </w:p>
    <w:p w:rsidR="0087135F" w:rsidRPr="00D60C9B" w:rsidRDefault="0087135F" w:rsidP="00A37E66">
      <w:pPr>
        <w:pBdr>
          <w:top w:val="nil"/>
          <w:left w:val="nil"/>
          <w:bottom w:val="nil"/>
          <w:right w:val="nil"/>
          <w:between w:val="nil"/>
        </w:pBdr>
        <w:ind w:firstLine="360"/>
        <w:rPr>
          <w:rFonts w:ascii="Palatino Linotype" w:eastAsia="Palatino Linotype" w:hAnsi="Palatino Linotype" w:cs="Palatino Linotype"/>
          <w:i/>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60C9B">
        <w:rPr>
          <w:rFonts w:ascii="Palatino Linotype" w:eastAsia="Palatino Linotype" w:hAnsi="Palatino Linotype" w:cs="Palatino Linotype"/>
          <w:color w:val="000000"/>
        </w:rPr>
        <w:t xml:space="preserve">De lo anterior, el </w:t>
      </w:r>
      <w:r w:rsidRPr="00D60C9B">
        <w:rPr>
          <w:rFonts w:ascii="Palatino Linotype" w:eastAsia="Palatino Linotype" w:hAnsi="Palatino Linotype" w:cs="Palatino Linotype"/>
          <w:b/>
          <w:color w:val="000000"/>
        </w:rPr>
        <w:t xml:space="preserve">veintiuno y veintidós de abril de dos mil veinticinco </w:t>
      </w:r>
      <w:r w:rsidRPr="00D60C9B">
        <w:rPr>
          <w:rFonts w:ascii="Palatino Linotype" w:eastAsia="Palatino Linotype" w:hAnsi="Palatino Linotype" w:cs="Palatino Linotype"/>
          <w:color w:val="000000"/>
        </w:rPr>
        <w:t xml:space="preserve">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adjunto información para recurso de revisión, cuyo contenido versa en lo siguiente.</w:t>
      </w:r>
    </w:p>
    <w:p w:rsidR="0087135F" w:rsidRPr="00D60C9B" w:rsidRDefault="0073782B"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60C9B">
        <w:rPr>
          <w:rFonts w:ascii="Palatino Linotype" w:eastAsia="Palatino Linotype" w:hAnsi="Palatino Linotype" w:cs="Palatino Linotype"/>
          <w:color w:val="000000"/>
        </w:rPr>
        <w:lastRenderedPageBreak/>
        <w:t xml:space="preserve"> </w:t>
      </w:r>
    </w:p>
    <w:tbl>
      <w:tblPr>
        <w:tblStyle w:val="a1"/>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3"/>
        <w:gridCol w:w="4966"/>
      </w:tblGrid>
      <w:tr w:rsidR="0087135F" w:rsidRPr="00D60C9B">
        <w:tc>
          <w:tcPr>
            <w:tcW w:w="3813" w:type="dxa"/>
          </w:tcPr>
          <w:p w:rsidR="0087135F" w:rsidRPr="00D60C9B" w:rsidRDefault="0073782B" w:rsidP="00A37E66">
            <w:pPr>
              <w:pBdr>
                <w:top w:val="nil"/>
                <w:left w:val="nil"/>
                <w:bottom w:val="nil"/>
                <w:right w:val="nil"/>
                <w:between w:val="nil"/>
              </w:pBdr>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Recursos de Revisión</w:t>
            </w:r>
          </w:p>
        </w:tc>
        <w:tc>
          <w:tcPr>
            <w:tcW w:w="4966" w:type="dxa"/>
          </w:tcPr>
          <w:p w:rsidR="0087135F" w:rsidRPr="00D60C9B" w:rsidRDefault="0073782B" w:rsidP="00A37E66">
            <w:pPr>
              <w:pBdr>
                <w:top w:val="nil"/>
                <w:left w:val="nil"/>
                <w:bottom w:val="nil"/>
                <w:right w:val="nil"/>
                <w:between w:val="nil"/>
              </w:pBdr>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Información enviada en la etapa de manifestaciones</w:t>
            </w:r>
          </w:p>
        </w:tc>
      </w:tr>
      <w:tr w:rsidR="0087135F" w:rsidRPr="00D60C9B">
        <w:tc>
          <w:tcPr>
            <w:tcW w:w="3813" w:type="dxa"/>
          </w:tcPr>
          <w:p w:rsidR="0087135F" w:rsidRPr="00D60C9B" w:rsidRDefault="0087135F" w:rsidP="00A37E66">
            <w:pPr>
              <w:rPr>
                <w:rFonts w:ascii="Palatino Linotype" w:eastAsia="Palatino Linotype" w:hAnsi="Palatino Linotype" w:cs="Palatino Linotype"/>
                <w:i/>
              </w:rPr>
            </w:pPr>
          </w:p>
          <w:p w:rsidR="0087135F" w:rsidRPr="00D60C9B" w:rsidRDefault="0073782B" w:rsidP="00A37E66">
            <w:pPr>
              <w:rPr>
                <w:rFonts w:ascii="Palatino Linotype" w:eastAsia="Palatino Linotype" w:hAnsi="Palatino Linotype" w:cs="Palatino Linotype"/>
                <w:i/>
              </w:rPr>
            </w:pPr>
            <w:r w:rsidRPr="00D60C9B">
              <w:rPr>
                <w:rFonts w:ascii="Palatino Linotype" w:eastAsia="Palatino Linotype" w:hAnsi="Palatino Linotype" w:cs="Palatino Linotype"/>
                <w:b/>
                <w:i/>
              </w:rPr>
              <w:t xml:space="preserve">Recurso de Revisión 03788/INFOEM/IP/RR/2025:  </w:t>
            </w:r>
            <w:r w:rsidRPr="00D60C9B">
              <w:rPr>
                <w:rFonts w:ascii="Palatino Linotype" w:eastAsia="Palatino Linotype" w:hAnsi="Palatino Linotype" w:cs="Palatino Linotype"/>
                <w:i/>
              </w:rPr>
              <w:t>Ratificación 03788-2025.pdf</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i/>
                <w:color w:val="000000"/>
              </w:rPr>
            </w:pPr>
          </w:p>
          <w:p w:rsidR="0087135F" w:rsidRPr="00D60C9B" w:rsidRDefault="0073782B" w:rsidP="00A37E66">
            <w:pPr>
              <w:rPr>
                <w:rFonts w:ascii="Palatino Linotype" w:eastAsia="Palatino Linotype" w:hAnsi="Palatino Linotype" w:cs="Palatino Linotype"/>
                <w:b/>
                <w:i/>
              </w:rPr>
            </w:pPr>
            <w:r w:rsidRPr="00D60C9B">
              <w:rPr>
                <w:rFonts w:ascii="Palatino Linotype" w:eastAsia="Palatino Linotype" w:hAnsi="Palatino Linotype" w:cs="Palatino Linotype"/>
                <w:b/>
                <w:i/>
              </w:rPr>
              <w:t xml:space="preserve">Recurso de Revisión 03789/INFOEM/IP/RR/2025: </w:t>
            </w:r>
          </w:p>
          <w:p w:rsidR="0087135F" w:rsidRPr="00D60C9B" w:rsidRDefault="0073782B" w:rsidP="00A37E66">
            <w:pPr>
              <w:rPr>
                <w:rFonts w:ascii="Palatino Linotype" w:eastAsia="Palatino Linotype" w:hAnsi="Palatino Linotype" w:cs="Palatino Linotype"/>
                <w:i/>
              </w:rPr>
            </w:pPr>
            <w:r w:rsidRPr="00D60C9B">
              <w:rPr>
                <w:rFonts w:ascii="Palatino Linotype" w:eastAsia="Palatino Linotype" w:hAnsi="Palatino Linotype" w:cs="Palatino Linotype"/>
                <w:i/>
              </w:rPr>
              <w:t>Ratificación 03789-2025.pdf</w:t>
            </w:r>
          </w:p>
        </w:tc>
        <w:tc>
          <w:tcPr>
            <w:tcW w:w="4966" w:type="dxa"/>
          </w:tcPr>
          <w:p w:rsidR="0087135F" w:rsidRPr="00D60C9B" w:rsidRDefault="0073782B" w:rsidP="00A37E66">
            <w:pPr>
              <w:jc w:val="both"/>
              <w:rPr>
                <w:rFonts w:ascii="Palatino Linotype" w:eastAsia="Palatino Linotype" w:hAnsi="Palatino Linotype" w:cs="Palatino Linotype"/>
                <w:i/>
              </w:rPr>
            </w:pPr>
            <w:r w:rsidRPr="00D60C9B">
              <w:rPr>
                <w:rFonts w:ascii="Palatino Linotype" w:eastAsia="Palatino Linotype" w:hAnsi="Palatino Linotype" w:cs="Palatino Linotype"/>
                <w:i/>
              </w:rPr>
              <w:t xml:space="preserve">Oficios mediante los cuales el Titular de la Unidad de Transparencia ratifica sus respuestas iniciales. </w:t>
            </w:r>
          </w:p>
        </w:tc>
      </w:tr>
    </w:tbl>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60C9B">
        <w:rPr>
          <w:rFonts w:ascii="Palatino Linotype" w:eastAsia="Palatino Linotype" w:hAnsi="Palatino Linotype" w:cs="Palatino Linotype"/>
          <w:b/>
          <w:color w:val="000000"/>
        </w:rPr>
        <w:t xml:space="preserve"> </w:t>
      </w:r>
      <w:r w:rsidRPr="00D60C9B">
        <w:rPr>
          <w:rFonts w:ascii="Palatino Linotype" w:eastAsia="Palatino Linotype" w:hAnsi="Palatino Linotype" w:cs="Palatino Linotype"/>
          <w:color w:val="000000"/>
        </w:rPr>
        <w:t xml:space="preserve">Por su parte </w:t>
      </w:r>
      <w:r w:rsidRPr="00D60C9B">
        <w:rPr>
          <w:rFonts w:ascii="Palatino Linotype" w:eastAsia="Palatino Linotype" w:hAnsi="Palatino Linotype" w:cs="Palatino Linotype"/>
          <w:b/>
          <w:color w:val="000000"/>
        </w:rPr>
        <w:t xml:space="preserve">el RECURRENTE </w:t>
      </w:r>
      <w:r w:rsidRPr="00D60C9B">
        <w:rPr>
          <w:rFonts w:ascii="Palatino Linotype" w:eastAsia="Palatino Linotype" w:hAnsi="Palatino Linotype" w:cs="Palatino Linotype"/>
          <w:color w:val="000000"/>
        </w:rPr>
        <w:t xml:space="preserve">dejo de realizar manifestaciones que a su derecho conviniera y asistiera.  </w:t>
      </w:r>
    </w:p>
    <w:p w:rsidR="0087135F" w:rsidRPr="00D60C9B" w:rsidRDefault="0087135F" w:rsidP="00A37E66">
      <w:pPr>
        <w:spacing w:line="360" w:lineRule="auto"/>
        <w:jc w:val="both"/>
        <w:rPr>
          <w:rFonts w:ascii="Palatino Linotype" w:eastAsia="Palatino Linotype" w:hAnsi="Palatino Linotype" w:cs="Palatino Linotype"/>
          <w:b/>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60C9B">
        <w:rPr>
          <w:rFonts w:ascii="Palatino Linotype" w:eastAsia="Palatino Linotype" w:hAnsi="Palatino Linotype" w:cs="Palatino Linotype"/>
          <w:color w:val="000000"/>
        </w:rPr>
        <w:t>Finalmente, la Comisionada Ponente mediante acuerdos de fecha</w:t>
      </w:r>
      <w:r w:rsidRPr="00D60C9B">
        <w:rPr>
          <w:rFonts w:ascii="Palatino Linotype" w:eastAsia="Palatino Linotype" w:hAnsi="Palatino Linotype" w:cs="Palatino Linotype"/>
          <w:b/>
          <w:color w:val="000000"/>
        </w:rPr>
        <w:t xml:space="preserve"> veintiocho de abril de dos mil veinticinco</w:t>
      </w:r>
      <w:r w:rsidRPr="00D60C9B">
        <w:rPr>
          <w:rFonts w:ascii="Palatino Linotype" w:eastAsia="Palatino Linotype" w:hAnsi="Palatino Linotype" w:cs="Palatino Linotype"/>
          <w:color w:val="000000"/>
        </w:rPr>
        <w:t>, decretó el cierre de instrucción de los expedientes, por lo que no habiendo más que hacer constar, y -------------------------------------</w:t>
      </w:r>
      <w:r w:rsidR="00A37E66" w:rsidRPr="00D60C9B">
        <w:rPr>
          <w:rFonts w:ascii="Palatino Linotype" w:eastAsia="Palatino Linotype" w:hAnsi="Palatino Linotype" w:cs="Palatino Linotype"/>
          <w:color w:val="000000"/>
        </w:rPr>
        <w:t>----------------------</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7135F" w:rsidRPr="00D60C9B" w:rsidRDefault="0073782B" w:rsidP="00A37E66">
      <w:pPr>
        <w:pStyle w:val="Ttulo1"/>
        <w:tabs>
          <w:tab w:val="left" w:pos="567"/>
        </w:tabs>
        <w:spacing w:before="0" w:line="360" w:lineRule="auto"/>
        <w:jc w:val="center"/>
        <w:rPr>
          <w:szCs w:val="24"/>
        </w:rPr>
      </w:pPr>
      <w:bookmarkStart w:id="2" w:name="_heading=h.6d2ft3vy66mu" w:colFirst="0" w:colLast="0"/>
      <w:bookmarkEnd w:id="2"/>
      <w:r w:rsidRPr="00D60C9B">
        <w:rPr>
          <w:szCs w:val="24"/>
        </w:rPr>
        <w:t>CONSIDERANDO</w:t>
      </w:r>
    </w:p>
    <w:p w:rsidR="0087135F" w:rsidRPr="00D60C9B" w:rsidRDefault="0087135F" w:rsidP="00A37E66">
      <w:pPr>
        <w:spacing w:line="360" w:lineRule="auto"/>
        <w:rPr>
          <w:rFonts w:ascii="Palatino Linotype" w:eastAsia="Palatino Linotype" w:hAnsi="Palatino Linotype" w:cs="Palatino Linotype"/>
        </w:rPr>
      </w:pPr>
    </w:p>
    <w:p w:rsidR="0087135F" w:rsidRPr="00D60C9B" w:rsidRDefault="0073782B" w:rsidP="00A37E66">
      <w:pPr>
        <w:pStyle w:val="Ttulo1"/>
        <w:tabs>
          <w:tab w:val="left" w:pos="567"/>
        </w:tabs>
        <w:spacing w:before="0" w:line="360" w:lineRule="auto"/>
        <w:rPr>
          <w:b w:val="0"/>
          <w:szCs w:val="24"/>
        </w:rPr>
      </w:pPr>
      <w:bookmarkStart w:id="3" w:name="_heading=h.jd6kb5io023p" w:colFirst="0" w:colLast="0"/>
      <w:bookmarkEnd w:id="3"/>
      <w:r w:rsidRPr="00D60C9B">
        <w:rPr>
          <w:szCs w:val="24"/>
        </w:rPr>
        <w:t>PRIMERO. De la competencia</w:t>
      </w:r>
    </w:p>
    <w:p w:rsidR="0087135F" w:rsidRPr="00D60C9B" w:rsidRDefault="0087135F" w:rsidP="00A37E6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4" w:name="_heading=h.fjyetn23t3up" w:colFirst="0" w:colLast="0"/>
      <w:bookmarkEnd w:id="4"/>
      <w:r w:rsidRPr="00D60C9B">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w:t>
      </w:r>
      <w:r w:rsidRPr="00D60C9B">
        <w:rPr>
          <w:rFonts w:ascii="Palatino Linotype" w:eastAsia="Palatino Linotype" w:hAnsi="Palatino Linotype" w:cs="Palatino Linotype"/>
          <w:color w:val="000000"/>
        </w:rPr>
        <w:lastRenderedPageBreak/>
        <w:t>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pStyle w:val="Ttulo2"/>
        <w:spacing w:before="0" w:line="360" w:lineRule="auto"/>
        <w:rPr>
          <w:b w:val="0"/>
          <w:color w:val="000000"/>
          <w:szCs w:val="24"/>
        </w:rPr>
      </w:pPr>
      <w:r w:rsidRPr="00D60C9B">
        <w:rPr>
          <w:color w:val="000000"/>
          <w:szCs w:val="24"/>
        </w:rPr>
        <w:t>SEGUNDO. De la oportunidad y procedencia.</w:t>
      </w:r>
    </w:p>
    <w:p w:rsidR="0087135F" w:rsidRPr="00D60C9B" w:rsidRDefault="0087135F" w:rsidP="00A37E66">
      <w:pPr>
        <w:spacing w:line="360" w:lineRule="auto"/>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El medio de impugnación fue presentado a través del </w:t>
      </w:r>
      <w:r w:rsidRPr="00D60C9B">
        <w:rPr>
          <w:rFonts w:ascii="Palatino Linotype" w:eastAsia="Palatino Linotype" w:hAnsi="Palatino Linotype" w:cs="Palatino Linotype"/>
          <w:b/>
          <w:color w:val="000000"/>
        </w:rPr>
        <w:t>SAIMEX,</w:t>
      </w:r>
      <w:r w:rsidRPr="00D60C9B">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 xml:space="preserve"> entregó su respuesta el </w:t>
      </w:r>
      <w:r w:rsidRPr="00D60C9B">
        <w:rPr>
          <w:rFonts w:ascii="Palatino Linotype" w:eastAsia="Palatino Linotype" w:hAnsi="Palatino Linotype" w:cs="Palatino Linotype"/>
          <w:b/>
          <w:color w:val="000000"/>
        </w:rPr>
        <w:t>trece de marzo de dos mil veinticinco</w:t>
      </w:r>
      <w:r w:rsidRPr="00D60C9B">
        <w:rPr>
          <w:rFonts w:ascii="Palatino Linotype" w:eastAsia="Palatino Linotype" w:hAnsi="Palatino Linotype" w:cs="Palatino Linotype"/>
          <w:color w:val="000000"/>
        </w:rPr>
        <w:t xml:space="preserve">, de tal forma que el plazo para interponer el recurso de revisión transcurrió del </w:t>
      </w:r>
      <w:r w:rsidRPr="00D60C9B">
        <w:rPr>
          <w:rFonts w:ascii="Palatino Linotype" w:eastAsia="Palatino Linotype" w:hAnsi="Palatino Linotype" w:cs="Palatino Linotype"/>
          <w:b/>
          <w:color w:val="000000"/>
        </w:rPr>
        <w:t>catorce de marzo al cuatro de abril de dos mil veinticinco</w:t>
      </w:r>
      <w:r w:rsidRPr="00D60C9B">
        <w:rPr>
          <w:rFonts w:ascii="Palatino Linotype" w:eastAsia="Palatino Linotype" w:hAnsi="Palatino Linotype" w:cs="Palatino Linotype"/>
          <w:color w:val="000000"/>
        </w:rPr>
        <w:t xml:space="preserve">; en consecuencia, el ahora </w:t>
      </w:r>
      <w:r w:rsidRPr="00D60C9B">
        <w:rPr>
          <w:rFonts w:ascii="Palatino Linotype" w:eastAsia="Palatino Linotype" w:hAnsi="Palatino Linotype" w:cs="Palatino Linotype"/>
          <w:b/>
          <w:color w:val="000000"/>
        </w:rPr>
        <w:t>RECURRENTE</w:t>
      </w:r>
      <w:r w:rsidRPr="00D60C9B">
        <w:rPr>
          <w:rFonts w:ascii="Palatino Linotype" w:eastAsia="Palatino Linotype" w:hAnsi="Palatino Linotype" w:cs="Palatino Linotype"/>
          <w:color w:val="000000"/>
        </w:rPr>
        <w:t xml:space="preserve"> presentó sus inconformidades el </w:t>
      </w:r>
      <w:r w:rsidRPr="00D60C9B">
        <w:rPr>
          <w:rFonts w:ascii="Palatino Linotype" w:eastAsia="Palatino Linotype" w:hAnsi="Palatino Linotype" w:cs="Palatino Linotype"/>
          <w:b/>
          <w:color w:val="000000"/>
        </w:rPr>
        <w:t>treinta y uno de marzo de dos mil veinticinco</w:t>
      </w:r>
      <w:r w:rsidRPr="00D60C9B">
        <w:rPr>
          <w:rFonts w:ascii="Palatino Linotype" w:eastAsia="Palatino Linotype" w:hAnsi="Palatino Linotype" w:cs="Palatino Linotype"/>
          <w:color w:val="000000"/>
        </w:rPr>
        <w:t>; por lo que se estima que la inconformidad se presentó dentro del lapso legalmente establecido para tal efecto.</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555555"/>
        </w:rPr>
      </w:pPr>
      <w:r w:rsidRPr="00D60C9B">
        <w:rPr>
          <w:rFonts w:ascii="Palatino Linotype" w:eastAsia="Palatino Linotype" w:hAnsi="Palatino Linotype" w:cs="Palatino Linotype"/>
          <w:color w:val="000000"/>
        </w:rPr>
        <w:t xml:space="preserve">Al respecto resulta necesario precisar que cuando el medio de impugnación, se haya interpuesto antes que inicie el término para tal efecto, resulta insuficiente para tener por extemporáneo el recurso de revisión de mérito, toda vez que el precepto legal </w:t>
      </w:r>
      <w:r w:rsidRPr="00D60C9B">
        <w:rPr>
          <w:rFonts w:ascii="Palatino Linotype" w:eastAsia="Palatino Linotype" w:hAnsi="Palatino Linotype" w:cs="Palatino Linotype"/>
          <w:color w:val="000000"/>
        </w:rPr>
        <w:lastRenderedPageBreak/>
        <w:t>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87135F" w:rsidRPr="00D60C9B" w:rsidRDefault="0087135F" w:rsidP="00A37E66">
      <w:pPr>
        <w:spacing w:line="360" w:lineRule="auto"/>
        <w:ind w:hanging="360"/>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555555"/>
        </w:rPr>
      </w:pPr>
      <w:r w:rsidRPr="00D60C9B">
        <w:rPr>
          <w:rFonts w:ascii="Palatino Linotype" w:eastAsia="Palatino Linotype" w:hAnsi="Palatino Linotype" w:cs="Palatino Linotype"/>
          <w:color w:val="000000"/>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87135F" w:rsidRPr="00D60C9B" w:rsidRDefault="0073782B" w:rsidP="00A37E66">
      <w:pPr>
        <w:tabs>
          <w:tab w:val="left" w:pos="3670"/>
        </w:tabs>
        <w:spacing w:line="360" w:lineRule="auto"/>
        <w:rPr>
          <w:rFonts w:ascii="Palatino Linotype" w:eastAsia="Palatino Linotype" w:hAnsi="Palatino Linotype" w:cs="Palatino Linotype"/>
          <w:color w:val="555555"/>
        </w:rPr>
      </w:pPr>
      <w:r w:rsidRPr="00D60C9B">
        <w:rPr>
          <w:rFonts w:ascii="Palatino Linotype" w:eastAsia="Palatino Linotype" w:hAnsi="Palatino Linotype" w:cs="Palatino Linotype"/>
          <w:color w:val="555555"/>
        </w:rPr>
        <w:tab/>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b/>
          <w:i/>
        </w:rPr>
        <w:t>“RECURSO DE RECLAMACIÓN. SU INTERPOSICIÓN NO ES EXTEMPORÁNEA SI SE REALIZA ANTES DE QUE INICIE EL PLAZO PARA HACERLO</w:t>
      </w:r>
      <w:r w:rsidRPr="00D60C9B">
        <w:rPr>
          <w:rFonts w:ascii="Palatino Linotype" w:eastAsia="Palatino Linotype" w:hAnsi="Palatino Linotype" w:cs="Palatino Linotype"/>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87135F" w:rsidRPr="00D60C9B" w:rsidRDefault="0087135F" w:rsidP="00A37E66">
      <w:pPr>
        <w:spacing w:line="360" w:lineRule="auto"/>
        <w:ind w:right="616"/>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color w:val="000000"/>
        </w:rPr>
        <w:t xml:space="preserve">Esto es así porque en primer lugar es necesario que </w:t>
      </w:r>
      <w:r w:rsidRPr="00D60C9B">
        <w:rPr>
          <w:rFonts w:ascii="Palatino Linotype" w:eastAsia="Palatino Linotype" w:hAnsi="Palatino Linotype" w:cs="Palatino Linotype"/>
          <w:b/>
          <w:color w:val="000000"/>
        </w:rPr>
        <w:t>EL RECURRENTE</w:t>
      </w:r>
      <w:r w:rsidRPr="00D60C9B">
        <w:rPr>
          <w:rFonts w:ascii="Palatino Linotype" w:eastAsia="Palatino Linotype" w:hAnsi="Palatino Linotype" w:cs="Palatino Linotype"/>
          <w:color w:val="000000"/>
        </w:rPr>
        <w:t xml:space="preserve"> conozca el acto que le provoca agravio y a partir de ahí formular su recurso de revisión señalando tanto el acto impugnado como el motivo de inconformidad. Y si bien la ley </w:t>
      </w:r>
      <w:r w:rsidRPr="00D60C9B">
        <w:rPr>
          <w:rFonts w:ascii="Palatino Linotype" w:eastAsia="Palatino Linotype" w:hAnsi="Palatino Linotype" w:cs="Palatino Linotype"/>
          <w:color w:val="000000"/>
        </w:rPr>
        <w:lastRenderedPageBreak/>
        <w:t xml:space="preserve">señala que el plazo corre un día después de haber sido notificada la respuesta, en nada se afecta al proceso que el mismo día de </w:t>
      </w:r>
      <w:r w:rsidRPr="00D60C9B">
        <w:rPr>
          <w:rFonts w:ascii="Palatino Linotype" w:eastAsia="Palatino Linotype" w:hAnsi="Palatino Linotype" w:cs="Palatino Linotype"/>
          <w:b/>
          <w:color w:val="000000"/>
        </w:rPr>
        <w:t>notificada EL RECURRENTE</w:t>
      </w:r>
      <w:r w:rsidRPr="00D60C9B">
        <w:rPr>
          <w:rFonts w:ascii="Palatino Linotype" w:eastAsia="Palatino Linotype" w:hAnsi="Palatino Linotype" w:cs="Palatino Linotype"/>
          <w:color w:val="000000"/>
        </w:rPr>
        <w:t xml:space="preserve"> actúe, ya que al contrario lo que demuestra es el interés del mismo para ejercer su derecho bajo el principio constitucional de justicia expedita.</w:t>
      </w:r>
    </w:p>
    <w:p w:rsidR="0087135F" w:rsidRPr="00D60C9B" w:rsidRDefault="0087135F" w:rsidP="00A37E66">
      <w:pPr>
        <w:tabs>
          <w:tab w:val="left" w:pos="0"/>
        </w:tabs>
        <w:spacing w:line="360" w:lineRule="auto"/>
        <w:ind w:right="49" w:hanging="360"/>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color w:val="000000"/>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87135F" w:rsidRPr="00D60C9B" w:rsidRDefault="0087135F" w:rsidP="00A37E66">
      <w:pPr>
        <w:spacing w:line="360" w:lineRule="auto"/>
        <w:jc w:val="both"/>
        <w:rPr>
          <w:rFonts w:ascii="Palatino Linotype" w:eastAsia="Palatino Linotype" w:hAnsi="Palatino Linotype" w:cs="Palatino Linotype"/>
          <w:color w:val="000000"/>
        </w:rPr>
      </w:pPr>
    </w:p>
    <w:p w:rsidR="0087135F" w:rsidRPr="00D60C9B" w:rsidRDefault="0087135F" w:rsidP="00A37E66">
      <w:pPr>
        <w:pBdr>
          <w:top w:val="nil"/>
          <w:left w:val="nil"/>
          <w:bottom w:val="nil"/>
          <w:right w:val="nil"/>
          <w:between w:val="nil"/>
        </w:pBdr>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b/>
          <w:i/>
        </w:rPr>
        <w:t>Las solicitudes anónimas</w:t>
      </w:r>
      <w:r w:rsidRPr="00D60C9B">
        <w:rPr>
          <w:rFonts w:ascii="Palatino Linotype" w:eastAsia="Palatino Linotype" w:hAnsi="Palatino Linotype" w:cs="Palatino Linotype"/>
          <w:i/>
        </w:rPr>
        <w:t xml:space="preserve">, con nombre incompleto o seudónimo </w:t>
      </w:r>
      <w:r w:rsidRPr="00D60C9B">
        <w:rPr>
          <w:rFonts w:ascii="Palatino Linotype" w:eastAsia="Palatino Linotype" w:hAnsi="Palatino Linotype" w:cs="Palatino Linotype"/>
          <w:b/>
          <w:i/>
        </w:rPr>
        <w:t>serán procedentes para su trámite por parte del sujeto obligado ante quien se presente</w:t>
      </w:r>
      <w:r w:rsidRPr="00D60C9B">
        <w:rPr>
          <w:rFonts w:ascii="Palatino Linotype" w:eastAsia="Palatino Linotype" w:hAnsi="Palatino Linotype" w:cs="Palatino Linotype"/>
          <w:i/>
        </w:rPr>
        <w:t>. No podrá requerirse información adicional con motivo del nombre proporcionado por el solicitante."</w:t>
      </w:r>
    </w:p>
    <w:p w:rsidR="0087135F" w:rsidRPr="00D60C9B" w:rsidRDefault="0087135F" w:rsidP="00A37E66">
      <w:pPr>
        <w:spacing w:line="360" w:lineRule="auto"/>
        <w:jc w:val="right"/>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lastRenderedPageBreak/>
        <w:t>Robusteciendo lo anterior se encuentra lo dispuesto en el artículo 6, Apartado A, fracciones III de la Constitución Política de los Estados Unidos Mexicanos que establece:</w:t>
      </w:r>
    </w:p>
    <w:p w:rsidR="0087135F" w:rsidRPr="00D60C9B" w:rsidRDefault="0087135F" w:rsidP="00A37E66">
      <w:pPr>
        <w:spacing w:line="360" w:lineRule="auto"/>
        <w:ind w:right="900" w:firstLine="1134"/>
        <w:jc w:val="both"/>
        <w:rPr>
          <w:rFonts w:ascii="Palatino Linotype" w:eastAsia="Palatino Linotype" w:hAnsi="Palatino Linotype" w:cs="Palatino Linotype"/>
          <w:i/>
        </w:rPr>
      </w:pP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b/>
          <w:i/>
        </w:rPr>
        <w:t>Artículo 6.-</w:t>
      </w:r>
      <w:r w:rsidRPr="00D60C9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Para efectos de lo dispuesto en el presente artículo se observará lo siguiente:</w:t>
      </w:r>
    </w:p>
    <w:p w:rsidR="0087135F" w:rsidRPr="00D60C9B" w:rsidRDefault="0087135F" w:rsidP="00A37E66">
      <w:pPr>
        <w:ind w:right="900" w:firstLine="1134"/>
        <w:jc w:val="both"/>
        <w:rPr>
          <w:rFonts w:ascii="Palatino Linotype" w:eastAsia="Palatino Linotype" w:hAnsi="Palatino Linotype" w:cs="Palatino Linotype"/>
          <w:i/>
        </w:rPr>
      </w:pP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87135F" w:rsidRPr="00D60C9B" w:rsidRDefault="0087135F" w:rsidP="00A37E66">
      <w:pPr>
        <w:ind w:right="900" w:firstLine="1134"/>
        <w:jc w:val="both"/>
        <w:rPr>
          <w:rFonts w:ascii="Palatino Linotype" w:eastAsia="Palatino Linotype" w:hAnsi="Palatino Linotype" w:cs="Palatino Linotype"/>
          <w:i/>
        </w:rPr>
      </w:pP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D60C9B">
        <w:rPr>
          <w:rFonts w:ascii="Palatino Linotype" w:eastAsia="Palatino Linotype" w:hAnsi="Palatino Linotype" w:cs="Palatino Linotype"/>
        </w:rPr>
        <w:t>(Sic)</w:t>
      </w:r>
    </w:p>
    <w:p w:rsidR="0087135F" w:rsidRPr="00D60C9B" w:rsidRDefault="0087135F" w:rsidP="00A37E66">
      <w:pPr>
        <w:spacing w:line="360" w:lineRule="auto"/>
        <w:ind w:right="474"/>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87135F" w:rsidRPr="00D60C9B" w:rsidRDefault="0087135F" w:rsidP="00A37E66">
      <w:pPr>
        <w:spacing w:line="360" w:lineRule="auto"/>
        <w:ind w:right="474"/>
        <w:jc w:val="both"/>
        <w:rPr>
          <w:rFonts w:ascii="Palatino Linotype" w:eastAsia="Palatino Linotype" w:hAnsi="Palatino Linotype" w:cs="Palatino Linotype"/>
          <w:i/>
        </w:rPr>
      </w:pP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b/>
          <w:i/>
        </w:rPr>
        <w:t>Artículo 5.-</w:t>
      </w:r>
      <w:r w:rsidRPr="00D60C9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lastRenderedPageBreak/>
        <w:t>Toda persona en el Estado de México, tiene derecho al libre acceso a la información plural y oportuna, así como a buscar recibir y difundir información e ideas de toda índole por cualquier medio de expresión.</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D60C9B">
        <w:rPr>
          <w:rFonts w:ascii="Palatino Linotype" w:eastAsia="Palatino Linotype" w:hAnsi="Palatino Linotype" w:cs="Palatino Linotype"/>
        </w:rPr>
        <w:t>(Sic)</w:t>
      </w:r>
    </w:p>
    <w:p w:rsidR="0087135F" w:rsidRPr="00D60C9B" w:rsidRDefault="0087135F" w:rsidP="00A37E66">
      <w:pPr>
        <w:spacing w:line="360" w:lineRule="auto"/>
        <w:ind w:right="476"/>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b/>
          <w:i/>
        </w:rPr>
        <w:t>Artículo 1</w:t>
      </w:r>
      <w:r w:rsidRPr="00D60C9B">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87135F" w:rsidRPr="00D60C9B" w:rsidRDefault="0087135F" w:rsidP="00A37E66">
      <w:pPr>
        <w:spacing w:line="360" w:lineRule="auto"/>
        <w:ind w:right="474"/>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D60C9B">
        <w:rPr>
          <w:rFonts w:ascii="Palatino Linotype" w:eastAsia="Palatino Linotype" w:hAnsi="Palatino Linotype" w:cs="Palatino Linotype"/>
          <w:i/>
          <w:color w:val="000000"/>
        </w:rPr>
        <w:t>derecho fundamental exime a quien lo ejerce</w:t>
      </w:r>
      <w:r w:rsidRPr="00D60C9B">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consecuencia, dado lo expuesto y fundado con anterioridad, se estima que el requisito relativo al nombre del </w:t>
      </w:r>
      <w:r w:rsidRPr="00D60C9B">
        <w:rPr>
          <w:rFonts w:ascii="Palatino Linotype" w:eastAsia="Palatino Linotype" w:hAnsi="Palatino Linotype" w:cs="Palatino Linotype"/>
          <w:b/>
          <w:color w:val="000000"/>
        </w:rPr>
        <w:t>RECURRENTE</w:t>
      </w:r>
      <w:r w:rsidRPr="00D60C9B">
        <w:rPr>
          <w:rFonts w:ascii="Palatino Linotype" w:eastAsia="Palatino Linotype" w:hAnsi="Palatino Linotype" w:cs="Palatino Linotype"/>
          <w:color w:val="000000"/>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w:t>
      </w:r>
      <w:r w:rsidRPr="00D60C9B">
        <w:rPr>
          <w:rFonts w:ascii="Palatino Linotype" w:eastAsia="Palatino Linotype" w:hAnsi="Palatino Linotype" w:cs="Palatino Linotype"/>
          <w:color w:val="000000"/>
        </w:rPr>
        <w:lastRenderedPageBreak/>
        <w:t>revisión, de las que se desprende que la parte recurrente, es la misma que realizó la solicitud de acceso a la información pública que ahora se impugna.</w:t>
      </w:r>
    </w:p>
    <w:p w:rsidR="0087135F" w:rsidRPr="00D60C9B" w:rsidRDefault="0087135F" w:rsidP="00A37E66">
      <w:pPr>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7135F" w:rsidRPr="00D60C9B" w:rsidRDefault="0087135F" w:rsidP="00A37E66">
      <w:pPr>
        <w:pBdr>
          <w:top w:val="nil"/>
          <w:left w:val="nil"/>
          <w:bottom w:val="nil"/>
          <w:right w:val="nil"/>
          <w:between w:val="nil"/>
        </w:pBdr>
        <w:spacing w:line="360" w:lineRule="auto"/>
        <w:rPr>
          <w:rFonts w:ascii="Palatino Linotype" w:eastAsia="Palatino Linotype" w:hAnsi="Palatino Linotype" w:cs="Palatino Linotype"/>
          <w:color w:val="000000"/>
        </w:rPr>
      </w:pPr>
    </w:p>
    <w:p w:rsidR="0087135F" w:rsidRPr="00D60C9B" w:rsidRDefault="0073782B" w:rsidP="00A37E66">
      <w:pPr>
        <w:pStyle w:val="Ttulo2"/>
        <w:spacing w:before="0" w:line="360" w:lineRule="auto"/>
        <w:rPr>
          <w:b w:val="0"/>
          <w:szCs w:val="24"/>
        </w:rPr>
      </w:pPr>
      <w:bookmarkStart w:id="5" w:name="_heading=h.4p5hcm4n72gx" w:colFirst="0" w:colLast="0"/>
      <w:bookmarkEnd w:id="5"/>
      <w:r w:rsidRPr="00D60C9B">
        <w:rPr>
          <w:color w:val="000000"/>
          <w:szCs w:val="24"/>
        </w:rPr>
        <w:t xml:space="preserve">TERCERO. </w:t>
      </w:r>
      <w:r w:rsidRPr="00D60C9B">
        <w:rPr>
          <w:szCs w:val="24"/>
        </w:rPr>
        <w:t xml:space="preserve">Del planteamiento de la </w:t>
      </w:r>
      <w:r w:rsidRPr="00D60C9B">
        <w:rPr>
          <w:i/>
          <w:szCs w:val="24"/>
        </w:rPr>
        <w:t>Litis</w:t>
      </w:r>
      <w:r w:rsidRPr="00D60C9B">
        <w:rPr>
          <w:szCs w:val="24"/>
        </w:rPr>
        <w:t>.</w:t>
      </w:r>
    </w:p>
    <w:p w:rsidR="0087135F" w:rsidRPr="00D60C9B" w:rsidRDefault="0087135F" w:rsidP="00A37E66">
      <w:pPr>
        <w:spacing w:line="360" w:lineRule="auto"/>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Se solicitó tener acceso, a la información:</w:t>
      </w:r>
    </w:p>
    <w:p w:rsidR="0087135F" w:rsidRPr="00D60C9B" w:rsidRDefault="0073782B" w:rsidP="00A37E66">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rPr>
      </w:pPr>
      <w:r w:rsidRPr="00D60C9B">
        <w:rPr>
          <w:rFonts w:ascii="Palatino Linotype" w:eastAsia="Palatino Linotype" w:hAnsi="Palatino Linotype" w:cs="Palatino Linotype"/>
          <w:color w:val="000000"/>
        </w:rPr>
        <w:t>Nómina de la Dirección General de Obras</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7135F" w:rsidRPr="00D60C9B" w:rsidRDefault="0073782B" w:rsidP="00A37E66">
      <w:pPr>
        <w:numPr>
          <w:ilvl w:val="0"/>
          <w:numId w:val="4"/>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Recibos de nómina de la Dirección de Obras de enero y febrero</w:t>
      </w:r>
    </w:p>
    <w:p w:rsidR="0087135F" w:rsidRPr="00D60C9B" w:rsidRDefault="0087135F" w:rsidP="00A37E66">
      <w:pPr>
        <w:spacing w:line="360" w:lineRule="auto"/>
        <w:ind w:right="758"/>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color w:val="000000"/>
        </w:rPr>
        <w:t xml:space="preserve">En respuesta, 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en ambos recursos remitió la liga electrónica </w:t>
      </w:r>
      <w:hyperlink r:id="rId9" w:anchor="/info-fraccion/11/197/28">
        <w:r w:rsidRPr="00D60C9B">
          <w:rPr>
            <w:rFonts w:ascii="Palatino Linotype" w:eastAsia="Palatino Linotype" w:hAnsi="Palatino Linotype" w:cs="Palatino Linotype"/>
            <w:color w:val="0563C1"/>
          </w:rPr>
          <w:t>https://ipomex.org.mx/ipomex/#/info-fraccion/11/197/28</w:t>
        </w:r>
      </w:hyperlink>
      <w:r w:rsidRPr="00D60C9B">
        <w:rPr>
          <w:rFonts w:ascii="Palatino Linotype" w:eastAsia="Palatino Linotype" w:hAnsi="Palatino Linotype" w:cs="Palatino Linotype"/>
          <w:color w:val="000000"/>
        </w:rPr>
        <w:t>, mediante la cual informo que podía consultar la información solicitada.</w:t>
      </w:r>
      <w:r w:rsidRPr="00D60C9B">
        <w:rPr>
          <w:rFonts w:ascii="Palatino Linotype" w:eastAsia="Palatino Linotype" w:hAnsi="Palatino Linotype" w:cs="Palatino Linotype"/>
          <w:color w:val="000000"/>
          <w:u w:val="single"/>
        </w:rPr>
        <w:t xml:space="preserve"> </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dichas condiciones, la </w:t>
      </w:r>
      <w:r w:rsidRPr="00D60C9B">
        <w:rPr>
          <w:rFonts w:ascii="Palatino Linotype" w:eastAsia="Palatino Linotype" w:hAnsi="Palatino Linotype" w:cs="Palatino Linotype"/>
          <w:i/>
          <w:color w:val="000000"/>
        </w:rPr>
        <w:t>Litis</w:t>
      </w:r>
      <w:r w:rsidRPr="00D60C9B">
        <w:rPr>
          <w:rFonts w:ascii="Palatino Linotype" w:eastAsia="Palatino Linotype" w:hAnsi="Palatino Linotype" w:cs="Palatino Linotype"/>
          <w:color w:val="000000"/>
        </w:rPr>
        <w:t xml:space="preserve"> a resolver en este recurso se circunscribe a determinar si se actualiza la causal de procedencia prevista en el artículo 179, </w:t>
      </w:r>
      <w:r w:rsidRPr="00D60C9B">
        <w:rPr>
          <w:rFonts w:ascii="Palatino Linotype" w:eastAsia="Palatino Linotype" w:hAnsi="Palatino Linotype" w:cs="Palatino Linotype"/>
          <w:b/>
          <w:color w:val="000000"/>
        </w:rPr>
        <w:t xml:space="preserve">fracción I </w:t>
      </w:r>
      <w:r w:rsidRPr="00D60C9B">
        <w:rPr>
          <w:rFonts w:ascii="Palatino Linotype" w:eastAsia="Palatino Linotype" w:hAnsi="Palatino Linotype" w:cs="Palatino Linotype"/>
          <w:color w:val="000000"/>
        </w:rPr>
        <w:t xml:space="preserve">de la </w:t>
      </w:r>
      <w:r w:rsidRPr="00D60C9B">
        <w:rPr>
          <w:rFonts w:ascii="Palatino Linotype" w:eastAsia="Palatino Linotype" w:hAnsi="Palatino Linotype" w:cs="Palatino Linotype"/>
          <w:b/>
          <w:color w:val="000000"/>
        </w:rPr>
        <w:t>Ley de Transparencia y Acceso a la Información Pública del Estado de México y Municipios</w:t>
      </w:r>
      <w:r w:rsidRPr="00D60C9B">
        <w:rPr>
          <w:rFonts w:ascii="Palatino Linotype" w:eastAsia="Palatino Linotype" w:hAnsi="Palatino Linotype" w:cs="Palatino Linotype"/>
          <w:color w:val="000000"/>
        </w:rPr>
        <w:t xml:space="preserve">; fracción que determina la  hipótesis jurídica relativa a la negativa de la </w:t>
      </w:r>
      <w:r w:rsidRPr="00D60C9B">
        <w:rPr>
          <w:rFonts w:ascii="Palatino Linotype" w:eastAsia="Palatino Linotype" w:hAnsi="Palatino Linotype" w:cs="Palatino Linotype"/>
          <w:color w:val="000000"/>
        </w:rPr>
        <w:lastRenderedPageBreak/>
        <w:t xml:space="preserve">información solicitada; contexto de los cuales se dolió </w:t>
      </w:r>
      <w:r w:rsidRPr="00D60C9B">
        <w:rPr>
          <w:rFonts w:ascii="Palatino Linotype" w:eastAsia="Palatino Linotype" w:hAnsi="Palatino Linotype" w:cs="Palatino Linotype"/>
          <w:b/>
          <w:color w:val="000000"/>
        </w:rPr>
        <w:t xml:space="preserve">EL RECURRENTE </w:t>
      </w:r>
      <w:r w:rsidRPr="00D60C9B">
        <w:rPr>
          <w:rFonts w:ascii="Palatino Linotype" w:eastAsia="Palatino Linotype" w:hAnsi="Palatino Linotype" w:cs="Palatino Linotype"/>
          <w:color w:val="000000"/>
        </w:rPr>
        <w:t xml:space="preserve">al momento de interponer su inconformidad. De modo tal que los presentes recursos de revisión se abocaran en determinar si el </w:t>
      </w:r>
      <w:r w:rsidRPr="00D60C9B">
        <w:rPr>
          <w:rFonts w:ascii="Palatino Linotype" w:eastAsia="Palatino Linotype" w:hAnsi="Palatino Linotype" w:cs="Palatino Linotype"/>
          <w:b/>
          <w:color w:val="000000"/>
        </w:rPr>
        <w:t>SUJETO</w:t>
      </w:r>
      <w:r w:rsidRPr="00D60C9B">
        <w:rPr>
          <w:rFonts w:ascii="Palatino Linotype" w:eastAsia="Palatino Linotype" w:hAnsi="Palatino Linotype" w:cs="Palatino Linotype"/>
          <w:color w:val="000000"/>
        </w:rPr>
        <w:t xml:space="preserve"> </w:t>
      </w:r>
      <w:r w:rsidRPr="00D60C9B">
        <w:rPr>
          <w:rFonts w:ascii="Palatino Linotype" w:eastAsia="Palatino Linotype" w:hAnsi="Palatino Linotype" w:cs="Palatino Linotype"/>
          <w:b/>
          <w:color w:val="000000"/>
        </w:rPr>
        <w:t>OBLIGADO</w:t>
      </w:r>
      <w:r w:rsidRPr="00D60C9B">
        <w:rPr>
          <w:rFonts w:ascii="Palatino Linotype" w:eastAsia="Palatino Linotype" w:hAnsi="Palatino Linotype" w:cs="Palatino Linotype"/>
          <w:color w:val="000000"/>
        </w:rPr>
        <w:t xml:space="preserve"> con sus respuestas ciertamente actualizan las causales de procedencia</w:t>
      </w:r>
      <w:r w:rsidRPr="00D60C9B">
        <w:rPr>
          <w:rFonts w:ascii="Palatino Linotype" w:eastAsia="Palatino Linotype" w:hAnsi="Palatino Linotype" w:cs="Palatino Linotype"/>
          <w:b/>
          <w:color w:val="000000"/>
        </w:rPr>
        <w:t xml:space="preserve"> </w:t>
      </w:r>
      <w:r w:rsidRPr="00D60C9B">
        <w:rPr>
          <w:rFonts w:ascii="Palatino Linotype" w:eastAsia="Palatino Linotype" w:hAnsi="Palatino Linotype" w:cs="Palatino Linotype"/>
          <w:color w:val="000000"/>
        </w:rPr>
        <w:t xml:space="preserve">antes señaladas. </w:t>
      </w:r>
    </w:p>
    <w:p w:rsidR="0087135F" w:rsidRPr="00D60C9B" w:rsidRDefault="0087135F" w:rsidP="00A37E6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87135F" w:rsidRPr="00D60C9B" w:rsidRDefault="0073782B" w:rsidP="00A37E66">
      <w:pPr>
        <w:pStyle w:val="Ttulo2"/>
        <w:spacing w:before="0" w:line="360" w:lineRule="auto"/>
        <w:rPr>
          <w:b w:val="0"/>
          <w:color w:val="000000"/>
          <w:szCs w:val="24"/>
        </w:rPr>
      </w:pPr>
      <w:r w:rsidRPr="00D60C9B">
        <w:rPr>
          <w:color w:val="000000"/>
          <w:szCs w:val="24"/>
        </w:rPr>
        <w:t>CUARTO. Del estudio y resolución del asunto.</w:t>
      </w:r>
    </w:p>
    <w:p w:rsidR="0087135F" w:rsidRPr="00D60C9B" w:rsidRDefault="0087135F" w:rsidP="00A37E66">
      <w:pPr>
        <w:spacing w:line="360" w:lineRule="auto"/>
        <w:rPr>
          <w:rFonts w:ascii="Palatino Linotype" w:eastAsia="Palatino Linotype" w:hAnsi="Palatino Linotype" w:cs="Palatino Linotype"/>
        </w:rPr>
      </w:pPr>
    </w:p>
    <w:p w:rsidR="0087135F" w:rsidRPr="00D60C9B" w:rsidRDefault="0073782B" w:rsidP="00A37E66">
      <w:pPr>
        <w:pStyle w:val="Ttulo1"/>
        <w:numPr>
          <w:ilvl w:val="0"/>
          <w:numId w:val="5"/>
        </w:numPr>
        <w:spacing w:before="0" w:after="240" w:line="360" w:lineRule="auto"/>
        <w:ind w:left="0" w:hanging="360"/>
        <w:rPr>
          <w:b w:val="0"/>
          <w:color w:val="000000"/>
          <w:szCs w:val="24"/>
        </w:rPr>
      </w:pPr>
      <w:bookmarkStart w:id="6" w:name="_heading=h.4d34og8" w:colFirst="0" w:colLast="0"/>
      <w:bookmarkEnd w:id="6"/>
      <w:r w:rsidRPr="00D60C9B">
        <w:rPr>
          <w:color w:val="000000"/>
          <w:szCs w:val="24"/>
        </w:rPr>
        <w:t>Del derecho de acceso a la información.</w:t>
      </w: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87135F" w:rsidRPr="00D60C9B" w:rsidRDefault="0087135F" w:rsidP="00A37E66">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Definiendo el Derecho de Acceso a la Información Pública como: </w:t>
      </w:r>
      <w:r w:rsidRPr="00D60C9B">
        <w:rPr>
          <w:rFonts w:ascii="Palatino Linotype" w:eastAsia="Palatino Linotype" w:hAnsi="Palatino Linotype" w:cs="Palatino Linotype"/>
          <w:i/>
          <w:color w:val="000000"/>
        </w:rPr>
        <w:t>La igualdad de oportunidades para recibir, buscar e impartir información</w:t>
      </w:r>
      <w:r w:rsidRPr="00D60C9B">
        <w:rPr>
          <w:rFonts w:ascii="Palatino Linotype" w:eastAsia="Palatino Linotype" w:hAnsi="Palatino Linotype" w:cs="Palatino Linotype"/>
          <w:i/>
          <w:color w:val="000000"/>
          <w:vertAlign w:val="superscript"/>
        </w:rPr>
        <w:footnoteReference w:id="2"/>
      </w:r>
      <w:r w:rsidRPr="00D60C9B">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60C9B">
        <w:rPr>
          <w:rFonts w:ascii="Palatino Linotype" w:eastAsia="Palatino Linotype" w:hAnsi="Palatino Linotype" w:cs="Palatino Linotype"/>
          <w:i/>
          <w:color w:val="000000"/>
          <w:vertAlign w:val="superscript"/>
        </w:rPr>
        <w:footnoteReference w:id="3"/>
      </w:r>
      <w:r w:rsidRPr="00D60C9B">
        <w:rPr>
          <w:rFonts w:ascii="Palatino Linotype" w:eastAsia="Palatino Linotype" w:hAnsi="Palatino Linotype" w:cs="Palatino Linotype"/>
          <w:color w:val="000000"/>
        </w:rPr>
        <w:t>que se constituye como una herramienta fundamental para ejercer</w:t>
      </w:r>
      <w:r w:rsidRPr="00D60C9B">
        <w:rPr>
          <w:rFonts w:ascii="Palatino Linotype" w:eastAsia="Palatino Linotype" w:hAnsi="Palatino Linotype" w:cs="Palatino Linotype"/>
          <w:i/>
          <w:color w:val="000000"/>
        </w:rPr>
        <w:t xml:space="preserve"> el </w:t>
      </w:r>
      <w:r w:rsidRPr="00D60C9B">
        <w:rPr>
          <w:rFonts w:ascii="Palatino Linotype" w:eastAsia="Palatino Linotype" w:hAnsi="Palatino Linotype" w:cs="Palatino Linotype"/>
          <w:i/>
          <w:color w:val="000000"/>
        </w:rPr>
        <w:lastRenderedPageBreak/>
        <w:t>control democrático de las gestiones estatales, de forma tal que puedan cuestionar, indagar y considerar si se está dando un adecuado cumplimiento a las funciones públicas,</w:t>
      </w:r>
      <w:r w:rsidRPr="00D60C9B">
        <w:rPr>
          <w:rFonts w:ascii="Palatino Linotype" w:eastAsia="Palatino Linotype" w:hAnsi="Palatino Linotype" w:cs="Palatino Linotype"/>
          <w:i/>
          <w:color w:val="000000"/>
          <w:vertAlign w:val="superscript"/>
        </w:rPr>
        <w:footnoteReference w:id="4"/>
      </w:r>
      <w:r w:rsidRPr="00D60C9B">
        <w:rPr>
          <w:rFonts w:ascii="Palatino Linotype" w:eastAsia="Palatino Linotype" w:hAnsi="Palatino Linotype" w:cs="Palatino Linotype"/>
          <w:color w:val="000000"/>
        </w:rPr>
        <w:t>fomentando</w:t>
      </w:r>
      <w:r w:rsidRPr="00D60C9B">
        <w:rPr>
          <w:rFonts w:ascii="Palatino Linotype" w:eastAsia="Palatino Linotype" w:hAnsi="Palatino Linotype" w:cs="Palatino Linotype"/>
          <w:i/>
          <w:color w:val="000000"/>
        </w:rPr>
        <w:t xml:space="preserve"> la transparencia de las actividades estatales y </w:t>
      </w:r>
      <w:r w:rsidRPr="00D60C9B">
        <w:rPr>
          <w:rFonts w:ascii="Palatino Linotype" w:eastAsia="Palatino Linotype" w:hAnsi="Palatino Linotype" w:cs="Palatino Linotype"/>
          <w:color w:val="000000"/>
        </w:rPr>
        <w:t>promoviendo</w:t>
      </w:r>
      <w:r w:rsidRPr="00D60C9B">
        <w:rPr>
          <w:rFonts w:ascii="Palatino Linotype" w:eastAsia="Palatino Linotype" w:hAnsi="Palatino Linotype" w:cs="Palatino Linotype"/>
          <w:i/>
          <w:color w:val="000000"/>
        </w:rPr>
        <w:t xml:space="preserve"> la responsabilidad de los funcionarios sobre su gestión pública,</w:t>
      </w:r>
      <w:r w:rsidRPr="00D60C9B">
        <w:rPr>
          <w:rFonts w:ascii="Palatino Linotype" w:eastAsia="Palatino Linotype" w:hAnsi="Palatino Linotype" w:cs="Palatino Linotype"/>
          <w:i/>
          <w:color w:val="000000"/>
          <w:vertAlign w:val="superscript"/>
        </w:rPr>
        <w:footnoteReference w:id="5"/>
      </w:r>
      <w:r w:rsidRPr="00D60C9B">
        <w:rPr>
          <w:rFonts w:ascii="Palatino Linotype" w:eastAsia="Palatino Linotype" w:hAnsi="Palatino Linotype" w:cs="Palatino Linotype"/>
          <w:color w:val="000000"/>
        </w:rPr>
        <w:t>que permite</w:t>
      </w:r>
      <w:r w:rsidRPr="00D60C9B">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87135F" w:rsidRPr="00D60C9B" w:rsidRDefault="0087135F" w:rsidP="00A37E66">
      <w:pPr>
        <w:spacing w:line="360" w:lineRule="auto"/>
        <w:ind w:right="49"/>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En México, además de los derechos, están reconocidas las garantías para su protección, en ese sentido el párrafo tercero de artículo primero de la Constitución Política de los Estados Unidos Mexicanos dispone lo siguiente:</w:t>
      </w:r>
    </w:p>
    <w:p w:rsidR="0087135F" w:rsidRPr="00D60C9B" w:rsidRDefault="0087135F" w:rsidP="00A37E66">
      <w:pPr>
        <w:ind w:right="49"/>
        <w:jc w:val="both"/>
        <w:rPr>
          <w:rFonts w:ascii="Palatino Linotype" w:eastAsia="Palatino Linotype" w:hAnsi="Palatino Linotype" w:cs="Palatino Linotype"/>
        </w:rPr>
      </w:pP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b/>
          <w:i/>
        </w:rPr>
        <w:t>Artículo 1.-</w:t>
      </w:r>
      <w:r w:rsidRPr="00D60C9B">
        <w:rPr>
          <w:rFonts w:ascii="Palatino Linotype" w:eastAsia="Palatino Linotype" w:hAnsi="Palatino Linotype" w:cs="Palatino Linotype"/>
          <w:i/>
        </w:rPr>
        <w:t xml:space="preserve"> </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p>
    <w:p w:rsidR="0087135F" w:rsidRPr="00D60C9B" w:rsidRDefault="0073782B" w:rsidP="00A37E66">
      <w:pPr>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Todas las</w:t>
      </w:r>
      <w:r w:rsidRPr="00D60C9B">
        <w:rPr>
          <w:rFonts w:ascii="Palatino Linotype" w:eastAsia="Palatino Linotype" w:hAnsi="Palatino Linotype" w:cs="Palatino Linotype"/>
        </w:rPr>
        <w:t xml:space="preserve"> </w:t>
      </w:r>
      <w:r w:rsidRPr="00D60C9B">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7135F" w:rsidRPr="00D60C9B" w:rsidRDefault="0073782B" w:rsidP="00A37E66">
      <w:pPr>
        <w:ind w:right="900"/>
        <w:jc w:val="both"/>
        <w:rPr>
          <w:rFonts w:ascii="Palatino Linotype" w:eastAsia="Palatino Linotype" w:hAnsi="Palatino Linotype" w:cs="Palatino Linotype"/>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rPr>
        <w:t>”.</w:t>
      </w:r>
    </w:p>
    <w:p w:rsidR="0087135F" w:rsidRPr="00D60C9B" w:rsidRDefault="0087135F" w:rsidP="00A37E66">
      <w:pPr>
        <w:ind w:right="900"/>
        <w:jc w:val="both"/>
        <w:rPr>
          <w:rFonts w:ascii="Palatino Linotype" w:eastAsia="Palatino Linotype" w:hAnsi="Palatino Linotype" w:cs="Palatino Linotype"/>
          <w:b/>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7135F" w:rsidRPr="00D60C9B" w:rsidRDefault="0087135F" w:rsidP="00A37E66">
      <w:pPr>
        <w:spacing w:line="360" w:lineRule="auto"/>
        <w:ind w:right="49"/>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87135F" w:rsidRPr="00D60C9B" w:rsidRDefault="0087135F" w:rsidP="00A37E66">
      <w:pPr>
        <w:spacing w:line="360" w:lineRule="auto"/>
        <w:ind w:right="49"/>
        <w:jc w:val="both"/>
        <w:rPr>
          <w:rFonts w:ascii="Palatino Linotype" w:eastAsia="Palatino Linotype" w:hAnsi="Palatino Linotype" w:cs="Palatino Linotype"/>
        </w:rPr>
      </w:pPr>
    </w:p>
    <w:p w:rsidR="0087135F" w:rsidRPr="00D60C9B" w:rsidRDefault="0073782B" w:rsidP="00A37E66">
      <w:pPr>
        <w:spacing w:after="240"/>
        <w:ind w:right="900"/>
        <w:jc w:val="both"/>
        <w:rPr>
          <w:rFonts w:ascii="Palatino Linotype" w:eastAsia="Palatino Linotype" w:hAnsi="Palatino Linotype" w:cs="Palatino Linotype"/>
          <w:b/>
          <w:i/>
        </w:rPr>
      </w:pPr>
      <w:r w:rsidRPr="00D60C9B">
        <w:rPr>
          <w:rFonts w:ascii="Palatino Linotype" w:eastAsia="Palatino Linotype" w:hAnsi="Palatino Linotype" w:cs="Palatino Linotype"/>
          <w:b/>
          <w:i/>
        </w:rPr>
        <w:t>Constitución Política de los Estados Unidos Mexicanos</w:t>
      </w:r>
    </w:p>
    <w:p w:rsidR="0087135F" w:rsidRPr="00D60C9B" w:rsidRDefault="0073782B" w:rsidP="00A37E66">
      <w:pPr>
        <w:spacing w:before="240" w:after="240"/>
        <w:ind w:right="900"/>
        <w:jc w:val="both"/>
        <w:rPr>
          <w:rFonts w:ascii="Palatino Linotype" w:eastAsia="Palatino Linotype" w:hAnsi="Palatino Linotype" w:cs="Palatino Linotype"/>
          <w:b/>
          <w:i/>
        </w:rPr>
      </w:pPr>
      <w:r w:rsidRPr="00D60C9B">
        <w:rPr>
          <w:rFonts w:ascii="Palatino Linotype" w:eastAsia="Palatino Linotype" w:hAnsi="Palatino Linotype" w:cs="Palatino Linotype"/>
          <w:b/>
          <w:i/>
        </w:rPr>
        <w:t>“Artículo 6.</w:t>
      </w:r>
    </w:p>
    <w:p w:rsidR="0087135F" w:rsidRPr="00D60C9B" w:rsidRDefault="0073782B" w:rsidP="00A37E66">
      <w:pPr>
        <w:spacing w:before="240" w:after="240"/>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p>
    <w:p w:rsidR="0087135F" w:rsidRPr="00D60C9B" w:rsidRDefault="0073782B" w:rsidP="00A37E66">
      <w:pPr>
        <w:spacing w:before="240" w:after="240"/>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Para efectos de lo dispuesto en el presente artículo se observará lo siguiente:</w:t>
      </w:r>
    </w:p>
    <w:p w:rsidR="0087135F" w:rsidRPr="00D60C9B" w:rsidRDefault="0073782B" w:rsidP="00A37E66">
      <w:pPr>
        <w:spacing w:before="240" w:after="240"/>
        <w:ind w:right="900"/>
        <w:jc w:val="both"/>
        <w:rPr>
          <w:rFonts w:ascii="Palatino Linotype" w:eastAsia="Palatino Linotype" w:hAnsi="Palatino Linotype" w:cs="Palatino Linotype"/>
          <w:b/>
          <w:i/>
        </w:rPr>
      </w:pPr>
      <w:r w:rsidRPr="00D60C9B">
        <w:rPr>
          <w:rFonts w:ascii="Palatino Linotype" w:eastAsia="Palatino Linotype" w:hAnsi="Palatino Linotype" w:cs="Palatino Linotype"/>
          <w:b/>
          <w:i/>
        </w:rPr>
        <w:t>A</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Para el ejercicio del derecho de acceso a la información</w:t>
      </w:r>
      <w:r w:rsidRPr="00D60C9B">
        <w:rPr>
          <w:rFonts w:ascii="Palatino Linotype" w:eastAsia="Palatino Linotype" w:hAnsi="Palatino Linotype" w:cs="Palatino Linotype"/>
          <w:i/>
        </w:rPr>
        <w:t xml:space="preserve">, la Federación y </w:t>
      </w:r>
      <w:r w:rsidRPr="00D60C9B">
        <w:rPr>
          <w:rFonts w:ascii="Palatino Linotype" w:eastAsia="Palatino Linotype" w:hAnsi="Palatino Linotype" w:cs="Palatino Linotype"/>
          <w:b/>
          <w:i/>
        </w:rPr>
        <w:t>las entidades federativas, en el ámbito de sus respectivas competencias, se regirán por los siguientes principios y bases:</w:t>
      </w:r>
    </w:p>
    <w:p w:rsidR="0087135F" w:rsidRPr="00D60C9B" w:rsidRDefault="0073782B" w:rsidP="00A37E66">
      <w:pPr>
        <w:spacing w:before="240" w:after="240"/>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b/>
          <w:i/>
        </w:rPr>
        <w:t xml:space="preserve">I. </w:t>
      </w:r>
      <w:r w:rsidRPr="00D60C9B">
        <w:rPr>
          <w:rFonts w:ascii="Palatino Linotype" w:eastAsia="Palatino Linotype" w:hAnsi="Palatino Linotype" w:cs="Palatino Linotype"/>
          <w:b/>
          <w:i/>
        </w:rPr>
        <w:tab/>
        <w:t>Toda la información en posesión de cualquier</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autoridad</w:t>
      </w:r>
      <w:r w:rsidRPr="00D60C9B">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60C9B">
        <w:rPr>
          <w:rFonts w:ascii="Palatino Linotype" w:eastAsia="Palatino Linotype" w:hAnsi="Palatino Linotype" w:cs="Palatino Linotype"/>
          <w:b/>
          <w:i/>
        </w:rPr>
        <w:t>municipal</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es pública</w:t>
      </w:r>
      <w:r w:rsidRPr="00D60C9B">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D60C9B">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D60C9B">
        <w:rPr>
          <w:rFonts w:ascii="Palatino Linotype" w:eastAsia="Palatino Linotype" w:hAnsi="Palatino Linotype" w:cs="Palatino Linotype"/>
          <w:i/>
        </w:rPr>
        <w:t>, la ley determinará los supuestos específicos bajo los cuales procederá la declaración de inexistencia de la información.”</w:t>
      </w:r>
    </w:p>
    <w:p w:rsidR="0087135F" w:rsidRPr="00D60C9B" w:rsidRDefault="0087135F" w:rsidP="00A37E66">
      <w:pPr>
        <w:pBdr>
          <w:top w:val="nil"/>
          <w:left w:val="nil"/>
          <w:bottom w:val="nil"/>
          <w:right w:val="nil"/>
          <w:between w:val="nil"/>
        </w:pBdr>
        <w:tabs>
          <w:tab w:val="left" w:pos="567"/>
        </w:tabs>
        <w:spacing w:before="240" w:after="240"/>
        <w:ind w:right="900"/>
        <w:jc w:val="both"/>
        <w:rPr>
          <w:rFonts w:ascii="Palatino Linotype" w:eastAsia="Palatino Linotype" w:hAnsi="Palatino Linotype" w:cs="Palatino Linotype"/>
          <w:b/>
          <w:i/>
          <w:color w:val="000000"/>
        </w:rPr>
      </w:pPr>
    </w:p>
    <w:p w:rsidR="0087135F" w:rsidRPr="00D60C9B" w:rsidRDefault="0073782B" w:rsidP="00A37E66">
      <w:pPr>
        <w:spacing w:before="240" w:after="240"/>
        <w:ind w:right="900"/>
        <w:jc w:val="both"/>
        <w:rPr>
          <w:rFonts w:ascii="Palatino Linotype" w:eastAsia="Palatino Linotype" w:hAnsi="Palatino Linotype" w:cs="Palatino Linotype"/>
          <w:b/>
          <w:i/>
        </w:rPr>
      </w:pPr>
      <w:r w:rsidRPr="00D60C9B">
        <w:rPr>
          <w:rFonts w:ascii="Palatino Linotype" w:eastAsia="Palatino Linotype" w:hAnsi="Palatino Linotype" w:cs="Palatino Linotype"/>
          <w:b/>
          <w:i/>
        </w:rPr>
        <w:lastRenderedPageBreak/>
        <w:t>Constitución Política del Estado Libre y Soberano de México</w:t>
      </w:r>
    </w:p>
    <w:p w:rsidR="0087135F" w:rsidRPr="00D60C9B" w:rsidRDefault="0073782B" w:rsidP="00A37E66">
      <w:pPr>
        <w:spacing w:before="240" w:after="240"/>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b/>
          <w:i/>
        </w:rPr>
        <w:t>“Artículo 5</w:t>
      </w:r>
      <w:r w:rsidRPr="00D60C9B">
        <w:rPr>
          <w:rFonts w:ascii="Palatino Linotype" w:eastAsia="Palatino Linotype" w:hAnsi="Palatino Linotype" w:cs="Palatino Linotype"/>
          <w:i/>
        </w:rPr>
        <w:t xml:space="preserve">.- </w:t>
      </w:r>
    </w:p>
    <w:p w:rsidR="0087135F" w:rsidRPr="00D60C9B" w:rsidRDefault="0073782B" w:rsidP="00A37E66">
      <w:pPr>
        <w:spacing w:before="240" w:after="240"/>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p>
    <w:p w:rsidR="0087135F" w:rsidRPr="00D60C9B" w:rsidRDefault="0073782B" w:rsidP="00A37E66">
      <w:pPr>
        <w:spacing w:before="240" w:after="240"/>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D60C9B">
        <w:rPr>
          <w:rFonts w:ascii="Palatino Linotype" w:eastAsia="Palatino Linotype" w:hAnsi="Palatino Linotype" w:cs="Palatino Linotype"/>
          <w:i/>
        </w:rPr>
        <w:t>.</w:t>
      </w:r>
    </w:p>
    <w:p w:rsidR="0087135F" w:rsidRPr="00D60C9B" w:rsidRDefault="0073782B" w:rsidP="00A37E66">
      <w:pPr>
        <w:spacing w:before="240" w:after="240"/>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7135F" w:rsidRPr="00D60C9B" w:rsidRDefault="0073782B" w:rsidP="00A37E66">
      <w:pPr>
        <w:spacing w:before="240" w:after="240"/>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b/>
          <w:i/>
        </w:rPr>
        <w:t>Este derecho se regirá por los principios y bases siguientes</w:t>
      </w:r>
      <w:r w:rsidRPr="00D60C9B">
        <w:rPr>
          <w:rFonts w:ascii="Palatino Linotype" w:eastAsia="Palatino Linotype" w:hAnsi="Palatino Linotype" w:cs="Palatino Linotype"/>
          <w:i/>
        </w:rPr>
        <w:t>:</w:t>
      </w:r>
    </w:p>
    <w:p w:rsidR="0087135F" w:rsidRPr="00D60C9B" w:rsidRDefault="0073782B" w:rsidP="00A37E66">
      <w:pPr>
        <w:spacing w:before="240" w:after="240"/>
        <w:ind w:right="900"/>
        <w:jc w:val="both"/>
        <w:rPr>
          <w:rFonts w:ascii="Palatino Linotype" w:eastAsia="Palatino Linotype" w:hAnsi="Palatino Linotype" w:cs="Palatino Linotype"/>
          <w:i/>
        </w:rPr>
      </w:pPr>
      <w:r w:rsidRPr="00D60C9B">
        <w:rPr>
          <w:rFonts w:ascii="Palatino Linotype" w:eastAsia="Palatino Linotype" w:hAnsi="Palatino Linotype" w:cs="Palatino Linotype"/>
          <w:b/>
          <w:i/>
        </w:rPr>
        <w:t>I. Toda la información en posesión de cualquier autoridad, entidad, órgano y organismos de los</w:t>
      </w:r>
      <w:r w:rsidRPr="00D60C9B">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D60C9B">
        <w:rPr>
          <w:rFonts w:ascii="Palatino Linotype" w:eastAsia="Palatino Linotype" w:hAnsi="Palatino Linotype" w:cs="Palatino Linotype"/>
          <w:b/>
          <w:i/>
        </w:rPr>
        <w:t>municipales</w:t>
      </w:r>
      <w:r w:rsidRPr="00D60C9B">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60C9B">
        <w:rPr>
          <w:rFonts w:ascii="Palatino Linotype" w:eastAsia="Palatino Linotype" w:hAnsi="Palatino Linotype" w:cs="Palatino Linotype"/>
          <w:b/>
          <w:i/>
        </w:rPr>
        <w:t>es pública</w:t>
      </w:r>
      <w:r w:rsidRPr="00D60C9B">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D60C9B">
        <w:rPr>
          <w:rFonts w:ascii="Palatino Linotype" w:eastAsia="Palatino Linotype" w:hAnsi="Palatino Linotype" w:cs="Palatino Linotype"/>
          <w:b/>
          <w:i/>
        </w:rPr>
        <w:t>En la interpretación de este derecho deberá prevalecer el principio de máxima publicidad</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Los sujetos obligados deberán documentar todo acto que derive del ejercicio de sus facultades, competencias o funciones</w:t>
      </w:r>
      <w:r w:rsidRPr="00D60C9B">
        <w:rPr>
          <w:rFonts w:ascii="Palatino Linotype" w:eastAsia="Palatino Linotype" w:hAnsi="Palatino Linotype" w:cs="Palatino Linotype"/>
          <w:i/>
        </w:rPr>
        <w:t>, la ley determinará los supuestos específicos bajo los cuales procederá la declaración de inexistencia de la información.”</w:t>
      </w: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Según el artículo 150 de la Ley de Transparencia del Estado, la solicitud es la garantía primaria del Derecho de Acceso a la Información, además, establece que se regirá </w:t>
      </w:r>
      <w:r w:rsidRPr="00D60C9B">
        <w:rPr>
          <w:rFonts w:ascii="Palatino Linotype" w:eastAsia="Palatino Linotype" w:hAnsi="Palatino Linotype" w:cs="Palatino Linotype"/>
          <w:i/>
          <w:color w:val="000000"/>
        </w:rPr>
        <w:t xml:space="preserve">por los principios de simplicidad, rapidez gratuidad del procedimiento, auxilio y </w:t>
      </w:r>
      <w:r w:rsidRPr="00D60C9B">
        <w:rPr>
          <w:rFonts w:ascii="Palatino Linotype" w:eastAsia="Palatino Linotype" w:hAnsi="Palatino Linotype" w:cs="Palatino Linotype"/>
          <w:i/>
          <w:color w:val="000000"/>
        </w:rPr>
        <w:lastRenderedPageBreak/>
        <w:t>orientación a los particulares</w:t>
      </w:r>
      <w:r w:rsidRPr="00D60C9B">
        <w:rPr>
          <w:rFonts w:ascii="Palatino Linotype" w:eastAsia="Palatino Linotype" w:hAnsi="Palatino Linotype" w:cs="Palatino Linotype"/>
          <w:color w:val="000000"/>
        </w:rPr>
        <w:t>, contemplando el derecho de las personas con discapacidad y hablantes de lengua indígena.</w:t>
      </w:r>
    </w:p>
    <w:p w:rsidR="0087135F" w:rsidRPr="00D60C9B" w:rsidRDefault="0087135F" w:rsidP="00A37E66">
      <w:pPr>
        <w:spacing w:line="360" w:lineRule="auto"/>
        <w:ind w:right="49"/>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El Derecho de Acceso a la Información se garantiza y respeta oportunamente, y según lo que dispone la Ley, las </w:t>
      </w:r>
      <w:r w:rsidRPr="00D60C9B">
        <w:rPr>
          <w:rFonts w:ascii="Palatino Linotype" w:eastAsia="Palatino Linotype" w:hAnsi="Palatino Linotype" w:cs="Palatino Linotype"/>
          <w:i/>
          <w:color w:val="000000"/>
        </w:rPr>
        <w:t>solicitudes de acceso a la información</w:t>
      </w:r>
      <w:r w:rsidRPr="00D60C9B">
        <w:rPr>
          <w:rFonts w:ascii="Palatino Linotype" w:eastAsia="Palatino Linotype" w:hAnsi="Palatino Linotype" w:cs="Palatino Linotype"/>
          <w:color w:val="000000"/>
        </w:rPr>
        <w:t>.</w:t>
      </w:r>
    </w:p>
    <w:p w:rsidR="0087135F" w:rsidRPr="00D60C9B" w:rsidRDefault="0087135F" w:rsidP="00A37E66">
      <w:pPr>
        <w:spacing w:line="360" w:lineRule="auto"/>
        <w:ind w:right="49"/>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7" w:name="_heading=h.2s8eyo1" w:colFirst="0" w:colLast="0"/>
      <w:bookmarkEnd w:id="7"/>
      <w:r w:rsidRPr="00D60C9B">
        <w:rPr>
          <w:rFonts w:ascii="Palatino Linotype" w:eastAsia="Palatino Linotype" w:hAnsi="Palatino Linotype" w:cs="Palatino Linotype"/>
          <w:color w:val="000000"/>
        </w:rPr>
        <w:t xml:space="preserve">Así entonces, se procede analizar, en primer lugar, si 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87135F" w:rsidRPr="00D60C9B" w:rsidRDefault="0087135F" w:rsidP="00A37E66">
      <w:pPr>
        <w:spacing w:line="360" w:lineRule="auto"/>
        <w:ind w:right="49"/>
        <w:jc w:val="both"/>
        <w:rPr>
          <w:rFonts w:ascii="Palatino Linotype" w:eastAsia="Palatino Linotype" w:hAnsi="Palatino Linotype" w:cs="Palatino Linotype"/>
        </w:rPr>
      </w:pPr>
    </w:p>
    <w:p w:rsidR="0087135F" w:rsidRPr="00D60C9B" w:rsidRDefault="0073782B" w:rsidP="00A37E66">
      <w:pPr>
        <w:pStyle w:val="Ttulo1"/>
        <w:spacing w:before="0" w:after="240" w:line="360" w:lineRule="auto"/>
        <w:rPr>
          <w:b w:val="0"/>
          <w:color w:val="000000"/>
          <w:szCs w:val="24"/>
        </w:rPr>
      </w:pPr>
      <w:bookmarkStart w:id="8" w:name="_heading=h.17dp8vu" w:colFirst="0" w:colLast="0"/>
      <w:bookmarkEnd w:id="8"/>
      <w:r w:rsidRPr="00D60C9B">
        <w:rPr>
          <w:color w:val="000000"/>
          <w:szCs w:val="24"/>
        </w:rPr>
        <w:t>II. De la información solicitada y la respuesta del SUJETO OBLIGADO</w:t>
      </w: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Acotada la </w:t>
      </w:r>
      <w:r w:rsidRPr="00D60C9B">
        <w:rPr>
          <w:rFonts w:ascii="Palatino Linotype" w:eastAsia="Palatino Linotype" w:hAnsi="Palatino Linotype" w:cs="Palatino Linotype"/>
          <w:i/>
          <w:color w:val="000000"/>
        </w:rPr>
        <w:t>Litis</w:t>
      </w:r>
      <w:r w:rsidRPr="00D60C9B">
        <w:rPr>
          <w:rFonts w:ascii="Palatino Linotype" w:eastAsia="Palatino Linotype" w:hAnsi="Palatino Linotype" w:cs="Palatino Linotype"/>
          <w:color w:val="000000"/>
        </w:rPr>
        <w:t xml:space="preserve"> del presente asunto, es de recordar que dentro de la respuesta el </w:t>
      </w:r>
      <w:r w:rsidRPr="00D60C9B">
        <w:rPr>
          <w:rFonts w:ascii="Palatino Linotype" w:eastAsia="Palatino Linotype" w:hAnsi="Palatino Linotype" w:cs="Palatino Linotype"/>
          <w:b/>
          <w:color w:val="000000"/>
        </w:rPr>
        <w:t xml:space="preserve">SUJET OBLIGADO </w:t>
      </w:r>
      <w:r w:rsidRPr="00D60C9B">
        <w:rPr>
          <w:rFonts w:ascii="Palatino Linotype" w:eastAsia="Palatino Linotype" w:hAnsi="Palatino Linotype" w:cs="Palatino Linotype"/>
          <w:color w:val="000000"/>
        </w:rPr>
        <w:t xml:space="preserve">entrego la liga electrónica </w:t>
      </w:r>
      <w:hyperlink r:id="rId10" w:anchor="/info-fraccion/11/197/28">
        <w:r w:rsidRPr="00D60C9B">
          <w:rPr>
            <w:rFonts w:ascii="Palatino Linotype" w:eastAsia="Palatino Linotype" w:hAnsi="Palatino Linotype" w:cs="Palatino Linotype"/>
            <w:i/>
            <w:color w:val="0563C1"/>
            <w:u w:val="single"/>
          </w:rPr>
          <w:t>https://ipomex.org.mx/ipomex/#/info-fraccion/11/197/28</w:t>
        </w:r>
      </w:hyperlink>
      <w:r w:rsidRPr="00D60C9B">
        <w:rPr>
          <w:rFonts w:ascii="Palatino Linotype" w:eastAsia="Palatino Linotype" w:hAnsi="Palatino Linotype" w:cs="Palatino Linotype"/>
          <w:color w:val="000000"/>
        </w:rPr>
        <w:t xml:space="preserve">, mediante la cual refirió que se encontraba la información solicitada. </w:t>
      </w: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lo anterior se desprende que 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 xml:space="preserve"> asume de manera expresa que genera, posee y administra lo solicitado, tan es así que remite una liga electrónica en la que informa se encuentra la información solicitada. </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manera inicial, se debe de analizar la liga electrónica entregada por la Dirección General de Administración, de la cual si bien es cierto se encuentra en formato </w:t>
      </w:r>
      <w:r w:rsidRPr="00D60C9B">
        <w:rPr>
          <w:rFonts w:ascii="Palatino Linotype" w:eastAsia="Palatino Linotype" w:hAnsi="Palatino Linotype" w:cs="Palatino Linotype"/>
          <w:color w:val="000000"/>
        </w:rPr>
        <w:lastRenderedPageBreak/>
        <w:t xml:space="preserve">abierto, también lo es que de su consulta, no se puede apreciar lo solicitado por el </w:t>
      </w:r>
      <w:r w:rsidRPr="00D60C9B">
        <w:rPr>
          <w:rFonts w:ascii="Palatino Linotype" w:eastAsia="Palatino Linotype" w:hAnsi="Palatino Linotype" w:cs="Palatino Linotype"/>
          <w:b/>
          <w:color w:val="000000"/>
        </w:rPr>
        <w:t xml:space="preserve">RECURRENTE </w:t>
      </w:r>
      <w:r w:rsidRPr="00D60C9B">
        <w:rPr>
          <w:rFonts w:ascii="Palatino Linotype" w:eastAsia="Palatino Linotype" w:hAnsi="Palatino Linotype" w:cs="Palatino Linotype"/>
          <w:color w:val="000000"/>
        </w:rPr>
        <w:t xml:space="preserve">tal y como se observa en la siguiente captura de pantalla. </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color w:val="000000"/>
        </w:rPr>
      </w:pPr>
    </w:p>
    <w:p w:rsidR="0087135F" w:rsidRPr="00D60C9B" w:rsidRDefault="0073782B" w:rsidP="00A37E66">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D60C9B">
        <w:rPr>
          <w:rFonts w:ascii="Palatino Linotype" w:eastAsia="Palatino Linotype" w:hAnsi="Palatino Linotype" w:cs="Palatino Linotype"/>
          <w:noProof/>
          <w:color w:val="000000"/>
          <w:lang w:val="es-MX" w:eastAsia="es-MX"/>
        </w:rPr>
        <w:drawing>
          <wp:inline distT="0" distB="0" distL="0" distR="0">
            <wp:extent cx="4794173" cy="2411541"/>
            <wp:effectExtent l="0" t="0" r="0" b="0"/>
            <wp:docPr id="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94173" cy="2411541"/>
                    </a:xfrm>
                    <a:prstGeom prst="rect">
                      <a:avLst/>
                    </a:prstGeom>
                    <a:ln/>
                  </pic:spPr>
                </pic:pic>
              </a:graphicData>
            </a:graphic>
          </wp:inline>
        </w:drawing>
      </w: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la imagen consultada se observa que la Dirección de Obras Públicas en el la página del IPOMEX  del Ayuntamiento de Toluca no tiene registro de remuneraciones, que a lo que pretende acceder el </w:t>
      </w:r>
      <w:r w:rsidRPr="00D60C9B">
        <w:rPr>
          <w:rFonts w:ascii="Palatino Linotype" w:eastAsia="Palatino Linotype" w:hAnsi="Palatino Linotype" w:cs="Palatino Linotype"/>
          <w:b/>
          <w:color w:val="000000"/>
        </w:rPr>
        <w:t xml:space="preserve">RECURRENTE, </w:t>
      </w:r>
      <w:r w:rsidRPr="00D60C9B">
        <w:rPr>
          <w:rFonts w:ascii="Palatino Linotype" w:eastAsia="Palatino Linotype" w:hAnsi="Palatino Linotype" w:cs="Palatino Linotype"/>
          <w:color w:val="000000"/>
        </w:rPr>
        <w:t xml:space="preserve">sin embargo se debe de referir que aunque la información de remuneraciones estuviera disponible para consulta, no serían la información solicitada por el </w:t>
      </w:r>
      <w:r w:rsidRPr="00D60C9B">
        <w:rPr>
          <w:rFonts w:ascii="Palatino Linotype" w:eastAsia="Palatino Linotype" w:hAnsi="Palatino Linotype" w:cs="Palatino Linotype"/>
          <w:b/>
          <w:color w:val="000000"/>
        </w:rPr>
        <w:t xml:space="preserve">RECURRENTE </w:t>
      </w:r>
      <w:r w:rsidRPr="00D60C9B">
        <w:rPr>
          <w:rFonts w:ascii="Palatino Linotype" w:eastAsia="Palatino Linotype" w:hAnsi="Palatino Linotype" w:cs="Palatino Linotype"/>
          <w:color w:val="000000"/>
        </w:rPr>
        <w:t xml:space="preserve">toda vez que expresamente requiere la conciliación y los recibos de nómina del personal adscrito a la Dirección General de Obras  Públicas, situación por la cual la respuesta del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no se puede tener por validada por este Órgano Garante. </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lo anterior, si bien es cierto 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 xml:space="preserve"> admite contar con la información solicitada, también lo es que se realizará el </w:t>
      </w:r>
      <w:r w:rsidR="00A37E66" w:rsidRPr="00D60C9B">
        <w:rPr>
          <w:rFonts w:ascii="Palatino Linotype" w:eastAsia="Palatino Linotype" w:hAnsi="Palatino Linotype" w:cs="Palatino Linotype"/>
          <w:color w:val="000000"/>
        </w:rPr>
        <w:t>análisis</w:t>
      </w:r>
      <w:r w:rsidRPr="00D60C9B">
        <w:rPr>
          <w:rFonts w:ascii="Palatino Linotype" w:eastAsia="Palatino Linotype" w:hAnsi="Palatino Linotype" w:cs="Palatino Linotype"/>
          <w:color w:val="000000"/>
        </w:rPr>
        <w:t xml:space="preserve"> del área habilitada que posee, genera o administra la información solicitada, y que este apartado se analiza de </w:t>
      </w:r>
      <w:r w:rsidRPr="00D60C9B">
        <w:rPr>
          <w:rFonts w:ascii="Palatino Linotype" w:eastAsia="Palatino Linotype" w:hAnsi="Palatino Linotype" w:cs="Palatino Linotype"/>
          <w:color w:val="000000"/>
        </w:rPr>
        <w:lastRenderedPageBreak/>
        <w:t xml:space="preserve">manera conjunta por ser el área competente la habilitada para conocer de las solicitudes de información. </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color w:val="000000"/>
        </w:rPr>
      </w:pPr>
    </w:p>
    <w:p w:rsidR="0087135F" w:rsidRPr="00D60C9B" w:rsidRDefault="0087135F" w:rsidP="00A37E66">
      <w:pPr>
        <w:pBdr>
          <w:top w:val="nil"/>
          <w:left w:val="nil"/>
          <w:bottom w:val="nil"/>
          <w:right w:val="nil"/>
          <w:between w:val="nil"/>
        </w:pBdr>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esa línea,  de conformidad con el artículo 90 del Bando Municipal el Ayuntamiento de Toluca se integra por las siguientes dependencias. </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Artículo 90.</w:t>
      </w:r>
      <w:r w:rsidRPr="00D60C9B">
        <w:rPr>
          <w:rFonts w:ascii="Palatino Linotype" w:eastAsia="Palatino Linotype" w:hAnsi="Palatino Linotype" w:cs="Palatino Linotype"/>
          <w:i/>
          <w:color w:val="000000"/>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 I. DEPENDENCIAS:</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 1. Secretaría del Ayuntamiento;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 Tesorería Municipal;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3.Órgano Interno de Control;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4. Dirección General de Gobierno;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5. Dirección General de Seguridad y Protección;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 xml:space="preserve">6. Dirección General de Administración;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7. Dirección General de Medio Ambiente;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8. Dirección General de Servicios Públicos;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9. Dirección General de Innovación, Planeación y Gestión Urbana;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10. Dirección General de Obras Públicas;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11. Dirección General de Desarrollo Económico;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12. Dirección General de Bienestar; y 13.Dirección General de Educación, Cultura y Turismo.</w:t>
      </w:r>
    </w:p>
    <w:p w:rsidR="0087135F" w:rsidRPr="00D60C9B" w:rsidRDefault="0087135F" w:rsidP="00A37E66">
      <w:pPr>
        <w:pBdr>
          <w:top w:val="nil"/>
          <w:left w:val="nil"/>
          <w:bottom w:val="nil"/>
          <w:right w:val="nil"/>
          <w:between w:val="nil"/>
        </w:pBdr>
        <w:ind w:right="851"/>
        <w:jc w:val="both"/>
        <w:rPr>
          <w:rFonts w:ascii="Palatino Linotype" w:eastAsia="Palatino Linotype" w:hAnsi="Palatino Linotype" w:cs="Palatino Linotype"/>
          <w:i/>
          <w:color w:val="000000"/>
        </w:rPr>
      </w:pPr>
    </w:p>
    <w:p w:rsidR="0087135F" w:rsidRPr="00D60C9B" w:rsidRDefault="0087135F" w:rsidP="00A37E66">
      <w:pPr>
        <w:pBdr>
          <w:top w:val="nil"/>
          <w:left w:val="nil"/>
          <w:bottom w:val="nil"/>
          <w:right w:val="nil"/>
          <w:between w:val="nil"/>
        </w:pBdr>
        <w:ind w:right="851"/>
        <w:jc w:val="both"/>
        <w:rPr>
          <w:rFonts w:ascii="Palatino Linotype" w:eastAsia="Palatino Linotype" w:hAnsi="Palatino Linotype" w:cs="Palatino Linotype"/>
          <w:i/>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 De lo anterior, se colige que el Ayuntamiento de Toluca se integra por la Dirección de Administración quien de acuerdo con el Manual de General de </w:t>
      </w:r>
      <w:r w:rsidRPr="00D60C9B">
        <w:rPr>
          <w:rFonts w:ascii="Palatino Linotype" w:eastAsia="Palatino Linotype" w:hAnsi="Palatino Linotype" w:cs="Palatino Linotype"/>
          <w:color w:val="000000"/>
        </w:rPr>
        <w:lastRenderedPageBreak/>
        <w:t xml:space="preserve">Organización del Sector Central del Ayuntamiento de Toluca, cuenta con las siguientes funciones.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Objetivo </w:t>
      </w:r>
    </w:p>
    <w:p w:rsidR="0087135F" w:rsidRPr="00D60C9B" w:rsidRDefault="0073782B" w:rsidP="00A37E66">
      <w:pPr>
        <w:pBdr>
          <w:top w:val="nil"/>
          <w:left w:val="nil"/>
          <w:bottom w:val="nil"/>
          <w:right w:val="nil"/>
          <w:between w:val="nil"/>
        </w:pBdr>
        <w:ind w:right="851"/>
        <w:jc w:val="both"/>
        <w:rPr>
          <w:rFonts w:ascii="Palatino Linotype" w:eastAsia="Calibri" w:hAnsi="Palatino Linotype"/>
          <w:i/>
          <w:color w:val="000000"/>
        </w:rPr>
      </w:pPr>
      <w:r w:rsidRPr="00D60C9B">
        <w:rPr>
          <w:rFonts w:ascii="Palatino Linotype" w:eastAsia="Palatino Linotype" w:hAnsi="Palatino Linotype" w:cs="Palatino Linotype"/>
          <w:i/>
          <w:color w:val="000000"/>
        </w:rPr>
        <w:t>Definir, establecer, difundir y aplicar la normatividad para la administración de personal, adquisición, uso y mantenimiento de bienes, contratación y prestación de servicios, de la tecnología de la información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w:t>
      </w:r>
      <w:r w:rsidRPr="00D60C9B">
        <w:rPr>
          <w:rFonts w:ascii="Palatino Linotype" w:eastAsia="Calibri" w:hAnsi="Palatino Linotype"/>
          <w:i/>
          <w:color w:val="000000"/>
        </w:rPr>
        <w:t xml:space="preserve">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Funciones: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 Definir mecanismos respecto a los procesos de reclutamiento y selección, contratación, inducción y control del personal, a efecto de que desarrollen de manera óptima eficaz y eficiente las tareas asignadas dentro de la administración pública municipal;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 Instruir el cumplimiento de disposiciones relacionadas con seguridad e higiene laboral, además de las relativas a los derechos y obligaciones del personal establecidas en el Código Reglamentario Municipal de Toluca;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3. Aprobar y controlar los movimientos administrativos y licencias del personal, a fin de ser remitidos en tiempo y forma al área competente para su correcta aplicación;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 xml:space="preserve">4. Validar la elaboración y distribución de la nómina del personal que labora en la administración pública municipal con la finalidad de que devenguen el sueldo correspondiente, lo anterior conforme a la normatividad aplicable y el presupuesto autorizado;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5. Establecer y coordinar políticas y lineamientos en materia de capacitación y adiestramiento del personal que coadyuven al mejoramiento de conocimientos, habilidades, aptitudes y actitudes para cubrir las necesidades institucionales;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6. Conducir y vigilar las relaciones laborales de la administración pública municipal, así como el cumplimiento de los convenios sindicales, con la finalidad de fortalecer las relaciones entre las instituciones;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7. Organizar y autorizar procedimientos de adquisiciones y contratación de servicios, arrendamiento de inmuebles, así como enajenación y subasta de bienes de una manera eficiente y transparente, apegados a la normatividad correspondiente;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lastRenderedPageBreak/>
        <w:t xml:space="preserve">8. Autorizar y coordinar el programa anual de adquisiciones de bienes y servicios de uso general, así como los procesos adquisitivos para la compra y entrega oportuna a las unidades administrativas; </w:t>
      </w:r>
    </w:p>
    <w:p w:rsidR="0087135F" w:rsidRPr="00D60C9B" w:rsidRDefault="0073782B" w:rsidP="00A37E66">
      <w:pPr>
        <w:pBdr>
          <w:top w:val="nil"/>
          <w:left w:val="nil"/>
          <w:bottom w:val="nil"/>
          <w:right w:val="nil"/>
          <w:between w:val="nil"/>
        </w:pBdr>
        <w:ind w:right="851"/>
        <w:jc w:val="both"/>
        <w:rPr>
          <w:rFonts w:ascii="Palatino Linotype" w:eastAsia="Calibri" w:hAnsi="Palatino Linotype"/>
          <w:i/>
          <w:color w:val="000000"/>
        </w:rPr>
      </w:pPr>
      <w:r w:rsidRPr="00D60C9B">
        <w:rPr>
          <w:rFonts w:ascii="Palatino Linotype" w:eastAsia="Palatino Linotype" w:hAnsi="Palatino Linotype" w:cs="Palatino Linotype"/>
          <w:i/>
          <w:color w:val="000000"/>
        </w:rPr>
        <w:t>9. Vigilar y aprobar la integración y actualización del catálogo de bienes y servicios; así como del catálogo de proveedores y prestadores de servicios para su utilización en las operaciones de adquisición de bienes y/o contratación de servicios por las diferentes dependencias;</w:t>
      </w:r>
      <w:r w:rsidRPr="00D60C9B">
        <w:rPr>
          <w:rFonts w:ascii="Palatino Linotype" w:eastAsia="Calibri" w:hAnsi="Palatino Linotype"/>
          <w:i/>
          <w:color w:val="000000"/>
        </w:rPr>
        <w:t xml:space="preserve">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10. Coordinar la adquisición de bienes y contratación de servicios mediante los procedimientos establecidos en la normatividad aplicable, procurando obtener el mejor precio de mercado sin renunciar a la calidad de los mismos, para cubrir las necesidades de las diferentes áreas que integran la administración pública municipal;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11. Vigilar la implementación de mecanismos técnicos y tecnológicos necesarios y suficientes que permitan realizar investigación y estudios de mercado;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12. Aprobar y formalizar los contratos para la adquisición de bienes y contratación de servicios, que deriven de cualquiera de los procedimientos establecidos en la normatividad vigente y aplicable;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13. Instruir la aplicación de sanciones a las y los proveedores debido al incumplimiento en los contratos celebrados con el Ayuntamiento;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14. Establecer y presidir los comités de adquisiciones y servicios, de arrendamientos y adquisición de inmuebles y enajenación de bienes, con la finalidad de proveer a las unidades administrativas los recursos e insumos necesarios para el desarrollo de sus funciones conforme a las normas y procedimientos aplicables;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15. Establecer y controlar los mecanismos de entrada, resguardo y salida de materiales que se reciben en los almacenes y sub-almacenes, para su distribución a las diferentes dependencias que integran la administración pública municipal;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16. Controlar los bienes inmuebles arrendados o en arrendamiento, con la finalidad de dar cumplimiento a las relaciones contractuales, procurando su óptimo funcionamiento;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17. Establecer y coordinar programas y acciones de mantenimiento, aseo y limpieza a los inmuebles del gobierno municipal ocupados para fines administrativos que permiten el correcto y adecuado desarrollo de las actividades de las y los servidores públicos;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18. Vigilar los lineamientos y procedimientos para la distribución de combustibles, requeridos por el parque vehicular, de acuerdo al presupuesto y necesidades propias de cada dependencia;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lastRenderedPageBreak/>
        <w:t xml:space="preserve">19. Establecer las medidas necesarias para el mantenimiento preventivo y correctivo del parque vehicular de la administración pública municipal, para el funcionamiento y el desempeño de las actividades que realizan las dependencias y órganos;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20. Gestionar ante la Secretaría de Finanzas del Gobierno del Estado de México el alta y baja de placas, tarjeta de circulación, pago anual del impuesto de tenencia y uso de vehículos y/o exención de éste (vehículos que presten un servicio público), de las unidades vehiculares propiedad y en arrendamiento de la administración pública municipal;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21. Coadyuvar con las diversas áreas que integran la administración pública municipal en la organización de actos y eventos oficiales;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22. Establecer y controlar los servicios de tecnologías de la información y comunicaciones en las áreas de gobierno municipal, facilitando el intercambio de información entre el personal, la ciudadanía y representantes de las empresas e instituciones públicas y/o privadas;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23. Autorizar, el uso de los servicios de internet a las unidades administrativas para el desarrollo de sus actividades, que permita el acceso óptimo y seguro a la información en línea;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24. Administrar, mantener y alojar de manera eficiente, las plataformas Web del Ayuntamiento;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25. Planear, organizar, coordinar, tramitar y controlar las acciones en cuanto a recursos humanos, financieros, materiales, servicios generales y tecnologías de la información para el eficiente y eficaz funcionamiento de las unidades administrativas de la Dirección General de Administración;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26. Organizar, programar y dar seguimiento a la agenda de trabajo y asuntos propios de la Dirección General de Administración para el logro de los objetivos institucionales;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27. Planear, organizar, coordinar y controlar los procedimientos técnicos para la identificación, registro, actualización y asignación de los bienes muebles patrimoniales, propiedad de la administración pública municipal;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28. Proponer, establecer y difundir las normas y políticas en materia de tecnologías de la información y comunicaciones;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29. Planear, proponer e impulsar campañas de fomento para la utilización adecuada de los recursos de Gobierno Electrónico y de mantenimiento de infraestructura de tecnologías de la información y comunicaciones;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lastRenderedPageBreak/>
        <w:t xml:space="preserve">30. Definir, determinar y aplicar las acciones en materia de transparencia, planeación y mejora regulatoria aplicables a la normatividad; y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31. Realizar todas aquellas actividades que sean inherentes y aplicables al área de su competencia y las demás que le sean encomendadas por instrucción de la o el C. Presidente Municipal.</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Del artículo en cita, se colige que la Dirección de Administración es el área habilitada del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para atender la solicitud de información, toda vez que es la encargada validar la elaboración y distribución de la nómina del personal que labora en la administración pública municipal con la finalidad de que devenguen el sueldo correspondiente, lo anterior conforme a la normatividad aplicable y el presupuesto autorizado. </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color w:val="000000"/>
        </w:rPr>
        <w:t xml:space="preserve">De lo anterior, se debe de precisar que el documento que colma el derecho de acceso a la información del </w:t>
      </w:r>
      <w:r w:rsidRPr="00D60C9B">
        <w:rPr>
          <w:rFonts w:ascii="Palatino Linotype" w:eastAsia="Palatino Linotype" w:hAnsi="Palatino Linotype" w:cs="Palatino Linotype"/>
          <w:b/>
          <w:color w:val="000000"/>
        </w:rPr>
        <w:t xml:space="preserve">RECURRENTE </w:t>
      </w:r>
      <w:r w:rsidRPr="00D60C9B">
        <w:rPr>
          <w:rFonts w:ascii="Palatino Linotype" w:eastAsia="Palatino Linotype" w:hAnsi="Palatino Linotype" w:cs="Palatino Linotype"/>
          <w:color w:val="000000"/>
        </w:rPr>
        <w:t xml:space="preserve">es la </w:t>
      </w:r>
      <w:r w:rsidRPr="00D60C9B">
        <w:rPr>
          <w:rFonts w:ascii="Palatino Linotype" w:eastAsia="Palatino Linotype" w:hAnsi="Palatino Linotype" w:cs="Palatino Linotype"/>
          <w:b/>
          <w:color w:val="000000"/>
        </w:rPr>
        <w:t>conciliación de nómina</w:t>
      </w:r>
      <w:r w:rsidRPr="00D60C9B">
        <w:rPr>
          <w:rFonts w:ascii="Palatino Linotype" w:eastAsia="Palatino Linotype" w:hAnsi="Palatino Linotype" w:cs="Palatino Linotype"/>
          <w:color w:val="000000"/>
        </w:rPr>
        <w:t xml:space="preserve">, información que se encuentra dentro de las atribuciones de la Tesorería Municipal, quien de acuerdo con la Ley Orgánica Municipal del Estado de México, tiene las siguientes funciones.  </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b/>
          <w:i/>
          <w:color w:val="000000"/>
        </w:rPr>
      </w:pPr>
    </w:p>
    <w:p w:rsidR="0087135F" w:rsidRPr="00D60C9B" w:rsidRDefault="0073782B" w:rsidP="00A37E66">
      <w:pP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 xml:space="preserve">Artículo 95.- </w:t>
      </w:r>
      <w:r w:rsidRPr="00D60C9B">
        <w:rPr>
          <w:rFonts w:ascii="Palatino Linotype" w:eastAsia="Palatino Linotype" w:hAnsi="Palatino Linotype" w:cs="Palatino Linotype"/>
          <w:i/>
          <w:color w:val="000000"/>
        </w:rPr>
        <w:t xml:space="preserve">Son atribuciones del tesorero municipal: </w:t>
      </w:r>
    </w:p>
    <w:p w:rsidR="0087135F" w:rsidRPr="00D60C9B" w:rsidRDefault="0073782B" w:rsidP="00A37E66">
      <w:pPr>
        <w:numPr>
          <w:ilvl w:val="1"/>
          <w:numId w:val="2"/>
        </w:numPr>
        <w:pBdr>
          <w:top w:val="nil"/>
          <w:left w:val="nil"/>
          <w:bottom w:val="nil"/>
          <w:right w:val="nil"/>
          <w:between w:val="nil"/>
        </w:pBdr>
        <w:ind w:left="0" w:right="900" w:firstLine="0"/>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 xml:space="preserve">Administrar la hacienda pública municipal, de conformidad con las disposiciones legales aplicables;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III. Imponer las sanciones administrativas que procedan por infracciones a las disposiciones fiscales;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 xml:space="preserve">IV. Llevar los registros contables, financieros y administrativos de los ingresos, egresos, e inventarios;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lastRenderedPageBreak/>
        <w:t>V. Proporcionar oportunamente al ayuntamiento todos los datos o informes que sean necesarios para la formulación del Presupuesto de Egresos Municipales, vigilando que se ajuste a las disposiciones de esta Ley y otros ordenamientos aplicables;</w:t>
      </w:r>
      <w:r w:rsidRPr="00D60C9B">
        <w:rPr>
          <w:rFonts w:ascii="Palatino Linotype" w:hAnsi="Palatino Linotype"/>
          <w:color w:val="000000"/>
        </w:rPr>
        <w:t xml:space="preserve">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VI. Presentar anualmente al ayuntamiento un informe de la situación contable financiera de la Tesorería Municipal;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VI Bis. Proporcionar para la formulación del proyecto de Presupuesto de Egresos Municipales la información financiera relativa a la solución o en su caso, el pago de los litigios laborales;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VII. Diseñar y aprobar las formas oficiales de manifestaciones, avisos y declaraciones y demás documentos requeridos;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VIII. Participar en la formulación de Convenios Fiscales y ejercer las atribuciones que le correspondan en el ámbito de su competencia;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IX. Proponer al ayuntamiento la cancelación de cuentas incobrables;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X. Custodiar y ejercer las garantías que se otorguen en favor de la hacienda municipal;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XI. Proponer la política de ingresos de la tesorería municipal;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XII. Intervenir en la elaboración del programa financiero municipal;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XIII. Elaborar y mantener actualizado el Padrón de Contribuyentes;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 xml:space="preserve">XIV. Ministrar a su inmediato antecesor todos los datos oficiales que le solicitare, para contestar los pliegos de observaciones y alcances que formule y deduzca el Órgano Superior de Fiscalización del Estado de México;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XV. Solicitar a las instancias competentes, la práctica de revisiones circunstanciadas, de conformidad con las normas que rigen en materia de control y evaluación gubernamental en el ámbito municipal;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XVI. Glosar oportunamente las cuentas del ayuntamiento;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D60C9B">
        <w:rPr>
          <w:rFonts w:ascii="Palatino Linotype" w:eastAsia="Palatino Linotype" w:hAnsi="Palatino Linotype" w:cs="Palatino Linotype"/>
          <w:i/>
          <w:color w:val="000000"/>
        </w:rPr>
        <w:t xml:space="preserve">;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XVIII. Expedir copias certificadas de los documentos a su cuidado, por acuerdo expreso del Ayuntamiento y cuando se trate de documentación presentada ante el Órgano Superior de Fiscalización del Estado de México;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w:t>
      </w:r>
      <w:r w:rsidRPr="00D60C9B">
        <w:rPr>
          <w:rFonts w:ascii="Palatino Linotype" w:eastAsia="Palatino Linotype" w:hAnsi="Palatino Linotype" w:cs="Palatino Linotype"/>
          <w:i/>
          <w:color w:val="000000"/>
        </w:rPr>
        <w:lastRenderedPageBreak/>
        <w:t xml:space="preserve">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XX. Dar cumplimiento a las leyes, convenios de coordinación fiscal y demás que en materia hacendaria celebre el Ayuntamiento con el Estado;</w:t>
      </w:r>
      <w:r w:rsidRPr="00D60C9B">
        <w:rPr>
          <w:rFonts w:ascii="Palatino Linotype" w:hAnsi="Palatino Linotype"/>
          <w:color w:val="000000"/>
        </w:rPr>
        <w:t xml:space="preserve">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 xml:space="preserve">XXI. Entregar oportunamente a él o los Síndicos, según sea el caso, el informe mensual que corresponda, a fin de que se revise, y de ser necesario, para que se formulen las observaciones respectivas. </w:t>
      </w:r>
    </w:p>
    <w:p w:rsidR="0087135F" w:rsidRPr="00D60C9B" w:rsidRDefault="0073782B" w:rsidP="00A37E66">
      <w:pPr>
        <w:pBdr>
          <w:top w:val="nil"/>
          <w:left w:val="nil"/>
          <w:bottom w:val="nil"/>
          <w:right w:val="nil"/>
          <w:between w:val="nil"/>
        </w:pBd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XXII. Las que les señalen las demás disposiciones legales y el ayuntamiento.</w:t>
      </w:r>
    </w:p>
    <w:p w:rsidR="0087135F" w:rsidRPr="00D60C9B" w:rsidRDefault="0087135F" w:rsidP="00A37E66">
      <w:pP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lo anterior, se observa que la Tesorería Municipal, es el área encargada de administrar la hacienda pública municipal, de conformidad con las disposiciones legales aplicables, así como de atender la solicitudes o pliegos de información que le requiera el Órgano Superior de Fiscalización del Estado de México al Municipio y así como la entrega oportuna al Síndico Municipal del informe mensual que se remite al Órgano Superior de Fiscalización del Estado de México. </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esa línea de estudio, se debe de señalar que la información solicitada por parte </w:t>
      </w:r>
      <w:proofErr w:type="gramStart"/>
      <w:r w:rsidRPr="00D60C9B">
        <w:rPr>
          <w:rFonts w:ascii="Palatino Linotype" w:eastAsia="Palatino Linotype" w:hAnsi="Palatino Linotype" w:cs="Palatino Linotype"/>
          <w:color w:val="000000"/>
        </w:rPr>
        <w:t>del</w:t>
      </w:r>
      <w:proofErr w:type="gramEnd"/>
      <w:r w:rsidRPr="00D60C9B">
        <w:rPr>
          <w:rFonts w:ascii="Palatino Linotype" w:eastAsia="Palatino Linotype" w:hAnsi="Palatino Linotype" w:cs="Palatino Linotype"/>
          <w:color w:val="000000"/>
        </w:rPr>
        <w:t xml:space="preserve"> </w:t>
      </w:r>
      <w:r w:rsidRPr="00D60C9B">
        <w:rPr>
          <w:rFonts w:ascii="Palatino Linotype" w:eastAsia="Palatino Linotype" w:hAnsi="Palatino Linotype" w:cs="Palatino Linotype"/>
          <w:b/>
          <w:color w:val="000000"/>
        </w:rPr>
        <w:t xml:space="preserve">RECURRENTE </w:t>
      </w:r>
      <w:r w:rsidRPr="00D60C9B">
        <w:rPr>
          <w:rFonts w:ascii="Palatino Linotype" w:eastAsia="Palatino Linotype" w:hAnsi="Palatino Linotype" w:cs="Palatino Linotype"/>
          <w:color w:val="000000"/>
        </w:rPr>
        <w:t xml:space="preserve">forma parte de la información de las obligaciones de transparencia común de conformidad con el artículo 92 de la Ley de Transparencia y Acceso a la Información Pública del Estado de México y Municipios. </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color w:val="000000"/>
        </w:rPr>
      </w:pPr>
    </w:p>
    <w:p w:rsidR="0087135F" w:rsidRPr="00D60C9B" w:rsidRDefault="0073782B" w:rsidP="00A37E66">
      <w:pPr>
        <w:ind w:right="90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b/>
          <w:i/>
          <w:color w:val="000000"/>
        </w:rPr>
        <w:t>Artículo 92.</w:t>
      </w:r>
      <w:r w:rsidRPr="00D60C9B">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7135F" w:rsidRPr="00D60C9B" w:rsidRDefault="0073782B" w:rsidP="00A37E66">
      <w:pPr>
        <w:ind w:right="900"/>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87135F" w:rsidRPr="00D60C9B" w:rsidRDefault="0087135F" w:rsidP="00A37E66">
      <w:pPr>
        <w:ind w:right="900"/>
        <w:jc w:val="both"/>
        <w:rPr>
          <w:rFonts w:ascii="Palatino Linotype" w:eastAsia="Palatino Linotype" w:hAnsi="Palatino Linotype" w:cs="Palatino Linotype"/>
          <w:b/>
          <w:i/>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D60C9B">
        <w:rPr>
          <w:rFonts w:ascii="Palatino Linotype" w:eastAsia="Palatino Linotype" w:hAnsi="Palatino Linotype" w:cs="Palatino Linotype"/>
          <w:i/>
          <w:color w:val="000000"/>
        </w:rPr>
        <w:t xml:space="preserve">en el ámbito de sus atribuciones, de promover, respetar, proteger y </w:t>
      </w:r>
      <w:r w:rsidRPr="00D60C9B">
        <w:rPr>
          <w:rFonts w:ascii="Palatino Linotype" w:eastAsia="Palatino Linotype" w:hAnsi="Palatino Linotype" w:cs="Palatino Linotype"/>
          <w:b/>
          <w:i/>
          <w:color w:val="000000"/>
        </w:rPr>
        <w:t>garantizar</w:t>
      </w:r>
      <w:r w:rsidRPr="00D60C9B">
        <w:rPr>
          <w:rFonts w:ascii="Palatino Linotype" w:eastAsia="Palatino Linotype" w:hAnsi="Palatino Linotype" w:cs="Palatino Linotype"/>
          <w:i/>
          <w:color w:val="000000"/>
        </w:rPr>
        <w:t xml:space="preserve"> los derechos humanos. </w:t>
      </w:r>
      <w:r w:rsidRPr="00D60C9B">
        <w:rPr>
          <w:rFonts w:ascii="Palatino Linotype" w:eastAsia="Palatino Linotype" w:hAnsi="Palatino Linotype" w:cs="Palatino Linotype"/>
          <w:b/>
          <w:i/>
          <w:color w:val="000000"/>
        </w:rPr>
        <w:t>En cuanto al derecho de acceso a la información, la Ley de Transparencia y Acceso a la Información Pública del Estado de México y Municipios prevé establece que e</w:t>
      </w:r>
      <w:r w:rsidRPr="00D60C9B">
        <w:rPr>
          <w:rFonts w:ascii="Palatino Linotype" w:eastAsia="Palatino Linotype" w:hAnsi="Palatino Linotype" w:cs="Palatino Linotype"/>
          <w:i/>
          <w:color w:val="000000"/>
        </w:rPr>
        <w:t>l procedimiento de acceso a la información es la garantía primaria del derecho en cuestión y se rige por los principios de simplicidad, rapidez y gratuidad del procedimiento, auxilio y orientación a los particulares</w:t>
      </w:r>
      <w:r w:rsidRPr="00D60C9B">
        <w:rPr>
          <w:rFonts w:ascii="Palatino Linotype" w:eastAsia="Calibri" w:hAnsi="Palatino Linotype"/>
          <w:i/>
          <w:color w:val="000000"/>
          <w:vertAlign w:val="superscript"/>
        </w:rPr>
        <w:footnoteReference w:id="6"/>
      </w:r>
      <w:r w:rsidRPr="00D60C9B">
        <w:rPr>
          <w:rFonts w:ascii="Palatino Linotype" w:eastAsia="Palatino Linotype" w:hAnsi="Palatino Linotype" w:cs="Palatino Linotype"/>
          <w:i/>
          <w:color w:val="000000"/>
        </w:rPr>
        <w:t xml:space="preserve">, </w:t>
      </w:r>
      <w:r w:rsidRPr="00D60C9B">
        <w:rPr>
          <w:rFonts w:ascii="Palatino Linotype" w:eastAsia="Palatino Linotype" w:hAnsi="Palatino Linotype" w:cs="Palatino Linotype"/>
          <w:color w:val="000000"/>
        </w:rPr>
        <w:t>asimismo establece</w:t>
      </w:r>
      <w:r w:rsidRPr="00D60C9B">
        <w:rPr>
          <w:rFonts w:ascii="Palatino Linotype" w:eastAsia="Palatino Linotype" w:hAnsi="Palatino Linotype" w:cs="Palatino Linotype"/>
          <w:i/>
          <w:color w:val="000000"/>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87135F" w:rsidRPr="00D60C9B" w:rsidRDefault="0087135F" w:rsidP="00A37E66">
      <w:pP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w:t>
      </w:r>
      <w:r w:rsidRPr="00D60C9B">
        <w:rPr>
          <w:rFonts w:ascii="Palatino Linotype" w:eastAsia="Palatino Linotype" w:hAnsi="Palatino Linotype" w:cs="Palatino Linotype"/>
          <w:color w:val="000000"/>
        </w:rPr>
        <w:lastRenderedPageBreak/>
        <w:t xml:space="preserve">de Términos Administrativos”, emitido por el Instituto Nacional de Administración Pública, A.C. y el “Glosario de Términos para el Proceso de Planeación, Programación, </w:t>
      </w:r>
      <w:proofErr w:type="spellStart"/>
      <w:r w:rsidRPr="00D60C9B">
        <w:rPr>
          <w:rFonts w:ascii="Palatino Linotype" w:eastAsia="Palatino Linotype" w:hAnsi="Palatino Linotype" w:cs="Palatino Linotype"/>
          <w:color w:val="000000"/>
        </w:rPr>
        <w:t>Presupuestación</w:t>
      </w:r>
      <w:proofErr w:type="spellEnd"/>
      <w:r w:rsidRPr="00D60C9B">
        <w:rPr>
          <w:rFonts w:ascii="Palatino Linotype" w:eastAsia="Palatino Linotype" w:hAnsi="Palatino Linotype" w:cs="Palatino Linotype"/>
          <w:color w:val="000000"/>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b/>
          <w:i/>
        </w:rPr>
        <w:t xml:space="preserve">“NÓMINA </w:t>
      </w:r>
      <w:r w:rsidRPr="00D60C9B">
        <w:rPr>
          <w:rFonts w:ascii="Palatino Linotype" w:eastAsia="Palatino Linotype" w:hAnsi="Palatino Linotype" w:cs="Palatino Linotype"/>
          <w:i/>
        </w:rPr>
        <w:t>Listado general de los trabajadores de una institución, en</w:t>
      </w:r>
      <w:r w:rsidRPr="00D60C9B">
        <w:rPr>
          <w:rFonts w:ascii="Palatino Linotype" w:eastAsia="Palatino Linotype" w:hAnsi="Palatino Linotype" w:cs="Palatino Linotype"/>
          <w:b/>
          <w:i/>
        </w:rPr>
        <w:t xml:space="preserve"> </w:t>
      </w:r>
      <w:r w:rsidRPr="00D60C9B">
        <w:rPr>
          <w:rFonts w:ascii="Palatino Linotype" w:eastAsia="Palatino Linotype" w:hAnsi="Palatino Linotype" w:cs="Palatino Linotype"/>
          <w:i/>
        </w:rPr>
        <w:t>el cual se asientan las percepciones brutas, deducciones y</w:t>
      </w:r>
      <w:r w:rsidRPr="00D60C9B">
        <w:rPr>
          <w:rFonts w:ascii="Palatino Linotype" w:eastAsia="Palatino Linotype" w:hAnsi="Palatino Linotype" w:cs="Palatino Linotype"/>
          <w:b/>
          <w:i/>
        </w:rPr>
        <w:t xml:space="preserve"> </w:t>
      </w:r>
      <w:r w:rsidRPr="00D60C9B">
        <w:rPr>
          <w:rFonts w:ascii="Palatino Linotype" w:eastAsia="Palatino Linotype" w:hAnsi="Palatino Linotype" w:cs="Palatino Linotype"/>
          <w:i/>
        </w:rPr>
        <w:t>alcance neto de las mismas; la nómina es utilizada para</w:t>
      </w:r>
      <w:r w:rsidRPr="00D60C9B">
        <w:rPr>
          <w:rFonts w:ascii="Palatino Linotype" w:eastAsia="Palatino Linotype" w:hAnsi="Palatino Linotype" w:cs="Palatino Linotype"/>
          <w:b/>
          <w:i/>
        </w:rPr>
        <w:t xml:space="preserve"> </w:t>
      </w:r>
      <w:r w:rsidRPr="00D60C9B">
        <w:rPr>
          <w:rFonts w:ascii="Palatino Linotype" w:eastAsia="Palatino Linotype" w:hAnsi="Palatino Linotype" w:cs="Palatino Linotype"/>
          <w:i/>
        </w:rPr>
        <w:t>efectuar los pagos periódicos (semanales, quincenales o</w:t>
      </w:r>
      <w:r w:rsidRPr="00D60C9B">
        <w:rPr>
          <w:rFonts w:ascii="Palatino Linotype" w:eastAsia="Palatino Linotype" w:hAnsi="Palatino Linotype" w:cs="Palatino Linotype"/>
          <w:b/>
          <w:i/>
        </w:rPr>
        <w:t xml:space="preserve"> </w:t>
      </w:r>
      <w:r w:rsidRPr="00D60C9B">
        <w:rPr>
          <w:rFonts w:ascii="Palatino Linotype" w:eastAsia="Palatino Linotype" w:hAnsi="Palatino Linotype" w:cs="Palatino Linotype"/>
          <w:i/>
        </w:rPr>
        <w:t>mensuales) a los trabajadores por concepto de sueldos y</w:t>
      </w:r>
      <w:r w:rsidRPr="00D60C9B">
        <w:rPr>
          <w:rFonts w:ascii="Palatino Linotype" w:eastAsia="Palatino Linotype" w:hAnsi="Palatino Linotype" w:cs="Palatino Linotype"/>
          <w:b/>
          <w:i/>
        </w:rPr>
        <w:t xml:space="preserve"> </w:t>
      </w:r>
      <w:r w:rsidRPr="00D60C9B">
        <w:rPr>
          <w:rFonts w:ascii="Palatino Linotype" w:eastAsia="Palatino Linotype" w:hAnsi="Palatino Linotype" w:cs="Palatino Linotype"/>
          <w:i/>
        </w:rPr>
        <w:t>salarios.”(Sic)</w:t>
      </w:r>
    </w:p>
    <w:p w:rsidR="0087135F" w:rsidRPr="00D60C9B" w:rsidRDefault="0087135F" w:rsidP="00A37E66">
      <w:pPr>
        <w:spacing w:line="360" w:lineRule="auto"/>
        <w:ind w:right="-93"/>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base a lo anterior, conviene a traer lo establecido por el artículo 804, fracción II, de la Ley Federal de Trabajo, el cual a la letra establece: </w:t>
      </w:r>
    </w:p>
    <w:p w:rsidR="0087135F" w:rsidRPr="00D60C9B" w:rsidRDefault="0087135F" w:rsidP="00A37E66">
      <w:pPr>
        <w:ind w:right="851"/>
        <w:jc w:val="both"/>
        <w:rPr>
          <w:rFonts w:ascii="Palatino Linotype" w:eastAsia="Palatino Linotype" w:hAnsi="Palatino Linotype" w:cs="Palatino Linotype"/>
          <w:i/>
        </w:rPr>
      </w:pP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b/>
          <w:i/>
        </w:rPr>
        <w:t>Artículo 804.-</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El patrón tiene obligación de conservar y exhibir en juicio los documentos que a continuación se precisan</w:t>
      </w:r>
      <w:r w:rsidRPr="00D60C9B">
        <w:rPr>
          <w:rFonts w:ascii="Palatino Linotype" w:eastAsia="Palatino Linotype" w:hAnsi="Palatino Linotype" w:cs="Palatino Linotype"/>
          <w:i/>
        </w:rPr>
        <w:t>:</w:t>
      </w:r>
    </w:p>
    <w:p w:rsidR="0087135F" w:rsidRPr="00D60C9B" w:rsidRDefault="0087135F" w:rsidP="00A37E66">
      <w:pPr>
        <w:ind w:right="851"/>
        <w:jc w:val="both"/>
        <w:rPr>
          <w:rFonts w:ascii="Palatino Linotype" w:eastAsia="Palatino Linotype" w:hAnsi="Palatino Linotype" w:cs="Palatino Linotype"/>
          <w:i/>
        </w:rPr>
      </w:pPr>
    </w:p>
    <w:p w:rsidR="0087135F" w:rsidRPr="00D60C9B" w:rsidRDefault="0073782B" w:rsidP="00A37E66">
      <w:pPr>
        <w:ind w:right="851"/>
        <w:jc w:val="both"/>
        <w:rPr>
          <w:rFonts w:ascii="Palatino Linotype" w:eastAsia="Palatino Linotype" w:hAnsi="Palatino Linotype" w:cs="Palatino Linotype"/>
          <w:b/>
          <w:i/>
        </w:rPr>
      </w:pPr>
      <w:r w:rsidRPr="00D60C9B">
        <w:rPr>
          <w:rFonts w:ascii="Palatino Linotype" w:eastAsia="Palatino Linotype" w:hAnsi="Palatino Linotype" w:cs="Palatino Linotype"/>
          <w:b/>
          <w:i/>
        </w:rPr>
        <w:t>II.</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Listas de raya o nómina de personal</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 xml:space="preserve">cuando se lleven en el centro de trabajo; o recibos de pagos de salarios; </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D60C9B">
        <w:rPr>
          <w:rFonts w:ascii="Palatino Linotype" w:eastAsia="Palatino Linotype" w:hAnsi="Palatino Linotype" w:cs="Palatino Linotype"/>
          <w:b/>
          <w:i/>
        </w:rPr>
        <w:t>los señalados en las fracciones II, III y IV, durante el último año y un año después de que se extinga la relación laboral</w:t>
      </w:r>
      <w:r w:rsidRPr="00D60C9B">
        <w:rPr>
          <w:rFonts w:ascii="Palatino Linotype" w:eastAsia="Palatino Linotype" w:hAnsi="Palatino Linotype" w:cs="Palatino Linotype"/>
          <w:i/>
        </w:rPr>
        <w:t>; y los mencionados en la fracción V, conforme lo señalen las Leyes que los rijan.” (Sic)</w:t>
      </w:r>
    </w:p>
    <w:p w:rsidR="0087135F" w:rsidRPr="00D60C9B" w:rsidRDefault="0087135F" w:rsidP="00A37E66">
      <w:pPr>
        <w:ind w:right="851"/>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En ese contexto, tratándose de servidores públicos de los Municipios la Ley del Trabajo de los Servidores Públicos del Estado y Municipios, en su artículo 220-K, establece lo siguiente:</w:t>
      </w:r>
    </w:p>
    <w:p w:rsidR="0087135F" w:rsidRPr="00D60C9B" w:rsidRDefault="0073782B" w:rsidP="00A37E66">
      <w:pPr>
        <w:tabs>
          <w:tab w:val="left" w:pos="9072"/>
        </w:tabs>
        <w:spacing w:before="240"/>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b/>
          <w:i/>
        </w:rPr>
        <w:t>“ARTÍCULO 220 K.-</w:t>
      </w:r>
      <w:r w:rsidRPr="00D60C9B">
        <w:rPr>
          <w:rFonts w:ascii="Palatino Linotype" w:eastAsia="Palatino Linotype" w:hAnsi="Palatino Linotype" w:cs="Palatino Linotype"/>
          <w:i/>
        </w:rPr>
        <w:t xml:space="preserve"> La </w:t>
      </w:r>
      <w:r w:rsidRPr="00D60C9B">
        <w:rPr>
          <w:rFonts w:ascii="Palatino Linotype" w:eastAsia="Palatino Linotype" w:hAnsi="Palatino Linotype" w:cs="Palatino Linotype"/>
          <w:b/>
          <w:i/>
        </w:rPr>
        <w:t>institución o dependencia pública tiene la obligación de conservar y exhibir en el proceso los documentos que a continuación</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se precisan</w:t>
      </w:r>
      <w:r w:rsidRPr="00D60C9B">
        <w:rPr>
          <w:rFonts w:ascii="Palatino Linotype" w:eastAsia="Palatino Linotype" w:hAnsi="Palatino Linotype" w:cs="Palatino Linotype"/>
          <w:i/>
        </w:rPr>
        <w:t>:</w:t>
      </w:r>
    </w:p>
    <w:p w:rsidR="0087135F" w:rsidRPr="00D60C9B" w:rsidRDefault="0073782B" w:rsidP="00A37E66">
      <w:pPr>
        <w:tabs>
          <w:tab w:val="left" w:pos="9072"/>
        </w:tabs>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p>
    <w:p w:rsidR="0087135F" w:rsidRPr="00D60C9B" w:rsidRDefault="0073782B" w:rsidP="00A37E66">
      <w:pPr>
        <w:tabs>
          <w:tab w:val="left" w:pos="9072"/>
        </w:tabs>
        <w:ind w:right="851"/>
        <w:jc w:val="both"/>
        <w:rPr>
          <w:rFonts w:ascii="Palatino Linotype" w:eastAsia="Palatino Linotype" w:hAnsi="Palatino Linotype" w:cs="Palatino Linotype"/>
          <w:b/>
          <w:i/>
        </w:rPr>
      </w:pPr>
      <w:r w:rsidRPr="00D60C9B">
        <w:rPr>
          <w:rFonts w:ascii="Palatino Linotype" w:eastAsia="Palatino Linotype" w:hAnsi="Palatino Linotype" w:cs="Palatino Linotype"/>
          <w:i/>
        </w:rPr>
        <w:t xml:space="preserve">II. </w:t>
      </w:r>
      <w:r w:rsidRPr="00D60C9B">
        <w:rPr>
          <w:rFonts w:ascii="Palatino Linotype" w:eastAsia="Palatino Linotype" w:hAnsi="Palatino Linotype" w:cs="Palatino Linotype"/>
          <w:b/>
          <w:i/>
        </w:rPr>
        <w:t>Recibos de pagos de salarios o</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las constancias documentales del pago de salario</w:t>
      </w:r>
      <w:r w:rsidRPr="00D60C9B">
        <w:rPr>
          <w:rFonts w:ascii="Palatino Linotype" w:eastAsia="Palatino Linotype" w:hAnsi="Palatino Linotype" w:cs="Palatino Linotype"/>
          <w:i/>
        </w:rPr>
        <w:t xml:space="preserve"> </w:t>
      </w:r>
      <w:r w:rsidRPr="00D60C9B">
        <w:rPr>
          <w:rFonts w:ascii="Palatino Linotype" w:eastAsia="Palatino Linotype" w:hAnsi="Palatino Linotype" w:cs="Palatino Linotype"/>
          <w:b/>
          <w:i/>
        </w:rPr>
        <w:t xml:space="preserve">cuando </w:t>
      </w:r>
      <w:r w:rsidRPr="00D60C9B">
        <w:rPr>
          <w:rFonts w:ascii="Palatino Linotype" w:eastAsia="Palatino Linotype" w:hAnsi="Palatino Linotype" w:cs="Palatino Linotype"/>
          <w:b/>
          <w:i/>
          <w:u w:val="single"/>
        </w:rPr>
        <w:t>sea por depósito o mediante información electrónica</w:t>
      </w:r>
      <w:r w:rsidRPr="00D60C9B">
        <w:rPr>
          <w:rFonts w:ascii="Palatino Linotype" w:eastAsia="Palatino Linotype" w:hAnsi="Palatino Linotype" w:cs="Palatino Linotype"/>
          <w:b/>
          <w:i/>
        </w:rPr>
        <w:t>;</w:t>
      </w:r>
    </w:p>
    <w:p w:rsidR="0087135F" w:rsidRPr="00D60C9B" w:rsidRDefault="0073782B" w:rsidP="00A37E66">
      <w:pPr>
        <w:tabs>
          <w:tab w:val="left" w:pos="9072"/>
        </w:tabs>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p>
    <w:p w:rsidR="0087135F" w:rsidRPr="00D60C9B" w:rsidRDefault="0073782B" w:rsidP="00A37E66">
      <w:pPr>
        <w:tabs>
          <w:tab w:val="left" w:pos="9072"/>
        </w:tabs>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87135F" w:rsidRPr="00D60C9B" w:rsidRDefault="0073782B" w:rsidP="00A37E66">
      <w:pPr>
        <w:tabs>
          <w:tab w:val="left" w:pos="9072"/>
        </w:tabs>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87135F" w:rsidRPr="00D60C9B" w:rsidRDefault="0087135F" w:rsidP="00A37E66">
      <w:pPr>
        <w:tabs>
          <w:tab w:val="left" w:pos="9072"/>
        </w:tabs>
        <w:ind w:right="851"/>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w:t>
      </w:r>
      <w:r w:rsidRPr="00D60C9B">
        <w:rPr>
          <w:rFonts w:ascii="Palatino Linotype" w:eastAsia="Palatino Linotype" w:hAnsi="Palatino Linotype" w:cs="Palatino Linotype"/>
          <w:color w:val="000000"/>
        </w:rPr>
        <w:lastRenderedPageBreak/>
        <w:t>laboral a través de los sistemas de digitalización o de información magnética o electrónica.</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Calibri" w:hAnsi="Palatino Linotype"/>
          <w:color w:val="000000"/>
        </w:rPr>
      </w:pPr>
      <w:r w:rsidRPr="00D60C9B">
        <w:rPr>
          <w:rFonts w:ascii="Palatino Linotype" w:eastAsia="Palatino Linotype" w:hAnsi="Palatino Linotype" w:cs="Palatino Linotype"/>
          <w:color w:val="000000"/>
        </w:rPr>
        <w:t xml:space="preserve">Una vez precisado lo que antecede, es necesario analizar la Ley de Fiscalización Superior del Estado de México, toda vez que señala que los municipios que conforman el Estado de México, entre ellos 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w:t>
      </w:r>
      <w:r w:rsidRPr="00D60C9B">
        <w:rPr>
          <w:rFonts w:ascii="Palatino Linotype" w:eastAsia="Calibri" w:hAnsi="Palatino Linotype"/>
          <w:color w:val="000000"/>
        </w:rPr>
        <w:t xml:space="preserve"> </w:t>
      </w:r>
      <w:r w:rsidRPr="00D60C9B">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rsidR="0087135F" w:rsidRPr="00D60C9B" w:rsidRDefault="0073782B" w:rsidP="00A37E66">
      <w:pPr>
        <w:spacing w:before="240"/>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Artículo 4.- Son sujetos de fiscalización:</w:t>
      </w:r>
    </w:p>
    <w:p w:rsidR="0087135F" w:rsidRPr="00D60C9B" w:rsidRDefault="0073782B" w:rsidP="00A37E66">
      <w:pPr>
        <w:numPr>
          <w:ilvl w:val="1"/>
          <w:numId w:val="2"/>
        </w:numPr>
        <w:pBdr>
          <w:top w:val="nil"/>
          <w:left w:val="nil"/>
          <w:bottom w:val="nil"/>
          <w:right w:val="nil"/>
          <w:between w:val="nil"/>
        </w:pBdr>
        <w:spacing w:before="240"/>
        <w:ind w:left="0" w:right="851" w:firstLine="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Los Poderes Públicos del Estado;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b/>
          <w:i/>
          <w:color w:val="000000"/>
        </w:rPr>
        <w:t xml:space="preserve">II. Los municipios del Estado de México;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III. Los organismos autónomos;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 xml:space="preserve">IV. Los organismos auxiliares;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V. Los fideicomisos previstos en el artículo 3 fracción XVII del Código Financiero del Estado de México y Municipios, y aquellos que manejen recursos del Estado, Municipios, o en su caso provenientes de la federación;</w:t>
      </w:r>
      <w:r w:rsidRPr="00D60C9B">
        <w:rPr>
          <w:rFonts w:ascii="Palatino Linotype" w:hAnsi="Palatino Linotype"/>
          <w:color w:val="000000"/>
        </w:rPr>
        <w:t xml:space="preserve"> </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87135F" w:rsidRPr="00D60C9B" w:rsidRDefault="0087135F" w:rsidP="00A37E66">
      <w:pPr>
        <w:pBdr>
          <w:top w:val="nil"/>
          <w:left w:val="nil"/>
          <w:bottom w:val="nil"/>
          <w:right w:val="nil"/>
          <w:between w:val="nil"/>
        </w:pBdr>
        <w:ind w:right="851"/>
        <w:jc w:val="both"/>
        <w:rPr>
          <w:rFonts w:ascii="Palatino Linotype" w:eastAsia="Palatino Linotype" w:hAnsi="Palatino Linotype" w:cs="Palatino Linotype"/>
          <w:i/>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 </w:t>
      </w:r>
      <w:r w:rsidRPr="00D60C9B">
        <w:rPr>
          <w:rFonts w:ascii="Palatino Linotype" w:eastAsia="Palatino Linotype" w:hAnsi="Palatino Linotype" w:cs="Palatino Linotype"/>
          <w:color w:val="000000"/>
        </w:rPr>
        <w:lastRenderedPageBreak/>
        <w:t xml:space="preserve">sin embargo a la fecha de la solicitud de información los Lineamientos para el ejercicio fiscal 2025 no habían sido publicados, por lo que el estudio siguiente se utiliza de manera orientadora, de las razones por las cuales 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cuenta con la información solicitada. </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color w:val="000000"/>
        </w:rPr>
      </w:pP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La integración del Informe Trimestral se entregará de manera física al Órgano Superior de Fiscalización del Estado de México, y estará compuesto de la siguiente manera:</w:t>
      </w:r>
    </w:p>
    <w:p w:rsidR="0087135F" w:rsidRPr="00D60C9B" w:rsidRDefault="0073782B" w:rsidP="00A37E66">
      <w:pPr>
        <w:numPr>
          <w:ilvl w:val="1"/>
          <w:numId w:val="2"/>
        </w:numPr>
        <w:pBdr>
          <w:top w:val="nil"/>
          <w:left w:val="nil"/>
          <w:bottom w:val="nil"/>
          <w:right w:val="nil"/>
          <w:between w:val="nil"/>
        </w:pBdr>
        <w:tabs>
          <w:tab w:val="left" w:pos="426"/>
        </w:tabs>
        <w:spacing w:before="240" w:line="360" w:lineRule="auto"/>
        <w:ind w:left="0" w:right="51" w:hanging="36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Información impresa; e</w:t>
      </w:r>
    </w:p>
    <w:p w:rsidR="0087135F" w:rsidRPr="00D60C9B" w:rsidRDefault="0073782B" w:rsidP="00A37E66">
      <w:pPr>
        <w:numPr>
          <w:ilvl w:val="1"/>
          <w:numId w:val="2"/>
        </w:numPr>
        <w:pBdr>
          <w:top w:val="nil"/>
          <w:left w:val="nil"/>
          <w:bottom w:val="nil"/>
          <w:right w:val="nil"/>
          <w:between w:val="nil"/>
        </w:pBdr>
        <w:tabs>
          <w:tab w:val="left" w:pos="426"/>
        </w:tabs>
        <w:spacing w:line="360" w:lineRule="auto"/>
        <w:ind w:left="0" w:right="51" w:hanging="36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Información en medio de almacenamiento electrónico.</w:t>
      </w:r>
    </w:p>
    <w:p w:rsidR="0087135F" w:rsidRPr="00D60C9B" w:rsidRDefault="0087135F" w:rsidP="00A37E66">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rsidR="0087135F" w:rsidRPr="00D60C9B" w:rsidRDefault="0073782B" w:rsidP="00A37E66">
      <w:pPr>
        <w:numPr>
          <w:ilvl w:val="1"/>
          <w:numId w:val="2"/>
        </w:numPr>
        <w:pBdr>
          <w:top w:val="nil"/>
          <w:left w:val="nil"/>
          <w:bottom w:val="nil"/>
          <w:right w:val="nil"/>
          <w:between w:val="nil"/>
        </w:pBdr>
        <w:tabs>
          <w:tab w:val="left" w:pos="426"/>
        </w:tabs>
        <w:spacing w:before="240" w:line="360" w:lineRule="auto"/>
        <w:ind w:left="0" w:right="51" w:hanging="36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Módulo 1: Información contable y financiera;</w:t>
      </w:r>
    </w:p>
    <w:p w:rsidR="0087135F" w:rsidRPr="00D60C9B" w:rsidRDefault="0073782B" w:rsidP="00A37E66">
      <w:pPr>
        <w:numPr>
          <w:ilvl w:val="1"/>
          <w:numId w:val="2"/>
        </w:numPr>
        <w:pBdr>
          <w:top w:val="nil"/>
          <w:left w:val="nil"/>
          <w:bottom w:val="nil"/>
          <w:right w:val="nil"/>
          <w:between w:val="nil"/>
        </w:pBdr>
        <w:tabs>
          <w:tab w:val="left" w:pos="426"/>
        </w:tabs>
        <w:spacing w:line="360" w:lineRule="auto"/>
        <w:ind w:left="0" w:right="51" w:hanging="36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Módulo 2: Información presupuestaria;</w:t>
      </w:r>
    </w:p>
    <w:p w:rsidR="0087135F" w:rsidRPr="00D60C9B" w:rsidRDefault="0073782B" w:rsidP="00A37E66">
      <w:pPr>
        <w:numPr>
          <w:ilvl w:val="1"/>
          <w:numId w:val="2"/>
        </w:numPr>
        <w:pBdr>
          <w:top w:val="nil"/>
          <w:left w:val="nil"/>
          <w:bottom w:val="nil"/>
          <w:right w:val="nil"/>
          <w:between w:val="nil"/>
        </w:pBdr>
        <w:tabs>
          <w:tab w:val="left" w:pos="426"/>
        </w:tabs>
        <w:spacing w:line="360" w:lineRule="auto"/>
        <w:ind w:left="0" w:right="51" w:hanging="36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t>Módulo 3: Información programática; y</w:t>
      </w:r>
    </w:p>
    <w:p w:rsidR="0087135F" w:rsidRPr="00D60C9B" w:rsidRDefault="0073782B" w:rsidP="00A37E66">
      <w:pPr>
        <w:numPr>
          <w:ilvl w:val="1"/>
          <w:numId w:val="2"/>
        </w:numPr>
        <w:pBdr>
          <w:top w:val="nil"/>
          <w:left w:val="nil"/>
          <w:bottom w:val="nil"/>
          <w:right w:val="nil"/>
          <w:between w:val="nil"/>
        </w:pBdr>
        <w:tabs>
          <w:tab w:val="left" w:pos="426"/>
        </w:tabs>
        <w:spacing w:line="360" w:lineRule="auto"/>
        <w:ind w:left="0" w:right="51" w:hanging="360"/>
        <w:jc w:val="both"/>
        <w:rPr>
          <w:rFonts w:ascii="Palatino Linotype" w:eastAsia="Palatino Linotype" w:hAnsi="Palatino Linotype" w:cs="Palatino Linotype"/>
          <w:i/>
          <w:color w:val="000000"/>
        </w:rPr>
      </w:pPr>
      <w:r w:rsidRPr="00D60C9B">
        <w:rPr>
          <w:rFonts w:ascii="Palatino Linotype" w:eastAsia="Palatino Linotype" w:hAnsi="Palatino Linotype" w:cs="Palatino Linotype"/>
          <w:i/>
          <w:color w:val="000000"/>
        </w:rPr>
        <w:lastRenderedPageBreak/>
        <w:t>Módulo 4: Información administrativa.</w:t>
      </w:r>
    </w:p>
    <w:p w:rsidR="0087135F" w:rsidRPr="00D60C9B" w:rsidRDefault="0087135F" w:rsidP="00A37E66">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i/>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D60C9B">
        <w:rPr>
          <w:rFonts w:ascii="Palatino Linotype" w:eastAsia="Palatino Linotype" w:hAnsi="Palatino Linotype" w:cs="Palatino Linotype"/>
          <w:b/>
          <w:color w:val="000000"/>
        </w:rPr>
        <w:t>“Políticas para la Integración del Informe Trimestral de los Sujetos de Fiscalización Municipales”</w:t>
      </w:r>
      <w:r w:rsidRPr="00D60C9B">
        <w:rPr>
          <w:rFonts w:ascii="Palatino Linotype" w:eastAsia="Palatino Linotype" w:hAnsi="Palatino Linotype" w:cs="Palatino Linotype"/>
          <w:color w:val="000000"/>
        </w:rPr>
        <w:t>, se compondrá de los siguientes documentos:</w:t>
      </w:r>
    </w:p>
    <w:p w:rsidR="0087135F" w:rsidRPr="00D60C9B" w:rsidRDefault="0073782B" w:rsidP="00A37E6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D60C9B">
        <w:rPr>
          <w:rFonts w:ascii="Palatino Linotype" w:hAnsi="Palatino Linotype"/>
          <w:color w:val="000000"/>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3pt;height:258.55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5" DrawAspect="Content" ObjectID="_1808038543" r:id="rId13"/>
        </w:object>
      </w:r>
    </w:p>
    <w:p w:rsidR="0087135F" w:rsidRPr="00D60C9B" w:rsidRDefault="0087135F" w:rsidP="00A37E66">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lo que corresponde al </w:t>
      </w:r>
      <w:proofErr w:type="spellStart"/>
      <w:r w:rsidRPr="00D60C9B">
        <w:rPr>
          <w:rFonts w:ascii="Palatino Linotype" w:eastAsia="Palatino Linotype" w:hAnsi="Palatino Linotype" w:cs="Palatino Linotype"/>
          <w:color w:val="000000"/>
        </w:rPr>
        <w:t>Submódulo</w:t>
      </w:r>
      <w:proofErr w:type="spellEnd"/>
      <w:r w:rsidRPr="00D60C9B">
        <w:rPr>
          <w:rFonts w:ascii="Palatino Linotype" w:eastAsia="Palatino Linotype" w:hAnsi="Palatino Linotype" w:cs="Palatino Linotype"/>
          <w:color w:val="000000"/>
        </w:rPr>
        <w:t xml:space="preserve"> de </w:t>
      </w:r>
      <w:r w:rsidRPr="00D60C9B">
        <w:rPr>
          <w:rFonts w:ascii="Palatino Linotype" w:eastAsia="Palatino Linotype" w:hAnsi="Palatino Linotype" w:cs="Palatino Linotype"/>
          <w:b/>
          <w:color w:val="000000"/>
        </w:rPr>
        <w:t>‘Nómina y Comprobantes Fiscales’,</w:t>
      </w:r>
      <w:r w:rsidRPr="00D60C9B">
        <w:rPr>
          <w:rFonts w:ascii="Palatino Linotype" w:eastAsia="Palatino Linotype" w:hAnsi="Palatino Linotype" w:cs="Palatino Linotype"/>
          <w:color w:val="000000"/>
        </w:rPr>
        <w:t xml:space="preserve"> se advierte que 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 xml:space="preserve"> deberá integrar, en formato </w:t>
      </w:r>
      <w:r w:rsidRPr="00D60C9B">
        <w:rPr>
          <w:rFonts w:ascii="Palatino Linotype" w:eastAsia="Palatino Linotype" w:hAnsi="Palatino Linotype" w:cs="Palatino Linotype"/>
          <w:i/>
          <w:color w:val="000000"/>
        </w:rPr>
        <w:t>.</w:t>
      </w:r>
      <w:proofErr w:type="spellStart"/>
      <w:r w:rsidRPr="00D60C9B">
        <w:rPr>
          <w:rFonts w:ascii="Palatino Linotype" w:eastAsia="Palatino Linotype" w:hAnsi="Palatino Linotype" w:cs="Palatino Linotype"/>
          <w:i/>
          <w:color w:val="000000"/>
        </w:rPr>
        <w:t>pdf</w:t>
      </w:r>
      <w:proofErr w:type="spellEnd"/>
      <w:r w:rsidRPr="00D60C9B">
        <w:rPr>
          <w:rFonts w:ascii="Palatino Linotype" w:eastAsia="Palatino Linotype" w:hAnsi="Palatino Linotype" w:cs="Palatino Linotype"/>
          <w:color w:val="000000"/>
        </w:rPr>
        <w:t xml:space="preserve">, y de forma quincenal, el documento titulado </w:t>
      </w:r>
      <w:r w:rsidRPr="00D60C9B">
        <w:rPr>
          <w:rFonts w:ascii="Palatino Linotype" w:eastAsia="Palatino Linotype" w:hAnsi="Palatino Linotype" w:cs="Palatino Linotype"/>
          <w:b/>
          <w:color w:val="000000"/>
        </w:rPr>
        <w:t>Conciliación de Nómina Mensual</w:t>
      </w:r>
      <w:r w:rsidRPr="00D60C9B">
        <w:rPr>
          <w:rFonts w:ascii="Palatino Linotype" w:eastAsia="Palatino Linotype" w:hAnsi="Palatino Linotype" w:cs="Palatino Linotype"/>
          <w:color w:val="000000"/>
        </w:rPr>
        <w:t xml:space="preserve">; tal como lo establece el mapa de integración del </w:t>
      </w:r>
      <w:proofErr w:type="spellStart"/>
      <w:r w:rsidRPr="00D60C9B">
        <w:rPr>
          <w:rFonts w:ascii="Palatino Linotype" w:eastAsia="Palatino Linotype" w:hAnsi="Palatino Linotype" w:cs="Palatino Linotype"/>
          <w:color w:val="000000"/>
        </w:rPr>
        <w:t>Submódulo</w:t>
      </w:r>
      <w:proofErr w:type="spellEnd"/>
      <w:r w:rsidRPr="00D60C9B">
        <w:rPr>
          <w:rFonts w:ascii="Palatino Linotype" w:eastAsia="Palatino Linotype" w:hAnsi="Palatino Linotype" w:cs="Palatino Linotype"/>
          <w:color w:val="000000"/>
        </w:rPr>
        <w:t xml:space="preserve"> en comento:</w:t>
      </w:r>
    </w:p>
    <w:p w:rsidR="0087135F" w:rsidRPr="00D60C9B" w:rsidRDefault="0087135F" w:rsidP="00A37E66">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rsidR="0087135F" w:rsidRPr="00D60C9B" w:rsidRDefault="0073782B" w:rsidP="00A37E6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D60C9B">
        <w:rPr>
          <w:rFonts w:ascii="Palatino Linotype" w:hAnsi="Palatino Linotype"/>
          <w:color w:val="000000"/>
        </w:rPr>
        <w:object w:dxaOrig="7649" w:dyaOrig="2212">
          <v:shape id="_x0000_i1026" type="#_x0000_t75" alt="" style="width:382.55pt;height:110.8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6" DrawAspect="Content" ObjectID="_1808038544" r:id="rId15"/>
        </w:object>
      </w:r>
      <w:r w:rsidRPr="00D60C9B">
        <w:rPr>
          <w:rFonts w:ascii="Palatino Linotype" w:hAnsi="Palatino Linotype"/>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711200</wp:posOffset>
                </wp:positionH>
                <wp:positionV relativeFrom="paragraph">
                  <wp:posOffset>482600</wp:posOffset>
                </wp:positionV>
                <wp:extent cx="4470400" cy="234950"/>
                <wp:effectExtent l="0" t="0" r="0" b="0"/>
                <wp:wrapNone/>
                <wp:docPr id="75" name="Rectángulo 75"/>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87135F" w:rsidRDefault="0087135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711200</wp:posOffset>
                </wp:positionH>
                <wp:positionV relativeFrom="paragraph">
                  <wp:posOffset>482600</wp:posOffset>
                </wp:positionV>
                <wp:extent cx="4470400" cy="234950"/>
                <wp:effectExtent b="0" l="0" r="0" t="0"/>
                <wp:wrapNone/>
                <wp:docPr id="75"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4470400" cy="234950"/>
                        </a:xfrm>
                        <a:prstGeom prst="rect"/>
                        <a:ln/>
                      </pic:spPr>
                    </pic:pic>
                  </a:graphicData>
                </a:graphic>
              </wp:anchor>
            </w:drawing>
          </mc:Fallback>
        </mc:AlternateContent>
      </w:r>
    </w:p>
    <w:p w:rsidR="0087135F" w:rsidRPr="00D60C9B" w:rsidRDefault="0087135F" w:rsidP="00A37E66">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Al respecto, conviene referir que la Conciliación de Nómina Mensual es un documento en el que se detalla, entre otros, </w:t>
      </w:r>
      <w:r w:rsidRPr="00D60C9B">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sidRPr="00D60C9B">
        <w:rPr>
          <w:rFonts w:ascii="Palatino Linotype" w:eastAsia="Calibri" w:hAnsi="Palatino Linotype"/>
          <w:b/>
          <w:color w:val="000000"/>
          <w:vertAlign w:val="superscript"/>
        </w:rPr>
        <w:footnoteReference w:id="7"/>
      </w:r>
      <w:r w:rsidRPr="00D60C9B">
        <w:rPr>
          <w:rFonts w:ascii="Palatino Linotype" w:eastAsia="Palatino Linotype" w:hAnsi="Palatino Linotype" w:cs="Palatino Linotype"/>
          <w:color w:val="000000"/>
        </w:rPr>
        <w:t xml:space="preserve">. </w:t>
      </w:r>
    </w:p>
    <w:p w:rsidR="0087135F" w:rsidRPr="00D60C9B" w:rsidRDefault="0087135F" w:rsidP="00A37E66">
      <w:pPr>
        <w:spacing w:line="360" w:lineRule="auto"/>
        <w:ind w:right="49"/>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87135F" w:rsidRPr="00D60C9B" w:rsidRDefault="0087135F" w:rsidP="00A37E66">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rsidR="0087135F" w:rsidRPr="00D60C9B" w:rsidRDefault="0073782B" w:rsidP="00A37E66">
      <w:pPr>
        <w:pBdr>
          <w:top w:val="nil"/>
          <w:left w:val="nil"/>
          <w:bottom w:val="nil"/>
          <w:right w:val="nil"/>
          <w:between w:val="nil"/>
        </w:pBdr>
        <w:tabs>
          <w:tab w:val="left" w:pos="426"/>
        </w:tabs>
        <w:spacing w:line="360" w:lineRule="auto"/>
        <w:ind w:right="51"/>
        <w:jc w:val="center"/>
        <w:rPr>
          <w:rFonts w:ascii="Palatino Linotype" w:hAnsi="Palatino Linotype"/>
          <w:color w:val="000000"/>
        </w:rPr>
      </w:pPr>
      <w:r w:rsidRPr="00D60C9B">
        <w:rPr>
          <w:rFonts w:ascii="Palatino Linotype" w:hAnsi="Palatino Linotype"/>
          <w:color w:val="000000"/>
        </w:rPr>
        <w:object w:dxaOrig="7638" w:dyaOrig="4320">
          <v:shape id="_x0000_i1027" type="#_x0000_t75" alt="" style="width:381.9pt;height:3in;mso-width-percent:0;mso-height-percent:0;mso-width-percent:0;mso-height-percent:0" o:ole="" o:bordertopcolor="this" o:borderleftcolor="this" o:borderbottomcolor="this" o:borderrightcolor="this">
            <v:imagedata r:id="rId23" o:title=""/>
            <w10:bordertop type="single" width="8"/>
            <w10:borderleft type="single" width="8"/>
            <w10:borderbottom type="single" width="8"/>
            <w10:borderright type="single" width="8"/>
          </v:shape>
          <o:OLEObject Type="Embed" ProgID="PBrush" ShapeID="_x0000_i1027" DrawAspect="Content" ObjectID="_1808038545" r:id="rId24"/>
        </w:object>
      </w:r>
      <w:r w:rsidRPr="00D60C9B">
        <w:rPr>
          <w:rFonts w:ascii="Palatino Linotype" w:hAnsi="Palatino Linotype"/>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3530600</wp:posOffset>
                </wp:positionH>
                <wp:positionV relativeFrom="paragraph">
                  <wp:posOffset>457200</wp:posOffset>
                </wp:positionV>
                <wp:extent cx="528125" cy="1430117"/>
                <wp:effectExtent l="0" t="0" r="0" b="0"/>
                <wp:wrapNone/>
                <wp:docPr id="74" name="Rectángulo 74"/>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87135F" w:rsidRDefault="0087135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3530600</wp:posOffset>
                </wp:positionH>
                <wp:positionV relativeFrom="paragraph">
                  <wp:posOffset>457200</wp:posOffset>
                </wp:positionV>
                <wp:extent cx="528125" cy="1430117"/>
                <wp:effectExtent b="0" l="0" r="0" t="0"/>
                <wp:wrapNone/>
                <wp:docPr id="74"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528125" cy="1430117"/>
                        </a:xfrm>
                        <a:prstGeom prst="rect"/>
                        <a:ln/>
                      </pic:spPr>
                    </pic:pic>
                  </a:graphicData>
                </a:graphic>
              </wp:anchor>
            </w:drawing>
          </mc:Fallback>
        </mc:AlternateContent>
      </w:r>
      <w:r w:rsidRPr="00D60C9B">
        <w:rPr>
          <w:rFonts w:ascii="Palatino Linotype" w:hAnsi="Palatino Linotype"/>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2578100</wp:posOffset>
                </wp:positionH>
                <wp:positionV relativeFrom="paragraph">
                  <wp:posOffset>431800</wp:posOffset>
                </wp:positionV>
                <wp:extent cx="408280" cy="1430117"/>
                <wp:effectExtent l="0" t="0" r="0" b="0"/>
                <wp:wrapNone/>
                <wp:docPr id="73" name="Rectángulo 73"/>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87135F" w:rsidRDefault="0087135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2578100</wp:posOffset>
                </wp:positionH>
                <wp:positionV relativeFrom="paragraph">
                  <wp:posOffset>431800</wp:posOffset>
                </wp:positionV>
                <wp:extent cx="408280" cy="1430117"/>
                <wp:effectExtent b="0" l="0" r="0" t="0"/>
                <wp:wrapNone/>
                <wp:docPr id="73"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408280" cy="1430117"/>
                        </a:xfrm>
                        <a:prstGeom prst="rect"/>
                        <a:ln/>
                      </pic:spPr>
                    </pic:pic>
                  </a:graphicData>
                </a:graphic>
              </wp:anchor>
            </w:drawing>
          </mc:Fallback>
        </mc:AlternateContent>
      </w:r>
    </w:p>
    <w:p w:rsidR="0087135F" w:rsidRPr="00D60C9B" w:rsidRDefault="0073782B" w:rsidP="00A37E66">
      <w:pPr>
        <w:pBdr>
          <w:top w:val="nil"/>
          <w:left w:val="nil"/>
          <w:bottom w:val="nil"/>
          <w:right w:val="nil"/>
          <w:between w:val="nil"/>
        </w:pBdr>
        <w:tabs>
          <w:tab w:val="left" w:pos="426"/>
        </w:tabs>
        <w:spacing w:line="360" w:lineRule="auto"/>
        <w:ind w:right="51"/>
        <w:jc w:val="center"/>
        <w:rPr>
          <w:rFonts w:ascii="Palatino Linotype" w:hAnsi="Palatino Linotype"/>
          <w:color w:val="000000"/>
        </w:rPr>
      </w:pPr>
      <w:r w:rsidRPr="00D60C9B">
        <w:rPr>
          <w:rFonts w:ascii="Palatino Linotype" w:hAnsi="Palatino Linotype"/>
          <w:color w:val="000000"/>
        </w:rPr>
        <w:object w:dxaOrig="7672" w:dyaOrig="4504">
          <v:shape id="_x0000_i1028" type="#_x0000_t75" alt="" style="width:383.8pt;height:225.4pt;mso-width-percent:0;mso-height-percent:0;mso-width-percent:0;mso-height-percent:0" o:ole="" o:bordertopcolor="this" o:borderleftcolor="this" o:borderbottomcolor="this" o:borderrightcolor="this">
            <v:imagedata r:id="rId25" o:title=""/>
            <w10:bordertop type="single" width="8"/>
            <w10:borderleft type="single" width="8"/>
            <w10:borderbottom type="single" width="8"/>
            <w10:borderright type="single" width="8"/>
          </v:shape>
          <o:OLEObject Type="Embed" ProgID="PBrush" ShapeID="_x0000_i1028" DrawAspect="Content" ObjectID="_1808038546" r:id="rId26"/>
        </w:object>
      </w:r>
    </w:p>
    <w:p w:rsidR="0087135F" w:rsidRPr="00D60C9B" w:rsidRDefault="0073782B" w:rsidP="00A37E6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D60C9B">
        <w:rPr>
          <w:rFonts w:ascii="Palatino Linotype" w:hAnsi="Palatino Linotype"/>
          <w:color w:val="000000"/>
        </w:rPr>
        <w:object w:dxaOrig="7684" w:dyaOrig="2396">
          <v:shape id="_x0000_i1029" type="#_x0000_t75" alt="" style="width:384.4pt;height:119.6pt;mso-width-percent:0;mso-height-percent:0;mso-width-percent:0;mso-height-percent:0" o:ole="" o:bordertopcolor="this" o:borderleftcolor="this" o:borderbottomcolor="this" o:borderrightcolor="this">
            <v:imagedata r:id="rId27" o:title=""/>
            <w10:bordertop type="single" width="8"/>
            <w10:borderleft type="single" width="8"/>
            <w10:borderbottom type="single" width="8"/>
            <w10:borderright type="single" width="8"/>
          </v:shape>
          <o:OLEObject Type="Embed" ProgID="PBrush" ShapeID="_x0000_i1029" DrawAspect="Content" ObjectID="_1808038547" r:id="rId28"/>
        </w:object>
      </w:r>
    </w:p>
    <w:p w:rsidR="0087135F" w:rsidRPr="00D60C9B" w:rsidRDefault="0087135F" w:rsidP="00A37E66">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las imágenes anteriores, podemos identificar a la </w:t>
      </w:r>
      <w:r w:rsidRPr="00D60C9B">
        <w:rPr>
          <w:rFonts w:ascii="Palatino Linotype" w:eastAsia="Palatino Linotype" w:hAnsi="Palatino Linotype" w:cs="Palatino Linotype"/>
          <w:b/>
          <w:color w:val="000000"/>
        </w:rPr>
        <w:t xml:space="preserve">Conciliación de Nómina </w:t>
      </w:r>
      <w:r w:rsidRPr="00D60C9B">
        <w:rPr>
          <w:rFonts w:ascii="Palatino Linotype" w:eastAsia="Palatino Linotype" w:hAnsi="Palatino Linotype" w:cs="Palatino Linotype"/>
          <w:color w:val="000000"/>
        </w:rPr>
        <w:t xml:space="preserve">como el documento </w:t>
      </w:r>
      <w:r w:rsidRPr="00D60C9B">
        <w:rPr>
          <w:rFonts w:ascii="Palatino Linotype" w:eastAsia="Palatino Linotype" w:hAnsi="Palatino Linotype" w:cs="Palatino Linotype"/>
          <w:b/>
          <w:color w:val="000000"/>
        </w:rPr>
        <w:t>idóneo</w:t>
      </w:r>
      <w:r w:rsidRPr="00D60C9B">
        <w:rPr>
          <w:rFonts w:ascii="Palatino Linotype" w:eastAsia="Palatino Linotype" w:hAnsi="Palatino Linotype" w:cs="Palatino Linotype"/>
          <w:color w:val="000000"/>
        </w:rPr>
        <w:t xml:space="preserve"> que puede satisfacer los requerimientos del particular, pues como se ha analizado en párrafos previos, </w:t>
      </w:r>
      <w:r w:rsidRPr="00D60C9B">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D60C9B">
        <w:rPr>
          <w:rFonts w:ascii="Palatino Linotype" w:eastAsia="Palatino Linotype" w:hAnsi="Palatino Linotype" w:cs="Palatino Linotype"/>
          <w:color w:val="000000"/>
        </w:rPr>
        <w:t xml:space="preserve">, asimismo </w:t>
      </w:r>
      <w:r w:rsidRPr="00D60C9B">
        <w:rPr>
          <w:rFonts w:ascii="Palatino Linotype" w:eastAsia="Palatino Linotype" w:hAnsi="Palatino Linotype" w:cs="Palatino Linotype"/>
          <w:b/>
          <w:color w:val="000000"/>
        </w:rPr>
        <w:t xml:space="preserve">contiene la </w:t>
      </w:r>
      <w:r w:rsidRPr="00D60C9B">
        <w:rPr>
          <w:rFonts w:ascii="Palatino Linotype" w:eastAsia="Palatino Linotype" w:hAnsi="Palatino Linotype" w:cs="Palatino Linotype"/>
          <w:color w:val="000000"/>
        </w:rPr>
        <w:t>fecha de alta y fecha de baja de los servidores públicos;</w:t>
      </w:r>
      <w:r w:rsidRPr="00D60C9B">
        <w:rPr>
          <w:rFonts w:ascii="Palatino Linotype" w:eastAsia="Palatino Linotype" w:hAnsi="Palatino Linotype" w:cs="Palatino Linotype"/>
          <w:b/>
          <w:color w:val="000000"/>
        </w:rPr>
        <w:t xml:space="preserve"> su nombre; puesto; área de adscripción </w:t>
      </w:r>
      <w:r w:rsidRPr="00D60C9B">
        <w:rPr>
          <w:rFonts w:ascii="Palatino Linotype" w:eastAsia="Palatino Linotype" w:hAnsi="Palatino Linotype" w:cs="Palatino Linotype"/>
          <w:color w:val="000000"/>
        </w:rPr>
        <w:t>y</w:t>
      </w:r>
      <w:r w:rsidRPr="00D60C9B">
        <w:rPr>
          <w:rFonts w:ascii="Palatino Linotype" w:eastAsia="Palatino Linotype" w:hAnsi="Palatino Linotype" w:cs="Palatino Linotype"/>
          <w:b/>
          <w:color w:val="000000"/>
        </w:rPr>
        <w:t xml:space="preserve"> categoría.</w:t>
      </w:r>
    </w:p>
    <w:p w:rsidR="0087135F" w:rsidRPr="00D60C9B" w:rsidRDefault="0087135F" w:rsidP="00A37E66">
      <w:pPr>
        <w:spacing w:line="360" w:lineRule="auto"/>
        <w:ind w:right="49"/>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Por lo anterior se reconoce que en cuanto al recurso de revisión </w:t>
      </w:r>
      <w:r w:rsidRPr="00D60C9B">
        <w:rPr>
          <w:rFonts w:ascii="Palatino Linotype" w:eastAsia="Palatino Linotype" w:hAnsi="Palatino Linotype" w:cs="Palatino Linotype"/>
          <w:b/>
          <w:color w:val="000000"/>
        </w:rPr>
        <w:t xml:space="preserve">03788/INFOEM/IP/RR/2025 </w:t>
      </w:r>
      <w:r w:rsidRPr="00D60C9B">
        <w:rPr>
          <w:rFonts w:ascii="Palatino Linotype" w:eastAsia="Palatino Linotype" w:hAnsi="Palatino Linotype" w:cs="Palatino Linotype"/>
          <w:color w:val="000000"/>
        </w:rPr>
        <w:t xml:space="preserve">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cuenta con las funciones y atribuciones  de entregar la información solicitada. </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esa línea, se debe de referir que el </w:t>
      </w:r>
      <w:r w:rsidRPr="00D60C9B">
        <w:rPr>
          <w:rFonts w:ascii="Palatino Linotype" w:eastAsia="Palatino Linotype" w:hAnsi="Palatino Linotype" w:cs="Palatino Linotype"/>
          <w:b/>
          <w:color w:val="000000"/>
        </w:rPr>
        <w:t xml:space="preserve">RECURRENTE </w:t>
      </w:r>
      <w:r w:rsidRPr="00D60C9B">
        <w:rPr>
          <w:rFonts w:ascii="Palatino Linotype" w:eastAsia="Palatino Linotype" w:hAnsi="Palatino Linotype" w:cs="Palatino Linotype"/>
          <w:color w:val="000000"/>
        </w:rPr>
        <w:t xml:space="preserve">solicita la nómina de la Dirección General de Obras Públicas, situación por la cual se determina que a la fecha de la solicitud de información deberá de entregar el documento donde conste o se advierta la nómina de los servidores públicos adscritos a la Dirección General de Obras Públicas, de la segunda quincena de enero y la primera de febrero, siguiente el criterio orientador de este Órgano Garante, toda vez que el </w:t>
      </w:r>
      <w:r w:rsidRPr="00D60C9B">
        <w:rPr>
          <w:rFonts w:ascii="Palatino Linotype" w:eastAsia="Palatino Linotype" w:hAnsi="Palatino Linotype" w:cs="Palatino Linotype"/>
          <w:b/>
          <w:color w:val="000000"/>
        </w:rPr>
        <w:t xml:space="preserve">RECURRENTE </w:t>
      </w:r>
      <w:r w:rsidRPr="00D60C9B">
        <w:rPr>
          <w:rFonts w:ascii="Palatino Linotype" w:eastAsia="Palatino Linotype" w:hAnsi="Palatino Linotype" w:cs="Palatino Linotype"/>
          <w:color w:val="000000"/>
        </w:rPr>
        <w:t xml:space="preserve">no </w:t>
      </w:r>
      <w:r w:rsidRPr="00D60C9B">
        <w:rPr>
          <w:rFonts w:ascii="Palatino Linotype" w:eastAsia="Palatino Linotype" w:hAnsi="Palatino Linotype" w:cs="Palatino Linotype"/>
        </w:rPr>
        <w:t>determinó</w:t>
      </w:r>
      <w:r w:rsidRPr="00D60C9B">
        <w:rPr>
          <w:rFonts w:ascii="Palatino Linotype" w:eastAsia="Palatino Linotype" w:hAnsi="Palatino Linotype" w:cs="Palatino Linotype"/>
          <w:color w:val="000000"/>
        </w:rPr>
        <w:t xml:space="preserve"> el </w:t>
      </w:r>
      <w:r w:rsidRPr="00D60C9B">
        <w:rPr>
          <w:rFonts w:ascii="Palatino Linotype" w:eastAsia="Palatino Linotype" w:hAnsi="Palatino Linotype" w:cs="Palatino Linotype"/>
          <w:color w:val="000000"/>
        </w:rPr>
        <w:lastRenderedPageBreak/>
        <w:t xml:space="preserve">periodo del cual requería la información solicitada, situación por la cual se ordenan de las dos últimas quincenas a la fecha de la solicitud de información. </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Ahora bien, en cuanto al recurso de revisión </w:t>
      </w:r>
      <w:r w:rsidRPr="00D60C9B">
        <w:rPr>
          <w:rFonts w:ascii="Palatino Linotype" w:eastAsia="Palatino Linotype" w:hAnsi="Palatino Linotype" w:cs="Palatino Linotype"/>
          <w:b/>
          <w:color w:val="000000"/>
        </w:rPr>
        <w:t xml:space="preserve">03789/INFOEM/IP/RR/2025, </w:t>
      </w:r>
      <w:r w:rsidRPr="00D60C9B">
        <w:rPr>
          <w:rFonts w:ascii="Palatino Linotype" w:eastAsia="Palatino Linotype" w:hAnsi="Palatino Linotype" w:cs="Palatino Linotype"/>
          <w:color w:val="000000"/>
        </w:rPr>
        <w:t xml:space="preserve">se debe de analizar que la información solicitada consiste en obtener los recibos de nómina de la Dirección General de Obras Públicas del mes de enero y febrero de dos mil veinticinco, sin embargo, se debe se señalar que a la fecha de la solicitud de información, hay actos futuros toda vez que el pago de la segunda quincena de febrero no había sido efectuado, situación por la cual es aplicable lo siguiente. </w:t>
      </w:r>
    </w:p>
    <w:p w:rsidR="0087135F" w:rsidRPr="00D60C9B" w:rsidRDefault="0087135F" w:rsidP="00A37E66">
      <w:pPr>
        <w:pBdr>
          <w:top w:val="nil"/>
          <w:left w:val="nil"/>
          <w:bottom w:val="nil"/>
          <w:right w:val="nil"/>
          <w:between w:val="nil"/>
        </w:pBdr>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Sirve como referencia la Jurisprudencia emitida por la Suprema Corte de Justicia de la Nación, que es del texto y rubro siguiente:</w:t>
      </w:r>
    </w:p>
    <w:p w:rsidR="0087135F" w:rsidRPr="00D60C9B" w:rsidRDefault="0073782B" w:rsidP="00A37E66">
      <w:pPr>
        <w:pBdr>
          <w:top w:val="nil"/>
          <w:left w:val="nil"/>
          <w:bottom w:val="nil"/>
          <w:right w:val="nil"/>
          <w:between w:val="nil"/>
        </w:pBdr>
        <w:ind w:right="851"/>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b/>
          <w:i/>
          <w:color w:val="000000"/>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D60C9B">
        <w:rPr>
          <w:rFonts w:ascii="Palatino Linotype" w:eastAsia="Palatino Linotype" w:hAnsi="Palatino Linotype" w:cs="Palatino Linotype"/>
          <w:i/>
          <w:color w:val="000000"/>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w:t>
      </w:r>
      <w:r w:rsidRPr="00D60C9B">
        <w:rPr>
          <w:rFonts w:ascii="Palatino Linotype" w:eastAsia="Palatino Linotype" w:hAnsi="Palatino Linotype" w:cs="Palatino Linotype"/>
          <w:i/>
          <w:color w:val="000000"/>
        </w:rPr>
        <w:lastRenderedPageBreak/>
        <w:t xml:space="preserve">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w:t>
      </w:r>
      <w:proofErr w:type="spellStart"/>
      <w:r w:rsidRPr="00D60C9B">
        <w:rPr>
          <w:rFonts w:ascii="Palatino Linotype" w:eastAsia="Palatino Linotype" w:hAnsi="Palatino Linotype" w:cs="Palatino Linotype"/>
          <w:i/>
          <w:color w:val="000000"/>
        </w:rPr>
        <w:t>numeral.No</w:t>
      </w:r>
      <w:proofErr w:type="spellEnd"/>
      <w:r w:rsidRPr="00D60C9B">
        <w:rPr>
          <w:rFonts w:ascii="Palatino Linotype" w:eastAsia="Palatino Linotype" w:hAnsi="Palatino Linotype" w:cs="Palatino Linotype"/>
          <w:i/>
          <w:color w:val="000000"/>
        </w:rPr>
        <w:t xml:space="preserve"> obstante, en términos del artículo 6 de la Constitución Política de los Estados Unidos Mexicanos, toda persona sin necesidad de acreditar interés alguno, tendrá acceso gratuito a la información pública </w:t>
      </w:r>
      <w:r w:rsidRPr="00D60C9B">
        <w:rPr>
          <w:rFonts w:ascii="Palatino Linotype" w:eastAsia="Palatino Linotype" w:hAnsi="Palatino Linotype" w:cs="Palatino Linotype"/>
          <w:b/>
          <w:i/>
          <w:color w:val="000000"/>
        </w:rPr>
        <w:t>en posesión</w:t>
      </w:r>
      <w:r w:rsidRPr="00D60C9B">
        <w:rPr>
          <w:rFonts w:ascii="Palatino Linotype" w:eastAsia="Palatino Linotype" w:hAnsi="Palatino Linotype" w:cs="Palatino Linotype"/>
          <w:i/>
          <w:color w:val="000000"/>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rsidR="0087135F" w:rsidRPr="00D60C9B" w:rsidRDefault="0087135F" w:rsidP="00A37E66">
      <w:pPr>
        <w:spacing w:before="120" w:after="120"/>
        <w:ind w:right="1106"/>
        <w:jc w:val="both"/>
        <w:rPr>
          <w:rFonts w:ascii="Palatino Linotype" w:eastAsia="Palatino Linotype" w:hAnsi="Palatino Linotype" w:cs="Palatino Linotype"/>
        </w:rPr>
      </w:pPr>
      <w:bookmarkStart w:id="9" w:name="_heading=h.rv9qpizod2y" w:colFirst="0" w:colLast="0"/>
      <w:bookmarkEnd w:id="9"/>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Ahora bien, como analizado en párrafos anteriores se citaron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lastRenderedPageBreak/>
        <w:t xml:space="preserve">Los Lineamientos en comento sirven para definir los criterios, formatos y documentación necesaria para presentar los informes mensuales. Entre los criterios que se manejan en tales Lineamientos está aquel que se refiere a la integración de información de nómina, tal y como se muestra en la siguiente captura: </w:t>
      </w:r>
    </w:p>
    <w:p w:rsidR="0087135F" w:rsidRPr="00D60C9B" w:rsidRDefault="0073782B" w:rsidP="00A37E66">
      <w:pPr>
        <w:spacing w:line="360" w:lineRule="auto"/>
        <w:jc w:val="center"/>
        <w:rPr>
          <w:rFonts w:ascii="Palatino Linotype" w:eastAsia="Palatino Linotype" w:hAnsi="Palatino Linotype" w:cs="Palatino Linotype"/>
        </w:rPr>
      </w:pPr>
      <w:r w:rsidRPr="00D60C9B">
        <w:rPr>
          <w:rFonts w:ascii="Palatino Linotype" w:eastAsia="Palatino Linotype" w:hAnsi="Palatino Linotype" w:cs="Palatino Linotype"/>
          <w:noProof/>
          <w:lang w:val="es-MX" w:eastAsia="es-MX"/>
        </w:rPr>
        <w:drawing>
          <wp:inline distT="0" distB="0" distL="0" distR="0">
            <wp:extent cx="3780936" cy="2425368"/>
            <wp:effectExtent l="0" t="0" r="0" b="0"/>
            <wp:docPr id="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3780936" cy="2425368"/>
                    </a:xfrm>
                    <a:prstGeom prst="rect">
                      <a:avLst/>
                    </a:prstGeom>
                    <a:ln/>
                  </pic:spPr>
                </pic:pic>
              </a:graphicData>
            </a:graphic>
          </wp:inline>
        </w:drawing>
      </w: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la imagen insertada, se desprende que, se puede obtener la información requerida por </w:t>
      </w:r>
      <w:r w:rsidRPr="00D60C9B">
        <w:rPr>
          <w:rFonts w:ascii="Palatino Linotype" w:eastAsia="Palatino Linotype" w:hAnsi="Palatino Linotype" w:cs="Palatino Linotype"/>
          <w:b/>
          <w:color w:val="000000"/>
        </w:rPr>
        <w:t>EL RECURRENTE</w:t>
      </w:r>
      <w:r w:rsidRPr="00D60C9B">
        <w:rPr>
          <w:rFonts w:ascii="Palatino Linotype" w:eastAsia="Palatino Linotype" w:hAnsi="Palatino Linotype" w:cs="Palatino Linotype"/>
          <w:color w:val="000000"/>
        </w:rPr>
        <w:t xml:space="preserve">; puesto que resulta claro que existe la obligación por parte del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 xml:space="preserve">, de realizar los informes por parte de la </w:t>
      </w:r>
      <w:r w:rsidRPr="00D60C9B">
        <w:rPr>
          <w:rFonts w:ascii="Palatino Linotype" w:eastAsia="Palatino Linotype" w:hAnsi="Palatino Linotype" w:cs="Palatino Linotype"/>
          <w:b/>
          <w:color w:val="000000"/>
        </w:rPr>
        <w:t>Tesorería Municipal</w:t>
      </w:r>
      <w:r w:rsidRPr="00D60C9B">
        <w:rPr>
          <w:rFonts w:ascii="Palatino Linotype" w:eastAsia="Palatino Linotype" w:hAnsi="Palatino Linotype" w:cs="Palatino Linotype"/>
          <w:color w:val="000000"/>
        </w:rPr>
        <w:t xml:space="preserve"> para que remita los reportes mensuales al Órgano Superior de Fiscalización del Estado de México de conformidad con el artículo 32 de la Ley de Fiscalización Superior del Estado de México, en los cuales se incluyen los Comprobantes Fiscales Digitales por Internet por concepto de nómina, que comprende la información relativa al pago de las remuneraciones de cada uno de los servidores públicos correspondiente a un periodo determinado, incluyendo el aguinaldo y las gratificaciones; en consecuencia, la información solicitada por </w:t>
      </w:r>
      <w:r w:rsidRPr="00D60C9B">
        <w:rPr>
          <w:rFonts w:ascii="Palatino Linotype" w:eastAsia="Palatino Linotype" w:hAnsi="Palatino Linotype" w:cs="Palatino Linotype"/>
          <w:b/>
          <w:color w:val="000000"/>
        </w:rPr>
        <w:t>EL RECURRENTE</w:t>
      </w:r>
      <w:r w:rsidRPr="00D60C9B">
        <w:rPr>
          <w:rFonts w:ascii="Palatino Linotype" w:eastAsia="Palatino Linotype" w:hAnsi="Palatino Linotype" w:cs="Palatino Linotype"/>
          <w:color w:val="000000"/>
        </w:rPr>
        <w:t xml:space="preserve"> debe obrar en los archivos del </w:t>
      </w:r>
      <w:r w:rsidRPr="00D60C9B">
        <w:rPr>
          <w:rFonts w:ascii="Palatino Linotype" w:eastAsia="Palatino Linotype" w:hAnsi="Palatino Linotype" w:cs="Palatino Linotype"/>
          <w:b/>
          <w:color w:val="000000"/>
        </w:rPr>
        <w:t xml:space="preserve">SUJETO OBLIGADO. </w:t>
      </w:r>
    </w:p>
    <w:p w:rsidR="0087135F" w:rsidRPr="00D60C9B" w:rsidRDefault="0087135F" w:rsidP="00A37E66">
      <w:pPr>
        <w:spacing w:before="120" w:after="120"/>
        <w:ind w:right="709"/>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87135F" w:rsidRPr="00D60C9B" w:rsidRDefault="0073782B" w:rsidP="00A37E66">
      <w:pPr>
        <w:spacing w:before="160" w:after="200"/>
        <w:ind w:right="851"/>
        <w:jc w:val="both"/>
        <w:rPr>
          <w:rFonts w:ascii="Palatino Linotype" w:eastAsia="Palatino Linotype" w:hAnsi="Palatino Linotype" w:cs="Palatino Linotype"/>
          <w:b/>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b/>
          <w:i/>
        </w:rPr>
        <w:t>Criterio 01/2003.</w:t>
      </w:r>
    </w:p>
    <w:p w:rsidR="0087135F" w:rsidRPr="00D60C9B" w:rsidRDefault="0073782B" w:rsidP="00A37E66">
      <w:pPr>
        <w:spacing w:before="160" w:after="200"/>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D60C9B">
        <w:rPr>
          <w:rFonts w:ascii="Palatino Linotype" w:eastAsia="Palatino Linotype" w:hAnsi="Palatino Linotype" w:cs="Palatino Linotype"/>
          <w:i/>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60C9B">
        <w:rPr>
          <w:rFonts w:ascii="Palatino Linotype" w:eastAsia="Palatino Linotype" w:hAnsi="Palatino Linotype" w:cs="Palatino Linotype"/>
          <w:b/>
          <w:i/>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w:t>
      </w:r>
      <w:proofErr w:type="gramStart"/>
      <w:r w:rsidRPr="00D60C9B">
        <w:rPr>
          <w:rFonts w:ascii="Palatino Linotype" w:eastAsia="Palatino Linotype" w:hAnsi="Palatino Linotype" w:cs="Palatino Linotype"/>
          <w:b/>
          <w:i/>
        </w:rPr>
        <w:t xml:space="preserve">gobernados </w:t>
      </w:r>
      <w:r w:rsidRPr="00D60C9B">
        <w:rPr>
          <w:rFonts w:ascii="Palatino Linotype" w:eastAsia="Palatino Linotype" w:hAnsi="Palatino Linotype" w:cs="Palatino Linotype"/>
          <w:i/>
        </w:rPr>
        <w:t>…”</w:t>
      </w:r>
      <w:proofErr w:type="gramEnd"/>
    </w:p>
    <w:p w:rsidR="0087135F" w:rsidRPr="00D60C9B" w:rsidRDefault="0073782B" w:rsidP="00A37E66">
      <w:pPr>
        <w:spacing w:before="360" w:after="200"/>
        <w:ind w:right="851"/>
        <w:jc w:val="both"/>
        <w:rPr>
          <w:rFonts w:ascii="Palatino Linotype" w:eastAsia="Palatino Linotype" w:hAnsi="Palatino Linotype" w:cs="Palatino Linotype"/>
          <w:b/>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b/>
          <w:i/>
        </w:rPr>
        <w:t>Criterio 02/2003.</w:t>
      </w:r>
    </w:p>
    <w:p w:rsidR="0087135F" w:rsidRPr="00D60C9B" w:rsidRDefault="0073782B" w:rsidP="00A37E66">
      <w:pPr>
        <w:spacing w:before="160" w:after="200"/>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D60C9B">
        <w:rPr>
          <w:rFonts w:ascii="Palatino Linotype" w:eastAsia="Palatino Linotype" w:hAnsi="Palatino Linotype" w:cs="Palatino Linotype"/>
          <w:i/>
        </w:rPr>
        <w:t xml:space="preserve"> De la interpretación sistemática de lo previsto en los artículos 3º, fracción II; 7º, 9º y 18, fracción II, de la Ley Federal de </w:t>
      </w:r>
      <w:r w:rsidRPr="00D60C9B">
        <w:rPr>
          <w:rFonts w:ascii="Palatino Linotype" w:eastAsia="Palatino Linotype" w:hAnsi="Palatino Linotype" w:cs="Palatino Linotype"/>
          <w:i/>
        </w:rPr>
        <w:lastRenderedPageBreak/>
        <w:t xml:space="preserve">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60C9B">
        <w:rPr>
          <w:rFonts w:ascii="Palatino Linotype" w:eastAsia="Palatino Linotype" w:hAnsi="Palatino Linotype" w:cs="Palatino Linotype"/>
          <w:b/>
          <w:i/>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60C9B">
        <w:rPr>
          <w:rFonts w:ascii="Palatino Linotype" w:eastAsia="Palatino Linotype" w:hAnsi="Palatino Linotype" w:cs="Palatino Linotype"/>
          <w:i/>
        </w:rPr>
        <w:t xml:space="preserve"> el sistema de compensación …”</w:t>
      </w:r>
    </w:p>
    <w:p w:rsidR="0087135F" w:rsidRPr="00D60C9B" w:rsidRDefault="0073782B" w:rsidP="00A37E66">
      <w:pPr>
        <w:spacing w:before="160" w:after="200"/>
        <w:ind w:right="851"/>
        <w:jc w:val="both"/>
        <w:rPr>
          <w:rFonts w:ascii="Palatino Linotype" w:eastAsia="Palatino Linotype" w:hAnsi="Palatino Linotype" w:cs="Palatino Linotype"/>
        </w:rPr>
      </w:pPr>
      <w:r w:rsidRPr="00D60C9B">
        <w:rPr>
          <w:rFonts w:ascii="Palatino Linotype" w:eastAsia="Palatino Linotype" w:hAnsi="Palatino Linotype" w:cs="Palatino Linotype"/>
        </w:rPr>
        <w:t>(Énfasis añadido)</w:t>
      </w:r>
    </w:p>
    <w:p w:rsidR="0087135F" w:rsidRPr="00D60C9B" w:rsidRDefault="0087135F" w:rsidP="00A37E66">
      <w:pPr>
        <w:spacing w:before="160" w:after="200"/>
        <w:ind w:right="709"/>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este sentido, </w:t>
      </w:r>
      <w:r w:rsidRPr="00D60C9B">
        <w:rPr>
          <w:rFonts w:ascii="Palatino Linotype" w:eastAsia="Palatino Linotype" w:hAnsi="Palatino Linotype" w:cs="Palatino Linotype"/>
          <w:b/>
          <w:color w:val="000000"/>
        </w:rPr>
        <w:t>EL SUJETO OBLIGADO</w:t>
      </w:r>
      <w:r w:rsidRPr="00D60C9B">
        <w:rPr>
          <w:rFonts w:ascii="Palatino Linotype" w:eastAsia="Palatino Linotype" w:hAnsi="Palatino Linotype" w:cs="Palatino Linotype"/>
          <w:color w:val="000000"/>
        </w:rPr>
        <w:t xml:space="preserve"> se encuentra constreñido a entregar la información solicitada por </w:t>
      </w:r>
      <w:r w:rsidRPr="00D60C9B">
        <w:rPr>
          <w:rFonts w:ascii="Palatino Linotype" w:eastAsia="Palatino Linotype" w:hAnsi="Palatino Linotype" w:cs="Palatino Linotype"/>
          <w:b/>
          <w:color w:val="000000"/>
        </w:rPr>
        <w:t xml:space="preserve">EL RECURRENTE </w:t>
      </w:r>
      <w:r w:rsidRPr="00D60C9B">
        <w:rPr>
          <w:rFonts w:ascii="Palatino Linotype" w:eastAsia="Palatino Linotype" w:hAnsi="Palatino Linotype" w:cs="Palatino Linotype"/>
          <w:color w:val="000000"/>
        </w:rPr>
        <w:t>de acuerdo a lo dispuesto por los artículos 3, fracción XI y 12 de la Ley de Transparencia y Acceso a la Información Pública del Estado de México y Municipios, de los cuales se desprende que es información pública la contenida en los documentos que los Sujetos Obligados generen, administren o se encuentre en su posesión en ejercicio de sus atribuciones.</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Luego entonces, este Órgano Garante determina que para colmar el derecho de acceso a la información del hoy </w:t>
      </w:r>
      <w:r w:rsidRPr="00D60C9B">
        <w:rPr>
          <w:rFonts w:ascii="Palatino Linotype" w:eastAsia="Palatino Linotype" w:hAnsi="Palatino Linotype" w:cs="Palatino Linotype"/>
          <w:b/>
          <w:color w:val="000000"/>
        </w:rPr>
        <w:t xml:space="preserve">RECURRENTE, el SUJETO </w:t>
      </w:r>
      <w:r w:rsidRPr="00D60C9B">
        <w:rPr>
          <w:rFonts w:ascii="Palatino Linotype" w:eastAsia="Palatino Linotype" w:hAnsi="Palatino Linotype" w:cs="Palatino Linotype"/>
          <w:color w:val="000000"/>
        </w:rPr>
        <w:t xml:space="preserve">OBLIGADO deberá entregar los recibos de nómina de la primera y segunda quincena de enero y de la primera quincena de febrero de dos mil veinticinco.  </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Ahora bien, toda vez que 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para colmar el derecho de acceso a la información, deberá de remitir los recibos de nómina, así como la conciliación de nómina de todos los servidores públicos adscritos a la Dirección General de Obras </w:t>
      </w:r>
      <w:r w:rsidRPr="00D60C9B">
        <w:rPr>
          <w:rFonts w:ascii="Palatino Linotype" w:eastAsia="Palatino Linotype" w:hAnsi="Palatino Linotype" w:cs="Palatino Linotype"/>
          <w:color w:val="000000"/>
        </w:rPr>
        <w:lastRenderedPageBreak/>
        <w:t>Públicas,  es que se debe realizar el análisis de los datos que se deberán de clasificar como confidenciales y los datos que deben de tener formato abierto.</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De lo anterior, se debe de puntualizar que los recibos de nómina y la conciliación de nómina contienen datos personales de los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Por cuanto hace al </w:t>
      </w:r>
      <w:r w:rsidRPr="00D60C9B">
        <w:rPr>
          <w:rFonts w:ascii="Palatino Linotype" w:eastAsia="Palatino Linotype" w:hAnsi="Palatino Linotype" w:cs="Palatino Linotype"/>
          <w:b/>
          <w:color w:val="000000"/>
        </w:rPr>
        <w:t>Registro Federal de Contribuyentes (RFC),</w:t>
      </w:r>
      <w:r w:rsidRPr="00D60C9B">
        <w:rPr>
          <w:rFonts w:ascii="Palatino Linotype" w:eastAsia="Palatino Linotype" w:hAnsi="Palatino Linotype" w:cs="Palatino Linotype"/>
          <w:color w:val="000000"/>
        </w:rPr>
        <w:t xml:space="preserve"> de las personas físicas, constituye un dato personal, pues se genera con caracteres alfanuméricos a partir del nombre y la fecha de nacimiento de cada persona, y finalmente la </w:t>
      </w:r>
      <w:proofErr w:type="spellStart"/>
      <w:r w:rsidRPr="00D60C9B">
        <w:rPr>
          <w:rFonts w:ascii="Palatino Linotype" w:eastAsia="Palatino Linotype" w:hAnsi="Palatino Linotype" w:cs="Palatino Linotype"/>
          <w:color w:val="000000"/>
        </w:rPr>
        <w:t>homoclave</w:t>
      </w:r>
      <w:proofErr w:type="spellEnd"/>
      <w:r w:rsidRPr="00D60C9B">
        <w:rPr>
          <w:rFonts w:ascii="Palatino Linotype" w:eastAsia="Palatino Linotype" w:hAnsi="Palatino Linotype" w:cs="Palatino Linotype"/>
          <w:color w:val="000000"/>
        </w:rPr>
        <w:t>, por lo que para su obtención es necesario acreditar ante la autoridad fiscal previamente la identidad de la persona, su fecha de nacimiento, entre otros aspectos.</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Lo anterior es compartido por el entonces Instituto Federal de Acceso a la Información Pública y Protección de Datos Personales (IFAI) a través del Criterio 19/17, el cual es del tenor literal siguiente:</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b/>
          <w:i/>
        </w:rPr>
        <w:t>“Registro Federal de Contribuyentes (RFC) de personas físicas</w:t>
      </w:r>
      <w:r w:rsidRPr="00D60C9B">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87135F" w:rsidRPr="00D60C9B" w:rsidRDefault="0087135F" w:rsidP="00A37E66">
      <w:pPr>
        <w:ind w:right="900"/>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Así, el </w:t>
      </w:r>
      <w:r w:rsidRPr="00D60C9B">
        <w:rPr>
          <w:rFonts w:ascii="Palatino Linotype" w:eastAsia="Palatino Linotype" w:hAnsi="Palatino Linotype" w:cs="Palatino Linotype"/>
          <w:b/>
          <w:color w:val="000000"/>
        </w:rPr>
        <w:t>Registro Federal de Contribuyentes, RFC</w:t>
      </w:r>
      <w:r w:rsidRPr="00D60C9B">
        <w:rPr>
          <w:rFonts w:ascii="Palatino Linotype" w:eastAsia="Palatino Linotype" w:hAnsi="Palatino Linotype" w:cs="Palatino Linotype"/>
          <w:color w:val="000000"/>
        </w:rPr>
        <w:t xml:space="preserve">, se vincula al nombre de su titular y permite identificar la edad de la persona, su fecha de nacimiento, así como su </w:t>
      </w:r>
      <w:proofErr w:type="spellStart"/>
      <w:r w:rsidRPr="00D60C9B">
        <w:rPr>
          <w:rFonts w:ascii="Palatino Linotype" w:eastAsia="Palatino Linotype" w:hAnsi="Palatino Linotype" w:cs="Palatino Linotype"/>
          <w:color w:val="000000"/>
        </w:rPr>
        <w:t>homoclave</w:t>
      </w:r>
      <w:proofErr w:type="spellEnd"/>
      <w:r w:rsidRPr="00D60C9B">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igual manera la </w:t>
      </w:r>
      <w:r w:rsidRPr="00D60C9B">
        <w:rPr>
          <w:rFonts w:ascii="Palatino Linotype" w:eastAsia="Palatino Linotype" w:hAnsi="Palatino Linotype" w:cs="Palatino Linotype"/>
          <w:b/>
          <w:color w:val="000000"/>
        </w:rPr>
        <w:t>Clave Única de Registro de Población (CURP),</w:t>
      </w:r>
      <w:r w:rsidRPr="00D60C9B">
        <w:rPr>
          <w:rFonts w:ascii="Palatino Linotype" w:eastAsia="Palatino Linotype" w:hAnsi="Palatino Linotype" w:cs="Palatino Linotype"/>
          <w:color w:val="000000"/>
        </w:rPr>
        <w:t xml:space="preserve"> constituye un dato personal, ya que tiene como finalidad registrar a cada una de las personas que integran la población del país, con datos que permitan certificar y acreditar </w:t>
      </w:r>
      <w:r w:rsidRPr="00D60C9B">
        <w:rPr>
          <w:rFonts w:ascii="Palatino Linotype" w:eastAsia="Palatino Linotype" w:hAnsi="Palatino Linotype" w:cs="Palatino Linotype"/>
          <w:color w:val="000000"/>
        </w:rPr>
        <w:lastRenderedPageBreak/>
        <w:t>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Argumento que es compartido por el Instituto Nacional de Transparencia, Acceso a la Información y Protección de Datos Personales, INAI, conforme al criterio 18/17, el cual refiere: </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b/>
          <w:i/>
        </w:rPr>
        <w:t xml:space="preserve">“Clave Única de Registro de Población (CURP). </w:t>
      </w:r>
      <w:r w:rsidRPr="00D60C9B">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7135F" w:rsidRPr="00D60C9B" w:rsidRDefault="0087135F" w:rsidP="00A37E66">
      <w:pPr>
        <w:ind w:right="333"/>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Por cuanto hace a la </w:t>
      </w:r>
      <w:r w:rsidRPr="00D60C9B">
        <w:rPr>
          <w:rFonts w:ascii="Palatino Linotype" w:eastAsia="Palatino Linotype" w:hAnsi="Palatino Linotype" w:cs="Palatino Linotype"/>
          <w:b/>
          <w:color w:val="000000"/>
        </w:rPr>
        <w:t>Clave de cualquier tipo de seguridad social (</w:t>
      </w:r>
      <w:proofErr w:type="spellStart"/>
      <w:r w:rsidRPr="00D60C9B">
        <w:rPr>
          <w:rFonts w:ascii="Palatino Linotype" w:eastAsia="Palatino Linotype" w:hAnsi="Palatino Linotype" w:cs="Palatino Linotype"/>
          <w:b/>
          <w:color w:val="000000"/>
        </w:rPr>
        <w:t>ISSEMyM</w:t>
      </w:r>
      <w:proofErr w:type="spellEnd"/>
      <w:r w:rsidRPr="00D60C9B">
        <w:rPr>
          <w:rFonts w:ascii="Palatino Linotype" w:eastAsia="Palatino Linotype" w:hAnsi="Palatino Linotype" w:cs="Palatino Linotype"/>
          <w:b/>
          <w:color w:val="000000"/>
        </w:rPr>
        <w:t>, u otros</w:t>
      </w:r>
      <w:r w:rsidRPr="00D60C9B">
        <w:rPr>
          <w:rFonts w:ascii="Palatino Linotype" w:eastAsia="Palatino Linotype" w:hAnsi="Palatino Linotype" w:cs="Palatino Linotype"/>
          <w:color w:val="000000"/>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w:t>
      </w:r>
      <w:r w:rsidRPr="00D60C9B">
        <w:rPr>
          <w:rFonts w:ascii="Palatino Linotype" w:eastAsia="Palatino Linotype" w:hAnsi="Palatino Linotype" w:cs="Palatino Linotype"/>
          <w:color w:val="000000"/>
        </w:rPr>
        <w:lastRenderedPageBreak/>
        <w:t>fracción I de la Ley de Transparencia y Acceso a la Información Pública del Estado de México y Municipios.</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Por su parte, el artículo 84 de la Ley del Trabajo de los Servidores Públicos del Estado y Municipios, señala:</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b/>
          <w:i/>
        </w:rPr>
        <w:t>ARTICULO 84. Sólo podrán hacerse retenciones, descuentos o deducciones al sueldo de los servidores públicos por concepto de:</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i/>
        </w:rPr>
        <w:t>I. Gravámenes fiscales relacionados con el sueldo;</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b/>
          <w:i/>
        </w:rPr>
        <w:t>II. Deudas contraídas con las instituciones públicas o dependencias</w:t>
      </w:r>
      <w:r w:rsidRPr="00D60C9B">
        <w:rPr>
          <w:rFonts w:ascii="Palatino Linotype" w:eastAsia="Palatino Linotype" w:hAnsi="Palatino Linotype" w:cs="Palatino Linotype"/>
          <w:i/>
        </w:rPr>
        <w:t xml:space="preserve"> por concepto de anticipos de sueldo, pagos hechos con exceso, errores o pérdidas debidamente comprobados;</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b/>
          <w:i/>
        </w:rPr>
        <w:t>III. Cuotas sindicales</w:t>
      </w:r>
      <w:r w:rsidRPr="00D60C9B">
        <w:rPr>
          <w:rFonts w:ascii="Palatino Linotype" w:eastAsia="Palatino Linotype" w:hAnsi="Palatino Linotype" w:cs="Palatino Linotype"/>
          <w:i/>
        </w:rPr>
        <w:t>;</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b/>
          <w:i/>
        </w:rPr>
        <w:t>VI. Obligaciones a cargo del servidor público con las que haya consentido</w:t>
      </w:r>
      <w:r w:rsidRPr="00D60C9B">
        <w:rPr>
          <w:rFonts w:ascii="Palatino Linotype" w:eastAsia="Palatino Linotype" w:hAnsi="Palatino Linotype" w:cs="Palatino Linotype"/>
          <w:i/>
        </w:rPr>
        <w:t>, derivadas de la adquisición o del uso de habitaciones consideradas como de interés social;</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i/>
        </w:rPr>
        <w:t>VII. Faltas de puntualidad o de asistencia injustificadas;</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b/>
          <w:i/>
        </w:rPr>
        <w:lastRenderedPageBreak/>
        <w:t>VIII. Pensiones alimenticias ordenadas por la autoridad judicial;</w:t>
      </w:r>
      <w:r w:rsidRPr="00D60C9B">
        <w:rPr>
          <w:rFonts w:ascii="Palatino Linotype" w:eastAsia="Palatino Linotype" w:hAnsi="Palatino Linotype" w:cs="Palatino Linotype"/>
          <w:i/>
        </w:rPr>
        <w:t xml:space="preserve"> o</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b/>
          <w:i/>
        </w:rPr>
        <w:t>IX. Cualquier otro convenido con instituciones de servicios y aceptado por el servidor público.</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87135F" w:rsidRPr="00D60C9B" w:rsidRDefault="0073782B" w:rsidP="00A37E66">
      <w:pPr>
        <w:ind w:right="851"/>
        <w:jc w:val="both"/>
        <w:rPr>
          <w:rFonts w:ascii="Palatino Linotype" w:eastAsia="Palatino Linotype" w:hAnsi="Palatino Linotype" w:cs="Palatino Linotype"/>
        </w:rPr>
      </w:pPr>
      <w:r w:rsidRPr="00D60C9B">
        <w:rPr>
          <w:rFonts w:ascii="Palatino Linotype" w:eastAsia="Palatino Linotype" w:hAnsi="Palatino Linotype" w:cs="Palatino Linotype"/>
        </w:rPr>
        <w:t>(Énfasis añadido)</w:t>
      </w:r>
    </w:p>
    <w:p w:rsidR="0087135F" w:rsidRPr="00D60C9B" w:rsidRDefault="0087135F" w:rsidP="00A37E66">
      <w:pPr>
        <w:spacing w:line="360" w:lineRule="auto"/>
        <w:ind w:right="-929"/>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Derivado de lo anterior, la ley establece claramente cuáles son esos descuentos o gravámenes que directamente se relacionan con las obligaciones adquiridas como servidores públicos y aquéllos que </w:t>
      </w:r>
      <w:r w:rsidRPr="00D60C9B">
        <w:rPr>
          <w:rFonts w:ascii="Palatino Linotype" w:eastAsia="Palatino Linotype" w:hAnsi="Palatino Linotype" w:cs="Palatino Linotype"/>
          <w:b/>
          <w:color w:val="000000"/>
          <w:u w:val="single"/>
        </w:rPr>
        <w:t>únicamente inciden en su vida privada</w:t>
      </w:r>
      <w:r w:rsidRPr="00D60C9B">
        <w:rPr>
          <w:rFonts w:ascii="Palatino Linotype" w:eastAsia="Palatino Linotype" w:hAnsi="Palatino Linotype" w:cs="Palatino Linotype"/>
          <w:color w:val="000000"/>
        </w:rPr>
        <w:t>. De este modo, descuentos por pensiones alimenticias o créditos adquiridos con instituciones privadas o públicas pero que fueron contraídas en forma individual, son información que debe clasificarse como confidencial.</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lastRenderedPageBreak/>
        <w:t>Sirven de sustento a lo anterior, las tesis jurisprudenciales P. LX/2000 y 2a. XLIII/2008 emitidas por el Peno y la Segunda Sala de la Suprema Corte de Justicia de la Nación, respectivamente, que son del tenor literal siguiente:</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D60C9B">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60C9B">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D60C9B">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D60C9B">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D60C9B">
        <w:rPr>
          <w:rFonts w:ascii="Palatino Linotype" w:eastAsia="Palatino Linotype" w:hAnsi="Palatino Linotype" w:cs="Palatino Linotype"/>
          <w:i/>
        </w:rPr>
        <w:t>.”</w:t>
      </w:r>
    </w:p>
    <w:p w:rsidR="0087135F" w:rsidRPr="00D60C9B" w:rsidRDefault="0087135F" w:rsidP="00A37E66">
      <w:pPr>
        <w:ind w:right="851"/>
        <w:jc w:val="both"/>
        <w:rPr>
          <w:rFonts w:ascii="Palatino Linotype" w:eastAsia="Palatino Linotype" w:hAnsi="Palatino Linotype" w:cs="Palatino Linotype"/>
          <w:i/>
        </w:rPr>
      </w:pP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D60C9B">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w:t>
      </w:r>
      <w:r w:rsidRPr="00D60C9B">
        <w:rPr>
          <w:rFonts w:ascii="Palatino Linotype" w:eastAsia="Palatino Linotype" w:hAnsi="Palatino Linotype" w:cs="Palatino Linotype"/>
          <w:i/>
        </w:rPr>
        <w:lastRenderedPageBreak/>
        <w:t xml:space="preserve">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60C9B">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60C9B">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87135F" w:rsidRPr="00D60C9B" w:rsidRDefault="0087135F" w:rsidP="00A37E66">
      <w:pPr>
        <w:ind w:right="-929"/>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También, el número de cuenta bancario, en el Criterio 10/17 emitido por el Pleno del Instituto Nacional de Transparencia, Acceso a la Información y Protección de Datos Personales  se establece lo siguiente:</w:t>
      </w:r>
    </w:p>
    <w:p w:rsidR="0087135F" w:rsidRPr="00D60C9B" w:rsidRDefault="0073782B" w:rsidP="00A37E66">
      <w:pPr>
        <w:shd w:val="clear" w:color="auto" w:fill="FFFFFF"/>
        <w:ind w:right="851"/>
        <w:jc w:val="both"/>
        <w:rPr>
          <w:rFonts w:ascii="Palatino Linotype" w:eastAsia="Palatino Linotype" w:hAnsi="Palatino Linotype" w:cs="Palatino Linotype"/>
        </w:rPr>
      </w:pPr>
      <w:r w:rsidRPr="00D60C9B">
        <w:rPr>
          <w:rFonts w:ascii="Palatino Linotype" w:eastAsia="Palatino Linotype" w:hAnsi="Palatino Linotype" w:cs="Palatino Linotype"/>
        </w:rPr>
        <w:t>“</w:t>
      </w:r>
      <w:r w:rsidRPr="00D60C9B">
        <w:rPr>
          <w:rFonts w:ascii="Palatino Linotype" w:eastAsia="Palatino Linotype" w:hAnsi="Palatino Linotype" w:cs="Palatino Linotype"/>
          <w:b/>
          <w:i/>
        </w:rPr>
        <w:t>Cuentas bancarias y/o CLABE interbancaria de personas físicas y morales privadas.</w:t>
      </w:r>
      <w:r w:rsidRPr="00D60C9B">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D60C9B">
        <w:rPr>
          <w:rFonts w:ascii="Palatino Linotype" w:eastAsia="Palatino Linotype" w:hAnsi="Palatino Linotype" w:cs="Palatino Linotype"/>
        </w:rPr>
        <w:t>.”</w:t>
      </w:r>
    </w:p>
    <w:p w:rsidR="0087135F" w:rsidRPr="00D60C9B" w:rsidRDefault="0087135F" w:rsidP="00A37E66">
      <w:pPr>
        <w:ind w:right="-929"/>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Esta cuenta es de uso personal y no guarda relación con el servicio público ni con los recursos públicos, ya que es elección del trabajador determinar si desea que su </w:t>
      </w:r>
      <w:r w:rsidRPr="00D60C9B">
        <w:rPr>
          <w:rFonts w:ascii="Palatino Linotype" w:eastAsia="Palatino Linotype" w:hAnsi="Palatino Linotype" w:cs="Palatino Linotype"/>
          <w:color w:val="000000"/>
        </w:rPr>
        <w:lastRenderedPageBreak/>
        <w:t>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El </w:t>
      </w:r>
      <w:r w:rsidRPr="00D60C9B">
        <w:rPr>
          <w:rFonts w:ascii="Palatino Linotype" w:eastAsia="Palatino Linotype" w:hAnsi="Palatino Linotype" w:cs="Palatino Linotype"/>
          <w:b/>
          <w:color w:val="000000"/>
        </w:rPr>
        <w:t>Código de barras bidimensional (QR</w:t>
      </w:r>
      <w:r w:rsidRPr="00D60C9B">
        <w:rPr>
          <w:rFonts w:ascii="Palatino Linotype" w:eastAsia="Palatino Linotype" w:hAnsi="Palatino Linotype" w:cs="Palatino Linotype"/>
          <w:color w:val="000000"/>
        </w:rPr>
        <w:t xml:space="preserve">), resulta necesario señalar que los comprobantes fiscales digitales por Internet, deben de incluir un código bidimensional conforme al formato QR </w:t>
      </w:r>
      <w:proofErr w:type="spellStart"/>
      <w:r w:rsidRPr="00D60C9B">
        <w:rPr>
          <w:rFonts w:ascii="Palatino Linotype" w:eastAsia="Palatino Linotype" w:hAnsi="Palatino Linotype" w:cs="Palatino Linotype"/>
          <w:color w:val="000000"/>
        </w:rPr>
        <w:t>Code</w:t>
      </w:r>
      <w:proofErr w:type="spellEnd"/>
      <w:r w:rsidRPr="00D60C9B">
        <w:rPr>
          <w:rFonts w:ascii="Palatino Linotype" w:eastAsia="Palatino Linotype" w:hAnsi="Palatino Linotype" w:cs="Palatino Linotype"/>
          <w:color w:val="000000"/>
        </w:rPr>
        <w:t xml:space="preserve"> (Quick Response </w:t>
      </w:r>
      <w:proofErr w:type="spellStart"/>
      <w:r w:rsidRPr="00D60C9B">
        <w:rPr>
          <w:rFonts w:ascii="Palatino Linotype" w:eastAsia="Palatino Linotype" w:hAnsi="Palatino Linotype" w:cs="Palatino Linotype"/>
          <w:color w:val="000000"/>
        </w:rPr>
        <w:t>Code</w:t>
      </w:r>
      <w:proofErr w:type="spellEnd"/>
      <w:r w:rsidRPr="00D60C9B">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30">
        <w:r w:rsidRPr="00D60C9B">
          <w:rPr>
            <w:rFonts w:ascii="Palatino Linotype" w:eastAsia="Palatino Linotype" w:hAnsi="Palatino Linotype" w:cs="Palatino Linotype"/>
            <w:color w:val="000000"/>
          </w:rPr>
          <w:t>http://dof.gob.mx/nota_detalle.php?codigo=5492254&amp;fecha=28/07/2017</w:t>
        </w:r>
      </w:hyperlink>
      <w:r w:rsidRPr="00D60C9B">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 la persona física o moral correspondiente.</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87135F" w:rsidRPr="00D60C9B" w:rsidRDefault="0073782B" w:rsidP="00A37E66">
      <w:pPr>
        <w:shd w:val="clear" w:color="auto" w:fill="FFFFFF"/>
        <w:ind w:right="851"/>
        <w:jc w:val="both"/>
        <w:rPr>
          <w:rFonts w:ascii="Palatino Linotype" w:eastAsia="Palatino Linotype" w:hAnsi="Palatino Linotype" w:cs="Palatino Linotype"/>
          <w:i/>
          <w:color w:val="222222"/>
        </w:rPr>
      </w:pPr>
      <w:r w:rsidRPr="00D60C9B">
        <w:rPr>
          <w:rFonts w:ascii="Palatino Linotype" w:eastAsia="Palatino Linotype" w:hAnsi="Palatino Linotype" w:cs="Palatino Linotype"/>
          <w:b/>
          <w:i/>
          <w:color w:val="222222"/>
        </w:rPr>
        <w:t>“El número de ficha de identificación única de los trabajadores es información de carácter confidencial.</w:t>
      </w:r>
      <w:r w:rsidRPr="00D60C9B">
        <w:rPr>
          <w:rFonts w:ascii="Palatino Linotype" w:eastAsia="Palatino Linotype" w:hAnsi="Palatino Linotype" w:cs="Palatino Linotype"/>
          <w:i/>
          <w:color w:val="222222"/>
        </w:rPr>
        <w:t> </w:t>
      </w:r>
      <w:r w:rsidRPr="00D60C9B">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D60C9B">
        <w:rPr>
          <w:rFonts w:ascii="Palatino Linotype" w:eastAsia="Palatino Linotype" w:hAnsi="Palatino Linotype" w:cs="Palatino Linotype"/>
          <w:i/>
          <w:color w:val="222222"/>
        </w:rPr>
        <w:t>, </w:t>
      </w:r>
      <w:r w:rsidRPr="00D60C9B">
        <w:rPr>
          <w:rFonts w:ascii="Palatino Linotype" w:eastAsia="Palatino Linotype" w:hAnsi="Palatino Linotype" w:cs="Palatino Linotype"/>
          <w:i/>
          <w:color w:val="222222"/>
          <w:u w:val="single"/>
        </w:rPr>
        <w:t>dicha información es susceptible de clasificarse con el carácter de confidencial</w:t>
      </w:r>
      <w:r w:rsidRPr="00D60C9B">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w:t>
      </w:r>
    </w:p>
    <w:p w:rsidR="0087135F" w:rsidRPr="00D60C9B" w:rsidRDefault="0087135F" w:rsidP="00A37E66">
      <w:pPr>
        <w:shd w:val="clear" w:color="auto" w:fill="FFFFFF"/>
        <w:ind w:right="1106"/>
        <w:jc w:val="both"/>
        <w:rPr>
          <w:rFonts w:ascii="Palatino Linotype" w:eastAsia="Palatino Linotype" w:hAnsi="Palatino Linotype" w:cs="Palatino Linotype"/>
          <w:i/>
          <w:color w:val="222222"/>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lo anterior, se debe de mencionar que 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deberá de realizar un análisis respecto al número de empleado, ya que este solo deberá de ser clasificado como confidencial si tiene relación con datos personales de los servidores públicos.</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Ahora bien, también es necesario indicar que hay información dentro</w:t>
      </w:r>
      <w:r w:rsidRPr="00D60C9B">
        <w:rPr>
          <w:rFonts w:ascii="Palatino Linotype" w:eastAsia="Palatino Linotype" w:hAnsi="Palatino Linotype" w:cs="Palatino Linotype"/>
          <w:b/>
          <w:color w:val="000000"/>
        </w:rPr>
        <w:t xml:space="preserve"> de los recibos de nómina</w:t>
      </w:r>
      <w:r w:rsidRPr="00D60C9B">
        <w:rPr>
          <w:rFonts w:ascii="Palatino Linotype" w:eastAsia="Palatino Linotype" w:hAnsi="Palatino Linotype" w:cs="Palatino Linotype"/>
          <w:color w:val="000000"/>
        </w:rPr>
        <w:t xml:space="preserve"> que no contienen datos personales, mismos que deberá tener en cuenta 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para la entrega de la información solicitada</w:t>
      </w:r>
      <w:r w:rsidRPr="00D60C9B">
        <w:rPr>
          <w:rFonts w:ascii="Palatino Linotype" w:eastAsia="Palatino Linotype" w:hAnsi="Palatino Linotype" w:cs="Palatino Linotype"/>
          <w:b/>
          <w:color w:val="000000"/>
        </w:rPr>
        <w:t xml:space="preserve">. </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Por cuanto hace </w:t>
      </w:r>
      <w:r w:rsidRPr="00D60C9B">
        <w:rPr>
          <w:rFonts w:ascii="Palatino Linotype" w:eastAsia="Palatino Linotype" w:hAnsi="Palatino Linotype" w:cs="Palatino Linotype"/>
          <w:b/>
          <w:color w:val="000000"/>
        </w:rPr>
        <w:t>al Folio Fiscal</w:t>
      </w:r>
      <w:r w:rsidRPr="00D60C9B">
        <w:rPr>
          <w:rFonts w:ascii="Palatino Linotype" w:eastAsia="Palatino Linotype" w:hAnsi="Palatino Linotype" w:cs="Palatino Linotype"/>
          <w:color w:val="000000"/>
        </w:rPr>
        <w:t>,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87135F" w:rsidRPr="00D60C9B" w:rsidRDefault="0073782B" w:rsidP="00A37E66">
      <w:pPr>
        <w:spacing w:line="360" w:lineRule="auto"/>
        <w:ind w:right="-929"/>
        <w:jc w:val="center"/>
        <w:rPr>
          <w:rFonts w:ascii="Palatino Linotype" w:eastAsia="Palatino Linotype" w:hAnsi="Palatino Linotype" w:cs="Palatino Linotype"/>
        </w:rPr>
      </w:pPr>
      <w:r w:rsidRPr="00D60C9B">
        <w:rPr>
          <w:rFonts w:ascii="Palatino Linotype" w:eastAsia="Palatino Linotype" w:hAnsi="Palatino Linotype" w:cs="Palatino Linotype"/>
          <w:noProof/>
          <w:lang w:val="es-MX" w:eastAsia="es-MX"/>
        </w:rPr>
        <w:drawing>
          <wp:inline distT="0" distB="0" distL="0" distR="0">
            <wp:extent cx="3937500" cy="998240"/>
            <wp:effectExtent l="0" t="0" r="0" b="0"/>
            <wp:docPr id="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b="32787"/>
                    <a:stretch>
                      <a:fillRect/>
                    </a:stretch>
                  </pic:blipFill>
                  <pic:spPr>
                    <a:xfrm>
                      <a:off x="0" y="0"/>
                      <a:ext cx="3937500" cy="998240"/>
                    </a:xfrm>
                    <a:prstGeom prst="rect">
                      <a:avLst/>
                    </a:prstGeom>
                    <a:ln/>
                  </pic:spPr>
                </pic:pic>
              </a:graphicData>
            </a:graphic>
          </wp:inline>
        </w:drawing>
      </w: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de algún dato personal, por lo que, no se actualiza la clasificación, en términos del artículo 143, fracción I de la Ley de la materia.</w:t>
      </w:r>
    </w:p>
    <w:p w:rsidR="0087135F" w:rsidRPr="00D60C9B" w:rsidRDefault="0087135F" w:rsidP="00A37E66">
      <w:pPr>
        <w:tabs>
          <w:tab w:val="left" w:pos="284"/>
        </w:tabs>
        <w:spacing w:line="360" w:lineRule="auto"/>
        <w:jc w:val="both"/>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En esa línea de estudio, las cadenas originales y sellos que se agregan a las facturas, tienen una secuencia de generación, determinados con base en el ANEXO 20 de la Segunda Resolución de modificaciones a la Resolución Miscelánea Fiscal para dos </w:t>
      </w:r>
      <w:r w:rsidRPr="00D60C9B">
        <w:rPr>
          <w:rFonts w:ascii="Palatino Linotype" w:eastAsia="Palatino Linotype" w:hAnsi="Palatino Linotype" w:cs="Palatino Linotype"/>
          <w:color w:val="000000"/>
        </w:rPr>
        <w:lastRenderedPageBreak/>
        <w:t>mil  diecisiete, publicada en el Diario Oficial de la Federación el dieciocho de julio de dos mil diecisiete, que precisa los datos de los que se componen los elementos de seguridad y se puntualiza que dicha información está encriptada.</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“Elementos utilizados en la generación de Sellos Digitales:</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i/>
        </w:rPr>
        <w:tab/>
        <w:t>Cadena Original, el elemento a sellar, en este caso de un comprobante fiscal digital a través de Internet.</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i/>
        </w:rPr>
        <w:tab/>
        <w:t>Certificado de Sello Digital y su correspondiente clave privada.</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i/>
        </w:rPr>
        <w:tab/>
        <w:t>Algoritmos de criptografía de clave pública para firma electrónica avanzada.</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w:t>
      </w:r>
      <w:r w:rsidRPr="00D60C9B">
        <w:rPr>
          <w:rFonts w:ascii="Palatino Linotype" w:eastAsia="Palatino Linotype" w:hAnsi="Palatino Linotype" w:cs="Palatino Linotype"/>
          <w:i/>
        </w:rPr>
        <w:tab/>
        <w:t>Especificaciones de conversión de la firma electrónica avanzada a Base 64.</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Para la generación de sellos digitales se utiliza criptografía de clave pública aplicada a una cadena original.</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Criptografía de la Clave Pública</w:t>
      </w:r>
    </w:p>
    <w:p w:rsidR="0087135F" w:rsidRPr="00D60C9B" w:rsidRDefault="0073782B" w:rsidP="00A37E66">
      <w:pPr>
        <w:ind w:right="851"/>
        <w:jc w:val="both"/>
        <w:rPr>
          <w:rFonts w:ascii="Palatino Linotype" w:eastAsia="Palatino Linotype" w:hAnsi="Palatino Linotype" w:cs="Palatino Linotype"/>
          <w:i/>
        </w:rPr>
      </w:pPr>
      <w:r w:rsidRPr="00D60C9B">
        <w:rPr>
          <w:rFonts w:ascii="Palatino Linotype" w:eastAsia="Palatino Linotype" w:hAnsi="Palatino Linotype" w:cs="Palatino Linotype"/>
          <w:i/>
        </w:rPr>
        <w:t xml:space="preserve">La criptografía de Clave Pública se basa en la generación de una pareja de números muy grandes relacionados íntimamente entre sí, de tal manera que una operación de </w:t>
      </w:r>
      <w:proofErr w:type="spellStart"/>
      <w:r w:rsidRPr="00D60C9B">
        <w:rPr>
          <w:rFonts w:ascii="Palatino Linotype" w:eastAsia="Palatino Linotype" w:hAnsi="Palatino Linotype" w:cs="Palatino Linotype"/>
          <w:i/>
        </w:rPr>
        <w:t>encripción</w:t>
      </w:r>
      <w:proofErr w:type="spellEnd"/>
      <w:r w:rsidRPr="00D60C9B">
        <w:rPr>
          <w:rFonts w:ascii="Palatino Linotype" w:eastAsia="Palatino Linotype" w:hAnsi="Palatino Linotype" w:cs="Palatino Linotype"/>
          <w:i/>
        </w:rPr>
        <w:t xml:space="preserve"> sobre un mensaje tomando como clave de </w:t>
      </w:r>
      <w:proofErr w:type="spellStart"/>
      <w:r w:rsidRPr="00D60C9B">
        <w:rPr>
          <w:rFonts w:ascii="Palatino Linotype" w:eastAsia="Palatino Linotype" w:hAnsi="Palatino Linotype" w:cs="Palatino Linotype"/>
          <w:i/>
        </w:rPr>
        <w:t>encripción</w:t>
      </w:r>
      <w:proofErr w:type="spellEnd"/>
      <w:r w:rsidRPr="00D60C9B">
        <w:rPr>
          <w:rFonts w:ascii="Palatino Linotype" w:eastAsia="Palatino Linotype" w:hAnsi="Palatino Linotype" w:cs="Palatino Linotype"/>
          <w:i/>
        </w:rPr>
        <w:t xml:space="preserve"> a uno de los dos números, produce un mensaje alterado en su significado que solo puede ser devuelto a su estado original mediante la operación de </w:t>
      </w:r>
      <w:proofErr w:type="spellStart"/>
      <w:r w:rsidRPr="00D60C9B">
        <w:rPr>
          <w:rFonts w:ascii="Palatino Linotype" w:eastAsia="Palatino Linotype" w:hAnsi="Palatino Linotype" w:cs="Palatino Linotype"/>
          <w:i/>
        </w:rPr>
        <w:t>desencripción</w:t>
      </w:r>
      <w:proofErr w:type="spellEnd"/>
      <w:r w:rsidRPr="00D60C9B">
        <w:rPr>
          <w:rFonts w:ascii="Palatino Linotype" w:eastAsia="Palatino Linotype" w:hAnsi="Palatino Linotype" w:cs="Palatino Linotype"/>
          <w:i/>
        </w:rPr>
        <w:t xml:space="preserve"> correspondiente tomando como clave de </w:t>
      </w:r>
      <w:proofErr w:type="spellStart"/>
      <w:r w:rsidRPr="00D60C9B">
        <w:rPr>
          <w:rFonts w:ascii="Palatino Linotype" w:eastAsia="Palatino Linotype" w:hAnsi="Palatino Linotype" w:cs="Palatino Linotype"/>
          <w:i/>
        </w:rPr>
        <w:t>desencripción</w:t>
      </w:r>
      <w:proofErr w:type="spellEnd"/>
      <w:r w:rsidRPr="00D60C9B">
        <w:rPr>
          <w:rFonts w:ascii="Palatino Linotype" w:eastAsia="Palatino Linotype" w:hAnsi="Palatino Linotype" w:cs="Palatino Linotype"/>
          <w:i/>
        </w:rPr>
        <w:t xml:space="preserve"> al otro número de la pareja.”</w:t>
      </w:r>
    </w:p>
    <w:p w:rsidR="0087135F" w:rsidRPr="00D60C9B" w:rsidRDefault="0087135F" w:rsidP="00A37E66">
      <w:pPr>
        <w:ind w:right="-929"/>
        <w:jc w:val="both"/>
        <w:rPr>
          <w:rFonts w:ascii="Palatino Linotype" w:eastAsia="Palatino Linotype" w:hAnsi="Palatino Linotype" w:cs="Palatino Linotype"/>
          <w:i/>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Es decir, por sí solos las cadenas originales y los sellos originales no contienen datos personales confidenciales, por lo que se considera que </w:t>
      </w:r>
      <w:r w:rsidRPr="00D60C9B">
        <w:rPr>
          <w:rFonts w:ascii="Palatino Linotype" w:eastAsia="Palatino Linotype" w:hAnsi="Palatino Linotype" w:cs="Palatino Linotype"/>
          <w:b/>
          <w:color w:val="000000"/>
        </w:rPr>
        <w:t>no actualizan el supuesto de confidencialidad previsto en el artículo 143, fracción I</w:t>
      </w:r>
      <w:r w:rsidRPr="00D60C9B">
        <w:rPr>
          <w:rFonts w:ascii="Palatino Linotype" w:eastAsia="Palatino Linotype" w:hAnsi="Palatino Linotype" w:cs="Palatino Linotype"/>
          <w:color w:val="000000"/>
        </w:rPr>
        <w:t>, de la Ley de Transparencia y Acceso a la Información Pública del Estado de México y Municipios y, por el contrario, son información que permite corroborar la legitimidad de la factura, de ser el caso, por lo que guardan el carácter de público.</w:t>
      </w:r>
    </w:p>
    <w:p w:rsidR="0087135F" w:rsidRPr="00D60C9B" w:rsidRDefault="0087135F" w:rsidP="00A37E66">
      <w:pPr>
        <w:spacing w:line="360" w:lineRule="auto"/>
        <w:ind w:right="-929"/>
        <w:jc w:val="both"/>
        <w:rPr>
          <w:rFonts w:ascii="Palatino Linotype" w:eastAsia="Palatino Linotype" w:hAnsi="Palatino Linotype" w:cs="Palatino Linotype"/>
          <w:b/>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Por otra parte, por lo que hace al </w:t>
      </w:r>
      <w:r w:rsidRPr="00D60C9B">
        <w:rPr>
          <w:rFonts w:ascii="Palatino Linotype" w:eastAsia="Palatino Linotype" w:hAnsi="Palatino Linotype" w:cs="Palatino Linotype"/>
          <w:b/>
          <w:color w:val="000000"/>
        </w:rPr>
        <w:t>número de serie de los certificados de Sello Digitales del emisor y del Servicio de Administración Tributaria</w:t>
      </w:r>
      <w:r w:rsidRPr="00D60C9B">
        <w:rPr>
          <w:rFonts w:ascii="Palatino Linotype" w:eastAsia="Palatino Linotype" w:hAnsi="Palatino Linotype" w:cs="Palatino Linotype"/>
          <w:color w:val="000000"/>
        </w:rPr>
        <w:t xml:space="preserve">, el ANEXO 20 de la </w:t>
      </w:r>
      <w:r w:rsidRPr="00D60C9B">
        <w:rPr>
          <w:rFonts w:ascii="Palatino Linotype" w:eastAsia="Palatino Linotype" w:hAnsi="Palatino Linotype" w:cs="Palatino Linotype"/>
          <w:color w:val="000000"/>
        </w:rPr>
        <w:lastRenderedPageBreak/>
        <w:t xml:space="preserve">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32">
        <w:r w:rsidRPr="00D60C9B">
          <w:rPr>
            <w:rFonts w:ascii="Palatino Linotype" w:eastAsia="Palatino Linotype" w:hAnsi="Palatino Linotype" w:cs="Palatino Linotype"/>
            <w:color w:val="000000"/>
          </w:rPr>
          <w:t>https://portalanterior.ine.mx/archivos2/tutoriales/sistemas/ApoyoInstitucional/SIF/docs/candidatos/folioFiscalFactura.pdf</w:t>
        </w:r>
      </w:hyperlink>
      <w:r w:rsidRPr="00D60C9B">
        <w:rPr>
          <w:rFonts w:ascii="Palatino Linotype" w:eastAsia="Palatino Linotype" w:hAnsi="Palatino Linotype" w:cs="Palatino Linotype"/>
          <w:color w:val="000000"/>
        </w:rPr>
        <w:t>), en la cual se advierte que únicamente se encuentra conformado por números, se muestra a continuación:</w:t>
      </w:r>
    </w:p>
    <w:p w:rsidR="00A37E66" w:rsidRPr="00D60C9B" w:rsidRDefault="00A37E66" w:rsidP="00A37E66">
      <w:pPr>
        <w:spacing w:line="360" w:lineRule="auto"/>
        <w:ind w:right="-929"/>
        <w:jc w:val="center"/>
        <w:rPr>
          <w:rFonts w:ascii="Palatino Linotype" w:eastAsia="Palatino Linotype" w:hAnsi="Palatino Linotype" w:cs="Palatino Linotype"/>
        </w:rPr>
      </w:pPr>
      <w:r w:rsidRPr="00D60C9B">
        <w:rPr>
          <w:rFonts w:ascii="Palatino Linotype" w:hAnsi="Palatino Linotype"/>
          <w:noProof/>
          <w:lang w:val="es-MX" w:eastAsia="es-MX"/>
        </w:rPr>
        <mc:AlternateContent>
          <mc:Choice Requires="wps">
            <w:drawing>
              <wp:anchor distT="0" distB="0" distL="114300" distR="114300" simplePos="0" relativeHeight="251661312" behindDoc="0" locked="0" layoutInCell="1" hidden="0" allowOverlap="1">
                <wp:simplePos x="0" y="0"/>
                <wp:positionH relativeFrom="column">
                  <wp:posOffset>968375</wp:posOffset>
                </wp:positionH>
                <wp:positionV relativeFrom="paragraph">
                  <wp:posOffset>579755</wp:posOffset>
                </wp:positionV>
                <wp:extent cx="3085674" cy="342464"/>
                <wp:effectExtent l="0" t="0" r="0" b="0"/>
                <wp:wrapNone/>
                <wp:docPr id="72" name="Rectángulo 72"/>
                <wp:cNvGraphicFramePr/>
                <a:graphic xmlns:a="http://schemas.openxmlformats.org/drawingml/2006/main">
                  <a:graphicData uri="http://schemas.microsoft.com/office/word/2010/wordprocessingShape">
                    <wps:wsp>
                      <wps:cNvSpPr/>
                      <wps:spPr>
                        <a:xfrm>
                          <a:off x="0" y="0"/>
                          <a:ext cx="3085674" cy="342464"/>
                        </a:xfrm>
                        <a:prstGeom prst="rect">
                          <a:avLst/>
                        </a:prstGeom>
                        <a:noFill/>
                        <a:ln w="28575" cap="flat" cmpd="sng">
                          <a:solidFill>
                            <a:srgbClr val="000000"/>
                          </a:solidFill>
                          <a:prstDash val="solid"/>
                          <a:miter lim="800000"/>
                          <a:headEnd type="none" w="sm" len="sm"/>
                          <a:tailEnd type="none" w="sm" len="sm"/>
                        </a:ln>
                      </wps:spPr>
                      <wps:txbx>
                        <w:txbxContent>
                          <w:p w:rsidR="0087135F" w:rsidRDefault="0087135F">
                            <w:pPr>
                              <w:textDirection w:val="btLr"/>
                            </w:pPr>
                          </w:p>
                        </w:txbxContent>
                      </wps:txbx>
                      <wps:bodyPr spcFirstLastPara="1" wrap="square" lIns="91425" tIns="91425" rIns="91425" bIns="91425" anchor="ctr" anchorCtr="0">
                        <a:noAutofit/>
                      </wps:bodyPr>
                    </wps:wsp>
                  </a:graphicData>
                </a:graphic>
              </wp:anchor>
            </w:drawing>
          </mc:Choice>
          <mc:Fallback>
            <w:pict>
              <v:rect id="Rectángulo 72" o:spid="_x0000_s1029" style="position:absolute;left:0;text-align:left;margin-left:76.25pt;margin-top:45.65pt;width:242.95pt;height:26.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" filled="f" strokeweight="2.25pt">
                <v:stroke startarrowwidth="narrow" startarrowlength="short" endarrowwidth="narrow" endarrowlength="short"/>
                <v:textbox inset="2.53958mm,2.53958mm,2.53958mm,2.53958mm">
                  <w:txbxContent>
                    <w:p w:rsidR="0087135F" w:rsidRDefault="0087135F">
                      <w:pPr>
                        <w:textDirection w:val="btLr"/>
                      </w:pPr>
                    </w:p>
                  </w:txbxContent>
                </v:textbox>
              </v:rect>
            </w:pict>
          </mc:Fallback>
        </mc:AlternateContent>
      </w:r>
      <w:r w:rsidR="0073782B" w:rsidRPr="00D60C9B">
        <w:rPr>
          <w:rFonts w:ascii="Palatino Linotype" w:eastAsia="Palatino Linotype" w:hAnsi="Palatino Linotype" w:cs="Palatino Linotype"/>
          <w:noProof/>
          <w:lang w:val="es-MX" w:eastAsia="es-MX"/>
        </w:rPr>
        <w:drawing>
          <wp:inline distT="0" distB="0" distL="0" distR="0">
            <wp:extent cx="4798864" cy="896339"/>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4798864" cy="896339"/>
                    </a:xfrm>
                    <a:prstGeom prst="rect">
                      <a:avLst/>
                    </a:prstGeom>
                    <a:ln/>
                  </pic:spPr>
                </pic:pic>
              </a:graphicData>
            </a:graphic>
          </wp:inline>
        </w:drawing>
      </w:r>
    </w:p>
    <w:p w:rsidR="0087135F" w:rsidRPr="00D60C9B" w:rsidRDefault="0087135F" w:rsidP="00A37E66">
      <w:pPr>
        <w:spacing w:line="360" w:lineRule="auto"/>
        <w:ind w:right="-929"/>
        <w:jc w:val="center"/>
        <w:rPr>
          <w:rFonts w:ascii="Palatino Linotype" w:eastAsia="Palatino Linotype" w:hAnsi="Palatino Linotype" w:cs="Palatino Linotype"/>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Cómo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lo anteriormente expuesto se determina </w:t>
      </w:r>
      <w:r w:rsidRPr="00D60C9B">
        <w:rPr>
          <w:rFonts w:ascii="Palatino Linotype" w:eastAsia="Palatino Linotype" w:hAnsi="Palatino Linotype" w:cs="Palatino Linotype"/>
          <w:b/>
          <w:color w:val="000000"/>
        </w:rPr>
        <w:t xml:space="preserve">REVOCAR </w:t>
      </w:r>
      <w:r w:rsidRPr="00D60C9B">
        <w:rPr>
          <w:rFonts w:ascii="Palatino Linotype" w:eastAsia="Palatino Linotype" w:hAnsi="Palatino Linotype" w:cs="Palatino Linotype"/>
          <w:color w:val="000000"/>
        </w:rPr>
        <w:t xml:space="preserve">la respuesta del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en el recurso de revisión </w:t>
      </w:r>
      <w:r w:rsidRPr="00D60C9B">
        <w:rPr>
          <w:rFonts w:ascii="Palatino Linotype" w:eastAsia="Palatino Linotype" w:hAnsi="Palatino Linotype" w:cs="Palatino Linotype"/>
          <w:b/>
          <w:color w:val="000000"/>
        </w:rPr>
        <w:t xml:space="preserve">03789/INFOEM/IP/RR/2025. </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7135F" w:rsidRPr="00D60C9B" w:rsidRDefault="0087135F" w:rsidP="00A37E66">
      <w:pPr>
        <w:rPr>
          <w:rFonts w:ascii="Palatino Linotype" w:eastAsia="Palatino Linotype" w:hAnsi="Palatino Linotype" w:cs="Palatino Linotype"/>
        </w:rPr>
      </w:pPr>
    </w:p>
    <w:p w:rsidR="0087135F" w:rsidRPr="00D60C9B" w:rsidRDefault="0073782B" w:rsidP="00A37E66">
      <w:pPr>
        <w:keepNext/>
        <w:keepLines/>
        <w:spacing w:after="160" w:line="360" w:lineRule="auto"/>
        <w:rPr>
          <w:rFonts w:ascii="Palatino Linotype" w:eastAsia="Palatino Linotype" w:hAnsi="Palatino Linotype" w:cs="Palatino Linotype"/>
          <w:b/>
          <w:color w:val="000000"/>
        </w:rPr>
      </w:pPr>
      <w:r w:rsidRPr="00D60C9B">
        <w:rPr>
          <w:rFonts w:ascii="Palatino Linotype" w:eastAsia="Palatino Linotype" w:hAnsi="Palatino Linotype" w:cs="Palatino Linotype"/>
          <w:b/>
          <w:color w:val="000000"/>
        </w:rPr>
        <w:t>QUINTO. De la versión pública.</w:t>
      </w:r>
    </w:p>
    <w:p w:rsidR="0087135F" w:rsidRPr="00D60C9B" w:rsidRDefault="0073782B" w:rsidP="00A37E66">
      <w:pPr>
        <w:keepNext/>
        <w:keepLines/>
        <w:numPr>
          <w:ilvl w:val="0"/>
          <w:numId w:val="1"/>
        </w:numPr>
        <w:tabs>
          <w:tab w:val="left" w:pos="284"/>
        </w:tabs>
        <w:spacing w:after="160" w:line="360" w:lineRule="auto"/>
        <w:ind w:left="0"/>
        <w:rPr>
          <w:rFonts w:ascii="Palatino Linotype" w:eastAsia="Palatino Linotype" w:hAnsi="Palatino Linotype" w:cs="Palatino Linotype"/>
          <w:b/>
          <w:color w:val="000000"/>
        </w:rPr>
      </w:pPr>
      <w:bookmarkStart w:id="10" w:name="_heading=h.lnxbz9" w:colFirst="0" w:colLast="0"/>
      <w:bookmarkEnd w:id="10"/>
      <w:r w:rsidRPr="00D60C9B">
        <w:rPr>
          <w:rFonts w:ascii="Palatino Linotype" w:eastAsia="Palatino Linotype" w:hAnsi="Palatino Linotype" w:cs="Palatino Linotype"/>
          <w:b/>
          <w:color w:val="000000"/>
        </w:rPr>
        <w:t xml:space="preserve">Nociones generales. </w:t>
      </w:r>
    </w:p>
    <w:p w:rsidR="0087135F" w:rsidRPr="00D60C9B" w:rsidRDefault="0073782B" w:rsidP="00A37E66">
      <w:pPr>
        <w:numPr>
          <w:ilvl w:val="0"/>
          <w:numId w:val="7"/>
        </w:numPr>
        <w:spacing w:line="360" w:lineRule="auto"/>
        <w:ind w:left="0" w:right="49" w:firstLine="0"/>
        <w:jc w:val="both"/>
        <w:rPr>
          <w:rFonts w:ascii="Palatino Linotype" w:eastAsia="Times New Roman" w:hAnsi="Palatino Linotype" w:cs="Times New Roman"/>
          <w:color w:val="000000"/>
        </w:rPr>
      </w:pPr>
      <w:r w:rsidRPr="00D60C9B">
        <w:rPr>
          <w:rFonts w:ascii="Palatino Linotype" w:eastAsia="Palatino Linotype" w:hAnsi="Palatino Linotype" w:cs="Palatino Linotype"/>
          <w:color w:val="000000"/>
        </w:rPr>
        <w:t xml:space="preserve">Debe destacarse, que debido a la información solicitada por el </w:t>
      </w:r>
      <w:r w:rsidRPr="00D60C9B">
        <w:rPr>
          <w:rFonts w:ascii="Palatino Linotype" w:eastAsia="Palatino Linotype" w:hAnsi="Palatino Linotype" w:cs="Palatino Linotype"/>
          <w:b/>
          <w:color w:val="000000"/>
        </w:rPr>
        <w:t xml:space="preserve">RECURRENTE, pueden obrar </w:t>
      </w:r>
      <w:r w:rsidRPr="00D60C9B">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D60C9B">
        <w:rPr>
          <w:rFonts w:ascii="Palatino Linotype" w:eastAsia="Palatino Linotype" w:hAnsi="Palatino Linotype" w:cs="Palatino Linotype"/>
          <w:b/>
          <w:color w:val="000000"/>
        </w:rPr>
        <w:t xml:space="preserve">SUJETO OBLIGADO </w:t>
      </w:r>
      <w:r w:rsidRPr="00D60C9B">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87135F" w:rsidRPr="00D60C9B" w:rsidRDefault="0087135F" w:rsidP="00A37E66">
      <w:pPr>
        <w:tabs>
          <w:tab w:val="left" w:pos="0"/>
          <w:tab w:val="left" w:pos="284"/>
        </w:tabs>
        <w:spacing w:line="360" w:lineRule="auto"/>
        <w:ind w:right="49"/>
        <w:jc w:val="both"/>
        <w:rPr>
          <w:rFonts w:ascii="Palatino Linotype" w:eastAsia="Palatino Linotype" w:hAnsi="Palatino Linotype" w:cs="Palatino Linotype"/>
        </w:rPr>
      </w:pPr>
    </w:p>
    <w:p w:rsidR="0087135F" w:rsidRPr="00D60C9B" w:rsidRDefault="0073782B" w:rsidP="00A37E66">
      <w:pPr>
        <w:numPr>
          <w:ilvl w:val="0"/>
          <w:numId w:val="7"/>
        </w:numPr>
        <w:spacing w:line="360" w:lineRule="auto"/>
        <w:ind w:left="0" w:right="49" w:firstLine="0"/>
        <w:jc w:val="both"/>
        <w:rPr>
          <w:rFonts w:ascii="Palatino Linotype" w:eastAsia="Times New Roman" w:hAnsi="Palatino Linotype" w:cs="Times New Roman"/>
          <w:color w:val="000000"/>
        </w:rPr>
      </w:pPr>
      <w:r w:rsidRPr="00D60C9B">
        <w:rPr>
          <w:rFonts w:ascii="Palatino Linotype" w:eastAsia="Palatino Linotype" w:hAnsi="Palatino Linotype" w:cs="Palatino Linotype"/>
          <w:color w:val="000000"/>
        </w:rPr>
        <w:t>No pasa desapercibido para este Órgano Garante que los sujetos obligados</w:t>
      </w:r>
      <w:r w:rsidRPr="00D60C9B">
        <w:rPr>
          <w:rFonts w:ascii="Palatino Linotype" w:eastAsia="Palatino Linotype" w:hAnsi="Palatino Linotype" w:cs="Palatino Linotype"/>
          <w:b/>
          <w:color w:val="000000"/>
        </w:rPr>
        <w:t xml:space="preserve"> </w:t>
      </w:r>
      <w:r w:rsidRPr="00D60C9B">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7135F" w:rsidRPr="00D60C9B" w:rsidRDefault="0087135F" w:rsidP="00A37E66">
      <w:pPr>
        <w:tabs>
          <w:tab w:val="left" w:pos="284"/>
        </w:tabs>
        <w:spacing w:after="160" w:line="360" w:lineRule="auto"/>
        <w:ind w:right="49"/>
        <w:jc w:val="both"/>
        <w:rPr>
          <w:rFonts w:ascii="Palatino Linotype" w:eastAsia="Palatino Linotype" w:hAnsi="Palatino Linotype" w:cs="Palatino Linotype"/>
          <w:color w:val="000000"/>
        </w:rPr>
      </w:pPr>
    </w:p>
    <w:tbl>
      <w:tblPr>
        <w:tblStyle w:val="a2"/>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87135F" w:rsidRPr="00D60C9B">
        <w:tc>
          <w:tcPr>
            <w:tcW w:w="2689" w:type="dxa"/>
          </w:tcPr>
          <w:p w:rsidR="0087135F" w:rsidRPr="00D60C9B" w:rsidRDefault="0073782B" w:rsidP="00A37E66">
            <w:pPr>
              <w:tabs>
                <w:tab w:val="left" w:pos="284"/>
              </w:tabs>
              <w:spacing w:line="360" w:lineRule="auto"/>
              <w:rPr>
                <w:rFonts w:ascii="Palatino Linotype" w:eastAsia="Palatino Linotype" w:hAnsi="Palatino Linotype" w:cs="Palatino Linotype"/>
              </w:rPr>
            </w:pPr>
            <w:r w:rsidRPr="00D60C9B">
              <w:rPr>
                <w:rFonts w:ascii="Palatino Linotype" w:eastAsia="Palatino Linotype" w:hAnsi="Palatino Linotype" w:cs="Palatino Linotype"/>
              </w:rPr>
              <w:t>a) Requisitos previos.</w:t>
            </w:r>
          </w:p>
        </w:tc>
        <w:tc>
          <w:tcPr>
            <w:tcW w:w="6520" w:type="dxa"/>
          </w:tcPr>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w:t>
            </w:r>
            <w:r w:rsidRPr="00D60C9B">
              <w:rPr>
                <w:rFonts w:ascii="Palatino Linotype" w:eastAsia="Palatino Linotype" w:hAnsi="Palatino Linotype" w:cs="Palatino Linotype"/>
                <w:color w:val="000000"/>
              </w:rPr>
              <w:lastRenderedPageBreak/>
              <w:t xml:space="preserve">áreas proponer su clasificación y no del Comité de Transparencia. </w:t>
            </w:r>
          </w:p>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Al hacerlo tienen que precisar de qué información se trata, señalando el supuesto de </w:t>
            </w:r>
            <w:proofErr w:type="spellStart"/>
            <w:r w:rsidRPr="00D60C9B">
              <w:rPr>
                <w:rFonts w:ascii="Palatino Linotype" w:eastAsia="Palatino Linotype" w:hAnsi="Palatino Linotype" w:cs="Palatino Linotype"/>
                <w:color w:val="000000"/>
              </w:rPr>
              <w:t>gclasificación</w:t>
            </w:r>
            <w:proofErr w:type="spellEnd"/>
            <w:r w:rsidRPr="00D60C9B">
              <w:rPr>
                <w:rFonts w:ascii="Palatino Linotype" w:eastAsia="Palatino Linotype" w:hAnsi="Palatino Linotype" w:cs="Palatino Linotype"/>
                <w:color w:val="000000"/>
              </w:rPr>
              <w:t xml:space="preserve"> (confidencialidad o reserva).</w:t>
            </w:r>
          </w:p>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87135F" w:rsidRPr="00D60C9B" w:rsidRDefault="0073782B" w:rsidP="00A37E66">
            <w:pPr>
              <w:tabs>
                <w:tab w:val="left" w:pos="284"/>
              </w:tabs>
              <w:spacing w:line="360" w:lineRule="auto"/>
              <w:jc w:val="both"/>
              <w:rPr>
                <w:rFonts w:ascii="Palatino Linotype" w:eastAsia="Palatino Linotype" w:hAnsi="Palatino Linotype" w:cs="Palatino Linotype"/>
              </w:rPr>
            </w:pPr>
            <w:r w:rsidRPr="00D60C9B">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60C9B">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D60C9B">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87135F" w:rsidRPr="00D60C9B">
        <w:tc>
          <w:tcPr>
            <w:tcW w:w="2689" w:type="dxa"/>
          </w:tcPr>
          <w:p w:rsidR="0087135F" w:rsidRPr="00D60C9B" w:rsidRDefault="0073782B" w:rsidP="00A37E66">
            <w:pPr>
              <w:tabs>
                <w:tab w:val="left" w:pos="284"/>
              </w:tabs>
              <w:spacing w:line="360" w:lineRule="auto"/>
              <w:rPr>
                <w:rFonts w:ascii="Palatino Linotype" w:eastAsia="Palatino Linotype" w:hAnsi="Palatino Linotype" w:cs="Palatino Linotype"/>
              </w:rPr>
            </w:pPr>
            <w:r w:rsidRPr="00D60C9B">
              <w:rPr>
                <w:rFonts w:ascii="Palatino Linotype" w:eastAsia="Palatino Linotype" w:hAnsi="Palatino Linotype" w:cs="Palatino Linotype"/>
              </w:rPr>
              <w:lastRenderedPageBreak/>
              <w:t>b) Supuestos de clasificación.</w:t>
            </w:r>
          </w:p>
        </w:tc>
        <w:tc>
          <w:tcPr>
            <w:tcW w:w="6520" w:type="dxa"/>
          </w:tcPr>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w:t>
            </w:r>
            <w:r w:rsidRPr="00D60C9B">
              <w:rPr>
                <w:rFonts w:ascii="Palatino Linotype" w:eastAsia="Palatino Linotype" w:hAnsi="Palatino Linotype" w:cs="Palatino Linotype"/>
                <w:color w:val="000000"/>
              </w:rPr>
              <w:lastRenderedPageBreak/>
              <w:t>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7135F" w:rsidRPr="00D60C9B" w:rsidRDefault="0073782B" w:rsidP="00A37E66">
            <w:pPr>
              <w:tabs>
                <w:tab w:val="left" w:pos="284"/>
              </w:tabs>
              <w:spacing w:line="360" w:lineRule="auto"/>
              <w:jc w:val="both"/>
              <w:rPr>
                <w:rFonts w:ascii="Palatino Linotype" w:eastAsia="Palatino Linotype" w:hAnsi="Palatino Linotype" w:cs="Palatino Linotype"/>
              </w:rPr>
            </w:pPr>
            <w:r w:rsidRPr="00D60C9B">
              <w:rPr>
                <w:rFonts w:ascii="Palatino Linotype" w:eastAsia="Palatino Linotype" w:hAnsi="Palatino Linotype" w:cs="Palatino Linotype"/>
                <w:color w:val="000000"/>
              </w:rPr>
              <w:t xml:space="preserve">El </w:t>
            </w:r>
            <w:r w:rsidRPr="00D60C9B">
              <w:rPr>
                <w:rFonts w:ascii="Palatino Linotype" w:eastAsia="Palatino Linotype" w:hAnsi="Palatino Linotype" w:cs="Palatino Linotype"/>
                <w:b/>
                <w:color w:val="000000"/>
              </w:rPr>
              <w:t>Sujeto Obligado</w:t>
            </w:r>
            <w:r w:rsidRPr="00D60C9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7135F" w:rsidRPr="00D60C9B">
        <w:tc>
          <w:tcPr>
            <w:tcW w:w="2689" w:type="dxa"/>
          </w:tcPr>
          <w:p w:rsidR="0087135F" w:rsidRPr="00D60C9B" w:rsidRDefault="0073782B" w:rsidP="00A37E66">
            <w:pPr>
              <w:tabs>
                <w:tab w:val="left" w:pos="284"/>
              </w:tabs>
              <w:spacing w:line="360" w:lineRule="auto"/>
              <w:rPr>
                <w:rFonts w:ascii="Palatino Linotype" w:eastAsia="Palatino Linotype" w:hAnsi="Palatino Linotype" w:cs="Palatino Linotype"/>
              </w:rPr>
            </w:pPr>
            <w:r w:rsidRPr="00D60C9B">
              <w:rPr>
                <w:rFonts w:ascii="Palatino Linotype" w:eastAsia="Palatino Linotype" w:hAnsi="Palatino Linotype" w:cs="Palatino Linotype"/>
              </w:rPr>
              <w:lastRenderedPageBreak/>
              <w:t>c) Formalidades para emitir el acuerdo de clasificación.</w:t>
            </w:r>
          </w:p>
        </w:tc>
        <w:tc>
          <w:tcPr>
            <w:tcW w:w="6520" w:type="dxa"/>
          </w:tcPr>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Es necesario que </w:t>
            </w:r>
            <w:r w:rsidRPr="00D60C9B">
              <w:rPr>
                <w:rFonts w:ascii="Palatino Linotype" w:eastAsia="Palatino Linotype" w:hAnsi="Palatino Linotype" w:cs="Palatino Linotype"/>
                <w:b/>
                <w:color w:val="000000"/>
                <w:u w:val="single"/>
              </w:rPr>
              <w:t>el acto reúna con los requisitos elementales</w:t>
            </w:r>
            <w:r w:rsidRPr="00D60C9B">
              <w:rPr>
                <w:rFonts w:ascii="Palatino Linotype" w:eastAsia="Palatino Linotype" w:hAnsi="Palatino Linotype" w:cs="Palatino Linotype"/>
                <w:color w:val="000000"/>
              </w:rPr>
              <w:t>, entre ellos, que la autoridad que va a emitir el acto de autoridad sea la legalmente facultada para ello.</w:t>
            </w:r>
          </w:p>
          <w:p w:rsidR="0087135F" w:rsidRPr="00D60C9B" w:rsidRDefault="0073782B" w:rsidP="00A37E66">
            <w:pPr>
              <w:tabs>
                <w:tab w:val="left" w:pos="284"/>
              </w:tabs>
              <w:spacing w:line="360" w:lineRule="auto"/>
              <w:jc w:val="both"/>
              <w:rPr>
                <w:rFonts w:ascii="Palatino Linotype" w:eastAsia="Palatino Linotype" w:hAnsi="Palatino Linotype" w:cs="Palatino Linotype"/>
              </w:rPr>
            </w:pPr>
            <w:r w:rsidRPr="00D60C9B">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w:t>
            </w:r>
            <w:r w:rsidRPr="00D60C9B">
              <w:rPr>
                <w:rFonts w:ascii="Palatino Linotype" w:eastAsia="Palatino Linotype" w:hAnsi="Palatino Linotype" w:cs="Palatino Linotype"/>
                <w:color w:val="000000"/>
              </w:rPr>
              <w:lastRenderedPageBreak/>
              <w:t>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7135F" w:rsidRPr="00D60C9B">
        <w:tc>
          <w:tcPr>
            <w:tcW w:w="2689" w:type="dxa"/>
          </w:tcPr>
          <w:p w:rsidR="0087135F" w:rsidRPr="00D60C9B" w:rsidRDefault="0087135F" w:rsidP="00A37E66">
            <w:pPr>
              <w:tabs>
                <w:tab w:val="left" w:pos="284"/>
              </w:tabs>
              <w:spacing w:line="360" w:lineRule="auto"/>
              <w:rPr>
                <w:rFonts w:ascii="Palatino Linotype" w:eastAsia="Palatino Linotype" w:hAnsi="Palatino Linotype" w:cs="Palatino Linotype"/>
              </w:rPr>
            </w:pPr>
          </w:p>
          <w:p w:rsidR="0087135F" w:rsidRPr="00D60C9B" w:rsidRDefault="0073782B" w:rsidP="00A37E66">
            <w:pPr>
              <w:tabs>
                <w:tab w:val="left" w:pos="284"/>
              </w:tabs>
              <w:spacing w:line="360" w:lineRule="auto"/>
              <w:jc w:val="both"/>
              <w:rPr>
                <w:rFonts w:ascii="Palatino Linotype" w:eastAsia="Palatino Linotype" w:hAnsi="Palatino Linotype" w:cs="Palatino Linotype"/>
              </w:rPr>
            </w:pPr>
            <w:r w:rsidRPr="00D60C9B">
              <w:rPr>
                <w:rFonts w:ascii="Palatino Linotype" w:eastAsia="Palatino Linotype" w:hAnsi="Palatino Linotype" w:cs="Palatino Linotype"/>
                <w:color w:val="000000"/>
              </w:rPr>
              <w:t xml:space="preserve">d) Requisitos de fondo del acuerdo de clasificación. </w:t>
            </w:r>
          </w:p>
        </w:tc>
        <w:tc>
          <w:tcPr>
            <w:tcW w:w="6520" w:type="dxa"/>
          </w:tcPr>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60C9B">
              <w:rPr>
                <w:rFonts w:ascii="Palatino Linotype" w:eastAsia="Palatino Linotype" w:hAnsi="Palatino Linotype" w:cs="Palatino Linotype"/>
                <w:b/>
                <w:color w:val="000000"/>
              </w:rPr>
              <w:t>Sujetos Obligados</w:t>
            </w:r>
            <w:r w:rsidRPr="00D60C9B">
              <w:rPr>
                <w:rFonts w:ascii="Palatino Linotype" w:eastAsia="Palatino Linotype" w:hAnsi="Palatino Linotype" w:cs="Palatino Linotype"/>
                <w:color w:val="000000"/>
              </w:rPr>
              <w:t xml:space="preserve">, por lo que deberán fundar y motivar debidamente la clasificación. </w:t>
            </w:r>
          </w:p>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De lo anterior, se desprende que para una correcta </w:t>
            </w:r>
            <w:r w:rsidRPr="00D60C9B">
              <w:rPr>
                <w:rFonts w:ascii="Palatino Linotype" w:eastAsia="Palatino Linotype" w:hAnsi="Palatino Linotype" w:cs="Palatino Linotype"/>
                <w:b/>
                <w:color w:val="000000"/>
              </w:rPr>
              <w:t>clasificación total o parcial</w:t>
            </w:r>
            <w:r w:rsidRPr="00D60C9B">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Así, en un acto de autoridad se cumple con la debida fundamentación cuando se cita el precepto legal aplicable </w:t>
            </w:r>
            <w:r w:rsidRPr="00D60C9B">
              <w:rPr>
                <w:rFonts w:ascii="Palatino Linotype" w:eastAsia="Palatino Linotype" w:hAnsi="Palatino Linotype" w:cs="Palatino Linotype"/>
                <w:color w:val="000000"/>
              </w:rPr>
              <w:lastRenderedPageBreak/>
              <w:t>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t xml:space="preserve">Ahora bien, </w:t>
            </w:r>
            <w:r w:rsidRPr="00D60C9B">
              <w:rPr>
                <w:rFonts w:ascii="Palatino Linotype" w:eastAsia="Palatino Linotype" w:hAnsi="Palatino Linotype" w:cs="Palatino Linotype"/>
                <w:b/>
                <w:color w:val="000000"/>
                <w:u w:val="single"/>
              </w:rPr>
              <w:t>para cada caso además de fundar y motivar</w:t>
            </w:r>
            <w:r w:rsidRPr="00D60C9B">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7135F" w:rsidRPr="00D60C9B">
        <w:tc>
          <w:tcPr>
            <w:tcW w:w="2689" w:type="dxa"/>
          </w:tcPr>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rPr>
            </w:pPr>
            <w:r w:rsidRPr="00D60C9B">
              <w:rPr>
                <w:rFonts w:ascii="Palatino Linotype" w:eastAsia="Palatino Linotype" w:hAnsi="Palatino Linotype" w:cs="Palatino Linotype"/>
              </w:rPr>
              <w:lastRenderedPageBreak/>
              <w:t xml:space="preserve">e) Condiciones especiales de la clasificación de la </w:t>
            </w:r>
            <w:r w:rsidRPr="00D60C9B">
              <w:rPr>
                <w:rFonts w:ascii="Palatino Linotype" w:eastAsia="Palatino Linotype" w:hAnsi="Palatino Linotype" w:cs="Palatino Linotype"/>
              </w:rPr>
              <w:lastRenderedPageBreak/>
              <w:t xml:space="preserve">información como confidencial. </w:t>
            </w:r>
          </w:p>
        </w:tc>
        <w:tc>
          <w:tcPr>
            <w:tcW w:w="6520" w:type="dxa"/>
          </w:tcPr>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lastRenderedPageBreak/>
              <w:t xml:space="preserve">Los artículos 148 y 120 de la Ley Estatal y de la Ley General, respectivamente, establecen que aun tratándose de datos personales, se podrán proporcionar, incluso sin solicitar el consentimiento de su titular. </w:t>
            </w:r>
          </w:p>
          <w:p w:rsidR="0087135F" w:rsidRPr="00D60C9B" w:rsidRDefault="0073782B" w:rsidP="00A37E66">
            <w:pPr>
              <w:tabs>
                <w:tab w:val="left" w:pos="284"/>
              </w:tabs>
              <w:spacing w:line="360" w:lineRule="auto"/>
              <w:ind w:right="49"/>
              <w:jc w:val="both"/>
              <w:rPr>
                <w:rFonts w:ascii="Palatino Linotype" w:eastAsia="Palatino Linotype" w:hAnsi="Palatino Linotype" w:cs="Palatino Linotype"/>
                <w:color w:val="000000"/>
              </w:rPr>
            </w:pPr>
            <w:r w:rsidRPr="00D60C9B">
              <w:rPr>
                <w:rFonts w:ascii="Palatino Linotype" w:eastAsia="Palatino Linotype" w:hAnsi="Palatino Linotype" w:cs="Palatino Linotype"/>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7135F" w:rsidRPr="00D60C9B" w:rsidRDefault="0073782B" w:rsidP="00A37E66">
            <w:pPr>
              <w:tabs>
                <w:tab w:val="left" w:pos="284"/>
              </w:tabs>
              <w:spacing w:line="360" w:lineRule="auto"/>
              <w:rPr>
                <w:rFonts w:ascii="Palatino Linotype" w:eastAsia="Palatino Linotype" w:hAnsi="Palatino Linotype" w:cs="Palatino Linotype"/>
              </w:rPr>
            </w:pPr>
            <w:r w:rsidRPr="00D60C9B">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7135F" w:rsidRPr="00D60C9B" w:rsidRDefault="0087135F" w:rsidP="00A37E66">
      <w:pPr>
        <w:tabs>
          <w:tab w:val="left" w:pos="284"/>
        </w:tabs>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spacing w:line="360" w:lineRule="auto"/>
        <w:ind w:left="0" w:right="49" w:firstLine="0"/>
        <w:jc w:val="both"/>
        <w:rPr>
          <w:rFonts w:ascii="Palatino Linotype" w:eastAsia="Times New Roman" w:hAnsi="Palatino Linotype" w:cs="Times New Roman"/>
        </w:rPr>
      </w:pPr>
      <w:r w:rsidRPr="00D60C9B">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rsidR="0087135F" w:rsidRPr="00D60C9B" w:rsidRDefault="0087135F" w:rsidP="00A37E66">
      <w:pPr>
        <w:spacing w:line="360" w:lineRule="auto"/>
        <w:jc w:val="both"/>
        <w:rPr>
          <w:rFonts w:ascii="Palatino Linotype" w:eastAsia="Palatino Linotype" w:hAnsi="Palatino Linotype" w:cs="Palatino Linotype"/>
          <w:color w:val="000000"/>
        </w:rPr>
      </w:pPr>
    </w:p>
    <w:p w:rsidR="0087135F" w:rsidRPr="00D60C9B" w:rsidRDefault="0073782B" w:rsidP="00A37E66">
      <w:pPr>
        <w:numPr>
          <w:ilvl w:val="0"/>
          <w:numId w:val="7"/>
        </w:numPr>
        <w:spacing w:line="360" w:lineRule="auto"/>
        <w:ind w:left="0" w:right="49" w:firstLine="0"/>
        <w:jc w:val="both"/>
        <w:rPr>
          <w:rFonts w:ascii="Palatino Linotype" w:eastAsia="Times New Roman" w:hAnsi="Palatino Linotype" w:cs="Times New Roman"/>
          <w:color w:val="000000"/>
        </w:rPr>
      </w:pPr>
      <w:r w:rsidRPr="00D60C9B">
        <w:rPr>
          <w:rFonts w:ascii="Palatino Linotype" w:eastAsia="Palatino Linotype" w:hAnsi="Palatino Linotype" w:cs="Palatino Linotype"/>
        </w:rPr>
        <w:t>Por lo anteriormente expuesto, este Órgano Garante considera fundadas las razones o motivos de inconformidad que plantea el</w:t>
      </w:r>
      <w:r w:rsidRPr="00D60C9B">
        <w:rPr>
          <w:rFonts w:ascii="Palatino Linotype" w:eastAsia="Palatino Linotype" w:hAnsi="Palatino Linotype" w:cs="Palatino Linotype"/>
          <w:b/>
        </w:rPr>
        <w:t xml:space="preserve"> RECURRENTE</w:t>
      </w:r>
      <w:r w:rsidRPr="00D60C9B">
        <w:rPr>
          <w:rFonts w:ascii="Palatino Linotype" w:eastAsia="Palatino Linotype" w:hAnsi="Palatino Linotype" w:cs="Palatino Linotype"/>
        </w:rPr>
        <w:t xml:space="preserve">, determinando </w:t>
      </w:r>
      <w:r w:rsidRPr="00D60C9B">
        <w:rPr>
          <w:rFonts w:ascii="Palatino Linotype" w:eastAsia="Palatino Linotype" w:hAnsi="Palatino Linotype" w:cs="Palatino Linotype"/>
          <w:b/>
          <w:smallCaps/>
        </w:rPr>
        <w:t xml:space="preserve">REVOCAR </w:t>
      </w:r>
      <w:r w:rsidRPr="00D60C9B">
        <w:rPr>
          <w:rFonts w:ascii="Palatino Linotype" w:eastAsia="Palatino Linotype" w:hAnsi="Palatino Linotype" w:cs="Palatino Linotype"/>
          <w:b/>
        </w:rPr>
        <w:t xml:space="preserve"> </w:t>
      </w:r>
      <w:r w:rsidRPr="00D60C9B">
        <w:rPr>
          <w:rFonts w:ascii="Palatino Linotype" w:eastAsia="Palatino Linotype" w:hAnsi="Palatino Linotype" w:cs="Palatino Linotype"/>
        </w:rPr>
        <w:t xml:space="preserve">las respuestas del </w:t>
      </w:r>
      <w:r w:rsidRPr="00D60C9B">
        <w:rPr>
          <w:rFonts w:ascii="Palatino Linotype" w:eastAsia="Palatino Linotype" w:hAnsi="Palatino Linotype" w:cs="Palatino Linotype"/>
          <w:b/>
        </w:rPr>
        <w:t>SUJETO OBLIGADO</w:t>
      </w:r>
      <w:r w:rsidRPr="00D60C9B">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w:t>
      </w:r>
      <w:r w:rsidRPr="00D60C9B">
        <w:rPr>
          <w:rFonts w:ascii="Palatino Linotype" w:eastAsia="Palatino Linotype" w:hAnsi="Palatino Linotype" w:cs="Palatino Linotype"/>
        </w:rPr>
        <w:lastRenderedPageBreak/>
        <w:t xml:space="preserve">a la Información Pública del Estado de México y Municipios, </w:t>
      </w:r>
      <w:r w:rsidRPr="00D60C9B">
        <w:rPr>
          <w:rFonts w:ascii="Palatino Linotype" w:eastAsia="Palatino Linotype" w:hAnsi="Palatino Linotype" w:cs="Palatino Linotype"/>
          <w:color w:val="000000"/>
        </w:rPr>
        <w:t xml:space="preserve">este </w:t>
      </w:r>
      <w:r w:rsidRPr="00D60C9B">
        <w:rPr>
          <w:rFonts w:ascii="Palatino Linotype" w:eastAsia="Palatino Linotype" w:hAnsi="Palatino Linotype" w:cs="Palatino Linotype"/>
          <w:b/>
          <w:color w:val="000000"/>
        </w:rPr>
        <w:t>ÓRGANO GARANTE</w:t>
      </w:r>
      <w:r w:rsidRPr="00D60C9B">
        <w:rPr>
          <w:rFonts w:ascii="Palatino Linotype" w:eastAsia="Palatino Linotype" w:hAnsi="Palatino Linotype" w:cs="Palatino Linotype"/>
          <w:color w:val="000000"/>
        </w:rPr>
        <w:t xml:space="preserve"> emite los siguientes.</w:t>
      </w:r>
    </w:p>
    <w:p w:rsidR="0087135F" w:rsidRPr="00D60C9B" w:rsidRDefault="0087135F" w:rsidP="00A37E66">
      <w:pPr>
        <w:pBdr>
          <w:top w:val="nil"/>
          <w:left w:val="nil"/>
          <w:bottom w:val="nil"/>
          <w:right w:val="nil"/>
          <w:between w:val="nil"/>
        </w:pBdr>
        <w:rPr>
          <w:rFonts w:ascii="Palatino Linotype" w:eastAsia="Times New Roman" w:hAnsi="Palatino Linotype" w:cs="Times New Roman"/>
          <w:color w:val="000000"/>
        </w:rPr>
      </w:pPr>
    </w:p>
    <w:p w:rsidR="0087135F" w:rsidRPr="00D60C9B" w:rsidRDefault="0087135F" w:rsidP="00A37E66">
      <w:pPr>
        <w:spacing w:line="360" w:lineRule="auto"/>
        <w:ind w:right="49"/>
        <w:jc w:val="both"/>
        <w:rPr>
          <w:rFonts w:ascii="Palatino Linotype" w:eastAsia="Times New Roman" w:hAnsi="Palatino Linotype" w:cs="Times New Roman"/>
          <w:color w:val="000000"/>
        </w:rPr>
      </w:pPr>
    </w:p>
    <w:p w:rsidR="0087135F" w:rsidRPr="00D60C9B" w:rsidRDefault="0073782B" w:rsidP="00A37E66">
      <w:pPr>
        <w:pStyle w:val="Ttulo1"/>
        <w:spacing w:before="0" w:line="360" w:lineRule="auto"/>
        <w:jc w:val="center"/>
        <w:rPr>
          <w:b w:val="0"/>
          <w:szCs w:val="24"/>
        </w:rPr>
      </w:pPr>
      <w:r w:rsidRPr="00D60C9B">
        <w:rPr>
          <w:szCs w:val="24"/>
        </w:rPr>
        <w:t>R E S O L U T I V O S</w:t>
      </w:r>
    </w:p>
    <w:p w:rsidR="0087135F" w:rsidRPr="00D60C9B" w:rsidRDefault="0087135F" w:rsidP="00A37E66">
      <w:pPr>
        <w:spacing w:line="360" w:lineRule="auto"/>
        <w:rPr>
          <w:rFonts w:ascii="Palatino Linotype" w:eastAsia="Palatino Linotype" w:hAnsi="Palatino Linotype" w:cs="Palatino Linotype"/>
        </w:rPr>
      </w:pPr>
    </w:p>
    <w:p w:rsidR="0087135F" w:rsidRPr="00D60C9B" w:rsidRDefault="0073782B" w:rsidP="00A37E66">
      <w:pPr>
        <w:spacing w:line="360" w:lineRule="auto"/>
        <w:jc w:val="both"/>
        <w:rPr>
          <w:rFonts w:ascii="Palatino Linotype" w:eastAsia="Palatino Linotype" w:hAnsi="Palatino Linotype" w:cs="Palatino Linotype"/>
        </w:rPr>
      </w:pPr>
      <w:r w:rsidRPr="00D60C9B">
        <w:rPr>
          <w:rFonts w:ascii="Palatino Linotype" w:eastAsia="Palatino Linotype" w:hAnsi="Palatino Linotype" w:cs="Palatino Linotype"/>
          <w:b/>
        </w:rPr>
        <w:t>PRIMERO</w:t>
      </w:r>
      <w:r w:rsidRPr="00D60C9B">
        <w:rPr>
          <w:rFonts w:ascii="Palatino Linotype" w:eastAsia="Palatino Linotype" w:hAnsi="Palatino Linotype" w:cs="Palatino Linotype"/>
        </w:rPr>
        <w:t xml:space="preserve">. Resultan fundadas las razones o motivos de inconformidad hechos valer en los Recursos de Revisión </w:t>
      </w:r>
      <w:r w:rsidRPr="00D60C9B">
        <w:rPr>
          <w:rFonts w:ascii="Palatino Linotype" w:eastAsia="Palatino Linotype" w:hAnsi="Palatino Linotype" w:cs="Palatino Linotype"/>
          <w:b/>
        </w:rPr>
        <w:t>3788</w:t>
      </w:r>
      <w:r w:rsidR="00D60C9B" w:rsidRPr="00D60C9B">
        <w:rPr>
          <w:rFonts w:ascii="Palatino Linotype" w:eastAsia="Palatino Linotype" w:hAnsi="Palatino Linotype" w:cs="Palatino Linotype"/>
          <w:b/>
        </w:rPr>
        <w:t>/</w:t>
      </w:r>
      <w:r w:rsidRPr="00D60C9B">
        <w:rPr>
          <w:rFonts w:ascii="Palatino Linotype" w:eastAsia="Palatino Linotype" w:hAnsi="Palatino Linotype" w:cs="Palatino Linotype"/>
          <w:b/>
        </w:rPr>
        <w:t>INFOEM/IP/RR/2025 y 3789/INFOEM/IP/RR/2025</w:t>
      </w:r>
      <w:r w:rsidRPr="00D60C9B">
        <w:rPr>
          <w:rFonts w:ascii="Palatino Linotype" w:eastAsia="Palatino Linotype" w:hAnsi="Palatino Linotype" w:cs="Palatino Linotype"/>
        </w:rPr>
        <w:t>,</w:t>
      </w:r>
      <w:r w:rsidRPr="00D60C9B">
        <w:rPr>
          <w:rFonts w:ascii="Palatino Linotype" w:eastAsia="Palatino Linotype" w:hAnsi="Palatino Linotype" w:cs="Palatino Linotype"/>
          <w:b/>
        </w:rPr>
        <w:t xml:space="preserve"> </w:t>
      </w:r>
      <w:r w:rsidRPr="00D60C9B">
        <w:rPr>
          <w:rFonts w:ascii="Palatino Linotype" w:eastAsia="Palatino Linotype" w:hAnsi="Palatino Linotype" w:cs="Palatino Linotype"/>
        </w:rPr>
        <w:t xml:space="preserve">en términos de los Considerandos </w:t>
      </w:r>
      <w:r w:rsidRPr="00D60C9B">
        <w:rPr>
          <w:rFonts w:ascii="Palatino Linotype" w:eastAsia="Palatino Linotype" w:hAnsi="Palatino Linotype" w:cs="Palatino Linotype"/>
          <w:b/>
        </w:rPr>
        <w:t xml:space="preserve">Cuarto y Quinto </w:t>
      </w:r>
      <w:r w:rsidRPr="00D60C9B">
        <w:rPr>
          <w:rFonts w:ascii="Palatino Linotype" w:eastAsia="Palatino Linotype" w:hAnsi="Palatino Linotype" w:cs="Palatino Linotype"/>
        </w:rPr>
        <w:t xml:space="preserve">de la presente resolución. </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spacing w:line="360" w:lineRule="auto"/>
        <w:jc w:val="both"/>
        <w:rPr>
          <w:rFonts w:ascii="Palatino Linotype" w:eastAsia="Palatino Linotype" w:hAnsi="Palatino Linotype" w:cs="Palatino Linotype"/>
          <w:b/>
        </w:rPr>
      </w:pPr>
      <w:bookmarkStart w:id="11" w:name="_heading=h.in7k66wjz9wz" w:colFirst="0" w:colLast="0"/>
      <w:bookmarkEnd w:id="11"/>
      <w:r w:rsidRPr="00D60C9B">
        <w:rPr>
          <w:rFonts w:ascii="Palatino Linotype" w:eastAsia="Palatino Linotype" w:hAnsi="Palatino Linotype" w:cs="Palatino Linotype"/>
          <w:b/>
        </w:rPr>
        <w:t xml:space="preserve">SEGUNDO. </w:t>
      </w:r>
      <w:r w:rsidRPr="00D60C9B">
        <w:rPr>
          <w:rFonts w:ascii="Palatino Linotype" w:eastAsia="Palatino Linotype" w:hAnsi="Palatino Linotype" w:cs="Palatino Linotype"/>
          <w:color w:val="000000"/>
        </w:rPr>
        <w:t xml:space="preserve">Se </w:t>
      </w:r>
      <w:r w:rsidRPr="00D60C9B">
        <w:rPr>
          <w:rFonts w:ascii="Palatino Linotype" w:eastAsia="Palatino Linotype" w:hAnsi="Palatino Linotype" w:cs="Palatino Linotype"/>
          <w:b/>
          <w:color w:val="000000"/>
        </w:rPr>
        <w:t xml:space="preserve">REVOCAN </w:t>
      </w:r>
      <w:r w:rsidRPr="00D60C9B">
        <w:rPr>
          <w:rFonts w:ascii="Palatino Linotype" w:eastAsia="Palatino Linotype" w:hAnsi="Palatino Linotype" w:cs="Palatino Linotype"/>
          <w:color w:val="000000"/>
        </w:rPr>
        <w:t xml:space="preserve">las respuestas emitidas por el </w:t>
      </w:r>
      <w:r w:rsidRPr="00D60C9B">
        <w:rPr>
          <w:rFonts w:ascii="Palatino Linotype" w:eastAsia="Palatino Linotype" w:hAnsi="Palatino Linotype" w:cs="Palatino Linotype"/>
          <w:b/>
          <w:color w:val="000000"/>
        </w:rPr>
        <w:t xml:space="preserve">Ayuntamiento de Toluca </w:t>
      </w:r>
      <w:r w:rsidRPr="00D60C9B">
        <w:rPr>
          <w:rFonts w:ascii="Palatino Linotype" w:eastAsia="Palatino Linotype" w:hAnsi="Palatino Linotype" w:cs="Palatino Linotype"/>
          <w:color w:val="000000"/>
        </w:rPr>
        <w:t xml:space="preserve">y se </w:t>
      </w:r>
      <w:r w:rsidRPr="00D60C9B">
        <w:rPr>
          <w:rFonts w:ascii="Palatino Linotype" w:eastAsia="Palatino Linotype" w:hAnsi="Palatino Linotype" w:cs="Palatino Linotype"/>
          <w:b/>
          <w:color w:val="000000"/>
        </w:rPr>
        <w:t>ORDENA</w:t>
      </w:r>
      <w:r w:rsidRPr="00D60C9B">
        <w:rPr>
          <w:rFonts w:ascii="Palatino Linotype" w:eastAsia="Palatino Linotype" w:hAnsi="Palatino Linotype" w:cs="Palatino Linotype"/>
          <w:color w:val="000000"/>
        </w:rPr>
        <w:t xml:space="preserve"> entregar vía Sistema de Acceso a la Información Mexiquense </w:t>
      </w:r>
      <w:r w:rsidRPr="00D60C9B">
        <w:rPr>
          <w:rFonts w:ascii="Palatino Linotype" w:eastAsia="Palatino Linotype" w:hAnsi="Palatino Linotype" w:cs="Palatino Linotype"/>
          <w:b/>
          <w:color w:val="000000"/>
        </w:rPr>
        <w:t>(SAIMEX)</w:t>
      </w:r>
      <w:r w:rsidRPr="00D60C9B">
        <w:rPr>
          <w:rFonts w:ascii="Palatino Linotype" w:eastAsia="Palatino Linotype" w:hAnsi="Palatino Linotype" w:cs="Palatino Linotype"/>
          <w:color w:val="000000"/>
        </w:rPr>
        <w:t xml:space="preserve">, en versión pública, la siguiente información. </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7135F" w:rsidRPr="00D60C9B" w:rsidRDefault="0073782B" w:rsidP="00A37E66">
      <w:pPr>
        <w:numPr>
          <w:ilvl w:val="0"/>
          <w:numId w:val="3"/>
        </w:numPr>
        <w:pBdr>
          <w:top w:val="nil"/>
          <w:left w:val="nil"/>
          <w:bottom w:val="nil"/>
          <w:right w:val="nil"/>
          <w:between w:val="nil"/>
        </w:pBdr>
        <w:spacing w:line="360" w:lineRule="auto"/>
        <w:ind w:left="0" w:right="851" w:firstLine="0"/>
        <w:jc w:val="both"/>
        <w:rPr>
          <w:rFonts w:ascii="Palatino Linotype" w:eastAsia="Palatino Linotype" w:hAnsi="Palatino Linotype" w:cs="Palatino Linotype"/>
          <w:b/>
          <w:i/>
          <w:color w:val="000000"/>
        </w:rPr>
      </w:pPr>
      <w:bookmarkStart w:id="12" w:name="_heading=h.68hanhok19kp" w:colFirst="0" w:colLast="0"/>
      <w:bookmarkEnd w:id="12"/>
      <w:r w:rsidRPr="00D60C9B">
        <w:rPr>
          <w:rFonts w:ascii="Palatino Linotype" w:eastAsia="Palatino Linotype" w:hAnsi="Palatino Linotype" w:cs="Palatino Linotype"/>
          <w:i/>
          <w:color w:val="000000"/>
        </w:rPr>
        <w:t>Documento donde conste o se advierta la Nómina del mes de la segunda quincena de enero y la primera de febrero de los servidores públicos adscritos a la Dirección General de Obras Públicas, en funciones al diecinueve de enero de dos mil veinticinco; y</w:t>
      </w:r>
    </w:p>
    <w:p w:rsidR="0087135F" w:rsidRPr="00D60C9B" w:rsidRDefault="0087135F" w:rsidP="00A37E66">
      <w:pPr>
        <w:pBdr>
          <w:top w:val="nil"/>
          <w:left w:val="nil"/>
          <w:bottom w:val="nil"/>
          <w:right w:val="nil"/>
          <w:between w:val="nil"/>
        </w:pBdr>
        <w:spacing w:line="360" w:lineRule="auto"/>
        <w:ind w:right="851"/>
        <w:jc w:val="both"/>
        <w:rPr>
          <w:rFonts w:ascii="Palatino Linotype" w:eastAsia="Palatino Linotype" w:hAnsi="Palatino Linotype" w:cs="Palatino Linotype"/>
          <w:b/>
          <w:i/>
          <w:color w:val="000000"/>
        </w:rPr>
      </w:pPr>
    </w:p>
    <w:p w:rsidR="0087135F" w:rsidRPr="00D60C9B" w:rsidRDefault="0073782B" w:rsidP="00A37E66">
      <w:pPr>
        <w:numPr>
          <w:ilvl w:val="0"/>
          <w:numId w:val="3"/>
        </w:numPr>
        <w:pBdr>
          <w:top w:val="nil"/>
          <w:left w:val="nil"/>
          <w:bottom w:val="nil"/>
          <w:right w:val="nil"/>
          <w:between w:val="nil"/>
        </w:pBdr>
        <w:spacing w:line="360" w:lineRule="auto"/>
        <w:ind w:left="0" w:right="851" w:firstLine="0"/>
        <w:jc w:val="both"/>
        <w:rPr>
          <w:rFonts w:ascii="Palatino Linotype" w:eastAsia="Palatino Linotype" w:hAnsi="Palatino Linotype" w:cs="Palatino Linotype"/>
          <w:b/>
          <w:i/>
          <w:color w:val="000000"/>
        </w:rPr>
      </w:pPr>
      <w:r w:rsidRPr="00D60C9B">
        <w:rPr>
          <w:rFonts w:ascii="Palatino Linotype" w:eastAsia="Palatino Linotype" w:hAnsi="Palatino Linotype" w:cs="Palatino Linotype"/>
          <w:i/>
          <w:color w:val="000000"/>
        </w:rPr>
        <w:t>Recibos de Nómina de la primera y segunda quince de enero y primera quincena de febrero de los servidores públicos adscritos a la Dirección General de Obras Públicas, en funciones al diecinueve de enero de dos mil veinticinco.</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spacing w:line="360" w:lineRule="auto"/>
        <w:jc w:val="both"/>
        <w:rPr>
          <w:rFonts w:ascii="Palatino Linotype" w:eastAsia="Palatino Linotype" w:hAnsi="Palatino Linotype" w:cs="Palatino Linotype"/>
          <w:b/>
        </w:rPr>
      </w:pPr>
      <w:r w:rsidRPr="00D60C9B">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D60C9B">
        <w:rPr>
          <w:rFonts w:ascii="Palatino Linotype" w:eastAsia="Palatino Linotype" w:hAnsi="Palatino Linotype" w:cs="Palatino Linotype"/>
          <w:b/>
        </w:rPr>
        <w:t>RECURRENTE.</w:t>
      </w:r>
    </w:p>
    <w:p w:rsidR="0087135F" w:rsidRPr="00D60C9B" w:rsidRDefault="0087135F" w:rsidP="00A37E6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87135F" w:rsidRPr="00D60C9B" w:rsidRDefault="0073782B" w:rsidP="00A37E66">
      <w:pPr>
        <w:spacing w:line="360" w:lineRule="auto"/>
        <w:jc w:val="both"/>
        <w:rPr>
          <w:rFonts w:ascii="Palatino Linotype" w:eastAsia="Palatino Linotype" w:hAnsi="Palatino Linotype" w:cs="Palatino Linotype"/>
        </w:rPr>
      </w:pPr>
      <w:bookmarkStart w:id="13" w:name="_heading=h.jzhq0530aamd" w:colFirst="0" w:colLast="0"/>
      <w:bookmarkEnd w:id="13"/>
      <w:r w:rsidRPr="00D60C9B">
        <w:rPr>
          <w:rFonts w:ascii="Palatino Linotype" w:eastAsia="Palatino Linotype" w:hAnsi="Palatino Linotype" w:cs="Palatino Linotype"/>
          <w:b/>
        </w:rPr>
        <w:t xml:space="preserve">TERCERO. </w:t>
      </w:r>
      <w:r w:rsidRPr="00D60C9B">
        <w:rPr>
          <w:rFonts w:ascii="Palatino Linotype" w:eastAsia="Palatino Linotype" w:hAnsi="Palatino Linotype" w:cs="Palatino Linotype"/>
        </w:rPr>
        <w:t>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7135F" w:rsidRPr="00D60C9B" w:rsidRDefault="0087135F" w:rsidP="00A37E66">
      <w:pPr>
        <w:tabs>
          <w:tab w:val="left" w:pos="8080"/>
        </w:tabs>
        <w:spacing w:line="360" w:lineRule="auto"/>
        <w:ind w:right="49"/>
        <w:jc w:val="both"/>
        <w:rPr>
          <w:rFonts w:ascii="Palatino Linotype" w:eastAsia="Palatino Linotype" w:hAnsi="Palatino Linotype" w:cs="Palatino Linotype"/>
        </w:rPr>
      </w:pPr>
    </w:p>
    <w:p w:rsidR="0087135F" w:rsidRPr="00D60C9B" w:rsidRDefault="0073782B" w:rsidP="00A37E66">
      <w:pPr>
        <w:spacing w:line="360" w:lineRule="auto"/>
        <w:jc w:val="both"/>
        <w:rPr>
          <w:rFonts w:ascii="Palatino Linotype" w:eastAsia="Palatino Linotype" w:hAnsi="Palatino Linotype" w:cs="Palatino Linotype"/>
        </w:rPr>
      </w:pPr>
      <w:r w:rsidRPr="00D60C9B">
        <w:rPr>
          <w:rFonts w:ascii="Palatino Linotype" w:eastAsia="Palatino Linotype" w:hAnsi="Palatino Linotype" w:cs="Palatino Linotype"/>
          <w:b/>
        </w:rPr>
        <w:t xml:space="preserve">CUARTO. </w:t>
      </w:r>
      <w:r w:rsidRPr="00D60C9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60C9B">
        <w:rPr>
          <w:rFonts w:ascii="Palatino Linotype" w:eastAsia="Palatino Linotype" w:hAnsi="Palatino Linotype" w:cs="Palatino Linotype"/>
          <w:b/>
        </w:rPr>
        <w:t>SUJETO OBLIGADO</w:t>
      </w:r>
      <w:r w:rsidRPr="00D60C9B">
        <w:rPr>
          <w:rFonts w:ascii="Palatino Linotype" w:eastAsia="Palatino Linotype" w:hAnsi="Palatino Linotype" w:cs="Palatino Linotype"/>
        </w:rPr>
        <w:t xml:space="preserve"> de manera fundada y motivada, podrá solicitar una ampliación de plazo para el cumplimiento de la presente resolución.</w:t>
      </w:r>
    </w:p>
    <w:p w:rsidR="0087135F" w:rsidRPr="00D60C9B" w:rsidRDefault="0087135F" w:rsidP="00A37E66">
      <w:pPr>
        <w:spacing w:line="360" w:lineRule="auto"/>
        <w:jc w:val="both"/>
        <w:rPr>
          <w:rFonts w:ascii="Palatino Linotype" w:eastAsia="Palatino Linotype" w:hAnsi="Palatino Linotype" w:cs="Palatino Linotype"/>
        </w:rPr>
      </w:pPr>
    </w:p>
    <w:p w:rsidR="0087135F" w:rsidRPr="00D60C9B" w:rsidRDefault="0073782B" w:rsidP="00A37E66">
      <w:pPr>
        <w:tabs>
          <w:tab w:val="left" w:pos="8080"/>
        </w:tabs>
        <w:spacing w:line="360" w:lineRule="auto"/>
        <w:ind w:right="49"/>
        <w:jc w:val="both"/>
        <w:rPr>
          <w:rFonts w:ascii="Palatino Linotype" w:eastAsia="Palatino Linotype" w:hAnsi="Palatino Linotype" w:cs="Palatino Linotype"/>
        </w:rPr>
      </w:pPr>
      <w:bookmarkStart w:id="14" w:name="_heading=h.d1uq89jy49ub" w:colFirst="0" w:colLast="0"/>
      <w:bookmarkEnd w:id="14"/>
      <w:r w:rsidRPr="00D60C9B">
        <w:rPr>
          <w:rFonts w:ascii="Palatino Linotype" w:eastAsia="Palatino Linotype" w:hAnsi="Palatino Linotype" w:cs="Palatino Linotype"/>
          <w:b/>
        </w:rPr>
        <w:t xml:space="preserve">QUINTO. </w:t>
      </w:r>
      <w:r w:rsidRPr="00D60C9B">
        <w:rPr>
          <w:rFonts w:ascii="Palatino Linotype" w:eastAsia="Palatino Linotype" w:hAnsi="Palatino Linotype" w:cs="Palatino Linotype"/>
        </w:rPr>
        <w:t xml:space="preserve">Notifíquese a </w:t>
      </w:r>
      <w:r w:rsidRPr="00D60C9B">
        <w:rPr>
          <w:rFonts w:ascii="Palatino Linotype" w:eastAsia="Palatino Linotype" w:hAnsi="Palatino Linotype" w:cs="Palatino Linotype"/>
          <w:b/>
        </w:rPr>
        <w:t>EL RECURRENTE</w:t>
      </w:r>
      <w:r w:rsidRPr="00D60C9B">
        <w:rPr>
          <w:rFonts w:ascii="Palatino Linotype" w:eastAsia="Palatino Linotype" w:hAnsi="Palatino Linotype" w:cs="Palatino Linotype"/>
        </w:rPr>
        <w:t xml:space="preserve"> la presente resolución, vía SAIMEX.</w:t>
      </w:r>
    </w:p>
    <w:p w:rsidR="0087135F" w:rsidRPr="00D60C9B" w:rsidRDefault="0087135F" w:rsidP="00A37E66">
      <w:pPr>
        <w:tabs>
          <w:tab w:val="left" w:pos="8080"/>
        </w:tabs>
        <w:spacing w:line="360" w:lineRule="auto"/>
        <w:ind w:right="49"/>
        <w:jc w:val="both"/>
        <w:rPr>
          <w:rFonts w:ascii="Palatino Linotype" w:eastAsia="Palatino Linotype" w:hAnsi="Palatino Linotype" w:cs="Palatino Linotype"/>
        </w:rPr>
      </w:pPr>
    </w:p>
    <w:p w:rsidR="0087135F" w:rsidRPr="00D60C9B" w:rsidRDefault="0073782B" w:rsidP="00A37E66">
      <w:pPr>
        <w:shd w:val="clear" w:color="auto" w:fill="FFFFFF"/>
        <w:spacing w:line="360" w:lineRule="auto"/>
        <w:jc w:val="both"/>
        <w:rPr>
          <w:rFonts w:ascii="Palatino Linotype" w:eastAsia="Palatino Linotype" w:hAnsi="Palatino Linotype" w:cs="Palatino Linotype"/>
        </w:rPr>
      </w:pPr>
      <w:r w:rsidRPr="00D60C9B">
        <w:rPr>
          <w:rFonts w:ascii="Palatino Linotype" w:eastAsia="Palatino Linotype" w:hAnsi="Palatino Linotype" w:cs="Palatino Linotype"/>
          <w:b/>
        </w:rPr>
        <w:t>SEXTO.</w:t>
      </w:r>
      <w:r w:rsidRPr="00D60C9B">
        <w:rPr>
          <w:rFonts w:ascii="Palatino Linotype" w:eastAsia="Palatino Linotype" w:hAnsi="Palatino Linotype" w:cs="Palatino Linotype"/>
        </w:rPr>
        <w:t xml:space="preserve"> Se hace del conocimiento de </w:t>
      </w:r>
      <w:r w:rsidRPr="00D60C9B">
        <w:rPr>
          <w:rFonts w:ascii="Palatino Linotype" w:eastAsia="Palatino Linotype" w:hAnsi="Palatino Linotype" w:cs="Palatino Linotype"/>
          <w:b/>
        </w:rPr>
        <w:t>EL RECURRENTE</w:t>
      </w:r>
      <w:r w:rsidRPr="00D60C9B">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7135F" w:rsidRPr="00D60C9B"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A37E66" w:rsidP="00A37E66">
      <w:pPr>
        <w:spacing w:line="360" w:lineRule="auto"/>
        <w:jc w:val="both"/>
        <w:rPr>
          <w:rFonts w:ascii="Palatino Linotype" w:eastAsia="Palatino Linotype" w:hAnsi="Palatino Linotype" w:cs="Palatino Linotype"/>
        </w:rPr>
      </w:pPr>
      <w:r w:rsidRPr="00D60C9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(30) DE ABRIL DE DOS MIL VEINTICINCO, ANTE EL SECRETARIO TÉCNICO DEL PLENO ALEXIS TAPIA RAMÍREZ.</w:t>
      </w:r>
      <w:bookmarkStart w:id="15" w:name="_GoBack"/>
      <w:bookmarkEnd w:id="15"/>
    </w:p>
    <w:p w:rsidR="0087135F" w:rsidRPr="00A37E66" w:rsidRDefault="0073782B" w:rsidP="00A37E66">
      <w:pPr>
        <w:shd w:val="clear" w:color="auto" w:fill="FFFFFF"/>
        <w:spacing w:line="360" w:lineRule="auto"/>
        <w:jc w:val="both"/>
        <w:rPr>
          <w:rFonts w:ascii="Palatino Linotype" w:eastAsia="Palatino Linotype" w:hAnsi="Palatino Linotype" w:cs="Palatino Linotype"/>
        </w:rPr>
      </w:pPr>
      <w:r w:rsidRPr="00A37E66">
        <w:rPr>
          <w:rFonts w:ascii="Palatino Linotype" w:eastAsia="Palatino Linotype" w:hAnsi="Palatino Linotype" w:cs="Palatino Linotype"/>
        </w:rPr>
        <w:t xml:space="preserve">  </w:t>
      </w: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shd w:val="clear" w:color="auto" w:fill="FFFFFF"/>
        <w:spacing w:line="360" w:lineRule="auto"/>
        <w:jc w:val="both"/>
        <w:rPr>
          <w:rFonts w:ascii="Palatino Linotype" w:eastAsia="Palatino Linotype" w:hAnsi="Palatino Linotype" w:cs="Palatino Linotype"/>
        </w:rPr>
      </w:pPr>
    </w:p>
    <w:p w:rsidR="0087135F" w:rsidRPr="00A37E66" w:rsidRDefault="0087135F" w:rsidP="00A37E66">
      <w:pPr>
        <w:rPr>
          <w:rFonts w:ascii="Palatino Linotype" w:hAnsi="Palatino Linotype"/>
        </w:rPr>
      </w:pPr>
    </w:p>
    <w:p w:rsidR="0087135F" w:rsidRPr="00A37E66" w:rsidRDefault="0087135F" w:rsidP="00A37E66">
      <w:pPr>
        <w:rPr>
          <w:rFonts w:ascii="Palatino Linotype" w:hAnsi="Palatino Linotype"/>
        </w:rPr>
      </w:pPr>
    </w:p>
    <w:p w:rsidR="0087135F" w:rsidRPr="00A37E66" w:rsidRDefault="0087135F" w:rsidP="00A37E66">
      <w:pPr>
        <w:rPr>
          <w:rFonts w:ascii="Palatino Linotype" w:hAnsi="Palatino Linotype"/>
        </w:rPr>
      </w:pPr>
    </w:p>
    <w:sectPr w:rsidR="0087135F" w:rsidRPr="00A37E66" w:rsidSect="00A37E66">
      <w:headerReference w:type="default" r:id="rId34"/>
      <w:footerReference w:type="default" r:id="rId35"/>
      <w:headerReference w:type="first" r:id="rId36"/>
      <w:footerReference w:type="first" r:id="rId37"/>
      <w:pgSz w:w="12240" w:h="15840"/>
      <w:pgMar w:top="1691" w:right="1325"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CC1" w:rsidRDefault="00625CC1">
      <w:r>
        <w:separator/>
      </w:r>
    </w:p>
  </w:endnote>
  <w:endnote w:type="continuationSeparator" w:id="0">
    <w:p w:rsidR="00625CC1" w:rsidRDefault="0062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35F" w:rsidRDefault="007378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D60C9B">
      <w:rPr>
        <w:rFonts w:ascii="Palatino Linotype" w:eastAsia="Palatino Linotype" w:hAnsi="Palatino Linotype" w:cs="Palatino Linotype"/>
        <w:b/>
        <w:noProof/>
        <w:color w:val="000000"/>
        <w:sz w:val="22"/>
        <w:szCs w:val="22"/>
      </w:rPr>
      <w:t>61</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D60C9B">
      <w:rPr>
        <w:rFonts w:ascii="Palatino Linotype" w:eastAsia="Palatino Linotype" w:hAnsi="Palatino Linotype" w:cs="Palatino Linotype"/>
        <w:b/>
        <w:noProof/>
        <w:color w:val="000000"/>
        <w:sz w:val="22"/>
        <w:szCs w:val="22"/>
      </w:rPr>
      <w:t>63</w:t>
    </w:r>
    <w:r>
      <w:rPr>
        <w:rFonts w:ascii="Palatino Linotype" w:eastAsia="Palatino Linotype" w:hAnsi="Palatino Linotype" w:cs="Palatino Linotype"/>
        <w:b/>
        <w:color w:val="000000"/>
        <w:sz w:val="22"/>
        <w:szCs w:val="22"/>
      </w:rPr>
      <w:fldChar w:fldCharType="end"/>
    </w:r>
  </w:p>
  <w:p w:rsidR="0087135F" w:rsidRDefault="0087135F">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87135F" w:rsidRDefault="008713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35F" w:rsidRDefault="007378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60C9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60C9B">
      <w:rPr>
        <w:rFonts w:ascii="Palatino Linotype" w:eastAsia="Palatino Linotype" w:hAnsi="Palatino Linotype" w:cs="Palatino Linotype"/>
        <w:noProof/>
        <w:color w:val="000000"/>
        <w:sz w:val="22"/>
        <w:szCs w:val="22"/>
      </w:rPr>
      <w:t>63</w:t>
    </w:r>
    <w:r>
      <w:rPr>
        <w:rFonts w:ascii="Palatino Linotype" w:eastAsia="Palatino Linotype" w:hAnsi="Palatino Linotype" w:cs="Palatino Linotype"/>
        <w:color w:val="000000"/>
        <w:sz w:val="22"/>
        <w:szCs w:val="22"/>
      </w:rPr>
      <w:fldChar w:fldCharType="end"/>
    </w:r>
  </w:p>
  <w:p w:rsidR="0087135F" w:rsidRDefault="0087135F">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87135F" w:rsidRDefault="008713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CC1" w:rsidRDefault="00625CC1">
      <w:r>
        <w:separator/>
      </w:r>
    </w:p>
  </w:footnote>
  <w:footnote w:type="continuationSeparator" w:id="0">
    <w:p w:rsidR="00625CC1" w:rsidRDefault="00625CC1">
      <w:r>
        <w:continuationSeparator/>
      </w:r>
    </w:p>
  </w:footnote>
  <w:footnote w:id="1">
    <w:p w:rsidR="0087135F" w:rsidRDefault="0073782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87135F" w:rsidRDefault="0073782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rsidR="0087135F" w:rsidRDefault="0073782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rsidR="0087135F" w:rsidRDefault="0073782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5">
    <w:p w:rsidR="0087135F" w:rsidRDefault="0073782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 w:id="6">
    <w:p w:rsidR="0087135F" w:rsidRDefault="0073782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Ley de Transparencia y Acceso a la Información Pública del Estado de México y Municipios.</w:t>
      </w:r>
    </w:p>
    <w:p w:rsidR="0087135F" w:rsidRDefault="0073782B">
      <w:pPr>
        <w:pBdr>
          <w:top w:val="nil"/>
          <w:left w:val="nil"/>
          <w:bottom w:val="nil"/>
          <w:right w:val="nil"/>
          <w:between w:val="nil"/>
        </w:pBdr>
        <w:rPr>
          <w:color w:val="000000"/>
          <w:sz w:val="20"/>
          <w:szCs w:val="20"/>
        </w:rPr>
      </w:pPr>
      <w:r>
        <w:rPr>
          <w:color w:val="000000"/>
          <w:sz w:val="20"/>
          <w:szCs w:val="20"/>
        </w:rPr>
        <w:t>Artículo 151. Ibídem.</w:t>
      </w:r>
    </w:p>
  </w:footnote>
  <w:footnote w:id="7">
    <w:p w:rsidR="0087135F" w:rsidRDefault="0073782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35F" w:rsidRDefault="0073782B">
    <w:pPr>
      <w:pBdr>
        <w:top w:val="nil"/>
        <w:left w:val="nil"/>
        <w:bottom w:val="nil"/>
        <w:right w:val="nil"/>
        <w:between w:val="nil"/>
      </w:pBdr>
      <w:tabs>
        <w:tab w:val="center" w:pos="4252"/>
        <w:tab w:val="right" w:pos="8504"/>
      </w:tabs>
      <w:rPr>
        <w:rFonts w:eastAsia="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-876829</wp:posOffset>
          </wp:positionH>
          <wp:positionV relativeFrom="paragraph">
            <wp:posOffset>-421004</wp:posOffset>
          </wp:positionV>
          <wp:extent cx="7809876" cy="10165823"/>
          <wp:effectExtent l="0" t="0" r="0" b="0"/>
          <wp:wrapNone/>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6318" w:type="dxa"/>
      <w:tblInd w:w="3078" w:type="dxa"/>
      <w:tblBorders>
        <w:top w:val="nil"/>
        <w:left w:val="nil"/>
        <w:bottom w:val="nil"/>
        <w:right w:val="nil"/>
        <w:insideH w:val="nil"/>
        <w:insideV w:val="nil"/>
      </w:tblBorders>
      <w:tblLayout w:type="fixed"/>
      <w:tblLook w:val="0400" w:firstRow="0" w:lastRow="0" w:firstColumn="0" w:lastColumn="0" w:noHBand="0" w:noVBand="1"/>
    </w:tblPr>
    <w:tblGrid>
      <w:gridCol w:w="2734"/>
      <w:gridCol w:w="3584"/>
    </w:tblGrid>
    <w:tr w:rsidR="0087135F" w:rsidRPr="00A37E66" w:rsidTr="00A37E66">
      <w:trPr>
        <w:trHeight w:val="138"/>
      </w:trPr>
      <w:tc>
        <w:tcPr>
          <w:tcW w:w="2734" w:type="dxa"/>
          <w:vAlign w:val="center"/>
        </w:tcPr>
        <w:p w:rsidR="0087135F" w:rsidRDefault="0073782B">
          <w:pPr>
            <w:rPr>
              <w:rFonts w:ascii="Palatino Linotype" w:eastAsia="Palatino Linotype" w:hAnsi="Palatino Linotype" w:cs="Palatino Linotype"/>
              <w:b/>
            </w:rPr>
          </w:pPr>
          <w:r w:rsidRPr="00A37E66">
            <w:rPr>
              <w:rFonts w:ascii="Palatino Linotype" w:eastAsia="Palatino Linotype" w:hAnsi="Palatino Linotype" w:cs="Palatino Linotype"/>
              <w:b/>
            </w:rPr>
            <w:t>Recurso de Revisión:</w:t>
          </w:r>
        </w:p>
        <w:p w:rsidR="00A37E66" w:rsidRPr="00A37E66" w:rsidRDefault="00A37E66">
          <w:pPr>
            <w:rPr>
              <w:rFonts w:ascii="Palatino Linotype" w:eastAsia="Palatino Linotype" w:hAnsi="Palatino Linotype" w:cs="Palatino Linotype"/>
              <w:b/>
            </w:rPr>
          </w:pPr>
        </w:p>
      </w:tc>
      <w:tc>
        <w:tcPr>
          <w:tcW w:w="3584" w:type="dxa"/>
          <w:vAlign w:val="center"/>
        </w:tcPr>
        <w:p w:rsidR="0087135F" w:rsidRPr="00A37E66" w:rsidRDefault="0073782B" w:rsidP="00A37E6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sidRPr="00A37E66">
            <w:rPr>
              <w:rFonts w:ascii="Palatino Linotype" w:eastAsia="Palatino Linotype" w:hAnsi="Palatino Linotype" w:cs="Palatino Linotype"/>
              <w:color w:val="000000"/>
            </w:rPr>
            <w:t>03788/INFOEM/IP/RR/2025 y acumulado</w:t>
          </w:r>
        </w:p>
      </w:tc>
    </w:tr>
    <w:tr w:rsidR="0087135F" w:rsidRPr="00A37E66" w:rsidTr="00A37E66">
      <w:trPr>
        <w:trHeight w:val="321"/>
      </w:trPr>
      <w:tc>
        <w:tcPr>
          <w:tcW w:w="2734" w:type="dxa"/>
          <w:vAlign w:val="center"/>
        </w:tcPr>
        <w:p w:rsidR="0087135F" w:rsidRPr="00A37E66" w:rsidRDefault="0073782B">
          <w:pPr>
            <w:rPr>
              <w:rFonts w:ascii="Palatino Linotype" w:eastAsia="Palatino Linotype" w:hAnsi="Palatino Linotype" w:cs="Palatino Linotype"/>
              <w:b/>
            </w:rPr>
          </w:pPr>
          <w:r w:rsidRPr="00A37E66">
            <w:rPr>
              <w:rFonts w:ascii="Palatino Linotype" w:eastAsia="Palatino Linotype" w:hAnsi="Palatino Linotype" w:cs="Palatino Linotype"/>
              <w:b/>
            </w:rPr>
            <w:t>Sujeto Obligado:</w:t>
          </w:r>
        </w:p>
      </w:tc>
      <w:tc>
        <w:tcPr>
          <w:tcW w:w="3584" w:type="dxa"/>
          <w:vAlign w:val="center"/>
        </w:tcPr>
        <w:p w:rsidR="0087135F" w:rsidRPr="00A37E66" w:rsidRDefault="0073782B" w:rsidP="00A37E66">
          <w:pPr>
            <w:rPr>
              <w:rFonts w:ascii="Palatino Linotype" w:eastAsia="Palatino Linotype" w:hAnsi="Palatino Linotype" w:cs="Palatino Linotype"/>
            </w:rPr>
          </w:pPr>
          <w:r w:rsidRPr="00A37E66">
            <w:rPr>
              <w:rFonts w:ascii="Palatino Linotype" w:eastAsia="Palatino Linotype" w:hAnsi="Palatino Linotype" w:cs="Palatino Linotype"/>
            </w:rPr>
            <w:t>Ayuntamiento de Toluca</w:t>
          </w:r>
        </w:p>
      </w:tc>
    </w:tr>
    <w:tr w:rsidR="0087135F" w:rsidRPr="00A37E66" w:rsidTr="00A37E66">
      <w:trPr>
        <w:trHeight w:val="321"/>
      </w:trPr>
      <w:tc>
        <w:tcPr>
          <w:tcW w:w="2734" w:type="dxa"/>
          <w:vAlign w:val="center"/>
        </w:tcPr>
        <w:p w:rsidR="0087135F" w:rsidRPr="00A37E66" w:rsidRDefault="0073782B">
          <w:pPr>
            <w:rPr>
              <w:rFonts w:ascii="Palatino Linotype" w:eastAsia="Palatino Linotype" w:hAnsi="Palatino Linotype" w:cs="Palatino Linotype"/>
              <w:b/>
            </w:rPr>
          </w:pPr>
          <w:r w:rsidRPr="00A37E66">
            <w:rPr>
              <w:rFonts w:ascii="Palatino Linotype" w:eastAsia="Palatino Linotype" w:hAnsi="Palatino Linotype" w:cs="Palatino Linotype"/>
              <w:b/>
            </w:rPr>
            <w:t>Comisionada Ponente:</w:t>
          </w:r>
        </w:p>
      </w:tc>
      <w:tc>
        <w:tcPr>
          <w:tcW w:w="3584" w:type="dxa"/>
          <w:vAlign w:val="center"/>
        </w:tcPr>
        <w:p w:rsidR="0087135F" w:rsidRPr="00A37E66" w:rsidRDefault="0073782B" w:rsidP="00A37E6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sidRPr="00A37E66">
            <w:rPr>
              <w:rFonts w:ascii="Palatino Linotype" w:eastAsia="Palatino Linotype" w:hAnsi="Palatino Linotype" w:cs="Palatino Linotype"/>
              <w:color w:val="000000"/>
            </w:rPr>
            <w:t>María del Rosario Mejía Ayala</w:t>
          </w:r>
        </w:p>
      </w:tc>
    </w:tr>
  </w:tbl>
  <w:p w:rsidR="0087135F" w:rsidRDefault="0087135F">
    <w:pPr>
      <w:pBdr>
        <w:top w:val="nil"/>
        <w:left w:val="nil"/>
        <w:bottom w:val="nil"/>
        <w:right w:val="nil"/>
        <w:between w:val="nil"/>
      </w:pBdr>
      <w:tabs>
        <w:tab w:val="center" w:pos="4252"/>
        <w:tab w:val="right" w:pos="8504"/>
      </w:tabs>
      <w:rPr>
        <w:rFonts w:eastAsia="Calibri"/>
        <w:color w:val="000000"/>
      </w:rPr>
    </w:pPr>
  </w:p>
  <w:p w:rsidR="0087135F" w:rsidRDefault="0087135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35F" w:rsidRDefault="0073782B">
    <w:pPr>
      <w:pBdr>
        <w:top w:val="nil"/>
        <w:left w:val="nil"/>
        <w:bottom w:val="nil"/>
        <w:right w:val="nil"/>
        <w:between w:val="nil"/>
      </w:pBdr>
      <w:tabs>
        <w:tab w:val="center" w:pos="4252"/>
        <w:tab w:val="right" w:pos="8504"/>
        <w:tab w:val="left" w:pos="3103"/>
      </w:tabs>
      <w:rPr>
        <w:rFonts w:eastAsia="Calibri"/>
        <w:color w:val="000000"/>
      </w:rPr>
    </w:pPr>
    <w:r>
      <w:rPr>
        <w:rFonts w:eastAsia="Calibri"/>
        <w:color w:val="000000"/>
      </w:rPr>
      <w:tab/>
    </w:r>
    <w:r>
      <w:rPr>
        <w:rFonts w:eastAsia="Calibri"/>
        <w:color w:val="000000"/>
      </w:rPr>
      <w:tab/>
    </w:r>
    <w:r>
      <w:rPr>
        <w:noProof/>
        <w:lang w:val="es-MX" w:eastAsia="es-MX"/>
      </w:rPr>
      <w:drawing>
        <wp:anchor distT="0" distB="0" distL="0" distR="0" simplePos="0" relativeHeight="251659264" behindDoc="1" locked="0" layoutInCell="1" hidden="0" allowOverlap="1">
          <wp:simplePos x="0" y="0"/>
          <wp:positionH relativeFrom="column">
            <wp:posOffset>-873654</wp:posOffset>
          </wp:positionH>
          <wp:positionV relativeFrom="paragraph">
            <wp:posOffset>-375919</wp:posOffset>
          </wp:positionV>
          <wp:extent cx="7809876" cy="10165823"/>
          <wp:effectExtent l="0" t="0" r="0" b="0"/>
          <wp:wrapNone/>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6410" w:type="dxa"/>
      <w:tblInd w:w="27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25"/>
      <w:gridCol w:w="236"/>
      <w:gridCol w:w="3449"/>
    </w:tblGrid>
    <w:tr w:rsidR="0087135F" w:rsidRPr="00A37E66" w:rsidTr="00A37E66">
      <w:trPr>
        <w:trHeight w:val="138"/>
      </w:trPr>
      <w:tc>
        <w:tcPr>
          <w:tcW w:w="2725" w:type="dxa"/>
          <w:vAlign w:val="center"/>
        </w:tcPr>
        <w:p w:rsidR="0087135F" w:rsidRDefault="0073782B">
          <w:pPr>
            <w:rPr>
              <w:rFonts w:ascii="Palatino Linotype" w:eastAsia="Palatino Linotype" w:hAnsi="Palatino Linotype" w:cs="Palatino Linotype"/>
              <w:b/>
            </w:rPr>
          </w:pPr>
          <w:r w:rsidRPr="00A37E66">
            <w:rPr>
              <w:rFonts w:ascii="Palatino Linotype" w:eastAsia="Palatino Linotype" w:hAnsi="Palatino Linotype" w:cs="Palatino Linotype"/>
              <w:b/>
            </w:rPr>
            <w:t>Recurso de Revisión:</w:t>
          </w:r>
        </w:p>
        <w:p w:rsidR="00A37E66" w:rsidRPr="00A37E66" w:rsidRDefault="00A37E66">
          <w:pPr>
            <w:rPr>
              <w:rFonts w:ascii="Palatino Linotype" w:eastAsia="Palatino Linotype" w:hAnsi="Palatino Linotype" w:cs="Palatino Linotype"/>
              <w:b/>
            </w:rPr>
          </w:pPr>
        </w:p>
      </w:tc>
      <w:tc>
        <w:tcPr>
          <w:tcW w:w="236" w:type="dxa"/>
          <w:vAlign w:val="center"/>
        </w:tcPr>
        <w:p w:rsidR="0087135F" w:rsidRPr="00A37E66" w:rsidRDefault="0087135F">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rPr>
          </w:pPr>
        </w:p>
      </w:tc>
      <w:tc>
        <w:tcPr>
          <w:tcW w:w="3449" w:type="dxa"/>
          <w:vAlign w:val="center"/>
        </w:tcPr>
        <w:p w:rsidR="0087135F" w:rsidRPr="00A37E66" w:rsidRDefault="0073782B">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sidRPr="00A37E66">
            <w:rPr>
              <w:rFonts w:ascii="Palatino Linotype" w:eastAsia="Palatino Linotype" w:hAnsi="Palatino Linotype" w:cs="Palatino Linotype"/>
              <w:color w:val="000000"/>
            </w:rPr>
            <w:t>03788/INFOEM/IP/RR/2025 y acumulado</w:t>
          </w:r>
        </w:p>
      </w:tc>
    </w:tr>
    <w:tr w:rsidR="0087135F" w:rsidRPr="00A37E66" w:rsidTr="00A37E66">
      <w:trPr>
        <w:trHeight w:val="227"/>
      </w:trPr>
      <w:tc>
        <w:tcPr>
          <w:tcW w:w="2725" w:type="dxa"/>
          <w:vAlign w:val="center"/>
        </w:tcPr>
        <w:p w:rsidR="0087135F" w:rsidRPr="00A37E66" w:rsidRDefault="0073782B">
          <w:pPr>
            <w:rPr>
              <w:rFonts w:ascii="Palatino Linotype" w:eastAsia="Palatino Linotype" w:hAnsi="Palatino Linotype" w:cs="Palatino Linotype"/>
              <w:b/>
            </w:rPr>
          </w:pPr>
          <w:r w:rsidRPr="00A37E66">
            <w:rPr>
              <w:rFonts w:ascii="Palatino Linotype" w:eastAsia="Palatino Linotype" w:hAnsi="Palatino Linotype" w:cs="Palatino Linotype"/>
              <w:b/>
            </w:rPr>
            <w:t>Recurrente:</w:t>
          </w:r>
        </w:p>
      </w:tc>
      <w:tc>
        <w:tcPr>
          <w:tcW w:w="236" w:type="dxa"/>
          <w:vAlign w:val="center"/>
        </w:tcPr>
        <w:p w:rsidR="0087135F" w:rsidRPr="00A37E66" w:rsidRDefault="0087135F">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rPr>
          </w:pPr>
        </w:p>
      </w:tc>
      <w:tc>
        <w:tcPr>
          <w:tcW w:w="3449" w:type="dxa"/>
          <w:vAlign w:val="center"/>
        </w:tcPr>
        <w:p w:rsidR="0087135F" w:rsidRPr="00A37E66" w:rsidRDefault="0087135F">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p>
      </w:tc>
    </w:tr>
    <w:tr w:rsidR="0087135F" w:rsidRPr="00A37E66" w:rsidTr="00A37E66">
      <w:trPr>
        <w:trHeight w:val="232"/>
      </w:trPr>
      <w:tc>
        <w:tcPr>
          <w:tcW w:w="2725" w:type="dxa"/>
          <w:vAlign w:val="center"/>
        </w:tcPr>
        <w:p w:rsidR="0087135F" w:rsidRPr="00A37E66" w:rsidRDefault="0073782B">
          <w:pPr>
            <w:rPr>
              <w:rFonts w:ascii="Palatino Linotype" w:eastAsia="Palatino Linotype" w:hAnsi="Palatino Linotype" w:cs="Palatino Linotype"/>
              <w:b/>
            </w:rPr>
          </w:pPr>
          <w:r w:rsidRPr="00A37E66">
            <w:rPr>
              <w:rFonts w:ascii="Palatino Linotype" w:eastAsia="Palatino Linotype" w:hAnsi="Palatino Linotype" w:cs="Palatino Linotype"/>
              <w:b/>
            </w:rPr>
            <w:t>Sujeto Obligado:</w:t>
          </w:r>
        </w:p>
      </w:tc>
      <w:tc>
        <w:tcPr>
          <w:tcW w:w="236" w:type="dxa"/>
          <w:vAlign w:val="center"/>
        </w:tcPr>
        <w:p w:rsidR="0087135F" w:rsidRPr="00A37E66" w:rsidRDefault="0087135F">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rPr>
          </w:pPr>
        </w:p>
      </w:tc>
      <w:tc>
        <w:tcPr>
          <w:tcW w:w="3449" w:type="dxa"/>
          <w:vAlign w:val="center"/>
        </w:tcPr>
        <w:p w:rsidR="0087135F" w:rsidRPr="00A37E66" w:rsidRDefault="0073782B">
          <w:r w:rsidRPr="00A37E66">
            <w:rPr>
              <w:rFonts w:ascii="Palatino Linotype" w:eastAsia="Palatino Linotype" w:hAnsi="Palatino Linotype" w:cs="Palatino Linotype"/>
            </w:rPr>
            <w:t>Ayuntamiento de Toluca</w:t>
          </w:r>
        </w:p>
      </w:tc>
    </w:tr>
    <w:tr w:rsidR="0087135F" w:rsidRPr="00A37E66" w:rsidTr="00A37E66">
      <w:trPr>
        <w:trHeight w:val="320"/>
      </w:trPr>
      <w:tc>
        <w:tcPr>
          <w:tcW w:w="2725" w:type="dxa"/>
          <w:vAlign w:val="center"/>
        </w:tcPr>
        <w:p w:rsidR="0087135F" w:rsidRDefault="0073782B">
          <w:pPr>
            <w:rPr>
              <w:rFonts w:ascii="Palatino Linotype" w:eastAsia="Palatino Linotype" w:hAnsi="Palatino Linotype" w:cs="Palatino Linotype"/>
              <w:b/>
            </w:rPr>
          </w:pPr>
          <w:r w:rsidRPr="00A37E66">
            <w:rPr>
              <w:rFonts w:ascii="Palatino Linotype" w:eastAsia="Palatino Linotype" w:hAnsi="Palatino Linotype" w:cs="Palatino Linotype"/>
              <w:b/>
            </w:rPr>
            <w:t>Comisionada Ponente:</w:t>
          </w:r>
        </w:p>
        <w:p w:rsidR="00A37E66" w:rsidRPr="00A37E66" w:rsidRDefault="00A37E66">
          <w:pPr>
            <w:rPr>
              <w:rFonts w:ascii="Palatino Linotype" w:eastAsia="Palatino Linotype" w:hAnsi="Palatino Linotype" w:cs="Palatino Linotype"/>
              <w:b/>
            </w:rPr>
          </w:pPr>
        </w:p>
      </w:tc>
      <w:tc>
        <w:tcPr>
          <w:tcW w:w="236" w:type="dxa"/>
          <w:vAlign w:val="center"/>
        </w:tcPr>
        <w:p w:rsidR="0087135F" w:rsidRPr="00A37E66" w:rsidRDefault="0087135F">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rPr>
          </w:pPr>
        </w:p>
      </w:tc>
      <w:tc>
        <w:tcPr>
          <w:tcW w:w="3449" w:type="dxa"/>
          <w:vAlign w:val="center"/>
        </w:tcPr>
        <w:p w:rsidR="0087135F" w:rsidRDefault="0073782B">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sidRPr="00A37E66">
            <w:rPr>
              <w:rFonts w:ascii="Palatino Linotype" w:eastAsia="Palatino Linotype" w:hAnsi="Palatino Linotype" w:cs="Palatino Linotype"/>
              <w:color w:val="000000"/>
            </w:rPr>
            <w:t>María del Rosario Mejía Ayala</w:t>
          </w:r>
        </w:p>
        <w:p w:rsidR="00A37E66" w:rsidRPr="00A37E66" w:rsidRDefault="00A37E6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p>
      </w:tc>
    </w:tr>
  </w:tbl>
  <w:p w:rsidR="0087135F" w:rsidRDefault="0087135F">
    <w:pPr>
      <w:pBdr>
        <w:top w:val="nil"/>
        <w:left w:val="nil"/>
        <w:bottom w:val="nil"/>
        <w:right w:val="nil"/>
        <w:between w:val="nil"/>
      </w:pBdr>
      <w:tabs>
        <w:tab w:val="center" w:pos="4252"/>
        <w:tab w:val="right" w:pos="8504"/>
      </w:tabs>
      <w:rPr>
        <w:rFonts w:eastAsia="Calibri"/>
        <w:color w:val="000000"/>
      </w:rPr>
    </w:pPr>
  </w:p>
  <w:p w:rsidR="0087135F" w:rsidRDefault="008713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653F6"/>
    <w:multiLevelType w:val="multilevel"/>
    <w:tmpl w:val="99D6552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8F54248"/>
    <w:multiLevelType w:val="multilevel"/>
    <w:tmpl w:val="F5F8CDE4"/>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7AC5B55"/>
    <w:multiLevelType w:val="multilevel"/>
    <w:tmpl w:val="156AEA0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6874E1"/>
    <w:multiLevelType w:val="multilevel"/>
    <w:tmpl w:val="7BC0FDE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46D75CB4"/>
    <w:multiLevelType w:val="multilevel"/>
    <w:tmpl w:val="7EFE67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5AC7056"/>
    <w:multiLevelType w:val="multilevel"/>
    <w:tmpl w:val="A4F272E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
    <w:nsid w:val="734F5EA9"/>
    <w:multiLevelType w:val="multilevel"/>
    <w:tmpl w:val="9FBC57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num>
  <w:num w:numId="3">
    <w:abstractNumId w:val="3"/>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35F"/>
    <w:rsid w:val="00625CC1"/>
    <w:rsid w:val="0073782B"/>
    <w:rsid w:val="0087135F"/>
    <w:rsid w:val="00A37E66"/>
    <w:rsid w:val="00D60C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7C994F-9EE8-477D-9ACC-3FB2953C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369"/>
    <w:rPr>
      <w:rFonts w:eastAsiaTheme="minorEastAsia"/>
      <w:lang w:eastAsia="es-ES"/>
    </w:rPr>
  </w:style>
  <w:style w:type="paragraph" w:styleId="Ttulo1">
    <w:name w:val="heading 1"/>
    <w:basedOn w:val="Normal"/>
    <w:next w:val="Normal"/>
    <w:link w:val="Ttulo1Car"/>
    <w:uiPriority w:val="9"/>
    <w:qFormat/>
    <w:rsid w:val="001A4369"/>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1A436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1A4369"/>
    <w:rPr>
      <w:rFonts w:ascii="Palatino Linotype" w:eastAsiaTheme="majorEastAsia" w:hAnsi="Palatino Linotype" w:cstheme="majorBidi"/>
      <w:b/>
      <w:color w:val="000000" w:themeColor="text1"/>
      <w:sz w:val="24"/>
      <w:szCs w:val="32"/>
    </w:rPr>
  </w:style>
  <w:style w:type="character" w:customStyle="1" w:styleId="Ttulo2Car">
    <w:name w:val="Título 2 Car"/>
    <w:basedOn w:val="Fuentedeprrafopredeter"/>
    <w:link w:val="Ttulo2"/>
    <w:uiPriority w:val="9"/>
    <w:rsid w:val="001A4369"/>
    <w:rPr>
      <w:rFonts w:ascii="Palatino Linotype" w:eastAsiaTheme="majorEastAsia" w:hAnsi="Palatino Linotype" w:cstheme="majorBidi"/>
      <w:b/>
      <w:color w:val="000000" w:themeColor="text1"/>
      <w:sz w:val="24"/>
      <w:szCs w:val="26"/>
    </w:rPr>
  </w:style>
  <w:style w:type="paragraph" w:styleId="Encabezado">
    <w:name w:val="header"/>
    <w:basedOn w:val="Normal"/>
    <w:link w:val="EncabezadoCar"/>
    <w:uiPriority w:val="99"/>
    <w:unhideWhenUsed/>
    <w:rsid w:val="001A4369"/>
    <w:pPr>
      <w:tabs>
        <w:tab w:val="center" w:pos="4252"/>
        <w:tab w:val="right" w:pos="8504"/>
      </w:tabs>
    </w:pPr>
  </w:style>
  <w:style w:type="character" w:customStyle="1" w:styleId="EncabezadoCar">
    <w:name w:val="Encabezado Car"/>
    <w:basedOn w:val="Fuentedeprrafopredeter"/>
    <w:link w:val="Encabezado"/>
    <w:uiPriority w:val="99"/>
    <w:rsid w:val="001A4369"/>
    <w:rPr>
      <w:rFonts w:eastAsiaTheme="minorEastAsia"/>
      <w:sz w:val="24"/>
      <w:szCs w:val="24"/>
      <w:lang w:val="es-ES_tradnl" w:eastAsia="es-ES"/>
    </w:rPr>
  </w:style>
  <w:style w:type="paragraph" w:styleId="Piedepgina">
    <w:name w:val="footer"/>
    <w:basedOn w:val="Normal"/>
    <w:link w:val="PiedepginaCar"/>
    <w:uiPriority w:val="99"/>
    <w:unhideWhenUsed/>
    <w:rsid w:val="001A4369"/>
    <w:pPr>
      <w:tabs>
        <w:tab w:val="center" w:pos="4252"/>
        <w:tab w:val="right" w:pos="8504"/>
      </w:tabs>
    </w:pPr>
  </w:style>
  <w:style w:type="character" w:customStyle="1" w:styleId="PiedepginaCar">
    <w:name w:val="Pie de página Car"/>
    <w:basedOn w:val="Fuentedeprrafopredeter"/>
    <w:link w:val="Piedepgina"/>
    <w:uiPriority w:val="99"/>
    <w:rsid w:val="001A4369"/>
    <w:rPr>
      <w:rFonts w:eastAsiaTheme="minorEastAsia"/>
      <w:sz w:val="24"/>
      <w:szCs w:val="24"/>
      <w:lang w:val="es-ES_tradnl" w:eastAsia="es-ES"/>
    </w:rPr>
  </w:style>
  <w:style w:type="table" w:styleId="Tablaconcuadrcula">
    <w:name w:val="Table Grid"/>
    <w:basedOn w:val="Tablanormal"/>
    <w:uiPriority w:val="59"/>
    <w:rsid w:val="001A4369"/>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A436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A4369"/>
    <w:rPr>
      <w:rFonts w:eastAsiaTheme="minorEastAsia"/>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A4369"/>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A436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A4369"/>
    <w:rPr>
      <w:vertAlign w:val="superscript"/>
    </w:rPr>
  </w:style>
  <w:style w:type="paragraph" w:styleId="Sangradetextonormal">
    <w:name w:val="Body Text Indent"/>
    <w:basedOn w:val="Normal"/>
    <w:link w:val="SangradetextonormalCar"/>
    <w:uiPriority w:val="99"/>
    <w:semiHidden/>
    <w:unhideWhenUsed/>
    <w:rsid w:val="001A4369"/>
    <w:pPr>
      <w:spacing w:after="120"/>
      <w:ind w:left="283"/>
    </w:pPr>
  </w:style>
  <w:style w:type="character" w:customStyle="1" w:styleId="SangradetextonormalCar">
    <w:name w:val="Sangría de texto normal Car"/>
    <w:basedOn w:val="Fuentedeprrafopredeter"/>
    <w:link w:val="Sangradetextonormal"/>
    <w:uiPriority w:val="99"/>
    <w:semiHidden/>
    <w:rsid w:val="001A4369"/>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1A4369"/>
    <w:pPr>
      <w:spacing w:after="0"/>
      <w:ind w:left="360" w:firstLine="360"/>
    </w:pPr>
    <w:rPr>
      <w:rFonts w:ascii="Times New Roman" w:eastAsia="Times New Roman" w:hAnsi="Times New Roman" w:cs="Times New Roman"/>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1A4369"/>
    <w:rPr>
      <w:rFonts w:ascii="Times New Roman" w:eastAsia="Times New Roman" w:hAnsi="Times New Roman" w:cs="Times New Roman"/>
      <w:sz w:val="24"/>
      <w:szCs w:val="24"/>
      <w:lang w:val="es-ES_tradnl" w:eastAsia="es-MX"/>
    </w:rPr>
  </w:style>
  <w:style w:type="character" w:styleId="Hipervnculo">
    <w:name w:val="Hyperlink"/>
    <w:basedOn w:val="Fuentedeprrafopredeter"/>
    <w:uiPriority w:val="99"/>
    <w:unhideWhenUsed/>
    <w:rsid w:val="004A5994"/>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hyperlink" Target="https://portalanterior.ine.mx/archivos2/tutoriales/sistemas/ApoyoInstitucional/SIF/docs/candidatos/folioFiscalFactura.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4.png"/><Relationship Id="rId28" Type="http://schemas.openxmlformats.org/officeDocument/2006/relationships/oleObject" Target="embeddings/oleObject5.bin"/><Relationship Id="rId36" Type="http://schemas.openxmlformats.org/officeDocument/2006/relationships/header" Target="header2.xml"/><Relationship Id="rId10" Type="http://schemas.openxmlformats.org/officeDocument/2006/relationships/hyperlink" Target="https://ipomex.org.mx/ipomex/"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image" Target="media/image3.png"/><Relationship Id="rId22" Type="http://schemas.openxmlformats.org/officeDocument/2006/relationships/image" Target="media/image14.png"/><Relationship Id="rId27" Type="http://schemas.openxmlformats.org/officeDocument/2006/relationships/image" Target="media/image6.png"/><Relationship Id="rId30" Type="http://schemas.openxmlformats.org/officeDocument/2006/relationships/hyperlink" Target="http://dof.gob.mx/nota_detalle.php?codigo=5492254&amp;fecha=28/07/2017" TargetMode="External"/><Relationship Id="rId35" Type="http://schemas.openxmlformats.org/officeDocument/2006/relationships/footer" Target="footer1.xml"/><Relationship Id="rId8" Type="http://schemas.openxmlformats.org/officeDocument/2006/relationships/hyperlink" Target="https://ipomex.org.mx/ipom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AJvgBYuouKjcuFOKKzZJnoP5FA==">CgMxLjAyDmgubHpnbTF3bWZtNWxjMg5oLnhwNjF0bHNwdTFtbDIOaC42ZDJmdDN2eTY2bXUyDmguamQ2a2I1aW8wMjNwMg5oLmZqeWV0bjIzdDN1cDIOaC40cDVoY200bjcyZ3gyCWguNGQzNG9nODIJaC4yczhleW8xMgloLjE3ZHA4dnUyDWgucnY5cXBpem9kMnkyCGgubG54Yno5Mg5oLmluN2s2Nndqejl3ejIOaC42OGhhbmhvazE5a3AyDmguanpocTA1MzBhYW1kMg5oLmQxdXE4OWp5NDl1YjgAciExWGNsV01DYWR1bG9jMjhaZ1BEeHdrODFJcFpNUkI4Z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63</Pages>
  <Words>14670</Words>
  <Characters>80687</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INFOEM416</cp:lastModifiedBy>
  <cp:revision>3</cp:revision>
  <cp:lastPrinted>2025-05-06T18:09:00Z</cp:lastPrinted>
  <dcterms:created xsi:type="dcterms:W3CDTF">2025-04-24T19:36:00Z</dcterms:created>
  <dcterms:modified xsi:type="dcterms:W3CDTF">2025-05-06T18:09:00Z</dcterms:modified>
</cp:coreProperties>
</file>