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69F" w:rsidRPr="004561AC" w:rsidRDefault="001E21FA" w:rsidP="004561AC">
      <w:pPr>
        <w:tabs>
          <w:tab w:val="left" w:pos="3465"/>
        </w:tabs>
        <w:spacing w:line="360" w:lineRule="auto"/>
        <w:ind w:right="-7"/>
        <w:jc w:val="both"/>
        <w:rPr>
          <w:rFonts w:ascii="Palatino Linotype" w:eastAsia="Palatino Linotype" w:hAnsi="Palatino Linotype" w:cs="Palatino Linotype"/>
          <w:color w:val="000000" w:themeColor="text1"/>
        </w:rPr>
      </w:pPr>
      <w:bookmarkStart w:id="0" w:name="_GoBack"/>
      <w:bookmarkEnd w:id="0"/>
      <w:r w:rsidRPr="004561A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4561AC">
        <w:rPr>
          <w:rFonts w:ascii="Palatino Linotype" w:eastAsia="Palatino Linotype" w:hAnsi="Palatino Linotype" w:cs="Palatino Linotype"/>
          <w:b/>
          <w:color w:val="000000" w:themeColor="text1"/>
        </w:rPr>
        <w:t xml:space="preserve">de fecha veinte (20) </w:t>
      </w:r>
      <w:r w:rsidR="004561AC" w:rsidRPr="00157555">
        <w:rPr>
          <w:rFonts w:ascii="Palatino Linotype" w:eastAsia="Palatino Linotype" w:hAnsi="Palatino Linotype" w:cs="Palatino Linotype"/>
          <w:b/>
          <w:color w:val="000000" w:themeColor="text1"/>
        </w:rPr>
        <w:t xml:space="preserve">de </w:t>
      </w:r>
      <w:r w:rsidR="004561AC">
        <w:rPr>
          <w:rFonts w:ascii="Palatino Linotype" w:eastAsia="Palatino Linotype" w:hAnsi="Palatino Linotype" w:cs="Palatino Linotype"/>
          <w:b/>
          <w:color w:val="000000" w:themeColor="text1"/>
        </w:rPr>
        <w:t xml:space="preserve">noviembre </w:t>
      </w:r>
      <w:r w:rsidR="004561AC" w:rsidRPr="00157555">
        <w:rPr>
          <w:rFonts w:ascii="Palatino Linotype" w:eastAsia="Palatino Linotype" w:hAnsi="Palatino Linotype" w:cs="Palatino Linotype"/>
          <w:b/>
          <w:color w:val="000000" w:themeColor="text1"/>
        </w:rPr>
        <w:t>de dos mil veinticinco</w:t>
      </w:r>
      <w:r w:rsidRPr="004561AC">
        <w:rPr>
          <w:rFonts w:ascii="Palatino Linotype" w:eastAsia="Palatino Linotype" w:hAnsi="Palatino Linotype" w:cs="Palatino Linotype"/>
          <w:color w:val="000000" w:themeColor="text1"/>
        </w:rPr>
        <w:t>.</w:t>
      </w:r>
    </w:p>
    <w:p w:rsidR="0020369F" w:rsidRPr="004561AC" w:rsidRDefault="0020369F" w:rsidP="004561AC">
      <w:pPr>
        <w:tabs>
          <w:tab w:val="left" w:pos="3465"/>
        </w:tabs>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spacing w:line="360" w:lineRule="auto"/>
        <w:ind w:right="-7"/>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b/>
          <w:color w:val="000000" w:themeColor="text1"/>
        </w:rPr>
        <w:t xml:space="preserve">VISTAS </w:t>
      </w:r>
      <w:r w:rsidRPr="004561AC">
        <w:rPr>
          <w:rFonts w:ascii="Palatino Linotype" w:eastAsia="Palatino Linotype" w:hAnsi="Palatino Linotype" w:cs="Palatino Linotype"/>
          <w:color w:val="000000" w:themeColor="text1"/>
        </w:rPr>
        <w:t xml:space="preserve">las constancias para resolver el Recurso de Revisión </w:t>
      </w:r>
      <w:r w:rsidR="00DB0FCF" w:rsidRPr="004561AC">
        <w:rPr>
          <w:rFonts w:ascii="Palatino Linotype" w:eastAsia="Palatino Linotype" w:hAnsi="Palatino Linotype" w:cs="Palatino Linotype"/>
          <w:b/>
          <w:color w:val="000000" w:themeColor="text1"/>
        </w:rPr>
        <w:t>06218</w:t>
      </w:r>
      <w:r w:rsidRPr="004561AC">
        <w:rPr>
          <w:rFonts w:ascii="Palatino Linotype" w:eastAsia="Palatino Linotype" w:hAnsi="Palatino Linotype" w:cs="Palatino Linotype"/>
          <w:b/>
          <w:color w:val="000000" w:themeColor="text1"/>
        </w:rPr>
        <w:t>/INFOEM/IP/RR/2025</w:t>
      </w:r>
      <w:r w:rsidRPr="004561AC">
        <w:rPr>
          <w:rFonts w:ascii="Palatino Linotype" w:eastAsia="Palatino Linotype" w:hAnsi="Palatino Linotype" w:cs="Palatino Linotype"/>
          <w:color w:val="000000" w:themeColor="text1"/>
        </w:rPr>
        <w:t xml:space="preserve">, promovido por </w:t>
      </w:r>
      <w:r w:rsidR="00707969">
        <w:rPr>
          <w:rFonts w:ascii="Palatino Linotype" w:eastAsia="Palatino Linotype" w:hAnsi="Palatino Linotype" w:cs="Palatino Linotype"/>
          <w:b/>
          <w:color w:val="000000" w:themeColor="text1"/>
        </w:rPr>
        <w:t>XXXX</w:t>
      </w:r>
      <w:r w:rsidRPr="004561AC">
        <w:rPr>
          <w:rFonts w:ascii="Palatino Linotype" w:eastAsia="Palatino Linotype" w:hAnsi="Palatino Linotype" w:cs="Palatino Linotype"/>
          <w:color w:val="000000" w:themeColor="text1"/>
        </w:rPr>
        <w:t xml:space="preserve">, en lo sucesivo </w:t>
      </w:r>
      <w:r w:rsidRPr="004561AC">
        <w:rPr>
          <w:rFonts w:ascii="Palatino Linotype" w:eastAsia="Palatino Linotype" w:hAnsi="Palatino Linotype" w:cs="Palatino Linotype"/>
          <w:b/>
          <w:color w:val="000000" w:themeColor="text1"/>
        </w:rPr>
        <w:t>EL RECURRENTE</w:t>
      </w:r>
      <w:r w:rsidRPr="004561AC">
        <w:rPr>
          <w:rFonts w:ascii="Palatino Linotype" w:eastAsia="Palatino Linotype" w:hAnsi="Palatino Linotype" w:cs="Palatino Linotype"/>
          <w:color w:val="000000" w:themeColor="text1"/>
        </w:rPr>
        <w:t xml:space="preserve">, en contra de la respuesta otorgada a la solicitud de información </w:t>
      </w:r>
      <w:r w:rsidR="00DB0FCF" w:rsidRPr="004561AC">
        <w:rPr>
          <w:rFonts w:ascii="Palatino Linotype" w:eastAsia="Palatino Linotype" w:hAnsi="Palatino Linotype" w:cs="Palatino Linotype"/>
          <w:b/>
          <w:color w:val="000000" w:themeColor="text1"/>
        </w:rPr>
        <w:t>00116/CHALCO/IP/2025</w:t>
      </w:r>
      <w:r w:rsidRPr="004561AC">
        <w:rPr>
          <w:rFonts w:ascii="Palatino Linotype" w:eastAsia="Palatino Linotype" w:hAnsi="Palatino Linotype" w:cs="Palatino Linotype"/>
          <w:color w:val="000000" w:themeColor="text1"/>
        </w:rPr>
        <w:t xml:space="preserve">, por parte del </w:t>
      </w:r>
      <w:r w:rsidR="00DB0FCF" w:rsidRPr="004561AC">
        <w:rPr>
          <w:rFonts w:ascii="Palatino Linotype" w:eastAsia="Palatino Linotype" w:hAnsi="Palatino Linotype" w:cs="Palatino Linotype"/>
          <w:b/>
          <w:color w:val="000000" w:themeColor="text1"/>
        </w:rPr>
        <w:t>Ayuntamiento de Chalco</w:t>
      </w:r>
      <w:r w:rsidRPr="004561AC">
        <w:rPr>
          <w:rFonts w:ascii="Palatino Linotype" w:eastAsia="Palatino Linotype" w:hAnsi="Palatino Linotype" w:cs="Palatino Linotype"/>
          <w:b/>
          <w:color w:val="000000" w:themeColor="text1"/>
        </w:rPr>
        <w:t xml:space="preserve">, </w:t>
      </w:r>
      <w:r w:rsidRPr="004561AC">
        <w:rPr>
          <w:rFonts w:ascii="Palatino Linotype" w:eastAsia="Palatino Linotype" w:hAnsi="Palatino Linotype" w:cs="Palatino Linotype"/>
          <w:color w:val="000000" w:themeColor="text1"/>
        </w:rPr>
        <w:t xml:space="preserve">en adelante el </w:t>
      </w:r>
      <w:r w:rsidRPr="004561AC">
        <w:rPr>
          <w:rFonts w:ascii="Palatino Linotype" w:eastAsia="Palatino Linotype" w:hAnsi="Palatino Linotype" w:cs="Palatino Linotype"/>
          <w:b/>
          <w:color w:val="000000" w:themeColor="text1"/>
        </w:rPr>
        <w:t>SUJETO OBLIGADO</w:t>
      </w:r>
      <w:r w:rsidRPr="004561AC">
        <w:rPr>
          <w:rFonts w:ascii="Palatino Linotype" w:eastAsia="Palatino Linotype" w:hAnsi="Palatino Linotype" w:cs="Palatino Linotype"/>
          <w:color w:val="000000" w:themeColor="text1"/>
        </w:rPr>
        <w:t>, se emite la presente resolución con base en los siguientes:</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pStyle w:val="Ttulo1"/>
        <w:spacing w:before="0" w:line="360" w:lineRule="auto"/>
        <w:ind w:right="-7"/>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561AC">
        <w:rPr>
          <w:rFonts w:ascii="Palatino Linotype" w:eastAsia="Palatino Linotype" w:hAnsi="Palatino Linotype" w:cs="Palatino Linotype"/>
          <w:b/>
          <w:color w:val="000000" w:themeColor="text1"/>
          <w:sz w:val="24"/>
          <w:szCs w:val="24"/>
        </w:rPr>
        <w:t>A N T E C E D E N T E S</w:t>
      </w:r>
    </w:p>
    <w:p w:rsidR="0020369F" w:rsidRPr="004561AC" w:rsidRDefault="0020369F" w:rsidP="004561A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u w:val="single"/>
        </w:rPr>
      </w:pPr>
    </w:p>
    <w:p w:rsidR="0020369F" w:rsidRPr="004561AC" w:rsidRDefault="001E21FA" w:rsidP="004561AC">
      <w:pPr>
        <w:numPr>
          <w:ilvl w:val="0"/>
          <w:numId w:val="3"/>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El </w:t>
      </w:r>
      <w:r w:rsidR="00DB0FCF" w:rsidRPr="004561AC">
        <w:rPr>
          <w:rFonts w:ascii="Palatino Linotype" w:eastAsia="Palatino Linotype" w:hAnsi="Palatino Linotype" w:cs="Palatino Linotype"/>
          <w:b/>
          <w:color w:val="000000" w:themeColor="text1"/>
        </w:rPr>
        <w:t>ocho de mayo</w:t>
      </w:r>
      <w:r w:rsidRPr="004561AC">
        <w:rPr>
          <w:rFonts w:ascii="Palatino Linotype" w:eastAsia="Palatino Linotype" w:hAnsi="Palatino Linotype" w:cs="Palatino Linotype"/>
          <w:b/>
          <w:color w:val="000000" w:themeColor="text1"/>
        </w:rPr>
        <w:t xml:space="preserve"> de dos mil veinticinco</w:t>
      </w:r>
      <w:r w:rsidRPr="004561AC">
        <w:rPr>
          <w:rFonts w:ascii="Palatino Linotype" w:eastAsia="Palatino Linotype" w:hAnsi="Palatino Linotype" w:cs="Palatino Linotype"/>
          <w:color w:val="000000" w:themeColor="text1"/>
        </w:rPr>
        <w:t>,</w:t>
      </w:r>
      <w:r w:rsidRPr="004561AC">
        <w:rPr>
          <w:rFonts w:ascii="Palatino Linotype" w:eastAsia="Palatino Linotype" w:hAnsi="Palatino Linotype" w:cs="Palatino Linotype"/>
          <w:b/>
          <w:color w:val="000000" w:themeColor="text1"/>
        </w:rPr>
        <w:t xml:space="preserve"> </w:t>
      </w:r>
      <w:r w:rsidRPr="004561AC">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4561AC">
        <w:rPr>
          <w:rFonts w:ascii="Palatino Linotype" w:eastAsia="Palatino Linotype" w:hAnsi="Palatino Linotype" w:cs="Palatino Linotype"/>
          <w:b/>
          <w:color w:val="000000" w:themeColor="text1"/>
        </w:rPr>
        <w:t>solicitud de información pública</w:t>
      </w:r>
      <w:r w:rsidRPr="004561AC">
        <w:rPr>
          <w:rFonts w:ascii="Palatino Linotype" w:eastAsia="Palatino Linotype" w:hAnsi="Palatino Linotype" w:cs="Palatino Linotype"/>
          <w:color w:val="000000" w:themeColor="text1"/>
        </w:rPr>
        <w:t>:</w:t>
      </w:r>
    </w:p>
    <w:p w:rsidR="0020369F" w:rsidRPr="004561AC" w:rsidRDefault="0020369F" w:rsidP="004561A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20369F" w:rsidRPr="004561AC" w:rsidRDefault="001E21FA" w:rsidP="004561A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 “</w:t>
      </w:r>
      <w:r w:rsidR="00DB0FCF" w:rsidRPr="004561AC">
        <w:rPr>
          <w:rFonts w:ascii="Palatino Linotype" w:eastAsia="Palatino Linotype" w:hAnsi="Palatino Linotype" w:cs="Palatino Linotype"/>
          <w:i/>
          <w:color w:val="000000" w:themeColor="text1"/>
        </w:rPr>
        <w:t>solicito copia simple digitalizada a través del sistema electrónico saimex de los recibos de nómina de la presidenta municipal, sindicos, regidores y directores de área correspondientes a la segunda quincena del mes de abril de 2025.</w:t>
      </w:r>
      <w:r w:rsidRPr="004561AC">
        <w:rPr>
          <w:rFonts w:ascii="Palatino Linotype" w:eastAsia="Palatino Linotype" w:hAnsi="Palatino Linotype" w:cs="Palatino Linotype"/>
          <w:i/>
          <w:color w:val="000000" w:themeColor="text1"/>
        </w:rPr>
        <w:t>” (Sic)</w:t>
      </w:r>
    </w:p>
    <w:p w:rsidR="0020369F" w:rsidRDefault="0020369F" w:rsidP="004561AC">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C23A62" w:rsidRPr="004561AC" w:rsidRDefault="00C23A62" w:rsidP="004561AC">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20369F" w:rsidRPr="004561AC" w:rsidRDefault="001E21FA" w:rsidP="004561AC">
      <w:pPr>
        <w:numPr>
          <w:ilvl w:val="0"/>
          <w:numId w:val="1"/>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Se eligió como modalidad de entrega de la información: A través del </w:t>
      </w:r>
      <w:r w:rsidRPr="004561AC">
        <w:rPr>
          <w:rFonts w:ascii="Palatino Linotype" w:eastAsia="Palatino Linotype" w:hAnsi="Palatino Linotype" w:cs="Palatino Linotype"/>
          <w:b/>
          <w:color w:val="000000" w:themeColor="text1"/>
        </w:rPr>
        <w:t>SAIMEX.</w:t>
      </w:r>
    </w:p>
    <w:p w:rsidR="0020369F" w:rsidRPr="004561AC" w:rsidRDefault="0020369F" w:rsidP="004561AC">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El</w:t>
      </w:r>
      <w:r w:rsidRPr="004561AC">
        <w:rPr>
          <w:rFonts w:ascii="Palatino Linotype" w:eastAsia="Palatino Linotype" w:hAnsi="Palatino Linotype" w:cs="Palatino Linotype"/>
          <w:b/>
          <w:color w:val="000000" w:themeColor="text1"/>
        </w:rPr>
        <w:t xml:space="preserve"> </w:t>
      </w:r>
      <w:r w:rsidR="00DB0FCF" w:rsidRPr="004561AC">
        <w:rPr>
          <w:rFonts w:ascii="Palatino Linotype" w:eastAsia="Palatino Linotype" w:hAnsi="Palatino Linotype" w:cs="Palatino Linotype"/>
          <w:b/>
          <w:color w:val="000000" w:themeColor="text1"/>
        </w:rPr>
        <w:t>veintinueve</w:t>
      </w:r>
      <w:r w:rsidRPr="004561AC">
        <w:rPr>
          <w:rFonts w:ascii="Palatino Linotype" w:eastAsia="Palatino Linotype" w:hAnsi="Palatino Linotype" w:cs="Palatino Linotype"/>
          <w:b/>
          <w:color w:val="000000" w:themeColor="text1"/>
        </w:rPr>
        <w:t xml:space="preserve"> de mayo de dos mil veinticinco</w:t>
      </w:r>
      <w:r w:rsidRPr="004561AC">
        <w:rPr>
          <w:rFonts w:ascii="Palatino Linotype" w:eastAsia="Palatino Linotype" w:hAnsi="Palatino Linotype" w:cs="Palatino Linotype"/>
          <w:color w:val="000000" w:themeColor="text1"/>
        </w:rPr>
        <w:t>, el Sujeto Obligado</w:t>
      </w:r>
      <w:r w:rsidRPr="004561AC">
        <w:rPr>
          <w:rFonts w:ascii="Palatino Linotype" w:eastAsia="Palatino Linotype" w:hAnsi="Palatino Linotype" w:cs="Palatino Linotype"/>
          <w:b/>
          <w:color w:val="000000" w:themeColor="text1"/>
        </w:rPr>
        <w:t>,</w:t>
      </w:r>
      <w:r w:rsidRPr="004561AC">
        <w:rPr>
          <w:rFonts w:ascii="Palatino Linotype" w:eastAsia="Palatino Linotype" w:hAnsi="Palatino Linotype" w:cs="Palatino Linotype"/>
          <w:color w:val="000000" w:themeColor="text1"/>
        </w:rPr>
        <w:t xml:space="preserve"> dio </w:t>
      </w:r>
      <w:r w:rsidRPr="004561AC">
        <w:rPr>
          <w:rFonts w:ascii="Palatino Linotype" w:eastAsia="Palatino Linotype" w:hAnsi="Palatino Linotype" w:cs="Palatino Linotype"/>
          <w:b/>
          <w:color w:val="000000" w:themeColor="text1"/>
        </w:rPr>
        <w:t>respuesta</w:t>
      </w:r>
      <w:r w:rsidRPr="004561AC">
        <w:rPr>
          <w:rFonts w:ascii="Palatino Linotype" w:eastAsia="Palatino Linotype" w:hAnsi="Palatino Linotype" w:cs="Palatino Linotype"/>
          <w:color w:val="000000" w:themeColor="text1"/>
        </w:rPr>
        <w:t xml:space="preserve"> a través de los siguientes archivos electrónicos</w:t>
      </w:r>
      <w:r w:rsidRPr="004561AC">
        <w:rPr>
          <w:rFonts w:ascii="Palatino Linotype" w:eastAsia="Palatino Linotype" w:hAnsi="Palatino Linotype" w:cs="Palatino Linotype"/>
          <w:b/>
          <w:i/>
          <w:color w:val="000000" w:themeColor="text1"/>
        </w:rPr>
        <w:t>:</w:t>
      </w:r>
    </w:p>
    <w:p w:rsidR="00C23A62" w:rsidRDefault="00C23A62" w:rsidP="004561AC">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p>
    <w:p w:rsidR="00C23A62" w:rsidRDefault="00C23A62" w:rsidP="004561AC">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p>
    <w:p w:rsidR="00422664" w:rsidRPr="004561AC" w:rsidRDefault="00422664" w:rsidP="004561AC">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i/>
          <w:color w:val="000000" w:themeColor="text1"/>
        </w:rPr>
        <w:lastRenderedPageBreak/>
        <w:t>Recibos de nómina 2nda quincena abril.pdf</w:t>
      </w:r>
    </w:p>
    <w:p w:rsidR="00422664" w:rsidRPr="004561AC" w:rsidRDefault="00422664" w:rsidP="004561AC">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Documento en el que se advierten recibos de nómina </w:t>
      </w:r>
      <w:r w:rsidR="00581B9F" w:rsidRPr="004561AC">
        <w:rPr>
          <w:rFonts w:ascii="Palatino Linotype" w:eastAsia="Palatino Linotype" w:hAnsi="Palatino Linotype" w:cs="Palatino Linotype"/>
          <w:color w:val="000000" w:themeColor="text1"/>
        </w:rPr>
        <w:t>de diversos servidores públicos en versión pública.</w:t>
      </w:r>
    </w:p>
    <w:p w:rsidR="00422664" w:rsidRPr="004561AC" w:rsidRDefault="00422664" w:rsidP="004561AC">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p>
    <w:p w:rsidR="0020369F" w:rsidRPr="004561AC" w:rsidRDefault="00422664" w:rsidP="004561AC">
      <w:pPr>
        <w:pBdr>
          <w:top w:val="nil"/>
          <w:left w:val="nil"/>
          <w:bottom w:val="nil"/>
          <w:right w:val="nil"/>
          <w:between w:val="nil"/>
        </w:pBdr>
        <w:tabs>
          <w:tab w:val="left" w:pos="567"/>
        </w:tabs>
        <w:ind w:right="-7"/>
        <w:jc w:val="both"/>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i/>
          <w:color w:val="000000" w:themeColor="text1"/>
        </w:rPr>
        <w:t>NOVENA SESIÓN EXTRAORDINARIA.pdf</w:t>
      </w:r>
    </w:p>
    <w:p w:rsidR="00223D8C" w:rsidRPr="004561AC" w:rsidRDefault="00223D8C" w:rsidP="004561AC">
      <w:pPr>
        <w:pBdr>
          <w:top w:val="nil"/>
          <w:left w:val="nil"/>
          <w:bottom w:val="nil"/>
          <w:right w:val="nil"/>
          <w:between w:val="nil"/>
        </w:pBdr>
        <w:tabs>
          <w:tab w:val="left" w:pos="567"/>
        </w:tabs>
        <w:ind w:right="-7"/>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Acta de la Novena Sesión Extraordinaria del Comité de Transparencia Municipal de Chalco 2025-2027, en el que a través del ACUERDO: CTMCH/ORD/09/TERCERO Se aprueba, la clasificación de la información como CONFIDENCIAL referente a los datos personales en los recibos de nómina correspondiente a la segunda quincena de abril de 2025 de la Presidenta Municipal, Sindico, Regidores y Directores, como lo son Clave Única de Registro de Población (CURP), Registro Federal de Contribuyentes (RFC), Clave de ISSEMYM, Código QR</w:t>
      </w:r>
      <w:r w:rsidR="00182507" w:rsidRPr="004561AC">
        <w:rPr>
          <w:rFonts w:ascii="Palatino Linotype" w:eastAsia="Palatino Linotype" w:hAnsi="Palatino Linotype" w:cs="Palatino Linotype"/>
          <w:color w:val="000000" w:themeColor="text1"/>
        </w:rPr>
        <w:t>, Sellos digitales, y Deducciones que no corresponden a erogaciones de recursos públicos.</w:t>
      </w:r>
    </w:p>
    <w:p w:rsidR="00422664" w:rsidRPr="004561AC" w:rsidRDefault="00422664" w:rsidP="004561AC">
      <w:pPr>
        <w:pBdr>
          <w:top w:val="nil"/>
          <w:left w:val="nil"/>
          <w:bottom w:val="nil"/>
          <w:right w:val="nil"/>
          <w:between w:val="nil"/>
        </w:pBdr>
        <w:tabs>
          <w:tab w:val="left" w:pos="567"/>
        </w:tabs>
        <w:ind w:right="-7"/>
        <w:jc w:val="both"/>
        <w:rPr>
          <w:rFonts w:ascii="Palatino Linotype" w:eastAsia="Palatino Linotype" w:hAnsi="Palatino Linotype" w:cs="Palatino Linotype"/>
          <w:b/>
          <w:color w:val="000000" w:themeColor="text1"/>
        </w:rPr>
      </w:pPr>
    </w:p>
    <w:p w:rsidR="0020369F" w:rsidRPr="004561AC" w:rsidRDefault="001E21FA" w:rsidP="004561AC">
      <w:pPr>
        <w:numPr>
          <w:ilvl w:val="0"/>
          <w:numId w:val="3"/>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El</w:t>
      </w:r>
      <w:r w:rsidRPr="004561AC">
        <w:rPr>
          <w:rFonts w:ascii="Palatino Linotype" w:eastAsia="Palatino Linotype" w:hAnsi="Palatino Linotype" w:cs="Palatino Linotype"/>
          <w:b/>
          <w:color w:val="000000" w:themeColor="text1"/>
        </w:rPr>
        <w:t xml:space="preserve"> </w:t>
      </w:r>
      <w:r w:rsidR="00F50399" w:rsidRPr="004561AC">
        <w:rPr>
          <w:rFonts w:ascii="Palatino Linotype" w:eastAsia="Palatino Linotype" w:hAnsi="Palatino Linotype" w:cs="Palatino Linotype"/>
          <w:b/>
          <w:color w:val="000000" w:themeColor="text1"/>
        </w:rPr>
        <w:t>veintinueve</w:t>
      </w:r>
      <w:r w:rsidRPr="004561AC">
        <w:rPr>
          <w:rFonts w:ascii="Palatino Linotype" w:eastAsia="Palatino Linotype" w:hAnsi="Palatino Linotype" w:cs="Palatino Linotype"/>
          <w:b/>
          <w:color w:val="000000" w:themeColor="text1"/>
        </w:rPr>
        <w:t xml:space="preserve"> de mayo de dos mil veinticinco</w:t>
      </w:r>
      <w:r w:rsidRPr="004561AC">
        <w:rPr>
          <w:rFonts w:ascii="Palatino Linotype" w:eastAsia="Palatino Linotype" w:hAnsi="Palatino Linotype" w:cs="Palatino Linotype"/>
          <w:color w:val="000000" w:themeColor="text1"/>
        </w:rPr>
        <w:t xml:space="preserve">, el particular interpuso el </w:t>
      </w:r>
      <w:r w:rsidRPr="004561AC">
        <w:rPr>
          <w:rFonts w:ascii="Palatino Linotype" w:eastAsia="Palatino Linotype" w:hAnsi="Palatino Linotype" w:cs="Palatino Linotype"/>
          <w:b/>
          <w:color w:val="000000" w:themeColor="text1"/>
        </w:rPr>
        <w:t>recurso de revisión</w:t>
      </w:r>
      <w:r w:rsidRPr="004561AC">
        <w:rPr>
          <w:rFonts w:ascii="Palatino Linotype" w:eastAsia="Palatino Linotype" w:hAnsi="Palatino Linotype" w:cs="Palatino Linotype"/>
          <w:color w:val="000000" w:themeColor="text1"/>
        </w:rPr>
        <w:t xml:space="preserve"> al que se le asignó el folio </w:t>
      </w:r>
      <w:r w:rsidR="00F50399" w:rsidRPr="004561AC">
        <w:rPr>
          <w:rFonts w:ascii="Palatino Linotype" w:eastAsia="Palatino Linotype" w:hAnsi="Palatino Linotype" w:cs="Palatino Linotype"/>
          <w:b/>
          <w:color w:val="000000" w:themeColor="text1"/>
        </w:rPr>
        <w:t>06218</w:t>
      </w:r>
      <w:r w:rsidRPr="004561AC">
        <w:rPr>
          <w:rFonts w:ascii="Palatino Linotype" w:eastAsia="Palatino Linotype" w:hAnsi="Palatino Linotype" w:cs="Palatino Linotype"/>
          <w:b/>
          <w:color w:val="000000" w:themeColor="text1"/>
        </w:rPr>
        <w:t xml:space="preserve">/INFOEM/IP/RR/2025 </w:t>
      </w:r>
      <w:r w:rsidRPr="004561AC">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20369F" w:rsidRPr="004561AC" w:rsidRDefault="0020369F" w:rsidP="004561AC">
      <w:pPr>
        <w:pBdr>
          <w:top w:val="nil"/>
          <w:left w:val="nil"/>
          <w:bottom w:val="nil"/>
          <w:right w:val="nil"/>
          <w:between w:val="nil"/>
        </w:pBdr>
        <w:tabs>
          <w:tab w:val="left" w:pos="0"/>
        </w:tabs>
        <w:ind w:right="-7"/>
        <w:jc w:val="both"/>
        <w:rPr>
          <w:rFonts w:ascii="Palatino Linotype" w:eastAsia="Palatino Linotype" w:hAnsi="Palatino Linotype" w:cs="Palatino Linotype"/>
          <w:color w:val="000000" w:themeColor="text1"/>
        </w:rPr>
      </w:pPr>
    </w:p>
    <w:p w:rsidR="0020369F" w:rsidRPr="00C23A62" w:rsidRDefault="001E21FA" w:rsidP="00C23A62">
      <w:pPr>
        <w:pStyle w:val="Prrafodelista"/>
        <w:numPr>
          <w:ilvl w:val="0"/>
          <w:numId w:val="11"/>
        </w:numPr>
        <w:pBdr>
          <w:top w:val="nil"/>
          <w:left w:val="nil"/>
          <w:bottom w:val="nil"/>
          <w:right w:val="nil"/>
          <w:between w:val="nil"/>
        </w:pBdr>
        <w:ind w:right="-7"/>
        <w:jc w:val="both"/>
        <w:rPr>
          <w:rFonts w:ascii="Palatino Linotype" w:eastAsia="Palatino Linotype" w:hAnsi="Palatino Linotype" w:cs="Palatino Linotype"/>
          <w:b/>
          <w:color w:val="000000" w:themeColor="text1"/>
        </w:rPr>
      </w:pPr>
      <w:bookmarkStart w:id="2" w:name="_heading=h.30j0zll" w:colFirst="0" w:colLast="0"/>
      <w:bookmarkEnd w:id="2"/>
      <w:r w:rsidRPr="00C23A62">
        <w:rPr>
          <w:rFonts w:ascii="Palatino Linotype" w:eastAsia="Palatino Linotype" w:hAnsi="Palatino Linotype" w:cs="Palatino Linotype"/>
          <w:b/>
          <w:color w:val="000000" w:themeColor="text1"/>
        </w:rPr>
        <w:t xml:space="preserve">Acto impugnado: </w:t>
      </w:r>
    </w:p>
    <w:p w:rsidR="0020369F" w:rsidRPr="004561AC" w:rsidRDefault="001E21FA" w:rsidP="004561A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r w:rsidR="00F50399" w:rsidRPr="004561AC">
        <w:rPr>
          <w:rFonts w:ascii="Palatino Linotype" w:eastAsia="Palatino Linotype" w:hAnsi="Palatino Linotype" w:cs="Palatino Linotype"/>
          <w:i/>
          <w:color w:val="000000" w:themeColor="text1"/>
        </w:rPr>
        <w:t>REPUESTA A LA SOLICITUD 00116/CHALCO/IP/2025</w:t>
      </w:r>
      <w:r w:rsidRPr="004561AC">
        <w:rPr>
          <w:rFonts w:ascii="Palatino Linotype" w:eastAsia="Palatino Linotype" w:hAnsi="Palatino Linotype" w:cs="Palatino Linotype"/>
          <w:i/>
          <w:color w:val="000000" w:themeColor="text1"/>
        </w:rPr>
        <w:t>” (Sic)</w:t>
      </w:r>
    </w:p>
    <w:p w:rsidR="0020369F" w:rsidRPr="004561AC" w:rsidRDefault="0020369F" w:rsidP="004561AC">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20369F" w:rsidRPr="00C23A62" w:rsidRDefault="001E21FA" w:rsidP="00C23A62">
      <w:pPr>
        <w:pStyle w:val="Prrafodelista"/>
        <w:numPr>
          <w:ilvl w:val="0"/>
          <w:numId w:val="11"/>
        </w:numPr>
        <w:pBdr>
          <w:top w:val="nil"/>
          <w:left w:val="nil"/>
          <w:bottom w:val="nil"/>
          <w:right w:val="nil"/>
          <w:between w:val="nil"/>
        </w:pBdr>
        <w:ind w:right="-7"/>
        <w:jc w:val="both"/>
        <w:rPr>
          <w:rFonts w:ascii="Palatino Linotype" w:eastAsia="Palatino Linotype" w:hAnsi="Palatino Linotype" w:cs="Palatino Linotype"/>
          <w:b/>
          <w:color w:val="000000" w:themeColor="text1"/>
        </w:rPr>
      </w:pPr>
      <w:bookmarkStart w:id="3" w:name="_heading=h.1fob9te" w:colFirst="0" w:colLast="0"/>
      <w:bookmarkEnd w:id="3"/>
      <w:r w:rsidRPr="00C23A62">
        <w:rPr>
          <w:rFonts w:ascii="Palatino Linotype" w:eastAsia="Palatino Linotype" w:hAnsi="Palatino Linotype" w:cs="Palatino Linotype"/>
          <w:b/>
          <w:color w:val="000000" w:themeColor="text1"/>
        </w:rPr>
        <w:t xml:space="preserve">Razones o Motivos de inconformidad: </w:t>
      </w:r>
    </w:p>
    <w:p w:rsidR="0020369F" w:rsidRPr="004561AC" w:rsidRDefault="001E21FA" w:rsidP="004561A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r w:rsidR="00F50399" w:rsidRPr="004561AC">
        <w:rPr>
          <w:rFonts w:ascii="Palatino Linotype" w:eastAsia="Palatino Linotype" w:hAnsi="Palatino Linotype" w:cs="Palatino Linotype"/>
          <w:i/>
          <w:color w:val="000000" w:themeColor="text1"/>
        </w:rPr>
        <w:t>EN NINGUN CASO LAS DEDUCCIONES SALARIALES APLICADAS A SERVIDORES PÚBLICOS VIA NÓMINA PUEDE CONSIDERARSE INFORMACION CONFIDENCIAL, PUES SE TRATA DE RECURSOS PÚBLICOS Y ACCIONES DE GOBIERNO QUE DEBEN SER TRANSPARENTADOS. POR LO ANTERIOR, SOLICITO SE REVOQUE EL ACUERDO DEL COMITÉ DE TRANSPARENCIA Y SE ORDENE LA ENTREGA DE LOS RECIBOS DE NOMINA DEJANDO A LA VISTA DEL SOLICITANTE LA TOTALIDAD DE LAS DEDUCCIONES APLICADAS POR LA AUTORIDAD ADMINISTRATIVA EN LOS MISMOS</w:t>
      </w:r>
      <w:r w:rsidR="00713B17" w:rsidRPr="004561AC">
        <w:rPr>
          <w:rFonts w:ascii="Palatino Linotype" w:eastAsia="Palatino Linotype" w:hAnsi="Palatino Linotype" w:cs="Palatino Linotype"/>
          <w:i/>
          <w:color w:val="000000" w:themeColor="text1"/>
        </w:rPr>
        <w:t>.</w:t>
      </w:r>
      <w:r w:rsidRPr="004561AC">
        <w:rPr>
          <w:rFonts w:ascii="Palatino Linotype" w:eastAsia="Palatino Linotype" w:hAnsi="Palatino Linotype" w:cs="Palatino Linotype"/>
          <w:i/>
          <w:color w:val="000000" w:themeColor="text1"/>
        </w:rPr>
        <w:t>” (Sic)</w:t>
      </w:r>
    </w:p>
    <w:p w:rsidR="0020369F" w:rsidRPr="004561AC" w:rsidRDefault="0020369F" w:rsidP="004561AC">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i/>
          <w:color w:val="000000" w:themeColor="text1"/>
          <w:u w:val="single"/>
        </w:rPr>
      </w:pPr>
    </w:p>
    <w:p w:rsidR="0020369F" w:rsidRPr="004561AC" w:rsidRDefault="00707969" w:rsidP="004561AC">
      <w:pPr>
        <w:numPr>
          <w:ilvl w:val="0"/>
          <w:numId w:val="3"/>
        </w:numPr>
        <w:pBdr>
          <w:top w:val="nil"/>
          <w:left w:val="nil"/>
          <w:bottom w:val="nil"/>
          <w:right w:val="nil"/>
          <w:between w:val="nil"/>
        </w:pBdr>
        <w:tabs>
          <w:tab w:val="left" w:pos="0"/>
        </w:tabs>
        <w:spacing w:line="360" w:lineRule="auto"/>
        <w:ind w:left="0" w:right="-7"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1E21FA" w:rsidRPr="004561AC">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1E21FA" w:rsidRPr="004561AC">
        <w:rPr>
          <w:rFonts w:ascii="Palatino Linotype" w:eastAsia="Palatino Linotype" w:hAnsi="Palatino Linotype" w:cs="Palatino Linotype"/>
          <w:b/>
          <w:color w:val="000000" w:themeColor="text1"/>
        </w:rPr>
        <w:t xml:space="preserve">acuerdo de admisión </w:t>
      </w:r>
      <w:r w:rsidR="001E21FA" w:rsidRPr="004561AC">
        <w:rPr>
          <w:rFonts w:ascii="Palatino Linotype" w:eastAsia="Palatino Linotype" w:hAnsi="Palatino Linotype" w:cs="Palatino Linotype"/>
          <w:color w:val="000000" w:themeColor="text1"/>
        </w:rPr>
        <w:t xml:space="preserve">de fecha </w:t>
      </w:r>
      <w:r w:rsidR="00356E38" w:rsidRPr="004561AC">
        <w:rPr>
          <w:rFonts w:ascii="Palatino Linotype" w:eastAsia="Palatino Linotype" w:hAnsi="Palatino Linotype" w:cs="Palatino Linotype"/>
          <w:b/>
          <w:color w:val="000000" w:themeColor="text1"/>
        </w:rPr>
        <w:t>dos de junio</w:t>
      </w:r>
      <w:r w:rsidR="001E21FA" w:rsidRPr="004561AC">
        <w:rPr>
          <w:rFonts w:ascii="Palatino Linotype" w:eastAsia="Palatino Linotype" w:hAnsi="Palatino Linotype" w:cs="Palatino Linotype"/>
          <w:b/>
          <w:color w:val="000000" w:themeColor="text1"/>
        </w:rPr>
        <w:t xml:space="preserve"> de dos mil veinticinco, </w:t>
      </w:r>
      <w:r w:rsidR="001E21FA" w:rsidRPr="004561AC">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1E21FA" w:rsidRPr="004561AC">
        <w:rPr>
          <w:rFonts w:ascii="Palatino Linotype" w:eastAsia="Palatino Linotype" w:hAnsi="Palatino Linotype" w:cs="Palatino Linotype"/>
          <w:b/>
          <w:color w:val="000000" w:themeColor="text1"/>
        </w:rPr>
        <w:t xml:space="preserve">SUJETO OBLIGADO </w:t>
      </w:r>
      <w:r w:rsidR="001E21FA" w:rsidRPr="004561AC">
        <w:rPr>
          <w:rFonts w:ascii="Palatino Linotype" w:eastAsia="Palatino Linotype" w:hAnsi="Palatino Linotype" w:cs="Palatino Linotype"/>
          <w:color w:val="000000" w:themeColor="text1"/>
        </w:rPr>
        <w:t>presentara el Informe Justificado procedente.</w:t>
      </w:r>
    </w:p>
    <w:p w:rsidR="0020369F" w:rsidRPr="004561AC" w:rsidRDefault="0020369F" w:rsidP="004561AC">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El Recurrente</w:t>
      </w:r>
      <w:r w:rsidRPr="004561AC">
        <w:rPr>
          <w:rFonts w:ascii="Palatino Linotype" w:eastAsia="Palatino Linotype" w:hAnsi="Palatino Linotype" w:cs="Palatino Linotype"/>
          <w:b/>
          <w:color w:val="000000" w:themeColor="text1"/>
        </w:rPr>
        <w:t xml:space="preserve"> </w:t>
      </w:r>
      <w:r w:rsidRPr="004561AC">
        <w:rPr>
          <w:rFonts w:ascii="Palatino Linotype" w:eastAsia="Palatino Linotype" w:hAnsi="Palatino Linotype" w:cs="Palatino Linotype"/>
          <w:color w:val="000000" w:themeColor="text1"/>
        </w:rPr>
        <w:t>dejó de realizar manifestaciones que a su derecho conviniera y asistiera. Por su parte, el Sujeto Obligado,</w:t>
      </w:r>
      <w:r w:rsidRPr="004561AC">
        <w:rPr>
          <w:rFonts w:ascii="Palatino Linotype" w:eastAsia="Palatino Linotype" w:hAnsi="Palatino Linotype" w:cs="Palatino Linotype"/>
          <w:b/>
          <w:color w:val="000000" w:themeColor="text1"/>
        </w:rPr>
        <w:t xml:space="preserve"> </w:t>
      </w:r>
      <w:r w:rsidR="00B47ABA" w:rsidRPr="004561AC">
        <w:rPr>
          <w:rFonts w:ascii="Palatino Linotype" w:eastAsia="Palatino Linotype" w:hAnsi="Palatino Linotype" w:cs="Palatino Linotype"/>
          <w:color w:val="000000" w:themeColor="text1"/>
        </w:rPr>
        <w:t xml:space="preserve">en fecha </w:t>
      </w:r>
      <w:r w:rsidR="00B47ABA" w:rsidRPr="004561AC">
        <w:rPr>
          <w:rFonts w:ascii="Palatino Linotype" w:eastAsia="Palatino Linotype" w:hAnsi="Palatino Linotype" w:cs="Palatino Linotype"/>
          <w:b/>
          <w:color w:val="000000" w:themeColor="text1"/>
        </w:rPr>
        <w:t>once de junio de dos mil veinticinco</w:t>
      </w:r>
      <w:r w:rsidR="00B47ABA" w:rsidRPr="004561AC">
        <w:rPr>
          <w:rFonts w:ascii="Palatino Linotype" w:eastAsia="Palatino Linotype" w:hAnsi="Palatino Linotype" w:cs="Palatino Linotype"/>
          <w:color w:val="000000" w:themeColor="text1"/>
        </w:rPr>
        <w:t>,</w:t>
      </w:r>
      <w:r w:rsidRPr="004561AC">
        <w:rPr>
          <w:rFonts w:ascii="Palatino Linotype" w:eastAsia="Palatino Linotype" w:hAnsi="Palatino Linotype" w:cs="Palatino Linotype"/>
          <w:b/>
          <w:color w:val="000000" w:themeColor="text1"/>
        </w:rPr>
        <w:t xml:space="preserve"> </w:t>
      </w:r>
      <w:r w:rsidRPr="004561AC">
        <w:rPr>
          <w:rFonts w:ascii="Palatino Linotype" w:eastAsia="Palatino Linotype" w:hAnsi="Palatino Linotype" w:cs="Palatino Linotype"/>
          <w:color w:val="000000" w:themeColor="text1"/>
        </w:rPr>
        <w:t xml:space="preserve">presentó informe justificado </w:t>
      </w:r>
      <w:r w:rsidR="00B47ABA" w:rsidRPr="004561AC">
        <w:rPr>
          <w:rFonts w:ascii="Palatino Linotype" w:eastAsia="Palatino Linotype" w:hAnsi="Palatino Linotype" w:cs="Palatino Linotype"/>
          <w:color w:val="000000" w:themeColor="text1"/>
        </w:rPr>
        <w:t>a través del archivo digital siguiente</w:t>
      </w:r>
      <w:r w:rsidRPr="004561AC">
        <w:rPr>
          <w:rFonts w:ascii="Palatino Linotype" w:eastAsia="Palatino Linotype" w:hAnsi="Palatino Linotype" w:cs="Palatino Linotype"/>
          <w:color w:val="000000" w:themeColor="text1"/>
        </w:rPr>
        <w:t xml:space="preserve">: </w:t>
      </w:r>
    </w:p>
    <w:p w:rsidR="0020369F" w:rsidRPr="004561AC" w:rsidRDefault="007132B0" w:rsidP="004561AC">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i/>
          <w:color w:val="000000" w:themeColor="text1"/>
        </w:rPr>
        <w:t>Informe 6218.pdf</w:t>
      </w:r>
    </w:p>
    <w:p w:rsidR="007132B0" w:rsidRPr="004561AC" w:rsidRDefault="007132B0" w:rsidP="004561AC">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Oficio firmado por la Titular de la Unidad de Transparencia y Acceso a la Información, a través del cual refiere que:</w:t>
      </w:r>
    </w:p>
    <w:p w:rsidR="007132B0" w:rsidRPr="004561AC" w:rsidRDefault="007132B0" w:rsidP="004561A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7132B0" w:rsidRPr="004561AC" w:rsidRDefault="007132B0" w:rsidP="004561A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“…la determinación de llevar a cabo la Clasificación de Información respecto a las "</w:t>
      </w:r>
      <w:r w:rsidRPr="004561AC">
        <w:rPr>
          <w:rFonts w:ascii="Palatino Linotype" w:eastAsia="Palatino Linotype" w:hAnsi="Palatino Linotype" w:cs="Palatino Linotype"/>
          <w:b/>
          <w:i/>
          <w:color w:val="000000" w:themeColor="text1"/>
        </w:rPr>
        <w:t>Deducciones que no corresponden a erogaciones de recursos públicos</w:t>
      </w:r>
      <w:r w:rsidRPr="004561AC">
        <w:rPr>
          <w:rFonts w:ascii="Palatino Linotype" w:eastAsia="Palatino Linotype" w:hAnsi="Palatino Linotype" w:cs="Palatino Linotype"/>
          <w:i/>
          <w:color w:val="000000" w:themeColor="text1"/>
        </w:rPr>
        <w:t xml:space="preserve">", deriva de que, al dar a conocer deducciones por conceptos referentes a gastos personales, pagos de pensiones alimenticias, cuotas voluntarias, fondos de resistencia, créditos, préstamos personales, o de cualquier índole siempre que, no encuadren con la prestación de servicios; </w:t>
      </w:r>
      <w:r w:rsidRPr="004561AC">
        <w:rPr>
          <w:rFonts w:ascii="Palatino Linotype" w:eastAsia="Palatino Linotype" w:hAnsi="Palatino Linotype" w:cs="Palatino Linotype"/>
          <w:b/>
          <w:i/>
          <w:color w:val="000000" w:themeColor="text1"/>
        </w:rPr>
        <w:t>Afectarían su intimidad y vida privada de los Servidores Públicos</w:t>
      </w:r>
      <w:r w:rsidRPr="004561AC">
        <w:rPr>
          <w:rFonts w:ascii="Palatino Linotype" w:eastAsia="Palatino Linotype" w:hAnsi="Palatino Linotype" w:cs="Palatino Linotype"/>
          <w:i/>
          <w:color w:val="000000" w:themeColor="text1"/>
        </w:rPr>
        <w:t xml:space="preserve"> señalados en la solicitud, por lo tanto deben testarse al momento de la elaboración de la Versión Pública del documento, pues al no hacerlo se violentaría la protección de información confidencial, porque incide en la intimidad de un individuo identificado.” (Sic)</w:t>
      </w:r>
    </w:p>
    <w:p w:rsidR="007132B0" w:rsidRPr="004561AC" w:rsidRDefault="007132B0" w:rsidP="004561AC">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7132B0" w:rsidRPr="004561AC" w:rsidRDefault="007132B0" w:rsidP="004561AC">
      <w:pPr>
        <w:pBdr>
          <w:top w:val="nil"/>
          <w:left w:val="nil"/>
          <w:bottom w:val="nil"/>
          <w:right w:val="nil"/>
          <w:between w:val="nil"/>
        </w:pBdr>
        <w:ind w:right="-7"/>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Concluyendo en sentido toral con la ratificación de la respuesta inicial. </w:t>
      </w:r>
    </w:p>
    <w:p w:rsidR="007132B0" w:rsidRDefault="007132B0" w:rsidP="004561A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C23A62" w:rsidRPr="004561AC" w:rsidRDefault="00C23A62" w:rsidP="004561A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4" w:name="_heading=h.3znysh7" w:colFirst="0" w:colLast="0"/>
      <w:bookmarkEnd w:id="4"/>
      <w:r w:rsidRPr="004561AC">
        <w:rPr>
          <w:rFonts w:ascii="Palatino Linotype" w:eastAsia="Palatino Linotype" w:hAnsi="Palatino Linotype" w:cs="Palatino Linotype"/>
          <w:color w:val="000000" w:themeColor="text1"/>
        </w:rPr>
        <w:t>En fecha</w:t>
      </w:r>
      <w:r w:rsidRPr="004561AC">
        <w:rPr>
          <w:rFonts w:ascii="Palatino Linotype" w:eastAsia="Palatino Linotype" w:hAnsi="Palatino Linotype" w:cs="Palatino Linotype"/>
          <w:b/>
          <w:color w:val="000000" w:themeColor="text1"/>
        </w:rPr>
        <w:t xml:space="preserve"> </w:t>
      </w:r>
      <w:r w:rsidR="00AF2FE6" w:rsidRPr="004561AC">
        <w:rPr>
          <w:rFonts w:ascii="Palatino Linotype" w:eastAsia="Palatino Linotype" w:hAnsi="Palatino Linotype" w:cs="Palatino Linotype"/>
          <w:b/>
          <w:color w:val="000000" w:themeColor="text1"/>
        </w:rPr>
        <w:t>cuatro de julio</w:t>
      </w:r>
      <w:r w:rsidRPr="004561AC">
        <w:rPr>
          <w:rFonts w:ascii="Palatino Linotype" w:eastAsia="Palatino Linotype" w:hAnsi="Palatino Linotype" w:cs="Palatino Linotype"/>
          <w:b/>
          <w:color w:val="000000" w:themeColor="text1"/>
        </w:rPr>
        <w:t xml:space="preserve"> de dos mil veinticinco</w:t>
      </w:r>
      <w:r w:rsidRPr="004561AC">
        <w:rPr>
          <w:rFonts w:ascii="Palatino Linotype" w:eastAsia="Palatino Linotype" w:hAnsi="Palatino Linotype" w:cs="Palatino Linotype"/>
          <w:color w:val="000000" w:themeColor="text1"/>
        </w:rPr>
        <w:t>, se acordó ampliar el plazo para resolver el presente Recurso de Revisión.</w:t>
      </w:r>
    </w:p>
    <w:p w:rsidR="0020369F" w:rsidRPr="004561AC" w:rsidRDefault="0020369F" w:rsidP="004561A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20369F" w:rsidRPr="004561AC" w:rsidRDefault="001E21FA" w:rsidP="004561AC">
      <w:pPr>
        <w:numPr>
          <w:ilvl w:val="0"/>
          <w:numId w:val="3"/>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color w:val="000000" w:themeColor="text1"/>
        </w:rPr>
        <w:lastRenderedPageBreak/>
        <w:t xml:space="preserve">Seguidamente, en fecha </w:t>
      </w:r>
      <w:r w:rsidR="006A1940" w:rsidRPr="004561AC">
        <w:rPr>
          <w:rFonts w:ascii="Palatino Linotype" w:eastAsia="Palatino Linotype" w:hAnsi="Palatino Linotype" w:cs="Palatino Linotype"/>
          <w:b/>
          <w:color w:val="000000" w:themeColor="text1"/>
        </w:rPr>
        <w:t>dieciocho de noviembre</w:t>
      </w:r>
      <w:r w:rsidRPr="004561AC">
        <w:rPr>
          <w:rFonts w:ascii="Palatino Linotype" w:eastAsia="Palatino Linotype" w:hAnsi="Palatino Linotype" w:cs="Palatino Linotype"/>
          <w:b/>
          <w:color w:val="000000" w:themeColor="text1"/>
        </w:rPr>
        <w:t xml:space="preserve"> de dos mil veinticinco</w:t>
      </w:r>
      <w:r w:rsidRPr="004561AC">
        <w:rPr>
          <w:rFonts w:ascii="Palatino Linotype" w:eastAsia="Palatino Linotype" w:hAnsi="Palatino Linotype" w:cs="Palatino Linotype"/>
          <w:color w:val="000000" w:themeColor="text1"/>
        </w:rPr>
        <w:t xml:space="preserve">, la Comisionada Ponente dictó el </w:t>
      </w:r>
      <w:r w:rsidRPr="004561AC">
        <w:rPr>
          <w:rFonts w:ascii="Palatino Linotype" w:eastAsia="Palatino Linotype" w:hAnsi="Palatino Linotype" w:cs="Palatino Linotype"/>
          <w:b/>
          <w:color w:val="000000" w:themeColor="text1"/>
        </w:rPr>
        <w:t>cierre del periodo de instrucción</w:t>
      </w:r>
      <w:r w:rsidRPr="004561AC">
        <w:rPr>
          <w:rFonts w:ascii="Palatino Linotype" w:eastAsia="Palatino Linotype" w:hAnsi="Palatino Linotype" w:cs="Palatino Linotype"/>
          <w:color w:val="000000" w:themeColor="text1"/>
        </w:rPr>
        <w:t xml:space="preserve"> y, ordenó la resolución que conforme a Derecho proceda:</w:t>
      </w:r>
    </w:p>
    <w:p w:rsidR="0020369F" w:rsidRPr="004561AC" w:rsidRDefault="0020369F" w:rsidP="004561AC">
      <w:pPr>
        <w:pBdr>
          <w:top w:val="nil"/>
          <w:left w:val="nil"/>
          <w:bottom w:val="nil"/>
          <w:right w:val="nil"/>
          <w:between w:val="nil"/>
        </w:pBdr>
        <w:ind w:right="-7"/>
        <w:rPr>
          <w:rFonts w:ascii="Palatino Linotype" w:eastAsia="Palatino Linotype" w:hAnsi="Palatino Linotype" w:cs="Palatino Linotype"/>
          <w:b/>
          <w:color w:val="000000" w:themeColor="text1"/>
        </w:rPr>
      </w:pPr>
    </w:p>
    <w:p w:rsidR="0020369F" w:rsidRPr="004561AC" w:rsidRDefault="001E21FA" w:rsidP="004561AC">
      <w:pPr>
        <w:keepNext/>
        <w:keepLines/>
        <w:spacing w:line="360" w:lineRule="auto"/>
        <w:ind w:right="-7"/>
        <w:jc w:val="center"/>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 xml:space="preserve">C O N S I D E R A N D O </w:t>
      </w:r>
    </w:p>
    <w:p w:rsidR="0020369F" w:rsidRPr="004561AC" w:rsidRDefault="0020369F" w:rsidP="004561AC">
      <w:pPr>
        <w:spacing w:line="360" w:lineRule="auto"/>
        <w:ind w:right="-7"/>
        <w:rPr>
          <w:rFonts w:ascii="Palatino Linotype" w:eastAsia="Palatino Linotype" w:hAnsi="Palatino Linotype" w:cs="Palatino Linotype"/>
          <w:color w:val="000000" w:themeColor="text1"/>
        </w:rPr>
      </w:pPr>
    </w:p>
    <w:p w:rsidR="0020369F" w:rsidRPr="004561AC" w:rsidRDefault="001E21FA" w:rsidP="004561AC">
      <w:pPr>
        <w:keepNext/>
        <w:keepLines/>
        <w:spacing w:line="360" w:lineRule="auto"/>
        <w:ind w:right="-7"/>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PRIMERO. De la competencia</w:t>
      </w:r>
    </w:p>
    <w:p w:rsidR="0020369F" w:rsidRPr="004561AC" w:rsidRDefault="001E21FA" w:rsidP="004561AC">
      <w:pPr>
        <w:numPr>
          <w:ilvl w:val="0"/>
          <w:numId w:val="3"/>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0369F" w:rsidRPr="004561AC" w:rsidRDefault="0020369F" w:rsidP="004561AC">
      <w:pPr>
        <w:tabs>
          <w:tab w:val="left" w:pos="426"/>
        </w:tabs>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keepNext/>
        <w:keepLines/>
        <w:spacing w:line="360" w:lineRule="auto"/>
        <w:ind w:right="-7"/>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SEGUNDO. De la oportunidad y procedencia.</w:t>
      </w:r>
    </w:p>
    <w:p w:rsidR="0020369F" w:rsidRPr="004561AC" w:rsidRDefault="001E21FA" w:rsidP="004561AC">
      <w:pPr>
        <w:numPr>
          <w:ilvl w:val="0"/>
          <w:numId w:val="3"/>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El medio de impugnación fue presentado a través del </w:t>
      </w:r>
      <w:r w:rsidRPr="004561AC">
        <w:rPr>
          <w:rFonts w:ascii="Palatino Linotype" w:eastAsia="Palatino Linotype" w:hAnsi="Palatino Linotype" w:cs="Palatino Linotype"/>
          <w:b/>
          <w:color w:val="000000" w:themeColor="text1"/>
        </w:rPr>
        <w:t>SAIMEX,</w:t>
      </w:r>
      <w:r w:rsidRPr="004561AC">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561AC">
        <w:rPr>
          <w:rFonts w:ascii="Palatino Linotype" w:eastAsia="Palatino Linotype" w:hAnsi="Palatino Linotype" w:cs="Palatino Linotype"/>
          <w:b/>
          <w:color w:val="000000" w:themeColor="text1"/>
        </w:rPr>
        <w:t>SUJETO OBLIGADO</w:t>
      </w:r>
      <w:r w:rsidRPr="004561AC">
        <w:rPr>
          <w:rFonts w:ascii="Palatino Linotype" w:eastAsia="Palatino Linotype" w:hAnsi="Palatino Linotype" w:cs="Palatino Linotype"/>
          <w:color w:val="000000" w:themeColor="text1"/>
        </w:rPr>
        <w:t xml:space="preserve"> entregó respuesta el </w:t>
      </w:r>
      <w:r w:rsidR="006A1940" w:rsidRPr="004561AC">
        <w:rPr>
          <w:rFonts w:ascii="Palatino Linotype" w:eastAsia="Palatino Linotype" w:hAnsi="Palatino Linotype" w:cs="Palatino Linotype"/>
          <w:b/>
          <w:color w:val="000000" w:themeColor="text1"/>
        </w:rPr>
        <w:t>veintinueve</w:t>
      </w:r>
      <w:r w:rsidRPr="004561AC">
        <w:rPr>
          <w:rFonts w:ascii="Palatino Linotype" w:eastAsia="Palatino Linotype" w:hAnsi="Palatino Linotype" w:cs="Palatino Linotype"/>
          <w:b/>
          <w:color w:val="000000" w:themeColor="text1"/>
        </w:rPr>
        <w:t xml:space="preserve"> de mayo dos mil veinticinco</w:t>
      </w:r>
      <w:r w:rsidRPr="004561AC">
        <w:rPr>
          <w:rFonts w:ascii="Palatino Linotype" w:eastAsia="Palatino Linotype" w:hAnsi="Palatino Linotype" w:cs="Palatino Linotype"/>
          <w:color w:val="000000" w:themeColor="text1"/>
        </w:rPr>
        <w:t xml:space="preserve">, de tal forma que el plazo para interponer el recurso transcurrió del </w:t>
      </w:r>
      <w:r w:rsidR="006A1940" w:rsidRPr="004561AC">
        <w:rPr>
          <w:rFonts w:ascii="Palatino Linotype" w:eastAsia="Palatino Linotype" w:hAnsi="Palatino Linotype" w:cs="Palatino Linotype"/>
          <w:b/>
          <w:color w:val="000000" w:themeColor="text1"/>
        </w:rPr>
        <w:t>treinta</w:t>
      </w:r>
      <w:r w:rsidR="00081C7B" w:rsidRPr="004561AC">
        <w:rPr>
          <w:rFonts w:ascii="Palatino Linotype" w:eastAsia="Palatino Linotype" w:hAnsi="Palatino Linotype" w:cs="Palatino Linotype"/>
          <w:b/>
          <w:color w:val="000000" w:themeColor="text1"/>
        </w:rPr>
        <w:t xml:space="preserve"> de mayo al </w:t>
      </w:r>
      <w:r w:rsidR="006A1940" w:rsidRPr="004561AC">
        <w:rPr>
          <w:rFonts w:ascii="Palatino Linotype" w:eastAsia="Palatino Linotype" w:hAnsi="Palatino Linotype" w:cs="Palatino Linotype"/>
          <w:b/>
          <w:color w:val="000000" w:themeColor="text1"/>
        </w:rPr>
        <w:t>diecinueve</w:t>
      </w:r>
      <w:r w:rsidR="00081C7B" w:rsidRPr="004561AC">
        <w:rPr>
          <w:rFonts w:ascii="Palatino Linotype" w:eastAsia="Palatino Linotype" w:hAnsi="Palatino Linotype" w:cs="Palatino Linotype"/>
          <w:b/>
          <w:color w:val="000000" w:themeColor="text1"/>
        </w:rPr>
        <w:t xml:space="preserve"> de junio</w:t>
      </w:r>
      <w:r w:rsidRPr="004561AC">
        <w:rPr>
          <w:rFonts w:ascii="Palatino Linotype" w:eastAsia="Palatino Linotype" w:hAnsi="Palatino Linotype" w:cs="Palatino Linotype"/>
          <w:b/>
          <w:color w:val="000000" w:themeColor="text1"/>
        </w:rPr>
        <w:t xml:space="preserve"> de dos mil veinticinco, </w:t>
      </w:r>
      <w:r w:rsidRPr="004561AC">
        <w:rPr>
          <w:rFonts w:ascii="Palatino Linotype" w:eastAsia="Palatino Linotype" w:hAnsi="Palatino Linotype" w:cs="Palatino Linotype"/>
          <w:color w:val="000000" w:themeColor="text1"/>
        </w:rPr>
        <w:t xml:space="preserve">en consecuencia, si el </w:t>
      </w:r>
      <w:r w:rsidRPr="004561AC">
        <w:rPr>
          <w:rFonts w:ascii="Palatino Linotype" w:eastAsia="Palatino Linotype" w:hAnsi="Palatino Linotype" w:cs="Palatino Linotype"/>
          <w:b/>
          <w:color w:val="000000" w:themeColor="text1"/>
        </w:rPr>
        <w:t>PARTICULAR</w:t>
      </w:r>
      <w:r w:rsidRPr="004561AC">
        <w:rPr>
          <w:rFonts w:ascii="Palatino Linotype" w:eastAsia="Palatino Linotype" w:hAnsi="Palatino Linotype" w:cs="Palatino Linotype"/>
          <w:color w:val="000000" w:themeColor="text1"/>
        </w:rPr>
        <w:t xml:space="preserve"> presentó su inconformidad el </w:t>
      </w:r>
      <w:r w:rsidR="006A1940" w:rsidRPr="004561AC">
        <w:rPr>
          <w:rFonts w:ascii="Palatino Linotype" w:eastAsia="Palatino Linotype" w:hAnsi="Palatino Linotype" w:cs="Palatino Linotype"/>
          <w:b/>
          <w:color w:val="000000" w:themeColor="text1"/>
        </w:rPr>
        <w:lastRenderedPageBreak/>
        <w:t xml:space="preserve">veintinueve </w:t>
      </w:r>
      <w:r w:rsidRPr="004561AC">
        <w:rPr>
          <w:rFonts w:ascii="Palatino Linotype" w:eastAsia="Palatino Linotype" w:hAnsi="Palatino Linotype" w:cs="Palatino Linotype"/>
          <w:b/>
          <w:color w:val="000000" w:themeColor="text1"/>
        </w:rPr>
        <w:t>de mayo de dos mil veinticinco</w:t>
      </w:r>
      <w:r w:rsidRPr="004561AC">
        <w:rPr>
          <w:rFonts w:ascii="Palatino Linotype" w:eastAsia="Palatino Linotype" w:hAnsi="Palatino Linotype" w:cs="Palatino Linotype"/>
          <w:color w:val="000000" w:themeColor="text1"/>
        </w:rPr>
        <w:t xml:space="preserve">, este  se encuentra dentro de los márgenes temporales previstos en el artículo 178 de la </w:t>
      </w:r>
      <w:r w:rsidRPr="004561AC">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561AC">
        <w:rPr>
          <w:rFonts w:ascii="Palatino Linotype" w:eastAsia="Palatino Linotype" w:hAnsi="Palatino Linotype" w:cs="Palatino Linotype"/>
          <w:color w:val="000000" w:themeColor="text1"/>
        </w:rPr>
        <w:t xml:space="preserve">vigente. </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bookmarkStart w:id="5" w:name="_heading=h.2et92p0" w:colFirst="0" w:colLast="0"/>
      <w:bookmarkEnd w:id="5"/>
    </w:p>
    <w:p w:rsidR="0020369F" w:rsidRDefault="001E21FA" w:rsidP="004561AC">
      <w:pPr>
        <w:pStyle w:val="Ttulo2"/>
        <w:ind w:right="-7"/>
        <w:rPr>
          <w:rFonts w:ascii="Palatino Linotype" w:eastAsia="Palatino Linotype" w:hAnsi="Palatino Linotype" w:cs="Palatino Linotype"/>
          <w:b/>
          <w:i/>
          <w:color w:val="000000" w:themeColor="text1"/>
          <w:sz w:val="24"/>
          <w:szCs w:val="24"/>
        </w:rPr>
      </w:pPr>
      <w:r w:rsidRPr="004561AC">
        <w:rPr>
          <w:rFonts w:ascii="Palatino Linotype" w:eastAsia="Palatino Linotype" w:hAnsi="Palatino Linotype" w:cs="Palatino Linotype"/>
          <w:b/>
          <w:color w:val="000000" w:themeColor="text1"/>
          <w:sz w:val="24"/>
          <w:szCs w:val="24"/>
        </w:rPr>
        <w:t xml:space="preserve">TERCERO. Del planteamiento de la </w:t>
      </w:r>
      <w:r w:rsidRPr="004561AC">
        <w:rPr>
          <w:rFonts w:ascii="Palatino Linotype" w:eastAsia="Palatino Linotype" w:hAnsi="Palatino Linotype" w:cs="Palatino Linotype"/>
          <w:b/>
          <w:i/>
          <w:color w:val="000000" w:themeColor="text1"/>
          <w:sz w:val="24"/>
          <w:szCs w:val="24"/>
        </w:rPr>
        <w:t>Litis.</w:t>
      </w:r>
    </w:p>
    <w:p w:rsidR="008273A5" w:rsidRPr="008273A5" w:rsidRDefault="008273A5" w:rsidP="008273A5"/>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Se solicitó tener acceso, a la información que a continuación se simplifica:</w:t>
      </w:r>
    </w:p>
    <w:p w:rsidR="0020369F" w:rsidRPr="004561AC" w:rsidRDefault="001E21FA" w:rsidP="004561AC">
      <w:pPr>
        <w:numPr>
          <w:ilvl w:val="0"/>
          <w:numId w:val="6"/>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i/>
          <w:color w:val="000000" w:themeColor="text1"/>
        </w:rPr>
        <w:t xml:space="preserve"> </w:t>
      </w:r>
      <w:r w:rsidR="00DA04E4" w:rsidRPr="004561AC">
        <w:rPr>
          <w:rFonts w:ascii="Palatino Linotype" w:eastAsia="Palatino Linotype" w:hAnsi="Palatino Linotype" w:cs="Palatino Linotype"/>
          <w:i/>
          <w:color w:val="000000" w:themeColor="text1"/>
        </w:rPr>
        <w:t>Recibos de nómina de la presidenta municipal, síndicos, regidores y directores de área, correspondientes a la segunda quincena de abril de 2025</w:t>
      </w:r>
      <w:r w:rsidR="009F4535" w:rsidRPr="004561AC">
        <w:rPr>
          <w:rFonts w:ascii="Palatino Linotype" w:eastAsia="Palatino Linotype" w:hAnsi="Palatino Linotype" w:cs="Palatino Linotype"/>
          <w:i/>
          <w:color w:val="000000" w:themeColor="text1"/>
        </w:rPr>
        <w:t>.</w:t>
      </w:r>
    </w:p>
    <w:p w:rsidR="009F4535" w:rsidRDefault="009F4535" w:rsidP="004561A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C23A62" w:rsidRPr="004561AC" w:rsidRDefault="00C23A62" w:rsidP="004561A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En respuesta, el Sujeto Obligado</w:t>
      </w:r>
      <w:r w:rsidRPr="004561AC">
        <w:rPr>
          <w:rFonts w:ascii="Palatino Linotype" w:eastAsia="Palatino Linotype" w:hAnsi="Palatino Linotype" w:cs="Palatino Linotype"/>
          <w:b/>
          <w:color w:val="000000" w:themeColor="text1"/>
        </w:rPr>
        <w:t xml:space="preserve"> </w:t>
      </w:r>
      <w:r w:rsidRPr="004561AC">
        <w:rPr>
          <w:rFonts w:ascii="Palatino Linotype" w:eastAsia="Palatino Linotype" w:hAnsi="Palatino Linotype" w:cs="Palatino Linotype"/>
          <w:color w:val="000000" w:themeColor="text1"/>
        </w:rPr>
        <w:t>remitió el archivo ya d</w:t>
      </w:r>
      <w:r w:rsidR="00E96D2A" w:rsidRPr="004561AC">
        <w:rPr>
          <w:rFonts w:ascii="Palatino Linotype" w:eastAsia="Palatino Linotype" w:hAnsi="Palatino Linotype" w:cs="Palatino Linotype"/>
          <w:color w:val="000000" w:themeColor="text1"/>
        </w:rPr>
        <w:t>escrito en el anterior párrafo 2</w:t>
      </w:r>
      <w:r w:rsidRPr="004561AC">
        <w:rPr>
          <w:rFonts w:ascii="Palatino Linotype" w:eastAsia="Palatino Linotype" w:hAnsi="Palatino Linotype" w:cs="Palatino Linotype"/>
          <w:color w:val="000000" w:themeColor="text1"/>
        </w:rPr>
        <w:t xml:space="preserve">, inconforme con la respuesta, se interpuso recurso de revisión argumentando sustancialmente la </w:t>
      </w:r>
      <w:r w:rsidR="005D1091" w:rsidRPr="004561AC">
        <w:rPr>
          <w:rFonts w:ascii="Palatino Linotype" w:eastAsia="Palatino Linotype" w:hAnsi="Palatino Linotype" w:cs="Palatino Linotype"/>
          <w:color w:val="000000" w:themeColor="text1"/>
        </w:rPr>
        <w:t>supresión de las deducciones en los recibos de nómina entregados.</w:t>
      </w: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4561AC">
        <w:rPr>
          <w:rFonts w:ascii="Palatino Linotype" w:eastAsia="Palatino Linotype" w:hAnsi="Palatino Linotype" w:cs="Palatino Linotype"/>
          <w:b/>
          <w:color w:val="000000" w:themeColor="text1"/>
        </w:rPr>
        <w:t xml:space="preserve">179, fracción </w:t>
      </w:r>
      <w:r w:rsidR="005D1091" w:rsidRPr="004561AC">
        <w:rPr>
          <w:rFonts w:ascii="Palatino Linotype" w:eastAsia="Palatino Linotype" w:hAnsi="Palatino Linotype" w:cs="Palatino Linotype"/>
          <w:b/>
          <w:color w:val="000000" w:themeColor="text1"/>
        </w:rPr>
        <w:t>II</w:t>
      </w:r>
      <w:r w:rsidRPr="004561AC">
        <w:rPr>
          <w:rFonts w:ascii="Palatino Linotype" w:eastAsia="Palatino Linotype" w:hAnsi="Palatino Linotype" w:cs="Palatino Linotype"/>
          <w:b/>
          <w:color w:val="000000" w:themeColor="text1"/>
        </w:rPr>
        <w:t>, de la Ley de Transparencia y Acceso a la Información Pública del Estado de México y Municipios</w:t>
      </w:r>
      <w:r w:rsidRPr="004561AC">
        <w:rPr>
          <w:rFonts w:ascii="Palatino Linotype" w:eastAsia="Palatino Linotype" w:hAnsi="Palatino Linotype" w:cs="Palatino Linotype"/>
          <w:color w:val="000000" w:themeColor="text1"/>
        </w:rPr>
        <w:t xml:space="preserve">; fracción que determina la hipótesis relativa a </w:t>
      </w:r>
      <w:r w:rsidR="00532B16" w:rsidRPr="004561AC">
        <w:rPr>
          <w:rFonts w:ascii="Palatino Linotype" w:eastAsia="Palatino Linotype" w:hAnsi="Palatino Linotype" w:cs="Palatino Linotype"/>
          <w:b/>
          <w:color w:val="000000" w:themeColor="text1"/>
        </w:rPr>
        <w:t xml:space="preserve">la </w:t>
      </w:r>
      <w:r w:rsidR="005D1091" w:rsidRPr="004561AC">
        <w:rPr>
          <w:rFonts w:ascii="Palatino Linotype" w:eastAsia="Palatino Linotype" w:hAnsi="Palatino Linotype" w:cs="Palatino Linotype"/>
          <w:b/>
          <w:color w:val="000000" w:themeColor="text1"/>
        </w:rPr>
        <w:t>clasificación de la información</w:t>
      </w:r>
      <w:r w:rsidRPr="004561AC">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4561AC">
        <w:rPr>
          <w:rFonts w:ascii="Palatino Linotype" w:eastAsia="Palatino Linotype" w:hAnsi="Palatino Linotype" w:cs="Palatino Linotype"/>
          <w:b/>
          <w:color w:val="000000" w:themeColor="text1"/>
        </w:rPr>
        <w:t xml:space="preserve"> </w:t>
      </w:r>
      <w:r w:rsidRPr="004561AC">
        <w:rPr>
          <w:rFonts w:ascii="Palatino Linotype" w:eastAsia="Palatino Linotype" w:hAnsi="Palatino Linotype" w:cs="Palatino Linotype"/>
          <w:color w:val="000000" w:themeColor="text1"/>
        </w:rPr>
        <w:t>señalada.</w:t>
      </w:r>
    </w:p>
    <w:p w:rsidR="0020369F" w:rsidRPr="004561AC" w:rsidRDefault="0020369F" w:rsidP="004561AC">
      <w:pPr>
        <w:spacing w:line="360" w:lineRule="auto"/>
        <w:ind w:right="-7"/>
        <w:rPr>
          <w:rFonts w:ascii="Palatino Linotype" w:eastAsia="Palatino Linotype" w:hAnsi="Palatino Linotype" w:cs="Palatino Linotype"/>
          <w:color w:val="000000" w:themeColor="text1"/>
        </w:rPr>
      </w:pPr>
    </w:p>
    <w:p w:rsidR="0020369F" w:rsidRDefault="001E21FA" w:rsidP="004561AC">
      <w:pPr>
        <w:pStyle w:val="Ttulo2"/>
        <w:ind w:right="-7"/>
        <w:rPr>
          <w:rFonts w:ascii="Palatino Linotype" w:eastAsia="Palatino Linotype" w:hAnsi="Palatino Linotype" w:cs="Palatino Linotype"/>
          <w:b/>
          <w:color w:val="000000" w:themeColor="text1"/>
          <w:sz w:val="24"/>
          <w:szCs w:val="24"/>
        </w:rPr>
      </w:pPr>
      <w:bookmarkStart w:id="6" w:name="_heading=h.1t3h5sf" w:colFirst="0" w:colLast="0"/>
      <w:bookmarkEnd w:id="6"/>
      <w:r w:rsidRPr="004561AC">
        <w:rPr>
          <w:rFonts w:ascii="Palatino Linotype" w:eastAsia="Palatino Linotype" w:hAnsi="Palatino Linotype" w:cs="Palatino Linotype"/>
          <w:b/>
          <w:color w:val="000000" w:themeColor="text1"/>
          <w:sz w:val="24"/>
          <w:szCs w:val="24"/>
        </w:rPr>
        <w:t>CUARTO. Del estudio y resolución del asunto.</w:t>
      </w: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w:t>
      </w:r>
      <w:r w:rsidRPr="004561AC">
        <w:rPr>
          <w:rFonts w:ascii="Palatino Linotype" w:eastAsia="Palatino Linotype" w:hAnsi="Palatino Linotype" w:cs="Palatino Linotype"/>
          <w:color w:val="000000" w:themeColor="text1"/>
        </w:rPr>
        <w:lastRenderedPageBreak/>
        <w:t>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0369F" w:rsidRPr="004561AC" w:rsidRDefault="0020369F" w:rsidP="004561AC">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Default="001E21FA" w:rsidP="004561AC">
      <w:pPr>
        <w:numPr>
          <w:ilvl w:val="0"/>
          <w:numId w:val="2"/>
        </w:numPr>
        <w:pBdr>
          <w:top w:val="nil"/>
          <w:left w:val="nil"/>
          <w:bottom w:val="nil"/>
          <w:right w:val="nil"/>
          <w:between w:val="nil"/>
        </w:pBdr>
        <w:spacing w:line="360" w:lineRule="auto"/>
        <w:ind w:left="0" w:right="-7" w:firstLine="0"/>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lastRenderedPageBreak/>
        <w:t>Del Sujeto Obligado.</w:t>
      </w:r>
    </w:p>
    <w:p w:rsidR="0020369F" w:rsidRPr="008273A5" w:rsidRDefault="00C82C11" w:rsidP="004561AC">
      <w:pPr>
        <w:numPr>
          <w:ilvl w:val="0"/>
          <w:numId w:val="3"/>
        </w:numPr>
        <w:spacing w:line="360" w:lineRule="auto"/>
        <w:ind w:left="0" w:right="-7" w:firstLine="0"/>
        <w:jc w:val="both"/>
        <w:rPr>
          <w:rFonts w:ascii="Palatino Linotype" w:hAnsi="Palatino Linotype"/>
          <w:color w:val="000000" w:themeColor="text1"/>
        </w:rPr>
      </w:pPr>
      <w:r w:rsidRPr="004561AC">
        <w:rPr>
          <w:rFonts w:ascii="Palatino Linotype" w:eastAsia="Palatino Linotype" w:hAnsi="Palatino Linotype" w:cs="Palatino Linotype"/>
          <w:color w:val="000000" w:themeColor="text1"/>
        </w:rPr>
        <w:t>Para el ejercicio de sus atribuciones y responsabilidades ejecutivas, el Ayuntamiento se auxiliará con dependencias, entidades y unidades de la Administración Pública Municipal, que estarán subordinadas a la persona titular de la Presidencia Municipal, así como de los Organismos Públicos Descentralizados y Órgano Autónomo</w:t>
      </w:r>
      <w:r w:rsidR="001E21FA" w:rsidRPr="004561AC">
        <w:rPr>
          <w:rFonts w:ascii="Palatino Linotype" w:eastAsia="Palatino Linotype" w:hAnsi="Palatino Linotype" w:cs="Palatino Linotype"/>
          <w:color w:val="000000" w:themeColor="text1"/>
        </w:rPr>
        <w:t xml:space="preserve">, de conformidad con </w:t>
      </w:r>
      <w:r w:rsidRPr="004561AC">
        <w:rPr>
          <w:rFonts w:ascii="Palatino Linotype" w:eastAsia="Palatino Linotype" w:hAnsi="Palatino Linotype" w:cs="Palatino Linotype"/>
          <w:color w:val="000000" w:themeColor="text1"/>
        </w:rPr>
        <w:t>el artículo</w:t>
      </w:r>
      <w:r w:rsidR="001E21FA" w:rsidRPr="004561AC">
        <w:rPr>
          <w:rFonts w:ascii="Palatino Linotype" w:eastAsia="Palatino Linotype" w:hAnsi="Palatino Linotype" w:cs="Palatino Linotype"/>
          <w:color w:val="000000" w:themeColor="text1"/>
        </w:rPr>
        <w:t xml:space="preserve"> </w:t>
      </w:r>
      <w:r w:rsidRPr="004561AC">
        <w:rPr>
          <w:rFonts w:ascii="Palatino Linotype" w:eastAsia="Palatino Linotype" w:hAnsi="Palatino Linotype" w:cs="Palatino Linotype"/>
          <w:color w:val="000000" w:themeColor="text1"/>
        </w:rPr>
        <w:t>28</w:t>
      </w:r>
      <w:r w:rsidR="001E21FA" w:rsidRPr="004561AC">
        <w:rPr>
          <w:rFonts w:ascii="Palatino Linotype" w:eastAsia="Palatino Linotype" w:hAnsi="Palatino Linotype" w:cs="Palatino Linotype"/>
          <w:color w:val="000000" w:themeColor="text1"/>
        </w:rPr>
        <w:t>, del Bando Municipal 2025:</w:t>
      </w:r>
    </w:p>
    <w:p w:rsidR="0020369F" w:rsidRPr="004561AC" w:rsidRDefault="001E21FA" w:rsidP="004561AC">
      <w:pPr>
        <w:ind w:right="-7"/>
        <w:jc w:val="center"/>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i/>
          <w:color w:val="000000" w:themeColor="text1"/>
        </w:rPr>
        <w:t>Bando Municipal 2025</w:t>
      </w:r>
    </w:p>
    <w:p w:rsidR="0020369F" w:rsidRPr="004561AC" w:rsidRDefault="0020369F" w:rsidP="004561AC">
      <w:pPr>
        <w:ind w:right="-7"/>
        <w:jc w:val="center"/>
        <w:rPr>
          <w:rFonts w:ascii="Palatino Linotype" w:eastAsia="Palatino Linotype" w:hAnsi="Palatino Linotype" w:cs="Palatino Linotype"/>
          <w:b/>
          <w:i/>
          <w:color w:val="000000" w:themeColor="text1"/>
        </w:rPr>
      </w:pP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ARTÍCULO 28.-</w:t>
      </w:r>
      <w:r w:rsidRPr="004561AC">
        <w:rPr>
          <w:rFonts w:ascii="Palatino Linotype" w:eastAsia="Palatino Linotype" w:hAnsi="Palatino Linotype" w:cs="Palatino Linotype"/>
          <w:i/>
          <w:color w:val="000000" w:themeColor="text1"/>
        </w:rPr>
        <w:t xml:space="preserve"> Para el ejercicio de sus atribuciones y responsabilidades ejecutivas, el Ayuntamiento se auxiliará con dependencias, entidades y unidades de la Administración Pública Municipal, que estarán subordinadas a la persona titular de la Presidencia Municipal, así como de los Organismos Públicos Descentralizados y Órgano Autónomo, siguientes: </w:t>
      </w:r>
    </w:p>
    <w:p w:rsidR="00C82C11" w:rsidRPr="004561AC" w:rsidRDefault="00C82C11" w:rsidP="004561AC">
      <w:pPr>
        <w:ind w:right="-7"/>
        <w:jc w:val="both"/>
        <w:rPr>
          <w:rFonts w:ascii="Palatino Linotype" w:eastAsia="Palatino Linotype" w:hAnsi="Palatino Linotype" w:cs="Palatino Linotype"/>
          <w:i/>
          <w:color w:val="000000" w:themeColor="text1"/>
        </w:rPr>
      </w:pP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1. Áreas Centralizadas: </w:t>
      </w: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a) Secretaría del Ayuntamiento, y</w:t>
      </w: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 b) Secretaría Técnica Administrativa. </w:t>
      </w:r>
    </w:p>
    <w:p w:rsidR="00C82C11" w:rsidRPr="004561AC" w:rsidRDefault="00C82C11" w:rsidP="004561AC">
      <w:pPr>
        <w:ind w:right="-7"/>
        <w:jc w:val="both"/>
        <w:rPr>
          <w:rFonts w:ascii="Palatino Linotype" w:eastAsia="Palatino Linotype" w:hAnsi="Palatino Linotype" w:cs="Palatino Linotype"/>
          <w:i/>
          <w:color w:val="000000" w:themeColor="text1"/>
        </w:rPr>
      </w:pPr>
    </w:p>
    <w:p w:rsidR="00C82C11" w:rsidRPr="004561AC" w:rsidRDefault="00C82C11" w:rsidP="004561AC">
      <w:pPr>
        <w:ind w:right="-7"/>
        <w:jc w:val="both"/>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i/>
          <w:color w:val="000000" w:themeColor="text1"/>
        </w:rPr>
        <w:t xml:space="preserve">2. Direcciones: </w:t>
      </w: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a) Tesorería Municipal; </w:t>
      </w: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b) Órgano Interno de Control Municipal; </w:t>
      </w: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c) Dirección de Obras Públicas; d) Dirección de Desarrollo Económico y Turismo; </w:t>
      </w: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e) Dirección de Desarrollo Urbano; </w:t>
      </w: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f) Dirección de Ecología; </w:t>
      </w: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g) Dirección de Bienestar; </w:t>
      </w: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h) Dirección de las Mujeres. </w:t>
      </w:r>
    </w:p>
    <w:p w:rsidR="00C82C11" w:rsidRPr="004561AC" w:rsidRDefault="00C82C11" w:rsidP="004561AC">
      <w:pPr>
        <w:ind w:right="-7"/>
        <w:jc w:val="both"/>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i/>
          <w:color w:val="000000" w:themeColor="text1"/>
        </w:rPr>
        <w:t xml:space="preserve">i) Dirección de Administración; </w:t>
      </w:r>
    </w:p>
    <w:p w:rsidR="0020369F"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j) Dirección de Seguridad Pública, Tránsito y Bomberos;</w:t>
      </w:r>
    </w:p>
    <w:p w:rsidR="00C82C11" w:rsidRPr="004561AC" w:rsidRDefault="00C82C11"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p>
    <w:p w:rsidR="00C82C11" w:rsidRPr="004561AC" w:rsidRDefault="00C82C11" w:rsidP="004561AC">
      <w:pPr>
        <w:spacing w:line="360" w:lineRule="auto"/>
        <w:ind w:right="-7"/>
        <w:jc w:val="both"/>
        <w:rPr>
          <w:rFonts w:ascii="Palatino Linotype" w:hAnsi="Palatino Linotype"/>
          <w:color w:val="000000" w:themeColor="text1"/>
        </w:rPr>
      </w:pPr>
    </w:p>
    <w:p w:rsidR="003502FB" w:rsidRPr="004561AC" w:rsidRDefault="00C82C11"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La </w:t>
      </w:r>
      <w:r w:rsidRPr="004561AC">
        <w:rPr>
          <w:rFonts w:ascii="Palatino Linotype" w:eastAsia="Palatino Linotype" w:hAnsi="Palatino Linotype" w:cs="Palatino Linotype"/>
          <w:b/>
          <w:color w:val="000000" w:themeColor="text1"/>
        </w:rPr>
        <w:t>Dirección de Administración</w:t>
      </w:r>
      <w:r w:rsidRPr="004561AC">
        <w:rPr>
          <w:rFonts w:ascii="Palatino Linotype" w:eastAsia="Palatino Linotype" w:hAnsi="Palatino Linotype" w:cs="Palatino Linotype"/>
          <w:color w:val="000000" w:themeColor="text1"/>
        </w:rPr>
        <w:t xml:space="preserve">, en apego a las normas aplicables, </w:t>
      </w:r>
      <w:r w:rsidRPr="004561AC">
        <w:rPr>
          <w:rFonts w:ascii="Palatino Linotype" w:eastAsia="Palatino Linotype" w:hAnsi="Palatino Linotype" w:cs="Palatino Linotype"/>
          <w:b/>
          <w:color w:val="000000" w:themeColor="text1"/>
        </w:rPr>
        <w:t>será la responsable de administrar</w:t>
      </w:r>
      <w:r w:rsidRPr="004561AC">
        <w:rPr>
          <w:rFonts w:ascii="Palatino Linotype" w:eastAsia="Palatino Linotype" w:hAnsi="Palatino Linotype" w:cs="Palatino Linotype"/>
          <w:color w:val="000000" w:themeColor="text1"/>
        </w:rPr>
        <w:t xml:space="preserve"> de manera oportuna, eficaz y eficiente los recursos materiales, </w:t>
      </w:r>
      <w:r w:rsidRPr="004561AC">
        <w:rPr>
          <w:rFonts w:ascii="Palatino Linotype" w:eastAsia="Palatino Linotype" w:hAnsi="Palatino Linotype" w:cs="Palatino Linotype"/>
          <w:color w:val="000000" w:themeColor="text1"/>
        </w:rPr>
        <w:lastRenderedPageBreak/>
        <w:t xml:space="preserve">parque vehicular y de servicios generales, </w:t>
      </w:r>
      <w:r w:rsidRPr="004561AC">
        <w:rPr>
          <w:rFonts w:ascii="Palatino Linotype" w:eastAsia="Palatino Linotype" w:hAnsi="Palatino Linotype" w:cs="Palatino Linotype"/>
          <w:b/>
          <w:color w:val="000000" w:themeColor="text1"/>
        </w:rPr>
        <w:t>en conjunto con la gestión y capacitación de los recursos humanos</w:t>
      </w:r>
      <w:r w:rsidRPr="004561AC">
        <w:rPr>
          <w:rFonts w:ascii="Palatino Linotype" w:eastAsia="Palatino Linotype" w:hAnsi="Palatino Linotype" w:cs="Palatino Linotype"/>
          <w:color w:val="000000" w:themeColor="text1"/>
        </w:rPr>
        <w:t>, de conformidad con el artícu</w:t>
      </w:r>
      <w:r w:rsidR="00C23A62">
        <w:rPr>
          <w:rFonts w:ascii="Palatino Linotype" w:eastAsia="Palatino Linotype" w:hAnsi="Palatino Linotype" w:cs="Palatino Linotype"/>
          <w:color w:val="000000" w:themeColor="text1"/>
        </w:rPr>
        <w:t>lo 36, del Bando Municipal 2025</w:t>
      </w:r>
    </w:p>
    <w:p w:rsidR="00C82C11" w:rsidRPr="004561AC" w:rsidRDefault="00C82C11" w:rsidP="004561AC">
      <w:pPr>
        <w:spacing w:line="360" w:lineRule="auto"/>
        <w:ind w:right="-7"/>
        <w:jc w:val="both"/>
        <w:rPr>
          <w:rFonts w:ascii="Palatino Linotype" w:eastAsia="Palatino Linotype" w:hAnsi="Palatino Linotype" w:cs="Palatino Linotype"/>
          <w:color w:val="000000" w:themeColor="text1"/>
        </w:rPr>
      </w:pPr>
    </w:p>
    <w:p w:rsidR="00C82C11" w:rsidRPr="004561AC" w:rsidRDefault="00C82C11"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De conformidad con el Manual de Organización de la Dirección de Administración, tiene como objetivo administrar y supervisar la correcta asignación de los recursos humanos y materiales de las Dependencias Administrativas que integran el Gobierno de Chalco y dentro de sus funciones tiene la relacionada con remuneraciones, tabuladores de sueldo y pagos de nómina, de los Servidores Públicos Municipales.</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hAnsi="Palatino Linotype"/>
          <w:color w:val="000000" w:themeColor="text1"/>
        </w:rPr>
      </w:pPr>
      <w:r w:rsidRPr="004561AC">
        <w:rPr>
          <w:rFonts w:ascii="Palatino Linotype" w:eastAsia="Palatino Linotype" w:hAnsi="Palatino Linotype" w:cs="Palatino Linotype"/>
          <w:color w:val="000000" w:themeColor="text1"/>
        </w:rPr>
        <w:t xml:space="preserve">De lo expuesto es de precisar que la respuesta fue </w:t>
      </w:r>
      <w:r w:rsidR="0072564E" w:rsidRPr="004561AC">
        <w:rPr>
          <w:rFonts w:ascii="Palatino Linotype" w:eastAsia="Palatino Linotype" w:hAnsi="Palatino Linotype" w:cs="Palatino Linotype"/>
          <w:color w:val="000000" w:themeColor="text1"/>
        </w:rPr>
        <w:t>emitida por la</w:t>
      </w:r>
      <w:r w:rsidRPr="004561AC">
        <w:rPr>
          <w:rFonts w:ascii="Palatino Linotype" w:eastAsia="Palatino Linotype" w:hAnsi="Palatino Linotype" w:cs="Palatino Linotype"/>
          <w:color w:val="000000" w:themeColor="text1"/>
        </w:rPr>
        <w:t xml:space="preserve"> </w:t>
      </w:r>
      <w:r w:rsidR="004A0017" w:rsidRPr="004561AC">
        <w:rPr>
          <w:rFonts w:ascii="Palatino Linotype" w:eastAsia="Palatino Linotype" w:hAnsi="Palatino Linotype" w:cs="Palatino Linotype"/>
          <w:b/>
          <w:color w:val="000000" w:themeColor="text1"/>
        </w:rPr>
        <w:t>Directora de Administración</w:t>
      </w:r>
      <w:r w:rsidRPr="004561AC">
        <w:rPr>
          <w:rFonts w:ascii="Palatino Linotype" w:eastAsia="Palatino Linotype" w:hAnsi="Palatino Linotype" w:cs="Palatino Linotype"/>
          <w:color w:val="000000" w:themeColor="text1"/>
        </w:rPr>
        <w:t xml:space="preserve">, por lo que podemos advertir que </w:t>
      </w:r>
      <w:r w:rsidRPr="004561AC">
        <w:rPr>
          <w:rFonts w:ascii="Palatino Linotype" w:eastAsia="Palatino Linotype" w:hAnsi="Palatino Linotype" w:cs="Palatino Linotype"/>
          <w:b/>
          <w:color w:val="000000" w:themeColor="text1"/>
        </w:rPr>
        <w:t xml:space="preserve">EL SUJETO OBLIGADO </w:t>
      </w:r>
      <w:r w:rsidRPr="004561AC">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XXXIX.</w:t>
      </w:r>
      <w:r w:rsidRPr="004561AC">
        <w:rPr>
          <w:rFonts w:ascii="Palatino Linotype" w:eastAsia="Palatino Linotype" w:hAnsi="Palatino Linotype" w:cs="Palatino Linotype"/>
          <w:i/>
          <w:color w:val="000000" w:themeColor="text1"/>
        </w:rPr>
        <w:t xml:space="preserve"> </w:t>
      </w:r>
      <w:r w:rsidRPr="004561AC">
        <w:rPr>
          <w:rFonts w:ascii="Palatino Linotype" w:eastAsia="Palatino Linotype" w:hAnsi="Palatino Linotype" w:cs="Palatino Linotype"/>
          <w:b/>
          <w:i/>
          <w:color w:val="000000" w:themeColor="text1"/>
        </w:rPr>
        <w:t>Servidor público habilitado</w:t>
      </w:r>
      <w:r w:rsidRPr="004561AC">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hAnsi="Palatino Linotype"/>
          <w:color w:val="000000" w:themeColor="text1"/>
        </w:rPr>
      </w:pPr>
      <w:r w:rsidRPr="004561AC">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lastRenderedPageBreak/>
        <w:t>“</w:t>
      </w:r>
      <w:r w:rsidRPr="004561AC">
        <w:rPr>
          <w:rFonts w:ascii="Palatino Linotype" w:eastAsia="Palatino Linotype" w:hAnsi="Palatino Linotype" w:cs="Palatino Linotype"/>
          <w:b/>
          <w:i/>
          <w:color w:val="000000" w:themeColor="text1"/>
        </w:rPr>
        <w:t>Artículo 162.</w:t>
      </w:r>
      <w:r w:rsidRPr="004561AC">
        <w:rPr>
          <w:rFonts w:ascii="Palatino Linotype" w:eastAsia="Palatino Linotype" w:hAnsi="Palatino Linotype" w:cs="Palatino Linotype"/>
          <w:i/>
          <w:color w:val="000000" w:themeColor="text1"/>
        </w:rPr>
        <w:t xml:space="preserve"> Las unidades de transparencia deberán garantizar que las solicitudes se turnen a </w:t>
      </w:r>
      <w:r w:rsidRPr="004561AC">
        <w:rPr>
          <w:rFonts w:ascii="Palatino Linotype" w:eastAsia="Palatino Linotype" w:hAnsi="Palatino Linotype" w:cs="Palatino Linotype"/>
          <w:b/>
          <w:i/>
          <w:color w:val="000000" w:themeColor="text1"/>
        </w:rPr>
        <w:t>todas las Áreas competentes</w:t>
      </w:r>
      <w:r w:rsidRPr="004561AC">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hAnsi="Palatino Linotype"/>
          <w:color w:val="000000" w:themeColor="text1"/>
        </w:rPr>
      </w:pPr>
      <w:r w:rsidRPr="004561AC">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r w:rsidRPr="004561AC">
        <w:rPr>
          <w:rFonts w:ascii="Palatino Linotype" w:eastAsia="Palatino Linotype" w:hAnsi="Palatino Linotype" w:cs="Palatino Linotype"/>
          <w:b/>
          <w:i/>
          <w:color w:val="000000" w:themeColor="text1"/>
        </w:rPr>
        <w:t xml:space="preserve">Artículo 3. </w:t>
      </w:r>
      <w:r w:rsidRPr="004561AC">
        <w:rPr>
          <w:rFonts w:ascii="Palatino Linotype" w:eastAsia="Palatino Linotype" w:hAnsi="Palatino Linotype" w:cs="Palatino Linotype"/>
          <w:i/>
          <w:color w:val="000000" w:themeColor="text1"/>
        </w:rPr>
        <w:t>Para los efectos de la presente Ley se entenderá por:</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XI. Documento:</w:t>
      </w:r>
      <w:r w:rsidRPr="004561AC">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0369F" w:rsidRPr="004561AC" w:rsidRDefault="001E21FA" w:rsidP="004561AC">
      <w:pPr>
        <w:spacing w:line="360" w:lineRule="auto"/>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p>
    <w:p w:rsidR="0020369F" w:rsidRPr="004561AC" w:rsidRDefault="0020369F" w:rsidP="004561AC">
      <w:pPr>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hAnsi="Palatino Linotype"/>
          <w:color w:val="000000" w:themeColor="text1"/>
        </w:rPr>
      </w:pPr>
      <w:r w:rsidRPr="004561AC">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0369F" w:rsidRPr="004561AC" w:rsidRDefault="001E21FA" w:rsidP="004561AC">
      <w:pPr>
        <w:ind w:right="-7"/>
        <w:jc w:val="both"/>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color w:val="000000" w:themeColor="text1"/>
        </w:rPr>
        <w:lastRenderedPageBreak/>
        <w:t>“</w:t>
      </w:r>
      <w:r w:rsidRPr="004561AC">
        <w:rPr>
          <w:rFonts w:ascii="Palatino Linotype" w:eastAsia="Palatino Linotype" w:hAnsi="Palatino Linotype" w:cs="Palatino Linotype"/>
          <w:b/>
          <w:i/>
          <w:color w:val="000000" w:themeColor="text1"/>
        </w:rPr>
        <w:t>CRITERIO 0002-11</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4561AC">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20369F" w:rsidRPr="004561AC" w:rsidRDefault="001E21FA" w:rsidP="004561AC">
      <w:pPr>
        <w:ind w:right="-7"/>
        <w:jc w:val="both"/>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i/>
          <w:color w:val="000000" w:themeColor="text1"/>
        </w:rPr>
        <w:t xml:space="preserve">1) </w:t>
      </w:r>
      <w:r w:rsidRPr="004561AC">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20369F" w:rsidRPr="004561AC" w:rsidRDefault="001E21FA" w:rsidP="004561AC">
      <w:pPr>
        <w:tabs>
          <w:tab w:val="left" w:pos="851"/>
        </w:tabs>
        <w:spacing w:line="360" w:lineRule="auto"/>
        <w:ind w:right="-7"/>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(Énfasis Añadido)</w:t>
      </w:r>
    </w:p>
    <w:p w:rsidR="0020369F" w:rsidRPr="004561AC" w:rsidRDefault="0020369F" w:rsidP="004561A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hAnsi="Palatino Linotype"/>
          <w:color w:val="000000" w:themeColor="text1"/>
        </w:rPr>
      </w:pPr>
      <w:r w:rsidRPr="004561AC">
        <w:rPr>
          <w:rFonts w:ascii="Palatino Linotype" w:eastAsia="Palatino Linotype" w:hAnsi="Palatino Linotype" w:cs="Palatino Linotype"/>
          <w:color w:val="000000" w:themeColor="text1"/>
        </w:rPr>
        <w:t>Por su parte los artículos 160 y 166, de la Ley local en la materia, que se reproduce de la siguiente forma:</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r w:rsidRPr="004561AC">
        <w:rPr>
          <w:rFonts w:ascii="Palatino Linotype" w:eastAsia="Palatino Linotype" w:hAnsi="Palatino Linotype" w:cs="Palatino Linotype"/>
          <w:b/>
          <w:i/>
          <w:color w:val="000000" w:themeColor="text1"/>
        </w:rPr>
        <w:t>Artículo 160.</w:t>
      </w:r>
      <w:r w:rsidRPr="004561AC">
        <w:rPr>
          <w:rFonts w:ascii="Palatino Linotype" w:eastAsia="Palatino Linotype" w:hAnsi="Palatino Linotype" w:cs="Palatino Linotype"/>
          <w:i/>
          <w:color w:val="000000" w:themeColor="text1"/>
        </w:rPr>
        <w:t xml:space="preserve"> </w:t>
      </w:r>
      <w:r w:rsidRPr="004561AC">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561AC">
        <w:rPr>
          <w:rFonts w:ascii="Palatino Linotype" w:eastAsia="Palatino Linotype" w:hAnsi="Palatino Linotype" w:cs="Palatino Linotype"/>
          <w:i/>
          <w:color w:val="000000" w:themeColor="text1"/>
        </w:rPr>
        <w:t>.</w:t>
      </w: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20369F" w:rsidRPr="004561AC" w:rsidRDefault="001E21FA" w:rsidP="004561AC">
      <w:pPr>
        <w:ind w:right="-7"/>
        <w:jc w:val="both"/>
        <w:rPr>
          <w:rFonts w:ascii="Palatino Linotype" w:eastAsia="Palatino Linotype" w:hAnsi="Palatino Linotype" w:cs="Palatino Linotype"/>
          <w:i/>
          <w:color w:val="000000" w:themeColor="text1"/>
          <w:u w:val="single"/>
        </w:rPr>
      </w:pPr>
      <w:r w:rsidRPr="004561AC">
        <w:rPr>
          <w:rFonts w:ascii="Palatino Linotype" w:eastAsia="Palatino Linotype" w:hAnsi="Palatino Linotype" w:cs="Palatino Linotype"/>
          <w:b/>
          <w:i/>
          <w:color w:val="000000" w:themeColor="text1"/>
        </w:rPr>
        <w:t>Artículo 166.</w:t>
      </w:r>
      <w:r w:rsidRPr="004561AC">
        <w:rPr>
          <w:rFonts w:ascii="Palatino Linotype" w:eastAsia="Palatino Linotype" w:hAnsi="Palatino Linotype" w:cs="Palatino Linotype"/>
          <w:i/>
          <w:color w:val="000000" w:themeColor="text1"/>
        </w:rPr>
        <w:t xml:space="preserve"> </w:t>
      </w:r>
      <w:r w:rsidRPr="004561AC">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20369F" w:rsidRPr="004561AC" w:rsidRDefault="001E21FA" w:rsidP="004561AC">
      <w:pPr>
        <w:spacing w:line="360" w:lineRule="auto"/>
        <w:ind w:right="-7"/>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(Énfasis añadido)</w:t>
      </w:r>
    </w:p>
    <w:p w:rsidR="0020369F" w:rsidRPr="004561AC" w:rsidRDefault="0020369F" w:rsidP="004561AC">
      <w:pPr>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hAnsi="Palatino Linotype"/>
          <w:color w:val="000000" w:themeColor="text1"/>
        </w:rPr>
      </w:pPr>
      <w:r w:rsidRPr="004561AC">
        <w:rPr>
          <w:rFonts w:ascii="Palatino Linotype" w:eastAsia="Palatino Linotype" w:hAnsi="Palatino Linotype" w:cs="Palatino Linotype"/>
          <w:color w:val="000000" w:themeColor="text1"/>
        </w:rPr>
        <w:t xml:space="preserve">Así que la obligación de los Sujetos Obligados de dar acceso a la información pública que generen, administren o posean, se tendrá por cumplida cuando el solicitante tenga a su </w:t>
      </w:r>
      <w:r w:rsidRPr="004561AC">
        <w:rPr>
          <w:rFonts w:ascii="Palatino Linotype" w:eastAsia="Palatino Linotype" w:hAnsi="Palatino Linotype" w:cs="Palatino Linotype"/>
          <w:color w:val="000000" w:themeColor="text1"/>
        </w:rPr>
        <w:lastRenderedPageBreak/>
        <w:t>disposición la información requerida, o cuando realice la consulta de la misma en el lugar que ésta se localice, siempre y cuando así resultare procedente.</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4A0017" w:rsidRPr="008273A5" w:rsidRDefault="004A0017" w:rsidP="004561AC">
      <w:pPr>
        <w:numPr>
          <w:ilvl w:val="0"/>
          <w:numId w:val="8"/>
        </w:numPr>
        <w:pBdr>
          <w:top w:val="nil"/>
          <w:left w:val="nil"/>
          <w:bottom w:val="nil"/>
          <w:right w:val="nil"/>
          <w:between w:val="nil"/>
        </w:pBdr>
        <w:tabs>
          <w:tab w:val="left" w:pos="0"/>
          <w:tab w:val="left" w:pos="567"/>
        </w:tabs>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b/>
          <w:color w:val="000000" w:themeColor="text1"/>
        </w:rPr>
        <w:t xml:space="preserve">De la naturaleza de la información solicitada. </w:t>
      </w:r>
    </w:p>
    <w:p w:rsidR="004A0017" w:rsidRPr="004561AC" w:rsidRDefault="004A0017"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Se precisa que se obvia el análisis de la competencia por parte del </w:t>
      </w:r>
      <w:r w:rsidRPr="004561AC">
        <w:rPr>
          <w:rFonts w:ascii="Palatino Linotype" w:eastAsia="Palatino Linotype" w:hAnsi="Palatino Linotype" w:cs="Palatino Linotype"/>
          <w:b/>
          <w:color w:val="000000" w:themeColor="text1"/>
        </w:rPr>
        <w:t>SUJETO OBLIGADO</w:t>
      </w:r>
      <w:r w:rsidRPr="004561AC">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su respuesta admitió contar con dicha información, tan es así que remitió los recibos de nómina de diversos servidores públicos de la </w:t>
      </w:r>
      <w:r w:rsidR="00ED73EC" w:rsidRPr="004561AC">
        <w:rPr>
          <w:rFonts w:ascii="Palatino Linotype" w:eastAsia="Palatino Linotype" w:hAnsi="Palatino Linotype" w:cs="Palatino Linotype"/>
          <w:color w:val="000000" w:themeColor="text1"/>
        </w:rPr>
        <w:t>temporalidad</w:t>
      </w:r>
      <w:r w:rsidRPr="004561AC">
        <w:rPr>
          <w:rFonts w:ascii="Palatino Linotype" w:eastAsia="Palatino Linotype" w:hAnsi="Palatino Linotype" w:cs="Palatino Linotype"/>
          <w:color w:val="000000" w:themeColor="text1"/>
        </w:rPr>
        <w:t xml:space="preserve"> </w:t>
      </w:r>
      <w:r w:rsidR="00ED73EC" w:rsidRPr="004561AC">
        <w:rPr>
          <w:rFonts w:ascii="Palatino Linotype" w:eastAsia="Palatino Linotype" w:hAnsi="Palatino Linotype" w:cs="Palatino Linotype"/>
          <w:color w:val="000000" w:themeColor="text1"/>
        </w:rPr>
        <w:t>requerida.</w:t>
      </w:r>
    </w:p>
    <w:p w:rsidR="004A0017" w:rsidRPr="004561AC" w:rsidRDefault="004A0017" w:rsidP="004561AC">
      <w:pPr>
        <w:tabs>
          <w:tab w:val="left" w:pos="0"/>
          <w:tab w:val="left" w:pos="567"/>
        </w:tabs>
        <w:spacing w:line="360" w:lineRule="auto"/>
        <w:ind w:right="-7"/>
        <w:jc w:val="both"/>
        <w:rPr>
          <w:rFonts w:ascii="Palatino Linotype" w:eastAsia="Palatino Linotype" w:hAnsi="Palatino Linotype" w:cs="Palatino Linotype"/>
          <w:color w:val="000000" w:themeColor="text1"/>
        </w:rPr>
      </w:pPr>
    </w:p>
    <w:p w:rsidR="004A0017" w:rsidRPr="004561AC" w:rsidRDefault="004A0017" w:rsidP="004561AC">
      <w:pPr>
        <w:numPr>
          <w:ilvl w:val="0"/>
          <w:numId w:val="3"/>
        </w:numPr>
        <w:spacing w:line="360" w:lineRule="auto"/>
        <w:ind w:left="0" w:right="-7" w:firstLine="0"/>
        <w:jc w:val="both"/>
        <w:rPr>
          <w:rFonts w:ascii="Palatino Linotype" w:hAnsi="Palatino Linotype"/>
          <w:color w:val="000000" w:themeColor="text1"/>
        </w:rPr>
      </w:pPr>
      <w:bookmarkStart w:id="7" w:name="_heading=h.2s8eyo1" w:colFirst="0" w:colLast="0"/>
      <w:bookmarkEnd w:id="7"/>
      <w:r w:rsidRPr="004561AC">
        <w:rPr>
          <w:rFonts w:ascii="Palatino Linotype" w:eastAsia="Palatino Linotype" w:hAnsi="Palatino Linotype" w:cs="Palatino Linotype"/>
          <w:color w:val="000000" w:themeColor="text1"/>
        </w:rPr>
        <w:t xml:space="preserve">En efecto, el hecho de que </w:t>
      </w:r>
      <w:r w:rsidRPr="004561AC">
        <w:rPr>
          <w:rFonts w:ascii="Palatino Linotype" w:eastAsia="Palatino Linotype" w:hAnsi="Palatino Linotype" w:cs="Palatino Linotype"/>
          <w:b/>
          <w:color w:val="000000" w:themeColor="text1"/>
        </w:rPr>
        <w:t>EL SUJETO OBLIGADO</w:t>
      </w:r>
      <w:r w:rsidRPr="004561AC">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A0017" w:rsidRPr="004561AC" w:rsidRDefault="004A0017" w:rsidP="004561AC">
      <w:pPr>
        <w:tabs>
          <w:tab w:val="left" w:pos="8505"/>
        </w:tabs>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r w:rsidRPr="004561AC">
        <w:rPr>
          <w:rFonts w:ascii="Palatino Linotype" w:eastAsia="Palatino Linotype" w:hAnsi="Palatino Linotype" w:cs="Palatino Linotype"/>
          <w:b/>
          <w:i/>
          <w:color w:val="000000" w:themeColor="text1"/>
        </w:rPr>
        <w:t>Artículo 12.</w:t>
      </w:r>
      <w:r w:rsidRPr="004561AC">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4A0017" w:rsidRPr="004561AC" w:rsidRDefault="004A0017" w:rsidP="004561AC">
      <w:pPr>
        <w:tabs>
          <w:tab w:val="left" w:pos="8505"/>
        </w:tabs>
        <w:ind w:right="-7"/>
        <w:jc w:val="both"/>
        <w:rPr>
          <w:rFonts w:ascii="Palatino Linotype" w:eastAsia="Palatino Linotype" w:hAnsi="Palatino Linotype" w:cs="Palatino Linotype"/>
          <w:i/>
          <w:color w:val="000000" w:themeColor="text1"/>
        </w:rPr>
      </w:pPr>
    </w:p>
    <w:p w:rsidR="004A0017" w:rsidRPr="004561AC" w:rsidRDefault="004A0017" w:rsidP="004561AC">
      <w:pPr>
        <w:tabs>
          <w:tab w:val="left" w:pos="8505"/>
        </w:tabs>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A0017" w:rsidRPr="004561AC" w:rsidRDefault="004A0017" w:rsidP="004561AC">
      <w:pPr>
        <w:tabs>
          <w:tab w:val="left" w:pos="8505"/>
        </w:tabs>
        <w:ind w:right="-7"/>
        <w:jc w:val="both"/>
        <w:rPr>
          <w:rFonts w:ascii="Palatino Linotype" w:eastAsia="Palatino Linotype" w:hAnsi="Palatino Linotype" w:cs="Palatino Linotype"/>
          <w:i/>
          <w:color w:val="000000" w:themeColor="text1"/>
        </w:rPr>
      </w:pPr>
    </w:p>
    <w:p w:rsidR="004A0017" w:rsidRPr="004561AC" w:rsidRDefault="004A0017" w:rsidP="004561AC">
      <w:pPr>
        <w:pBdr>
          <w:top w:val="nil"/>
          <w:left w:val="nil"/>
          <w:bottom w:val="nil"/>
          <w:right w:val="nil"/>
          <w:between w:val="nil"/>
        </w:pBdr>
        <w:ind w:right="-7"/>
        <w:rPr>
          <w:rFonts w:ascii="Palatino Linotype" w:eastAsia="Palatino Linotype" w:hAnsi="Palatino Linotype" w:cs="Palatino Linotype"/>
          <w:color w:val="000000" w:themeColor="text1"/>
        </w:rPr>
      </w:pPr>
    </w:p>
    <w:p w:rsidR="004A0017" w:rsidRPr="004561AC" w:rsidRDefault="004A0017" w:rsidP="004561AC">
      <w:pPr>
        <w:numPr>
          <w:ilvl w:val="0"/>
          <w:numId w:val="3"/>
        </w:numPr>
        <w:spacing w:line="360" w:lineRule="auto"/>
        <w:ind w:left="0" w:right="-7" w:firstLine="0"/>
        <w:jc w:val="both"/>
        <w:rPr>
          <w:rFonts w:ascii="Palatino Linotype" w:hAnsi="Palatino Linotype"/>
          <w:color w:val="000000" w:themeColor="text1"/>
        </w:rPr>
      </w:pPr>
      <w:r w:rsidRPr="004561AC">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4561AC">
        <w:rPr>
          <w:rFonts w:ascii="Palatino Linotype" w:eastAsia="Palatino Linotype" w:hAnsi="Palatino Linotype" w:cs="Palatino Linotype"/>
          <w:b/>
          <w:color w:val="000000" w:themeColor="text1"/>
        </w:rPr>
        <w:t>EL SUJETO OBLIGADO</w:t>
      </w:r>
      <w:r w:rsidRPr="004561AC">
        <w:rPr>
          <w:rFonts w:ascii="Palatino Linotype" w:eastAsia="Palatino Linotype" w:hAnsi="Palatino Linotype" w:cs="Palatino Linotype"/>
          <w:color w:val="000000" w:themeColor="text1"/>
        </w:rPr>
        <w:t xml:space="preserve">; sin embargo, en aquellos casos en que éste la asume, a nada práctico nos conduciría su estudio, </w:t>
      </w:r>
      <w:r w:rsidRPr="004561AC">
        <w:rPr>
          <w:rFonts w:ascii="Palatino Linotype" w:eastAsia="Palatino Linotype" w:hAnsi="Palatino Linotype" w:cs="Palatino Linotype"/>
          <w:color w:val="000000" w:themeColor="text1"/>
        </w:rPr>
        <w:lastRenderedPageBreak/>
        <w:t>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A0017" w:rsidRPr="004561AC" w:rsidRDefault="004A0017"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Ahora bien, es de </w:t>
      </w:r>
      <w:r w:rsidR="006D06A5" w:rsidRPr="004561AC">
        <w:rPr>
          <w:rFonts w:ascii="Palatino Linotype" w:eastAsia="Palatino Linotype" w:hAnsi="Palatino Linotype" w:cs="Palatino Linotype"/>
          <w:color w:val="000000" w:themeColor="text1"/>
        </w:rPr>
        <w:t xml:space="preserve">recordar que el particular requirió los </w:t>
      </w:r>
      <w:r w:rsidR="00ED73EC" w:rsidRPr="004561AC">
        <w:rPr>
          <w:rFonts w:ascii="Palatino Linotype" w:eastAsia="Palatino Linotype" w:hAnsi="Palatino Linotype" w:cs="Palatino Linotype"/>
          <w:i/>
          <w:color w:val="000000" w:themeColor="text1"/>
          <w:u w:val="single"/>
        </w:rPr>
        <w:t>Recibos de nómina de la presidenta municipal, síndicos, regidores y directores de área, correspondientes a la segunda quincena de abril de 2025</w:t>
      </w:r>
      <w:r w:rsidR="006D06A5" w:rsidRPr="004561AC">
        <w:rPr>
          <w:rFonts w:ascii="Palatino Linotype" w:eastAsia="Palatino Linotype" w:hAnsi="Palatino Linotype" w:cs="Palatino Linotype"/>
          <w:color w:val="000000" w:themeColor="text1"/>
        </w:rPr>
        <w:t xml:space="preserve">, en respuesta el Sujeto Obligado remitió </w:t>
      </w:r>
      <w:r w:rsidR="00ED73EC" w:rsidRPr="004561AC">
        <w:rPr>
          <w:rFonts w:ascii="Palatino Linotype" w:eastAsia="Palatino Linotype" w:hAnsi="Palatino Linotype" w:cs="Palatino Linotype"/>
          <w:color w:val="000000" w:themeColor="text1"/>
        </w:rPr>
        <w:t>diversos recibos de nómina en versión pública y el Acta del Comité de Transparencia en la que se aprueba la clasificación de información como confidencial</w:t>
      </w:r>
      <w:r w:rsidR="006D06A5" w:rsidRPr="004561AC">
        <w:rPr>
          <w:rFonts w:ascii="Palatino Linotype" w:eastAsia="Palatino Linotype" w:hAnsi="Palatino Linotype" w:cs="Palatino Linotype"/>
          <w:color w:val="000000" w:themeColor="text1"/>
        </w:rPr>
        <w:t xml:space="preserve">, circunstancia de la cual se dolió el recurrente argumentando que </w:t>
      </w:r>
      <w:r w:rsidR="000A2729" w:rsidRPr="004561AC">
        <w:rPr>
          <w:rFonts w:ascii="Palatino Linotype" w:eastAsia="Palatino Linotype" w:hAnsi="Palatino Linotype" w:cs="Palatino Linotype"/>
          <w:color w:val="000000" w:themeColor="text1"/>
        </w:rPr>
        <w:t>las deducciones salariales no pueden ser confidenciales, solicitando en consecuencia los recibos de nómina dejando a la vista la totalidad de las deducciones aplicadas;</w:t>
      </w:r>
      <w:r w:rsidR="006D06A5" w:rsidRPr="004561AC">
        <w:rPr>
          <w:rFonts w:ascii="Palatino Linotype" w:eastAsia="Palatino Linotype" w:hAnsi="Palatino Linotype" w:cs="Palatino Linotype"/>
          <w:color w:val="000000" w:themeColor="text1"/>
        </w:rPr>
        <w:t xml:space="preserve"> posteriormente el Sujeto Obligado </w:t>
      </w:r>
      <w:r w:rsidR="000A2729" w:rsidRPr="004561AC">
        <w:rPr>
          <w:rFonts w:ascii="Palatino Linotype" w:eastAsia="Palatino Linotype" w:hAnsi="Palatino Linotype" w:cs="Palatino Linotype"/>
          <w:color w:val="000000" w:themeColor="text1"/>
        </w:rPr>
        <w:t>a través de informe justificado reiteró que las deducciones no corresponden a erogaciones de recursos públicos sino a deducciones de carácter personal</w:t>
      </w:r>
      <w:r w:rsidR="006D06A5" w:rsidRPr="004561AC">
        <w:rPr>
          <w:rFonts w:ascii="Palatino Linotype" w:eastAsia="Palatino Linotype" w:hAnsi="Palatino Linotype" w:cs="Palatino Linotype"/>
          <w:color w:val="000000" w:themeColor="text1"/>
        </w:rPr>
        <w:t>.</w:t>
      </w:r>
    </w:p>
    <w:p w:rsidR="008D26E0" w:rsidRPr="004561AC" w:rsidRDefault="008D26E0" w:rsidP="004561AC">
      <w:pPr>
        <w:spacing w:line="360" w:lineRule="auto"/>
        <w:ind w:right="-7"/>
        <w:jc w:val="both"/>
        <w:rPr>
          <w:rFonts w:ascii="Palatino Linotype" w:eastAsia="Palatino Linotype" w:hAnsi="Palatino Linotype" w:cs="Palatino Linotype"/>
          <w:color w:val="000000" w:themeColor="text1"/>
        </w:rPr>
      </w:pPr>
    </w:p>
    <w:p w:rsidR="008D26E0" w:rsidRPr="004561AC" w:rsidRDefault="008D26E0"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De lo anterior es notorio que el recurrente no se inconforma por la totalidad de la respuesta proporcionada, sino porque considera que </w:t>
      </w:r>
      <w:r w:rsidRPr="004561AC">
        <w:rPr>
          <w:rFonts w:ascii="Palatino Linotype" w:eastAsia="Palatino Linotype" w:hAnsi="Palatino Linotype" w:cs="Palatino Linotype"/>
          <w:b/>
          <w:color w:val="000000" w:themeColor="text1"/>
        </w:rPr>
        <w:t>las</w:t>
      </w:r>
      <w:r w:rsidRPr="004561AC">
        <w:rPr>
          <w:rFonts w:ascii="Palatino Linotype" w:eastAsia="Palatino Linotype" w:hAnsi="Palatino Linotype" w:cs="Palatino Linotype"/>
          <w:color w:val="000000" w:themeColor="text1"/>
        </w:rPr>
        <w:t xml:space="preserve"> </w:t>
      </w:r>
      <w:r w:rsidRPr="004561AC">
        <w:rPr>
          <w:rFonts w:ascii="Palatino Linotype" w:eastAsia="Palatino Linotype" w:hAnsi="Palatino Linotype" w:cs="Palatino Linotype"/>
          <w:b/>
          <w:color w:val="000000" w:themeColor="text1"/>
        </w:rPr>
        <w:t>deducciones suprimidas en los recibos de nómina entregados en respuesta son de carácter público</w:t>
      </w:r>
      <w:r w:rsidRPr="004561AC">
        <w:rPr>
          <w:rFonts w:ascii="Palatino Linotype" w:eastAsia="Palatino Linotype" w:hAnsi="Palatino Linotype" w:cs="Palatino Linotype"/>
          <w:color w:val="000000" w:themeColor="text1"/>
        </w:rPr>
        <w:t xml:space="preserve">, por lo que la parte de la solicitud que no fue combatida se debe tener como </w:t>
      </w:r>
      <w:r w:rsidRPr="004561AC">
        <w:rPr>
          <w:rFonts w:ascii="Palatino Linotype" w:eastAsia="Palatino Linotype" w:hAnsi="Palatino Linotype" w:cs="Palatino Linotype"/>
          <w:b/>
          <w:color w:val="000000" w:themeColor="text1"/>
        </w:rPr>
        <w:t>actos consentidos</w:t>
      </w:r>
      <w:r w:rsidRPr="004561AC">
        <w:rPr>
          <w:rFonts w:ascii="Palatino Linotype" w:eastAsia="Palatino Linotype" w:hAnsi="Palatino Linotype" w:cs="Palatino Linotype"/>
          <w:color w:val="000000" w:themeColor="text1"/>
        </w:rPr>
        <w:t>, por no haber pronunciamiento de impugnación.</w:t>
      </w:r>
    </w:p>
    <w:p w:rsidR="008D26E0" w:rsidRPr="004561AC" w:rsidRDefault="008D26E0" w:rsidP="004561AC">
      <w:pPr>
        <w:spacing w:line="360" w:lineRule="auto"/>
        <w:ind w:right="-7"/>
        <w:jc w:val="both"/>
        <w:rPr>
          <w:rFonts w:ascii="Palatino Linotype" w:eastAsia="Palatino Linotype" w:hAnsi="Palatino Linotype" w:cs="Palatino Linotype"/>
          <w:color w:val="000000" w:themeColor="text1"/>
        </w:rPr>
      </w:pPr>
    </w:p>
    <w:p w:rsidR="008D26E0" w:rsidRPr="004561AC" w:rsidRDefault="008D26E0"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lastRenderedPageBreak/>
        <w:t>Luego entonces, al no existir inconformidad, la información se tiene por consentida, ya</w:t>
      </w:r>
      <w:r w:rsidRPr="004561AC">
        <w:rPr>
          <w:rFonts w:ascii="Palatino Linotype" w:eastAsia="Palatino Linotype" w:hAnsi="Palatino Linotype" w:cs="Palatino Linotype"/>
          <w:b/>
          <w:color w:val="000000" w:themeColor="text1"/>
        </w:rPr>
        <w:t xml:space="preserve"> </w:t>
      </w:r>
      <w:r w:rsidRPr="004561AC">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4561AC">
        <w:rPr>
          <w:rFonts w:ascii="Palatino Linotype" w:eastAsia="Palatino Linotype" w:hAnsi="Palatino Linotype" w:cs="Palatino Linotype"/>
          <w:b/>
          <w:color w:val="000000" w:themeColor="text1"/>
        </w:rPr>
        <w:t>actos consentidos</w:t>
      </w:r>
      <w:r w:rsidRPr="004561AC">
        <w:rPr>
          <w:rFonts w:ascii="Palatino Linotype" w:eastAsia="Palatino Linotype" w:hAnsi="Palatino Linotype" w:cs="Palatino Linotype"/>
          <w:color w:val="000000" w:themeColor="text1"/>
        </w:rPr>
        <w:t>.</w:t>
      </w:r>
    </w:p>
    <w:p w:rsidR="008D26E0" w:rsidRPr="004561AC" w:rsidRDefault="008D26E0" w:rsidP="004561AC">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8D26E0" w:rsidRPr="004561AC" w:rsidRDefault="008D26E0"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8D26E0" w:rsidRPr="004561AC" w:rsidRDefault="008D26E0" w:rsidP="004561A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“REVISIÓN EN AMPARO. LOS RESOLUTIVOS NO COMBATIDOS DEBEN DECLARARSE FIRMES. </w:t>
      </w:r>
      <w:r w:rsidRPr="004561AC">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4561AC">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4561AC">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4561AC">
        <w:rPr>
          <w:rFonts w:ascii="Palatino Linotype" w:eastAsia="Palatino Linotype" w:hAnsi="Palatino Linotype" w:cs="Palatino Linotype"/>
          <w:i/>
          <w:color w:val="000000" w:themeColor="text1"/>
        </w:rPr>
        <w:t>.”</w:t>
      </w:r>
    </w:p>
    <w:p w:rsidR="008D26E0" w:rsidRPr="004561AC" w:rsidRDefault="008D26E0" w:rsidP="004561AC">
      <w:pPr>
        <w:pBdr>
          <w:top w:val="nil"/>
          <w:left w:val="nil"/>
          <w:bottom w:val="nil"/>
          <w:right w:val="nil"/>
          <w:between w:val="nil"/>
        </w:pBdr>
        <w:spacing w:line="360" w:lineRule="auto"/>
        <w:ind w:right="-7"/>
        <w:jc w:val="center"/>
        <w:rPr>
          <w:rFonts w:ascii="Palatino Linotype" w:eastAsia="Palatino Linotype" w:hAnsi="Palatino Linotype" w:cs="Palatino Linotype"/>
          <w:color w:val="000000" w:themeColor="text1"/>
        </w:rPr>
      </w:pPr>
    </w:p>
    <w:p w:rsidR="008D26E0" w:rsidRPr="004561AC" w:rsidRDefault="008D26E0"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Consecutivamente, </w:t>
      </w:r>
      <w:r w:rsidRPr="004561AC">
        <w:rPr>
          <w:rFonts w:ascii="Palatino Linotype" w:eastAsia="Palatino Linotype" w:hAnsi="Palatino Linotype" w:cs="Palatino Linotype"/>
          <w:b/>
          <w:color w:val="000000" w:themeColor="text1"/>
        </w:rPr>
        <w:t xml:space="preserve">la parte de la respuesta que no fue impugnada debe declararse consentida por el recurrente, toda vez que no realizó </w:t>
      </w:r>
      <w:r w:rsidRPr="004561AC">
        <w:rPr>
          <w:rFonts w:ascii="Palatino Linotype" w:eastAsia="Palatino Linotype" w:hAnsi="Palatino Linotype" w:cs="Palatino Linotype"/>
          <w:color w:val="000000" w:themeColor="text1"/>
        </w:rPr>
        <w:t>manifestaciones</w:t>
      </w:r>
      <w:r w:rsidRPr="004561AC">
        <w:rPr>
          <w:rFonts w:ascii="Palatino Linotype" w:eastAsia="Palatino Linotype" w:hAnsi="Palatino Linotype" w:cs="Palatino Linotype"/>
          <w:b/>
          <w:color w:val="000000" w:themeColor="text1"/>
        </w:rPr>
        <w:t xml:space="preserve"> </w:t>
      </w:r>
      <w:r w:rsidRPr="004561AC">
        <w:rPr>
          <w:rFonts w:ascii="Palatino Linotype" w:eastAsia="Palatino Linotype" w:hAnsi="Palatino Linotype" w:cs="Palatino Linotype"/>
          <w:color w:val="000000" w:themeColor="text1"/>
        </w:rPr>
        <w:t>de</w:t>
      </w:r>
      <w:r w:rsidRPr="004561AC">
        <w:rPr>
          <w:rFonts w:ascii="Palatino Linotype" w:eastAsia="Palatino Linotype" w:hAnsi="Palatino Linotype" w:cs="Palatino Linotype"/>
          <w:b/>
          <w:color w:val="000000" w:themeColor="text1"/>
        </w:rPr>
        <w:t xml:space="preserve"> inconformidad</w:t>
      </w:r>
      <w:r w:rsidRPr="004561AC">
        <w:rPr>
          <w:rFonts w:ascii="Palatino Linotype" w:eastAsia="Palatino Linotype" w:hAnsi="Palatino Linotype" w:cs="Palatino Linotype"/>
          <w:color w:val="000000" w:themeColor="text1"/>
        </w:rPr>
        <w:t xml:space="preserve">; por lo que, no pueden producirse efectos jurídicos tendentes a revocar, confirmar o modificar el acto reclamado ya que </w:t>
      </w:r>
      <w:r w:rsidRPr="004561AC">
        <w:rPr>
          <w:rFonts w:ascii="Palatino Linotype" w:eastAsia="Palatino Linotype" w:hAnsi="Palatino Linotype" w:cs="Palatino Linotype"/>
          <w:b/>
          <w:color w:val="000000" w:themeColor="text1"/>
        </w:rPr>
        <w:t>se infiere su consentimiento</w:t>
      </w:r>
      <w:r w:rsidRPr="004561AC">
        <w:rPr>
          <w:rFonts w:ascii="Palatino Linotype" w:eastAsia="Palatino Linotype" w:hAnsi="Palatino Linotype" w:cs="Palatino Linotype"/>
          <w:color w:val="000000" w:themeColor="text1"/>
        </w:rPr>
        <w:t xml:space="preserve"> </w:t>
      </w:r>
      <w:r w:rsidRPr="004561AC">
        <w:rPr>
          <w:rFonts w:ascii="Palatino Linotype" w:eastAsia="Palatino Linotype" w:hAnsi="Palatino Linotype" w:cs="Palatino Linotype"/>
          <w:b/>
          <w:color w:val="000000" w:themeColor="text1"/>
        </w:rPr>
        <w:t xml:space="preserve">ante la falta de impugnación </w:t>
      </w:r>
      <w:r w:rsidRPr="004561AC">
        <w:rPr>
          <w:rFonts w:ascii="Palatino Linotype" w:eastAsia="Palatino Linotype" w:hAnsi="Palatino Linotype" w:cs="Palatino Linotype"/>
          <w:color w:val="000000" w:themeColor="text1"/>
        </w:rPr>
        <w:t>eficaz. Sirve de sustento a lo anterior por analogía la tesis jurisprudencial número 176,608 del Semanario Judicial de la Federación y su Gaceta que a la letra dice:</w:t>
      </w:r>
    </w:p>
    <w:p w:rsidR="008D26E0" w:rsidRPr="004561AC" w:rsidRDefault="008D26E0" w:rsidP="004561AC">
      <w:pPr>
        <w:spacing w:line="360" w:lineRule="auto"/>
        <w:ind w:right="-7"/>
        <w:jc w:val="both"/>
        <w:rPr>
          <w:rFonts w:ascii="Palatino Linotype" w:eastAsia="Palatino Linotype" w:hAnsi="Palatino Linotype" w:cs="Palatino Linotype"/>
          <w:color w:val="000000" w:themeColor="text1"/>
        </w:rPr>
      </w:pPr>
    </w:p>
    <w:p w:rsidR="008D26E0" w:rsidRPr="004561AC" w:rsidRDefault="008D26E0" w:rsidP="004561A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lastRenderedPageBreak/>
        <w:t>“ACTOS CONSENTIDOS. SON LOS QUE NO SE IMPUGNAN MEDIANTE EL RECURSO IDÓNEO. </w:t>
      </w:r>
      <w:r w:rsidRPr="004561AC">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4561AC">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D26E0" w:rsidRPr="004561AC" w:rsidRDefault="008D26E0"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8D26E0"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Luego entonces, el estudio versará sobre </w:t>
      </w:r>
      <w:r w:rsidR="00A04035" w:rsidRPr="004561AC">
        <w:rPr>
          <w:rFonts w:ascii="Palatino Linotype" w:eastAsia="Palatino Linotype" w:hAnsi="Palatino Linotype" w:cs="Palatino Linotype"/>
          <w:i/>
          <w:color w:val="000000" w:themeColor="text1"/>
          <w:u w:val="single"/>
        </w:rPr>
        <w:t>las deducciones suprimidas en los recibos de nómina entregados en respuesta</w:t>
      </w:r>
      <w:r w:rsidRPr="004561AC">
        <w:rPr>
          <w:rFonts w:ascii="Palatino Linotype" w:eastAsia="Palatino Linotype" w:hAnsi="Palatino Linotype" w:cs="Palatino Linotype"/>
          <w:i/>
          <w:color w:val="000000" w:themeColor="text1"/>
          <w:u w:val="single"/>
        </w:rPr>
        <w:t>;</w:t>
      </w:r>
      <w:r w:rsidR="00A04035" w:rsidRPr="004561AC">
        <w:rPr>
          <w:rFonts w:ascii="Palatino Linotype" w:eastAsia="Palatino Linotype" w:hAnsi="Palatino Linotype" w:cs="Palatino Linotype"/>
          <w:color w:val="000000" w:themeColor="text1"/>
        </w:rPr>
        <w:t xml:space="preserve"> en razón de ello</w:t>
      </w:r>
      <w:r w:rsidR="001E21FA" w:rsidRPr="004561AC">
        <w:rPr>
          <w:rFonts w:ascii="Palatino Linotype" w:eastAsia="Palatino Linotype" w:hAnsi="Palatino Linotype" w:cs="Palatino Linotype"/>
          <w:color w:val="000000" w:themeColor="text1"/>
        </w:rPr>
        <w:t xml:space="preserve">,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Artículo 92.</w:t>
      </w:r>
      <w:r w:rsidRPr="004561AC">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 xml:space="preserve">VIII. La remuneración bruta y neta de todos los servidores públicos de base o de confianza, </w:t>
      </w:r>
      <w:r w:rsidRPr="004561AC">
        <w:rPr>
          <w:rFonts w:ascii="Palatino Linotype" w:eastAsia="Palatino Linotype" w:hAnsi="Palatino Linotype" w:cs="Palatino Linotype"/>
          <w:i/>
          <w:color w:val="000000" w:themeColor="text1"/>
        </w:rPr>
        <w:t>de todas las percepciones, incluyendo sueldos, prestaciones, gratificaciones, primas, comisiones, dietas, bonos, estímulos, ingresos y sistemas de compensación, señalando la periodicidad de dicha remuneración;</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w:t>
      </w:r>
      <w:r w:rsidRPr="004561AC">
        <w:rPr>
          <w:rFonts w:ascii="Palatino Linotype" w:eastAsia="Palatino Linotype" w:hAnsi="Palatino Linotype" w:cs="Palatino Linotype"/>
          <w:i/>
          <w:color w:val="000000" w:themeColor="text1"/>
        </w:rPr>
        <w:t>”</w:t>
      </w: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Por otra parte, la Ley del Trabajo de los Servidores Públicos del Estado y Municipios, en su artículo 220 K, establece los documentos que tiene la obligación de conservar el Sujeto Obligado, entre los que se encuentran los recibos de pagos: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lastRenderedPageBreak/>
        <w:t>“</w:t>
      </w:r>
      <w:r w:rsidRPr="004561AC">
        <w:rPr>
          <w:rFonts w:ascii="Palatino Linotype" w:eastAsia="Palatino Linotype" w:hAnsi="Palatino Linotype" w:cs="Palatino Linotype"/>
          <w:b/>
          <w:i/>
          <w:color w:val="000000" w:themeColor="text1"/>
        </w:rPr>
        <w:t>ARTÍCULO 220 K.-</w:t>
      </w:r>
      <w:r w:rsidRPr="004561AC">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I. Contratos, Nombramientos o Formato Único de Movimientos de Personal, cuando no exista Convenio de condiciones generales de trabajo aplicable;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II. Recibos de pagos de salarios</w:t>
      </w:r>
      <w:r w:rsidRPr="004561AC">
        <w:rPr>
          <w:rFonts w:ascii="Palatino Linotype" w:eastAsia="Palatino Linotype" w:hAnsi="Palatino Linotype" w:cs="Palatino Linotype"/>
          <w:i/>
          <w:color w:val="000000" w:themeColor="text1"/>
        </w:rPr>
        <w:t xml:space="preserve"> o las constancias documentales del pago de salario cuando sea por depósito o mediante información electrónica;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III. Controles de asistencia o la información magnética o electrónica de asistencia de los servidores públicos;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IV. Recibos o las constancias de depósito o del medio de información magnética o electrónica que sean utilizadas para el pago de salarios, prima vacacional, aguinaldo y demás prestaciones establecidas en la presente ley; y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V. Los demás que señalen las leyes.</w:t>
      </w: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 </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Lo anterior, toma sustento en la Tesis aislada número I.6o.T.154 L (10a.), emitida por los Tribunales Colegiados de Circuito, publicada el abril de dos mil dieciséis, en la Gaceta del Semanario Judicial de la Federación, en su Libro 29, Tomo III, misma que señala lo siguiente: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lastRenderedPageBreak/>
        <w:t>“</w:t>
      </w:r>
      <w:r w:rsidRPr="004561AC">
        <w:rPr>
          <w:rFonts w:ascii="Palatino Linotype" w:eastAsia="Palatino Linotype" w:hAnsi="Palatino Linotype" w:cs="Palatino Linotype"/>
          <w:b/>
          <w:i/>
          <w:color w:val="000000" w:themeColor="text1"/>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4561AC">
        <w:rPr>
          <w:rFonts w:ascii="Palatino Linotype" w:eastAsia="Palatino Linotype" w:hAnsi="Palatino Linotype" w:cs="Palatino Linotype"/>
          <w:i/>
          <w:color w:val="000000" w:themeColor="text1"/>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De la tesis transcrita, se desprende que en materia burocrática los recibos de pago acreditan los conceptos y montos que en ellos se insertan, y constituyen prueba para demostrar las percepciones y montos que reciben los servidores públicos.</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establece como deber de los sujetos obligados el hacer público toda la información respecto a los montos y nombres de las personas a quienes se entreguen recursos públicos y con ello transparentar la forma, </w:t>
      </w:r>
      <w:r w:rsidRPr="004561AC">
        <w:rPr>
          <w:rFonts w:ascii="Palatino Linotype" w:eastAsia="Palatino Linotype" w:hAnsi="Palatino Linotype" w:cs="Palatino Linotype"/>
          <w:color w:val="000000" w:themeColor="text1"/>
        </w:rPr>
        <w:lastRenderedPageBreak/>
        <w:t xml:space="preserve">términos, causas y finalidad en la disposición de esos recursos; precepto legal que es del tenor siguiente: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r w:rsidRPr="004561AC">
        <w:rPr>
          <w:rFonts w:ascii="Palatino Linotype" w:eastAsia="Palatino Linotype" w:hAnsi="Palatino Linotype" w:cs="Palatino Linotype"/>
          <w:b/>
          <w:i/>
          <w:color w:val="000000" w:themeColor="text1"/>
        </w:rPr>
        <w:t>Artículo 24.</w:t>
      </w:r>
      <w:r w:rsidRPr="004561AC">
        <w:rPr>
          <w:rFonts w:ascii="Palatino Linotype" w:eastAsia="Palatino Linotype" w:hAnsi="Palatino Linotype" w:cs="Palatino Linotype"/>
          <w:i/>
          <w:color w:val="000000" w:themeColor="text1"/>
        </w:rPr>
        <w:t xml:space="preserve"> Para el cumplimiento de los objetivos de esta Ley, los sujetos obligados deberán cumplir con las siguientes obligaciones, según corresponda, de acuerdo a su naturaleza: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 </w:t>
      </w:r>
    </w:p>
    <w:p w:rsidR="0020369F" w:rsidRPr="004561AC" w:rsidRDefault="001E21FA" w:rsidP="004561AC">
      <w:pPr>
        <w:ind w:right="-7"/>
        <w:jc w:val="both"/>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i/>
          <w:color w:val="000000" w:themeColor="text1"/>
        </w:rPr>
        <w:t>XVIII. Hacer pública toda aquella información relativa a los montos y las personas a quienes entreguen, por cualquier motivo, recursos públicos, así como los informes que dichas personas les entreguen sobre el uso y destino de dichos recursos;</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 xml:space="preserve">“Criterio 01/2003. </w:t>
      </w: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4561AC">
        <w:rPr>
          <w:rFonts w:ascii="Palatino Linotype" w:eastAsia="Palatino Linotype" w:hAnsi="Palatino Linotype" w:cs="Palatino Linotype"/>
          <w:i/>
          <w:color w:val="000000" w:themeColor="text1"/>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“Criterio 02/2003.</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lastRenderedPageBreak/>
        <w:t xml:space="preserve"> </w:t>
      </w:r>
      <w:r w:rsidRPr="004561AC">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4561AC">
        <w:rPr>
          <w:rFonts w:ascii="Palatino Linotype" w:eastAsia="Palatino Linotype" w:hAnsi="Palatino Linotype" w:cs="Palatino Linotype"/>
          <w:i/>
          <w:color w:val="000000" w:themeColor="text1"/>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p>
    <w:p w:rsidR="0020369F" w:rsidRPr="004561AC" w:rsidRDefault="0020369F" w:rsidP="004561A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0369F" w:rsidRPr="004561AC" w:rsidRDefault="00A04035" w:rsidP="004561AC">
      <w:pPr>
        <w:numPr>
          <w:ilvl w:val="0"/>
          <w:numId w:val="3"/>
        </w:numPr>
        <w:spacing w:line="360" w:lineRule="auto"/>
        <w:ind w:left="0" w:right="-7" w:firstLine="0"/>
        <w:jc w:val="both"/>
        <w:rPr>
          <w:rFonts w:ascii="Palatino Linotype" w:eastAsia="Palatino Linotype" w:hAnsi="Palatino Linotype" w:cs="Palatino Linotype"/>
          <w:i/>
          <w:color w:val="000000" w:themeColor="text1"/>
          <w:u w:val="single"/>
        </w:rPr>
      </w:pPr>
      <w:r w:rsidRPr="004561AC">
        <w:rPr>
          <w:rFonts w:ascii="Palatino Linotype" w:eastAsia="Palatino Linotype" w:hAnsi="Palatino Linotype" w:cs="Palatino Linotype"/>
          <w:color w:val="000000" w:themeColor="text1"/>
        </w:rPr>
        <w:t xml:space="preserve">No obstante lo anterior, </w:t>
      </w:r>
      <w:r w:rsidR="001E21FA" w:rsidRPr="004561AC">
        <w:rPr>
          <w:rFonts w:ascii="Palatino Linotype" w:eastAsia="Palatino Linotype" w:hAnsi="Palatino Linotype" w:cs="Palatino Linotype"/>
          <w:color w:val="000000" w:themeColor="text1"/>
        </w:rPr>
        <w:t xml:space="preserve">el </w:t>
      </w:r>
      <w:r w:rsidR="001E21FA" w:rsidRPr="004561AC">
        <w:rPr>
          <w:rFonts w:ascii="Palatino Linotype" w:eastAsia="Palatino Linotype" w:hAnsi="Palatino Linotype" w:cs="Palatino Linotype"/>
          <w:b/>
          <w:color w:val="000000" w:themeColor="text1"/>
        </w:rPr>
        <w:t xml:space="preserve">SUJETO OBLIGADO </w:t>
      </w:r>
      <w:r w:rsidRPr="004561AC">
        <w:rPr>
          <w:rFonts w:ascii="Palatino Linotype" w:eastAsia="Palatino Linotype" w:hAnsi="Palatino Linotype" w:cs="Palatino Linotype"/>
          <w:color w:val="000000" w:themeColor="text1"/>
        </w:rPr>
        <w:t>debe velar por la entrega de información en una</w:t>
      </w:r>
      <w:r w:rsidR="001E21FA" w:rsidRPr="004561AC">
        <w:rPr>
          <w:rFonts w:ascii="Palatino Linotype" w:eastAsia="Palatino Linotype" w:hAnsi="Palatino Linotype" w:cs="Palatino Linotype"/>
          <w:color w:val="000000" w:themeColor="text1"/>
        </w:rPr>
        <w:t xml:space="preserve"> adecuada versión pública, protegiendo los datos que no son susceptibles de ser proporcionados. </w:t>
      </w:r>
    </w:p>
    <w:p w:rsidR="0020369F" w:rsidRPr="004561AC" w:rsidRDefault="0020369F" w:rsidP="004561AC">
      <w:pPr>
        <w:tabs>
          <w:tab w:val="left" w:pos="284"/>
        </w:tabs>
        <w:spacing w:line="360" w:lineRule="auto"/>
        <w:ind w:right="-7"/>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Se debe de puntualizar que los recibos de nómina y/o comprobantes de pago de cualquier índole, contienen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w:t>
      </w:r>
      <w:r w:rsidRPr="004561AC">
        <w:rPr>
          <w:rFonts w:ascii="Palatino Linotype" w:eastAsia="Palatino Linotype" w:hAnsi="Palatino Linotype" w:cs="Palatino Linotype"/>
          <w:b/>
          <w:color w:val="000000" w:themeColor="text1"/>
        </w:rPr>
        <w:t>descuentos y claves que se realicen por pensión alimenticia o deducciones estrictamente personales o de cualquier índole siempre que, no se encuentren relacionados con los impuestos o las cuotas por seguridad social</w:t>
      </w:r>
      <w:r w:rsidRPr="004561AC">
        <w:rPr>
          <w:rFonts w:ascii="Palatino Linotype" w:eastAsia="Palatino Linotype" w:hAnsi="Palatino Linotype" w:cs="Palatino Linotype"/>
          <w:color w:val="000000" w:themeColor="text1"/>
        </w:rPr>
        <w:t>, número de cuenta o cualquier otro dato que ponga en riesgo la vida y la seguridad de dichas personas.</w:t>
      </w: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lastRenderedPageBreak/>
        <w:t xml:space="preserve">Respecto de </w:t>
      </w:r>
      <w:r w:rsidR="00AE599A" w:rsidRPr="004561AC">
        <w:rPr>
          <w:rFonts w:ascii="Palatino Linotype" w:eastAsia="Palatino Linotype" w:hAnsi="Palatino Linotype" w:cs="Palatino Linotype"/>
          <w:color w:val="000000" w:themeColor="text1"/>
        </w:rPr>
        <w:t xml:space="preserve">las </w:t>
      </w:r>
      <w:r w:rsidR="00AE599A" w:rsidRPr="004561AC">
        <w:rPr>
          <w:rFonts w:ascii="Palatino Linotype" w:eastAsia="Palatino Linotype" w:hAnsi="Palatino Linotype" w:cs="Palatino Linotype"/>
          <w:b/>
          <w:color w:val="000000" w:themeColor="text1"/>
        </w:rPr>
        <w:t>deducciones</w:t>
      </w:r>
      <w:r w:rsidRPr="004561AC">
        <w:rPr>
          <w:rFonts w:ascii="Palatino Linotype" w:eastAsia="Palatino Linotype" w:hAnsi="Palatino Linotype" w:cs="Palatino Linotype"/>
          <w:b/>
          <w:color w:val="000000" w:themeColor="text1"/>
        </w:rPr>
        <w:t xml:space="preserve"> de carácter personal</w:t>
      </w:r>
      <w:r w:rsidRPr="004561AC">
        <w:rPr>
          <w:rFonts w:ascii="Palatino Linotype" w:eastAsia="Palatino Linotype" w:hAnsi="Palatino Linotype" w:cs="Palatino Linotype"/>
          <w:color w:val="000000" w:themeColor="text1"/>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20369F" w:rsidRPr="004561AC" w:rsidRDefault="0020369F" w:rsidP="004561AC">
      <w:pPr>
        <w:tabs>
          <w:tab w:val="left" w:pos="284"/>
        </w:tabs>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 Con base en lo expuesto, </w:t>
      </w:r>
      <w:r w:rsidR="00AE599A" w:rsidRPr="004561AC">
        <w:rPr>
          <w:rFonts w:ascii="Palatino Linotype" w:eastAsia="Palatino Linotype" w:hAnsi="Palatino Linotype" w:cs="Palatino Linotype"/>
          <w:color w:val="000000" w:themeColor="text1"/>
        </w:rPr>
        <w:t xml:space="preserve">las </w:t>
      </w:r>
      <w:r w:rsidR="00AE599A" w:rsidRPr="004561AC">
        <w:rPr>
          <w:rFonts w:ascii="Palatino Linotype" w:eastAsia="Palatino Linotype" w:hAnsi="Palatino Linotype" w:cs="Palatino Linotype"/>
          <w:b/>
          <w:color w:val="000000" w:themeColor="text1"/>
        </w:rPr>
        <w:t>deducciones de carácter personal</w:t>
      </w:r>
      <w:r w:rsidRPr="004561AC">
        <w:rPr>
          <w:rFonts w:ascii="Palatino Linotype" w:eastAsia="Palatino Linotype" w:hAnsi="Palatino Linotype" w:cs="Palatino Linotype"/>
          <w:b/>
          <w:color w:val="000000" w:themeColor="text1"/>
        </w:rPr>
        <w:t xml:space="preserve"> deben ser clasificados como confidenciales</w:t>
      </w:r>
      <w:r w:rsidRPr="004561AC">
        <w:rPr>
          <w:rFonts w:ascii="Palatino Linotype" w:eastAsia="Palatino Linotype" w:hAnsi="Palatino Linotype" w:cs="Palatino Linotype"/>
          <w:color w:val="000000" w:themeColor="text1"/>
        </w:rPr>
        <w:t xml:space="preserve">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20369F" w:rsidRPr="004561AC" w:rsidRDefault="0020369F" w:rsidP="004561AC">
      <w:pPr>
        <w:tabs>
          <w:tab w:val="left" w:pos="284"/>
        </w:tabs>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Sirven de sustento a lo anterior, las tesis jurisprudenciales P. LX/2000 y 2a. XLIII/2008 emitidas por el Peno y la Segunda Sala de la Suprema Corte de Justicia de la Nación, respectivamente, que son del tenor literal siguiente:</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4561AC">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w:t>
      </w:r>
      <w:r w:rsidRPr="004561AC">
        <w:rPr>
          <w:rFonts w:ascii="Palatino Linotype" w:eastAsia="Palatino Linotype" w:hAnsi="Palatino Linotype" w:cs="Palatino Linotype"/>
          <w:i/>
          <w:color w:val="000000" w:themeColor="text1"/>
        </w:rPr>
        <w:lastRenderedPageBreak/>
        <w:t xml:space="preserve">tienen normas que, por un lado, </w:t>
      </w:r>
      <w:r w:rsidRPr="004561AC">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4561AC">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4561AC">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4561AC">
        <w:rPr>
          <w:rFonts w:ascii="Palatino Linotype" w:eastAsia="Palatino Linotype" w:hAnsi="Palatino Linotype" w:cs="Palatino Linotype"/>
          <w:i/>
          <w:color w:val="000000" w:themeColor="text1"/>
        </w:rPr>
        <w:t>.”</w:t>
      </w: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4561AC">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561AC">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561AC">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20369F" w:rsidP="004561AC">
      <w:pPr>
        <w:shd w:val="clear" w:color="auto" w:fill="FFFFFF"/>
        <w:ind w:right="-7"/>
        <w:jc w:val="both"/>
        <w:rPr>
          <w:rFonts w:ascii="Palatino Linotype" w:eastAsia="Palatino Linotype" w:hAnsi="Palatino Linotype" w:cs="Palatino Linotype"/>
          <w:i/>
          <w:color w:val="000000" w:themeColor="text1"/>
        </w:rPr>
      </w:pPr>
    </w:p>
    <w:p w:rsidR="006671FF" w:rsidRPr="004561AC" w:rsidRDefault="006671FF"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En este sentido es de resaltar que la clasificación total o parcial de la información requerida mediante solicitud de acceso a la información pública, constituye una restricción al derecho humano de acceso a la información, por ello, para clasificar la información es </w:t>
      </w:r>
      <w:r w:rsidRPr="004561AC">
        <w:rPr>
          <w:rFonts w:ascii="Palatino Linotype" w:eastAsia="Palatino Linotype" w:hAnsi="Palatino Linotype" w:cs="Palatino Linotype"/>
          <w:color w:val="000000" w:themeColor="text1"/>
        </w:rPr>
        <w:lastRenderedPageBreak/>
        <w:t xml:space="preserve">necesario que el Sujeto Obligado cumpla con las formalidades establecidas en la Ley, en aras de salvaguardar los derechos del Recurrente. </w:t>
      </w:r>
    </w:p>
    <w:p w:rsidR="006671FF" w:rsidRPr="004561AC" w:rsidRDefault="006671FF" w:rsidP="004561AC">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6671FF" w:rsidRPr="004561AC" w:rsidRDefault="006671FF"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  Por su parte, el intérprete judicial del país ha establecido una jurisprudencia respecto a qué debe entenderse por fundamentación y motivación, en los siguientes términos:</w:t>
      </w:r>
    </w:p>
    <w:p w:rsidR="006671FF" w:rsidRPr="004561AC" w:rsidRDefault="006671FF"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FUNDAMENTACIÓN Y MOTIVACIÓN.</w:t>
      </w:r>
      <w:r w:rsidRPr="004561AC">
        <w:rPr>
          <w:rFonts w:ascii="Palatino Linotype" w:eastAsia="Palatino Linotype" w:hAnsi="Palatino Linotype" w:cs="Palatino Linotype"/>
          <w:i/>
          <w:color w:val="000000" w:themeColor="text1"/>
        </w:rPr>
        <w:t xml:space="preserve"> “La </w:t>
      </w:r>
      <w:r w:rsidRPr="004561AC">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561AC">
        <w:rPr>
          <w:rFonts w:ascii="Palatino Linotype" w:eastAsia="Palatino Linotype" w:hAnsi="Palatino Linotype" w:cs="Palatino Linotype"/>
          <w:i/>
          <w:color w:val="000000" w:themeColor="text1"/>
        </w:rPr>
        <w:t>.”</w:t>
      </w:r>
    </w:p>
    <w:p w:rsidR="006671FF" w:rsidRPr="004561AC" w:rsidRDefault="006671FF"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SEGUNDO TRIBUNAL COLEGIADO DEL SEXTO CIRCUITO.</w:t>
      </w:r>
    </w:p>
    <w:p w:rsidR="006671FF" w:rsidRPr="004561AC" w:rsidRDefault="006671FF"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Amparo directo 194/88. Bufete Industrial Construcciones, S.A. de C.V. 28 de junio de 1988. Unanimidad de votos. Ponente: Gustavo Calvillo Rangel. Secretario: Jorge Alberto González Álvarez.</w:t>
      </w:r>
    </w:p>
    <w:p w:rsidR="006671FF" w:rsidRPr="004561AC" w:rsidRDefault="006671FF"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Revisión fiscal 103/88. Instituto Mexicano del Seguro Social. 18 de octubre de 1988. Unanimidad de votos. Ponente: Arnoldo Nájera Virgen. Secretario: Alejandro Esponda Rincón.</w:t>
      </w:r>
    </w:p>
    <w:p w:rsidR="006671FF" w:rsidRPr="004561AC" w:rsidRDefault="006671FF"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Amparo en revisión 333/88. Adilia Romero. 26 de octubre de 1988. Unanimidad de votos. Ponente: Arnoldo Nájera Virgen. Secretario: Enrique Crispín Campos Ramírez.</w:t>
      </w:r>
    </w:p>
    <w:p w:rsidR="006671FF" w:rsidRPr="004561AC" w:rsidRDefault="006671FF"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Amparo en revisión 597/95. Emilio Maurer Bretón. 15 de noviembre de 1995. Unanimidad de votos. Ponente: Clementina Ramírez Moguel Goyzueta. Secretario: Gonzalo Carrera Molina.</w:t>
      </w:r>
    </w:p>
    <w:p w:rsidR="006671FF" w:rsidRPr="004561AC" w:rsidRDefault="006671FF"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Amparo directo 7/96. Pedro Vicente López Miro. 21 de febrero de 1996. Unanimidad de votos. Ponente: María Eugenia Estela Martínez Cardiel. Secretario: Enrique Baigts Muñoz.</w:t>
      </w:r>
    </w:p>
    <w:p w:rsidR="006671FF" w:rsidRPr="004561AC" w:rsidRDefault="006671FF" w:rsidP="004561AC">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6671FF" w:rsidRPr="004561AC" w:rsidRDefault="006671FF"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w:t>
      </w:r>
      <w:r w:rsidRPr="004561AC">
        <w:rPr>
          <w:rFonts w:ascii="Palatino Linotype" w:eastAsia="Palatino Linotype" w:hAnsi="Palatino Linotype" w:cs="Palatino Linotype"/>
          <w:color w:val="000000" w:themeColor="text1"/>
        </w:rPr>
        <w:lastRenderedPageBreak/>
        <w:t>razones, motivos o circunstancias que tomó en cuenta la autoridad para adecuar el hecho a los fundamentos de derecho.</w:t>
      </w:r>
    </w:p>
    <w:p w:rsidR="008640EF" w:rsidRPr="004561AC" w:rsidRDefault="008640EF" w:rsidP="004561AC">
      <w:pPr>
        <w:spacing w:line="360" w:lineRule="auto"/>
        <w:ind w:right="-7"/>
        <w:jc w:val="both"/>
        <w:rPr>
          <w:rFonts w:ascii="Palatino Linotype" w:eastAsia="Palatino Linotype" w:hAnsi="Palatino Linotype" w:cs="Palatino Linotype"/>
          <w:color w:val="000000" w:themeColor="text1"/>
        </w:rPr>
      </w:pPr>
    </w:p>
    <w:p w:rsidR="008640EF" w:rsidRPr="004561AC" w:rsidRDefault="008640EF"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Dicho lo anterior, el Sujeto Obligado remitió el acta de la </w:t>
      </w:r>
      <w:r w:rsidRPr="004561AC">
        <w:rPr>
          <w:rFonts w:ascii="Palatino Linotype" w:eastAsia="Palatino Linotype" w:hAnsi="Palatino Linotype" w:cs="Palatino Linotype"/>
          <w:b/>
          <w:color w:val="000000" w:themeColor="text1"/>
        </w:rPr>
        <w:t>Novena Sesión Extraordinaria del Comité de Transparencia,</w:t>
      </w:r>
      <w:r w:rsidRPr="004561AC">
        <w:rPr>
          <w:rFonts w:ascii="Palatino Linotype" w:eastAsia="Palatino Linotype" w:hAnsi="Palatino Linotype" w:cs="Palatino Linotype"/>
          <w:color w:val="000000" w:themeColor="text1"/>
        </w:rPr>
        <w:t xml:space="preserve"> en la que  para dar atención a la solicitud de información que dio origen al presente recurso de revisión, sometió a consideración la clasificaci</w:t>
      </w:r>
      <w:r w:rsidR="00750067" w:rsidRPr="004561AC">
        <w:rPr>
          <w:rFonts w:ascii="Palatino Linotype" w:eastAsia="Palatino Linotype" w:hAnsi="Palatino Linotype" w:cs="Palatino Linotype"/>
          <w:color w:val="000000" w:themeColor="text1"/>
        </w:rPr>
        <w:t xml:space="preserve">ón de información confidencial respecto de diversos datos personales, en lo que interesa sobre </w:t>
      </w:r>
      <w:r w:rsidRPr="004561AC">
        <w:rPr>
          <w:rFonts w:ascii="Palatino Linotype" w:eastAsia="Palatino Linotype" w:hAnsi="Palatino Linotype" w:cs="Palatino Linotype"/>
          <w:color w:val="000000" w:themeColor="text1"/>
        </w:rPr>
        <w:t xml:space="preserve">las </w:t>
      </w:r>
      <w:r w:rsidRPr="004561AC">
        <w:rPr>
          <w:rFonts w:ascii="Palatino Linotype" w:eastAsia="Palatino Linotype" w:hAnsi="Palatino Linotype" w:cs="Palatino Linotype"/>
          <w:b/>
          <w:color w:val="000000" w:themeColor="text1"/>
        </w:rPr>
        <w:t>deducciones de carácter personal</w:t>
      </w:r>
      <w:r w:rsidRPr="004561AC">
        <w:rPr>
          <w:rFonts w:ascii="Palatino Linotype" w:eastAsia="Palatino Linotype" w:hAnsi="Palatino Linotype" w:cs="Palatino Linotype"/>
          <w:color w:val="000000" w:themeColor="text1"/>
        </w:rPr>
        <w:t xml:space="preserve"> en el </w:t>
      </w:r>
      <w:r w:rsidR="00750067" w:rsidRPr="004561AC">
        <w:rPr>
          <w:rFonts w:ascii="Palatino Linotype" w:eastAsia="Palatino Linotype" w:hAnsi="Palatino Linotype" w:cs="Palatino Linotype"/>
          <w:color w:val="000000" w:themeColor="text1"/>
        </w:rPr>
        <w:t>la que precisó lo siguiente:</w:t>
      </w:r>
    </w:p>
    <w:p w:rsidR="00750067" w:rsidRPr="004561AC" w:rsidRDefault="00750067" w:rsidP="004561AC">
      <w:pPr>
        <w:spacing w:line="360" w:lineRule="auto"/>
        <w:ind w:right="-7"/>
        <w:jc w:val="both"/>
        <w:rPr>
          <w:rFonts w:ascii="Palatino Linotype" w:eastAsia="Palatino Linotype" w:hAnsi="Palatino Linotype" w:cs="Palatino Linotype"/>
          <w:color w:val="000000" w:themeColor="text1"/>
        </w:rPr>
      </w:pPr>
    </w:p>
    <w:p w:rsidR="008640EF" w:rsidRPr="004561AC" w:rsidRDefault="00750067" w:rsidP="004561AC">
      <w:pPr>
        <w:spacing w:line="360" w:lineRule="auto"/>
        <w:ind w:right="-7"/>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noProof/>
          <w:color w:val="000000" w:themeColor="text1"/>
          <w:lang w:val="es-MX"/>
        </w:rPr>
        <w:drawing>
          <wp:inline distT="0" distB="0" distL="0" distR="0" wp14:anchorId="05E88B0D" wp14:editId="2111F4EE">
            <wp:extent cx="5756275" cy="2526665"/>
            <wp:effectExtent l="152400" t="152400" r="358775"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2526665"/>
                    </a:xfrm>
                    <a:prstGeom prst="rect">
                      <a:avLst/>
                    </a:prstGeom>
                    <a:ln>
                      <a:noFill/>
                    </a:ln>
                    <a:effectLst>
                      <a:outerShdw blurRad="292100" dist="139700" dir="2700000" algn="tl" rotWithShape="0">
                        <a:srgbClr val="333333">
                          <a:alpha val="65000"/>
                        </a:srgbClr>
                      </a:outerShdw>
                    </a:effectLst>
                  </pic:spPr>
                </pic:pic>
              </a:graphicData>
            </a:graphic>
          </wp:inline>
        </w:drawing>
      </w:r>
      <w:r w:rsidRPr="004561AC">
        <w:rPr>
          <w:rFonts w:ascii="Palatino Linotype" w:eastAsia="Palatino Linotype" w:hAnsi="Palatino Linotype" w:cs="Palatino Linotype"/>
          <w:color w:val="000000" w:themeColor="text1"/>
        </w:rPr>
        <w:tab/>
      </w:r>
    </w:p>
    <w:p w:rsidR="00750067" w:rsidRPr="004561AC" w:rsidRDefault="00750067"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Fundamentando la misma de manera toral en el artículo 143, fracción I, de la Ley de Transparencia local, misma que refiere se considera información confidencial la referente a la información privada y los datos personales concernientes a una persona física o jurídica colectiva identificada o identificable.</w:t>
      </w:r>
    </w:p>
    <w:p w:rsidR="00750067" w:rsidRPr="004561AC" w:rsidRDefault="00750067"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lastRenderedPageBreak/>
        <w:t xml:space="preserve">En tales circunstancias el Sujeto Obligado cumplió con lo establecido en la norma, ya que se cumple con la debida fundamentación cuando se cita el precepto legal aplicable al caso concreto y la debida motivación cuando se expresan las razones, motivos o circunstancias que tomó en cuenta la autoridad para adecuar el hecho a los fundamentos de derecho. Razón por la que no le asiste la razón al recurrente y en consecuencia las razones o motivos de inconformidad se consideran </w:t>
      </w:r>
      <w:r w:rsidRPr="004561AC">
        <w:rPr>
          <w:rFonts w:ascii="Palatino Linotype" w:eastAsia="Palatino Linotype" w:hAnsi="Palatino Linotype" w:cs="Palatino Linotype"/>
          <w:b/>
          <w:color w:val="000000" w:themeColor="text1"/>
        </w:rPr>
        <w:t>INFUNDADOS</w:t>
      </w:r>
      <w:r w:rsidRPr="004561AC">
        <w:rPr>
          <w:rFonts w:ascii="Palatino Linotype" w:eastAsia="Palatino Linotype" w:hAnsi="Palatino Linotype" w:cs="Palatino Linotype"/>
          <w:color w:val="000000" w:themeColor="text1"/>
        </w:rPr>
        <w:t>.</w:t>
      </w:r>
    </w:p>
    <w:p w:rsidR="00FE0B0D" w:rsidRPr="004561AC" w:rsidRDefault="00FE0B0D" w:rsidP="004561AC">
      <w:pPr>
        <w:spacing w:line="360" w:lineRule="auto"/>
        <w:ind w:right="-7"/>
        <w:jc w:val="both"/>
        <w:rPr>
          <w:rFonts w:ascii="Palatino Linotype" w:eastAsia="Palatino Linotype" w:hAnsi="Palatino Linotype" w:cs="Palatino Linotype"/>
          <w:color w:val="000000" w:themeColor="text1"/>
        </w:rPr>
      </w:pPr>
    </w:p>
    <w:p w:rsidR="00FE0B0D" w:rsidRPr="004561AC" w:rsidRDefault="00FE0B0D"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No obstante, este Organismo advirtió que la versión pública entregada se realizó de manera incorrecta, ya que se testaron datos de interés público, como lo son de manera enunciativa </w:t>
      </w:r>
      <w:r w:rsidR="003270D5" w:rsidRPr="004561AC">
        <w:rPr>
          <w:rFonts w:ascii="Palatino Linotype" w:eastAsia="Palatino Linotype" w:hAnsi="Palatino Linotype" w:cs="Palatino Linotype"/>
          <w:color w:val="000000" w:themeColor="text1"/>
        </w:rPr>
        <w:t>más</w:t>
      </w:r>
      <w:r w:rsidRPr="004561AC">
        <w:rPr>
          <w:rFonts w:ascii="Palatino Linotype" w:eastAsia="Palatino Linotype" w:hAnsi="Palatino Linotype" w:cs="Palatino Linotype"/>
          <w:color w:val="000000" w:themeColor="text1"/>
        </w:rPr>
        <w:t xml:space="preserve"> no limitativa, el Folio Fiscal, el número de serie del CSD del SAT, el sello digital del SAT, y la Cadena Original del complemento de certificación</w:t>
      </w:r>
      <w:r w:rsidR="003270D5" w:rsidRPr="004561AC">
        <w:rPr>
          <w:rFonts w:ascii="Palatino Linotype" w:eastAsia="Palatino Linotype" w:hAnsi="Palatino Linotype" w:cs="Palatino Linotype"/>
          <w:color w:val="000000" w:themeColor="text1"/>
        </w:rPr>
        <w:t>.</w:t>
      </w:r>
    </w:p>
    <w:p w:rsidR="0020369F" w:rsidRPr="004561AC" w:rsidRDefault="0020369F" w:rsidP="004561AC">
      <w:pPr>
        <w:tabs>
          <w:tab w:val="left" w:pos="284"/>
        </w:tabs>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Por cuanto hace al</w:t>
      </w:r>
      <w:r w:rsidRPr="004561AC">
        <w:rPr>
          <w:rFonts w:ascii="Palatino Linotype" w:eastAsia="Palatino Linotype" w:hAnsi="Palatino Linotype" w:cs="Palatino Linotype"/>
          <w:b/>
          <w:color w:val="000000" w:themeColor="text1"/>
        </w:rPr>
        <w:t xml:space="preserve"> Folio Fiscal</w:t>
      </w:r>
      <w:r w:rsidRPr="004561AC">
        <w:rPr>
          <w:rFonts w:ascii="Palatino Linotype" w:eastAsia="Palatino Linotype" w:hAnsi="Palatino Linotype" w:cs="Palatino Linotype"/>
          <w:color w:val="000000" w:themeColor="text1"/>
        </w:rPr>
        <w:t>,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únicas de cada comprobante fiscal, de tal manera que se puede comprobar si la factura fue certificada por el SAT. El Folio Fiscal está compuesto por 32 dígitos hexadecimales, mostrados en 5 grupos separados por guiones.</w:t>
      </w:r>
    </w:p>
    <w:p w:rsidR="0020369F" w:rsidRPr="004561AC" w:rsidRDefault="0020369F" w:rsidP="004561AC">
      <w:pPr>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La Guía de llenado del comprobante del recibo de pago de nómina y su complemento Aplicable para la versión 4.0 del CFDI y el complemento de nómina versión 1.2. muestra la Representación gráfica del CFDI por concepto de nómina en donde se aprecia el Folio Fiscal:</w:t>
      </w:r>
    </w:p>
    <w:p w:rsidR="0020369F" w:rsidRPr="004561AC" w:rsidRDefault="001E21FA" w:rsidP="004561AC">
      <w:pPr>
        <w:ind w:right="-7"/>
        <w:jc w:val="center"/>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noProof/>
          <w:color w:val="000000" w:themeColor="text1"/>
          <w:lang w:val="es-MX"/>
        </w:rPr>
        <w:lastRenderedPageBreak/>
        <w:drawing>
          <wp:inline distT="0" distB="0" distL="0" distR="0">
            <wp:extent cx="4513132" cy="815998"/>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513132" cy="815998"/>
                    </a:xfrm>
                    <a:prstGeom prst="rect">
                      <a:avLst/>
                    </a:prstGeom>
                    <a:ln/>
                  </pic:spPr>
                </pic:pic>
              </a:graphicData>
            </a:graphic>
          </wp:inline>
        </w:drawing>
      </w:r>
    </w:p>
    <w:p w:rsidR="0020369F" w:rsidRPr="004561AC" w:rsidRDefault="0020369F" w:rsidP="004561AC">
      <w:pPr>
        <w:ind w:right="-7"/>
        <w:jc w:val="center"/>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En ese contexto, </w:t>
      </w:r>
      <w:r w:rsidRPr="004561AC">
        <w:rPr>
          <w:rFonts w:ascii="Palatino Linotype" w:eastAsia="Palatino Linotype" w:hAnsi="Palatino Linotype" w:cs="Palatino Linotype"/>
          <w:b/>
          <w:color w:val="000000" w:themeColor="text1"/>
        </w:rPr>
        <w:t>el folio fiscal, no contiene datos personales</w:t>
      </w:r>
      <w:r w:rsidRPr="004561AC">
        <w:rPr>
          <w:rFonts w:ascii="Palatino Linotype" w:eastAsia="Palatino Linotype" w:hAnsi="Palatino Linotype" w:cs="Palatino Linotype"/>
          <w:color w:val="000000" w:themeColor="text1"/>
        </w:rPr>
        <w:t xml:space="preserve">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w:t>
      </w:r>
      <w:r w:rsidRPr="004561AC">
        <w:rPr>
          <w:rFonts w:ascii="Palatino Linotype" w:eastAsia="Palatino Linotype" w:hAnsi="Palatino Linotype" w:cs="Palatino Linotype"/>
          <w:b/>
          <w:color w:val="000000" w:themeColor="text1"/>
        </w:rPr>
        <w:t>no se actualiza la clasificación</w:t>
      </w:r>
      <w:r w:rsidRPr="004561AC">
        <w:rPr>
          <w:rFonts w:ascii="Palatino Linotype" w:eastAsia="Palatino Linotype" w:hAnsi="Palatino Linotype" w:cs="Palatino Linotype"/>
          <w:color w:val="000000" w:themeColor="text1"/>
        </w:rPr>
        <w:t>, en términos del artículo 143, fracción I de la Ley de la materia.</w:t>
      </w:r>
    </w:p>
    <w:p w:rsidR="0020369F" w:rsidRPr="004561AC" w:rsidRDefault="0020369F" w:rsidP="004561AC">
      <w:pPr>
        <w:spacing w:line="360" w:lineRule="auto"/>
        <w:ind w:right="-7"/>
        <w:jc w:val="both"/>
        <w:rPr>
          <w:rFonts w:ascii="Palatino Linotype" w:eastAsia="Palatino Linotype" w:hAnsi="Palatino Linotype" w:cs="Palatino Linotype"/>
          <w:b/>
          <w:color w:val="000000" w:themeColor="text1"/>
        </w:rPr>
      </w:pPr>
    </w:p>
    <w:p w:rsidR="0020369F"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En esa línea de estudio,</w:t>
      </w:r>
      <w:r w:rsidRPr="004561AC">
        <w:rPr>
          <w:rFonts w:ascii="Palatino Linotype" w:eastAsia="Palatino Linotype" w:hAnsi="Palatino Linotype" w:cs="Palatino Linotype"/>
          <w:b/>
          <w:color w:val="000000" w:themeColor="text1"/>
        </w:rPr>
        <w:t xml:space="preserve"> las cadenas originales y sellos digitales</w:t>
      </w:r>
      <w:r w:rsidRPr="004561AC">
        <w:rPr>
          <w:rFonts w:ascii="Palatino Linotype" w:eastAsia="Palatino Linotype" w:hAnsi="Palatino Linotype" w:cs="Palatino Linotype"/>
          <w:color w:val="000000" w:themeColor="text1"/>
        </w:rPr>
        <w:t>, tienen una secuencia de generación, determinados con base en el Anexo 20 de la Resolución Miscelánea Fiscal para 2022, que precisa los datos de los que se componen los elementos de seguridad y se puntualiza que dicha información está encriptada.</w:t>
      </w:r>
    </w:p>
    <w:p w:rsidR="0020369F"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“Elementos utilizados en la generación de Sellos Digitales:</w:t>
      </w:r>
    </w:p>
    <w:p w:rsidR="008273A5" w:rsidRPr="004561AC" w:rsidRDefault="008273A5"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r w:rsidRPr="004561AC">
        <w:rPr>
          <w:rFonts w:ascii="Palatino Linotype" w:eastAsia="Palatino Linotype" w:hAnsi="Palatino Linotype" w:cs="Palatino Linotype"/>
          <w:i/>
          <w:color w:val="000000" w:themeColor="text1"/>
        </w:rPr>
        <w:tab/>
        <w:t>Cadena Original del elemento a sellar.</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r w:rsidRPr="004561AC">
        <w:rPr>
          <w:rFonts w:ascii="Palatino Linotype" w:eastAsia="Palatino Linotype" w:hAnsi="Palatino Linotype" w:cs="Palatino Linotype"/>
          <w:i/>
          <w:color w:val="000000" w:themeColor="text1"/>
        </w:rPr>
        <w:tab/>
        <w:t>Certificado de Sello Digital y su correspondiente clave privada.</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r w:rsidRPr="004561AC">
        <w:rPr>
          <w:rFonts w:ascii="Palatino Linotype" w:eastAsia="Palatino Linotype" w:hAnsi="Palatino Linotype" w:cs="Palatino Linotype"/>
          <w:i/>
          <w:color w:val="000000" w:themeColor="text1"/>
        </w:rPr>
        <w:tab/>
        <w:t>Algoritmos de criptografía de clave pública para firma electrónica avanzada.</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r w:rsidRPr="004561AC">
        <w:rPr>
          <w:rFonts w:ascii="Palatino Linotype" w:eastAsia="Palatino Linotype" w:hAnsi="Palatino Linotype" w:cs="Palatino Linotype"/>
          <w:i/>
          <w:color w:val="000000" w:themeColor="text1"/>
        </w:rPr>
        <w:tab/>
        <w:t>Especificaciones de conversión de la firma electrónica avanzada a Base 64.</w:t>
      </w:r>
    </w:p>
    <w:p w:rsidR="0020369F"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lastRenderedPageBreak/>
        <w:t>Para la generación de sellos digitales se utiliza criptografía de clave pública aplicada a una cadena original.</w:t>
      </w:r>
    </w:p>
    <w:p w:rsidR="008273A5" w:rsidRPr="004561AC" w:rsidRDefault="008273A5"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ind w:right="-7"/>
        <w:jc w:val="both"/>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i/>
          <w:color w:val="000000" w:themeColor="text1"/>
        </w:rPr>
        <w:t>Criptografía de la Clave Pública</w:t>
      </w:r>
    </w:p>
    <w:p w:rsidR="0020369F" w:rsidRPr="004561AC" w:rsidRDefault="001E21FA"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La criptografía de Clave Pública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20369F" w:rsidP="004561AC">
      <w:pPr>
        <w:ind w:right="-7"/>
        <w:jc w:val="both"/>
        <w:rPr>
          <w:rFonts w:ascii="Palatino Linotype" w:eastAsia="Palatino Linotype" w:hAnsi="Palatino Linotype" w:cs="Palatino Linotype"/>
          <w:i/>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Es decir, por sí solos </w:t>
      </w:r>
      <w:r w:rsidRPr="004561AC">
        <w:rPr>
          <w:rFonts w:ascii="Palatino Linotype" w:eastAsia="Palatino Linotype" w:hAnsi="Palatino Linotype" w:cs="Palatino Linotype"/>
          <w:b/>
          <w:color w:val="000000" w:themeColor="text1"/>
        </w:rPr>
        <w:t>las cadenas originales y los sellos originales no contienen datos personales confidenciales</w:t>
      </w:r>
      <w:r w:rsidRPr="004561AC">
        <w:rPr>
          <w:rFonts w:ascii="Palatino Linotype" w:eastAsia="Palatino Linotype" w:hAnsi="Palatino Linotype" w:cs="Palatino Linotype"/>
          <w:color w:val="000000" w:themeColor="text1"/>
        </w:rPr>
        <w:t>,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20369F" w:rsidRPr="004561AC" w:rsidRDefault="0020369F" w:rsidP="004561A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actualiza la clasificación, en términos del artículo 143, fracción I, de la Ley de la materia.</w:t>
      </w:r>
    </w:p>
    <w:p w:rsidR="0020369F" w:rsidRPr="004561AC" w:rsidRDefault="0020369F" w:rsidP="004561AC">
      <w:pPr>
        <w:spacing w:line="360" w:lineRule="auto"/>
        <w:ind w:right="-7"/>
        <w:jc w:val="both"/>
        <w:rPr>
          <w:rFonts w:ascii="Palatino Linotype" w:eastAsia="Palatino Linotype" w:hAnsi="Palatino Linotype" w:cs="Palatino Linotype"/>
          <w:b/>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Por otra parte, por lo que hace al </w:t>
      </w:r>
      <w:r w:rsidRPr="004561AC">
        <w:rPr>
          <w:rFonts w:ascii="Palatino Linotype" w:eastAsia="Palatino Linotype" w:hAnsi="Palatino Linotype" w:cs="Palatino Linotype"/>
          <w:b/>
          <w:color w:val="000000" w:themeColor="text1"/>
        </w:rPr>
        <w:t>número de serie de los certificados de Sello Digitales del emisor y del Servicio de Administración Tributaria</w:t>
      </w:r>
      <w:r w:rsidRPr="004561AC">
        <w:rPr>
          <w:rFonts w:ascii="Palatino Linotype" w:eastAsia="Palatino Linotype" w:hAnsi="Palatino Linotype" w:cs="Palatino Linotype"/>
          <w:color w:val="000000" w:themeColor="text1"/>
        </w:rPr>
        <w:t xml:space="preserve">, el Anexo 20 de la Resolución Miscelánea Fiscal para 2022, precisa que es un atributo requerido para expresar </w:t>
      </w:r>
      <w:r w:rsidRPr="004561AC">
        <w:rPr>
          <w:rFonts w:ascii="Palatino Linotype" w:eastAsia="Palatino Linotype" w:hAnsi="Palatino Linotype" w:cs="Palatino Linotype"/>
          <w:color w:val="000000" w:themeColor="text1"/>
        </w:rPr>
        <w:lastRenderedPageBreak/>
        <w:t>el número de serie del certificado de sello digital que ampara al comprobante, de acuerdo con el acuse correspondiente a 20 posiciones otorgado por el sistema del SAT.</w:t>
      </w:r>
    </w:p>
    <w:p w:rsidR="0020369F" w:rsidRPr="004561AC" w:rsidRDefault="0020369F" w:rsidP="004561AC">
      <w:pPr>
        <w:spacing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Cómo se logra observar, </w:t>
      </w:r>
      <w:r w:rsidRPr="004561AC">
        <w:rPr>
          <w:rFonts w:ascii="Palatino Linotype" w:eastAsia="Palatino Linotype" w:hAnsi="Palatino Linotype" w:cs="Palatino Linotype"/>
          <w:b/>
          <w:color w:val="000000" w:themeColor="text1"/>
        </w:rPr>
        <w:t>los números de serie del certificado de sello digital no contiene datos personales</w:t>
      </w:r>
      <w:r w:rsidRPr="004561AC">
        <w:rPr>
          <w:rFonts w:ascii="Palatino Linotype" w:eastAsia="Palatino Linotype" w:hAnsi="Palatino Linotype" w:cs="Palatino Linotype"/>
          <w:color w:val="000000" w:themeColor="text1"/>
        </w:rPr>
        <w:t xml:space="preserve">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20369F" w:rsidRPr="004561AC" w:rsidRDefault="0020369F" w:rsidP="004561A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0369F" w:rsidRPr="004561AC" w:rsidRDefault="003270D5"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Razón por la cual no es posible confirmar la respuesta del Sujeto Obligado al entregar una versión pública incorrecta de los recibos de nómina; no obstante, </w:t>
      </w:r>
      <w:r w:rsidR="00AF7789" w:rsidRPr="004561AC">
        <w:rPr>
          <w:rFonts w:ascii="Palatino Linotype" w:eastAsia="Palatino Linotype" w:hAnsi="Palatino Linotype" w:cs="Palatino Linotype"/>
          <w:color w:val="000000" w:themeColor="text1"/>
        </w:rPr>
        <w:t>y toda vez</w:t>
      </w:r>
      <w:r w:rsidRPr="004561AC">
        <w:rPr>
          <w:rFonts w:ascii="Palatino Linotype" w:eastAsia="Palatino Linotype" w:hAnsi="Palatino Linotype" w:cs="Palatino Linotype"/>
          <w:color w:val="000000" w:themeColor="text1"/>
        </w:rPr>
        <w:t xml:space="preserve"> que </w:t>
      </w:r>
      <w:r w:rsidR="001E1519" w:rsidRPr="004561AC">
        <w:rPr>
          <w:rFonts w:ascii="Palatino Linotype" w:eastAsia="Palatino Linotype" w:hAnsi="Palatino Linotype" w:cs="Palatino Linotype"/>
          <w:color w:val="000000" w:themeColor="text1"/>
        </w:rPr>
        <w:t xml:space="preserve">de </w:t>
      </w:r>
      <w:r w:rsidRPr="004561AC">
        <w:rPr>
          <w:rFonts w:ascii="Palatino Linotype" w:eastAsia="Palatino Linotype" w:hAnsi="Palatino Linotype" w:cs="Palatino Linotype"/>
          <w:color w:val="000000" w:themeColor="text1"/>
        </w:rPr>
        <w:t xml:space="preserve">los motivos de inconformidad únicamente el recurrente se inconforma por </w:t>
      </w:r>
      <w:r w:rsidRPr="004561AC">
        <w:rPr>
          <w:rFonts w:ascii="Palatino Linotype" w:eastAsia="Palatino Linotype" w:hAnsi="Palatino Linotype" w:cs="Palatino Linotype"/>
          <w:b/>
          <w:color w:val="000000" w:themeColor="text1"/>
        </w:rPr>
        <w:t>las</w:t>
      </w:r>
      <w:r w:rsidRPr="004561AC">
        <w:rPr>
          <w:rFonts w:ascii="Palatino Linotype" w:eastAsia="Palatino Linotype" w:hAnsi="Palatino Linotype" w:cs="Palatino Linotype"/>
          <w:color w:val="000000" w:themeColor="text1"/>
        </w:rPr>
        <w:t xml:space="preserve"> </w:t>
      </w:r>
      <w:r w:rsidRPr="004561AC">
        <w:rPr>
          <w:rFonts w:ascii="Palatino Linotype" w:eastAsia="Palatino Linotype" w:hAnsi="Palatino Linotype" w:cs="Palatino Linotype"/>
          <w:b/>
          <w:color w:val="000000" w:themeColor="text1"/>
        </w:rPr>
        <w:t xml:space="preserve">deducciones suprimidas en los recibos de nómina entregados en respuesta, </w:t>
      </w:r>
      <w:r w:rsidRPr="004561AC">
        <w:rPr>
          <w:rFonts w:ascii="Palatino Linotype" w:eastAsia="Palatino Linotype" w:hAnsi="Palatino Linotype" w:cs="Palatino Linotype"/>
          <w:color w:val="000000" w:themeColor="text1"/>
        </w:rPr>
        <w:t xml:space="preserve">mismos que como ya quedó precisado en párrafos anteriores se realizó de manera correcta, lo procedente es </w:t>
      </w:r>
      <w:r w:rsidR="001E1519" w:rsidRPr="004561AC">
        <w:rPr>
          <w:rFonts w:ascii="Palatino Linotype" w:eastAsia="Palatino Linotype" w:hAnsi="Palatino Linotype" w:cs="Palatino Linotype"/>
          <w:b/>
          <w:color w:val="000000" w:themeColor="text1"/>
        </w:rPr>
        <w:t>SOBRESEER</w:t>
      </w:r>
      <w:r w:rsidR="001E1519" w:rsidRPr="004561AC">
        <w:rPr>
          <w:rFonts w:ascii="Palatino Linotype" w:eastAsia="Palatino Linotype" w:hAnsi="Palatino Linotype" w:cs="Palatino Linotype"/>
          <w:color w:val="000000" w:themeColor="text1"/>
        </w:rPr>
        <w:t xml:space="preserve"> </w:t>
      </w:r>
      <w:r w:rsidRPr="004561AC">
        <w:rPr>
          <w:rFonts w:ascii="Palatino Linotype" w:eastAsia="Palatino Linotype" w:hAnsi="Palatino Linotype" w:cs="Palatino Linotype"/>
          <w:color w:val="000000" w:themeColor="text1"/>
        </w:rPr>
        <w:t xml:space="preserve">el recurso de revisión al actualizarse </w:t>
      </w:r>
      <w:r w:rsidR="00D8022C" w:rsidRPr="004561AC">
        <w:rPr>
          <w:rFonts w:ascii="Palatino Linotype" w:eastAsia="Palatino Linotype" w:hAnsi="Palatino Linotype" w:cs="Palatino Linotype"/>
          <w:color w:val="000000" w:themeColor="text1"/>
        </w:rPr>
        <w:t xml:space="preserve">el supuesto establecido en la </w:t>
      </w:r>
      <w:r w:rsidR="00D8022C" w:rsidRPr="004561AC">
        <w:rPr>
          <w:rFonts w:ascii="Palatino Linotype" w:eastAsia="Palatino Linotype" w:hAnsi="Palatino Linotype" w:cs="Palatino Linotype"/>
          <w:b/>
          <w:color w:val="000000" w:themeColor="text1"/>
        </w:rPr>
        <w:t>fracción V, del artículo 192</w:t>
      </w:r>
      <w:r w:rsidR="00313AD6" w:rsidRPr="004561AC">
        <w:rPr>
          <w:rFonts w:ascii="Palatino Linotype" w:eastAsia="Palatino Linotype" w:hAnsi="Palatino Linotype" w:cs="Palatino Linotype"/>
          <w:b/>
          <w:color w:val="000000" w:themeColor="text1"/>
        </w:rPr>
        <w:t>,</w:t>
      </w:r>
      <w:r w:rsidR="00D8022C" w:rsidRPr="004561AC">
        <w:rPr>
          <w:rFonts w:ascii="Palatino Linotype" w:eastAsia="Palatino Linotype" w:hAnsi="Palatino Linotype" w:cs="Palatino Linotype"/>
          <w:b/>
          <w:color w:val="000000" w:themeColor="text1"/>
        </w:rPr>
        <w:t xml:space="preserve"> de la </w:t>
      </w:r>
      <w:r w:rsidR="00313AD6" w:rsidRPr="004561AC">
        <w:rPr>
          <w:rFonts w:ascii="Palatino Linotype" w:hAnsi="Palatino Linotype" w:cs="Arial"/>
          <w:b/>
          <w:color w:val="000000" w:themeColor="text1"/>
        </w:rPr>
        <w:t>Ley de Transparencia y Acceso a la Información Pública del Estado de México y Municipios</w:t>
      </w:r>
      <w:r w:rsidR="00D8022C" w:rsidRPr="004561AC">
        <w:rPr>
          <w:rFonts w:ascii="Palatino Linotype" w:eastAsia="Palatino Linotype" w:hAnsi="Palatino Linotype" w:cs="Palatino Linotype"/>
          <w:color w:val="000000" w:themeColor="text1"/>
        </w:rPr>
        <w:t>, misma que establece:</w:t>
      </w:r>
    </w:p>
    <w:p w:rsidR="00D8022C" w:rsidRPr="004561AC" w:rsidRDefault="00D8022C"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b/>
          <w:i/>
          <w:color w:val="000000" w:themeColor="text1"/>
        </w:rPr>
        <w:t>Artículo 192</w:t>
      </w:r>
      <w:r w:rsidRPr="004561AC">
        <w:rPr>
          <w:rFonts w:ascii="Palatino Linotype" w:eastAsia="Palatino Linotype" w:hAnsi="Palatino Linotype" w:cs="Palatino Linotype"/>
          <w:i/>
          <w:color w:val="000000" w:themeColor="text1"/>
        </w:rPr>
        <w:t xml:space="preserve">. </w:t>
      </w:r>
      <w:r w:rsidRPr="004561AC">
        <w:rPr>
          <w:rFonts w:ascii="Palatino Linotype" w:eastAsia="Palatino Linotype" w:hAnsi="Palatino Linotype" w:cs="Palatino Linotype"/>
          <w:b/>
          <w:i/>
          <w:color w:val="000000" w:themeColor="text1"/>
        </w:rPr>
        <w:t>El recurso será sobreseído</w:t>
      </w:r>
      <w:r w:rsidRPr="004561AC">
        <w:rPr>
          <w:rFonts w:ascii="Palatino Linotype" w:eastAsia="Palatino Linotype" w:hAnsi="Palatino Linotype" w:cs="Palatino Linotype"/>
          <w:i/>
          <w:color w:val="000000" w:themeColor="text1"/>
        </w:rPr>
        <w:t xml:space="preserve">, en todo o en parte, cuando una vez admitido, se actualicen alguno de los siguientes supuestos: </w:t>
      </w:r>
    </w:p>
    <w:p w:rsidR="00D8022C" w:rsidRPr="004561AC" w:rsidRDefault="00D8022C" w:rsidP="004561AC">
      <w:pPr>
        <w:ind w:right="-7"/>
        <w:jc w:val="both"/>
        <w:rPr>
          <w:rFonts w:ascii="Palatino Linotype" w:eastAsia="Palatino Linotype" w:hAnsi="Palatino Linotype" w:cs="Palatino Linotype"/>
          <w:i/>
          <w:color w:val="000000" w:themeColor="text1"/>
        </w:rPr>
      </w:pPr>
      <w:r w:rsidRPr="004561AC">
        <w:rPr>
          <w:rFonts w:ascii="Palatino Linotype" w:eastAsia="Palatino Linotype" w:hAnsi="Palatino Linotype" w:cs="Palatino Linotype"/>
          <w:i/>
          <w:color w:val="000000" w:themeColor="text1"/>
        </w:rPr>
        <w:t>…</w:t>
      </w:r>
    </w:p>
    <w:p w:rsidR="00D8022C" w:rsidRPr="004561AC" w:rsidRDefault="00D8022C" w:rsidP="004561AC">
      <w:pPr>
        <w:ind w:right="-7"/>
        <w:jc w:val="both"/>
        <w:rPr>
          <w:rFonts w:ascii="Palatino Linotype" w:eastAsia="Palatino Linotype" w:hAnsi="Palatino Linotype" w:cs="Palatino Linotype"/>
          <w:b/>
          <w:i/>
          <w:color w:val="000000" w:themeColor="text1"/>
        </w:rPr>
      </w:pPr>
      <w:r w:rsidRPr="004561AC">
        <w:rPr>
          <w:rFonts w:ascii="Palatino Linotype" w:eastAsia="Palatino Linotype" w:hAnsi="Palatino Linotype" w:cs="Palatino Linotype"/>
          <w:b/>
          <w:i/>
          <w:color w:val="000000" w:themeColor="text1"/>
        </w:rPr>
        <w:t xml:space="preserve"> V. Cuando por cualquier motivo quede sin materia el recurso.</w:t>
      </w:r>
    </w:p>
    <w:p w:rsidR="0020369F" w:rsidRPr="004561AC" w:rsidRDefault="0020369F" w:rsidP="004561AC">
      <w:pPr>
        <w:spacing w:line="360" w:lineRule="auto"/>
        <w:ind w:right="-7"/>
        <w:jc w:val="both"/>
        <w:rPr>
          <w:rFonts w:ascii="Palatino Linotype" w:hAnsi="Palatino Linotype"/>
          <w:color w:val="000000" w:themeColor="text1"/>
        </w:rPr>
      </w:pPr>
    </w:p>
    <w:p w:rsidR="0020369F" w:rsidRPr="004561AC" w:rsidRDefault="001E21FA" w:rsidP="004561AC">
      <w:pPr>
        <w:numPr>
          <w:ilvl w:val="0"/>
          <w:numId w:val="3"/>
        </w:numPr>
        <w:spacing w:line="360" w:lineRule="auto"/>
        <w:ind w:left="0" w:right="-7" w:firstLine="0"/>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 xml:space="preserve">Por lo expuesto, y con fundamento en lo prescrito en los artículos 5, párrafos trigésimo noveno, cuadragésimo y cuadragésimo primero, fracciones IV y V, de la Constitución Política del Estado Libre y Soberano de México; 2, fracción II; 29, 36 fracciones </w:t>
      </w:r>
      <w:r w:rsidRPr="004561AC">
        <w:rPr>
          <w:rFonts w:ascii="Palatino Linotype" w:eastAsia="Palatino Linotype" w:hAnsi="Palatino Linotype" w:cs="Palatino Linotype"/>
          <w:color w:val="000000" w:themeColor="text1"/>
        </w:rPr>
        <w:lastRenderedPageBreak/>
        <w:t>I y II; 176, 178, 179, 181 y 185 de la Ley de Transparencia y Acceso a la Información Pública del Estado de México y Municipios, este Pleno:</w:t>
      </w:r>
    </w:p>
    <w:p w:rsidR="0020369F" w:rsidRDefault="0020369F" w:rsidP="004561AC">
      <w:pPr>
        <w:ind w:right="-7"/>
        <w:rPr>
          <w:rFonts w:ascii="Palatino Linotype" w:eastAsia="Palatino Linotype" w:hAnsi="Palatino Linotype" w:cs="Palatino Linotype"/>
          <w:color w:val="000000" w:themeColor="text1"/>
        </w:rPr>
      </w:pPr>
    </w:p>
    <w:p w:rsidR="004561AC" w:rsidRDefault="004561AC" w:rsidP="004561AC">
      <w:pPr>
        <w:ind w:right="-7"/>
        <w:rPr>
          <w:rFonts w:ascii="Palatino Linotype" w:eastAsia="Palatino Linotype" w:hAnsi="Palatino Linotype" w:cs="Palatino Linotype"/>
          <w:color w:val="000000" w:themeColor="text1"/>
        </w:rPr>
      </w:pPr>
    </w:p>
    <w:p w:rsidR="004561AC" w:rsidRPr="004561AC" w:rsidRDefault="004561AC" w:rsidP="004561AC">
      <w:pPr>
        <w:ind w:right="-7"/>
        <w:rPr>
          <w:rFonts w:ascii="Palatino Linotype" w:eastAsia="Palatino Linotype" w:hAnsi="Palatino Linotype" w:cs="Palatino Linotype"/>
          <w:color w:val="000000" w:themeColor="text1"/>
        </w:rPr>
      </w:pPr>
    </w:p>
    <w:p w:rsidR="0020369F" w:rsidRPr="004561AC" w:rsidRDefault="001E21FA" w:rsidP="004561AC">
      <w:pPr>
        <w:spacing w:line="360" w:lineRule="auto"/>
        <w:ind w:right="-7"/>
        <w:jc w:val="center"/>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R E S U E L V E</w:t>
      </w:r>
    </w:p>
    <w:p w:rsidR="0020369F" w:rsidRPr="004561AC" w:rsidRDefault="0020369F" w:rsidP="004561AC">
      <w:pPr>
        <w:spacing w:line="360" w:lineRule="auto"/>
        <w:ind w:right="-7"/>
        <w:jc w:val="center"/>
        <w:rPr>
          <w:rFonts w:ascii="Palatino Linotype" w:eastAsia="Palatino Linotype" w:hAnsi="Palatino Linotype" w:cs="Palatino Linotype"/>
          <w:b/>
          <w:color w:val="000000" w:themeColor="text1"/>
        </w:rPr>
      </w:pPr>
    </w:p>
    <w:p w:rsidR="00313AD6" w:rsidRPr="004561AC" w:rsidRDefault="00313AD6" w:rsidP="004561AC">
      <w:pPr>
        <w:spacing w:line="360" w:lineRule="auto"/>
        <w:ind w:right="-7"/>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b/>
          <w:color w:val="000000" w:themeColor="text1"/>
        </w:rPr>
        <w:t>PRIMERO</w:t>
      </w:r>
      <w:r w:rsidRPr="004561AC">
        <w:rPr>
          <w:rFonts w:ascii="Palatino Linotype" w:eastAsia="Palatino Linotype" w:hAnsi="Palatino Linotype" w:cs="Palatino Linotype"/>
          <w:color w:val="000000" w:themeColor="text1"/>
        </w:rPr>
        <w:t xml:space="preserve">. Se </w:t>
      </w:r>
      <w:r w:rsidRPr="004561AC">
        <w:rPr>
          <w:rFonts w:ascii="Palatino Linotype" w:eastAsia="Palatino Linotype" w:hAnsi="Palatino Linotype" w:cs="Palatino Linotype"/>
          <w:b/>
          <w:color w:val="000000" w:themeColor="text1"/>
        </w:rPr>
        <w:t>SOBRESEE</w:t>
      </w:r>
      <w:r w:rsidRPr="004561AC">
        <w:rPr>
          <w:rFonts w:ascii="Palatino Linotype" w:eastAsia="Palatino Linotype" w:hAnsi="Palatino Linotype" w:cs="Palatino Linotype"/>
          <w:color w:val="000000" w:themeColor="text1"/>
        </w:rPr>
        <w:t xml:space="preserve"> el Recurso de Revisión número </w:t>
      </w:r>
      <w:r w:rsidR="00944462" w:rsidRPr="004561AC">
        <w:rPr>
          <w:rFonts w:ascii="Palatino Linotype" w:eastAsia="Palatino Linotype" w:hAnsi="Palatino Linotype" w:cs="Palatino Linotype"/>
          <w:b/>
          <w:color w:val="000000" w:themeColor="text1"/>
        </w:rPr>
        <w:t>06218</w:t>
      </w:r>
      <w:r w:rsidRPr="004561AC">
        <w:rPr>
          <w:rFonts w:ascii="Palatino Linotype" w:eastAsia="Palatino Linotype" w:hAnsi="Palatino Linotype" w:cs="Palatino Linotype"/>
          <w:b/>
          <w:color w:val="000000" w:themeColor="text1"/>
        </w:rPr>
        <w:t>/INFOEM/IP/RR/2025</w:t>
      </w:r>
      <w:r w:rsidRPr="004561AC">
        <w:rPr>
          <w:rFonts w:ascii="Palatino Linotype" w:eastAsia="Palatino Linotype" w:hAnsi="Palatino Linotype" w:cs="Palatino Linotype"/>
          <w:color w:val="000000" w:themeColor="text1"/>
        </w:rPr>
        <w:t xml:space="preserve">, conforme al artículo 192, fracción </w:t>
      </w:r>
      <w:r w:rsidR="00944462" w:rsidRPr="004561AC">
        <w:rPr>
          <w:rFonts w:ascii="Palatino Linotype" w:eastAsia="Palatino Linotype" w:hAnsi="Palatino Linotype" w:cs="Palatino Linotype"/>
          <w:color w:val="000000" w:themeColor="text1"/>
        </w:rPr>
        <w:t>V</w:t>
      </w:r>
      <w:r w:rsidRPr="004561AC">
        <w:rPr>
          <w:rFonts w:ascii="Palatino Linotype" w:eastAsia="Palatino Linotype" w:hAnsi="Palatino Linotype" w:cs="Palatino Linotype"/>
          <w:color w:val="000000" w:themeColor="text1"/>
        </w:rPr>
        <w:t xml:space="preserve">, de la Ley de la Materia, </w:t>
      </w:r>
      <w:r w:rsidR="00944462" w:rsidRPr="004561AC">
        <w:rPr>
          <w:rFonts w:ascii="Palatino Linotype" w:eastAsia="Palatino Linotype" w:hAnsi="Palatino Linotype" w:cs="Palatino Linotype"/>
          <w:color w:val="000000" w:themeColor="text1"/>
        </w:rPr>
        <w:t>cuando por cualquier motivo quede sin materia el recurso,</w:t>
      </w:r>
      <w:r w:rsidRPr="004561AC">
        <w:rPr>
          <w:rFonts w:ascii="Palatino Linotype" w:eastAsia="Palatino Linotype" w:hAnsi="Palatino Linotype" w:cs="Palatino Linotype"/>
          <w:color w:val="000000" w:themeColor="text1"/>
        </w:rPr>
        <w:t xml:space="preserve"> en términos del  </w:t>
      </w:r>
      <w:r w:rsidRPr="004561AC">
        <w:rPr>
          <w:rFonts w:ascii="Palatino Linotype" w:eastAsia="Palatino Linotype" w:hAnsi="Palatino Linotype" w:cs="Palatino Linotype"/>
          <w:b/>
          <w:color w:val="000000" w:themeColor="text1"/>
        </w:rPr>
        <w:t>Considerando Cuarto</w:t>
      </w:r>
      <w:r w:rsidRPr="004561AC">
        <w:rPr>
          <w:rFonts w:ascii="Palatino Linotype" w:eastAsia="Palatino Linotype" w:hAnsi="Palatino Linotype" w:cs="Palatino Linotype"/>
          <w:color w:val="000000" w:themeColor="text1"/>
        </w:rPr>
        <w:t xml:space="preserve"> de la presente resolución.</w:t>
      </w:r>
    </w:p>
    <w:p w:rsidR="00313AD6" w:rsidRPr="004561AC" w:rsidRDefault="00313AD6" w:rsidP="004561AC">
      <w:pPr>
        <w:spacing w:line="360" w:lineRule="auto"/>
        <w:ind w:right="-7"/>
        <w:jc w:val="both"/>
        <w:rPr>
          <w:rFonts w:ascii="Palatino Linotype" w:eastAsia="Palatino Linotype" w:hAnsi="Palatino Linotype" w:cs="Palatino Linotype"/>
          <w:color w:val="000000" w:themeColor="text1"/>
        </w:rPr>
      </w:pPr>
    </w:p>
    <w:p w:rsidR="00313AD6" w:rsidRPr="004561AC" w:rsidRDefault="00313AD6" w:rsidP="004561AC">
      <w:pPr>
        <w:spacing w:line="360" w:lineRule="auto"/>
        <w:ind w:right="-7"/>
        <w:jc w:val="both"/>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b/>
          <w:color w:val="000000" w:themeColor="text1"/>
        </w:rPr>
        <w:t>SEGUNDO. Notifíquese</w:t>
      </w:r>
      <w:r w:rsidRPr="004561AC">
        <w:rPr>
          <w:rFonts w:ascii="Palatino Linotype" w:eastAsia="Palatino Linotype" w:hAnsi="Palatino Linotype" w:cs="Palatino Linotype"/>
          <w:color w:val="000000" w:themeColor="text1"/>
        </w:rPr>
        <w:t xml:space="preserve"> al Titular de la Unidad de Transparencia del </w:t>
      </w:r>
      <w:r w:rsidRPr="004561AC">
        <w:rPr>
          <w:rFonts w:ascii="Palatino Linotype" w:eastAsia="Palatino Linotype" w:hAnsi="Palatino Linotype" w:cs="Palatino Linotype"/>
          <w:b/>
          <w:color w:val="000000" w:themeColor="text1"/>
        </w:rPr>
        <w:t>SUJETO OBLIGADO</w:t>
      </w:r>
      <w:r w:rsidRPr="004561AC">
        <w:rPr>
          <w:rFonts w:ascii="Palatino Linotype" w:eastAsia="Palatino Linotype" w:hAnsi="Palatino Linotype" w:cs="Palatino Linotype"/>
          <w:color w:val="000000" w:themeColor="text1"/>
        </w:rPr>
        <w:t xml:space="preserve"> vía SAIMEX, para su conocimiento.</w:t>
      </w:r>
    </w:p>
    <w:p w:rsidR="00313AD6" w:rsidRPr="004561AC" w:rsidRDefault="00313AD6" w:rsidP="004561AC">
      <w:pPr>
        <w:spacing w:line="360" w:lineRule="auto"/>
        <w:ind w:right="-7"/>
        <w:jc w:val="both"/>
        <w:rPr>
          <w:rFonts w:ascii="Palatino Linotype" w:eastAsia="Palatino Linotype" w:hAnsi="Palatino Linotype" w:cs="Palatino Linotype"/>
          <w:color w:val="000000" w:themeColor="text1"/>
        </w:rPr>
      </w:pPr>
    </w:p>
    <w:p w:rsidR="00313AD6" w:rsidRPr="004561AC" w:rsidRDefault="00313AD6" w:rsidP="004561AC">
      <w:pPr>
        <w:spacing w:line="360" w:lineRule="auto"/>
        <w:ind w:right="-7"/>
        <w:jc w:val="both"/>
        <w:rPr>
          <w:rFonts w:ascii="Palatino Linotype" w:eastAsia="Palatino Linotype" w:hAnsi="Palatino Linotype" w:cs="Palatino Linotype"/>
          <w:color w:val="000000" w:themeColor="text1"/>
        </w:rPr>
      </w:pPr>
      <w:bookmarkStart w:id="8" w:name="_heading=h.xqeync8mwh44" w:colFirst="0" w:colLast="0"/>
      <w:bookmarkEnd w:id="8"/>
      <w:r w:rsidRPr="004561AC">
        <w:rPr>
          <w:rFonts w:ascii="Palatino Linotype" w:eastAsia="Palatino Linotype" w:hAnsi="Palatino Linotype" w:cs="Palatino Linotype"/>
          <w:b/>
          <w:color w:val="000000" w:themeColor="text1"/>
        </w:rPr>
        <w:t>TERCERO. NOTIFÍQUESE</w:t>
      </w:r>
      <w:r w:rsidRPr="004561AC">
        <w:rPr>
          <w:rFonts w:ascii="Palatino Linotype" w:eastAsia="Palatino Linotype" w:hAnsi="Palatino Linotype" w:cs="Palatino Linotype"/>
          <w:color w:val="000000" w:themeColor="text1"/>
        </w:rPr>
        <w:t xml:space="preserve"> la presente resolución a la parte </w:t>
      </w:r>
      <w:r w:rsidRPr="004561AC">
        <w:rPr>
          <w:rFonts w:ascii="Palatino Linotype" w:eastAsia="Palatino Linotype" w:hAnsi="Palatino Linotype" w:cs="Palatino Linotype"/>
          <w:b/>
          <w:color w:val="000000" w:themeColor="text1"/>
        </w:rPr>
        <w:t>Recurrente</w:t>
      </w:r>
      <w:r w:rsidRPr="004561AC">
        <w:rPr>
          <w:rFonts w:ascii="Palatino Linotype" w:eastAsia="Palatino Linotype" w:hAnsi="Palatino Linotype" w:cs="Palatino Linotype"/>
          <w:color w:val="000000" w:themeColor="text1"/>
        </w:rPr>
        <w:t xml:space="preserve"> a través del Sistema de Acceso a la Información Mexiquense </w:t>
      </w:r>
      <w:r w:rsidRPr="004561AC">
        <w:rPr>
          <w:rFonts w:ascii="Palatino Linotype" w:eastAsia="Palatino Linotype" w:hAnsi="Palatino Linotype" w:cs="Palatino Linotype"/>
          <w:b/>
          <w:color w:val="000000" w:themeColor="text1"/>
        </w:rPr>
        <w:t>(SAIMEX)</w:t>
      </w:r>
      <w:r w:rsidRPr="004561AC">
        <w:rPr>
          <w:rFonts w:ascii="Palatino Linotype" w:eastAsia="Palatino Linotype" w:hAnsi="Palatino Linotype" w:cs="Palatino Linotype"/>
          <w:color w:val="000000" w:themeColor="text1"/>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20369F" w:rsidRDefault="0020369F" w:rsidP="004561AC">
      <w:pPr>
        <w:spacing w:line="360" w:lineRule="auto"/>
        <w:ind w:right="-7"/>
        <w:jc w:val="both"/>
        <w:rPr>
          <w:rFonts w:ascii="Palatino Linotype" w:eastAsia="Palatino Linotype" w:hAnsi="Palatino Linotype" w:cs="Palatino Linotype"/>
          <w:b/>
          <w:color w:val="000000" w:themeColor="text1"/>
        </w:rPr>
      </w:pPr>
    </w:p>
    <w:p w:rsidR="00F3528A" w:rsidRPr="00444783" w:rsidRDefault="00F3528A" w:rsidP="00F3528A">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w:t>
      </w:r>
      <w:r w:rsidRPr="00575AE2">
        <w:rPr>
          <w:rFonts w:ascii="Palatino Linotype" w:eastAsia="Palatino Linotype" w:hAnsi="Palatino Linotype" w:cs="Palatino Linotype"/>
        </w:rPr>
        <w:lastRenderedPageBreak/>
        <w:t xml:space="preserve">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20369F" w:rsidRPr="004561AC" w:rsidRDefault="0020369F" w:rsidP="004561AC">
      <w:pPr>
        <w:spacing w:before="240" w:after="240" w:line="360" w:lineRule="auto"/>
        <w:ind w:right="-7"/>
        <w:jc w:val="both"/>
        <w:rPr>
          <w:rFonts w:ascii="Palatino Linotype" w:eastAsia="Palatino Linotype" w:hAnsi="Palatino Linotype" w:cs="Palatino Linotype"/>
          <w:color w:val="000000" w:themeColor="text1"/>
        </w:rPr>
      </w:pPr>
    </w:p>
    <w:p w:rsidR="0020369F" w:rsidRPr="004561AC" w:rsidRDefault="001E21FA" w:rsidP="004561AC">
      <w:pPr>
        <w:ind w:right="-7"/>
        <w:rPr>
          <w:rFonts w:ascii="Palatino Linotype" w:eastAsia="Palatino Linotype" w:hAnsi="Palatino Linotype" w:cs="Palatino Linotype"/>
          <w:color w:val="000000" w:themeColor="text1"/>
        </w:rPr>
      </w:pPr>
      <w:r w:rsidRPr="004561AC">
        <w:rPr>
          <w:rFonts w:ascii="Palatino Linotype" w:hAnsi="Palatino Linotype"/>
          <w:color w:val="000000" w:themeColor="text1"/>
        </w:rPr>
        <w:br w:type="page"/>
      </w:r>
    </w:p>
    <w:p w:rsidR="0020369F" w:rsidRPr="004561AC" w:rsidRDefault="0020369F" w:rsidP="004561AC">
      <w:pPr>
        <w:spacing w:before="240" w:after="240" w:line="360" w:lineRule="auto"/>
        <w:ind w:right="-7"/>
        <w:jc w:val="both"/>
        <w:rPr>
          <w:rFonts w:ascii="Palatino Linotype" w:eastAsia="Palatino Linotype" w:hAnsi="Palatino Linotype" w:cs="Palatino Linotype"/>
          <w:color w:val="000000" w:themeColor="text1"/>
        </w:rPr>
      </w:pPr>
    </w:p>
    <w:p w:rsidR="0020369F" w:rsidRPr="004561AC" w:rsidRDefault="0020369F" w:rsidP="004561AC">
      <w:pPr>
        <w:ind w:right="-7"/>
        <w:rPr>
          <w:rFonts w:ascii="Palatino Linotype" w:eastAsia="Palatino Linotype" w:hAnsi="Palatino Linotype" w:cs="Palatino Linotype"/>
          <w:color w:val="000000" w:themeColor="text1"/>
        </w:rPr>
      </w:pPr>
    </w:p>
    <w:p w:rsidR="0020369F" w:rsidRPr="004561AC" w:rsidRDefault="0020369F" w:rsidP="004561AC">
      <w:pPr>
        <w:spacing w:line="360" w:lineRule="auto"/>
        <w:ind w:right="-7"/>
        <w:rPr>
          <w:rFonts w:ascii="Palatino Linotype" w:eastAsia="Palatino Linotype" w:hAnsi="Palatino Linotype" w:cs="Palatino Linotype"/>
          <w:color w:val="000000" w:themeColor="text1"/>
        </w:rPr>
      </w:pPr>
    </w:p>
    <w:p w:rsidR="0020369F" w:rsidRPr="004561AC" w:rsidRDefault="0020369F" w:rsidP="004561AC">
      <w:pPr>
        <w:spacing w:line="360" w:lineRule="auto"/>
        <w:ind w:right="-7"/>
        <w:rPr>
          <w:rFonts w:ascii="Palatino Linotype" w:eastAsia="Palatino Linotype" w:hAnsi="Palatino Linotype" w:cs="Palatino Linotype"/>
          <w:color w:val="000000" w:themeColor="text1"/>
        </w:rPr>
      </w:pPr>
    </w:p>
    <w:p w:rsidR="0020369F" w:rsidRPr="004561AC" w:rsidRDefault="0020369F" w:rsidP="004561AC">
      <w:pPr>
        <w:spacing w:line="360" w:lineRule="auto"/>
        <w:ind w:right="-7"/>
        <w:rPr>
          <w:rFonts w:ascii="Palatino Linotype" w:eastAsia="Palatino Linotype" w:hAnsi="Palatino Linotype" w:cs="Palatino Linotype"/>
          <w:color w:val="000000" w:themeColor="text1"/>
        </w:rPr>
      </w:pPr>
    </w:p>
    <w:p w:rsidR="0020369F" w:rsidRPr="004561AC" w:rsidRDefault="001E21FA" w:rsidP="004561AC">
      <w:pPr>
        <w:tabs>
          <w:tab w:val="left" w:pos="3374"/>
        </w:tabs>
        <w:spacing w:line="360" w:lineRule="auto"/>
        <w:ind w:right="-7"/>
        <w:rPr>
          <w:rFonts w:ascii="Palatino Linotype" w:eastAsia="Palatino Linotype" w:hAnsi="Palatino Linotype" w:cs="Palatino Linotype"/>
          <w:color w:val="000000" w:themeColor="text1"/>
        </w:rPr>
      </w:pPr>
      <w:bookmarkStart w:id="9" w:name="_heading=h.lnxbz9" w:colFirst="0" w:colLast="0"/>
      <w:bookmarkEnd w:id="9"/>
      <w:r w:rsidRPr="004561AC">
        <w:rPr>
          <w:rFonts w:ascii="Palatino Linotype" w:eastAsia="Palatino Linotype" w:hAnsi="Palatino Linotype" w:cs="Palatino Linotype"/>
          <w:color w:val="000000" w:themeColor="text1"/>
        </w:rPr>
        <w:tab/>
      </w:r>
    </w:p>
    <w:sectPr w:rsidR="0020369F" w:rsidRPr="004561AC" w:rsidSect="00C23A62">
      <w:headerReference w:type="even" r:id="rId10"/>
      <w:headerReference w:type="default" r:id="rId11"/>
      <w:footerReference w:type="default" r:id="rId12"/>
      <w:headerReference w:type="first" r:id="rId13"/>
      <w:footerReference w:type="first" r:id="rId14"/>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B19" w:rsidRDefault="00260B19">
      <w:r>
        <w:separator/>
      </w:r>
    </w:p>
  </w:endnote>
  <w:endnote w:type="continuationSeparator" w:id="0">
    <w:p w:rsidR="00260B19" w:rsidRDefault="0026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0D5" w:rsidRDefault="003270D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0796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07969">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3270D5" w:rsidRDefault="003270D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0D5" w:rsidRDefault="003270D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0796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07969">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3270D5" w:rsidRDefault="003270D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B19" w:rsidRDefault="00260B19">
      <w:r>
        <w:separator/>
      </w:r>
    </w:p>
  </w:footnote>
  <w:footnote w:type="continuationSeparator" w:id="0">
    <w:p w:rsidR="00260B19" w:rsidRDefault="00260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0D5" w:rsidRDefault="00260B1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229" w:type="dxa"/>
      <w:tblInd w:w="3261" w:type="dxa"/>
      <w:tblLayout w:type="fixed"/>
      <w:tblLook w:val="0400" w:firstRow="0" w:lastRow="0" w:firstColumn="0" w:lastColumn="0" w:noHBand="0" w:noVBand="1"/>
    </w:tblPr>
    <w:tblGrid>
      <w:gridCol w:w="2693"/>
      <w:gridCol w:w="4536"/>
    </w:tblGrid>
    <w:tr w:rsidR="003270D5" w:rsidTr="004561AC">
      <w:trPr>
        <w:trHeight w:val="227"/>
      </w:trPr>
      <w:tc>
        <w:tcPr>
          <w:tcW w:w="2693" w:type="dxa"/>
        </w:tcPr>
        <w:p w:rsidR="003270D5" w:rsidRPr="004561AC" w:rsidRDefault="003270D5" w:rsidP="004561AC">
          <w:pPr>
            <w:jc w:val="right"/>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Recurso de Revisión:</w:t>
          </w:r>
        </w:p>
      </w:tc>
      <w:tc>
        <w:tcPr>
          <w:tcW w:w="4536" w:type="dxa"/>
        </w:tcPr>
        <w:p w:rsidR="003270D5" w:rsidRPr="004561AC" w:rsidRDefault="003270D5" w:rsidP="004561AC">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4561AC">
            <w:rPr>
              <w:rFonts w:ascii="Palatino Linotype" w:eastAsia="Palatino Linotype" w:hAnsi="Palatino Linotype" w:cs="Palatino Linotype"/>
              <w:color w:val="000000" w:themeColor="text1"/>
            </w:rPr>
            <w:t>06218/INFOEM/IP/RR/2025</w:t>
          </w:r>
        </w:p>
      </w:tc>
    </w:tr>
    <w:tr w:rsidR="003270D5" w:rsidTr="004561AC">
      <w:trPr>
        <w:trHeight w:val="342"/>
      </w:trPr>
      <w:tc>
        <w:tcPr>
          <w:tcW w:w="2693" w:type="dxa"/>
        </w:tcPr>
        <w:p w:rsidR="003270D5" w:rsidRPr="004561AC" w:rsidRDefault="003270D5" w:rsidP="004561AC">
          <w:pPr>
            <w:jc w:val="right"/>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Sujeto Obligado:</w:t>
          </w:r>
        </w:p>
      </w:tc>
      <w:tc>
        <w:tcPr>
          <w:tcW w:w="4536" w:type="dxa"/>
        </w:tcPr>
        <w:p w:rsidR="003270D5" w:rsidRPr="004561AC" w:rsidRDefault="003270D5" w:rsidP="004561AC">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4561AC">
            <w:rPr>
              <w:rFonts w:ascii="Palatino Linotype" w:eastAsia="Palatino Linotype" w:hAnsi="Palatino Linotype" w:cs="Palatino Linotype"/>
              <w:color w:val="000000" w:themeColor="text1"/>
            </w:rPr>
            <w:t>Ayuntamiento de Chalco</w:t>
          </w:r>
        </w:p>
      </w:tc>
    </w:tr>
    <w:tr w:rsidR="003270D5" w:rsidTr="004561AC">
      <w:trPr>
        <w:trHeight w:val="342"/>
      </w:trPr>
      <w:tc>
        <w:tcPr>
          <w:tcW w:w="2693" w:type="dxa"/>
        </w:tcPr>
        <w:p w:rsidR="003270D5" w:rsidRPr="004561AC" w:rsidRDefault="003270D5" w:rsidP="004561AC">
          <w:pPr>
            <w:jc w:val="right"/>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Comisionada Ponente:</w:t>
          </w:r>
        </w:p>
      </w:tc>
      <w:tc>
        <w:tcPr>
          <w:tcW w:w="4536" w:type="dxa"/>
        </w:tcPr>
        <w:p w:rsidR="003270D5" w:rsidRPr="004561AC" w:rsidRDefault="003270D5" w:rsidP="004561AC">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María del Rosario Mejía Ayala</w:t>
          </w:r>
        </w:p>
      </w:tc>
    </w:tr>
  </w:tbl>
  <w:p w:rsidR="003270D5" w:rsidRDefault="00260B19">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087" w:type="dxa"/>
      <w:tblInd w:w="3261" w:type="dxa"/>
      <w:tblLayout w:type="fixed"/>
      <w:tblLook w:val="0400" w:firstRow="0" w:lastRow="0" w:firstColumn="0" w:lastColumn="0" w:noHBand="0" w:noVBand="1"/>
    </w:tblPr>
    <w:tblGrid>
      <w:gridCol w:w="2693"/>
      <w:gridCol w:w="4394"/>
    </w:tblGrid>
    <w:tr w:rsidR="004561AC" w:rsidRPr="004561AC" w:rsidTr="004561AC">
      <w:trPr>
        <w:trHeight w:val="227"/>
      </w:trPr>
      <w:tc>
        <w:tcPr>
          <w:tcW w:w="2693" w:type="dxa"/>
        </w:tcPr>
        <w:p w:rsidR="003270D5" w:rsidRPr="004561AC" w:rsidRDefault="003270D5" w:rsidP="004561AC">
          <w:pPr>
            <w:jc w:val="right"/>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Recurso de Revisión:</w:t>
          </w:r>
        </w:p>
      </w:tc>
      <w:tc>
        <w:tcPr>
          <w:tcW w:w="4394" w:type="dxa"/>
        </w:tcPr>
        <w:p w:rsidR="003270D5" w:rsidRPr="004561AC" w:rsidRDefault="003270D5" w:rsidP="004561AC">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4561AC">
            <w:rPr>
              <w:rFonts w:ascii="Palatino Linotype" w:eastAsia="Palatino Linotype" w:hAnsi="Palatino Linotype" w:cs="Palatino Linotype"/>
              <w:color w:val="000000" w:themeColor="text1"/>
            </w:rPr>
            <w:t>06218/INFOEM/IP/RR/2025</w:t>
          </w:r>
        </w:p>
      </w:tc>
    </w:tr>
    <w:tr w:rsidR="004561AC" w:rsidRPr="004561AC" w:rsidTr="004561AC">
      <w:trPr>
        <w:trHeight w:val="242"/>
      </w:trPr>
      <w:tc>
        <w:tcPr>
          <w:tcW w:w="2693" w:type="dxa"/>
        </w:tcPr>
        <w:p w:rsidR="003270D5" w:rsidRPr="004561AC" w:rsidRDefault="003270D5" w:rsidP="004561AC">
          <w:pPr>
            <w:jc w:val="right"/>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Recurrente:</w:t>
          </w:r>
        </w:p>
      </w:tc>
      <w:tc>
        <w:tcPr>
          <w:tcW w:w="4394" w:type="dxa"/>
        </w:tcPr>
        <w:p w:rsidR="003270D5" w:rsidRPr="004561AC" w:rsidRDefault="00707969" w:rsidP="004561AC">
          <w:pPr>
            <w:ind w:right="-70"/>
            <w:rPr>
              <w:color w:val="000000" w:themeColor="text1"/>
            </w:rPr>
          </w:pPr>
          <w:r>
            <w:rPr>
              <w:rFonts w:ascii="Palatino Linotype" w:eastAsia="Palatino Linotype" w:hAnsi="Palatino Linotype" w:cs="Palatino Linotype"/>
              <w:color w:val="000000" w:themeColor="text1"/>
            </w:rPr>
            <w:t>XXXX</w:t>
          </w:r>
        </w:p>
      </w:tc>
    </w:tr>
    <w:tr w:rsidR="004561AC" w:rsidRPr="004561AC" w:rsidTr="004561AC">
      <w:trPr>
        <w:trHeight w:val="342"/>
      </w:trPr>
      <w:tc>
        <w:tcPr>
          <w:tcW w:w="2693" w:type="dxa"/>
        </w:tcPr>
        <w:p w:rsidR="003270D5" w:rsidRPr="004561AC" w:rsidRDefault="003270D5" w:rsidP="004561AC">
          <w:pPr>
            <w:jc w:val="right"/>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Sujeto Obligado:</w:t>
          </w:r>
        </w:p>
      </w:tc>
      <w:tc>
        <w:tcPr>
          <w:tcW w:w="4394" w:type="dxa"/>
        </w:tcPr>
        <w:p w:rsidR="003270D5" w:rsidRPr="004561AC" w:rsidRDefault="003270D5" w:rsidP="004561AC">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4561AC">
            <w:rPr>
              <w:rFonts w:ascii="Palatino Linotype" w:eastAsia="Palatino Linotype" w:hAnsi="Palatino Linotype" w:cs="Palatino Linotype"/>
              <w:color w:val="000000" w:themeColor="text1"/>
            </w:rPr>
            <w:t>Ayuntamiento de Chalco</w:t>
          </w:r>
        </w:p>
      </w:tc>
    </w:tr>
    <w:tr w:rsidR="004561AC" w:rsidRPr="004561AC" w:rsidTr="004561AC">
      <w:trPr>
        <w:trHeight w:val="342"/>
      </w:trPr>
      <w:tc>
        <w:tcPr>
          <w:tcW w:w="2693" w:type="dxa"/>
        </w:tcPr>
        <w:p w:rsidR="003270D5" w:rsidRPr="004561AC" w:rsidRDefault="003270D5" w:rsidP="004561AC">
          <w:pPr>
            <w:jc w:val="right"/>
            <w:rPr>
              <w:rFonts w:ascii="Palatino Linotype" w:eastAsia="Palatino Linotype" w:hAnsi="Palatino Linotype" w:cs="Palatino Linotype"/>
              <w:b/>
              <w:color w:val="000000" w:themeColor="text1"/>
            </w:rPr>
          </w:pPr>
          <w:r w:rsidRPr="004561AC">
            <w:rPr>
              <w:rFonts w:ascii="Palatino Linotype" w:eastAsia="Palatino Linotype" w:hAnsi="Palatino Linotype" w:cs="Palatino Linotype"/>
              <w:b/>
              <w:color w:val="000000" w:themeColor="text1"/>
            </w:rPr>
            <w:t>Comisionada Ponente:</w:t>
          </w:r>
        </w:p>
      </w:tc>
      <w:tc>
        <w:tcPr>
          <w:tcW w:w="4394" w:type="dxa"/>
        </w:tcPr>
        <w:p w:rsidR="003270D5" w:rsidRPr="004561AC" w:rsidRDefault="003270D5" w:rsidP="004561AC">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4561AC">
            <w:rPr>
              <w:rFonts w:ascii="Palatino Linotype" w:eastAsia="Palatino Linotype" w:hAnsi="Palatino Linotype" w:cs="Palatino Linotype"/>
              <w:color w:val="000000" w:themeColor="text1"/>
            </w:rPr>
            <w:t>María del Rosario Mejía Ayala</w:t>
          </w:r>
        </w:p>
      </w:tc>
    </w:tr>
  </w:tbl>
  <w:p w:rsidR="003270D5" w:rsidRDefault="00260B19">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15.9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16826"/>
    <w:multiLevelType w:val="multilevel"/>
    <w:tmpl w:val="7A78F2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F1316B"/>
    <w:multiLevelType w:val="multilevel"/>
    <w:tmpl w:val="3E2A1F48"/>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2F503A53"/>
    <w:multiLevelType w:val="hybridMultilevel"/>
    <w:tmpl w:val="35C09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1A427E"/>
    <w:multiLevelType w:val="multilevel"/>
    <w:tmpl w:val="2E560958"/>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AE1173"/>
    <w:multiLevelType w:val="multilevel"/>
    <w:tmpl w:val="17268E56"/>
    <w:lvl w:ilvl="0">
      <w:start w:val="1"/>
      <w:numFmt w:val="decimal"/>
      <w:pStyle w:val="Listaconvietas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CE574B8"/>
    <w:multiLevelType w:val="multilevel"/>
    <w:tmpl w:val="119AA7E2"/>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4C78D7"/>
    <w:multiLevelType w:val="multilevel"/>
    <w:tmpl w:val="37B0A932"/>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9" w15:restartNumberingAfterBreak="0">
    <w:nsid w:val="79E51494"/>
    <w:multiLevelType w:val="multilevel"/>
    <w:tmpl w:val="2B861DF6"/>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4"/>
  </w:num>
  <w:num w:numId="4">
    <w:abstractNumId w:val="0"/>
  </w:num>
  <w:num w:numId="5">
    <w:abstractNumId w:val="6"/>
  </w:num>
  <w:num w:numId="6">
    <w:abstractNumId w:val="9"/>
  </w:num>
  <w:num w:numId="7">
    <w:abstractNumId w:val="10"/>
  </w:num>
  <w:num w:numId="8">
    <w:abstractNumId w:val="1"/>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9F"/>
    <w:rsid w:val="00040696"/>
    <w:rsid w:val="00047B6E"/>
    <w:rsid w:val="00051DB3"/>
    <w:rsid w:val="00081C7B"/>
    <w:rsid w:val="000A2729"/>
    <w:rsid w:val="000C02F0"/>
    <w:rsid w:val="00182507"/>
    <w:rsid w:val="001C4E9C"/>
    <w:rsid w:val="001E1519"/>
    <w:rsid w:val="001E21FA"/>
    <w:rsid w:val="001E7750"/>
    <w:rsid w:val="0020369F"/>
    <w:rsid w:val="00222BB8"/>
    <w:rsid w:val="00223D8C"/>
    <w:rsid w:val="00235146"/>
    <w:rsid w:val="00260B19"/>
    <w:rsid w:val="00313AD6"/>
    <w:rsid w:val="003270D5"/>
    <w:rsid w:val="00336A76"/>
    <w:rsid w:val="00340302"/>
    <w:rsid w:val="003502FB"/>
    <w:rsid w:val="00356E38"/>
    <w:rsid w:val="003A706A"/>
    <w:rsid w:val="003C42A2"/>
    <w:rsid w:val="003E20E4"/>
    <w:rsid w:val="003F6904"/>
    <w:rsid w:val="00422664"/>
    <w:rsid w:val="00425C9F"/>
    <w:rsid w:val="004561AC"/>
    <w:rsid w:val="004567C6"/>
    <w:rsid w:val="00467010"/>
    <w:rsid w:val="004A0017"/>
    <w:rsid w:val="004C0A81"/>
    <w:rsid w:val="004C313C"/>
    <w:rsid w:val="004E253B"/>
    <w:rsid w:val="004E58C5"/>
    <w:rsid w:val="004E5A07"/>
    <w:rsid w:val="00532B16"/>
    <w:rsid w:val="00566A8D"/>
    <w:rsid w:val="00576CB4"/>
    <w:rsid w:val="00581B9F"/>
    <w:rsid w:val="005D1091"/>
    <w:rsid w:val="005F595F"/>
    <w:rsid w:val="006231BD"/>
    <w:rsid w:val="006671FF"/>
    <w:rsid w:val="006A1940"/>
    <w:rsid w:val="006C65A1"/>
    <w:rsid w:val="006D06A5"/>
    <w:rsid w:val="00707969"/>
    <w:rsid w:val="007132B0"/>
    <w:rsid w:val="00713B17"/>
    <w:rsid w:val="00715FA1"/>
    <w:rsid w:val="0072564E"/>
    <w:rsid w:val="00734E59"/>
    <w:rsid w:val="00735BD0"/>
    <w:rsid w:val="00750067"/>
    <w:rsid w:val="007749AF"/>
    <w:rsid w:val="00822E55"/>
    <w:rsid w:val="008273A5"/>
    <w:rsid w:val="008640EF"/>
    <w:rsid w:val="008A6366"/>
    <w:rsid w:val="008D26E0"/>
    <w:rsid w:val="008F6BC1"/>
    <w:rsid w:val="00944462"/>
    <w:rsid w:val="00956795"/>
    <w:rsid w:val="009A4458"/>
    <w:rsid w:val="009F4535"/>
    <w:rsid w:val="00A01B98"/>
    <w:rsid w:val="00A04035"/>
    <w:rsid w:val="00A66B4F"/>
    <w:rsid w:val="00A84C20"/>
    <w:rsid w:val="00AE599A"/>
    <w:rsid w:val="00AE7365"/>
    <w:rsid w:val="00AF2FE6"/>
    <w:rsid w:val="00AF4EDA"/>
    <w:rsid w:val="00AF7789"/>
    <w:rsid w:val="00B316B3"/>
    <w:rsid w:val="00B443DE"/>
    <w:rsid w:val="00B47ABA"/>
    <w:rsid w:val="00C16E26"/>
    <w:rsid w:val="00C23A62"/>
    <w:rsid w:val="00C82C11"/>
    <w:rsid w:val="00CE1AD2"/>
    <w:rsid w:val="00D01A41"/>
    <w:rsid w:val="00D063FC"/>
    <w:rsid w:val="00D200A6"/>
    <w:rsid w:val="00D8022C"/>
    <w:rsid w:val="00DA04E4"/>
    <w:rsid w:val="00DB0FCF"/>
    <w:rsid w:val="00E549DC"/>
    <w:rsid w:val="00E863C6"/>
    <w:rsid w:val="00E96D2A"/>
    <w:rsid w:val="00EC70A1"/>
    <w:rsid w:val="00ED2A56"/>
    <w:rsid w:val="00ED73EC"/>
    <w:rsid w:val="00F26C65"/>
    <w:rsid w:val="00F3528A"/>
    <w:rsid w:val="00F50399"/>
    <w:rsid w:val="00F61646"/>
    <w:rsid w:val="00F83F9D"/>
    <w:rsid w:val="00FE0B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E24B8E4-E60E-4B9C-B336-80824515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0"/>
    <w:tblPr>
      <w:tblStyleRowBandSize w:val="1"/>
      <w:tblStyleColBandSize w:val="1"/>
      <w:tblCellMar>
        <w:left w:w="70" w:type="dxa"/>
        <w:right w:w="70" w:type="dxa"/>
      </w:tblCellMar>
    </w:tblPr>
  </w:style>
  <w:style w:type="table" w:customStyle="1" w:styleId="12">
    <w:name w:val="12"/>
    <w:basedOn w:val="TableNormal10"/>
    <w:tblPr>
      <w:tblStyleRowBandSize w:val="1"/>
      <w:tblStyleColBandSize w:val="1"/>
      <w:tblCellMar>
        <w:left w:w="70" w:type="dxa"/>
        <w:right w:w="70" w:type="dxa"/>
      </w:tblCellMar>
    </w:tblPr>
  </w:style>
  <w:style w:type="table" w:customStyle="1" w:styleId="11">
    <w:name w:val="11"/>
    <w:basedOn w:val="TableNormal10"/>
    <w:tblPr>
      <w:tblStyleRowBandSize w:val="1"/>
      <w:tblStyleColBandSize w:val="1"/>
      <w:tblCellMar>
        <w:left w:w="115" w:type="dxa"/>
        <w:right w:w="115" w:type="dxa"/>
      </w:tblCellMar>
    </w:tblPr>
  </w:style>
  <w:style w:type="table" w:customStyle="1" w:styleId="10">
    <w:name w:val="10"/>
    <w:basedOn w:val="TableNormal10"/>
    <w:tblPr>
      <w:tblStyleRowBandSize w:val="1"/>
      <w:tblStyleColBandSize w:val="1"/>
      <w:tblCellMar>
        <w:left w:w="70" w:type="dxa"/>
        <w:right w:w="70" w:type="dxa"/>
      </w:tblCellMar>
    </w:tblPr>
  </w:style>
  <w:style w:type="table" w:customStyle="1" w:styleId="9">
    <w:name w:val="9"/>
    <w:basedOn w:val="TableNormal1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6256">
      <w:bodyDiv w:val="1"/>
      <w:marLeft w:val="0"/>
      <w:marRight w:val="0"/>
      <w:marTop w:val="0"/>
      <w:marBottom w:val="0"/>
      <w:divBdr>
        <w:top w:val="none" w:sz="0" w:space="0" w:color="auto"/>
        <w:left w:val="none" w:sz="0" w:space="0" w:color="auto"/>
        <w:bottom w:val="none" w:sz="0" w:space="0" w:color="auto"/>
        <w:right w:val="none" w:sz="0" w:space="0" w:color="auto"/>
      </w:divBdr>
    </w:div>
    <w:div w:id="739988881">
      <w:bodyDiv w:val="1"/>
      <w:marLeft w:val="0"/>
      <w:marRight w:val="0"/>
      <w:marTop w:val="0"/>
      <w:marBottom w:val="0"/>
      <w:divBdr>
        <w:top w:val="none" w:sz="0" w:space="0" w:color="auto"/>
        <w:left w:val="none" w:sz="0" w:space="0" w:color="auto"/>
        <w:bottom w:val="none" w:sz="0" w:space="0" w:color="auto"/>
        <w:right w:val="none" w:sz="0" w:space="0" w:color="auto"/>
      </w:divBdr>
    </w:div>
    <w:div w:id="977028062">
      <w:bodyDiv w:val="1"/>
      <w:marLeft w:val="0"/>
      <w:marRight w:val="0"/>
      <w:marTop w:val="0"/>
      <w:marBottom w:val="0"/>
      <w:divBdr>
        <w:top w:val="none" w:sz="0" w:space="0" w:color="auto"/>
        <w:left w:val="none" w:sz="0" w:space="0" w:color="auto"/>
        <w:bottom w:val="none" w:sz="0" w:space="0" w:color="auto"/>
        <w:right w:val="none" w:sz="0" w:space="0" w:color="auto"/>
      </w:divBdr>
    </w:div>
    <w:div w:id="1080524442">
      <w:bodyDiv w:val="1"/>
      <w:marLeft w:val="0"/>
      <w:marRight w:val="0"/>
      <w:marTop w:val="0"/>
      <w:marBottom w:val="0"/>
      <w:divBdr>
        <w:top w:val="none" w:sz="0" w:space="0" w:color="auto"/>
        <w:left w:val="none" w:sz="0" w:space="0" w:color="auto"/>
        <w:bottom w:val="none" w:sz="0" w:space="0" w:color="auto"/>
        <w:right w:val="none" w:sz="0" w:space="0" w:color="auto"/>
      </w:divBdr>
    </w:div>
    <w:div w:id="1160736498">
      <w:bodyDiv w:val="1"/>
      <w:marLeft w:val="0"/>
      <w:marRight w:val="0"/>
      <w:marTop w:val="0"/>
      <w:marBottom w:val="0"/>
      <w:divBdr>
        <w:top w:val="none" w:sz="0" w:space="0" w:color="auto"/>
        <w:left w:val="none" w:sz="0" w:space="0" w:color="auto"/>
        <w:bottom w:val="none" w:sz="0" w:space="0" w:color="auto"/>
        <w:right w:val="none" w:sz="0" w:space="0" w:color="auto"/>
      </w:divBdr>
    </w:div>
    <w:div w:id="1205100257">
      <w:bodyDiv w:val="1"/>
      <w:marLeft w:val="0"/>
      <w:marRight w:val="0"/>
      <w:marTop w:val="0"/>
      <w:marBottom w:val="0"/>
      <w:divBdr>
        <w:top w:val="none" w:sz="0" w:space="0" w:color="auto"/>
        <w:left w:val="none" w:sz="0" w:space="0" w:color="auto"/>
        <w:bottom w:val="none" w:sz="0" w:space="0" w:color="auto"/>
        <w:right w:val="none" w:sz="0" w:space="0" w:color="auto"/>
      </w:divBdr>
    </w:div>
    <w:div w:id="1292059358">
      <w:bodyDiv w:val="1"/>
      <w:marLeft w:val="0"/>
      <w:marRight w:val="0"/>
      <w:marTop w:val="0"/>
      <w:marBottom w:val="0"/>
      <w:divBdr>
        <w:top w:val="none" w:sz="0" w:space="0" w:color="auto"/>
        <w:left w:val="none" w:sz="0" w:space="0" w:color="auto"/>
        <w:bottom w:val="none" w:sz="0" w:space="0" w:color="auto"/>
        <w:right w:val="none" w:sz="0" w:space="0" w:color="auto"/>
      </w:divBdr>
    </w:div>
    <w:div w:id="1565334870">
      <w:bodyDiv w:val="1"/>
      <w:marLeft w:val="0"/>
      <w:marRight w:val="0"/>
      <w:marTop w:val="0"/>
      <w:marBottom w:val="0"/>
      <w:divBdr>
        <w:top w:val="none" w:sz="0" w:space="0" w:color="auto"/>
        <w:left w:val="none" w:sz="0" w:space="0" w:color="auto"/>
        <w:bottom w:val="none" w:sz="0" w:space="0" w:color="auto"/>
        <w:right w:val="none" w:sz="0" w:space="0" w:color="auto"/>
      </w:divBdr>
    </w:div>
    <w:div w:id="1679649453">
      <w:bodyDiv w:val="1"/>
      <w:marLeft w:val="0"/>
      <w:marRight w:val="0"/>
      <w:marTop w:val="0"/>
      <w:marBottom w:val="0"/>
      <w:divBdr>
        <w:top w:val="none" w:sz="0" w:space="0" w:color="auto"/>
        <w:left w:val="none" w:sz="0" w:space="0" w:color="auto"/>
        <w:bottom w:val="none" w:sz="0" w:space="0" w:color="auto"/>
        <w:right w:val="none" w:sz="0" w:space="0" w:color="auto"/>
      </w:divBdr>
    </w:div>
    <w:div w:id="1941061204">
      <w:bodyDiv w:val="1"/>
      <w:marLeft w:val="0"/>
      <w:marRight w:val="0"/>
      <w:marTop w:val="0"/>
      <w:marBottom w:val="0"/>
      <w:divBdr>
        <w:top w:val="none" w:sz="0" w:space="0" w:color="auto"/>
        <w:left w:val="none" w:sz="0" w:space="0" w:color="auto"/>
        <w:bottom w:val="none" w:sz="0" w:space="0" w:color="auto"/>
        <w:right w:val="none" w:sz="0" w:space="0" w:color="auto"/>
      </w:divBdr>
    </w:div>
    <w:div w:id="2025011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xJ2bfdrAUwspjBAdOHgwnKuWdw==">CgMxLjAyCGguZ2pkZ3hzMgloLjMwajB6bGwyCWguMWZvYjl0ZTIJaC4zem55c2g3MgloLjJldDkycDAyCWguMXQzaDVzZjIJaC4xa3N2NHV2MgloLjNyZGNyam4yCGgubG54Yno5OAByITFpVC1DNmFoV0wwbUJPSmFvLTBJVXpndDJkNm9mNXduaw==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29</Pages>
  <Words>7681</Words>
  <Characters>42246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39</cp:revision>
  <cp:lastPrinted>2025-11-21T19:40:00Z</cp:lastPrinted>
  <dcterms:created xsi:type="dcterms:W3CDTF">2025-11-11T22:06:00Z</dcterms:created>
  <dcterms:modified xsi:type="dcterms:W3CDTF">2025-12-01T17:32:00Z</dcterms:modified>
</cp:coreProperties>
</file>