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veintitrés de abril de dos mil veinticinco.</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02094/INFOEM/IP/RR/2025</w:t>
      </w:r>
      <w:r w:rsidDel="00000000" w:rsidR="00000000" w:rsidRPr="00000000">
        <w:rPr>
          <w:rFonts w:ascii="Palatino Linotype" w:cs="Palatino Linotype" w:eastAsia="Palatino Linotype" w:hAnsi="Palatino Linotype"/>
          <w:sz w:val="22"/>
          <w:szCs w:val="22"/>
          <w:rtl w:val="0"/>
        </w:rPr>
        <w:t xml:space="preserve">, por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interpuesto por</w:t>
      </w:r>
      <w:r w:rsidDel="00000000" w:rsidR="00000000" w:rsidRPr="00000000">
        <w:rPr>
          <w:rFonts w:ascii="Palatino Linotype" w:cs="Palatino Linotype" w:eastAsia="Palatino Linotype" w:hAnsi="Palatino Linotype"/>
          <w:b w:val="1"/>
          <w:sz w:val="22"/>
          <w:szCs w:val="22"/>
          <w:rtl w:val="0"/>
        </w:rPr>
        <w:t xml:space="preserve"> un Usuario del Sistema de acceso a la Información Mexiquense que no proporcionó su nombre,</w:t>
      </w:r>
      <w:r w:rsidDel="00000000" w:rsidR="00000000" w:rsidRPr="00000000">
        <w:rPr>
          <w:rFonts w:ascii="Palatino Linotype" w:cs="Palatino Linotype" w:eastAsia="Palatino Linotype" w:hAnsi="Palatino Linotype"/>
          <w:sz w:val="22"/>
          <w:szCs w:val="22"/>
          <w:rtl w:val="0"/>
        </w:rPr>
        <w:t xml:space="preserve"> en lo sucesivo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Ayuntamiento de Atizapán,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sz w:val="22"/>
          <w:szCs w:val="22"/>
          <w:rtl w:val="0"/>
        </w:rPr>
        <w:t xml:space="preserve">veinticuatro de enero de dos mil veinticinco</w:t>
      </w:r>
      <w:r w:rsidDel="00000000" w:rsidR="00000000" w:rsidRPr="00000000">
        <w:rPr>
          <w:rFonts w:ascii="Palatino Linotype" w:cs="Palatino Linotype" w:eastAsia="Palatino Linotype" w:hAnsi="Palatino Linotype"/>
          <w:sz w:val="22"/>
          <w:szCs w:val="22"/>
          <w:rtl w:val="0"/>
        </w:rPr>
        <w:t xml:space="preserve">, el Recurrente formuló una solicitud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00037/ATIZAPAN/IP/2025,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r w:rsidDel="00000000" w:rsidR="00000000" w:rsidRPr="00000000">
        <w:rPr>
          <w:rtl w:val="0"/>
        </w:rPr>
      </w:r>
    </w:p>
    <w:p w:rsidR="00000000" w:rsidDel="00000000" w:rsidP="00000000" w:rsidRDefault="00000000" w:rsidRPr="00000000" w14:paraId="00000005">
      <w:pPr>
        <w:spacing w:before="240" w:lineRule="auto"/>
        <w:ind w:left="567" w:right="616"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Titulo y cédula profesional del Presidente Municipal, ya que en sus redes sociales se ostenta como licenciado Así como certificado de estudios de la universidad para saber su promedio y si es competente para el puesto que tiene</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6">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 SAIMEX.</w:t>
      </w:r>
    </w:p>
    <w:p w:rsidR="00000000" w:rsidDel="00000000" w:rsidP="00000000" w:rsidRDefault="00000000" w:rsidRPr="00000000" w14:paraId="000000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catorce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“AJUNTO INFORMACION SOLICITADA</w:t>
      </w:r>
    </w:p>
    <w:p w:rsidR="00000000" w:rsidDel="00000000" w:rsidP="00000000" w:rsidRDefault="00000000" w:rsidRPr="00000000" w14:paraId="0000000B">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FATIMA BECERRIL AVILA” (Sic)</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240" w:line="360" w:lineRule="auto"/>
        <w:ind w:right="49"/>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El Sujeto Obligado adjuntó el documento electrónico siguiente: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GOBIERNO MUNICIPAL DE ATIZAPÁN, MÉXICO(5).pdf: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ATZ/PM/065/2025 de fecha 13 de febrero de dos mil veinticinco suscrito por la Tesorería Municipal mediante el cual envía copia simple y testada del título profesional y cédula profesional. Asimismo, indicó que el certificado de estudios es considerado una información confidencial por lo cual basándonos en el artículo 116 de la ley general de transparencia y acceso a la información pública no se les proporciona dicha información.</w:t>
      </w:r>
      <w:r w:rsidDel="00000000" w:rsidR="00000000" w:rsidRPr="00000000">
        <w:rPr>
          <w:rtl w:val="0"/>
        </w:rPr>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veintiséis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febrero del año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tabs>
          <w:tab w:val="left" w:leader="none" w:pos="2745"/>
        </w:tabs>
        <w:spacing w:before="240" w:line="360" w:lineRule="auto"/>
        <w:ind w:left="720" w:hanging="36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respuesta” (Sic)</w:t>
      </w:r>
    </w:p>
    <w:p w:rsidR="00000000" w:rsidDel="00000000" w:rsidP="00000000" w:rsidRDefault="00000000" w:rsidRPr="00000000" w14:paraId="00000013">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Y Razones o motivos de inconformidad</w:t>
      </w:r>
      <w:r w:rsidDel="00000000" w:rsidR="00000000" w:rsidRPr="00000000">
        <w:rPr>
          <w:rFonts w:ascii="Palatino Linotype" w:cs="Palatino Linotype" w:eastAsia="Palatino Linotype" w:hAnsi="Palatino Linotype"/>
          <w:color w:val="000000"/>
          <w:sz w:val="22"/>
          <w:szCs w:val="22"/>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720" w:right="902" w:firstLine="0"/>
        <w:jc w:val="both"/>
        <w:rPr>
          <w:rFonts w:ascii="Palatino Linotype" w:cs="Palatino Linotype" w:eastAsia="Palatino Linotype" w:hAnsi="Palatino Linotype"/>
          <w:i w:val="1"/>
          <w:color w:val="000000"/>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color w:val="000000"/>
          <w:sz w:val="22"/>
          <w:szCs w:val="22"/>
          <w:rtl w:val="0"/>
        </w:rPr>
        <w:t xml:space="preserve">“La respuesta es incompleta, ilegible y cubren datos sin entregar el fundamento” (Sic)</w:t>
      </w:r>
    </w:p>
    <w:p w:rsidR="00000000" w:rsidDel="00000000" w:rsidP="00000000" w:rsidRDefault="00000000" w:rsidRPr="00000000" w14:paraId="00000016">
      <w:pPr>
        <w:spacing w:before="240"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1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9">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sz w:val="22"/>
          <w:szCs w:val="22"/>
          <w:rtl w:val="0"/>
        </w:rPr>
        <w:t xml:space="preserve"> cuatro de marzo de dos mil veinticinco,</w:t>
      </w:r>
      <w:r w:rsidDel="00000000" w:rsidR="00000000" w:rsidRPr="00000000">
        <w:rPr>
          <w:rFonts w:ascii="Palatino Linotype" w:cs="Palatino Linotype" w:eastAsia="Palatino Linotype" w:hAnsi="Palatino Linotype"/>
          <w:b w:val="1"/>
          <w:color w:val="ff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sz w:val="22"/>
          <w:szCs w:val="22"/>
        </w:rPr>
      </w:pPr>
      <w:bookmarkStart w:colFirst="0" w:colLast="0" w:name="_heading=h.2s8eyo1" w:id="2"/>
      <w:bookmarkEnd w:id="2"/>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advierte que el Sujeto Obligado rindió su informe justificado el </w:t>
      </w:r>
      <w:r w:rsidDel="00000000" w:rsidR="00000000" w:rsidRPr="00000000">
        <w:rPr>
          <w:rFonts w:ascii="Palatino Linotype" w:cs="Palatino Linotype" w:eastAsia="Palatino Linotype" w:hAnsi="Palatino Linotype"/>
          <w:b w:val="1"/>
          <w:sz w:val="22"/>
          <w:szCs w:val="22"/>
          <w:rtl w:val="0"/>
        </w:rPr>
        <w:t xml:space="preserve">dieciocho de marzo de dos mil veinticinco</w:t>
      </w:r>
      <w:r w:rsidDel="00000000" w:rsidR="00000000" w:rsidRPr="00000000">
        <w:rPr>
          <w:rFonts w:ascii="Palatino Linotype" w:cs="Palatino Linotype" w:eastAsia="Palatino Linotype" w:hAnsi="Palatino Linotype"/>
          <w:sz w:val="22"/>
          <w:szCs w:val="22"/>
          <w:rtl w:val="0"/>
        </w:rPr>
        <w:t xml:space="preserve">, a través del cual se ratifica la respuesta inicial, adjuntando un título profesional y cédula profesional, el cual no se puso a la vista del particular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por dejarse a la vista la clave única de registro de población.</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de </w:t>
      </w:r>
      <w:r w:rsidDel="00000000" w:rsidR="00000000" w:rsidRPr="00000000">
        <w:rPr>
          <w:rFonts w:ascii="Palatino Linotype" w:cs="Palatino Linotype" w:eastAsia="Palatino Linotype" w:hAnsi="Palatino Linotype"/>
          <w:b w:val="1"/>
          <w:sz w:val="22"/>
          <w:szCs w:val="22"/>
          <w:rtl w:val="0"/>
        </w:rPr>
        <w:t xml:space="preserve">siete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abril de dos mil veinticinco,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D">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1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sz w:val="22"/>
          <w:szCs w:val="22"/>
        </w:rPr>
      </w:pPr>
      <w:bookmarkStart w:colFirst="0" w:colLast="0" w:name="_heading=h.tyjcwt" w:id="3"/>
      <w:bookmarkEnd w:id="3"/>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 </w:t>
      </w:r>
      <w:r w:rsidDel="00000000" w:rsidR="00000000" w:rsidRPr="00000000">
        <w:rPr>
          <w:rFonts w:ascii="Palatino Linotype" w:cs="Palatino Linotype" w:eastAsia="Palatino Linotype" w:hAnsi="Palatino Linotype"/>
          <w:sz w:val="22"/>
          <w:szCs w:val="22"/>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la Ley de Transparencia y Acceso a la Información Pública del Estado de México y Municipios, establece lo siguiente:</w:t>
      </w:r>
    </w:p>
    <w:p w:rsidR="00000000" w:rsidDel="00000000" w:rsidP="00000000" w:rsidRDefault="00000000" w:rsidRPr="00000000" w14:paraId="00000021">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2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catorce</w:t>
      </w:r>
      <w:r w:rsidDel="00000000" w:rsidR="00000000" w:rsidRPr="00000000">
        <w:rPr>
          <w:rFonts w:ascii="Palatino Linotype" w:cs="Palatino Linotype" w:eastAsia="Palatino Linotype" w:hAnsi="Palatino Linotype"/>
          <w:b w:val="1"/>
          <w:color w:val="ff0000"/>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febrero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veintiséis</w:t>
      </w:r>
      <w:r w:rsidDel="00000000" w:rsidR="00000000" w:rsidRPr="00000000">
        <w:rPr>
          <w:rFonts w:ascii="Palatino Linotype" w:cs="Palatino Linotype" w:eastAsia="Palatino Linotype" w:hAnsi="Palatino Linotype"/>
          <w:b w:val="1"/>
          <w:sz w:val="22"/>
          <w:szCs w:val="22"/>
          <w:rtl w:val="0"/>
        </w:rPr>
        <w:t xml:space="preserve"> de febrero del año dos mil veinticinco</w:t>
      </w:r>
      <w:r w:rsidDel="00000000" w:rsidR="00000000" w:rsidRPr="00000000">
        <w:rPr>
          <w:rFonts w:ascii="Palatino Linotype" w:cs="Palatino Linotype" w:eastAsia="Palatino Linotype" w:hAnsi="Palatino Linotype"/>
          <w:sz w:val="22"/>
          <w:szCs w:val="22"/>
          <w:rtl w:val="0"/>
        </w:rPr>
        <w:t xml:space="preserve">; esto es, al segundo día hábil siguiente al que se tuvo conocimiento de la respuesta.</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proporcionó su nombre</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24">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w:t>
      </w:r>
      <w:r w:rsidDel="00000000" w:rsidR="00000000" w:rsidRPr="00000000">
        <w:rPr>
          <w:rFonts w:ascii="Palatino Linotype" w:cs="Palatino Linotype" w:eastAsia="Palatino Linotype" w:hAnsi="Palatino Linotype"/>
          <w:i w:val="1"/>
          <w:sz w:val="22"/>
          <w:szCs w:val="22"/>
          <w:rtl w:val="0"/>
        </w:rPr>
        <w:t xml:space="preserve">anónimas, con </w:t>
      </w:r>
      <w:r w:rsidDel="00000000" w:rsidR="00000000" w:rsidRPr="00000000">
        <w:rPr>
          <w:rFonts w:ascii="Palatino Linotype" w:cs="Palatino Linotype" w:eastAsia="Palatino Linotype" w:hAnsi="Palatino Linotype"/>
          <w:b w:val="1"/>
          <w:i w:val="1"/>
          <w:sz w:val="22"/>
          <w:szCs w:val="22"/>
          <w:rtl w:val="0"/>
        </w:rPr>
        <w:t xml:space="preserve">nombre incompleto o seudónimo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2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II, V y IX de la ley de la materia, que a la letra dice:</w:t>
      </w:r>
    </w:p>
    <w:p w:rsidR="00000000" w:rsidDel="00000000" w:rsidP="00000000" w:rsidRDefault="00000000" w:rsidRPr="00000000" w14:paraId="00000027">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8">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9">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clasificación de la información;</w:t>
      </w:r>
    </w:p>
    <w:p w:rsidR="00000000" w:rsidDel="00000000" w:rsidP="00000000" w:rsidRDefault="00000000" w:rsidRPr="00000000" w14:paraId="0000002A">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B">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2C">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D">
      <w:pPr>
        <w:ind w:left="851"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E">
      <w:pPr>
        <w:ind w:left="851"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F">
      <w:pPr>
        <w:ind w:left="851"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0">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La negativa de la información solicitada;</w:t>
      </w:r>
    </w:p>
    <w:p w:rsidR="00000000" w:rsidDel="00000000" w:rsidP="00000000" w:rsidRDefault="00000000" w:rsidRPr="00000000" w14:paraId="00000031">
      <w:pPr>
        <w:ind w:left="851"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32">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Tercero. Materia de Revisión</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4">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5">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6">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B">
      <w:pPr>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C">
      <w:pPr>
        <w:ind w:left="567" w:right="75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3D">
      <w:pPr>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E">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sz w:val="22"/>
          <w:szCs w:val="22"/>
          <w:rtl w:val="0"/>
        </w:rPr>
        <w:t xml:space="preserve">sólo</w:t>
      </w:r>
      <w:r w:rsidDel="00000000" w:rsidR="00000000" w:rsidRPr="00000000">
        <w:rPr>
          <w:rFonts w:ascii="Palatino Linotype" w:cs="Palatino Linotype" w:eastAsia="Palatino Linotype" w:hAnsi="Palatino Linotype"/>
          <w:color w:val="000000"/>
          <w:sz w:val="22"/>
          <w:szCs w:val="22"/>
          <w:rtl w:val="0"/>
        </w:rPr>
        <w:t xml:space="preserve"> se </w:t>
      </w:r>
      <w:r w:rsidDel="00000000" w:rsidR="00000000" w:rsidRPr="00000000">
        <w:rPr>
          <w:rFonts w:ascii="Palatino Linotype" w:cs="Palatino Linotype" w:eastAsia="Palatino Linotype" w:hAnsi="Palatino Linotype"/>
          <w:sz w:val="22"/>
          <w:szCs w:val="22"/>
          <w:rtl w:val="0"/>
        </w:rPr>
        <w:t xml:space="preserve">concretarán</w:t>
      </w:r>
      <w:r w:rsidDel="00000000" w:rsidR="00000000" w:rsidRPr="00000000">
        <w:rPr>
          <w:rFonts w:ascii="Palatino Linotype" w:cs="Palatino Linotype" w:eastAsia="Palatino Linotype" w:hAnsi="Palatino Linotype"/>
          <w:color w:val="000000"/>
          <w:sz w:val="22"/>
          <w:szCs w:val="22"/>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F">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Sirve de apoyo a lo anterior, el criterio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sz w:val="22"/>
          <w:szCs w:val="22"/>
          <w:rtl w:val="0"/>
        </w:rPr>
        <w:t xml:space="preserve"> </w:t>
      </w:r>
    </w:p>
    <w:p w:rsidR="00000000" w:rsidDel="00000000" w:rsidP="00000000" w:rsidRDefault="00000000" w:rsidRPr="00000000" w14:paraId="00000041">
      <w:pPr>
        <w:ind w:left="851" w:right="85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2">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43">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w:t>
      </w:r>
    </w:p>
    <w:p w:rsidR="00000000" w:rsidDel="00000000" w:rsidP="00000000" w:rsidRDefault="00000000" w:rsidRPr="00000000" w14:paraId="00000044">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45">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46">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1889/16. Secretaría de Hacienda y Crédito Público. 05 de octubre de 2016. Por unanimidad. Comisionada Ponente. Ximena Puente de la Mora.”</w:t>
      </w:r>
    </w:p>
    <w:p w:rsidR="00000000" w:rsidDel="00000000" w:rsidP="00000000" w:rsidRDefault="00000000" w:rsidRPr="00000000" w14:paraId="00000047">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sz w:val="22"/>
          <w:szCs w:val="22"/>
          <w:rtl w:val="0"/>
        </w:rPr>
        <w:t xml:space="preserve">sólo proporcionarán la información pública que </w:t>
      </w:r>
      <w:r w:rsidDel="00000000" w:rsidR="00000000" w:rsidRPr="00000000">
        <w:rPr>
          <w:rFonts w:ascii="Palatino Linotype" w:cs="Palatino Linotype" w:eastAsia="Palatino Linotype" w:hAnsi="Palatino Linotype"/>
          <w:sz w:val="22"/>
          <w:szCs w:val="22"/>
          <w:rtl w:val="0"/>
        </w:rPr>
        <w:t xml:space="preserve">generen</w:t>
      </w:r>
      <w:r w:rsidDel="00000000" w:rsidR="00000000" w:rsidRPr="00000000">
        <w:rPr>
          <w:rFonts w:ascii="Palatino Linotype" w:cs="Palatino Linotype" w:eastAsia="Palatino Linotype" w:hAnsi="Palatino Linotype"/>
          <w:color w:val="000000"/>
          <w:sz w:val="22"/>
          <w:szCs w:val="22"/>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9">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D">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ind w:left="851"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1">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3">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5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8">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9">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el particular requirió al </w:t>
      </w:r>
      <w:r w:rsidDel="00000000" w:rsidR="00000000" w:rsidRPr="00000000">
        <w:rPr>
          <w:rFonts w:ascii="Palatino Linotype" w:cs="Palatino Linotype" w:eastAsia="Palatino Linotype" w:hAnsi="Palatino Linotype"/>
          <w:b w:val="1"/>
          <w:sz w:val="22"/>
          <w:szCs w:val="22"/>
          <w:rtl w:val="0"/>
        </w:rPr>
        <w:t xml:space="preserve">Ayuntamiento de Atizapán</w:t>
      </w:r>
      <w:r w:rsidDel="00000000" w:rsidR="00000000" w:rsidRPr="00000000">
        <w:rPr>
          <w:rFonts w:ascii="Palatino Linotype" w:cs="Palatino Linotype" w:eastAsia="Palatino Linotype" w:hAnsi="Palatino Linotype"/>
          <w:sz w:val="22"/>
          <w:szCs w:val="22"/>
          <w:rtl w:val="0"/>
        </w:rPr>
        <w:t xml:space="preserve">, la siguiente información del Presidente Municipal:</w:t>
      </w:r>
    </w:p>
    <w:p w:rsidR="00000000" w:rsidDel="00000000" w:rsidP="00000000" w:rsidRDefault="00000000" w:rsidRPr="00000000" w14:paraId="0000005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Título y cédula profesional; y,</w:t>
      </w:r>
    </w:p>
    <w:p w:rsidR="00000000" w:rsidDel="00000000" w:rsidP="00000000" w:rsidRDefault="00000000" w:rsidRPr="00000000" w14:paraId="0000005D">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Certificado de estudios de la universidad para saber su promedio y si es competente para el puesto que tiene.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5F">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Sujeto Obligado, a través del Tesorero Municipal remitió la siguiente información en versión pública:</w:t>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Cédula profesional;</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Título profesional </w:t>
      </w:r>
    </w:p>
    <w:p w:rsidR="00000000" w:rsidDel="00000000" w:rsidP="00000000" w:rsidRDefault="00000000" w:rsidRPr="00000000" w14:paraId="00000062">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precisar que, quien dio respuesta fue el Tesorero Municipal, por tal efecto, es necesario precisar que la Tesorería Municipal es el órgano encargado de la recaudación de los ingresos municipales y responsable de realizar las erogaciones que haga el Ayuntamiento, de acuerdo con la Ley Orgánica Municipal del Estado de México y el Bando Municipal de Atizapán, siendo sus atribuciones las siguientes:</w:t>
      </w:r>
    </w:p>
    <w:p w:rsidR="00000000" w:rsidDel="00000000" w:rsidP="00000000" w:rsidRDefault="00000000" w:rsidRPr="00000000" w14:paraId="00000063">
      <w:pPr>
        <w:spacing w:after="24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95.- Son atribuciones del tesorero municipal: </w:t>
      </w:r>
    </w:p>
    <w:p w:rsidR="00000000" w:rsidDel="00000000" w:rsidP="00000000" w:rsidRDefault="00000000" w:rsidRPr="00000000" w14:paraId="00000065">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Administrar la hacienda pública municipal, de conformidad con las disposiciones legales aplicables; </w:t>
      </w:r>
    </w:p>
    <w:p w:rsidR="00000000" w:rsidDel="00000000" w:rsidP="00000000" w:rsidRDefault="00000000" w:rsidRPr="00000000" w14:paraId="00000066">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000000" w:rsidDel="00000000" w:rsidP="00000000" w:rsidRDefault="00000000" w:rsidRPr="00000000" w14:paraId="00000067">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Imponer las sanciones administrativas que procedan por infracciones a las disposiciones fiscales; </w:t>
      </w:r>
    </w:p>
    <w:p w:rsidR="00000000" w:rsidDel="00000000" w:rsidP="00000000" w:rsidRDefault="00000000" w:rsidRPr="00000000" w14:paraId="00000068">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Llevar los registros contables, financieros y administrativos de los ingresos, egresos, e inventarios; </w:t>
      </w:r>
    </w:p>
    <w:p w:rsidR="00000000" w:rsidDel="00000000" w:rsidP="00000000" w:rsidRDefault="00000000" w:rsidRPr="00000000" w14:paraId="00000069">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Proporcionar oportunamente al ayuntamiento todos los datos o informes que sean necesarios para la formulación del Presupuesto de Egresos Municipales, vigilando que se ajuste a las disposiciones de esta Ley y otros ordenamientos aplicables;</w:t>
      </w:r>
    </w:p>
    <w:p w:rsidR="00000000" w:rsidDel="00000000" w:rsidP="00000000" w:rsidRDefault="00000000" w:rsidRPr="00000000" w14:paraId="0000006A">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Presentar anualmente al ayuntamiento un informe de la situación contable financiera de la Tesorería Municipal; </w:t>
      </w:r>
    </w:p>
    <w:p w:rsidR="00000000" w:rsidDel="00000000" w:rsidP="00000000" w:rsidRDefault="00000000" w:rsidRPr="00000000" w14:paraId="0000006B">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Bis. Proporcionar para la formulación del proyecto de Presupuesto de Egresos Municipales la información financiera relativa a la solución o en su caso, el pago de los litigios laborales; </w:t>
      </w:r>
    </w:p>
    <w:p w:rsidR="00000000" w:rsidDel="00000000" w:rsidP="00000000" w:rsidRDefault="00000000" w:rsidRPr="00000000" w14:paraId="0000006C">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Diseñar y aprobar las formas oficiales de manifestaciones, avisos y declaraciones y demás documentos requeridos; </w:t>
      </w:r>
    </w:p>
    <w:p w:rsidR="00000000" w:rsidDel="00000000" w:rsidP="00000000" w:rsidRDefault="00000000" w:rsidRPr="00000000" w14:paraId="0000006D">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Participar en la formulación de Convenios Fiscales y ejercer las atribuciones que le correspondan en el ámbito de su competencia; </w:t>
      </w:r>
    </w:p>
    <w:p w:rsidR="00000000" w:rsidDel="00000000" w:rsidP="00000000" w:rsidRDefault="00000000" w:rsidRPr="00000000" w14:paraId="0000006E">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Proponer al ayuntamiento la cancelación de cuentas incobrables; </w:t>
      </w:r>
    </w:p>
    <w:p w:rsidR="00000000" w:rsidDel="00000000" w:rsidP="00000000" w:rsidRDefault="00000000" w:rsidRPr="00000000" w14:paraId="0000006F">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Custodiar y ejercer las garantías que se otorguen en favor de la hacienda municipal; </w:t>
      </w:r>
    </w:p>
    <w:p w:rsidR="00000000" w:rsidDel="00000000" w:rsidP="00000000" w:rsidRDefault="00000000" w:rsidRPr="00000000" w14:paraId="00000070">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Proponer la política de ingresos de la tesorería municipal; </w:t>
      </w:r>
    </w:p>
    <w:p w:rsidR="00000000" w:rsidDel="00000000" w:rsidP="00000000" w:rsidRDefault="00000000" w:rsidRPr="00000000" w14:paraId="00000071">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Intervenir en la elaboración del programa financiero municipal; </w:t>
      </w:r>
    </w:p>
    <w:p w:rsidR="00000000" w:rsidDel="00000000" w:rsidP="00000000" w:rsidRDefault="00000000" w:rsidRPr="00000000" w14:paraId="00000072">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Elaborar y mantener actualizado el Padrón de Contribuyentes; </w:t>
      </w:r>
    </w:p>
    <w:p w:rsidR="00000000" w:rsidDel="00000000" w:rsidP="00000000" w:rsidRDefault="00000000" w:rsidRPr="00000000" w14:paraId="00000073">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Ministrar a su inmediato antecesor todos los datos oficiales que le solicitare, para contestar los pliegos de observaciones y alcances que formule y deduzca el Órgano Superior de Fiscalización del Estado de México; </w:t>
      </w:r>
    </w:p>
    <w:p w:rsidR="00000000" w:rsidDel="00000000" w:rsidP="00000000" w:rsidRDefault="00000000" w:rsidRPr="00000000" w14:paraId="00000074">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Solicitar a las instancias competentes, la práctica de revisiones circunstanciadas, de conformidad con las normas que rigen en materia de control y evaluación gubernamental en el ámbito municipal; </w:t>
      </w:r>
    </w:p>
    <w:p w:rsidR="00000000" w:rsidDel="00000000" w:rsidP="00000000" w:rsidRDefault="00000000" w:rsidRPr="00000000" w14:paraId="00000075">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Glosar oportunamente las cuentas del ayuntamiento; </w:t>
      </w:r>
    </w:p>
    <w:p w:rsidR="00000000" w:rsidDel="00000000" w:rsidP="00000000" w:rsidRDefault="00000000" w:rsidRPr="00000000" w14:paraId="00000076">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000000" w:rsidDel="00000000" w:rsidP="00000000" w:rsidRDefault="00000000" w:rsidRPr="00000000" w14:paraId="00000077">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Expedir copias certificadas de los documentos a su cuidado, por acuerdo expreso del Ayuntamiento y cuando se trate de documentación presentada ante el Órgano Superior de Fiscalización del Estado de México; </w:t>
      </w:r>
    </w:p>
    <w:p w:rsidR="00000000" w:rsidDel="00000000" w:rsidP="00000000" w:rsidRDefault="00000000" w:rsidRPr="00000000" w14:paraId="00000078">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000000" w:rsidDel="00000000" w:rsidP="00000000" w:rsidRDefault="00000000" w:rsidRPr="00000000" w14:paraId="00000079">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Dar cumplimiento a las leyes, convenios de coordinación fiscal y demás que en materia hacendaria celebre el Ayuntamiento con el Estado; </w:t>
      </w:r>
    </w:p>
    <w:p w:rsidR="00000000" w:rsidDel="00000000" w:rsidP="00000000" w:rsidRDefault="00000000" w:rsidRPr="00000000" w14:paraId="0000007A">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Entregar oportunamente a él o los Síndicos, según sea el caso, el informe mensual que corresponda, a fin de que se revise, y de ser necesario, para que se formulen las observaciones respectivas. </w:t>
      </w:r>
    </w:p>
    <w:p w:rsidR="00000000" w:rsidDel="00000000" w:rsidP="00000000" w:rsidRDefault="00000000" w:rsidRPr="00000000" w14:paraId="0000007B">
      <w:pPr>
        <w:spacing w:after="24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Las que les señalen las demás disposiciones legales y el ayuntamiento.</w:t>
      </w:r>
    </w:p>
    <w:p w:rsidR="00000000" w:rsidDel="00000000" w:rsidP="00000000" w:rsidRDefault="00000000" w:rsidRPr="00000000" w14:paraId="0000007C">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Tal y como se aprecia, a la Tesorería le compete administrar la hacienda pública y es el área encargada de ministrar el recurso público, así como llevar los registros contables correspondientes.</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al haber turnado la solicitud a la Tesorería Municipal, se advierte que el Sujeto Obligado no turnó la solicitud al área competente, incumpliendo con lo que disponen los artículos 151, 160, 162, 163, 164, 165 y 166, de la Ley de Transparencia y Acceso a la Información Pública del Estado de México y Municipios:</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080">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081">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082">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083">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084">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085">
      <w:pPr>
        <w:spacing w:line="360" w:lineRule="auto"/>
        <w:ind w:left="284" w:right="19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right="19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reitera que la Unidad de Transparencia no siguió el procedimiento que establece el artículo 162 de la Ley de Transparencia Local, ya que turnó la solicitud de información a la Tesorería Municipal, siendo esta un área que carece de facultades, atribuciones y competencias para generar, administrar o poseer la información relacionada con expedientes de personal.</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right="19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de recordar que el Recurrente solicitó información del Presidente Municipal, el cual ostenta un cargo de elección popular.</w:t>
      </w:r>
    </w:p>
    <w:p w:rsidR="00000000" w:rsidDel="00000000" w:rsidP="00000000" w:rsidRDefault="00000000" w:rsidRPr="00000000" w14:paraId="0000008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con el Sistema de Información Legislativa de la Secretaria de Gobernación (consultado en </w:t>
      </w:r>
      <w:hyperlink r:id="rId8">
        <w:r w:rsidDel="00000000" w:rsidR="00000000" w:rsidRPr="00000000">
          <w:rPr>
            <w:rFonts w:ascii="Palatino Linotype" w:cs="Palatino Linotype" w:eastAsia="Palatino Linotype" w:hAnsi="Palatino Linotype"/>
            <w:color w:val="0563c1"/>
            <w:sz w:val="22"/>
            <w:szCs w:val="22"/>
            <w:u w:val="single"/>
            <w:rtl w:val="0"/>
          </w:rPr>
          <w:t xml:space="preserve">http://sil.gobernacion.gob.mx/Glosario/definicionpop.php?ID=31</w:t>
        </w:r>
      </w:hyperlink>
      <w:r w:rsidDel="00000000" w:rsidR="00000000" w:rsidRPr="00000000">
        <w:rPr>
          <w:rFonts w:ascii="Palatino Linotype" w:cs="Palatino Linotype" w:eastAsia="Palatino Linotype" w:hAnsi="Palatino Linotype"/>
          <w:sz w:val="22"/>
          <w:szCs w:val="22"/>
          <w:rtl w:val="0"/>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rsidR="00000000" w:rsidDel="00000000" w:rsidP="00000000" w:rsidRDefault="00000000" w:rsidRPr="00000000" w14:paraId="0000008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rsidR="00000000" w:rsidDel="00000000" w:rsidP="00000000" w:rsidRDefault="00000000" w:rsidRPr="00000000" w14:paraId="0000008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rsidR="00000000" w:rsidDel="00000000" w:rsidP="00000000" w:rsidRDefault="00000000" w:rsidRPr="00000000" w14:paraId="0000009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de conformidad con el artículo 119 de la Constitución Política del Estado Libre y Soberano de México, para ser miembro propietario o suplente de un ayuntamiento se requiere: </w:t>
      </w:r>
    </w:p>
    <w:p w:rsidR="00000000" w:rsidDel="00000000" w:rsidP="00000000" w:rsidRDefault="00000000" w:rsidRPr="00000000" w14:paraId="0000009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119.-</w:t>
      </w:r>
      <w:r w:rsidDel="00000000" w:rsidR="00000000" w:rsidRPr="00000000">
        <w:rPr>
          <w:rFonts w:ascii="Palatino Linotype" w:cs="Palatino Linotype" w:eastAsia="Palatino Linotype" w:hAnsi="Palatino Linotype"/>
          <w:i w:val="1"/>
          <w:sz w:val="22"/>
          <w:szCs w:val="22"/>
          <w:rtl w:val="0"/>
        </w:rPr>
        <w:t xml:space="preserve"> Para ser miembro propietario o suplente de un ayuntamiento se requiere:</w:t>
      </w:r>
    </w:p>
    <w:p w:rsidR="00000000" w:rsidDel="00000000" w:rsidP="00000000" w:rsidRDefault="00000000" w:rsidRPr="00000000" w14:paraId="00000095">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Ser mexicano por nacimiento, ciudadano del Estado, en pleno ejercicio de sus derechos; </w:t>
      </w:r>
    </w:p>
    <w:p w:rsidR="00000000" w:rsidDel="00000000" w:rsidP="00000000" w:rsidRDefault="00000000" w:rsidRPr="00000000" w14:paraId="00000096">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Ser mexiquense con residencia efectiva en el municipio no menor a un año o vecino del mismo, con residencia efectiva en su territorio no menor a tres años, anteriores al día de la elección; y </w:t>
      </w:r>
    </w:p>
    <w:p w:rsidR="00000000" w:rsidDel="00000000" w:rsidP="00000000" w:rsidRDefault="00000000" w:rsidRPr="00000000" w14:paraId="00000097">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Ser de reconocida probidad y buena fama pública.</w:t>
      </w:r>
    </w:p>
    <w:p w:rsidR="00000000" w:rsidDel="00000000" w:rsidP="00000000" w:rsidRDefault="00000000" w:rsidRPr="00000000" w14:paraId="0000009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para ser miembro del Ayuntamiento, la Constitución Política únicamente, refiere lo siguiente: </w:t>
      </w:r>
    </w:p>
    <w:p w:rsidR="00000000" w:rsidDel="00000000" w:rsidP="00000000" w:rsidRDefault="00000000" w:rsidRPr="00000000" w14:paraId="0000009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spacing w:line="276" w:lineRule="auto"/>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114.-</w:t>
      </w:r>
      <w:r w:rsidDel="00000000" w:rsidR="00000000" w:rsidRPr="00000000">
        <w:rPr>
          <w:rFonts w:ascii="Palatino Linotype" w:cs="Palatino Linotype" w:eastAsia="Palatino Linotype" w:hAnsi="Palatino Linotype"/>
          <w:i w:val="1"/>
          <w:sz w:val="22"/>
          <w:szCs w:val="22"/>
          <w:rtl w:val="0"/>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spacing w:line="360" w:lineRule="auto"/>
        <w:ind w:right="49"/>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Del="00000000" w:rsidR="00000000" w:rsidRPr="00000000">
        <w:rPr>
          <w:rFonts w:ascii="Palatino Linotype" w:cs="Palatino Linotype" w:eastAsia="Palatino Linotype" w:hAnsi="Palatino Linotype"/>
          <w:b w:val="1"/>
          <w:sz w:val="22"/>
          <w:szCs w:val="22"/>
          <w:u w:val="single"/>
          <w:rtl w:val="0"/>
        </w:rPr>
        <w:t xml:space="preserve">se colige que no es obligatorio que los miembros del Ayuntamiento cuenten con requisitos específicos, como acreditar un grado de estudios determinado, así como su documentación comprobatoria. </w:t>
      </w:r>
    </w:p>
    <w:p w:rsidR="00000000" w:rsidDel="00000000" w:rsidP="00000000" w:rsidRDefault="00000000" w:rsidRPr="00000000" w14:paraId="0000009E">
      <w:pPr>
        <w:spacing w:line="360" w:lineRule="auto"/>
        <w:ind w:right="49"/>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9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Entonces, aún y cuando no es un requisito que los integrantes del Ayuntamiento cuenten con un grado de estudios determinado, el Sujeto Obligado proporcionó un título y cédula profesional donde se dejó a la vista la Clave Única de Registro de Personal, se clasificó la firma del titular, y la firma de las autoridades educativas. Asimismo, fue omiso en entregar el acuerdo de clasificación.</w:t>
      </w:r>
    </w:p>
    <w:p w:rsidR="00000000" w:rsidDel="00000000" w:rsidP="00000000" w:rsidRDefault="00000000" w:rsidRPr="00000000" w14:paraId="000000A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el Sujeto Obligado asumió administrar y poseer la información que es de interés para el particular. Por lo que se analizarán en primer momento las versiones públicas para determinar si se encuentran conforme a derecho.</w:t>
      </w:r>
    </w:p>
    <w:p w:rsidR="00000000" w:rsidDel="00000000" w:rsidP="00000000" w:rsidRDefault="00000000" w:rsidRPr="00000000" w14:paraId="000000A2">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A3">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A4">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A6">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la Ley de Transparencia y Acceso a la Información Pública del Estado de México y Municipios, en su artículo 143 prevé los siguientes supuestos para clasificar la información como confidencial:</w:t>
      </w:r>
    </w:p>
    <w:p w:rsidR="00000000" w:rsidDel="00000000" w:rsidP="00000000" w:rsidRDefault="00000000" w:rsidRPr="00000000" w14:paraId="000000A7">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A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A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A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AB">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AC">
      <w:pPr>
        <w:spacing w:after="120" w:before="120" w:lineRule="auto"/>
        <w:ind w:lef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0AD">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AE">
      <w:pPr>
        <w:numPr>
          <w:ilvl w:val="0"/>
          <w:numId w:val="4"/>
        </w:numPr>
        <w:tabs>
          <w:tab w:val="left" w:leader="none" w:pos="851"/>
        </w:tabs>
        <w:spacing w:after="0" w:before="28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reciba una solicitud de acceso a la información;</w:t>
      </w:r>
    </w:p>
    <w:p w:rsidR="00000000" w:rsidDel="00000000" w:rsidP="00000000" w:rsidRDefault="00000000" w:rsidRPr="00000000" w14:paraId="000000AF">
      <w:pPr>
        <w:numPr>
          <w:ilvl w:val="0"/>
          <w:numId w:val="4"/>
        </w:numPr>
        <w:tabs>
          <w:tab w:val="left" w:leader="none" w:pos="851"/>
        </w:tabs>
        <w:spacing w:after="0" w:before="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determine mediante resolución de autoridad competente; y/o</w:t>
      </w:r>
    </w:p>
    <w:p w:rsidR="00000000" w:rsidDel="00000000" w:rsidP="00000000" w:rsidRDefault="00000000" w:rsidRPr="00000000" w14:paraId="000000B0">
      <w:pPr>
        <w:numPr>
          <w:ilvl w:val="0"/>
          <w:numId w:val="4"/>
        </w:numPr>
        <w:tabs>
          <w:tab w:val="left" w:leader="none" w:pos="851"/>
        </w:tabs>
        <w:spacing w:after="280" w:before="0" w:line="360" w:lineRule="auto"/>
        <w:ind w:lef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generen versiones públicas para dar cumplimiento a las obligaciones de transparencia previstas en la Ley.</w:t>
      </w:r>
    </w:p>
    <w:p w:rsidR="00000000" w:rsidDel="00000000" w:rsidP="00000000" w:rsidRDefault="00000000" w:rsidRPr="00000000" w14:paraId="000000B1">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fracción XII de la Ley de Protección de Datos Personales en Posesión de Sujetos Obligados del Estado de México y Municipios.</w:t>
      </w:r>
    </w:p>
    <w:p w:rsidR="00000000" w:rsidDel="00000000" w:rsidP="00000000" w:rsidRDefault="00000000" w:rsidRPr="00000000" w14:paraId="000000B2">
      <w:pPr>
        <w:spacing w:after="280" w:before="28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servidores públicos habilitados tendrán las funciones siguientes: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Unidades de Transparencia tendrán las siguientes funciones: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Presentar ante el Comité, el proyecto de clasificación de información;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Comités de Transparencia tendrán las siguientes atribuciones: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134"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VIII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Aprobar, modificar o revocar la clasificación de la información;”</w:t>
      </w:r>
    </w:p>
    <w:p w:rsidR="00000000" w:rsidDel="00000000" w:rsidP="00000000" w:rsidRDefault="00000000" w:rsidRPr="00000000" w14:paraId="000000BF">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que nos ocupa, como se advierte de las constancias que obran en el expediente en el que se actúa, el Sujeto Obligado entregó título y cédula profesional en versión pública, asimismo, indicó que no puede proporcionar el certificado de estudios por ser información confidencial. Lo anterior, sin que se proporcionara el acuerdo del Comité de Transparencia, incumpliendo así con lo previsto en el artículo 168 de la Ley de la Materia, a saber:</w:t>
      </w:r>
    </w:p>
    <w:p w:rsidR="00000000" w:rsidDel="00000000" w:rsidP="00000000" w:rsidRDefault="00000000" w:rsidRPr="00000000" w14:paraId="000000C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 </w:t>
      </w:r>
    </w:p>
    <w:p w:rsidR="00000000" w:rsidDel="00000000" w:rsidP="00000000" w:rsidRDefault="00000000" w:rsidRPr="00000000" w14:paraId="000000C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funde y motive la clasificación al Comité de Transparencia, mismo que deberá resolver para:</w:t>
      </w:r>
    </w:p>
    <w:p w:rsidR="00000000" w:rsidDel="00000000" w:rsidP="00000000" w:rsidRDefault="00000000" w:rsidRPr="00000000" w14:paraId="000000C2">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Confirmar la clasificación; </w:t>
      </w:r>
    </w:p>
    <w:p w:rsidR="00000000" w:rsidDel="00000000" w:rsidP="00000000" w:rsidRDefault="00000000" w:rsidRPr="00000000" w14:paraId="000000C3">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w:t>
      </w:r>
      <w:r w:rsidDel="00000000" w:rsidR="00000000" w:rsidRPr="00000000">
        <w:rPr>
          <w:rFonts w:ascii="Palatino Linotype" w:cs="Palatino Linotype" w:eastAsia="Palatino Linotype" w:hAnsi="Palatino Linotype"/>
          <w:i w:val="1"/>
          <w:sz w:val="22"/>
          <w:szCs w:val="22"/>
          <w:rtl w:val="0"/>
        </w:rPr>
        <w:t xml:space="preserve"> Modificar. la clasificación y otorgar total o parcialmente el acceso a la información; y </w:t>
      </w:r>
    </w:p>
    <w:p w:rsidR="00000000" w:rsidDel="00000000" w:rsidP="00000000" w:rsidRDefault="00000000" w:rsidRPr="00000000" w14:paraId="000000C4">
      <w:pPr>
        <w:spacing w:after="120" w:before="120" w:lineRule="auto"/>
        <w:ind w:left="1418"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w:t>
      </w:r>
      <w:r w:rsidDel="00000000" w:rsidR="00000000" w:rsidRPr="00000000">
        <w:rPr>
          <w:rFonts w:ascii="Palatino Linotype" w:cs="Palatino Linotype" w:eastAsia="Palatino Linotype" w:hAnsi="Palatino Linotype"/>
          <w:i w:val="1"/>
          <w:sz w:val="22"/>
          <w:szCs w:val="22"/>
          <w:rtl w:val="0"/>
        </w:rPr>
        <w:t xml:space="preserve"> Revocar la clasificación y conceder el acceso a la información. </w:t>
      </w:r>
    </w:p>
    <w:p w:rsidR="00000000" w:rsidDel="00000000" w:rsidP="00000000" w:rsidRDefault="00000000" w:rsidRPr="00000000" w14:paraId="000000C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 </w:t>
      </w:r>
    </w:p>
    <w:p w:rsidR="00000000" w:rsidDel="00000000" w:rsidP="00000000" w:rsidRDefault="00000000" w:rsidRPr="00000000" w14:paraId="000000C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resolución del Comité de Transparencia será notificada al interesado en el plazo de respuesta a la solicitud que establece esta Ley</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7">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lo previo, es evidente que el derecho de acceso a la información no se atiende por al no proporcionar el acuerdo del Comité de Transparencia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del soporte documental entregado, este no es legal ni formalmente una versión pública, sino más bien una documentación ilegible, incompleta o tachada; toda vez que no señalar las razones por las que no se aprecian determinados datos -ya sea porque se testan o suprimen- deja al solicitante en estado de incertidumbre, al no conocer o comprender porque no aparecen en la documentación respectiva, es decir, al no exponer de manera puntual las razones de ello, se violenta su derecho de acceso a la información, por lo que es indispensable que el acuerdo respectivo, se haga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es necesario analizar las versiones públicas remitidas en respuesta, a efecto de verificar si están conforme a derecho, verificando la información que se clasificó:</w:t>
      </w:r>
    </w:p>
    <w:p w:rsidR="00000000" w:rsidDel="00000000" w:rsidP="00000000" w:rsidRDefault="00000000" w:rsidRPr="00000000" w14:paraId="000000C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Firma de servidores públicos.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0C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0C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Firma y rúbrica de servidores públicos.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Del="00000000" w:rsidR="00000000" w:rsidRPr="00000000">
        <w:rPr>
          <w:rtl w:val="0"/>
        </w:rPr>
      </w:r>
    </w:p>
    <w:p w:rsidR="00000000" w:rsidDel="00000000" w:rsidP="00000000" w:rsidRDefault="00000000" w:rsidRPr="00000000" w14:paraId="000000D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0D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su parte la cédula profesional, es el documento que toda persona a quien legalmente se le haya expedido título profesional o grado académico equivalente, podrá obtener con</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rsidR="00000000" w:rsidDel="00000000" w:rsidP="00000000" w:rsidRDefault="00000000" w:rsidRPr="00000000" w14:paraId="000000D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rsidR="00000000" w:rsidDel="00000000" w:rsidP="00000000" w:rsidRDefault="00000000" w:rsidRPr="00000000" w14:paraId="000000D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las firmas en el título profesional y la cédula profesional correspondientes a las autoridades educativas, es información que si es de carácter público, pues contrario a lo anterior, dichas autoridades emiten su firma autógrafa en el ejercicio de sus facultades, atribuciones y competencias, para validar un acto de autoridad que es la emisión de un documento que ostenta un grado de estudios a una persona específica, por lo que no es información susceptible de clasificarse como confidencial.</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Clave Única de Registro de Población.</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La </w:t>
      </w:r>
      <w:r w:rsidDel="00000000" w:rsidR="00000000" w:rsidRPr="00000000">
        <w:rPr>
          <w:rFonts w:ascii="Palatino Linotype" w:cs="Palatino Linotype" w:eastAsia="Palatino Linotype" w:hAnsi="Palatino Linotype"/>
          <w:b w:val="1"/>
          <w:color w:val="000000"/>
          <w:sz w:val="22"/>
          <w:szCs w:val="22"/>
          <w:rtl w:val="0"/>
        </w:rPr>
        <w:t xml:space="preserve">clave única del registro de población,</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000000" w:rsidDel="00000000" w:rsidP="00000000" w:rsidRDefault="00000000" w:rsidRPr="00000000" w14:paraId="000000DD">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Al respecto, el INAI a través del Criterio 18/17, señala literalmente lo siguiente:</w:t>
      </w:r>
    </w:p>
    <w:p w:rsidR="00000000" w:rsidDel="00000000" w:rsidP="00000000" w:rsidRDefault="00000000" w:rsidRPr="00000000" w14:paraId="000000D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Clave Única de Registro de Población (CURP).</w:t>
      </w:r>
      <w:r w:rsidDel="00000000" w:rsidR="00000000" w:rsidRPr="00000000">
        <w:rPr>
          <w:rFonts w:ascii="Palatino Linotype" w:cs="Palatino Linotype" w:eastAsia="Palatino Linotype" w:hAnsi="Palatino Linotype"/>
          <w:i w:val="1"/>
          <w:color w:val="000000"/>
          <w:sz w:val="22"/>
          <w:szCs w:val="22"/>
          <w:rtl w:val="0"/>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3995/16. Secretaría de la Defensa Nacional. 1 de febrero de 2017. Por unanimidad. Comisionado Ponente Rosendoevgueni Monterrey Chepov.</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0937/17. Senado de la República. 15 de marzo de 2017. Por unanimidad. Comisionada Ponente Ximena Puente de la Mora.</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RRA 0478/17. Secretaría de Relaciones Exteriores. 26 de abril de 2017. Por unanimidad. Comisionada Ponente Areli Cano Guadiana.”</w:t>
      </w:r>
      <w:r w:rsidDel="00000000" w:rsidR="00000000" w:rsidRPr="00000000">
        <w:rPr>
          <w:rtl w:val="0"/>
        </w:rPr>
      </w:r>
    </w:p>
    <w:p w:rsidR="00000000" w:rsidDel="00000000" w:rsidP="00000000" w:rsidRDefault="00000000" w:rsidRPr="00000000" w14:paraId="000000E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Por cuanto hace al </w:t>
      </w:r>
      <w:r w:rsidDel="00000000" w:rsidR="00000000" w:rsidRPr="00000000">
        <w:rPr>
          <w:rFonts w:ascii="Palatino Linotype" w:cs="Palatino Linotype" w:eastAsia="Palatino Linotype" w:hAnsi="Palatino Linotype"/>
          <w:b w:val="1"/>
          <w:color w:val="000000"/>
          <w:sz w:val="22"/>
          <w:szCs w:val="22"/>
          <w:rtl w:val="0"/>
        </w:rPr>
        <w:t xml:space="preserve">Registro Federal de Contribuyentes de las personas físicas</w:t>
      </w:r>
      <w:r w:rsidDel="00000000" w:rsidR="00000000" w:rsidRPr="00000000">
        <w:rPr>
          <w:rFonts w:ascii="Palatino Linotype" w:cs="Palatino Linotype" w:eastAsia="Palatino Linotype" w:hAnsi="Palatino Linotype"/>
          <w:color w:val="000000"/>
          <w:sz w:val="22"/>
          <w:szCs w:val="22"/>
          <w:rtl w:val="0"/>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00000" w:rsidDel="00000000" w:rsidP="00000000" w:rsidRDefault="00000000" w:rsidRPr="00000000" w14:paraId="000000E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Código de barras.</w:t>
      </w:r>
    </w:p>
    <w:p w:rsidR="00000000" w:rsidDel="00000000" w:rsidP="00000000" w:rsidRDefault="00000000" w:rsidRPr="00000000" w14:paraId="000000E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A">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Acorde a información de la Secretaría de Educación Pública; con la finalidad de fortalecer las acciones en materia de registro, control y vigilancia del ejercicio profesional, se establece que el código de barras constituyen elementos de seguridad, dado que con su lectura se puede acceder al contenido del documento (Cédula Profesional).</w:t>
      </w:r>
    </w:p>
    <w:p w:rsidR="00000000" w:rsidDel="00000000" w:rsidP="00000000" w:rsidRDefault="00000000" w:rsidRPr="00000000" w14:paraId="000000EB">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C">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que, con dichos datos, únicamente se localiza, el número de cédula, el nombre completo del servidor público, profesión, año de expedición e institución, al dirigirte únicamente a la página </w:t>
      </w:r>
      <w:hyperlink r:id="rId9">
        <w:r w:rsidDel="00000000" w:rsidR="00000000" w:rsidRPr="00000000">
          <w:rPr>
            <w:rFonts w:ascii="Palatino Linotype" w:cs="Palatino Linotype" w:eastAsia="Palatino Linotype" w:hAnsi="Palatino Linotype"/>
            <w:color w:val="0000ff"/>
            <w:sz w:val="22"/>
            <w:szCs w:val="22"/>
            <w:u w:val="single"/>
            <w:rtl w:val="0"/>
          </w:rPr>
          <w:t xml:space="preserve">https://www.cedulaprofesional.sep.gob.mx/cedula/presidencia/indexAvanzada.action</w:t>
        </w:r>
      </w:hyperlink>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ED">
      <w:pPr>
        <w:tabs>
          <w:tab w:val="left" w:leader="none" w:pos="4962"/>
        </w:tabs>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E">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al no revelar datos personales confidenciales del servidor público, se considera que el código de barras, no actualiza la causal de clasificación prevista en el artículo 143, fracción I, de la Ley de Transparencia y Acceso a la Información Pública del Estado de México y Municipios.  </w:t>
      </w:r>
    </w:p>
    <w:p w:rsidR="00000000" w:rsidDel="00000000" w:rsidP="00000000" w:rsidRDefault="00000000" w:rsidRPr="00000000" w14:paraId="000000EF">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0">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Hasta este punto, se determina que las versiones públicas, por un lado clasificaron información de naturaleza pública, tales como código de barras y firma de autoridades educativas; mientras que por otro lado, se dejó a la vista información que si debió ser clasificada como confidencial, como lo es la Clave Única de Registro de Población.</w:t>
      </w:r>
    </w:p>
    <w:p w:rsidR="00000000" w:rsidDel="00000000" w:rsidP="00000000" w:rsidRDefault="00000000" w:rsidRPr="00000000" w14:paraId="000000F1">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se advierte que las versiones públicas son erróneas, además de que se carece de acuerdo del Comité de Transparencia que sustente la restricción hecha al particular.</w:t>
      </w:r>
    </w:p>
    <w:p w:rsidR="00000000" w:rsidDel="00000000" w:rsidP="00000000" w:rsidRDefault="00000000" w:rsidRPr="00000000" w14:paraId="000000F3">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lo que corresponde al certificado de estudios, el Sujeto Obligado refiere que es información confidencial, por lo que no se proporciona dicho documento.</w:t>
      </w:r>
    </w:p>
    <w:p w:rsidR="00000000" w:rsidDel="00000000" w:rsidP="00000000" w:rsidRDefault="00000000" w:rsidRPr="00000000" w14:paraId="000000F5">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el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rsidR="00000000" w:rsidDel="00000000" w:rsidP="00000000" w:rsidRDefault="00000000" w:rsidRPr="00000000" w14:paraId="000000F7">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w:t>
      </w:r>
    </w:p>
    <w:p w:rsidR="00000000" w:rsidDel="00000000" w:rsidP="00000000" w:rsidRDefault="00000000" w:rsidRPr="00000000" w14:paraId="000000F9">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A">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debe tenerse presente que la naturaleza del certificado u homólogo,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sin embargo, para el caso de los integrantes del cabildo no es un documento exigible, pues derivado de la naturaleza de los mismos y su elección no necesitan acreditar ningún grado de estudios.</w:t>
      </w:r>
    </w:p>
    <w:p w:rsidR="00000000" w:rsidDel="00000000" w:rsidP="00000000" w:rsidRDefault="00000000" w:rsidRPr="00000000" w14:paraId="000000FB">
      <w:pPr>
        <w:tabs>
          <w:tab w:val="left" w:leader="none" w:pos="4962"/>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través de la respuesta del Sujeto Obligado se advertirse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niega la existencia de la información solicitada, sino por el contrario, al mencionar que esta se encontraba clasificada, asevera su existencia, es por ello que, en el presente caso, no pasa desapercibida la aplicación del criterio 29/10 emitido por el entonces Instituto Federal de Acceso a la Información Pública, el cual estipula que:  </w:t>
      </w:r>
    </w:p>
    <w:p w:rsidR="00000000" w:rsidDel="00000000" w:rsidP="00000000" w:rsidRDefault="00000000" w:rsidRPr="00000000" w14:paraId="000000F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E">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clasificación y la inexistencia de información son conceptos que no pueden coexistir. </w:t>
      </w:r>
      <w:r w:rsidDel="00000000" w:rsidR="00000000" w:rsidRPr="00000000">
        <w:rPr>
          <w:rFonts w:ascii="Palatino Linotype" w:cs="Palatino Linotype" w:eastAsia="Palatino Linotype" w:hAnsi="Palatino Linotype"/>
          <w:i w:val="1"/>
          <w:sz w:val="22"/>
          <w:szCs w:val="22"/>
          <w:rtl w:val="0"/>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000000" w:rsidDel="00000000" w:rsidP="00000000" w:rsidRDefault="00000000" w:rsidRPr="00000000" w14:paraId="000000FF">
      <w:pPr>
        <w:spacing w:line="360" w:lineRule="auto"/>
        <w:ind w:left="567" w:right="567" w:firstLine="0"/>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0">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Expedientes:</w:t>
      </w:r>
      <w:r w:rsidDel="00000000" w:rsidR="00000000" w:rsidRPr="00000000">
        <w:rPr>
          <w:rtl w:val="0"/>
        </w:rPr>
      </w:r>
    </w:p>
    <w:p w:rsidR="00000000" w:rsidDel="00000000" w:rsidP="00000000" w:rsidRDefault="00000000" w:rsidRPr="00000000" w14:paraId="00000101">
      <w:pPr>
        <w:spacing w:line="36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4734/07       Pemex Exploración y Producción – Juan Pablo Guerrero Amparán. 2936/08       Comisión Federal de Telecomunicaciones - Alonso Gómez-Robledo  Verduzco. 4781/09       Comisión  Nacional  de  Libros  de  Texto  Gratuitos  -  Jacqueline. Peschard Mariscal 5434/09       Administración  Portuaria  Integral  de  Veracruz,  S.A.  de  C.V.  - Jacqueline Peschard Mariscal. 384/10         Instituto Mexicano del Seguro Social - Jacqueline Peschard Mariscal</w:t>
      </w:r>
    </w:p>
    <w:p w:rsidR="00000000" w:rsidDel="00000000" w:rsidP="00000000" w:rsidRDefault="00000000" w:rsidRPr="00000000" w14:paraId="00000102">
      <w:pPr>
        <w:spacing w:line="360" w:lineRule="auto"/>
        <w:ind w:right="567"/>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3">
      <w:pPr>
        <w:spacing w:line="360" w:lineRule="auto"/>
        <w:ind w:right="56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 bien, el certificado de estudios es susceptible de proporcionarse en una correcta versión pública, lo cierto es que el Recurrente desea conocer su promedio, el cual es el resultado de la sumatoria de las calificaciones.</w:t>
      </w:r>
    </w:p>
    <w:p w:rsidR="00000000" w:rsidDel="00000000" w:rsidP="00000000" w:rsidRDefault="00000000" w:rsidRPr="00000000" w14:paraId="00000104">
      <w:pPr>
        <w:spacing w:line="360" w:lineRule="auto"/>
        <w:ind w:right="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es importante mencionar que las calificaciones son expresiones de evaluación individual que se lleva a cabo en el ámbito escolar, la cual está representada por un número o en algunos casos por una letra o bien por leyendas como: aprobado, reprobado, aplazado, regular, irregular, unanimidad, mayoría, etc., que tiene el efecto de determinar las capacidades y el aprendizaje de cada individuo.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promedio es el valor resultante del total de las calificaciones obtenidas de manera individual por un alumno en un periodo parcial o total de su trayectoria académica y se representa de igual manera que el resto de las calificaciones. Es un dato que únicamente concierne al estudiante, ya que refleja el desempeño académico desarrollado durante su etapa educativa.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Conjunta a la información antes citada, también puede haber observaciones a las calificaciones, y ya que están directamente relacionadas a las calificaciones, y en estricta observación del principio legal de que lo accesorio sigue la suerte de lo principal, es que las observaciones a las calificaciones son consideradas información concerniente a la esfera individual de cada alumno, por lo tanto se trata de un dato personal, ya que es reflejo del desempeño académico desarrollado por cada individuo durante su etapa educativa.</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se tiene que las calificaciones son inherentes a cada estudiante y que permite identificar el desempeño que se tuvo. Divulgar esta información pudiera hacer identificable al estudiante, además de que no se aprecia el interés que motive al recurrente para acceder a este tipo de información que se invade la esfera más íntima de sus titulares, los cuales tienen el carácter de estudiantes dentro de la Universidad.</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la información relativa a las calificaciones y el promedio obtenido debe ser clasificado como confidencial, en términos del artículo 143, fracción I de la Ley de Transparencia y Acceso a la Información Pública del Estado de México y Municipios.</w:t>
      </w:r>
    </w:p>
    <w:p w:rsidR="00000000" w:rsidDel="00000000" w:rsidP="00000000" w:rsidRDefault="00000000" w:rsidRPr="00000000" w14:paraId="0000010E">
      <w:pPr>
        <w:spacing w:line="360" w:lineRule="auto"/>
        <w:ind w:right="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anteriormente referido, se ORDENA al Sujeto Obligado entregar título y cédula profesional, así como el certificado de estudios universitarios, en versión pública. Para la elaboración de las versiones públicas, el Sujeto Obligado estará a lo dispuesto en el Considerando Quinto de la presente resolución.</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y no menos importante, de la respuesta proporcionada por el Sujeto Obligado, se advierte que se dejaron a la vista datos personales, tales como la clave única de registro de población.</w:t>
      </w:r>
    </w:p>
    <w:p w:rsidR="00000000" w:rsidDel="00000000" w:rsidP="00000000" w:rsidRDefault="00000000" w:rsidRPr="00000000" w14:paraId="00000112">
      <w:pPr>
        <w:tabs>
          <w:tab w:val="left" w:leader="none" w:pos="567"/>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tabs>
          <w:tab w:val="left" w:leader="none" w:pos="567"/>
        </w:tabs>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consecuencia, al haberse dejado a la vista en la respuesta, es necesario dar vista </w:t>
      </w:r>
      <w:r w:rsidDel="00000000" w:rsidR="00000000" w:rsidRPr="00000000">
        <w:rPr>
          <w:rFonts w:ascii="Palatino Linotype" w:cs="Palatino Linotype" w:eastAsia="Palatino Linotype" w:hAnsi="Palatino Linotype"/>
          <w:color w:val="000000"/>
          <w:sz w:val="22"/>
          <w:szCs w:val="22"/>
          <w:rtl w:val="0"/>
        </w:rPr>
        <w:t xml:space="preserve">a la Dirección General de Protección de Datos Personales de este Organismo Garante para que determina lo conducente.</w:t>
      </w:r>
    </w:p>
    <w:p w:rsidR="00000000" w:rsidDel="00000000" w:rsidP="00000000" w:rsidRDefault="00000000" w:rsidRPr="00000000" w14:paraId="000001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tabs>
          <w:tab w:val="left" w:leader="none" w:pos="567"/>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Quinto. De la versión pública.</w:t>
      </w:r>
    </w:p>
    <w:p w:rsidR="00000000" w:rsidDel="00000000" w:rsidP="00000000" w:rsidRDefault="00000000" w:rsidRPr="00000000" w14:paraId="00000116">
      <w:pPr>
        <w:tabs>
          <w:tab w:val="left" w:leader="none" w:pos="567"/>
        </w:tabs>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necesario precisar que, para la entrega de la información los Sujetos Obligados deben realizar un análisis con la finalidad de advertir si esta contiene datos que deben ser clasificados en los términos que la misma Ley en la materia señala. </w:t>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ser el caso, se debe elaborar la versión pública de los documentos que vaya a entregar para dar cumplimiento al mandato constitucional de acceso a la información pública, sin menoscabar el derecho a la protección de los datos personales de terceros.</w:t>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1C">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1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2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12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2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2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2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26">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127">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128">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2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2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2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2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2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30">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w:t>
      </w:r>
      <w:r w:rsidDel="00000000" w:rsidR="00000000" w:rsidRPr="00000000">
        <w:rPr>
          <w:rFonts w:ascii="Palatino Linotype" w:cs="Palatino Linotype" w:eastAsia="Palatino Linotype" w:hAnsi="Palatino Linotype"/>
          <w:b w:val="1"/>
          <w:sz w:val="22"/>
          <w:szCs w:val="22"/>
          <w:rtl w:val="0"/>
        </w:rPr>
        <w:t xml:space="preserve">señalan las formalidades que deberá llevar el acuerdo de clasificación que deberá emitir el 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13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4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4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4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4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4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4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4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4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5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5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5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5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5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55">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w:t>
      </w:r>
      <w:r w:rsidDel="00000000" w:rsidR="00000000" w:rsidRPr="00000000">
        <w:rPr>
          <w:rFonts w:ascii="Palatino Linotype" w:cs="Palatino Linotype" w:eastAsia="Palatino Linotype" w:hAnsi="Palatino Linotype"/>
          <w:b w:val="1"/>
          <w:sz w:val="22"/>
          <w:szCs w:val="22"/>
          <w:rtl w:val="0"/>
        </w:rPr>
        <w:t xml:space="preserve">la entrega de documentos en su versión pública debe acompañarse necesariamente del Acuerdo del Comité de Transparencia que la sustente</w:t>
      </w:r>
      <w:r w:rsidDel="00000000" w:rsidR="00000000" w:rsidRPr="00000000">
        <w:rPr>
          <w:rFonts w:ascii="Palatino Linotype" w:cs="Palatino Linotype" w:eastAsia="Palatino Linotype" w:hAnsi="Palatino Linotype"/>
          <w:sz w:val="22"/>
          <w:szCs w:val="22"/>
          <w:rtl w:val="0"/>
        </w:rPr>
        <w:t xml:space="preserve">, el cual debe estar debidamente fundado y motivado y, deberá exponer los fundamentos y razonamientos que llevaron al Sujeto Obligado a testar, suprimir o eliminar datos de dicho soporte documental, </w:t>
      </w:r>
      <w:r w:rsidDel="00000000" w:rsidR="00000000" w:rsidRPr="00000000">
        <w:rPr>
          <w:rFonts w:ascii="Palatino Linotype" w:cs="Palatino Linotype" w:eastAsia="Palatino Linotype" w:hAnsi="Palatino Linotype"/>
          <w:b w:val="1"/>
          <w:sz w:val="22"/>
          <w:szCs w:val="22"/>
          <w:rtl w:val="0"/>
        </w:rPr>
        <w:t xml:space="preserve">ya que de no hacerlo, lo entregado no tendría un sustento jurídico ni resultaría ser una versión pública, sino más bien una documentación ilegible, incompleta o tachada</w:t>
      </w:r>
      <w:r w:rsidDel="00000000" w:rsidR="00000000" w:rsidRPr="00000000">
        <w:rPr>
          <w:rFonts w:ascii="Palatino Linotype" w:cs="Palatino Linotype" w:eastAsia="Palatino Linotype" w:hAnsi="Palatino Linotype"/>
          <w:sz w:val="22"/>
          <w:szCs w:val="22"/>
          <w:rtl w:val="0"/>
        </w:rPr>
        <w:t xml:space="preserve">. El no justificar las causas o motivos por las que no se aprecian determinados datos -ya sea porque se testan o suprimen- deja al solicitante en estado de incertidumbre, al no conocer o comprender por qué no aparece en la documentación respectiva.</w:t>
      </w:r>
    </w:p>
    <w:p w:rsidR="00000000" w:rsidDel="00000000" w:rsidP="00000000" w:rsidRDefault="00000000" w:rsidRPr="00000000" w14:paraId="000001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para que un acuerdo de Comité de Transparencia sea emitido y tenga validez jurídica, es necesario que las versiones públicas estén debidamente realizadas y el testado de la información sea correcto. </w:t>
      </w:r>
    </w:p>
    <w:p w:rsidR="00000000" w:rsidDel="00000000" w:rsidP="00000000" w:rsidRDefault="00000000" w:rsidRPr="00000000" w14:paraId="000001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5B">
      <w:pPr>
        <w:spacing w:after="24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bookmarkStart w:colFirst="0" w:colLast="0" w:name="_heading=h.lnxbz9" w:id="4"/>
      <w:bookmarkEnd w:id="4"/>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5D">
      <w:pPr>
        <w:spacing w:after="240" w:before="240" w:line="360" w:lineRule="auto"/>
        <w:jc w:val="both"/>
        <w:rPr>
          <w:rFonts w:ascii="Palatino Linotype" w:cs="Palatino Linotype" w:eastAsia="Palatino Linotype" w:hAnsi="Palatino Linotype"/>
          <w:sz w:val="22"/>
          <w:szCs w:val="22"/>
        </w:rPr>
      </w:pPr>
      <w:bookmarkStart w:colFirst="0" w:colLast="0" w:name="_heading=h.1fob9te" w:id="5"/>
      <w:bookmarkEnd w:id="5"/>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02094/INFOEM/IP/RR/2025</w:t>
      </w:r>
      <w:r w:rsidDel="00000000" w:rsidR="00000000" w:rsidRPr="00000000">
        <w:rPr>
          <w:rFonts w:ascii="Palatino Linotype" w:cs="Palatino Linotype" w:eastAsia="Palatino Linotype" w:hAnsi="Palatino Linotype"/>
          <w:sz w:val="22"/>
          <w:szCs w:val="22"/>
          <w:rtl w:val="0"/>
        </w:rPr>
        <w:t xml:space="preserve">; por lo que, en términos de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15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haga entrega vía SAIMEX, en versión pública, la siguiente información:</w:t>
      </w:r>
    </w:p>
    <w:p w:rsidR="00000000" w:rsidDel="00000000" w:rsidP="00000000" w:rsidRDefault="00000000" w:rsidRPr="00000000" w14:paraId="0000015F">
      <w:pPr>
        <w:numPr>
          <w:ilvl w:val="0"/>
          <w:numId w:val="5"/>
        </w:numPr>
        <w:pBdr>
          <w:top w:space="0" w:sz="0" w:val="nil"/>
          <w:left w:space="0" w:sz="0" w:val="nil"/>
          <w:bottom w:space="0" w:sz="0" w:val="nil"/>
          <w:right w:space="0" w:sz="0" w:val="nil"/>
          <w:between w:space="0" w:sz="0" w:val="nil"/>
        </w:pBdr>
        <w:spacing w:before="240" w:line="360" w:lineRule="auto"/>
        <w:ind w:left="567" w:right="900" w:hanging="28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Presidente Municipal en funciones al veinticuatro de enero de dos mil veinticinco:</w:t>
      </w:r>
    </w:p>
    <w:p w:rsidR="00000000" w:rsidDel="00000000" w:rsidP="00000000" w:rsidRDefault="00000000" w:rsidRPr="00000000" w14:paraId="000001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40" w:line="360" w:lineRule="auto"/>
        <w:ind w:left="1287"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Título profesional;</w:t>
      </w:r>
    </w:p>
    <w:p w:rsidR="00000000" w:rsidDel="00000000" w:rsidP="00000000" w:rsidRDefault="00000000" w:rsidRPr="00000000" w14:paraId="000001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287"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Cédula profesional; y,</w:t>
      </w:r>
    </w:p>
    <w:p w:rsidR="00000000" w:rsidDel="00000000" w:rsidP="00000000" w:rsidRDefault="00000000" w:rsidRPr="00000000" w14:paraId="000001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287"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Certificado de Estudios.</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284"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284"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6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16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 a través del SAIMEX, </w:t>
      </w:r>
      <w:r w:rsidDel="00000000" w:rsidR="00000000" w:rsidRPr="00000000">
        <w:rPr>
          <w:rFonts w:ascii="Palatino Linotype" w:cs="Palatino Linotype" w:eastAsia="Palatino Linotype" w:hAnsi="Palatino Linotype"/>
          <w:sz w:val="22"/>
          <w:szCs w:val="22"/>
          <w:rtl w:val="0"/>
        </w:rPr>
        <w:t xml:space="preserve">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6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000000" w:rsidDel="00000000" w:rsidP="00000000" w:rsidRDefault="00000000" w:rsidRPr="00000000" w14:paraId="0000016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Con fundamento en lo dispuesto en el artículo 24, fracciones XI, XII y XIII del Reglamento Interior del Instituto de Transparencia, Acceso a la Información Pública y Protección de Datos Personales del Estado de México y Municipios, gírese oficio al Titular de  la </w:t>
      </w:r>
      <w:r w:rsidDel="00000000" w:rsidR="00000000" w:rsidRPr="00000000">
        <w:rPr>
          <w:rFonts w:ascii="Palatino Linotype" w:cs="Palatino Linotype" w:eastAsia="Palatino Linotype" w:hAnsi="Palatino Linotype"/>
          <w:b w:val="1"/>
          <w:color w:val="000000"/>
          <w:sz w:val="22"/>
          <w:szCs w:val="22"/>
          <w:rtl w:val="0"/>
        </w:rPr>
        <w:t xml:space="preserve">Dirección General de Protección de Datos Personales de este Instituto</w:t>
      </w:r>
      <w:r w:rsidDel="00000000" w:rsidR="00000000" w:rsidRPr="00000000">
        <w:rPr>
          <w:rFonts w:ascii="Palatino Linotype" w:cs="Palatino Linotype" w:eastAsia="Palatino Linotype" w:hAnsi="Palatino Linotype"/>
          <w:color w:val="000000"/>
          <w:sz w:val="22"/>
          <w:szCs w:val="22"/>
          <w:rtl w:val="0"/>
        </w:rPr>
        <w:t xml:space="preserve">, en términos de lo dispuesto en el </w:t>
      </w:r>
      <w:r w:rsidDel="00000000" w:rsidR="00000000" w:rsidRPr="00000000">
        <w:rPr>
          <w:rFonts w:ascii="Palatino Linotype" w:cs="Palatino Linotype" w:eastAsia="Palatino Linotype" w:hAnsi="Palatino Linotype"/>
          <w:b w:val="1"/>
          <w:color w:val="000000"/>
          <w:sz w:val="22"/>
          <w:szCs w:val="22"/>
          <w:rtl w:val="0"/>
        </w:rPr>
        <w:t xml:space="preserve">Considerando</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b w:val="1"/>
          <w:color w:val="000000"/>
          <w:sz w:val="22"/>
          <w:szCs w:val="22"/>
          <w:rtl w:val="0"/>
        </w:rPr>
        <w:t xml:space="preserve">Cuarto</w:t>
      </w:r>
      <w:r w:rsidDel="00000000" w:rsidR="00000000" w:rsidRPr="00000000">
        <w:rPr>
          <w:rFonts w:ascii="Palatino Linotype" w:cs="Palatino Linotype" w:eastAsia="Palatino Linotype" w:hAnsi="Palatino Linotype"/>
          <w:color w:val="000000"/>
          <w:sz w:val="22"/>
          <w:szCs w:val="22"/>
          <w:rtl w:val="0"/>
        </w:rPr>
        <w:t xml:space="preserve"> de la presente Resolución.</w:t>
      </w:r>
      <w:r w:rsidDel="00000000" w:rsidR="00000000" w:rsidRPr="00000000">
        <w:rPr>
          <w:rtl w:val="0"/>
        </w:rPr>
      </w:r>
    </w:p>
    <w:p w:rsidR="00000000" w:rsidDel="00000000" w:rsidP="00000000" w:rsidRDefault="00000000" w:rsidRPr="00000000" w14:paraId="0000016A">
      <w:pPr>
        <w:spacing w:after="240" w:before="240" w:line="360" w:lineRule="auto"/>
        <w:jc w:val="both"/>
        <w:rPr>
          <w:rFonts w:ascii="Palatino Linotype" w:cs="Palatino Linotype" w:eastAsia="Palatino Linotype" w:hAnsi="Palatino Linotype"/>
          <w:color w:val="222222"/>
          <w:sz w:val="22"/>
          <w:szCs w:val="22"/>
        </w:rPr>
      </w:pPr>
      <w:r w:rsidDel="00000000" w:rsidR="00000000" w:rsidRPr="00000000">
        <w:rPr>
          <w:rFonts w:ascii="Palatino Linotype" w:cs="Palatino Linotype" w:eastAsia="Palatino Linotype" w:hAnsi="Palatino Linotype"/>
          <w:color w:val="222222"/>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VOTO PARTICULAR), SHARON CRISTINA MORALES MARTÍNEZ, LUIS GUSTAVO PARRA NORIEGA (EMITIENDO VOTO PARTICULAR) Y GUADALUPE RAMÍREZ PEÑA; EN LA DÉCIMA CUARTA</w:t>
      </w:r>
      <w:r w:rsidDel="00000000" w:rsidR="00000000" w:rsidRPr="00000000">
        <w:rPr>
          <w:rFonts w:ascii="Palatino Linotype" w:cs="Palatino Linotype" w:eastAsia="Palatino Linotype" w:hAnsi="Palatino Linotype"/>
          <w:color w:val="ff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ORDINARIA CELEBRADA EL VEINTITRÉS DE ABRIL DEL DOS MIL VEINTICINCO, ANTE EL SECRETARIO TÉCNICO DEL PLENO ALEXIS TAPIA RAMÍREZ.</w:t>
      </w:r>
      <w:r w:rsidDel="00000000" w:rsidR="00000000" w:rsidRPr="00000000">
        <w:rPr>
          <w:rtl w:val="0"/>
        </w:rPr>
      </w:r>
    </w:p>
    <w:p w:rsidR="00000000" w:rsidDel="00000000" w:rsidP="00000000" w:rsidRDefault="00000000" w:rsidRPr="00000000" w14:paraId="0000016B">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0">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4">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5">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6">
      <w:pPr>
        <w:spacing w:after="240" w:before="240"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8"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4. Para los efectos de esta Ley se entenderá por:</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-488308</wp:posOffset>
          </wp:positionV>
          <wp:extent cx="7809865" cy="10165715"/>
          <wp:effectExtent b="0" l="0" r="0" t="0"/>
          <wp:wrapNone/>
          <wp:docPr id="7702015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7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7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02094/INFOEM/IP/RR/2025</w:t>
          </w:r>
        </w:p>
      </w:tc>
    </w:tr>
    <w:tr>
      <w:trPr>
        <w:cantSplit w:val="0"/>
        <w:trHeight w:val="228" w:hRule="atLeast"/>
        <w:tblHeader w:val="0"/>
      </w:trPr>
      <w:tc>
        <w:tcPr>
          <w:shd w:fill="auto" w:val="clear"/>
          <w:vAlign w:val="center"/>
        </w:tcPr>
        <w:p w:rsidR="00000000" w:rsidDel="00000000" w:rsidP="00000000" w:rsidRDefault="00000000" w:rsidRPr="00000000" w14:paraId="0000017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7D">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w:t>
          </w:r>
        </w:p>
      </w:tc>
    </w:tr>
    <w:tr>
      <w:trPr>
        <w:cantSplit w:val="0"/>
        <w:tblHeader w:val="0"/>
      </w:trPr>
      <w:tc>
        <w:tcPr>
          <w:shd w:fill="auto" w:val="clear"/>
          <w:vAlign w:val="center"/>
        </w:tcPr>
        <w:p w:rsidR="00000000" w:rsidDel="00000000" w:rsidP="00000000" w:rsidRDefault="00000000" w:rsidRPr="00000000" w14:paraId="0000017E">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7F">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0">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 </w:t>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18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83">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02094/INFOEM/IP/RR/2025</w:t>
          </w:r>
        </w:p>
      </w:tc>
    </w:tr>
    <w:tr>
      <w:trPr>
        <w:cantSplit w:val="0"/>
        <w:trHeight w:val="130" w:hRule="atLeast"/>
        <w:tblHeader w:val="0"/>
      </w:trPr>
      <w:tc>
        <w:tcPr>
          <w:shd w:fill="auto" w:val="clear"/>
          <w:vAlign w:val="center"/>
        </w:tcPr>
        <w:p w:rsidR="00000000" w:rsidDel="00000000" w:rsidP="00000000" w:rsidRDefault="00000000" w:rsidRPr="00000000" w14:paraId="0000018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85">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-4425309</wp:posOffset>
                </wp:positionH>
                <wp:positionV relativeFrom="paragraph">
                  <wp:posOffset>-361943</wp:posOffset>
                </wp:positionV>
                <wp:extent cx="7809865" cy="10165715"/>
                <wp:effectExtent b="0" l="0" r="0" t="0"/>
                <wp:wrapNone/>
                <wp:docPr id="77020157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rHeight w:val="228" w:hRule="atLeast"/>
        <w:tblHeader w:val="0"/>
      </w:trPr>
      <w:tc>
        <w:tcPr>
          <w:shd w:fill="auto" w:val="clear"/>
          <w:vAlign w:val="center"/>
        </w:tcPr>
        <w:p w:rsidR="00000000" w:rsidDel="00000000" w:rsidP="00000000" w:rsidRDefault="00000000" w:rsidRPr="00000000" w14:paraId="0000018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7">
          <w:pPr>
            <w:ind w:left="-45" w:right="27"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Atizapán</w:t>
          </w:r>
        </w:p>
      </w:tc>
    </w:tr>
    <w:tr>
      <w:trPr>
        <w:cantSplit w:val="0"/>
        <w:tblHeader w:val="0"/>
      </w:trPr>
      <w:tc>
        <w:tcPr>
          <w:shd w:fill="auto" w:val="clear"/>
          <w:vAlign w:val="center"/>
        </w:tcPr>
        <w:p w:rsidR="00000000" w:rsidDel="00000000" w:rsidP="00000000" w:rsidRDefault="00000000" w:rsidRPr="00000000" w14:paraId="0000018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89">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1"/>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9" w:customStyle="1">
    <w:name w:val="9"/>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8" w:customStyle="1">
    <w:name w:val="8"/>
    <w:basedOn w:val="TableNormal1"/>
    <w:tblPr>
      <w:tblStyleRowBandSize w:val="1"/>
      <w:tblStyleColBandSize w:val="1"/>
      <w:tblCellMar>
        <w:left w:w="115.0" w:type="dxa"/>
        <w:right w:w="1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left w:w="115.0" w:type="dxa"/>
        <w:right w:w="115.0" w:type="dxa"/>
      </w:tblCellMar>
    </w:tblPr>
  </w:style>
  <w:style w:type="table" w:styleId="4" w:customStyle="1">
    <w:name w:val="4"/>
    <w:basedOn w:val="TableNormal2"/>
    <w:tblPr>
      <w:tblStyleRowBandSize w:val="1"/>
      <w:tblStyleColBandSize w:val="1"/>
      <w:tblCellMar>
        <w:left w:w="115.0" w:type="dxa"/>
        <w:right w:w="115.0" w:type="dxa"/>
      </w:tblCellMar>
    </w:tblPr>
  </w:style>
  <w:style w:type="table" w:styleId="3" w:customStyle="1">
    <w:name w:val="3"/>
    <w:basedOn w:val="TableNormal2"/>
    <w:tblPr>
      <w:tblStyleRowBandSize w:val="1"/>
      <w:tblStyleColBandSize w:val="1"/>
      <w:tblCellMar>
        <w:left w:w="115.0" w:type="dxa"/>
        <w:right w:w="115.0" w:type="dxa"/>
      </w:tblCellMar>
    </w:tblPr>
  </w:style>
  <w:style w:type="table" w:styleId="2" w:customStyle="1">
    <w:name w:val="2"/>
    <w:basedOn w:val="TableNormal3"/>
    <w:tblPr>
      <w:tblStyleRowBandSize w:val="1"/>
      <w:tblStyleColBandSize w:val="1"/>
      <w:tblCellMar>
        <w:left w:w="115.0" w:type="dxa"/>
        <w:right w:w="115.0" w:type="dxa"/>
      </w:tblCellMar>
    </w:tblPr>
  </w:style>
  <w:style w:type="table" w:styleId="1" w:customStyle="1">
    <w:name w:val="1"/>
    <w:basedOn w:val="TableNormal3"/>
    <w:tblPr>
      <w:tblStyleRowBandSize w:val="1"/>
      <w:tblStyleColBandSize w:val="1"/>
      <w:tblCellMar>
        <w:left w:w="115.0" w:type="dxa"/>
        <w:right w:w="115.0" w:type="dxa"/>
      </w:tblCellMar>
    </w:tblPr>
  </w:style>
  <w:style w:type="table" w:styleId="12" w:customStyle="1">
    <w:name w:val="12"/>
    <w:basedOn w:val="TableNormal4"/>
    <w:tblPr>
      <w:tblStyleRowBandSize w:val="1"/>
      <w:tblStyleColBandSize w:val="1"/>
      <w:tblCellMar>
        <w:left w:w="108.0" w:type="dxa"/>
        <w:right w:w="108.0" w:type="dxa"/>
      </w:tblCellMar>
    </w:tblPr>
  </w:style>
  <w:style w:type="table" w:styleId="11" w:customStyle="1">
    <w:name w:val="11"/>
    <w:basedOn w:val="TableNormal4"/>
    <w:tblPr>
      <w:tblStyleRowBandSize w:val="1"/>
      <w:tblStyleColBandSize w:val="1"/>
      <w:tblCellMar>
        <w:left w:w="115.0" w:type="dxa"/>
        <w:right w:w="115.0" w:type="dxa"/>
      </w:tblCellMar>
    </w:tblPr>
  </w:style>
  <w:style w:type="table" w:styleId="10" w:customStyle="1">
    <w:name w:val="10"/>
    <w:basedOn w:val="TableNormal4"/>
    <w:tblPr>
      <w:tblStyleRowBandSize w:val="1"/>
      <w:tblStyleColBandSize w:val="1"/>
      <w:tblCellMar>
        <w:left w:w="115.0" w:type="dxa"/>
        <w:right w:w="115.0" w:type="dxa"/>
      </w:tblCellMar>
    </w:tblPr>
  </w:style>
  <w:style w:type="paragraph" w:styleId="p1" w:customStyle="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val="1"/>
    <w:rsid w:val="006E17BA"/>
    <w:pPr>
      <w:numPr>
        <w:numId w:val="27"/>
      </w:numPr>
      <w:contextualSpacing w:val="1"/>
    </w:pPr>
  </w:style>
  <w:style w:type="table" w:styleId="Tablaconcuadrcula2" w:customStyle="1">
    <w:name w:val="Tabla con cuadrícula2"/>
    <w:basedOn w:val="Tablanormal"/>
    <w:next w:val="Tablaconcuadrcula"/>
    <w:uiPriority w:val="39"/>
    <w:rsid w:val="00493B0C"/>
    <w:rPr>
      <w:rFonts w:ascii="Calibri" w:eastAsia="Calibri" w:hAnsi="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edulaprofesional.sep.gob.mx/cedula/presidencia/indexAvanzada.action"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il.gobernacion.gob.mx/Glosario/definicionpop.php?ID=3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Y6fYrq7kQH+9UJxy0hnkyrCd+w==">CgMxLjAyCGguZ2pkZ3hzMgloLjMwajB6bGwyCWguMnM4ZXlvMTIIaC50eWpjd3QyCGgubG54Yno5MgloLjFmb2I5dGU4AHIhMWJmQWctVWhqa1BuN3ZfYk53Y09BOWhUWnhtcWNnUUR4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2025-05-08T16:57:00Z</dcterms:created>
  <dc:creator>iMac</dc:creator>
</cp:coreProperties>
</file>