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48B" w:rsidRPr="00DD1D42" w:rsidRDefault="00A077F4">
      <w:pPr>
        <w:tabs>
          <w:tab w:val="left" w:pos="3465"/>
        </w:tabs>
        <w:spacing w:line="360" w:lineRule="auto"/>
        <w:ind w:right="-787"/>
        <w:jc w:val="both"/>
        <w:rPr>
          <w:rFonts w:ascii="Palatino Linotype" w:eastAsia="Palatino Linotype" w:hAnsi="Palatino Linotype" w:cs="Palatino Linotype"/>
          <w:b/>
        </w:rPr>
      </w:pPr>
      <w:r w:rsidRPr="00DD1D4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DD1D42">
        <w:rPr>
          <w:rFonts w:ascii="Palatino Linotype" w:eastAsia="Palatino Linotype" w:hAnsi="Palatino Linotype" w:cs="Palatino Linotype"/>
          <w:b/>
        </w:rPr>
        <w:t xml:space="preserve">de fecha </w:t>
      </w:r>
      <w:r w:rsidR="0028403B" w:rsidRPr="00DD1D42">
        <w:rPr>
          <w:rFonts w:ascii="Palatino Linotype" w:eastAsia="Palatino Linotype" w:hAnsi="Palatino Linotype" w:cs="Palatino Linotype"/>
          <w:b/>
        </w:rPr>
        <w:t>dieciséis (16</w:t>
      </w:r>
      <w:r w:rsidR="004C5179" w:rsidRPr="00DD1D42">
        <w:rPr>
          <w:rFonts w:ascii="Palatino Linotype" w:eastAsia="Palatino Linotype" w:hAnsi="Palatino Linotype" w:cs="Palatino Linotype"/>
          <w:b/>
        </w:rPr>
        <w:t>) de julio</w:t>
      </w:r>
      <w:r w:rsidRPr="00DD1D42">
        <w:rPr>
          <w:rFonts w:ascii="Palatino Linotype" w:eastAsia="Palatino Linotype" w:hAnsi="Palatino Linotype" w:cs="Palatino Linotype"/>
          <w:b/>
        </w:rPr>
        <w:t xml:space="preserve"> de dos mil veinticinco.</w:t>
      </w:r>
    </w:p>
    <w:p w:rsidR="0072148B" w:rsidRPr="00DD1D42" w:rsidRDefault="0072148B">
      <w:pPr>
        <w:tabs>
          <w:tab w:val="left" w:pos="3465"/>
        </w:tabs>
        <w:spacing w:line="360" w:lineRule="auto"/>
        <w:ind w:right="-787"/>
        <w:jc w:val="both"/>
        <w:rPr>
          <w:rFonts w:ascii="Palatino Linotype" w:eastAsia="Palatino Linotype" w:hAnsi="Palatino Linotype" w:cs="Palatino Linotype"/>
        </w:rPr>
      </w:pPr>
    </w:p>
    <w:p w:rsidR="0072148B" w:rsidRPr="00DD1D42" w:rsidRDefault="00A077F4">
      <w:pPr>
        <w:spacing w:line="360" w:lineRule="auto"/>
        <w:ind w:right="-787"/>
        <w:jc w:val="both"/>
        <w:rPr>
          <w:rFonts w:ascii="Palatino Linotype" w:eastAsia="Palatino Linotype" w:hAnsi="Palatino Linotype" w:cs="Palatino Linotype"/>
        </w:rPr>
      </w:pPr>
      <w:r w:rsidRPr="00DD1D42">
        <w:rPr>
          <w:rFonts w:ascii="Palatino Linotype" w:eastAsia="Palatino Linotype" w:hAnsi="Palatino Linotype" w:cs="Palatino Linotype"/>
          <w:b/>
        </w:rPr>
        <w:t xml:space="preserve">VISTAS </w:t>
      </w:r>
      <w:r w:rsidRPr="00DD1D42">
        <w:rPr>
          <w:rFonts w:ascii="Palatino Linotype" w:eastAsia="Palatino Linotype" w:hAnsi="Palatino Linotype" w:cs="Palatino Linotype"/>
        </w:rPr>
        <w:t xml:space="preserve">las constancias para resolver </w:t>
      </w:r>
      <w:r w:rsidR="002C4BEC" w:rsidRPr="00DD1D42">
        <w:rPr>
          <w:rFonts w:ascii="Palatino Linotype" w:eastAsia="Palatino Linotype" w:hAnsi="Palatino Linotype" w:cs="Palatino Linotype"/>
          <w:color w:val="000000"/>
        </w:rPr>
        <w:t>el Recurso</w:t>
      </w:r>
      <w:r w:rsidRPr="00DD1D42">
        <w:rPr>
          <w:rFonts w:ascii="Palatino Linotype" w:eastAsia="Palatino Linotype" w:hAnsi="Palatino Linotype" w:cs="Palatino Linotype"/>
          <w:color w:val="000000"/>
        </w:rPr>
        <w:t xml:space="preserve"> de Revisión </w:t>
      </w:r>
      <w:r w:rsidR="00D23EE7" w:rsidRPr="00DD1D42">
        <w:rPr>
          <w:rFonts w:ascii="Palatino Linotype" w:eastAsia="Palatino Linotype" w:hAnsi="Palatino Linotype" w:cs="Palatino Linotype"/>
          <w:b/>
          <w:color w:val="000000"/>
        </w:rPr>
        <w:t>02738</w:t>
      </w:r>
      <w:r w:rsidRPr="00DD1D42">
        <w:rPr>
          <w:rFonts w:ascii="Palatino Linotype" w:eastAsia="Palatino Linotype" w:hAnsi="Palatino Linotype" w:cs="Palatino Linotype"/>
          <w:b/>
          <w:color w:val="000000"/>
        </w:rPr>
        <w:t>/INFOEM/IP/RR/2025</w:t>
      </w:r>
      <w:r w:rsidR="002C4BEC" w:rsidRPr="00DD1D42">
        <w:rPr>
          <w:rFonts w:ascii="Palatino Linotype" w:eastAsia="Palatino Linotype" w:hAnsi="Palatino Linotype" w:cs="Palatino Linotype"/>
          <w:color w:val="000000"/>
        </w:rPr>
        <w:t>, promovido</w:t>
      </w:r>
      <w:r w:rsidRPr="00DD1D42">
        <w:rPr>
          <w:rFonts w:ascii="Palatino Linotype" w:eastAsia="Palatino Linotype" w:hAnsi="Palatino Linotype" w:cs="Palatino Linotype"/>
          <w:color w:val="000000"/>
        </w:rPr>
        <w:t xml:space="preserve"> por </w:t>
      </w:r>
      <w:r w:rsidR="00B95873" w:rsidRPr="00DD1D42">
        <w:rPr>
          <w:rFonts w:ascii="Palatino Linotype" w:eastAsia="Palatino Linotype" w:hAnsi="Palatino Linotype" w:cs="Palatino Linotype"/>
          <w:color w:val="000000"/>
        </w:rPr>
        <w:t>una persona que no registró nombre</w:t>
      </w:r>
      <w:r w:rsidRPr="00DD1D42">
        <w:rPr>
          <w:rFonts w:ascii="Palatino Linotype" w:eastAsia="Palatino Linotype" w:hAnsi="Palatino Linotype" w:cs="Palatino Linotype"/>
          <w:color w:val="000000"/>
        </w:rPr>
        <w:t>,</w:t>
      </w:r>
      <w:r w:rsidRPr="00DD1D42">
        <w:rPr>
          <w:rFonts w:ascii="Palatino Linotype" w:eastAsia="Palatino Linotype" w:hAnsi="Palatino Linotype" w:cs="Palatino Linotype"/>
        </w:rPr>
        <w:t xml:space="preserve"> en lo sucesivo </w:t>
      </w:r>
      <w:r w:rsidRPr="00DD1D42">
        <w:rPr>
          <w:rFonts w:ascii="Palatino Linotype" w:eastAsia="Palatino Linotype" w:hAnsi="Palatino Linotype" w:cs="Palatino Linotype"/>
          <w:b/>
        </w:rPr>
        <w:t>EL RECURRENTE</w:t>
      </w:r>
      <w:r w:rsidRPr="00DD1D42">
        <w:rPr>
          <w:rFonts w:ascii="Palatino Linotype" w:eastAsia="Palatino Linotype" w:hAnsi="Palatino Linotype" w:cs="Palatino Linotype"/>
        </w:rPr>
        <w:t>, en contr</w:t>
      </w:r>
      <w:r w:rsidR="002C4BEC" w:rsidRPr="00DD1D42">
        <w:rPr>
          <w:rFonts w:ascii="Palatino Linotype" w:eastAsia="Palatino Linotype" w:hAnsi="Palatino Linotype" w:cs="Palatino Linotype"/>
        </w:rPr>
        <w:t>a de la respuesta otorgada a la solicitud</w:t>
      </w:r>
      <w:r w:rsidRPr="00DD1D42">
        <w:rPr>
          <w:rFonts w:ascii="Palatino Linotype" w:eastAsia="Palatino Linotype" w:hAnsi="Palatino Linotype" w:cs="Palatino Linotype"/>
        </w:rPr>
        <w:t xml:space="preserve"> de información </w:t>
      </w:r>
      <w:r w:rsidR="00D23EE7" w:rsidRPr="00DD1D42">
        <w:rPr>
          <w:rFonts w:ascii="Palatino Linotype" w:eastAsia="Palatino Linotype" w:hAnsi="Palatino Linotype" w:cs="Palatino Linotype"/>
          <w:b/>
        </w:rPr>
        <w:t>00853</w:t>
      </w:r>
      <w:r w:rsidR="00790CE8" w:rsidRPr="00DD1D42">
        <w:rPr>
          <w:rFonts w:ascii="Palatino Linotype" w:eastAsia="Palatino Linotype" w:hAnsi="Palatino Linotype" w:cs="Palatino Linotype"/>
          <w:b/>
        </w:rPr>
        <w:t>/TOLUCA/IP/2025</w:t>
      </w:r>
      <w:r w:rsidRPr="00DD1D42">
        <w:rPr>
          <w:rFonts w:ascii="Palatino Linotype" w:eastAsia="Palatino Linotype" w:hAnsi="Palatino Linotype" w:cs="Palatino Linotype"/>
        </w:rPr>
        <w:t xml:space="preserve">, por parte del </w:t>
      </w:r>
      <w:r w:rsidR="00385C23" w:rsidRPr="00DD1D42">
        <w:rPr>
          <w:rFonts w:ascii="Palatino Linotype" w:eastAsia="Palatino Linotype" w:hAnsi="Palatino Linotype" w:cs="Palatino Linotype"/>
          <w:b/>
        </w:rPr>
        <w:t>Ayuntamiento de Toluca</w:t>
      </w:r>
      <w:r w:rsidRPr="00DD1D42">
        <w:rPr>
          <w:rFonts w:ascii="Palatino Linotype" w:eastAsia="Palatino Linotype" w:hAnsi="Palatino Linotype" w:cs="Palatino Linotype"/>
          <w:b/>
        </w:rPr>
        <w:t xml:space="preserve">, </w:t>
      </w:r>
      <w:r w:rsidRPr="00DD1D42">
        <w:rPr>
          <w:rFonts w:ascii="Palatino Linotype" w:eastAsia="Palatino Linotype" w:hAnsi="Palatino Linotype" w:cs="Palatino Linotype"/>
        </w:rPr>
        <w:t xml:space="preserve">en adelante el </w:t>
      </w:r>
      <w:r w:rsidRPr="00DD1D42">
        <w:rPr>
          <w:rFonts w:ascii="Palatino Linotype" w:eastAsia="Palatino Linotype" w:hAnsi="Palatino Linotype" w:cs="Palatino Linotype"/>
          <w:b/>
        </w:rPr>
        <w:t>SUJETO OBLIGADO</w:t>
      </w:r>
      <w:r w:rsidRPr="00DD1D42">
        <w:rPr>
          <w:rFonts w:ascii="Palatino Linotype" w:eastAsia="Palatino Linotype" w:hAnsi="Palatino Linotype" w:cs="Palatino Linotype"/>
        </w:rPr>
        <w:t>, se emite la presente resolución con base en los siguientes:</w:t>
      </w: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A077F4">
      <w:pPr>
        <w:pStyle w:val="Ttulo1"/>
        <w:spacing w:before="0" w:line="360" w:lineRule="auto"/>
        <w:ind w:right="-787"/>
        <w:jc w:val="center"/>
        <w:rPr>
          <w:rFonts w:ascii="Palatino Linotype" w:eastAsia="Palatino Linotype" w:hAnsi="Palatino Linotype" w:cs="Palatino Linotype"/>
          <w:b/>
          <w:color w:val="000000"/>
          <w:sz w:val="24"/>
          <w:szCs w:val="24"/>
        </w:rPr>
      </w:pPr>
      <w:bookmarkStart w:id="0" w:name="_heading=h.gjdgxs" w:colFirst="0" w:colLast="0"/>
      <w:bookmarkEnd w:id="0"/>
      <w:r w:rsidRPr="00DD1D42">
        <w:rPr>
          <w:rFonts w:ascii="Palatino Linotype" w:eastAsia="Palatino Linotype" w:hAnsi="Palatino Linotype" w:cs="Palatino Linotype"/>
          <w:b/>
          <w:color w:val="000000"/>
          <w:sz w:val="24"/>
          <w:szCs w:val="24"/>
        </w:rPr>
        <w:t>A N T E C E D E N T E S</w:t>
      </w:r>
    </w:p>
    <w:p w:rsidR="0072148B" w:rsidRPr="00DD1D42" w:rsidRDefault="0072148B">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rsidR="0072148B" w:rsidRPr="00DD1D42" w:rsidRDefault="00A077F4" w:rsidP="00AA61C9">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El </w:t>
      </w:r>
      <w:r w:rsidR="00D23EE7" w:rsidRPr="00DD1D42">
        <w:rPr>
          <w:rFonts w:ascii="Palatino Linotype" w:eastAsia="Palatino Linotype" w:hAnsi="Palatino Linotype" w:cs="Palatino Linotype"/>
          <w:b/>
          <w:color w:val="000000"/>
        </w:rPr>
        <w:t>trece</w:t>
      </w:r>
      <w:r w:rsidR="0049478E" w:rsidRPr="00DD1D42">
        <w:rPr>
          <w:rFonts w:ascii="Palatino Linotype" w:eastAsia="Palatino Linotype" w:hAnsi="Palatino Linotype" w:cs="Palatino Linotype"/>
          <w:b/>
          <w:color w:val="000000"/>
        </w:rPr>
        <w:t xml:space="preserve"> de febrero</w:t>
      </w:r>
      <w:r w:rsidRPr="00DD1D42">
        <w:rPr>
          <w:rFonts w:ascii="Palatino Linotype" w:eastAsia="Palatino Linotype" w:hAnsi="Palatino Linotype" w:cs="Palatino Linotype"/>
          <w:b/>
          <w:color w:val="000000"/>
        </w:rPr>
        <w:t xml:space="preserve"> de dos mil veinticinco</w:t>
      </w:r>
      <w:r w:rsidRPr="00DD1D42">
        <w:rPr>
          <w:rFonts w:ascii="Palatino Linotype" w:eastAsia="Palatino Linotype" w:hAnsi="Palatino Linotype" w:cs="Palatino Linotype"/>
          <w:color w:val="000000"/>
        </w:rPr>
        <w:t>,</w:t>
      </w:r>
      <w:r w:rsidRPr="00DD1D42">
        <w:rPr>
          <w:rFonts w:ascii="Palatino Linotype" w:eastAsia="Palatino Linotype" w:hAnsi="Palatino Linotype" w:cs="Palatino Linotype"/>
          <w:b/>
          <w:color w:val="000000"/>
        </w:rPr>
        <w:t xml:space="preserve"> </w:t>
      </w:r>
      <w:r w:rsidRPr="00DD1D42">
        <w:rPr>
          <w:rFonts w:ascii="Palatino Linotype" w:eastAsia="Palatino Linotype" w:hAnsi="Palatino Linotype" w:cs="Palatino Linotype"/>
          <w:color w:val="000000"/>
        </w:rPr>
        <w:t>se presentó ante el Sujeto Obligado vía Sistema de Acceso a la Información Mex</w:t>
      </w:r>
      <w:r w:rsidR="002C4BEC" w:rsidRPr="00DD1D42">
        <w:rPr>
          <w:rFonts w:ascii="Palatino Linotype" w:eastAsia="Palatino Linotype" w:hAnsi="Palatino Linotype" w:cs="Palatino Linotype"/>
          <w:color w:val="000000"/>
        </w:rPr>
        <w:t xml:space="preserve">iquense, en adelante SAIMEX, la siguiente </w:t>
      </w:r>
      <w:r w:rsidR="002C4BEC" w:rsidRPr="00DD1D42">
        <w:rPr>
          <w:rFonts w:ascii="Palatino Linotype" w:eastAsia="Palatino Linotype" w:hAnsi="Palatino Linotype" w:cs="Palatino Linotype"/>
          <w:b/>
          <w:color w:val="000000"/>
        </w:rPr>
        <w:t xml:space="preserve">solicitud </w:t>
      </w:r>
      <w:r w:rsidRPr="00DD1D42">
        <w:rPr>
          <w:rFonts w:ascii="Palatino Linotype" w:eastAsia="Palatino Linotype" w:hAnsi="Palatino Linotype" w:cs="Palatino Linotype"/>
          <w:b/>
          <w:color w:val="000000"/>
        </w:rPr>
        <w:t>de información pública</w:t>
      </w:r>
      <w:r w:rsidRPr="00DD1D42">
        <w:rPr>
          <w:rFonts w:ascii="Palatino Linotype" w:eastAsia="Palatino Linotype" w:hAnsi="Palatino Linotype" w:cs="Palatino Linotype"/>
          <w:color w:val="000000"/>
        </w:rPr>
        <w:t>:</w:t>
      </w:r>
    </w:p>
    <w:p w:rsidR="0072148B" w:rsidRPr="00DD1D42" w:rsidRDefault="0072148B" w:rsidP="00223B24">
      <w:pPr>
        <w:pBdr>
          <w:top w:val="nil"/>
          <w:left w:val="nil"/>
          <w:bottom w:val="nil"/>
          <w:right w:val="nil"/>
          <w:between w:val="nil"/>
        </w:pBdr>
        <w:ind w:right="-788"/>
        <w:jc w:val="both"/>
        <w:rPr>
          <w:rFonts w:ascii="Palatino Linotype" w:eastAsia="Palatino Linotype" w:hAnsi="Palatino Linotype" w:cs="Palatino Linotype"/>
          <w:color w:val="000000"/>
        </w:rPr>
      </w:pPr>
    </w:p>
    <w:p w:rsidR="0072148B" w:rsidRPr="00DD1D42" w:rsidRDefault="002C4BEC" w:rsidP="0049478E">
      <w:pPr>
        <w:pBdr>
          <w:top w:val="nil"/>
          <w:left w:val="nil"/>
          <w:bottom w:val="nil"/>
          <w:right w:val="nil"/>
          <w:between w:val="nil"/>
        </w:pBdr>
        <w:ind w:left="567" w:right="-788"/>
        <w:jc w:val="both"/>
        <w:rPr>
          <w:rFonts w:ascii="Palatino Linotype" w:eastAsia="Palatino Linotype" w:hAnsi="Palatino Linotype" w:cs="Palatino Linotype"/>
          <w:i/>
          <w:color w:val="000000"/>
        </w:rPr>
      </w:pPr>
      <w:r w:rsidRPr="00DD1D42">
        <w:rPr>
          <w:rFonts w:ascii="Palatino Linotype" w:eastAsia="Palatino Linotype" w:hAnsi="Palatino Linotype" w:cs="Palatino Linotype"/>
          <w:i/>
          <w:color w:val="000000"/>
        </w:rPr>
        <w:t xml:space="preserve"> </w:t>
      </w:r>
      <w:r w:rsidR="00223B24" w:rsidRPr="00DD1D42">
        <w:rPr>
          <w:rFonts w:ascii="Palatino Linotype" w:eastAsia="Palatino Linotype" w:hAnsi="Palatino Linotype" w:cs="Palatino Linotype"/>
          <w:i/>
          <w:color w:val="000000"/>
        </w:rPr>
        <w:t>“</w:t>
      </w:r>
      <w:r w:rsidR="00FF3263" w:rsidRPr="00DD1D42">
        <w:rPr>
          <w:rFonts w:ascii="Palatino Linotype" w:eastAsia="Palatino Linotype" w:hAnsi="Palatino Linotype" w:cs="Palatino Linotype"/>
          <w:i/>
          <w:color w:val="000000"/>
        </w:rPr>
        <w:t>Los convenios formador por Ricardo Moreno Bastida</w:t>
      </w:r>
      <w:r w:rsidR="00223B24" w:rsidRPr="00DD1D42">
        <w:rPr>
          <w:rFonts w:ascii="Palatino Linotype" w:eastAsia="Palatino Linotype" w:hAnsi="Palatino Linotype" w:cs="Palatino Linotype"/>
          <w:i/>
          <w:color w:val="000000"/>
        </w:rPr>
        <w:t>” (Sic)</w:t>
      </w:r>
    </w:p>
    <w:p w:rsidR="00223B24" w:rsidRPr="00DD1D42" w:rsidRDefault="00223B24" w:rsidP="00223B24">
      <w:pPr>
        <w:pBdr>
          <w:top w:val="nil"/>
          <w:left w:val="nil"/>
          <w:bottom w:val="nil"/>
          <w:right w:val="nil"/>
          <w:between w:val="nil"/>
        </w:pBdr>
        <w:ind w:right="-787"/>
        <w:jc w:val="both"/>
        <w:rPr>
          <w:rFonts w:ascii="Palatino Linotype" w:eastAsia="Palatino Linotype" w:hAnsi="Palatino Linotype" w:cs="Palatino Linotype"/>
          <w:i/>
          <w:color w:val="000000"/>
        </w:rPr>
      </w:pPr>
    </w:p>
    <w:p w:rsidR="0072148B" w:rsidRPr="00DD1D42" w:rsidRDefault="00A077F4">
      <w:pPr>
        <w:numPr>
          <w:ilvl w:val="0"/>
          <w:numId w:val="1"/>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Se eligió como modalidad de entrega de la información: A través del </w:t>
      </w:r>
      <w:r w:rsidRPr="00DD1D42">
        <w:rPr>
          <w:rFonts w:ascii="Palatino Linotype" w:eastAsia="Palatino Linotype" w:hAnsi="Palatino Linotype" w:cs="Palatino Linotype"/>
          <w:b/>
          <w:color w:val="000000"/>
        </w:rPr>
        <w:t>SAIMEX.</w:t>
      </w:r>
    </w:p>
    <w:p w:rsidR="009B2185" w:rsidRPr="00DD1D42" w:rsidRDefault="009B2185" w:rsidP="009B2185">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3E1C35" w:rsidRPr="00DD1D42" w:rsidRDefault="00A077F4" w:rsidP="00AA61C9">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El</w:t>
      </w:r>
      <w:r w:rsidRPr="00DD1D42">
        <w:rPr>
          <w:rFonts w:ascii="Palatino Linotype" w:eastAsia="Palatino Linotype" w:hAnsi="Palatino Linotype" w:cs="Palatino Linotype"/>
          <w:b/>
          <w:color w:val="000000"/>
        </w:rPr>
        <w:t xml:space="preserve"> </w:t>
      </w:r>
      <w:r w:rsidR="00FF3263" w:rsidRPr="00DD1D42">
        <w:rPr>
          <w:rFonts w:ascii="Palatino Linotype" w:eastAsia="Palatino Linotype" w:hAnsi="Palatino Linotype" w:cs="Palatino Linotype"/>
          <w:b/>
          <w:color w:val="000000"/>
        </w:rPr>
        <w:t>siete</w:t>
      </w:r>
      <w:r w:rsidR="006E390C" w:rsidRPr="00DD1D42">
        <w:rPr>
          <w:rFonts w:ascii="Palatino Linotype" w:eastAsia="Palatino Linotype" w:hAnsi="Palatino Linotype" w:cs="Palatino Linotype"/>
          <w:b/>
          <w:color w:val="000000"/>
        </w:rPr>
        <w:t xml:space="preserve"> de marzo</w:t>
      </w:r>
      <w:r w:rsidRPr="00DD1D42">
        <w:rPr>
          <w:rFonts w:ascii="Palatino Linotype" w:eastAsia="Palatino Linotype" w:hAnsi="Palatino Linotype" w:cs="Palatino Linotype"/>
          <w:b/>
          <w:color w:val="000000"/>
        </w:rPr>
        <w:t xml:space="preserve"> de dos mil veinticinco</w:t>
      </w:r>
      <w:r w:rsidRPr="00DD1D42">
        <w:rPr>
          <w:rFonts w:ascii="Palatino Linotype" w:eastAsia="Palatino Linotype" w:hAnsi="Palatino Linotype" w:cs="Palatino Linotype"/>
          <w:color w:val="000000"/>
        </w:rPr>
        <w:t>, el Sujeto Obligado</w:t>
      </w:r>
      <w:r w:rsidRPr="00DD1D42">
        <w:rPr>
          <w:rFonts w:ascii="Palatino Linotype" w:eastAsia="Palatino Linotype" w:hAnsi="Palatino Linotype" w:cs="Palatino Linotype"/>
          <w:b/>
          <w:color w:val="000000"/>
        </w:rPr>
        <w:t>,</w:t>
      </w:r>
      <w:r w:rsidRPr="00DD1D42">
        <w:rPr>
          <w:rFonts w:ascii="Palatino Linotype" w:eastAsia="Palatino Linotype" w:hAnsi="Palatino Linotype" w:cs="Palatino Linotype"/>
          <w:color w:val="000000"/>
        </w:rPr>
        <w:t xml:space="preserve"> dio </w:t>
      </w:r>
      <w:r w:rsidRPr="00DD1D42">
        <w:rPr>
          <w:rFonts w:ascii="Palatino Linotype" w:eastAsia="Palatino Linotype" w:hAnsi="Palatino Linotype" w:cs="Palatino Linotype"/>
          <w:b/>
          <w:color w:val="000000"/>
        </w:rPr>
        <w:t>respuesta</w:t>
      </w:r>
      <w:r w:rsidRPr="00DD1D42">
        <w:rPr>
          <w:rFonts w:ascii="Palatino Linotype" w:eastAsia="Palatino Linotype" w:hAnsi="Palatino Linotype" w:cs="Palatino Linotype"/>
          <w:color w:val="000000"/>
        </w:rPr>
        <w:t xml:space="preserve"> a través de los siguientes archivos electrónicos</w:t>
      </w:r>
      <w:r w:rsidRPr="00DD1D42">
        <w:rPr>
          <w:rFonts w:ascii="Palatino Linotype" w:eastAsia="Palatino Linotype" w:hAnsi="Palatino Linotype" w:cs="Palatino Linotype"/>
          <w:b/>
          <w:i/>
          <w:color w:val="000000"/>
        </w:rPr>
        <w:t>:</w:t>
      </w:r>
    </w:p>
    <w:p w:rsidR="00FF3263" w:rsidRPr="00DD1D42" w:rsidRDefault="00FF3263" w:rsidP="00FF3263">
      <w:pPr>
        <w:pBdr>
          <w:top w:val="nil"/>
          <w:left w:val="nil"/>
          <w:bottom w:val="nil"/>
          <w:right w:val="nil"/>
          <w:between w:val="nil"/>
        </w:pBdr>
        <w:ind w:left="851" w:right="-788"/>
        <w:jc w:val="both"/>
        <w:rPr>
          <w:rFonts w:ascii="Palatino Linotype" w:eastAsia="Palatino Linotype" w:hAnsi="Palatino Linotype" w:cs="Palatino Linotype"/>
          <w:b/>
          <w:i/>
          <w:color w:val="000000"/>
        </w:rPr>
      </w:pPr>
      <w:r w:rsidRPr="00DD1D42">
        <w:rPr>
          <w:rFonts w:ascii="Palatino Linotype" w:eastAsia="Palatino Linotype" w:hAnsi="Palatino Linotype" w:cs="Palatino Linotype"/>
          <w:b/>
          <w:i/>
          <w:color w:val="000000"/>
        </w:rPr>
        <w:t>00853_2025.pdf</w:t>
      </w:r>
    </w:p>
    <w:p w:rsidR="00FF3263" w:rsidRPr="00DD1D42" w:rsidRDefault="009150A4" w:rsidP="00FF3263">
      <w:pPr>
        <w:pBdr>
          <w:top w:val="nil"/>
          <w:left w:val="nil"/>
          <w:bottom w:val="nil"/>
          <w:right w:val="nil"/>
          <w:between w:val="nil"/>
        </w:pBdr>
        <w:ind w:left="851" w:right="-788"/>
        <w:jc w:val="both"/>
        <w:rPr>
          <w:rFonts w:ascii="Palatino Linotype" w:eastAsia="Palatino Linotype" w:hAnsi="Palatino Linotype" w:cs="Palatino Linotype"/>
          <w:i/>
          <w:color w:val="000000"/>
        </w:rPr>
      </w:pPr>
      <w:r w:rsidRPr="00DD1D42">
        <w:rPr>
          <w:rFonts w:ascii="Palatino Linotype" w:eastAsia="Palatino Linotype" w:hAnsi="Palatino Linotype" w:cs="Palatino Linotype"/>
          <w:color w:val="000000"/>
        </w:rPr>
        <w:t xml:space="preserve">Oficio 2000100000/462/2025 de fecha 24 de febrero de 2025 firmado por el Secretario Particular de Presidencia, a través del cual informa que </w:t>
      </w:r>
      <w:r w:rsidRPr="00DD1D42">
        <w:rPr>
          <w:rFonts w:ascii="Palatino Linotype" w:eastAsia="Palatino Linotype" w:hAnsi="Palatino Linotype" w:cs="Palatino Linotype"/>
          <w:i/>
          <w:color w:val="000000"/>
        </w:rPr>
        <w:t xml:space="preserve">“después de una búsqueda minuciosa y exhaustiva en los archivos de esta Secretaría Particular, </w:t>
      </w:r>
      <w:r w:rsidRPr="00DD1D42">
        <w:rPr>
          <w:rFonts w:ascii="Palatino Linotype" w:eastAsia="Palatino Linotype" w:hAnsi="Palatino Linotype" w:cs="Palatino Linotype"/>
          <w:b/>
          <w:i/>
          <w:color w:val="000000"/>
        </w:rPr>
        <w:t>no se cuenta con dicha información por no haberla generado, poseído o administrado.</w:t>
      </w:r>
      <w:r w:rsidRPr="00DD1D42">
        <w:rPr>
          <w:rFonts w:ascii="Palatino Linotype" w:eastAsia="Palatino Linotype" w:hAnsi="Palatino Linotype" w:cs="Palatino Linotype"/>
          <w:i/>
          <w:color w:val="000000"/>
        </w:rPr>
        <w:t>”</w:t>
      </w:r>
    </w:p>
    <w:p w:rsidR="00FF3263" w:rsidRPr="00DD1D42" w:rsidRDefault="00FF3263" w:rsidP="00FF3263">
      <w:pPr>
        <w:pBdr>
          <w:top w:val="nil"/>
          <w:left w:val="nil"/>
          <w:bottom w:val="nil"/>
          <w:right w:val="nil"/>
          <w:between w:val="nil"/>
        </w:pBdr>
        <w:ind w:left="851" w:right="-788"/>
        <w:jc w:val="both"/>
        <w:rPr>
          <w:rFonts w:ascii="Palatino Linotype" w:eastAsia="Palatino Linotype" w:hAnsi="Palatino Linotype" w:cs="Palatino Linotype"/>
          <w:b/>
          <w:i/>
          <w:color w:val="000000"/>
        </w:rPr>
      </w:pPr>
    </w:p>
    <w:p w:rsidR="00796D30" w:rsidRPr="00DD1D42" w:rsidRDefault="00FF3263" w:rsidP="00FF3263">
      <w:pPr>
        <w:pBdr>
          <w:top w:val="nil"/>
          <w:left w:val="nil"/>
          <w:bottom w:val="nil"/>
          <w:right w:val="nil"/>
          <w:between w:val="nil"/>
        </w:pBdr>
        <w:ind w:left="851" w:right="-788"/>
        <w:jc w:val="both"/>
        <w:rPr>
          <w:rFonts w:ascii="Palatino Linotype" w:eastAsia="Palatino Linotype" w:hAnsi="Palatino Linotype" w:cs="Palatino Linotype"/>
          <w:b/>
          <w:i/>
          <w:color w:val="000000"/>
        </w:rPr>
      </w:pPr>
      <w:r w:rsidRPr="00DD1D42">
        <w:rPr>
          <w:rFonts w:ascii="Palatino Linotype" w:eastAsia="Palatino Linotype" w:hAnsi="Palatino Linotype" w:cs="Palatino Linotype"/>
          <w:b/>
          <w:i/>
          <w:color w:val="000000"/>
        </w:rPr>
        <w:t>R. 0853_25.pdf</w:t>
      </w:r>
    </w:p>
    <w:p w:rsidR="00396E02" w:rsidRPr="00DD1D42" w:rsidRDefault="00396E02" w:rsidP="00FF3263">
      <w:pPr>
        <w:pBdr>
          <w:top w:val="nil"/>
          <w:left w:val="nil"/>
          <w:bottom w:val="nil"/>
          <w:right w:val="nil"/>
          <w:between w:val="nil"/>
        </w:pBdr>
        <w:ind w:left="851" w:right="-788"/>
        <w:jc w:val="both"/>
        <w:rPr>
          <w:rFonts w:ascii="Palatino Linotype" w:eastAsia="Palatino Linotype" w:hAnsi="Palatino Linotype" w:cs="Palatino Linotype"/>
          <w:b/>
          <w:color w:val="000000"/>
        </w:rPr>
      </w:pPr>
      <w:r w:rsidRPr="00DD1D42">
        <w:rPr>
          <w:rFonts w:ascii="Palatino Linotype" w:eastAsia="Palatino Linotype" w:hAnsi="Palatino Linotype" w:cs="Palatino Linotype"/>
          <w:color w:val="000000"/>
        </w:rPr>
        <w:t xml:space="preserve">Documento de fecha 07 de marzo de 2025, suscrito por el Titular de la Unidad de Transparencia, a través del cual hace del conocimiento que la Servidora Pública Habilitada de la </w:t>
      </w:r>
      <w:r w:rsidRPr="00DD1D42">
        <w:rPr>
          <w:rFonts w:ascii="Palatino Linotype" w:eastAsia="Palatino Linotype" w:hAnsi="Palatino Linotype" w:cs="Palatino Linotype"/>
          <w:b/>
          <w:color w:val="000000"/>
        </w:rPr>
        <w:t>Dirección General de Administración</w:t>
      </w:r>
      <w:r w:rsidRPr="00DD1D42">
        <w:rPr>
          <w:rFonts w:ascii="Palatino Linotype" w:eastAsia="Palatino Linotype" w:hAnsi="Palatino Linotype" w:cs="Palatino Linotype"/>
          <w:color w:val="000000"/>
        </w:rPr>
        <w:t xml:space="preserve"> </w:t>
      </w:r>
      <w:r w:rsidR="00222647" w:rsidRPr="00DD1D42">
        <w:rPr>
          <w:rFonts w:ascii="Palatino Linotype" w:eastAsia="Palatino Linotype" w:hAnsi="Palatino Linotype" w:cs="Palatino Linotype"/>
          <w:color w:val="000000"/>
        </w:rPr>
        <w:t>“</w:t>
      </w:r>
      <w:r w:rsidR="00222647" w:rsidRPr="00DD1D42">
        <w:rPr>
          <w:rFonts w:ascii="Palatino Linotype" w:eastAsia="Palatino Linotype" w:hAnsi="Palatino Linotype" w:cs="Palatino Linotype"/>
          <w:i/>
          <w:color w:val="000000"/>
        </w:rPr>
        <w:t xml:space="preserve">informó que después de una búsqueda exhaustiva y razonable en los archivos físicos y electrónicos que guarda el Departamento de Convenios y Relaciones Laborales, </w:t>
      </w:r>
      <w:r w:rsidR="00222647" w:rsidRPr="00DD1D42">
        <w:rPr>
          <w:rFonts w:ascii="Palatino Linotype" w:eastAsia="Palatino Linotype" w:hAnsi="Palatino Linotype" w:cs="Palatino Linotype"/>
          <w:b/>
          <w:i/>
          <w:color w:val="000000"/>
        </w:rPr>
        <w:t>no se localizó registro alguno de las información solicitada</w:t>
      </w:r>
      <w:r w:rsidR="00222647" w:rsidRPr="00DD1D42">
        <w:rPr>
          <w:rFonts w:ascii="Palatino Linotype" w:eastAsia="Palatino Linotype" w:hAnsi="Palatino Linotype" w:cs="Palatino Linotype"/>
          <w:b/>
          <w:color w:val="000000"/>
        </w:rPr>
        <w:t>.”</w:t>
      </w:r>
    </w:p>
    <w:p w:rsidR="00222647" w:rsidRPr="00DD1D42" w:rsidRDefault="00222647" w:rsidP="00FF3263">
      <w:pPr>
        <w:pBdr>
          <w:top w:val="nil"/>
          <w:left w:val="nil"/>
          <w:bottom w:val="nil"/>
          <w:right w:val="nil"/>
          <w:between w:val="nil"/>
        </w:pBdr>
        <w:ind w:left="851" w:right="-788"/>
        <w:jc w:val="both"/>
        <w:rPr>
          <w:rFonts w:ascii="Palatino Linotype" w:eastAsia="Palatino Linotype" w:hAnsi="Palatino Linotype" w:cs="Palatino Linotype"/>
          <w:b/>
          <w:color w:val="000000"/>
        </w:rPr>
      </w:pPr>
    </w:p>
    <w:p w:rsidR="00222647" w:rsidRPr="00DD1D42" w:rsidRDefault="00222647" w:rsidP="00FF3263">
      <w:pPr>
        <w:pBdr>
          <w:top w:val="nil"/>
          <w:left w:val="nil"/>
          <w:bottom w:val="nil"/>
          <w:right w:val="nil"/>
          <w:between w:val="nil"/>
        </w:pBdr>
        <w:ind w:left="851" w:right="-788"/>
        <w:jc w:val="both"/>
        <w:rPr>
          <w:rFonts w:ascii="Palatino Linotype" w:eastAsia="Palatino Linotype" w:hAnsi="Palatino Linotype" w:cs="Palatino Linotype"/>
          <w:i/>
          <w:color w:val="000000"/>
        </w:rPr>
      </w:pPr>
      <w:r w:rsidRPr="00DD1D42">
        <w:rPr>
          <w:rFonts w:ascii="Palatino Linotype" w:eastAsia="Palatino Linotype" w:hAnsi="Palatino Linotype" w:cs="Palatino Linotype"/>
          <w:i/>
          <w:color w:val="000000"/>
        </w:rPr>
        <w:t xml:space="preserve">“Así mismo la </w:t>
      </w:r>
      <w:r w:rsidRPr="00DD1D42">
        <w:rPr>
          <w:rFonts w:ascii="Palatino Linotype" w:eastAsia="Palatino Linotype" w:hAnsi="Palatino Linotype" w:cs="Palatino Linotype"/>
          <w:b/>
          <w:i/>
          <w:color w:val="000000"/>
        </w:rPr>
        <w:t>Secretaría Particular de Presidencia</w:t>
      </w:r>
      <w:r w:rsidRPr="00DD1D42">
        <w:rPr>
          <w:rFonts w:ascii="Palatino Linotype" w:eastAsia="Palatino Linotype" w:hAnsi="Palatino Linotype" w:cs="Palatino Linotype"/>
          <w:i/>
          <w:color w:val="000000"/>
        </w:rPr>
        <w:t xml:space="preserve"> y Servidor Público Habilitado, informó que después de una búsqueda minuciosa y exhaustiva en los archivos de la Secretaría Particular, </w:t>
      </w:r>
      <w:r w:rsidRPr="00DD1D42">
        <w:rPr>
          <w:rFonts w:ascii="Palatino Linotype" w:eastAsia="Palatino Linotype" w:hAnsi="Palatino Linotype" w:cs="Palatino Linotype"/>
          <w:b/>
          <w:i/>
          <w:color w:val="000000"/>
        </w:rPr>
        <w:t>no se cuenta con dicha información por no haberla generado, poseído o administrado</w:t>
      </w:r>
      <w:r w:rsidRPr="00DD1D42">
        <w:rPr>
          <w:rFonts w:ascii="Palatino Linotype" w:eastAsia="Palatino Linotype" w:hAnsi="Palatino Linotype" w:cs="Palatino Linotype"/>
          <w:i/>
          <w:color w:val="000000"/>
        </w:rPr>
        <w:t>.”</w:t>
      </w:r>
    </w:p>
    <w:p w:rsidR="007B7C68" w:rsidRPr="00DD1D42" w:rsidRDefault="007B7C68" w:rsidP="005A3070">
      <w:pPr>
        <w:pBdr>
          <w:top w:val="nil"/>
          <w:left w:val="nil"/>
          <w:bottom w:val="nil"/>
          <w:right w:val="nil"/>
          <w:between w:val="nil"/>
        </w:pBdr>
        <w:tabs>
          <w:tab w:val="left" w:pos="567"/>
        </w:tabs>
        <w:ind w:right="62"/>
        <w:jc w:val="both"/>
        <w:rPr>
          <w:rFonts w:ascii="Palatino Linotype" w:eastAsia="Palatino Linotype" w:hAnsi="Palatino Linotype" w:cs="Palatino Linotype"/>
          <w:b/>
        </w:rPr>
      </w:pPr>
    </w:p>
    <w:p w:rsidR="0072148B" w:rsidRPr="00DD1D42" w:rsidRDefault="00A077F4" w:rsidP="00AA61C9">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El</w:t>
      </w:r>
      <w:r w:rsidRPr="00DD1D42">
        <w:rPr>
          <w:rFonts w:ascii="Palatino Linotype" w:eastAsia="Palatino Linotype" w:hAnsi="Palatino Linotype" w:cs="Palatino Linotype"/>
          <w:b/>
          <w:color w:val="000000"/>
        </w:rPr>
        <w:t xml:space="preserve"> </w:t>
      </w:r>
      <w:r w:rsidR="00602109" w:rsidRPr="00DD1D42">
        <w:rPr>
          <w:rFonts w:ascii="Palatino Linotype" w:eastAsia="Palatino Linotype" w:hAnsi="Palatino Linotype" w:cs="Palatino Linotype"/>
          <w:b/>
          <w:color w:val="000000"/>
        </w:rPr>
        <w:t>diez</w:t>
      </w:r>
      <w:r w:rsidR="00A42B65" w:rsidRPr="00DD1D42">
        <w:rPr>
          <w:rFonts w:ascii="Palatino Linotype" w:eastAsia="Palatino Linotype" w:hAnsi="Palatino Linotype" w:cs="Palatino Linotype"/>
          <w:b/>
          <w:color w:val="000000"/>
        </w:rPr>
        <w:t xml:space="preserve"> de marzo</w:t>
      </w:r>
      <w:r w:rsidRPr="00DD1D42">
        <w:rPr>
          <w:rFonts w:ascii="Palatino Linotype" w:eastAsia="Palatino Linotype" w:hAnsi="Palatino Linotype" w:cs="Palatino Linotype"/>
          <w:b/>
          <w:color w:val="000000"/>
        </w:rPr>
        <w:t xml:space="preserve"> de dos mil veinticinco</w:t>
      </w:r>
      <w:r w:rsidRPr="00DD1D42">
        <w:rPr>
          <w:rFonts w:ascii="Palatino Linotype" w:eastAsia="Palatino Linotype" w:hAnsi="Palatino Linotype" w:cs="Palatino Linotype"/>
          <w:color w:val="000000"/>
        </w:rPr>
        <w:t xml:space="preserve">, el particular interpuso </w:t>
      </w:r>
      <w:r w:rsidR="00E30A06" w:rsidRPr="00DD1D42">
        <w:rPr>
          <w:rFonts w:ascii="Palatino Linotype" w:eastAsia="Palatino Linotype" w:hAnsi="Palatino Linotype" w:cs="Palatino Linotype"/>
          <w:color w:val="000000"/>
        </w:rPr>
        <w:t xml:space="preserve">el </w:t>
      </w:r>
      <w:r w:rsidR="00E30A06" w:rsidRPr="00DD1D42">
        <w:rPr>
          <w:rFonts w:ascii="Palatino Linotype" w:eastAsia="Palatino Linotype" w:hAnsi="Palatino Linotype" w:cs="Palatino Linotype"/>
          <w:b/>
          <w:color w:val="000000"/>
        </w:rPr>
        <w:t>recurso</w:t>
      </w:r>
      <w:r w:rsidRPr="00DD1D42">
        <w:rPr>
          <w:rFonts w:ascii="Palatino Linotype" w:eastAsia="Palatino Linotype" w:hAnsi="Palatino Linotype" w:cs="Palatino Linotype"/>
          <w:b/>
          <w:color w:val="000000"/>
        </w:rPr>
        <w:t xml:space="preserve"> de revisión</w:t>
      </w:r>
      <w:r w:rsidRPr="00DD1D42">
        <w:rPr>
          <w:rFonts w:ascii="Palatino Linotype" w:eastAsia="Palatino Linotype" w:hAnsi="Palatino Linotype" w:cs="Palatino Linotype"/>
          <w:color w:val="000000"/>
        </w:rPr>
        <w:t xml:space="preserve"> a</w:t>
      </w:r>
      <w:r w:rsidR="00E30A06" w:rsidRPr="00DD1D42">
        <w:rPr>
          <w:rFonts w:ascii="Palatino Linotype" w:eastAsia="Palatino Linotype" w:hAnsi="Palatino Linotype" w:cs="Palatino Linotype"/>
          <w:color w:val="000000"/>
        </w:rPr>
        <w:t>l</w:t>
      </w:r>
      <w:r w:rsidRPr="00DD1D42">
        <w:rPr>
          <w:rFonts w:ascii="Palatino Linotype" w:eastAsia="Palatino Linotype" w:hAnsi="Palatino Linotype" w:cs="Palatino Linotype"/>
          <w:color w:val="000000"/>
        </w:rPr>
        <w:t xml:space="preserve"> </w:t>
      </w:r>
      <w:r w:rsidR="00E30A06" w:rsidRPr="00DD1D42">
        <w:rPr>
          <w:rFonts w:ascii="Palatino Linotype" w:eastAsia="Palatino Linotype" w:hAnsi="Palatino Linotype" w:cs="Palatino Linotype"/>
          <w:color w:val="000000"/>
        </w:rPr>
        <w:t>que se le</w:t>
      </w:r>
      <w:r w:rsidRPr="00DD1D42">
        <w:rPr>
          <w:rFonts w:ascii="Palatino Linotype" w:eastAsia="Palatino Linotype" w:hAnsi="Palatino Linotype" w:cs="Palatino Linotype"/>
          <w:color w:val="000000"/>
        </w:rPr>
        <w:t xml:space="preserve"> </w:t>
      </w:r>
      <w:r w:rsidR="00E30A06" w:rsidRPr="00DD1D42">
        <w:rPr>
          <w:rFonts w:ascii="Palatino Linotype" w:eastAsia="Palatino Linotype" w:hAnsi="Palatino Linotype" w:cs="Palatino Linotype"/>
          <w:color w:val="000000"/>
        </w:rPr>
        <w:t>asignó</w:t>
      </w:r>
      <w:r w:rsidRPr="00DD1D42">
        <w:rPr>
          <w:rFonts w:ascii="Palatino Linotype" w:eastAsia="Palatino Linotype" w:hAnsi="Palatino Linotype" w:cs="Palatino Linotype"/>
          <w:color w:val="000000"/>
        </w:rPr>
        <w:t xml:space="preserve"> </w:t>
      </w:r>
      <w:r w:rsidR="00E30A06" w:rsidRPr="00DD1D42">
        <w:rPr>
          <w:rFonts w:ascii="Palatino Linotype" w:eastAsia="Palatino Linotype" w:hAnsi="Palatino Linotype" w:cs="Palatino Linotype"/>
          <w:color w:val="000000"/>
        </w:rPr>
        <w:t>el folio</w:t>
      </w:r>
      <w:r w:rsidRPr="00DD1D42">
        <w:rPr>
          <w:rFonts w:ascii="Palatino Linotype" w:eastAsia="Palatino Linotype" w:hAnsi="Palatino Linotype" w:cs="Palatino Linotype"/>
          <w:color w:val="000000"/>
        </w:rPr>
        <w:t xml:space="preserve"> </w:t>
      </w:r>
      <w:r w:rsidR="00602109" w:rsidRPr="00DD1D42">
        <w:rPr>
          <w:rFonts w:ascii="Palatino Linotype" w:eastAsia="Palatino Linotype" w:hAnsi="Palatino Linotype" w:cs="Palatino Linotype"/>
          <w:b/>
          <w:color w:val="000000"/>
        </w:rPr>
        <w:t>02738</w:t>
      </w:r>
      <w:r w:rsidR="00E30A06" w:rsidRPr="00DD1D42">
        <w:rPr>
          <w:rFonts w:ascii="Palatino Linotype" w:eastAsia="Palatino Linotype" w:hAnsi="Palatino Linotype" w:cs="Palatino Linotype"/>
          <w:b/>
          <w:color w:val="000000"/>
        </w:rPr>
        <w:t>/INFOEM/IP/RR/2025</w:t>
      </w:r>
      <w:r w:rsidRPr="00DD1D42">
        <w:rPr>
          <w:rFonts w:ascii="Palatino Linotype" w:eastAsia="Palatino Linotype" w:hAnsi="Palatino Linotype" w:cs="Palatino Linotype"/>
          <w:b/>
          <w:color w:val="000000"/>
        </w:rPr>
        <w:t xml:space="preserve"> </w:t>
      </w:r>
      <w:r w:rsidRPr="00DD1D42">
        <w:rPr>
          <w:rFonts w:ascii="Palatino Linotype" w:eastAsia="Palatino Linotype" w:hAnsi="Palatino Linotype" w:cs="Palatino Linotype"/>
          <w:color w:val="000000"/>
        </w:rPr>
        <w:t xml:space="preserve">en contra de </w:t>
      </w:r>
      <w:r w:rsidR="00E30A06" w:rsidRPr="00DD1D42">
        <w:rPr>
          <w:rFonts w:ascii="Palatino Linotype" w:eastAsia="Palatino Linotype" w:hAnsi="Palatino Linotype" w:cs="Palatino Linotype"/>
          <w:color w:val="000000"/>
        </w:rPr>
        <w:t>la respuesta emitida</w:t>
      </w:r>
      <w:r w:rsidRPr="00DD1D42">
        <w:rPr>
          <w:rFonts w:ascii="Palatino Linotype" w:eastAsia="Palatino Linotype" w:hAnsi="Palatino Linotype" w:cs="Palatino Linotype"/>
          <w:color w:val="000000"/>
        </w:rPr>
        <w:t xml:space="preserve"> por el sujeto obligado, realizando las siguientes manifestaciones como acto impugnado y razones o motivos de inconformidad:</w:t>
      </w:r>
    </w:p>
    <w:p w:rsidR="0033402D" w:rsidRPr="00DD1D42" w:rsidRDefault="0033402D" w:rsidP="0033402D">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rPr>
      </w:pPr>
    </w:p>
    <w:p w:rsidR="0072148B" w:rsidRPr="00DD1D42" w:rsidRDefault="00A077F4" w:rsidP="00DD1D42">
      <w:pPr>
        <w:pStyle w:val="Prrafodelista"/>
        <w:numPr>
          <w:ilvl w:val="0"/>
          <w:numId w:val="9"/>
        </w:numPr>
        <w:pBdr>
          <w:top w:val="nil"/>
          <w:left w:val="nil"/>
          <w:bottom w:val="nil"/>
          <w:right w:val="nil"/>
          <w:between w:val="nil"/>
        </w:pBdr>
        <w:ind w:right="-787"/>
        <w:jc w:val="both"/>
        <w:rPr>
          <w:rFonts w:ascii="Palatino Linotype" w:eastAsia="Palatino Linotype" w:hAnsi="Palatino Linotype" w:cs="Palatino Linotype"/>
          <w:i/>
          <w:color w:val="000000"/>
        </w:rPr>
      </w:pPr>
      <w:bookmarkStart w:id="1" w:name="_heading=h.30j0zll" w:colFirst="0" w:colLast="0"/>
      <w:bookmarkEnd w:id="1"/>
      <w:r w:rsidRPr="00DD1D42">
        <w:rPr>
          <w:rFonts w:ascii="Palatino Linotype" w:eastAsia="Palatino Linotype" w:hAnsi="Palatino Linotype" w:cs="Palatino Linotype"/>
          <w:b/>
          <w:color w:val="000000"/>
        </w:rPr>
        <w:t xml:space="preserve">Acto impugnado: </w:t>
      </w:r>
      <w:r w:rsidRPr="00DD1D42">
        <w:rPr>
          <w:rFonts w:ascii="Palatino Linotype" w:eastAsia="Palatino Linotype" w:hAnsi="Palatino Linotype" w:cs="Palatino Linotype"/>
          <w:i/>
          <w:color w:val="000000"/>
        </w:rPr>
        <w:t>“</w:t>
      </w:r>
      <w:r w:rsidR="00602109" w:rsidRPr="00DD1D42">
        <w:rPr>
          <w:rFonts w:ascii="Palatino Linotype" w:eastAsia="Palatino Linotype" w:hAnsi="Palatino Linotype" w:cs="Palatino Linotype"/>
          <w:i/>
          <w:color w:val="000000"/>
        </w:rPr>
        <w:t>La burla y negativa de la información si en sus redes sociales publican eventos de firma de convenio</w:t>
      </w:r>
      <w:r w:rsidRPr="00DD1D42">
        <w:rPr>
          <w:rFonts w:ascii="Palatino Linotype" w:eastAsia="Palatino Linotype" w:hAnsi="Palatino Linotype" w:cs="Palatino Linotype"/>
          <w:i/>
          <w:color w:val="000000"/>
        </w:rPr>
        <w:t>” (Sic)</w:t>
      </w:r>
    </w:p>
    <w:p w:rsidR="0072148B" w:rsidRPr="00DD1D42" w:rsidRDefault="0072148B" w:rsidP="0033402D">
      <w:pPr>
        <w:pBdr>
          <w:top w:val="nil"/>
          <w:left w:val="nil"/>
          <w:bottom w:val="nil"/>
          <w:right w:val="nil"/>
          <w:between w:val="nil"/>
        </w:pBdr>
        <w:ind w:left="851" w:right="-787"/>
        <w:jc w:val="both"/>
        <w:rPr>
          <w:rFonts w:ascii="Palatino Linotype" w:eastAsia="Palatino Linotype" w:hAnsi="Palatino Linotype" w:cs="Palatino Linotype"/>
          <w:i/>
          <w:color w:val="000000"/>
        </w:rPr>
      </w:pPr>
    </w:p>
    <w:p w:rsidR="0072148B" w:rsidRPr="00DD1D42" w:rsidRDefault="00A077F4" w:rsidP="00DD1D42">
      <w:pPr>
        <w:pStyle w:val="Prrafodelista"/>
        <w:numPr>
          <w:ilvl w:val="0"/>
          <w:numId w:val="9"/>
        </w:numPr>
        <w:pBdr>
          <w:top w:val="nil"/>
          <w:left w:val="nil"/>
          <w:bottom w:val="nil"/>
          <w:right w:val="nil"/>
          <w:between w:val="nil"/>
        </w:pBdr>
        <w:ind w:right="-79"/>
        <w:jc w:val="both"/>
        <w:rPr>
          <w:rFonts w:ascii="Palatino Linotype" w:eastAsia="Palatino Linotype" w:hAnsi="Palatino Linotype" w:cs="Palatino Linotype"/>
          <w:i/>
          <w:color w:val="000000"/>
        </w:rPr>
      </w:pPr>
      <w:bookmarkStart w:id="2" w:name="_heading=h.1fob9te" w:colFirst="0" w:colLast="0"/>
      <w:bookmarkEnd w:id="2"/>
      <w:r w:rsidRPr="00DD1D42">
        <w:rPr>
          <w:rFonts w:ascii="Palatino Linotype" w:eastAsia="Palatino Linotype" w:hAnsi="Palatino Linotype" w:cs="Palatino Linotype"/>
          <w:b/>
          <w:color w:val="000000"/>
        </w:rPr>
        <w:t xml:space="preserve">Razones o Motivos de inconformidad: </w:t>
      </w:r>
      <w:r w:rsidRPr="00DD1D42">
        <w:rPr>
          <w:rFonts w:ascii="Palatino Linotype" w:eastAsia="Palatino Linotype" w:hAnsi="Palatino Linotype" w:cs="Palatino Linotype"/>
          <w:i/>
          <w:color w:val="000000"/>
        </w:rPr>
        <w:t>“</w:t>
      </w:r>
      <w:r w:rsidR="00602109" w:rsidRPr="00DD1D42">
        <w:rPr>
          <w:rFonts w:ascii="Palatino Linotype" w:eastAsia="Palatino Linotype" w:hAnsi="Palatino Linotype" w:cs="Palatino Linotype"/>
          <w:i/>
          <w:color w:val="000000"/>
        </w:rPr>
        <w:t>Niega la información que ustedes mismos publican en sus redes solo entorpecen el derecho de acceso con mala fe</w:t>
      </w:r>
      <w:r w:rsidRPr="00DD1D42">
        <w:rPr>
          <w:rFonts w:ascii="Palatino Linotype" w:eastAsia="Palatino Linotype" w:hAnsi="Palatino Linotype" w:cs="Palatino Linotype"/>
          <w:i/>
          <w:color w:val="000000"/>
        </w:rPr>
        <w:t xml:space="preserve">” </w:t>
      </w:r>
      <w:r w:rsidRPr="00DD1D42">
        <w:rPr>
          <w:rFonts w:ascii="Palatino Linotype" w:eastAsia="Palatino Linotype" w:hAnsi="Palatino Linotype" w:cs="Palatino Linotype"/>
          <w:color w:val="000000"/>
        </w:rPr>
        <w:t>(Sic)</w:t>
      </w:r>
    </w:p>
    <w:p w:rsidR="0072148B" w:rsidRPr="00DD1D42" w:rsidRDefault="0072148B">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72148B" w:rsidRPr="00DD1D42" w:rsidRDefault="006C72E8" w:rsidP="00AA61C9">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La Comisionada Ponente</w:t>
      </w:r>
      <w:r w:rsidR="00A077F4" w:rsidRPr="00DD1D42">
        <w:rPr>
          <w:rFonts w:ascii="Palatino Linotype" w:eastAsia="Palatino Linotype" w:hAnsi="Palatino Linotype" w:cs="Palatino Linotype"/>
          <w:color w:val="000000"/>
        </w:rPr>
        <w:t xml:space="preserve"> con fundamento en lo dispuesto por el artículo 185, fracción II, de la ley de la materia, a través </w:t>
      </w:r>
      <w:r w:rsidRPr="00DD1D42">
        <w:rPr>
          <w:rFonts w:ascii="Palatino Linotype" w:eastAsia="Palatino Linotype" w:hAnsi="Palatino Linotype" w:cs="Palatino Linotype"/>
          <w:color w:val="000000"/>
        </w:rPr>
        <w:t>del</w:t>
      </w:r>
      <w:r w:rsidR="00A077F4" w:rsidRPr="00DD1D42">
        <w:rPr>
          <w:rFonts w:ascii="Palatino Linotype" w:eastAsia="Palatino Linotype" w:hAnsi="Palatino Linotype" w:cs="Palatino Linotype"/>
          <w:color w:val="000000"/>
        </w:rPr>
        <w:t xml:space="preserve"> </w:t>
      </w:r>
      <w:r w:rsidRPr="00DD1D42">
        <w:rPr>
          <w:rFonts w:ascii="Palatino Linotype" w:eastAsia="Palatino Linotype" w:hAnsi="Palatino Linotype" w:cs="Palatino Linotype"/>
          <w:b/>
          <w:color w:val="000000"/>
        </w:rPr>
        <w:t>acuerdo</w:t>
      </w:r>
      <w:r w:rsidR="00A077F4" w:rsidRPr="00DD1D42">
        <w:rPr>
          <w:rFonts w:ascii="Palatino Linotype" w:eastAsia="Palatino Linotype" w:hAnsi="Palatino Linotype" w:cs="Palatino Linotype"/>
          <w:b/>
          <w:color w:val="000000"/>
        </w:rPr>
        <w:t xml:space="preserve"> de admisión </w:t>
      </w:r>
      <w:r w:rsidRPr="00DD1D42">
        <w:rPr>
          <w:rFonts w:ascii="Palatino Linotype" w:eastAsia="Palatino Linotype" w:hAnsi="Palatino Linotype" w:cs="Palatino Linotype"/>
          <w:color w:val="000000"/>
        </w:rPr>
        <w:t>de fecha</w:t>
      </w:r>
      <w:r w:rsidR="00A077F4" w:rsidRPr="00DD1D42">
        <w:rPr>
          <w:rFonts w:ascii="Palatino Linotype" w:eastAsia="Palatino Linotype" w:hAnsi="Palatino Linotype" w:cs="Palatino Linotype"/>
          <w:color w:val="000000"/>
        </w:rPr>
        <w:t xml:space="preserve"> </w:t>
      </w:r>
      <w:r w:rsidR="00355634" w:rsidRPr="00DD1D42">
        <w:rPr>
          <w:rFonts w:ascii="Palatino Linotype" w:eastAsia="Palatino Linotype" w:hAnsi="Palatino Linotype" w:cs="Palatino Linotype"/>
          <w:b/>
          <w:color w:val="000000"/>
        </w:rPr>
        <w:t>doce</w:t>
      </w:r>
      <w:r w:rsidR="00BB0B24" w:rsidRPr="00DD1D42">
        <w:rPr>
          <w:rFonts w:ascii="Palatino Linotype" w:eastAsia="Palatino Linotype" w:hAnsi="Palatino Linotype" w:cs="Palatino Linotype"/>
          <w:b/>
          <w:color w:val="000000"/>
        </w:rPr>
        <w:t xml:space="preserve"> de marzo</w:t>
      </w:r>
      <w:r w:rsidR="00A077F4" w:rsidRPr="00DD1D42">
        <w:rPr>
          <w:rFonts w:ascii="Palatino Linotype" w:eastAsia="Palatino Linotype" w:hAnsi="Palatino Linotype" w:cs="Palatino Linotype"/>
          <w:b/>
          <w:color w:val="000000"/>
        </w:rPr>
        <w:t xml:space="preserve"> dos mil veinticinco, </w:t>
      </w:r>
      <w:r w:rsidRPr="00DD1D42">
        <w:rPr>
          <w:rFonts w:ascii="Palatino Linotype" w:eastAsia="Palatino Linotype" w:hAnsi="Palatino Linotype" w:cs="Palatino Linotype"/>
          <w:color w:val="000000"/>
        </w:rPr>
        <w:t>puso</w:t>
      </w:r>
      <w:r w:rsidR="00A077F4" w:rsidRPr="00DD1D42">
        <w:rPr>
          <w:rFonts w:ascii="Palatino Linotype" w:eastAsia="Palatino Linotype" w:hAnsi="Palatino Linotype" w:cs="Palatino Linotype"/>
          <w:color w:val="000000"/>
        </w:rPr>
        <w:t xml:space="preserve"> a disposición de las partes el expediente electrónico vía SAIMEX a efecto de que en un plazo máximo de siete días </w:t>
      </w:r>
      <w:r w:rsidR="00A077F4" w:rsidRPr="00DD1D42">
        <w:rPr>
          <w:rFonts w:ascii="Palatino Linotype" w:eastAsia="Palatino Linotype" w:hAnsi="Palatino Linotype" w:cs="Palatino Linotype"/>
        </w:rPr>
        <w:t>manifestara</w:t>
      </w:r>
      <w:r w:rsidR="00A077F4" w:rsidRPr="00DD1D42">
        <w:rPr>
          <w:rFonts w:ascii="Palatino Linotype" w:eastAsia="Palatino Linotype" w:hAnsi="Palatino Linotype" w:cs="Palatino Linotype"/>
          <w:color w:val="000000"/>
        </w:rPr>
        <w:t xml:space="preserve"> lo que a su derecho conviniera, </w:t>
      </w:r>
      <w:r w:rsidR="00A077F4" w:rsidRPr="00DD1D42">
        <w:rPr>
          <w:rFonts w:ascii="Palatino Linotype" w:eastAsia="Palatino Linotype" w:hAnsi="Palatino Linotype" w:cs="Palatino Linotype"/>
        </w:rPr>
        <w:t>ofreciera</w:t>
      </w:r>
      <w:r w:rsidR="00A077F4" w:rsidRPr="00DD1D42">
        <w:rPr>
          <w:rFonts w:ascii="Palatino Linotype" w:eastAsia="Palatino Linotype" w:hAnsi="Palatino Linotype" w:cs="Palatino Linotype"/>
          <w:color w:val="000000"/>
        </w:rPr>
        <w:t xml:space="preserve"> pruebas y alegatos según corresponda al caso concreto, de esta forma para que el </w:t>
      </w:r>
      <w:r w:rsidR="00A077F4" w:rsidRPr="00DD1D42">
        <w:rPr>
          <w:rFonts w:ascii="Palatino Linotype" w:eastAsia="Palatino Linotype" w:hAnsi="Palatino Linotype" w:cs="Palatino Linotype"/>
          <w:b/>
          <w:color w:val="000000"/>
        </w:rPr>
        <w:t xml:space="preserve">SUJETO OBLIGADO </w:t>
      </w:r>
      <w:r w:rsidR="00A077F4" w:rsidRPr="00DD1D42">
        <w:rPr>
          <w:rFonts w:ascii="Palatino Linotype" w:eastAsia="Palatino Linotype" w:hAnsi="Palatino Linotype" w:cs="Palatino Linotype"/>
        </w:rPr>
        <w:t>presentara</w:t>
      </w:r>
      <w:r w:rsidR="00A077F4" w:rsidRPr="00DD1D42">
        <w:rPr>
          <w:rFonts w:ascii="Palatino Linotype" w:eastAsia="Palatino Linotype" w:hAnsi="Palatino Linotype" w:cs="Palatino Linotype"/>
          <w:color w:val="000000"/>
        </w:rPr>
        <w:t xml:space="preserve"> el Informe Justificado procedente.</w:t>
      </w:r>
    </w:p>
    <w:p w:rsidR="004E0AFD" w:rsidRPr="00DD1D42" w:rsidRDefault="004E0AFD" w:rsidP="00AA61C9">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lastRenderedPageBreak/>
        <w:t>El Recurrente</w:t>
      </w:r>
      <w:r w:rsidRPr="00DD1D42">
        <w:rPr>
          <w:rFonts w:ascii="Palatino Linotype" w:eastAsia="Palatino Linotype" w:hAnsi="Palatino Linotype" w:cs="Palatino Linotype"/>
          <w:b/>
          <w:color w:val="000000"/>
        </w:rPr>
        <w:t xml:space="preserve"> </w:t>
      </w:r>
      <w:r w:rsidRPr="00DD1D42">
        <w:rPr>
          <w:rFonts w:ascii="Palatino Linotype" w:eastAsia="Palatino Linotype" w:hAnsi="Palatino Linotype" w:cs="Palatino Linotype"/>
          <w:color w:val="000000"/>
        </w:rPr>
        <w:t>dejó de realizar manifestaciones que a su derecho conviniera y asistiera. Por su parte, el Sujeto Obligado,</w:t>
      </w:r>
      <w:r w:rsidRPr="00DD1D42">
        <w:rPr>
          <w:rFonts w:ascii="Palatino Linotype" w:eastAsia="Palatino Linotype" w:hAnsi="Palatino Linotype" w:cs="Palatino Linotype"/>
          <w:b/>
          <w:color w:val="000000"/>
        </w:rPr>
        <w:t xml:space="preserve"> </w:t>
      </w:r>
      <w:r w:rsidRPr="00DD1D42">
        <w:rPr>
          <w:rFonts w:ascii="Palatino Linotype" w:eastAsia="Palatino Linotype" w:hAnsi="Palatino Linotype" w:cs="Palatino Linotype"/>
          <w:color w:val="000000"/>
        </w:rPr>
        <w:t>el</w:t>
      </w:r>
      <w:r w:rsidRPr="00DD1D42">
        <w:rPr>
          <w:rFonts w:ascii="Palatino Linotype" w:eastAsia="Palatino Linotype" w:hAnsi="Palatino Linotype" w:cs="Palatino Linotype"/>
          <w:b/>
          <w:color w:val="000000"/>
        </w:rPr>
        <w:t xml:space="preserve"> </w:t>
      </w:r>
      <w:r w:rsidR="00983729" w:rsidRPr="00DD1D42">
        <w:rPr>
          <w:rFonts w:ascii="Palatino Linotype" w:eastAsia="Palatino Linotype" w:hAnsi="Palatino Linotype" w:cs="Palatino Linotype"/>
          <w:b/>
          <w:color w:val="000000"/>
        </w:rPr>
        <w:t>veinticuatro</w:t>
      </w:r>
      <w:r w:rsidR="006D1845" w:rsidRPr="00DD1D42">
        <w:rPr>
          <w:rFonts w:ascii="Palatino Linotype" w:eastAsia="Palatino Linotype" w:hAnsi="Palatino Linotype" w:cs="Palatino Linotype"/>
          <w:b/>
          <w:color w:val="000000"/>
        </w:rPr>
        <w:t xml:space="preserve"> de marzo</w:t>
      </w:r>
      <w:r w:rsidRPr="00DD1D42">
        <w:rPr>
          <w:rFonts w:ascii="Palatino Linotype" w:eastAsia="Palatino Linotype" w:hAnsi="Palatino Linotype" w:cs="Palatino Linotype"/>
          <w:b/>
          <w:color w:val="000000"/>
        </w:rPr>
        <w:t xml:space="preserve"> de dos mil veinticinco </w:t>
      </w:r>
      <w:r w:rsidR="00F26E84" w:rsidRPr="00DD1D42">
        <w:rPr>
          <w:rFonts w:ascii="Palatino Linotype" w:eastAsia="Palatino Linotype" w:hAnsi="Palatino Linotype" w:cs="Palatino Linotype"/>
          <w:color w:val="000000"/>
        </w:rPr>
        <w:t>presentó informe</w:t>
      </w:r>
      <w:r w:rsidR="00BB0B24" w:rsidRPr="00DD1D42">
        <w:rPr>
          <w:rFonts w:ascii="Palatino Linotype" w:eastAsia="Palatino Linotype" w:hAnsi="Palatino Linotype" w:cs="Palatino Linotype"/>
          <w:color w:val="000000"/>
        </w:rPr>
        <w:t xml:space="preserve"> justificado</w:t>
      </w:r>
      <w:r w:rsidR="000A0F74" w:rsidRPr="00DD1D42">
        <w:rPr>
          <w:rFonts w:ascii="Palatino Linotype" w:eastAsia="Palatino Linotype" w:hAnsi="Palatino Linotype" w:cs="Palatino Linotype"/>
          <w:color w:val="000000"/>
        </w:rPr>
        <w:t xml:space="preserve"> a través del archivo digital </w:t>
      </w:r>
      <w:r w:rsidRPr="00DD1D42">
        <w:rPr>
          <w:rFonts w:ascii="Palatino Linotype" w:eastAsia="Palatino Linotype" w:hAnsi="Palatino Linotype" w:cs="Palatino Linotype"/>
          <w:color w:val="000000"/>
        </w:rPr>
        <w:t xml:space="preserve">siguiente: </w:t>
      </w:r>
    </w:p>
    <w:p w:rsidR="007F1CC8" w:rsidRPr="00DD1D42" w:rsidRDefault="007F1CC8" w:rsidP="004E0AFD">
      <w:pPr>
        <w:pBdr>
          <w:top w:val="nil"/>
          <w:left w:val="nil"/>
          <w:bottom w:val="nil"/>
          <w:right w:val="nil"/>
          <w:between w:val="nil"/>
        </w:pBdr>
        <w:ind w:left="709" w:right="-79" w:firstLine="10"/>
        <w:jc w:val="both"/>
        <w:rPr>
          <w:rFonts w:ascii="Palatino Linotype" w:eastAsia="Palatino Linotype" w:hAnsi="Palatino Linotype" w:cs="Palatino Linotype"/>
          <w:b/>
          <w:i/>
          <w:color w:val="000000"/>
        </w:rPr>
      </w:pPr>
      <w:r w:rsidRPr="00DD1D42">
        <w:rPr>
          <w:rFonts w:ascii="Palatino Linotype" w:eastAsia="Palatino Linotype" w:hAnsi="Palatino Linotype" w:cs="Palatino Linotype"/>
          <w:b/>
          <w:i/>
          <w:color w:val="000000"/>
        </w:rPr>
        <w:tab/>
      </w:r>
      <w:r w:rsidR="00983729" w:rsidRPr="00DD1D42">
        <w:rPr>
          <w:rFonts w:ascii="Palatino Linotype" w:eastAsia="Palatino Linotype" w:hAnsi="Palatino Linotype" w:cs="Palatino Linotype"/>
          <w:b/>
          <w:i/>
          <w:color w:val="000000"/>
        </w:rPr>
        <w:t>2. Ratificación RR-2738-2025.pdf</w:t>
      </w:r>
    </w:p>
    <w:p w:rsidR="007F1CC8" w:rsidRPr="00DD1D42" w:rsidRDefault="007F1CC8" w:rsidP="007F1CC8">
      <w:pPr>
        <w:pBdr>
          <w:top w:val="nil"/>
          <w:left w:val="nil"/>
          <w:bottom w:val="nil"/>
          <w:right w:val="nil"/>
          <w:between w:val="nil"/>
        </w:pBdr>
        <w:ind w:left="709" w:right="-79" w:firstLine="1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Escrito de fecha </w:t>
      </w:r>
      <w:r w:rsidR="00983729" w:rsidRPr="00DD1D42">
        <w:rPr>
          <w:rFonts w:ascii="Palatino Linotype" w:eastAsia="Palatino Linotype" w:hAnsi="Palatino Linotype" w:cs="Palatino Linotype"/>
          <w:color w:val="000000"/>
        </w:rPr>
        <w:t>24</w:t>
      </w:r>
      <w:r w:rsidRPr="00DD1D42">
        <w:rPr>
          <w:rFonts w:ascii="Palatino Linotype" w:eastAsia="Palatino Linotype" w:hAnsi="Palatino Linotype" w:cs="Palatino Linotype"/>
          <w:color w:val="000000"/>
        </w:rPr>
        <w:t xml:space="preserve"> de marzo de 2025, </w:t>
      </w:r>
      <w:r w:rsidR="00983729" w:rsidRPr="00DD1D42">
        <w:rPr>
          <w:rFonts w:ascii="Palatino Linotype" w:eastAsia="Palatino Linotype" w:hAnsi="Palatino Linotype" w:cs="Palatino Linotype"/>
          <w:color w:val="000000"/>
        </w:rPr>
        <w:t>suscrito</w:t>
      </w:r>
      <w:r w:rsidRPr="00DD1D42">
        <w:rPr>
          <w:rFonts w:ascii="Palatino Linotype" w:eastAsia="Palatino Linotype" w:hAnsi="Palatino Linotype" w:cs="Palatino Linotype"/>
          <w:color w:val="000000"/>
        </w:rPr>
        <w:t xml:space="preserve"> por el Titular de la Unidad de Transparencia en el que</w:t>
      </w:r>
      <w:r w:rsidR="00FE3CEA" w:rsidRPr="00DD1D42">
        <w:rPr>
          <w:rFonts w:ascii="Palatino Linotype" w:eastAsia="Palatino Linotype" w:hAnsi="Palatino Linotype" w:cs="Palatino Linotype"/>
          <w:color w:val="000000"/>
        </w:rPr>
        <w:t xml:space="preserve"> ratifica su respuesta inicial.</w:t>
      </w:r>
    </w:p>
    <w:p w:rsidR="00451CF4" w:rsidRPr="00DD1D42" w:rsidRDefault="00451CF4" w:rsidP="00451CF4">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084793" w:rsidRPr="00DD1D42" w:rsidRDefault="00084793" w:rsidP="00AA61C9">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3" w:name="_heading=h.3znysh7" w:colFirst="0" w:colLast="0"/>
      <w:bookmarkEnd w:id="3"/>
      <w:r w:rsidRPr="00DD1D42">
        <w:rPr>
          <w:rFonts w:ascii="Palatino Linotype" w:eastAsia="Palatino Linotype" w:hAnsi="Palatino Linotype" w:cs="Palatino Linotype"/>
          <w:color w:val="000000"/>
        </w:rPr>
        <w:t>En fecha</w:t>
      </w:r>
      <w:r w:rsidRPr="00DD1D42">
        <w:rPr>
          <w:rFonts w:ascii="Palatino Linotype" w:eastAsia="Palatino Linotype" w:hAnsi="Palatino Linotype" w:cs="Palatino Linotype"/>
          <w:b/>
          <w:color w:val="000000"/>
        </w:rPr>
        <w:t xml:space="preserve"> </w:t>
      </w:r>
      <w:r w:rsidR="009845A2" w:rsidRPr="00DD1D42">
        <w:rPr>
          <w:rFonts w:ascii="Palatino Linotype" w:eastAsia="Palatino Linotype" w:hAnsi="Palatino Linotype" w:cs="Palatino Linotype"/>
          <w:b/>
          <w:color w:val="000000"/>
        </w:rPr>
        <w:t>ocho de mayo</w:t>
      </w:r>
      <w:r w:rsidRPr="00DD1D42">
        <w:rPr>
          <w:rFonts w:ascii="Palatino Linotype" w:eastAsia="Palatino Linotype" w:hAnsi="Palatino Linotype" w:cs="Palatino Linotype"/>
          <w:b/>
          <w:color w:val="000000"/>
        </w:rPr>
        <w:t xml:space="preserve"> de dos mil veinticinco</w:t>
      </w:r>
      <w:r w:rsidRPr="00DD1D42">
        <w:rPr>
          <w:rFonts w:ascii="Palatino Linotype" w:eastAsia="Palatino Linotype" w:hAnsi="Palatino Linotype" w:cs="Palatino Linotype"/>
          <w:color w:val="000000"/>
        </w:rPr>
        <w:t>, se acordó ampliar el pazo para resolver el presente Recurso de Revisión.</w:t>
      </w:r>
    </w:p>
    <w:p w:rsidR="00084793" w:rsidRPr="00DD1D42" w:rsidRDefault="00084793" w:rsidP="00084793">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72148B" w:rsidRPr="00DD1D42" w:rsidRDefault="00A077F4" w:rsidP="00AA61C9">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DD1D42">
        <w:rPr>
          <w:rFonts w:ascii="Palatino Linotype" w:eastAsia="Palatino Linotype" w:hAnsi="Palatino Linotype" w:cs="Palatino Linotype"/>
          <w:color w:val="000000"/>
        </w:rPr>
        <w:t xml:space="preserve">Seguidamente, en fecha </w:t>
      </w:r>
      <w:r w:rsidR="0078439A" w:rsidRPr="00DD1D42">
        <w:rPr>
          <w:rFonts w:ascii="Palatino Linotype" w:eastAsia="Palatino Linotype" w:hAnsi="Palatino Linotype" w:cs="Palatino Linotype"/>
          <w:b/>
          <w:color w:val="000000"/>
        </w:rPr>
        <w:t>once</w:t>
      </w:r>
      <w:r w:rsidR="009845A2" w:rsidRPr="00DD1D42">
        <w:rPr>
          <w:rFonts w:ascii="Palatino Linotype" w:eastAsia="Palatino Linotype" w:hAnsi="Palatino Linotype" w:cs="Palatino Linotype"/>
          <w:b/>
          <w:color w:val="000000"/>
        </w:rPr>
        <w:t xml:space="preserve"> de julio</w:t>
      </w:r>
      <w:r w:rsidRPr="00DD1D42">
        <w:rPr>
          <w:rFonts w:ascii="Palatino Linotype" w:eastAsia="Palatino Linotype" w:hAnsi="Palatino Linotype" w:cs="Palatino Linotype"/>
          <w:b/>
          <w:color w:val="000000"/>
        </w:rPr>
        <w:t xml:space="preserve"> de dos mil veinticinco</w:t>
      </w:r>
      <w:r w:rsidRPr="00DD1D42">
        <w:rPr>
          <w:rFonts w:ascii="Palatino Linotype" w:eastAsia="Palatino Linotype" w:hAnsi="Palatino Linotype" w:cs="Palatino Linotype"/>
          <w:color w:val="000000"/>
        </w:rPr>
        <w:t xml:space="preserve">, la Comisionada Ponente dictó el </w:t>
      </w:r>
      <w:r w:rsidRPr="00DD1D42">
        <w:rPr>
          <w:rFonts w:ascii="Palatino Linotype" w:eastAsia="Palatino Linotype" w:hAnsi="Palatino Linotype" w:cs="Palatino Linotype"/>
          <w:b/>
          <w:color w:val="000000"/>
        </w:rPr>
        <w:t>cierre del periodo de instrucción</w:t>
      </w:r>
      <w:r w:rsidRPr="00DD1D42">
        <w:rPr>
          <w:rFonts w:ascii="Palatino Linotype" w:eastAsia="Palatino Linotype" w:hAnsi="Palatino Linotype" w:cs="Palatino Linotype"/>
          <w:color w:val="000000"/>
        </w:rPr>
        <w:t xml:space="preserve"> y, ordenó la resolución</w:t>
      </w:r>
      <w:r w:rsidR="00C7556E" w:rsidRPr="00DD1D42">
        <w:rPr>
          <w:rFonts w:ascii="Palatino Linotype" w:eastAsia="Palatino Linotype" w:hAnsi="Palatino Linotype" w:cs="Palatino Linotype"/>
          <w:color w:val="000000"/>
        </w:rPr>
        <w:t xml:space="preserve"> que conforme a Derecho proceda</w:t>
      </w:r>
      <w:r w:rsidRPr="00DD1D42">
        <w:rPr>
          <w:rFonts w:ascii="Palatino Linotype" w:eastAsia="Palatino Linotype" w:hAnsi="Palatino Linotype" w:cs="Palatino Linotype"/>
          <w:color w:val="000000"/>
        </w:rPr>
        <w:t>:</w:t>
      </w:r>
    </w:p>
    <w:p w:rsidR="0072148B" w:rsidRPr="00DD1D42" w:rsidRDefault="0072148B">
      <w:pPr>
        <w:pBdr>
          <w:top w:val="nil"/>
          <w:left w:val="nil"/>
          <w:bottom w:val="nil"/>
          <w:right w:val="nil"/>
          <w:between w:val="nil"/>
        </w:pBdr>
        <w:ind w:left="720" w:right="-787"/>
        <w:rPr>
          <w:rFonts w:ascii="Palatino Linotype" w:eastAsia="Palatino Linotype" w:hAnsi="Palatino Linotype" w:cs="Palatino Linotype"/>
          <w:b/>
          <w:color w:val="000000"/>
        </w:rPr>
      </w:pPr>
    </w:p>
    <w:p w:rsidR="0072148B" w:rsidRPr="00DD1D42" w:rsidRDefault="00A077F4">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DD1D42">
        <w:rPr>
          <w:rFonts w:ascii="Palatino Linotype" w:eastAsia="Palatino Linotype" w:hAnsi="Palatino Linotype" w:cs="Palatino Linotype"/>
          <w:b/>
          <w:color w:val="000000"/>
        </w:rPr>
        <w:t>C O N S I D E R A C I O N E S</w:t>
      </w:r>
    </w:p>
    <w:p w:rsidR="0072148B" w:rsidRPr="00DD1D42" w:rsidRDefault="0072148B">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p>
    <w:p w:rsidR="00C7556E" w:rsidRPr="00DD1D42" w:rsidRDefault="00C7556E" w:rsidP="00C7556E">
      <w:pPr>
        <w:keepNext/>
        <w:keepLines/>
        <w:spacing w:line="360" w:lineRule="auto"/>
        <w:rPr>
          <w:rFonts w:ascii="Palatino Linotype" w:eastAsia="Palatino Linotype" w:hAnsi="Palatino Linotype" w:cs="Palatino Linotype"/>
          <w:b/>
        </w:rPr>
      </w:pPr>
      <w:bookmarkStart w:id="4" w:name="_heading=h.2et92p0" w:colFirst="0" w:colLast="0"/>
      <w:bookmarkEnd w:id="4"/>
      <w:r w:rsidRPr="00DD1D42">
        <w:rPr>
          <w:rFonts w:ascii="Palatino Linotype" w:eastAsia="Palatino Linotype" w:hAnsi="Palatino Linotype" w:cs="Palatino Linotype"/>
          <w:b/>
        </w:rPr>
        <w:t>PRIMERO. De la competencia</w:t>
      </w:r>
    </w:p>
    <w:p w:rsidR="00C7556E" w:rsidRPr="00DD1D42" w:rsidRDefault="00C7556E"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C7556E" w:rsidRPr="00DD1D42" w:rsidRDefault="00C7556E" w:rsidP="00C7556E">
      <w:pPr>
        <w:keepNext/>
        <w:keepLines/>
        <w:spacing w:line="360" w:lineRule="auto"/>
        <w:rPr>
          <w:rFonts w:ascii="Palatino Linotype" w:eastAsia="Palatino Linotype" w:hAnsi="Palatino Linotype" w:cs="Palatino Linotype"/>
          <w:b/>
        </w:rPr>
      </w:pPr>
      <w:bookmarkStart w:id="5" w:name="_heading=h.tyjcwt" w:colFirst="0" w:colLast="0"/>
      <w:bookmarkEnd w:id="5"/>
      <w:r w:rsidRPr="00DD1D42">
        <w:rPr>
          <w:rFonts w:ascii="Palatino Linotype" w:eastAsia="Palatino Linotype" w:hAnsi="Palatino Linotype" w:cs="Palatino Linotype"/>
          <w:b/>
        </w:rPr>
        <w:lastRenderedPageBreak/>
        <w:t>SEGUNDO. De la oportunidad y procedencia.</w:t>
      </w:r>
    </w:p>
    <w:p w:rsidR="00C7556E" w:rsidRPr="00DD1D42" w:rsidRDefault="00C7556E"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El medio de impugnación fue presentado a través del </w:t>
      </w:r>
      <w:r w:rsidRPr="00DD1D42">
        <w:rPr>
          <w:rFonts w:ascii="Palatino Linotype" w:eastAsia="Palatino Linotype" w:hAnsi="Palatino Linotype" w:cs="Palatino Linotype"/>
          <w:b/>
        </w:rPr>
        <w:t>SAIMEX,</w:t>
      </w:r>
      <w:r w:rsidRPr="00DD1D42">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DD1D42">
        <w:rPr>
          <w:rFonts w:ascii="Palatino Linotype" w:eastAsia="Palatino Linotype" w:hAnsi="Palatino Linotype" w:cs="Palatino Linotype"/>
          <w:b/>
        </w:rPr>
        <w:t>SUJETO OBLIGADO</w:t>
      </w:r>
      <w:r w:rsidRPr="00DD1D42">
        <w:rPr>
          <w:rFonts w:ascii="Palatino Linotype" w:eastAsia="Palatino Linotype" w:hAnsi="Palatino Linotype" w:cs="Palatino Linotype"/>
        </w:rPr>
        <w:t xml:space="preserve"> entregó respuesta el </w:t>
      </w:r>
      <w:r w:rsidRPr="00DD1D42">
        <w:rPr>
          <w:rFonts w:ascii="Palatino Linotype" w:eastAsia="Palatino Linotype" w:hAnsi="Palatino Linotype" w:cs="Palatino Linotype"/>
          <w:b/>
        </w:rPr>
        <w:t>siete de marzo de dos mil veinticinco</w:t>
      </w:r>
      <w:r w:rsidRPr="00DD1D42">
        <w:rPr>
          <w:rFonts w:ascii="Palatino Linotype" w:eastAsia="Palatino Linotype" w:hAnsi="Palatino Linotype" w:cs="Palatino Linotype"/>
        </w:rPr>
        <w:t xml:space="preserve">, de tal forma que el plazo para interponer el recurso transcurrió del </w:t>
      </w:r>
      <w:r w:rsidRPr="00DD1D42">
        <w:rPr>
          <w:rFonts w:ascii="Palatino Linotype" w:eastAsia="Palatino Linotype" w:hAnsi="Palatino Linotype" w:cs="Palatino Linotype"/>
          <w:b/>
        </w:rPr>
        <w:t xml:space="preserve">diez al treinta y uno de marzo de dos mil veinticinco, </w:t>
      </w:r>
      <w:r w:rsidRPr="00DD1D42">
        <w:rPr>
          <w:rFonts w:ascii="Palatino Linotype" w:eastAsia="Palatino Linotype" w:hAnsi="Palatino Linotype" w:cs="Palatino Linotype"/>
        </w:rPr>
        <w:t xml:space="preserve">en consecuencia, si el </w:t>
      </w:r>
      <w:r w:rsidRPr="00DD1D42">
        <w:rPr>
          <w:rFonts w:ascii="Palatino Linotype" w:eastAsia="Palatino Linotype" w:hAnsi="Palatino Linotype" w:cs="Palatino Linotype"/>
          <w:b/>
        </w:rPr>
        <w:t>PARTICULAR</w:t>
      </w:r>
      <w:r w:rsidRPr="00DD1D42">
        <w:rPr>
          <w:rFonts w:ascii="Palatino Linotype" w:eastAsia="Palatino Linotype" w:hAnsi="Palatino Linotype" w:cs="Palatino Linotype"/>
        </w:rPr>
        <w:t xml:space="preserve"> presentó su inconformidad el </w:t>
      </w:r>
      <w:r w:rsidRPr="00DD1D42">
        <w:rPr>
          <w:rFonts w:ascii="Palatino Linotype" w:eastAsia="Palatino Linotype" w:hAnsi="Palatino Linotype" w:cs="Palatino Linotype"/>
          <w:b/>
        </w:rPr>
        <w:t>diez de marzo de dos mil veinticinco</w:t>
      </w:r>
      <w:r w:rsidRPr="00DD1D42">
        <w:rPr>
          <w:rFonts w:ascii="Palatino Linotype" w:eastAsia="Palatino Linotype" w:hAnsi="Palatino Linotype" w:cs="Palatino Linotype"/>
        </w:rPr>
        <w:t xml:space="preserve">, este  se encuentra dentro de los márgenes temporales previstos en el artículo 178 de la </w:t>
      </w:r>
      <w:r w:rsidRPr="00DD1D42">
        <w:rPr>
          <w:rFonts w:ascii="Palatino Linotype" w:eastAsia="Palatino Linotype" w:hAnsi="Palatino Linotype" w:cs="Palatino Linotype"/>
          <w:b/>
        </w:rPr>
        <w:t xml:space="preserve">Ley de Transparencia y Acceso a la Información Pública del Estado de México y Municipios </w:t>
      </w:r>
      <w:r w:rsidRPr="00DD1D42">
        <w:rPr>
          <w:rFonts w:ascii="Palatino Linotype" w:eastAsia="Palatino Linotype" w:hAnsi="Palatino Linotype" w:cs="Palatino Linotype"/>
        </w:rPr>
        <w:t xml:space="preserve">vigente. </w:t>
      </w:r>
    </w:p>
    <w:p w:rsidR="00C7556E" w:rsidRPr="00DD1D42" w:rsidRDefault="00C7556E" w:rsidP="00C7556E">
      <w:pPr>
        <w:spacing w:line="360" w:lineRule="auto"/>
        <w:ind w:right="49"/>
        <w:jc w:val="both"/>
        <w:rPr>
          <w:rFonts w:ascii="Palatino Linotype" w:eastAsia="Palatino Linotype" w:hAnsi="Palatino Linotype" w:cs="Palatino Linotype"/>
        </w:rPr>
      </w:pPr>
    </w:p>
    <w:p w:rsidR="00C7556E" w:rsidRPr="00DD1D42" w:rsidRDefault="00C7556E" w:rsidP="00C7556E">
      <w:pPr>
        <w:pStyle w:val="Ttulo2"/>
        <w:rPr>
          <w:rFonts w:ascii="Palatino Linotype" w:eastAsia="Palatino Linotype" w:hAnsi="Palatino Linotype" w:cs="Palatino Linotype"/>
          <w:b/>
          <w:i/>
          <w:color w:val="000000"/>
          <w:sz w:val="24"/>
          <w:szCs w:val="24"/>
        </w:rPr>
      </w:pPr>
      <w:r w:rsidRPr="00DD1D42">
        <w:rPr>
          <w:rFonts w:ascii="Palatino Linotype" w:eastAsia="Palatino Linotype" w:hAnsi="Palatino Linotype" w:cs="Palatino Linotype"/>
          <w:b/>
          <w:color w:val="000000"/>
          <w:sz w:val="24"/>
          <w:szCs w:val="24"/>
        </w:rPr>
        <w:t xml:space="preserve">TERCERO. Del planteamiento de la </w:t>
      </w:r>
      <w:r w:rsidRPr="00DD1D42">
        <w:rPr>
          <w:rFonts w:ascii="Palatino Linotype" w:eastAsia="Palatino Linotype" w:hAnsi="Palatino Linotype" w:cs="Palatino Linotype"/>
          <w:b/>
          <w:i/>
          <w:color w:val="000000"/>
          <w:sz w:val="24"/>
          <w:szCs w:val="24"/>
        </w:rPr>
        <w:t>Litis.</w:t>
      </w:r>
    </w:p>
    <w:p w:rsidR="004D4FA6" w:rsidRPr="00DD1D42" w:rsidRDefault="004D4FA6" w:rsidP="004D4FA6"/>
    <w:p w:rsidR="002B7A1B" w:rsidRPr="00DD1D42" w:rsidRDefault="002B7A1B" w:rsidP="00AA61C9">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Se solicitó tener acceso, a la información que a continuación se simplifica:</w:t>
      </w:r>
    </w:p>
    <w:p w:rsidR="002B7A1B" w:rsidRPr="00DD1D42" w:rsidRDefault="00846A61" w:rsidP="00AA61C9">
      <w:pPr>
        <w:pStyle w:val="Prrafodelista"/>
        <w:numPr>
          <w:ilvl w:val="0"/>
          <w:numId w:val="6"/>
        </w:numPr>
        <w:ind w:right="-788"/>
        <w:jc w:val="both"/>
        <w:rPr>
          <w:rFonts w:ascii="Palatino Linotype" w:eastAsia="Palatino Linotype" w:hAnsi="Palatino Linotype" w:cs="Palatino Linotype"/>
        </w:rPr>
      </w:pPr>
      <w:r w:rsidRPr="00DD1D42">
        <w:rPr>
          <w:rFonts w:ascii="Palatino Linotype" w:eastAsia="Palatino Linotype" w:hAnsi="Palatino Linotype" w:cs="Palatino Linotype"/>
          <w:i/>
          <w:color w:val="000000"/>
        </w:rPr>
        <w:t>Los convenios firmados por Ricardo Moreno Bastida, Presidente Municipal</w:t>
      </w:r>
    </w:p>
    <w:p w:rsidR="00846A61" w:rsidRPr="00DD1D42" w:rsidRDefault="00846A61" w:rsidP="00846A61">
      <w:pPr>
        <w:pStyle w:val="Prrafodelista"/>
        <w:ind w:left="1440" w:right="-788"/>
        <w:jc w:val="both"/>
        <w:rPr>
          <w:rFonts w:ascii="Palatino Linotype" w:eastAsia="Palatino Linotype" w:hAnsi="Palatino Linotype" w:cs="Palatino Linotype"/>
        </w:rPr>
      </w:pPr>
    </w:p>
    <w:p w:rsidR="004D4FA6" w:rsidRPr="00DD1D42" w:rsidRDefault="004D4FA6" w:rsidP="00846A61">
      <w:pPr>
        <w:pStyle w:val="Prrafodelista"/>
        <w:ind w:left="1440" w:right="-788"/>
        <w:jc w:val="both"/>
        <w:rPr>
          <w:rFonts w:ascii="Palatino Linotype" w:eastAsia="Palatino Linotype" w:hAnsi="Palatino Linotype" w:cs="Palatino Linotype"/>
        </w:rPr>
      </w:pPr>
    </w:p>
    <w:p w:rsidR="002B7A1B" w:rsidRPr="00DD1D42" w:rsidRDefault="002B7A1B"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rPr>
        <w:t>En respuesta, el Sujeto Obligado</w:t>
      </w:r>
      <w:r w:rsidRPr="00DD1D42">
        <w:rPr>
          <w:rFonts w:ascii="Palatino Linotype" w:eastAsia="Palatino Linotype" w:hAnsi="Palatino Linotype" w:cs="Palatino Linotype"/>
          <w:b/>
        </w:rPr>
        <w:t xml:space="preserve"> </w:t>
      </w:r>
      <w:r w:rsidRPr="00DD1D42">
        <w:rPr>
          <w:rFonts w:ascii="Palatino Linotype" w:eastAsia="Palatino Linotype" w:hAnsi="Palatino Linotype" w:cs="Palatino Linotype"/>
        </w:rPr>
        <w:t xml:space="preserve">remitió los archivos ya descritos en el anterior Párrafo 2, inconforme con las respuestas, se interpuso recurso de revisión argumentando sustancialmente </w:t>
      </w:r>
      <w:r w:rsidR="00895953" w:rsidRPr="00DD1D42">
        <w:rPr>
          <w:rFonts w:ascii="Palatino Linotype" w:eastAsia="Palatino Linotype" w:hAnsi="Palatino Linotype" w:cs="Palatino Linotype"/>
        </w:rPr>
        <w:t xml:space="preserve">que </w:t>
      </w:r>
      <w:r w:rsidR="00846A61" w:rsidRPr="00DD1D42">
        <w:rPr>
          <w:rFonts w:ascii="Palatino Linotype" w:eastAsia="Palatino Linotype" w:hAnsi="Palatino Linotype" w:cs="Palatino Linotype"/>
        </w:rPr>
        <w:t>la negativa de la información</w:t>
      </w:r>
      <w:r w:rsidRPr="00DD1D42">
        <w:rPr>
          <w:rFonts w:ascii="Palatino Linotype" w:eastAsia="Palatino Linotype" w:hAnsi="Palatino Linotype" w:cs="Palatino Linotype"/>
        </w:rPr>
        <w:t>.</w:t>
      </w:r>
    </w:p>
    <w:p w:rsidR="002B7A1B" w:rsidRPr="00DD1D42" w:rsidRDefault="002B7A1B" w:rsidP="002B7A1B">
      <w:pPr>
        <w:ind w:left="720" w:right="-788"/>
        <w:contextualSpacing/>
        <w:jc w:val="both"/>
        <w:rPr>
          <w:rFonts w:ascii="Palatino Linotype" w:eastAsia="Palatino Linotype" w:hAnsi="Palatino Linotype" w:cs="Palatino Linotype"/>
          <w:i/>
          <w:color w:val="000000"/>
        </w:rPr>
      </w:pPr>
    </w:p>
    <w:p w:rsidR="002B7A1B" w:rsidRPr="00DD1D42" w:rsidRDefault="002B7A1B"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179, </w:t>
      </w:r>
      <w:r w:rsidR="00895953" w:rsidRPr="00DD1D42">
        <w:rPr>
          <w:rFonts w:ascii="Palatino Linotype" w:eastAsia="Palatino Linotype" w:hAnsi="Palatino Linotype" w:cs="Palatino Linotype"/>
        </w:rPr>
        <w:t>fracción</w:t>
      </w:r>
      <w:r w:rsidRPr="00DD1D42">
        <w:rPr>
          <w:rFonts w:ascii="Palatino Linotype" w:eastAsia="Palatino Linotype" w:hAnsi="Palatino Linotype" w:cs="Palatino Linotype"/>
        </w:rPr>
        <w:t xml:space="preserve"> </w:t>
      </w:r>
      <w:r w:rsidR="004F1783" w:rsidRPr="00DD1D42">
        <w:rPr>
          <w:rFonts w:ascii="Palatino Linotype" w:eastAsia="Palatino Linotype" w:hAnsi="Palatino Linotype" w:cs="Palatino Linotype"/>
        </w:rPr>
        <w:t>I</w:t>
      </w:r>
      <w:r w:rsidRPr="00DD1D42">
        <w:rPr>
          <w:rFonts w:ascii="Palatino Linotype" w:eastAsia="Palatino Linotype" w:hAnsi="Palatino Linotype" w:cs="Palatino Linotype"/>
        </w:rPr>
        <w:t>,</w:t>
      </w:r>
      <w:r w:rsidRPr="00DD1D42">
        <w:rPr>
          <w:rFonts w:ascii="Palatino Linotype" w:eastAsia="Palatino Linotype" w:hAnsi="Palatino Linotype" w:cs="Palatino Linotype"/>
          <w:b/>
        </w:rPr>
        <w:t xml:space="preserve"> </w:t>
      </w:r>
      <w:r w:rsidRPr="00DD1D42">
        <w:rPr>
          <w:rFonts w:ascii="Palatino Linotype" w:eastAsia="Palatino Linotype" w:hAnsi="Palatino Linotype" w:cs="Palatino Linotype"/>
        </w:rPr>
        <w:t>de la Ley de Transparencia y Acceso a la Información Pública del Estado de</w:t>
      </w:r>
      <w:r w:rsidRPr="00DD1D42">
        <w:rPr>
          <w:rFonts w:ascii="Palatino Linotype" w:eastAsia="Palatino Linotype" w:hAnsi="Palatino Linotype" w:cs="Palatino Linotype"/>
          <w:b/>
        </w:rPr>
        <w:t xml:space="preserve"> </w:t>
      </w:r>
      <w:r w:rsidRPr="00DD1D42">
        <w:rPr>
          <w:rFonts w:ascii="Palatino Linotype" w:eastAsia="Palatino Linotype" w:hAnsi="Palatino Linotype" w:cs="Palatino Linotype"/>
        </w:rPr>
        <w:t>México</w:t>
      </w:r>
      <w:r w:rsidRPr="00DD1D42">
        <w:rPr>
          <w:rFonts w:ascii="Palatino Linotype" w:eastAsia="Palatino Linotype" w:hAnsi="Palatino Linotype" w:cs="Palatino Linotype"/>
          <w:b/>
        </w:rPr>
        <w:t xml:space="preserve"> </w:t>
      </w:r>
      <w:r w:rsidRPr="00DD1D42">
        <w:rPr>
          <w:rFonts w:ascii="Palatino Linotype" w:eastAsia="Palatino Linotype" w:hAnsi="Palatino Linotype" w:cs="Palatino Linotype"/>
        </w:rPr>
        <w:t>y</w:t>
      </w:r>
      <w:r w:rsidRPr="00DD1D42">
        <w:rPr>
          <w:rFonts w:ascii="Palatino Linotype" w:eastAsia="Palatino Linotype" w:hAnsi="Palatino Linotype" w:cs="Palatino Linotype"/>
          <w:b/>
        </w:rPr>
        <w:t xml:space="preserve"> </w:t>
      </w:r>
      <w:r w:rsidRPr="00DD1D42">
        <w:rPr>
          <w:rFonts w:ascii="Palatino Linotype" w:eastAsia="Palatino Linotype" w:hAnsi="Palatino Linotype" w:cs="Palatino Linotype"/>
        </w:rPr>
        <w:t xml:space="preserve">Municipios; </w:t>
      </w:r>
      <w:r w:rsidR="00895953" w:rsidRPr="00DD1D42">
        <w:rPr>
          <w:rFonts w:ascii="Palatino Linotype" w:eastAsia="Palatino Linotype" w:hAnsi="Palatino Linotype" w:cs="Palatino Linotype"/>
          <w:color w:val="000000"/>
        </w:rPr>
        <w:t>fracción</w:t>
      </w:r>
      <w:r w:rsidRPr="00DD1D42">
        <w:rPr>
          <w:rFonts w:ascii="Palatino Linotype" w:eastAsia="Palatino Linotype" w:hAnsi="Palatino Linotype" w:cs="Palatino Linotype"/>
          <w:color w:val="000000"/>
        </w:rPr>
        <w:t xml:space="preserve"> que determina la hipótesis relativa a la </w:t>
      </w:r>
      <w:r w:rsidR="004F1783" w:rsidRPr="00DD1D42">
        <w:rPr>
          <w:rFonts w:ascii="Palatino Linotype" w:eastAsia="Palatino Linotype" w:hAnsi="Palatino Linotype" w:cs="Palatino Linotype"/>
          <w:color w:val="000000"/>
        </w:rPr>
        <w:t>negativa a la información solicitada</w:t>
      </w:r>
      <w:r w:rsidRPr="00DD1D42">
        <w:rPr>
          <w:rFonts w:ascii="Palatino Linotype" w:eastAsia="Palatino Linotype" w:hAnsi="Palatino Linotype" w:cs="Palatino Linotype"/>
          <w:color w:val="000000"/>
        </w:rPr>
        <w:t xml:space="preserve">; </w:t>
      </w:r>
      <w:r w:rsidRPr="00DD1D42">
        <w:rPr>
          <w:rFonts w:ascii="Palatino Linotype" w:eastAsia="Palatino Linotype" w:hAnsi="Palatino Linotype" w:cs="Palatino Linotype"/>
        </w:rPr>
        <w:t>contexto del cual se dolió el Recurrente al momento de interponer su inconformidad.</w:t>
      </w:r>
      <w:r w:rsidRPr="00DD1D42">
        <w:rPr>
          <w:rFonts w:ascii="Palatino Linotype" w:eastAsia="Palatino Linotype" w:hAnsi="Palatino Linotype" w:cs="Palatino Linotype"/>
          <w:color w:val="000000"/>
        </w:rPr>
        <w:t xml:space="preserve"> De modo tal que </w:t>
      </w:r>
      <w:r w:rsidRPr="00DD1D42">
        <w:rPr>
          <w:rFonts w:ascii="Palatino Linotype" w:eastAsia="Palatino Linotype" w:hAnsi="Palatino Linotype" w:cs="Palatino Linotype"/>
          <w:color w:val="000000"/>
        </w:rPr>
        <w:lastRenderedPageBreak/>
        <w:t xml:space="preserve">el presente recurso de revisión se </w:t>
      </w:r>
      <w:r w:rsidRPr="00DD1D42">
        <w:rPr>
          <w:rFonts w:ascii="Palatino Linotype" w:eastAsia="Palatino Linotype" w:hAnsi="Palatino Linotype" w:cs="Palatino Linotype"/>
        </w:rPr>
        <w:t>abocará</w:t>
      </w:r>
      <w:r w:rsidRPr="00DD1D42">
        <w:rPr>
          <w:rFonts w:ascii="Palatino Linotype" w:eastAsia="Palatino Linotype" w:hAnsi="Palatino Linotype" w:cs="Palatino Linotype"/>
          <w:color w:val="000000"/>
        </w:rPr>
        <w:t xml:space="preserve"> en determinar si el Sujeto Obligado con su respuesta ciertamente actualiza la causal de procedencia</w:t>
      </w:r>
      <w:r w:rsidRPr="00DD1D42">
        <w:rPr>
          <w:rFonts w:ascii="Palatino Linotype" w:eastAsia="Palatino Linotype" w:hAnsi="Palatino Linotype" w:cs="Palatino Linotype"/>
          <w:b/>
          <w:color w:val="000000"/>
        </w:rPr>
        <w:t xml:space="preserve"> </w:t>
      </w:r>
      <w:r w:rsidRPr="00DD1D42">
        <w:rPr>
          <w:rFonts w:ascii="Palatino Linotype" w:eastAsia="Palatino Linotype" w:hAnsi="Palatino Linotype" w:cs="Palatino Linotype"/>
          <w:color w:val="000000"/>
        </w:rPr>
        <w:t xml:space="preserve">señalada. </w:t>
      </w:r>
    </w:p>
    <w:p w:rsidR="002B7A1B" w:rsidRPr="00DD1D42" w:rsidRDefault="002B7A1B" w:rsidP="002B7A1B">
      <w:pPr>
        <w:spacing w:line="360" w:lineRule="auto"/>
        <w:ind w:right="-787"/>
        <w:rPr>
          <w:rFonts w:ascii="Palatino Linotype" w:eastAsia="Palatino Linotype" w:hAnsi="Palatino Linotype" w:cs="Palatino Linotype"/>
        </w:rPr>
      </w:pPr>
    </w:p>
    <w:p w:rsidR="00C23E07" w:rsidRPr="00DD1D42" w:rsidRDefault="00C23E07" w:rsidP="00C23E07">
      <w:pPr>
        <w:pStyle w:val="Ttulo2"/>
        <w:rPr>
          <w:rFonts w:ascii="Palatino Linotype" w:eastAsia="Palatino Linotype" w:hAnsi="Palatino Linotype" w:cs="Palatino Linotype"/>
          <w:b/>
          <w:color w:val="000000"/>
          <w:sz w:val="24"/>
          <w:szCs w:val="24"/>
        </w:rPr>
      </w:pPr>
      <w:bookmarkStart w:id="6" w:name="_heading=h.1t3h5sf" w:colFirst="0" w:colLast="0"/>
      <w:bookmarkEnd w:id="6"/>
      <w:r w:rsidRPr="00DD1D42">
        <w:rPr>
          <w:rFonts w:ascii="Palatino Linotype" w:eastAsia="Palatino Linotype" w:hAnsi="Palatino Linotype" w:cs="Palatino Linotype"/>
          <w:b/>
          <w:color w:val="000000"/>
          <w:sz w:val="24"/>
          <w:szCs w:val="24"/>
        </w:rPr>
        <w:t>CUARTO. Del estudio y resolución del asunto.</w:t>
      </w:r>
    </w:p>
    <w:p w:rsidR="002B7A1B" w:rsidRPr="00DD1D42" w:rsidRDefault="002B7A1B"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B7A1B" w:rsidRPr="00DD1D42" w:rsidRDefault="002B7A1B" w:rsidP="002B7A1B">
      <w:pPr>
        <w:spacing w:line="360" w:lineRule="auto"/>
        <w:ind w:right="-787"/>
        <w:jc w:val="both"/>
        <w:rPr>
          <w:rFonts w:ascii="Palatino Linotype" w:eastAsia="Palatino Linotype" w:hAnsi="Palatino Linotype" w:cs="Palatino Linotype"/>
        </w:rPr>
      </w:pPr>
    </w:p>
    <w:p w:rsidR="002B7A1B" w:rsidRPr="00DD1D42" w:rsidRDefault="002B7A1B"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B7A1B" w:rsidRPr="00DD1D42" w:rsidRDefault="002B7A1B" w:rsidP="002B7A1B">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2B7A1B" w:rsidRPr="00DD1D42" w:rsidRDefault="002B7A1B"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w:t>
      </w:r>
      <w:r w:rsidRPr="00DD1D42">
        <w:rPr>
          <w:rFonts w:ascii="Palatino Linotype" w:eastAsia="Palatino Linotype" w:hAnsi="Palatino Linotype" w:cs="Palatino Linotype"/>
        </w:rPr>
        <w:lastRenderedPageBreak/>
        <w:t>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B7A1B" w:rsidRPr="00DD1D42" w:rsidRDefault="002B7A1B" w:rsidP="002B7A1B">
      <w:pPr>
        <w:ind w:right="-788"/>
        <w:jc w:val="both"/>
        <w:rPr>
          <w:rFonts w:ascii="Palatino Linotype" w:eastAsia="Palatino Linotype" w:hAnsi="Palatino Linotype" w:cs="Palatino Linotype"/>
        </w:rPr>
      </w:pPr>
    </w:p>
    <w:p w:rsidR="002B7A1B" w:rsidRPr="00DD1D42" w:rsidRDefault="002B7A1B" w:rsidP="00AA61C9">
      <w:pPr>
        <w:numPr>
          <w:ilvl w:val="0"/>
          <w:numId w:val="3"/>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sidRPr="00DD1D42">
        <w:rPr>
          <w:rFonts w:ascii="Palatino Linotype" w:eastAsia="Palatino Linotype" w:hAnsi="Palatino Linotype" w:cs="Palatino Linotype"/>
          <w:b/>
          <w:color w:val="000000"/>
        </w:rPr>
        <w:t>Del Sujeto Obligado.</w:t>
      </w:r>
    </w:p>
    <w:p w:rsidR="00816B3B" w:rsidRPr="00DD1D42" w:rsidRDefault="00816B3B" w:rsidP="00AA61C9">
      <w:pPr>
        <w:numPr>
          <w:ilvl w:val="0"/>
          <w:numId w:val="2"/>
        </w:numPr>
        <w:spacing w:line="360" w:lineRule="auto"/>
        <w:ind w:left="0" w:right="-787" w:firstLine="0"/>
        <w:jc w:val="both"/>
      </w:pPr>
      <w:r w:rsidRPr="00DD1D42">
        <w:rPr>
          <w:rFonts w:ascii="Palatino Linotype" w:eastAsia="Palatino Linotype" w:hAnsi="Palatino Linotype" w:cs="Palatino Linotype"/>
        </w:rPr>
        <w:t>El ejercicio del gobierno municipal se deposita en un cuerpo colegiado denominado Ayuntamiento. La ejecución de las atribuciones corresponde al Presidente Municipal, quien dirige la Administración Pública Municipal, misma que será centralizada, descentralizada y autónoma, y se auxiliará de diversas dependencias, organismos descentralizados y órganos autónomos, , de conformidad con el artículo 90, del Bando Municipal 2025:</w:t>
      </w:r>
    </w:p>
    <w:p w:rsidR="00816B3B" w:rsidRPr="00DD1D42" w:rsidRDefault="00816B3B" w:rsidP="00670285">
      <w:pPr>
        <w:ind w:left="567" w:right="-220"/>
        <w:jc w:val="center"/>
        <w:rPr>
          <w:rFonts w:ascii="Palatino Linotype" w:eastAsia="Palatino Linotype" w:hAnsi="Palatino Linotype" w:cs="Palatino Linotype"/>
          <w:b/>
          <w:i/>
        </w:rPr>
      </w:pPr>
      <w:r w:rsidRPr="00DD1D42">
        <w:rPr>
          <w:rFonts w:ascii="Palatino Linotype" w:eastAsia="Palatino Linotype" w:hAnsi="Palatino Linotype" w:cs="Palatino Linotype"/>
          <w:b/>
          <w:i/>
        </w:rPr>
        <w:t>Bando Municipal 2025</w:t>
      </w:r>
    </w:p>
    <w:p w:rsidR="00816B3B" w:rsidRPr="00DD1D42" w:rsidRDefault="00816B3B" w:rsidP="00670285">
      <w:pPr>
        <w:ind w:left="567" w:right="-220"/>
        <w:jc w:val="center"/>
        <w:rPr>
          <w:rFonts w:ascii="Palatino Linotype" w:eastAsia="Palatino Linotype" w:hAnsi="Palatino Linotype" w:cs="Palatino Linotype"/>
          <w:b/>
          <w:i/>
        </w:rPr>
      </w:pP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b/>
          <w:i/>
        </w:rPr>
        <w:t xml:space="preserve">Artículo 90. </w:t>
      </w:r>
      <w:r w:rsidRPr="00DD1D42">
        <w:rPr>
          <w:rFonts w:ascii="Palatino Linotype" w:eastAsia="Palatino Linotype" w:hAnsi="Palatino Linotype" w:cs="Palatino Linotype"/>
          <w:i/>
        </w:rPr>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816B3B" w:rsidRPr="00DD1D42" w:rsidRDefault="00816B3B" w:rsidP="00670285">
      <w:pPr>
        <w:ind w:left="567" w:right="-788"/>
        <w:jc w:val="both"/>
        <w:rPr>
          <w:rFonts w:ascii="Palatino Linotype" w:eastAsia="Palatino Linotype" w:hAnsi="Palatino Linotype" w:cs="Palatino Linotype"/>
          <w:i/>
        </w:rPr>
      </w:pPr>
    </w:p>
    <w:p w:rsidR="00816B3B" w:rsidRPr="00DD1D42" w:rsidRDefault="00816B3B" w:rsidP="00670285">
      <w:pPr>
        <w:ind w:left="567" w:right="-788"/>
        <w:jc w:val="both"/>
        <w:rPr>
          <w:rFonts w:ascii="Palatino Linotype" w:eastAsia="Palatino Linotype" w:hAnsi="Palatino Linotype" w:cs="Palatino Linotype"/>
          <w:b/>
          <w:i/>
        </w:rPr>
      </w:pPr>
      <w:r w:rsidRPr="00DD1D42">
        <w:rPr>
          <w:rFonts w:ascii="Palatino Linotype" w:eastAsia="Palatino Linotype" w:hAnsi="Palatino Linotype" w:cs="Palatino Linotype"/>
          <w:b/>
          <w:i/>
        </w:rPr>
        <w:t xml:space="preserve">I. DEPENDENCIAS: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1. Secretaría del Ayuntamiento;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2. Tesorería Municipal;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3. Órgano Interno de Control;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4. Dirección General de Gobierno;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5. Dirección General de Seguridad y Protección;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6. Dirección General de Administración;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7. Dirección General de Medio Ambiente;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8. Dirección General de Servicios Públicos;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9. Dirección General de Innovación, Planeación y Gestión Urbana;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10. Dirección General de Obras Públicas;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lastRenderedPageBreak/>
        <w:t xml:space="preserve">11. Dirección General de Desarrollo Económico;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12. Dirección General de Bienestar; y </w:t>
      </w:r>
    </w:p>
    <w:p w:rsidR="00816B3B" w:rsidRPr="00DD1D42" w:rsidRDefault="00816B3B"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13. Dirección General de Educación, Cultura y Turismo.</w:t>
      </w:r>
    </w:p>
    <w:p w:rsidR="00A51761" w:rsidRPr="00DD1D42" w:rsidRDefault="00A51761" w:rsidP="00670285">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w:t>
      </w:r>
    </w:p>
    <w:p w:rsidR="00816B3B" w:rsidRPr="00DD1D42" w:rsidRDefault="00816B3B" w:rsidP="00816B3B">
      <w:pPr>
        <w:spacing w:line="360" w:lineRule="auto"/>
        <w:ind w:right="-787"/>
        <w:jc w:val="both"/>
      </w:pPr>
    </w:p>
    <w:p w:rsidR="00433AE6" w:rsidRPr="00DD1D42" w:rsidRDefault="00433AE6"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El Código Reglamentario Municipal de Toluca en su artículo 3.3, establece que además de las dependencias ya establecida, la presidencia municipal se auxiliará de diversas unidades administrativas, entre ellas la </w:t>
      </w:r>
      <w:r w:rsidRPr="00DD1D42">
        <w:rPr>
          <w:rFonts w:ascii="Palatino Linotype" w:eastAsia="Palatino Linotype" w:hAnsi="Palatino Linotype" w:cs="Palatino Linotype"/>
          <w:b/>
        </w:rPr>
        <w:t>Secretaría Particular</w:t>
      </w:r>
      <w:r w:rsidRPr="00DD1D42">
        <w:rPr>
          <w:rFonts w:ascii="Palatino Linotype" w:eastAsia="Palatino Linotype" w:hAnsi="Palatino Linotype" w:cs="Palatino Linotype"/>
        </w:rPr>
        <w:t>, misma que de conformidad con el Manual de Organización de la Presidencia Municipal, tiene el objetivo de planear, organizar y controlar, en coordinación con las unidades administrativas correspondientes, las actividades a realizar por la o el Presidente Municipal, mediante la organización y control de su agenda y el seguimiento a los temas prioritarios, y dentro de sus funciones tiene las de organizar, analizar y controlar el archivo, la correspondencia y la documentación de la Presidencia Municipal; revisar y analizar que la documentación que deba autorizar el ejecutivo municipal observe la debida integración y todas aquellas actividades que sean inherentes y aplicables al área de su competencia.</w:t>
      </w:r>
    </w:p>
    <w:p w:rsidR="00433AE6" w:rsidRPr="00DD1D42" w:rsidRDefault="00433AE6" w:rsidP="00433AE6">
      <w:pPr>
        <w:spacing w:line="360" w:lineRule="auto"/>
        <w:ind w:right="-787"/>
        <w:jc w:val="both"/>
        <w:rPr>
          <w:rFonts w:ascii="Palatino Linotype" w:eastAsia="Palatino Linotype" w:hAnsi="Palatino Linotype" w:cs="Palatino Linotype"/>
        </w:rPr>
      </w:pPr>
    </w:p>
    <w:p w:rsidR="00433AE6" w:rsidRPr="00DD1D42" w:rsidRDefault="00433AE6"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La </w:t>
      </w:r>
      <w:r w:rsidRPr="00DD1D42">
        <w:rPr>
          <w:rFonts w:ascii="Palatino Linotype" w:eastAsia="Palatino Linotype" w:hAnsi="Palatino Linotype" w:cs="Palatino Linotype"/>
          <w:b/>
        </w:rPr>
        <w:t>Dirección General de Administración</w:t>
      </w:r>
      <w:r w:rsidRPr="00DD1D42">
        <w:rPr>
          <w:rFonts w:ascii="Palatino Linotype" w:eastAsia="Palatino Linotype" w:hAnsi="Palatino Linotype" w:cs="Palatino Linotype"/>
        </w:rPr>
        <w:t xml:space="preserve"> tiene dentro de sus funciones la de verificar el cumplimiento de convenios sindicales, de conformidad con el Código Reglamentario Municipal, las siguientes:</w:t>
      </w:r>
    </w:p>
    <w:p w:rsidR="00433AE6" w:rsidRPr="00DD1D42" w:rsidRDefault="00433AE6" w:rsidP="00433AE6">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Artículo 3.40. La o el titular de la </w:t>
      </w:r>
      <w:r w:rsidRPr="00DD1D42">
        <w:rPr>
          <w:rFonts w:ascii="Palatino Linotype" w:eastAsia="Palatino Linotype" w:hAnsi="Palatino Linotype" w:cs="Palatino Linotype"/>
          <w:b/>
          <w:i/>
        </w:rPr>
        <w:t>Dirección General de Administración</w:t>
      </w:r>
      <w:r w:rsidRPr="00DD1D42">
        <w:rPr>
          <w:rFonts w:ascii="Palatino Linotype" w:eastAsia="Palatino Linotype" w:hAnsi="Palatino Linotype" w:cs="Palatino Linotype"/>
          <w:i/>
        </w:rPr>
        <w:t>, tiene las siguientes atribuciones:</w:t>
      </w:r>
    </w:p>
    <w:p w:rsidR="00433AE6" w:rsidRPr="00DD1D42" w:rsidRDefault="00433AE6" w:rsidP="00433AE6">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I. Coordinar y dirigir los sistemas de reclutamiento, selección, contratación e inducción y desarrollo de personal;</w:t>
      </w:r>
    </w:p>
    <w:p w:rsidR="00433AE6" w:rsidRPr="00DD1D42" w:rsidRDefault="00433AE6" w:rsidP="00433AE6">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w:t>
      </w:r>
    </w:p>
    <w:p w:rsidR="00433AE6" w:rsidRPr="00DD1D42" w:rsidRDefault="00433AE6" w:rsidP="00433AE6">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VI. </w:t>
      </w:r>
      <w:r w:rsidRPr="00DD1D42">
        <w:rPr>
          <w:rFonts w:ascii="Palatino Linotype" w:eastAsia="Palatino Linotype" w:hAnsi="Palatino Linotype" w:cs="Palatino Linotype"/>
          <w:b/>
          <w:i/>
        </w:rPr>
        <w:t>Vigilar y verificar el cumplimiento de las cláusulas establecidas en los convenios sindicales</w:t>
      </w:r>
      <w:r w:rsidRPr="00DD1D42">
        <w:rPr>
          <w:rFonts w:ascii="Palatino Linotype" w:eastAsia="Palatino Linotype" w:hAnsi="Palatino Linotype" w:cs="Palatino Linotype"/>
          <w:i/>
        </w:rPr>
        <w:t>, para mantener y fortalecer las relaciones con las instituciones, y a su vez buscar el beneficio en cuanto a las prestaciones y condiciones laborales de los trabajadores agremiados;</w:t>
      </w:r>
    </w:p>
    <w:p w:rsidR="00433AE6" w:rsidRPr="00DD1D42" w:rsidRDefault="00433AE6" w:rsidP="00433AE6">
      <w:pPr>
        <w:ind w:left="567" w:right="-788"/>
        <w:jc w:val="both"/>
        <w:rPr>
          <w:rFonts w:ascii="Palatino Linotype" w:eastAsia="Palatino Linotype" w:hAnsi="Palatino Linotype" w:cs="Palatino Linotype"/>
          <w:i/>
        </w:rPr>
      </w:pPr>
      <w:r w:rsidRPr="00DD1D42">
        <w:rPr>
          <w:rFonts w:ascii="Palatino Linotype" w:eastAsia="Palatino Linotype" w:hAnsi="Palatino Linotype" w:cs="Palatino Linotype"/>
          <w:i/>
        </w:rPr>
        <w:lastRenderedPageBreak/>
        <w:t>…</w:t>
      </w:r>
    </w:p>
    <w:p w:rsidR="00433AE6" w:rsidRPr="00DD1D42" w:rsidRDefault="00433AE6" w:rsidP="00433AE6">
      <w:pPr>
        <w:spacing w:line="360" w:lineRule="auto"/>
        <w:ind w:right="-787"/>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 </w:t>
      </w:r>
    </w:p>
    <w:p w:rsidR="00433AE6" w:rsidRPr="00DD1D42" w:rsidRDefault="00433AE6"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En este sentido es de referir que </w:t>
      </w:r>
      <w:r w:rsidR="00BF0FD6" w:rsidRPr="00DD1D42">
        <w:rPr>
          <w:rFonts w:ascii="Palatino Linotype" w:eastAsia="Palatino Linotype" w:hAnsi="Palatino Linotype" w:cs="Palatino Linotype"/>
        </w:rPr>
        <w:t xml:space="preserve">la </w:t>
      </w:r>
      <w:r w:rsidR="00BF0FD6" w:rsidRPr="00DD1D42">
        <w:rPr>
          <w:rFonts w:ascii="Palatino Linotype" w:eastAsia="Palatino Linotype" w:hAnsi="Palatino Linotype" w:cs="Palatino Linotype"/>
          <w:b/>
        </w:rPr>
        <w:t>Secretaría Particular de Presidencia</w:t>
      </w:r>
      <w:r w:rsidR="00BF0FD6" w:rsidRPr="00DD1D42">
        <w:rPr>
          <w:rFonts w:ascii="Palatino Linotype" w:eastAsia="Palatino Linotype" w:hAnsi="Palatino Linotype" w:cs="Palatino Linotype"/>
        </w:rPr>
        <w:t xml:space="preserve"> y la </w:t>
      </w:r>
      <w:r w:rsidR="00BF0FD6" w:rsidRPr="00DD1D42">
        <w:rPr>
          <w:rFonts w:ascii="Palatino Linotype" w:eastAsia="Palatino Linotype" w:hAnsi="Palatino Linotype" w:cs="Palatino Linotype"/>
          <w:b/>
        </w:rPr>
        <w:t>Dirección de Administración</w:t>
      </w:r>
      <w:r w:rsidR="00BF0FD6" w:rsidRPr="00DD1D42">
        <w:rPr>
          <w:rFonts w:ascii="Palatino Linotype" w:eastAsia="Palatino Linotype" w:hAnsi="Palatino Linotype" w:cs="Palatino Linotype"/>
        </w:rPr>
        <w:t xml:space="preserve"> son dos áreas en las cuales pudiera</w:t>
      </w:r>
      <w:r w:rsidR="00347601" w:rsidRPr="00DD1D42">
        <w:rPr>
          <w:rFonts w:ascii="Palatino Linotype" w:eastAsia="Palatino Linotype" w:hAnsi="Palatino Linotype" w:cs="Palatino Linotype"/>
        </w:rPr>
        <w:t xml:space="preserve"> obrar la información requerida;</w:t>
      </w:r>
      <w:r w:rsidR="00BF0FD6" w:rsidRPr="00DD1D42">
        <w:rPr>
          <w:rFonts w:ascii="Palatino Linotype" w:eastAsia="Palatino Linotype" w:hAnsi="Palatino Linotype" w:cs="Palatino Linotype"/>
        </w:rPr>
        <w:t xml:space="preserve"> sin embargo</w:t>
      </w:r>
      <w:r w:rsidR="00347601" w:rsidRPr="00DD1D42">
        <w:rPr>
          <w:rFonts w:ascii="Palatino Linotype" w:eastAsia="Palatino Linotype" w:hAnsi="Palatino Linotype" w:cs="Palatino Linotype"/>
        </w:rPr>
        <w:t>,</w:t>
      </w:r>
      <w:r w:rsidR="00BF0FD6" w:rsidRPr="00DD1D42">
        <w:rPr>
          <w:rFonts w:ascii="Palatino Linotype" w:eastAsia="Palatino Linotype" w:hAnsi="Palatino Linotype" w:cs="Palatino Linotype"/>
        </w:rPr>
        <w:t xml:space="preserve"> la normatividad señala otras áreas en las cuales pudiera obrar la misma, como lo son de manera enunciativa mas no limitativa, </w:t>
      </w:r>
      <w:r w:rsidR="00BF0FD6" w:rsidRPr="00DD1D42">
        <w:rPr>
          <w:rFonts w:ascii="Palatino Linotype" w:eastAsia="Palatino Linotype" w:hAnsi="Palatino Linotype" w:cs="Palatino Linotype"/>
          <w:b/>
        </w:rPr>
        <w:t>los titulares de las dependencias</w:t>
      </w:r>
      <w:r w:rsidR="00BF0FD6" w:rsidRPr="00DD1D42">
        <w:rPr>
          <w:rFonts w:ascii="Palatino Linotype" w:eastAsia="Palatino Linotype" w:hAnsi="Palatino Linotype" w:cs="Palatino Linotype"/>
        </w:rPr>
        <w:t xml:space="preserve"> en ejercicio de sus atribuciones,</w:t>
      </w:r>
      <w:r w:rsidR="004D7CEC" w:rsidRPr="00DD1D42">
        <w:rPr>
          <w:rFonts w:ascii="Palatino Linotype" w:eastAsia="Palatino Linotype" w:hAnsi="Palatino Linotype" w:cs="Palatino Linotype"/>
        </w:rPr>
        <w:t xml:space="preserve"> la </w:t>
      </w:r>
      <w:r w:rsidR="004D7CEC" w:rsidRPr="00DD1D42">
        <w:rPr>
          <w:rFonts w:ascii="Palatino Linotype" w:eastAsia="Palatino Linotype" w:hAnsi="Palatino Linotype" w:cs="Palatino Linotype"/>
          <w:b/>
        </w:rPr>
        <w:t>Dirección Jurídica</w:t>
      </w:r>
      <w:r w:rsidR="00BF0FD6" w:rsidRPr="00DD1D42">
        <w:rPr>
          <w:rFonts w:ascii="Palatino Linotype" w:eastAsia="Palatino Linotype" w:hAnsi="Palatino Linotype" w:cs="Palatino Linotype"/>
        </w:rPr>
        <w:t xml:space="preserve"> </w:t>
      </w:r>
      <w:r w:rsidR="004D7CEC" w:rsidRPr="00DD1D42">
        <w:rPr>
          <w:rFonts w:ascii="Palatino Linotype" w:eastAsia="Palatino Linotype" w:hAnsi="Palatino Linotype" w:cs="Palatino Linotype"/>
        </w:rPr>
        <w:t>de la Dirección General de Seguridad y Protección</w:t>
      </w:r>
      <w:r w:rsidR="00892A5C" w:rsidRPr="00DD1D42">
        <w:rPr>
          <w:rFonts w:ascii="Palatino Linotype" w:eastAsia="Palatino Linotype" w:hAnsi="Palatino Linotype" w:cs="Palatino Linotype"/>
        </w:rPr>
        <w:t>,</w:t>
      </w:r>
      <w:r w:rsidR="004D7CEC" w:rsidRPr="00DD1D42">
        <w:rPr>
          <w:rFonts w:ascii="Palatino Linotype" w:eastAsia="Palatino Linotype" w:hAnsi="Palatino Linotype" w:cs="Palatino Linotype"/>
        </w:rPr>
        <w:t xml:space="preserve"> </w:t>
      </w:r>
      <w:r w:rsidR="00BF0FD6" w:rsidRPr="00DD1D42">
        <w:rPr>
          <w:rFonts w:ascii="Palatino Linotype" w:eastAsia="Palatino Linotype" w:hAnsi="Palatino Linotype" w:cs="Palatino Linotype"/>
        </w:rPr>
        <w:t xml:space="preserve">y de manera particular la </w:t>
      </w:r>
      <w:r w:rsidR="00BF0FD6" w:rsidRPr="00DD1D42">
        <w:rPr>
          <w:rFonts w:ascii="Palatino Linotype" w:eastAsia="Palatino Linotype" w:hAnsi="Palatino Linotype" w:cs="Palatino Linotype"/>
          <w:b/>
        </w:rPr>
        <w:t>Consejería Jurídica</w:t>
      </w:r>
      <w:r w:rsidR="00347601" w:rsidRPr="00DD1D42">
        <w:rPr>
          <w:rFonts w:ascii="Palatino Linotype" w:eastAsia="Palatino Linotype" w:hAnsi="Palatino Linotype" w:cs="Palatino Linotype"/>
          <w:b/>
        </w:rPr>
        <w:t>.</w:t>
      </w:r>
    </w:p>
    <w:p w:rsidR="00347601" w:rsidRPr="00DD1D42" w:rsidRDefault="00347601" w:rsidP="00347601">
      <w:pPr>
        <w:spacing w:line="360" w:lineRule="auto"/>
        <w:ind w:right="-787"/>
        <w:jc w:val="both"/>
        <w:rPr>
          <w:rFonts w:ascii="Palatino Linotype" w:eastAsia="Palatino Linotype" w:hAnsi="Palatino Linotype" w:cs="Palatino Linotype"/>
        </w:rPr>
      </w:pPr>
    </w:p>
    <w:p w:rsidR="00347601" w:rsidRPr="00DD1D42" w:rsidRDefault="00347601"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De lo anterior, el Código Reglamentario Municipal establece en su artículo 3.8, fracción XX, que </w:t>
      </w:r>
      <w:r w:rsidRPr="00DD1D42">
        <w:rPr>
          <w:rFonts w:ascii="Palatino Linotype" w:eastAsia="Palatino Linotype" w:hAnsi="Palatino Linotype" w:cs="Palatino Linotype"/>
          <w:b/>
        </w:rPr>
        <w:t>las o los titulares de las dependencias</w:t>
      </w:r>
      <w:r w:rsidRPr="00DD1D42">
        <w:rPr>
          <w:rFonts w:ascii="Palatino Linotype" w:eastAsia="Palatino Linotype" w:hAnsi="Palatino Linotype" w:cs="Palatino Linotype"/>
        </w:rPr>
        <w:t xml:space="preserve">, el ejercicio de las siguientes atribuciones genéricas, tienen la de </w:t>
      </w:r>
      <w:r w:rsidRPr="00DD1D42">
        <w:rPr>
          <w:rFonts w:ascii="Palatino Linotype" w:eastAsia="Palatino Linotype" w:hAnsi="Palatino Linotype" w:cs="Palatino Linotype"/>
          <w:b/>
        </w:rPr>
        <w:t>proponer al presidente municipal la celebración de convenios</w:t>
      </w:r>
      <w:r w:rsidRPr="00DD1D42">
        <w:rPr>
          <w:rFonts w:ascii="Palatino Linotype" w:eastAsia="Palatino Linotype" w:hAnsi="Palatino Linotype" w:cs="Palatino Linotype"/>
        </w:rPr>
        <w:t xml:space="preserve"> y contratos con los demás ámbitos de gobierno, así como con organizaciones de la sociedad civil y la iniciativa privada en los temas que sean materia de su competencia.</w:t>
      </w:r>
    </w:p>
    <w:p w:rsidR="004D7CEC" w:rsidRPr="00DD1D42" w:rsidRDefault="004D7CEC" w:rsidP="004D7CEC">
      <w:pPr>
        <w:spacing w:line="360" w:lineRule="auto"/>
        <w:ind w:right="-787"/>
        <w:jc w:val="both"/>
        <w:rPr>
          <w:rFonts w:ascii="Palatino Linotype" w:eastAsia="Palatino Linotype" w:hAnsi="Palatino Linotype" w:cs="Palatino Linotype"/>
        </w:rPr>
      </w:pPr>
    </w:p>
    <w:p w:rsidR="004D7CEC" w:rsidRPr="00DD1D42" w:rsidRDefault="004D7CEC"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El Código Reglamentario establece en su artículo 3.38 que la </w:t>
      </w:r>
      <w:r w:rsidRPr="00DD1D42">
        <w:rPr>
          <w:rFonts w:ascii="Palatino Linotype" w:eastAsia="Palatino Linotype" w:hAnsi="Palatino Linotype" w:cs="Palatino Linotype"/>
          <w:b/>
        </w:rPr>
        <w:t>Dirección Jurídica</w:t>
      </w:r>
      <w:r w:rsidRPr="00DD1D42">
        <w:rPr>
          <w:rFonts w:ascii="Palatino Linotype" w:eastAsia="Palatino Linotype" w:hAnsi="Palatino Linotype" w:cs="Palatino Linotype"/>
        </w:rPr>
        <w:t xml:space="preserve"> tiene dentro de sus atribuciones la de analizar y emitir opinión jurídica respecto de los proyectos de convenios, acuerdos, contratos, bases de coordinación y demás actos jurídicos a celebrarse con autoridades de los tres niveles de gobierno, de los sectores público y privado</w:t>
      </w:r>
    </w:p>
    <w:p w:rsidR="00347601" w:rsidRPr="00DD1D42" w:rsidRDefault="00347601" w:rsidP="00347601">
      <w:pPr>
        <w:spacing w:line="360" w:lineRule="auto"/>
        <w:ind w:right="-787"/>
        <w:jc w:val="both"/>
        <w:rPr>
          <w:rFonts w:ascii="Palatino Linotype" w:eastAsia="Palatino Linotype" w:hAnsi="Palatino Linotype" w:cs="Palatino Linotype"/>
        </w:rPr>
      </w:pPr>
    </w:p>
    <w:p w:rsidR="00347601" w:rsidRPr="00DD1D42" w:rsidRDefault="00347601"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La </w:t>
      </w:r>
      <w:r w:rsidRPr="00DD1D42">
        <w:rPr>
          <w:rFonts w:ascii="Palatino Linotype" w:eastAsia="Palatino Linotype" w:hAnsi="Palatino Linotype" w:cs="Palatino Linotype"/>
          <w:b/>
        </w:rPr>
        <w:t>Consejería Jurídica</w:t>
      </w:r>
      <w:r w:rsidRPr="00DD1D42">
        <w:rPr>
          <w:rFonts w:ascii="Palatino Linotype" w:eastAsia="Palatino Linotype" w:hAnsi="Palatino Linotype" w:cs="Palatino Linotype"/>
        </w:rPr>
        <w:t xml:space="preserve">, con base en el mismo Código Reglamentario, en su artículo 3.13, tiene dentro de sus atribuciones la de fungir como apoderado jurídico del H. Ayuntamiento de Toluca, del presidente municipal y de la administración pública municipal Centralizada; atender los asuntos jurídicos de los que el Presidente, y para el cumplimiento de sus atribuciones se auxiliará de diversas áreas, entre ellas la </w:t>
      </w:r>
      <w:r w:rsidRPr="00DD1D42">
        <w:rPr>
          <w:rFonts w:ascii="Palatino Linotype" w:eastAsia="Palatino Linotype" w:hAnsi="Palatino Linotype" w:cs="Palatino Linotype"/>
          <w:b/>
        </w:rPr>
        <w:t xml:space="preserve">Coordinación de Estudios y </w:t>
      </w:r>
      <w:r w:rsidRPr="00DD1D42">
        <w:rPr>
          <w:rFonts w:ascii="Palatino Linotype" w:eastAsia="Palatino Linotype" w:hAnsi="Palatino Linotype" w:cs="Palatino Linotype"/>
          <w:b/>
        </w:rPr>
        <w:lastRenderedPageBreak/>
        <w:t>Reglamentación Municipal</w:t>
      </w:r>
      <w:r w:rsidRPr="00DD1D42">
        <w:rPr>
          <w:rFonts w:ascii="Palatino Linotype" w:eastAsia="Palatino Linotype" w:hAnsi="Palatino Linotype" w:cs="Palatino Linotype"/>
        </w:rPr>
        <w:t xml:space="preserve">, misma que tiene dentro de sus atribuciones la de </w:t>
      </w:r>
      <w:r w:rsidR="00676494" w:rsidRPr="00DD1D42">
        <w:rPr>
          <w:rFonts w:ascii="Palatino Linotype" w:eastAsia="Palatino Linotype" w:hAnsi="Palatino Linotype" w:cs="Palatino Linotype"/>
          <w:u w:val="single"/>
        </w:rPr>
        <w:t>a</w:t>
      </w:r>
      <w:r w:rsidRPr="00DD1D42">
        <w:rPr>
          <w:rFonts w:ascii="Palatino Linotype" w:eastAsia="Palatino Linotype" w:hAnsi="Palatino Linotype" w:cs="Palatino Linotype"/>
          <w:u w:val="single"/>
        </w:rPr>
        <w:t>nalizar, validar y resguardar acuerdos, contratos y convenios que celebre</w:t>
      </w:r>
      <w:r w:rsidR="00676494" w:rsidRPr="00DD1D42">
        <w:rPr>
          <w:rFonts w:ascii="Palatino Linotype" w:eastAsia="Palatino Linotype" w:hAnsi="Palatino Linotype" w:cs="Palatino Linotype"/>
          <w:u w:val="single"/>
        </w:rPr>
        <w:t xml:space="preserve"> </w:t>
      </w:r>
      <w:r w:rsidRPr="00DD1D42">
        <w:rPr>
          <w:rFonts w:ascii="Palatino Linotype" w:eastAsia="Palatino Linotype" w:hAnsi="Palatino Linotype" w:cs="Palatino Linotype"/>
          <w:u w:val="single"/>
        </w:rPr>
        <w:t>o emita el Ayuntamiento y sus dependencias en el ámbito de sus competencias</w:t>
      </w:r>
      <w:r w:rsidR="00676494" w:rsidRPr="00DD1D42">
        <w:rPr>
          <w:rFonts w:ascii="Palatino Linotype" w:eastAsia="Palatino Linotype" w:hAnsi="Palatino Linotype" w:cs="Palatino Linotype"/>
        </w:rPr>
        <w:t>.</w:t>
      </w:r>
    </w:p>
    <w:p w:rsidR="00892A5C" w:rsidRPr="00DD1D42" w:rsidRDefault="00892A5C" w:rsidP="00892A5C">
      <w:pPr>
        <w:spacing w:line="360" w:lineRule="auto"/>
        <w:ind w:right="-787"/>
        <w:jc w:val="both"/>
        <w:rPr>
          <w:rFonts w:ascii="Palatino Linotype" w:eastAsia="Palatino Linotype" w:hAnsi="Palatino Linotype" w:cs="Palatino Linotype"/>
        </w:rPr>
      </w:pPr>
    </w:p>
    <w:p w:rsidR="00892A5C" w:rsidRPr="00DD1D42" w:rsidRDefault="00892A5C"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En este sentido, se desprende que el Sujeto Obligado en respuesta emite pronunciamiento a través de los Servidores Públicos Habilitados de la </w:t>
      </w:r>
      <w:r w:rsidRPr="00DD1D42">
        <w:rPr>
          <w:rFonts w:ascii="Palatino Linotype" w:eastAsia="Palatino Linotype" w:hAnsi="Palatino Linotype" w:cs="Palatino Linotype"/>
          <w:b/>
          <w:color w:val="000000"/>
        </w:rPr>
        <w:t xml:space="preserve">Dirección General de Administración </w:t>
      </w:r>
      <w:r w:rsidRPr="00DD1D42">
        <w:rPr>
          <w:rFonts w:ascii="Palatino Linotype" w:eastAsia="Palatino Linotype" w:hAnsi="Palatino Linotype" w:cs="Palatino Linotype"/>
          <w:color w:val="000000"/>
        </w:rPr>
        <w:t>y la</w:t>
      </w:r>
      <w:r w:rsidRPr="00DD1D42">
        <w:rPr>
          <w:rFonts w:ascii="Palatino Linotype" w:eastAsia="Palatino Linotype" w:hAnsi="Palatino Linotype" w:cs="Palatino Linotype"/>
          <w:b/>
          <w:color w:val="000000"/>
        </w:rPr>
        <w:t xml:space="preserve"> Secretaría Particular de Presidencia</w:t>
      </w:r>
      <w:r w:rsidRPr="00DD1D42">
        <w:rPr>
          <w:rFonts w:ascii="Palatino Linotype" w:eastAsia="Palatino Linotype" w:hAnsi="Palatino Linotype" w:cs="Palatino Linotype"/>
        </w:rPr>
        <w:t xml:space="preserve">, unas de las áreas competentes en las que obra la información requerida, por lo que podemos advertir que </w:t>
      </w:r>
      <w:r w:rsidRPr="00DD1D42">
        <w:rPr>
          <w:rFonts w:ascii="Palatino Linotype" w:eastAsia="Palatino Linotype" w:hAnsi="Palatino Linotype" w:cs="Palatino Linotype"/>
          <w:b/>
        </w:rPr>
        <w:t xml:space="preserve">EL SUJETO OBLIGADO no </w:t>
      </w:r>
      <w:r w:rsidRPr="00DD1D42">
        <w:rPr>
          <w:rFonts w:ascii="Palatino Linotype" w:eastAsia="Palatino Linotype" w:hAnsi="Palatino Linotype" w:cs="Palatino Linotype"/>
        </w:rPr>
        <w:t>siguió el procedimiento inmerso en la normatividad aplicable, ya que no turnó los requerimientos de información a todas las unidades administrativas competentes en las que pudiera obrar la información, conforme a lo establecido por el artículo 162 de la Ley de Transparencia y Acceso a la Información Pública del Estado de México y Municipios, de conformidad con la fracción XXXIX, del artículo tercero de la legislación local vigente en materia de transparencia:</w:t>
      </w:r>
    </w:p>
    <w:p w:rsidR="00892A5C" w:rsidRPr="00DD1D42" w:rsidRDefault="00892A5C" w:rsidP="00892A5C">
      <w:pPr>
        <w:ind w:left="1134" w:right="-220"/>
        <w:jc w:val="both"/>
        <w:rPr>
          <w:rFonts w:ascii="Palatino Linotype" w:eastAsia="Palatino Linotype" w:hAnsi="Palatino Linotype" w:cs="Palatino Linotype"/>
          <w:i/>
        </w:rPr>
      </w:pPr>
      <w:r w:rsidRPr="00DD1D42">
        <w:rPr>
          <w:rFonts w:ascii="Palatino Linotype" w:eastAsia="Palatino Linotype" w:hAnsi="Palatino Linotype" w:cs="Palatino Linotype"/>
          <w:b/>
          <w:i/>
        </w:rPr>
        <w:t>XXXIX.</w:t>
      </w:r>
      <w:r w:rsidRPr="00DD1D42">
        <w:rPr>
          <w:rFonts w:ascii="Palatino Linotype" w:eastAsia="Palatino Linotype" w:hAnsi="Palatino Linotype" w:cs="Palatino Linotype"/>
          <w:i/>
        </w:rPr>
        <w:t xml:space="preserve"> </w:t>
      </w:r>
      <w:r w:rsidRPr="00DD1D42">
        <w:rPr>
          <w:rFonts w:ascii="Palatino Linotype" w:eastAsia="Palatino Linotype" w:hAnsi="Palatino Linotype" w:cs="Palatino Linotype"/>
          <w:b/>
          <w:i/>
        </w:rPr>
        <w:t>Servidor público habilitado</w:t>
      </w:r>
      <w:r w:rsidRPr="00DD1D42">
        <w:rPr>
          <w:rFonts w:ascii="Palatino Linotype" w:eastAsia="Palatino Linotype" w:hAnsi="Palatino Linotype" w:cs="Palatino Linotype"/>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892A5C" w:rsidRDefault="00892A5C" w:rsidP="00892A5C">
      <w:pPr>
        <w:ind w:right="-788"/>
        <w:jc w:val="both"/>
        <w:rPr>
          <w:rFonts w:ascii="Palatino Linotype" w:eastAsia="Palatino Linotype" w:hAnsi="Palatino Linotype" w:cs="Palatino Linotype"/>
        </w:rPr>
      </w:pPr>
    </w:p>
    <w:p w:rsidR="00DD1D42" w:rsidRPr="00DD1D42" w:rsidRDefault="00DD1D42" w:rsidP="00892A5C">
      <w:pPr>
        <w:ind w:right="-788"/>
        <w:jc w:val="both"/>
        <w:rPr>
          <w:rFonts w:ascii="Palatino Linotype" w:eastAsia="Palatino Linotype" w:hAnsi="Palatino Linotype" w:cs="Palatino Linotype"/>
        </w:rPr>
      </w:pPr>
    </w:p>
    <w:p w:rsidR="00892A5C" w:rsidRPr="00DD1D42" w:rsidRDefault="00892A5C"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Así las cosas, se advierte que la Unidad de Transparencia </w:t>
      </w:r>
      <w:r w:rsidRPr="00DD1D42">
        <w:rPr>
          <w:rFonts w:ascii="Palatino Linotype" w:eastAsia="Palatino Linotype" w:hAnsi="Palatino Linotype" w:cs="Palatino Linotype"/>
          <w:b/>
        </w:rPr>
        <w:t>no cumplió</w:t>
      </w:r>
      <w:r w:rsidRPr="00DD1D42">
        <w:rPr>
          <w:rFonts w:ascii="Palatino Linotype" w:eastAsia="Palatino Linotype" w:hAnsi="Palatino Linotype" w:cs="Palatino Linotype"/>
        </w:rPr>
        <w:t xml:space="preserve"> con lo establecido en el artículo 162 de la Ley de Transparencia y Acceso a la Información Pública del Estado de México y Municipios, el cual menciona lo siguiente:</w:t>
      </w:r>
    </w:p>
    <w:p w:rsidR="00892A5C" w:rsidRPr="00DD1D42" w:rsidRDefault="00892A5C" w:rsidP="00892A5C">
      <w:pPr>
        <w:ind w:left="1134" w:right="-220"/>
        <w:jc w:val="both"/>
        <w:rPr>
          <w:rFonts w:ascii="Palatino Linotype" w:eastAsia="Palatino Linotype" w:hAnsi="Palatino Linotype" w:cs="Palatino Linotype"/>
          <w:i/>
        </w:rPr>
      </w:pPr>
      <w:r w:rsidRPr="00DD1D42">
        <w:rPr>
          <w:rFonts w:ascii="Palatino Linotype" w:eastAsia="Palatino Linotype" w:hAnsi="Palatino Linotype" w:cs="Palatino Linotype"/>
          <w:b/>
          <w:i/>
        </w:rPr>
        <w:t>Artículo 162.</w:t>
      </w:r>
      <w:r w:rsidRPr="00DD1D42">
        <w:rPr>
          <w:rFonts w:ascii="Palatino Linotype" w:eastAsia="Palatino Linotype" w:hAnsi="Palatino Linotype" w:cs="Palatino Linotype"/>
          <w:i/>
        </w:rPr>
        <w:t xml:space="preserve"> Las unidades de transparencia deberán garantizar que las solicitudes se turnen a </w:t>
      </w:r>
      <w:r w:rsidRPr="00DD1D42">
        <w:rPr>
          <w:rFonts w:ascii="Palatino Linotype" w:eastAsia="Palatino Linotype" w:hAnsi="Palatino Linotype" w:cs="Palatino Linotype"/>
          <w:b/>
          <w:i/>
        </w:rPr>
        <w:t>todas las Áreas competentes</w:t>
      </w:r>
      <w:r w:rsidRPr="00DD1D42">
        <w:rPr>
          <w:rFonts w:ascii="Palatino Linotype" w:eastAsia="Palatino Linotype" w:hAnsi="Palatino Linotype" w:cs="Palatino Linotype"/>
          <w:i/>
        </w:rPr>
        <w:t xml:space="preserve"> que cuenten con la información o deban tenerla de acuerdo a sus facultades, competencias y funciones, </w:t>
      </w:r>
      <w:r w:rsidRPr="00DD1D42">
        <w:rPr>
          <w:rFonts w:ascii="Palatino Linotype" w:eastAsia="Palatino Linotype" w:hAnsi="Palatino Linotype" w:cs="Palatino Linotype"/>
          <w:b/>
          <w:i/>
        </w:rPr>
        <w:t>con el objeto de que realicen una búsqueda exhaustiva y razonable de la información solicitada</w:t>
      </w:r>
      <w:r w:rsidRPr="00DD1D42">
        <w:rPr>
          <w:rFonts w:ascii="Palatino Linotype" w:eastAsia="Palatino Linotype" w:hAnsi="Palatino Linotype" w:cs="Palatino Linotype"/>
          <w:i/>
        </w:rPr>
        <w:t>.”</w:t>
      </w:r>
    </w:p>
    <w:p w:rsidR="00892A5C" w:rsidRPr="00DD1D42" w:rsidRDefault="00892A5C" w:rsidP="00AA61C9">
      <w:pPr>
        <w:numPr>
          <w:ilvl w:val="0"/>
          <w:numId w:val="2"/>
        </w:numPr>
        <w:spacing w:line="360" w:lineRule="auto"/>
        <w:ind w:left="0" w:right="-787" w:firstLine="0"/>
        <w:jc w:val="both"/>
        <w:rPr>
          <w:rFonts w:ascii="Palatino Linotype" w:eastAsia="Times New Roman" w:hAnsi="Palatino Linotype" w:cs="Arial"/>
          <w:b/>
          <w:color w:val="000000"/>
        </w:rPr>
      </w:pPr>
      <w:r w:rsidRPr="00DD1D42">
        <w:rPr>
          <w:rFonts w:ascii="Palatino Linotype" w:eastAsia="Times New Roman" w:hAnsi="Palatino Linotype" w:cs="Arial"/>
        </w:rPr>
        <w:lastRenderedPageBreak/>
        <w:t xml:space="preserve">El buscar </w:t>
      </w:r>
      <w:r w:rsidRPr="00DD1D42">
        <w:rPr>
          <w:rFonts w:ascii="Palatino Linotype" w:eastAsia="Palatino Linotype" w:hAnsi="Palatino Linotype" w:cs="Palatino Linotype"/>
        </w:rPr>
        <w:t>exhaustivamente</w:t>
      </w:r>
      <w:r w:rsidRPr="00DD1D42">
        <w:rPr>
          <w:rFonts w:ascii="Palatino Linotype" w:eastAsia="Times New Roman" w:hAnsi="Palatino Linotype" w:cs="Arial"/>
        </w:rPr>
        <w:t xml:space="preserve"> en sus archivos, es identificar la unidad(s) administrativa(s) que resguardan el documento al que una persona pretende acceder, es practicar una adecuada gestión documental que nos permite localizar el documento, como bien señala el artículo 159, de la Ley de Transparencia;  por lo que, se puede apreciar que probablemente se cuente con la información solicitada y se pueda tener la información.</w:t>
      </w:r>
    </w:p>
    <w:p w:rsidR="00892A5C" w:rsidRPr="00DD1D42" w:rsidRDefault="00892A5C" w:rsidP="00892A5C">
      <w:pPr>
        <w:pStyle w:val="Prrafodelista"/>
        <w:ind w:left="0"/>
        <w:rPr>
          <w:rFonts w:ascii="Palatino Linotype" w:eastAsia="Times New Roman" w:hAnsi="Palatino Linotype" w:cs="Arial"/>
          <w:b/>
          <w:color w:val="000000"/>
        </w:rPr>
      </w:pPr>
    </w:p>
    <w:p w:rsidR="00892A5C" w:rsidRPr="00DD1D42" w:rsidRDefault="00892A5C"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MS Mincho" w:hAnsi="Palatino Linotype" w:cstheme="majorBidi"/>
        </w:rPr>
        <w:t>Por lo anterior, de la respuesta emitida a la solicitud de información, no se tiene la certeza de que efectivamente se haya llevado a cabo l</w:t>
      </w:r>
      <w:r w:rsidRPr="00DD1D42">
        <w:rPr>
          <w:rFonts w:ascii="Palatino Linotype" w:eastAsia="Times New Roman" w:hAnsi="Palatino Linotype" w:cs="Arial"/>
        </w:rPr>
        <w:t xml:space="preserve">a búsqueda de lo requerido de manera razonable, en el soporte documental, electrónico, digital o cualquier otro que se albergan en los archivos de cada área que conforman al </w:t>
      </w:r>
      <w:r w:rsidRPr="00DD1D42">
        <w:rPr>
          <w:rFonts w:ascii="Palatino Linotype" w:eastAsia="Times New Roman" w:hAnsi="Palatino Linotype" w:cs="Arial"/>
          <w:b/>
        </w:rPr>
        <w:t>SUJETO OBLIGADO</w:t>
      </w:r>
      <w:r w:rsidRPr="00DD1D42">
        <w:rPr>
          <w:rFonts w:ascii="Palatino Linotype" w:eastAsia="Times New Roman" w:hAnsi="Palatino Linotype" w:cs="Arial"/>
        </w:rPr>
        <w:t xml:space="preserve"> y que derivado de sus funciones, atribuciones y competencias haya generado algún tipo de documento en el que se haya registrado lo solicitado. En ese sentido si no existe evidencia documental que acredite que en efecto, se haya realizado una búsqueda exhaustiva y razonable de lo inicialmente solicitado, y para poder confirmar que la respuesta es correcta, se debió de demostrar y acreditar de manera fundada y motiva la inexistencia de la misma.</w:t>
      </w:r>
    </w:p>
    <w:p w:rsidR="002B664B" w:rsidRPr="00DD1D42" w:rsidRDefault="002B664B" w:rsidP="002B664B">
      <w:pPr>
        <w:spacing w:line="360" w:lineRule="auto"/>
        <w:ind w:right="-787"/>
        <w:jc w:val="both"/>
        <w:rPr>
          <w:rFonts w:ascii="Palatino Linotype" w:eastAsia="Palatino Linotype" w:hAnsi="Palatino Linotype" w:cs="Palatino Linotype"/>
          <w:color w:val="000000"/>
        </w:rPr>
      </w:pPr>
    </w:p>
    <w:p w:rsidR="002B664B" w:rsidRPr="00DD1D42" w:rsidRDefault="002B664B"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Adicionalmente a lo ya expuesto, este Organismo realizó una investigación sobre firmas de convenio celebrados por el Presidente Municipal de Toluca, encontrando la información siguiente:</w:t>
      </w:r>
    </w:p>
    <w:p w:rsidR="002B664B" w:rsidRPr="00DD1D42" w:rsidRDefault="002B664B" w:rsidP="00AA61C9">
      <w:pPr>
        <w:numPr>
          <w:ilvl w:val="1"/>
          <w:numId w:val="2"/>
        </w:numPr>
        <w:spacing w:line="360" w:lineRule="auto"/>
        <w:ind w:left="567" w:right="-787"/>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No</w:t>
      </w:r>
      <w:r w:rsidR="008B4EF7" w:rsidRPr="00DD1D42">
        <w:rPr>
          <w:rFonts w:ascii="Palatino Linotype" w:eastAsia="Palatino Linotype" w:hAnsi="Palatino Linotype" w:cs="Palatino Linotype"/>
          <w:color w:val="000000"/>
        </w:rPr>
        <w:t>t</w:t>
      </w:r>
      <w:r w:rsidRPr="00DD1D42">
        <w:rPr>
          <w:rFonts w:ascii="Palatino Linotype" w:eastAsia="Palatino Linotype" w:hAnsi="Palatino Linotype" w:cs="Palatino Linotype"/>
          <w:color w:val="000000"/>
        </w:rPr>
        <w:t xml:space="preserve">a publicada en la página oficial del Sujeto Obligado de fecha 22 de enero de 2025, en la que refiere la </w:t>
      </w:r>
      <w:r w:rsidRPr="00DD1D42">
        <w:rPr>
          <w:rFonts w:ascii="Palatino Linotype" w:eastAsia="Palatino Linotype" w:hAnsi="Palatino Linotype" w:cs="Palatino Linotype"/>
          <w:b/>
          <w:color w:val="000000"/>
        </w:rPr>
        <w:t>firma de convenio de colaboración entre el Ayuntamiento de Toluca y CODHEM</w:t>
      </w:r>
      <w:r w:rsidRPr="00DD1D42">
        <w:rPr>
          <w:rFonts w:ascii="Palatino Linotype" w:eastAsia="Palatino Linotype" w:hAnsi="Palatino Linotype" w:cs="Palatino Linotype"/>
          <w:color w:val="000000"/>
        </w:rPr>
        <w:t xml:space="preserve">. Consultable en el siguiente link </w:t>
      </w:r>
      <w:hyperlink r:id="rId8" w:history="1">
        <w:r w:rsidRPr="00DD1D42">
          <w:rPr>
            <w:rStyle w:val="Hipervnculo"/>
            <w:rFonts w:ascii="Palatino Linotype" w:eastAsia="Palatino Linotype" w:hAnsi="Palatino Linotype" w:cs="Palatino Linotype"/>
          </w:rPr>
          <w:t>https://www2.toluca.gob.mx/reafirma-toluca-su-compromiso-con-la-proteccion-de-los-derechos-humanos/</w:t>
        </w:r>
      </w:hyperlink>
      <w:r w:rsidRPr="00DD1D42">
        <w:rPr>
          <w:rFonts w:ascii="Palatino Linotype" w:eastAsia="Palatino Linotype" w:hAnsi="Palatino Linotype" w:cs="Palatino Linotype"/>
          <w:color w:val="000000"/>
        </w:rPr>
        <w:t xml:space="preserve"> </w:t>
      </w:r>
    </w:p>
    <w:p w:rsidR="002B664B" w:rsidRPr="00DD1D42" w:rsidRDefault="002B664B" w:rsidP="002B664B">
      <w:pPr>
        <w:spacing w:line="360" w:lineRule="auto"/>
        <w:ind w:left="567" w:right="-787"/>
        <w:jc w:val="center"/>
        <w:rPr>
          <w:rFonts w:ascii="Palatino Linotype" w:eastAsia="Palatino Linotype" w:hAnsi="Palatino Linotype" w:cs="Palatino Linotype"/>
          <w:color w:val="000000"/>
        </w:rPr>
      </w:pPr>
      <w:r w:rsidRPr="00DD1D42">
        <w:rPr>
          <w:rFonts w:ascii="Palatino Linotype" w:eastAsia="Palatino Linotype" w:hAnsi="Palatino Linotype" w:cs="Palatino Linotype"/>
          <w:noProof/>
          <w:color w:val="000000"/>
          <w:lang w:val="es-MX" w:eastAsia="es-MX"/>
        </w:rPr>
        <w:lastRenderedPageBreak/>
        <w:drawing>
          <wp:inline distT="0" distB="0" distL="0" distR="0" wp14:anchorId="7DFED8B9" wp14:editId="4E5E1EEF">
            <wp:extent cx="3449010" cy="3643433"/>
            <wp:effectExtent l="152400" t="152400" r="361315" b="3575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7262" cy="3662714"/>
                    </a:xfrm>
                    <a:prstGeom prst="rect">
                      <a:avLst/>
                    </a:prstGeom>
                    <a:ln>
                      <a:noFill/>
                    </a:ln>
                    <a:effectLst>
                      <a:outerShdw blurRad="292100" dist="139700" dir="2700000" algn="tl" rotWithShape="0">
                        <a:srgbClr val="333333">
                          <a:alpha val="65000"/>
                        </a:srgbClr>
                      </a:outerShdw>
                    </a:effectLst>
                  </pic:spPr>
                </pic:pic>
              </a:graphicData>
            </a:graphic>
          </wp:inline>
        </w:drawing>
      </w:r>
    </w:p>
    <w:p w:rsidR="006A0B77" w:rsidRPr="00DD1D42" w:rsidRDefault="006A0B77" w:rsidP="00AA61C9">
      <w:pPr>
        <w:numPr>
          <w:ilvl w:val="1"/>
          <w:numId w:val="2"/>
        </w:numPr>
        <w:spacing w:line="360" w:lineRule="auto"/>
        <w:ind w:left="426" w:right="-787"/>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Publicación en la red social X del Ayuntamiento de Toluca @TolucaGob de fecha 16 de enero de 2025, en la que se difunde la </w:t>
      </w:r>
      <w:r w:rsidRPr="00DD1D42">
        <w:rPr>
          <w:rFonts w:ascii="Palatino Linotype" w:eastAsia="Palatino Linotype" w:hAnsi="Palatino Linotype" w:cs="Palatino Linotype"/>
          <w:b/>
          <w:color w:val="000000"/>
        </w:rPr>
        <w:t>firma de convenio entre el Ayuntamiento de Toluca y Coca-Cola FEMSA</w:t>
      </w:r>
      <w:r w:rsidRPr="00DD1D42">
        <w:rPr>
          <w:rFonts w:ascii="Palatino Linotype" w:eastAsia="Palatino Linotype" w:hAnsi="Palatino Linotype" w:cs="Palatino Linotype"/>
          <w:color w:val="000000"/>
        </w:rPr>
        <w:t xml:space="preserve">. Consultable en el siguiente link </w:t>
      </w:r>
      <w:hyperlink r:id="rId10" w:history="1">
        <w:r w:rsidRPr="00DD1D42">
          <w:rPr>
            <w:rStyle w:val="Hipervnculo"/>
            <w:rFonts w:ascii="Palatino Linotype" w:eastAsia="Palatino Linotype" w:hAnsi="Palatino Linotype" w:cs="Palatino Linotype"/>
          </w:rPr>
          <w:t>https://x.com/TolucaGob/status/1880101965251932572</w:t>
        </w:r>
      </w:hyperlink>
      <w:r w:rsidRPr="00DD1D42">
        <w:rPr>
          <w:rFonts w:ascii="Palatino Linotype" w:eastAsia="Palatino Linotype" w:hAnsi="Palatino Linotype" w:cs="Palatino Linotype"/>
          <w:color w:val="000000"/>
        </w:rPr>
        <w:t xml:space="preserve"> </w:t>
      </w:r>
    </w:p>
    <w:p w:rsidR="006A0B77" w:rsidRPr="00DD1D42" w:rsidRDefault="006A0B77" w:rsidP="006A0B77">
      <w:pPr>
        <w:spacing w:line="360" w:lineRule="auto"/>
        <w:ind w:right="-787"/>
        <w:jc w:val="both"/>
        <w:rPr>
          <w:rFonts w:ascii="Palatino Linotype" w:eastAsia="Palatino Linotype" w:hAnsi="Palatino Linotype" w:cs="Palatino Linotype"/>
          <w:color w:val="000000"/>
        </w:rPr>
      </w:pPr>
    </w:p>
    <w:p w:rsidR="00892A5C" w:rsidRPr="00DD1D42" w:rsidRDefault="006A0B77" w:rsidP="002F1E23">
      <w:pPr>
        <w:spacing w:line="360" w:lineRule="auto"/>
        <w:ind w:right="-787"/>
        <w:jc w:val="center"/>
        <w:rPr>
          <w:rFonts w:ascii="Palatino Linotype" w:eastAsia="Palatino Linotype" w:hAnsi="Palatino Linotype" w:cs="Palatino Linotype"/>
          <w:color w:val="000000"/>
        </w:rPr>
      </w:pPr>
      <w:r w:rsidRPr="00DD1D42">
        <w:rPr>
          <w:rFonts w:ascii="Palatino Linotype" w:eastAsia="Palatino Linotype" w:hAnsi="Palatino Linotype" w:cs="Palatino Linotype"/>
          <w:noProof/>
          <w:color w:val="000000"/>
          <w:lang w:val="es-MX" w:eastAsia="es-MX"/>
        </w:rPr>
        <w:lastRenderedPageBreak/>
        <w:drawing>
          <wp:inline distT="0" distB="0" distL="0" distR="0" wp14:anchorId="2B7F0DB4" wp14:editId="2D852AA2">
            <wp:extent cx="3587233" cy="3461393"/>
            <wp:effectExtent l="152400" t="152400" r="356235" b="3676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9180" cy="3472921"/>
                    </a:xfrm>
                    <a:prstGeom prst="rect">
                      <a:avLst/>
                    </a:prstGeom>
                    <a:ln>
                      <a:noFill/>
                    </a:ln>
                    <a:effectLst>
                      <a:outerShdw blurRad="292100" dist="139700" dir="2700000" algn="tl" rotWithShape="0">
                        <a:srgbClr val="333333">
                          <a:alpha val="65000"/>
                        </a:srgbClr>
                      </a:outerShdw>
                    </a:effectLst>
                  </pic:spPr>
                </pic:pic>
              </a:graphicData>
            </a:graphic>
          </wp:inline>
        </w:drawing>
      </w:r>
    </w:p>
    <w:p w:rsidR="00434435" w:rsidRPr="00DD1D42" w:rsidRDefault="00434435" w:rsidP="00AA61C9">
      <w:pPr>
        <w:numPr>
          <w:ilvl w:val="0"/>
          <w:numId w:val="2"/>
        </w:numPr>
        <w:spacing w:line="360" w:lineRule="auto"/>
        <w:ind w:left="0" w:right="-787" w:firstLine="0"/>
        <w:jc w:val="both"/>
        <w:rPr>
          <w:color w:val="000000"/>
        </w:rPr>
      </w:pPr>
      <w:r w:rsidRPr="00DD1D42">
        <w:rPr>
          <w:rFonts w:ascii="Palatino Linotype" w:eastAsia="Palatino Linotype" w:hAnsi="Palatino Linotype" w:cs="Palatino Linotype"/>
          <w:color w:val="000000"/>
        </w:rPr>
        <w:t xml:space="preserve">Como se advierte de la nota y la publicación, </w:t>
      </w:r>
      <w:r w:rsidRPr="00DD1D42">
        <w:rPr>
          <w:rFonts w:ascii="Palatino Linotype" w:eastAsia="Palatino Linotype" w:hAnsi="Palatino Linotype" w:cs="Palatino Linotype"/>
          <w:b/>
          <w:color w:val="000000"/>
        </w:rPr>
        <w:t>se observan publicaciones de firmas de convenios entre el Sujeto Obligado y otros entes</w:t>
      </w:r>
      <w:r w:rsidRPr="00DD1D42">
        <w:rPr>
          <w:rFonts w:ascii="Palatino Linotype" w:eastAsia="Palatino Linotype" w:hAnsi="Palatino Linotype" w:cs="Palatino Linotype"/>
          <w:color w:val="000000"/>
        </w:rPr>
        <w:t xml:space="preserve">; al respecto conviene señalar que, si bien es cierto, las notas periodísticas o publicaciones plasmadas en la red de Internet constituyen el Derecho a la Libre Expresión de los profesionales en la materia (artículo 7 de la Constitución Política de los Estados Unidos Mexicanos), en los que se plasman opiniones, señalamientos o comentarios respecto de diversos hechos que se suscitan en un lugar y tiempo determinados, también lo es que dichas publicaciones encontrada por la ponencia arrojan indicios sobre los hechos a que se refieren. Sirve de apoyo a lo anterior, la Jurisprudencia y Tesis Aisladas que enseguida se reproducen: </w:t>
      </w:r>
    </w:p>
    <w:p w:rsidR="00434435" w:rsidRPr="00DD1D42" w:rsidRDefault="00434435" w:rsidP="00434435">
      <w:pPr>
        <w:pBdr>
          <w:top w:val="nil"/>
          <w:left w:val="nil"/>
          <w:bottom w:val="nil"/>
          <w:right w:val="nil"/>
          <w:between w:val="nil"/>
        </w:pBdr>
        <w:spacing w:line="360" w:lineRule="auto"/>
        <w:ind w:right="113"/>
        <w:jc w:val="both"/>
        <w:rPr>
          <w:color w:val="000000"/>
        </w:rPr>
      </w:pPr>
    </w:p>
    <w:p w:rsidR="00434435" w:rsidRPr="00DD1D42" w:rsidRDefault="00434435" w:rsidP="00434435">
      <w:pPr>
        <w:ind w:left="851" w:right="-716"/>
        <w:jc w:val="both"/>
        <w:rPr>
          <w:rFonts w:ascii="Palatino Linotype" w:eastAsia="Palatino Linotype" w:hAnsi="Palatino Linotype" w:cs="Palatino Linotype"/>
          <w:i/>
        </w:rPr>
      </w:pPr>
      <w:r w:rsidRPr="00DD1D42">
        <w:rPr>
          <w:rFonts w:ascii="Palatino Linotype" w:eastAsia="Palatino Linotype" w:hAnsi="Palatino Linotype" w:cs="Palatino Linotype"/>
          <w:b/>
          <w:i/>
        </w:rPr>
        <w:lastRenderedPageBreak/>
        <w:t>“NOTAS PERIODÍSTICAS. ELEMENTOS PARA DETERMINAR SU FUERZA INDICIARIA.</w:t>
      </w:r>
      <w:r w:rsidRPr="00DD1D42">
        <w:rPr>
          <w:rFonts w:ascii="Palatino Linotype" w:eastAsia="Palatino Linotype" w:hAnsi="Palatino Linotype" w:cs="Palatino Linotype"/>
          <w:i/>
        </w:rPr>
        <w:t xml:space="preserve"> 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p>
    <w:p w:rsidR="00434435" w:rsidRPr="00DD1D42" w:rsidRDefault="00434435" w:rsidP="00434435">
      <w:pPr>
        <w:spacing w:line="360" w:lineRule="auto"/>
        <w:ind w:left="851" w:right="822"/>
        <w:jc w:val="both"/>
        <w:rPr>
          <w:rFonts w:ascii="Palatino Linotype" w:eastAsia="Palatino Linotype" w:hAnsi="Palatino Linotype" w:cs="Palatino Linotype"/>
          <w:i/>
        </w:rPr>
      </w:pPr>
    </w:p>
    <w:p w:rsidR="00434435" w:rsidRPr="00DD1D42" w:rsidRDefault="00434435" w:rsidP="00434435">
      <w:pPr>
        <w:ind w:left="851" w:right="-716"/>
        <w:jc w:val="both"/>
        <w:rPr>
          <w:rFonts w:ascii="Palatino Linotype" w:eastAsia="Palatino Linotype" w:hAnsi="Palatino Linotype" w:cs="Palatino Linotype"/>
          <w:i/>
        </w:rPr>
      </w:pPr>
      <w:r w:rsidRPr="00DD1D42">
        <w:rPr>
          <w:rFonts w:ascii="Palatino Linotype" w:eastAsia="Palatino Linotype" w:hAnsi="Palatino Linotype" w:cs="Palatino Linotype"/>
          <w:b/>
          <w:i/>
        </w:rPr>
        <w:t xml:space="preserve">INDICIO. CONCEPTO DE. </w:t>
      </w:r>
      <w:r w:rsidRPr="00DD1D42">
        <w:rPr>
          <w:rFonts w:ascii="Palatino Linotype" w:eastAsia="Palatino Linotype" w:hAnsi="Palatino Linotype" w:cs="Palatino Linotype"/>
          <w:i/>
        </w:rPr>
        <w:t xml:space="preserve">El "indicio" es una circunstancia cierta de la que se puede sacar, por inducción lógica, una conclusión acerca de la existencia (o inexistencia) de un hecho a probar;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indiciante, o sea, que el indicio presupone necesariamente la demostración de circunstancias indispensables por las que se arguye indirecta pero lógicamente el hecho que hay que probar mediante un proceso deductivo, con la misma certeza que da la prueba directa. </w:t>
      </w:r>
    </w:p>
    <w:p w:rsidR="00434435" w:rsidRPr="00DD1D42" w:rsidRDefault="00434435" w:rsidP="00434435">
      <w:pPr>
        <w:spacing w:line="360" w:lineRule="auto"/>
        <w:ind w:left="851" w:right="822"/>
        <w:jc w:val="both"/>
        <w:rPr>
          <w:rFonts w:ascii="Palatino Linotype" w:eastAsia="Palatino Linotype" w:hAnsi="Palatino Linotype" w:cs="Palatino Linotype"/>
          <w:i/>
        </w:rPr>
      </w:pPr>
    </w:p>
    <w:p w:rsidR="00434435" w:rsidRPr="00DD1D42" w:rsidRDefault="00434435" w:rsidP="00434435">
      <w:pPr>
        <w:ind w:left="851" w:right="-574"/>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SEGUNDO TRIBUNAL COLEGIADO DEL SEXTO CIRCUITO. </w:t>
      </w:r>
    </w:p>
    <w:p w:rsidR="00434435" w:rsidRPr="00DD1D42" w:rsidRDefault="00434435" w:rsidP="00434435">
      <w:pPr>
        <w:ind w:left="851" w:right="-574"/>
        <w:jc w:val="both"/>
        <w:rPr>
          <w:rFonts w:ascii="Palatino Linotype" w:eastAsia="Palatino Linotype" w:hAnsi="Palatino Linotype" w:cs="Palatino Linotype"/>
          <w:i/>
        </w:rPr>
      </w:pPr>
      <w:r w:rsidRPr="00DD1D42">
        <w:rPr>
          <w:rFonts w:ascii="Palatino Linotype" w:eastAsia="Palatino Linotype" w:hAnsi="Palatino Linotype" w:cs="Palatino Linotype"/>
          <w:i/>
        </w:rPr>
        <w:t>Amparo directo 317/87. Juan Antonio Ibarra Chaire y coags. 12 de julio de 1988. Unanimidad de votos. Ponente: José Galván Rojas. Secretario: Vicente Martínez Sánchez.</w:t>
      </w:r>
    </w:p>
    <w:p w:rsidR="00434435" w:rsidRPr="00DD1D42" w:rsidRDefault="00434435" w:rsidP="00434435">
      <w:pPr>
        <w:ind w:left="851" w:right="-574"/>
        <w:jc w:val="both"/>
        <w:rPr>
          <w:rFonts w:ascii="Palatino Linotype" w:eastAsia="Palatino Linotype" w:hAnsi="Palatino Linotype" w:cs="Palatino Linotype"/>
          <w:i/>
        </w:rPr>
      </w:pPr>
    </w:p>
    <w:p w:rsidR="00434435" w:rsidRPr="00DD1D42" w:rsidRDefault="00434435" w:rsidP="00434435">
      <w:pPr>
        <w:ind w:left="851" w:right="-574"/>
        <w:jc w:val="both"/>
        <w:rPr>
          <w:rFonts w:ascii="Palatino Linotype" w:eastAsia="Palatino Linotype" w:hAnsi="Palatino Linotype" w:cs="Palatino Linotype"/>
          <w:i/>
        </w:rPr>
      </w:pPr>
      <w:r w:rsidRPr="00DD1D42">
        <w:rPr>
          <w:rFonts w:ascii="Palatino Linotype" w:eastAsia="Palatino Linotype" w:hAnsi="Palatino Linotype" w:cs="Palatino Linotype"/>
          <w:b/>
          <w:i/>
        </w:rPr>
        <w:lastRenderedPageBreak/>
        <w:t xml:space="preserve">INDICIOS. REQUISITOS PARA QUE GENEREN PRESUNCIÓN DE CERTEZA. </w:t>
      </w:r>
      <w:r w:rsidRPr="00DD1D42">
        <w:rPr>
          <w:rFonts w:ascii="Palatino Linotype" w:eastAsia="Palatino Linotype" w:hAnsi="Palatino Linotype" w:cs="Palatino Linotype"/>
          <w:i/>
        </w:rPr>
        <w:t xml:space="preserve">Nada impide que para acreditar la veracidad de un hecho, el juzgador se valga de una presunción que se derive de varios indicios. En esta hipótesis deben cumplirse los principios de la lógica inferencial de probabilidad, a saber: 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cuando concurren esas exigencias, y se da un muy alto grado de probabilidad de que los hechos acaecieron en la forma narrada por una de las partes, son aptos para generar la presunción de certeza. </w:t>
      </w:r>
    </w:p>
    <w:p w:rsidR="00434435" w:rsidRPr="00DD1D42" w:rsidRDefault="00434435" w:rsidP="00434435">
      <w:pPr>
        <w:spacing w:line="360" w:lineRule="auto"/>
        <w:ind w:right="-592"/>
        <w:jc w:val="both"/>
      </w:pPr>
    </w:p>
    <w:p w:rsidR="00434435" w:rsidRPr="00DD1D42" w:rsidRDefault="00434435"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De lo anterior, se presume la existencia de documentación relacionada con la información requerida, toda vez que el </w:t>
      </w:r>
      <w:r w:rsidRPr="00DD1D42">
        <w:rPr>
          <w:rFonts w:ascii="Palatino Linotype" w:eastAsia="Palatino Linotype" w:hAnsi="Palatino Linotype" w:cs="Palatino Linotype"/>
          <w:b/>
          <w:color w:val="000000"/>
        </w:rPr>
        <w:t>SUJETO OBLIGADO</w:t>
      </w:r>
      <w:r w:rsidRPr="00DD1D42">
        <w:rPr>
          <w:rFonts w:ascii="Palatino Linotype" w:eastAsia="Palatino Linotype" w:hAnsi="Palatino Linotype" w:cs="Palatino Linotype"/>
          <w:color w:val="000000"/>
        </w:rPr>
        <w:t xml:space="preserve"> se encuentra constreñido a documentar todo acto de autoridad que éste realice derivado de sus funciones, atribuciones y competencias. </w:t>
      </w:r>
    </w:p>
    <w:p w:rsidR="00434435" w:rsidRPr="00DD1D42" w:rsidRDefault="00434435" w:rsidP="00434435">
      <w:pPr>
        <w:spacing w:line="360" w:lineRule="auto"/>
        <w:ind w:right="-787"/>
        <w:jc w:val="both"/>
        <w:rPr>
          <w:rFonts w:ascii="Palatino Linotype" w:eastAsia="Palatino Linotype" w:hAnsi="Palatino Linotype" w:cs="Palatino Linotype"/>
          <w:color w:val="000000"/>
        </w:rPr>
      </w:pPr>
    </w:p>
    <w:p w:rsidR="00434435" w:rsidRPr="00DD1D42" w:rsidRDefault="00434435"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En ese tenor, si bien es cierto que las páginas de internet no son un medio oficial, también lo es que se trata de indicios que demuestran las tareas o labores que llegan a realizar en este caso los servidores públicos en ejercicio de sus facultades, competencias y/o funciones. </w:t>
      </w:r>
    </w:p>
    <w:p w:rsidR="00434435" w:rsidRPr="00DD1D42" w:rsidRDefault="00434435" w:rsidP="00434435">
      <w:pPr>
        <w:spacing w:line="360" w:lineRule="auto"/>
        <w:ind w:right="-787"/>
        <w:jc w:val="both"/>
        <w:rPr>
          <w:rFonts w:ascii="Palatino Linotype" w:eastAsia="Palatino Linotype" w:hAnsi="Palatino Linotype" w:cs="Palatino Linotype"/>
          <w:color w:val="000000"/>
        </w:rPr>
      </w:pPr>
    </w:p>
    <w:p w:rsidR="00434435" w:rsidRPr="00DD1D42" w:rsidRDefault="00434435"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En tal virtud, al obrar indicios de la información en páginas de internet, como lo son las publicaciones del mismo Sujeto Obligado en sus páginas oficiales, como fue el caso, demuestran que cuenta con la información en alguna de sus áreas administrativas, este tipo de información es susceptible de considerarse como un hecho notorio el cual puede ser </w:t>
      </w:r>
      <w:r w:rsidRPr="00DD1D42">
        <w:rPr>
          <w:rFonts w:ascii="Palatino Linotype" w:eastAsia="Palatino Linotype" w:hAnsi="Palatino Linotype" w:cs="Palatino Linotype"/>
          <w:color w:val="000000"/>
        </w:rPr>
        <w:lastRenderedPageBreak/>
        <w:t xml:space="preserve">valorado, por formar parte del conocimiento público, lo cual se robustece con la siguiente tesis aislada emitida por los Tribunales Colegiados de Circuito y publicada en el Semanario Judicial de la Federación: </w:t>
      </w:r>
    </w:p>
    <w:p w:rsidR="00434435" w:rsidRPr="00DD1D42" w:rsidRDefault="00434435" w:rsidP="00434435">
      <w:pPr>
        <w:ind w:left="851" w:right="-716"/>
        <w:jc w:val="both"/>
        <w:rPr>
          <w:rFonts w:ascii="Palatino Linotype" w:eastAsia="Palatino Linotype" w:hAnsi="Palatino Linotype" w:cs="Palatino Linotype"/>
          <w:i/>
        </w:rPr>
      </w:pPr>
      <w:r w:rsidRPr="00DD1D42">
        <w:rPr>
          <w:rFonts w:ascii="Palatino Linotype" w:eastAsia="Palatino Linotype" w:hAnsi="Palatino Linotype" w:cs="Palatino Linotype"/>
          <w:b/>
          <w:i/>
        </w:rPr>
        <w:t xml:space="preserve">“PÁGINAS WEB O ELECTRÓNICAS. SU CONTENIDO ES UN HECHO NOTORIO Y SUSCEPTIBLE DE SER VALORADO EN UNA DECISIÓN JUDICIAL. </w:t>
      </w:r>
      <w:r w:rsidRPr="00DD1D42">
        <w:rPr>
          <w:rFonts w:ascii="Palatino Linotype" w:eastAsia="Palatino Linotype" w:hAnsi="Palatino Linotype" w:cs="Palatino Linotype"/>
          <w:i/>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1 2004949. I.3o.C.35 K (10a.). Tribunales Colegiados de Circuito. Décima Época. Semanario Judicial de la Federación y su Gaceta. Libro XXVI, Noviembre de 2013, Pág. 1373. Recurso de Revisión: 03023/INFOEM/IP/RR/2021 Sujeto Obligado: Ayuntamiento de Coacalco de Berriozábal Comisionado por returno: Luis Gustavo Parra Noriega Página 21 de 28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434435" w:rsidRPr="00DD1D42" w:rsidRDefault="00434435" w:rsidP="00434435">
      <w:pPr>
        <w:ind w:left="851" w:right="-716"/>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 TERCER TRIBUNAL COLEGIADO EN MATERIA CIVIL DEL PRIMER CIRCUITO. </w:t>
      </w:r>
    </w:p>
    <w:p w:rsidR="00434435" w:rsidRPr="00DD1D42" w:rsidRDefault="00434435" w:rsidP="00434435">
      <w:pPr>
        <w:ind w:left="851" w:right="-716"/>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Amparo en revisión 365/2012. Mardygras, S.A. de C.V. 7 de diciembre de 2012. Unanimidad de votos. Ponente: Neófito López Ramos. Secretaria: Ana Lilia Osorno Arroyo.” </w:t>
      </w:r>
    </w:p>
    <w:p w:rsidR="00434435" w:rsidRPr="00DD1D42" w:rsidRDefault="00434435" w:rsidP="00434435">
      <w:pPr>
        <w:ind w:left="851" w:right="-716"/>
        <w:jc w:val="both"/>
        <w:rPr>
          <w:rFonts w:ascii="Palatino Linotype" w:eastAsia="Palatino Linotype" w:hAnsi="Palatino Linotype" w:cs="Palatino Linotype"/>
          <w:i/>
        </w:rPr>
      </w:pPr>
      <w:r w:rsidRPr="00DD1D42">
        <w:rPr>
          <w:rFonts w:ascii="Palatino Linotype" w:eastAsia="Palatino Linotype" w:hAnsi="Palatino Linotype" w:cs="Palatino Linotype"/>
          <w:i/>
        </w:rPr>
        <w:t xml:space="preserve">(Énfasis añadido) </w:t>
      </w:r>
    </w:p>
    <w:p w:rsidR="00434435" w:rsidRPr="00DD1D42" w:rsidRDefault="00434435" w:rsidP="00434435">
      <w:pPr>
        <w:spacing w:line="360" w:lineRule="auto"/>
        <w:ind w:right="-592"/>
        <w:jc w:val="both"/>
        <w:rPr>
          <w:rFonts w:ascii="Palatino Linotype" w:eastAsia="Palatino Linotype" w:hAnsi="Palatino Linotype" w:cs="Palatino Linotype"/>
          <w:i/>
        </w:rPr>
      </w:pPr>
    </w:p>
    <w:p w:rsidR="00434435" w:rsidRPr="00DD1D42" w:rsidRDefault="00434435"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rPr>
        <w:lastRenderedPageBreak/>
        <w:t>Es así que, aún y cuando la información proviene de una publicación en página y red social oficiales del Sujeto Obligado, muestra elementos que permiten presumir la existencia del hecho.</w:t>
      </w:r>
    </w:p>
    <w:p w:rsidR="00434435" w:rsidRPr="00DD1D42" w:rsidRDefault="00434435" w:rsidP="00434435">
      <w:pPr>
        <w:spacing w:line="360" w:lineRule="auto"/>
        <w:ind w:right="-787"/>
        <w:jc w:val="both"/>
        <w:rPr>
          <w:rFonts w:ascii="Palatino Linotype" w:eastAsia="Palatino Linotype" w:hAnsi="Palatino Linotype" w:cs="Palatino Linotype"/>
          <w:color w:val="000000"/>
        </w:rPr>
      </w:pPr>
    </w:p>
    <w:p w:rsidR="00434435" w:rsidRPr="00DD1D42" w:rsidRDefault="00434435" w:rsidP="00AA61C9">
      <w:pPr>
        <w:numPr>
          <w:ilvl w:val="0"/>
          <w:numId w:val="2"/>
        </w:numPr>
        <w:spacing w:line="360" w:lineRule="auto"/>
        <w:ind w:left="0" w:right="-787" w:firstLine="0"/>
        <w:jc w:val="both"/>
        <w:rPr>
          <w:rFonts w:ascii="Palatino Linotype" w:eastAsia="Palatino Linotype" w:hAnsi="Palatino Linotype" w:cs="Palatino Linotype"/>
          <w:b/>
          <w:bCs/>
          <w:color w:val="000000"/>
          <w:lang w:val="es-MX"/>
        </w:rPr>
      </w:pPr>
      <w:r w:rsidRPr="00DD1D42">
        <w:rPr>
          <w:rFonts w:ascii="Palatino Linotype" w:eastAsia="Palatino Linotype" w:hAnsi="Palatino Linotype" w:cs="Palatino Linotype"/>
          <w:color w:val="000000"/>
        </w:rPr>
        <w:t xml:space="preserve">Asimismo, del análisis de la información que el Sujeto Obligado debe poner a disposición en la plataforma de Información Pública de Oficio Mexiquense IPOMEX, en el apartado correspondiente al </w:t>
      </w:r>
      <w:r w:rsidRPr="00DD1D42">
        <w:rPr>
          <w:rFonts w:ascii="Palatino Linotype" w:eastAsia="Palatino Linotype" w:hAnsi="Palatino Linotype" w:cs="Palatino Linotype"/>
          <w:b/>
          <w:bCs/>
          <w:color w:val="000000"/>
          <w:lang w:val="es-MX"/>
        </w:rPr>
        <w:t>Artículo 92</w:t>
      </w:r>
      <w:r w:rsidR="005C5F52" w:rsidRPr="00DD1D42">
        <w:rPr>
          <w:rFonts w:ascii="Palatino Linotype" w:eastAsia="Palatino Linotype" w:hAnsi="Palatino Linotype" w:cs="Palatino Linotype"/>
          <w:b/>
          <w:bCs/>
          <w:color w:val="000000"/>
          <w:lang w:val="es-MX"/>
        </w:rPr>
        <w:t>,</w:t>
      </w:r>
      <w:r w:rsidRPr="00DD1D42">
        <w:rPr>
          <w:rFonts w:ascii="Palatino Linotype" w:eastAsia="Palatino Linotype" w:hAnsi="Palatino Linotype" w:cs="Palatino Linotype"/>
          <w:b/>
          <w:bCs/>
          <w:color w:val="000000"/>
          <w:lang w:val="es-MX"/>
        </w:rPr>
        <w:t>  Fracción XXXVII</w:t>
      </w:r>
      <w:r w:rsidR="005C5F52" w:rsidRPr="00DD1D42">
        <w:rPr>
          <w:rFonts w:ascii="Palatino Linotype" w:eastAsia="Palatino Linotype" w:hAnsi="Palatino Linotype" w:cs="Palatino Linotype"/>
          <w:b/>
          <w:bCs/>
          <w:color w:val="000000"/>
          <w:lang w:val="es-MX"/>
        </w:rPr>
        <w:t>,</w:t>
      </w:r>
      <w:r w:rsidRPr="00DD1D42">
        <w:rPr>
          <w:rFonts w:ascii="Palatino Linotype" w:eastAsia="Palatino Linotype" w:hAnsi="Palatino Linotype" w:cs="Palatino Linotype"/>
          <w:b/>
          <w:bCs/>
          <w:color w:val="000000"/>
          <w:lang w:val="es-MX"/>
        </w:rPr>
        <w:t>  Convenios de coordinación, de concertación con el sector social o privado</w:t>
      </w:r>
      <w:r w:rsidRPr="00DD1D42">
        <w:rPr>
          <w:rFonts w:ascii="Palatino Linotype" w:eastAsia="Palatino Linotype" w:hAnsi="Palatino Linotype" w:cs="Palatino Linotype"/>
          <w:bCs/>
          <w:color w:val="000000"/>
          <w:lang w:val="es-MX"/>
        </w:rPr>
        <w:t>, en la información del primer trimestre de 2025 se pueden apreciar 14 registros, al seleccionar el primero de estos, denominado “</w:t>
      </w:r>
      <w:r w:rsidRPr="00DD1D42">
        <w:rPr>
          <w:rFonts w:ascii="Palatino Linotype" w:eastAsia="Palatino Linotype" w:hAnsi="Palatino Linotype" w:cs="Palatino Linotype"/>
          <w:bCs/>
          <w:color w:val="000000"/>
        </w:rPr>
        <w:t xml:space="preserve">Convenio de Colaboración para la coadyuvancia en la organización, asesoría, capacitación y comodato de la elección de las Autoridades Auxiliares municipales y órganos auxiliares (consejos de participación ciudadana)”, </w:t>
      </w:r>
      <w:r w:rsidR="00F94EC6" w:rsidRPr="00DD1D42">
        <w:rPr>
          <w:rFonts w:ascii="Palatino Linotype" w:eastAsia="Palatino Linotype" w:hAnsi="Palatino Linotype" w:cs="Palatino Linotype"/>
          <w:bCs/>
          <w:color w:val="000000"/>
        </w:rPr>
        <w:t>es posible visualizar tal documento</w:t>
      </w:r>
      <w:r w:rsidR="002F1E23" w:rsidRPr="00DD1D42">
        <w:rPr>
          <w:rFonts w:ascii="Palatino Linotype" w:eastAsia="Palatino Linotype" w:hAnsi="Palatino Linotype" w:cs="Palatino Linotype"/>
          <w:bCs/>
          <w:color w:val="000000"/>
        </w:rPr>
        <w:t>,</w:t>
      </w:r>
      <w:r w:rsidR="00F94EC6" w:rsidRPr="00DD1D42">
        <w:rPr>
          <w:rFonts w:ascii="Palatino Linotype" w:eastAsia="Palatino Linotype" w:hAnsi="Palatino Linotype" w:cs="Palatino Linotype"/>
          <w:bCs/>
          <w:color w:val="000000"/>
        </w:rPr>
        <w:t xml:space="preserve"> celebrado por el Instituto Electoral del Estado de México y el Ayuntamiento de Toluca, de fecha 23 de enero de 2025, signado por Presidente Municipal, tal como se muestra en la imagen siguiente:</w:t>
      </w:r>
    </w:p>
    <w:p w:rsidR="005B0BCD" w:rsidRPr="00DD1D42" w:rsidRDefault="005B0BCD" w:rsidP="00F94EC6">
      <w:pPr>
        <w:spacing w:line="360" w:lineRule="auto"/>
        <w:ind w:right="-787"/>
        <w:jc w:val="both"/>
        <w:rPr>
          <w:rFonts w:ascii="Palatino Linotype" w:eastAsia="Palatino Linotype" w:hAnsi="Palatino Linotype" w:cs="Palatino Linotype"/>
          <w:color w:val="000000"/>
        </w:rPr>
      </w:pPr>
    </w:p>
    <w:p w:rsidR="00F94EC6" w:rsidRPr="00DD1D42" w:rsidRDefault="00F94EC6" w:rsidP="008D7999">
      <w:pPr>
        <w:spacing w:line="360" w:lineRule="auto"/>
        <w:ind w:right="-787"/>
        <w:jc w:val="center"/>
        <w:rPr>
          <w:rFonts w:ascii="Palatino Linotype" w:eastAsia="Palatino Linotype" w:hAnsi="Palatino Linotype" w:cs="Palatino Linotype"/>
          <w:color w:val="000000"/>
        </w:rPr>
      </w:pPr>
      <w:r w:rsidRPr="00DD1D42">
        <w:rPr>
          <w:rFonts w:ascii="Palatino Linotype" w:eastAsia="Palatino Linotype" w:hAnsi="Palatino Linotype" w:cs="Palatino Linotype"/>
          <w:noProof/>
          <w:color w:val="000000"/>
          <w:lang w:val="es-MX" w:eastAsia="es-MX"/>
        </w:rPr>
        <w:lastRenderedPageBreak/>
        <w:drawing>
          <wp:inline distT="0" distB="0" distL="0" distR="0" wp14:anchorId="6660CD46" wp14:editId="07745E4C">
            <wp:extent cx="3575857" cy="3923384"/>
            <wp:effectExtent l="152400" t="152400" r="367665" b="3632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9571" cy="3938431"/>
                    </a:xfrm>
                    <a:prstGeom prst="rect">
                      <a:avLst/>
                    </a:prstGeom>
                    <a:ln>
                      <a:noFill/>
                    </a:ln>
                    <a:effectLst>
                      <a:outerShdw blurRad="292100" dist="139700" dir="2700000" algn="tl" rotWithShape="0">
                        <a:srgbClr val="333333">
                          <a:alpha val="65000"/>
                        </a:srgbClr>
                      </a:outerShdw>
                    </a:effectLst>
                  </pic:spPr>
                </pic:pic>
              </a:graphicData>
            </a:graphic>
          </wp:inline>
        </w:drawing>
      </w:r>
    </w:p>
    <w:p w:rsidR="004C1A1A" w:rsidRPr="00DD1D42" w:rsidRDefault="004C1A1A"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En este mismo orden de ideas, es de referir que una obligación de transparencia común para los Sujetos Obligados, poner a disposición del público de manera permanente y actualizada, </w:t>
      </w:r>
      <w:r w:rsidR="00773CFF" w:rsidRPr="00DD1D42">
        <w:rPr>
          <w:rFonts w:ascii="Palatino Linotype" w:eastAsia="Palatino Linotype" w:hAnsi="Palatino Linotype" w:cs="Palatino Linotype"/>
          <w:color w:val="000000"/>
        </w:rPr>
        <w:t>los convenios en materia de aprovechamiento de bienes y servicios, así como los de coordinación, concertación y otros que se suscriban, tal como lo señala la Ley de transparencia Local</w:t>
      </w:r>
      <w:r w:rsidRPr="00DD1D42">
        <w:rPr>
          <w:rFonts w:ascii="Palatino Linotype" w:eastAsia="Palatino Linotype" w:hAnsi="Palatino Linotype" w:cs="Palatino Linotype"/>
          <w:color w:val="000000"/>
        </w:rPr>
        <w:t>:</w:t>
      </w:r>
    </w:p>
    <w:p w:rsidR="004C1A1A" w:rsidRPr="00DD1D42" w:rsidRDefault="004C1A1A" w:rsidP="004C1A1A">
      <w:pPr>
        <w:pBdr>
          <w:top w:val="nil"/>
          <w:left w:val="nil"/>
          <w:bottom w:val="nil"/>
          <w:right w:val="nil"/>
          <w:between w:val="nil"/>
        </w:pBdr>
        <w:ind w:left="851" w:right="-433"/>
        <w:jc w:val="center"/>
        <w:rPr>
          <w:rFonts w:ascii="Palatino Linotype" w:eastAsia="Palatino Linotype" w:hAnsi="Palatino Linotype" w:cs="Palatino Linotype"/>
          <w:b/>
          <w:i/>
        </w:rPr>
      </w:pPr>
      <w:r w:rsidRPr="00DD1D42">
        <w:rPr>
          <w:rFonts w:ascii="Palatino Linotype" w:eastAsia="Palatino Linotype" w:hAnsi="Palatino Linotype" w:cs="Palatino Linotype"/>
          <w:b/>
          <w:i/>
        </w:rPr>
        <w:t>LEY DE TRANSPARENCIA Y ACCESO A LA INFORMACIÓN PÚBLICA DEL ESTADO DE MÉXICO Y MUNICIPIOS</w:t>
      </w:r>
    </w:p>
    <w:p w:rsidR="004C1A1A" w:rsidRPr="00DD1D42" w:rsidRDefault="004C1A1A" w:rsidP="004C1A1A">
      <w:pPr>
        <w:pBdr>
          <w:top w:val="nil"/>
          <w:left w:val="nil"/>
          <w:bottom w:val="nil"/>
          <w:right w:val="nil"/>
          <w:between w:val="nil"/>
        </w:pBdr>
        <w:ind w:left="851" w:right="-433"/>
        <w:jc w:val="center"/>
        <w:rPr>
          <w:rFonts w:ascii="Palatino Linotype" w:eastAsia="Palatino Linotype" w:hAnsi="Palatino Linotype" w:cs="Palatino Linotype"/>
          <w:b/>
          <w:i/>
        </w:rPr>
      </w:pPr>
    </w:p>
    <w:p w:rsidR="004C1A1A" w:rsidRPr="00DD1D42" w:rsidRDefault="004C1A1A" w:rsidP="004C1A1A">
      <w:pPr>
        <w:pBdr>
          <w:top w:val="nil"/>
          <w:left w:val="nil"/>
          <w:bottom w:val="nil"/>
          <w:right w:val="nil"/>
          <w:between w:val="nil"/>
        </w:pBdr>
        <w:ind w:left="851" w:right="-433"/>
        <w:jc w:val="both"/>
        <w:rPr>
          <w:rFonts w:ascii="Palatino Linotype" w:eastAsia="Palatino Linotype" w:hAnsi="Palatino Linotype" w:cs="Palatino Linotype"/>
          <w:i/>
        </w:rPr>
      </w:pPr>
      <w:r w:rsidRPr="00DD1D42">
        <w:rPr>
          <w:rFonts w:ascii="Palatino Linotype" w:eastAsia="Palatino Linotype" w:hAnsi="Palatino Linotype" w:cs="Palatino Linotype"/>
          <w:b/>
          <w:i/>
        </w:rPr>
        <w:t>Artículo 92.</w:t>
      </w:r>
      <w:r w:rsidRPr="00DD1D42">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w:t>
      </w:r>
      <w:r w:rsidRPr="00DD1D42">
        <w:rPr>
          <w:rFonts w:ascii="Palatino Linotype" w:eastAsia="Palatino Linotype" w:hAnsi="Palatino Linotype" w:cs="Palatino Linotype"/>
          <w:i/>
        </w:rPr>
        <w:lastRenderedPageBreak/>
        <w:t>corresponda, la información, por lo menos, de los temas, documentos y políticas que a continuación se señalan:</w:t>
      </w:r>
    </w:p>
    <w:p w:rsidR="004C1A1A" w:rsidRPr="00DD1D42" w:rsidRDefault="004C1A1A" w:rsidP="004C1A1A">
      <w:pPr>
        <w:pBdr>
          <w:top w:val="nil"/>
          <w:left w:val="nil"/>
          <w:bottom w:val="nil"/>
          <w:right w:val="nil"/>
          <w:between w:val="nil"/>
        </w:pBdr>
        <w:ind w:left="851" w:right="-433"/>
        <w:jc w:val="both"/>
        <w:rPr>
          <w:rFonts w:ascii="Palatino Linotype" w:eastAsia="Palatino Linotype" w:hAnsi="Palatino Linotype" w:cs="Palatino Linotype"/>
          <w:i/>
        </w:rPr>
      </w:pPr>
      <w:r w:rsidRPr="00DD1D42">
        <w:rPr>
          <w:rFonts w:ascii="Palatino Linotype" w:eastAsia="Palatino Linotype" w:hAnsi="Palatino Linotype" w:cs="Palatino Linotype"/>
          <w:i/>
        </w:rPr>
        <w:t>…</w:t>
      </w:r>
    </w:p>
    <w:p w:rsidR="004C1A1A" w:rsidRPr="00DD1D42" w:rsidRDefault="004C1A1A" w:rsidP="004C1A1A">
      <w:pPr>
        <w:pBdr>
          <w:top w:val="nil"/>
          <w:left w:val="nil"/>
          <w:bottom w:val="nil"/>
          <w:right w:val="nil"/>
          <w:between w:val="nil"/>
        </w:pBdr>
        <w:ind w:left="851" w:right="-433"/>
        <w:jc w:val="both"/>
        <w:rPr>
          <w:rFonts w:ascii="Palatino Linotype" w:eastAsia="Palatino Linotype" w:hAnsi="Palatino Linotype" w:cs="Palatino Linotype"/>
          <w:i/>
        </w:rPr>
      </w:pPr>
      <w:r w:rsidRPr="00DD1D42">
        <w:rPr>
          <w:rFonts w:ascii="Palatino Linotype" w:eastAsia="Palatino Linotype" w:hAnsi="Palatino Linotype" w:cs="Palatino Linotype"/>
          <w:b/>
          <w:i/>
        </w:rPr>
        <w:t>XXXII</w:t>
      </w:r>
      <w:r w:rsidRPr="00DD1D42">
        <w:rPr>
          <w:rFonts w:ascii="Palatino Linotype" w:eastAsia="Palatino Linotype" w:hAnsi="Palatino Linotype" w:cs="Palatino Linotype"/>
          <w:i/>
        </w:rPr>
        <w:t xml:space="preserve">. Las concesiones, contratos, </w:t>
      </w:r>
      <w:r w:rsidRPr="00DD1D42">
        <w:rPr>
          <w:rFonts w:ascii="Palatino Linotype" w:eastAsia="Palatino Linotype" w:hAnsi="Palatino Linotype" w:cs="Palatino Linotype"/>
          <w:b/>
          <w:i/>
        </w:rPr>
        <w:t>convenios</w:t>
      </w:r>
      <w:r w:rsidRPr="00DD1D42">
        <w:rPr>
          <w:rFonts w:ascii="Palatino Linotype" w:eastAsia="Palatino Linotype" w:hAnsi="Palatino Linotype" w:cs="Palatino Linotype"/>
          <w:i/>
        </w:rPr>
        <w:t xml:space="preserve">, permisos, licencias o autorizaciones otorgados, especificando los titulares de aquéllos, debiendo publicarse su objeto, nombre o razón social del titular, vigencia, tipo, términos, condiciones, monto y modificaciones, así como si el procedimiento involucra el </w:t>
      </w:r>
      <w:r w:rsidRPr="00DD1D42">
        <w:rPr>
          <w:rFonts w:ascii="Palatino Linotype" w:eastAsia="Palatino Linotype" w:hAnsi="Palatino Linotype" w:cs="Palatino Linotype"/>
          <w:b/>
          <w:i/>
        </w:rPr>
        <w:t>aprovechamiento de bienes, servicios y/o recursos públicos</w:t>
      </w:r>
      <w:r w:rsidRPr="00DD1D42">
        <w:rPr>
          <w:rFonts w:ascii="Palatino Linotype" w:eastAsia="Palatino Linotype" w:hAnsi="Palatino Linotype" w:cs="Palatino Linotype"/>
          <w:i/>
        </w:rPr>
        <w:t>;</w:t>
      </w:r>
    </w:p>
    <w:p w:rsidR="004C1A1A" w:rsidRPr="00DD1D42" w:rsidRDefault="004C1A1A" w:rsidP="004C1A1A">
      <w:pPr>
        <w:pBdr>
          <w:top w:val="nil"/>
          <w:left w:val="nil"/>
          <w:bottom w:val="nil"/>
          <w:right w:val="nil"/>
          <w:between w:val="nil"/>
        </w:pBdr>
        <w:ind w:left="851" w:right="-433"/>
        <w:jc w:val="both"/>
        <w:rPr>
          <w:rFonts w:ascii="Palatino Linotype" w:eastAsia="Palatino Linotype" w:hAnsi="Palatino Linotype" w:cs="Palatino Linotype"/>
          <w:i/>
        </w:rPr>
      </w:pPr>
      <w:r w:rsidRPr="00DD1D42">
        <w:rPr>
          <w:rFonts w:ascii="Palatino Linotype" w:eastAsia="Palatino Linotype" w:hAnsi="Palatino Linotype" w:cs="Palatino Linotype"/>
          <w:i/>
        </w:rPr>
        <w:t>…</w:t>
      </w:r>
    </w:p>
    <w:p w:rsidR="004C1A1A" w:rsidRPr="00DD1D42" w:rsidRDefault="004C1A1A" w:rsidP="004C1A1A">
      <w:pPr>
        <w:pBdr>
          <w:top w:val="nil"/>
          <w:left w:val="nil"/>
          <w:bottom w:val="nil"/>
          <w:right w:val="nil"/>
          <w:between w:val="nil"/>
        </w:pBdr>
        <w:ind w:left="851" w:right="-433"/>
        <w:jc w:val="both"/>
        <w:rPr>
          <w:rFonts w:ascii="Palatino Linotype" w:eastAsia="Palatino Linotype" w:hAnsi="Palatino Linotype" w:cs="Palatino Linotype"/>
          <w:b/>
          <w:i/>
        </w:rPr>
      </w:pPr>
      <w:r w:rsidRPr="00DD1D42">
        <w:rPr>
          <w:rFonts w:ascii="Palatino Linotype" w:eastAsia="Palatino Linotype" w:hAnsi="Palatino Linotype" w:cs="Palatino Linotype"/>
          <w:b/>
          <w:i/>
        </w:rPr>
        <w:t>XXXVII. Los convenios de coordinación, de concertación, entre otros, que suscriban con otros entes de los sectores público, social y privado;</w:t>
      </w:r>
    </w:p>
    <w:p w:rsidR="004C1A1A" w:rsidRPr="00DD1D42" w:rsidRDefault="004C1A1A" w:rsidP="004C1A1A">
      <w:pPr>
        <w:pBdr>
          <w:top w:val="nil"/>
          <w:left w:val="nil"/>
          <w:bottom w:val="nil"/>
          <w:right w:val="nil"/>
          <w:between w:val="nil"/>
        </w:pBdr>
        <w:ind w:left="851" w:right="-433"/>
        <w:jc w:val="both"/>
        <w:rPr>
          <w:rFonts w:ascii="Palatino Linotype" w:eastAsia="Palatino Linotype" w:hAnsi="Palatino Linotype" w:cs="Palatino Linotype"/>
          <w:b/>
          <w:i/>
        </w:rPr>
      </w:pPr>
      <w:r w:rsidRPr="00DD1D42">
        <w:rPr>
          <w:rFonts w:ascii="Palatino Linotype" w:eastAsia="Palatino Linotype" w:hAnsi="Palatino Linotype" w:cs="Palatino Linotype"/>
          <w:b/>
          <w:i/>
        </w:rPr>
        <w:t>…</w:t>
      </w:r>
    </w:p>
    <w:p w:rsidR="004C1A1A" w:rsidRPr="00DD1D42" w:rsidRDefault="004C1A1A" w:rsidP="004C1A1A">
      <w:pPr>
        <w:spacing w:line="360" w:lineRule="auto"/>
        <w:ind w:right="-787"/>
        <w:jc w:val="both"/>
        <w:rPr>
          <w:rFonts w:ascii="Palatino Linotype" w:eastAsia="Palatino Linotype" w:hAnsi="Palatino Linotype" w:cs="Palatino Linotype"/>
          <w:color w:val="000000"/>
        </w:rPr>
      </w:pPr>
    </w:p>
    <w:p w:rsidR="00892A5C" w:rsidRPr="00DD1D42" w:rsidRDefault="00892A5C"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MS Mincho" w:hAnsi="Palatino Linotype" w:cstheme="majorBidi"/>
        </w:rPr>
        <w:t>Bajo</w:t>
      </w:r>
      <w:r w:rsidRPr="00DD1D42">
        <w:rPr>
          <w:rFonts w:ascii="Palatino Linotype" w:eastAsia="Palatino Linotype" w:hAnsi="Palatino Linotype" w:cs="Palatino Linotype"/>
          <w:color w:val="000000"/>
        </w:rPr>
        <w:t xml:space="preserve"> ese contexto, se considera que de manera enunciativa más no limitativa</w:t>
      </w:r>
      <w:r w:rsidR="00434659" w:rsidRPr="00DD1D42">
        <w:rPr>
          <w:rFonts w:ascii="Palatino Linotype" w:eastAsia="Palatino Linotype" w:hAnsi="Palatino Linotype" w:cs="Palatino Linotype"/>
          <w:color w:val="000000"/>
        </w:rPr>
        <w:t>,</w:t>
      </w:r>
      <w:r w:rsidRPr="00DD1D42">
        <w:rPr>
          <w:rFonts w:ascii="Palatino Linotype" w:eastAsia="Palatino Linotype" w:hAnsi="Palatino Linotype" w:cs="Palatino Linotype"/>
          <w:color w:val="000000"/>
        </w:rPr>
        <w:t xml:space="preserve"> </w:t>
      </w:r>
      <w:r w:rsidR="008D7999" w:rsidRPr="00DD1D42">
        <w:rPr>
          <w:rFonts w:ascii="Palatino Linotype" w:eastAsia="Palatino Linotype" w:hAnsi="Palatino Linotype" w:cs="Palatino Linotype"/>
          <w:color w:val="000000"/>
        </w:rPr>
        <w:t xml:space="preserve">el Sujeto Obligado deberá hacer </w:t>
      </w:r>
      <w:r w:rsidRPr="00DD1D42">
        <w:rPr>
          <w:rFonts w:ascii="Palatino Linotype" w:eastAsia="Palatino Linotype" w:hAnsi="Palatino Linotype" w:cs="Palatino Linotype"/>
          <w:color w:val="000000"/>
        </w:rPr>
        <w:t xml:space="preserve">una </w:t>
      </w:r>
      <w:r w:rsidRPr="00DD1D42">
        <w:rPr>
          <w:rFonts w:ascii="Palatino Linotype" w:eastAsia="Palatino Linotype" w:hAnsi="Palatino Linotype" w:cs="Palatino Linotype"/>
          <w:b/>
          <w:color w:val="000000"/>
        </w:rPr>
        <w:t>nueva búsqueda exhaustiva</w:t>
      </w:r>
      <w:r w:rsidRPr="00DD1D42">
        <w:rPr>
          <w:rFonts w:ascii="Palatino Linotype" w:eastAsia="Palatino Linotype" w:hAnsi="Palatino Linotype" w:cs="Palatino Linotype"/>
          <w:color w:val="000000"/>
        </w:rPr>
        <w:t xml:space="preserve"> de la información por el servidor público habilitado de la </w:t>
      </w:r>
      <w:r w:rsidR="00434659" w:rsidRPr="00DD1D42">
        <w:rPr>
          <w:rFonts w:ascii="Palatino Linotype" w:eastAsia="Palatino Linotype" w:hAnsi="Palatino Linotype" w:cs="Palatino Linotype"/>
          <w:b/>
          <w:color w:val="000000"/>
        </w:rPr>
        <w:t>Consejería Jurídica y todas aquellas</w:t>
      </w:r>
      <w:r w:rsidR="008D7999" w:rsidRPr="00DD1D42">
        <w:rPr>
          <w:rFonts w:ascii="Palatino Linotype" w:eastAsia="Palatino Linotype" w:hAnsi="Palatino Linotype" w:cs="Palatino Linotype"/>
          <w:b/>
          <w:color w:val="000000"/>
        </w:rPr>
        <w:t xml:space="preserve"> áreas </w:t>
      </w:r>
      <w:r w:rsidR="00434659" w:rsidRPr="00DD1D42">
        <w:rPr>
          <w:rFonts w:ascii="Palatino Linotype" w:eastAsia="Palatino Linotype" w:hAnsi="Palatino Linotype" w:cs="Palatino Linotype"/>
          <w:b/>
          <w:color w:val="000000"/>
        </w:rPr>
        <w:t>en las que pudiera obrar la información</w:t>
      </w:r>
      <w:r w:rsidRPr="00DD1D42">
        <w:rPr>
          <w:rFonts w:ascii="Palatino Linotype" w:eastAsia="Palatino Linotype" w:hAnsi="Palatino Linotype" w:cs="Palatino Linotype"/>
          <w:b/>
          <w:color w:val="000000"/>
        </w:rPr>
        <w:t xml:space="preserve">, </w:t>
      </w:r>
      <w:r w:rsidRPr="00DD1D42">
        <w:rPr>
          <w:rFonts w:ascii="Palatino Linotype" w:eastAsia="Palatino Linotype" w:hAnsi="Palatino Linotype" w:cs="Palatino Linotype"/>
          <w:color w:val="000000"/>
        </w:rPr>
        <w:t>pues de la respuesta propo</w:t>
      </w:r>
      <w:r w:rsidR="00434659" w:rsidRPr="00DD1D42">
        <w:rPr>
          <w:rFonts w:ascii="Palatino Linotype" w:eastAsia="Palatino Linotype" w:hAnsi="Palatino Linotype" w:cs="Palatino Linotype"/>
          <w:color w:val="000000"/>
        </w:rPr>
        <w:t>rcionada, ratificada en informe justificado</w:t>
      </w:r>
      <w:r w:rsidRPr="00DD1D42">
        <w:rPr>
          <w:rFonts w:ascii="Palatino Linotype" w:eastAsia="Palatino Linotype" w:hAnsi="Palatino Linotype" w:cs="Palatino Linotype"/>
          <w:color w:val="000000"/>
        </w:rPr>
        <w:t xml:space="preserve">, se advierte que </w:t>
      </w:r>
      <w:r w:rsidRPr="00DD1D42">
        <w:rPr>
          <w:rFonts w:ascii="Palatino Linotype" w:eastAsia="Palatino Linotype" w:hAnsi="Palatino Linotype" w:cs="Palatino Linotype"/>
          <w:b/>
          <w:color w:val="000000"/>
        </w:rPr>
        <w:t xml:space="preserve">EL SUJETO OBLIGADO </w:t>
      </w:r>
      <w:r w:rsidRPr="00DD1D42">
        <w:rPr>
          <w:rFonts w:ascii="Palatino Linotype" w:eastAsia="Palatino Linotype" w:hAnsi="Palatino Linotype" w:cs="Palatino Linotype"/>
          <w:color w:val="000000"/>
        </w:rPr>
        <w:t xml:space="preserve">únicamente se pronunció por algunas de las unidades administrativas competentes; por lo tanto </w:t>
      </w:r>
      <w:r w:rsidRPr="00DD1D42">
        <w:rPr>
          <w:rFonts w:ascii="Palatino Linotype" w:eastAsia="Palatino Linotype" w:hAnsi="Palatino Linotype" w:cs="Palatino Linotype"/>
          <w:b/>
          <w:color w:val="000000"/>
        </w:rPr>
        <w:t>deberá realizar una nueva búsqueda con la finalidad de entregar la información que resulta de interés para</w:t>
      </w:r>
      <w:r w:rsidRPr="00DD1D42">
        <w:rPr>
          <w:rFonts w:ascii="Palatino Linotype" w:eastAsia="Palatino Linotype" w:hAnsi="Palatino Linotype" w:cs="Palatino Linotype"/>
          <w:color w:val="000000"/>
        </w:rPr>
        <w:t xml:space="preserve"> </w:t>
      </w:r>
      <w:r w:rsidRPr="00DD1D42">
        <w:rPr>
          <w:rFonts w:ascii="Palatino Linotype" w:eastAsia="Palatino Linotype" w:hAnsi="Palatino Linotype" w:cs="Palatino Linotype"/>
          <w:b/>
          <w:color w:val="000000"/>
        </w:rPr>
        <w:t>EL RECURRENTE</w:t>
      </w:r>
      <w:r w:rsidRPr="00DD1D42">
        <w:rPr>
          <w:rFonts w:ascii="Palatino Linotype" w:eastAsia="Palatino Linotype" w:hAnsi="Palatino Linotype" w:cs="Palatino Linotype"/>
          <w:color w:val="000000"/>
        </w:rPr>
        <w:t>, con la finalidad de dar certeza a la particular de que se realizó una correcta búsqueda de la información requerida.</w:t>
      </w:r>
    </w:p>
    <w:p w:rsidR="00434659" w:rsidRPr="00DD1D42" w:rsidRDefault="00434659" w:rsidP="00434659">
      <w:pPr>
        <w:spacing w:line="360" w:lineRule="auto"/>
        <w:ind w:right="-787"/>
        <w:jc w:val="both"/>
        <w:rPr>
          <w:rFonts w:ascii="Palatino Linotype" w:eastAsia="Palatino Linotype" w:hAnsi="Palatino Linotype" w:cs="Palatino Linotype"/>
          <w:color w:val="000000"/>
        </w:rPr>
      </w:pPr>
    </w:p>
    <w:p w:rsidR="00434659" w:rsidRPr="00DD1D42" w:rsidRDefault="00434659"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Resultando aplicable el Criterio orientador 02/17 emitido por el Pleno del Instituto Nacional de Transparencia y Acceso a la Información y Protección de Datos Personales, de título y texto siguientes:</w:t>
      </w:r>
    </w:p>
    <w:p w:rsidR="00434659" w:rsidRPr="00DD1D42" w:rsidRDefault="00434659" w:rsidP="00434659">
      <w:pPr>
        <w:pBdr>
          <w:top w:val="nil"/>
          <w:left w:val="nil"/>
          <w:bottom w:val="nil"/>
          <w:right w:val="nil"/>
          <w:between w:val="nil"/>
        </w:pBdr>
        <w:ind w:left="851" w:right="-433"/>
        <w:jc w:val="both"/>
        <w:rPr>
          <w:rFonts w:ascii="Palatino Linotype" w:eastAsia="Palatino Linotype" w:hAnsi="Palatino Linotype" w:cs="Palatino Linotype"/>
          <w:i/>
        </w:rPr>
      </w:pPr>
      <w:r w:rsidRPr="00DD1D42">
        <w:rPr>
          <w:rFonts w:ascii="Palatino Linotype" w:eastAsia="Palatino Linotype" w:hAnsi="Palatino Linotype" w:cs="Palatino Linotype"/>
          <w:b/>
          <w:i/>
        </w:rPr>
        <w:t xml:space="preserve"> “Congruencia y exhaustividad. Sus alcances para garantizar el derecho de acceso a la información. </w:t>
      </w:r>
      <w:r w:rsidRPr="00DD1D42">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w:t>
      </w:r>
      <w:r w:rsidRPr="00DD1D42">
        <w:rPr>
          <w:rFonts w:ascii="Palatino Linotype" w:eastAsia="Palatino Linotype" w:hAnsi="Palatino Linotype" w:cs="Palatino Linotype"/>
          <w:i/>
        </w:rPr>
        <w:lastRenderedPageBreak/>
        <w:t xml:space="preserve">Información Pública, en términos de su artículo 7; todo acto administrativo debe cumplir con los principios de congruencia y exhaustividad. Para el efectivo ejercicio del derecho de acceso a la información, </w:t>
      </w:r>
      <w:r w:rsidRPr="00DD1D42">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DD1D42">
        <w:rPr>
          <w:rFonts w:ascii="Palatino Linotype" w:eastAsia="Palatino Linotype" w:hAnsi="Palatino Linotype" w:cs="Palatino Linotype"/>
          <w:i/>
        </w:rPr>
        <w:t xml:space="preserve">; mientras que </w:t>
      </w:r>
      <w:r w:rsidRPr="00DD1D42">
        <w:rPr>
          <w:rFonts w:ascii="Palatino Linotype" w:eastAsia="Palatino Linotype" w:hAnsi="Palatino Linotype" w:cs="Palatino Linotype"/>
          <w:b/>
          <w:i/>
        </w:rPr>
        <w:t>la exhaustividad significa que dicha respuesta se refiera expresamente a cada uno de los puntos solicitados</w:t>
      </w:r>
      <w:r w:rsidRPr="00DD1D42">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434659" w:rsidRPr="00DD1D42" w:rsidRDefault="00434659" w:rsidP="00434659">
      <w:pPr>
        <w:pBdr>
          <w:top w:val="nil"/>
          <w:left w:val="nil"/>
          <w:bottom w:val="nil"/>
          <w:right w:val="nil"/>
          <w:between w:val="nil"/>
        </w:pBdr>
        <w:ind w:right="851"/>
        <w:jc w:val="both"/>
        <w:rPr>
          <w:rFonts w:ascii="Palatino Linotype" w:eastAsia="Palatino Linotype" w:hAnsi="Palatino Linotype" w:cs="Palatino Linotype"/>
          <w:i/>
        </w:rPr>
      </w:pPr>
    </w:p>
    <w:p w:rsidR="00434659" w:rsidRPr="00DD1D42" w:rsidRDefault="00434659" w:rsidP="00434659">
      <w:pPr>
        <w:pBdr>
          <w:top w:val="nil"/>
          <w:left w:val="nil"/>
          <w:bottom w:val="nil"/>
          <w:right w:val="nil"/>
          <w:between w:val="nil"/>
        </w:pBdr>
        <w:ind w:right="851"/>
        <w:jc w:val="both"/>
        <w:rPr>
          <w:rFonts w:ascii="Palatino Linotype" w:eastAsia="Palatino Linotype" w:hAnsi="Palatino Linotype" w:cs="Palatino Linotype"/>
          <w:i/>
        </w:rPr>
      </w:pPr>
    </w:p>
    <w:p w:rsidR="00434659" w:rsidRPr="00DD1D42" w:rsidRDefault="00434659"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Por lo anterior, este Organismo Garante, con la finalidad de garantizar el derecho humano de acceso a la información de la parte </w:t>
      </w:r>
      <w:r w:rsidRPr="00DD1D42">
        <w:rPr>
          <w:rFonts w:ascii="Palatino Linotype" w:eastAsia="Palatino Linotype" w:hAnsi="Palatino Linotype" w:cs="Palatino Linotype"/>
          <w:b/>
          <w:color w:val="000000"/>
        </w:rPr>
        <w:t>Recurrente,</w:t>
      </w:r>
      <w:r w:rsidRPr="00DD1D42">
        <w:rPr>
          <w:rFonts w:ascii="Palatino Linotype" w:eastAsia="Palatino Linotype" w:hAnsi="Palatino Linotype" w:cs="Palatino Linotype"/>
          <w:color w:val="000000"/>
        </w:rPr>
        <w:t xml:space="preserve"> y a fin de reparar el agravio causado ante la omisión en que incurriera el </w:t>
      </w:r>
      <w:r w:rsidRPr="00DD1D42">
        <w:rPr>
          <w:rFonts w:ascii="Palatino Linotype" w:eastAsia="Palatino Linotype" w:hAnsi="Palatino Linotype" w:cs="Palatino Linotype"/>
          <w:b/>
          <w:color w:val="000000"/>
        </w:rPr>
        <w:t>Sujeto Obligado</w:t>
      </w:r>
      <w:r w:rsidRPr="00DD1D42">
        <w:rPr>
          <w:rFonts w:ascii="Palatino Linotype" w:eastAsia="Palatino Linotype" w:hAnsi="Palatino Linotype" w:cs="Palatino Linotype"/>
          <w:color w:val="000000"/>
        </w:rPr>
        <w:t xml:space="preserve">, ya que, como se señaló, su respuesta careció de los principios de congruencia y exhaustividad, al no pronunciarse por las consideraciones ya expuestas, </w:t>
      </w:r>
      <w:r w:rsidRPr="00DD1D42">
        <w:rPr>
          <w:rFonts w:ascii="Palatino Linotype" w:eastAsia="Palatino Linotype" w:hAnsi="Palatino Linotype" w:cs="Palatino Linotype"/>
          <w:b/>
          <w:color w:val="000000"/>
        </w:rPr>
        <w:t>se estima procedente ordenar que, previa búsqueda exhaustiva y razonable, en todas las unidades administrativas competentes, se haga entrega del soporte documental en el que conste la información que es del interés del particular.</w:t>
      </w:r>
    </w:p>
    <w:p w:rsidR="00892A5C" w:rsidRPr="00DD1D42" w:rsidRDefault="00892A5C" w:rsidP="00892A5C">
      <w:pPr>
        <w:spacing w:line="360" w:lineRule="auto"/>
        <w:ind w:right="-787"/>
        <w:jc w:val="both"/>
        <w:rPr>
          <w:rFonts w:ascii="Palatino Linotype" w:eastAsia="Palatino Linotype" w:hAnsi="Palatino Linotype" w:cs="Palatino Linotype"/>
          <w:color w:val="000000"/>
        </w:rPr>
      </w:pPr>
    </w:p>
    <w:p w:rsidR="00892A5C" w:rsidRPr="00DD1D42" w:rsidRDefault="00892A5C" w:rsidP="00AA61C9">
      <w:pPr>
        <w:numPr>
          <w:ilvl w:val="0"/>
          <w:numId w:val="2"/>
        </w:numPr>
        <w:spacing w:line="360" w:lineRule="auto"/>
        <w:ind w:left="0" w:right="-787" w:firstLine="0"/>
        <w:jc w:val="both"/>
        <w:rPr>
          <w:color w:val="000000"/>
        </w:rPr>
      </w:pPr>
      <w:r w:rsidRPr="00DD1D42">
        <w:rPr>
          <w:rFonts w:ascii="Palatino Linotype" w:eastAsia="Palatino Linotype" w:hAnsi="Palatino Linotype" w:cs="Palatino Linotype"/>
          <w:color w:val="000000"/>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892A5C" w:rsidRPr="00DD1D42" w:rsidRDefault="00892A5C" w:rsidP="00892A5C">
      <w:pPr>
        <w:spacing w:line="360" w:lineRule="auto"/>
        <w:ind w:right="-787"/>
        <w:jc w:val="both"/>
        <w:rPr>
          <w:color w:val="000000"/>
        </w:rPr>
      </w:pPr>
    </w:p>
    <w:p w:rsidR="00892A5C" w:rsidRPr="00DD1D42" w:rsidRDefault="00892A5C" w:rsidP="00892A5C">
      <w:pPr>
        <w:ind w:left="1134" w:right="-220"/>
        <w:jc w:val="both"/>
        <w:rPr>
          <w:rFonts w:ascii="Palatino Linotype" w:eastAsia="Palatino Linotype" w:hAnsi="Palatino Linotype" w:cs="Palatino Linotype"/>
          <w:i/>
          <w:color w:val="000000"/>
        </w:rPr>
      </w:pPr>
      <w:r w:rsidRPr="00DD1D42">
        <w:rPr>
          <w:rFonts w:ascii="Palatino Linotype" w:eastAsia="Palatino Linotype" w:hAnsi="Palatino Linotype" w:cs="Palatino Linotype"/>
          <w:i/>
          <w:color w:val="000000"/>
        </w:rPr>
        <w:lastRenderedPageBreak/>
        <w:t>“</w:t>
      </w:r>
      <w:r w:rsidRPr="00DD1D42">
        <w:rPr>
          <w:rFonts w:ascii="Palatino Linotype" w:eastAsia="Palatino Linotype" w:hAnsi="Palatino Linotype" w:cs="Palatino Linotype"/>
          <w:b/>
          <w:i/>
          <w:color w:val="000000"/>
        </w:rPr>
        <w:t xml:space="preserve">Artículo 3. </w:t>
      </w:r>
      <w:r w:rsidRPr="00DD1D42">
        <w:rPr>
          <w:rFonts w:ascii="Palatino Linotype" w:eastAsia="Palatino Linotype" w:hAnsi="Palatino Linotype" w:cs="Palatino Linotype"/>
          <w:i/>
          <w:color w:val="000000"/>
        </w:rPr>
        <w:t>Para los efectos de la presente Ley se entenderá por:</w:t>
      </w:r>
    </w:p>
    <w:p w:rsidR="00892A5C" w:rsidRPr="00DD1D42" w:rsidRDefault="00892A5C" w:rsidP="00892A5C">
      <w:pPr>
        <w:ind w:left="1134" w:right="-220"/>
        <w:jc w:val="both"/>
        <w:rPr>
          <w:rFonts w:ascii="Palatino Linotype" w:eastAsia="Palatino Linotype" w:hAnsi="Palatino Linotype" w:cs="Palatino Linotype"/>
          <w:i/>
          <w:color w:val="000000"/>
        </w:rPr>
      </w:pPr>
      <w:r w:rsidRPr="00DD1D42">
        <w:rPr>
          <w:rFonts w:ascii="Palatino Linotype" w:eastAsia="Palatino Linotype" w:hAnsi="Palatino Linotype" w:cs="Palatino Linotype"/>
          <w:i/>
          <w:color w:val="000000"/>
        </w:rPr>
        <w:t>(…)</w:t>
      </w:r>
    </w:p>
    <w:p w:rsidR="00892A5C" w:rsidRPr="00DD1D42" w:rsidRDefault="00892A5C" w:rsidP="00892A5C">
      <w:pPr>
        <w:ind w:left="1134" w:right="-220"/>
        <w:jc w:val="both"/>
        <w:rPr>
          <w:rFonts w:ascii="Palatino Linotype" w:eastAsia="Palatino Linotype" w:hAnsi="Palatino Linotype" w:cs="Palatino Linotype"/>
          <w:i/>
          <w:color w:val="000000"/>
        </w:rPr>
      </w:pPr>
      <w:r w:rsidRPr="00DD1D42">
        <w:rPr>
          <w:rFonts w:ascii="Palatino Linotype" w:eastAsia="Palatino Linotype" w:hAnsi="Palatino Linotype" w:cs="Palatino Linotype"/>
          <w:b/>
          <w:i/>
          <w:color w:val="000000"/>
        </w:rPr>
        <w:t>XI. Documento:</w:t>
      </w:r>
      <w:r w:rsidRPr="00DD1D42">
        <w:rPr>
          <w:rFonts w:ascii="Palatino Linotype" w:eastAsia="Palatino Linotype" w:hAnsi="Palatino Linotype" w:cs="Palatino Linotype"/>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92A5C" w:rsidRPr="00DD1D42" w:rsidRDefault="00892A5C" w:rsidP="00892A5C">
      <w:pPr>
        <w:spacing w:line="360" w:lineRule="auto"/>
        <w:ind w:left="1134" w:right="-220"/>
        <w:jc w:val="both"/>
        <w:rPr>
          <w:rFonts w:ascii="Palatino Linotype" w:eastAsia="Palatino Linotype" w:hAnsi="Palatino Linotype" w:cs="Palatino Linotype"/>
          <w:i/>
          <w:color w:val="000000"/>
        </w:rPr>
      </w:pPr>
      <w:r w:rsidRPr="00DD1D42">
        <w:rPr>
          <w:rFonts w:ascii="Palatino Linotype" w:eastAsia="Palatino Linotype" w:hAnsi="Palatino Linotype" w:cs="Palatino Linotype"/>
          <w:i/>
          <w:color w:val="000000"/>
        </w:rPr>
        <w:t>(…)”</w:t>
      </w:r>
    </w:p>
    <w:p w:rsidR="00892A5C" w:rsidRPr="00DD1D42" w:rsidRDefault="00892A5C" w:rsidP="00892A5C">
      <w:pPr>
        <w:ind w:right="-787"/>
        <w:jc w:val="both"/>
        <w:rPr>
          <w:rFonts w:ascii="Palatino Linotype" w:eastAsia="Palatino Linotype" w:hAnsi="Palatino Linotype" w:cs="Palatino Linotype"/>
        </w:rPr>
      </w:pPr>
    </w:p>
    <w:p w:rsidR="00892A5C" w:rsidRPr="00DD1D42" w:rsidRDefault="00892A5C" w:rsidP="00AA61C9">
      <w:pPr>
        <w:numPr>
          <w:ilvl w:val="0"/>
          <w:numId w:val="2"/>
        </w:numPr>
        <w:spacing w:line="360" w:lineRule="auto"/>
        <w:ind w:left="0" w:right="-787" w:firstLine="0"/>
        <w:jc w:val="both"/>
        <w:rPr>
          <w:color w:val="000000"/>
        </w:rPr>
      </w:pPr>
      <w:r w:rsidRPr="00DD1D42">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892A5C" w:rsidRPr="00DD1D42" w:rsidRDefault="00892A5C" w:rsidP="00892A5C">
      <w:pPr>
        <w:ind w:left="850" w:right="-220"/>
        <w:jc w:val="both"/>
        <w:rPr>
          <w:rFonts w:ascii="Palatino Linotype" w:eastAsia="Palatino Linotype" w:hAnsi="Palatino Linotype" w:cs="Palatino Linotype"/>
          <w:b/>
          <w:i/>
        </w:rPr>
      </w:pPr>
      <w:r w:rsidRPr="00DD1D42">
        <w:rPr>
          <w:rFonts w:ascii="Palatino Linotype" w:eastAsia="Palatino Linotype" w:hAnsi="Palatino Linotype" w:cs="Palatino Linotype"/>
          <w:b/>
        </w:rPr>
        <w:t>“</w:t>
      </w:r>
      <w:r w:rsidRPr="00DD1D42">
        <w:rPr>
          <w:rFonts w:ascii="Palatino Linotype" w:eastAsia="Palatino Linotype" w:hAnsi="Palatino Linotype" w:cs="Palatino Linotype"/>
          <w:b/>
          <w:i/>
        </w:rPr>
        <w:t>CRITERIO 0002-11</w:t>
      </w:r>
    </w:p>
    <w:p w:rsidR="00892A5C" w:rsidRPr="00DD1D42" w:rsidRDefault="00892A5C" w:rsidP="00892A5C">
      <w:pPr>
        <w:ind w:left="850" w:right="-220"/>
        <w:jc w:val="both"/>
        <w:rPr>
          <w:rFonts w:ascii="Palatino Linotype" w:eastAsia="Palatino Linotype" w:hAnsi="Palatino Linotype" w:cs="Palatino Linotype"/>
          <w:i/>
        </w:rPr>
      </w:pPr>
      <w:r w:rsidRPr="00DD1D42">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DD1D4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92A5C" w:rsidRPr="00DD1D42" w:rsidRDefault="00892A5C" w:rsidP="00892A5C">
      <w:pPr>
        <w:ind w:left="850" w:right="-220"/>
        <w:jc w:val="both"/>
        <w:rPr>
          <w:rFonts w:ascii="Palatino Linotype" w:eastAsia="Palatino Linotype" w:hAnsi="Palatino Linotype" w:cs="Palatino Linotype"/>
          <w:i/>
        </w:rPr>
      </w:pPr>
      <w:r w:rsidRPr="00DD1D42">
        <w:rPr>
          <w:rFonts w:ascii="Palatino Linotype" w:eastAsia="Palatino Linotype" w:hAnsi="Palatino Linotype" w:cs="Palatino Linotype"/>
          <w:i/>
        </w:rPr>
        <w:t>En consecuencia el acceso a la información se refiere a que se cumplan cualquiera de los siguientes tres supuestos:</w:t>
      </w:r>
    </w:p>
    <w:p w:rsidR="00892A5C" w:rsidRPr="00DD1D42" w:rsidRDefault="00892A5C" w:rsidP="00892A5C">
      <w:pPr>
        <w:ind w:left="850" w:right="-220"/>
        <w:jc w:val="both"/>
        <w:rPr>
          <w:rFonts w:ascii="Palatino Linotype" w:eastAsia="Palatino Linotype" w:hAnsi="Palatino Linotype" w:cs="Palatino Linotype"/>
          <w:b/>
          <w:i/>
        </w:rPr>
      </w:pPr>
      <w:r w:rsidRPr="00DD1D42">
        <w:rPr>
          <w:rFonts w:ascii="Palatino Linotype" w:eastAsia="Palatino Linotype" w:hAnsi="Palatino Linotype" w:cs="Palatino Linotype"/>
          <w:b/>
          <w:i/>
        </w:rPr>
        <w:t xml:space="preserve">1) </w:t>
      </w:r>
      <w:r w:rsidRPr="00DD1D42">
        <w:rPr>
          <w:rFonts w:ascii="Palatino Linotype" w:eastAsia="Palatino Linotype" w:hAnsi="Palatino Linotype" w:cs="Palatino Linotype"/>
          <w:b/>
          <w:i/>
          <w:u w:val="single"/>
        </w:rPr>
        <w:t>Que se trate de información registrada en cualquier soporte documental, que en ejercicio de las atribuciones conferidas, sea generada por los Sujetos Obligados;</w:t>
      </w:r>
    </w:p>
    <w:p w:rsidR="00892A5C" w:rsidRPr="00DD1D42" w:rsidRDefault="00892A5C" w:rsidP="00892A5C">
      <w:pPr>
        <w:ind w:left="850" w:right="-220"/>
        <w:jc w:val="both"/>
        <w:rPr>
          <w:rFonts w:ascii="Palatino Linotype" w:eastAsia="Palatino Linotype" w:hAnsi="Palatino Linotype" w:cs="Palatino Linotype"/>
          <w:i/>
        </w:rPr>
      </w:pPr>
      <w:r w:rsidRPr="00DD1D42">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892A5C" w:rsidRPr="00DD1D42" w:rsidRDefault="00892A5C" w:rsidP="00892A5C">
      <w:pPr>
        <w:ind w:left="850" w:right="-220"/>
        <w:jc w:val="both"/>
        <w:rPr>
          <w:rFonts w:ascii="Palatino Linotype" w:eastAsia="Palatino Linotype" w:hAnsi="Palatino Linotype" w:cs="Palatino Linotype"/>
          <w:i/>
        </w:rPr>
      </w:pPr>
      <w:r w:rsidRPr="00DD1D42">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w:t>
      </w:r>
    </w:p>
    <w:p w:rsidR="00892A5C" w:rsidRPr="00DD1D42" w:rsidRDefault="00892A5C" w:rsidP="00892A5C">
      <w:pPr>
        <w:tabs>
          <w:tab w:val="left" w:pos="851"/>
        </w:tabs>
        <w:spacing w:line="360" w:lineRule="auto"/>
        <w:ind w:left="850" w:right="-220"/>
        <w:rPr>
          <w:rFonts w:ascii="Palatino Linotype" w:eastAsia="Palatino Linotype" w:hAnsi="Palatino Linotype" w:cs="Palatino Linotype"/>
        </w:rPr>
      </w:pPr>
      <w:r w:rsidRPr="00DD1D42">
        <w:rPr>
          <w:rFonts w:ascii="Palatino Linotype" w:eastAsia="Palatino Linotype" w:hAnsi="Palatino Linotype" w:cs="Palatino Linotype"/>
        </w:rPr>
        <w:t>(Énfasis Añadido)</w:t>
      </w:r>
    </w:p>
    <w:p w:rsidR="00892A5C" w:rsidRPr="00DD1D42" w:rsidRDefault="00892A5C" w:rsidP="00892A5C">
      <w:pPr>
        <w:pBdr>
          <w:top w:val="nil"/>
          <w:left w:val="nil"/>
          <w:bottom w:val="nil"/>
          <w:right w:val="nil"/>
          <w:between w:val="nil"/>
        </w:pBdr>
        <w:ind w:right="-787"/>
        <w:jc w:val="both"/>
        <w:rPr>
          <w:rFonts w:ascii="Palatino Linotype" w:eastAsia="Palatino Linotype" w:hAnsi="Palatino Linotype" w:cs="Palatino Linotype"/>
          <w:color w:val="000000"/>
        </w:rPr>
      </w:pPr>
    </w:p>
    <w:p w:rsidR="00892A5C" w:rsidRPr="00DD1D42" w:rsidRDefault="00892A5C" w:rsidP="00AA61C9">
      <w:pPr>
        <w:numPr>
          <w:ilvl w:val="0"/>
          <w:numId w:val="2"/>
        </w:numPr>
        <w:spacing w:line="360" w:lineRule="auto"/>
        <w:ind w:left="0" w:right="-787" w:firstLine="0"/>
        <w:jc w:val="both"/>
        <w:rPr>
          <w:color w:val="000000"/>
        </w:rPr>
      </w:pPr>
      <w:r w:rsidRPr="00DD1D42">
        <w:rPr>
          <w:rFonts w:ascii="Palatino Linotype" w:eastAsia="Palatino Linotype" w:hAnsi="Palatino Linotype" w:cs="Palatino Linotype"/>
          <w:color w:val="000000"/>
        </w:rPr>
        <w:t>Por su parte los artículos 160 y 166, de la Ley local en la materia, que se reproduce de la siguiente forma:</w:t>
      </w:r>
    </w:p>
    <w:p w:rsidR="00892A5C" w:rsidRPr="00DD1D42" w:rsidRDefault="00892A5C" w:rsidP="00892A5C">
      <w:pPr>
        <w:ind w:left="566" w:right="-220"/>
        <w:jc w:val="both"/>
        <w:rPr>
          <w:rFonts w:ascii="Palatino Linotype" w:eastAsia="Palatino Linotype" w:hAnsi="Palatino Linotype" w:cs="Palatino Linotype"/>
          <w:i/>
        </w:rPr>
      </w:pPr>
      <w:r w:rsidRPr="00DD1D42">
        <w:rPr>
          <w:rFonts w:ascii="Palatino Linotype" w:eastAsia="Palatino Linotype" w:hAnsi="Palatino Linotype" w:cs="Palatino Linotype"/>
          <w:i/>
        </w:rPr>
        <w:t>“</w:t>
      </w:r>
      <w:r w:rsidRPr="00DD1D42">
        <w:rPr>
          <w:rFonts w:ascii="Palatino Linotype" w:eastAsia="Palatino Linotype" w:hAnsi="Palatino Linotype" w:cs="Palatino Linotype"/>
          <w:b/>
          <w:i/>
        </w:rPr>
        <w:t>Artículo 160.</w:t>
      </w:r>
      <w:r w:rsidRPr="00DD1D42">
        <w:rPr>
          <w:rFonts w:ascii="Palatino Linotype" w:eastAsia="Palatino Linotype" w:hAnsi="Palatino Linotype" w:cs="Palatino Linotype"/>
          <w:i/>
        </w:rPr>
        <w:t xml:space="preserve"> </w:t>
      </w:r>
      <w:r w:rsidRPr="00DD1D42">
        <w:rPr>
          <w:rFonts w:ascii="Palatino Linotype" w:eastAsia="Palatino Linotype" w:hAnsi="Palatino Linotype" w:cs="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DD1D42">
        <w:rPr>
          <w:rFonts w:ascii="Palatino Linotype" w:eastAsia="Palatino Linotype" w:hAnsi="Palatino Linotype" w:cs="Palatino Linotype"/>
          <w:i/>
        </w:rPr>
        <w:t>.</w:t>
      </w:r>
    </w:p>
    <w:p w:rsidR="00892A5C" w:rsidRPr="00DD1D42" w:rsidRDefault="00892A5C" w:rsidP="00892A5C">
      <w:pPr>
        <w:ind w:left="566" w:right="-220"/>
        <w:jc w:val="both"/>
        <w:rPr>
          <w:rFonts w:ascii="Palatino Linotype" w:eastAsia="Palatino Linotype" w:hAnsi="Palatino Linotype" w:cs="Palatino Linotype"/>
          <w:i/>
        </w:rPr>
      </w:pPr>
    </w:p>
    <w:p w:rsidR="00892A5C" w:rsidRPr="00DD1D42" w:rsidRDefault="00892A5C" w:rsidP="00892A5C">
      <w:pPr>
        <w:ind w:left="566" w:right="-220"/>
        <w:jc w:val="both"/>
        <w:rPr>
          <w:rFonts w:ascii="Palatino Linotype" w:eastAsia="Palatino Linotype" w:hAnsi="Palatino Linotype" w:cs="Palatino Linotype"/>
          <w:i/>
        </w:rPr>
      </w:pPr>
      <w:r w:rsidRPr="00DD1D42">
        <w:rPr>
          <w:rFonts w:ascii="Palatino Linotype" w:eastAsia="Palatino Linotype" w:hAnsi="Palatino Linotype" w:cs="Palatino Linotype"/>
          <w:i/>
        </w:rPr>
        <w:t>En caso que la información solicitada consista en bases de datos se deberá privilegiar la entrega de la misma en formatos abiertos.</w:t>
      </w:r>
    </w:p>
    <w:p w:rsidR="00892A5C" w:rsidRPr="00DD1D42" w:rsidRDefault="00892A5C" w:rsidP="00892A5C">
      <w:pPr>
        <w:ind w:left="566" w:right="-220"/>
        <w:jc w:val="both"/>
        <w:rPr>
          <w:rFonts w:ascii="Palatino Linotype" w:eastAsia="Palatino Linotype" w:hAnsi="Palatino Linotype" w:cs="Palatino Linotype"/>
          <w:i/>
        </w:rPr>
      </w:pPr>
    </w:p>
    <w:p w:rsidR="00892A5C" w:rsidRPr="00DD1D42" w:rsidRDefault="00892A5C" w:rsidP="00892A5C">
      <w:pPr>
        <w:ind w:left="566" w:right="-220"/>
        <w:jc w:val="both"/>
        <w:rPr>
          <w:rFonts w:ascii="Palatino Linotype" w:eastAsia="Palatino Linotype" w:hAnsi="Palatino Linotype" w:cs="Palatino Linotype"/>
          <w:i/>
          <w:u w:val="single"/>
        </w:rPr>
      </w:pPr>
      <w:r w:rsidRPr="00DD1D42">
        <w:rPr>
          <w:rFonts w:ascii="Palatino Linotype" w:eastAsia="Palatino Linotype" w:hAnsi="Palatino Linotype" w:cs="Palatino Linotype"/>
          <w:b/>
          <w:i/>
        </w:rPr>
        <w:t>Artículo 166.</w:t>
      </w:r>
      <w:r w:rsidRPr="00DD1D42">
        <w:rPr>
          <w:rFonts w:ascii="Palatino Linotype" w:eastAsia="Palatino Linotype" w:hAnsi="Palatino Linotype" w:cs="Palatino Linotype"/>
          <w:i/>
        </w:rPr>
        <w:t xml:space="preserve"> </w:t>
      </w:r>
      <w:r w:rsidRPr="00DD1D42">
        <w:rPr>
          <w:rFonts w:ascii="Palatino Linotype" w:eastAsia="Palatino Linotype" w:hAnsi="Palatino Linotype" w:cs="Palatino Linotype"/>
          <w:i/>
          <w:u w:val="single"/>
        </w:rPr>
        <w:t>La obligación de acceso a la información pública se tendrá por cumplida cuando el solicitante tenga a su disposición la información requerida, o cuando realice la consulta de la misma en el lugar en el que ésta se localice.</w:t>
      </w:r>
    </w:p>
    <w:p w:rsidR="00892A5C" w:rsidRPr="00DD1D42" w:rsidRDefault="00892A5C" w:rsidP="00892A5C">
      <w:pPr>
        <w:spacing w:line="360" w:lineRule="auto"/>
        <w:ind w:left="566" w:right="-220"/>
        <w:jc w:val="both"/>
        <w:rPr>
          <w:rFonts w:ascii="Palatino Linotype" w:eastAsia="Palatino Linotype" w:hAnsi="Palatino Linotype" w:cs="Palatino Linotype"/>
        </w:rPr>
      </w:pPr>
      <w:r w:rsidRPr="00DD1D42">
        <w:rPr>
          <w:rFonts w:ascii="Palatino Linotype" w:eastAsia="Palatino Linotype" w:hAnsi="Palatino Linotype" w:cs="Palatino Linotype"/>
        </w:rPr>
        <w:t>(Énfasis añadido)</w:t>
      </w:r>
    </w:p>
    <w:p w:rsidR="00892A5C" w:rsidRPr="00DD1D42" w:rsidRDefault="00892A5C" w:rsidP="00892A5C">
      <w:pPr>
        <w:ind w:right="-787"/>
        <w:jc w:val="both"/>
        <w:rPr>
          <w:rFonts w:ascii="Palatino Linotype" w:eastAsia="Palatino Linotype" w:hAnsi="Palatino Linotype" w:cs="Palatino Linotype"/>
        </w:rPr>
      </w:pPr>
    </w:p>
    <w:p w:rsidR="00ED4A10" w:rsidRPr="00DD1D42" w:rsidRDefault="00892A5C"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4C1A1A" w:rsidRPr="00DD1D42" w:rsidRDefault="004C1A1A" w:rsidP="004C1A1A">
      <w:pPr>
        <w:spacing w:line="360" w:lineRule="auto"/>
        <w:ind w:right="-787"/>
        <w:jc w:val="both"/>
        <w:rPr>
          <w:rFonts w:ascii="Palatino Linotype" w:eastAsia="Palatino Linotype" w:hAnsi="Palatino Linotype" w:cs="Palatino Linotype"/>
          <w:color w:val="000000"/>
        </w:rPr>
      </w:pPr>
    </w:p>
    <w:p w:rsidR="002B7A1B" w:rsidRPr="00DD1D42" w:rsidRDefault="002B7A1B" w:rsidP="00AA61C9">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En razón de lo expuesto y toda vez que el Sujeto Obligado</w:t>
      </w:r>
      <w:r w:rsidR="003D6D16" w:rsidRPr="00DD1D42">
        <w:rPr>
          <w:rFonts w:ascii="Palatino Linotype" w:eastAsia="Palatino Linotype" w:hAnsi="Palatino Linotype" w:cs="Palatino Linotype"/>
          <w:color w:val="000000"/>
        </w:rPr>
        <w:t xml:space="preserve"> no</w:t>
      </w:r>
      <w:r w:rsidRPr="00DD1D42">
        <w:rPr>
          <w:rFonts w:ascii="Palatino Linotype" w:eastAsia="Palatino Linotype" w:hAnsi="Palatino Linotype" w:cs="Palatino Linotype"/>
          <w:color w:val="000000"/>
        </w:rPr>
        <w:t xml:space="preserve"> proporcionó la información solicitada, resulta procedente </w:t>
      </w:r>
      <w:r w:rsidR="003D6D16" w:rsidRPr="00DD1D42">
        <w:rPr>
          <w:rFonts w:ascii="Palatino Linotype" w:eastAsia="Palatino Linotype" w:hAnsi="Palatino Linotype" w:cs="Palatino Linotype"/>
          <w:b/>
          <w:color w:val="000000"/>
        </w:rPr>
        <w:t>REVOCAR</w:t>
      </w:r>
      <w:r w:rsidRPr="00DD1D42">
        <w:rPr>
          <w:rFonts w:ascii="Palatino Linotype" w:eastAsia="Palatino Linotype" w:hAnsi="Palatino Linotype" w:cs="Palatino Linotype"/>
          <w:b/>
          <w:color w:val="000000"/>
        </w:rPr>
        <w:t xml:space="preserve"> </w:t>
      </w:r>
      <w:r w:rsidRPr="00DD1D42">
        <w:rPr>
          <w:rFonts w:ascii="Palatino Linotype" w:eastAsia="Palatino Linotype" w:hAnsi="Palatino Linotype" w:cs="Palatino Linotype"/>
          <w:color w:val="000000"/>
        </w:rPr>
        <w:t xml:space="preserve">la respuesta y </w:t>
      </w:r>
      <w:r w:rsidRPr="00DD1D42">
        <w:rPr>
          <w:rFonts w:ascii="Palatino Linotype" w:eastAsia="Palatino Linotype" w:hAnsi="Palatino Linotype" w:cs="Palatino Linotype"/>
          <w:b/>
          <w:color w:val="000000"/>
        </w:rPr>
        <w:t xml:space="preserve">ORDENAR </w:t>
      </w:r>
      <w:r w:rsidRPr="00DD1D42">
        <w:rPr>
          <w:rFonts w:ascii="Palatino Linotype" w:eastAsia="Palatino Linotype" w:hAnsi="Palatino Linotype" w:cs="Palatino Linotype"/>
          <w:color w:val="000000"/>
        </w:rPr>
        <w:t>la entrega, vía Sistema de Acce</w:t>
      </w:r>
      <w:r w:rsidR="005C6920" w:rsidRPr="00DD1D42">
        <w:rPr>
          <w:rFonts w:ascii="Palatino Linotype" w:eastAsia="Palatino Linotype" w:hAnsi="Palatino Linotype" w:cs="Palatino Linotype"/>
          <w:color w:val="000000"/>
        </w:rPr>
        <w:t>so a la Información Mexiquense</w:t>
      </w:r>
      <w:r w:rsidRPr="00DD1D42">
        <w:rPr>
          <w:rFonts w:ascii="Palatino Linotype" w:eastAsia="Palatino Linotype" w:hAnsi="Palatino Linotype" w:cs="Palatino Linotype"/>
          <w:color w:val="000000"/>
        </w:rPr>
        <w:t xml:space="preserve">, </w:t>
      </w:r>
      <w:r w:rsidR="000779D3" w:rsidRPr="00DD1D42">
        <w:rPr>
          <w:rFonts w:ascii="Palatino Linotype" w:eastAsia="Palatino Linotype" w:hAnsi="Palatino Linotype" w:cs="Palatino Linotype"/>
          <w:color w:val="000000"/>
        </w:rPr>
        <w:t xml:space="preserve">previa búsqueda exhaustiva y razonable, </w:t>
      </w:r>
      <w:r w:rsidR="000779D3" w:rsidRPr="00DD1D42">
        <w:rPr>
          <w:rFonts w:ascii="Palatino Linotype" w:eastAsia="Palatino Linotype" w:hAnsi="Palatino Linotype" w:cs="Palatino Linotype"/>
          <w:color w:val="000000"/>
        </w:rPr>
        <w:lastRenderedPageBreak/>
        <w:t xml:space="preserve">de ser el caso en versión pública, </w:t>
      </w:r>
      <w:r w:rsidR="008A3E7E" w:rsidRPr="00DD1D42">
        <w:rPr>
          <w:rFonts w:ascii="Palatino Linotype" w:eastAsia="Palatino Linotype" w:hAnsi="Palatino Linotype" w:cs="Palatino Linotype"/>
          <w:b/>
          <w:color w:val="000000"/>
        </w:rPr>
        <w:t>los Convenios firmados por el actual Presidente Municipal, al 13 de febrero de 2025.</w:t>
      </w:r>
    </w:p>
    <w:p w:rsidR="009628A8" w:rsidRPr="00DD1D42" w:rsidRDefault="009628A8" w:rsidP="009628A8">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0779D3" w:rsidRPr="00DD1D42" w:rsidRDefault="000779D3" w:rsidP="000779D3">
      <w:pPr>
        <w:keepNext/>
        <w:keepLines/>
        <w:spacing w:after="160" w:line="360" w:lineRule="auto"/>
        <w:rPr>
          <w:rFonts w:ascii="Palatino Linotype" w:eastAsia="Palatino Linotype" w:hAnsi="Palatino Linotype" w:cs="Palatino Linotype"/>
          <w:b/>
          <w:color w:val="000000"/>
        </w:rPr>
      </w:pPr>
      <w:r w:rsidRPr="00DD1D42">
        <w:rPr>
          <w:rFonts w:ascii="Palatino Linotype" w:eastAsia="Palatino Linotype" w:hAnsi="Palatino Linotype" w:cs="Palatino Linotype"/>
          <w:b/>
          <w:color w:val="000000"/>
        </w:rPr>
        <w:t>QUINTO. De la versión pública.</w:t>
      </w:r>
    </w:p>
    <w:p w:rsidR="000779D3" w:rsidRPr="00DD1D42" w:rsidRDefault="000779D3" w:rsidP="00AA61C9">
      <w:pPr>
        <w:keepNext/>
        <w:keepLines/>
        <w:numPr>
          <w:ilvl w:val="0"/>
          <w:numId w:val="5"/>
        </w:numPr>
        <w:tabs>
          <w:tab w:val="left" w:pos="284"/>
        </w:tabs>
        <w:spacing w:after="160" w:line="360" w:lineRule="auto"/>
        <w:rPr>
          <w:rFonts w:ascii="Palatino Linotype" w:eastAsia="Palatino Linotype" w:hAnsi="Palatino Linotype" w:cs="Palatino Linotype"/>
          <w:b/>
          <w:color w:val="000000"/>
        </w:rPr>
      </w:pPr>
      <w:r w:rsidRPr="00DD1D42">
        <w:rPr>
          <w:rFonts w:ascii="Palatino Linotype" w:eastAsia="Palatino Linotype" w:hAnsi="Palatino Linotype" w:cs="Palatino Linotype"/>
          <w:b/>
          <w:color w:val="000000"/>
        </w:rPr>
        <w:t xml:space="preserve">Nociones generales. </w:t>
      </w:r>
    </w:p>
    <w:p w:rsidR="000779D3" w:rsidRPr="00DD1D42" w:rsidRDefault="000779D3"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 xml:space="preserve">Debido a la información solicitada por el </w:t>
      </w:r>
      <w:r w:rsidRPr="00DD1D42">
        <w:rPr>
          <w:rFonts w:ascii="Palatino Linotype" w:eastAsia="Palatino Linotype" w:hAnsi="Palatino Linotype" w:cs="Palatino Linotype"/>
          <w:b/>
        </w:rPr>
        <w:t>RECURRENTE</w:t>
      </w:r>
      <w:r w:rsidRPr="00DD1D42">
        <w:rPr>
          <w:rFonts w:ascii="Palatino Linotype" w:eastAsia="Palatino Linotype" w:hAnsi="Palatino Linotype" w:cs="Palatino Linotype"/>
        </w:rPr>
        <w:t xml:space="preserve">, </w:t>
      </w:r>
      <w:r w:rsidR="00C26DB4" w:rsidRPr="00DD1D42">
        <w:rPr>
          <w:rFonts w:ascii="Palatino Linotype" w:eastAsia="Palatino Linotype" w:hAnsi="Palatino Linotype" w:cs="Palatino Linotype"/>
        </w:rPr>
        <w:t>en el caso de</w:t>
      </w:r>
      <w:r w:rsidRPr="00DD1D42">
        <w:rPr>
          <w:rFonts w:ascii="Palatino Linotype" w:eastAsia="Palatino Linotype" w:hAnsi="Palatino Linotype" w:cs="Palatino Linotype"/>
        </w:rPr>
        <w:t xml:space="preserve"> </w:t>
      </w:r>
      <w:r w:rsidR="00C26DB4" w:rsidRPr="00DD1D42">
        <w:rPr>
          <w:rFonts w:ascii="Palatino Linotype" w:eastAsia="Palatino Linotype" w:hAnsi="Palatino Linotype" w:cs="Palatino Linotype"/>
        </w:rPr>
        <w:t>obrar</w:t>
      </w:r>
      <w:r w:rsidRPr="00DD1D42">
        <w:rPr>
          <w:rFonts w:ascii="Palatino Linotype" w:eastAsia="Palatino Linotype" w:hAnsi="Palatino Linotype" w:cs="Palatino Linotype"/>
        </w:rPr>
        <w:t xml:space="preserve"> datos personales susceptibles de protegerse, así como información susceptible de clasificarse como confidencial, el </w:t>
      </w:r>
      <w:r w:rsidRPr="00DD1D42">
        <w:rPr>
          <w:rFonts w:ascii="Palatino Linotype" w:eastAsia="Palatino Linotype" w:hAnsi="Palatino Linotype" w:cs="Palatino Linotype"/>
          <w:b/>
        </w:rPr>
        <w:t xml:space="preserve">SUJETO OBLIGADO </w:t>
      </w:r>
      <w:r w:rsidRPr="00DD1D42">
        <w:rPr>
          <w:rFonts w:ascii="Palatino Linotype" w:eastAsia="Palatino Linotype" w:hAnsi="Palatino Linotype" w:cs="Palatino Linotype"/>
        </w:rPr>
        <w:t xml:space="preserve">deberá de hacer la adecuada versión pública, protegiendo los datos que no son susceptibles de ser proporcionados. </w:t>
      </w:r>
    </w:p>
    <w:p w:rsidR="000779D3" w:rsidRPr="00DD1D42" w:rsidRDefault="000779D3" w:rsidP="000779D3">
      <w:pPr>
        <w:tabs>
          <w:tab w:val="left" w:pos="0"/>
          <w:tab w:val="left" w:pos="284"/>
        </w:tabs>
        <w:spacing w:line="360" w:lineRule="auto"/>
        <w:ind w:right="49"/>
        <w:jc w:val="both"/>
        <w:rPr>
          <w:rFonts w:ascii="Palatino Linotype" w:eastAsia="Palatino Linotype" w:hAnsi="Palatino Linotype" w:cs="Palatino Linotype"/>
        </w:rPr>
      </w:pPr>
    </w:p>
    <w:p w:rsidR="000779D3" w:rsidRPr="00DD1D42" w:rsidRDefault="000779D3"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No pasa desapercibido para este Órgano Garante que los sujetos obligados</w:t>
      </w:r>
      <w:r w:rsidRPr="00DD1D42">
        <w:rPr>
          <w:rFonts w:ascii="Palatino Linotype" w:eastAsia="Palatino Linotype" w:hAnsi="Palatino Linotype" w:cs="Palatino Linotype"/>
          <w:b/>
          <w:color w:val="000000"/>
        </w:rPr>
        <w:t xml:space="preserve"> </w:t>
      </w:r>
      <w:r w:rsidRPr="00DD1D42">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0779D3" w:rsidRPr="00DD1D42" w:rsidRDefault="000779D3" w:rsidP="000779D3">
      <w:pPr>
        <w:tabs>
          <w:tab w:val="left" w:pos="284"/>
        </w:tabs>
        <w:spacing w:after="160" w:line="360" w:lineRule="auto"/>
        <w:ind w:right="49"/>
        <w:jc w:val="both"/>
        <w:rPr>
          <w:rFonts w:ascii="Palatino Linotype" w:eastAsia="Palatino Linotype" w:hAnsi="Palatino Linotype" w:cs="Palatino Linotype"/>
          <w:color w:val="000000"/>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29"/>
      </w:tblGrid>
      <w:tr w:rsidR="000779D3" w:rsidRPr="00DD1D42" w:rsidTr="00DD1D42">
        <w:tc>
          <w:tcPr>
            <w:tcW w:w="2689" w:type="dxa"/>
          </w:tcPr>
          <w:p w:rsidR="000779D3" w:rsidRPr="00DD1D42" w:rsidRDefault="000779D3" w:rsidP="000779D3">
            <w:pPr>
              <w:tabs>
                <w:tab w:val="left" w:pos="284"/>
              </w:tabs>
              <w:spacing w:line="360" w:lineRule="auto"/>
              <w:rPr>
                <w:rFonts w:ascii="Palatino Linotype" w:eastAsia="Palatino Linotype" w:hAnsi="Palatino Linotype" w:cs="Palatino Linotype"/>
                <w:b/>
              </w:rPr>
            </w:pPr>
            <w:r w:rsidRPr="00DD1D42">
              <w:rPr>
                <w:rFonts w:ascii="Palatino Linotype" w:eastAsia="Palatino Linotype" w:hAnsi="Palatino Linotype" w:cs="Palatino Linotype"/>
                <w:b/>
              </w:rPr>
              <w:t>a) Requisitos previos.</w:t>
            </w:r>
          </w:p>
        </w:tc>
        <w:tc>
          <w:tcPr>
            <w:tcW w:w="7229" w:type="dxa"/>
          </w:tcPr>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b/>
                <w:color w:val="000000"/>
              </w:rPr>
            </w:pPr>
            <w:r w:rsidRPr="00DD1D42">
              <w:rPr>
                <w:rFonts w:ascii="Palatino Linotype" w:eastAsia="Palatino Linotype" w:hAnsi="Palatino Linotype" w:cs="Palatino Linotype"/>
                <w:b/>
                <w:color w:val="000000"/>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b/>
                <w:color w:val="000000"/>
              </w:rPr>
            </w:pPr>
            <w:r w:rsidRPr="00DD1D42">
              <w:rPr>
                <w:rFonts w:ascii="Palatino Linotype" w:eastAsia="Palatino Linotype" w:hAnsi="Palatino Linotype" w:cs="Palatino Linotype"/>
                <w:b/>
                <w:color w:val="000000"/>
              </w:rPr>
              <w:lastRenderedPageBreak/>
              <w:t>Al hacerlo tienen que precisar de qué información se trata, señalando el supuesto de clasificación (confidencialidad o reserva).</w:t>
            </w:r>
          </w:p>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b/>
                <w:color w:val="000000"/>
              </w:rPr>
            </w:pPr>
            <w:r w:rsidRPr="00DD1D42">
              <w:rPr>
                <w:rFonts w:ascii="Palatino Linotype" w:eastAsia="Palatino Linotype" w:hAnsi="Palatino Linotype" w:cs="Palatino Linotype"/>
                <w:b/>
                <w:color w:val="000000"/>
              </w:rPr>
              <w:t>Además, se debe señalar el procedimiento, de los tres que establecen los artículos 132 y 106 de la Ley Estatal y General, respectivamente.</w:t>
            </w:r>
          </w:p>
          <w:p w:rsidR="000779D3" w:rsidRPr="00DD1D42" w:rsidRDefault="000779D3" w:rsidP="000779D3">
            <w:pPr>
              <w:tabs>
                <w:tab w:val="left" w:pos="284"/>
              </w:tabs>
              <w:spacing w:line="360" w:lineRule="auto"/>
              <w:jc w:val="both"/>
              <w:rPr>
                <w:rFonts w:ascii="Palatino Linotype" w:eastAsia="Palatino Linotype" w:hAnsi="Palatino Linotype" w:cs="Palatino Linotype"/>
                <w:b/>
              </w:rPr>
            </w:pPr>
            <w:r w:rsidRPr="00DD1D42">
              <w:rPr>
                <w:rFonts w:ascii="Palatino Linotype" w:eastAsia="Palatino Linotype" w:hAnsi="Palatino Linotype" w:cs="Palatino Linotype"/>
                <w:b/>
                <w:color w:val="000000"/>
              </w:rPr>
              <w:t xml:space="preserve">El último de estos requisitos previos consiste en que no se pueden emitir acuerdos de carácter general ni particular, esto es, </w:t>
            </w:r>
            <w:r w:rsidRPr="00DD1D42">
              <w:rPr>
                <w:rFonts w:ascii="Palatino Linotype" w:eastAsia="Palatino Linotype" w:hAnsi="Palatino Linotype" w:cs="Palatino Linotype"/>
                <w:b/>
                <w:color w:val="000000"/>
                <w:u w:val="single"/>
              </w:rPr>
              <w:t>no se puede hacer un acuerdo para clasificar de manera general todos los documentos de un expediente o área, sin</w:t>
            </w:r>
            <w:r w:rsidRPr="00DD1D42">
              <w:rPr>
                <w:rFonts w:ascii="Palatino Linotype" w:eastAsia="Palatino Linotype" w:hAnsi="Palatino Linotype" w:cs="Palatino Linotype"/>
                <w:b/>
                <w:color w:val="000000"/>
              </w:rPr>
              <w:t xml:space="preserve"> individualizar su análisis y tampoco se puede hacer un acuerdo por cada dato que se vaya a clasificar dentro de un documento con diez datos, por ejemplo, susceptibles de ser clasificados.</w:t>
            </w:r>
          </w:p>
        </w:tc>
      </w:tr>
      <w:tr w:rsidR="000779D3" w:rsidRPr="00DD1D42" w:rsidTr="00DD1D42">
        <w:tc>
          <w:tcPr>
            <w:tcW w:w="2689" w:type="dxa"/>
          </w:tcPr>
          <w:p w:rsidR="000779D3" w:rsidRPr="00DD1D42" w:rsidRDefault="000779D3" w:rsidP="000779D3">
            <w:pPr>
              <w:tabs>
                <w:tab w:val="left" w:pos="284"/>
              </w:tabs>
              <w:spacing w:line="360" w:lineRule="auto"/>
              <w:rPr>
                <w:rFonts w:ascii="Palatino Linotype" w:eastAsia="Palatino Linotype" w:hAnsi="Palatino Linotype" w:cs="Palatino Linotype"/>
                <w:b/>
              </w:rPr>
            </w:pPr>
            <w:r w:rsidRPr="00DD1D42">
              <w:rPr>
                <w:rFonts w:ascii="Palatino Linotype" w:eastAsia="Palatino Linotype" w:hAnsi="Palatino Linotype" w:cs="Palatino Linotype"/>
                <w:b/>
              </w:rPr>
              <w:lastRenderedPageBreak/>
              <w:t>b) Supuestos de clasificación.</w:t>
            </w:r>
          </w:p>
        </w:tc>
        <w:tc>
          <w:tcPr>
            <w:tcW w:w="7229" w:type="dxa"/>
          </w:tcPr>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w:t>
            </w:r>
            <w:r w:rsidRPr="00DD1D42">
              <w:rPr>
                <w:rFonts w:ascii="Palatino Linotype" w:eastAsia="Palatino Linotype" w:hAnsi="Palatino Linotype" w:cs="Palatino Linotype"/>
                <w:color w:val="000000"/>
              </w:rPr>
              <w:lastRenderedPageBreak/>
              <w:t>condición y no se pueden ampliar las excepciones o supuestos de clasificación aduciendo analogía o mayoría de razón.</w:t>
            </w:r>
          </w:p>
          <w:p w:rsidR="000779D3" w:rsidRPr="00DD1D42" w:rsidRDefault="000779D3" w:rsidP="000779D3">
            <w:pPr>
              <w:tabs>
                <w:tab w:val="left" w:pos="284"/>
              </w:tabs>
              <w:spacing w:line="360" w:lineRule="auto"/>
              <w:jc w:val="both"/>
              <w:rPr>
                <w:rFonts w:ascii="Palatino Linotype" w:eastAsia="Palatino Linotype" w:hAnsi="Palatino Linotype" w:cs="Palatino Linotype"/>
              </w:rPr>
            </w:pPr>
            <w:r w:rsidRPr="00DD1D42">
              <w:rPr>
                <w:rFonts w:ascii="Palatino Linotype" w:eastAsia="Palatino Linotype" w:hAnsi="Palatino Linotype" w:cs="Palatino Linotype"/>
                <w:color w:val="000000"/>
              </w:rPr>
              <w:t xml:space="preserve">El </w:t>
            </w:r>
            <w:r w:rsidRPr="00DD1D42">
              <w:rPr>
                <w:rFonts w:ascii="Palatino Linotype" w:eastAsia="Palatino Linotype" w:hAnsi="Palatino Linotype" w:cs="Palatino Linotype"/>
                <w:b/>
                <w:color w:val="000000"/>
              </w:rPr>
              <w:t>Sujeto Obligado</w:t>
            </w:r>
            <w:r w:rsidRPr="00DD1D42">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779D3" w:rsidRPr="00DD1D42" w:rsidTr="00DD1D42">
        <w:tc>
          <w:tcPr>
            <w:tcW w:w="2689" w:type="dxa"/>
          </w:tcPr>
          <w:p w:rsidR="000779D3" w:rsidRPr="00DD1D42" w:rsidRDefault="000779D3" w:rsidP="000779D3">
            <w:pPr>
              <w:tabs>
                <w:tab w:val="left" w:pos="284"/>
              </w:tabs>
              <w:spacing w:line="360" w:lineRule="auto"/>
              <w:rPr>
                <w:rFonts w:ascii="Palatino Linotype" w:eastAsia="Palatino Linotype" w:hAnsi="Palatino Linotype" w:cs="Palatino Linotype"/>
                <w:b/>
              </w:rPr>
            </w:pPr>
            <w:r w:rsidRPr="00DD1D42">
              <w:rPr>
                <w:rFonts w:ascii="Palatino Linotype" w:eastAsia="Palatino Linotype" w:hAnsi="Palatino Linotype" w:cs="Palatino Linotype"/>
                <w:b/>
              </w:rPr>
              <w:lastRenderedPageBreak/>
              <w:t>c) Formalidades para emitir el acuerdo de clasificación.</w:t>
            </w:r>
          </w:p>
        </w:tc>
        <w:tc>
          <w:tcPr>
            <w:tcW w:w="7229" w:type="dxa"/>
          </w:tcPr>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Es necesario que </w:t>
            </w:r>
            <w:r w:rsidRPr="00DD1D42">
              <w:rPr>
                <w:rFonts w:ascii="Palatino Linotype" w:eastAsia="Palatino Linotype" w:hAnsi="Palatino Linotype" w:cs="Palatino Linotype"/>
                <w:b/>
                <w:color w:val="000000"/>
                <w:u w:val="single"/>
              </w:rPr>
              <w:t>el acto reúna con los requisitos elementales</w:t>
            </w:r>
            <w:r w:rsidRPr="00DD1D42">
              <w:rPr>
                <w:rFonts w:ascii="Palatino Linotype" w:eastAsia="Palatino Linotype" w:hAnsi="Palatino Linotype" w:cs="Palatino Linotype"/>
                <w:color w:val="000000"/>
              </w:rPr>
              <w:t>, entre ellos, que la autoridad que va a emitir el acto de autoridad sea la legalmente facultada para ello.</w:t>
            </w:r>
          </w:p>
          <w:p w:rsidR="000779D3" w:rsidRPr="00DD1D42" w:rsidRDefault="000779D3" w:rsidP="000779D3">
            <w:pPr>
              <w:tabs>
                <w:tab w:val="left" w:pos="284"/>
              </w:tabs>
              <w:spacing w:line="360" w:lineRule="auto"/>
              <w:jc w:val="both"/>
              <w:rPr>
                <w:rFonts w:ascii="Palatino Linotype" w:eastAsia="Palatino Linotype" w:hAnsi="Palatino Linotype" w:cs="Palatino Linotype"/>
              </w:rPr>
            </w:pPr>
            <w:r w:rsidRPr="00DD1D42">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779D3" w:rsidRPr="00DD1D42" w:rsidTr="00DD1D42">
        <w:tc>
          <w:tcPr>
            <w:tcW w:w="2689" w:type="dxa"/>
          </w:tcPr>
          <w:p w:rsidR="000779D3" w:rsidRPr="00DD1D42" w:rsidRDefault="000779D3" w:rsidP="000779D3">
            <w:pPr>
              <w:tabs>
                <w:tab w:val="left" w:pos="284"/>
              </w:tabs>
              <w:spacing w:line="360" w:lineRule="auto"/>
              <w:rPr>
                <w:rFonts w:ascii="Palatino Linotype" w:eastAsia="Palatino Linotype" w:hAnsi="Palatino Linotype" w:cs="Palatino Linotype"/>
                <w:b/>
              </w:rPr>
            </w:pPr>
          </w:p>
          <w:p w:rsidR="000779D3" w:rsidRPr="00DD1D42" w:rsidRDefault="000779D3" w:rsidP="000779D3">
            <w:pPr>
              <w:tabs>
                <w:tab w:val="left" w:pos="284"/>
              </w:tabs>
              <w:spacing w:line="360" w:lineRule="auto"/>
              <w:jc w:val="both"/>
              <w:rPr>
                <w:rFonts w:ascii="Palatino Linotype" w:eastAsia="Palatino Linotype" w:hAnsi="Palatino Linotype" w:cs="Palatino Linotype"/>
                <w:b/>
              </w:rPr>
            </w:pPr>
            <w:r w:rsidRPr="00DD1D42">
              <w:rPr>
                <w:rFonts w:ascii="Palatino Linotype" w:eastAsia="Palatino Linotype" w:hAnsi="Palatino Linotype" w:cs="Palatino Linotype"/>
                <w:b/>
                <w:color w:val="000000"/>
              </w:rPr>
              <w:lastRenderedPageBreak/>
              <w:t xml:space="preserve">d) Requisitos de fondo del acuerdo de clasificación. </w:t>
            </w:r>
          </w:p>
        </w:tc>
        <w:tc>
          <w:tcPr>
            <w:tcW w:w="7229" w:type="dxa"/>
          </w:tcPr>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lastRenderedPageBreak/>
              <w:t xml:space="preserve">Como se ha señalado antes, al hacer el juicio de subsunción o encaje entre el supuesto de hecho y la hipótesis jurídica, se debe </w:t>
            </w:r>
            <w:r w:rsidRPr="00DD1D42">
              <w:rPr>
                <w:rFonts w:ascii="Palatino Linotype" w:eastAsia="Palatino Linotype" w:hAnsi="Palatino Linotype" w:cs="Palatino Linotype"/>
                <w:color w:val="000000"/>
              </w:rPr>
              <w:lastRenderedPageBreak/>
              <w:t xml:space="preserve">acreditar la estricta correspondencia entre un elemento y otro. Ahora, en esta parte del procedimiento, que se desahoga en sede del Comité de Transparencia, la ley señala que la carga de la prueba, para justificar las restricciones, corresponde a los </w:t>
            </w:r>
            <w:r w:rsidRPr="00DD1D42">
              <w:rPr>
                <w:rFonts w:ascii="Palatino Linotype" w:eastAsia="Palatino Linotype" w:hAnsi="Palatino Linotype" w:cs="Palatino Linotype"/>
                <w:b/>
                <w:color w:val="000000"/>
              </w:rPr>
              <w:t>Sujetos Obligados</w:t>
            </w:r>
            <w:r w:rsidRPr="00DD1D42">
              <w:rPr>
                <w:rFonts w:ascii="Palatino Linotype" w:eastAsia="Palatino Linotype" w:hAnsi="Palatino Linotype" w:cs="Palatino Linotype"/>
                <w:color w:val="000000"/>
              </w:rPr>
              <w:t xml:space="preserve">, por lo que deberán fundar y motivar debidamente la clasificación. </w:t>
            </w:r>
          </w:p>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De lo anterior, se desprende que para una correcta </w:t>
            </w:r>
            <w:r w:rsidRPr="00DD1D42">
              <w:rPr>
                <w:rFonts w:ascii="Palatino Linotype" w:eastAsia="Palatino Linotype" w:hAnsi="Palatino Linotype" w:cs="Palatino Linotype"/>
                <w:b/>
                <w:color w:val="000000"/>
              </w:rPr>
              <w:t>clasificación total o parcial</w:t>
            </w:r>
            <w:r w:rsidRPr="00DD1D42">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lastRenderedPageBreak/>
              <w:t xml:space="preserve">Ahora bien, </w:t>
            </w:r>
            <w:r w:rsidRPr="00DD1D42">
              <w:rPr>
                <w:rFonts w:ascii="Palatino Linotype" w:eastAsia="Palatino Linotype" w:hAnsi="Palatino Linotype" w:cs="Palatino Linotype"/>
                <w:b/>
                <w:color w:val="000000"/>
                <w:u w:val="single"/>
              </w:rPr>
              <w:t>para cada caso además de fundar y motivar</w:t>
            </w:r>
            <w:r w:rsidRPr="00DD1D42">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779D3" w:rsidRPr="00DD1D42" w:rsidTr="00DD1D42">
        <w:tc>
          <w:tcPr>
            <w:tcW w:w="2689" w:type="dxa"/>
          </w:tcPr>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b/>
              </w:rPr>
            </w:pPr>
            <w:r w:rsidRPr="00DD1D42">
              <w:rPr>
                <w:rFonts w:ascii="Palatino Linotype" w:eastAsia="Palatino Linotype" w:hAnsi="Palatino Linotype" w:cs="Palatino Linotype"/>
                <w:b/>
              </w:rPr>
              <w:lastRenderedPageBreak/>
              <w:t xml:space="preserve">e) Condiciones especiales de la clasificación de la información como confidencial. </w:t>
            </w:r>
          </w:p>
        </w:tc>
        <w:tc>
          <w:tcPr>
            <w:tcW w:w="7229" w:type="dxa"/>
          </w:tcPr>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0779D3" w:rsidRPr="00DD1D42" w:rsidRDefault="000779D3" w:rsidP="000779D3">
            <w:pPr>
              <w:tabs>
                <w:tab w:val="left" w:pos="284"/>
              </w:tabs>
              <w:spacing w:line="360" w:lineRule="auto"/>
              <w:ind w:right="49"/>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779D3" w:rsidRPr="00DD1D42" w:rsidRDefault="000779D3" w:rsidP="000779D3">
            <w:pPr>
              <w:tabs>
                <w:tab w:val="left" w:pos="284"/>
              </w:tabs>
              <w:spacing w:line="360" w:lineRule="auto"/>
              <w:rPr>
                <w:rFonts w:ascii="Palatino Linotype" w:eastAsia="Palatino Linotype" w:hAnsi="Palatino Linotype" w:cs="Palatino Linotype"/>
              </w:rPr>
            </w:pPr>
            <w:r w:rsidRPr="00DD1D42">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779D3" w:rsidRPr="00DD1D42" w:rsidRDefault="000779D3" w:rsidP="000779D3">
      <w:pPr>
        <w:tabs>
          <w:tab w:val="left" w:pos="284"/>
        </w:tabs>
        <w:spacing w:line="360" w:lineRule="auto"/>
        <w:rPr>
          <w:rFonts w:ascii="Palatino Linotype" w:eastAsia="Palatino Linotype" w:hAnsi="Palatino Linotype" w:cs="Palatino Linotype"/>
          <w:color w:val="000000"/>
        </w:rPr>
      </w:pPr>
    </w:p>
    <w:p w:rsidR="000779D3" w:rsidRPr="00DD1D42" w:rsidRDefault="000779D3" w:rsidP="000779D3">
      <w:pPr>
        <w:rPr>
          <w:rFonts w:ascii="Palatino Linotype" w:eastAsia="Palatino Linotype" w:hAnsi="Palatino Linotype" w:cs="Palatino Linotype"/>
        </w:rPr>
      </w:pPr>
    </w:p>
    <w:p w:rsidR="000779D3" w:rsidRPr="00DD1D42" w:rsidRDefault="000779D3"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lastRenderedPageBreak/>
        <w:t xml:space="preserve">En ese sentido, el </w:t>
      </w:r>
      <w:r w:rsidRPr="00DD1D42">
        <w:rPr>
          <w:rFonts w:ascii="Palatino Linotype" w:eastAsia="Palatino Linotype" w:hAnsi="Palatino Linotype" w:cs="Palatino Linotype"/>
          <w:b/>
        </w:rPr>
        <w:t>SUJETO OBLIGADO</w:t>
      </w:r>
      <w:r w:rsidRPr="00DD1D42">
        <w:rPr>
          <w:rFonts w:ascii="Palatino Linotype" w:eastAsia="Palatino Linotype" w:hAnsi="Palatino Linotype" w:cs="Palatino Linotype"/>
        </w:rPr>
        <w:t xml:space="preserve"> deberá de emitir el Acuerdo del Comité de Transparencia, </w:t>
      </w:r>
      <w:r w:rsidRPr="00DD1D42">
        <w:rPr>
          <w:rFonts w:ascii="Palatino Linotype" w:hAnsi="Palatino Linotype"/>
          <w:color w:val="000000"/>
        </w:rPr>
        <w:t>mediante</w:t>
      </w:r>
      <w:r w:rsidRPr="00DD1D42">
        <w:rPr>
          <w:rFonts w:ascii="Palatino Linotype" w:eastAsia="Palatino Linotype" w:hAnsi="Palatino Linotype" w:cs="Palatino Linotype"/>
        </w:rPr>
        <w:t xml:space="preserv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779D3" w:rsidRPr="00DD1D42" w:rsidRDefault="000779D3" w:rsidP="000779D3">
      <w:pPr>
        <w:tabs>
          <w:tab w:val="left" w:pos="284"/>
        </w:tabs>
        <w:spacing w:line="360" w:lineRule="auto"/>
        <w:ind w:right="276"/>
        <w:jc w:val="both"/>
        <w:rPr>
          <w:rFonts w:ascii="Palatino Linotype" w:eastAsia="Palatino Linotype" w:hAnsi="Palatino Linotype" w:cs="Palatino Linotype"/>
          <w:color w:val="000000"/>
        </w:rPr>
      </w:pPr>
    </w:p>
    <w:p w:rsidR="000779D3" w:rsidRPr="00DD1D42" w:rsidRDefault="000779D3" w:rsidP="00AA61C9">
      <w:pPr>
        <w:numPr>
          <w:ilvl w:val="0"/>
          <w:numId w:val="2"/>
        </w:numPr>
        <w:spacing w:line="360" w:lineRule="auto"/>
        <w:ind w:left="0" w:right="-787" w:firstLine="0"/>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rPr>
        <w:t xml:space="preserve">Derivado de lo establecido en párrafos anteriores, si el </w:t>
      </w:r>
      <w:r w:rsidRPr="00DD1D42">
        <w:rPr>
          <w:rFonts w:ascii="Palatino Linotype" w:eastAsia="Palatino Linotype" w:hAnsi="Palatino Linotype" w:cs="Palatino Linotype"/>
          <w:b/>
        </w:rPr>
        <w:t>SUJETO OBLIGADO</w:t>
      </w:r>
      <w:r w:rsidRPr="00DD1D42">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177B12" w:rsidRPr="00DD1D42" w:rsidRDefault="00177B12">
      <w:pPr>
        <w:spacing w:line="360" w:lineRule="auto"/>
        <w:jc w:val="both"/>
        <w:rPr>
          <w:color w:val="000000"/>
        </w:rPr>
      </w:pPr>
    </w:p>
    <w:p w:rsidR="00181C24" w:rsidRDefault="00A76E9C" w:rsidP="00AA61C9">
      <w:pPr>
        <w:numPr>
          <w:ilvl w:val="0"/>
          <w:numId w:val="2"/>
        </w:numPr>
        <w:spacing w:line="360" w:lineRule="auto"/>
        <w:ind w:left="0" w:right="-787" w:firstLine="0"/>
        <w:jc w:val="both"/>
        <w:rPr>
          <w:rFonts w:ascii="Palatino Linotype" w:eastAsia="Palatino Linotype" w:hAnsi="Palatino Linotype" w:cs="Palatino Linotype"/>
        </w:rPr>
      </w:pPr>
      <w:r w:rsidRPr="00DD1D42">
        <w:rPr>
          <w:rFonts w:ascii="Palatino Linotype" w:eastAsia="Palatino Linotype" w:hAnsi="Palatino Linotype" w:cs="Palatino Linotype"/>
        </w:rPr>
        <w:t>Por lo expuesto, y c</w:t>
      </w:r>
      <w:r w:rsidR="00181C24" w:rsidRPr="00DD1D42">
        <w:rPr>
          <w:rFonts w:ascii="Palatino Linotype" w:eastAsia="Palatino Linotype" w:hAnsi="Palatino Linotype" w:cs="Palatino Linotype"/>
        </w:rPr>
        <w:t xml:space="preserve">on fundamento en lo prescrito en los artículos </w:t>
      </w:r>
      <w:r w:rsidR="00181C24" w:rsidRPr="00DD1D42">
        <w:rPr>
          <w:rFonts w:ascii="Palatino Linotype" w:eastAsia="Palatino Linotype" w:hAnsi="Palatino Linotype" w:cs="Palatino Linotype"/>
          <w:color w:val="000000"/>
        </w:rPr>
        <w:t xml:space="preserve">5°, </w:t>
      </w:r>
      <w:r w:rsidR="00181C24" w:rsidRPr="00DD1D42">
        <w:rPr>
          <w:rFonts w:ascii="Palatino Linotype" w:eastAsia="Palatino Linotype" w:hAnsi="Palatino Linotype" w:cs="Palatino Linotype"/>
          <w:color w:val="000000"/>
          <w:lang w:val="es-MX"/>
        </w:rPr>
        <w:t>párrafos trigésimo séptimo, trigésimo octavo y trigésimo noveno fracciones IV y V, de la Constitución Política del Estado Libre y Soberano de México</w:t>
      </w:r>
      <w:r w:rsidR="00181C24" w:rsidRPr="00DD1D42">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r w:rsidR="00DD1D42">
        <w:rPr>
          <w:rFonts w:ascii="Palatino Linotype" w:eastAsia="Palatino Linotype" w:hAnsi="Palatino Linotype" w:cs="Palatino Linotype"/>
        </w:rPr>
        <w:t>--------------------------------------------------------------------------------------------</w:t>
      </w:r>
    </w:p>
    <w:p w:rsidR="00DD1D42" w:rsidRDefault="00DD1D42" w:rsidP="00DD1D42">
      <w:pPr>
        <w:pStyle w:val="Prrafodelista"/>
        <w:rPr>
          <w:rFonts w:ascii="Palatino Linotype" w:eastAsia="Palatino Linotype" w:hAnsi="Palatino Linotype" w:cs="Palatino Linotype"/>
        </w:rPr>
      </w:pPr>
    </w:p>
    <w:p w:rsidR="00DD1D42" w:rsidRDefault="00DD1D42" w:rsidP="00DD1D42">
      <w:pPr>
        <w:spacing w:line="360" w:lineRule="auto"/>
        <w:ind w:right="-787"/>
        <w:jc w:val="both"/>
        <w:rPr>
          <w:rFonts w:ascii="Palatino Linotype" w:eastAsia="Palatino Linotype" w:hAnsi="Palatino Linotype" w:cs="Palatino Linotype"/>
        </w:rPr>
      </w:pPr>
    </w:p>
    <w:p w:rsidR="00DD1D42" w:rsidRDefault="00DD1D42" w:rsidP="00DD1D42">
      <w:pPr>
        <w:spacing w:line="360" w:lineRule="auto"/>
        <w:ind w:right="-787"/>
        <w:jc w:val="both"/>
        <w:rPr>
          <w:rFonts w:ascii="Palatino Linotype" w:eastAsia="Palatino Linotype" w:hAnsi="Palatino Linotype" w:cs="Palatino Linotype"/>
        </w:rPr>
      </w:pPr>
    </w:p>
    <w:p w:rsidR="00DD1D42" w:rsidRPr="00DD1D42" w:rsidRDefault="00DD1D42" w:rsidP="00DD1D42">
      <w:pPr>
        <w:spacing w:line="360" w:lineRule="auto"/>
        <w:ind w:right="-787"/>
        <w:jc w:val="both"/>
        <w:rPr>
          <w:rFonts w:ascii="Palatino Linotype" w:eastAsia="Palatino Linotype" w:hAnsi="Palatino Linotype" w:cs="Palatino Linotype"/>
        </w:rPr>
      </w:pPr>
      <w:bookmarkStart w:id="7" w:name="_GoBack"/>
      <w:bookmarkEnd w:id="7"/>
    </w:p>
    <w:p w:rsidR="0072148B" w:rsidRPr="00DD1D42" w:rsidRDefault="0072148B">
      <w:pPr>
        <w:ind w:right="278"/>
        <w:rPr>
          <w:rFonts w:ascii="Palatino Linotype" w:eastAsia="Palatino Linotype" w:hAnsi="Palatino Linotype" w:cs="Palatino Linotype"/>
        </w:rPr>
      </w:pPr>
    </w:p>
    <w:p w:rsidR="0072148B" w:rsidRPr="00DD1D42" w:rsidRDefault="00A077F4" w:rsidP="00177B12">
      <w:pPr>
        <w:spacing w:line="360" w:lineRule="auto"/>
        <w:ind w:right="-858"/>
        <w:jc w:val="center"/>
        <w:rPr>
          <w:rFonts w:ascii="Palatino Linotype" w:eastAsia="Palatino Linotype" w:hAnsi="Palatino Linotype" w:cs="Palatino Linotype"/>
          <w:b/>
        </w:rPr>
      </w:pPr>
      <w:r w:rsidRPr="00DD1D42">
        <w:rPr>
          <w:rFonts w:ascii="Palatino Linotype" w:eastAsia="Palatino Linotype" w:hAnsi="Palatino Linotype" w:cs="Palatino Linotype"/>
          <w:b/>
        </w:rPr>
        <w:lastRenderedPageBreak/>
        <w:t>R E S U E L V E</w:t>
      </w:r>
    </w:p>
    <w:p w:rsidR="0072148B" w:rsidRPr="00DD1D42" w:rsidRDefault="0072148B">
      <w:pPr>
        <w:spacing w:line="360" w:lineRule="auto"/>
        <w:ind w:right="-787"/>
        <w:jc w:val="center"/>
        <w:rPr>
          <w:rFonts w:ascii="Palatino Linotype" w:eastAsia="Palatino Linotype" w:hAnsi="Palatino Linotype" w:cs="Palatino Linotype"/>
          <w:b/>
        </w:rPr>
      </w:pPr>
    </w:p>
    <w:p w:rsidR="002B7A1B" w:rsidRPr="00DD1D42" w:rsidRDefault="002B7A1B" w:rsidP="002B7A1B">
      <w:pPr>
        <w:spacing w:line="360" w:lineRule="auto"/>
        <w:ind w:right="-787"/>
        <w:jc w:val="both"/>
        <w:rPr>
          <w:rFonts w:ascii="Palatino Linotype" w:eastAsia="Palatino Linotype" w:hAnsi="Palatino Linotype" w:cs="Palatino Linotype"/>
          <w:b/>
        </w:rPr>
      </w:pPr>
      <w:r w:rsidRPr="00DD1D42">
        <w:rPr>
          <w:rFonts w:ascii="Palatino Linotype" w:eastAsia="Palatino Linotype" w:hAnsi="Palatino Linotype" w:cs="Palatino Linotype"/>
          <w:b/>
        </w:rPr>
        <w:t>PRIMERO</w:t>
      </w:r>
      <w:r w:rsidRPr="00DD1D42">
        <w:rPr>
          <w:rFonts w:ascii="Palatino Linotype" w:eastAsia="Palatino Linotype" w:hAnsi="Palatino Linotype" w:cs="Palatino Linotype"/>
        </w:rPr>
        <w:t xml:space="preserve">. Resultan </w:t>
      </w:r>
      <w:r w:rsidRPr="00DD1D42">
        <w:rPr>
          <w:rFonts w:ascii="Palatino Linotype" w:eastAsia="Palatino Linotype" w:hAnsi="Palatino Linotype" w:cs="Palatino Linotype"/>
          <w:b/>
        </w:rPr>
        <w:t>FUNDADAS</w:t>
      </w:r>
      <w:r w:rsidRPr="00DD1D42">
        <w:rPr>
          <w:rFonts w:ascii="Palatino Linotype" w:eastAsia="Palatino Linotype" w:hAnsi="Palatino Linotype" w:cs="Palatino Linotype"/>
        </w:rPr>
        <w:t xml:space="preserve"> las razones o motivos de inconformidad hechos valer en el recurso de revisión </w:t>
      </w:r>
      <w:r w:rsidR="000C5245" w:rsidRPr="00DD1D42">
        <w:rPr>
          <w:rFonts w:ascii="Palatino Linotype" w:eastAsia="Palatino Linotype" w:hAnsi="Palatino Linotype" w:cs="Palatino Linotype"/>
          <w:b/>
        </w:rPr>
        <w:t>02738</w:t>
      </w:r>
      <w:r w:rsidRPr="00DD1D42">
        <w:rPr>
          <w:rFonts w:ascii="Palatino Linotype" w:eastAsia="Palatino Linotype" w:hAnsi="Palatino Linotype" w:cs="Palatino Linotype"/>
          <w:b/>
        </w:rPr>
        <w:t>/INFOEM/IP/RR/2025</w:t>
      </w:r>
      <w:r w:rsidRPr="00DD1D42">
        <w:rPr>
          <w:rFonts w:ascii="Palatino Linotype" w:eastAsia="Palatino Linotype" w:hAnsi="Palatino Linotype" w:cs="Palatino Linotype"/>
        </w:rPr>
        <w:t>,</w:t>
      </w:r>
      <w:r w:rsidRPr="00DD1D42">
        <w:rPr>
          <w:rFonts w:ascii="Palatino Linotype" w:eastAsia="Palatino Linotype" w:hAnsi="Palatino Linotype" w:cs="Palatino Linotype"/>
          <w:b/>
        </w:rPr>
        <w:t xml:space="preserve"> </w:t>
      </w:r>
      <w:r w:rsidRPr="00DD1D42">
        <w:rPr>
          <w:rFonts w:ascii="Palatino Linotype" w:eastAsia="Palatino Linotype" w:hAnsi="Palatino Linotype" w:cs="Palatino Linotype"/>
        </w:rPr>
        <w:t xml:space="preserve">en términos </w:t>
      </w:r>
      <w:r w:rsidR="00FC679B" w:rsidRPr="00DD1D42">
        <w:rPr>
          <w:rFonts w:ascii="Palatino Linotype" w:eastAsia="Palatino Linotype" w:hAnsi="Palatino Linotype" w:cs="Palatino Linotype"/>
        </w:rPr>
        <w:t>del</w:t>
      </w:r>
      <w:r w:rsidRPr="00DD1D42">
        <w:rPr>
          <w:rFonts w:ascii="Palatino Linotype" w:eastAsia="Palatino Linotype" w:hAnsi="Palatino Linotype" w:cs="Palatino Linotype"/>
        </w:rPr>
        <w:t xml:space="preserve"> </w:t>
      </w:r>
      <w:r w:rsidR="00FC679B" w:rsidRPr="00DD1D42">
        <w:rPr>
          <w:rFonts w:ascii="Palatino Linotype" w:eastAsia="Palatino Linotype" w:hAnsi="Palatino Linotype" w:cs="Palatino Linotype"/>
          <w:b/>
        </w:rPr>
        <w:t>Considerando</w:t>
      </w:r>
      <w:r w:rsidRPr="00DD1D42">
        <w:rPr>
          <w:rFonts w:ascii="Palatino Linotype" w:eastAsia="Palatino Linotype" w:hAnsi="Palatino Linotype" w:cs="Palatino Linotype"/>
          <w:b/>
        </w:rPr>
        <w:t xml:space="preserve"> CUARTO </w:t>
      </w:r>
      <w:r w:rsidRPr="00DD1D42">
        <w:rPr>
          <w:rFonts w:ascii="Palatino Linotype" w:eastAsia="Palatino Linotype" w:hAnsi="Palatino Linotype" w:cs="Palatino Linotype"/>
        </w:rPr>
        <w:t>de la presente resolución</w:t>
      </w:r>
      <w:r w:rsidRPr="00DD1D42">
        <w:rPr>
          <w:rFonts w:ascii="Palatino Linotype" w:eastAsia="Palatino Linotype" w:hAnsi="Palatino Linotype" w:cs="Palatino Linotype"/>
          <w:b/>
        </w:rPr>
        <w:t>.</w:t>
      </w:r>
    </w:p>
    <w:p w:rsidR="002B7A1B" w:rsidRPr="00DD1D42" w:rsidRDefault="002B7A1B" w:rsidP="002B7A1B">
      <w:pPr>
        <w:spacing w:line="360" w:lineRule="auto"/>
        <w:ind w:right="276"/>
        <w:jc w:val="both"/>
        <w:rPr>
          <w:rFonts w:ascii="Palatino Linotype" w:eastAsia="Palatino Linotype" w:hAnsi="Palatino Linotype" w:cs="Palatino Linotype"/>
          <w:b/>
        </w:rPr>
      </w:pPr>
    </w:p>
    <w:p w:rsidR="002B7A1B" w:rsidRPr="00DD1D42" w:rsidRDefault="002B7A1B" w:rsidP="002B7A1B">
      <w:pPr>
        <w:spacing w:line="360" w:lineRule="auto"/>
        <w:ind w:right="-787"/>
        <w:jc w:val="both"/>
        <w:rPr>
          <w:rFonts w:ascii="Palatino Linotype" w:eastAsia="Palatino Linotype" w:hAnsi="Palatino Linotype" w:cs="Palatino Linotype"/>
        </w:rPr>
      </w:pPr>
      <w:bookmarkStart w:id="8" w:name="_heading=h.1ksv4uv" w:colFirst="0" w:colLast="0"/>
      <w:bookmarkEnd w:id="8"/>
      <w:r w:rsidRPr="00DD1D42">
        <w:rPr>
          <w:rFonts w:ascii="Palatino Linotype" w:eastAsia="Palatino Linotype" w:hAnsi="Palatino Linotype" w:cs="Palatino Linotype"/>
          <w:b/>
        </w:rPr>
        <w:t>SEGUNDO.</w:t>
      </w:r>
      <w:r w:rsidRPr="00DD1D42">
        <w:rPr>
          <w:rFonts w:ascii="Palatino Linotype" w:eastAsia="Palatino Linotype" w:hAnsi="Palatino Linotype" w:cs="Palatino Linotype"/>
          <w:color w:val="2F5496"/>
        </w:rPr>
        <w:t xml:space="preserve"> </w:t>
      </w:r>
      <w:r w:rsidRPr="00DD1D42">
        <w:rPr>
          <w:rFonts w:ascii="Palatino Linotype" w:eastAsia="Palatino Linotype" w:hAnsi="Palatino Linotype" w:cs="Palatino Linotype"/>
          <w:color w:val="000000"/>
        </w:rPr>
        <w:t xml:space="preserve">Se </w:t>
      </w:r>
      <w:r w:rsidR="000C5245" w:rsidRPr="00DD1D42">
        <w:rPr>
          <w:rFonts w:ascii="Palatino Linotype" w:eastAsia="Palatino Linotype" w:hAnsi="Palatino Linotype" w:cs="Palatino Linotype"/>
          <w:b/>
          <w:color w:val="000000"/>
        </w:rPr>
        <w:t>REVOCA</w:t>
      </w:r>
      <w:r w:rsidRPr="00DD1D42">
        <w:rPr>
          <w:rFonts w:ascii="Palatino Linotype" w:eastAsia="Palatino Linotype" w:hAnsi="Palatino Linotype" w:cs="Palatino Linotype"/>
          <w:b/>
          <w:color w:val="000000"/>
        </w:rPr>
        <w:t xml:space="preserve"> </w:t>
      </w:r>
      <w:r w:rsidR="006E679E" w:rsidRPr="00DD1D42">
        <w:rPr>
          <w:rFonts w:ascii="Palatino Linotype" w:eastAsia="Palatino Linotype" w:hAnsi="Palatino Linotype" w:cs="Palatino Linotype"/>
          <w:color w:val="000000"/>
        </w:rPr>
        <w:t>la respuesta emitida</w:t>
      </w:r>
      <w:r w:rsidRPr="00DD1D42">
        <w:rPr>
          <w:rFonts w:ascii="Palatino Linotype" w:eastAsia="Palatino Linotype" w:hAnsi="Palatino Linotype" w:cs="Palatino Linotype"/>
          <w:color w:val="000000"/>
        </w:rPr>
        <w:t xml:space="preserve"> por el </w:t>
      </w:r>
      <w:r w:rsidRPr="00DD1D42">
        <w:rPr>
          <w:rFonts w:ascii="Palatino Linotype" w:eastAsia="Palatino Linotype" w:hAnsi="Palatino Linotype" w:cs="Palatino Linotype"/>
          <w:b/>
          <w:bCs/>
        </w:rPr>
        <w:t xml:space="preserve">Ayuntamiento de Toluca </w:t>
      </w:r>
      <w:r w:rsidRPr="00DD1D42">
        <w:rPr>
          <w:rFonts w:ascii="Palatino Linotype" w:eastAsia="Palatino Linotype" w:hAnsi="Palatino Linotype" w:cs="Palatino Linotype"/>
          <w:color w:val="000000"/>
        </w:rPr>
        <w:t xml:space="preserve">y se </w:t>
      </w:r>
      <w:r w:rsidRPr="00DD1D42">
        <w:rPr>
          <w:rFonts w:ascii="Palatino Linotype" w:eastAsia="Palatino Linotype" w:hAnsi="Palatino Linotype" w:cs="Palatino Linotype"/>
          <w:b/>
          <w:color w:val="000000"/>
        </w:rPr>
        <w:t>ORDENA</w:t>
      </w:r>
      <w:r w:rsidRPr="00DD1D42">
        <w:rPr>
          <w:rFonts w:ascii="Palatino Linotype" w:eastAsia="Palatino Linotype" w:hAnsi="Palatino Linotype" w:cs="Palatino Linotype"/>
          <w:color w:val="000000"/>
        </w:rPr>
        <w:t xml:space="preserve"> entregar, vía Sistema de Acceso a la Información Mexiquense </w:t>
      </w:r>
      <w:r w:rsidR="006E679E" w:rsidRPr="00DD1D42">
        <w:rPr>
          <w:rFonts w:ascii="Palatino Linotype" w:eastAsia="Palatino Linotype" w:hAnsi="Palatino Linotype" w:cs="Palatino Linotype"/>
          <w:b/>
          <w:color w:val="000000"/>
        </w:rPr>
        <w:t>(SAIMEX)</w:t>
      </w:r>
      <w:r w:rsidRPr="00DD1D42">
        <w:rPr>
          <w:rFonts w:ascii="Palatino Linotype" w:eastAsia="Palatino Linotype" w:hAnsi="Palatino Linotype" w:cs="Palatino Linotype"/>
        </w:rPr>
        <w:t xml:space="preserve">, </w:t>
      </w:r>
      <w:r w:rsidR="00D2445C" w:rsidRPr="00DD1D42">
        <w:rPr>
          <w:rFonts w:ascii="Palatino Linotype" w:eastAsia="Palatino Linotype" w:hAnsi="Palatino Linotype" w:cs="Palatino Linotype"/>
        </w:rPr>
        <w:t xml:space="preserve">previa búsqueda exhaustiva y razonable, de ser el caso en versión pública, </w:t>
      </w:r>
      <w:r w:rsidRPr="00DD1D42">
        <w:rPr>
          <w:rFonts w:ascii="Palatino Linotype" w:eastAsia="Palatino Linotype" w:hAnsi="Palatino Linotype" w:cs="Palatino Linotype"/>
        </w:rPr>
        <w:t>la siguiente información</w:t>
      </w:r>
      <w:r w:rsidR="006E679E" w:rsidRPr="00DD1D42">
        <w:rPr>
          <w:rFonts w:ascii="Palatino Linotype" w:eastAsia="Palatino Linotype" w:hAnsi="Palatino Linotype" w:cs="Palatino Linotype"/>
        </w:rPr>
        <w:t>:</w:t>
      </w:r>
      <w:r w:rsidR="00675530" w:rsidRPr="00DD1D42">
        <w:rPr>
          <w:rFonts w:ascii="Palatino Linotype" w:eastAsia="Palatino Linotype" w:hAnsi="Palatino Linotype" w:cs="Palatino Linotype"/>
        </w:rPr>
        <w:tab/>
      </w:r>
    </w:p>
    <w:p w:rsidR="002B7A1B" w:rsidRPr="00DD1D42" w:rsidRDefault="002B7A1B" w:rsidP="002B7A1B">
      <w:pPr>
        <w:spacing w:line="360" w:lineRule="auto"/>
        <w:ind w:right="-787"/>
        <w:jc w:val="both"/>
        <w:rPr>
          <w:rFonts w:ascii="Palatino Linotype" w:eastAsia="Palatino Linotype" w:hAnsi="Palatino Linotype" w:cs="Palatino Linotype"/>
        </w:rPr>
      </w:pPr>
    </w:p>
    <w:p w:rsidR="000C5245" w:rsidRPr="00DD1D42" w:rsidRDefault="000C5245" w:rsidP="00AA61C9">
      <w:pPr>
        <w:pStyle w:val="Prrafodelista"/>
        <w:numPr>
          <w:ilvl w:val="0"/>
          <w:numId w:val="7"/>
        </w:numPr>
        <w:ind w:left="851" w:right="-433"/>
        <w:rPr>
          <w:rFonts w:ascii="Palatino Linotype" w:eastAsia="Palatino Linotype" w:hAnsi="Palatino Linotype" w:cs="Palatino Linotype"/>
          <w:b/>
        </w:rPr>
      </w:pPr>
      <w:r w:rsidRPr="00DD1D42">
        <w:rPr>
          <w:rFonts w:ascii="Palatino Linotype" w:eastAsia="Palatino Linotype" w:hAnsi="Palatino Linotype" w:cs="Palatino Linotype"/>
          <w:b/>
        </w:rPr>
        <w:t>Los Convenios firmados por el actual Presidente Municipal, al 13 de febrero de 2025.</w:t>
      </w:r>
    </w:p>
    <w:p w:rsidR="00D2445C" w:rsidRPr="00DD1D42" w:rsidRDefault="00D2445C" w:rsidP="000C5245">
      <w:pPr>
        <w:spacing w:line="360" w:lineRule="auto"/>
        <w:ind w:left="851" w:right="-433"/>
        <w:jc w:val="both"/>
        <w:rPr>
          <w:rFonts w:ascii="Palatino Linotype" w:eastAsia="Palatino Linotype" w:hAnsi="Palatino Linotype" w:cs="Palatino Linotype"/>
          <w:b/>
        </w:rPr>
      </w:pPr>
    </w:p>
    <w:p w:rsidR="00D2445C" w:rsidRPr="00DD1D42" w:rsidRDefault="00D2445C" w:rsidP="000C5245">
      <w:pPr>
        <w:pStyle w:val="Prrafodelista"/>
        <w:tabs>
          <w:tab w:val="left" w:pos="8080"/>
        </w:tabs>
        <w:spacing w:line="360" w:lineRule="auto"/>
        <w:ind w:left="851" w:right="-433"/>
        <w:jc w:val="both"/>
        <w:rPr>
          <w:rFonts w:ascii="Palatino Linotype" w:eastAsia="Calibri" w:hAnsi="Palatino Linotype" w:cs="Arial"/>
          <w:b/>
        </w:rPr>
      </w:pPr>
      <w:r w:rsidRPr="00DD1D42">
        <w:rPr>
          <w:rFonts w:ascii="Palatino Linotype" w:eastAsia="Calibri" w:hAnsi="Palatino Linotype" w:cs="Arial"/>
        </w:rPr>
        <w:t xml:space="preserve">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DD1D42">
        <w:rPr>
          <w:rFonts w:ascii="Palatino Linotype" w:eastAsia="Calibri" w:hAnsi="Palatino Linotype" w:cs="Arial"/>
          <w:b/>
        </w:rPr>
        <w:t>RECURRENTE.</w:t>
      </w:r>
    </w:p>
    <w:p w:rsidR="00D2445C" w:rsidRPr="00DD1D42" w:rsidRDefault="00D2445C" w:rsidP="002B7A1B">
      <w:pPr>
        <w:spacing w:line="360" w:lineRule="auto"/>
        <w:jc w:val="both"/>
        <w:rPr>
          <w:rFonts w:ascii="Palatino Linotype" w:eastAsia="Palatino Linotype" w:hAnsi="Palatino Linotype" w:cs="Palatino Linotype"/>
          <w:b/>
        </w:rPr>
      </w:pPr>
    </w:p>
    <w:p w:rsidR="002B7A1B" w:rsidRPr="00DD1D42" w:rsidRDefault="006E679E" w:rsidP="002B7A1B">
      <w:pPr>
        <w:spacing w:line="360" w:lineRule="auto"/>
        <w:ind w:right="-787"/>
        <w:jc w:val="both"/>
        <w:rPr>
          <w:rFonts w:ascii="Palatino Linotype" w:eastAsia="Palatino Linotype" w:hAnsi="Palatino Linotype" w:cs="Palatino Linotype"/>
          <w:color w:val="000000"/>
        </w:rPr>
      </w:pPr>
      <w:r w:rsidRPr="00DD1D42">
        <w:rPr>
          <w:rFonts w:ascii="Palatino Linotype" w:eastAsia="Palatino Linotype" w:hAnsi="Palatino Linotype" w:cs="Palatino Linotype"/>
          <w:b/>
        </w:rPr>
        <w:t>TERCERO</w:t>
      </w:r>
      <w:r w:rsidR="002B7A1B" w:rsidRPr="00DD1D42">
        <w:rPr>
          <w:rFonts w:ascii="Palatino Linotype" w:eastAsia="Palatino Linotype" w:hAnsi="Palatino Linotype" w:cs="Palatino Linotype"/>
          <w:b/>
        </w:rPr>
        <w:t xml:space="preserve">. </w:t>
      </w:r>
      <w:r w:rsidR="002B7A1B" w:rsidRPr="00DD1D42">
        <w:rPr>
          <w:rFonts w:ascii="Palatino Linotype" w:eastAsia="Palatino Linotype" w:hAnsi="Palatino Linotype" w:cs="Palatino Linotype"/>
          <w:b/>
          <w:color w:val="222222"/>
        </w:rPr>
        <w:t>NOTIFÍQUESE</w:t>
      </w:r>
      <w:r w:rsidR="002B7A1B" w:rsidRPr="00DD1D42">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2B7A1B" w:rsidRPr="00DD1D42">
        <w:rPr>
          <w:rFonts w:ascii="Palatino Linotype" w:eastAsia="Palatino Linotype" w:hAnsi="Palatino Linotype" w:cs="Palatino Linotype"/>
          <w:b/>
          <w:color w:val="222222"/>
        </w:rPr>
        <w:t xml:space="preserve">dé cumplimiento a lo ordenado dentro del plazo </w:t>
      </w:r>
      <w:r w:rsidR="002B7A1B" w:rsidRPr="00DD1D42">
        <w:rPr>
          <w:rFonts w:ascii="Palatino Linotype" w:eastAsia="Palatino Linotype" w:hAnsi="Palatino Linotype" w:cs="Palatino Linotype"/>
        </w:rPr>
        <w:t>de</w:t>
      </w:r>
      <w:r w:rsidR="002B7A1B" w:rsidRPr="00DD1D42">
        <w:rPr>
          <w:rFonts w:ascii="Palatino Linotype" w:eastAsia="Palatino Linotype" w:hAnsi="Palatino Linotype" w:cs="Palatino Linotype"/>
          <w:b/>
          <w:color w:val="222222"/>
        </w:rPr>
        <w:t xml:space="preserve"> diez días hábiles, </w:t>
      </w:r>
      <w:r w:rsidR="002B7A1B" w:rsidRPr="00DD1D42">
        <w:rPr>
          <w:rFonts w:ascii="Palatino Linotype" w:eastAsia="Palatino Linotype" w:hAnsi="Palatino Linotype" w:cs="Palatino Linotype"/>
          <w:color w:val="222222"/>
        </w:rPr>
        <w:t xml:space="preserve">e informe a este Instituto en un plazo de tres días hábiles siguientes sobre el </w:t>
      </w:r>
      <w:r w:rsidR="002B7A1B" w:rsidRPr="00DD1D42">
        <w:rPr>
          <w:rFonts w:ascii="Palatino Linotype" w:eastAsia="Palatino Linotype" w:hAnsi="Palatino Linotype" w:cs="Palatino Linotype"/>
          <w:color w:val="222222"/>
        </w:rPr>
        <w:lastRenderedPageBreak/>
        <w:t>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B7A1B" w:rsidRPr="00DD1D42" w:rsidRDefault="002B7A1B" w:rsidP="002B7A1B">
      <w:pPr>
        <w:spacing w:line="360" w:lineRule="auto"/>
        <w:jc w:val="both"/>
        <w:rPr>
          <w:rFonts w:ascii="Palatino Linotype" w:eastAsia="Palatino Linotype" w:hAnsi="Palatino Linotype" w:cs="Palatino Linotype"/>
        </w:rPr>
      </w:pPr>
    </w:p>
    <w:p w:rsidR="002B7A1B" w:rsidRPr="00DD1D42" w:rsidRDefault="006E679E" w:rsidP="002B7A1B">
      <w:pPr>
        <w:spacing w:line="360" w:lineRule="auto"/>
        <w:ind w:right="-787"/>
        <w:jc w:val="both"/>
        <w:rPr>
          <w:rFonts w:ascii="Palatino Linotype" w:eastAsia="Palatino Linotype" w:hAnsi="Palatino Linotype" w:cs="Palatino Linotype"/>
        </w:rPr>
      </w:pPr>
      <w:bookmarkStart w:id="9" w:name="_heading=h.3rdcrjn" w:colFirst="0" w:colLast="0"/>
      <w:bookmarkEnd w:id="9"/>
      <w:r w:rsidRPr="00DD1D42">
        <w:rPr>
          <w:rFonts w:ascii="Palatino Linotype" w:eastAsia="Palatino Linotype" w:hAnsi="Palatino Linotype" w:cs="Palatino Linotype"/>
          <w:b/>
        </w:rPr>
        <w:t>CUARTO</w:t>
      </w:r>
      <w:r w:rsidR="002B7A1B" w:rsidRPr="00DD1D42">
        <w:rPr>
          <w:rFonts w:ascii="Palatino Linotype" w:eastAsia="Palatino Linotype" w:hAnsi="Palatino Linotype" w:cs="Palatino Linotype"/>
          <w:b/>
        </w:rPr>
        <w:t xml:space="preserve">. </w:t>
      </w:r>
      <w:r w:rsidR="002B7A1B" w:rsidRPr="00DD1D4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2B7A1B" w:rsidRPr="00DD1D42">
        <w:rPr>
          <w:rFonts w:ascii="Palatino Linotype" w:eastAsia="Palatino Linotype" w:hAnsi="Palatino Linotype" w:cs="Palatino Linotype"/>
          <w:b/>
        </w:rPr>
        <w:t>SUJETO OBLIGADO</w:t>
      </w:r>
      <w:r w:rsidR="002B7A1B" w:rsidRPr="00DD1D42">
        <w:rPr>
          <w:rFonts w:ascii="Palatino Linotype" w:eastAsia="Palatino Linotype" w:hAnsi="Palatino Linotype" w:cs="Palatino Linotype"/>
        </w:rPr>
        <w:t xml:space="preserve"> de manera fundada y motivada, podrá solicitar una ampliación de plazo para el cumplimiento de la presente resolución.</w:t>
      </w:r>
    </w:p>
    <w:p w:rsidR="00177B12" w:rsidRPr="00DD1D42" w:rsidRDefault="00177B12" w:rsidP="00177B12">
      <w:pPr>
        <w:spacing w:line="360" w:lineRule="auto"/>
        <w:ind w:right="-858"/>
        <w:jc w:val="both"/>
        <w:rPr>
          <w:rFonts w:ascii="Palatino Linotype" w:eastAsiaTheme="minorHAnsi" w:hAnsi="Palatino Linotype" w:cs="Arial"/>
          <w:lang w:eastAsia="en-US"/>
        </w:rPr>
      </w:pPr>
    </w:p>
    <w:p w:rsidR="00177B12" w:rsidRPr="00DD1D42" w:rsidRDefault="006E679E" w:rsidP="00177B12">
      <w:pPr>
        <w:spacing w:line="360" w:lineRule="auto"/>
        <w:ind w:right="-858"/>
        <w:contextualSpacing/>
        <w:jc w:val="both"/>
        <w:rPr>
          <w:rFonts w:ascii="Palatino Linotype" w:hAnsi="Palatino Linotype" w:cs="Arial"/>
          <w:lang w:eastAsia="en-US"/>
        </w:rPr>
      </w:pPr>
      <w:r w:rsidRPr="00DD1D42">
        <w:rPr>
          <w:rFonts w:ascii="Palatino Linotype" w:hAnsi="Palatino Linotype" w:cs="Arial"/>
          <w:b/>
          <w:bCs/>
          <w:lang w:eastAsia="en-US"/>
        </w:rPr>
        <w:t>QUINTO</w:t>
      </w:r>
      <w:r w:rsidR="00177B12" w:rsidRPr="00DD1D42">
        <w:rPr>
          <w:rFonts w:ascii="Palatino Linotype" w:hAnsi="Palatino Linotype" w:cs="Arial"/>
          <w:b/>
          <w:bCs/>
          <w:lang w:eastAsia="en-US"/>
        </w:rPr>
        <w:t>. NOTIFÍQUESE</w:t>
      </w:r>
      <w:r w:rsidR="00177B12" w:rsidRPr="00DD1D42">
        <w:rPr>
          <w:rFonts w:ascii="Palatino Linotype" w:hAnsi="Palatino Linotype" w:cs="Arial"/>
          <w:lang w:eastAsia="en-US"/>
        </w:rPr>
        <w:t xml:space="preserve"> la presente resolución a la parte </w:t>
      </w:r>
      <w:r w:rsidR="00177B12" w:rsidRPr="00DD1D42">
        <w:rPr>
          <w:rFonts w:ascii="Palatino Linotype" w:hAnsi="Palatino Linotype" w:cs="Arial"/>
          <w:b/>
          <w:bCs/>
          <w:lang w:eastAsia="en-US"/>
        </w:rPr>
        <w:t>Recurrente</w:t>
      </w:r>
      <w:r w:rsidR="00177B12" w:rsidRPr="00DD1D42">
        <w:rPr>
          <w:rFonts w:ascii="Palatino Linotype" w:eastAsia="Calibri" w:hAnsi="Palatino Linotype"/>
          <w:lang w:eastAsia="es-MX"/>
        </w:rPr>
        <w:t xml:space="preserve"> </w:t>
      </w:r>
      <w:r w:rsidR="00177B12" w:rsidRPr="00DD1D42">
        <w:rPr>
          <w:rFonts w:ascii="Palatino Linotype" w:hAnsi="Palatino Linotype" w:cs="Arial"/>
          <w:lang w:eastAsia="en-US"/>
        </w:rPr>
        <w:t xml:space="preserve">a través del Sistema de Acceso a la Información Mexiquense </w:t>
      </w:r>
      <w:r w:rsidR="00177B12" w:rsidRPr="00DD1D42">
        <w:rPr>
          <w:rFonts w:ascii="Palatino Linotype" w:hAnsi="Palatino Linotype" w:cs="Arial"/>
          <w:b/>
          <w:bCs/>
          <w:lang w:eastAsia="en-US"/>
        </w:rPr>
        <w:t>(SAIMEX)</w:t>
      </w:r>
      <w:r w:rsidR="00177B12" w:rsidRPr="00DD1D42">
        <w:rPr>
          <w:rFonts w:ascii="Palatino Linotype" w:hAnsi="Palatino Linotype" w:cs="Arial"/>
          <w:lang w:eastAsia="en-US"/>
        </w:rPr>
        <w:t xml:space="preserve">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rsidR="000E67B2" w:rsidRPr="00DD1D42" w:rsidRDefault="000E67B2" w:rsidP="000E67B2">
      <w:pPr>
        <w:spacing w:line="360" w:lineRule="auto"/>
        <w:ind w:right="-787"/>
        <w:jc w:val="both"/>
        <w:rPr>
          <w:rFonts w:ascii="Palatino Linotype" w:eastAsia="Palatino Linotype" w:hAnsi="Palatino Linotype" w:cs="Palatino Linotype"/>
          <w:b/>
        </w:rPr>
      </w:pPr>
    </w:p>
    <w:p w:rsidR="00D30A2E" w:rsidRPr="00DD1D42" w:rsidRDefault="00965D33" w:rsidP="00D30A2E">
      <w:pPr>
        <w:spacing w:before="240" w:after="240" w:line="360" w:lineRule="auto"/>
        <w:ind w:right="-858" w:firstLine="1"/>
        <w:jc w:val="both"/>
        <w:rPr>
          <w:rFonts w:ascii="Palatino Linotype" w:hAnsi="Palatino Linotype"/>
        </w:rPr>
      </w:pPr>
      <w:bookmarkStart w:id="10" w:name="_Hlk99014733"/>
      <w:r w:rsidRPr="00DD1D42">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DIECISÉIS (16) DE JULIO DE DOS MIL VEINTICINCO, ANTE EL SECRETARIO TÉCNICO DEL PLENO </w:t>
      </w:r>
      <w:r w:rsidRPr="00DD1D42">
        <w:rPr>
          <w:rFonts w:ascii="Palatino Linotype" w:eastAsia="Times New Roman" w:hAnsi="Palatino Linotype" w:cs="Palatino Linotype"/>
          <w:color w:val="000000" w:themeColor="text1"/>
        </w:rPr>
        <w:t>ALEXIS TAPIA RAMÍREZ</w:t>
      </w:r>
      <w:r w:rsidR="00D30A2E" w:rsidRPr="00DD1D42">
        <w:rPr>
          <w:rFonts w:ascii="Palatino Linotype" w:eastAsia="Times New Roman" w:hAnsi="Palatino Linotype" w:cs="Palatino Linotype"/>
          <w:color w:val="000000" w:themeColor="text1"/>
        </w:rPr>
        <w:t>.</w:t>
      </w:r>
    </w:p>
    <w:p w:rsidR="00D30A2E" w:rsidRPr="00DD1D42" w:rsidRDefault="00D30A2E" w:rsidP="00D30A2E">
      <w:pPr>
        <w:spacing w:before="240" w:after="240" w:line="360" w:lineRule="auto"/>
        <w:ind w:firstLine="1"/>
        <w:jc w:val="both"/>
        <w:rPr>
          <w:rFonts w:ascii="Palatino Linotype" w:hAnsi="Palatino Linotype"/>
        </w:rPr>
      </w:pPr>
    </w:p>
    <w:bookmarkEnd w:id="10"/>
    <w:p w:rsidR="000E67B2" w:rsidRPr="00DD1D42" w:rsidRDefault="000E67B2" w:rsidP="000E67B2">
      <w:pPr>
        <w:spacing w:before="240" w:after="240"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jc w:val="both"/>
        <w:rPr>
          <w:rFonts w:ascii="Palatino Linotype" w:eastAsia="Palatino Linotype" w:hAnsi="Palatino Linotype" w:cs="Palatino Linotype"/>
        </w:rPr>
      </w:pPr>
    </w:p>
    <w:p w:rsidR="0072148B" w:rsidRPr="00DD1D42" w:rsidRDefault="0072148B">
      <w:pPr>
        <w:spacing w:line="360" w:lineRule="auto"/>
        <w:ind w:right="-787"/>
        <w:rPr>
          <w:rFonts w:ascii="Palatino Linotype" w:eastAsia="Palatino Linotype" w:hAnsi="Palatino Linotype" w:cs="Palatino Linotype"/>
        </w:rPr>
      </w:pPr>
    </w:p>
    <w:p w:rsidR="0072148B" w:rsidRPr="00DD1D42" w:rsidRDefault="0072148B">
      <w:pPr>
        <w:spacing w:line="360" w:lineRule="auto"/>
        <w:ind w:right="-787"/>
        <w:rPr>
          <w:rFonts w:ascii="Palatino Linotype" w:eastAsia="Palatino Linotype" w:hAnsi="Palatino Linotype" w:cs="Palatino Linotype"/>
        </w:rPr>
      </w:pPr>
    </w:p>
    <w:p w:rsidR="0072148B" w:rsidRPr="00DD1D42" w:rsidRDefault="0072148B">
      <w:pPr>
        <w:spacing w:line="360" w:lineRule="auto"/>
        <w:ind w:right="-787"/>
        <w:rPr>
          <w:rFonts w:ascii="Palatino Linotype" w:eastAsia="Palatino Linotype" w:hAnsi="Palatino Linotype" w:cs="Palatino Linotype"/>
        </w:rPr>
      </w:pPr>
    </w:p>
    <w:p w:rsidR="0072148B" w:rsidRPr="00DD1D42" w:rsidRDefault="0072148B">
      <w:pPr>
        <w:spacing w:line="360" w:lineRule="auto"/>
        <w:ind w:right="-787"/>
        <w:rPr>
          <w:rFonts w:ascii="Palatino Linotype" w:eastAsia="Palatino Linotype" w:hAnsi="Palatino Linotype" w:cs="Palatino Linotype"/>
        </w:rPr>
      </w:pPr>
    </w:p>
    <w:p w:rsidR="0072148B" w:rsidRPr="00DD1D42" w:rsidRDefault="0072148B">
      <w:pPr>
        <w:spacing w:line="360" w:lineRule="auto"/>
        <w:ind w:right="-787"/>
        <w:rPr>
          <w:rFonts w:ascii="Palatino Linotype" w:eastAsia="Palatino Linotype" w:hAnsi="Palatino Linotype" w:cs="Palatino Linotype"/>
        </w:rPr>
      </w:pPr>
    </w:p>
    <w:p w:rsidR="0072148B" w:rsidRPr="00DD1D42" w:rsidRDefault="0072148B">
      <w:pPr>
        <w:spacing w:line="360" w:lineRule="auto"/>
        <w:ind w:right="-787"/>
        <w:rPr>
          <w:rFonts w:ascii="Palatino Linotype" w:eastAsia="Palatino Linotype" w:hAnsi="Palatino Linotype" w:cs="Palatino Linotype"/>
        </w:rPr>
      </w:pPr>
    </w:p>
    <w:p w:rsidR="0072148B" w:rsidRPr="00DD1D42" w:rsidRDefault="0072148B">
      <w:pPr>
        <w:spacing w:line="360" w:lineRule="auto"/>
        <w:ind w:right="-787"/>
        <w:rPr>
          <w:rFonts w:ascii="Palatino Linotype" w:eastAsia="Palatino Linotype" w:hAnsi="Palatino Linotype" w:cs="Palatino Linotype"/>
        </w:rPr>
      </w:pPr>
    </w:p>
    <w:p w:rsidR="0072148B" w:rsidRPr="00DD1D42" w:rsidRDefault="00A077F4">
      <w:pPr>
        <w:tabs>
          <w:tab w:val="left" w:pos="3374"/>
        </w:tabs>
        <w:spacing w:line="360" w:lineRule="auto"/>
        <w:ind w:right="-787"/>
        <w:rPr>
          <w:rFonts w:ascii="Palatino Linotype" w:eastAsia="Palatino Linotype" w:hAnsi="Palatino Linotype" w:cs="Palatino Linotype"/>
        </w:rPr>
      </w:pPr>
      <w:bookmarkStart w:id="11" w:name="_heading=h.lnxbz9" w:colFirst="0" w:colLast="0"/>
      <w:bookmarkEnd w:id="11"/>
      <w:r w:rsidRPr="00DD1D42">
        <w:rPr>
          <w:rFonts w:ascii="Palatino Linotype" w:eastAsia="Palatino Linotype" w:hAnsi="Palatino Linotype" w:cs="Palatino Linotype"/>
        </w:rPr>
        <w:tab/>
      </w:r>
    </w:p>
    <w:sectPr w:rsidR="0072148B" w:rsidRPr="00DD1D42">
      <w:headerReference w:type="even" r:id="rId13"/>
      <w:headerReference w:type="default" r:id="rId14"/>
      <w:footerReference w:type="default" r:id="rId15"/>
      <w:headerReference w:type="first" r:id="rId16"/>
      <w:footerReference w:type="first" r:id="rId17"/>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D5B" w:rsidRDefault="00471D5B">
      <w:r>
        <w:separator/>
      </w:r>
    </w:p>
  </w:endnote>
  <w:endnote w:type="continuationSeparator" w:id="0">
    <w:p w:rsidR="00471D5B" w:rsidRDefault="00471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B77" w:rsidRDefault="006A0B7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D1D42">
      <w:rPr>
        <w:rFonts w:ascii="Palatino Linotype" w:eastAsia="Palatino Linotype" w:hAnsi="Palatino Linotype" w:cs="Palatino Linotype"/>
        <w:noProof/>
        <w:color w:val="000000"/>
        <w:sz w:val="20"/>
        <w:szCs w:val="20"/>
      </w:rPr>
      <w:t>28</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D1D42">
      <w:rPr>
        <w:rFonts w:ascii="Palatino Linotype" w:eastAsia="Palatino Linotype" w:hAnsi="Palatino Linotype" w:cs="Palatino Linotype"/>
        <w:noProof/>
        <w:color w:val="000000"/>
        <w:sz w:val="20"/>
        <w:szCs w:val="20"/>
      </w:rPr>
      <w:t>30</w:t>
    </w:r>
    <w:r>
      <w:rPr>
        <w:rFonts w:ascii="Palatino Linotype" w:eastAsia="Palatino Linotype" w:hAnsi="Palatino Linotype" w:cs="Palatino Linotype"/>
        <w:color w:val="000000"/>
        <w:sz w:val="20"/>
        <w:szCs w:val="20"/>
      </w:rPr>
      <w:fldChar w:fldCharType="end"/>
    </w:r>
  </w:p>
  <w:p w:rsidR="006A0B77" w:rsidRDefault="006A0B7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B77" w:rsidRDefault="006A0B7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D1D42">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D1D42">
      <w:rPr>
        <w:rFonts w:ascii="Palatino Linotype" w:eastAsia="Palatino Linotype" w:hAnsi="Palatino Linotype" w:cs="Palatino Linotype"/>
        <w:noProof/>
        <w:color w:val="000000"/>
        <w:sz w:val="20"/>
        <w:szCs w:val="20"/>
      </w:rPr>
      <w:t>31</w:t>
    </w:r>
    <w:r>
      <w:rPr>
        <w:rFonts w:ascii="Palatino Linotype" w:eastAsia="Palatino Linotype" w:hAnsi="Palatino Linotype" w:cs="Palatino Linotype"/>
        <w:color w:val="000000"/>
        <w:sz w:val="20"/>
        <w:szCs w:val="20"/>
      </w:rPr>
      <w:fldChar w:fldCharType="end"/>
    </w:r>
  </w:p>
  <w:p w:rsidR="006A0B77" w:rsidRDefault="006A0B7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D5B" w:rsidRDefault="00471D5B">
      <w:r>
        <w:separator/>
      </w:r>
    </w:p>
  </w:footnote>
  <w:footnote w:type="continuationSeparator" w:id="0">
    <w:p w:rsidR="00471D5B" w:rsidRDefault="00471D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B77" w:rsidRDefault="00471D5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7087" w:type="dxa"/>
      <w:tblInd w:w="3686" w:type="dxa"/>
      <w:tblLayout w:type="fixed"/>
      <w:tblLook w:val="0400" w:firstRow="0" w:lastRow="0" w:firstColumn="0" w:lastColumn="0" w:noHBand="0" w:noVBand="1"/>
    </w:tblPr>
    <w:tblGrid>
      <w:gridCol w:w="2835"/>
      <w:gridCol w:w="4252"/>
    </w:tblGrid>
    <w:tr w:rsidR="006A0B77" w:rsidTr="00DD1D42">
      <w:trPr>
        <w:trHeight w:val="227"/>
      </w:trPr>
      <w:tc>
        <w:tcPr>
          <w:tcW w:w="2835" w:type="dxa"/>
        </w:tcPr>
        <w:p w:rsidR="006A0B77" w:rsidRPr="00DD1D42" w:rsidRDefault="006A0B77" w:rsidP="00D23EE7">
          <w:pPr>
            <w:jc w:val="right"/>
            <w:rPr>
              <w:rFonts w:ascii="Palatino Linotype" w:eastAsia="Palatino Linotype" w:hAnsi="Palatino Linotype" w:cs="Palatino Linotype"/>
              <w:b/>
              <w:szCs w:val="22"/>
            </w:rPr>
          </w:pPr>
          <w:r w:rsidRPr="00DD1D42">
            <w:rPr>
              <w:rFonts w:ascii="Palatino Linotype" w:eastAsia="Palatino Linotype" w:hAnsi="Palatino Linotype" w:cs="Palatino Linotype"/>
              <w:b/>
              <w:szCs w:val="22"/>
            </w:rPr>
            <w:t>Recurso de Revisión:</w:t>
          </w:r>
        </w:p>
      </w:tc>
      <w:tc>
        <w:tcPr>
          <w:tcW w:w="4252" w:type="dxa"/>
        </w:tcPr>
        <w:p w:rsidR="006A0B77" w:rsidRPr="00DD1D42" w:rsidRDefault="006A0B77" w:rsidP="00D23EE7">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DD1D42">
            <w:rPr>
              <w:rFonts w:ascii="Palatino Linotype" w:eastAsia="Palatino Linotype" w:hAnsi="Palatino Linotype" w:cs="Palatino Linotype"/>
              <w:color w:val="000000"/>
              <w:szCs w:val="22"/>
            </w:rPr>
            <w:t>02738/INFOEM/IP/RR/2025</w:t>
          </w:r>
        </w:p>
      </w:tc>
    </w:tr>
    <w:tr w:rsidR="006A0B77" w:rsidTr="00DD1D42">
      <w:trPr>
        <w:trHeight w:val="342"/>
      </w:trPr>
      <w:tc>
        <w:tcPr>
          <w:tcW w:w="2835" w:type="dxa"/>
        </w:tcPr>
        <w:p w:rsidR="006A0B77" w:rsidRPr="00DD1D42" w:rsidRDefault="006A0B77" w:rsidP="00D23EE7">
          <w:pPr>
            <w:jc w:val="right"/>
            <w:rPr>
              <w:rFonts w:ascii="Palatino Linotype" w:eastAsia="Palatino Linotype" w:hAnsi="Palatino Linotype" w:cs="Palatino Linotype"/>
              <w:b/>
              <w:szCs w:val="22"/>
            </w:rPr>
          </w:pPr>
          <w:r w:rsidRPr="00DD1D42">
            <w:rPr>
              <w:rFonts w:ascii="Palatino Linotype" w:eastAsia="Palatino Linotype" w:hAnsi="Palatino Linotype" w:cs="Palatino Linotype"/>
              <w:b/>
              <w:szCs w:val="22"/>
            </w:rPr>
            <w:t>Sujeto Obligado:</w:t>
          </w:r>
        </w:p>
      </w:tc>
      <w:tc>
        <w:tcPr>
          <w:tcW w:w="4252" w:type="dxa"/>
        </w:tcPr>
        <w:p w:rsidR="006A0B77" w:rsidRPr="00DD1D42" w:rsidRDefault="006A0B77" w:rsidP="00D23EE7">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DD1D42">
            <w:rPr>
              <w:rFonts w:ascii="Palatino Linotype" w:eastAsia="Palatino Linotype" w:hAnsi="Palatino Linotype" w:cs="Palatino Linotype"/>
              <w:color w:val="000000"/>
              <w:szCs w:val="22"/>
            </w:rPr>
            <w:t>Ayuntamiento de Toluca</w:t>
          </w:r>
        </w:p>
      </w:tc>
    </w:tr>
    <w:tr w:rsidR="006A0B77" w:rsidTr="00DD1D42">
      <w:trPr>
        <w:trHeight w:val="342"/>
      </w:trPr>
      <w:tc>
        <w:tcPr>
          <w:tcW w:w="2835" w:type="dxa"/>
        </w:tcPr>
        <w:p w:rsidR="006A0B77" w:rsidRPr="00DD1D42" w:rsidRDefault="006A0B77" w:rsidP="00D23EE7">
          <w:pPr>
            <w:jc w:val="right"/>
            <w:rPr>
              <w:rFonts w:ascii="Palatino Linotype" w:eastAsia="Palatino Linotype" w:hAnsi="Palatino Linotype" w:cs="Palatino Linotype"/>
              <w:b/>
              <w:szCs w:val="22"/>
            </w:rPr>
          </w:pPr>
          <w:r w:rsidRPr="00DD1D42">
            <w:rPr>
              <w:rFonts w:ascii="Palatino Linotype" w:eastAsia="Palatino Linotype" w:hAnsi="Palatino Linotype" w:cs="Palatino Linotype"/>
              <w:b/>
              <w:szCs w:val="22"/>
            </w:rPr>
            <w:t>Comisionada Ponente:</w:t>
          </w:r>
        </w:p>
      </w:tc>
      <w:tc>
        <w:tcPr>
          <w:tcW w:w="4252" w:type="dxa"/>
        </w:tcPr>
        <w:p w:rsidR="006A0B77" w:rsidRPr="00DD1D42" w:rsidRDefault="006A0B77" w:rsidP="00D23EE7">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DD1D42">
            <w:rPr>
              <w:rFonts w:ascii="Palatino Linotype" w:eastAsia="Palatino Linotype" w:hAnsi="Palatino Linotype" w:cs="Palatino Linotype"/>
              <w:color w:val="000000"/>
              <w:szCs w:val="22"/>
            </w:rPr>
            <w:t>María del Rosario Mejía Ayala</w:t>
          </w:r>
        </w:p>
      </w:tc>
    </w:tr>
  </w:tbl>
  <w:p w:rsidR="006A0B77" w:rsidRDefault="00471D5B">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4.15pt;margin-top:-118.2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6945" w:type="dxa"/>
      <w:tblInd w:w="3828" w:type="dxa"/>
      <w:tblLayout w:type="fixed"/>
      <w:tblLook w:val="0400" w:firstRow="0" w:lastRow="0" w:firstColumn="0" w:lastColumn="0" w:noHBand="0" w:noVBand="1"/>
    </w:tblPr>
    <w:tblGrid>
      <w:gridCol w:w="2693"/>
      <w:gridCol w:w="4252"/>
    </w:tblGrid>
    <w:tr w:rsidR="006A0B77" w:rsidTr="00DD1D42">
      <w:trPr>
        <w:trHeight w:val="227"/>
      </w:trPr>
      <w:tc>
        <w:tcPr>
          <w:tcW w:w="2693" w:type="dxa"/>
        </w:tcPr>
        <w:p w:rsidR="006A0B77" w:rsidRPr="00DD1D42" w:rsidRDefault="006A0B77">
          <w:pPr>
            <w:jc w:val="right"/>
            <w:rPr>
              <w:rFonts w:ascii="Palatino Linotype" w:eastAsia="Palatino Linotype" w:hAnsi="Palatino Linotype" w:cs="Palatino Linotype"/>
              <w:b/>
              <w:szCs w:val="22"/>
            </w:rPr>
          </w:pPr>
          <w:r w:rsidRPr="00DD1D42">
            <w:rPr>
              <w:rFonts w:ascii="Palatino Linotype" w:eastAsia="Palatino Linotype" w:hAnsi="Palatino Linotype" w:cs="Palatino Linotype"/>
              <w:b/>
              <w:szCs w:val="22"/>
            </w:rPr>
            <w:t>Recurso de Revisión:</w:t>
          </w:r>
        </w:p>
      </w:tc>
      <w:tc>
        <w:tcPr>
          <w:tcW w:w="4252" w:type="dxa"/>
        </w:tcPr>
        <w:p w:rsidR="006A0B77" w:rsidRPr="00DD1D42" w:rsidRDefault="006A0B77" w:rsidP="009858A5">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DD1D42">
            <w:rPr>
              <w:rFonts w:ascii="Palatino Linotype" w:eastAsia="Palatino Linotype" w:hAnsi="Palatino Linotype" w:cs="Palatino Linotype"/>
              <w:color w:val="000000"/>
              <w:szCs w:val="22"/>
            </w:rPr>
            <w:t>02738/INFOEM/IP/RR/2025</w:t>
          </w:r>
        </w:p>
      </w:tc>
    </w:tr>
    <w:tr w:rsidR="006A0B77" w:rsidTr="00DD1D42">
      <w:trPr>
        <w:trHeight w:val="242"/>
      </w:trPr>
      <w:tc>
        <w:tcPr>
          <w:tcW w:w="2693" w:type="dxa"/>
        </w:tcPr>
        <w:p w:rsidR="006A0B77" w:rsidRPr="00DD1D42" w:rsidRDefault="006A0B77">
          <w:pPr>
            <w:jc w:val="right"/>
            <w:rPr>
              <w:rFonts w:ascii="Palatino Linotype" w:eastAsia="Palatino Linotype" w:hAnsi="Palatino Linotype" w:cs="Palatino Linotype"/>
              <w:b/>
              <w:szCs w:val="22"/>
            </w:rPr>
          </w:pPr>
          <w:r w:rsidRPr="00DD1D42">
            <w:rPr>
              <w:rFonts w:ascii="Palatino Linotype" w:eastAsia="Palatino Linotype" w:hAnsi="Palatino Linotype" w:cs="Palatino Linotype"/>
              <w:b/>
              <w:szCs w:val="22"/>
            </w:rPr>
            <w:t>Recurrente:</w:t>
          </w:r>
        </w:p>
      </w:tc>
      <w:tc>
        <w:tcPr>
          <w:tcW w:w="4252" w:type="dxa"/>
        </w:tcPr>
        <w:p w:rsidR="006A0B77" w:rsidRPr="00DD1D42" w:rsidRDefault="006A0B77">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Cs w:val="22"/>
              <w:highlight w:val="green"/>
            </w:rPr>
          </w:pPr>
        </w:p>
      </w:tc>
    </w:tr>
    <w:tr w:rsidR="006A0B77" w:rsidTr="00DD1D42">
      <w:trPr>
        <w:trHeight w:val="342"/>
      </w:trPr>
      <w:tc>
        <w:tcPr>
          <w:tcW w:w="2693" w:type="dxa"/>
        </w:tcPr>
        <w:p w:rsidR="006A0B77" w:rsidRPr="00DD1D42" w:rsidRDefault="006A0B77">
          <w:pPr>
            <w:jc w:val="right"/>
            <w:rPr>
              <w:rFonts w:ascii="Palatino Linotype" w:eastAsia="Palatino Linotype" w:hAnsi="Palatino Linotype" w:cs="Palatino Linotype"/>
              <w:b/>
              <w:szCs w:val="22"/>
            </w:rPr>
          </w:pPr>
          <w:r w:rsidRPr="00DD1D42">
            <w:rPr>
              <w:rFonts w:ascii="Palatino Linotype" w:eastAsia="Palatino Linotype" w:hAnsi="Palatino Linotype" w:cs="Palatino Linotype"/>
              <w:b/>
              <w:szCs w:val="22"/>
            </w:rPr>
            <w:t>Sujeto Obligado:</w:t>
          </w:r>
        </w:p>
      </w:tc>
      <w:tc>
        <w:tcPr>
          <w:tcW w:w="4252" w:type="dxa"/>
        </w:tcPr>
        <w:p w:rsidR="006A0B77" w:rsidRPr="00DD1D42" w:rsidRDefault="006A0B77">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DD1D42">
            <w:rPr>
              <w:rFonts w:ascii="Palatino Linotype" w:eastAsia="Palatino Linotype" w:hAnsi="Palatino Linotype" w:cs="Palatino Linotype"/>
              <w:color w:val="000000"/>
              <w:szCs w:val="22"/>
            </w:rPr>
            <w:t>Ayuntamiento de Toluca</w:t>
          </w:r>
        </w:p>
      </w:tc>
    </w:tr>
    <w:tr w:rsidR="006A0B77" w:rsidTr="00DD1D42">
      <w:trPr>
        <w:trHeight w:val="342"/>
      </w:trPr>
      <w:tc>
        <w:tcPr>
          <w:tcW w:w="2693" w:type="dxa"/>
        </w:tcPr>
        <w:p w:rsidR="006A0B77" w:rsidRPr="00DD1D42" w:rsidRDefault="006A0B77">
          <w:pPr>
            <w:jc w:val="right"/>
            <w:rPr>
              <w:rFonts w:ascii="Palatino Linotype" w:eastAsia="Palatino Linotype" w:hAnsi="Palatino Linotype" w:cs="Palatino Linotype"/>
              <w:b/>
              <w:szCs w:val="22"/>
            </w:rPr>
          </w:pPr>
          <w:r w:rsidRPr="00DD1D42">
            <w:rPr>
              <w:rFonts w:ascii="Palatino Linotype" w:eastAsia="Palatino Linotype" w:hAnsi="Palatino Linotype" w:cs="Palatino Linotype"/>
              <w:b/>
              <w:szCs w:val="22"/>
            </w:rPr>
            <w:t>Comisionada Ponente:</w:t>
          </w:r>
        </w:p>
      </w:tc>
      <w:tc>
        <w:tcPr>
          <w:tcW w:w="4252" w:type="dxa"/>
        </w:tcPr>
        <w:p w:rsidR="006A0B77" w:rsidRPr="00DD1D42" w:rsidRDefault="006A0B77">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DD1D42">
            <w:rPr>
              <w:rFonts w:ascii="Palatino Linotype" w:eastAsia="Palatino Linotype" w:hAnsi="Palatino Linotype" w:cs="Palatino Linotype"/>
              <w:color w:val="000000"/>
              <w:szCs w:val="22"/>
            </w:rPr>
            <w:t>María del Rosario Mejía Ayala</w:t>
          </w:r>
        </w:p>
      </w:tc>
    </w:tr>
  </w:tbl>
  <w:p w:rsidR="006A0B77" w:rsidRDefault="00471D5B">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240CB"/>
    <w:multiLevelType w:val="hybridMultilevel"/>
    <w:tmpl w:val="93966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CB7B8D"/>
    <w:multiLevelType w:val="hybridMultilevel"/>
    <w:tmpl w:val="3D2A01F8"/>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3F28301D"/>
    <w:multiLevelType w:val="hybridMultilevel"/>
    <w:tmpl w:val="3D2A01F8"/>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4DDB0696"/>
    <w:multiLevelType w:val="multilevel"/>
    <w:tmpl w:val="93F0CB9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4" w15:restartNumberingAfterBreak="0">
    <w:nsid w:val="54AE63F6"/>
    <w:multiLevelType w:val="multilevel"/>
    <w:tmpl w:val="363E5CA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55EA367F"/>
    <w:multiLevelType w:val="multilevel"/>
    <w:tmpl w:val="E68C3B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206DD8"/>
    <w:multiLevelType w:val="hybridMultilevel"/>
    <w:tmpl w:val="A2AAD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BE099A"/>
    <w:multiLevelType w:val="multilevel"/>
    <w:tmpl w:val="FD4250DA"/>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C435A25"/>
    <w:multiLevelType w:val="multilevel"/>
    <w:tmpl w:val="72C0BA60"/>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8"/>
  </w:num>
  <w:num w:numId="3">
    <w:abstractNumId w:val="4"/>
  </w:num>
  <w:num w:numId="4">
    <w:abstractNumId w:val="7"/>
  </w:num>
  <w:num w:numId="5">
    <w:abstractNumId w:val="5"/>
  </w:num>
  <w:num w:numId="6">
    <w:abstractNumId w:val="2"/>
  </w:num>
  <w:num w:numId="7">
    <w:abstractNumId w:val="1"/>
  </w:num>
  <w:num w:numId="8">
    <w:abstractNumId w:val="6"/>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48B"/>
    <w:rsid w:val="00003DD9"/>
    <w:rsid w:val="00023F89"/>
    <w:rsid w:val="00024F93"/>
    <w:rsid w:val="00036F07"/>
    <w:rsid w:val="00037080"/>
    <w:rsid w:val="00037694"/>
    <w:rsid w:val="00043971"/>
    <w:rsid w:val="00062045"/>
    <w:rsid w:val="00062444"/>
    <w:rsid w:val="00070275"/>
    <w:rsid w:val="00070E1F"/>
    <w:rsid w:val="00071483"/>
    <w:rsid w:val="000746C9"/>
    <w:rsid w:val="00077434"/>
    <w:rsid w:val="000779D3"/>
    <w:rsid w:val="00084793"/>
    <w:rsid w:val="00092937"/>
    <w:rsid w:val="000930BF"/>
    <w:rsid w:val="000A0F74"/>
    <w:rsid w:val="000A61EB"/>
    <w:rsid w:val="000B5E74"/>
    <w:rsid w:val="000B756F"/>
    <w:rsid w:val="000C5245"/>
    <w:rsid w:val="000D3698"/>
    <w:rsid w:val="000D4D94"/>
    <w:rsid w:val="000D50F3"/>
    <w:rsid w:val="000E2661"/>
    <w:rsid w:val="000E36B6"/>
    <w:rsid w:val="000E67B2"/>
    <w:rsid w:val="000E6B02"/>
    <w:rsid w:val="000F113E"/>
    <w:rsid w:val="000F1D57"/>
    <w:rsid w:val="000F6F52"/>
    <w:rsid w:val="00102F1F"/>
    <w:rsid w:val="00106553"/>
    <w:rsid w:val="0012052F"/>
    <w:rsid w:val="00127517"/>
    <w:rsid w:val="00133E64"/>
    <w:rsid w:val="00135433"/>
    <w:rsid w:val="00146910"/>
    <w:rsid w:val="00146A65"/>
    <w:rsid w:val="00161EAC"/>
    <w:rsid w:val="00172272"/>
    <w:rsid w:val="001765AF"/>
    <w:rsid w:val="00177B12"/>
    <w:rsid w:val="00181C24"/>
    <w:rsid w:val="001834E9"/>
    <w:rsid w:val="00186184"/>
    <w:rsid w:val="001863AD"/>
    <w:rsid w:val="00186FCA"/>
    <w:rsid w:val="00192B2A"/>
    <w:rsid w:val="001961CD"/>
    <w:rsid w:val="00196AA0"/>
    <w:rsid w:val="00196D9E"/>
    <w:rsid w:val="00196E7B"/>
    <w:rsid w:val="001A030B"/>
    <w:rsid w:val="001A6DF5"/>
    <w:rsid w:val="001A78A1"/>
    <w:rsid w:val="001B1A41"/>
    <w:rsid w:val="001B631F"/>
    <w:rsid w:val="001C0342"/>
    <w:rsid w:val="001C3FA6"/>
    <w:rsid w:val="001C5729"/>
    <w:rsid w:val="001D3B8D"/>
    <w:rsid w:val="001D457E"/>
    <w:rsid w:val="001D6B14"/>
    <w:rsid w:val="001E2CB9"/>
    <w:rsid w:val="001F159B"/>
    <w:rsid w:val="00201F7E"/>
    <w:rsid w:val="00205368"/>
    <w:rsid w:val="002061C6"/>
    <w:rsid w:val="00207157"/>
    <w:rsid w:val="002109CD"/>
    <w:rsid w:val="002148D1"/>
    <w:rsid w:val="00214CB0"/>
    <w:rsid w:val="00216DCC"/>
    <w:rsid w:val="00222647"/>
    <w:rsid w:val="00223B24"/>
    <w:rsid w:val="00250902"/>
    <w:rsid w:val="002510AE"/>
    <w:rsid w:val="002629BB"/>
    <w:rsid w:val="00262AEA"/>
    <w:rsid w:val="002637A1"/>
    <w:rsid w:val="00270929"/>
    <w:rsid w:val="0027567B"/>
    <w:rsid w:val="0028403B"/>
    <w:rsid w:val="00284285"/>
    <w:rsid w:val="002859D5"/>
    <w:rsid w:val="002907AD"/>
    <w:rsid w:val="00296C6B"/>
    <w:rsid w:val="00297A5F"/>
    <w:rsid w:val="002A534D"/>
    <w:rsid w:val="002B3B48"/>
    <w:rsid w:val="002B664B"/>
    <w:rsid w:val="002B7A1B"/>
    <w:rsid w:val="002C4BEC"/>
    <w:rsid w:val="002F1E23"/>
    <w:rsid w:val="00301118"/>
    <w:rsid w:val="0031031B"/>
    <w:rsid w:val="00320425"/>
    <w:rsid w:val="0032392F"/>
    <w:rsid w:val="0033057E"/>
    <w:rsid w:val="00331DE1"/>
    <w:rsid w:val="0033402D"/>
    <w:rsid w:val="003400CB"/>
    <w:rsid w:val="003410F3"/>
    <w:rsid w:val="00343DB0"/>
    <w:rsid w:val="00347601"/>
    <w:rsid w:val="00351275"/>
    <w:rsid w:val="00355634"/>
    <w:rsid w:val="0036122E"/>
    <w:rsid w:val="00361441"/>
    <w:rsid w:val="003644DE"/>
    <w:rsid w:val="00367B8C"/>
    <w:rsid w:val="00380D59"/>
    <w:rsid w:val="00385C23"/>
    <w:rsid w:val="003948C1"/>
    <w:rsid w:val="00396E02"/>
    <w:rsid w:val="003A2338"/>
    <w:rsid w:val="003A3C35"/>
    <w:rsid w:val="003A3F37"/>
    <w:rsid w:val="003A61B2"/>
    <w:rsid w:val="003A7307"/>
    <w:rsid w:val="003B2862"/>
    <w:rsid w:val="003B4C8D"/>
    <w:rsid w:val="003B699F"/>
    <w:rsid w:val="003C44EF"/>
    <w:rsid w:val="003C51F5"/>
    <w:rsid w:val="003D0E31"/>
    <w:rsid w:val="003D2D85"/>
    <w:rsid w:val="003D691E"/>
    <w:rsid w:val="003D6A3E"/>
    <w:rsid w:val="003D6D16"/>
    <w:rsid w:val="003E0A43"/>
    <w:rsid w:val="003E1C35"/>
    <w:rsid w:val="003E2B2A"/>
    <w:rsid w:val="003E4B8C"/>
    <w:rsid w:val="003E664D"/>
    <w:rsid w:val="003E6CA4"/>
    <w:rsid w:val="003F3AC4"/>
    <w:rsid w:val="003F56B1"/>
    <w:rsid w:val="00406CBB"/>
    <w:rsid w:val="004216D4"/>
    <w:rsid w:val="00425B35"/>
    <w:rsid w:val="00433AE6"/>
    <w:rsid w:val="00434435"/>
    <w:rsid w:val="00434659"/>
    <w:rsid w:val="00434E54"/>
    <w:rsid w:val="00442770"/>
    <w:rsid w:val="00450E28"/>
    <w:rsid w:val="00451CF4"/>
    <w:rsid w:val="00453D56"/>
    <w:rsid w:val="00454070"/>
    <w:rsid w:val="00455525"/>
    <w:rsid w:val="00457703"/>
    <w:rsid w:val="004602F0"/>
    <w:rsid w:val="00463EAE"/>
    <w:rsid w:val="0046784D"/>
    <w:rsid w:val="00471C55"/>
    <w:rsid w:val="00471D5B"/>
    <w:rsid w:val="00481C72"/>
    <w:rsid w:val="00481FAC"/>
    <w:rsid w:val="0048201A"/>
    <w:rsid w:val="00491452"/>
    <w:rsid w:val="004927E8"/>
    <w:rsid w:val="00492829"/>
    <w:rsid w:val="0049478E"/>
    <w:rsid w:val="00497FA0"/>
    <w:rsid w:val="004A4399"/>
    <w:rsid w:val="004C1A1A"/>
    <w:rsid w:val="004C5179"/>
    <w:rsid w:val="004D0388"/>
    <w:rsid w:val="004D4FA6"/>
    <w:rsid w:val="004D7CEC"/>
    <w:rsid w:val="004E0AFD"/>
    <w:rsid w:val="004E302F"/>
    <w:rsid w:val="004E627A"/>
    <w:rsid w:val="004F1783"/>
    <w:rsid w:val="00526EF7"/>
    <w:rsid w:val="00543175"/>
    <w:rsid w:val="005449F3"/>
    <w:rsid w:val="005473F4"/>
    <w:rsid w:val="0054767D"/>
    <w:rsid w:val="005519B5"/>
    <w:rsid w:val="005565B6"/>
    <w:rsid w:val="00562370"/>
    <w:rsid w:val="00563F40"/>
    <w:rsid w:val="0056710D"/>
    <w:rsid w:val="005818AD"/>
    <w:rsid w:val="005828AB"/>
    <w:rsid w:val="00596DC5"/>
    <w:rsid w:val="005A26DE"/>
    <w:rsid w:val="005A3070"/>
    <w:rsid w:val="005A367B"/>
    <w:rsid w:val="005A4ED2"/>
    <w:rsid w:val="005B0BCD"/>
    <w:rsid w:val="005B371F"/>
    <w:rsid w:val="005B56CD"/>
    <w:rsid w:val="005C4221"/>
    <w:rsid w:val="005C572F"/>
    <w:rsid w:val="005C5F52"/>
    <w:rsid w:val="005C6920"/>
    <w:rsid w:val="005D320F"/>
    <w:rsid w:val="005D7D28"/>
    <w:rsid w:val="005E58C9"/>
    <w:rsid w:val="005F7245"/>
    <w:rsid w:val="00602109"/>
    <w:rsid w:val="006023DE"/>
    <w:rsid w:val="00604A69"/>
    <w:rsid w:val="00620E99"/>
    <w:rsid w:val="00636A4F"/>
    <w:rsid w:val="00637C01"/>
    <w:rsid w:val="0065634A"/>
    <w:rsid w:val="00657958"/>
    <w:rsid w:val="00657988"/>
    <w:rsid w:val="0066225D"/>
    <w:rsid w:val="006664EC"/>
    <w:rsid w:val="00667B7C"/>
    <w:rsid w:val="00667C8E"/>
    <w:rsid w:val="00670285"/>
    <w:rsid w:val="006736CE"/>
    <w:rsid w:val="00675530"/>
    <w:rsid w:val="00676494"/>
    <w:rsid w:val="006816FB"/>
    <w:rsid w:val="00691E11"/>
    <w:rsid w:val="00696CCE"/>
    <w:rsid w:val="00697A47"/>
    <w:rsid w:val="006A0B77"/>
    <w:rsid w:val="006A129D"/>
    <w:rsid w:val="006A7954"/>
    <w:rsid w:val="006B0D8F"/>
    <w:rsid w:val="006B1694"/>
    <w:rsid w:val="006B652E"/>
    <w:rsid w:val="006C4541"/>
    <w:rsid w:val="006C4A35"/>
    <w:rsid w:val="006C72E8"/>
    <w:rsid w:val="006D1845"/>
    <w:rsid w:val="006D6E88"/>
    <w:rsid w:val="006E295A"/>
    <w:rsid w:val="006E390C"/>
    <w:rsid w:val="006E679E"/>
    <w:rsid w:val="006E7A01"/>
    <w:rsid w:val="006F49D1"/>
    <w:rsid w:val="00700C65"/>
    <w:rsid w:val="007075EE"/>
    <w:rsid w:val="00711A66"/>
    <w:rsid w:val="00720581"/>
    <w:rsid w:val="0072148B"/>
    <w:rsid w:val="007266C3"/>
    <w:rsid w:val="00730E91"/>
    <w:rsid w:val="00734D78"/>
    <w:rsid w:val="00737C44"/>
    <w:rsid w:val="007406BD"/>
    <w:rsid w:val="00742100"/>
    <w:rsid w:val="00746978"/>
    <w:rsid w:val="007469B8"/>
    <w:rsid w:val="00747BDB"/>
    <w:rsid w:val="00751BDC"/>
    <w:rsid w:val="00764743"/>
    <w:rsid w:val="00764DF2"/>
    <w:rsid w:val="00770DF7"/>
    <w:rsid w:val="007715D9"/>
    <w:rsid w:val="00773CFF"/>
    <w:rsid w:val="00774D62"/>
    <w:rsid w:val="00776874"/>
    <w:rsid w:val="00777FC2"/>
    <w:rsid w:val="0078439A"/>
    <w:rsid w:val="00790CE8"/>
    <w:rsid w:val="00790F20"/>
    <w:rsid w:val="00792580"/>
    <w:rsid w:val="00796D30"/>
    <w:rsid w:val="0079778B"/>
    <w:rsid w:val="007A5006"/>
    <w:rsid w:val="007A5102"/>
    <w:rsid w:val="007B0ABA"/>
    <w:rsid w:val="007B0C35"/>
    <w:rsid w:val="007B4AEA"/>
    <w:rsid w:val="007B6C06"/>
    <w:rsid w:val="007B7C68"/>
    <w:rsid w:val="007C2BD4"/>
    <w:rsid w:val="007D083D"/>
    <w:rsid w:val="007D7476"/>
    <w:rsid w:val="007E27AA"/>
    <w:rsid w:val="007E48A5"/>
    <w:rsid w:val="007F1CC8"/>
    <w:rsid w:val="007F61D8"/>
    <w:rsid w:val="007F7250"/>
    <w:rsid w:val="008016DD"/>
    <w:rsid w:val="00802549"/>
    <w:rsid w:val="00805D21"/>
    <w:rsid w:val="00811CF8"/>
    <w:rsid w:val="00816B3B"/>
    <w:rsid w:val="00817B76"/>
    <w:rsid w:val="008238A5"/>
    <w:rsid w:val="0082506A"/>
    <w:rsid w:val="00825153"/>
    <w:rsid w:val="00835ACA"/>
    <w:rsid w:val="0084133A"/>
    <w:rsid w:val="00846A61"/>
    <w:rsid w:val="00847C3A"/>
    <w:rsid w:val="0085755E"/>
    <w:rsid w:val="00870C33"/>
    <w:rsid w:val="00891202"/>
    <w:rsid w:val="00892A5C"/>
    <w:rsid w:val="00893AEB"/>
    <w:rsid w:val="00895953"/>
    <w:rsid w:val="008A2D0D"/>
    <w:rsid w:val="008A3E7E"/>
    <w:rsid w:val="008A643F"/>
    <w:rsid w:val="008B2146"/>
    <w:rsid w:val="008B4EF7"/>
    <w:rsid w:val="008B7800"/>
    <w:rsid w:val="008C6196"/>
    <w:rsid w:val="008C6FAC"/>
    <w:rsid w:val="008C7F02"/>
    <w:rsid w:val="008D12E0"/>
    <w:rsid w:val="008D298D"/>
    <w:rsid w:val="008D7999"/>
    <w:rsid w:val="008D7A23"/>
    <w:rsid w:val="008E58F8"/>
    <w:rsid w:val="008E7B4E"/>
    <w:rsid w:val="008F19B5"/>
    <w:rsid w:val="008F4572"/>
    <w:rsid w:val="008F4A76"/>
    <w:rsid w:val="009100D1"/>
    <w:rsid w:val="009150A4"/>
    <w:rsid w:val="00923ACC"/>
    <w:rsid w:val="00923D1F"/>
    <w:rsid w:val="009314EF"/>
    <w:rsid w:val="00931ADB"/>
    <w:rsid w:val="00932B26"/>
    <w:rsid w:val="00936FC3"/>
    <w:rsid w:val="009628A8"/>
    <w:rsid w:val="0096318D"/>
    <w:rsid w:val="009643B5"/>
    <w:rsid w:val="00964BCE"/>
    <w:rsid w:val="00965D33"/>
    <w:rsid w:val="00973601"/>
    <w:rsid w:val="00975EDC"/>
    <w:rsid w:val="00983729"/>
    <w:rsid w:val="009845A2"/>
    <w:rsid w:val="009858A5"/>
    <w:rsid w:val="00993617"/>
    <w:rsid w:val="0099608C"/>
    <w:rsid w:val="009965CB"/>
    <w:rsid w:val="009A0BC3"/>
    <w:rsid w:val="009A6040"/>
    <w:rsid w:val="009B18E2"/>
    <w:rsid w:val="009B2185"/>
    <w:rsid w:val="009C00EF"/>
    <w:rsid w:val="009C3266"/>
    <w:rsid w:val="009E7A2A"/>
    <w:rsid w:val="009F0BEC"/>
    <w:rsid w:val="009F1F9E"/>
    <w:rsid w:val="009F2579"/>
    <w:rsid w:val="009F2820"/>
    <w:rsid w:val="009F74E4"/>
    <w:rsid w:val="00A014FA"/>
    <w:rsid w:val="00A06C8F"/>
    <w:rsid w:val="00A077F4"/>
    <w:rsid w:val="00A07A67"/>
    <w:rsid w:val="00A10108"/>
    <w:rsid w:val="00A10ACB"/>
    <w:rsid w:val="00A14B95"/>
    <w:rsid w:val="00A151BF"/>
    <w:rsid w:val="00A20CDE"/>
    <w:rsid w:val="00A26CE8"/>
    <w:rsid w:val="00A27E7A"/>
    <w:rsid w:val="00A42B65"/>
    <w:rsid w:val="00A47D60"/>
    <w:rsid w:val="00A51761"/>
    <w:rsid w:val="00A51835"/>
    <w:rsid w:val="00A57814"/>
    <w:rsid w:val="00A674EF"/>
    <w:rsid w:val="00A70E02"/>
    <w:rsid w:val="00A73069"/>
    <w:rsid w:val="00A76E9C"/>
    <w:rsid w:val="00A80919"/>
    <w:rsid w:val="00A84063"/>
    <w:rsid w:val="00A90A2C"/>
    <w:rsid w:val="00AA194B"/>
    <w:rsid w:val="00AA39AE"/>
    <w:rsid w:val="00AA61C9"/>
    <w:rsid w:val="00AB1E49"/>
    <w:rsid w:val="00AB4BC1"/>
    <w:rsid w:val="00AB5259"/>
    <w:rsid w:val="00AB68A4"/>
    <w:rsid w:val="00AB71E5"/>
    <w:rsid w:val="00AC0B18"/>
    <w:rsid w:val="00AC39E5"/>
    <w:rsid w:val="00AD29E4"/>
    <w:rsid w:val="00AE0F0F"/>
    <w:rsid w:val="00AF7688"/>
    <w:rsid w:val="00B00835"/>
    <w:rsid w:val="00B00D79"/>
    <w:rsid w:val="00B01DBC"/>
    <w:rsid w:val="00B029E8"/>
    <w:rsid w:val="00B04D23"/>
    <w:rsid w:val="00B0554B"/>
    <w:rsid w:val="00B10009"/>
    <w:rsid w:val="00B109AA"/>
    <w:rsid w:val="00B17B2F"/>
    <w:rsid w:val="00B24FDD"/>
    <w:rsid w:val="00B2612A"/>
    <w:rsid w:val="00B2791E"/>
    <w:rsid w:val="00B313B7"/>
    <w:rsid w:val="00B344DA"/>
    <w:rsid w:val="00B470BA"/>
    <w:rsid w:val="00B51087"/>
    <w:rsid w:val="00B626FF"/>
    <w:rsid w:val="00B6308B"/>
    <w:rsid w:val="00B65F2F"/>
    <w:rsid w:val="00B6629A"/>
    <w:rsid w:val="00B70D04"/>
    <w:rsid w:val="00B8552F"/>
    <w:rsid w:val="00B87828"/>
    <w:rsid w:val="00B90077"/>
    <w:rsid w:val="00B95873"/>
    <w:rsid w:val="00BA5045"/>
    <w:rsid w:val="00BA7C15"/>
    <w:rsid w:val="00BB0B24"/>
    <w:rsid w:val="00BC0C17"/>
    <w:rsid w:val="00BC0CD7"/>
    <w:rsid w:val="00BC669B"/>
    <w:rsid w:val="00BD021C"/>
    <w:rsid w:val="00BE02BC"/>
    <w:rsid w:val="00BE4972"/>
    <w:rsid w:val="00BE61BC"/>
    <w:rsid w:val="00BF0FD6"/>
    <w:rsid w:val="00C0184D"/>
    <w:rsid w:val="00C05D52"/>
    <w:rsid w:val="00C1016B"/>
    <w:rsid w:val="00C17AAF"/>
    <w:rsid w:val="00C23E07"/>
    <w:rsid w:val="00C26DB4"/>
    <w:rsid w:val="00C338BE"/>
    <w:rsid w:val="00C40725"/>
    <w:rsid w:val="00C41029"/>
    <w:rsid w:val="00C41343"/>
    <w:rsid w:val="00C4426F"/>
    <w:rsid w:val="00C461B3"/>
    <w:rsid w:val="00C4747A"/>
    <w:rsid w:val="00C4759D"/>
    <w:rsid w:val="00C51275"/>
    <w:rsid w:val="00C5331D"/>
    <w:rsid w:val="00C54F37"/>
    <w:rsid w:val="00C56704"/>
    <w:rsid w:val="00C65E7F"/>
    <w:rsid w:val="00C7556E"/>
    <w:rsid w:val="00C84B99"/>
    <w:rsid w:val="00C93740"/>
    <w:rsid w:val="00CC4FCD"/>
    <w:rsid w:val="00CC75D5"/>
    <w:rsid w:val="00CD26C9"/>
    <w:rsid w:val="00CD3D3E"/>
    <w:rsid w:val="00CD7976"/>
    <w:rsid w:val="00CE2DDA"/>
    <w:rsid w:val="00CE719F"/>
    <w:rsid w:val="00CF0E68"/>
    <w:rsid w:val="00CF270D"/>
    <w:rsid w:val="00D03862"/>
    <w:rsid w:val="00D0590D"/>
    <w:rsid w:val="00D11C04"/>
    <w:rsid w:val="00D23EE7"/>
    <w:rsid w:val="00D2445C"/>
    <w:rsid w:val="00D30A12"/>
    <w:rsid w:val="00D30A2E"/>
    <w:rsid w:val="00D42289"/>
    <w:rsid w:val="00D46174"/>
    <w:rsid w:val="00D47A7F"/>
    <w:rsid w:val="00D50CF8"/>
    <w:rsid w:val="00D51BED"/>
    <w:rsid w:val="00D533FA"/>
    <w:rsid w:val="00D57868"/>
    <w:rsid w:val="00D61638"/>
    <w:rsid w:val="00D61F2E"/>
    <w:rsid w:val="00D650A9"/>
    <w:rsid w:val="00D677EA"/>
    <w:rsid w:val="00D72719"/>
    <w:rsid w:val="00D85006"/>
    <w:rsid w:val="00DA2545"/>
    <w:rsid w:val="00DA42B1"/>
    <w:rsid w:val="00DB09D6"/>
    <w:rsid w:val="00DC2361"/>
    <w:rsid w:val="00DC7996"/>
    <w:rsid w:val="00DD1D42"/>
    <w:rsid w:val="00DD463E"/>
    <w:rsid w:val="00DF0D6F"/>
    <w:rsid w:val="00DF3E1F"/>
    <w:rsid w:val="00E031A9"/>
    <w:rsid w:val="00E06511"/>
    <w:rsid w:val="00E10CC5"/>
    <w:rsid w:val="00E165F4"/>
    <w:rsid w:val="00E216B6"/>
    <w:rsid w:val="00E2183F"/>
    <w:rsid w:val="00E222E3"/>
    <w:rsid w:val="00E24CA2"/>
    <w:rsid w:val="00E30A06"/>
    <w:rsid w:val="00E44A9E"/>
    <w:rsid w:val="00E5636D"/>
    <w:rsid w:val="00E62CF4"/>
    <w:rsid w:val="00E7220B"/>
    <w:rsid w:val="00E775D3"/>
    <w:rsid w:val="00E77884"/>
    <w:rsid w:val="00E832FF"/>
    <w:rsid w:val="00E871B6"/>
    <w:rsid w:val="00E87D3E"/>
    <w:rsid w:val="00E91B7B"/>
    <w:rsid w:val="00E933B9"/>
    <w:rsid w:val="00EA5953"/>
    <w:rsid w:val="00EC5C49"/>
    <w:rsid w:val="00ED4A10"/>
    <w:rsid w:val="00ED51BB"/>
    <w:rsid w:val="00EE1146"/>
    <w:rsid w:val="00EE75AA"/>
    <w:rsid w:val="00EF110B"/>
    <w:rsid w:val="00EF430C"/>
    <w:rsid w:val="00F01203"/>
    <w:rsid w:val="00F052AF"/>
    <w:rsid w:val="00F11E00"/>
    <w:rsid w:val="00F124E2"/>
    <w:rsid w:val="00F26E84"/>
    <w:rsid w:val="00F27EE0"/>
    <w:rsid w:val="00F35035"/>
    <w:rsid w:val="00F37DE2"/>
    <w:rsid w:val="00F43CFE"/>
    <w:rsid w:val="00F560FB"/>
    <w:rsid w:val="00F63D02"/>
    <w:rsid w:val="00F66203"/>
    <w:rsid w:val="00F75447"/>
    <w:rsid w:val="00F85306"/>
    <w:rsid w:val="00F91042"/>
    <w:rsid w:val="00F92AD0"/>
    <w:rsid w:val="00F94EC6"/>
    <w:rsid w:val="00FA533D"/>
    <w:rsid w:val="00FB4887"/>
    <w:rsid w:val="00FB50A1"/>
    <w:rsid w:val="00FB778E"/>
    <w:rsid w:val="00FC0B1F"/>
    <w:rsid w:val="00FC0C33"/>
    <w:rsid w:val="00FC17E4"/>
    <w:rsid w:val="00FC2A51"/>
    <w:rsid w:val="00FC679B"/>
    <w:rsid w:val="00FC70E7"/>
    <w:rsid w:val="00FD141C"/>
    <w:rsid w:val="00FD5BA7"/>
    <w:rsid w:val="00FE3BF2"/>
    <w:rsid w:val="00FE3CEA"/>
    <w:rsid w:val="00FE7701"/>
    <w:rsid w:val="00FF32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7108E3B-DCDF-436C-A5E3-2B995D29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4"/>
      </w:numPr>
      <w:contextualSpacing/>
    </w:pPr>
    <w:rPr>
      <w:rFonts w:ascii="Times New Roman" w:eastAsia="Times New Roman" w:hAnsi="Times New Roman" w:cs="Times New Roman"/>
      <w:sz w:val="20"/>
      <w:szCs w:val="20"/>
    </w:r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eastAsia="es-MX"/>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79523">
      <w:bodyDiv w:val="1"/>
      <w:marLeft w:val="0"/>
      <w:marRight w:val="0"/>
      <w:marTop w:val="0"/>
      <w:marBottom w:val="0"/>
      <w:divBdr>
        <w:top w:val="none" w:sz="0" w:space="0" w:color="auto"/>
        <w:left w:val="none" w:sz="0" w:space="0" w:color="auto"/>
        <w:bottom w:val="none" w:sz="0" w:space="0" w:color="auto"/>
        <w:right w:val="none" w:sz="0" w:space="0" w:color="auto"/>
      </w:divBdr>
    </w:div>
    <w:div w:id="64180819">
      <w:bodyDiv w:val="1"/>
      <w:marLeft w:val="0"/>
      <w:marRight w:val="0"/>
      <w:marTop w:val="0"/>
      <w:marBottom w:val="0"/>
      <w:divBdr>
        <w:top w:val="none" w:sz="0" w:space="0" w:color="auto"/>
        <w:left w:val="none" w:sz="0" w:space="0" w:color="auto"/>
        <w:bottom w:val="none" w:sz="0" w:space="0" w:color="auto"/>
        <w:right w:val="none" w:sz="0" w:space="0" w:color="auto"/>
      </w:divBdr>
    </w:div>
    <w:div w:id="80419268">
      <w:bodyDiv w:val="1"/>
      <w:marLeft w:val="0"/>
      <w:marRight w:val="0"/>
      <w:marTop w:val="0"/>
      <w:marBottom w:val="0"/>
      <w:divBdr>
        <w:top w:val="none" w:sz="0" w:space="0" w:color="auto"/>
        <w:left w:val="none" w:sz="0" w:space="0" w:color="auto"/>
        <w:bottom w:val="none" w:sz="0" w:space="0" w:color="auto"/>
        <w:right w:val="none" w:sz="0" w:space="0" w:color="auto"/>
      </w:divBdr>
    </w:div>
    <w:div w:id="123819763">
      <w:bodyDiv w:val="1"/>
      <w:marLeft w:val="0"/>
      <w:marRight w:val="0"/>
      <w:marTop w:val="0"/>
      <w:marBottom w:val="0"/>
      <w:divBdr>
        <w:top w:val="none" w:sz="0" w:space="0" w:color="auto"/>
        <w:left w:val="none" w:sz="0" w:space="0" w:color="auto"/>
        <w:bottom w:val="none" w:sz="0" w:space="0" w:color="auto"/>
        <w:right w:val="none" w:sz="0" w:space="0" w:color="auto"/>
      </w:divBdr>
    </w:div>
    <w:div w:id="168832834">
      <w:bodyDiv w:val="1"/>
      <w:marLeft w:val="0"/>
      <w:marRight w:val="0"/>
      <w:marTop w:val="0"/>
      <w:marBottom w:val="0"/>
      <w:divBdr>
        <w:top w:val="none" w:sz="0" w:space="0" w:color="auto"/>
        <w:left w:val="none" w:sz="0" w:space="0" w:color="auto"/>
        <w:bottom w:val="none" w:sz="0" w:space="0" w:color="auto"/>
        <w:right w:val="none" w:sz="0" w:space="0" w:color="auto"/>
      </w:divBdr>
    </w:div>
    <w:div w:id="293944764">
      <w:bodyDiv w:val="1"/>
      <w:marLeft w:val="0"/>
      <w:marRight w:val="0"/>
      <w:marTop w:val="0"/>
      <w:marBottom w:val="0"/>
      <w:divBdr>
        <w:top w:val="none" w:sz="0" w:space="0" w:color="auto"/>
        <w:left w:val="none" w:sz="0" w:space="0" w:color="auto"/>
        <w:bottom w:val="none" w:sz="0" w:space="0" w:color="auto"/>
        <w:right w:val="none" w:sz="0" w:space="0" w:color="auto"/>
      </w:divBdr>
    </w:div>
    <w:div w:id="310327572">
      <w:bodyDiv w:val="1"/>
      <w:marLeft w:val="0"/>
      <w:marRight w:val="0"/>
      <w:marTop w:val="0"/>
      <w:marBottom w:val="0"/>
      <w:divBdr>
        <w:top w:val="none" w:sz="0" w:space="0" w:color="auto"/>
        <w:left w:val="none" w:sz="0" w:space="0" w:color="auto"/>
        <w:bottom w:val="none" w:sz="0" w:space="0" w:color="auto"/>
        <w:right w:val="none" w:sz="0" w:space="0" w:color="auto"/>
      </w:divBdr>
    </w:div>
    <w:div w:id="503976130">
      <w:bodyDiv w:val="1"/>
      <w:marLeft w:val="0"/>
      <w:marRight w:val="0"/>
      <w:marTop w:val="0"/>
      <w:marBottom w:val="0"/>
      <w:divBdr>
        <w:top w:val="none" w:sz="0" w:space="0" w:color="auto"/>
        <w:left w:val="none" w:sz="0" w:space="0" w:color="auto"/>
        <w:bottom w:val="none" w:sz="0" w:space="0" w:color="auto"/>
        <w:right w:val="none" w:sz="0" w:space="0" w:color="auto"/>
      </w:divBdr>
    </w:div>
    <w:div w:id="517547659">
      <w:bodyDiv w:val="1"/>
      <w:marLeft w:val="0"/>
      <w:marRight w:val="0"/>
      <w:marTop w:val="0"/>
      <w:marBottom w:val="0"/>
      <w:divBdr>
        <w:top w:val="none" w:sz="0" w:space="0" w:color="auto"/>
        <w:left w:val="none" w:sz="0" w:space="0" w:color="auto"/>
        <w:bottom w:val="none" w:sz="0" w:space="0" w:color="auto"/>
        <w:right w:val="none" w:sz="0" w:space="0" w:color="auto"/>
      </w:divBdr>
    </w:div>
    <w:div w:id="556549969">
      <w:bodyDiv w:val="1"/>
      <w:marLeft w:val="0"/>
      <w:marRight w:val="0"/>
      <w:marTop w:val="0"/>
      <w:marBottom w:val="0"/>
      <w:divBdr>
        <w:top w:val="none" w:sz="0" w:space="0" w:color="auto"/>
        <w:left w:val="none" w:sz="0" w:space="0" w:color="auto"/>
        <w:bottom w:val="none" w:sz="0" w:space="0" w:color="auto"/>
        <w:right w:val="none" w:sz="0" w:space="0" w:color="auto"/>
      </w:divBdr>
    </w:div>
    <w:div w:id="583421812">
      <w:bodyDiv w:val="1"/>
      <w:marLeft w:val="0"/>
      <w:marRight w:val="0"/>
      <w:marTop w:val="0"/>
      <w:marBottom w:val="0"/>
      <w:divBdr>
        <w:top w:val="none" w:sz="0" w:space="0" w:color="auto"/>
        <w:left w:val="none" w:sz="0" w:space="0" w:color="auto"/>
        <w:bottom w:val="none" w:sz="0" w:space="0" w:color="auto"/>
        <w:right w:val="none" w:sz="0" w:space="0" w:color="auto"/>
      </w:divBdr>
    </w:div>
    <w:div w:id="592861123">
      <w:bodyDiv w:val="1"/>
      <w:marLeft w:val="0"/>
      <w:marRight w:val="0"/>
      <w:marTop w:val="0"/>
      <w:marBottom w:val="0"/>
      <w:divBdr>
        <w:top w:val="none" w:sz="0" w:space="0" w:color="auto"/>
        <w:left w:val="none" w:sz="0" w:space="0" w:color="auto"/>
        <w:bottom w:val="none" w:sz="0" w:space="0" w:color="auto"/>
        <w:right w:val="none" w:sz="0" w:space="0" w:color="auto"/>
      </w:divBdr>
    </w:div>
    <w:div w:id="859199394">
      <w:bodyDiv w:val="1"/>
      <w:marLeft w:val="0"/>
      <w:marRight w:val="0"/>
      <w:marTop w:val="0"/>
      <w:marBottom w:val="0"/>
      <w:divBdr>
        <w:top w:val="none" w:sz="0" w:space="0" w:color="auto"/>
        <w:left w:val="none" w:sz="0" w:space="0" w:color="auto"/>
        <w:bottom w:val="none" w:sz="0" w:space="0" w:color="auto"/>
        <w:right w:val="none" w:sz="0" w:space="0" w:color="auto"/>
      </w:divBdr>
    </w:div>
    <w:div w:id="859439885">
      <w:bodyDiv w:val="1"/>
      <w:marLeft w:val="0"/>
      <w:marRight w:val="0"/>
      <w:marTop w:val="0"/>
      <w:marBottom w:val="0"/>
      <w:divBdr>
        <w:top w:val="none" w:sz="0" w:space="0" w:color="auto"/>
        <w:left w:val="none" w:sz="0" w:space="0" w:color="auto"/>
        <w:bottom w:val="none" w:sz="0" w:space="0" w:color="auto"/>
        <w:right w:val="none" w:sz="0" w:space="0" w:color="auto"/>
      </w:divBdr>
    </w:div>
    <w:div w:id="1100251050">
      <w:bodyDiv w:val="1"/>
      <w:marLeft w:val="0"/>
      <w:marRight w:val="0"/>
      <w:marTop w:val="0"/>
      <w:marBottom w:val="0"/>
      <w:divBdr>
        <w:top w:val="none" w:sz="0" w:space="0" w:color="auto"/>
        <w:left w:val="none" w:sz="0" w:space="0" w:color="auto"/>
        <w:bottom w:val="none" w:sz="0" w:space="0" w:color="auto"/>
        <w:right w:val="none" w:sz="0" w:space="0" w:color="auto"/>
      </w:divBdr>
    </w:div>
    <w:div w:id="1185628853">
      <w:bodyDiv w:val="1"/>
      <w:marLeft w:val="0"/>
      <w:marRight w:val="0"/>
      <w:marTop w:val="0"/>
      <w:marBottom w:val="0"/>
      <w:divBdr>
        <w:top w:val="none" w:sz="0" w:space="0" w:color="auto"/>
        <w:left w:val="none" w:sz="0" w:space="0" w:color="auto"/>
        <w:bottom w:val="none" w:sz="0" w:space="0" w:color="auto"/>
        <w:right w:val="none" w:sz="0" w:space="0" w:color="auto"/>
      </w:divBdr>
    </w:div>
    <w:div w:id="1191071638">
      <w:bodyDiv w:val="1"/>
      <w:marLeft w:val="0"/>
      <w:marRight w:val="0"/>
      <w:marTop w:val="0"/>
      <w:marBottom w:val="0"/>
      <w:divBdr>
        <w:top w:val="none" w:sz="0" w:space="0" w:color="auto"/>
        <w:left w:val="none" w:sz="0" w:space="0" w:color="auto"/>
        <w:bottom w:val="none" w:sz="0" w:space="0" w:color="auto"/>
        <w:right w:val="none" w:sz="0" w:space="0" w:color="auto"/>
      </w:divBdr>
    </w:div>
    <w:div w:id="1196848918">
      <w:bodyDiv w:val="1"/>
      <w:marLeft w:val="0"/>
      <w:marRight w:val="0"/>
      <w:marTop w:val="0"/>
      <w:marBottom w:val="0"/>
      <w:divBdr>
        <w:top w:val="none" w:sz="0" w:space="0" w:color="auto"/>
        <w:left w:val="none" w:sz="0" w:space="0" w:color="auto"/>
        <w:bottom w:val="none" w:sz="0" w:space="0" w:color="auto"/>
        <w:right w:val="none" w:sz="0" w:space="0" w:color="auto"/>
      </w:divBdr>
    </w:div>
    <w:div w:id="1327856558">
      <w:bodyDiv w:val="1"/>
      <w:marLeft w:val="0"/>
      <w:marRight w:val="0"/>
      <w:marTop w:val="0"/>
      <w:marBottom w:val="0"/>
      <w:divBdr>
        <w:top w:val="none" w:sz="0" w:space="0" w:color="auto"/>
        <w:left w:val="none" w:sz="0" w:space="0" w:color="auto"/>
        <w:bottom w:val="none" w:sz="0" w:space="0" w:color="auto"/>
        <w:right w:val="none" w:sz="0" w:space="0" w:color="auto"/>
      </w:divBdr>
    </w:div>
    <w:div w:id="1488979749">
      <w:bodyDiv w:val="1"/>
      <w:marLeft w:val="0"/>
      <w:marRight w:val="0"/>
      <w:marTop w:val="0"/>
      <w:marBottom w:val="0"/>
      <w:divBdr>
        <w:top w:val="none" w:sz="0" w:space="0" w:color="auto"/>
        <w:left w:val="none" w:sz="0" w:space="0" w:color="auto"/>
        <w:bottom w:val="none" w:sz="0" w:space="0" w:color="auto"/>
        <w:right w:val="none" w:sz="0" w:space="0" w:color="auto"/>
      </w:divBdr>
      <w:divsChild>
        <w:div w:id="563566447">
          <w:marLeft w:val="0"/>
          <w:marRight w:val="0"/>
          <w:marTop w:val="0"/>
          <w:marBottom w:val="0"/>
          <w:divBdr>
            <w:top w:val="none" w:sz="0" w:space="0" w:color="auto"/>
            <w:left w:val="none" w:sz="0" w:space="0" w:color="auto"/>
            <w:bottom w:val="none" w:sz="0" w:space="0" w:color="auto"/>
            <w:right w:val="none" w:sz="0" w:space="0" w:color="auto"/>
          </w:divBdr>
        </w:div>
      </w:divsChild>
    </w:div>
    <w:div w:id="1536767983">
      <w:bodyDiv w:val="1"/>
      <w:marLeft w:val="0"/>
      <w:marRight w:val="0"/>
      <w:marTop w:val="0"/>
      <w:marBottom w:val="0"/>
      <w:divBdr>
        <w:top w:val="none" w:sz="0" w:space="0" w:color="auto"/>
        <w:left w:val="none" w:sz="0" w:space="0" w:color="auto"/>
        <w:bottom w:val="none" w:sz="0" w:space="0" w:color="auto"/>
        <w:right w:val="none" w:sz="0" w:space="0" w:color="auto"/>
      </w:divBdr>
    </w:div>
    <w:div w:id="1594388028">
      <w:bodyDiv w:val="1"/>
      <w:marLeft w:val="0"/>
      <w:marRight w:val="0"/>
      <w:marTop w:val="0"/>
      <w:marBottom w:val="0"/>
      <w:divBdr>
        <w:top w:val="none" w:sz="0" w:space="0" w:color="auto"/>
        <w:left w:val="none" w:sz="0" w:space="0" w:color="auto"/>
        <w:bottom w:val="none" w:sz="0" w:space="0" w:color="auto"/>
        <w:right w:val="none" w:sz="0" w:space="0" w:color="auto"/>
      </w:divBdr>
    </w:div>
    <w:div w:id="1660965254">
      <w:bodyDiv w:val="1"/>
      <w:marLeft w:val="0"/>
      <w:marRight w:val="0"/>
      <w:marTop w:val="0"/>
      <w:marBottom w:val="0"/>
      <w:divBdr>
        <w:top w:val="none" w:sz="0" w:space="0" w:color="auto"/>
        <w:left w:val="none" w:sz="0" w:space="0" w:color="auto"/>
        <w:bottom w:val="none" w:sz="0" w:space="0" w:color="auto"/>
        <w:right w:val="none" w:sz="0" w:space="0" w:color="auto"/>
      </w:divBdr>
    </w:div>
    <w:div w:id="1665669498">
      <w:bodyDiv w:val="1"/>
      <w:marLeft w:val="0"/>
      <w:marRight w:val="0"/>
      <w:marTop w:val="0"/>
      <w:marBottom w:val="0"/>
      <w:divBdr>
        <w:top w:val="none" w:sz="0" w:space="0" w:color="auto"/>
        <w:left w:val="none" w:sz="0" w:space="0" w:color="auto"/>
        <w:bottom w:val="none" w:sz="0" w:space="0" w:color="auto"/>
        <w:right w:val="none" w:sz="0" w:space="0" w:color="auto"/>
      </w:divBdr>
    </w:div>
    <w:div w:id="1889299643">
      <w:bodyDiv w:val="1"/>
      <w:marLeft w:val="0"/>
      <w:marRight w:val="0"/>
      <w:marTop w:val="0"/>
      <w:marBottom w:val="0"/>
      <w:divBdr>
        <w:top w:val="none" w:sz="0" w:space="0" w:color="auto"/>
        <w:left w:val="none" w:sz="0" w:space="0" w:color="auto"/>
        <w:bottom w:val="none" w:sz="0" w:space="0" w:color="auto"/>
        <w:right w:val="none" w:sz="0" w:space="0" w:color="auto"/>
      </w:divBdr>
    </w:div>
    <w:div w:id="1930504290">
      <w:bodyDiv w:val="1"/>
      <w:marLeft w:val="0"/>
      <w:marRight w:val="0"/>
      <w:marTop w:val="0"/>
      <w:marBottom w:val="0"/>
      <w:divBdr>
        <w:top w:val="none" w:sz="0" w:space="0" w:color="auto"/>
        <w:left w:val="none" w:sz="0" w:space="0" w:color="auto"/>
        <w:bottom w:val="none" w:sz="0" w:space="0" w:color="auto"/>
        <w:right w:val="none" w:sz="0" w:space="0" w:color="auto"/>
      </w:divBdr>
    </w:div>
    <w:div w:id="2110468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reafirma-toluca-su-compromiso-con-la-proteccion-de-los-derechos-humanos/"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x.com/TolucaGob/status/188010196525193257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TIpGKhTGD+DXTKB1IvvqaoPdw==">CgMxLjAyCGguZ2pkZ3hzMgloLjMwajB6bGwyCWguMWZvYjl0ZTIJaC4zem55c2g3MgloLjJldDkycDAyCGgudHlqY3d0MgloLjNkeTZ2a20yCWguMXQzaDVzZjIJaC4xN2RwOHZ1MgloLjRkMzRvZzgyCGgubG54Yno5OAByITFIbWx2UkM2RWRnR0ZXOElOcjRSOXZRNzNiM0dFR3RFRw==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30</Pages>
  <Words>7223</Words>
  <Characters>39731</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45</cp:revision>
  <cp:lastPrinted>2025-07-17T17:31:00Z</cp:lastPrinted>
  <dcterms:created xsi:type="dcterms:W3CDTF">2025-07-07T19:25:00Z</dcterms:created>
  <dcterms:modified xsi:type="dcterms:W3CDTF">2025-08-07T19:38:00Z</dcterms:modified>
</cp:coreProperties>
</file>