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223C646E" w:rsidR="00EB0F49" w:rsidRPr="004E203A" w:rsidRDefault="001D3081" w:rsidP="00A36C68">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End w:id="0"/>
      <w:r w:rsidRPr="004E203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C6197" w:rsidRPr="004E203A">
        <w:rPr>
          <w:rFonts w:ascii="Palatino Linotype" w:eastAsia="Palatino Linotype" w:hAnsi="Palatino Linotype" w:cs="Palatino Linotype"/>
          <w:b/>
          <w:color w:val="000000" w:themeColor="text1"/>
        </w:rPr>
        <w:t>de fecha veintiocho</w:t>
      </w:r>
      <w:r w:rsidRPr="004E203A">
        <w:rPr>
          <w:rFonts w:ascii="Palatino Linotype" w:eastAsia="Palatino Linotype" w:hAnsi="Palatino Linotype" w:cs="Palatino Linotype"/>
          <w:b/>
          <w:color w:val="000000" w:themeColor="text1"/>
        </w:rPr>
        <w:t xml:space="preserve"> de mayo de dos mil veinticinco</w:t>
      </w:r>
      <w:r w:rsidRPr="004E203A">
        <w:rPr>
          <w:rFonts w:ascii="Palatino Linotype" w:eastAsia="Palatino Linotype" w:hAnsi="Palatino Linotype" w:cs="Palatino Linotype"/>
          <w:color w:val="000000" w:themeColor="text1"/>
        </w:rPr>
        <w:t>.</w:t>
      </w:r>
    </w:p>
    <w:p w14:paraId="6CCD2286" w14:textId="77777777" w:rsidR="00EB0F49" w:rsidRPr="004E203A" w:rsidRDefault="00EB0F49" w:rsidP="00A36C68">
      <w:pPr>
        <w:tabs>
          <w:tab w:val="left" w:pos="0"/>
          <w:tab w:val="left" w:pos="567"/>
        </w:tabs>
        <w:spacing w:line="360" w:lineRule="auto"/>
        <w:jc w:val="both"/>
        <w:rPr>
          <w:rFonts w:ascii="Palatino Linotype" w:eastAsia="Palatino Linotype" w:hAnsi="Palatino Linotype" w:cs="Palatino Linotype"/>
          <w:color w:val="000000" w:themeColor="text1"/>
        </w:rPr>
      </w:pPr>
    </w:p>
    <w:p w14:paraId="14B25137" w14:textId="46806560" w:rsidR="00EB0F49" w:rsidRPr="004E203A" w:rsidRDefault="001D3081" w:rsidP="00A36C68">
      <w:pPr>
        <w:tabs>
          <w:tab w:val="left" w:pos="0"/>
        </w:tabs>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4E203A">
        <w:rPr>
          <w:rFonts w:ascii="Palatino Linotype" w:eastAsia="Palatino Linotype" w:hAnsi="Palatino Linotype" w:cs="Palatino Linotype"/>
          <w:b/>
          <w:color w:val="000000" w:themeColor="text1"/>
        </w:rPr>
        <w:t>VISTO</w:t>
      </w:r>
      <w:r w:rsidRPr="004E203A">
        <w:rPr>
          <w:rFonts w:ascii="Palatino Linotype" w:eastAsia="Palatino Linotype" w:hAnsi="Palatino Linotype" w:cs="Palatino Linotype"/>
          <w:color w:val="000000" w:themeColor="text1"/>
        </w:rPr>
        <w:t xml:space="preserve"> el expediente electrónico formado con motivo del recurso de revisión </w:t>
      </w:r>
      <w:r w:rsidR="007C6197" w:rsidRPr="004E203A">
        <w:rPr>
          <w:rFonts w:ascii="Palatino Linotype" w:eastAsia="Palatino Linotype" w:hAnsi="Palatino Linotype" w:cs="Palatino Linotype"/>
          <w:b/>
          <w:color w:val="000000" w:themeColor="text1"/>
        </w:rPr>
        <w:t>00723</w:t>
      </w:r>
      <w:r w:rsidRPr="004E203A">
        <w:rPr>
          <w:rFonts w:ascii="Palatino Linotype" w:eastAsia="Palatino Linotype" w:hAnsi="Palatino Linotype" w:cs="Palatino Linotype"/>
          <w:b/>
          <w:color w:val="000000" w:themeColor="text1"/>
        </w:rPr>
        <w:t>/INFOEM/IP/RR/2025</w:t>
      </w:r>
      <w:r w:rsidRPr="004E203A">
        <w:rPr>
          <w:rFonts w:ascii="Palatino Linotype" w:eastAsia="Palatino Linotype" w:hAnsi="Palatino Linotype" w:cs="Palatino Linotype"/>
          <w:color w:val="000000" w:themeColor="text1"/>
        </w:rPr>
        <w:t>,</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 xml:space="preserve">promovido por un </w:t>
      </w:r>
      <w:r w:rsidR="00115941">
        <w:rPr>
          <w:rFonts w:ascii="Palatino Linotype" w:eastAsia="Palatino Linotype" w:hAnsi="Palatino Linotype" w:cs="Palatino Linotype"/>
          <w:b/>
          <w:color w:val="000000" w:themeColor="text1"/>
        </w:rPr>
        <w:t>XXXX</w:t>
      </w:r>
      <w:r w:rsidRPr="004E203A">
        <w:rPr>
          <w:rFonts w:ascii="Palatino Linotype" w:eastAsia="Palatino Linotype" w:hAnsi="Palatino Linotype" w:cs="Palatino Linotype"/>
          <w:color w:val="000000" w:themeColor="text1"/>
        </w:rPr>
        <w:t xml:space="preserve">, a quien en lo sucesivo se le identificará como </w:t>
      </w:r>
      <w:r w:rsidRPr="004E203A">
        <w:rPr>
          <w:rFonts w:ascii="Palatino Linotype" w:eastAsia="Palatino Linotype" w:hAnsi="Palatino Linotype" w:cs="Palatino Linotype"/>
          <w:b/>
          <w:color w:val="000000" w:themeColor="text1"/>
        </w:rPr>
        <w:t>EL RECURRENTE</w:t>
      </w:r>
      <w:r w:rsidRPr="004E203A">
        <w:rPr>
          <w:rFonts w:ascii="Palatino Linotype" w:eastAsia="Palatino Linotype" w:hAnsi="Palatino Linotype" w:cs="Palatino Linotype"/>
          <w:color w:val="000000" w:themeColor="text1"/>
        </w:rPr>
        <w:t xml:space="preserve">, en contra de la respuesta del </w:t>
      </w:r>
      <w:r w:rsidRPr="004E203A">
        <w:rPr>
          <w:rFonts w:ascii="Palatino Linotype" w:eastAsia="Palatino Linotype" w:hAnsi="Palatino Linotype" w:cs="Palatino Linotype"/>
          <w:b/>
          <w:color w:val="000000" w:themeColor="text1"/>
        </w:rPr>
        <w:t xml:space="preserve">Ayuntamiento de </w:t>
      </w:r>
      <w:r w:rsidR="007C6197" w:rsidRPr="004E203A">
        <w:rPr>
          <w:rFonts w:ascii="Palatino Linotype" w:eastAsia="Palatino Linotype" w:hAnsi="Palatino Linotype" w:cs="Palatino Linotype"/>
          <w:b/>
          <w:color w:val="000000" w:themeColor="text1"/>
        </w:rPr>
        <w:t>Tenancingo</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en adelante el</w:t>
      </w:r>
      <w:r w:rsidRPr="004E203A">
        <w:rPr>
          <w:rFonts w:ascii="Palatino Linotype" w:eastAsia="Palatino Linotype" w:hAnsi="Palatino Linotype" w:cs="Palatino Linotype"/>
          <w:b/>
          <w:color w:val="000000" w:themeColor="text1"/>
        </w:rPr>
        <w:t xml:space="preserve"> SUJETO OBLIGADO</w:t>
      </w:r>
      <w:r w:rsidRPr="004E203A">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4E203A" w:rsidRDefault="00EB0F49" w:rsidP="00A36C68">
      <w:pPr>
        <w:tabs>
          <w:tab w:val="left" w:pos="0"/>
        </w:tabs>
        <w:spacing w:line="360" w:lineRule="auto"/>
        <w:jc w:val="both"/>
        <w:rPr>
          <w:rFonts w:ascii="Palatino Linotype" w:eastAsia="Palatino Linotype" w:hAnsi="Palatino Linotype" w:cs="Palatino Linotype"/>
          <w:color w:val="000000" w:themeColor="text1"/>
        </w:rPr>
      </w:pPr>
    </w:p>
    <w:p w14:paraId="617F897C" w14:textId="77777777" w:rsidR="00EB0F49" w:rsidRPr="004E203A" w:rsidRDefault="001D3081" w:rsidP="00A36C68">
      <w:pPr>
        <w:pStyle w:val="Ttulo1"/>
        <w:tabs>
          <w:tab w:val="left" w:pos="0"/>
          <w:tab w:val="left" w:pos="567"/>
        </w:tabs>
        <w:spacing w:before="0" w:line="360" w:lineRule="auto"/>
        <w:jc w:val="center"/>
        <w:rPr>
          <w:b w:val="0"/>
          <w:szCs w:val="24"/>
        </w:rPr>
      </w:pPr>
      <w:bookmarkStart w:id="2" w:name="_heading=h.30j0zll" w:colFirst="0" w:colLast="0"/>
      <w:bookmarkEnd w:id="2"/>
      <w:r w:rsidRPr="004E203A">
        <w:rPr>
          <w:szCs w:val="24"/>
        </w:rPr>
        <w:t>A N T E C E D E N T E S</w:t>
      </w:r>
    </w:p>
    <w:p w14:paraId="74CA4F9B" w14:textId="77777777" w:rsidR="00EB0F49" w:rsidRPr="004E203A" w:rsidRDefault="00EB0F49" w:rsidP="00A36C68">
      <w:pPr>
        <w:pStyle w:val="Ttulo1"/>
        <w:tabs>
          <w:tab w:val="left" w:pos="0"/>
          <w:tab w:val="left" w:pos="567"/>
        </w:tabs>
        <w:spacing w:before="0" w:line="360" w:lineRule="auto"/>
        <w:jc w:val="center"/>
        <w:rPr>
          <w:szCs w:val="24"/>
        </w:rPr>
      </w:pPr>
    </w:p>
    <w:p w14:paraId="105CED4A" w14:textId="44F26EE0"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E203A">
        <w:rPr>
          <w:rFonts w:ascii="Palatino Linotype" w:eastAsia="Palatino Linotype" w:hAnsi="Palatino Linotype" w:cs="Palatino Linotype"/>
          <w:color w:val="000000" w:themeColor="text1"/>
        </w:rPr>
        <w:t xml:space="preserve">El </w:t>
      </w:r>
      <w:r w:rsidR="007C6197" w:rsidRPr="004E203A">
        <w:rPr>
          <w:rFonts w:ascii="Palatino Linotype" w:eastAsia="Palatino Linotype" w:hAnsi="Palatino Linotype" w:cs="Palatino Linotype"/>
          <w:b/>
          <w:color w:val="000000" w:themeColor="text1"/>
        </w:rPr>
        <w:t>dieciséis de enero de dos mil veinticinco</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 xml:space="preserve">se presentó ante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vía SAIMEX, la solicitud de información pública registrada con el número</w:t>
      </w:r>
      <w:r w:rsidR="007C6197" w:rsidRPr="004E203A">
        <w:rPr>
          <w:rFonts w:ascii="Palatino Linotype" w:eastAsia="Palatino Linotype" w:hAnsi="Palatino Linotype" w:cs="Palatino Linotype"/>
          <w:b/>
          <w:color w:val="000000" w:themeColor="text1"/>
        </w:rPr>
        <w:t xml:space="preserve"> 00061</w:t>
      </w:r>
      <w:r w:rsidRPr="004E203A">
        <w:rPr>
          <w:rFonts w:ascii="Palatino Linotype" w:eastAsia="Palatino Linotype" w:hAnsi="Palatino Linotype" w:cs="Palatino Linotype"/>
          <w:b/>
          <w:color w:val="000000" w:themeColor="text1"/>
        </w:rPr>
        <w:t>/</w:t>
      </w:r>
      <w:r w:rsidR="007C6197" w:rsidRPr="004E203A">
        <w:rPr>
          <w:rFonts w:ascii="Palatino Linotype" w:eastAsia="Palatino Linotype" w:hAnsi="Palatino Linotype" w:cs="Palatino Linotype"/>
          <w:b/>
          <w:color w:val="000000" w:themeColor="text1"/>
        </w:rPr>
        <w:t>TENANCIN</w:t>
      </w:r>
      <w:r w:rsidRPr="004E203A">
        <w:rPr>
          <w:rFonts w:ascii="Palatino Linotype" w:eastAsia="Palatino Linotype" w:hAnsi="Palatino Linotype" w:cs="Palatino Linotype"/>
          <w:b/>
          <w:color w:val="000000" w:themeColor="text1"/>
        </w:rPr>
        <w:t xml:space="preserve">/IP/2025; </w:t>
      </w:r>
      <w:r w:rsidRPr="004E203A">
        <w:rPr>
          <w:rFonts w:ascii="Palatino Linotype" w:eastAsia="Palatino Linotype" w:hAnsi="Palatino Linotype" w:cs="Palatino Linotype"/>
          <w:color w:val="000000" w:themeColor="text1"/>
        </w:rPr>
        <w:t>mediante la cual se solicitó la siguiente información:</w:t>
      </w:r>
    </w:p>
    <w:p w14:paraId="5807ECA6" w14:textId="77777777" w:rsidR="00EB0F49" w:rsidRPr="004E203A" w:rsidRDefault="00EB0F49"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30E820F" w14:textId="67AF4F08" w:rsidR="001D3081" w:rsidRPr="004E203A" w:rsidRDefault="001D3081" w:rsidP="00A36C68">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w:t>
      </w:r>
      <w:r w:rsidR="007C6197" w:rsidRPr="004E203A">
        <w:rPr>
          <w:rFonts w:ascii="Palatino Linotype" w:eastAsia="Palatino Linotype" w:hAnsi="Palatino Linotype" w:cs="Palatino Linotype"/>
          <w:i/>
          <w:color w:val="000000" w:themeColor="text1"/>
        </w:rPr>
        <w:t>L</w:t>
      </w:r>
      <w:r w:rsidR="007C6197" w:rsidRPr="004E203A">
        <w:rPr>
          <w:rFonts w:ascii="Palatino Linotype" w:hAnsi="Palatino Linotype"/>
          <w:i/>
          <w:color w:val="000000" w:themeColor="text1"/>
        </w:rPr>
        <w:t xml:space="preserve">A REMUNERACIÓN BRUTA Y NETA DE TODOS LOS SERVIDORES PÚBLICOS DE BASE O DE CONFIANZA, POR GRATIFICACIÓN, POR CONTRATO, Y EN GENERAL DE TODOS Y CADA UNO DE LOS SERVIDORES PÚBLICOS O PERSONAS A LAS QUE EL AYUNTAMIENTO DE TENANCINGO LES ESTE PAGANDO UNA RETRIBUCIÓN CON MOTIVO DEL DESEMPEÑO DE SU TRABAJO, , DE TODAS LAS PERCEPCIONES, INCLUYENDO SUELDOS, PRESTACIONES, GRATIFICACIONES, PRIMAS, COMISIONES, DIETAS, BONOS, ESTÍMULOS, INGRESOS Y SISTEMAS DE COMPENSACIÓN, CORRESPONDIENTE A LA PRIMERA QUINCENA DE ENERO DE DOS MIL VEINTICINCO. LAS CONTRATACIONES DE SERVICIOS PROFESIONALES POR </w:t>
      </w:r>
      <w:r w:rsidR="007C6197" w:rsidRPr="004E203A">
        <w:rPr>
          <w:rFonts w:ascii="Palatino Linotype" w:hAnsi="Palatino Linotype"/>
          <w:i/>
          <w:color w:val="000000" w:themeColor="text1"/>
        </w:rPr>
        <w:lastRenderedPageBreak/>
        <w:t>HONORARIOS, SEÑALANDO LOS NOMBRES DE LOS PRESTADORES DE SERVICIOS, LOS SERVICIOS CONTRATADOS, EL MONTO DE LOS HONORARIOS Y EL PERIODO DE CONTRATACIÓN. MISMA INFORMACIÓN QUE SOLICITO ME SEA ENTREGADA DESGLOSADA, ES DECIR, SEPARANDO LOS SERVIDORES PÚBLICOS DE BASE, POR SEPARADO LOS DE CONFIANZA, POR SEPARADO LOS DE GRATIFICACIÓN, POR SEPARADO LOS DE CONTRATO, POR SEPARADO LOS CONTRATADOS POR SERVICIOS PROFESIONALES Y POR HONORARIOS. NO OMITO MANIFESTAR QUE EN TÉRMINOS DE LO DISPUESTO POR LOS ARTÍCULOS 92 Y 175 DE LA LEY DE TRANSPARENCIA Y ACCESO A LA INFORMACIÓN PUBLICA DEL ESTADO DE MÉXICO Y MUNICIPIOS AL SER INFORMACIÓN PUBLICA QUE SE DEBE PUBLICAR DE MANERA OBLIGATORIA, NO GENERA O PODRÁ TENER NINGÚN COSTO, MÁXIME QUE LA ESTOY SOLICITANDO DE MANERA ELECTRÓNICA. TODA LA INFORMACIÓN SOLICITADA ES CORRESPONDIENTE A LA PRIMERA QUINCENA DE ENERO DE 2025.</w:t>
      </w:r>
      <w:r w:rsidRPr="004E203A">
        <w:rPr>
          <w:rFonts w:ascii="Palatino Linotype" w:hAnsi="Palatino Linotype"/>
          <w:i/>
          <w:color w:val="000000" w:themeColor="text1"/>
        </w:rPr>
        <w:t>”</w:t>
      </w:r>
      <w:r w:rsidRPr="004E203A">
        <w:rPr>
          <w:rFonts w:ascii="Palatino Linotype" w:eastAsia="Palatino Linotype" w:hAnsi="Palatino Linotype" w:cs="Palatino Linotype"/>
          <w:i/>
          <w:color w:val="000000" w:themeColor="text1"/>
        </w:rPr>
        <w:t xml:space="preserve"> (Sic)</w:t>
      </w:r>
    </w:p>
    <w:p w14:paraId="1EA0468E" w14:textId="77777777" w:rsidR="001D3081" w:rsidRPr="004E203A" w:rsidRDefault="001D3081" w:rsidP="00A36C68">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5BF658B" w14:textId="77777777" w:rsidR="001D3081"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E203A">
        <w:rPr>
          <w:rFonts w:ascii="Palatino Linotype" w:eastAsia="Palatino Linotype" w:hAnsi="Palatino Linotype" w:cs="Palatino Linotype"/>
          <w:color w:val="000000" w:themeColor="text1"/>
        </w:rPr>
        <w:t xml:space="preserve">Se eligió como modalidad de entrega de la información: A través del </w:t>
      </w:r>
      <w:r w:rsidRPr="004E203A">
        <w:rPr>
          <w:rFonts w:ascii="Palatino Linotype" w:eastAsia="Palatino Linotype" w:hAnsi="Palatino Linotype" w:cs="Palatino Linotype"/>
          <w:b/>
          <w:color w:val="000000" w:themeColor="text1"/>
        </w:rPr>
        <w:t>SAIMEX.</w:t>
      </w:r>
    </w:p>
    <w:p w14:paraId="1AA74291" w14:textId="77777777" w:rsidR="001D3081" w:rsidRPr="004E203A" w:rsidRDefault="001D3081" w:rsidP="00A36C68">
      <w:pPr>
        <w:pBdr>
          <w:top w:val="nil"/>
          <w:left w:val="nil"/>
          <w:bottom w:val="nil"/>
          <w:right w:val="nil"/>
          <w:between w:val="nil"/>
        </w:pBdr>
        <w:tabs>
          <w:tab w:val="left" w:pos="0"/>
        </w:tabs>
        <w:jc w:val="both"/>
        <w:rPr>
          <w:rFonts w:ascii="Palatino Linotype" w:hAnsi="Palatino Linotype"/>
          <w:color w:val="000000" w:themeColor="text1"/>
        </w:rPr>
      </w:pPr>
    </w:p>
    <w:p w14:paraId="1DB16994" w14:textId="2E3BB023"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E203A">
        <w:rPr>
          <w:rFonts w:ascii="Palatino Linotype" w:eastAsia="Palatino Linotype" w:hAnsi="Palatino Linotype" w:cs="Palatino Linotype"/>
          <w:color w:val="000000" w:themeColor="text1"/>
        </w:rPr>
        <w:t xml:space="preserve">El </w:t>
      </w:r>
      <w:r w:rsidR="007C6197" w:rsidRPr="004E203A">
        <w:rPr>
          <w:rFonts w:ascii="Palatino Linotype" w:eastAsia="Palatino Linotype" w:hAnsi="Palatino Linotype" w:cs="Palatino Linotype"/>
          <w:b/>
          <w:color w:val="000000" w:themeColor="text1"/>
        </w:rPr>
        <w:t>cuatro de febrero</w:t>
      </w:r>
      <w:r w:rsidRPr="004E203A">
        <w:rPr>
          <w:rFonts w:ascii="Palatino Linotype" w:eastAsia="Palatino Linotype" w:hAnsi="Palatino Linotype" w:cs="Palatino Linotype"/>
          <w:b/>
          <w:color w:val="000000" w:themeColor="text1"/>
        </w:rPr>
        <w:t xml:space="preserve"> de dos mil veinticinco</w:t>
      </w:r>
      <w:r w:rsidRPr="004E203A">
        <w:rPr>
          <w:rFonts w:ascii="Palatino Linotype" w:eastAsia="Palatino Linotype" w:hAnsi="Palatino Linotype" w:cs="Palatino Linotype"/>
          <w:color w:val="000000" w:themeColor="text1"/>
        </w:rPr>
        <w:t xml:space="preserve">,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dio respuesta a la solicitud de información en el tenor siguiente:</w:t>
      </w:r>
    </w:p>
    <w:p w14:paraId="3A2C0F62" w14:textId="77777777" w:rsidR="001D3081" w:rsidRPr="004E203A" w:rsidRDefault="001D3081" w:rsidP="00A36C6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756FA6B" w14:textId="71E9F587" w:rsidR="001D3081" w:rsidRPr="004E203A" w:rsidRDefault="007C6197" w:rsidP="00A36C68">
      <w:pPr>
        <w:pBdr>
          <w:top w:val="nil"/>
          <w:left w:val="nil"/>
          <w:bottom w:val="nil"/>
          <w:right w:val="nil"/>
          <w:between w:val="nil"/>
        </w:pBdr>
        <w:tabs>
          <w:tab w:val="left" w:pos="0"/>
        </w:tabs>
        <w:ind w:left="567"/>
        <w:jc w:val="both"/>
        <w:rPr>
          <w:rFonts w:ascii="Palatino Linotype" w:hAnsi="Palatino Linotype"/>
          <w:i/>
          <w:color w:val="000000" w:themeColor="text1"/>
        </w:rPr>
      </w:pPr>
      <w:r w:rsidRPr="004E203A">
        <w:rPr>
          <w:rFonts w:ascii="Palatino Linotype" w:hAnsi="Palatino Linotype"/>
          <w:i/>
          <w:color w:val="000000" w:themeColor="text1"/>
        </w:rPr>
        <w:t>“C. SOLICITANTE DE INFORMACIÓN. PRESENTE. En atención a su solicitud de información recibida a través del Sistema de Acceso a la Información Mexiquense (SAIMEX), identificada con el número 00061/TENANCIN/IP/2025; en la cual solicita información relacionada con lo siguiente: "LA REMUNERACIÓN BRUTA Y NETA DE TODOS LOS SERVIDORES PÚBLICOS DE BASE O DE CONFIANZA, POR GRATIFICACIÓN, POR CONTRATO, Y EN GENERAL DE TODOS Y CADA UNO DE LOS SERVIDORES PÚBLICOS O PERSONAS A LAS QUE EL AYUNTAMIENTO DE TENANCINGO LES ESTE PAGANDO UNA RETRIBUCIÓN CON MOTIVO DEL DESEMPEÑO DE SU TRABAJO</w:t>
      </w:r>
      <w:proofErr w:type="gramStart"/>
      <w:r w:rsidRPr="004E203A">
        <w:rPr>
          <w:rFonts w:ascii="Palatino Linotype" w:hAnsi="Palatino Linotype"/>
          <w:i/>
          <w:color w:val="000000" w:themeColor="text1"/>
        </w:rPr>
        <w:t>,,</w:t>
      </w:r>
      <w:proofErr w:type="gramEnd"/>
      <w:r w:rsidRPr="004E203A">
        <w:rPr>
          <w:rFonts w:ascii="Palatino Linotype" w:hAnsi="Palatino Linotype"/>
          <w:i/>
          <w:color w:val="000000" w:themeColor="text1"/>
        </w:rPr>
        <w:t xml:space="preserve"> DE TODAS LAS PERCEPCIONES, INCLUYENDO SUELDOS, PRESTACIONES, GRATIFICACIONES, PRIMAS, COMISIONES, DIETAS, BONOS, ESTÍMULOS, INGRESOS Y SISTEMAS DE COMPENSACIÓN, CORRESPONDIENTE A LA PRIMERA QUINCENA DE ENERO DE DOS MIL VEINTICINCO. LAS CONTRATACIONES DE SERVICIOS PROFESIONALES POR </w:t>
      </w:r>
      <w:r w:rsidRPr="004E203A">
        <w:rPr>
          <w:rFonts w:ascii="Palatino Linotype" w:hAnsi="Palatino Linotype"/>
          <w:i/>
          <w:color w:val="000000" w:themeColor="text1"/>
        </w:rPr>
        <w:lastRenderedPageBreak/>
        <w:t xml:space="preserve">HONORARIOS, SEÑALANDO LOS NOMBRES DE LOS PRESTADORES DE SERVICIOS, LOS SERVICIOS CONTRATADOS, EL MONTO DE LOS HONORARIOS Y EL PERIODO DE CONTRATACIÓN. MISMA INFORMACIÓN QUE SOLICITO ME SEA ENTREGADA DESGLOSADA, ES DECIR, SEPARANDO LOS SERVIDORES PÚBLICOS DE BASE, POR SEPARADO LOS DE CONFIANZA, POR SEPARADO LOS DE GRATIFICACIÓN, POR SEPARADO LOS DE CONTRATO, POR SEPARADO LOS CONTRATADOS POR SERVICIOS PROFESIONALES Y POR HONORARIOS. NO OMITO MANIFESTAR QUE EN TÉRMINOS DE LO DISPUESTO POR LOS ARTÍCULOS 92 Y 175 DE LA LEY DE TRANSPARENCIA Y ACCESO A LA INFORMACIÓN PUBLICA DEL ESTADO DE MÉXICO Y MUNICIPIOS AL SER INFORMACIÓN PUBLICA QUE SE DEBE PUBLICAR DE MANERA OBLIGATORIA, NO GENERA O PODRÁ TENER NINGÚN COSTO, MÁXIME QUE LA ESTOY SOLICITANDO DE MANERA ELECTRÓNICA. TODA LA INFORMACIÓN SOLICITADA ES CORRESPONDIENTE A LA PRIMERA QUINCENA DE ENERO DE 2025” (sic). Al respecto, me permito comentarle que de acuerdo con lo establecido por el articulo 4 primer párrafo de la Ley de Transparencia y Acceso a la Información Pública del Estado de México y Municipios, indica: "Artículo 4. El derecho humano de acceso a la información pública es la prerrogativa de las personas para buscar, difundir, investigar, recabar, recibir y solicitar información pública, sin necesidad de acreditar personalidad ni interés jurídico.” Subsecuentemente, el articulo 12 segundo párrafo de la Ley de Transparencia y Acceso a la Información Pública del Estado de México y Municipios, disponen lo siguiente: "Artículo 12. Los sujetos obligados solo proporcionaran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Por lo anterior, los artículos 50 y 51 de la Ley de Transparencia y Acceso a la información Pública del Estado de México y Municipios, establecen que los sujetos obligados contarán con un área responsable para la atención de las solicitudes de información, a la que se le denominará Unidad de Transparencia; asimismo, que los sujetos obligados designaran a un responsable para atender la Unidad de Transparencia, quien fungirá coma enlace entre éstos y los solicitantes. Dicha Unidad será la encargada de tramitar internamente la solicitud de información y tendrá la responsabilidad de verificar en cada caso que la misma no sea confidencial o reservada. La Unidad de Transparencia contará con las facultades internas necesarias para gestionar la atención a las solicitudes de </w:t>
      </w:r>
      <w:r w:rsidRPr="004E203A">
        <w:rPr>
          <w:rFonts w:ascii="Palatino Linotype" w:hAnsi="Palatino Linotype"/>
          <w:i/>
          <w:color w:val="000000" w:themeColor="text1"/>
        </w:rPr>
        <w:lastRenderedPageBreak/>
        <w:t>información en los términos de la Ley General de Transparencia y Acceso a la información Pública y la Ley de Transparencia y Acceso a la información Pública del Estado de México y Municipios. En virtud de lo anterior, adjunto al presente se servirá encontrar el oficio de respuesta que emite el Coordinador de Recursos Humanos del Ayuntamiento de Tenancingo, Estado de México. Sin otro particular, reciba un cordial saludo.</w:t>
      </w:r>
      <w:r w:rsidR="001D3081" w:rsidRPr="004E203A">
        <w:rPr>
          <w:rFonts w:ascii="Palatino Linotype" w:hAnsi="Palatino Linotype"/>
          <w:i/>
          <w:color w:val="000000" w:themeColor="text1"/>
        </w:rPr>
        <w:t>” (Sic)</w:t>
      </w:r>
    </w:p>
    <w:p w14:paraId="6ED1B036" w14:textId="77777777" w:rsidR="001D3081" w:rsidRPr="004E203A" w:rsidRDefault="001D3081"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D62038C" w14:textId="1407C329" w:rsidR="00EB0F49" w:rsidRPr="004E203A" w:rsidRDefault="001D3081"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color w:val="000000" w:themeColor="text1"/>
        </w:rPr>
        <w:t xml:space="preserve">Se adjuntó el archivo electrónico denominado </w:t>
      </w:r>
      <w:r w:rsidR="007C6197" w:rsidRPr="004E203A">
        <w:rPr>
          <w:rFonts w:ascii="Palatino Linotype" w:eastAsia="Palatino Linotype" w:hAnsi="Palatino Linotype" w:cs="Palatino Linotype"/>
          <w:b/>
          <w:color w:val="000000" w:themeColor="text1"/>
        </w:rPr>
        <w:t>Contestación 00061 Recursos Humanos</w:t>
      </w:r>
      <w:r w:rsidRPr="004E203A">
        <w:rPr>
          <w:rFonts w:ascii="Palatino Linotype" w:eastAsia="Palatino Linotype" w:hAnsi="Palatino Linotype" w:cs="Palatino Linotype"/>
          <w:b/>
          <w:color w:val="000000" w:themeColor="text1"/>
        </w:rPr>
        <w:t>.pdf</w:t>
      </w:r>
      <w:r w:rsidRPr="004E203A">
        <w:rPr>
          <w:rFonts w:ascii="Palatino Linotype" w:eastAsia="Palatino Linotype" w:hAnsi="Palatino Linotype" w:cs="Palatino Linotype"/>
          <w:color w:val="000000" w:themeColor="text1"/>
        </w:rPr>
        <w:t>, consi</w:t>
      </w:r>
      <w:r w:rsidR="007C6197" w:rsidRPr="004E203A">
        <w:rPr>
          <w:rFonts w:ascii="Palatino Linotype" w:eastAsia="Palatino Linotype" w:hAnsi="Palatino Linotype" w:cs="Palatino Linotype"/>
          <w:color w:val="000000" w:themeColor="text1"/>
        </w:rPr>
        <w:t>stente en el oficio MTM058/DAERH00/00187//2025</w:t>
      </w:r>
      <w:r w:rsidRPr="004E203A">
        <w:rPr>
          <w:rFonts w:ascii="Palatino Linotype" w:eastAsia="Palatino Linotype" w:hAnsi="Palatino Linotype" w:cs="Palatino Linotype"/>
          <w:color w:val="000000" w:themeColor="text1"/>
        </w:rPr>
        <w:t xml:space="preserve">, suscrito por </w:t>
      </w:r>
      <w:r w:rsidR="007C6197" w:rsidRPr="004E203A">
        <w:rPr>
          <w:rFonts w:ascii="Palatino Linotype" w:eastAsia="Palatino Linotype" w:hAnsi="Palatino Linotype" w:cs="Palatino Linotype"/>
          <w:color w:val="000000" w:themeColor="text1"/>
        </w:rPr>
        <w:t>la Coordinadora de Recursos Humanos</w:t>
      </w:r>
      <w:r w:rsidRPr="004E203A">
        <w:rPr>
          <w:rFonts w:ascii="Palatino Linotype" w:eastAsia="Palatino Linotype" w:hAnsi="Palatino Linotype" w:cs="Palatino Linotype"/>
          <w:color w:val="000000" w:themeColor="text1"/>
        </w:rPr>
        <w:t xml:space="preserve">, por medio del cual, refirió que </w:t>
      </w:r>
      <w:r w:rsidR="007C6197" w:rsidRPr="004E203A">
        <w:rPr>
          <w:rFonts w:ascii="Palatino Linotype" w:eastAsia="Palatino Linotype" w:hAnsi="Palatino Linotype" w:cs="Palatino Linotype"/>
          <w:color w:val="000000" w:themeColor="text1"/>
        </w:rPr>
        <w:t>derivado de una búsqueda exhaustiva en los archivos que obran en el área a su cargo, no se encontró información.</w:t>
      </w:r>
    </w:p>
    <w:p w14:paraId="342EFC7C" w14:textId="77777777" w:rsidR="00EB0F49" w:rsidRPr="004E203A" w:rsidRDefault="00EB0F49" w:rsidP="00A36C68">
      <w:pPr>
        <w:tabs>
          <w:tab w:val="left" w:pos="0"/>
        </w:tabs>
        <w:rPr>
          <w:rFonts w:ascii="Palatino Linotype" w:hAnsi="Palatino Linotype"/>
          <w:color w:val="000000" w:themeColor="text1"/>
        </w:rPr>
      </w:pPr>
    </w:p>
    <w:p w14:paraId="0998E6CF" w14:textId="67CA96A1" w:rsidR="00EB0F49" w:rsidRPr="004E203A" w:rsidRDefault="00294244" w:rsidP="00A36C68">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E203A">
        <w:rPr>
          <w:rFonts w:ascii="Palatino Linotype" w:eastAsia="Palatino Linotype" w:hAnsi="Palatino Linotype" w:cs="Palatino Linotype"/>
          <w:color w:val="000000" w:themeColor="text1"/>
        </w:rPr>
        <w:t xml:space="preserve">El </w:t>
      </w:r>
      <w:r w:rsidR="00B05B5E" w:rsidRPr="004E203A">
        <w:rPr>
          <w:rFonts w:ascii="Palatino Linotype" w:eastAsia="Palatino Linotype" w:hAnsi="Palatino Linotype" w:cs="Palatino Linotype"/>
          <w:b/>
          <w:color w:val="000000" w:themeColor="text1"/>
        </w:rPr>
        <w:t xml:space="preserve">seis de febrero </w:t>
      </w:r>
      <w:r w:rsidRPr="004E203A">
        <w:rPr>
          <w:rFonts w:ascii="Palatino Linotype" w:eastAsia="Palatino Linotype" w:hAnsi="Palatino Linotype" w:cs="Palatino Linotype"/>
          <w:b/>
          <w:color w:val="000000" w:themeColor="text1"/>
        </w:rPr>
        <w:t>de dos mil veinticinco</w:t>
      </w:r>
      <w:r w:rsidR="001D3081" w:rsidRPr="004E203A">
        <w:rPr>
          <w:rFonts w:ascii="Palatino Linotype" w:eastAsia="Palatino Linotype" w:hAnsi="Palatino Linotype" w:cs="Palatino Linotype"/>
          <w:color w:val="000000" w:themeColor="text1"/>
        </w:rPr>
        <w:t xml:space="preserve">, el </w:t>
      </w:r>
      <w:r w:rsidRPr="004E203A">
        <w:rPr>
          <w:rFonts w:ascii="Palatino Linotype" w:eastAsia="Palatino Linotype" w:hAnsi="Palatino Linotype" w:cs="Palatino Linotype"/>
          <w:b/>
          <w:color w:val="000000" w:themeColor="text1"/>
        </w:rPr>
        <w:t>RECURRENTE</w:t>
      </w:r>
      <w:r w:rsidR="001D3081" w:rsidRPr="004E203A">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9DB4ACC" w14:textId="77777777" w:rsidR="00294244" w:rsidRPr="004E203A" w:rsidRDefault="00294244" w:rsidP="00A36C68">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CD14567" w14:textId="4E43D4D2" w:rsidR="00EB0F49" w:rsidRPr="004E203A" w:rsidRDefault="001D3081"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bookmarkStart w:id="3" w:name="_heading=h.1fob9te" w:colFirst="0" w:colLast="0"/>
      <w:bookmarkEnd w:id="3"/>
      <w:r w:rsidRPr="004E203A">
        <w:rPr>
          <w:rFonts w:ascii="Palatino Linotype" w:eastAsia="Palatino Linotype" w:hAnsi="Palatino Linotype" w:cs="Palatino Linotype"/>
          <w:b/>
          <w:color w:val="000000" w:themeColor="text1"/>
        </w:rPr>
        <w:t>Acto impugnado</w:t>
      </w:r>
      <w:r w:rsidRPr="004E203A">
        <w:rPr>
          <w:rFonts w:ascii="Palatino Linotype" w:eastAsia="Palatino Linotype" w:hAnsi="Palatino Linotype" w:cs="Palatino Linotype"/>
          <w:color w:val="000000" w:themeColor="text1"/>
        </w:rPr>
        <w:t xml:space="preserve">: </w:t>
      </w:r>
      <w:r w:rsidRPr="004E203A">
        <w:rPr>
          <w:rFonts w:ascii="Palatino Linotype" w:eastAsia="Palatino Linotype" w:hAnsi="Palatino Linotype" w:cs="Palatino Linotype"/>
          <w:i/>
          <w:color w:val="000000" w:themeColor="text1"/>
        </w:rPr>
        <w:t>“</w:t>
      </w:r>
      <w:r w:rsidR="00B05B5E" w:rsidRPr="004E203A">
        <w:rPr>
          <w:rFonts w:ascii="Palatino Linotype" w:eastAsia="Palatino Linotype" w:hAnsi="Palatino Linotype" w:cs="Palatino Linotype"/>
          <w:i/>
          <w:color w:val="000000" w:themeColor="text1"/>
        </w:rPr>
        <w:t>L</w:t>
      </w:r>
      <w:r w:rsidR="00B05B5E" w:rsidRPr="004E203A">
        <w:rPr>
          <w:rFonts w:ascii="Palatino Linotype" w:hAnsi="Palatino Linotype"/>
          <w:i/>
          <w:color w:val="000000" w:themeColor="text1"/>
        </w:rPr>
        <w:t>A NEGATIVA A ENTREGARME LA INFORMACIÓN PUBLICA QUE EL SUJETO OBLIGADO DEBE TENER EN TÉRMINOS DE LO DISPUESTO POR EL ARTICULO 92 FRACCIONES VIII, X Y XI de la Ley de Transparencia y acceso a la información pública del Estado de México y municipios, ya que al mencionar el sujeto obligado (AYUNTAMIENTO DE TENANCINGO, ESTADO DE MÉXICO) a través de una de sus áreas que no cuenta con la información solicitada, jurídicamente se me está negando la misma.</w:t>
      </w:r>
      <w:r w:rsidRPr="004E203A">
        <w:rPr>
          <w:rFonts w:ascii="Palatino Linotype" w:eastAsia="Palatino Linotype" w:hAnsi="Palatino Linotype" w:cs="Palatino Linotype"/>
          <w:i/>
          <w:color w:val="000000" w:themeColor="text1"/>
        </w:rPr>
        <w:t>” (Sic.)</w:t>
      </w:r>
    </w:p>
    <w:p w14:paraId="036083B2" w14:textId="77777777" w:rsidR="00294244" w:rsidRPr="004E203A" w:rsidRDefault="00294244" w:rsidP="00A36C68">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p>
    <w:p w14:paraId="28A90022" w14:textId="4C62D8A4" w:rsidR="00EB0F49" w:rsidRPr="004E203A" w:rsidRDefault="001D3081"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bookmarkStart w:id="4" w:name="_heading=h.3znysh7" w:colFirst="0" w:colLast="0"/>
      <w:bookmarkEnd w:id="4"/>
      <w:r w:rsidRPr="004E203A">
        <w:rPr>
          <w:rFonts w:ascii="Palatino Linotype" w:eastAsia="Palatino Linotype" w:hAnsi="Palatino Linotype" w:cs="Palatino Linotype"/>
          <w:b/>
          <w:color w:val="000000" w:themeColor="text1"/>
        </w:rPr>
        <w:t xml:space="preserve">Razones o Motivos de inconformidad: </w:t>
      </w:r>
      <w:r w:rsidRPr="004E203A">
        <w:rPr>
          <w:rFonts w:ascii="Palatino Linotype" w:eastAsia="Palatino Linotype" w:hAnsi="Palatino Linotype" w:cs="Palatino Linotype"/>
          <w:i/>
          <w:color w:val="000000" w:themeColor="text1"/>
        </w:rPr>
        <w:t>“</w:t>
      </w:r>
      <w:r w:rsidR="00B05B5E" w:rsidRPr="004E203A">
        <w:rPr>
          <w:rFonts w:ascii="Palatino Linotype" w:hAnsi="Palatino Linotype"/>
          <w:i/>
          <w:color w:val="000000" w:themeColor="text1"/>
        </w:rPr>
        <w:t xml:space="preserve">A pesar de que el sujeto obligado emite una respuesta a través de un oficio signado por la Lic. Guadalupe Evencio Lara Vallejo, Coordinadora de Recursos Humanos del Ayuntamiento de Tenancingo, México, también es cierto que en dicho oficio señala que “…me permito informarle que, derivado de una búsqueda exhaustiva en los archivos que obran en esta Coordinación de Recursos Humanos a mi cargo, no se encontró información.” Por lo que Jurídicamente se me está negando la información solicitada a pesar de que el Ayuntamiento de Tenancingo, México tiene la obligación de contar con la información solicitada en términos de lo dispuesto por el artículo 92 fracciones VIII, X y XI, de la Ley de Transparencia y acceso a la información pública del </w:t>
      </w:r>
      <w:r w:rsidR="00B05B5E" w:rsidRPr="004E203A">
        <w:rPr>
          <w:rFonts w:ascii="Palatino Linotype" w:hAnsi="Palatino Linotype"/>
          <w:i/>
          <w:color w:val="000000" w:themeColor="text1"/>
        </w:rPr>
        <w:lastRenderedPageBreak/>
        <w:t>Estado de México y municipios. Incluso es obligación del sujeto obligado poner a disposición de manera permanente en los respectivos medios electrónicos POR LO QUE AL CONTESTAR UN ÁREA DEL SUJETO OBLIGADO QUE NO TIENE ESA INFORMACIÓN, JURÍDICAMENTE ESTÁ NEGANDO LA INFORMACIÓN PÚBLICA SOLICITADA. Por lo que la determinación del sujeto obligado solo es una práctica o táctica dilatoria para evitar que el suscrito acceda a la información pública solicitada. Debo decir que, se supone que la coordinadora de Transparencia y acceso a la Información del Ayuntamiento de Tenancingo, México (sujeto obligado) tiene conocimiento de las funciones de las áreas del Ayuntamiento y por ello no solo debió requerirle la información solicitada a la Coordinación de Recursos Humanos, sino también a la Tesorería Municipal que es el área que se encarga del manejo de las nóminas del Ayuntamiento. Lo anterior en términos de lo dispuesto por el artículo 162 de la Ley de Transparencia y acceso a la información pública del Estado de México y municipios. Por lo que a consideración del suscrito el sujeto obligado a través de la coordinadora de transparencia LIC. KAREN ALONDRA MEJIA GUARDIAN, se está conduciendo con deslealtad, dolo y mala fe al negárseme la información solicitada o en el mejor de los casos al hacer uso de esta práctica dilatoria. Por lo que en su momento considero deberá hacerlo del conocimiento del órgano de control interno del Ayuntamiento de Tenancingo, México para que éste inicie el procedimiento de responsabilidad respectivo Bajo este contexto se debe declarar procedente el recurso de revisión interpuesto y ordenar al sujeto obligado haga entrega de la información pública en los términos solicitados.</w:t>
      </w:r>
      <w:r w:rsidRPr="004E203A">
        <w:rPr>
          <w:rFonts w:ascii="Palatino Linotype" w:eastAsia="Palatino Linotype" w:hAnsi="Palatino Linotype" w:cs="Palatino Linotype"/>
          <w:i/>
          <w:color w:val="000000" w:themeColor="text1"/>
        </w:rPr>
        <w:t>” (Sic.)</w:t>
      </w:r>
    </w:p>
    <w:p w14:paraId="7676E23A" w14:textId="77777777" w:rsidR="00EB0F49" w:rsidRPr="004E203A" w:rsidRDefault="00EB0F49" w:rsidP="00A36C68">
      <w:pPr>
        <w:tabs>
          <w:tab w:val="left" w:pos="0"/>
        </w:tabs>
        <w:spacing w:line="360" w:lineRule="auto"/>
        <w:rPr>
          <w:rFonts w:ascii="Palatino Linotype" w:eastAsia="Palatino Linotype" w:hAnsi="Palatino Linotype" w:cs="Palatino Linotype"/>
          <w:i/>
          <w:color w:val="000000" w:themeColor="text1"/>
        </w:rPr>
      </w:pPr>
    </w:p>
    <w:p w14:paraId="49D1CF05" w14:textId="6CB16333"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4E203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4E203A">
        <w:rPr>
          <w:rFonts w:ascii="Palatino Linotype" w:eastAsia="Palatino Linotype" w:hAnsi="Palatino Linotype" w:cs="Palatino Linotype"/>
          <w:color w:val="000000" w:themeColor="text1"/>
        </w:rPr>
        <w:t>del</w:t>
      </w:r>
      <w:r w:rsidRPr="004E203A">
        <w:rPr>
          <w:rFonts w:ascii="Palatino Linotype" w:eastAsia="Palatino Linotype" w:hAnsi="Palatino Linotype" w:cs="Palatino Linotype"/>
          <w:color w:val="000000" w:themeColor="text1"/>
        </w:rPr>
        <w:t xml:space="preserve"> </w:t>
      </w:r>
      <w:r w:rsidR="00B05B5E" w:rsidRPr="004E203A">
        <w:rPr>
          <w:rFonts w:ascii="Palatino Linotype" w:eastAsia="Palatino Linotype" w:hAnsi="Palatino Linotype" w:cs="Palatino Linotype"/>
          <w:b/>
          <w:color w:val="000000" w:themeColor="text1"/>
        </w:rPr>
        <w:t>doce de febrero</w:t>
      </w:r>
      <w:r w:rsidRPr="004E203A">
        <w:rPr>
          <w:rFonts w:ascii="Palatino Linotype" w:eastAsia="Palatino Linotype" w:hAnsi="Palatino Linotype" w:cs="Palatino Linotype"/>
          <w:b/>
          <w:color w:val="000000" w:themeColor="text1"/>
        </w:rPr>
        <w:t xml:space="preserve"> de dos mil veinticinco</w:t>
      </w:r>
      <w:r w:rsidRPr="004E203A">
        <w:rPr>
          <w:rFonts w:ascii="Palatino Linotype" w:eastAsia="Palatino Linotype" w:hAnsi="Palatino Linotype" w:cs="Palatino Linotype"/>
          <w:color w:val="000000" w:themeColor="text1"/>
        </w:rPr>
        <w:t xml:space="preserve">, puso a disposición de las partes el expediente electrónico vía </w:t>
      </w:r>
      <w:r w:rsidRPr="004E203A">
        <w:rPr>
          <w:rFonts w:ascii="Palatino Linotype" w:eastAsia="Palatino Linotype" w:hAnsi="Palatino Linotype" w:cs="Palatino Linotype"/>
          <w:b/>
          <w:color w:val="000000" w:themeColor="text1"/>
        </w:rPr>
        <w:t xml:space="preserve">SAIMEX </w:t>
      </w:r>
      <w:r w:rsidRPr="004E203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presentará el Informe Justificado procedente.</w:t>
      </w:r>
    </w:p>
    <w:p w14:paraId="10FFC7B7" w14:textId="77777777" w:rsidR="00EB0F49" w:rsidRPr="004E203A" w:rsidRDefault="00EB0F49" w:rsidP="00A36C68">
      <w:pPr>
        <w:tabs>
          <w:tab w:val="left" w:pos="0"/>
        </w:tabs>
        <w:rPr>
          <w:rFonts w:ascii="Palatino Linotype" w:hAnsi="Palatino Linotype"/>
          <w:color w:val="000000" w:themeColor="text1"/>
        </w:rPr>
      </w:pPr>
    </w:p>
    <w:p w14:paraId="6C378F4A" w14:textId="11AD681C" w:rsidR="00B05B5E" w:rsidRPr="004E203A" w:rsidRDefault="00D632F4"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4E203A">
        <w:rPr>
          <w:rFonts w:ascii="Palatino Linotype" w:eastAsia="Palatino Linotype" w:hAnsi="Palatino Linotype" w:cs="Palatino Linotype"/>
          <w:color w:val="000000" w:themeColor="text1"/>
        </w:rPr>
        <w:t>E</w:t>
      </w:r>
      <w:r w:rsidR="001D3081" w:rsidRPr="004E203A">
        <w:rPr>
          <w:rFonts w:ascii="Palatino Linotype" w:eastAsia="Palatino Linotype" w:hAnsi="Palatino Linotype" w:cs="Palatino Linotype"/>
          <w:color w:val="000000" w:themeColor="text1"/>
        </w:rPr>
        <w:t>l</w:t>
      </w:r>
      <w:r w:rsidR="00B05B5E" w:rsidRPr="004E203A">
        <w:rPr>
          <w:rFonts w:ascii="Palatino Linotype" w:eastAsia="Palatino Linotype" w:hAnsi="Palatino Linotype" w:cs="Palatino Linotype"/>
          <w:color w:val="000000" w:themeColor="text1"/>
        </w:rPr>
        <w:t xml:space="preserve"> veintiuno de febrero de dos mil veinticinco, el</w:t>
      </w:r>
      <w:r w:rsidR="001D3081" w:rsidRPr="004E203A">
        <w:rPr>
          <w:rFonts w:ascii="Palatino Linotype" w:eastAsia="Palatino Linotype" w:hAnsi="Palatino Linotype" w:cs="Palatino Linotype"/>
          <w:color w:val="000000" w:themeColor="text1"/>
        </w:rPr>
        <w:t xml:space="preserve"> </w:t>
      </w:r>
      <w:r w:rsidR="001D3081" w:rsidRPr="004E203A">
        <w:rPr>
          <w:rFonts w:ascii="Palatino Linotype" w:eastAsia="Palatino Linotype" w:hAnsi="Palatino Linotype" w:cs="Palatino Linotype"/>
          <w:b/>
          <w:color w:val="000000" w:themeColor="text1"/>
        </w:rPr>
        <w:t>SUJ</w:t>
      </w:r>
      <w:r w:rsidR="00294244" w:rsidRPr="004E203A">
        <w:rPr>
          <w:rFonts w:ascii="Palatino Linotype" w:eastAsia="Palatino Linotype" w:hAnsi="Palatino Linotype" w:cs="Palatino Linotype"/>
          <w:b/>
          <w:color w:val="000000" w:themeColor="text1"/>
        </w:rPr>
        <w:t xml:space="preserve">ETO OBLIGADO </w:t>
      </w:r>
      <w:r w:rsidR="00B05B5E" w:rsidRPr="004E203A">
        <w:rPr>
          <w:rFonts w:ascii="Palatino Linotype" w:eastAsia="Palatino Linotype" w:hAnsi="Palatino Linotype" w:cs="Palatino Linotype"/>
          <w:color w:val="000000" w:themeColor="text1"/>
        </w:rPr>
        <w:t>rindió</w:t>
      </w:r>
      <w:r w:rsidR="00294244" w:rsidRPr="004E203A">
        <w:rPr>
          <w:rFonts w:ascii="Palatino Linotype" w:eastAsia="Palatino Linotype" w:hAnsi="Palatino Linotype" w:cs="Palatino Linotype"/>
          <w:color w:val="000000" w:themeColor="text1"/>
        </w:rPr>
        <w:t xml:space="preserve"> el info</w:t>
      </w:r>
      <w:r w:rsidRPr="004E203A">
        <w:rPr>
          <w:rFonts w:ascii="Palatino Linotype" w:eastAsia="Palatino Linotype" w:hAnsi="Palatino Linotype" w:cs="Palatino Linotype"/>
          <w:color w:val="000000" w:themeColor="text1"/>
        </w:rPr>
        <w:t>r</w:t>
      </w:r>
      <w:r w:rsidR="00B05B5E" w:rsidRPr="004E203A">
        <w:rPr>
          <w:rFonts w:ascii="Palatino Linotype" w:eastAsia="Palatino Linotype" w:hAnsi="Palatino Linotype" w:cs="Palatino Linotype"/>
          <w:color w:val="000000" w:themeColor="text1"/>
        </w:rPr>
        <w:t xml:space="preserve">me justificado correspondiente por medio del archivo electrónico denominado </w:t>
      </w:r>
      <w:r w:rsidR="00B05B5E" w:rsidRPr="004E203A">
        <w:rPr>
          <w:rFonts w:ascii="Palatino Linotype" w:eastAsia="Palatino Linotype" w:hAnsi="Palatino Linotype" w:cs="Palatino Linotype"/>
          <w:color w:val="000000" w:themeColor="text1"/>
        </w:rPr>
        <w:lastRenderedPageBreak/>
        <w:t xml:space="preserve">RR0723.pdf, consistente en </w:t>
      </w:r>
      <w:r w:rsidR="00FD008D" w:rsidRPr="004E203A">
        <w:rPr>
          <w:rFonts w:ascii="Palatino Linotype" w:eastAsia="Palatino Linotype" w:hAnsi="Palatino Linotype" w:cs="Palatino Linotype"/>
          <w:color w:val="000000" w:themeColor="text1"/>
        </w:rPr>
        <w:t xml:space="preserve">el oficio MTM058/DA/163/2025, suscrito por la Directora de Administración, por medio del cual, </w:t>
      </w:r>
      <w:r w:rsidR="00FD008D" w:rsidRPr="004E203A">
        <w:rPr>
          <w:rFonts w:ascii="Palatino Linotype" w:eastAsia="Palatino Linotype" w:hAnsi="Palatino Linotype" w:cs="Palatino Linotype"/>
          <w:b/>
          <w:color w:val="000000" w:themeColor="text1"/>
        </w:rPr>
        <w:t>refirió poner a disposición los documentos solicitados mediante consulta directa.</w:t>
      </w:r>
    </w:p>
    <w:p w14:paraId="315617CB" w14:textId="77777777" w:rsidR="00B05B5E" w:rsidRPr="004E203A" w:rsidRDefault="00B05B5E" w:rsidP="00A36C68">
      <w:pPr>
        <w:tabs>
          <w:tab w:val="left" w:pos="0"/>
        </w:tabs>
        <w:rPr>
          <w:rFonts w:ascii="Palatino Linotype" w:eastAsia="Palatino Linotype" w:hAnsi="Palatino Linotype" w:cs="Palatino Linotype"/>
          <w:color w:val="000000" w:themeColor="text1"/>
        </w:rPr>
      </w:pPr>
    </w:p>
    <w:p w14:paraId="11093A44" w14:textId="5B89C234" w:rsidR="00EB0F49" w:rsidRPr="004E203A" w:rsidRDefault="00B05B5E"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P</w:t>
      </w:r>
      <w:r w:rsidR="00294244" w:rsidRPr="004E203A">
        <w:rPr>
          <w:rFonts w:ascii="Palatino Linotype" w:eastAsia="Palatino Linotype" w:hAnsi="Palatino Linotype" w:cs="Palatino Linotype"/>
          <w:color w:val="000000" w:themeColor="text1"/>
        </w:rPr>
        <w:t xml:space="preserve">or su parte, </w:t>
      </w:r>
      <w:r w:rsidR="001D3081" w:rsidRPr="004E203A">
        <w:rPr>
          <w:rFonts w:ascii="Palatino Linotype" w:eastAsia="Palatino Linotype" w:hAnsi="Palatino Linotype" w:cs="Palatino Linotype"/>
          <w:color w:val="000000" w:themeColor="text1"/>
        </w:rPr>
        <w:t>el</w:t>
      </w:r>
      <w:r w:rsidR="001D3081" w:rsidRPr="004E203A">
        <w:rPr>
          <w:rFonts w:ascii="Palatino Linotype" w:eastAsia="Palatino Linotype" w:hAnsi="Palatino Linotype" w:cs="Palatino Linotype"/>
          <w:b/>
          <w:color w:val="000000" w:themeColor="text1"/>
        </w:rPr>
        <w:t xml:space="preserve"> RECURRENTE </w:t>
      </w:r>
      <w:r w:rsidR="00294244" w:rsidRPr="004E203A">
        <w:rPr>
          <w:rFonts w:ascii="Palatino Linotype" w:eastAsia="Palatino Linotype" w:hAnsi="Palatino Linotype" w:cs="Palatino Linotype"/>
          <w:color w:val="000000" w:themeColor="text1"/>
        </w:rPr>
        <w:t xml:space="preserve">dejó </w:t>
      </w:r>
      <w:r w:rsidR="001D3081" w:rsidRPr="004E203A">
        <w:rPr>
          <w:rFonts w:ascii="Palatino Linotype" w:eastAsia="Palatino Linotype" w:hAnsi="Palatino Linotype" w:cs="Palatino Linotype"/>
          <w:color w:val="000000" w:themeColor="text1"/>
        </w:rPr>
        <w:t xml:space="preserve">de realizar manifestaciones que a su derecho conviniera y asistiera. </w:t>
      </w:r>
    </w:p>
    <w:p w14:paraId="2A0CFB6D" w14:textId="77777777" w:rsidR="00EB0F49" w:rsidRPr="004E203A" w:rsidRDefault="00EB0F49" w:rsidP="00A36C68">
      <w:pPr>
        <w:pBdr>
          <w:top w:val="nil"/>
          <w:left w:val="nil"/>
          <w:bottom w:val="nil"/>
          <w:right w:val="nil"/>
          <w:between w:val="nil"/>
        </w:pBdr>
        <w:tabs>
          <w:tab w:val="left" w:pos="0"/>
        </w:tabs>
        <w:rPr>
          <w:rFonts w:ascii="Palatino Linotype" w:eastAsia="Palatino Linotype" w:hAnsi="Palatino Linotype" w:cs="Palatino Linotype"/>
          <w:i/>
          <w:color w:val="000000" w:themeColor="text1"/>
        </w:rPr>
      </w:pPr>
    </w:p>
    <w:p w14:paraId="4F164B54" w14:textId="5C3A792E" w:rsidR="00EB0F49" w:rsidRPr="004E203A" w:rsidRDefault="001D3081" w:rsidP="00A36C68">
      <w:pPr>
        <w:numPr>
          <w:ilvl w:val="0"/>
          <w:numId w:val="11"/>
        </w:numPr>
        <w:tabs>
          <w:tab w:val="left" w:pos="0"/>
        </w:tabs>
        <w:spacing w:line="360" w:lineRule="auto"/>
        <w:jc w:val="both"/>
        <w:rPr>
          <w:rFonts w:ascii="Palatino Linotype" w:hAnsi="Palatino Linotype"/>
          <w:color w:val="000000" w:themeColor="text1"/>
        </w:rPr>
      </w:pPr>
      <w:r w:rsidRPr="004E203A">
        <w:rPr>
          <w:rFonts w:ascii="Palatino Linotype" w:eastAsia="Palatino Linotype" w:hAnsi="Palatino Linotype" w:cs="Palatino Linotype"/>
          <w:color w:val="000000" w:themeColor="text1"/>
        </w:rPr>
        <w:t xml:space="preserve">El </w:t>
      </w:r>
      <w:r w:rsidR="00D632F4" w:rsidRPr="004E203A">
        <w:rPr>
          <w:rFonts w:ascii="Palatino Linotype" w:eastAsia="Palatino Linotype" w:hAnsi="Palatino Linotype" w:cs="Palatino Linotype"/>
          <w:b/>
          <w:color w:val="000000" w:themeColor="text1"/>
        </w:rPr>
        <w:t xml:space="preserve">veinte </w:t>
      </w:r>
      <w:r w:rsidR="00294244" w:rsidRPr="004E203A">
        <w:rPr>
          <w:rFonts w:ascii="Palatino Linotype" w:eastAsia="Palatino Linotype" w:hAnsi="Palatino Linotype" w:cs="Palatino Linotype"/>
          <w:b/>
          <w:color w:val="000000" w:themeColor="text1"/>
        </w:rPr>
        <w:t>de mayo</w:t>
      </w:r>
      <w:r w:rsidRPr="004E203A">
        <w:rPr>
          <w:rFonts w:ascii="Palatino Linotype" w:eastAsia="Palatino Linotype" w:hAnsi="Palatino Linotype" w:cs="Palatino Linotype"/>
          <w:b/>
          <w:color w:val="000000" w:themeColor="text1"/>
        </w:rPr>
        <w:t xml:space="preserve"> de dos mil veinticinco</w:t>
      </w:r>
      <w:r w:rsidRPr="004E203A">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14:paraId="2554C157" w14:textId="77777777" w:rsidR="00EB0F49" w:rsidRPr="004E203A" w:rsidRDefault="00EB0F49" w:rsidP="00A36C68">
      <w:pPr>
        <w:tabs>
          <w:tab w:val="left" w:pos="0"/>
        </w:tabs>
        <w:spacing w:line="360" w:lineRule="auto"/>
        <w:jc w:val="both"/>
        <w:rPr>
          <w:rFonts w:ascii="Palatino Linotype" w:eastAsia="Palatino Linotype" w:hAnsi="Palatino Linotype" w:cs="Palatino Linotype"/>
          <w:color w:val="000000" w:themeColor="text1"/>
        </w:rPr>
      </w:pPr>
    </w:p>
    <w:p w14:paraId="3F89E8B1" w14:textId="65ACEB04"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Final</w:t>
      </w:r>
      <w:r w:rsidR="00294244" w:rsidRPr="004E203A">
        <w:rPr>
          <w:rFonts w:ascii="Palatino Linotype" w:eastAsia="Palatino Linotype" w:hAnsi="Palatino Linotype" w:cs="Palatino Linotype"/>
          <w:color w:val="000000" w:themeColor="text1"/>
        </w:rPr>
        <w:t xml:space="preserve">mente, mediante acuerdo del </w:t>
      </w:r>
      <w:r w:rsidR="00D632F4" w:rsidRPr="004E203A">
        <w:rPr>
          <w:rFonts w:ascii="Palatino Linotype" w:eastAsia="Palatino Linotype" w:hAnsi="Palatino Linotype" w:cs="Palatino Linotype"/>
          <w:b/>
          <w:color w:val="000000" w:themeColor="text1"/>
        </w:rPr>
        <w:t>veinte</w:t>
      </w:r>
      <w:r w:rsidR="00294244" w:rsidRPr="004E203A">
        <w:rPr>
          <w:rFonts w:ascii="Palatino Linotype" w:eastAsia="Palatino Linotype" w:hAnsi="Palatino Linotype" w:cs="Palatino Linotype"/>
          <w:b/>
          <w:color w:val="000000" w:themeColor="text1"/>
        </w:rPr>
        <w:t xml:space="preserve"> de mayo</w:t>
      </w:r>
      <w:r w:rsidR="00294244" w:rsidRPr="004E203A">
        <w:rPr>
          <w:rFonts w:ascii="Palatino Linotype" w:eastAsia="Palatino Linotype" w:hAnsi="Palatino Linotype" w:cs="Palatino Linotype"/>
          <w:color w:val="000000" w:themeColor="text1"/>
        </w:rPr>
        <w:t xml:space="preserve"> </w:t>
      </w:r>
      <w:r w:rsidRPr="004E203A">
        <w:rPr>
          <w:rFonts w:ascii="Palatino Linotype" w:eastAsia="Palatino Linotype" w:hAnsi="Palatino Linotype" w:cs="Palatino Linotype"/>
          <w:b/>
          <w:color w:val="000000" w:themeColor="text1"/>
        </w:rPr>
        <w:t>de dos mil veinticinco</w:t>
      </w:r>
      <w:r w:rsidRPr="004E203A">
        <w:rPr>
          <w:rFonts w:ascii="Palatino Linotype" w:eastAsia="Palatino Linotype" w:hAnsi="Palatino Linotype" w:cs="Palatino Linotype"/>
          <w:color w:val="000000" w:themeColor="text1"/>
        </w:rPr>
        <w:t>, se decretó el cierre de instrucción, por lo que no habiendo más qu</w:t>
      </w:r>
      <w:r w:rsidR="00A36C68" w:rsidRPr="004E203A">
        <w:rPr>
          <w:rFonts w:ascii="Palatino Linotype" w:eastAsia="Palatino Linotype" w:hAnsi="Palatino Linotype" w:cs="Palatino Linotype"/>
          <w:color w:val="000000" w:themeColor="text1"/>
        </w:rPr>
        <w:t>e hacer constar, y</w:t>
      </w:r>
    </w:p>
    <w:p w14:paraId="28B0B015" w14:textId="77777777" w:rsidR="00EB0F49" w:rsidRPr="004E203A" w:rsidRDefault="00EB0F49"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D5FF10B" w14:textId="77777777" w:rsidR="00EB0F49" w:rsidRPr="004E203A" w:rsidRDefault="001D3081" w:rsidP="00A36C68">
      <w:pPr>
        <w:pStyle w:val="Ttulo1"/>
        <w:tabs>
          <w:tab w:val="left" w:pos="0"/>
          <w:tab w:val="left" w:pos="567"/>
        </w:tabs>
        <w:spacing w:before="0" w:line="360" w:lineRule="auto"/>
        <w:jc w:val="center"/>
        <w:rPr>
          <w:szCs w:val="24"/>
        </w:rPr>
      </w:pPr>
      <w:bookmarkStart w:id="6" w:name="_heading=h.tyjcwt" w:colFirst="0" w:colLast="0"/>
      <w:bookmarkEnd w:id="6"/>
      <w:r w:rsidRPr="004E203A">
        <w:rPr>
          <w:szCs w:val="24"/>
        </w:rPr>
        <w:t>C O N S I D E R A N D O</w:t>
      </w:r>
    </w:p>
    <w:p w14:paraId="04AEFD8E" w14:textId="77777777" w:rsidR="00EB0F49" w:rsidRPr="004E203A" w:rsidRDefault="00EB0F49" w:rsidP="00A36C68">
      <w:pPr>
        <w:tabs>
          <w:tab w:val="left" w:pos="0"/>
        </w:tabs>
        <w:spacing w:line="360" w:lineRule="auto"/>
        <w:rPr>
          <w:rFonts w:ascii="Palatino Linotype" w:eastAsia="Palatino Linotype" w:hAnsi="Palatino Linotype" w:cs="Palatino Linotype"/>
          <w:color w:val="000000" w:themeColor="text1"/>
        </w:rPr>
      </w:pPr>
    </w:p>
    <w:p w14:paraId="4841D9CC" w14:textId="77777777" w:rsidR="00EB0F49" w:rsidRPr="004E203A" w:rsidRDefault="001D3081" w:rsidP="00A36C68">
      <w:pPr>
        <w:pStyle w:val="Ttulo1"/>
        <w:tabs>
          <w:tab w:val="left" w:pos="0"/>
          <w:tab w:val="left" w:pos="567"/>
        </w:tabs>
        <w:spacing w:before="0" w:line="360" w:lineRule="auto"/>
        <w:rPr>
          <w:b w:val="0"/>
          <w:szCs w:val="24"/>
        </w:rPr>
      </w:pPr>
      <w:bookmarkStart w:id="7" w:name="_heading=h.3dy6vkm" w:colFirst="0" w:colLast="0"/>
      <w:bookmarkEnd w:id="7"/>
      <w:r w:rsidRPr="004E203A">
        <w:rPr>
          <w:szCs w:val="24"/>
        </w:rPr>
        <w:t>PRIMERO. De la competencia</w:t>
      </w:r>
    </w:p>
    <w:p w14:paraId="214D3D34" w14:textId="77777777" w:rsidR="00EB0F49" w:rsidRPr="004E203A" w:rsidRDefault="001D3081"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4E203A">
        <w:rPr>
          <w:rFonts w:ascii="Palatino Linotype" w:eastAsia="Palatino Linotype" w:hAnsi="Palatino Linotype" w:cs="Palatino Linotype"/>
          <w:b/>
          <w:color w:val="000000" w:themeColor="text1"/>
        </w:rPr>
        <w:t>Constitución Política de los Estados Unidos Mexicanos</w:t>
      </w:r>
      <w:r w:rsidRPr="004E203A">
        <w:rPr>
          <w:rFonts w:ascii="Palatino Linotype" w:eastAsia="Palatino Linotype" w:hAnsi="Palatino Linotype" w:cs="Palatino Linotype"/>
          <w:color w:val="000000" w:themeColor="text1"/>
        </w:rPr>
        <w:t>; 5, párrafos trigésimo segundo, trigésimo tercero y trigésimo cuarto fracciones IV y V de la </w:t>
      </w:r>
      <w:r w:rsidRPr="004E203A">
        <w:rPr>
          <w:rFonts w:ascii="Palatino Linotype" w:eastAsia="Palatino Linotype" w:hAnsi="Palatino Linotype" w:cs="Palatino Linotype"/>
          <w:b/>
          <w:color w:val="000000" w:themeColor="text1"/>
        </w:rPr>
        <w:t>Constitución Política del Estado Libre y Soberano de México</w:t>
      </w:r>
      <w:r w:rsidRPr="004E203A">
        <w:rPr>
          <w:rFonts w:ascii="Palatino Linotype" w:eastAsia="Palatino Linotype" w:hAnsi="Palatino Linotype" w:cs="Palatino Linotype"/>
          <w:color w:val="000000" w:themeColor="text1"/>
        </w:rPr>
        <w:t>; artículos 1, 2 fracción II, 13, 29, 36 fracciones I y II, 176, 178, 179, 181 párrafo tercero y 185 de la </w:t>
      </w:r>
      <w:r w:rsidRPr="004E203A">
        <w:rPr>
          <w:rFonts w:ascii="Palatino Linotype" w:eastAsia="Palatino Linotype" w:hAnsi="Palatino Linotype" w:cs="Palatino Linotype"/>
          <w:b/>
          <w:color w:val="000000" w:themeColor="text1"/>
        </w:rPr>
        <w:t>Ley de Transparencia y Acceso a la Información Pública del Estado de México y Municipios</w:t>
      </w:r>
      <w:r w:rsidRPr="004E203A">
        <w:rPr>
          <w:rFonts w:ascii="Palatino Linotype" w:eastAsia="Palatino Linotype" w:hAnsi="Palatino Linotype" w:cs="Palatino Linotype"/>
          <w:color w:val="000000" w:themeColor="text1"/>
        </w:rPr>
        <w:t xml:space="preserve">; y 7, 9 fracciones I </w:t>
      </w:r>
      <w:r w:rsidRPr="004E203A">
        <w:rPr>
          <w:rFonts w:ascii="Palatino Linotype" w:eastAsia="Palatino Linotype" w:hAnsi="Palatino Linotype" w:cs="Palatino Linotype"/>
          <w:color w:val="000000" w:themeColor="text1"/>
        </w:rPr>
        <w:lastRenderedPageBreak/>
        <w:t>y XXIII, y 11 del </w:t>
      </w:r>
      <w:r w:rsidRPr="004E203A">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4E203A">
        <w:rPr>
          <w:rFonts w:ascii="Palatino Linotype" w:eastAsia="Palatino Linotype" w:hAnsi="Palatino Linotype" w:cs="Palatino Linotype"/>
          <w:color w:val="000000" w:themeColor="text1"/>
        </w:rPr>
        <w:t>.</w:t>
      </w:r>
    </w:p>
    <w:p w14:paraId="2B31C26B" w14:textId="77777777" w:rsidR="00EB0F49" w:rsidRPr="004E203A" w:rsidRDefault="00EB0F49"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2EFC4423" w14:textId="77777777" w:rsidR="00EB0F49" w:rsidRPr="004E203A" w:rsidRDefault="001D3081" w:rsidP="00A36C68">
      <w:pPr>
        <w:pStyle w:val="Ttulo2"/>
        <w:tabs>
          <w:tab w:val="left" w:pos="0"/>
        </w:tabs>
        <w:spacing w:before="0" w:line="360" w:lineRule="auto"/>
        <w:rPr>
          <w:szCs w:val="24"/>
        </w:rPr>
      </w:pPr>
      <w:bookmarkStart w:id="8" w:name="_heading=h.1t3h5sf" w:colFirst="0" w:colLast="0"/>
      <w:bookmarkEnd w:id="8"/>
      <w:r w:rsidRPr="004E203A">
        <w:rPr>
          <w:szCs w:val="24"/>
        </w:rPr>
        <w:t>SEGUNDO. De la oportunidad y procedencia.</w:t>
      </w:r>
    </w:p>
    <w:p w14:paraId="1ECEAE36" w14:textId="77777777" w:rsidR="00EB0F49" w:rsidRPr="004E203A" w:rsidRDefault="00EB0F49" w:rsidP="00A36C68">
      <w:pPr>
        <w:tabs>
          <w:tab w:val="left" w:pos="0"/>
        </w:tabs>
        <w:rPr>
          <w:rFonts w:ascii="Palatino Linotype" w:hAnsi="Palatino Linotype"/>
          <w:color w:val="000000" w:themeColor="text1"/>
        </w:rPr>
      </w:pPr>
    </w:p>
    <w:p w14:paraId="79FE09A2" w14:textId="0C6FDB0E"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 El medio de impugnación fue presentado a través del </w:t>
      </w:r>
      <w:r w:rsidRPr="004E203A">
        <w:rPr>
          <w:rFonts w:ascii="Palatino Linotype" w:eastAsia="Palatino Linotype" w:hAnsi="Palatino Linotype" w:cs="Palatino Linotype"/>
          <w:b/>
          <w:color w:val="000000" w:themeColor="text1"/>
        </w:rPr>
        <w:t>SAIMEX,</w:t>
      </w:r>
      <w:r w:rsidRPr="004E203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entregó su respuesta el </w:t>
      </w:r>
      <w:r w:rsidR="00D632F4" w:rsidRPr="004E203A">
        <w:rPr>
          <w:rFonts w:ascii="Palatino Linotype" w:eastAsia="Palatino Linotype" w:hAnsi="Palatino Linotype" w:cs="Palatino Linotype"/>
          <w:b/>
          <w:color w:val="000000" w:themeColor="text1"/>
        </w:rPr>
        <w:t>cuatro de febrero</w:t>
      </w:r>
      <w:r w:rsidRPr="004E203A">
        <w:rPr>
          <w:rFonts w:ascii="Palatino Linotype" w:eastAsia="Palatino Linotype" w:hAnsi="Palatino Linotype" w:cs="Palatino Linotype"/>
          <w:b/>
          <w:color w:val="000000" w:themeColor="text1"/>
        </w:rPr>
        <w:t xml:space="preserve"> de dos mil veinticinco</w:t>
      </w:r>
      <w:r w:rsidRPr="004E203A">
        <w:rPr>
          <w:rFonts w:ascii="Palatino Linotype" w:eastAsia="Palatino Linotype" w:hAnsi="Palatino Linotype" w:cs="Palatino Linotype"/>
          <w:color w:val="000000" w:themeColor="text1"/>
        </w:rPr>
        <w:t xml:space="preserve">, de tal forma que el plazo para interponer el recurso de revisión transcurrió del </w:t>
      </w:r>
      <w:r w:rsidR="00D632F4" w:rsidRPr="004E203A">
        <w:rPr>
          <w:rFonts w:ascii="Palatino Linotype" w:eastAsia="Palatino Linotype" w:hAnsi="Palatino Linotype" w:cs="Palatino Linotype"/>
          <w:b/>
          <w:color w:val="000000" w:themeColor="text1"/>
        </w:rPr>
        <w:t>cinco</w:t>
      </w:r>
      <w:r w:rsidR="00676985"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b/>
          <w:color w:val="000000" w:themeColor="text1"/>
        </w:rPr>
        <w:t>al v</w:t>
      </w:r>
      <w:r w:rsidR="00D632F4" w:rsidRPr="004E203A">
        <w:rPr>
          <w:rFonts w:ascii="Palatino Linotype" w:eastAsia="Palatino Linotype" w:hAnsi="Palatino Linotype" w:cs="Palatino Linotype"/>
          <w:b/>
          <w:color w:val="000000" w:themeColor="text1"/>
        </w:rPr>
        <w:t>einticinco</w:t>
      </w:r>
      <w:r w:rsidRPr="004E203A">
        <w:rPr>
          <w:rFonts w:ascii="Palatino Linotype" w:eastAsia="Palatino Linotype" w:hAnsi="Palatino Linotype" w:cs="Palatino Linotype"/>
          <w:b/>
          <w:color w:val="000000" w:themeColor="text1"/>
        </w:rPr>
        <w:t xml:space="preserve"> de febrero de dos mil veinticinco</w:t>
      </w:r>
      <w:r w:rsidRPr="004E203A">
        <w:rPr>
          <w:rFonts w:ascii="Palatino Linotype" w:eastAsia="Palatino Linotype" w:hAnsi="Palatino Linotype" w:cs="Palatino Linotype"/>
          <w:color w:val="000000" w:themeColor="text1"/>
        </w:rPr>
        <w:t xml:space="preserve">; en consecuencia, el ahora </w:t>
      </w:r>
      <w:r w:rsidRPr="004E203A">
        <w:rPr>
          <w:rFonts w:ascii="Palatino Linotype" w:eastAsia="Palatino Linotype" w:hAnsi="Palatino Linotype" w:cs="Palatino Linotype"/>
          <w:b/>
          <w:color w:val="000000" w:themeColor="text1"/>
        </w:rPr>
        <w:t>RECURRENTE</w:t>
      </w:r>
      <w:r w:rsidRPr="004E203A">
        <w:rPr>
          <w:rFonts w:ascii="Palatino Linotype" w:eastAsia="Palatino Linotype" w:hAnsi="Palatino Linotype" w:cs="Palatino Linotype"/>
          <w:color w:val="000000" w:themeColor="text1"/>
        </w:rPr>
        <w:t xml:space="preserve"> presentó su inconformidad el </w:t>
      </w:r>
      <w:r w:rsidR="00D632F4" w:rsidRPr="004E203A">
        <w:rPr>
          <w:rFonts w:ascii="Palatino Linotype" w:eastAsia="Palatino Linotype" w:hAnsi="Palatino Linotype" w:cs="Palatino Linotype"/>
          <w:b/>
          <w:color w:val="000000" w:themeColor="text1"/>
        </w:rPr>
        <w:t>seis</w:t>
      </w:r>
      <w:r w:rsidRPr="004E203A">
        <w:rPr>
          <w:rFonts w:ascii="Palatino Linotype" w:eastAsia="Palatino Linotype" w:hAnsi="Palatino Linotype" w:cs="Palatino Linotype"/>
          <w:b/>
          <w:color w:val="000000" w:themeColor="text1"/>
        </w:rPr>
        <w:t xml:space="preserve"> de febrero de dos mil veinticinco</w:t>
      </w:r>
      <w:r w:rsidRPr="004E203A">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21C478A6" w14:textId="77777777" w:rsidR="00EB0F49" w:rsidRPr="004E203A" w:rsidRDefault="00EB0F49"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7C1B830" w14:textId="1348C7AD" w:rsidR="00EB0F49" w:rsidRPr="004E203A" w:rsidRDefault="001D3081" w:rsidP="00A36C68">
      <w:pPr>
        <w:numPr>
          <w:ilvl w:val="0"/>
          <w:numId w:val="11"/>
        </w:numP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DB9EB55" w14:textId="77777777" w:rsidR="00EB0F49" w:rsidRPr="004E203A" w:rsidRDefault="00EB0F49" w:rsidP="00A36C68">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2085FC2A" w14:textId="77777777" w:rsidR="00EB0F49" w:rsidRPr="004E203A" w:rsidRDefault="001D3081"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4E203A" w:rsidRDefault="00EB0F49" w:rsidP="00A36C68">
      <w:pPr>
        <w:tabs>
          <w:tab w:val="left" w:pos="0"/>
        </w:tabs>
        <w:spacing w:line="360" w:lineRule="auto"/>
        <w:rPr>
          <w:rFonts w:ascii="Palatino Linotype" w:eastAsia="Palatino Linotype" w:hAnsi="Palatino Linotype" w:cs="Palatino Linotype"/>
          <w:color w:val="000000" w:themeColor="text1"/>
        </w:rPr>
      </w:pPr>
    </w:p>
    <w:p w14:paraId="3D5AE4F1" w14:textId="77777777" w:rsidR="00EB0F49" w:rsidRPr="004E203A" w:rsidRDefault="001D3081" w:rsidP="00A36C68">
      <w:pPr>
        <w:pStyle w:val="Ttulo1"/>
        <w:tabs>
          <w:tab w:val="left" w:pos="0"/>
        </w:tabs>
        <w:spacing w:before="0" w:line="360" w:lineRule="auto"/>
        <w:rPr>
          <w:szCs w:val="24"/>
        </w:rPr>
      </w:pPr>
      <w:r w:rsidRPr="004E203A">
        <w:rPr>
          <w:szCs w:val="24"/>
        </w:rPr>
        <w:t xml:space="preserve">TERCERO. Del planteamiento de la </w:t>
      </w:r>
      <w:r w:rsidRPr="004E203A">
        <w:rPr>
          <w:i/>
          <w:szCs w:val="24"/>
        </w:rPr>
        <w:t>Litis</w:t>
      </w:r>
      <w:r w:rsidRPr="004E203A">
        <w:rPr>
          <w:szCs w:val="24"/>
        </w:rPr>
        <w:t>.</w:t>
      </w:r>
    </w:p>
    <w:p w14:paraId="630DB9A1" w14:textId="77777777" w:rsidR="00676985" w:rsidRPr="004E203A" w:rsidRDefault="00676985" w:rsidP="00A36C68">
      <w:pPr>
        <w:tabs>
          <w:tab w:val="left" w:pos="0"/>
        </w:tabs>
        <w:rPr>
          <w:rFonts w:ascii="Palatino Linotype" w:hAnsi="Palatino Linotype"/>
          <w:color w:val="000000" w:themeColor="text1"/>
          <w:lang w:val="es-MX" w:eastAsia="en-US"/>
        </w:rPr>
      </w:pPr>
    </w:p>
    <w:p w14:paraId="0F09737B" w14:textId="77777777" w:rsidR="0066349A" w:rsidRPr="004E203A" w:rsidRDefault="00485C3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color w:val="000000" w:themeColor="text1"/>
        </w:rPr>
        <w:t xml:space="preserve">El </w:t>
      </w:r>
      <w:r w:rsidR="00676985" w:rsidRPr="004E203A">
        <w:rPr>
          <w:rFonts w:ascii="Palatino Linotype" w:eastAsia="Palatino Linotype" w:hAnsi="Palatino Linotype" w:cs="Palatino Linotype"/>
          <w:color w:val="000000" w:themeColor="text1"/>
        </w:rPr>
        <w:t>P</w:t>
      </w:r>
      <w:r w:rsidRPr="004E203A">
        <w:rPr>
          <w:rFonts w:ascii="Palatino Linotype" w:eastAsia="Palatino Linotype" w:hAnsi="Palatino Linotype" w:cs="Palatino Linotype"/>
          <w:color w:val="000000" w:themeColor="text1"/>
        </w:rPr>
        <w:t>articular solicitó</w:t>
      </w:r>
      <w:r w:rsidR="0066349A" w:rsidRPr="004E203A">
        <w:rPr>
          <w:rFonts w:ascii="Palatino Linotype" w:eastAsia="Palatino Linotype" w:hAnsi="Palatino Linotype" w:cs="Palatino Linotype"/>
          <w:color w:val="000000" w:themeColor="text1"/>
        </w:rPr>
        <w:t xml:space="preserve"> al Ayuntamiento de Tenancingo, de la primera quincena de enero de 2025:</w:t>
      </w:r>
    </w:p>
    <w:p w14:paraId="70F71C7F" w14:textId="77777777" w:rsidR="0066349A" w:rsidRPr="004E203A" w:rsidRDefault="0066349A" w:rsidP="00A36C68">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14:paraId="5821532C" w14:textId="77777777" w:rsidR="0066349A" w:rsidRPr="004E203A" w:rsidRDefault="0066349A" w:rsidP="00A36C68">
      <w:pPr>
        <w:pStyle w:val="Prrafodelista"/>
        <w:numPr>
          <w:ilvl w:val="0"/>
          <w:numId w:val="20"/>
        </w:numPr>
        <w:pBdr>
          <w:top w:val="nil"/>
          <w:left w:val="nil"/>
          <w:bottom w:val="nil"/>
          <w:right w:val="nil"/>
          <w:between w:val="nil"/>
        </w:pBdr>
        <w:tabs>
          <w:tab w:val="left" w:pos="0"/>
        </w:tabs>
        <w:ind w:left="567" w:firstLine="0"/>
        <w:jc w:val="both"/>
        <w:rPr>
          <w:rFonts w:ascii="Palatino Linotype" w:eastAsia="Palatino Linotype" w:hAnsi="Palatino Linotype" w:cs="Palatino Linotype"/>
          <w:b/>
          <w:i/>
          <w:color w:val="000000" w:themeColor="text1"/>
        </w:rPr>
      </w:pPr>
      <w:r w:rsidRPr="004E203A">
        <w:rPr>
          <w:rFonts w:ascii="Palatino Linotype" w:eastAsia="Palatino Linotype" w:hAnsi="Palatino Linotype" w:cs="Palatino Linotype"/>
          <w:b/>
          <w:color w:val="000000" w:themeColor="text1"/>
        </w:rPr>
        <w:t>Las remuneración bruta y neta de todos los Servidores Públicos; y</w:t>
      </w:r>
    </w:p>
    <w:p w14:paraId="5D65946F" w14:textId="77777777" w:rsidR="0066349A" w:rsidRPr="004E203A" w:rsidRDefault="0066349A" w:rsidP="00A36C68">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49857C7D" w14:textId="324D5FEB" w:rsidR="0066349A" w:rsidRPr="004E203A" w:rsidRDefault="0066349A" w:rsidP="00A36C68">
      <w:pPr>
        <w:pStyle w:val="Prrafodelista"/>
        <w:numPr>
          <w:ilvl w:val="0"/>
          <w:numId w:val="20"/>
        </w:numPr>
        <w:pBdr>
          <w:top w:val="nil"/>
          <w:left w:val="nil"/>
          <w:bottom w:val="nil"/>
          <w:right w:val="nil"/>
          <w:between w:val="nil"/>
        </w:pBdr>
        <w:tabs>
          <w:tab w:val="left" w:pos="0"/>
        </w:tabs>
        <w:ind w:left="567" w:firstLine="0"/>
        <w:jc w:val="both"/>
        <w:rPr>
          <w:rFonts w:ascii="Palatino Linotype" w:eastAsia="Palatino Linotype" w:hAnsi="Palatino Linotype" w:cs="Palatino Linotype"/>
          <w:b/>
          <w:i/>
          <w:color w:val="000000" w:themeColor="text1"/>
        </w:rPr>
      </w:pPr>
      <w:r w:rsidRPr="004E203A">
        <w:rPr>
          <w:rFonts w:ascii="Palatino Linotype" w:eastAsia="Palatino Linotype" w:hAnsi="Palatino Linotype" w:cs="Palatino Linotype"/>
          <w:b/>
          <w:color w:val="000000" w:themeColor="text1"/>
        </w:rPr>
        <w:t xml:space="preserve">Las contrataciones de servicios profesionales por honorarios, señalando el </w:t>
      </w:r>
      <w:r w:rsidRPr="004E203A">
        <w:rPr>
          <w:rFonts w:ascii="Palatino Linotype" w:hAnsi="Palatino Linotype"/>
          <w:b/>
          <w:color w:val="000000" w:themeColor="text1"/>
        </w:rPr>
        <w:t>nombre de los prestadores de servicios, los servicios contratados, el monto de los honorarios y el periodo de contratación, de los servidores públicos de base, confianza, de gratificación, de contrato, los contratados por servicios profesionales y por honorarios, por separado.</w:t>
      </w:r>
    </w:p>
    <w:p w14:paraId="1CFC4CE7" w14:textId="77777777" w:rsidR="0066349A" w:rsidRPr="004E203A" w:rsidRDefault="0066349A" w:rsidP="00A36C68">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p>
    <w:p w14:paraId="46E6F159" w14:textId="32890233" w:rsidR="0066349A"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color w:val="000000" w:themeColor="text1"/>
        </w:rPr>
        <w:t xml:space="preserve">En respuesta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w:t>
      </w:r>
      <w:r w:rsidR="0066349A" w:rsidRPr="004E203A">
        <w:rPr>
          <w:rFonts w:ascii="Palatino Linotype" w:eastAsia="Palatino Linotype" w:hAnsi="Palatino Linotype" w:cs="Palatino Linotype"/>
          <w:color w:val="000000" w:themeColor="text1"/>
        </w:rPr>
        <w:t>por medio de la Coordinadora de Recursos Humanos, refirió que derivado de una búsqueda exhaustiva en los archivos que obran en el área a su cargo, no se encontró la información.</w:t>
      </w:r>
    </w:p>
    <w:p w14:paraId="670534E2" w14:textId="77777777" w:rsidR="00473A26" w:rsidRPr="004E203A" w:rsidRDefault="00473A26"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3DDD0FBA" w14:textId="77777777" w:rsidR="00254E1E" w:rsidRPr="004E203A" w:rsidRDefault="00473A26"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color w:val="000000" w:themeColor="text1"/>
        </w:rPr>
        <w:t>Posteriormente</w:t>
      </w:r>
      <w:r w:rsidR="001D3081" w:rsidRPr="004E203A">
        <w:rPr>
          <w:rFonts w:ascii="Palatino Linotype" w:eastAsia="Palatino Linotype" w:hAnsi="Palatino Linotype" w:cs="Palatino Linotype"/>
          <w:color w:val="000000" w:themeColor="text1"/>
        </w:rPr>
        <w:t xml:space="preserve">, el </w:t>
      </w:r>
      <w:r w:rsidR="001D3081" w:rsidRPr="004E203A">
        <w:rPr>
          <w:rFonts w:ascii="Palatino Linotype" w:eastAsia="Palatino Linotype" w:hAnsi="Palatino Linotype" w:cs="Palatino Linotype"/>
          <w:b/>
          <w:color w:val="000000" w:themeColor="text1"/>
        </w:rPr>
        <w:t xml:space="preserve">RECURRENTE </w:t>
      </w:r>
      <w:r w:rsidR="001D3081" w:rsidRPr="004E203A">
        <w:rPr>
          <w:rFonts w:ascii="Palatino Linotype" w:eastAsia="Palatino Linotype" w:hAnsi="Palatino Linotype" w:cs="Palatino Linotype"/>
          <w:color w:val="000000" w:themeColor="text1"/>
        </w:rPr>
        <w:t xml:space="preserve">interpuso recurso de revisión </w:t>
      </w:r>
      <w:r w:rsidRPr="004E203A">
        <w:rPr>
          <w:rFonts w:ascii="Palatino Linotype" w:eastAsia="Palatino Linotype" w:hAnsi="Palatino Linotype" w:cs="Palatino Linotype"/>
          <w:color w:val="000000" w:themeColor="text1"/>
        </w:rPr>
        <w:t xml:space="preserve">en el que se inconformó por </w:t>
      </w:r>
      <w:r w:rsidRPr="004E203A">
        <w:rPr>
          <w:rFonts w:ascii="Palatino Linotype" w:eastAsia="Palatino Linotype" w:hAnsi="Palatino Linotype" w:cs="Palatino Linotype"/>
          <w:b/>
          <w:color w:val="000000" w:themeColor="text1"/>
        </w:rPr>
        <w:t>la negativa de la información solicitada.</w:t>
      </w:r>
    </w:p>
    <w:p w14:paraId="7BF60A55" w14:textId="77777777" w:rsidR="00254E1E" w:rsidRPr="004E203A" w:rsidRDefault="00254E1E" w:rsidP="00A36C68">
      <w:pPr>
        <w:tabs>
          <w:tab w:val="left" w:pos="0"/>
        </w:tabs>
        <w:rPr>
          <w:rFonts w:ascii="Palatino Linotype" w:eastAsia="Palatino Linotype" w:hAnsi="Palatino Linotype" w:cs="Palatino Linotype"/>
          <w:color w:val="000000" w:themeColor="text1"/>
        </w:rPr>
      </w:pPr>
    </w:p>
    <w:p w14:paraId="2117504F" w14:textId="64B12C1C"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color w:val="000000" w:themeColor="text1"/>
        </w:rPr>
        <w:t xml:space="preserve">En dichas condiciones, la </w:t>
      </w:r>
      <w:r w:rsidRPr="004E203A">
        <w:rPr>
          <w:rFonts w:ascii="Palatino Linotype" w:eastAsia="Palatino Linotype" w:hAnsi="Palatino Linotype" w:cs="Palatino Linotype"/>
          <w:i/>
          <w:color w:val="000000" w:themeColor="text1"/>
        </w:rPr>
        <w:t>Litis</w:t>
      </w:r>
      <w:r w:rsidRPr="004E203A">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4E203A">
        <w:rPr>
          <w:rFonts w:ascii="Palatino Linotype" w:eastAsia="Palatino Linotype" w:hAnsi="Palatino Linotype" w:cs="Palatino Linotype"/>
          <w:b/>
          <w:color w:val="000000" w:themeColor="text1"/>
        </w:rPr>
        <w:lastRenderedPageBreak/>
        <w:t xml:space="preserve">fracción </w:t>
      </w:r>
      <w:r w:rsidR="00254E1E" w:rsidRPr="004E203A">
        <w:rPr>
          <w:rFonts w:ascii="Palatino Linotype" w:eastAsia="Palatino Linotype" w:hAnsi="Palatino Linotype" w:cs="Palatino Linotype"/>
          <w:b/>
          <w:color w:val="000000" w:themeColor="text1"/>
        </w:rPr>
        <w:t>V</w:t>
      </w:r>
      <w:r w:rsidR="00473A26"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de la Ley</w:t>
      </w:r>
      <w:r w:rsidRPr="004E203A">
        <w:rPr>
          <w:rFonts w:ascii="Palatino Linotype" w:eastAsia="Palatino Linotype" w:hAnsi="Palatino Linotype" w:cs="Palatino Linotype"/>
          <w:b/>
          <w:color w:val="000000" w:themeColor="text1"/>
        </w:rPr>
        <w:t xml:space="preserve"> de Transparencia y Acceso a la Información Pública del Estado de </w:t>
      </w:r>
      <w:r w:rsidRPr="004E203A">
        <w:rPr>
          <w:rFonts w:ascii="Palatino Linotype" w:eastAsia="Palatino Linotype" w:hAnsi="Palatino Linotype" w:cs="Palatino Linotype"/>
          <w:color w:val="000000" w:themeColor="text1"/>
        </w:rPr>
        <w:t>México</w:t>
      </w:r>
      <w:r w:rsidRPr="004E203A">
        <w:rPr>
          <w:rFonts w:ascii="Palatino Linotype" w:eastAsia="Palatino Linotype" w:hAnsi="Palatino Linotype" w:cs="Palatino Linotype"/>
          <w:b/>
          <w:color w:val="000000" w:themeColor="text1"/>
        </w:rPr>
        <w:t xml:space="preserve"> y Municipios</w:t>
      </w:r>
      <w:r w:rsidRPr="004E203A">
        <w:rPr>
          <w:rFonts w:ascii="Palatino Linotype" w:eastAsia="Palatino Linotype" w:hAnsi="Palatino Linotype" w:cs="Palatino Linotype"/>
          <w:color w:val="000000" w:themeColor="text1"/>
        </w:rPr>
        <w:t>; fracción que determina la h</w:t>
      </w:r>
      <w:r w:rsidR="00473A26" w:rsidRPr="004E203A">
        <w:rPr>
          <w:rFonts w:ascii="Palatino Linotype" w:eastAsia="Palatino Linotype" w:hAnsi="Palatino Linotype" w:cs="Palatino Linotype"/>
          <w:color w:val="000000" w:themeColor="text1"/>
        </w:rPr>
        <w:t xml:space="preserve">ipótesis jurídica relativa a </w:t>
      </w:r>
      <w:r w:rsidR="00473A26" w:rsidRPr="004E203A">
        <w:rPr>
          <w:rFonts w:ascii="Palatino Linotype" w:eastAsia="Palatino Linotype" w:hAnsi="Palatino Linotype" w:cs="Palatino Linotype"/>
          <w:b/>
          <w:color w:val="000000" w:themeColor="text1"/>
        </w:rPr>
        <w:t>la negativa de la información solicitada.</w:t>
      </w:r>
    </w:p>
    <w:p w14:paraId="167097C8" w14:textId="77777777" w:rsidR="00EB0F49" w:rsidRPr="004E203A" w:rsidRDefault="00EB0F49"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themeColor="text1"/>
        </w:rPr>
      </w:pPr>
    </w:p>
    <w:p w14:paraId="787B8628" w14:textId="77777777" w:rsidR="00473A26" w:rsidRPr="004E203A" w:rsidRDefault="001D3081" w:rsidP="00A36C68">
      <w:pPr>
        <w:pStyle w:val="Ttulo1"/>
        <w:tabs>
          <w:tab w:val="left" w:pos="0"/>
        </w:tabs>
        <w:spacing w:before="0" w:line="360" w:lineRule="auto"/>
        <w:rPr>
          <w:szCs w:val="24"/>
        </w:rPr>
      </w:pPr>
      <w:r w:rsidRPr="004E203A">
        <w:rPr>
          <w:szCs w:val="24"/>
        </w:rPr>
        <w:t>CUARTO. Del estudio y resolución del asunto.</w:t>
      </w:r>
    </w:p>
    <w:p w14:paraId="35D696B5" w14:textId="77777777" w:rsidR="00473A26" w:rsidRPr="004E203A" w:rsidRDefault="00473A26" w:rsidP="00A36C68">
      <w:pPr>
        <w:tabs>
          <w:tab w:val="left" w:pos="0"/>
        </w:tabs>
        <w:rPr>
          <w:rFonts w:ascii="Palatino Linotype" w:hAnsi="Palatino Linotype"/>
          <w:color w:val="000000" w:themeColor="text1"/>
          <w:lang w:val="es-MX" w:eastAsia="en-US"/>
        </w:rPr>
      </w:pPr>
    </w:p>
    <w:p w14:paraId="04606012"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Acotada la </w:t>
      </w:r>
      <w:r w:rsidRPr="004E203A">
        <w:rPr>
          <w:rFonts w:ascii="Palatino Linotype" w:eastAsia="Palatino Linotype" w:hAnsi="Palatino Linotype" w:cs="Palatino Linotype"/>
          <w:i/>
          <w:color w:val="000000" w:themeColor="text1"/>
        </w:rPr>
        <w:t>Litis</w:t>
      </w:r>
      <w:r w:rsidRPr="004E203A">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0523C81" w14:textId="77777777" w:rsidR="00EB0F49" w:rsidRPr="004E203A" w:rsidRDefault="00EB0F49"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DE7C98C"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4E203A" w:rsidRDefault="00EB0F49" w:rsidP="00A36C68">
      <w:pPr>
        <w:tabs>
          <w:tab w:val="left" w:pos="0"/>
        </w:tabs>
        <w:spacing w:line="360" w:lineRule="auto"/>
        <w:jc w:val="both"/>
        <w:rPr>
          <w:rFonts w:ascii="Palatino Linotype" w:eastAsia="Palatino Linotype" w:hAnsi="Palatino Linotype" w:cs="Palatino Linotype"/>
          <w:color w:val="000000" w:themeColor="text1"/>
        </w:rPr>
      </w:pPr>
    </w:p>
    <w:p w14:paraId="60EBFE50"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4E203A" w:rsidRDefault="00EB0F49" w:rsidP="00A36C68">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79C0D077"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0A5BD7" w14:textId="77777777" w:rsidR="00EB0F49" w:rsidRPr="004E203A" w:rsidRDefault="00EB0F49" w:rsidP="00A36C68">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14:paraId="548A99FD" w14:textId="37C2FDE9" w:rsidR="00254E1E"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Acotada la </w:t>
      </w:r>
      <w:r w:rsidRPr="004E203A">
        <w:rPr>
          <w:rFonts w:ascii="Palatino Linotype" w:eastAsia="Palatino Linotype" w:hAnsi="Palatino Linotype" w:cs="Palatino Linotype"/>
          <w:i/>
          <w:color w:val="000000" w:themeColor="text1"/>
        </w:rPr>
        <w:t>Litis</w:t>
      </w:r>
      <w:r w:rsidRPr="004E203A">
        <w:rPr>
          <w:rFonts w:ascii="Palatino Linotype" w:eastAsia="Palatino Linotype" w:hAnsi="Palatino Linotype" w:cs="Palatino Linotype"/>
          <w:color w:val="000000" w:themeColor="text1"/>
        </w:rPr>
        <w:t xml:space="preserve"> del presente asunto, es de</w:t>
      </w:r>
      <w:r w:rsidR="00475E8A" w:rsidRPr="004E203A">
        <w:rPr>
          <w:rFonts w:ascii="Palatino Linotype" w:eastAsia="Palatino Linotype" w:hAnsi="Palatino Linotype" w:cs="Palatino Linotype"/>
          <w:color w:val="000000" w:themeColor="text1"/>
        </w:rPr>
        <w:t xml:space="preserve"> recordar que el requerimiento de Particular versa sobre la </w:t>
      </w:r>
      <w:r w:rsidR="004521CD" w:rsidRPr="004E203A">
        <w:rPr>
          <w:rFonts w:ascii="Palatino Linotype" w:eastAsia="Palatino Linotype" w:hAnsi="Palatino Linotype" w:cs="Palatino Linotype"/>
          <w:color w:val="000000" w:themeColor="text1"/>
        </w:rPr>
        <w:t>remuneración</w:t>
      </w:r>
      <w:r w:rsidR="00254E1E" w:rsidRPr="004E203A">
        <w:rPr>
          <w:rFonts w:ascii="Palatino Linotype" w:eastAsia="Palatino Linotype" w:hAnsi="Palatino Linotype" w:cs="Palatino Linotype"/>
          <w:color w:val="000000" w:themeColor="text1"/>
        </w:rPr>
        <w:t xml:space="preserve"> neta y bruta de todos los Servidores Públicos del Ayuntamiento de Tenancingo, así como, las contrataciones de servicios profesionales por honorarios, señalando el </w:t>
      </w:r>
      <w:r w:rsidR="00254E1E" w:rsidRPr="004E203A">
        <w:rPr>
          <w:rFonts w:ascii="Palatino Linotype" w:hAnsi="Palatino Linotype"/>
          <w:color w:val="000000" w:themeColor="text1"/>
        </w:rPr>
        <w:t>nombre de los prestadores de servicios, los servicios contratados, el monto de los honorarios y el periodo de contratación, de los servidores públicos de base, confianza, de gratificación, de contrato, los contratados por servicios profesionales y por honorarios, por separado.</w:t>
      </w:r>
    </w:p>
    <w:p w14:paraId="59710747" w14:textId="77777777" w:rsidR="00254E1E" w:rsidRPr="004E203A" w:rsidRDefault="00254E1E"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8A8531B" w14:textId="3ECA8BED" w:rsidR="00254E1E" w:rsidRPr="004E203A" w:rsidRDefault="00254E1E"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En respuesta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por medio de la Coordinadora de Recursos Humanos, refirió que derivado de una búsqueda exhaustiva en los archivos que obran en el área a su cargo, no se encontró la información solicitada.</w:t>
      </w:r>
    </w:p>
    <w:p w14:paraId="33CF3984" w14:textId="77777777" w:rsidR="00254E1E" w:rsidRPr="004E203A" w:rsidRDefault="00254E1E" w:rsidP="00A36C68">
      <w:pPr>
        <w:tabs>
          <w:tab w:val="left" w:pos="0"/>
        </w:tabs>
        <w:rPr>
          <w:rFonts w:ascii="Palatino Linotype" w:eastAsia="Palatino Linotype" w:hAnsi="Palatino Linotype" w:cs="Palatino Linotype"/>
          <w:color w:val="000000" w:themeColor="text1"/>
        </w:rPr>
      </w:pPr>
    </w:p>
    <w:p w14:paraId="7B66DA3C" w14:textId="4E917318" w:rsidR="00254E1E" w:rsidRPr="004E203A" w:rsidRDefault="00254E1E"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Posteriormente, el </w:t>
      </w:r>
      <w:r w:rsidRPr="004E203A">
        <w:rPr>
          <w:rFonts w:ascii="Palatino Linotype" w:eastAsia="Palatino Linotype" w:hAnsi="Palatino Linotype" w:cs="Palatino Linotype"/>
          <w:b/>
          <w:color w:val="000000" w:themeColor="text1"/>
        </w:rPr>
        <w:t xml:space="preserve">RECURRENTE </w:t>
      </w:r>
      <w:r w:rsidRPr="004E203A">
        <w:rPr>
          <w:rFonts w:ascii="Palatino Linotype" w:eastAsia="Palatino Linotype" w:hAnsi="Palatino Linotype" w:cs="Palatino Linotype"/>
          <w:color w:val="000000" w:themeColor="text1"/>
        </w:rPr>
        <w:t>interpuso recurso de revisión en el que se inconformó por la negativa de la información solicitada.</w:t>
      </w:r>
    </w:p>
    <w:p w14:paraId="105DF1FD" w14:textId="77777777" w:rsidR="00254E1E" w:rsidRPr="004E203A" w:rsidRDefault="00254E1E"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9A4C01" w14:textId="4D029DDA" w:rsidR="00254E1E" w:rsidRPr="004E203A" w:rsidRDefault="00254E1E"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Así, mediante un acto jurídico posterior, como lo es el informe justificado,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por medio de la Directora de Administración, </w:t>
      </w:r>
      <w:r w:rsidRPr="004E203A">
        <w:rPr>
          <w:rFonts w:ascii="Palatino Linotype" w:eastAsia="Palatino Linotype" w:hAnsi="Palatino Linotype" w:cs="Palatino Linotype"/>
          <w:b/>
          <w:color w:val="000000" w:themeColor="text1"/>
        </w:rPr>
        <w:t>refirió poner a disposición los documentos solicitados mediante consulta directa.</w:t>
      </w:r>
    </w:p>
    <w:p w14:paraId="434110AB" w14:textId="77777777" w:rsidR="00254E1E" w:rsidRPr="004E203A" w:rsidRDefault="00254E1E" w:rsidP="00A36C68">
      <w:pPr>
        <w:tabs>
          <w:tab w:val="left" w:pos="0"/>
        </w:tabs>
        <w:rPr>
          <w:rFonts w:ascii="Palatino Linotype" w:eastAsia="Palatino Linotype" w:hAnsi="Palatino Linotype" w:cs="Palatino Linotype"/>
          <w:color w:val="000000" w:themeColor="text1"/>
        </w:rPr>
      </w:pPr>
    </w:p>
    <w:p w14:paraId="4A0B625E" w14:textId="25C847E7" w:rsidR="00254E1E" w:rsidRPr="004E203A" w:rsidRDefault="00254E1E"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Así, es necesario señalar que </w:t>
      </w:r>
      <w:r w:rsidRPr="004E203A">
        <w:rPr>
          <w:rFonts w:ascii="Palatino Linotype" w:hAnsi="Palatino Linotype"/>
          <w:color w:val="000000" w:themeColor="text1"/>
        </w:rPr>
        <w:t xml:space="preserve">se obvia el análisis de la competencia por parte del </w:t>
      </w:r>
      <w:r w:rsidRPr="004E203A">
        <w:rPr>
          <w:rFonts w:ascii="Palatino Linotype" w:hAnsi="Palatino Linotype"/>
          <w:b/>
          <w:bCs/>
          <w:color w:val="000000" w:themeColor="text1"/>
        </w:rPr>
        <w:t>SUJETO OBLIGADO</w:t>
      </w:r>
      <w:r w:rsidRPr="004E203A">
        <w:rPr>
          <w:rFonts w:ascii="Palatino Linotype" w:hAnsi="Palatino Linotype"/>
          <w:color w:val="000000" w:themeColor="text1"/>
        </w:rPr>
        <w:t>, para generar, administrar o poseer la información solicitada, dado que éste ha asumido la misma, tan es así que la Servidora Pública habilitada competente, refirió hacer entrega de esta mediante consulta directa.</w:t>
      </w:r>
    </w:p>
    <w:p w14:paraId="31C98C16" w14:textId="77777777" w:rsidR="00254E1E" w:rsidRPr="004E203A" w:rsidRDefault="00254E1E"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C684275" w14:textId="763328CE" w:rsidR="00254E1E" w:rsidRPr="004E203A" w:rsidRDefault="00254E1E"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En </w:t>
      </w:r>
      <w:r w:rsidRPr="004E203A">
        <w:rPr>
          <w:rFonts w:ascii="Palatino Linotype" w:hAnsi="Palatino Linotype" w:cs="Arial"/>
          <w:color w:val="000000" w:themeColor="text1"/>
        </w:rPr>
        <w:t xml:space="preserve">este sentido, </w:t>
      </w:r>
      <w:r w:rsidRPr="004E203A">
        <w:rPr>
          <w:rFonts w:ascii="Palatino Linotype" w:hAnsi="Palatino Linotype"/>
          <w:color w:val="000000" w:themeColor="text1"/>
        </w:rPr>
        <w:t>el hecho de que el</w:t>
      </w:r>
      <w:r w:rsidRPr="004E203A">
        <w:rPr>
          <w:rFonts w:ascii="Palatino Linotype" w:hAnsi="Palatino Linotype"/>
          <w:b/>
          <w:bCs/>
          <w:color w:val="000000" w:themeColor="text1"/>
        </w:rPr>
        <w:t xml:space="preserve"> SUJETO OBLIGADO</w:t>
      </w:r>
      <w:r w:rsidRPr="004E203A">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5C0D3CB" w14:textId="77777777" w:rsidR="00A36C68" w:rsidRPr="004E203A" w:rsidRDefault="00A36C68"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6CA5B38" w14:textId="77777777" w:rsidR="00254E1E" w:rsidRPr="004E203A" w:rsidRDefault="00254E1E" w:rsidP="00A36C68">
      <w:pPr>
        <w:shd w:val="clear" w:color="auto" w:fill="FFFFFF"/>
        <w:tabs>
          <w:tab w:val="left" w:pos="0"/>
        </w:tabs>
        <w:ind w:left="567"/>
        <w:jc w:val="both"/>
        <w:rPr>
          <w:rFonts w:ascii="Palatino Linotype" w:hAnsi="Palatino Linotype"/>
          <w:i/>
          <w:iCs/>
          <w:color w:val="000000" w:themeColor="text1"/>
        </w:rPr>
      </w:pPr>
      <w:r w:rsidRPr="004E203A">
        <w:rPr>
          <w:rFonts w:ascii="Palatino Linotype" w:hAnsi="Palatino Linotype"/>
          <w:i/>
          <w:iCs/>
          <w:color w:val="000000" w:themeColor="text1"/>
        </w:rPr>
        <w:t>“</w:t>
      </w:r>
      <w:r w:rsidRPr="004E203A">
        <w:rPr>
          <w:rFonts w:ascii="Palatino Linotype" w:hAnsi="Palatino Linotype"/>
          <w:b/>
          <w:bCs/>
          <w:i/>
          <w:iCs/>
          <w:color w:val="000000" w:themeColor="text1"/>
        </w:rPr>
        <w:t>Artículo 12.</w:t>
      </w:r>
      <w:r w:rsidRPr="004E203A">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0C1A4F95" w14:textId="77777777" w:rsidR="00254E1E" w:rsidRPr="004E203A" w:rsidRDefault="00254E1E" w:rsidP="00A36C68">
      <w:pPr>
        <w:shd w:val="clear" w:color="auto" w:fill="FFFFFF"/>
        <w:tabs>
          <w:tab w:val="left" w:pos="0"/>
        </w:tabs>
        <w:ind w:left="567"/>
        <w:jc w:val="both"/>
        <w:rPr>
          <w:rFonts w:ascii="Palatino Linotype" w:hAnsi="Palatino Linotype"/>
          <w:color w:val="000000" w:themeColor="text1"/>
        </w:rPr>
      </w:pPr>
    </w:p>
    <w:p w14:paraId="686BD19B" w14:textId="77777777" w:rsidR="00254E1E" w:rsidRPr="004E203A" w:rsidRDefault="00254E1E" w:rsidP="00A36C68">
      <w:pPr>
        <w:shd w:val="clear" w:color="auto" w:fill="FFFFFF"/>
        <w:tabs>
          <w:tab w:val="left" w:pos="0"/>
        </w:tabs>
        <w:ind w:left="567"/>
        <w:jc w:val="both"/>
        <w:rPr>
          <w:rFonts w:ascii="Palatino Linotype" w:hAnsi="Palatino Linotype"/>
          <w:i/>
          <w:iCs/>
          <w:color w:val="000000" w:themeColor="text1"/>
        </w:rPr>
      </w:pPr>
      <w:r w:rsidRPr="004E203A">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8E2417" w14:textId="77777777" w:rsidR="00254E1E" w:rsidRPr="004E203A" w:rsidRDefault="00254E1E" w:rsidP="00A36C68">
      <w:pPr>
        <w:tabs>
          <w:tab w:val="left" w:pos="0"/>
        </w:tabs>
        <w:rPr>
          <w:rFonts w:ascii="Palatino Linotype" w:eastAsia="Palatino Linotype" w:hAnsi="Palatino Linotype" w:cs="Palatino Linotype"/>
          <w:color w:val="000000" w:themeColor="text1"/>
        </w:rPr>
      </w:pPr>
    </w:p>
    <w:p w14:paraId="10ACDB01" w14:textId="29BFE048" w:rsidR="001103EA" w:rsidRPr="004E203A" w:rsidRDefault="001103E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hAnsi="Palatino Linotype"/>
          <w:color w:val="000000" w:themeColor="text1"/>
        </w:rPr>
        <w:t>Correlativo a lo anterior</w:t>
      </w:r>
      <w:r w:rsidR="00254E1E" w:rsidRPr="004E203A">
        <w:rPr>
          <w:rFonts w:ascii="Palatino Linotype" w:hAnsi="Palatino Linotype"/>
          <w:color w:val="000000" w:themeColor="text1"/>
        </w:rPr>
        <w:t>,</w:t>
      </w:r>
      <w:r w:rsidRPr="004E203A">
        <w:rPr>
          <w:rFonts w:ascii="Palatino Linotype" w:hAnsi="Palatino Linotype"/>
          <w:color w:val="000000" w:themeColor="text1"/>
        </w:rPr>
        <w:t xml:space="preserve"> cabe mencionar que la información solicitada se encuentra dentro de las obligaciones de</w:t>
      </w:r>
      <w:r w:rsidRPr="004E203A">
        <w:rPr>
          <w:rFonts w:ascii="Palatino Linotype" w:hAnsi="Palatino Linotype"/>
          <w:bCs/>
          <w:iCs/>
          <w:color w:val="000000" w:themeColor="text1"/>
        </w:rPr>
        <w:t xml:space="preserve"> Transparencia Común, conforme a lo establecido en la fracción XXXII del artículo 92 de la Ley de Transparencia y Acceso a la Información Pública del Estado de México y Municipios.</w:t>
      </w:r>
    </w:p>
    <w:p w14:paraId="4ED3067D" w14:textId="77777777" w:rsidR="001103EA" w:rsidRPr="004E203A" w:rsidRDefault="001103EA" w:rsidP="00A36C6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6CA675A" w14:textId="77777777" w:rsidR="001103EA" w:rsidRPr="004E203A" w:rsidRDefault="001103EA" w:rsidP="00A36C68">
      <w:pPr>
        <w:pStyle w:val="Prrafodelista"/>
        <w:tabs>
          <w:tab w:val="left" w:pos="0"/>
        </w:tabs>
        <w:spacing w:before="240" w:after="240"/>
        <w:ind w:left="567"/>
        <w:jc w:val="center"/>
        <w:rPr>
          <w:rFonts w:ascii="Palatino Linotype" w:eastAsia="MS Gothic" w:hAnsi="Palatino Linotype"/>
          <w:b/>
          <w:bCs/>
          <w:i/>
          <w:iCs/>
          <w:color w:val="000000" w:themeColor="text1"/>
        </w:rPr>
      </w:pPr>
      <w:r w:rsidRPr="004E203A">
        <w:rPr>
          <w:rFonts w:ascii="Palatino Linotype" w:eastAsia="MS Gothic" w:hAnsi="Palatino Linotype"/>
          <w:b/>
          <w:bCs/>
          <w:i/>
          <w:iCs/>
          <w:color w:val="000000" w:themeColor="text1"/>
        </w:rPr>
        <w:t>Capítulo II</w:t>
      </w:r>
    </w:p>
    <w:p w14:paraId="5DEBB3D2" w14:textId="77777777" w:rsidR="001103EA" w:rsidRPr="004E203A" w:rsidRDefault="001103EA" w:rsidP="00A36C68">
      <w:pPr>
        <w:pStyle w:val="Prrafodelista"/>
        <w:tabs>
          <w:tab w:val="left" w:pos="0"/>
        </w:tabs>
        <w:spacing w:before="240" w:after="240"/>
        <w:ind w:left="567"/>
        <w:jc w:val="center"/>
        <w:rPr>
          <w:rFonts w:ascii="Palatino Linotype" w:eastAsia="MS Gothic" w:hAnsi="Palatino Linotype"/>
          <w:b/>
          <w:bCs/>
          <w:i/>
          <w:iCs/>
          <w:color w:val="000000" w:themeColor="text1"/>
        </w:rPr>
      </w:pPr>
      <w:r w:rsidRPr="004E203A">
        <w:rPr>
          <w:rFonts w:ascii="Palatino Linotype" w:eastAsia="MS Gothic" w:hAnsi="Palatino Linotype"/>
          <w:b/>
          <w:bCs/>
          <w:i/>
          <w:iCs/>
          <w:color w:val="000000" w:themeColor="text1"/>
        </w:rPr>
        <w:t>De las Obligaciones de Transparencia Comunes</w:t>
      </w:r>
    </w:p>
    <w:p w14:paraId="30A25A1F" w14:textId="77777777" w:rsidR="001103EA" w:rsidRPr="004E203A" w:rsidRDefault="001103EA" w:rsidP="00A36C68">
      <w:pPr>
        <w:pStyle w:val="Prrafodelista"/>
        <w:tabs>
          <w:tab w:val="left" w:pos="0"/>
        </w:tabs>
        <w:spacing w:before="240" w:after="240"/>
        <w:ind w:left="567"/>
        <w:jc w:val="center"/>
        <w:rPr>
          <w:rFonts w:ascii="Palatino Linotype" w:eastAsia="MS Gothic" w:hAnsi="Palatino Linotype"/>
          <w:b/>
          <w:bCs/>
          <w:i/>
          <w:iCs/>
          <w:color w:val="000000" w:themeColor="text1"/>
        </w:rPr>
      </w:pPr>
    </w:p>
    <w:p w14:paraId="365E6E1C" w14:textId="6B9E4023" w:rsidR="001103EA" w:rsidRPr="004E203A" w:rsidRDefault="001103EA" w:rsidP="00A36C68">
      <w:pPr>
        <w:pStyle w:val="Prrafodelista"/>
        <w:tabs>
          <w:tab w:val="left" w:pos="0"/>
        </w:tabs>
        <w:spacing w:before="240" w:after="240"/>
        <w:ind w:left="567"/>
        <w:jc w:val="both"/>
        <w:rPr>
          <w:rFonts w:ascii="Palatino Linotype" w:eastAsia="MS Gothic" w:hAnsi="Palatino Linotype"/>
          <w:i/>
          <w:iCs/>
          <w:color w:val="000000" w:themeColor="text1"/>
        </w:rPr>
      </w:pPr>
      <w:r w:rsidRPr="004E203A">
        <w:rPr>
          <w:rFonts w:ascii="Palatino Linotype" w:eastAsia="MS Gothic" w:hAnsi="Palatino Linotype"/>
          <w:b/>
          <w:bCs/>
          <w:i/>
          <w:iCs/>
          <w:color w:val="000000" w:themeColor="text1"/>
        </w:rPr>
        <w:t>“Artículo 92.</w:t>
      </w:r>
      <w:r w:rsidRPr="004E203A">
        <w:rPr>
          <w:rFonts w:ascii="Palatino Linotype" w:eastAsia="MS Gothic" w:hAnsi="Palatino Linotype"/>
          <w:i/>
          <w:iCs/>
          <w:color w:val="000000" w:themeColor="text1"/>
        </w:rPr>
        <w:t xml:space="preserve"> Los sujetos obligados </w:t>
      </w:r>
      <w:proofErr w:type="gramStart"/>
      <w:r w:rsidR="000E3561" w:rsidRPr="004E203A">
        <w:rPr>
          <w:rFonts w:ascii="Palatino Linotype" w:eastAsia="MS Gothic" w:hAnsi="Palatino Linotype"/>
          <w:i/>
          <w:iCs/>
          <w:color w:val="000000" w:themeColor="text1"/>
        </w:rPr>
        <w:t>deberá</w:t>
      </w:r>
      <w:proofErr w:type="gramEnd"/>
      <w:r w:rsidRPr="004E203A">
        <w:rPr>
          <w:rFonts w:ascii="Palatino Linotype" w:eastAsia="MS Gothic" w:hAnsi="Palatino Linotype"/>
          <w:i/>
          <w:iCs/>
          <w:color w:val="000000" w:themeColor="text1"/>
        </w:rPr>
        <w:t xml:space="preserve"> poner a disposición del público de manera permanente y actualizada de forma sencilla, precisa y entendible, en los respectivos medios electrónicos, de acuerdo con sus facultades, atribuciones, funciones u objeto social, según corresponda, la informac</w:t>
      </w:r>
      <w:r w:rsidR="000E3561" w:rsidRPr="004E203A">
        <w:rPr>
          <w:rFonts w:ascii="Palatino Linotype" w:eastAsia="MS Gothic" w:hAnsi="Palatino Linotype"/>
          <w:i/>
          <w:iCs/>
          <w:color w:val="000000" w:themeColor="text1"/>
        </w:rPr>
        <w:t>ión, por lo menos, de los temas</w:t>
      </w:r>
      <w:r w:rsidRPr="004E203A">
        <w:rPr>
          <w:rFonts w:ascii="Palatino Linotype" w:eastAsia="MS Gothic" w:hAnsi="Palatino Linotype"/>
          <w:i/>
          <w:iCs/>
          <w:color w:val="000000" w:themeColor="text1"/>
        </w:rPr>
        <w:t>, documentos y políticas que a continuación se señalan:</w:t>
      </w:r>
    </w:p>
    <w:p w14:paraId="5FB2F473" w14:textId="77777777" w:rsidR="001103EA" w:rsidRPr="004E203A" w:rsidRDefault="001103EA" w:rsidP="00A36C68">
      <w:pPr>
        <w:pStyle w:val="Prrafodelista"/>
        <w:tabs>
          <w:tab w:val="left" w:pos="0"/>
        </w:tabs>
        <w:spacing w:before="240" w:after="240"/>
        <w:ind w:left="567"/>
        <w:jc w:val="both"/>
        <w:rPr>
          <w:rFonts w:ascii="Palatino Linotype" w:eastAsia="MS Gothic" w:hAnsi="Palatino Linotype"/>
          <w:i/>
          <w:iCs/>
          <w:color w:val="000000" w:themeColor="text1"/>
        </w:rPr>
      </w:pPr>
      <w:r w:rsidRPr="004E203A">
        <w:rPr>
          <w:rFonts w:ascii="Palatino Linotype" w:eastAsia="MS Gothic" w:hAnsi="Palatino Linotype"/>
          <w:i/>
          <w:iCs/>
          <w:color w:val="000000" w:themeColor="text1"/>
        </w:rPr>
        <w:t>(…)</w:t>
      </w:r>
    </w:p>
    <w:p w14:paraId="6F58B62B" w14:textId="7DAE16E7" w:rsidR="001103EA" w:rsidRPr="004E203A" w:rsidRDefault="001103EA" w:rsidP="00A36C68">
      <w:pPr>
        <w:pStyle w:val="Prrafodelista"/>
        <w:tabs>
          <w:tab w:val="left" w:pos="0"/>
        </w:tabs>
        <w:spacing w:before="240" w:after="240"/>
        <w:ind w:left="567"/>
        <w:jc w:val="both"/>
        <w:rPr>
          <w:rFonts w:ascii="Palatino Linotype" w:eastAsia="MS Gothic" w:hAnsi="Palatino Linotype"/>
          <w:b/>
          <w:i/>
          <w:iCs/>
          <w:color w:val="000000" w:themeColor="text1"/>
        </w:rPr>
      </w:pPr>
      <w:r w:rsidRPr="004E203A">
        <w:rPr>
          <w:rFonts w:ascii="Palatino Linotype" w:eastAsia="MS Gothic" w:hAnsi="Palatino Linotype"/>
          <w:b/>
          <w:i/>
          <w:iCs/>
          <w:color w:val="000000" w:themeColor="text1"/>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AB18618" w14:textId="54C2BD59" w:rsidR="001103EA" w:rsidRPr="004E203A" w:rsidRDefault="001103EA" w:rsidP="00A36C68">
      <w:pPr>
        <w:pStyle w:val="Prrafodelista"/>
        <w:tabs>
          <w:tab w:val="left" w:pos="0"/>
        </w:tabs>
        <w:spacing w:before="240" w:after="240"/>
        <w:ind w:left="567"/>
        <w:jc w:val="both"/>
        <w:rPr>
          <w:rFonts w:ascii="Palatino Linotype" w:eastAsia="MS Gothic" w:hAnsi="Palatino Linotype"/>
          <w:b/>
          <w:i/>
          <w:iCs/>
          <w:color w:val="000000" w:themeColor="text1"/>
        </w:rPr>
      </w:pPr>
      <w:r w:rsidRPr="004E203A">
        <w:rPr>
          <w:rFonts w:ascii="Palatino Linotype" w:eastAsia="MS Gothic" w:hAnsi="Palatino Linotype"/>
          <w:b/>
          <w:i/>
          <w:iCs/>
          <w:color w:val="000000" w:themeColor="text1"/>
        </w:rPr>
        <w:t>(…)</w:t>
      </w:r>
    </w:p>
    <w:p w14:paraId="4DE6D606" w14:textId="3A18B0F2" w:rsidR="001103EA" w:rsidRPr="004E203A" w:rsidRDefault="001103EA" w:rsidP="00A36C68">
      <w:pPr>
        <w:pStyle w:val="Prrafodelista"/>
        <w:tabs>
          <w:tab w:val="left" w:pos="0"/>
        </w:tabs>
        <w:spacing w:before="240" w:after="240"/>
        <w:ind w:left="567"/>
        <w:jc w:val="both"/>
        <w:rPr>
          <w:rFonts w:ascii="Palatino Linotype" w:eastAsia="MS Gothic" w:hAnsi="Palatino Linotype"/>
          <w:b/>
          <w:i/>
          <w:iCs/>
          <w:color w:val="000000" w:themeColor="text1"/>
        </w:rPr>
      </w:pPr>
      <w:r w:rsidRPr="004E203A">
        <w:rPr>
          <w:rFonts w:ascii="Palatino Linotype" w:eastAsia="MS Gothic" w:hAnsi="Palatino Linotype"/>
          <w:b/>
          <w:i/>
          <w:iCs/>
          <w:color w:val="000000" w:themeColor="text1"/>
        </w:rPr>
        <w:t>XI. Las contrataciones de servicios profesionales por honorarios, señalando los nombres de los prestadores de servicios, los servicios contratados, el monto de los honorarios y el periodo de contratación;</w:t>
      </w:r>
    </w:p>
    <w:p w14:paraId="43FEFDC7" w14:textId="5F682F27" w:rsidR="00254E1E" w:rsidRPr="004E203A" w:rsidRDefault="001103EA" w:rsidP="00A36C68">
      <w:pPr>
        <w:pStyle w:val="Prrafodelista"/>
        <w:tabs>
          <w:tab w:val="left" w:pos="0"/>
        </w:tabs>
        <w:spacing w:before="240" w:after="240"/>
        <w:ind w:left="567"/>
        <w:jc w:val="both"/>
        <w:rPr>
          <w:rFonts w:ascii="Palatino Linotype" w:eastAsia="MS Gothic" w:hAnsi="Palatino Linotype"/>
          <w:i/>
          <w:iCs/>
          <w:color w:val="000000" w:themeColor="text1"/>
        </w:rPr>
      </w:pPr>
      <w:r w:rsidRPr="004E203A">
        <w:rPr>
          <w:rFonts w:ascii="Palatino Linotype" w:eastAsia="MS Gothic" w:hAnsi="Palatino Linotype"/>
          <w:i/>
          <w:iCs/>
          <w:color w:val="000000" w:themeColor="text1"/>
        </w:rPr>
        <w:t>(…)”</w:t>
      </w:r>
    </w:p>
    <w:p w14:paraId="4DDB8E17" w14:textId="77777777" w:rsidR="001103EA" w:rsidRPr="004E203A" w:rsidRDefault="001103EA"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FD4EF1F" w14:textId="1DB94918" w:rsidR="000E3561" w:rsidRPr="004E203A" w:rsidRDefault="000E356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Precisado lo anterior, resulta viable establecer que a pesar de que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cuenta con la información solicitada, no garantizó el derecho de acceso a la información del Particular, toda vez que pretende realizar un cambio de modalidad para la entrega de la misma, cuando esta debe encontrarse </w:t>
      </w:r>
      <w:r w:rsidRPr="004E203A">
        <w:rPr>
          <w:rFonts w:ascii="Palatino Linotype" w:eastAsia="MS Gothic" w:hAnsi="Palatino Linotype"/>
          <w:iCs/>
          <w:color w:val="000000" w:themeColor="text1"/>
        </w:rPr>
        <w:t>a disposición del público de manera permanente y actualizada de forma sencilla, precisa y entendible, en los respectivos medios electrónicos.</w:t>
      </w:r>
    </w:p>
    <w:p w14:paraId="6892B244" w14:textId="77777777" w:rsidR="00254E1E" w:rsidRPr="004E203A" w:rsidRDefault="00254E1E"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E7C4188" w14:textId="77777777" w:rsidR="00EC1E87" w:rsidRPr="004E203A" w:rsidRDefault="000E356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Por otro lado, cabe destacar que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no fundo ni motivo</w:t>
      </w:r>
      <w:r w:rsidR="0035396F" w:rsidRPr="004E203A">
        <w:rPr>
          <w:rFonts w:ascii="Palatino Linotype" w:eastAsia="Palatino Linotype" w:hAnsi="Palatino Linotype" w:cs="Palatino Linotype"/>
          <w:color w:val="000000" w:themeColor="text1"/>
        </w:rPr>
        <w:t xml:space="preserve"> el cambio de modalidad para la entrega de la información, se limitó a referir que se haría entrega de esta vía consulta directa, cuando únicamente se requirió la relativa a la primera quincena de 2025.</w:t>
      </w:r>
    </w:p>
    <w:p w14:paraId="3184C2E5" w14:textId="77777777" w:rsidR="00EC1E87" w:rsidRPr="004E203A" w:rsidRDefault="00EC1E87" w:rsidP="00A36C68">
      <w:pPr>
        <w:pStyle w:val="Prrafodelista"/>
        <w:tabs>
          <w:tab w:val="left" w:pos="0"/>
        </w:tabs>
        <w:rPr>
          <w:rFonts w:ascii="Palatino Linotype" w:eastAsia="Palatino Linotype" w:hAnsi="Palatino Linotype" w:cs="Palatino Linotype"/>
          <w:color w:val="000000" w:themeColor="text1"/>
        </w:rPr>
      </w:pPr>
    </w:p>
    <w:p w14:paraId="6C7D8C06" w14:textId="3FEAE5F5" w:rsidR="00EC1E87" w:rsidRPr="004E203A" w:rsidRDefault="00EC1E87"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Al respecto, conviene señalar la Ley de Transparencia y Acceso a la Información Pública del Estado de México y Municipios establece en los artículos 155 fracción V, 158 y 164 lo siguiente:</w:t>
      </w:r>
    </w:p>
    <w:p w14:paraId="2771A89C"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4E5E27D6"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Artículo 155. Para presentar una solicitud por escrito, no se podrán exigir mayores requisitos que los siguientes:</w:t>
      </w:r>
    </w:p>
    <w:p w14:paraId="0D2B1B4E"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I. a IV. …</w:t>
      </w:r>
    </w:p>
    <w:p w14:paraId="49C33BA7"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V. La modalidad en la que prefiere se otorgue el acceso a la información</w:t>
      </w:r>
      <w:r w:rsidRPr="004E203A">
        <w:rPr>
          <w:rFonts w:ascii="Palatino Linotype" w:eastAsia="Palatino Linotype" w:hAnsi="Palatino Linotype" w:cs="Palatino Linotype"/>
          <w:i/>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14:paraId="61D457F9"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w:t>
      </w:r>
    </w:p>
    <w:p w14:paraId="2A3FD149"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D4CB196"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w:t>
      </w:r>
      <w:r w:rsidRPr="004E203A">
        <w:rPr>
          <w:rFonts w:ascii="Palatino Linotype" w:eastAsia="Palatino Linotype" w:hAnsi="Palatino Linotype" w:cs="Palatino Linotype"/>
          <w:i/>
          <w:color w:val="000000" w:themeColor="text1"/>
        </w:rPr>
        <w:lastRenderedPageBreak/>
        <w:t xml:space="preserve">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245C00E"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En todo caso, se facilitará su copia simple o certificada, así como su reproducción por cualquier medio disponible en las instalaciones del sujeto obligado o que, en su caso, aporte el solicitante</w:t>
      </w:r>
    </w:p>
    <w:p w14:paraId="38E5969A"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ACF70A7" w14:textId="77777777" w:rsidR="00EC1E87" w:rsidRPr="004E203A" w:rsidRDefault="00EC1E87" w:rsidP="00A36C6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321A749"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25DB67A" w14:textId="77777777" w:rsidR="00EC1E87" w:rsidRPr="004E203A" w:rsidRDefault="00EC1E87" w:rsidP="00A36C68">
      <w:pPr>
        <w:pStyle w:val="Prrafodelista"/>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49A53376" w14:textId="77777777" w:rsidR="00EC1E87" w:rsidRPr="004E203A" w:rsidRDefault="00EC1E87" w:rsidP="00A36C68">
      <w:pPr>
        <w:pStyle w:val="Prrafodelista"/>
        <w:pBdr>
          <w:top w:val="nil"/>
          <w:left w:val="nil"/>
          <w:bottom w:val="nil"/>
          <w:right w:val="nil"/>
          <w:between w:val="nil"/>
        </w:pBdr>
        <w:tabs>
          <w:tab w:val="left" w:pos="0"/>
          <w:tab w:val="left" w:pos="426"/>
          <w:tab w:val="left" w:pos="567"/>
        </w:tabs>
        <w:spacing w:line="360" w:lineRule="auto"/>
        <w:ind w:left="0"/>
        <w:jc w:val="both"/>
        <w:rPr>
          <w:rFonts w:ascii="Palatino Linotype" w:eastAsia="Palatino Linotype" w:hAnsi="Palatino Linotype" w:cs="Palatino Linotype"/>
          <w:color w:val="000000" w:themeColor="text1"/>
        </w:rPr>
      </w:pPr>
    </w:p>
    <w:p w14:paraId="1C7FDBC8" w14:textId="402E41F5" w:rsidR="00EC1E87" w:rsidRPr="004E203A" w:rsidRDefault="00EC1E87" w:rsidP="00A36C68">
      <w:pPr>
        <w:pStyle w:val="Prrafodelista"/>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Es necesario precisar que la Ley en la materia establece que, </w:t>
      </w:r>
      <w:r w:rsidRPr="004E203A">
        <w:rPr>
          <w:rFonts w:ascii="Palatino Linotype" w:eastAsia="Palatino Linotype" w:hAnsi="Palatino Linotype" w:cs="Palatino Linotype"/>
          <w:i/>
          <w:color w:val="000000" w:themeColor="text1"/>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w:t>
      </w:r>
      <w:r w:rsidRPr="004E203A">
        <w:rPr>
          <w:rFonts w:ascii="Palatino Linotype" w:eastAsia="Palatino Linotype" w:hAnsi="Palatino Linotype" w:cs="Palatino Linotype"/>
          <w:b/>
          <w:i/>
          <w:color w:val="000000" w:themeColor="text1"/>
        </w:rPr>
        <w:t>sobrepase las capacidades técnicas administrativas y humanas</w:t>
      </w:r>
      <w:r w:rsidRPr="004E203A">
        <w:rPr>
          <w:rFonts w:ascii="Palatino Linotype" w:eastAsia="Palatino Linotype" w:hAnsi="Palatino Linotype" w:cs="Palatino Linotype"/>
          <w:i/>
          <w:color w:val="000000" w:themeColor="text1"/>
        </w:rPr>
        <w:t xml:space="preserve"> del sujeto obligado para cumplir con la solicitud, en los plazos establecidos para dichos efectos, se podrá poner a disposición del solicitante los documentos en consulta directa, salvo la información clasificada.</w:t>
      </w:r>
    </w:p>
    <w:p w14:paraId="701F5701" w14:textId="77777777" w:rsidR="00EC1E87" w:rsidRPr="004E203A" w:rsidRDefault="00EC1E87" w:rsidP="00A36C68">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7D59A8E9"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Referente a la capacidad administrativa, ésta es definida como la habilidad institucional de un gobierno, para formular y realizar planes, políticas, programas, actividades, operaciones u otras medidas para cumplir con los propósitos de desarrollo. </w:t>
      </w:r>
      <w:r w:rsidRPr="004E203A">
        <w:rPr>
          <w:rFonts w:ascii="Palatino Linotype" w:eastAsia="Palatino Linotype" w:hAnsi="Palatino Linotype" w:cs="Palatino Linotype"/>
          <w:color w:val="000000" w:themeColor="text1"/>
        </w:rPr>
        <w:lastRenderedPageBreak/>
        <w:t xml:space="preserve">En palabras más simples, es la </w:t>
      </w:r>
      <w:r w:rsidRPr="004E203A">
        <w:rPr>
          <w:rFonts w:ascii="Palatino Linotype" w:eastAsia="Palatino Linotype" w:hAnsi="Palatino Linotype" w:cs="Palatino Linotype"/>
          <w:b/>
          <w:color w:val="000000" w:themeColor="text1"/>
        </w:rPr>
        <w:t>eficiencia organizacional para efectuar funciones esenciales</w:t>
      </w:r>
      <w:r w:rsidRPr="004E203A">
        <w:rPr>
          <w:rFonts w:ascii="Palatino Linotype" w:eastAsia="Palatino Linotype" w:hAnsi="Palatino Linotype" w:cs="Palatino Linotype"/>
          <w:color w:val="000000" w:themeColor="text1"/>
        </w:rPr>
        <w:t>.</w:t>
      </w:r>
    </w:p>
    <w:p w14:paraId="73B1F40B" w14:textId="77777777" w:rsidR="00EC1E87" w:rsidRPr="004E203A" w:rsidRDefault="00EC1E87" w:rsidP="00A36C68">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0CEC3E83"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E26EC73"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1649CED9"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Desde una perspectiva institucional, la </w:t>
      </w:r>
      <w:r w:rsidRPr="004E203A">
        <w:rPr>
          <w:rFonts w:ascii="Palatino Linotype" w:eastAsia="Palatino Linotype" w:hAnsi="Palatino Linotype" w:cs="Palatino Linotype"/>
          <w:b/>
          <w:color w:val="000000" w:themeColor="text1"/>
        </w:rPr>
        <w:t>capacidad administrativa</w:t>
      </w:r>
      <w:r w:rsidRPr="004E203A">
        <w:rPr>
          <w:rFonts w:ascii="Palatino Linotype" w:eastAsia="Palatino Linotype" w:hAnsi="Palatino Linotype" w:cs="Palatino Linotype"/>
          <w:color w:val="000000" w:themeColor="text1"/>
        </w:rPr>
        <w:t xml:space="preserve"> es entendida como “</w:t>
      </w:r>
      <w:r w:rsidRPr="004E203A">
        <w:rPr>
          <w:rFonts w:ascii="Palatino Linotype" w:eastAsia="Palatino Linotype" w:hAnsi="Palatino Linotype" w:cs="Palatino Linotype"/>
          <w:i/>
          <w:color w:val="000000" w:themeColor="text1"/>
        </w:rPr>
        <w:t xml:space="preserve">las habilidades técnico-burocráticas del aparato estatal requeridas para alcanzar sus objetos. En este componente se ubican el nivel micro y meso de la Capacidad Institucional. El </w:t>
      </w:r>
      <w:r w:rsidRPr="004E203A">
        <w:rPr>
          <w:rFonts w:ascii="Palatino Linotype" w:eastAsia="Palatino Linotype" w:hAnsi="Palatino Linotype" w:cs="Palatino Linotype"/>
          <w:b/>
          <w:i/>
          <w:color w:val="000000" w:themeColor="text1"/>
        </w:rPr>
        <w:t>primero</w:t>
      </w:r>
      <w:r w:rsidRPr="004E203A">
        <w:rPr>
          <w:rFonts w:ascii="Palatino Linotype" w:eastAsia="Palatino Linotype" w:hAnsi="Palatino Linotype" w:cs="Palatino Linotype"/>
          <w:i/>
          <w:color w:val="000000" w:themeColor="text1"/>
        </w:rPr>
        <w:t xml:space="preserve"> hace alusión al individuo, al </w:t>
      </w:r>
      <w:r w:rsidRPr="004E203A">
        <w:rPr>
          <w:rFonts w:ascii="Palatino Linotype" w:eastAsia="Palatino Linotype" w:hAnsi="Palatino Linotype" w:cs="Palatino Linotype"/>
          <w:b/>
          <w:i/>
          <w:color w:val="000000" w:themeColor="text1"/>
        </w:rPr>
        <w:t>recurso humano</w:t>
      </w:r>
      <w:r w:rsidRPr="004E203A">
        <w:rPr>
          <w:rFonts w:ascii="Palatino Linotype" w:eastAsia="Palatino Linotype" w:hAnsi="Palatino Linotype" w:cs="Palatino Linotype"/>
          <w:i/>
          <w:color w:val="000000" w:themeColor="text1"/>
        </w:rPr>
        <w:t xml:space="preserve">. En el segundo nivel, se ubica la </w:t>
      </w:r>
      <w:r w:rsidRPr="004E203A">
        <w:rPr>
          <w:rFonts w:ascii="Palatino Linotype" w:eastAsia="Palatino Linotype" w:hAnsi="Palatino Linotype" w:cs="Palatino Linotype"/>
          <w:b/>
          <w:i/>
          <w:color w:val="000000" w:themeColor="text1"/>
        </w:rPr>
        <w:t>capacidad de gestión</w:t>
      </w:r>
      <w:r w:rsidRPr="004E203A">
        <w:rPr>
          <w:rFonts w:ascii="Palatino Linotype" w:eastAsia="Palatino Linotype" w:hAnsi="Palatino Linotype" w:cs="Palatino Linotype"/>
          <w:i/>
          <w:color w:val="000000" w:themeColor="text1"/>
        </w:rPr>
        <w:t>, el cual se centra en el fortalecimiento organizacional como área de intervención para construir capacidad; cultura organizacional, sistemas de comunicación u organización</w:t>
      </w:r>
      <w:proofErr w:type="gramStart"/>
      <w:r w:rsidRPr="004E203A">
        <w:rPr>
          <w:rFonts w:ascii="Palatino Linotype" w:eastAsia="Palatino Linotype" w:hAnsi="Palatino Linotype" w:cs="Palatino Linotype"/>
          <w:color w:val="000000" w:themeColor="text1"/>
        </w:rPr>
        <w:t>”</w:t>
      </w:r>
      <w:r w:rsidRPr="004E203A">
        <w:rPr>
          <w:rFonts w:ascii="Palatino Linotype" w:eastAsia="Palatino Linotype" w:hAnsi="Palatino Linotype" w:cs="Palatino Linotype"/>
          <w:i/>
          <w:color w:val="000000" w:themeColor="text1"/>
          <w:vertAlign w:val="superscript"/>
        </w:rPr>
        <w:t xml:space="preserve"> </w:t>
      </w:r>
      <w:proofErr w:type="gramEnd"/>
      <w:r w:rsidRPr="004E203A">
        <w:rPr>
          <w:rFonts w:ascii="Palatino Linotype" w:eastAsia="Palatino Linotype" w:hAnsi="Palatino Linotype" w:cs="Palatino Linotype"/>
          <w:color w:val="000000" w:themeColor="text1"/>
          <w:vertAlign w:val="superscript"/>
        </w:rPr>
        <w:footnoteReference w:id="1"/>
      </w:r>
      <w:r w:rsidRPr="004E203A">
        <w:rPr>
          <w:rFonts w:ascii="Palatino Linotype" w:eastAsia="Palatino Linotype" w:hAnsi="Palatino Linotype" w:cs="Palatino Linotype"/>
          <w:color w:val="000000" w:themeColor="text1"/>
        </w:rPr>
        <w:t xml:space="preserve">. </w:t>
      </w:r>
    </w:p>
    <w:p w14:paraId="289110DB"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04079F9"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24942C30"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36FE209"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Ahora bien, respecto de las capacidades humanas, vale la pena precisar lo que se denomina por </w:t>
      </w:r>
      <w:r w:rsidRPr="004E203A">
        <w:rPr>
          <w:rFonts w:ascii="Palatino Linotype" w:eastAsia="Palatino Linotype" w:hAnsi="Palatino Linotype" w:cs="Palatino Linotype"/>
          <w:b/>
          <w:i/>
          <w:color w:val="000000" w:themeColor="text1"/>
        </w:rPr>
        <w:t>recursos humanos</w:t>
      </w:r>
      <w:r w:rsidRPr="004E203A">
        <w:rPr>
          <w:rFonts w:ascii="Palatino Linotype" w:eastAsia="Palatino Linotype" w:hAnsi="Palatino Linotype" w:cs="Palatino Linotype"/>
          <w:color w:val="000000" w:themeColor="text1"/>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563F60BD"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586F1AF6"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396A2336" w14:textId="77777777" w:rsidR="00EC1E87" w:rsidRPr="004E203A" w:rsidRDefault="00EC1E87" w:rsidP="00A36C68">
      <w:pPr>
        <w:tabs>
          <w:tab w:val="left" w:pos="0"/>
        </w:tabs>
        <w:rPr>
          <w:rFonts w:ascii="Palatino Linotype" w:eastAsia="Palatino Linotype" w:hAnsi="Palatino Linotype" w:cs="Palatino Linotype"/>
          <w:color w:val="000000" w:themeColor="text1"/>
        </w:rPr>
      </w:pPr>
    </w:p>
    <w:p w14:paraId="37D5B246" w14:textId="77777777"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Es así como,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pretendió realizar el cambio de modalidad ofreciendo consulta directa, por ello, es necesario traer a contexto el Criterio número 8/2013 del entonces Instituto Federal de Acceso a la Información, cuyo texto y sentido literal es el siguiente:</w:t>
      </w:r>
    </w:p>
    <w:p w14:paraId="1C24F13D"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5047616A"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Cuando exista impedimento justificado de atender la modalidad de entrega elegida por el solicitante, procede ofrecer todas las demás opciones previstas en la Ley.</w:t>
      </w:r>
      <w:r w:rsidRPr="004E203A">
        <w:rPr>
          <w:rFonts w:ascii="Palatino Linotype" w:eastAsia="Palatino Linotype" w:hAnsi="Palatino Linotype" w:cs="Palatino Linotype"/>
          <w:i/>
          <w:color w:val="000000" w:themeColor="text1"/>
        </w:rPr>
        <w:t xml:space="preserve"> </w:t>
      </w:r>
      <w:r w:rsidRPr="004E203A">
        <w:rPr>
          <w:rFonts w:ascii="Palatino Linotype" w:eastAsia="Palatino Linotype" w:hAnsi="Palatino Linotype" w:cs="Palatino Linotype"/>
          <w:i/>
          <w:color w:val="000000" w:themeColor="text1"/>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4E203A">
        <w:rPr>
          <w:rFonts w:ascii="Palatino Linotype" w:eastAsia="Palatino Linotype" w:hAnsi="Palatino Linotype" w:cs="Palatino Linotype"/>
          <w:i/>
          <w:color w:val="000000" w:themeColor="text1"/>
        </w:rPr>
        <w:t xml:space="preserve">, salvo que exista un impedimento justificado para atenderla, en cuyo caso, deberán exponerse las razones por las cuales no es posible utilizar el medio de reproducción solicitado. </w:t>
      </w:r>
      <w:r w:rsidRPr="004E203A">
        <w:rPr>
          <w:rFonts w:ascii="Palatino Linotype" w:eastAsia="Palatino Linotype" w:hAnsi="Palatino Linotype" w:cs="Palatino Linotype"/>
          <w:i/>
          <w:color w:val="000000" w:themeColor="text1"/>
          <w:u w:val="single"/>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w:t>
      </w:r>
      <w:r w:rsidRPr="004E203A">
        <w:rPr>
          <w:rFonts w:ascii="Palatino Linotype" w:eastAsia="Palatino Linotype" w:hAnsi="Palatino Linotype" w:cs="Palatino Linotype"/>
          <w:i/>
          <w:color w:val="000000" w:themeColor="text1"/>
          <w:u w:val="single"/>
        </w:rPr>
        <w:lastRenderedPageBreak/>
        <w:t>información, ello no implica que desvíen su objeto sustancial en la atención y trámite de las solicitudes efectuadas bajo la tutela de dicho derecho</w:t>
      </w:r>
      <w:r w:rsidRPr="004E203A">
        <w:rPr>
          <w:rFonts w:ascii="Palatino Linotype" w:eastAsia="Palatino Linotype" w:hAnsi="Palatino Linotype" w:cs="Palatino Linotype"/>
          <w:i/>
          <w:color w:val="000000" w:themeColor="text1"/>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D70F872"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 xml:space="preserve">Resoluciones </w:t>
      </w:r>
    </w:p>
    <w:p w14:paraId="51F81E8E"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 xml:space="preserve">RDA 2012/12. Interpuesto en contra de la Secretaría de Comunicaciones y Transportes. Comisionada Ponente Jacqueline </w:t>
      </w:r>
      <w:proofErr w:type="spellStart"/>
      <w:r w:rsidRPr="004E203A">
        <w:rPr>
          <w:rFonts w:ascii="Palatino Linotype" w:eastAsia="Palatino Linotype" w:hAnsi="Palatino Linotype" w:cs="Palatino Linotype"/>
          <w:i/>
          <w:color w:val="000000" w:themeColor="text1"/>
        </w:rPr>
        <w:t>Peschard</w:t>
      </w:r>
      <w:proofErr w:type="spellEnd"/>
      <w:r w:rsidRPr="004E203A">
        <w:rPr>
          <w:rFonts w:ascii="Palatino Linotype" w:eastAsia="Palatino Linotype" w:hAnsi="Palatino Linotype" w:cs="Palatino Linotype"/>
          <w:i/>
          <w:color w:val="000000" w:themeColor="text1"/>
        </w:rPr>
        <w:t xml:space="preserve"> Mariscal. </w:t>
      </w:r>
    </w:p>
    <w:p w14:paraId="36B91211"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 xml:space="preserve">RDA 0973/12. Interpuesto en contra de la Secretaría de Educación Pública. Comisionada Ponente Sigrid </w:t>
      </w:r>
      <w:proofErr w:type="spellStart"/>
      <w:r w:rsidRPr="004E203A">
        <w:rPr>
          <w:rFonts w:ascii="Palatino Linotype" w:eastAsia="Palatino Linotype" w:hAnsi="Palatino Linotype" w:cs="Palatino Linotype"/>
          <w:i/>
          <w:color w:val="000000" w:themeColor="text1"/>
        </w:rPr>
        <w:t>Arzt</w:t>
      </w:r>
      <w:proofErr w:type="spellEnd"/>
      <w:r w:rsidRPr="004E203A">
        <w:rPr>
          <w:rFonts w:ascii="Palatino Linotype" w:eastAsia="Palatino Linotype" w:hAnsi="Palatino Linotype" w:cs="Palatino Linotype"/>
          <w:i/>
          <w:color w:val="000000" w:themeColor="text1"/>
        </w:rPr>
        <w:t xml:space="preserve"> Colunga. </w:t>
      </w:r>
    </w:p>
    <w:p w14:paraId="74F6DFE7"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 xml:space="preserve">RDA 0112/12. Interpuesto en contra de Petróleos Mexicanos. Comisionado Ponente Ángel Trinidad Zaldívar. </w:t>
      </w:r>
    </w:p>
    <w:p w14:paraId="3DF896EE"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 xml:space="preserve">RDA 0085/12. Interpuesto en contra del Instituto Nacional de Ciencias Médicas y Nutrición Salvador </w:t>
      </w:r>
      <w:proofErr w:type="spellStart"/>
      <w:r w:rsidRPr="004E203A">
        <w:rPr>
          <w:rFonts w:ascii="Palatino Linotype" w:eastAsia="Palatino Linotype" w:hAnsi="Palatino Linotype" w:cs="Palatino Linotype"/>
          <w:i/>
          <w:color w:val="000000" w:themeColor="text1"/>
        </w:rPr>
        <w:t>Zubirán</w:t>
      </w:r>
      <w:proofErr w:type="spellEnd"/>
      <w:r w:rsidRPr="004E203A">
        <w:rPr>
          <w:rFonts w:ascii="Palatino Linotype" w:eastAsia="Palatino Linotype" w:hAnsi="Palatino Linotype" w:cs="Palatino Linotype"/>
          <w:i/>
          <w:color w:val="000000" w:themeColor="text1"/>
        </w:rPr>
        <w:t xml:space="preserve">. Comisionada Ponente Sigrid </w:t>
      </w:r>
      <w:proofErr w:type="spellStart"/>
      <w:r w:rsidRPr="004E203A">
        <w:rPr>
          <w:rFonts w:ascii="Palatino Linotype" w:eastAsia="Palatino Linotype" w:hAnsi="Palatino Linotype" w:cs="Palatino Linotype"/>
          <w:i/>
          <w:color w:val="000000" w:themeColor="text1"/>
        </w:rPr>
        <w:t>Arzt</w:t>
      </w:r>
      <w:proofErr w:type="spellEnd"/>
      <w:r w:rsidRPr="004E203A">
        <w:rPr>
          <w:rFonts w:ascii="Palatino Linotype" w:eastAsia="Palatino Linotype" w:hAnsi="Palatino Linotype" w:cs="Palatino Linotype"/>
          <w:i/>
          <w:color w:val="000000" w:themeColor="text1"/>
        </w:rPr>
        <w:t xml:space="preserve"> Colunga. </w:t>
      </w:r>
    </w:p>
    <w:p w14:paraId="04C3059A"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3068/11. Interpuesto en contra de la Presidencia de la República. Comisionada Ponente María Elena Pérez-Jaén Zermeño. “</w:t>
      </w:r>
    </w:p>
    <w:p w14:paraId="48BA8FF4"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p>
    <w:p w14:paraId="38316785" w14:textId="77777777" w:rsidR="00EC1E87" w:rsidRPr="004E203A" w:rsidRDefault="00EC1E87" w:rsidP="00A36C68">
      <w:pPr>
        <w:tabs>
          <w:tab w:val="left" w:pos="0"/>
        </w:tabs>
        <w:ind w:left="426"/>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Criterio 02/2004 INFORMACIÓN DISPERSA</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b/>
          <w:i/>
          <w:color w:val="000000" w:themeColor="text1"/>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4E203A">
        <w:rPr>
          <w:rFonts w:ascii="Palatino Linotype" w:eastAsia="Palatino Linotype" w:hAnsi="Palatino Linotype" w:cs="Palatino Linotype"/>
          <w:i/>
          <w:color w:val="000000" w:themeColor="text1"/>
        </w:rPr>
        <w:t xml:space="preserve"> </w:t>
      </w:r>
      <w:r w:rsidRPr="004E203A">
        <w:rPr>
          <w:rFonts w:ascii="Palatino Linotype" w:eastAsia="Palatino Linotype" w:hAnsi="Palatino Linotype" w:cs="Palatino Linotype"/>
          <w:i/>
          <w:color w:val="000000" w:themeColor="text1"/>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4E203A">
        <w:rPr>
          <w:rFonts w:ascii="Palatino Linotype" w:eastAsia="Palatino Linotype" w:hAnsi="Palatino Linotype" w:cs="Palatino Linotype"/>
          <w:i/>
          <w:color w:val="000000" w:themeColor="text1"/>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4E203A">
        <w:rPr>
          <w:rFonts w:ascii="Palatino Linotype" w:eastAsia="Palatino Linotype" w:hAnsi="Palatino Linotype" w:cs="Palatino Linotype"/>
          <w:i/>
          <w:color w:val="000000" w:themeColor="text1"/>
          <w:u w:val="single"/>
        </w:rPr>
        <w:t xml:space="preserve">ello no obsta para reconocer que si el órgano que tiene bajo su resguardo numerosos documentos en los que están dispersos los datos solicitados, cuenta con algún área o unidad que conforme a su regulación interna </w:t>
      </w:r>
      <w:r w:rsidRPr="004E203A">
        <w:rPr>
          <w:rFonts w:ascii="Palatino Linotype" w:eastAsia="Palatino Linotype" w:hAnsi="Palatino Linotype" w:cs="Palatino Linotype"/>
          <w:i/>
          <w:color w:val="000000" w:themeColor="text1"/>
          <w:u w:val="single"/>
        </w:rPr>
        <w:lastRenderedPageBreak/>
        <w:t>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4E203A">
        <w:rPr>
          <w:rFonts w:ascii="Palatino Linotype" w:eastAsia="Palatino Linotype" w:hAnsi="Palatino Linotype" w:cs="Palatino Linotype"/>
          <w:i/>
          <w:color w:val="000000" w:themeColor="text1"/>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5A5D3806" w14:textId="77777777" w:rsidR="00EC1E87" w:rsidRPr="004E203A" w:rsidRDefault="00EC1E87" w:rsidP="00A36C6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453B2ECC" w14:textId="3F5500AE" w:rsidR="00EC1E87" w:rsidRPr="004E203A" w:rsidRDefault="00EC1E87" w:rsidP="00A36C68">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Los criterios refieren puntualmente que, cuando exista </w:t>
      </w:r>
      <w:r w:rsidRPr="004E203A">
        <w:rPr>
          <w:rFonts w:ascii="Palatino Linotype" w:eastAsia="Palatino Linotype" w:hAnsi="Palatino Linotype" w:cs="Palatino Linotype"/>
          <w:b/>
          <w:color w:val="000000" w:themeColor="text1"/>
        </w:rPr>
        <w:t xml:space="preserve">impedimento justificado </w:t>
      </w:r>
      <w:r w:rsidRPr="004E203A">
        <w:rPr>
          <w:rFonts w:ascii="Palatino Linotype" w:eastAsia="Palatino Linotype" w:hAnsi="Palatino Linotype" w:cs="Palatino Linotype"/>
          <w:color w:val="000000" w:themeColor="text1"/>
        </w:rPr>
        <w:t xml:space="preserve">para entregar la información solicitada, sólo entonces se procederá a ofrecer otras modalidades, situación que no </w:t>
      </w:r>
      <w:r w:rsidR="00191103" w:rsidRPr="004E203A">
        <w:rPr>
          <w:rFonts w:ascii="Palatino Linotype" w:eastAsia="Palatino Linotype" w:hAnsi="Palatino Linotype" w:cs="Palatino Linotype"/>
          <w:color w:val="000000" w:themeColor="text1"/>
        </w:rPr>
        <w:t>aconteció</w:t>
      </w:r>
      <w:r w:rsidRPr="004E203A">
        <w:rPr>
          <w:rFonts w:ascii="Palatino Linotype" w:eastAsia="Palatino Linotype" w:hAnsi="Palatino Linotype" w:cs="Palatino Linotype"/>
          <w:color w:val="000000" w:themeColor="text1"/>
        </w:rPr>
        <w:t xml:space="preserve"> en el presente </w:t>
      </w:r>
      <w:r w:rsidR="00191103" w:rsidRPr="004E203A">
        <w:rPr>
          <w:rFonts w:ascii="Palatino Linotype" w:eastAsia="Palatino Linotype" w:hAnsi="Palatino Linotype" w:cs="Palatino Linotype"/>
          <w:color w:val="000000" w:themeColor="text1"/>
        </w:rPr>
        <w:t>caso.</w:t>
      </w:r>
    </w:p>
    <w:p w14:paraId="32499DD6" w14:textId="77777777" w:rsidR="0035396F" w:rsidRPr="004E203A" w:rsidRDefault="0035396F" w:rsidP="00A36C68">
      <w:pPr>
        <w:tabs>
          <w:tab w:val="left" w:pos="0"/>
        </w:tabs>
        <w:rPr>
          <w:rFonts w:ascii="Palatino Linotype" w:eastAsia="Palatino Linotype" w:hAnsi="Palatino Linotype" w:cs="Palatino Linotype"/>
          <w:color w:val="000000" w:themeColor="text1"/>
        </w:rPr>
      </w:pPr>
    </w:p>
    <w:p w14:paraId="43055A72" w14:textId="77777777" w:rsidR="0035396F"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En consecuencia, resulta dable </w:t>
      </w:r>
      <w:r w:rsidRPr="004E203A">
        <w:rPr>
          <w:rFonts w:ascii="Palatino Linotype" w:eastAsia="Palatino Linotype" w:hAnsi="Palatino Linotype" w:cs="Palatino Linotype"/>
          <w:b/>
          <w:color w:val="000000" w:themeColor="text1"/>
        </w:rPr>
        <w:t>ORDENAR</w:t>
      </w:r>
      <w:r w:rsidRPr="004E203A">
        <w:rPr>
          <w:rFonts w:ascii="Palatino Linotype" w:eastAsia="Palatino Linotype" w:hAnsi="Palatino Linotype" w:cs="Palatino Linotype"/>
          <w:color w:val="000000" w:themeColor="text1"/>
        </w:rPr>
        <w:t xml:space="preserve"> la entrega de la información vía </w:t>
      </w:r>
      <w:r w:rsidRPr="004E203A">
        <w:rPr>
          <w:rFonts w:ascii="Palatino Linotype" w:eastAsia="Palatino Linotype" w:hAnsi="Palatino Linotype" w:cs="Palatino Linotype"/>
          <w:b/>
          <w:color w:val="000000" w:themeColor="text1"/>
        </w:rPr>
        <w:t>SAIMEX</w:t>
      </w:r>
      <w:r w:rsidRPr="004E203A">
        <w:rPr>
          <w:rFonts w:ascii="Palatino Linotype" w:eastAsia="Palatino Linotype" w:hAnsi="Palatino Linotype" w:cs="Palatino Linotype"/>
          <w:color w:val="000000" w:themeColor="text1"/>
        </w:rPr>
        <w:t>, de ser procedente en versión pública.</w:t>
      </w:r>
    </w:p>
    <w:p w14:paraId="230D50E3" w14:textId="77777777" w:rsidR="0035396F" w:rsidRPr="004E203A" w:rsidRDefault="0035396F" w:rsidP="00A36C68">
      <w:pPr>
        <w:tabs>
          <w:tab w:val="left" w:pos="0"/>
        </w:tabs>
        <w:rPr>
          <w:rFonts w:ascii="Palatino Linotype" w:eastAsia="Palatino Linotype" w:hAnsi="Palatino Linotype" w:cs="Palatino Linotype"/>
          <w:color w:val="000000" w:themeColor="text1"/>
        </w:rPr>
      </w:pPr>
    </w:p>
    <w:p w14:paraId="3B9A3EB5" w14:textId="77777777" w:rsidR="0035396F"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A86220C" w14:textId="77777777" w:rsidR="0035396F" w:rsidRPr="004E203A" w:rsidRDefault="0035396F"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E051E6" w14:textId="77777777" w:rsidR="0035396F" w:rsidRPr="004E203A" w:rsidRDefault="0035396F" w:rsidP="00A36C68">
      <w:pPr>
        <w:tabs>
          <w:tab w:val="left" w:pos="0"/>
        </w:tabs>
        <w:ind w:left="567"/>
        <w:jc w:val="both"/>
        <w:rPr>
          <w:rFonts w:ascii="Palatino Linotype" w:eastAsia="Palatino Linotype" w:hAnsi="Palatino Linotype" w:cs="Palatino Linotype"/>
          <w:b/>
          <w:i/>
          <w:color w:val="000000" w:themeColor="text1"/>
        </w:rPr>
      </w:pPr>
      <w:r w:rsidRPr="004E203A">
        <w:rPr>
          <w:rFonts w:ascii="Palatino Linotype" w:eastAsia="Palatino Linotype" w:hAnsi="Palatino Linotype" w:cs="Palatino Linotype"/>
          <w:b/>
          <w:i/>
          <w:color w:val="000000" w:themeColor="text1"/>
        </w:rPr>
        <w:t>“CRITERIO 0002-11</w:t>
      </w:r>
    </w:p>
    <w:p w14:paraId="5CB2CCB4" w14:textId="77777777" w:rsidR="0035396F" w:rsidRPr="004E203A" w:rsidRDefault="0035396F"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E203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w:t>
      </w:r>
      <w:r w:rsidRPr="004E203A">
        <w:rPr>
          <w:rFonts w:ascii="Palatino Linotype" w:eastAsia="Palatino Linotype" w:hAnsi="Palatino Linotype" w:cs="Palatino Linotype"/>
          <w:i/>
          <w:color w:val="000000" w:themeColor="text1"/>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6401D0" w14:textId="77777777" w:rsidR="0035396F" w:rsidRPr="004E203A" w:rsidRDefault="0035396F"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1A65C08" w14:textId="77777777" w:rsidR="0035396F" w:rsidRPr="004E203A" w:rsidRDefault="0035396F"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46258615" w14:textId="77777777" w:rsidR="0035396F" w:rsidRPr="004E203A" w:rsidRDefault="0035396F"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95AD9A4" w14:textId="3FBA936C" w:rsidR="0035396F" w:rsidRPr="004E203A" w:rsidRDefault="0035396F"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D5C3169" w14:textId="77777777" w:rsidR="0035396F" w:rsidRPr="004E203A" w:rsidRDefault="0035396F"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AC52ED6" w14:textId="77777777" w:rsidR="0035396F"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E65AB14" w14:textId="77777777" w:rsidR="0035396F" w:rsidRPr="004E203A" w:rsidRDefault="0035396F"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60F2DD" w14:textId="7197440B" w:rsidR="0035396F" w:rsidRPr="004E203A" w:rsidRDefault="0035396F"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 xml:space="preserve">XI. Documento: </w:t>
      </w:r>
      <w:r w:rsidRPr="004E203A">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51BE88" w14:textId="77777777" w:rsidR="0035396F" w:rsidRPr="004E203A" w:rsidRDefault="0035396F" w:rsidP="00A36C6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2188D4B1" w14:textId="77777777" w:rsidR="0035396F"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3F49D5F" w14:textId="77777777" w:rsidR="0035396F" w:rsidRPr="004E203A" w:rsidRDefault="0035396F"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0E2776" w14:textId="77777777" w:rsidR="004521CD"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E203A">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4E203A">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5951DBFF" w14:textId="77777777" w:rsidR="004521CD" w:rsidRPr="004E203A" w:rsidRDefault="004521CD"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9480BB" w14:textId="77777777" w:rsidR="004521CD"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0351E5EA" w14:textId="77777777" w:rsidR="004521CD" w:rsidRPr="004E203A" w:rsidRDefault="004521CD" w:rsidP="00A36C68">
      <w:pPr>
        <w:tabs>
          <w:tab w:val="left" w:pos="0"/>
        </w:tabs>
        <w:rPr>
          <w:rFonts w:ascii="Palatino Linotype" w:eastAsia="Palatino Linotype" w:hAnsi="Palatino Linotype" w:cs="Palatino Linotype"/>
          <w:color w:val="000000" w:themeColor="text1"/>
        </w:rPr>
      </w:pPr>
    </w:p>
    <w:p w14:paraId="3300F3E9" w14:textId="77777777" w:rsidR="004521CD" w:rsidRPr="004E203A" w:rsidRDefault="004521CD"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 xml:space="preserve">Artículo 4. </w:t>
      </w:r>
      <w:r w:rsidRPr="004E203A">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69A021E" w14:textId="77777777" w:rsidR="004521CD" w:rsidRPr="004E203A" w:rsidRDefault="004521CD" w:rsidP="00A36C68">
      <w:pPr>
        <w:tabs>
          <w:tab w:val="left" w:pos="0"/>
        </w:tabs>
        <w:ind w:left="567"/>
        <w:jc w:val="both"/>
        <w:rPr>
          <w:rFonts w:ascii="Palatino Linotype" w:eastAsia="Palatino Linotype" w:hAnsi="Palatino Linotype" w:cs="Palatino Linotype"/>
          <w:i/>
          <w:color w:val="000000" w:themeColor="text1"/>
        </w:rPr>
      </w:pPr>
    </w:p>
    <w:p w14:paraId="1D5015E3" w14:textId="77777777" w:rsidR="004521CD" w:rsidRPr="004E203A" w:rsidRDefault="004521CD"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6468E7" w14:textId="77777777" w:rsidR="004521CD" w:rsidRPr="004E203A" w:rsidRDefault="004521CD" w:rsidP="00A36C68">
      <w:pPr>
        <w:tabs>
          <w:tab w:val="left" w:pos="0"/>
        </w:tabs>
        <w:ind w:left="567"/>
        <w:jc w:val="both"/>
        <w:rPr>
          <w:rFonts w:ascii="Palatino Linotype" w:eastAsia="Palatino Linotype" w:hAnsi="Palatino Linotype" w:cs="Palatino Linotype"/>
          <w:i/>
          <w:color w:val="000000" w:themeColor="text1"/>
        </w:rPr>
      </w:pPr>
    </w:p>
    <w:p w14:paraId="4A8D931C" w14:textId="4AC0FB7F" w:rsidR="004521CD" w:rsidRPr="004E203A" w:rsidRDefault="004521CD"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4516E4B" w14:textId="77777777" w:rsidR="004521CD" w:rsidRPr="004E203A" w:rsidRDefault="004521CD" w:rsidP="00A36C68">
      <w:pPr>
        <w:tabs>
          <w:tab w:val="left" w:pos="0"/>
        </w:tabs>
        <w:rPr>
          <w:rFonts w:ascii="Palatino Linotype" w:eastAsia="Palatino Linotype" w:hAnsi="Palatino Linotype" w:cs="Palatino Linotype"/>
          <w:color w:val="000000" w:themeColor="text1"/>
        </w:rPr>
      </w:pPr>
    </w:p>
    <w:p w14:paraId="457106BB" w14:textId="77777777" w:rsidR="004521CD" w:rsidRPr="004E203A" w:rsidRDefault="0035396F"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E203A">
        <w:rPr>
          <w:rFonts w:ascii="Palatino Linotype" w:hAnsi="Palatino Linotype"/>
          <w:color w:val="000000" w:themeColor="text1"/>
          <w:vertAlign w:val="superscript"/>
        </w:rPr>
        <w:footnoteReference w:id="2"/>
      </w:r>
      <w:r w:rsidRPr="004E203A">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C08AC73" w14:textId="77777777" w:rsidR="00EB0F49" w:rsidRPr="004E203A" w:rsidRDefault="00EB0F49" w:rsidP="00A36C68">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03CCA1CE" w14:textId="77777777" w:rsidR="00EB0F49" w:rsidRPr="004E203A" w:rsidRDefault="001D3081" w:rsidP="00A36C68">
      <w:pPr>
        <w:keepNext/>
        <w:keepLines/>
        <w:tabs>
          <w:tab w:val="left" w:pos="0"/>
        </w:tabs>
        <w:spacing w:line="360" w:lineRule="auto"/>
        <w:rPr>
          <w:rFonts w:ascii="Palatino Linotype" w:eastAsia="Palatino Linotype" w:hAnsi="Palatino Linotype" w:cs="Palatino Linotype"/>
          <w:b/>
          <w:color w:val="000000" w:themeColor="text1"/>
        </w:rPr>
      </w:pPr>
      <w:bookmarkStart w:id="9" w:name="_heading=h.17dp8vu" w:colFirst="0" w:colLast="0"/>
      <w:bookmarkEnd w:id="9"/>
      <w:r w:rsidRPr="004E203A">
        <w:rPr>
          <w:rFonts w:ascii="Palatino Linotype" w:eastAsia="Palatino Linotype" w:hAnsi="Palatino Linotype" w:cs="Palatino Linotype"/>
          <w:b/>
          <w:color w:val="000000" w:themeColor="text1"/>
        </w:rPr>
        <w:t>QUINTO. De la versión pública.</w:t>
      </w:r>
    </w:p>
    <w:p w14:paraId="1F3FE050" w14:textId="2E1CB106" w:rsidR="00473A26" w:rsidRPr="004E203A" w:rsidRDefault="001D3081" w:rsidP="00A36C68">
      <w:pPr>
        <w:keepNext/>
        <w:keepLines/>
        <w:numPr>
          <w:ilvl w:val="0"/>
          <w:numId w:val="9"/>
        </w:numPr>
        <w:tabs>
          <w:tab w:val="left" w:pos="0"/>
          <w:tab w:val="left" w:pos="284"/>
        </w:tabs>
        <w:spacing w:line="360" w:lineRule="auto"/>
        <w:rPr>
          <w:rFonts w:ascii="Palatino Linotype" w:eastAsia="Palatino Linotype" w:hAnsi="Palatino Linotype" w:cs="Palatino Linotype"/>
          <w:b/>
          <w:color w:val="000000" w:themeColor="text1"/>
        </w:rPr>
      </w:pPr>
      <w:bookmarkStart w:id="10" w:name="_heading=h.3rdcrjn" w:colFirst="0" w:colLast="0"/>
      <w:bookmarkEnd w:id="10"/>
      <w:r w:rsidRPr="004E203A">
        <w:rPr>
          <w:rFonts w:ascii="Palatino Linotype" w:eastAsia="Palatino Linotype" w:hAnsi="Palatino Linotype" w:cs="Palatino Linotype"/>
          <w:b/>
          <w:color w:val="000000" w:themeColor="text1"/>
        </w:rPr>
        <w:t xml:space="preserve">Nociones generales. </w:t>
      </w:r>
    </w:p>
    <w:p w14:paraId="1DBFF3D8" w14:textId="77777777" w:rsidR="004521CD" w:rsidRPr="004E203A" w:rsidRDefault="004521CD" w:rsidP="00A36C68">
      <w:pPr>
        <w:keepNext/>
        <w:keepLines/>
        <w:tabs>
          <w:tab w:val="left" w:pos="0"/>
          <w:tab w:val="left" w:pos="284"/>
        </w:tabs>
        <w:ind w:left="360"/>
        <w:rPr>
          <w:rFonts w:ascii="Palatino Linotype" w:eastAsia="Palatino Linotype" w:hAnsi="Palatino Linotype" w:cs="Palatino Linotype"/>
          <w:b/>
          <w:color w:val="000000" w:themeColor="text1"/>
        </w:rPr>
      </w:pPr>
    </w:p>
    <w:p w14:paraId="708D2F7B"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Debe destacarse que, debido a la naturaleza de la información solicitada</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4E203A">
        <w:rPr>
          <w:rFonts w:ascii="Palatino Linotype" w:eastAsia="Palatino Linotype" w:hAnsi="Palatino Linotype" w:cs="Palatino Linotype"/>
          <w:b/>
          <w:color w:val="000000" w:themeColor="text1"/>
        </w:rPr>
        <w:t xml:space="preserve">SUJETO OBLIGADO </w:t>
      </w:r>
      <w:r w:rsidRPr="004E203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3637A64" w14:textId="77777777" w:rsidR="00EB0F49" w:rsidRPr="004E203A" w:rsidRDefault="00EB0F49" w:rsidP="00A36C68">
      <w:pPr>
        <w:tabs>
          <w:tab w:val="left" w:pos="0"/>
          <w:tab w:val="left" w:pos="284"/>
        </w:tabs>
        <w:spacing w:line="360" w:lineRule="auto"/>
        <w:jc w:val="both"/>
        <w:rPr>
          <w:rFonts w:ascii="Palatino Linotype" w:eastAsia="Palatino Linotype" w:hAnsi="Palatino Linotype" w:cs="Palatino Linotype"/>
          <w:b/>
          <w:color w:val="000000" w:themeColor="text1"/>
        </w:rPr>
      </w:pPr>
    </w:p>
    <w:p w14:paraId="4A5B4025"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No pasa desapercibido para este Órgano Garante que los sujetos obligados</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4E203A">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14:paraId="29B8A1FC" w14:textId="77777777" w:rsidR="00EB0F49" w:rsidRPr="004E203A" w:rsidRDefault="00EB0F49" w:rsidP="00A36C68">
      <w:pPr>
        <w:tabs>
          <w:tab w:val="left" w:pos="0"/>
          <w:tab w:val="left" w:pos="284"/>
        </w:tabs>
        <w:spacing w:line="360" w:lineRule="auto"/>
        <w:jc w:val="both"/>
        <w:rPr>
          <w:rFonts w:ascii="Palatino Linotype" w:eastAsia="Palatino Linotype" w:hAnsi="Palatino Linotype" w:cs="Palatino Linotype"/>
          <w:color w:val="000000" w:themeColor="text1"/>
        </w:rPr>
      </w:pPr>
    </w:p>
    <w:tbl>
      <w:tblPr>
        <w:tblStyle w:val="a5"/>
        <w:tblW w:w="892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237"/>
      </w:tblGrid>
      <w:tr w:rsidR="00A36C68" w:rsidRPr="004E203A" w14:paraId="5BFF855A" w14:textId="77777777">
        <w:tc>
          <w:tcPr>
            <w:tcW w:w="2689" w:type="dxa"/>
          </w:tcPr>
          <w:p w14:paraId="2B2B1285" w14:textId="77777777" w:rsidR="00EB0F49" w:rsidRPr="004E203A" w:rsidRDefault="001D3081" w:rsidP="00A36C68">
            <w:pPr>
              <w:tabs>
                <w:tab w:val="left" w:pos="0"/>
                <w:tab w:val="left" w:pos="284"/>
              </w:tabs>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 Requisitos previos.</w:t>
            </w:r>
          </w:p>
        </w:tc>
        <w:tc>
          <w:tcPr>
            <w:tcW w:w="6237" w:type="dxa"/>
          </w:tcPr>
          <w:p w14:paraId="2E724738"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22ED15"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63EE323E"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40A58DA"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E203A">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E203A">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36C68" w:rsidRPr="004E203A" w14:paraId="522D34D2" w14:textId="77777777">
        <w:tc>
          <w:tcPr>
            <w:tcW w:w="2689" w:type="dxa"/>
          </w:tcPr>
          <w:p w14:paraId="74ABA595" w14:textId="77777777" w:rsidR="00EB0F49" w:rsidRPr="004E203A" w:rsidRDefault="001D3081" w:rsidP="00A36C68">
            <w:pPr>
              <w:tabs>
                <w:tab w:val="left" w:pos="0"/>
                <w:tab w:val="left" w:pos="284"/>
              </w:tabs>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b) Supuestos de clasificación.</w:t>
            </w:r>
          </w:p>
        </w:tc>
        <w:tc>
          <w:tcPr>
            <w:tcW w:w="6237" w:type="dxa"/>
          </w:tcPr>
          <w:p w14:paraId="77FC47CD"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45B7B49"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4E203A">
              <w:rPr>
                <w:rFonts w:ascii="Palatino Linotype" w:eastAsia="Palatino Linotype" w:hAnsi="Palatino Linotype" w:cs="Palatino Linotype"/>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64956414"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36C68" w:rsidRPr="004E203A" w14:paraId="42CD765E" w14:textId="77777777">
        <w:tc>
          <w:tcPr>
            <w:tcW w:w="2689" w:type="dxa"/>
          </w:tcPr>
          <w:p w14:paraId="2B504929" w14:textId="77777777" w:rsidR="00EB0F49" w:rsidRPr="004E203A" w:rsidRDefault="001D3081" w:rsidP="00A36C68">
            <w:pPr>
              <w:tabs>
                <w:tab w:val="left" w:pos="0"/>
                <w:tab w:val="left" w:pos="284"/>
              </w:tabs>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c) Formalidades para emitir el acuerdo de clasificación.</w:t>
            </w:r>
          </w:p>
        </w:tc>
        <w:tc>
          <w:tcPr>
            <w:tcW w:w="6237" w:type="dxa"/>
          </w:tcPr>
          <w:p w14:paraId="421380D0"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1417A04"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Es necesario que </w:t>
            </w:r>
            <w:r w:rsidRPr="004E203A">
              <w:rPr>
                <w:rFonts w:ascii="Palatino Linotype" w:eastAsia="Palatino Linotype" w:hAnsi="Palatino Linotype" w:cs="Palatino Linotype"/>
                <w:b/>
                <w:color w:val="000000" w:themeColor="text1"/>
                <w:u w:val="single"/>
              </w:rPr>
              <w:t>el acto reúna con los requisitos elementales</w:t>
            </w:r>
            <w:r w:rsidRPr="004E203A">
              <w:rPr>
                <w:rFonts w:ascii="Palatino Linotype" w:eastAsia="Palatino Linotype" w:hAnsi="Palatino Linotype" w:cs="Palatino Linotype"/>
                <w:color w:val="000000" w:themeColor="text1"/>
              </w:rPr>
              <w:t>, entre ellos, que la autoridad que va a emitir el acto de autoridad sea la legalmente facultada para ello.</w:t>
            </w:r>
          </w:p>
          <w:p w14:paraId="47F2A5BF"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36C68" w:rsidRPr="004E203A" w14:paraId="7E2D4761" w14:textId="77777777">
        <w:tc>
          <w:tcPr>
            <w:tcW w:w="2689" w:type="dxa"/>
          </w:tcPr>
          <w:p w14:paraId="5F42BB41" w14:textId="77777777" w:rsidR="00EB0F49" w:rsidRPr="004E203A" w:rsidRDefault="00EB0F49" w:rsidP="00A36C68">
            <w:pPr>
              <w:tabs>
                <w:tab w:val="left" w:pos="0"/>
                <w:tab w:val="left" w:pos="284"/>
              </w:tabs>
              <w:rPr>
                <w:rFonts w:ascii="Palatino Linotype" w:eastAsia="Palatino Linotype" w:hAnsi="Palatino Linotype" w:cs="Palatino Linotype"/>
                <w:color w:val="000000" w:themeColor="text1"/>
              </w:rPr>
            </w:pPr>
          </w:p>
          <w:p w14:paraId="1E1694EA"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d) Requisitos de fondo del acuerdo de clasificación. </w:t>
            </w:r>
          </w:p>
        </w:tc>
        <w:tc>
          <w:tcPr>
            <w:tcW w:w="6237" w:type="dxa"/>
          </w:tcPr>
          <w:p w14:paraId="635BA8DA"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203A">
              <w:rPr>
                <w:rFonts w:ascii="Palatino Linotype" w:eastAsia="Palatino Linotype" w:hAnsi="Palatino Linotype" w:cs="Palatino Linotype"/>
                <w:b/>
                <w:color w:val="000000" w:themeColor="text1"/>
              </w:rPr>
              <w:lastRenderedPageBreak/>
              <w:t>Sujetos Obligados</w:t>
            </w:r>
            <w:r w:rsidRPr="004E203A">
              <w:rPr>
                <w:rFonts w:ascii="Palatino Linotype" w:eastAsia="Palatino Linotype" w:hAnsi="Palatino Linotype" w:cs="Palatino Linotype"/>
                <w:color w:val="000000" w:themeColor="text1"/>
              </w:rPr>
              <w:t xml:space="preserve">, por lo que deberán fundar y motivar debidamente la clasificación. </w:t>
            </w:r>
          </w:p>
          <w:p w14:paraId="4E6996D9"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De lo anterior, se desprende que para una correcta </w:t>
            </w:r>
            <w:r w:rsidRPr="004E203A">
              <w:rPr>
                <w:rFonts w:ascii="Palatino Linotype" w:eastAsia="Palatino Linotype" w:hAnsi="Palatino Linotype" w:cs="Palatino Linotype"/>
                <w:b/>
                <w:color w:val="000000" w:themeColor="text1"/>
              </w:rPr>
              <w:t>clasificación total o parcial</w:t>
            </w:r>
            <w:r w:rsidRPr="004E203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CCF300"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8931D9E"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EE40F57"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Ahora bien, </w:t>
            </w:r>
            <w:r w:rsidRPr="004E203A">
              <w:rPr>
                <w:rFonts w:ascii="Palatino Linotype" w:eastAsia="Palatino Linotype" w:hAnsi="Palatino Linotype" w:cs="Palatino Linotype"/>
                <w:b/>
                <w:color w:val="000000" w:themeColor="text1"/>
                <w:u w:val="single"/>
              </w:rPr>
              <w:t>para cada caso además de fundar y motivar</w:t>
            </w:r>
            <w:r w:rsidRPr="004E203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36C68" w:rsidRPr="004E203A" w14:paraId="574E7C8D" w14:textId="77777777">
        <w:tc>
          <w:tcPr>
            <w:tcW w:w="2689" w:type="dxa"/>
          </w:tcPr>
          <w:p w14:paraId="2A185F15"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e) Condiciones especiales de la clasificación de la </w:t>
            </w:r>
            <w:r w:rsidRPr="004E203A">
              <w:rPr>
                <w:rFonts w:ascii="Palatino Linotype" w:eastAsia="Palatino Linotype" w:hAnsi="Palatino Linotype" w:cs="Palatino Linotype"/>
                <w:color w:val="000000" w:themeColor="text1"/>
              </w:rPr>
              <w:lastRenderedPageBreak/>
              <w:t xml:space="preserve">información como confidencial. </w:t>
            </w:r>
          </w:p>
        </w:tc>
        <w:tc>
          <w:tcPr>
            <w:tcW w:w="6237" w:type="dxa"/>
          </w:tcPr>
          <w:p w14:paraId="04047270"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14:paraId="39A6E2F1" w14:textId="77777777" w:rsidR="00EB0F49" w:rsidRPr="004E203A" w:rsidRDefault="001D3081" w:rsidP="00A36C68">
            <w:pPr>
              <w:tabs>
                <w:tab w:val="left" w:pos="0"/>
                <w:tab w:val="left" w:pos="284"/>
              </w:tabs>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25D107D" w14:textId="77777777" w:rsidR="00EB0F49" w:rsidRPr="004E203A" w:rsidRDefault="001D3081" w:rsidP="00A36C68">
            <w:pPr>
              <w:tabs>
                <w:tab w:val="left" w:pos="0"/>
                <w:tab w:val="left" w:pos="284"/>
              </w:tabs>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90D11B3" w14:textId="77777777" w:rsidR="00D11CE4" w:rsidRPr="004E203A" w:rsidRDefault="00D11CE4" w:rsidP="00A36C68">
      <w:pPr>
        <w:tabs>
          <w:tab w:val="left" w:pos="0"/>
          <w:tab w:val="left" w:pos="426"/>
        </w:tabs>
        <w:spacing w:line="360" w:lineRule="auto"/>
        <w:jc w:val="both"/>
        <w:rPr>
          <w:rFonts w:ascii="Palatino Linotype" w:eastAsia="Palatino Linotype" w:hAnsi="Palatino Linotype" w:cs="Palatino Linotype"/>
          <w:b/>
          <w:color w:val="000000" w:themeColor="text1"/>
        </w:rPr>
      </w:pPr>
    </w:p>
    <w:p w14:paraId="3F44A4E9" w14:textId="4AC994EE" w:rsidR="00402AAA" w:rsidRPr="004E203A" w:rsidRDefault="00D11CE4" w:rsidP="00A36C68">
      <w:pPr>
        <w:pStyle w:val="Prrafodelista"/>
        <w:numPr>
          <w:ilvl w:val="0"/>
          <w:numId w:val="19"/>
        </w:numPr>
        <w:tabs>
          <w:tab w:val="left" w:pos="0"/>
          <w:tab w:val="left" w:pos="426"/>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Del análisis de los datos susceptibles de ser protegidos en la nómina.</w:t>
      </w:r>
    </w:p>
    <w:p w14:paraId="47775BB5"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Calibri" w:hAnsi="Palatino Linotype" w:cs="Arial"/>
          <w:color w:val="000000" w:themeColor="text1"/>
          <w:lang w:val="es-ES"/>
        </w:rPr>
        <w:t xml:space="preserve">Bajo </w:t>
      </w:r>
      <w:r w:rsidRPr="004E203A">
        <w:rPr>
          <w:rFonts w:ascii="Palatino Linotype" w:eastAsia="Palatino Linotype" w:hAnsi="Palatino Linotype" w:cs="Palatino Linotype"/>
          <w:color w:val="000000" w:themeColor="text1"/>
        </w:rPr>
        <w:t xml:space="preserve">lo anterior, es importante analizar los datos personales susceptibles de ser protegidos, que pudieran estar contenidos en los documentos donde obra lo requerido, tales como </w:t>
      </w:r>
      <w:r w:rsidRPr="004E203A">
        <w:rPr>
          <w:rFonts w:ascii="Palatino Linotype" w:eastAsia="Palatino Linotype" w:hAnsi="Palatino Linotype" w:cs="Palatino Linotype"/>
          <w:b/>
          <w:color w:val="000000" w:themeColor="text1"/>
        </w:rPr>
        <w:t xml:space="preserve">Registro Federal de Contribuyentes (RFC), </w:t>
      </w:r>
      <w:r w:rsidRPr="004E203A">
        <w:rPr>
          <w:rFonts w:ascii="Palatino Linotype" w:eastAsia="Palatino Linotype" w:hAnsi="Palatino Linotype" w:cs="Palatino Linotype"/>
          <w:color w:val="000000" w:themeColor="text1"/>
        </w:rPr>
        <w:t xml:space="preserve">la </w:t>
      </w:r>
      <w:r w:rsidRPr="004E203A">
        <w:rPr>
          <w:rFonts w:ascii="Palatino Linotype" w:eastAsia="Palatino Linotype" w:hAnsi="Palatino Linotype" w:cs="Palatino Linotype"/>
          <w:b/>
          <w:color w:val="000000" w:themeColor="text1"/>
        </w:rPr>
        <w:t>Clave Única de Registro de Población (CURP)</w:t>
      </w:r>
      <w:r w:rsidRPr="004E203A">
        <w:rPr>
          <w:rFonts w:ascii="Palatino Linotype" w:eastAsia="Palatino Linotype" w:hAnsi="Palatino Linotype" w:cs="Palatino Linotype"/>
          <w:color w:val="000000" w:themeColor="text1"/>
        </w:rPr>
        <w:t xml:space="preserve">, la </w:t>
      </w:r>
      <w:r w:rsidRPr="004E203A">
        <w:rPr>
          <w:rFonts w:ascii="Palatino Linotype" w:eastAsia="Palatino Linotype" w:hAnsi="Palatino Linotype" w:cs="Palatino Linotype"/>
          <w:b/>
          <w:color w:val="000000" w:themeColor="text1"/>
        </w:rPr>
        <w:t xml:space="preserve">Clave de </w:t>
      </w:r>
      <w:proofErr w:type="spellStart"/>
      <w:r w:rsidRPr="004E203A">
        <w:rPr>
          <w:rFonts w:ascii="Palatino Linotype" w:eastAsia="Palatino Linotype" w:hAnsi="Palatino Linotype" w:cs="Palatino Linotype"/>
          <w:b/>
          <w:color w:val="000000" w:themeColor="text1"/>
        </w:rPr>
        <w:t>ISSEMyM</w:t>
      </w:r>
      <w:proofErr w:type="spellEnd"/>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 xml:space="preserve">u análogos, </w:t>
      </w:r>
      <w:r w:rsidRPr="004E203A">
        <w:rPr>
          <w:rFonts w:ascii="Palatino Linotype" w:eastAsia="Palatino Linotype" w:hAnsi="Palatino Linotype" w:cs="Palatino Linotype"/>
          <w:b/>
          <w:color w:val="000000" w:themeColor="text1"/>
        </w:rPr>
        <w:t xml:space="preserve">préstamos o descuentos </w:t>
      </w:r>
      <w:r w:rsidRPr="004E203A">
        <w:rPr>
          <w:rFonts w:ascii="Palatino Linotype" w:eastAsia="Palatino Linotype" w:hAnsi="Palatino Linotype" w:cs="Palatino Linotype"/>
          <w:color w:val="000000" w:themeColor="text1"/>
        </w:rPr>
        <w:t xml:space="preserve">realizados al servidor público y la </w:t>
      </w:r>
      <w:r w:rsidRPr="004E203A">
        <w:rPr>
          <w:rFonts w:ascii="Palatino Linotype" w:eastAsia="Palatino Linotype" w:hAnsi="Palatino Linotype" w:cs="Palatino Linotype"/>
          <w:b/>
          <w:color w:val="000000" w:themeColor="text1"/>
        </w:rPr>
        <w:t>clave interbancaria de depósito.</w:t>
      </w:r>
    </w:p>
    <w:p w14:paraId="4905F928"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5345B89" w14:textId="77777777" w:rsidR="00D11CE4" w:rsidRPr="004E203A" w:rsidRDefault="00D11CE4" w:rsidP="00A36C68">
      <w:pPr>
        <w:tabs>
          <w:tab w:val="left" w:pos="0"/>
          <w:tab w:val="left" w:pos="426"/>
        </w:tabs>
        <w:spacing w:line="360" w:lineRule="auto"/>
        <w:ind w:left="426"/>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a) Del Registro Federal de Contribuyentes.</w:t>
      </w:r>
    </w:p>
    <w:p w14:paraId="44A84EBE"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7E19CCE"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w:t>
      </w:r>
      <w:r w:rsidRPr="004E203A">
        <w:rPr>
          <w:rFonts w:ascii="Palatino Linotype" w:eastAsia="Palatino Linotype" w:hAnsi="Palatino Linotype" w:cs="Palatino Linotype"/>
          <w:color w:val="000000" w:themeColor="text1"/>
        </w:rPr>
        <w:lastRenderedPageBreak/>
        <w:t xml:space="preserve">dígitos son la </w:t>
      </w:r>
      <w:proofErr w:type="spellStart"/>
      <w:r w:rsidRPr="004E203A">
        <w:rPr>
          <w:rFonts w:ascii="Palatino Linotype" w:eastAsia="Palatino Linotype" w:hAnsi="Palatino Linotype" w:cs="Palatino Linotype"/>
          <w:color w:val="000000" w:themeColor="text1"/>
        </w:rPr>
        <w:t>homoclave</w:t>
      </w:r>
      <w:proofErr w:type="spellEnd"/>
      <w:r w:rsidRPr="004E203A">
        <w:rPr>
          <w:rFonts w:ascii="Palatino Linotype" w:eastAsia="Palatino Linotype" w:hAnsi="Palatino Linotype" w:cs="Palatino Linotype"/>
          <w:color w:val="000000" w:themeColor="text1"/>
        </w:rPr>
        <w:t xml:space="preserve"> que es asignada por el Servicio de Administración Tributaria (SAT).</w:t>
      </w:r>
    </w:p>
    <w:p w14:paraId="75492CC7"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347B300"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40AABF45" w14:textId="77777777" w:rsidR="00D11CE4" w:rsidRPr="004E203A" w:rsidRDefault="00D11CE4" w:rsidP="00A36C68">
      <w:pPr>
        <w:tabs>
          <w:tab w:val="left" w:pos="0"/>
        </w:tabs>
        <w:rPr>
          <w:rFonts w:ascii="Palatino Linotype" w:eastAsia="Palatino Linotype" w:hAnsi="Palatino Linotype" w:cs="Palatino Linotype"/>
          <w:color w:val="000000" w:themeColor="text1"/>
        </w:rPr>
      </w:pPr>
    </w:p>
    <w:p w14:paraId="7178A3B6"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3C2D81AA" w14:textId="77777777" w:rsidR="00D11CE4" w:rsidRPr="004E203A" w:rsidRDefault="00D11CE4" w:rsidP="00A36C68">
      <w:pPr>
        <w:tabs>
          <w:tab w:val="left" w:pos="0"/>
        </w:tabs>
        <w:rPr>
          <w:rFonts w:ascii="Palatino Linotype" w:eastAsia="Palatino Linotype" w:hAnsi="Palatino Linotype" w:cs="Palatino Linotype"/>
          <w:color w:val="000000" w:themeColor="text1"/>
        </w:rPr>
      </w:pPr>
    </w:p>
    <w:p w14:paraId="38D43D09"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13659C9" w14:textId="77777777" w:rsidR="00D11CE4" w:rsidRPr="004E203A" w:rsidRDefault="00D11CE4" w:rsidP="00A36C68">
      <w:pPr>
        <w:tabs>
          <w:tab w:val="left" w:pos="0"/>
        </w:tabs>
        <w:rPr>
          <w:rFonts w:ascii="Palatino Linotype" w:eastAsia="Palatino Linotype" w:hAnsi="Palatino Linotype" w:cs="Palatino Linotype"/>
          <w:color w:val="000000" w:themeColor="text1"/>
        </w:rPr>
      </w:pPr>
    </w:p>
    <w:p w14:paraId="5D1F53DA"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En el mismo sentido, resulta aplicable el Criterio 19/17 emitido por el Instituto Nacional de Transparencia, Acceso a la Información, y Protección de Datos Personales, en el cual se señala lo siguiente:</w:t>
      </w:r>
    </w:p>
    <w:p w14:paraId="15E0B840"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90931DC" w14:textId="77777777" w:rsidR="00D11CE4" w:rsidRPr="004E203A" w:rsidRDefault="00D11CE4" w:rsidP="00A36C68">
      <w:pPr>
        <w:shd w:val="clear" w:color="auto" w:fill="FFFFFF"/>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lastRenderedPageBreak/>
        <w:t>REGISTRO FEDERAL DE CONTRIBUYENTES (RFC) DE PERSONAS FÍSICAS.</w:t>
      </w:r>
      <w:r w:rsidRPr="004E203A">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14:paraId="20CAB11F" w14:textId="77777777" w:rsidR="00D11CE4" w:rsidRPr="004E203A" w:rsidRDefault="00D11CE4" w:rsidP="00A36C68">
      <w:pPr>
        <w:shd w:val="clear" w:color="auto" w:fill="FFFFFF"/>
        <w:tabs>
          <w:tab w:val="left" w:pos="0"/>
        </w:tabs>
        <w:jc w:val="both"/>
        <w:rPr>
          <w:rFonts w:ascii="Palatino Linotype" w:eastAsia="Palatino Linotype" w:hAnsi="Palatino Linotype" w:cs="Palatino Linotype"/>
          <w:i/>
          <w:color w:val="000000" w:themeColor="text1"/>
        </w:rPr>
      </w:pPr>
    </w:p>
    <w:p w14:paraId="1AF9B0D4" w14:textId="77777777" w:rsidR="00D11CE4" w:rsidRPr="004E203A" w:rsidRDefault="00D11CE4" w:rsidP="00A36C68">
      <w:pPr>
        <w:tabs>
          <w:tab w:val="left" w:pos="0"/>
          <w:tab w:val="left" w:pos="426"/>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b) De la Clave Única de Registro de Población.</w:t>
      </w:r>
    </w:p>
    <w:p w14:paraId="78018230"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CEC6F16"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4189ED56" w14:textId="77777777" w:rsidR="00A36C68" w:rsidRPr="004E203A" w:rsidRDefault="00A36C68"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56E7E60" w14:textId="77777777" w:rsidR="00D11CE4" w:rsidRPr="004E203A" w:rsidRDefault="00D11CE4" w:rsidP="00A36C68">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4E203A">
        <w:rPr>
          <w:rFonts w:ascii="Palatino Linotype" w:hAnsi="Palatino Linotype"/>
          <w:noProof/>
          <w:color w:val="000000" w:themeColor="text1"/>
          <w:lang w:val="es-MX"/>
        </w:rPr>
        <w:drawing>
          <wp:inline distT="0" distB="0" distL="0" distR="0" wp14:anchorId="1AE3D67D" wp14:editId="31A84397">
            <wp:extent cx="2572603" cy="2306471"/>
            <wp:effectExtent l="19050" t="19050" r="18415" b="17780"/>
            <wp:docPr id="17"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8"/>
                    <a:srcRect l="25748" t="8269" r="41254" b="18081"/>
                    <a:stretch>
                      <a:fillRect/>
                    </a:stretch>
                  </pic:blipFill>
                  <pic:spPr>
                    <a:xfrm>
                      <a:off x="0" y="0"/>
                      <a:ext cx="2590089" cy="2322149"/>
                    </a:xfrm>
                    <a:prstGeom prst="rect">
                      <a:avLst/>
                    </a:prstGeom>
                    <a:ln w="12700">
                      <a:solidFill>
                        <a:srgbClr val="000000"/>
                      </a:solidFill>
                      <a:prstDash val="solid"/>
                    </a:ln>
                  </pic:spPr>
                </pic:pic>
              </a:graphicData>
            </a:graphic>
          </wp:inline>
        </w:drawing>
      </w:r>
    </w:p>
    <w:p w14:paraId="6362C6DE" w14:textId="77777777" w:rsidR="00A36C68" w:rsidRPr="004E203A" w:rsidRDefault="00A36C68" w:rsidP="00A36C68">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p>
    <w:p w14:paraId="3AF30B8E"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190F28E5"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A098A7"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Entre las características de la CURP, se encuentra:</w:t>
      </w:r>
    </w:p>
    <w:p w14:paraId="2D0D391A"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F546CCA" w14:textId="77777777" w:rsidR="00D11CE4" w:rsidRPr="004E203A" w:rsidRDefault="00D11CE4" w:rsidP="00A36C68">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 xml:space="preserve">Composición. </w:t>
      </w:r>
      <w:r w:rsidRPr="004E203A">
        <w:rPr>
          <w:rFonts w:ascii="Palatino Linotype" w:eastAsia="Palatino Linotype" w:hAnsi="Palatino Linotype" w:cs="Palatino Linotype"/>
          <w:i/>
          <w:color w:val="000000" w:themeColor="text1"/>
        </w:rPr>
        <w:t>Alfanumérica.</w:t>
      </w:r>
    </w:p>
    <w:p w14:paraId="14DE7320" w14:textId="77777777" w:rsidR="00D11CE4" w:rsidRPr="004E203A" w:rsidRDefault="00D11CE4" w:rsidP="00A36C68">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 xml:space="preserve">Longitud. </w:t>
      </w:r>
      <w:r w:rsidRPr="004E203A">
        <w:rPr>
          <w:rFonts w:ascii="Palatino Linotype" w:eastAsia="Palatino Linotype" w:hAnsi="Palatino Linotype" w:cs="Palatino Linotype"/>
          <w:i/>
          <w:color w:val="000000" w:themeColor="text1"/>
        </w:rPr>
        <w:t xml:space="preserve"> 18 caracteres.</w:t>
      </w:r>
    </w:p>
    <w:p w14:paraId="34F36246" w14:textId="77777777" w:rsidR="00D11CE4" w:rsidRPr="004E203A" w:rsidRDefault="00D11CE4" w:rsidP="00A36C68">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 xml:space="preserve">Naturaleza. </w:t>
      </w:r>
      <w:r w:rsidRPr="004E203A">
        <w:rPr>
          <w:rFonts w:ascii="Palatino Linotype" w:eastAsia="Palatino Linotype" w:hAnsi="Palatino Linotype" w:cs="Palatino Linotype"/>
          <w:i/>
          <w:color w:val="000000" w:themeColor="text1"/>
        </w:rPr>
        <w:t>Biunívoca.</w:t>
      </w:r>
    </w:p>
    <w:p w14:paraId="780DF47D" w14:textId="77777777" w:rsidR="00D11CE4" w:rsidRPr="004E203A" w:rsidRDefault="00D11CE4" w:rsidP="00A36C68">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 xml:space="preserve">Universalidad. </w:t>
      </w:r>
      <w:r w:rsidRPr="004E203A">
        <w:rPr>
          <w:rFonts w:ascii="Palatino Linotype" w:eastAsia="Palatino Linotype" w:hAnsi="Palatino Linotype" w:cs="Palatino Linotype"/>
          <w:i/>
          <w:color w:val="000000" w:themeColor="text1"/>
        </w:rPr>
        <w:t>Se asigna a todas las personas que conforman la población.</w:t>
      </w:r>
    </w:p>
    <w:p w14:paraId="4A69502D" w14:textId="77777777" w:rsidR="00D11CE4" w:rsidRPr="004E203A" w:rsidRDefault="00D11CE4" w:rsidP="00A36C68">
      <w:pPr>
        <w:tabs>
          <w:tab w:val="left" w:pos="0"/>
          <w:tab w:val="left" w:pos="142"/>
          <w:tab w:val="left" w:pos="284"/>
          <w:tab w:val="left" w:pos="426"/>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4535B66C"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8A4328A"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0E33A1CA"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DD28B10"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12DC5FF" w14:textId="77777777" w:rsidR="00D11CE4" w:rsidRPr="004E203A" w:rsidRDefault="00D11CE4" w:rsidP="00A36C68">
      <w:pPr>
        <w:tabs>
          <w:tab w:val="left" w:pos="0"/>
        </w:tabs>
        <w:rPr>
          <w:rFonts w:ascii="Palatino Linotype" w:eastAsia="Palatino Linotype" w:hAnsi="Palatino Linotype" w:cs="Palatino Linotype"/>
          <w:color w:val="000000" w:themeColor="text1"/>
        </w:rPr>
      </w:pPr>
    </w:p>
    <w:p w14:paraId="141191BE"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lastRenderedPageBreak/>
        <w:t>Ante ello, resulta aplicable el Criterio 18/17 emitido por el Instituto Nacional de Transparencia, Acceso a la Información y Protección de Datos Personales, que a la literalidad señala:</w:t>
      </w:r>
    </w:p>
    <w:p w14:paraId="0110F228"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2268AA1" w14:textId="77777777" w:rsidR="00D11CE4" w:rsidRPr="004E203A" w:rsidRDefault="00D11CE4" w:rsidP="00A36C68">
      <w:pPr>
        <w:shd w:val="clear" w:color="auto" w:fill="FFFFFF"/>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CLAVE ÚNICA DE REGISTRO DE POBLACIÓN (CURP). “</w:t>
      </w:r>
      <w:r w:rsidRPr="004E203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BA0E868" w14:textId="77777777" w:rsidR="00D11CE4" w:rsidRPr="004E203A" w:rsidRDefault="00D11CE4" w:rsidP="00A36C68">
      <w:pPr>
        <w:tabs>
          <w:tab w:val="left" w:pos="0"/>
          <w:tab w:val="left" w:pos="426"/>
        </w:tabs>
        <w:jc w:val="both"/>
        <w:rPr>
          <w:rFonts w:ascii="Palatino Linotype" w:eastAsia="Palatino Linotype" w:hAnsi="Palatino Linotype" w:cs="Palatino Linotype"/>
          <w:color w:val="000000" w:themeColor="text1"/>
        </w:rPr>
      </w:pPr>
    </w:p>
    <w:p w14:paraId="07009950" w14:textId="77777777" w:rsidR="00D11CE4" w:rsidRPr="004E203A" w:rsidRDefault="00D11CE4" w:rsidP="00A36C68">
      <w:pPr>
        <w:tabs>
          <w:tab w:val="left" w:pos="0"/>
          <w:tab w:val="left" w:pos="426"/>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c) De la clave de identificación del Instituto de Seguridad Social del Estado de México y Municipios.</w:t>
      </w:r>
    </w:p>
    <w:p w14:paraId="3D064DBE"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5E152A5"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202C5338" w14:textId="77777777" w:rsidR="00D11CE4" w:rsidRPr="004E203A" w:rsidRDefault="00D11CE4"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F814590"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7D568451" w14:textId="77777777" w:rsidR="00D11CE4" w:rsidRPr="004E203A" w:rsidRDefault="00D11CE4" w:rsidP="00A36C68">
      <w:pPr>
        <w:pStyle w:val="Prrafodelista"/>
        <w:tabs>
          <w:tab w:val="left" w:pos="0"/>
        </w:tabs>
        <w:rPr>
          <w:rFonts w:ascii="Palatino Linotype" w:eastAsia="Palatino Linotype" w:hAnsi="Palatino Linotype" w:cs="Palatino Linotype"/>
          <w:color w:val="000000" w:themeColor="text1"/>
        </w:rPr>
      </w:pPr>
    </w:p>
    <w:p w14:paraId="7B1F23EA" w14:textId="77777777" w:rsidR="00D11CE4"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 xml:space="preserve">Entre los elementos que integra la credencial expedida se encuentra la Clave </w:t>
      </w:r>
      <w:proofErr w:type="spellStart"/>
      <w:r w:rsidRPr="004E203A">
        <w:rPr>
          <w:rFonts w:ascii="Palatino Linotype" w:eastAsia="Palatino Linotype" w:hAnsi="Palatino Linotype" w:cs="Palatino Linotype"/>
          <w:color w:val="000000" w:themeColor="text1"/>
        </w:rPr>
        <w:t>ISSEMyM</w:t>
      </w:r>
      <w:proofErr w:type="spellEnd"/>
      <w:r w:rsidRPr="004E203A">
        <w:rPr>
          <w:rFonts w:ascii="Palatino Linotype" w:eastAsia="Palatino Linotype" w:hAnsi="Palatino Linotype" w:cs="Palatino Linotype"/>
          <w:color w:val="000000" w:themeColor="text1"/>
        </w:rPr>
        <w:t>, la cual permite identificar al servidor público que actualmente labora o laboró en alguna institución pública y que tenga vigente su derecho a recibir las prestaciones.</w:t>
      </w:r>
    </w:p>
    <w:p w14:paraId="74B1B806" w14:textId="77777777" w:rsidR="00D11CE4" w:rsidRPr="004E203A" w:rsidRDefault="00D11CE4" w:rsidP="00A36C68">
      <w:pPr>
        <w:pStyle w:val="Prrafodelista"/>
        <w:tabs>
          <w:tab w:val="left" w:pos="0"/>
        </w:tabs>
        <w:rPr>
          <w:rFonts w:ascii="Palatino Linotype" w:eastAsia="Palatino Linotype" w:hAnsi="Palatino Linotype" w:cs="Palatino Linotype"/>
          <w:color w:val="000000" w:themeColor="text1"/>
        </w:rPr>
      </w:pPr>
    </w:p>
    <w:p w14:paraId="191E24D6" w14:textId="48261C39" w:rsidR="00402AAA" w:rsidRPr="004E203A" w:rsidRDefault="00402AAA"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3477F29F" w14:textId="77777777" w:rsidR="00402AAA" w:rsidRPr="004E203A" w:rsidRDefault="00402AAA" w:rsidP="00A36C68">
      <w:pPr>
        <w:tabs>
          <w:tab w:val="left" w:pos="0"/>
          <w:tab w:val="left" w:pos="426"/>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d) Préstamos o descuentos de carácter personal.</w:t>
      </w:r>
    </w:p>
    <w:p w14:paraId="78A37F2C"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3352AAC7" w14:textId="77777777" w:rsidR="00402AAA" w:rsidRPr="004E203A" w:rsidRDefault="00402AAA" w:rsidP="00A36C68">
      <w:pPr>
        <w:pStyle w:val="Prrafodelista"/>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Para entender los límites y alcances de esta restricción, es oportuno traer a colación lo establecido por el artículo 84 de la Ley del Trabajo de los Servidores Públicos del Estado y Municipios, el cual señala que:</w:t>
      </w:r>
    </w:p>
    <w:p w14:paraId="056E6E70" w14:textId="77777777" w:rsidR="00402AAA" w:rsidRPr="004E203A" w:rsidRDefault="00402AAA" w:rsidP="00A36C6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788F5F81" w14:textId="77777777" w:rsidR="00402AAA" w:rsidRPr="004E203A" w:rsidRDefault="00402AAA" w:rsidP="00A36C68">
      <w:pPr>
        <w:tabs>
          <w:tab w:val="left" w:pos="0"/>
          <w:tab w:val="left" w:pos="426"/>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“ARTÍCULO 84.</w:t>
      </w:r>
      <w:r w:rsidRPr="004E203A">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14:paraId="2F4FC722" w14:textId="77777777" w:rsidR="00402AAA" w:rsidRPr="004E203A" w:rsidRDefault="00402AAA" w:rsidP="00A36C68">
      <w:pPr>
        <w:tabs>
          <w:tab w:val="left" w:pos="0"/>
          <w:tab w:val="left" w:pos="426"/>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I.</w:t>
      </w:r>
      <w:r w:rsidRPr="004E203A">
        <w:rPr>
          <w:rFonts w:ascii="Palatino Linotype" w:eastAsia="Palatino Linotype" w:hAnsi="Palatino Linotype" w:cs="Palatino Linotype"/>
          <w:i/>
          <w:color w:val="000000" w:themeColor="text1"/>
        </w:rPr>
        <w:t xml:space="preserve"> Gravámenes fiscales relacionados con el sueldo; </w:t>
      </w:r>
    </w:p>
    <w:p w14:paraId="22973327"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II.</w:t>
      </w:r>
      <w:r w:rsidRPr="004E203A">
        <w:rPr>
          <w:rFonts w:ascii="Palatino Linotype" w:eastAsia="Palatino Linotype" w:hAnsi="Palatino Linotype" w:cs="Palatino Linotype"/>
          <w:i/>
          <w:color w:val="000000" w:themeColor="text1"/>
        </w:rPr>
        <w:t xml:space="preserve"> Deudas contraídas con las instituciones públicas o dependencias por concepto de anticipos de sueldo, pagos hechos con exceso, errores o pérdidas debidamente comprobados; </w:t>
      </w:r>
    </w:p>
    <w:p w14:paraId="1D9223CE"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III.</w:t>
      </w:r>
      <w:r w:rsidRPr="004E203A">
        <w:rPr>
          <w:rFonts w:ascii="Palatino Linotype" w:eastAsia="Palatino Linotype" w:hAnsi="Palatino Linotype" w:cs="Palatino Linotype"/>
          <w:i/>
          <w:color w:val="000000" w:themeColor="text1"/>
        </w:rPr>
        <w:t xml:space="preserve"> Cuotas sindicales; </w:t>
      </w:r>
    </w:p>
    <w:p w14:paraId="0A745800"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lastRenderedPageBreak/>
        <w:t>IV.</w:t>
      </w:r>
      <w:r w:rsidRPr="004E203A">
        <w:rPr>
          <w:rFonts w:ascii="Palatino Linotype" w:eastAsia="Palatino Linotype" w:hAnsi="Palatino Linotype" w:cs="Palatino Linotype"/>
          <w:i/>
          <w:color w:val="000000" w:themeColor="text1"/>
        </w:rPr>
        <w:t xml:space="preserve"> Cuotas de aportación a fondos para la constitución de cooperativas y de cajas de ahorro, siempre que el servidor público hubiese manifestado previamente, de manera expresa, su conformidad; </w:t>
      </w:r>
    </w:p>
    <w:p w14:paraId="2C60BA63"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V.</w:t>
      </w:r>
      <w:r w:rsidRPr="004E203A">
        <w:rPr>
          <w:rFonts w:ascii="Palatino Linotype" w:eastAsia="Palatino Linotype" w:hAnsi="Palatino Linotype" w:cs="Palatino Linotype"/>
          <w:i/>
          <w:color w:val="000000" w:themeColor="text1"/>
        </w:rPr>
        <w:t xml:space="preserve"> Descuentos ordenados por el Instituto de Seguridad Social del Estado de México y Municipios, con motivo de cuotas y obligaciones contraídas con éste por los servidores públicos; </w:t>
      </w:r>
    </w:p>
    <w:p w14:paraId="15DB3F42"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VI.</w:t>
      </w:r>
      <w:r w:rsidRPr="004E203A">
        <w:rPr>
          <w:rFonts w:ascii="Palatino Linotype" w:eastAsia="Palatino Linotype" w:hAnsi="Palatino Linotype" w:cs="Palatino Linotype"/>
          <w:i/>
          <w:color w:val="000000" w:themeColor="text1"/>
        </w:rPr>
        <w:t xml:space="preserve"> Obligaciones a cargo del servidor público con las que haya consentido, derivadas de la adquisición o del uso de habitaciones consideradas como de interés social; </w:t>
      </w:r>
    </w:p>
    <w:p w14:paraId="171691E8"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VII.</w:t>
      </w:r>
      <w:r w:rsidRPr="004E203A">
        <w:rPr>
          <w:rFonts w:ascii="Palatino Linotype" w:eastAsia="Palatino Linotype" w:hAnsi="Palatino Linotype" w:cs="Palatino Linotype"/>
          <w:i/>
          <w:color w:val="000000" w:themeColor="text1"/>
        </w:rPr>
        <w:t xml:space="preserve"> Faltas de puntualidad o de asistencia injustificadas; </w:t>
      </w:r>
    </w:p>
    <w:p w14:paraId="57E83D55"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VIII.</w:t>
      </w:r>
      <w:r w:rsidRPr="004E203A">
        <w:rPr>
          <w:rFonts w:ascii="Palatino Linotype" w:eastAsia="Palatino Linotype" w:hAnsi="Palatino Linotype" w:cs="Palatino Linotype"/>
          <w:i/>
          <w:color w:val="000000" w:themeColor="text1"/>
        </w:rPr>
        <w:t xml:space="preserve"> Pensiones alimenticias ordenadas por la autoridad judicial; o </w:t>
      </w:r>
    </w:p>
    <w:p w14:paraId="0385CDBC"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b/>
          <w:i/>
          <w:color w:val="000000" w:themeColor="text1"/>
        </w:rPr>
        <w:t>IX.</w:t>
      </w:r>
      <w:r w:rsidRPr="004E203A">
        <w:rPr>
          <w:rFonts w:ascii="Palatino Linotype" w:eastAsia="Palatino Linotype" w:hAnsi="Palatino Linotype" w:cs="Palatino Linotype"/>
          <w:i/>
          <w:color w:val="000000" w:themeColor="text1"/>
        </w:rPr>
        <w:t xml:space="preserve"> Cualquier otro convenido con instituciones de servicios y aceptado por el servidor público. </w:t>
      </w:r>
    </w:p>
    <w:p w14:paraId="3F324F55" w14:textId="77777777" w:rsidR="00402AAA" w:rsidRPr="004E203A" w:rsidRDefault="00402AAA" w:rsidP="00A36C68">
      <w:pPr>
        <w:tabs>
          <w:tab w:val="left" w:pos="0"/>
        </w:tabs>
        <w:ind w:left="567"/>
        <w:jc w:val="both"/>
        <w:rPr>
          <w:rFonts w:ascii="Palatino Linotype" w:eastAsia="Palatino Linotype" w:hAnsi="Palatino Linotype" w:cs="Palatino Linotype"/>
          <w:color w:val="000000" w:themeColor="text1"/>
        </w:rPr>
      </w:pPr>
    </w:p>
    <w:p w14:paraId="081A45E6" w14:textId="77777777" w:rsidR="00402AAA" w:rsidRPr="004E203A" w:rsidRDefault="00402AAA" w:rsidP="00A36C68">
      <w:pPr>
        <w:tabs>
          <w:tab w:val="left" w:pos="0"/>
        </w:tabs>
        <w:ind w:left="567"/>
        <w:jc w:val="both"/>
        <w:rPr>
          <w:rFonts w:ascii="Palatino Linotype" w:eastAsia="Palatino Linotype" w:hAnsi="Palatino Linotype" w:cs="Palatino Linotype"/>
          <w:i/>
          <w:color w:val="000000" w:themeColor="text1"/>
        </w:rPr>
      </w:pPr>
      <w:r w:rsidRPr="004E203A">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2F8501C"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3B262DEB"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2BC7201"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526E5DD7"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F12D3E6" w14:textId="77777777" w:rsidR="00402AAA" w:rsidRPr="004E203A" w:rsidRDefault="00402AAA" w:rsidP="00A36C68">
      <w:pPr>
        <w:tabs>
          <w:tab w:val="left" w:pos="0"/>
        </w:tabs>
        <w:rPr>
          <w:rFonts w:ascii="Palatino Linotype" w:eastAsia="Palatino Linotype" w:hAnsi="Palatino Linotype" w:cs="Palatino Linotype"/>
          <w:b/>
          <w:color w:val="000000" w:themeColor="text1"/>
        </w:rPr>
      </w:pPr>
    </w:p>
    <w:p w14:paraId="405813BE" w14:textId="77777777" w:rsidR="00402AAA" w:rsidRPr="004E203A" w:rsidRDefault="00402AAA" w:rsidP="00A36C68">
      <w:pPr>
        <w:pStyle w:val="Prrafodelista"/>
        <w:numPr>
          <w:ilvl w:val="0"/>
          <w:numId w:val="19"/>
        </w:numPr>
        <w:tabs>
          <w:tab w:val="left" w:pos="0"/>
        </w:tabs>
        <w:rPr>
          <w:rFonts w:ascii="Palatino Linotype" w:eastAsia="Palatino Linotype" w:hAnsi="Palatino Linotype" w:cs="Palatino Linotype"/>
          <w:b/>
          <w:color w:val="000000" w:themeColor="text1"/>
        </w:rPr>
      </w:pPr>
      <w:r w:rsidRPr="004E203A">
        <w:rPr>
          <w:rFonts w:ascii="Palatino Linotype" w:eastAsia="MS Gothic" w:hAnsi="Palatino Linotype"/>
          <w:b/>
          <w:color w:val="000000" w:themeColor="text1"/>
        </w:rPr>
        <w:lastRenderedPageBreak/>
        <w:t>Del nombre de policías.</w:t>
      </w:r>
    </w:p>
    <w:p w14:paraId="0DFA3D2A" w14:textId="77777777" w:rsidR="00402AAA" w:rsidRPr="004E203A" w:rsidRDefault="00402AAA" w:rsidP="00A36C68">
      <w:pPr>
        <w:tabs>
          <w:tab w:val="left" w:pos="0"/>
        </w:tabs>
        <w:rPr>
          <w:rFonts w:ascii="Palatino Linotype" w:eastAsia="Palatino Linotype" w:hAnsi="Palatino Linotype" w:cs="Palatino Linotype"/>
          <w:b/>
          <w:color w:val="000000" w:themeColor="text1"/>
        </w:rPr>
      </w:pPr>
    </w:p>
    <w:p w14:paraId="54091F44"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t xml:space="preserve">En </w:t>
      </w:r>
      <w:r w:rsidRPr="004E203A">
        <w:rPr>
          <w:rFonts w:ascii="Palatino Linotype" w:eastAsia="Calibri" w:hAnsi="Palatino Linotype"/>
          <w:color w:val="000000" w:themeColor="text1"/>
        </w:rPr>
        <w:t xml:space="preserve">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14:paraId="7D015794" w14:textId="77777777" w:rsidR="00402AAA" w:rsidRPr="004E203A" w:rsidRDefault="00402AAA" w:rsidP="00A36C68">
      <w:pPr>
        <w:tabs>
          <w:tab w:val="left" w:pos="0"/>
          <w:tab w:val="left" w:pos="6165"/>
        </w:tabs>
        <w:jc w:val="both"/>
        <w:rPr>
          <w:rFonts w:ascii="Palatino Linotype" w:eastAsia="Palatino Linotype" w:hAnsi="Palatino Linotype" w:cs="Palatino Linotype"/>
          <w:b/>
          <w:color w:val="000000" w:themeColor="text1"/>
        </w:rPr>
      </w:pPr>
    </w:p>
    <w:p w14:paraId="3789CDD7"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olor w:val="000000" w:themeColor="text1"/>
        </w:rPr>
        <w:t>En efecto</w:t>
      </w:r>
      <w:r w:rsidRPr="004E203A">
        <w:rPr>
          <w:rFonts w:ascii="Palatino Linotype" w:hAnsi="Palatino Linotype"/>
          <w:color w:val="000000" w:themeColor="text1"/>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3CAA7B5C" w14:textId="77777777" w:rsidR="00402AAA" w:rsidRPr="004E203A" w:rsidRDefault="00402AAA" w:rsidP="00A36C68">
      <w:pPr>
        <w:tabs>
          <w:tab w:val="left" w:pos="0"/>
        </w:tabs>
        <w:jc w:val="both"/>
        <w:rPr>
          <w:rFonts w:ascii="Palatino Linotype" w:hAnsi="Palatino Linotype"/>
          <w:color w:val="000000" w:themeColor="text1"/>
        </w:rPr>
      </w:pPr>
    </w:p>
    <w:p w14:paraId="734B527C" w14:textId="77777777" w:rsidR="00402AAA" w:rsidRPr="004E203A" w:rsidRDefault="00402AAA" w:rsidP="00A36C68">
      <w:pPr>
        <w:tabs>
          <w:tab w:val="left" w:pos="0"/>
        </w:tabs>
        <w:spacing w:before="240" w:after="240"/>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“Artículo 140.</w:t>
      </w:r>
      <w:r w:rsidRPr="004E203A">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14:paraId="2BA845A0" w14:textId="77777777" w:rsidR="00402AAA" w:rsidRPr="004E203A" w:rsidRDefault="00402AAA" w:rsidP="00A36C68">
      <w:pPr>
        <w:tabs>
          <w:tab w:val="left" w:pos="0"/>
        </w:tabs>
        <w:spacing w:before="240" w:after="240"/>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 Comprometa la seguridad pública y cuente con un propósito genuino y un efecto demostrable; </w:t>
      </w:r>
    </w:p>
    <w:p w14:paraId="7183D839" w14:textId="77777777" w:rsidR="00402AAA" w:rsidRPr="004E203A" w:rsidRDefault="00402AAA" w:rsidP="00A36C68">
      <w:pPr>
        <w:tabs>
          <w:tab w:val="left" w:pos="0"/>
        </w:tabs>
        <w:spacing w:before="240" w:after="240"/>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II. Pueda menoscabar la conducción de las negociaciones y relaciones internacionales; </w:t>
      </w:r>
    </w:p>
    <w:p w14:paraId="6A0AFF63" w14:textId="77777777" w:rsidR="00402AAA" w:rsidRPr="004E203A" w:rsidRDefault="00402AAA" w:rsidP="00A36C68">
      <w:pPr>
        <w:tabs>
          <w:tab w:val="left" w:pos="0"/>
        </w:tabs>
        <w:spacing w:before="240" w:after="240"/>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2F45C65" w14:textId="77777777" w:rsidR="00402AAA" w:rsidRPr="004E203A" w:rsidRDefault="00402AAA" w:rsidP="00A36C68">
      <w:pPr>
        <w:tabs>
          <w:tab w:val="left" w:pos="0"/>
        </w:tabs>
        <w:spacing w:before="240" w:after="240"/>
        <w:ind w:left="567"/>
        <w:contextualSpacing/>
        <w:jc w:val="both"/>
        <w:rPr>
          <w:rFonts w:ascii="Palatino Linotype" w:hAnsi="Palatino Linotype"/>
          <w:b/>
          <w:i/>
          <w:color w:val="000000" w:themeColor="text1"/>
        </w:rPr>
      </w:pPr>
      <w:r w:rsidRPr="004E203A">
        <w:rPr>
          <w:rFonts w:ascii="Palatino Linotype" w:hAnsi="Palatino Linotype"/>
          <w:b/>
          <w:i/>
          <w:color w:val="000000" w:themeColor="text1"/>
        </w:rPr>
        <w:t>IV. Ponga en riesgo la vida, la seguridad o la salud de una persona física;</w:t>
      </w:r>
    </w:p>
    <w:p w14:paraId="338969F5" w14:textId="77777777" w:rsidR="00402AAA" w:rsidRPr="004E203A" w:rsidRDefault="00402AAA" w:rsidP="00A36C68">
      <w:pPr>
        <w:tabs>
          <w:tab w:val="left" w:pos="0"/>
        </w:tabs>
        <w:spacing w:before="240" w:after="240"/>
        <w:ind w:left="567"/>
        <w:contextualSpacing/>
        <w:jc w:val="both"/>
        <w:rPr>
          <w:rFonts w:ascii="Palatino Linotype" w:eastAsia="Calibri" w:hAnsi="Palatino Linotype"/>
          <w:i/>
          <w:color w:val="000000" w:themeColor="text1"/>
        </w:rPr>
      </w:pPr>
      <w:r w:rsidRPr="004E203A">
        <w:rPr>
          <w:rFonts w:ascii="Palatino Linotype" w:hAnsi="Palatino Linotype"/>
          <w:i/>
          <w:color w:val="000000" w:themeColor="text1"/>
        </w:rPr>
        <w:t xml:space="preserve"> (…)”</w:t>
      </w:r>
    </w:p>
    <w:p w14:paraId="39B2989F"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1395E395"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4E203A">
        <w:rPr>
          <w:rFonts w:ascii="Palatino Linotype" w:hAnsi="Palatino Linotype" w:cs="Tahoma"/>
          <w:bCs/>
          <w:color w:val="000000" w:themeColor="text1"/>
        </w:rPr>
        <w:t xml:space="preserve">; así, dicha información puede ser utilizada para </w:t>
      </w:r>
      <w:r w:rsidRPr="004E203A">
        <w:rPr>
          <w:rFonts w:ascii="Palatino Linotype" w:hAnsi="Palatino Linotype" w:cs="Tahoma"/>
          <w:b/>
          <w:bCs/>
          <w:color w:val="000000" w:themeColor="text1"/>
        </w:rPr>
        <w:t xml:space="preserve">vulnerar la vida, seguridad o salud de dichos elementos, incluso la de sus familias o entorno social, </w:t>
      </w:r>
      <w:r w:rsidRPr="004E203A">
        <w:rPr>
          <w:rFonts w:ascii="Palatino Linotype" w:hAnsi="Palatino Linotype" w:cs="Tahoma"/>
          <w:bCs/>
          <w:color w:val="000000" w:themeColor="text1"/>
        </w:rPr>
        <w:t xml:space="preserve">demás, de que aumenta el riesgo </w:t>
      </w:r>
      <w:r w:rsidRPr="004E203A">
        <w:rPr>
          <w:rFonts w:ascii="Palatino Linotype" w:hAnsi="Palatino Linotype" w:cs="Tahoma"/>
          <w:bCs/>
          <w:color w:val="000000" w:themeColor="text1"/>
        </w:rPr>
        <w:lastRenderedPageBreak/>
        <w:t>de que personas ajenas a los intereses institucionales e intenten realizar actos tendientes a inhibir o entrometerse en las funciones de los policías municipales, lo cual causaría una vulneración a la seguridad municipal.</w:t>
      </w:r>
    </w:p>
    <w:p w14:paraId="78487A1B" w14:textId="77777777" w:rsidR="00402AAA" w:rsidRPr="004E203A" w:rsidRDefault="00402AAA" w:rsidP="00A36C68">
      <w:pPr>
        <w:tabs>
          <w:tab w:val="left" w:pos="0"/>
        </w:tabs>
        <w:spacing w:line="360" w:lineRule="auto"/>
        <w:jc w:val="both"/>
        <w:rPr>
          <w:rFonts w:ascii="Palatino Linotype" w:eastAsia="Palatino Linotype" w:hAnsi="Palatino Linotype" w:cs="Palatino Linotype"/>
          <w:b/>
          <w:color w:val="000000" w:themeColor="text1"/>
        </w:rPr>
      </w:pPr>
    </w:p>
    <w:p w14:paraId="0F8159BE"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 xml:space="preserve">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 </w:t>
      </w:r>
    </w:p>
    <w:p w14:paraId="705C9248"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2A64C034"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762E6207"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6C73B042"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E203A">
        <w:rPr>
          <w:rFonts w:ascii="Palatino Linotype" w:eastAsia="Calibri" w:hAnsi="Palatino Linotype" w:cs="Tahoma"/>
          <w:b/>
          <w:bCs/>
          <w:color w:val="000000" w:themeColor="text1"/>
        </w:rPr>
        <w:t xml:space="preserve"> SUJETO OBLIGADO</w:t>
      </w:r>
      <w:r w:rsidRPr="004E203A">
        <w:rPr>
          <w:rFonts w:ascii="Palatino Linotype" w:eastAsia="Calibri" w:hAnsi="Palatino Linotype" w:cs="Tahoma"/>
          <w:bCs/>
          <w:color w:val="000000" w:themeColor="text1"/>
        </w:rPr>
        <w:t>, colocando en inminente riesgo la vida de todos los integrantes, menoscabando así las actividades de prevención del delito y combate a la delincuencia.</w:t>
      </w:r>
    </w:p>
    <w:p w14:paraId="2D3DCEC9"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3732C3C5"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 xml:space="preserve">Así como el artículo 6º Constitucional por un lado garantiza el derecho de acceso a la información, por otro lado, el derecho a la vida y la seguridad de las personas se </w:t>
      </w:r>
      <w:r w:rsidRPr="004E203A">
        <w:rPr>
          <w:rFonts w:ascii="Palatino Linotype" w:eastAsia="Calibri" w:hAnsi="Palatino Linotype" w:cs="Tahoma"/>
          <w:bCs/>
          <w:color w:val="000000" w:themeColor="text1"/>
        </w:rPr>
        <w:lastRenderedPageBreak/>
        <w:t xml:space="preserve">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318D32BC"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10E02BCB"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14:paraId="02FCC7E4" w14:textId="77777777" w:rsidR="00402AAA" w:rsidRPr="004E203A" w:rsidRDefault="00402AAA" w:rsidP="00A36C68">
      <w:pPr>
        <w:tabs>
          <w:tab w:val="left" w:pos="0"/>
        </w:tabs>
        <w:rPr>
          <w:rFonts w:ascii="Palatino Linotype" w:eastAsia="Calibri" w:hAnsi="Palatino Linotype" w:cs="Tahoma"/>
          <w:bCs/>
          <w:color w:val="000000" w:themeColor="text1"/>
        </w:rPr>
      </w:pPr>
    </w:p>
    <w:p w14:paraId="368D31B2"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1B85886" w14:textId="77777777" w:rsidR="00402AAA" w:rsidRPr="004E203A" w:rsidRDefault="00402AAA" w:rsidP="00A36C68">
      <w:pPr>
        <w:tabs>
          <w:tab w:val="left" w:pos="0"/>
        </w:tabs>
        <w:rPr>
          <w:rFonts w:ascii="Palatino Linotype" w:eastAsia="Calibri" w:hAnsi="Palatino Linotype" w:cs="Tahoma"/>
          <w:bCs/>
          <w:color w:val="000000" w:themeColor="text1"/>
        </w:rPr>
      </w:pPr>
    </w:p>
    <w:p w14:paraId="7828FBDF"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w:t>
      </w:r>
      <w:r w:rsidRPr="004E203A">
        <w:rPr>
          <w:rFonts w:ascii="Palatino Linotype" w:eastAsia="Calibri" w:hAnsi="Palatino Linotype" w:cs="Tahoma"/>
          <w:bCs/>
          <w:color w:val="000000" w:themeColor="text1"/>
        </w:rPr>
        <w:lastRenderedPageBreak/>
        <w:t>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57538921" w14:textId="77777777" w:rsidR="00402AAA" w:rsidRPr="004E203A" w:rsidRDefault="00402AAA" w:rsidP="00A36C68">
      <w:pPr>
        <w:tabs>
          <w:tab w:val="left" w:pos="0"/>
        </w:tabs>
        <w:rPr>
          <w:rFonts w:ascii="Palatino Linotype" w:eastAsia="Calibri" w:hAnsi="Palatino Linotype" w:cs="Tahoma"/>
          <w:bCs/>
          <w:color w:val="000000" w:themeColor="text1"/>
        </w:rPr>
      </w:pPr>
    </w:p>
    <w:p w14:paraId="3AC09F37"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0AA8CDDC"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08EE3257"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MS Mincho" w:hAnsi="Palatino Linotype" w:cs="Arial"/>
          <w:color w:val="000000" w:themeColor="text1"/>
        </w:rPr>
        <w:t xml:space="preserve">Al respecto, cabe hacer mención que el artículo 81 fracción III de la Ley de Seguridad del Estado de México, establece lo siguiente: </w:t>
      </w:r>
    </w:p>
    <w:p w14:paraId="350DD6AC" w14:textId="77777777" w:rsidR="00402AAA" w:rsidRPr="004E203A" w:rsidRDefault="00402AAA" w:rsidP="00A36C68">
      <w:pPr>
        <w:tabs>
          <w:tab w:val="left" w:pos="0"/>
        </w:tabs>
        <w:jc w:val="both"/>
        <w:rPr>
          <w:rFonts w:ascii="Palatino Linotype" w:hAnsi="Palatino Linotype" w:cs="Arial"/>
          <w:color w:val="000000" w:themeColor="text1"/>
        </w:rPr>
      </w:pPr>
    </w:p>
    <w:p w14:paraId="6EF15E9F" w14:textId="77777777" w:rsidR="00402AAA" w:rsidRPr="004E203A" w:rsidRDefault="00402AAA" w:rsidP="00A36C68">
      <w:pPr>
        <w:tabs>
          <w:tab w:val="left" w:pos="0"/>
        </w:tabs>
        <w:ind w:left="567"/>
        <w:contextualSpacing/>
        <w:jc w:val="both"/>
        <w:rPr>
          <w:rFonts w:ascii="Palatino Linotype" w:eastAsia="MS Mincho" w:hAnsi="Palatino Linotype" w:cs="Arial"/>
          <w:i/>
          <w:color w:val="000000" w:themeColor="text1"/>
        </w:rPr>
      </w:pPr>
      <w:r w:rsidRPr="004E203A">
        <w:rPr>
          <w:rFonts w:ascii="Palatino Linotype" w:eastAsia="MS Mincho" w:hAnsi="Palatino Linotype" w:cs="Arial"/>
          <w:i/>
          <w:color w:val="000000" w:themeColor="text1"/>
        </w:rPr>
        <w:t>“</w:t>
      </w:r>
      <w:r w:rsidRPr="004E203A">
        <w:rPr>
          <w:rFonts w:ascii="Palatino Linotype" w:eastAsia="MS Mincho" w:hAnsi="Palatino Linotype" w:cs="Arial"/>
          <w:b/>
          <w:i/>
          <w:color w:val="000000" w:themeColor="text1"/>
        </w:rPr>
        <w:t>Artículo 81.-</w:t>
      </w:r>
      <w:r w:rsidRPr="004E203A">
        <w:rPr>
          <w:rFonts w:ascii="Palatino Linotype" w:eastAsia="MS Mincho" w:hAnsi="Palatino Linotype" w:cs="Arial"/>
          <w:i/>
          <w:color w:val="000000" w:themeColor="text1"/>
        </w:rPr>
        <w:t xml:space="preserve"> </w:t>
      </w:r>
      <w:r w:rsidRPr="004E203A">
        <w:rPr>
          <w:rFonts w:ascii="Palatino Linotype" w:eastAsia="MS Mincho" w:hAnsi="Palatino Linotype" w:cs="Arial"/>
          <w:b/>
          <w:i/>
          <w:color w:val="000000" w:themeColor="text1"/>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E203A">
        <w:rPr>
          <w:rFonts w:ascii="Palatino Linotype" w:eastAsia="MS Mincho" w:hAnsi="Palatino Linotype" w:cs="Arial"/>
          <w:i/>
          <w:color w:val="000000" w:themeColor="text1"/>
        </w:rPr>
        <w:t xml:space="preserve"> en los casos siguientes:</w:t>
      </w:r>
    </w:p>
    <w:p w14:paraId="3CC7E74F" w14:textId="77777777" w:rsidR="00402AAA" w:rsidRPr="004E203A" w:rsidRDefault="00402AAA" w:rsidP="00A36C68">
      <w:pPr>
        <w:tabs>
          <w:tab w:val="left" w:pos="0"/>
        </w:tabs>
        <w:ind w:left="567"/>
        <w:contextualSpacing/>
        <w:jc w:val="both"/>
        <w:rPr>
          <w:rFonts w:ascii="Palatino Linotype" w:eastAsia="MS Mincho" w:hAnsi="Palatino Linotype" w:cs="Arial"/>
          <w:i/>
          <w:color w:val="000000" w:themeColor="text1"/>
        </w:rPr>
      </w:pPr>
      <w:r w:rsidRPr="004E203A">
        <w:rPr>
          <w:rFonts w:ascii="Palatino Linotype" w:eastAsia="MS Mincho" w:hAnsi="Palatino Linotype" w:cs="Arial"/>
          <w:i/>
          <w:color w:val="000000" w:themeColor="text1"/>
        </w:rPr>
        <w:t>…</w:t>
      </w:r>
    </w:p>
    <w:p w14:paraId="5C018AC1" w14:textId="77777777" w:rsidR="00402AAA" w:rsidRPr="004E203A" w:rsidRDefault="00402AAA" w:rsidP="00A36C68">
      <w:pPr>
        <w:tabs>
          <w:tab w:val="left" w:pos="0"/>
        </w:tabs>
        <w:ind w:left="567"/>
        <w:contextualSpacing/>
        <w:jc w:val="both"/>
        <w:rPr>
          <w:rFonts w:ascii="Palatino Linotype" w:eastAsia="MS Mincho" w:hAnsi="Palatino Linotype" w:cs="Arial"/>
          <w:i/>
          <w:color w:val="000000" w:themeColor="text1"/>
        </w:rPr>
      </w:pPr>
      <w:r w:rsidRPr="004E203A">
        <w:rPr>
          <w:rFonts w:ascii="Palatino Linotype" w:eastAsia="MS Mincho" w:hAnsi="Palatino Linotype" w:cs="Arial"/>
          <w:b/>
          <w:i/>
          <w:color w:val="000000" w:themeColor="text1"/>
        </w:rPr>
        <w:t>III.</w:t>
      </w:r>
      <w:r w:rsidRPr="004E203A">
        <w:rPr>
          <w:rFonts w:ascii="Palatino Linotype" w:eastAsia="MS Mincho" w:hAnsi="Palatino Linotype" w:cs="Arial"/>
          <w:i/>
          <w:color w:val="000000" w:themeColor="text1"/>
        </w:rPr>
        <w:t xml:space="preserve"> </w:t>
      </w:r>
      <w:r w:rsidRPr="004E203A">
        <w:rPr>
          <w:rFonts w:ascii="Palatino Linotype" w:eastAsia="MS Mincho" w:hAnsi="Palatino Linotype" w:cs="Arial"/>
          <w:b/>
          <w:i/>
          <w:color w:val="000000" w:themeColor="text1"/>
        </w:rPr>
        <w:t>La relativa a servidores públicos miembros de las instituciones de seguridad pública, cuya revelación pueda poner en riesgo su vida e integridad física con motivo de sus funciones;</w:t>
      </w:r>
      <w:r w:rsidRPr="004E203A">
        <w:rPr>
          <w:rFonts w:ascii="Palatino Linotype" w:eastAsia="MS Mincho" w:hAnsi="Palatino Linotype" w:cs="Arial"/>
          <w:i/>
          <w:color w:val="000000" w:themeColor="text1"/>
        </w:rPr>
        <w:t>”</w:t>
      </w:r>
    </w:p>
    <w:p w14:paraId="4234EBC6"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0345E6B9"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hAnsi="Palatino Linotype" w:cs="Arial"/>
          <w:color w:val="000000" w:themeColor="text1"/>
        </w:rPr>
        <w:t>Argumento que se fortalece con lo estipulado en el criterio</w:t>
      </w:r>
      <w:r w:rsidR="00D11CE4" w:rsidRPr="004E203A">
        <w:rPr>
          <w:rFonts w:ascii="Palatino Linotype" w:hAnsi="Palatino Linotype" w:cs="Arial"/>
          <w:color w:val="000000" w:themeColor="text1"/>
        </w:rPr>
        <w:t xml:space="preserve"> orientador</w:t>
      </w:r>
      <w:r w:rsidRPr="004E203A">
        <w:rPr>
          <w:rFonts w:ascii="Palatino Linotype" w:hAnsi="Palatino Linotype" w:cs="Arial"/>
          <w:color w:val="000000" w:themeColor="text1"/>
        </w:rPr>
        <w:t xml:space="preserve"> número 6-09, del</w:t>
      </w:r>
      <w:r w:rsidR="00D11CE4" w:rsidRPr="004E203A">
        <w:rPr>
          <w:rFonts w:ascii="Palatino Linotype" w:hAnsi="Palatino Linotype" w:cs="Arial"/>
          <w:color w:val="000000" w:themeColor="text1"/>
        </w:rPr>
        <w:t xml:space="preserve"> entonces</w:t>
      </w:r>
      <w:r w:rsidRPr="004E203A">
        <w:rPr>
          <w:rFonts w:ascii="Palatino Linotype" w:hAnsi="Palatino Linotype" w:cs="Arial"/>
          <w:color w:val="000000" w:themeColor="text1"/>
        </w:rPr>
        <w:t xml:space="preserve"> Instituto Nacional de Transparencia, Acceso a la Información y Protección de Datos Personales, antes (INAI)</w:t>
      </w:r>
      <w:r w:rsidRPr="004E203A">
        <w:rPr>
          <w:rFonts w:ascii="Palatino Linotype" w:hAnsi="Palatino Linotype" w:cs="Arial"/>
          <w:b/>
          <w:bCs/>
          <w:color w:val="000000" w:themeColor="text1"/>
        </w:rPr>
        <w:t xml:space="preserve">, </w:t>
      </w:r>
      <w:r w:rsidRPr="004E203A">
        <w:rPr>
          <w:rFonts w:ascii="Palatino Linotype" w:hAnsi="Palatino Linotype" w:cs="Arial"/>
          <w:color w:val="000000" w:themeColor="text1"/>
        </w:rPr>
        <w:t xml:space="preserve">el cual refiere: </w:t>
      </w:r>
    </w:p>
    <w:p w14:paraId="2BB0E7E1" w14:textId="77777777" w:rsidR="00402AAA" w:rsidRPr="004E203A" w:rsidRDefault="00402AAA" w:rsidP="00A36C68">
      <w:pPr>
        <w:tabs>
          <w:tab w:val="left" w:pos="0"/>
        </w:tabs>
        <w:ind w:left="567"/>
        <w:jc w:val="both"/>
        <w:rPr>
          <w:rFonts w:ascii="Palatino Linotype" w:eastAsia="Palatino Linotype" w:hAnsi="Palatino Linotype" w:cs="Palatino Linotype"/>
          <w:b/>
          <w:color w:val="000000" w:themeColor="text1"/>
        </w:rPr>
      </w:pPr>
    </w:p>
    <w:p w14:paraId="3CBC5DB6" w14:textId="77777777" w:rsidR="00402AAA" w:rsidRPr="004E203A" w:rsidRDefault="00402AAA" w:rsidP="00A36C68">
      <w:pPr>
        <w:tabs>
          <w:tab w:val="left" w:pos="0"/>
        </w:tabs>
        <w:autoSpaceDE w:val="0"/>
        <w:autoSpaceDN w:val="0"/>
        <w:adjustRightInd w:val="0"/>
        <w:ind w:left="567"/>
        <w:contextualSpacing/>
        <w:jc w:val="center"/>
        <w:rPr>
          <w:rFonts w:ascii="Palatino Linotype" w:hAnsi="Palatino Linotype" w:cs="Arial"/>
          <w:i/>
          <w:color w:val="000000" w:themeColor="text1"/>
        </w:rPr>
      </w:pPr>
      <w:r w:rsidRPr="004E203A">
        <w:rPr>
          <w:rFonts w:ascii="Palatino Linotype" w:hAnsi="Palatino Linotype" w:cs="Arial"/>
          <w:b/>
          <w:bCs/>
          <w:i/>
          <w:color w:val="000000" w:themeColor="text1"/>
        </w:rPr>
        <w:lastRenderedPageBreak/>
        <w:t>“Criterio 6-09</w:t>
      </w:r>
    </w:p>
    <w:p w14:paraId="2163D7BA" w14:textId="77777777" w:rsidR="00402AAA" w:rsidRPr="004E203A" w:rsidRDefault="00402AAA" w:rsidP="00A36C68">
      <w:pPr>
        <w:tabs>
          <w:tab w:val="left" w:pos="0"/>
        </w:tabs>
        <w:autoSpaceDE w:val="0"/>
        <w:autoSpaceDN w:val="0"/>
        <w:adjustRightInd w:val="0"/>
        <w:ind w:left="567"/>
        <w:contextualSpacing/>
        <w:jc w:val="both"/>
        <w:rPr>
          <w:rFonts w:ascii="Palatino Linotype" w:hAnsi="Palatino Linotype" w:cs="Arial"/>
          <w:i/>
          <w:color w:val="000000" w:themeColor="text1"/>
        </w:rPr>
      </w:pPr>
      <w:r w:rsidRPr="004E203A">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4E203A">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4E203A">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E203A">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E203A">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4E203A">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E203A">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4E203A">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4E203A">
        <w:rPr>
          <w:rFonts w:ascii="Palatino Linotype" w:hAnsi="Palatino Linotype" w:cs="Arial"/>
          <w:i/>
          <w:color w:val="000000" w:themeColor="text1"/>
        </w:rPr>
        <w:t xml:space="preserve">” </w:t>
      </w:r>
    </w:p>
    <w:p w14:paraId="0E57AE6D"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54CB3362" w14:textId="77777777" w:rsidR="00402AAA" w:rsidRPr="004E203A" w:rsidRDefault="00402AAA" w:rsidP="00A36C68">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hAnsi="Palatino Linotype"/>
          <w:color w:val="000000" w:themeColor="text1"/>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4E203A">
        <w:rPr>
          <w:rFonts w:ascii="Palatino Linotype" w:hAnsi="Palatino Linotype"/>
          <w:b/>
          <w:color w:val="000000" w:themeColor="text1"/>
        </w:rPr>
        <w:t>SUJETO OBLIGADO</w:t>
      </w:r>
      <w:r w:rsidRPr="004E203A">
        <w:rPr>
          <w:rFonts w:ascii="Palatino Linotype" w:hAnsi="Palatino Linotype"/>
          <w:color w:val="000000" w:themeColor="text1"/>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w:t>
      </w:r>
      <w:r w:rsidRPr="004E203A">
        <w:rPr>
          <w:rFonts w:ascii="Palatino Linotype" w:hAnsi="Palatino Linotype"/>
          <w:color w:val="000000" w:themeColor="text1"/>
        </w:rPr>
        <w:lastRenderedPageBreak/>
        <w:t>Generales en materia de Clasificación y Desclasificación de la Información, así como para la elaboración de Versiones Públicas, que literalmente expresan:</w:t>
      </w:r>
    </w:p>
    <w:p w14:paraId="127F21C1" w14:textId="77777777" w:rsidR="00402AAA" w:rsidRPr="004E203A" w:rsidRDefault="00402AAA" w:rsidP="00A36C68">
      <w:pPr>
        <w:tabs>
          <w:tab w:val="left" w:pos="0"/>
        </w:tabs>
        <w:jc w:val="both"/>
        <w:rPr>
          <w:rFonts w:ascii="Palatino Linotype" w:eastAsia="Palatino Linotype" w:hAnsi="Palatino Linotype" w:cs="Palatino Linotype"/>
          <w:b/>
          <w:color w:val="000000" w:themeColor="text1"/>
        </w:rPr>
      </w:pPr>
    </w:p>
    <w:p w14:paraId="323E92D9"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“Artículo 49</w:t>
      </w:r>
      <w:r w:rsidRPr="004E203A">
        <w:rPr>
          <w:rFonts w:ascii="Palatino Linotype" w:hAnsi="Palatino Linotype"/>
          <w:i/>
          <w:color w:val="000000" w:themeColor="text1"/>
        </w:rPr>
        <w:t xml:space="preserve">. Los Comités de Transparencia tendrán las siguientes atribuciones: </w:t>
      </w:r>
    </w:p>
    <w:p w14:paraId="25946F57"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VIII. Aprobar, modificar o revocar la clasificación de la información; </w:t>
      </w:r>
    </w:p>
    <w:p w14:paraId="4A8034A5"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3370883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Artículo 132</w:t>
      </w:r>
      <w:r w:rsidRPr="004E203A">
        <w:rPr>
          <w:rFonts w:ascii="Palatino Linotype" w:hAnsi="Palatino Linotype"/>
          <w:i/>
          <w:color w:val="000000" w:themeColor="text1"/>
        </w:rPr>
        <w:t xml:space="preserve">. La clasificación de la información se llevará a cabo en el momento en que: </w:t>
      </w:r>
    </w:p>
    <w:p w14:paraId="7F25890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 Se reciba una solicitud de acceso a la información; </w:t>
      </w:r>
    </w:p>
    <w:p w14:paraId="5E05D6F5"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II. Se determine mediante resolución de autoridad competente; o </w:t>
      </w:r>
    </w:p>
    <w:p w14:paraId="21146EEA"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III. Se generen versiones públicas para dar cumplimiento a las obligaciones de transparencia previstas en esta Ley.” </w:t>
      </w:r>
    </w:p>
    <w:p w14:paraId="27EFCECA"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35DCF5AC"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Cuarto.</w:t>
      </w:r>
      <w:r w:rsidRPr="004E203A">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78C99C9A"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6989A6F8"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Quinto.</w:t>
      </w:r>
      <w:r w:rsidRPr="004E203A">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D76F0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43CA5D5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Sexto.</w:t>
      </w:r>
      <w:r w:rsidRPr="004E203A">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456AD21A"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2E0B1BF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La clasificación de información se realizará conforme a un análisis caso por caso, mediante la aplicación de la prueba de daño y de interés público. </w:t>
      </w:r>
    </w:p>
    <w:p w14:paraId="7B3BC6FC"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3F4DBAF7"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Séptimo.</w:t>
      </w:r>
      <w:r w:rsidRPr="004E203A">
        <w:rPr>
          <w:rFonts w:ascii="Palatino Linotype" w:hAnsi="Palatino Linotype"/>
          <w:i/>
          <w:color w:val="000000" w:themeColor="text1"/>
        </w:rPr>
        <w:t xml:space="preserve"> La clasificación de la información se llevará a cabo en el momento en que: I. Se reciba una solicitud de acceso a la información; </w:t>
      </w:r>
    </w:p>
    <w:p w14:paraId="240A74AB"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402A7CEB"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II. Se determine mediante resolución de autoridad competente, o </w:t>
      </w:r>
    </w:p>
    <w:p w14:paraId="39071113"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14:paraId="5F26C73D"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6DB657FB"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Los titulares de las áreas deberán revisar la clasificación al momento de la recepción de una solicitud de acceso a la información, para verificar si encuadra en una causal de reserva o de confidencialidad. </w:t>
      </w:r>
    </w:p>
    <w:p w14:paraId="075A3CCF"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2BDB9828"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Octavo.</w:t>
      </w:r>
      <w:r w:rsidRPr="004E203A">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226910E6"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Para motivar la clasificación se deberán señalar las razones o circunstancias especiales que lo llevaron a concluir que el caso particular se ajusta al supuesto previsto por la norma legal invocada como fundamento. </w:t>
      </w:r>
    </w:p>
    <w:p w14:paraId="33B9FD48"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01366FB4"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En caso de referirse a información reservada, la motivación de la clasificación también deberá comprender las circunstancias que justifican el establecimiento de determinado plazo de reserva. </w:t>
      </w:r>
    </w:p>
    <w:p w14:paraId="2067F6E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4F76C8D7"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03C0CE"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7A084EC9"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2BC37ED0"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05E4CCE7"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lastRenderedPageBreak/>
        <w:t>Décimo</w:t>
      </w:r>
      <w:r w:rsidRPr="004E203A">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35957D81"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42FC918F"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14:paraId="6E68F0AA"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p>
    <w:p w14:paraId="4AE5A22B" w14:textId="77777777" w:rsidR="00402AAA" w:rsidRPr="004E203A" w:rsidRDefault="00402AAA" w:rsidP="00A36C68">
      <w:pPr>
        <w:tabs>
          <w:tab w:val="left" w:pos="0"/>
        </w:tabs>
        <w:ind w:left="567"/>
        <w:contextualSpacing/>
        <w:jc w:val="both"/>
        <w:rPr>
          <w:rFonts w:ascii="Palatino Linotype" w:hAnsi="Palatino Linotype"/>
          <w:i/>
          <w:color w:val="000000" w:themeColor="text1"/>
        </w:rPr>
      </w:pPr>
      <w:r w:rsidRPr="004E203A">
        <w:rPr>
          <w:rFonts w:ascii="Palatino Linotype" w:hAnsi="Palatino Linotype"/>
          <w:b/>
          <w:i/>
          <w:color w:val="000000" w:themeColor="text1"/>
        </w:rPr>
        <w:t>Décimo primero</w:t>
      </w:r>
      <w:r w:rsidRPr="004E203A">
        <w:rPr>
          <w:rFonts w:ascii="Palatino Linotype" w:hAnsi="Palatino Linotype"/>
          <w:i/>
          <w:color w:val="000000" w:themeColor="text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8B2190" w14:textId="77777777" w:rsidR="00402AAA" w:rsidRPr="004E203A" w:rsidRDefault="00402AAA" w:rsidP="00A36C68">
      <w:pPr>
        <w:tabs>
          <w:tab w:val="left" w:pos="0"/>
        </w:tabs>
        <w:spacing w:line="360" w:lineRule="auto"/>
        <w:jc w:val="both"/>
        <w:rPr>
          <w:rFonts w:ascii="Palatino Linotype" w:eastAsia="Palatino Linotype" w:hAnsi="Palatino Linotype" w:cs="Palatino Linotype"/>
          <w:b/>
          <w:color w:val="000000" w:themeColor="text1"/>
        </w:rPr>
      </w:pPr>
    </w:p>
    <w:p w14:paraId="02937845" w14:textId="77777777" w:rsidR="00402AAA" w:rsidRPr="004E203A" w:rsidRDefault="00402AAA"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hAnsi="Palatino Linotype"/>
          <w:color w:val="000000" w:themeColor="text1"/>
        </w:rPr>
        <w:t>En tal contexto se deberá proceder a la clasificación de los nombres de los elementos de policía que realicen actividades operativas en campo</w:t>
      </w:r>
      <w:r w:rsidR="00D11CE4" w:rsidRPr="004E203A">
        <w:rPr>
          <w:rFonts w:ascii="Palatino Linotype" w:hAnsi="Palatino Linotype"/>
          <w:color w:val="000000" w:themeColor="text1"/>
        </w:rPr>
        <w:t>.</w:t>
      </w:r>
    </w:p>
    <w:p w14:paraId="6E799235" w14:textId="77777777" w:rsidR="00402AAA" w:rsidRPr="004E203A" w:rsidRDefault="00402AAA"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8EADC5D"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514B5EC" w14:textId="77777777" w:rsidR="00EB0F49" w:rsidRPr="004E203A" w:rsidRDefault="00EB0F49"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6940C48" w14:textId="77777777" w:rsidR="00EB0F49" w:rsidRPr="004E203A" w:rsidRDefault="001D3081" w:rsidP="00A36C6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4E203A">
        <w:rPr>
          <w:rFonts w:ascii="Palatino Linotype" w:eastAsia="Palatino Linotype" w:hAnsi="Palatino Linotype" w:cs="Palatino Linotype"/>
          <w:b/>
          <w:color w:val="000000" w:themeColor="text1"/>
        </w:rPr>
        <w:t xml:space="preserve"> RECURRENTE</w:t>
      </w:r>
      <w:r w:rsidRPr="004E203A">
        <w:rPr>
          <w:rFonts w:ascii="Palatino Linotype" w:eastAsia="Palatino Linotype" w:hAnsi="Palatino Linotype" w:cs="Palatino Linotype"/>
          <w:color w:val="000000" w:themeColor="text1"/>
        </w:rPr>
        <w:t xml:space="preserve">, determinando </w:t>
      </w:r>
      <w:r w:rsidRPr="004E203A">
        <w:rPr>
          <w:rFonts w:ascii="Palatino Linotype" w:eastAsia="Palatino Linotype" w:hAnsi="Palatino Linotype" w:cs="Palatino Linotype"/>
          <w:b/>
          <w:color w:val="000000" w:themeColor="text1"/>
        </w:rPr>
        <w:t xml:space="preserve">REVOCAR </w:t>
      </w:r>
      <w:r w:rsidRPr="004E203A">
        <w:rPr>
          <w:rFonts w:ascii="Palatino Linotype" w:eastAsia="Palatino Linotype" w:hAnsi="Palatino Linotype" w:cs="Palatino Linotype"/>
          <w:color w:val="000000" w:themeColor="text1"/>
        </w:rPr>
        <w:t xml:space="preserve">la respuesta del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w:t>
      </w:r>
      <w:r w:rsidRPr="004E203A">
        <w:rPr>
          <w:rFonts w:ascii="Palatino Linotype" w:eastAsia="Palatino Linotype" w:hAnsi="Palatino Linotype" w:cs="Palatino Linotype"/>
          <w:color w:val="000000" w:themeColor="text1"/>
        </w:rPr>
        <w:lastRenderedPageBreak/>
        <w:t xml:space="preserve">fracción II; 29, 36 fracciones I y II; 176, 178, 181, 185 de la Ley de Transparencia y Acceso a la Información Pública del Estado de México y Municipios, este </w:t>
      </w:r>
      <w:r w:rsidRPr="004E203A">
        <w:rPr>
          <w:rFonts w:ascii="Palatino Linotype" w:eastAsia="Palatino Linotype" w:hAnsi="Palatino Linotype" w:cs="Palatino Linotype"/>
          <w:b/>
          <w:color w:val="000000" w:themeColor="text1"/>
        </w:rPr>
        <w:t>ÓRGANO GARANTE</w:t>
      </w:r>
      <w:r w:rsidRPr="004E203A">
        <w:rPr>
          <w:rFonts w:ascii="Palatino Linotype" w:eastAsia="Palatino Linotype" w:hAnsi="Palatino Linotype" w:cs="Palatino Linotype"/>
          <w:color w:val="000000" w:themeColor="text1"/>
        </w:rPr>
        <w:t xml:space="preserve"> emite los siguientes.</w:t>
      </w:r>
    </w:p>
    <w:p w14:paraId="68A7EF36" w14:textId="77777777" w:rsidR="00EB0F49" w:rsidRPr="004E203A" w:rsidRDefault="00EB0F49"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90C848" w14:textId="77777777" w:rsidR="00EB0F49" w:rsidRPr="004E203A" w:rsidRDefault="001D3081" w:rsidP="00A36C68">
      <w:pPr>
        <w:pStyle w:val="Ttulo1"/>
        <w:tabs>
          <w:tab w:val="left" w:pos="0"/>
        </w:tabs>
        <w:spacing w:before="0" w:line="360" w:lineRule="auto"/>
        <w:jc w:val="center"/>
        <w:rPr>
          <w:b w:val="0"/>
          <w:szCs w:val="24"/>
        </w:rPr>
      </w:pPr>
      <w:r w:rsidRPr="004E203A">
        <w:rPr>
          <w:szCs w:val="24"/>
        </w:rPr>
        <w:t>R E S O L U T I V O S</w:t>
      </w:r>
    </w:p>
    <w:p w14:paraId="06602795" w14:textId="77777777" w:rsidR="00EB0F49" w:rsidRPr="004E203A" w:rsidRDefault="00EB0F49" w:rsidP="00A36C68">
      <w:pPr>
        <w:tabs>
          <w:tab w:val="left" w:pos="0"/>
        </w:tabs>
        <w:spacing w:line="360" w:lineRule="auto"/>
        <w:rPr>
          <w:rFonts w:ascii="Palatino Linotype" w:eastAsia="Palatino Linotype" w:hAnsi="Palatino Linotype" w:cs="Palatino Linotype"/>
          <w:color w:val="000000" w:themeColor="text1"/>
        </w:rPr>
      </w:pPr>
    </w:p>
    <w:p w14:paraId="31DB462A" w14:textId="350F0979" w:rsidR="00EB0F49" w:rsidRPr="004E203A" w:rsidRDefault="001D3081" w:rsidP="00A36C68">
      <w:pP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b/>
          <w:color w:val="000000" w:themeColor="text1"/>
        </w:rPr>
        <w:t>PRIMERO</w:t>
      </w:r>
      <w:r w:rsidRPr="004E203A">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4521CD" w:rsidRPr="004E203A">
        <w:rPr>
          <w:rFonts w:ascii="Palatino Linotype" w:eastAsia="Palatino Linotype" w:hAnsi="Palatino Linotype" w:cs="Palatino Linotype"/>
          <w:b/>
          <w:color w:val="000000" w:themeColor="text1"/>
        </w:rPr>
        <w:t>00723</w:t>
      </w:r>
      <w:r w:rsidRPr="004E203A">
        <w:rPr>
          <w:rFonts w:ascii="Palatino Linotype" w:eastAsia="Palatino Linotype" w:hAnsi="Palatino Linotype" w:cs="Palatino Linotype"/>
          <w:b/>
          <w:color w:val="000000" w:themeColor="text1"/>
        </w:rPr>
        <w:t xml:space="preserve">/INFOEM/IP/RR/2025 </w:t>
      </w:r>
      <w:r w:rsidRPr="004E203A">
        <w:rPr>
          <w:rFonts w:ascii="Palatino Linotype" w:eastAsia="Palatino Linotype" w:hAnsi="Palatino Linotype" w:cs="Palatino Linotype"/>
          <w:color w:val="000000" w:themeColor="text1"/>
        </w:rPr>
        <w:t xml:space="preserve">en términos del Considerando </w:t>
      </w:r>
      <w:r w:rsidR="00473A26" w:rsidRPr="004E203A">
        <w:rPr>
          <w:rFonts w:ascii="Palatino Linotype" w:eastAsia="Palatino Linotype" w:hAnsi="Palatino Linotype" w:cs="Palatino Linotype"/>
          <w:b/>
          <w:color w:val="000000" w:themeColor="text1"/>
        </w:rPr>
        <w:t>CUARTO</w:t>
      </w:r>
      <w:r w:rsidRPr="004E203A">
        <w:rPr>
          <w:rFonts w:ascii="Palatino Linotype" w:eastAsia="Palatino Linotype" w:hAnsi="Palatino Linotype" w:cs="Palatino Linotype"/>
          <w:b/>
          <w:color w:val="000000" w:themeColor="text1"/>
        </w:rPr>
        <w:t xml:space="preserve"> y </w:t>
      </w:r>
      <w:r w:rsidR="00473A26" w:rsidRPr="004E203A">
        <w:rPr>
          <w:rFonts w:ascii="Palatino Linotype" w:eastAsia="Palatino Linotype" w:hAnsi="Palatino Linotype" w:cs="Palatino Linotype"/>
          <w:b/>
          <w:color w:val="000000" w:themeColor="text1"/>
        </w:rPr>
        <w:t>QUINTO</w:t>
      </w:r>
      <w:r w:rsidRPr="004E203A">
        <w:rPr>
          <w:rFonts w:ascii="Palatino Linotype" w:eastAsia="Palatino Linotype" w:hAnsi="Palatino Linotype" w:cs="Palatino Linotype"/>
          <w:b/>
          <w:color w:val="000000" w:themeColor="text1"/>
        </w:rPr>
        <w:t xml:space="preserve"> </w:t>
      </w:r>
      <w:r w:rsidRPr="004E203A">
        <w:rPr>
          <w:rFonts w:ascii="Palatino Linotype" w:eastAsia="Palatino Linotype" w:hAnsi="Palatino Linotype" w:cs="Palatino Linotype"/>
          <w:color w:val="000000" w:themeColor="text1"/>
        </w:rPr>
        <w:t xml:space="preserve">de la presente resolución. </w:t>
      </w:r>
    </w:p>
    <w:p w14:paraId="441F743A" w14:textId="77777777" w:rsidR="00EB0F49" w:rsidRPr="004E203A" w:rsidRDefault="00EB0F49" w:rsidP="00A36C68">
      <w:pPr>
        <w:tabs>
          <w:tab w:val="left" w:pos="0"/>
        </w:tabs>
        <w:spacing w:line="360" w:lineRule="auto"/>
        <w:jc w:val="both"/>
        <w:rPr>
          <w:rFonts w:ascii="Palatino Linotype" w:eastAsia="Palatino Linotype" w:hAnsi="Palatino Linotype" w:cs="Palatino Linotype"/>
          <w:color w:val="000000" w:themeColor="text1"/>
        </w:rPr>
      </w:pPr>
    </w:p>
    <w:p w14:paraId="05BAAD0A" w14:textId="7C0792E9" w:rsidR="00EB0F49" w:rsidRPr="004E203A" w:rsidRDefault="001D3081" w:rsidP="00A36C68">
      <w:pPr>
        <w:tabs>
          <w:tab w:val="left" w:pos="0"/>
        </w:tabs>
        <w:spacing w:line="360" w:lineRule="auto"/>
        <w:jc w:val="both"/>
        <w:rPr>
          <w:rFonts w:ascii="Palatino Linotype" w:eastAsia="Palatino Linotype" w:hAnsi="Palatino Linotype" w:cs="Palatino Linotype"/>
          <w:color w:val="000000" w:themeColor="text1"/>
        </w:rPr>
      </w:pPr>
      <w:bookmarkStart w:id="11" w:name="_heading=h.26in1rg" w:colFirst="0" w:colLast="0"/>
      <w:bookmarkEnd w:id="11"/>
      <w:r w:rsidRPr="004E203A">
        <w:rPr>
          <w:rFonts w:ascii="Palatino Linotype" w:eastAsia="Palatino Linotype" w:hAnsi="Palatino Linotype" w:cs="Palatino Linotype"/>
          <w:b/>
          <w:color w:val="000000" w:themeColor="text1"/>
        </w:rPr>
        <w:t xml:space="preserve">SEGUNDO. </w:t>
      </w:r>
      <w:r w:rsidRPr="004E203A">
        <w:rPr>
          <w:rFonts w:ascii="Palatino Linotype" w:eastAsia="Palatino Linotype" w:hAnsi="Palatino Linotype" w:cs="Palatino Linotype"/>
          <w:color w:val="000000" w:themeColor="text1"/>
        </w:rPr>
        <w:t xml:space="preserve">Se </w:t>
      </w:r>
      <w:r w:rsidRPr="004E203A">
        <w:rPr>
          <w:rFonts w:ascii="Palatino Linotype" w:eastAsia="Palatino Linotype" w:hAnsi="Palatino Linotype" w:cs="Palatino Linotype"/>
          <w:b/>
          <w:color w:val="000000" w:themeColor="text1"/>
        </w:rPr>
        <w:t xml:space="preserve">REVOCA </w:t>
      </w:r>
      <w:r w:rsidRPr="004E203A">
        <w:rPr>
          <w:rFonts w:ascii="Palatino Linotype" w:eastAsia="Palatino Linotype" w:hAnsi="Palatino Linotype" w:cs="Palatino Linotype"/>
          <w:color w:val="000000" w:themeColor="text1"/>
        </w:rPr>
        <w:t xml:space="preserve">la respuesta emitida por el </w:t>
      </w:r>
      <w:r w:rsidRPr="004E203A">
        <w:rPr>
          <w:rFonts w:ascii="Palatino Linotype" w:eastAsia="Palatino Linotype" w:hAnsi="Palatino Linotype" w:cs="Palatino Linotype"/>
          <w:b/>
          <w:color w:val="000000" w:themeColor="text1"/>
        </w:rPr>
        <w:t xml:space="preserve">Ayuntamiento de </w:t>
      </w:r>
      <w:r w:rsidR="004521CD" w:rsidRPr="004E203A">
        <w:rPr>
          <w:rFonts w:ascii="Palatino Linotype" w:eastAsia="Palatino Linotype" w:hAnsi="Palatino Linotype" w:cs="Palatino Linotype"/>
          <w:b/>
          <w:color w:val="000000" w:themeColor="text1"/>
        </w:rPr>
        <w:t>Tenancingo</w:t>
      </w:r>
      <w:r w:rsidRPr="004E203A">
        <w:rPr>
          <w:rFonts w:ascii="Palatino Linotype" w:eastAsia="Palatino Linotype" w:hAnsi="Palatino Linotype" w:cs="Palatino Linotype"/>
          <w:b/>
          <w:color w:val="000000" w:themeColor="text1"/>
        </w:rPr>
        <w:t>,</w:t>
      </w:r>
      <w:r w:rsidRPr="004E203A">
        <w:rPr>
          <w:rFonts w:ascii="Palatino Linotype" w:eastAsia="Palatino Linotype" w:hAnsi="Palatino Linotype" w:cs="Palatino Linotype"/>
          <w:color w:val="000000" w:themeColor="text1"/>
        </w:rPr>
        <w:t xml:space="preserve"> a la solicitud de información pública registrada con el número</w:t>
      </w:r>
      <w:r w:rsidR="00473A26" w:rsidRPr="004E203A">
        <w:rPr>
          <w:rFonts w:ascii="Palatino Linotype" w:eastAsia="Palatino Linotype" w:hAnsi="Palatino Linotype" w:cs="Palatino Linotype"/>
          <w:b/>
          <w:color w:val="000000" w:themeColor="text1"/>
        </w:rPr>
        <w:t xml:space="preserve"> </w:t>
      </w:r>
      <w:r w:rsidR="004521CD" w:rsidRPr="004E203A">
        <w:rPr>
          <w:rFonts w:ascii="Palatino Linotype" w:eastAsia="Palatino Linotype" w:hAnsi="Palatino Linotype" w:cs="Palatino Linotype"/>
          <w:b/>
          <w:color w:val="000000" w:themeColor="text1"/>
        </w:rPr>
        <w:t xml:space="preserve">00061/TENANCIN/IP/2025 </w:t>
      </w:r>
      <w:r w:rsidRPr="004E203A">
        <w:rPr>
          <w:rFonts w:ascii="Palatino Linotype" w:eastAsia="Palatino Linotype" w:hAnsi="Palatino Linotype" w:cs="Palatino Linotype"/>
          <w:color w:val="000000" w:themeColor="text1"/>
        </w:rPr>
        <w:t xml:space="preserve">y se </w:t>
      </w:r>
      <w:r w:rsidRPr="004E203A">
        <w:rPr>
          <w:rFonts w:ascii="Palatino Linotype" w:eastAsia="Palatino Linotype" w:hAnsi="Palatino Linotype" w:cs="Palatino Linotype"/>
          <w:b/>
          <w:color w:val="000000" w:themeColor="text1"/>
        </w:rPr>
        <w:t>ORDENA</w:t>
      </w:r>
      <w:r w:rsidRPr="004E203A">
        <w:rPr>
          <w:rFonts w:ascii="Palatino Linotype" w:eastAsia="Palatino Linotype" w:hAnsi="Palatino Linotype" w:cs="Palatino Linotype"/>
          <w:color w:val="000000" w:themeColor="text1"/>
        </w:rPr>
        <w:t xml:space="preserve"> entregar vía Sistema de Acceso a la Información Mexiquense </w:t>
      </w:r>
      <w:r w:rsidRPr="004E203A">
        <w:rPr>
          <w:rFonts w:ascii="Palatino Linotype" w:eastAsia="Palatino Linotype" w:hAnsi="Palatino Linotype" w:cs="Palatino Linotype"/>
          <w:b/>
          <w:color w:val="000000" w:themeColor="text1"/>
        </w:rPr>
        <w:t>(SAIMEX)</w:t>
      </w:r>
      <w:r w:rsidR="00473A26" w:rsidRPr="004E203A">
        <w:rPr>
          <w:rFonts w:ascii="Palatino Linotype" w:eastAsia="Palatino Linotype" w:hAnsi="Palatino Linotype" w:cs="Palatino Linotype"/>
          <w:color w:val="000000" w:themeColor="text1"/>
        </w:rPr>
        <w:t>, en versión pública, el o los documentos donde conste la siguiente información</w:t>
      </w:r>
      <w:r w:rsidR="004521CD" w:rsidRPr="004E203A">
        <w:rPr>
          <w:rFonts w:ascii="Palatino Linotype" w:eastAsia="Palatino Linotype" w:hAnsi="Palatino Linotype" w:cs="Palatino Linotype"/>
          <w:color w:val="000000" w:themeColor="text1"/>
        </w:rPr>
        <w:t>, de la primera quincena de enero de 2025</w:t>
      </w:r>
      <w:r w:rsidR="00473A26" w:rsidRPr="004E203A">
        <w:rPr>
          <w:rFonts w:ascii="Palatino Linotype" w:eastAsia="Palatino Linotype" w:hAnsi="Palatino Linotype" w:cs="Palatino Linotype"/>
          <w:color w:val="000000" w:themeColor="text1"/>
        </w:rPr>
        <w:t>:</w:t>
      </w:r>
    </w:p>
    <w:p w14:paraId="658D158C" w14:textId="77777777" w:rsidR="00EB0F49" w:rsidRPr="004E203A" w:rsidRDefault="00EB0F49" w:rsidP="00A36C68">
      <w:pPr>
        <w:tabs>
          <w:tab w:val="left" w:pos="0"/>
        </w:tabs>
        <w:spacing w:line="360" w:lineRule="auto"/>
        <w:ind w:left="567"/>
        <w:jc w:val="both"/>
        <w:rPr>
          <w:rFonts w:ascii="Palatino Linotype" w:eastAsia="Palatino Linotype" w:hAnsi="Palatino Linotype" w:cs="Palatino Linotype"/>
          <w:b/>
          <w:color w:val="000000" w:themeColor="text1"/>
        </w:rPr>
      </w:pPr>
    </w:p>
    <w:p w14:paraId="15B9FAFE" w14:textId="77777777" w:rsidR="00EC1E87" w:rsidRPr="004E203A" w:rsidRDefault="004521CD" w:rsidP="00A36C68">
      <w:pPr>
        <w:pStyle w:val="Prrafodelista"/>
        <w:numPr>
          <w:ilvl w:val="0"/>
          <w:numId w:val="23"/>
        </w:numPr>
        <w:tabs>
          <w:tab w:val="left" w:pos="0"/>
        </w:tabs>
        <w:spacing w:line="360" w:lineRule="auto"/>
        <w:ind w:left="567" w:hanging="141"/>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La remuneración neta y bruta</w:t>
      </w:r>
      <w:r w:rsidR="00EC1E87" w:rsidRPr="004E203A">
        <w:rPr>
          <w:rFonts w:ascii="Palatino Linotype" w:eastAsia="Palatino Linotype" w:hAnsi="Palatino Linotype" w:cs="Palatino Linotype"/>
          <w:b/>
          <w:color w:val="000000" w:themeColor="text1"/>
        </w:rPr>
        <w:t xml:space="preserve">, </w:t>
      </w:r>
      <w:r w:rsidR="00EC1E87" w:rsidRPr="004E203A">
        <w:rPr>
          <w:rFonts w:ascii="Palatino Linotype" w:hAnsi="Palatino Linotype"/>
          <w:b/>
          <w:color w:val="000000" w:themeColor="text1"/>
        </w:rPr>
        <w:t>prestaciones, gratificaciones, primas, comisiones, dietas, bonos, estímulos, ingresos y sistemas de compensación</w:t>
      </w:r>
      <w:r w:rsidRPr="004E203A">
        <w:rPr>
          <w:rFonts w:ascii="Palatino Linotype" w:eastAsia="Palatino Linotype" w:hAnsi="Palatino Linotype" w:cs="Palatino Linotype"/>
          <w:b/>
          <w:color w:val="000000" w:themeColor="text1"/>
        </w:rPr>
        <w:t xml:space="preserve"> de todos los Servidores Públicos del Ayuntamiento de Tenancingo; y</w:t>
      </w:r>
    </w:p>
    <w:p w14:paraId="6AAA7B52" w14:textId="77777777" w:rsidR="00EC1E87" w:rsidRPr="004E203A" w:rsidRDefault="00EC1E87" w:rsidP="00A36C68">
      <w:pPr>
        <w:tabs>
          <w:tab w:val="left" w:pos="0"/>
        </w:tabs>
        <w:spacing w:line="360" w:lineRule="auto"/>
        <w:ind w:left="567" w:hanging="141"/>
        <w:jc w:val="both"/>
        <w:rPr>
          <w:rFonts w:ascii="Palatino Linotype" w:eastAsia="Palatino Linotype" w:hAnsi="Palatino Linotype" w:cs="Palatino Linotype"/>
          <w:b/>
          <w:color w:val="000000" w:themeColor="text1"/>
        </w:rPr>
      </w:pPr>
    </w:p>
    <w:p w14:paraId="0F0FD916" w14:textId="1ADEA69C" w:rsidR="00EB0F49" w:rsidRPr="004E203A" w:rsidRDefault="004521CD" w:rsidP="00A36C68">
      <w:pPr>
        <w:pStyle w:val="Prrafodelista"/>
        <w:numPr>
          <w:ilvl w:val="0"/>
          <w:numId w:val="23"/>
        </w:numPr>
        <w:tabs>
          <w:tab w:val="left" w:pos="0"/>
        </w:tabs>
        <w:spacing w:line="360" w:lineRule="auto"/>
        <w:ind w:left="567" w:hanging="141"/>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b/>
          <w:color w:val="000000" w:themeColor="text1"/>
        </w:rPr>
        <w:t xml:space="preserve">Las contrataciones de servicios profesionales por honorarios, señalando el </w:t>
      </w:r>
      <w:r w:rsidRPr="004E203A">
        <w:rPr>
          <w:rFonts w:ascii="Palatino Linotype" w:hAnsi="Palatino Linotype"/>
          <w:b/>
          <w:color w:val="000000" w:themeColor="text1"/>
        </w:rPr>
        <w:t>nombre de los prestadores de servicios, los servicios contratados, el monto de los honorarios y el periodo de contratación.</w:t>
      </w:r>
    </w:p>
    <w:p w14:paraId="1E61CFCF" w14:textId="77777777" w:rsidR="004521CD" w:rsidRPr="004E203A" w:rsidRDefault="004521CD"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E07D1C5" w14:textId="77777777" w:rsidR="00EB0F49" w:rsidRPr="004E203A" w:rsidRDefault="001D3081" w:rsidP="00A36C68">
      <w:pPr>
        <w:tabs>
          <w:tab w:val="left" w:pos="0"/>
        </w:tabs>
        <w:spacing w:line="360" w:lineRule="auto"/>
        <w:jc w:val="both"/>
        <w:rPr>
          <w:rFonts w:ascii="Palatino Linotype" w:eastAsia="Palatino Linotype" w:hAnsi="Palatino Linotype" w:cs="Palatino Linotype"/>
          <w:b/>
          <w:color w:val="000000" w:themeColor="text1"/>
        </w:rPr>
      </w:pPr>
      <w:r w:rsidRPr="004E203A">
        <w:rPr>
          <w:rFonts w:ascii="Palatino Linotype" w:eastAsia="Palatino Linotype" w:hAnsi="Palatino Linotype" w:cs="Palatino Linotype"/>
          <w:color w:val="000000" w:themeColor="text1"/>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E203A">
        <w:rPr>
          <w:rFonts w:ascii="Palatino Linotype" w:eastAsia="Palatino Linotype" w:hAnsi="Palatino Linotype" w:cs="Palatino Linotype"/>
          <w:b/>
          <w:color w:val="000000" w:themeColor="text1"/>
        </w:rPr>
        <w:t>RECURRENTE.</w:t>
      </w:r>
    </w:p>
    <w:p w14:paraId="3D0755EC" w14:textId="77777777" w:rsidR="00EB0F49" w:rsidRPr="004E203A" w:rsidRDefault="00EB0F49" w:rsidP="00A36C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bookmarkStart w:id="12" w:name="_heading=h.4d34og8" w:colFirst="0" w:colLast="0"/>
      <w:bookmarkEnd w:id="12"/>
    </w:p>
    <w:p w14:paraId="5D78132D" w14:textId="77777777" w:rsidR="00EB0F49" w:rsidRPr="004E203A" w:rsidRDefault="001D3081" w:rsidP="00A36C68">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3" w:name="_heading=h.lnxbz9" w:colFirst="0" w:colLast="0"/>
      <w:bookmarkEnd w:id="13"/>
      <w:r w:rsidRPr="004E203A">
        <w:rPr>
          <w:rFonts w:ascii="Palatino Linotype" w:eastAsia="Palatino Linotype" w:hAnsi="Palatino Linotype" w:cs="Palatino Linotype"/>
          <w:b/>
          <w:color w:val="000000" w:themeColor="text1"/>
        </w:rPr>
        <w:t xml:space="preserve">TERCERO. NOTIFÍQUESE </w:t>
      </w:r>
      <w:r w:rsidRPr="004E203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E203A">
        <w:rPr>
          <w:rFonts w:ascii="Palatino Linotype" w:eastAsia="Palatino Linotype" w:hAnsi="Palatino Linotype" w:cs="Palatino Linotype"/>
          <w:b/>
          <w:color w:val="000000" w:themeColor="text1"/>
        </w:rPr>
        <w:t>dé cumplimiento a lo ordenado dentro del plazo de diez días hábiles,</w:t>
      </w:r>
      <w:r w:rsidRPr="004E203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bookmarkStart w:id="14" w:name="_GoBack"/>
      <w:bookmarkEnd w:id="14"/>
    </w:p>
    <w:p w14:paraId="62849A62" w14:textId="77777777" w:rsidR="00EB0F49" w:rsidRPr="004E203A" w:rsidRDefault="00EB0F49" w:rsidP="00A36C68">
      <w:pPr>
        <w:tabs>
          <w:tab w:val="left" w:pos="0"/>
          <w:tab w:val="left" w:pos="8080"/>
        </w:tabs>
        <w:spacing w:line="360" w:lineRule="auto"/>
        <w:jc w:val="both"/>
        <w:rPr>
          <w:rFonts w:ascii="Palatino Linotype" w:eastAsia="Palatino Linotype" w:hAnsi="Palatino Linotype" w:cs="Palatino Linotype"/>
          <w:color w:val="000000" w:themeColor="text1"/>
        </w:rPr>
      </w:pPr>
    </w:p>
    <w:p w14:paraId="1423972B" w14:textId="77777777" w:rsidR="00EB0F49" w:rsidRPr="004E203A" w:rsidRDefault="001D3081" w:rsidP="00A36C68">
      <w:pPr>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b/>
          <w:color w:val="000000" w:themeColor="text1"/>
        </w:rPr>
        <w:t xml:space="preserve">CUARTO. </w:t>
      </w:r>
      <w:r w:rsidRPr="004E203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E203A">
        <w:rPr>
          <w:rFonts w:ascii="Palatino Linotype" w:eastAsia="Palatino Linotype" w:hAnsi="Palatino Linotype" w:cs="Palatino Linotype"/>
          <w:b/>
          <w:color w:val="000000" w:themeColor="text1"/>
        </w:rPr>
        <w:t>SUJETO OBLIGADO</w:t>
      </w:r>
      <w:r w:rsidRPr="004E203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346AFFE0" w14:textId="77777777" w:rsidR="00EB0F49" w:rsidRPr="004E203A" w:rsidRDefault="00EB0F49" w:rsidP="00A36C68">
      <w:pPr>
        <w:tabs>
          <w:tab w:val="left" w:pos="0"/>
        </w:tabs>
        <w:spacing w:line="360" w:lineRule="auto"/>
        <w:jc w:val="both"/>
        <w:rPr>
          <w:rFonts w:ascii="Palatino Linotype" w:eastAsia="Palatino Linotype" w:hAnsi="Palatino Linotype" w:cs="Palatino Linotype"/>
          <w:color w:val="000000" w:themeColor="text1"/>
        </w:rPr>
      </w:pPr>
    </w:p>
    <w:p w14:paraId="07E6F125" w14:textId="77777777" w:rsidR="00EB0F49" w:rsidRPr="004E203A" w:rsidRDefault="001D3081" w:rsidP="00A36C68">
      <w:pPr>
        <w:tabs>
          <w:tab w:val="left" w:pos="0"/>
          <w:tab w:val="left" w:pos="8080"/>
        </w:tabs>
        <w:spacing w:line="360" w:lineRule="auto"/>
        <w:jc w:val="both"/>
        <w:rPr>
          <w:rFonts w:ascii="Palatino Linotype" w:eastAsia="Palatino Linotype" w:hAnsi="Palatino Linotype" w:cs="Palatino Linotype"/>
          <w:color w:val="000000" w:themeColor="text1"/>
        </w:rPr>
      </w:pPr>
      <w:bookmarkStart w:id="15" w:name="_heading=h.35nkun2" w:colFirst="0" w:colLast="0"/>
      <w:bookmarkEnd w:id="15"/>
      <w:r w:rsidRPr="004E203A">
        <w:rPr>
          <w:rFonts w:ascii="Palatino Linotype" w:eastAsia="Palatino Linotype" w:hAnsi="Palatino Linotype" w:cs="Palatino Linotype"/>
          <w:b/>
          <w:color w:val="000000" w:themeColor="text1"/>
        </w:rPr>
        <w:t xml:space="preserve">QUINTO. </w:t>
      </w:r>
      <w:r w:rsidRPr="004E203A">
        <w:rPr>
          <w:rFonts w:ascii="Palatino Linotype" w:eastAsia="Palatino Linotype" w:hAnsi="Palatino Linotype" w:cs="Palatino Linotype"/>
          <w:color w:val="000000" w:themeColor="text1"/>
        </w:rPr>
        <w:t xml:space="preserve">Notifíquese a </w:t>
      </w:r>
      <w:r w:rsidRPr="004E203A">
        <w:rPr>
          <w:rFonts w:ascii="Palatino Linotype" w:eastAsia="Palatino Linotype" w:hAnsi="Palatino Linotype" w:cs="Palatino Linotype"/>
          <w:b/>
          <w:color w:val="000000" w:themeColor="text1"/>
        </w:rPr>
        <w:t>EL RECURRENTE</w:t>
      </w:r>
      <w:r w:rsidRPr="004E203A">
        <w:rPr>
          <w:rFonts w:ascii="Palatino Linotype" w:eastAsia="Palatino Linotype" w:hAnsi="Palatino Linotype" w:cs="Palatino Linotype"/>
          <w:color w:val="000000" w:themeColor="text1"/>
        </w:rPr>
        <w:t xml:space="preserve"> la presente resolución, vía </w:t>
      </w:r>
      <w:r w:rsidRPr="004E203A">
        <w:rPr>
          <w:rFonts w:ascii="Palatino Linotype" w:eastAsia="Palatino Linotype" w:hAnsi="Palatino Linotype" w:cs="Palatino Linotype"/>
          <w:b/>
          <w:color w:val="000000" w:themeColor="text1"/>
        </w:rPr>
        <w:t>SAIMEX.</w:t>
      </w:r>
    </w:p>
    <w:p w14:paraId="41BDD7D5" w14:textId="77777777" w:rsidR="00EB0F49" w:rsidRPr="004E203A" w:rsidRDefault="00EB0F49" w:rsidP="00A36C68">
      <w:pPr>
        <w:tabs>
          <w:tab w:val="left" w:pos="0"/>
          <w:tab w:val="left" w:pos="8080"/>
        </w:tabs>
        <w:spacing w:line="360" w:lineRule="auto"/>
        <w:jc w:val="both"/>
        <w:rPr>
          <w:rFonts w:ascii="Palatino Linotype" w:eastAsia="Palatino Linotype" w:hAnsi="Palatino Linotype" w:cs="Palatino Linotype"/>
          <w:color w:val="000000" w:themeColor="text1"/>
        </w:rPr>
      </w:pPr>
    </w:p>
    <w:p w14:paraId="2B0DD37B" w14:textId="77777777" w:rsidR="00EB0F49" w:rsidRPr="004E203A" w:rsidRDefault="001D3081" w:rsidP="00A36C68">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b/>
          <w:color w:val="000000" w:themeColor="text1"/>
        </w:rPr>
        <w:t>SEXTO.</w:t>
      </w:r>
      <w:r w:rsidRPr="004E203A">
        <w:rPr>
          <w:rFonts w:ascii="Palatino Linotype" w:eastAsia="Palatino Linotype" w:hAnsi="Palatino Linotype" w:cs="Palatino Linotype"/>
          <w:color w:val="000000" w:themeColor="text1"/>
        </w:rPr>
        <w:t xml:space="preserve"> Se hace del conocimiento de </w:t>
      </w:r>
      <w:r w:rsidRPr="004E203A">
        <w:rPr>
          <w:rFonts w:ascii="Palatino Linotype" w:eastAsia="Palatino Linotype" w:hAnsi="Palatino Linotype" w:cs="Palatino Linotype"/>
          <w:b/>
          <w:color w:val="000000" w:themeColor="text1"/>
        </w:rPr>
        <w:t>EL RECURRENTE</w:t>
      </w:r>
      <w:r w:rsidRPr="004E203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C76EC00" w14:textId="77777777" w:rsidR="00EB0F49" w:rsidRPr="004E203A" w:rsidRDefault="00EB0F49" w:rsidP="00A36C68">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5F742F8D" w14:textId="77777777" w:rsidR="00A36C68" w:rsidRPr="004E203A" w:rsidRDefault="00A36C68" w:rsidP="00A36C68">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42191A39" w14:textId="65D08991" w:rsidR="00EB0F49" w:rsidRPr="00A36C68" w:rsidRDefault="00A36C68"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r w:rsidRPr="004E203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47EA3" w:rsidRPr="004E203A">
        <w:rPr>
          <w:rFonts w:ascii="Palatino Linotype" w:eastAsia="Palatino Linotype" w:hAnsi="Palatino Linotype" w:cs="Palatino Linotype"/>
          <w:color w:val="000000" w:themeColor="text1"/>
        </w:rPr>
        <w:t xml:space="preserve"> (AUSENCIA JUSTIFICADA</w:t>
      </w:r>
      <w:r w:rsidRPr="004E203A">
        <w:rPr>
          <w:rFonts w:ascii="Palatino Linotype" w:eastAsia="Palatino Linotype" w:hAnsi="Palatino Linotype" w:cs="Palatino Linotype"/>
          <w:color w:val="000000" w:themeColor="text1"/>
        </w:rPr>
        <w:t xml:space="preserve"> Y GUADALUPE RAMÍREZ PEÑA</w:t>
      </w:r>
      <w:r w:rsidR="00F052C2" w:rsidRPr="004E203A">
        <w:rPr>
          <w:rFonts w:ascii="Palatino Linotype" w:eastAsia="Palatino Linotype" w:hAnsi="Palatino Linotype" w:cs="Palatino Linotype"/>
          <w:color w:val="000000" w:themeColor="text1"/>
        </w:rPr>
        <w:t xml:space="preserve"> EMITIENDO VOTO PARTICULAR</w:t>
      </w:r>
      <w:r w:rsidRPr="004E203A">
        <w:rPr>
          <w:rFonts w:ascii="Palatino Linotype" w:eastAsia="Palatino Linotype" w:hAnsi="Palatino Linotype" w:cs="Palatino Linotype"/>
          <w:color w:val="000000" w:themeColor="text1"/>
        </w:rPr>
        <w:t>; EN LA DÉCIMA NOVENA SESIÓN ORDINARIA, CELEBRADA EL VEINTIOCHO (28) DE MAYO DE DOS MIL VEINTICINCO, ANTE EL SECRETARIO TÉCNICO DEL PLENO ALEXIS TAPIA RAMÍREZ.</w:t>
      </w:r>
    </w:p>
    <w:p w14:paraId="580FDFB0"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59C9EF7" w14:textId="77777777" w:rsidR="00EB0F49" w:rsidRPr="00A36C68" w:rsidRDefault="00EB0F49" w:rsidP="00A36C6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A36C68" w:rsidRDefault="00EB0F49" w:rsidP="00A36C68">
      <w:pPr>
        <w:tabs>
          <w:tab w:val="left" w:pos="0"/>
        </w:tabs>
        <w:spacing w:line="360" w:lineRule="auto"/>
        <w:jc w:val="both"/>
        <w:rPr>
          <w:rFonts w:ascii="Palatino Linotype" w:eastAsia="Palatino Linotype" w:hAnsi="Palatino Linotype" w:cs="Palatino Linotype"/>
          <w:color w:val="000000" w:themeColor="text1"/>
        </w:rPr>
      </w:pPr>
    </w:p>
    <w:p w14:paraId="1C5E98B7" w14:textId="77777777" w:rsidR="00EB0F49" w:rsidRPr="00A36C68" w:rsidRDefault="00EB0F49" w:rsidP="00A36C68">
      <w:pPr>
        <w:pStyle w:val="Ttulo2"/>
        <w:tabs>
          <w:tab w:val="left" w:pos="0"/>
        </w:tabs>
        <w:spacing w:before="0" w:line="360" w:lineRule="auto"/>
        <w:rPr>
          <w:szCs w:val="24"/>
        </w:rPr>
      </w:pPr>
    </w:p>
    <w:sectPr w:rsidR="00EB0F49" w:rsidRPr="00A36C68" w:rsidSect="00A36C68">
      <w:headerReference w:type="default" r:id="rId9"/>
      <w:footerReference w:type="default" r:id="rId10"/>
      <w:headerReference w:type="first" r:id="rId11"/>
      <w:footerReference w:type="first" r:id="rId12"/>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FE66D" w14:textId="77777777" w:rsidR="00517E1D" w:rsidRDefault="00517E1D">
      <w:r>
        <w:separator/>
      </w:r>
    </w:p>
  </w:endnote>
  <w:endnote w:type="continuationSeparator" w:id="0">
    <w:p w14:paraId="27D867BE" w14:textId="77777777" w:rsidR="00517E1D" w:rsidRDefault="0051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35396F" w:rsidRDefault="003539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15941">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15941">
      <w:rPr>
        <w:rFonts w:ascii="Palatino Linotype" w:eastAsia="Palatino Linotype" w:hAnsi="Palatino Linotype" w:cs="Palatino Linotype"/>
        <w:b/>
        <w:noProof/>
        <w:color w:val="000000"/>
        <w:sz w:val="22"/>
        <w:szCs w:val="22"/>
      </w:rPr>
      <w:t>43</w:t>
    </w:r>
    <w:r>
      <w:rPr>
        <w:rFonts w:ascii="Palatino Linotype" w:eastAsia="Palatino Linotype" w:hAnsi="Palatino Linotype" w:cs="Palatino Linotype"/>
        <w:b/>
        <w:color w:val="000000"/>
        <w:sz w:val="22"/>
        <w:szCs w:val="22"/>
      </w:rPr>
      <w:fldChar w:fldCharType="end"/>
    </w:r>
  </w:p>
  <w:p w14:paraId="0C01532C" w14:textId="77777777" w:rsidR="0035396F" w:rsidRDefault="0035396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35396F" w:rsidRDefault="003539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35396F" w:rsidRDefault="003539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594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5941">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p w14:paraId="4644BAAA" w14:textId="77777777" w:rsidR="0035396F" w:rsidRDefault="0035396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35396F" w:rsidRDefault="00353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231B" w14:textId="77777777" w:rsidR="00517E1D" w:rsidRDefault="00517E1D">
      <w:r>
        <w:separator/>
      </w:r>
    </w:p>
  </w:footnote>
  <w:footnote w:type="continuationSeparator" w:id="0">
    <w:p w14:paraId="4629B426" w14:textId="77777777" w:rsidR="00517E1D" w:rsidRDefault="00517E1D">
      <w:r>
        <w:continuationSeparator/>
      </w:r>
    </w:p>
  </w:footnote>
  <w:footnote w:id="1">
    <w:p w14:paraId="4A4ED890" w14:textId="77777777" w:rsidR="00EC1E87" w:rsidRDefault="00EC1E87" w:rsidP="00EC1E8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Políticas Públicas y Cambio Climático. Angélica Rosas Huerta. Profesora- investigadora. Departamento Poca y Cultura. División de Ciencias Sociales y Humanidades. </w:t>
      </w:r>
    </w:p>
  </w:footnote>
  <w:footnote w:id="2">
    <w:p w14:paraId="5EF86D08" w14:textId="77777777" w:rsidR="0035396F" w:rsidRDefault="0035396F" w:rsidP="003539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7B7BA6CA" w14:textId="77777777" w:rsidR="0035396F" w:rsidRDefault="0035396F" w:rsidP="0035396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51BAA03F" w14:textId="77777777" w:rsidR="0035396F" w:rsidRDefault="0035396F" w:rsidP="0035396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6B2C" w14:textId="77777777" w:rsidR="0035396F" w:rsidRDefault="0035396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58D97F7A">
          <wp:simplePos x="0" y="0"/>
          <wp:positionH relativeFrom="column">
            <wp:posOffset>-876826</wp:posOffset>
          </wp:positionH>
          <wp:positionV relativeFrom="paragraph">
            <wp:posOffset>-421001</wp:posOffset>
          </wp:positionV>
          <wp:extent cx="7809876" cy="10165823"/>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6649"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35396F" w:rsidRPr="00A36C68" w14:paraId="1D7C34A9" w14:textId="77777777" w:rsidTr="00A36C68">
      <w:trPr>
        <w:trHeight w:val="138"/>
      </w:trPr>
      <w:tc>
        <w:tcPr>
          <w:tcW w:w="2734" w:type="dxa"/>
          <w:vAlign w:val="center"/>
        </w:tcPr>
        <w:p w14:paraId="22563E3E" w14:textId="77777777" w:rsidR="0035396F" w:rsidRPr="00A36C68" w:rsidRDefault="0035396F"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Recurso de Revisión:</w:t>
          </w:r>
        </w:p>
      </w:tc>
      <w:tc>
        <w:tcPr>
          <w:tcW w:w="3915" w:type="dxa"/>
          <w:vAlign w:val="center"/>
        </w:tcPr>
        <w:p w14:paraId="619EA065" w14:textId="01D3363A" w:rsidR="0035396F" w:rsidRPr="00A36C68" w:rsidRDefault="0035396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A36C68">
            <w:rPr>
              <w:rFonts w:ascii="Palatino Linotype" w:eastAsia="Palatino Linotype" w:hAnsi="Palatino Linotype" w:cs="Palatino Linotype"/>
              <w:color w:val="000000"/>
              <w:sz w:val="24"/>
              <w:szCs w:val="24"/>
            </w:rPr>
            <w:t>00723/INFOEM/IP/RR/2025</w:t>
          </w:r>
        </w:p>
      </w:tc>
    </w:tr>
    <w:tr w:rsidR="0035396F" w:rsidRPr="00A36C68" w14:paraId="69F8EB8C" w14:textId="77777777" w:rsidTr="00A36C68">
      <w:trPr>
        <w:trHeight w:val="321"/>
      </w:trPr>
      <w:tc>
        <w:tcPr>
          <w:tcW w:w="2734" w:type="dxa"/>
          <w:vAlign w:val="center"/>
        </w:tcPr>
        <w:p w14:paraId="40FCF56F" w14:textId="77777777" w:rsidR="0035396F" w:rsidRPr="00A36C68" w:rsidRDefault="0035396F"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Sujeto Obligado:</w:t>
          </w:r>
        </w:p>
      </w:tc>
      <w:tc>
        <w:tcPr>
          <w:tcW w:w="3915" w:type="dxa"/>
          <w:vAlign w:val="center"/>
        </w:tcPr>
        <w:p w14:paraId="43608C73" w14:textId="6AF27283" w:rsidR="0035396F" w:rsidRPr="00A36C68" w:rsidRDefault="0035396F" w:rsidP="007C6197">
          <w:pPr>
            <w:rPr>
              <w:rFonts w:ascii="Palatino Linotype" w:eastAsia="Palatino Linotype" w:hAnsi="Palatino Linotype" w:cs="Palatino Linotype"/>
              <w:sz w:val="24"/>
              <w:szCs w:val="24"/>
            </w:rPr>
          </w:pPr>
          <w:r w:rsidRPr="00A36C68">
            <w:rPr>
              <w:rFonts w:ascii="Palatino Linotype" w:eastAsia="Palatino Linotype" w:hAnsi="Palatino Linotype" w:cs="Palatino Linotype"/>
              <w:sz w:val="24"/>
              <w:szCs w:val="24"/>
            </w:rPr>
            <w:t>Ayuntamiento de Tenancingo</w:t>
          </w:r>
        </w:p>
      </w:tc>
    </w:tr>
    <w:tr w:rsidR="0035396F" w:rsidRPr="00A36C68" w14:paraId="66E20343" w14:textId="77777777" w:rsidTr="00A36C68">
      <w:trPr>
        <w:trHeight w:val="321"/>
      </w:trPr>
      <w:tc>
        <w:tcPr>
          <w:tcW w:w="2734" w:type="dxa"/>
          <w:vAlign w:val="center"/>
        </w:tcPr>
        <w:p w14:paraId="0D71368D" w14:textId="77777777" w:rsidR="0035396F" w:rsidRPr="00A36C68" w:rsidRDefault="0035396F"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Comisionada Ponente:</w:t>
          </w:r>
        </w:p>
      </w:tc>
      <w:tc>
        <w:tcPr>
          <w:tcW w:w="3915" w:type="dxa"/>
          <w:vAlign w:val="center"/>
        </w:tcPr>
        <w:p w14:paraId="4B4666C9" w14:textId="77777777" w:rsidR="0035396F" w:rsidRPr="00A36C68" w:rsidRDefault="0035396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A36C68">
            <w:rPr>
              <w:rFonts w:ascii="Palatino Linotype" w:eastAsia="Palatino Linotype" w:hAnsi="Palatino Linotype" w:cs="Palatino Linotype"/>
              <w:color w:val="000000"/>
              <w:sz w:val="24"/>
              <w:szCs w:val="24"/>
            </w:rPr>
            <w:t>María del Rosario Mejía Ayala</w:t>
          </w:r>
        </w:p>
      </w:tc>
    </w:tr>
  </w:tbl>
  <w:p w14:paraId="07A3FDCE" w14:textId="77777777" w:rsidR="0035396F" w:rsidRDefault="0035396F">
    <w:pPr>
      <w:pBdr>
        <w:top w:val="nil"/>
        <w:left w:val="nil"/>
        <w:bottom w:val="nil"/>
        <w:right w:val="nil"/>
        <w:between w:val="nil"/>
      </w:pBdr>
      <w:tabs>
        <w:tab w:val="center" w:pos="4252"/>
        <w:tab w:val="right" w:pos="8504"/>
      </w:tabs>
      <w:rPr>
        <w:color w:val="000000"/>
      </w:rPr>
    </w:pPr>
  </w:p>
  <w:p w14:paraId="394C80DB" w14:textId="77777777" w:rsidR="0035396F" w:rsidRDefault="003539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9E7D" w14:textId="77777777" w:rsidR="0035396F" w:rsidRDefault="0035396F">
    <w:pPr>
      <w:rPr>
        <w:color w:val="000000"/>
      </w:rPr>
    </w:pPr>
    <w:r>
      <w:rPr>
        <w:color w:val="000000"/>
      </w:rPr>
      <w:tab/>
    </w:r>
    <w:r>
      <w:rPr>
        <w:color w:val="000000"/>
      </w:rPr>
      <w:tab/>
    </w:r>
    <w:r>
      <w:rPr>
        <w:noProof/>
        <w:lang w:val="es-MX"/>
      </w:rPr>
      <w:drawing>
        <wp:anchor distT="0" distB="0" distL="0" distR="0" simplePos="0" relativeHeight="251659264" behindDoc="1" locked="0" layoutInCell="1" hidden="0" allowOverlap="1" wp14:anchorId="2AFC48FB" wp14:editId="2B88A0F9">
          <wp:simplePos x="0" y="0"/>
          <wp:positionH relativeFrom="column">
            <wp:posOffset>-873651</wp:posOffset>
          </wp:positionH>
          <wp:positionV relativeFrom="paragraph">
            <wp:posOffset>-375916</wp:posOffset>
          </wp:positionV>
          <wp:extent cx="7809876" cy="10165823"/>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6775"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A36C68" w:rsidRPr="00A36C68" w14:paraId="3266891B" w14:textId="77777777" w:rsidTr="00A36C68">
      <w:trPr>
        <w:trHeight w:val="138"/>
      </w:trPr>
      <w:tc>
        <w:tcPr>
          <w:tcW w:w="2725" w:type="dxa"/>
          <w:vAlign w:val="center"/>
        </w:tcPr>
        <w:p w14:paraId="51CBF747" w14:textId="77777777" w:rsidR="00A36C68" w:rsidRPr="00A36C68" w:rsidRDefault="00A36C68"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Recurso de Revisión:</w:t>
          </w:r>
        </w:p>
      </w:tc>
      <w:tc>
        <w:tcPr>
          <w:tcW w:w="4050" w:type="dxa"/>
          <w:vAlign w:val="center"/>
        </w:tcPr>
        <w:p w14:paraId="07A725EC" w14:textId="09A83F54" w:rsidR="00A36C68" w:rsidRPr="00A36C68" w:rsidRDefault="00A36C6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A36C68">
            <w:rPr>
              <w:rFonts w:ascii="Palatino Linotype" w:eastAsia="Palatino Linotype" w:hAnsi="Palatino Linotype" w:cs="Palatino Linotype"/>
              <w:color w:val="000000"/>
              <w:sz w:val="24"/>
              <w:szCs w:val="24"/>
            </w:rPr>
            <w:t>00723/INFOEM/IP/RR/2025</w:t>
          </w:r>
        </w:p>
      </w:tc>
    </w:tr>
    <w:tr w:rsidR="00A36C68" w:rsidRPr="00A36C68" w14:paraId="57F5BCBB" w14:textId="77777777" w:rsidTr="00A36C68">
      <w:trPr>
        <w:trHeight w:val="227"/>
      </w:trPr>
      <w:tc>
        <w:tcPr>
          <w:tcW w:w="2725" w:type="dxa"/>
          <w:vAlign w:val="center"/>
        </w:tcPr>
        <w:p w14:paraId="22A69765" w14:textId="77777777" w:rsidR="00A36C68" w:rsidRPr="00A36C68" w:rsidRDefault="00A36C68"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Recurrente:</w:t>
          </w:r>
        </w:p>
      </w:tc>
      <w:tc>
        <w:tcPr>
          <w:tcW w:w="4050" w:type="dxa"/>
          <w:vAlign w:val="center"/>
        </w:tcPr>
        <w:p w14:paraId="71D6C94E" w14:textId="5EE35C6E" w:rsidR="00A36C68" w:rsidRPr="00A36C68" w:rsidRDefault="0011594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A36C68" w:rsidRPr="00A36C68" w14:paraId="31D51DFD" w14:textId="77777777" w:rsidTr="00A36C68">
      <w:trPr>
        <w:trHeight w:val="232"/>
      </w:trPr>
      <w:tc>
        <w:tcPr>
          <w:tcW w:w="2725" w:type="dxa"/>
          <w:vAlign w:val="center"/>
        </w:tcPr>
        <w:p w14:paraId="09563478" w14:textId="77777777" w:rsidR="00A36C68" w:rsidRPr="00A36C68" w:rsidRDefault="00A36C68"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Sujeto Obligado:</w:t>
          </w:r>
        </w:p>
      </w:tc>
      <w:tc>
        <w:tcPr>
          <w:tcW w:w="4050" w:type="dxa"/>
          <w:vAlign w:val="center"/>
        </w:tcPr>
        <w:p w14:paraId="477014A7" w14:textId="44B25F9A" w:rsidR="00A36C68" w:rsidRPr="00A36C68" w:rsidRDefault="00A36C68" w:rsidP="007C6197">
          <w:pPr>
            <w:ind w:right="-73"/>
            <w:rPr>
              <w:sz w:val="24"/>
              <w:szCs w:val="24"/>
            </w:rPr>
          </w:pPr>
          <w:r w:rsidRPr="00A36C68">
            <w:rPr>
              <w:rFonts w:ascii="Palatino Linotype" w:eastAsia="Palatino Linotype" w:hAnsi="Palatino Linotype" w:cs="Palatino Linotype"/>
              <w:sz w:val="24"/>
              <w:szCs w:val="24"/>
            </w:rPr>
            <w:t>Ayuntamiento de Tenancingo</w:t>
          </w:r>
        </w:p>
      </w:tc>
    </w:tr>
    <w:tr w:rsidR="00A36C68" w:rsidRPr="00A36C68" w14:paraId="519E39BA" w14:textId="77777777" w:rsidTr="00A36C68">
      <w:trPr>
        <w:trHeight w:val="320"/>
      </w:trPr>
      <w:tc>
        <w:tcPr>
          <w:tcW w:w="2725" w:type="dxa"/>
          <w:vAlign w:val="center"/>
        </w:tcPr>
        <w:p w14:paraId="57EC4C26" w14:textId="77777777" w:rsidR="00A36C68" w:rsidRPr="00A36C68" w:rsidRDefault="00A36C68" w:rsidP="00A36C68">
          <w:pPr>
            <w:jc w:val="right"/>
            <w:rPr>
              <w:rFonts w:ascii="Palatino Linotype" w:eastAsia="Palatino Linotype" w:hAnsi="Palatino Linotype" w:cs="Palatino Linotype"/>
              <w:b/>
              <w:sz w:val="24"/>
              <w:szCs w:val="24"/>
            </w:rPr>
          </w:pPr>
          <w:r w:rsidRPr="00A36C68">
            <w:rPr>
              <w:rFonts w:ascii="Palatino Linotype" w:eastAsia="Palatino Linotype" w:hAnsi="Palatino Linotype" w:cs="Palatino Linotype"/>
              <w:b/>
              <w:sz w:val="24"/>
              <w:szCs w:val="24"/>
            </w:rPr>
            <w:t>Comisionada Ponente:</w:t>
          </w:r>
        </w:p>
      </w:tc>
      <w:tc>
        <w:tcPr>
          <w:tcW w:w="4050" w:type="dxa"/>
          <w:vAlign w:val="center"/>
        </w:tcPr>
        <w:p w14:paraId="6413407F" w14:textId="77777777" w:rsidR="00A36C68" w:rsidRPr="00A36C68" w:rsidRDefault="00A36C6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A36C68">
            <w:rPr>
              <w:rFonts w:ascii="Palatino Linotype" w:eastAsia="Palatino Linotype" w:hAnsi="Palatino Linotype" w:cs="Palatino Linotype"/>
              <w:color w:val="000000"/>
              <w:sz w:val="24"/>
              <w:szCs w:val="24"/>
            </w:rPr>
            <w:t>María del Rosario Mejía Ayala</w:t>
          </w:r>
        </w:p>
      </w:tc>
    </w:tr>
  </w:tbl>
  <w:p w14:paraId="3E197C7F" w14:textId="77777777" w:rsidR="0035396F" w:rsidRDefault="0035396F">
    <w:pPr>
      <w:pBdr>
        <w:top w:val="nil"/>
        <w:left w:val="nil"/>
        <w:bottom w:val="nil"/>
        <w:right w:val="nil"/>
        <w:between w:val="nil"/>
      </w:pBdr>
      <w:tabs>
        <w:tab w:val="center" w:pos="4252"/>
        <w:tab w:val="right" w:pos="8504"/>
      </w:tabs>
      <w:rPr>
        <w:color w:val="000000"/>
      </w:rPr>
    </w:pPr>
  </w:p>
  <w:p w14:paraId="72C9EB80" w14:textId="77777777" w:rsidR="0035396F" w:rsidRDefault="003539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AE6806"/>
    <w:multiLevelType w:val="multilevel"/>
    <w:tmpl w:val="F568344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0C387B"/>
    <w:multiLevelType w:val="hybridMultilevel"/>
    <w:tmpl w:val="0B145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1400D09"/>
    <w:multiLevelType w:val="hybridMultilevel"/>
    <w:tmpl w:val="F2625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6D3400C"/>
    <w:multiLevelType w:val="multilevel"/>
    <w:tmpl w:val="8AD23E62"/>
    <w:lvl w:ilvl="0">
      <w:start w:val="1"/>
      <w:numFmt w:val="decimal"/>
      <w:lvlText w:val="%1."/>
      <w:lvlJc w:val="left"/>
      <w:pPr>
        <w:ind w:left="2629" w:hanging="360"/>
      </w:pPr>
      <w:rPr>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DB4399"/>
    <w:multiLevelType w:val="hybridMultilevel"/>
    <w:tmpl w:val="EC7ABA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10"/>
  </w:num>
  <w:num w:numId="5">
    <w:abstractNumId w:val="20"/>
  </w:num>
  <w:num w:numId="6">
    <w:abstractNumId w:val="16"/>
  </w:num>
  <w:num w:numId="7">
    <w:abstractNumId w:val="21"/>
  </w:num>
  <w:num w:numId="8">
    <w:abstractNumId w:val="4"/>
  </w:num>
  <w:num w:numId="9">
    <w:abstractNumId w:val="14"/>
  </w:num>
  <w:num w:numId="10">
    <w:abstractNumId w:val="13"/>
  </w:num>
  <w:num w:numId="11">
    <w:abstractNumId w:val="6"/>
  </w:num>
  <w:num w:numId="12">
    <w:abstractNumId w:val="0"/>
  </w:num>
  <w:num w:numId="13">
    <w:abstractNumId w:val="3"/>
  </w:num>
  <w:num w:numId="14">
    <w:abstractNumId w:val="7"/>
  </w:num>
  <w:num w:numId="15">
    <w:abstractNumId w:val="5"/>
  </w:num>
  <w:num w:numId="16">
    <w:abstractNumId w:val="8"/>
  </w:num>
  <w:num w:numId="17">
    <w:abstractNumId w:val="1"/>
  </w:num>
  <w:num w:numId="18">
    <w:abstractNumId w:val="2"/>
  </w:num>
  <w:num w:numId="19">
    <w:abstractNumId w:val="19"/>
  </w:num>
  <w:num w:numId="20">
    <w:abstractNumId w:val="15"/>
  </w:num>
  <w:num w:numId="21">
    <w:abstractNumId w:val="18"/>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E3561"/>
    <w:rsid w:val="001103EA"/>
    <w:rsid w:val="00115941"/>
    <w:rsid w:val="00191103"/>
    <w:rsid w:val="001D3081"/>
    <w:rsid w:val="00206314"/>
    <w:rsid w:val="00254E1E"/>
    <w:rsid w:val="00294244"/>
    <w:rsid w:val="00345EE8"/>
    <w:rsid w:val="0035396F"/>
    <w:rsid w:val="003A5F60"/>
    <w:rsid w:val="00402AAA"/>
    <w:rsid w:val="00436E6A"/>
    <w:rsid w:val="00447EA3"/>
    <w:rsid w:val="004521CD"/>
    <w:rsid w:val="00473A26"/>
    <w:rsid w:val="00475E8A"/>
    <w:rsid w:val="00485C31"/>
    <w:rsid w:val="004E203A"/>
    <w:rsid w:val="00517E1D"/>
    <w:rsid w:val="00596E77"/>
    <w:rsid w:val="005B0D5E"/>
    <w:rsid w:val="00660A49"/>
    <w:rsid w:val="0066349A"/>
    <w:rsid w:val="00676985"/>
    <w:rsid w:val="00717580"/>
    <w:rsid w:val="0073071C"/>
    <w:rsid w:val="007C6197"/>
    <w:rsid w:val="00852CFD"/>
    <w:rsid w:val="008A5208"/>
    <w:rsid w:val="008B6D76"/>
    <w:rsid w:val="00A36C68"/>
    <w:rsid w:val="00A73BA9"/>
    <w:rsid w:val="00A76971"/>
    <w:rsid w:val="00B05B5E"/>
    <w:rsid w:val="00BA252B"/>
    <w:rsid w:val="00D062B1"/>
    <w:rsid w:val="00D11CE4"/>
    <w:rsid w:val="00D4101D"/>
    <w:rsid w:val="00D632F4"/>
    <w:rsid w:val="00DC126E"/>
    <w:rsid w:val="00E54BB2"/>
    <w:rsid w:val="00E857AB"/>
    <w:rsid w:val="00EB0F49"/>
    <w:rsid w:val="00EC1E87"/>
    <w:rsid w:val="00EE350F"/>
    <w:rsid w:val="00F052C2"/>
    <w:rsid w:val="00F26E16"/>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11161</Words>
  <Characters>61390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2025-05-30T16:29:00Z</cp:lastPrinted>
  <dcterms:created xsi:type="dcterms:W3CDTF">2025-05-22T21:04:00Z</dcterms:created>
  <dcterms:modified xsi:type="dcterms:W3CDTF">2025-05-30T19:58:00Z</dcterms:modified>
</cp:coreProperties>
</file>