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75D6D"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14:paraId="385801BB"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b/>
        </w:rPr>
        <w:t>Visto</w:t>
      </w:r>
      <w:r w:rsidRPr="00AD161D">
        <w:rPr>
          <w:rFonts w:ascii="Palatino Linotype" w:eastAsia="Palatino Linotype" w:hAnsi="Palatino Linotype" w:cs="Palatino Linotype"/>
        </w:rPr>
        <w:t xml:space="preserve"> el expediente relativo al recurso de revisión </w:t>
      </w:r>
      <w:r w:rsidRPr="00AD161D">
        <w:rPr>
          <w:rFonts w:ascii="Palatino Linotype" w:eastAsia="Palatino Linotype" w:hAnsi="Palatino Linotype" w:cs="Palatino Linotype"/>
          <w:b/>
        </w:rPr>
        <w:t>03009/INFOEM/IP/RR/2025</w:t>
      </w:r>
      <w:r w:rsidRPr="00AD161D">
        <w:rPr>
          <w:rFonts w:ascii="Palatino Linotype" w:eastAsia="Palatino Linotype" w:hAnsi="Palatino Linotype" w:cs="Palatino Linotype"/>
        </w:rPr>
        <w:t xml:space="preserve">, interpuesto por </w:t>
      </w:r>
      <w:r w:rsidRPr="00AD161D">
        <w:rPr>
          <w:rFonts w:ascii="Palatino Linotype" w:eastAsia="Palatino Linotype" w:hAnsi="Palatino Linotype" w:cs="Palatino Linotype"/>
          <w:b/>
        </w:rPr>
        <w:t>un particular que no proporcionó nombre o seudónimo para ser identificado</w:t>
      </w:r>
      <w:r w:rsidRPr="00AD161D">
        <w:rPr>
          <w:rFonts w:ascii="Palatino Linotype" w:eastAsia="Palatino Linotype" w:hAnsi="Palatino Linotype" w:cs="Palatino Linotype"/>
        </w:rPr>
        <w:t xml:space="preserve">, al cual en lo sucesivo se le denominará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en contra de la respuesta a su solicitud de información identificada con número de folio </w:t>
      </w:r>
      <w:r w:rsidRPr="00AD161D">
        <w:rPr>
          <w:rFonts w:ascii="Palatino Linotype" w:eastAsia="Palatino Linotype" w:hAnsi="Palatino Linotype" w:cs="Palatino Linotype"/>
          <w:b/>
        </w:rPr>
        <w:t xml:space="preserve">01035/TOLUCA/IP/2025, </w:t>
      </w:r>
      <w:r w:rsidRPr="00AD161D">
        <w:rPr>
          <w:rFonts w:ascii="Palatino Linotype" w:eastAsia="Palatino Linotype" w:hAnsi="Palatino Linotype" w:cs="Palatino Linotype"/>
        </w:rPr>
        <w:t xml:space="preserve">proporcionada por parte del </w:t>
      </w:r>
      <w:r w:rsidRPr="00AD161D">
        <w:rPr>
          <w:rFonts w:ascii="Palatino Linotype" w:eastAsia="Palatino Linotype" w:hAnsi="Palatino Linotype" w:cs="Palatino Linotype"/>
          <w:b/>
        </w:rPr>
        <w:t>Ayuntamiento de Toluca</w:t>
      </w:r>
      <w:r w:rsidRPr="00AD161D">
        <w:rPr>
          <w:rFonts w:ascii="Palatino Linotype" w:eastAsia="Palatino Linotype" w:hAnsi="Palatino Linotype" w:cs="Palatino Linotype"/>
        </w:rPr>
        <w:t xml:space="preserve">, en lo sucesivo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se procede a dictar la presente resolución, con base en los siguientes:</w:t>
      </w:r>
    </w:p>
    <w:p w14:paraId="23472253" w14:textId="77777777" w:rsidR="00000D31" w:rsidRPr="00AD161D" w:rsidRDefault="00A93D2E">
      <w:pPr>
        <w:spacing w:before="240" w:after="240" w:line="360" w:lineRule="auto"/>
        <w:ind w:right="49"/>
        <w:jc w:val="center"/>
        <w:rPr>
          <w:rFonts w:ascii="Palatino Linotype" w:eastAsia="Palatino Linotype" w:hAnsi="Palatino Linotype" w:cs="Palatino Linotype"/>
          <w:b/>
        </w:rPr>
      </w:pPr>
      <w:r w:rsidRPr="00AD161D">
        <w:rPr>
          <w:rFonts w:ascii="Palatino Linotype" w:eastAsia="Palatino Linotype" w:hAnsi="Palatino Linotype" w:cs="Palatino Linotype"/>
          <w:b/>
        </w:rPr>
        <w:t>I. A N T E C E D E N T E S</w:t>
      </w:r>
    </w:p>
    <w:p w14:paraId="7AFC9740" w14:textId="77777777" w:rsidR="00000D31" w:rsidRPr="00AD161D" w:rsidRDefault="00A93D2E">
      <w:pPr>
        <w:tabs>
          <w:tab w:val="left" w:pos="5071"/>
        </w:tabs>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1. Solicitud de acceso a la información.</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 xml:space="preserve">veinte de febrero de dos mil veinticinco </w:t>
      </w:r>
      <w:r w:rsidRPr="00AD161D">
        <w:rPr>
          <w:rFonts w:ascii="Palatino Linotype" w:eastAsia="Palatino Linotype" w:hAnsi="Palatino Linotype" w:cs="Palatino Linotype"/>
        </w:rPr>
        <w:t xml:space="preserve">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 xml:space="preserve">presentó la solicitud de acceso a la información pública ante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a través del Sistema de Acceso a la Información Mexiquense, en lo subsecuente el </w:t>
      </w:r>
      <w:r w:rsidRPr="00AD161D">
        <w:rPr>
          <w:rFonts w:ascii="Palatino Linotype" w:eastAsia="Palatino Linotype" w:hAnsi="Palatino Linotype" w:cs="Palatino Linotype"/>
          <w:b/>
        </w:rPr>
        <w:t>SAIMEX,</w:t>
      </w:r>
      <w:r w:rsidRPr="00AD161D">
        <w:rPr>
          <w:rFonts w:ascii="Palatino Linotype" w:eastAsia="Palatino Linotype" w:hAnsi="Palatino Linotype" w:cs="Palatino Linotype"/>
        </w:rPr>
        <w:t xml:space="preserve"> mediante la cual requirió lo siguiente:</w:t>
      </w:r>
    </w:p>
    <w:p w14:paraId="47436EEE" w14:textId="77777777" w:rsidR="00000D31" w:rsidRPr="00AD161D" w:rsidRDefault="00A93D2E">
      <w:pPr>
        <w:spacing w:before="120" w:after="120" w:line="240" w:lineRule="auto"/>
        <w:ind w:left="851" w:right="1128"/>
        <w:jc w:val="both"/>
        <w:rPr>
          <w:rFonts w:ascii="Palatino Linotype" w:eastAsia="Palatino Linotype" w:hAnsi="Palatino Linotype" w:cs="Palatino Linotype"/>
          <w:i/>
        </w:rPr>
      </w:pPr>
      <w:bookmarkStart w:id="0" w:name="_heading=h.30j0zll" w:colFirst="0" w:colLast="0"/>
      <w:bookmarkEnd w:id="0"/>
      <w:r w:rsidRPr="00AD161D">
        <w:rPr>
          <w:rFonts w:ascii="Palatino Linotype" w:eastAsia="Palatino Linotype" w:hAnsi="Palatino Linotype" w:cs="Palatino Linotype"/>
          <w:i/>
        </w:rPr>
        <w:t xml:space="preserve"> “Buenos días soy estudiante de la UAMEX me gustaría saber </w:t>
      </w:r>
      <w:proofErr w:type="spellStart"/>
      <w:r w:rsidRPr="00AD161D">
        <w:rPr>
          <w:rFonts w:ascii="Palatino Linotype" w:eastAsia="Palatino Linotype" w:hAnsi="Palatino Linotype" w:cs="Palatino Linotype"/>
          <w:i/>
        </w:rPr>
        <w:t>cuantos</w:t>
      </w:r>
      <w:proofErr w:type="spellEnd"/>
      <w:r w:rsidRPr="00AD161D">
        <w:rPr>
          <w:rFonts w:ascii="Palatino Linotype" w:eastAsia="Palatino Linotype" w:hAnsi="Palatino Linotype" w:cs="Palatino Linotype"/>
          <w:i/>
        </w:rPr>
        <w:t xml:space="preserve"> drones tienen para la seguridad pública y eventos de su ayuntamiento los permisos oficiales para la utilización de los mismo, costo de cada dron medio de </w:t>
      </w:r>
      <w:proofErr w:type="spellStart"/>
      <w:r w:rsidRPr="00AD161D">
        <w:rPr>
          <w:rFonts w:ascii="Palatino Linotype" w:eastAsia="Palatino Linotype" w:hAnsi="Palatino Linotype" w:cs="Palatino Linotype"/>
          <w:i/>
        </w:rPr>
        <w:t>adquisicion</w:t>
      </w:r>
      <w:proofErr w:type="spellEnd"/>
      <w:r w:rsidRPr="00AD161D">
        <w:rPr>
          <w:rFonts w:ascii="Palatino Linotype" w:eastAsia="Palatino Linotype" w:hAnsi="Palatino Linotype" w:cs="Palatino Linotype"/>
          <w:i/>
        </w:rPr>
        <w:t xml:space="preserve"> y fecha de adquisición en cuantos y cuales eventos se utilizaron” (sic)</w:t>
      </w:r>
    </w:p>
    <w:p w14:paraId="010383E5"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Modalidad de Entrega:</w:t>
      </w:r>
      <w:r w:rsidRPr="00AD161D">
        <w:rPr>
          <w:rFonts w:ascii="Palatino Linotype" w:eastAsia="Palatino Linotype" w:hAnsi="Palatino Linotype" w:cs="Palatino Linotype"/>
        </w:rPr>
        <w:t xml:space="preserve"> a través del</w:t>
      </w:r>
      <w:r w:rsidRPr="00AD161D">
        <w:rPr>
          <w:rFonts w:ascii="Palatino Linotype" w:eastAsia="Palatino Linotype" w:hAnsi="Palatino Linotype" w:cs="Palatino Linotype"/>
          <w:b/>
        </w:rPr>
        <w:t xml:space="preserve"> SAIMEX.</w:t>
      </w:r>
    </w:p>
    <w:p w14:paraId="7EE79D16"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2. Respuesta. </w:t>
      </w:r>
      <w:r w:rsidRPr="00AD161D">
        <w:rPr>
          <w:rFonts w:ascii="Palatino Linotype" w:eastAsia="Palatino Linotype" w:hAnsi="Palatino Linotype" w:cs="Palatino Linotype"/>
        </w:rPr>
        <w:t xml:space="preserve">El </w:t>
      </w:r>
      <w:r w:rsidRPr="00AD161D">
        <w:rPr>
          <w:rFonts w:ascii="Palatino Linotype" w:eastAsia="Palatino Linotype" w:hAnsi="Palatino Linotype" w:cs="Palatino Linotype"/>
          <w:b/>
        </w:rPr>
        <w:t>catorce de marzo de dos mil veinticinco</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6825E57" w14:textId="77777777" w:rsidR="00000D31" w:rsidRPr="00AD161D" w:rsidRDefault="00A93D2E">
      <w:pPr>
        <w:spacing w:before="240" w:after="24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lastRenderedPageBreak/>
        <w:t>“…En atención a la solicitud con folio 01035/TOLUCA/IP/2025, me permito adjuntar al presente la respuesta correspondiente...” (sic)</w:t>
      </w:r>
    </w:p>
    <w:p w14:paraId="2269ECAD"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adjuntó lo siguiente:</w:t>
      </w:r>
    </w:p>
    <w:p w14:paraId="54A95DBF"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Escrito del catorce de marzo de dos mil veinticinco, mediante el cual el titular de la Unidad de Transparencia hizo del conocimiento de la persona solicitante, el pronunciamiento emitido por los servidores públicos habilitados de la Dirección General de Administración, quien informó que la Dirección de Recursos Materiales, después de haber realizado una búsqueda en los archivos que obran en la Dirección y sus Departamentos, a la fecha de la solicitud no se localizó información relacionada con alguna adquisición de drones para seguridad pública, asimismo, indicó que la información solicitada se encuentra fuera de la competencia de la Dirección y sus Departamentos; y la Dirección General de Seguridad y Protección, quien informó que la información fue clasificada como reservada por el Comité de Transparencia, recayendo en el acuerdo CT/SE/213/01/2025, en el Acta de la DUCENTÉSIMA DÉCIMA TERCERA SESIÓN EXTRAORDINARIA, de fecha siete de marzo de dos mil veinticinco, de conformidad con los artículos 6 base A, fracción I de la Constitución Política de los Estados Unidos Mexicanos, 54 de la Ley de Seguridad Nacional, 10 de la Ley General del Sistema Nacional de Seguridad Pública, 140 fracciones I y XI de la Ley de Transparencia y Acceso a la Información Pública del Estado de México y Municipios, 27 y 81 fracciones I y II de la Ley de Seguridad del Estado de México.</w:t>
      </w:r>
    </w:p>
    <w:p w14:paraId="007E4B5F"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 Acta de la DUCENTÉSIMA DÉCIMA TERCERA SESIÓN EXTRAORDINARIA 2025 DEL COMITÉ DE TRANSPARENCIA, celebrada el siete de marzo de dos mil veinticinco, mediante la cual se clasificó como reservada la información relativa a cuántos drones se tienen para la seguridad pública y eventos de su ayuntamiento, y en </w:t>
      </w:r>
      <w:proofErr w:type="gramStart"/>
      <w:r w:rsidRPr="00AD161D">
        <w:rPr>
          <w:rFonts w:ascii="Palatino Linotype" w:eastAsia="Palatino Linotype" w:hAnsi="Palatino Linotype" w:cs="Palatino Linotype"/>
        </w:rPr>
        <w:t>cuantos</w:t>
      </w:r>
      <w:proofErr w:type="gramEnd"/>
      <w:r w:rsidRPr="00AD161D">
        <w:rPr>
          <w:rFonts w:ascii="Palatino Linotype" w:eastAsia="Palatino Linotype" w:hAnsi="Palatino Linotype" w:cs="Palatino Linotype"/>
        </w:rPr>
        <w:t xml:space="preserve"> y cuales eventos se han utilizado, por un periodo de tres años.</w:t>
      </w:r>
    </w:p>
    <w:p w14:paraId="081E2CF8"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b/>
        </w:rPr>
        <w:lastRenderedPageBreak/>
        <w:t xml:space="preserve">3. Interposición del recurso de revisión. </w:t>
      </w:r>
      <w:r w:rsidRPr="00AD161D">
        <w:rPr>
          <w:rFonts w:ascii="Palatino Linotype" w:eastAsia="Palatino Linotype" w:hAnsi="Palatino Linotype" w:cs="Palatino Linotype"/>
        </w:rPr>
        <w:t xml:space="preserve">Inconforme con los términos de la respuesta emitida por parte del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catorce de marzo de dos mil veinticinco,</w:t>
      </w:r>
      <w:r w:rsidRPr="00AD161D">
        <w:rPr>
          <w:rFonts w:ascii="Palatino Linotype" w:eastAsia="Palatino Linotype" w:hAnsi="Palatino Linotype" w:cs="Palatino Linotype"/>
        </w:rPr>
        <w:t xml:space="preserve">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interpuso el recurso de revisión a través de </w:t>
      </w:r>
      <w:r w:rsidRPr="00AD161D">
        <w:rPr>
          <w:rFonts w:ascii="Palatino Linotype" w:eastAsia="Palatino Linotype" w:hAnsi="Palatino Linotype" w:cs="Palatino Linotype"/>
          <w:b/>
        </w:rPr>
        <w:t xml:space="preserve">SAIMEX; </w:t>
      </w:r>
      <w:r w:rsidRPr="00AD161D">
        <w:rPr>
          <w:rFonts w:ascii="Palatino Linotype" w:eastAsia="Palatino Linotype" w:hAnsi="Palatino Linotype" w:cs="Palatino Linotype"/>
        </w:rPr>
        <w:t>en donde se manifestó de la siguiente manera:</w:t>
      </w:r>
    </w:p>
    <w:p w14:paraId="08AFD514" w14:textId="77777777" w:rsidR="00000D31" w:rsidRPr="00AD161D" w:rsidRDefault="00A93D2E">
      <w:pPr>
        <w:spacing w:before="240" w:after="240" w:line="360" w:lineRule="auto"/>
        <w:ind w:right="49"/>
        <w:jc w:val="both"/>
        <w:rPr>
          <w:rFonts w:ascii="Palatino Linotype" w:eastAsia="Palatino Linotype" w:hAnsi="Palatino Linotype" w:cs="Palatino Linotype"/>
          <w:b/>
        </w:rPr>
      </w:pPr>
      <w:r w:rsidRPr="00AD161D">
        <w:rPr>
          <w:rFonts w:ascii="Palatino Linotype" w:eastAsia="Palatino Linotype" w:hAnsi="Palatino Linotype" w:cs="Palatino Linotype"/>
          <w:b/>
        </w:rPr>
        <w:t xml:space="preserve">Acto impugnado: </w:t>
      </w:r>
    </w:p>
    <w:p w14:paraId="5C8E1AF8" w14:textId="77777777" w:rsidR="00000D31" w:rsidRPr="00AD161D" w:rsidRDefault="00A93D2E">
      <w:pPr>
        <w:tabs>
          <w:tab w:val="left" w:pos="2745"/>
        </w:tabs>
        <w:spacing w:before="240" w:after="240"/>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“La respuesta del Ayuntamiento” (sic)</w:t>
      </w:r>
    </w:p>
    <w:p w14:paraId="52AD9537" w14:textId="77777777" w:rsidR="00000D31" w:rsidRPr="00AD161D" w:rsidRDefault="00A93D2E">
      <w:pPr>
        <w:spacing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Y, Razones o motivos de inconformidad</w:t>
      </w:r>
      <w:r w:rsidRPr="00AD161D">
        <w:rPr>
          <w:rFonts w:ascii="Palatino Linotype" w:eastAsia="Palatino Linotype" w:hAnsi="Palatino Linotype" w:cs="Palatino Linotype"/>
        </w:rPr>
        <w:t>:</w:t>
      </w:r>
    </w:p>
    <w:p w14:paraId="68423D8A" w14:textId="77777777" w:rsidR="00000D31" w:rsidRPr="00AD161D" w:rsidRDefault="00A93D2E">
      <w:pPr>
        <w:tabs>
          <w:tab w:val="left" w:pos="2745"/>
        </w:tabs>
        <w:spacing w:before="240" w:after="240"/>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“Oculta la información informando que es reservada</w:t>
      </w:r>
      <w:r w:rsidRPr="00AD161D">
        <w:rPr>
          <w:rFonts w:ascii="Palatino Linotype" w:eastAsia="Palatino Linotype" w:hAnsi="Palatino Linotype" w:cs="Palatino Linotype"/>
          <w:b/>
          <w:i/>
        </w:rPr>
        <w:t xml:space="preserve"> </w:t>
      </w:r>
      <w:r w:rsidRPr="00AD161D">
        <w:rPr>
          <w:rFonts w:ascii="Palatino Linotype" w:eastAsia="Palatino Linotype" w:hAnsi="Palatino Linotype" w:cs="Palatino Linotype"/>
          <w:b/>
          <w:i/>
          <w:u w:val="single"/>
        </w:rPr>
        <w:t>solo se pide un número</w:t>
      </w:r>
      <w:r w:rsidRPr="00AD161D">
        <w:rPr>
          <w:rFonts w:ascii="Palatino Linotype" w:eastAsia="Palatino Linotype" w:hAnsi="Palatino Linotype" w:cs="Palatino Linotype"/>
          <w:i/>
          <w:u w:val="single"/>
        </w:rPr>
        <w:t xml:space="preserve"> </w:t>
      </w:r>
      <w:r w:rsidRPr="00AD161D">
        <w:rPr>
          <w:rFonts w:ascii="Palatino Linotype" w:eastAsia="Palatino Linotype" w:hAnsi="Palatino Linotype" w:cs="Palatino Linotype"/>
          <w:i/>
        </w:rPr>
        <w:t>no veo la afectación” (sic)</w:t>
      </w:r>
    </w:p>
    <w:p w14:paraId="503FB9D0" w14:textId="77777777" w:rsidR="00000D31" w:rsidRPr="00AD161D" w:rsidRDefault="00A93D2E">
      <w:pPr>
        <w:spacing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4. Turno. </w:t>
      </w:r>
      <w:r w:rsidRPr="00AD161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D161D">
        <w:rPr>
          <w:rFonts w:ascii="Palatino Linotype" w:eastAsia="Palatino Linotype" w:hAnsi="Palatino Linotype" w:cs="Palatino Linotype"/>
          <w:b/>
        </w:rPr>
        <w:t xml:space="preserve">Guadalupe Ramírez Peña, </w:t>
      </w:r>
      <w:r w:rsidRPr="00AD161D">
        <w:rPr>
          <w:rFonts w:ascii="Palatino Linotype" w:eastAsia="Palatino Linotype" w:hAnsi="Palatino Linotype" w:cs="Palatino Linotype"/>
        </w:rPr>
        <w:t xml:space="preserve">a efecto de que analizara sobre su admisión o su </w:t>
      </w:r>
      <w:proofErr w:type="spellStart"/>
      <w:r w:rsidRPr="00AD161D">
        <w:rPr>
          <w:rFonts w:ascii="Palatino Linotype" w:eastAsia="Palatino Linotype" w:hAnsi="Palatino Linotype" w:cs="Palatino Linotype"/>
        </w:rPr>
        <w:t>desechamiento</w:t>
      </w:r>
      <w:proofErr w:type="spellEnd"/>
      <w:r w:rsidRPr="00AD161D">
        <w:rPr>
          <w:rFonts w:ascii="Palatino Linotype" w:eastAsia="Palatino Linotype" w:hAnsi="Palatino Linotype" w:cs="Palatino Linotype"/>
        </w:rPr>
        <w:t>.</w:t>
      </w:r>
    </w:p>
    <w:p w14:paraId="37C842DF" w14:textId="77777777" w:rsidR="00000D31" w:rsidRPr="00AD161D" w:rsidRDefault="00A93D2E">
      <w:pPr>
        <w:spacing w:before="240" w:after="240" w:line="360" w:lineRule="auto"/>
        <w:jc w:val="both"/>
        <w:rPr>
          <w:rFonts w:ascii="Palatino Linotype" w:eastAsia="Palatino Linotype" w:hAnsi="Palatino Linotype" w:cs="Palatino Linotype"/>
          <w:b/>
        </w:rPr>
      </w:pPr>
      <w:r w:rsidRPr="00AD161D">
        <w:rPr>
          <w:rFonts w:ascii="Palatino Linotype" w:eastAsia="Palatino Linotype" w:hAnsi="Palatino Linotype" w:cs="Palatino Linotype"/>
          <w:b/>
        </w:rPr>
        <w:t>5. Admisión del Recurso de revisión.</w:t>
      </w:r>
      <w:r w:rsidRPr="00AD161D">
        <w:rPr>
          <w:rFonts w:ascii="Palatino Linotype" w:eastAsia="Palatino Linotype" w:hAnsi="Palatino Linotype" w:cs="Palatino Linotype"/>
        </w:rPr>
        <w:t xml:space="preserve"> El</w:t>
      </w:r>
      <w:r w:rsidRPr="00AD161D">
        <w:rPr>
          <w:rFonts w:ascii="Palatino Linotype" w:eastAsia="Palatino Linotype" w:hAnsi="Palatino Linotype" w:cs="Palatino Linotype"/>
          <w:b/>
        </w:rPr>
        <w:t xml:space="preserve"> veintiuno de marzo de dos mil veinticinco, </w:t>
      </w:r>
      <w:r w:rsidRPr="00AD161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presentara su informe justificado.</w:t>
      </w:r>
    </w:p>
    <w:p w14:paraId="18BA247B" w14:textId="77777777" w:rsidR="00000D31" w:rsidRPr="00AD161D" w:rsidRDefault="00A93D2E">
      <w:pPr>
        <w:spacing w:before="240" w:after="240" w:line="360" w:lineRule="auto"/>
        <w:jc w:val="both"/>
        <w:rPr>
          <w:rFonts w:ascii="Palatino Linotype" w:eastAsia="Palatino Linotype" w:hAnsi="Palatino Linotype" w:cs="Palatino Linotype"/>
        </w:rPr>
      </w:pPr>
      <w:bookmarkStart w:id="1" w:name="_heading=h.2s8eyo1" w:colFirst="0" w:colLast="0"/>
      <w:bookmarkEnd w:id="1"/>
      <w:r w:rsidRPr="00AD161D">
        <w:rPr>
          <w:rFonts w:ascii="Palatino Linotype" w:eastAsia="Palatino Linotype" w:hAnsi="Palatino Linotype" w:cs="Palatino Linotype"/>
          <w:b/>
        </w:rPr>
        <w:t>6. Manifestaciones</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uno de abril dos mil veinticinco</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remitió, a través de SAIMEX, su informe justificado, mediante el cual ratificó en lo sustancial la respuesta emitida en primera instancia.</w:t>
      </w:r>
    </w:p>
    <w:p w14:paraId="38163064"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Anexos:</w:t>
      </w:r>
    </w:p>
    <w:p w14:paraId="464B3E86" w14:textId="77777777" w:rsidR="00000D31" w:rsidRPr="00AD161D" w:rsidRDefault="00A93D2E">
      <w:pPr>
        <w:spacing w:before="240" w:after="24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 Oficio número 206010000/1599/2025, del treinta y uno de marzo de dos mil veinticinco, mediante el cual la </w:t>
      </w:r>
      <w:proofErr w:type="gramStart"/>
      <w:r w:rsidRPr="00AD161D">
        <w:rPr>
          <w:rFonts w:ascii="Palatino Linotype" w:eastAsia="Palatino Linotype" w:hAnsi="Palatino Linotype" w:cs="Palatino Linotype"/>
        </w:rPr>
        <w:t>Directora General</w:t>
      </w:r>
      <w:proofErr w:type="gramEnd"/>
      <w:r w:rsidRPr="00AD161D">
        <w:rPr>
          <w:rFonts w:ascii="Palatino Linotype" w:eastAsia="Palatino Linotype" w:hAnsi="Palatino Linotype" w:cs="Palatino Linotype"/>
        </w:rPr>
        <w:t xml:space="preserve"> de Administración ratificó la respuesta inicial, de conformidad con lo manifestado por la Directora de Recursos Materiales.</w:t>
      </w:r>
    </w:p>
    <w:p w14:paraId="4FAA7E7C" w14:textId="77777777" w:rsidR="00000D31" w:rsidRPr="00AD161D" w:rsidRDefault="00A93D2E">
      <w:pPr>
        <w:spacing w:before="240" w:after="24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 Oficio número 206011000/0142/2025, del veintiocho de marzo de dos mil veinticinco, mediante el cual la </w:t>
      </w:r>
      <w:proofErr w:type="gramStart"/>
      <w:r w:rsidRPr="00AD161D">
        <w:rPr>
          <w:rFonts w:ascii="Palatino Linotype" w:eastAsia="Palatino Linotype" w:hAnsi="Palatino Linotype" w:cs="Palatino Linotype"/>
        </w:rPr>
        <w:t>Directora</w:t>
      </w:r>
      <w:proofErr w:type="gramEnd"/>
      <w:r w:rsidRPr="00AD161D">
        <w:rPr>
          <w:rFonts w:ascii="Palatino Linotype" w:eastAsia="Palatino Linotype" w:hAnsi="Palatino Linotype" w:cs="Palatino Linotype"/>
        </w:rPr>
        <w:t xml:space="preserve"> de Recursos Materiales manifestó que después de una nueva búsqueda dentro de los archivos que obran en la Dirección y sus Departamentos correspondientes al periodo comprendido del 20 de febrero de 2024 al 20 de febrero de 2025, con la finalidad de verificar la existencia de nuevos requerimientos respecto a la solicitud de origen, ratifica la respuesta inicial.</w:t>
      </w:r>
    </w:p>
    <w:p w14:paraId="5AC332C9" w14:textId="77777777" w:rsidR="00000D31" w:rsidRPr="00AD161D" w:rsidRDefault="00A93D2E">
      <w:pPr>
        <w:spacing w:before="240" w:after="24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 Oficio número STCMSP/117/2025, del veintisiete de marzo de dos mil veinticinco, mediante el cual el </w:t>
      </w:r>
      <w:proofErr w:type="gramStart"/>
      <w:r w:rsidRPr="00AD161D">
        <w:rPr>
          <w:rFonts w:ascii="Palatino Linotype" w:eastAsia="Palatino Linotype" w:hAnsi="Palatino Linotype" w:cs="Palatino Linotype"/>
        </w:rPr>
        <w:t>Secretario Técnico</w:t>
      </w:r>
      <w:proofErr w:type="gramEnd"/>
      <w:r w:rsidRPr="00AD161D">
        <w:rPr>
          <w:rFonts w:ascii="Palatino Linotype" w:eastAsia="Palatino Linotype" w:hAnsi="Palatino Linotype" w:cs="Palatino Linotype"/>
        </w:rPr>
        <w:t xml:space="preserve"> del Consejo Municipal de Seguridad Pública, manifestó que no poseía o administraba información de la índole solicitada, por lo que no es posible brindar atención a la solicitud de información de la persona Recurrente.</w:t>
      </w:r>
    </w:p>
    <w:p w14:paraId="0D803DC3"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Una vez analizada la información, el veintiuno de abril de dos mil veinticinco se hizo del conocimiento de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con la finalidad de que manifestara lo que a su derecho estimara conveniente, sin embargo, fue omisa en ejercer dicha prerrogativa.</w:t>
      </w:r>
    </w:p>
    <w:p w14:paraId="0BCE152B"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7. Cierre de instrucción. </w:t>
      </w:r>
      <w:r w:rsidRPr="00AD161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AD161D">
        <w:rPr>
          <w:rFonts w:ascii="Palatino Linotype" w:eastAsia="Palatino Linotype" w:hAnsi="Palatino Linotype" w:cs="Palatino Linotype"/>
          <w:b/>
        </w:rPr>
        <w:t>veintiuno de mayo de dos mil veinticinco</w:t>
      </w:r>
      <w:r w:rsidRPr="00AD161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C0ED65A"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8</w:t>
      </w: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b/>
        </w:rPr>
        <w:t>Ampliación del término para resolver</w:t>
      </w:r>
      <w:r w:rsidRPr="00AD161D">
        <w:rPr>
          <w:rFonts w:ascii="Palatino Linotype" w:eastAsia="Palatino Linotype" w:hAnsi="Palatino Linotype" w:cs="Palatino Linotype"/>
        </w:rPr>
        <w:t xml:space="preserve">. El </w:t>
      </w:r>
      <w:r w:rsidRPr="00AD161D">
        <w:rPr>
          <w:rFonts w:ascii="Palatino Linotype" w:eastAsia="Palatino Linotype" w:hAnsi="Palatino Linotype" w:cs="Palatino Linotype"/>
          <w:b/>
        </w:rPr>
        <w:t>veintiuno de mayo de dos mil veinticinco</w:t>
      </w:r>
      <w:r w:rsidRPr="00AD161D">
        <w:rPr>
          <w:rFonts w:ascii="Palatino Linotype" w:eastAsia="Palatino Linotype" w:hAnsi="Palatino Linotype" w:cs="Palatino Linotype"/>
        </w:rPr>
        <w:t xml:space="preserve">, se amplió el término para resolver el recurso de revisión en términos del artículo 181 párrafo </w:t>
      </w:r>
      <w:r w:rsidRPr="00AD161D">
        <w:rPr>
          <w:rFonts w:ascii="Palatino Linotype" w:eastAsia="Palatino Linotype" w:hAnsi="Palatino Linotype" w:cs="Palatino Linotype"/>
        </w:rPr>
        <w:lastRenderedPageBreak/>
        <w:t>tercero de la Ley de Transparencia y Acceso a la Información Pública del Estado de México y Municipios.</w:t>
      </w:r>
    </w:p>
    <w:p w14:paraId="604242B0"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9054DD9" w14:textId="77777777" w:rsidR="00000D31" w:rsidRPr="00AD161D" w:rsidRDefault="00000D31">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0B887DF7" w14:textId="77777777" w:rsidR="00000D31" w:rsidRPr="00AD161D" w:rsidRDefault="00A93D2E">
      <w:pPr>
        <w:spacing w:after="0" w:line="360" w:lineRule="auto"/>
        <w:ind w:right="49"/>
        <w:jc w:val="center"/>
        <w:rPr>
          <w:rFonts w:ascii="Palatino Linotype" w:eastAsia="Palatino Linotype" w:hAnsi="Palatino Linotype" w:cs="Palatino Linotype"/>
          <w:b/>
        </w:rPr>
      </w:pPr>
      <w:r w:rsidRPr="00AD161D">
        <w:rPr>
          <w:rFonts w:ascii="Palatino Linotype" w:eastAsia="Palatino Linotype" w:hAnsi="Palatino Linotype" w:cs="Palatino Linotype"/>
          <w:b/>
        </w:rPr>
        <w:t>II. C O N S I D E R A N D O S</w:t>
      </w:r>
    </w:p>
    <w:p w14:paraId="0E551113"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Primero. Competencia.</w:t>
      </w:r>
      <w:r w:rsidRPr="00AD161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07CBD0C" w14:textId="77777777" w:rsidR="00000D31" w:rsidRPr="00AD161D" w:rsidRDefault="00A93D2E">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AD161D">
        <w:rPr>
          <w:rFonts w:ascii="Palatino Linotype" w:eastAsia="Palatino Linotype" w:hAnsi="Palatino Linotype" w:cs="Palatino Linotype"/>
          <w:b/>
        </w:rPr>
        <w:t>Segundo. Oportunidad y Procedibilidad del Recurso de Revisión</w:t>
      </w:r>
      <w:r w:rsidRPr="00AD161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D6992"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remitió la respuesta a la solicitud de </w:t>
      </w:r>
      <w:r w:rsidRPr="00AD161D">
        <w:rPr>
          <w:rFonts w:ascii="Palatino Linotype" w:eastAsia="Palatino Linotype" w:hAnsi="Palatino Linotype" w:cs="Palatino Linotype"/>
        </w:rPr>
        <w:lastRenderedPageBreak/>
        <w:t xml:space="preserve">información el día </w:t>
      </w:r>
      <w:r w:rsidRPr="00AD161D">
        <w:rPr>
          <w:rFonts w:ascii="Palatino Linotype" w:eastAsia="Palatino Linotype" w:hAnsi="Palatino Linotype" w:cs="Palatino Linotype"/>
          <w:b/>
        </w:rPr>
        <w:t xml:space="preserve">catorce de marzo de dos mil veinticinco, </w:t>
      </w:r>
      <w:r w:rsidRPr="00AD161D">
        <w:rPr>
          <w:rFonts w:ascii="Palatino Linotype" w:eastAsia="Palatino Linotype" w:hAnsi="Palatino Linotype" w:cs="Palatino Linotype"/>
        </w:rPr>
        <w:t xml:space="preserve">mientras que el recurso de revisión interpuesto por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se tuvo por presentado el día</w:t>
      </w:r>
      <w:r w:rsidRPr="00AD161D">
        <w:rPr>
          <w:rFonts w:ascii="Palatino Linotype" w:eastAsia="Palatino Linotype" w:hAnsi="Palatino Linotype" w:cs="Palatino Linotype"/>
          <w:b/>
        </w:rPr>
        <w:t xml:space="preserve"> catorce de marzo de dos mil veinticinco, </w:t>
      </w:r>
      <w:r w:rsidRPr="00AD161D">
        <w:rPr>
          <w:rFonts w:ascii="Palatino Linotype" w:eastAsia="Palatino Linotype" w:hAnsi="Palatino Linotype" w:cs="Palatino Linotype"/>
        </w:rPr>
        <w:t>esto es, el mismo día en el que tuvo conocimiento de la respuesta impugnada. En este sentido, se concluye que el presente recurso de revisión se encuentra dentro de los márgenes temporales previstos en las disposiciones legales referidas.</w:t>
      </w:r>
    </w:p>
    <w:p w14:paraId="0C77FBC1"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201DC60"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“RECURSO DE RECLAMACIÓN. SU INTERPOSICIÓN NO ES EXTEMPORÁNEA SI SE REALIZA ANTES DE QUE INICIE EL PLAZO PARA HACERLO</w:t>
      </w:r>
      <w:r w:rsidRPr="00AD161D">
        <w:rPr>
          <w:rFonts w:ascii="Palatino Linotype" w:eastAsia="Palatino Linotype" w:hAnsi="Palatino Linotype" w:cs="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AD161D">
        <w:rPr>
          <w:rFonts w:ascii="Palatino Linotype" w:eastAsia="Palatino Linotype" w:hAnsi="Palatino Linotype" w:cs="Palatino Linotype"/>
          <w:i/>
        </w:rPr>
        <w:t>que</w:t>
      </w:r>
      <w:proofErr w:type="gramEnd"/>
      <w:r w:rsidRPr="00AD161D">
        <w:rPr>
          <w:rFonts w:ascii="Palatino Linotype" w:eastAsia="Palatino Linotype" w:hAnsi="Palatino Linotype" w:cs="Palatino Linotype"/>
          <w:i/>
        </w:rPr>
        <w:t xml:space="preserve"> si dicho recurso se interpone antes de que inicie el plazo para hacerlo, su presentación no es extemporánea.”</w:t>
      </w:r>
    </w:p>
    <w:p w14:paraId="4C7030BB"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Además, por cuanto hace a la procedibilidad del recurso de revisión, es de suma importancia señalar que la parte</w:t>
      </w:r>
      <w:r w:rsidRPr="00AD161D">
        <w:rPr>
          <w:rFonts w:ascii="Palatino Linotype" w:eastAsia="Palatino Linotype" w:hAnsi="Palatino Linotype" w:cs="Palatino Linotype"/>
          <w:b/>
        </w:rPr>
        <w:t xml:space="preserve"> Recurrente</w:t>
      </w:r>
      <w:r w:rsidRPr="00AD161D">
        <w:rPr>
          <w:rFonts w:ascii="Palatino Linotype" w:eastAsia="Palatino Linotype" w:hAnsi="Palatino Linotype" w:cs="Palatino Linotype"/>
        </w:rPr>
        <w:t xml:space="preserve">, no señaló un </w:t>
      </w:r>
      <w:r w:rsidRPr="00AD161D">
        <w:rPr>
          <w:rFonts w:ascii="Palatino Linotype" w:eastAsia="Palatino Linotype" w:hAnsi="Palatino Linotype" w:cs="Palatino Linotype"/>
          <w:b/>
        </w:rPr>
        <w:t>nombre</w:t>
      </w:r>
      <w:r w:rsidRPr="00AD161D">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w:t>
      </w:r>
      <w:r w:rsidRPr="00AD161D">
        <w:rPr>
          <w:rFonts w:ascii="Palatino Linotype" w:eastAsia="Palatino Linotype" w:hAnsi="Palatino Linotype" w:cs="Palatino Linotype"/>
        </w:rPr>
        <w:lastRenderedPageBreak/>
        <w:t>Ley de Transparencia y Acceso a la Información Pública del Estado de México y Municipios que establece lo siguiente:</w:t>
      </w:r>
    </w:p>
    <w:p w14:paraId="070A5878"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Las solicitudes anónimas</w:t>
      </w:r>
      <w:r w:rsidRPr="00AD161D">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2F0A19A" w14:textId="77777777" w:rsidR="00000D31" w:rsidRPr="00AD161D" w:rsidRDefault="00A93D2E">
      <w:pPr>
        <w:spacing w:before="240" w:after="240" w:line="360" w:lineRule="auto"/>
        <w:jc w:val="both"/>
        <w:rPr>
          <w:rFonts w:ascii="Palatino Linotype" w:eastAsia="Palatino Linotype" w:hAnsi="Palatino Linotype" w:cs="Palatino Linotype"/>
          <w:b/>
        </w:rPr>
      </w:pPr>
      <w:r w:rsidRPr="00AD161D">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AD161D">
        <w:rPr>
          <w:rFonts w:ascii="Palatino Linotype" w:eastAsia="Palatino Linotype" w:hAnsi="Palatino Linotype" w:cs="Palatino Linotype"/>
          <w:b/>
        </w:rPr>
        <w:t xml:space="preserve"> SAIMEX.</w:t>
      </w:r>
    </w:p>
    <w:p w14:paraId="547458A7" w14:textId="77777777" w:rsidR="00000D31" w:rsidRPr="00AD161D" w:rsidRDefault="00A93D2E">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AD161D">
        <w:rPr>
          <w:rFonts w:ascii="Palatino Linotype" w:eastAsia="Palatino Linotype" w:hAnsi="Palatino Linotype" w:cs="Palatino Linotype"/>
        </w:rPr>
        <w:t xml:space="preserve">Finalmente, se advierte que resulta procedente la interposición del recurso, según lo manifestado por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en sus motivos de inconformidad, de acuerdo al artículo 179, fracción II del ordenamiento legal citado, que a la letra dice: </w:t>
      </w:r>
    </w:p>
    <w:p w14:paraId="0E79D1FE" w14:textId="77777777" w:rsidR="00000D31" w:rsidRPr="00AD161D" w:rsidRDefault="00A93D2E">
      <w:pPr>
        <w:tabs>
          <w:tab w:val="left" w:pos="7938"/>
        </w:tabs>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Artículo 179.</w:t>
      </w:r>
      <w:r w:rsidRPr="00AD161D">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279B026" w14:textId="77777777" w:rsidR="00000D31" w:rsidRPr="00AD161D" w:rsidRDefault="00A93D2E">
      <w:pPr>
        <w:tabs>
          <w:tab w:val="left" w:pos="7938"/>
        </w:tabs>
        <w:spacing w:before="120" w:after="120"/>
        <w:ind w:left="1134" w:right="900"/>
        <w:jc w:val="both"/>
        <w:rPr>
          <w:rFonts w:ascii="Palatino Linotype" w:eastAsia="Palatino Linotype" w:hAnsi="Palatino Linotype" w:cs="Palatino Linotype"/>
          <w:i/>
        </w:rPr>
      </w:pPr>
      <w:r w:rsidRPr="00AD161D">
        <w:rPr>
          <w:rFonts w:ascii="Palatino Linotype" w:eastAsia="Palatino Linotype" w:hAnsi="Palatino Linotype" w:cs="Palatino Linotype"/>
          <w:b/>
          <w:i/>
        </w:rPr>
        <w:t>...</w:t>
      </w:r>
    </w:p>
    <w:p w14:paraId="41678875" w14:textId="77777777" w:rsidR="00000D31" w:rsidRPr="00AD161D" w:rsidRDefault="00A93D2E">
      <w:pPr>
        <w:tabs>
          <w:tab w:val="left" w:pos="7938"/>
        </w:tabs>
        <w:spacing w:before="120" w:after="120"/>
        <w:ind w:left="1134" w:right="900"/>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La clasificación de la información;”</w:t>
      </w:r>
    </w:p>
    <w:p w14:paraId="3BEAC4A6" w14:textId="77777777" w:rsidR="00000D31" w:rsidRPr="00AD161D" w:rsidRDefault="00A93D2E">
      <w:pPr>
        <w:spacing w:before="240" w:after="240" w:line="360" w:lineRule="auto"/>
        <w:jc w:val="both"/>
        <w:rPr>
          <w:rFonts w:ascii="Palatino Linotype" w:eastAsia="Palatino Linotype" w:hAnsi="Palatino Linotype" w:cs="Palatino Linotype"/>
          <w:b/>
        </w:rPr>
      </w:pPr>
      <w:r w:rsidRPr="00AD161D">
        <w:rPr>
          <w:rFonts w:ascii="Palatino Linotype" w:eastAsia="Palatino Linotype" w:hAnsi="Palatino Linotype" w:cs="Palatino Linotype"/>
          <w:b/>
        </w:rPr>
        <w:t xml:space="preserve">Tercero. Materia de la revisión. </w:t>
      </w:r>
      <w:r w:rsidRPr="00AD161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D161D">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AD161D">
        <w:rPr>
          <w:rFonts w:ascii="Palatino Linotype" w:eastAsia="Palatino Linotype" w:hAnsi="Palatino Linotype" w:cs="Palatino Linotype"/>
        </w:rPr>
        <w:t xml:space="preserve">de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o en su defecto, en caso de ser procedente, ordenar la entrega de información.</w:t>
      </w:r>
    </w:p>
    <w:p w14:paraId="3886ED78" w14:textId="77777777" w:rsidR="00000D31" w:rsidRPr="00AD161D" w:rsidRDefault="00A93D2E">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AD161D">
        <w:rPr>
          <w:rFonts w:ascii="Palatino Linotype" w:eastAsia="Palatino Linotype" w:hAnsi="Palatino Linotype" w:cs="Palatino Linotype"/>
          <w:b/>
        </w:rPr>
        <w:lastRenderedPageBreak/>
        <w:t xml:space="preserve">Cuarto. Estudio del asunto. </w:t>
      </w:r>
      <w:r w:rsidRPr="00AD161D">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50F447"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Artículo 4</w:t>
      </w:r>
      <w:r w:rsidRPr="00AD161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B81FE8"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D161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ACF880"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D161D">
        <w:rPr>
          <w:rFonts w:ascii="Palatino Linotype" w:eastAsia="Palatino Linotype" w:hAnsi="Palatino Linotype" w:cs="Palatino Linotype"/>
          <w:i/>
        </w:rPr>
        <w:t>.”</w:t>
      </w:r>
    </w:p>
    <w:p w14:paraId="23C60B96"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w:t>
      </w:r>
      <w:r w:rsidRPr="00AD161D">
        <w:rPr>
          <w:rFonts w:ascii="Palatino Linotype" w:eastAsia="Palatino Linotype" w:hAnsi="Palatino Linotype" w:cs="Palatino Linotype"/>
        </w:rPr>
        <w:lastRenderedPageBreak/>
        <w:t>lo establece el artículo 12 de la Ley de Transparencia y Acceso a la Información Pública del Estado de México y Municipios, que a la letra dice:</w:t>
      </w:r>
    </w:p>
    <w:p w14:paraId="7FB73F19"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12.-</w:t>
      </w:r>
      <w:r w:rsidRPr="00AD161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3FC9878"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7C720D21" w14:textId="77777777" w:rsidR="00000D31" w:rsidRPr="00AD161D" w:rsidRDefault="00A93D2E">
      <w:pPr>
        <w:spacing w:before="240" w:after="240" w:line="360" w:lineRule="auto"/>
        <w:ind w:right="-93"/>
        <w:jc w:val="both"/>
        <w:rPr>
          <w:rFonts w:ascii="Palatino Linotype" w:eastAsia="Palatino Linotype" w:hAnsi="Palatino Linotype" w:cs="Palatino Linotype"/>
        </w:rPr>
      </w:pPr>
      <w:r w:rsidRPr="00AD161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E6EAD84" w14:textId="77777777" w:rsidR="00000D31" w:rsidRPr="00AD161D" w:rsidRDefault="00A93D2E">
      <w:pPr>
        <w:spacing w:before="240" w:after="240" w:line="360" w:lineRule="auto"/>
        <w:jc w:val="both"/>
        <w:rPr>
          <w:rFonts w:ascii="Palatino Linotype" w:eastAsia="Palatino Linotype" w:hAnsi="Palatino Linotype" w:cs="Palatino Linotype"/>
          <w:b/>
        </w:rPr>
      </w:pPr>
      <w:r w:rsidRPr="00AD161D">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AD161D">
        <w:rPr>
          <w:rFonts w:ascii="Palatino Linotype" w:eastAsia="Palatino Linotype" w:hAnsi="Palatino Linotype" w:cs="Palatino Linotype"/>
        </w:rPr>
        <w:t>que</w:t>
      </w:r>
      <w:proofErr w:type="gramEnd"/>
      <w:r w:rsidRPr="00AD161D">
        <w:rPr>
          <w:rFonts w:ascii="Palatino Linotype" w:eastAsia="Palatino Linotype" w:hAnsi="Palatino Linotype" w:cs="Palatino Linotype"/>
        </w:rPr>
        <w:t xml:space="preserve"> por rubro y texto, dispone lo siguiente:</w:t>
      </w:r>
      <w:r w:rsidRPr="00AD161D">
        <w:rPr>
          <w:rFonts w:ascii="Palatino Linotype" w:eastAsia="Palatino Linotype" w:hAnsi="Palatino Linotype" w:cs="Palatino Linotype"/>
          <w:b/>
        </w:rPr>
        <w:t xml:space="preserve"> </w:t>
      </w:r>
    </w:p>
    <w:p w14:paraId="3703649D"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No existe obligación de elaborar documentos ad hoc para atender las solicitudes de acceso a la información.</w:t>
      </w:r>
      <w:r w:rsidRPr="00AD161D">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w:t>
      </w:r>
      <w:r w:rsidRPr="00AD161D">
        <w:rPr>
          <w:rFonts w:ascii="Palatino Linotype" w:eastAsia="Palatino Linotype" w:hAnsi="Palatino Linotype" w:cs="Palatino Linotype"/>
          <w:i/>
        </w:rPr>
        <w:lastRenderedPageBreak/>
        <w:t xml:space="preserve">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837B5B3" w14:textId="77777777" w:rsidR="00000D31" w:rsidRPr="00AD161D" w:rsidRDefault="00A93D2E">
      <w:pPr>
        <w:spacing w:before="120" w:after="12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4265A0" w14:textId="77777777" w:rsidR="00000D31" w:rsidRPr="00AD161D" w:rsidRDefault="00A93D2E">
      <w:pPr>
        <w:spacing w:before="120" w:after="12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A417D8D"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 xml:space="preserve">Artículo 3. </w:t>
      </w:r>
      <w:r w:rsidRPr="00AD161D">
        <w:rPr>
          <w:rFonts w:ascii="Palatino Linotype" w:eastAsia="Palatino Linotype" w:hAnsi="Palatino Linotype" w:cs="Palatino Linotype"/>
          <w:i/>
        </w:rPr>
        <w:t>Para los efectos de la presente Ley se entenderá por:</w:t>
      </w:r>
    </w:p>
    <w:p w14:paraId="0D7A3635"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247E5AA2"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XI. Documento:</w:t>
      </w:r>
      <w:r w:rsidRPr="00AD161D">
        <w:rPr>
          <w:rFonts w:ascii="Palatino Linotype" w:eastAsia="Palatino Linotype" w:hAnsi="Palatino Linotype" w:cs="Palatino Linotype"/>
          <w:i/>
        </w:rPr>
        <w:t xml:space="preserve"> Los expedientes, reportes, estudios, actas</w:t>
      </w:r>
      <w:r w:rsidRPr="00AD161D">
        <w:rPr>
          <w:rFonts w:ascii="Palatino Linotype" w:eastAsia="Palatino Linotype" w:hAnsi="Palatino Linotype" w:cs="Palatino Linotype"/>
          <w:b/>
          <w:i/>
        </w:rPr>
        <w:t>,</w:t>
      </w:r>
      <w:r w:rsidRPr="00AD161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E67C85A"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E7DF3D3"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rPr>
        <w:t>“</w:t>
      </w:r>
      <w:r w:rsidRPr="00AD161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D161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FF91F0"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En </w:t>
      </w:r>
      <w:proofErr w:type="gramStart"/>
      <w:r w:rsidRPr="00AD161D">
        <w:rPr>
          <w:rFonts w:ascii="Palatino Linotype" w:eastAsia="Palatino Linotype" w:hAnsi="Palatino Linotype" w:cs="Palatino Linotype"/>
          <w:i/>
        </w:rPr>
        <w:t>consecuencia</w:t>
      </w:r>
      <w:proofErr w:type="gramEnd"/>
      <w:r w:rsidRPr="00AD161D">
        <w:rPr>
          <w:rFonts w:ascii="Palatino Linotype" w:eastAsia="Palatino Linotype" w:hAnsi="Palatino Linotype" w:cs="Palatino Linotype"/>
          <w:i/>
        </w:rPr>
        <w:t xml:space="preserve"> el acceso a la información se refiere a que se cumplan cualquiera de los siguientes tres supuestos:</w:t>
      </w:r>
    </w:p>
    <w:p w14:paraId="378E6514"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1) Que se trate de información registrada en cualquier soporte documental, </w:t>
      </w:r>
      <w:proofErr w:type="gramStart"/>
      <w:r w:rsidRPr="00AD161D">
        <w:rPr>
          <w:rFonts w:ascii="Palatino Linotype" w:eastAsia="Palatino Linotype" w:hAnsi="Palatino Linotype" w:cs="Palatino Linotype"/>
          <w:i/>
        </w:rPr>
        <w:t>que</w:t>
      </w:r>
      <w:proofErr w:type="gramEnd"/>
      <w:r w:rsidRPr="00AD161D">
        <w:rPr>
          <w:rFonts w:ascii="Palatino Linotype" w:eastAsia="Palatino Linotype" w:hAnsi="Palatino Linotype" w:cs="Palatino Linotype"/>
          <w:i/>
        </w:rPr>
        <w:t xml:space="preserve"> en ejercicio de las atribuciones conferidas, sea generada por los Sujetos Obligados;</w:t>
      </w:r>
    </w:p>
    <w:p w14:paraId="6CC86F47"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2) Que se trate de información registrada en cualquier soporte documental, </w:t>
      </w:r>
      <w:proofErr w:type="gramStart"/>
      <w:r w:rsidRPr="00AD161D">
        <w:rPr>
          <w:rFonts w:ascii="Palatino Linotype" w:eastAsia="Palatino Linotype" w:hAnsi="Palatino Linotype" w:cs="Palatino Linotype"/>
          <w:i/>
        </w:rPr>
        <w:t>que</w:t>
      </w:r>
      <w:proofErr w:type="gramEnd"/>
      <w:r w:rsidRPr="00AD161D">
        <w:rPr>
          <w:rFonts w:ascii="Palatino Linotype" w:eastAsia="Palatino Linotype" w:hAnsi="Palatino Linotype" w:cs="Palatino Linotype"/>
          <w:i/>
        </w:rPr>
        <w:t xml:space="preserve"> en ejercicio de las atribuciones conferidas, sea administrada por los Sujetos Obligados, y</w:t>
      </w:r>
    </w:p>
    <w:p w14:paraId="6061EDC7" w14:textId="77777777" w:rsidR="00000D31" w:rsidRPr="00AD161D" w:rsidRDefault="00A93D2E">
      <w:pPr>
        <w:spacing w:before="120" w:after="120"/>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3) Que se trate de información registrada en cualquier soporte documental, </w:t>
      </w:r>
      <w:proofErr w:type="gramStart"/>
      <w:r w:rsidRPr="00AD161D">
        <w:rPr>
          <w:rFonts w:ascii="Palatino Linotype" w:eastAsia="Palatino Linotype" w:hAnsi="Palatino Linotype" w:cs="Palatino Linotype"/>
          <w:i/>
        </w:rPr>
        <w:t>que</w:t>
      </w:r>
      <w:proofErr w:type="gramEnd"/>
      <w:r w:rsidRPr="00AD161D">
        <w:rPr>
          <w:rFonts w:ascii="Palatino Linotype" w:eastAsia="Palatino Linotype" w:hAnsi="Palatino Linotype" w:cs="Palatino Linotype"/>
          <w:i/>
        </w:rPr>
        <w:t xml:space="preserve"> en ejercicio de las atribuciones conferidas, se encuentre en posesión de los Sujetos Obligados.”</w:t>
      </w:r>
    </w:p>
    <w:p w14:paraId="27EBD638"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w:t>
      </w:r>
      <w:r w:rsidRPr="00AD161D">
        <w:rPr>
          <w:rFonts w:ascii="Palatino Linotype" w:eastAsia="Palatino Linotype" w:hAnsi="Palatino Linotype" w:cs="Palatino Linotype"/>
        </w:rPr>
        <w:lastRenderedPageBreak/>
        <w:t>pública que emita el servidor público habilitado de cada Sujeto Obligado; como así se establece en la Ley de Transparencia y Acceso a la Información Pública del Estado de México y Municipios.</w:t>
      </w:r>
    </w:p>
    <w:p w14:paraId="1D85DD8A"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390BDA4"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requirió al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le proporcione, información consistente en lo siguiente:</w:t>
      </w:r>
    </w:p>
    <w:p w14:paraId="52C8137E" w14:textId="77777777" w:rsidR="00000D31" w:rsidRPr="00AD161D" w:rsidRDefault="00A93D2E">
      <w:pPr>
        <w:numPr>
          <w:ilvl w:val="0"/>
          <w:numId w:val="1"/>
        </w:numPr>
        <w:pBdr>
          <w:top w:val="nil"/>
          <w:left w:val="nil"/>
          <w:bottom w:val="nil"/>
          <w:right w:val="nil"/>
          <w:between w:val="nil"/>
        </w:pBdr>
        <w:spacing w:before="240" w:after="0" w:line="360" w:lineRule="auto"/>
        <w:ind w:left="567" w:right="51"/>
        <w:jc w:val="both"/>
        <w:rPr>
          <w:rFonts w:ascii="Palatino Linotype" w:eastAsia="Palatino Linotype" w:hAnsi="Palatino Linotype" w:cs="Palatino Linotype"/>
        </w:rPr>
      </w:pPr>
      <w:r w:rsidRPr="00AD161D">
        <w:rPr>
          <w:rFonts w:ascii="Palatino Linotype" w:eastAsia="Palatino Linotype" w:hAnsi="Palatino Linotype" w:cs="Palatino Linotype"/>
        </w:rPr>
        <w:t>Cuántos drones se tienen para la seguridad pública y eventos del ayuntamiento.</w:t>
      </w:r>
    </w:p>
    <w:p w14:paraId="60A0BD96" w14:textId="77777777" w:rsidR="00000D31" w:rsidRPr="00AD161D" w:rsidRDefault="00A93D2E">
      <w:pPr>
        <w:numPr>
          <w:ilvl w:val="0"/>
          <w:numId w:val="1"/>
        </w:numPr>
        <w:pBdr>
          <w:top w:val="nil"/>
          <w:left w:val="nil"/>
          <w:bottom w:val="nil"/>
          <w:right w:val="nil"/>
          <w:between w:val="nil"/>
        </w:pBdr>
        <w:spacing w:after="0" w:line="360" w:lineRule="auto"/>
        <w:ind w:left="567" w:right="51"/>
        <w:jc w:val="both"/>
        <w:rPr>
          <w:rFonts w:ascii="Palatino Linotype" w:eastAsia="Palatino Linotype" w:hAnsi="Palatino Linotype" w:cs="Palatino Linotype"/>
        </w:rPr>
      </w:pPr>
      <w:r w:rsidRPr="00AD161D">
        <w:rPr>
          <w:rFonts w:ascii="Palatino Linotype" w:eastAsia="Palatino Linotype" w:hAnsi="Palatino Linotype" w:cs="Palatino Linotype"/>
        </w:rPr>
        <w:t>Permisos oficiales para la utilización de los drones.</w:t>
      </w:r>
    </w:p>
    <w:p w14:paraId="11960427" w14:textId="77777777" w:rsidR="00000D31" w:rsidRPr="00AD161D" w:rsidRDefault="00A93D2E">
      <w:pPr>
        <w:numPr>
          <w:ilvl w:val="0"/>
          <w:numId w:val="1"/>
        </w:numPr>
        <w:pBdr>
          <w:top w:val="nil"/>
          <w:left w:val="nil"/>
          <w:bottom w:val="nil"/>
          <w:right w:val="nil"/>
          <w:between w:val="nil"/>
        </w:pBdr>
        <w:spacing w:after="0" w:line="360" w:lineRule="auto"/>
        <w:ind w:left="567" w:right="51"/>
        <w:jc w:val="both"/>
        <w:rPr>
          <w:rFonts w:ascii="Palatino Linotype" w:eastAsia="Palatino Linotype" w:hAnsi="Palatino Linotype" w:cs="Palatino Linotype"/>
        </w:rPr>
      </w:pPr>
      <w:r w:rsidRPr="00AD161D">
        <w:rPr>
          <w:rFonts w:ascii="Palatino Linotype" w:eastAsia="Palatino Linotype" w:hAnsi="Palatino Linotype" w:cs="Palatino Linotype"/>
        </w:rPr>
        <w:t>Costo de cada dron, medio de adquisición y fecha de adquisición.</w:t>
      </w:r>
    </w:p>
    <w:p w14:paraId="432A0BC8" w14:textId="77777777" w:rsidR="00000D31" w:rsidRPr="00AD161D" w:rsidRDefault="00A93D2E">
      <w:pPr>
        <w:numPr>
          <w:ilvl w:val="0"/>
          <w:numId w:val="1"/>
        </w:numPr>
        <w:pBdr>
          <w:top w:val="nil"/>
          <w:left w:val="nil"/>
          <w:bottom w:val="nil"/>
          <w:right w:val="nil"/>
          <w:between w:val="nil"/>
        </w:pBdr>
        <w:spacing w:after="240" w:line="360" w:lineRule="auto"/>
        <w:ind w:left="567" w:right="51"/>
        <w:jc w:val="both"/>
        <w:rPr>
          <w:rFonts w:ascii="Palatino Linotype" w:eastAsia="Palatino Linotype" w:hAnsi="Palatino Linotype" w:cs="Palatino Linotype"/>
        </w:rPr>
      </w:pPr>
      <w:r w:rsidRPr="00AD161D">
        <w:rPr>
          <w:rFonts w:ascii="Palatino Linotype" w:eastAsia="Palatino Linotype" w:hAnsi="Palatino Linotype" w:cs="Palatino Linotype"/>
        </w:rPr>
        <w:t>En cuantos y cuales eventos se utilizaron los drones.</w:t>
      </w:r>
    </w:p>
    <w:p w14:paraId="3F12D9AA" w14:textId="77777777" w:rsidR="00000D31" w:rsidRPr="00AD161D" w:rsidRDefault="00A93D2E">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respuesta,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por conducto de la Unidad de Transparencia, hizo del conocimiento de la persona solicitante, el pronunciamiento emitido por la Dirección General de Administración y la Dirección General de Seguridad y Protección Ciudadana, en los siguientes términos:</w:t>
      </w:r>
    </w:p>
    <w:p w14:paraId="513518B6" w14:textId="77777777" w:rsidR="00000D31" w:rsidRPr="00AD161D" w:rsidRDefault="00A93D2E">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 xml:space="preserve">- </w:t>
      </w:r>
      <w:r w:rsidRPr="00AD161D">
        <w:rPr>
          <w:rFonts w:ascii="Palatino Linotype" w:eastAsia="Palatino Linotype" w:hAnsi="Palatino Linotype" w:cs="Palatino Linotype"/>
          <w:b/>
        </w:rPr>
        <w:t>Dirección General de Administración</w:t>
      </w:r>
      <w:r w:rsidRPr="00AD161D">
        <w:rPr>
          <w:rFonts w:ascii="Palatino Linotype" w:eastAsia="Palatino Linotype" w:hAnsi="Palatino Linotype" w:cs="Palatino Linotype"/>
        </w:rPr>
        <w:t>: informó que la Dirección de Recursos Materiales, después de haber realizado una búsqueda en los archivos que obran en la Dirección y sus Departamentos, a la fecha de la solicitud no localizó información relacionada con alguna adquisición de drones para seguridad pública, asimismo, indicó que la información solicitada se encuentra fuera de la competencia de la Dirección y sus Departamentos.</w:t>
      </w:r>
    </w:p>
    <w:p w14:paraId="7D01E2AB" w14:textId="77777777" w:rsidR="00000D31" w:rsidRPr="00AD161D" w:rsidRDefault="00A93D2E">
      <w:pPr>
        <w:pBdr>
          <w:top w:val="nil"/>
          <w:left w:val="nil"/>
          <w:bottom w:val="nil"/>
          <w:right w:val="nil"/>
          <w:between w:val="nil"/>
        </w:pBdr>
        <w:tabs>
          <w:tab w:val="left" w:pos="993"/>
        </w:tabs>
        <w:spacing w:before="240" w:after="240" w:line="360" w:lineRule="auto"/>
        <w:ind w:left="284"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b/>
        </w:rPr>
        <w:t>Dirección General de Seguridad y Protección</w:t>
      </w:r>
      <w:r w:rsidRPr="00AD161D">
        <w:rPr>
          <w:rFonts w:ascii="Palatino Linotype" w:eastAsia="Palatino Linotype" w:hAnsi="Palatino Linotype" w:cs="Palatino Linotype"/>
        </w:rPr>
        <w:t>: la información fue clasificada como reservada por el Comité de Transparencia, recayendo en el acuerdo CT/SE/213/01/2025, en el Acta de la DUCENTÉSIMA DÉCIMA TERCERA SESIÓN EXTRAORDINARIA celebrada el siete de marzo de dos mil veinticinco, de conformidad con los artículos 6 base A, fracción I de la Constitución Política de los Estados Unidos Mexicanos, 54 de la Ley de Seguridad Nacional, 10 de la Ley General del Sistema Nacional de Seguridad Pública, 140 fracciones I y XI de la Ley de Transparencia y Acceso a la Información Pública del Estado de México y Municipios, 27 y 81 fracciones I y II de la Ley de Seguridad del Estado de México; acta se adjuntó a la respuesta, en donde se advierte que se clasificó como reservada la información relativa a cuántos drones se tienen para la seguridad pública y eventos de su ayuntamiento, y en cuantos y cuales eventos se han utilizado, por un periodo de tres años.</w:t>
      </w:r>
    </w:p>
    <w:p w14:paraId="4C61B12F" w14:textId="77777777" w:rsidR="00000D31" w:rsidRPr="00AD161D" w:rsidRDefault="00A93D2E">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Al no estar conforme con los términos de la respuesta proporcionada por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la persona solicitante interpuso el recurso de revisión que se resuelve, mediante el cual alegó, en lo medular, que le fue ocultada la información al haberse reservado, sin embargo, puntualizó que solo se pedía un número, por lo que no advertía la afectación. </w:t>
      </w:r>
    </w:p>
    <w:p w14:paraId="5AD723AD"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Es de señalar que de la lectura del motivo de inconformidad de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 xml:space="preserve">se advierte que esta únicamente manifestó agravios por lo que se refiere a la clasificación de la información estadística consistente en el número de drones con los que cuenta el ayuntamiento para seguridad pública y eventos, y el número de eventos en los que se </w:t>
      </w:r>
      <w:r w:rsidRPr="00AD161D">
        <w:rPr>
          <w:rFonts w:ascii="Palatino Linotype" w:eastAsia="Palatino Linotype" w:hAnsi="Palatino Linotype" w:cs="Palatino Linotype"/>
        </w:rPr>
        <w:lastRenderedPageBreak/>
        <w:t xml:space="preserve">utilizaron, dado que </w:t>
      </w:r>
      <w:r w:rsidRPr="00AD161D">
        <w:rPr>
          <w:rFonts w:ascii="Palatino Linotype" w:eastAsia="Palatino Linotype" w:hAnsi="Palatino Linotype" w:cs="Palatino Linotype"/>
          <w:b/>
        </w:rPr>
        <w:t>refiere que solo se solicita un número</w:t>
      </w:r>
      <w:r w:rsidRPr="00AD161D">
        <w:rPr>
          <w:rFonts w:ascii="Palatino Linotype" w:eastAsia="Palatino Linotype" w:hAnsi="Palatino Linotype" w:cs="Palatino Linotype"/>
        </w:rPr>
        <w:t>, sin que dicho dato cause una afectación, por tanto, debe declararse consentida la parte de la respuesta relativa a la información consistente en los permisos oficiales para la utilización de los drones, el costo de cada dron, el medio de adquisición, la fecha de adquisición y los eventos en los cuales se utilizaron, pues al no haber realizado manifestaciones de inconformidad al respecto, no pueden producirse efectos jurídicos tendentes a revocar, confirmar o modificar el acto, y por consiguiente, no es procedente el análisis de fondo en la resolución.</w:t>
      </w:r>
    </w:p>
    <w:p w14:paraId="0A808841" w14:textId="77777777" w:rsidR="00000D31" w:rsidRPr="00AD161D" w:rsidRDefault="00A93D2E">
      <w:pPr>
        <w:spacing w:before="240" w:after="36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Lo anterior es así, debido a que cuando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impugna la respuesta del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7FF7E85F"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Sirve de apoyo a lo anterior, lo plasmado en el criterio de interpretación con clave de control SO/001/2020, emitido por el entonces Instituto Nacional de Transparencia, Acceso a la Información, y Protección de Datos Personales, INAI, que lleva por rubro y texto, lo siguiente: </w:t>
      </w:r>
    </w:p>
    <w:p w14:paraId="649A7EA5" w14:textId="77777777" w:rsidR="00000D31" w:rsidRPr="00AD161D" w:rsidRDefault="00A93D2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 xml:space="preserve">Actos consentidos tácitamente. Improcedencia de su análisis. </w:t>
      </w:r>
      <w:r w:rsidRPr="00AD161D">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5F95CC8"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A691A28"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smallCaps/>
        </w:rPr>
        <w:t xml:space="preserve">“ACTOS CONSENTIDOS. SON LOS QUE NO SE IMPUGNAN MEDIANTE EL RECURSO IDÓNEO. </w:t>
      </w:r>
      <w:r w:rsidRPr="00AD161D">
        <w:rPr>
          <w:rFonts w:ascii="Palatino Linotype" w:eastAsia="Palatino Linotype" w:hAnsi="Palatino Linotype" w:cs="Palatino Linotype"/>
          <w:i/>
        </w:rPr>
        <w:t xml:space="preserve">Debe reputarse como consentido el acto que no se impugnó por el medio establecido por la ley, </w:t>
      </w:r>
      <w:proofErr w:type="gramStart"/>
      <w:r w:rsidRPr="00AD161D">
        <w:rPr>
          <w:rFonts w:ascii="Palatino Linotype" w:eastAsia="Palatino Linotype" w:hAnsi="Palatino Linotype" w:cs="Palatino Linotype"/>
          <w:i/>
        </w:rPr>
        <w:t>ya que</w:t>
      </w:r>
      <w:proofErr w:type="gramEnd"/>
      <w:r w:rsidRPr="00AD161D">
        <w:rPr>
          <w:rFonts w:ascii="Palatino Linotype" w:eastAsia="Palatino Linotype" w:hAnsi="Palatino Linotype" w:cs="Palatino Linotype"/>
          <w:i/>
        </w:rPr>
        <w:t xml:space="preserve"> si se hizo uso de otro no previsto por ella o si se hace una simple manifestación de inconformidad, tales </w:t>
      </w:r>
      <w:r w:rsidRPr="00AD161D">
        <w:rPr>
          <w:rFonts w:ascii="Palatino Linotype" w:eastAsia="Palatino Linotype" w:hAnsi="Palatino Linotype" w:cs="Palatino Linotype"/>
          <w:i/>
        </w:rPr>
        <w:lastRenderedPageBreak/>
        <w:t>actuaciones no producen efectos jurídicos tendientes a revocar, confirmar o modificar el acto reclamado en amparo, lo que significa consentimiento del mismo por falta de impugnación eficaz.”</w:t>
      </w:r>
    </w:p>
    <w:p w14:paraId="4D1D3E88"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consecuencia, se insiste, ante la falta de impugnación eficaz, la parte de la respuesta que no fue combatida, debe declararse consentida por la persona solicitante, </w:t>
      </w:r>
      <w:proofErr w:type="gramStart"/>
      <w:r w:rsidRPr="00AD161D">
        <w:rPr>
          <w:rFonts w:ascii="Palatino Linotype" w:eastAsia="Palatino Linotype" w:hAnsi="Palatino Linotype" w:cs="Palatino Linotype"/>
        </w:rPr>
        <w:t>y</w:t>
      </w:r>
      <w:proofErr w:type="gramEnd"/>
      <w:r w:rsidRPr="00AD161D">
        <w:rPr>
          <w:rFonts w:ascii="Palatino Linotype" w:eastAsia="Palatino Linotype" w:hAnsi="Palatino Linotype" w:cs="Palatino Linotype"/>
        </w:rPr>
        <w:t xml:space="preserve"> por consiguiente, no es procedente el análisis de fondo en la resolución.</w:t>
      </w:r>
    </w:p>
    <w:p w14:paraId="75F4C49D"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Ahora bien, durante el periodo de manifestaciones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ratificó en lo sustancial, por conducto de la Dirección General de Administración, la respuesta proporcionada en primera instancia, asimismo, manifestó por conducto del </w:t>
      </w:r>
      <w:proofErr w:type="gramStart"/>
      <w:r w:rsidRPr="00AD161D">
        <w:rPr>
          <w:rFonts w:ascii="Palatino Linotype" w:eastAsia="Palatino Linotype" w:hAnsi="Palatino Linotype" w:cs="Palatino Linotype"/>
        </w:rPr>
        <w:t>Secretario Técnico</w:t>
      </w:r>
      <w:proofErr w:type="gramEnd"/>
      <w:r w:rsidRPr="00AD161D">
        <w:rPr>
          <w:rFonts w:ascii="Palatino Linotype" w:eastAsia="Palatino Linotype" w:hAnsi="Palatino Linotype" w:cs="Palatino Linotype"/>
        </w:rPr>
        <w:t xml:space="preserve"> del Consejo Municipal de Seguridad Pública, que no poseía o administraba información de la índole solicitada, por lo que no es posible brindar atención a la solicitud de información.</w:t>
      </w:r>
    </w:p>
    <w:p w14:paraId="4A27B9BD"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Mientras que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 xml:space="preserve">fue omisa en hacer valer manifestaciones o rendir alegatos que conforme a derecho resultaran procedentes, por lo </w:t>
      </w:r>
      <w:proofErr w:type="gramStart"/>
      <w:r w:rsidRPr="00AD161D">
        <w:rPr>
          <w:rFonts w:ascii="Palatino Linotype" w:eastAsia="Palatino Linotype" w:hAnsi="Palatino Linotype" w:cs="Palatino Linotype"/>
        </w:rPr>
        <w:t>tanto</w:t>
      </w:r>
      <w:proofErr w:type="gramEnd"/>
      <w:r w:rsidRPr="00AD161D">
        <w:rPr>
          <w:rFonts w:ascii="Palatino Linotype" w:eastAsia="Palatino Linotype" w:hAnsi="Palatino Linotype" w:cs="Palatino Linotype"/>
        </w:rPr>
        <w:t xml:space="preserve"> se tiene por precluido su derecho.</w:t>
      </w:r>
    </w:p>
    <w:p w14:paraId="710D677E"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en contraposición con el motivo de inconformidad alegado por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A4832D4"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este tenor, en principio es imprescindible mencionar que las Unidades de Transparencia, son el área responsable en cada Sujeto Obligado para dar atención a las solicitudes de información que se realicen al amparo de la Ley, el responsable de dicha área funge como </w:t>
      </w:r>
      <w:r w:rsidRPr="00AD161D">
        <w:rPr>
          <w:rFonts w:ascii="Palatino Linotype" w:eastAsia="Palatino Linotype" w:hAnsi="Palatino Linotype" w:cs="Palatino Linotype"/>
        </w:rPr>
        <w:lastRenderedPageBreak/>
        <w:t>enlace entre el Sujeto Obligado y los solicitantes, y tiene bajo su responsabilidad el tramitar internamente la solicitud de información.</w:t>
      </w:r>
    </w:p>
    <w:p w14:paraId="2ED2B1C7"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3FAF310"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D4B8980"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w:t>
      </w:r>
      <w:r w:rsidRPr="00AD161D">
        <w:rPr>
          <w:rFonts w:ascii="Palatino Linotype" w:eastAsia="Palatino Linotype" w:hAnsi="Palatino Linotype" w:cs="Palatino Linotype"/>
        </w:rPr>
        <w:lastRenderedPageBreak/>
        <w:t>habilitados realicen la búsqueda exhaustiva y razonable de la información solicitada, y que una vez localizada, la misma sea proporcionada a las personas solicitantes atendiendo a la naturaleza jurídica de la misma.</w:t>
      </w:r>
    </w:p>
    <w:p w14:paraId="45E6C16D"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esta línea de pensamiento, derivado del análisis de las constancias que obran en el expediente electrónico en el que se actúa, se advirtió que la Unidad de Transparencia, turnó la solicitud de información a la Dirección General de Administración y a la Dirección General de Seguridad y Protección, al considerar que dichas dependencias cuentan con atribuciones para conocer de la información que es del interés de la persona solicitante.</w:t>
      </w:r>
    </w:p>
    <w:p w14:paraId="409748D7"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Al respecto, es preciso mencionar que de conformidad con el artículo 92, fracciones V y VI del Bando Municipal de Toluca vigente, dichas dependencias tienen conferidas las siguientes atribuciones:</w:t>
      </w:r>
    </w:p>
    <w:p w14:paraId="06D23C92" w14:textId="77777777" w:rsidR="00000D31" w:rsidRPr="00AD161D" w:rsidRDefault="00A93D2E">
      <w:pPr>
        <w:pBdr>
          <w:top w:val="nil"/>
          <w:left w:val="nil"/>
          <w:bottom w:val="nil"/>
          <w:right w:val="nil"/>
          <w:between w:val="nil"/>
        </w:pBdr>
        <w:tabs>
          <w:tab w:val="left" w:pos="284"/>
        </w:tabs>
        <w:spacing w:before="120" w:after="120" w:line="240" w:lineRule="auto"/>
        <w:ind w:left="851" w:right="845"/>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92</w:t>
      </w:r>
      <w:r w:rsidRPr="00AD161D">
        <w:rPr>
          <w:rFonts w:ascii="Palatino Linotype" w:eastAsia="Palatino Linotype" w:hAnsi="Palatino Linotype" w:cs="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 </w:t>
      </w:r>
    </w:p>
    <w:p w14:paraId="4A6A660F"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6EDA300D"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V</w:t>
      </w:r>
      <w:r w:rsidRPr="00AD161D">
        <w:rPr>
          <w:rFonts w:ascii="Palatino Linotype" w:eastAsia="Palatino Linotype" w:hAnsi="Palatino Linotype" w:cs="Palatino Linotype"/>
          <w:i/>
        </w:rPr>
        <w:t xml:space="preserve">. La persona titular de la </w:t>
      </w:r>
      <w:r w:rsidRPr="00AD161D">
        <w:rPr>
          <w:rFonts w:ascii="Palatino Linotype" w:eastAsia="Palatino Linotype" w:hAnsi="Palatino Linotype" w:cs="Palatino Linotype"/>
          <w:b/>
          <w:i/>
        </w:rPr>
        <w:t>Dirección General de Seguridad y Protección</w:t>
      </w:r>
      <w:r w:rsidRPr="00AD161D">
        <w:rPr>
          <w:rFonts w:ascii="Palatino Linotype" w:eastAsia="Palatino Linotype" w:hAnsi="Palatino Linotype" w:cs="Palatino Linotype"/>
          <w:i/>
        </w:rPr>
        <w:t xml:space="preserve"> tendrá como principales atribuciones la protección de la integridad, derechos y bienes de las personas y asegurar el orden y la paz pública. Para ello, implementará programas con participación ciudadana y se coordinará con instancias federales y estatales. Además, vigilará el cumplimiento de las normas de tránsito, gestionando la infraestructura vial y operando servicios de emergencia, videovigilancia y aplicará sanciones disciplinarias que promuevan programas de educación vial y prevención del delito.</w:t>
      </w:r>
    </w:p>
    <w:p w14:paraId="4372646C"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VI</w:t>
      </w:r>
      <w:r w:rsidRPr="00AD161D">
        <w:rPr>
          <w:rFonts w:ascii="Palatino Linotype" w:eastAsia="Palatino Linotype" w:hAnsi="Palatino Linotype" w:cs="Palatino Linotype"/>
          <w:i/>
        </w:rPr>
        <w:t xml:space="preserve">. La persona titular de la </w:t>
      </w:r>
      <w:r w:rsidRPr="00AD161D">
        <w:rPr>
          <w:rFonts w:ascii="Palatino Linotype" w:eastAsia="Palatino Linotype" w:hAnsi="Palatino Linotype" w:cs="Palatino Linotype"/>
          <w:b/>
          <w:i/>
        </w:rPr>
        <w:t>Dirección General de Administración</w:t>
      </w:r>
      <w:r w:rsidRPr="00AD161D">
        <w:rPr>
          <w:rFonts w:ascii="Palatino Linotype" w:eastAsia="Palatino Linotype" w:hAnsi="Palatino Linotype" w:cs="Palatino Linotype"/>
          <w:i/>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w:t>
      </w:r>
      <w:r w:rsidRPr="00AD161D">
        <w:rPr>
          <w:rFonts w:ascii="Palatino Linotype" w:eastAsia="Palatino Linotype" w:hAnsi="Palatino Linotype" w:cs="Palatino Linotype"/>
          <w:i/>
        </w:rPr>
        <w:lastRenderedPageBreak/>
        <w:t>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16836D43"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Por su parte el Código Reglamentario Municipal de Toluca vigente a la fecha de presentación de la solicitud, dispone, en el artículo 3.41 que la Dirección General de Administración se auxilia de la Dirección de Recursos Humanos, de la Dirección de Recursos Materiales, de la Dirección de Servicios Generales y de la Dirección de Tecnologías de la Información y Gobierno Digital.</w:t>
      </w:r>
    </w:p>
    <w:p w14:paraId="4B0357A4"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este sentido, de conformidad con el artículo 3.43 del referido Código, corresponde a la Dirección de Recursos Materiales llevar a cabo los procedimientos para la adquisición de los bienes y servicios y el arrendamiento, adquisición y enajenación de inmuebles en estricto apego a las disposiciones legales aplicables; autorizar y suscribir los pedidos-contrato que se finquen relativos a procedimientos de adquisiciones y compras de bienes, materiales y suministros; y elaborar los contratos de adquisición de los bienes y servicios y de arrendamiento, adquisición y enajenación de inmuebles de competencia municipal, entre otras atribuciones.</w:t>
      </w:r>
    </w:p>
    <w:p w14:paraId="5A46002C"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El artículo 3.44 del Código Reglamentario confiere a la Dirección de Servicios Generales las atribuciones de establecer la logística y aplicar las acciones necesarias para la atención a eventos, colocar templetes, </w:t>
      </w:r>
      <w:proofErr w:type="spellStart"/>
      <w:r w:rsidRPr="00AD161D">
        <w:rPr>
          <w:rFonts w:ascii="Palatino Linotype" w:eastAsia="Palatino Linotype" w:hAnsi="Palatino Linotype" w:cs="Palatino Linotype"/>
        </w:rPr>
        <w:t>enlonados</w:t>
      </w:r>
      <w:proofErr w:type="spellEnd"/>
      <w:r w:rsidRPr="00AD161D">
        <w:rPr>
          <w:rFonts w:ascii="Palatino Linotype" w:eastAsia="Palatino Linotype" w:hAnsi="Palatino Linotype" w:cs="Palatino Linotype"/>
        </w:rPr>
        <w:t>, sillería, mesas, sonido, luces conforme a las necesidades; implementar mantener y actualizar el inventario general de bienes muebles del ayuntamiento; así como elaborar y actualizar el resguardo de bienes muebles.</w:t>
      </w:r>
    </w:p>
    <w:p w14:paraId="4A8190C5"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Por otro lado, la Dirección General de Seguridad y Protección, de conformidad con el artículo 3.31 del Código Reglamentario Municipal, se auxilia para el cumplimiento de sus </w:t>
      </w:r>
      <w:r w:rsidRPr="00AD161D">
        <w:rPr>
          <w:rFonts w:ascii="Palatino Linotype" w:eastAsia="Palatino Linotype" w:hAnsi="Palatino Linotype" w:cs="Palatino Linotype"/>
        </w:rPr>
        <w:lastRenderedPageBreak/>
        <w:t>atribuciones, de la Dirección de Prevención Comunitaria, de la Dirección de Desarrollo Policial, de la Dirección de Sustentabilidad Vial, de la Dirección de Inteligencia, de la Dirección Operativa, de la Dirección de Desarrollo Tecnológico, de la Dirección Jurídica, de la Coordinación de Protección Civil y Bomberos, y de la Coordinación Administrativa.</w:t>
      </w:r>
    </w:p>
    <w:p w14:paraId="679BA7E9"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La Coordinación Administrativa de la Dirección General de Seguridad y Protección, de conformidad con el código estructural 205011000, del Manual de Organización de la Dirección General de Seguridad y Protección, tiene por objetivo planear, organizar, coordinar, tramitar y controlar las acciones en el suministro y aplicación de los recursos humanos, financieros, materiales y servicios generales o técnicos necesarios para el eficiente y eficaz funcionamiento de las unidades administrativas de la Dirección General de Seguridad y Protección, y para su cumplimiento se auxilia, de los Departamentos de Planeación y Finanzas, de Recursos Humanos y de Recursos Materiales y Control Patrimonial.</w:t>
      </w:r>
    </w:p>
    <w:p w14:paraId="59858762" w14:textId="77777777" w:rsidR="00000D31" w:rsidRPr="00AD161D" w:rsidRDefault="00A93D2E">
      <w:pPr>
        <w:spacing w:before="280" w:after="28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este sentido, el Departamento de Recursos Materiales y Control Patrimonial, de conformidad con el código estructural 205011003 del Manual de Organización de la Dirección General de Seguridad y Protección, es responsable de Coordinar, controlar y evaluar las actividades relacionadas con la administración de los recursos materiales, así como la prestación de los servicios generales y todo lo concerniente al patrimonio operativo (bienes muebles e inmuebles) conforme a las normas y lineamientos establecidos por la norma especial en la materia y demás correlativas de la Dirección General Seguridad y Protección, entre cuyas funciones se encuentran las siguientes:</w:t>
      </w:r>
    </w:p>
    <w:p w14:paraId="72A7B076" w14:textId="77777777" w:rsidR="00000D31" w:rsidRPr="00AD161D" w:rsidRDefault="00A93D2E">
      <w:pPr>
        <w:spacing w:before="280" w:after="28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t>- Controlar, resguardar e inventariar los bienes muebles e inmuebles asignados a la Dirección General, en coordinación con el Departamento de Control Patrimonial de la Dirección General de Administración;</w:t>
      </w:r>
    </w:p>
    <w:p w14:paraId="2629945B" w14:textId="77777777" w:rsidR="00000D31" w:rsidRPr="00AD161D" w:rsidRDefault="00A93D2E">
      <w:pPr>
        <w:spacing w:before="280" w:after="28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 Gestionar la adquisición de recursos materiales (bienes muebles, consumibles, entre otros), ante el Departamento de Planeación y Finanzas;</w:t>
      </w:r>
    </w:p>
    <w:p w14:paraId="242D39B5" w14:textId="77777777" w:rsidR="00000D31" w:rsidRPr="00AD161D" w:rsidRDefault="00A93D2E">
      <w:pPr>
        <w:spacing w:before="280" w:after="280" w:line="360" w:lineRule="auto"/>
        <w:ind w:left="142"/>
        <w:jc w:val="both"/>
        <w:rPr>
          <w:rFonts w:ascii="Palatino Linotype" w:eastAsia="Palatino Linotype" w:hAnsi="Palatino Linotype" w:cs="Palatino Linotype"/>
        </w:rPr>
      </w:pPr>
      <w:r w:rsidRPr="00AD161D">
        <w:rPr>
          <w:rFonts w:ascii="Palatino Linotype" w:eastAsia="Palatino Linotype" w:hAnsi="Palatino Linotype" w:cs="Palatino Linotype"/>
        </w:rPr>
        <w:t>- Administrar el uso y asignación de los bienes muebles, así como el material de consumo que se requiere en la Dirección General de Seguridad y Protección; y</w:t>
      </w:r>
    </w:p>
    <w:p w14:paraId="760B95A4"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Atento a lo anterior, se arriba a la conclusión de que si bien se cumplió con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la respuesta proporcionada por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es insuficiente para tener por satisfecho el requerimiento de información combatido por la persona solicitante.</w:t>
      </w:r>
    </w:p>
    <w:p w14:paraId="357899F5"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Para sustentar el argumento anterior, es de recordar que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por conducto de la Dirección General de Seguridad y Protección pretendió clasificar la información como reservada, por lo que es posible concluir que esta se generó y obra en sus archivos, siendo la clasificación y la inexistencia dos figuras que no pueden coexistir, como se desprende del Criterio orientador con clave de control SO/012/2023, emitido por el entonces Instituto Nacional de Transparencia, Acceso a la Información y Protección de Datos Personales, INAI</w:t>
      </w:r>
      <w:r w:rsidRPr="00AD161D">
        <w:rPr>
          <w:rFonts w:ascii="Palatino Linotype" w:eastAsia="Palatino Linotype" w:hAnsi="Palatino Linotype" w:cs="Palatino Linotype"/>
          <w:b/>
        </w:rPr>
        <w:t xml:space="preserve">, </w:t>
      </w:r>
      <w:r w:rsidRPr="00AD161D">
        <w:rPr>
          <w:rFonts w:ascii="Palatino Linotype" w:eastAsia="Palatino Linotype" w:hAnsi="Palatino Linotype" w:cs="Palatino Linotype"/>
        </w:rPr>
        <w:t xml:space="preserve">el cual refiere lo siguiente: </w:t>
      </w:r>
    </w:p>
    <w:p w14:paraId="6EB71CB3" w14:textId="77777777" w:rsidR="00000D31" w:rsidRPr="00AD161D" w:rsidRDefault="00A93D2E">
      <w:pPr>
        <w:spacing w:before="120" w:after="120" w:line="240" w:lineRule="auto"/>
        <w:ind w:left="851"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rPr>
        <w:t xml:space="preserve">“Respuesta a solicitud de acceso. La clasificación y la inexistencia de información son conceptos que no pueden coexistir. </w:t>
      </w:r>
      <w:r w:rsidRPr="00AD161D">
        <w:rPr>
          <w:rFonts w:ascii="Palatino Linotype" w:eastAsia="Palatino Linotype" w:hAnsi="Palatino Linotype" w:cs="Palatino Linotype"/>
          <w:i/>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w:t>
      </w:r>
      <w:proofErr w:type="spellStart"/>
      <w:r w:rsidRPr="00AD161D">
        <w:rPr>
          <w:rFonts w:ascii="Palatino Linotype" w:eastAsia="Palatino Linotype" w:hAnsi="Palatino Linotype" w:cs="Palatino Linotype"/>
          <w:i/>
        </w:rPr>
        <w:lastRenderedPageBreak/>
        <w:t>actualiza</w:t>
      </w:r>
      <w:proofErr w:type="spellEnd"/>
      <w:r w:rsidRPr="00AD161D">
        <w:rPr>
          <w:rFonts w:ascii="Palatino Linotype" w:eastAsia="Palatino Linotype" w:hAnsi="Palatino Linotype" w:cs="Palatino Linotype"/>
          <w:i/>
        </w:rPr>
        <w:t xml:space="preserve"> alguno de los supuestos de reserva o confidencialidad, por lo que se trata de una característica que adquiere la información contenida en un documento específico. Por lo anterior, </w:t>
      </w:r>
      <w:r w:rsidRPr="00AD161D">
        <w:rPr>
          <w:rFonts w:ascii="Palatino Linotype" w:eastAsia="Palatino Linotype" w:hAnsi="Palatino Linotype" w:cs="Palatino Linotype"/>
          <w:b/>
          <w:i/>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01D4F0EC"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Asimismo, no obsta mencionar que de la consulta realizada por este Organismo Garante, en diversas fuentes de información, se localizaron diversos Comunicados publicados en la página oficial del Ayuntamiento, que dan cuenta de la existencia de los drones, como se </w:t>
      </w:r>
      <w:proofErr w:type="gramStart"/>
      <w:r w:rsidRPr="00AD161D">
        <w:rPr>
          <w:rFonts w:ascii="Palatino Linotype" w:eastAsia="Palatino Linotype" w:hAnsi="Palatino Linotype" w:cs="Palatino Linotype"/>
        </w:rPr>
        <w:t>ilustra  a</w:t>
      </w:r>
      <w:proofErr w:type="gramEnd"/>
      <w:r w:rsidRPr="00AD161D">
        <w:rPr>
          <w:rFonts w:ascii="Palatino Linotype" w:eastAsia="Palatino Linotype" w:hAnsi="Palatino Linotype" w:cs="Palatino Linotype"/>
        </w:rPr>
        <w:t xml:space="preserve"> continuación para mejor referencia:</w:t>
      </w:r>
    </w:p>
    <w:p w14:paraId="612B44CE" w14:textId="77777777" w:rsidR="00000D31" w:rsidRPr="00AD161D" w:rsidRDefault="00A93D2E">
      <w:pPr>
        <w:tabs>
          <w:tab w:val="left" w:pos="3544"/>
        </w:tabs>
        <w:spacing w:before="240" w:after="240" w:line="360" w:lineRule="auto"/>
        <w:ind w:right="49"/>
        <w:jc w:val="center"/>
        <w:rPr>
          <w:rFonts w:ascii="Palatino Linotype" w:eastAsia="Palatino Linotype" w:hAnsi="Palatino Linotype" w:cs="Palatino Linotype"/>
        </w:rPr>
      </w:pPr>
      <w:r w:rsidRPr="00AD161D">
        <w:rPr>
          <w:rFonts w:ascii="Palatino Linotype" w:eastAsia="Palatino Linotype" w:hAnsi="Palatino Linotype" w:cs="Palatino Linotype"/>
          <w:noProof/>
        </w:rPr>
        <w:drawing>
          <wp:inline distT="0" distB="0" distL="0" distR="0" wp14:anchorId="2D2EEFA3" wp14:editId="7CABFC61">
            <wp:extent cx="4500000" cy="2102851"/>
            <wp:effectExtent l="0" t="0" r="0" b="0"/>
            <wp:docPr id="19841231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500000" cy="2102851"/>
                    </a:xfrm>
                    <a:prstGeom prst="rect">
                      <a:avLst/>
                    </a:prstGeom>
                    <a:ln/>
                  </pic:spPr>
                </pic:pic>
              </a:graphicData>
            </a:graphic>
          </wp:inline>
        </w:drawing>
      </w:r>
      <w:r w:rsidRPr="00AD161D">
        <w:rPr>
          <w:rFonts w:ascii="Palatino Linotype" w:eastAsia="Palatino Linotype" w:hAnsi="Palatino Linotype" w:cs="Palatino Linotype"/>
          <w:noProof/>
        </w:rPr>
        <w:drawing>
          <wp:inline distT="0" distB="0" distL="0" distR="0" wp14:anchorId="6CFE0FF8" wp14:editId="69B78B50">
            <wp:extent cx="4500000" cy="2297862"/>
            <wp:effectExtent l="0" t="0" r="0" b="0"/>
            <wp:docPr id="19841231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00000" cy="2297862"/>
                    </a:xfrm>
                    <a:prstGeom prst="rect">
                      <a:avLst/>
                    </a:prstGeom>
                    <a:ln/>
                  </pic:spPr>
                </pic:pic>
              </a:graphicData>
            </a:graphic>
          </wp:inline>
        </w:drawing>
      </w:r>
    </w:p>
    <w:p w14:paraId="53FB8015" w14:textId="77777777" w:rsidR="00000D31" w:rsidRPr="00AD161D" w:rsidRDefault="00A93D2E">
      <w:pPr>
        <w:tabs>
          <w:tab w:val="left" w:pos="3544"/>
        </w:tabs>
        <w:spacing w:before="240" w:after="240" w:line="360" w:lineRule="auto"/>
        <w:ind w:right="49"/>
        <w:jc w:val="center"/>
        <w:rPr>
          <w:rFonts w:ascii="Palatino Linotype" w:eastAsia="Palatino Linotype" w:hAnsi="Palatino Linotype" w:cs="Palatino Linotype"/>
        </w:rPr>
      </w:pPr>
      <w:r w:rsidRPr="00AD161D">
        <w:rPr>
          <w:rFonts w:ascii="Palatino Linotype" w:eastAsia="Palatino Linotype" w:hAnsi="Palatino Linotype" w:cs="Palatino Linotype"/>
          <w:noProof/>
        </w:rPr>
        <w:lastRenderedPageBreak/>
        <w:drawing>
          <wp:inline distT="0" distB="0" distL="0" distR="0" wp14:anchorId="41685D65" wp14:editId="5BD3C3A8">
            <wp:extent cx="4500000" cy="1907841"/>
            <wp:effectExtent l="0" t="0" r="0" b="0"/>
            <wp:docPr id="1984123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500000" cy="1907841"/>
                    </a:xfrm>
                    <a:prstGeom prst="rect">
                      <a:avLst/>
                    </a:prstGeom>
                    <a:ln/>
                  </pic:spPr>
                </pic:pic>
              </a:graphicData>
            </a:graphic>
          </wp:inline>
        </w:drawing>
      </w:r>
    </w:p>
    <w:p w14:paraId="726D9006" w14:textId="77777777" w:rsidR="00000D31" w:rsidRPr="00AD161D" w:rsidRDefault="00A93D2E">
      <w:pPr>
        <w:tabs>
          <w:tab w:val="left" w:pos="3544"/>
        </w:tabs>
        <w:spacing w:before="240" w:after="240" w:line="360" w:lineRule="auto"/>
        <w:ind w:right="49"/>
        <w:jc w:val="center"/>
        <w:rPr>
          <w:rFonts w:ascii="Palatino Linotype" w:eastAsia="Palatino Linotype" w:hAnsi="Palatino Linotype" w:cs="Palatino Linotype"/>
        </w:rPr>
      </w:pPr>
      <w:r w:rsidRPr="00AD161D">
        <w:rPr>
          <w:rFonts w:ascii="Palatino Linotype" w:eastAsia="Palatino Linotype" w:hAnsi="Palatino Linotype" w:cs="Palatino Linotype"/>
          <w:noProof/>
        </w:rPr>
        <w:drawing>
          <wp:inline distT="0" distB="0" distL="0" distR="0" wp14:anchorId="6605E74F" wp14:editId="0B87B564">
            <wp:extent cx="4500000" cy="2340122"/>
            <wp:effectExtent l="0" t="0" r="0" b="0"/>
            <wp:docPr id="19841231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00000" cy="2340122"/>
                    </a:xfrm>
                    <a:prstGeom prst="rect">
                      <a:avLst/>
                    </a:prstGeom>
                    <a:ln/>
                  </pic:spPr>
                </pic:pic>
              </a:graphicData>
            </a:graphic>
          </wp:inline>
        </w:drawing>
      </w:r>
    </w:p>
    <w:p w14:paraId="703B33AF"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Lo cual constituye un hecho notorio sobre la existencia de la información, conforme a las siguientes Tesis de la Suprema Corte de Justicia de la Nación, cuyo rubro y texto son del tenor siguiente:</w:t>
      </w:r>
    </w:p>
    <w:p w14:paraId="2A3AA401" w14:textId="77777777" w:rsidR="00000D31" w:rsidRPr="00AD161D" w:rsidRDefault="00A93D2E">
      <w:pPr>
        <w:tabs>
          <w:tab w:val="left" w:pos="7938"/>
        </w:tabs>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“HECHOS NOTORIOS. CONCEPTOS GENERAL Y JURÍDICO. Conforme al artículo 88 del Código Federal de Procedimientos Civiles los tribunales pueden invocar hechos </w:t>
      </w:r>
      <w:proofErr w:type="gramStart"/>
      <w:r w:rsidRPr="00AD161D">
        <w:rPr>
          <w:rFonts w:ascii="Palatino Linotype" w:eastAsia="Palatino Linotype" w:hAnsi="Palatino Linotype" w:cs="Palatino Linotype"/>
          <w:b/>
          <w:i/>
        </w:rPr>
        <w:t>notorios</w:t>
      </w:r>
      <w:proofErr w:type="gramEnd"/>
      <w:r w:rsidRPr="00AD161D">
        <w:rPr>
          <w:rFonts w:ascii="Palatino Linotype" w:eastAsia="Palatino Linotype" w:hAnsi="Palatino Linotype" w:cs="Palatino Linotype"/>
          <w:b/>
          <w:i/>
        </w:rPr>
        <w:t xml:space="preserve"> aunque no hayan sido alegados ni probados por las partes.</w:t>
      </w:r>
      <w:r w:rsidRPr="00AD161D">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AD161D">
        <w:rPr>
          <w:rFonts w:ascii="Palatino Linotype" w:eastAsia="Palatino Linotype" w:hAnsi="Palatino Linotype" w:cs="Palatino Linotype"/>
          <w:b/>
          <w:i/>
        </w:rPr>
        <w:t>, a las vicisitudes de la vida pública actual o a circunstancias comúnmente conocidas en un determinado lugar</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de modo que toda persona de ese medio esté en condiciones de saberlo</w:t>
      </w:r>
      <w:r w:rsidRPr="00AD161D">
        <w:rPr>
          <w:rFonts w:ascii="Palatino Linotype" w:eastAsia="Palatino Linotype" w:hAnsi="Palatino Linotype" w:cs="Palatino Linotype"/>
          <w:i/>
        </w:rPr>
        <w:t xml:space="preserve">; y desde el punto de vista jurídico, hecho notorio es cualquier acontecimiento de dominio público conocido por todos o casi </w:t>
      </w:r>
      <w:r w:rsidRPr="00AD161D">
        <w:rPr>
          <w:rFonts w:ascii="Palatino Linotype" w:eastAsia="Palatino Linotype" w:hAnsi="Palatino Linotype" w:cs="Palatino Linotype"/>
          <w:i/>
        </w:rPr>
        <w:lastRenderedPageBreak/>
        <w:t>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AD161D">
        <w:rPr>
          <w:rFonts w:ascii="Palatino Linotype" w:eastAsia="Palatino Linotype" w:hAnsi="Palatino Linotype" w:cs="Palatino Linotype"/>
          <w:i/>
          <w:vertAlign w:val="superscript"/>
        </w:rPr>
        <w:footnoteReference w:id="1"/>
      </w:r>
    </w:p>
    <w:p w14:paraId="26B295B4"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PÁGINAS WEB O ELECTRÓNICAS. SU CONTENIDO ES UN HECHO NOTORIO Y SUSCEPTIBLE DE SER VALORADO EN UNA DECISIÓN JUDICIAL.</w:t>
      </w:r>
      <w:r w:rsidRPr="00AD161D">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AD161D">
        <w:rPr>
          <w:rFonts w:ascii="Palatino Linotype" w:eastAsia="Palatino Linotype" w:hAnsi="Palatino Linotype" w:cs="Palatino Linotype"/>
          <w:i/>
          <w:vertAlign w:val="superscript"/>
        </w:rPr>
        <w:footnoteReference w:id="2"/>
      </w:r>
    </w:p>
    <w:p w14:paraId="2C25DDFA"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AD161D">
        <w:rPr>
          <w:rFonts w:ascii="Palatino Linotype" w:eastAsia="Palatino Linotype" w:hAnsi="Palatino Linotype" w:cs="Palatino Linotype"/>
          <w:i/>
        </w:rPr>
        <w:t xml:space="preserve">. Los datos que aparecen en las páginas electrónicas oficiales que los órganos de gobierno utilizan para poner a </w:t>
      </w:r>
      <w:r w:rsidRPr="00AD161D">
        <w:rPr>
          <w:rFonts w:ascii="Palatino Linotype" w:eastAsia="Palatino Linotype" w:hAnsi="Palatino Linotype" w:cs="Palatino Linotype"/>
          <w:i/>
        </w:rPr>
        <w:lastRenderedPageBreak/>
        <w:t>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AD161D">
        <w:rPr>
          <w:rFonts w:ascii="Palatino Linotype" w:eastAsia="Palatino Linotype" w:hAnsi="Palatino Linotype" w:cs="Palatino Linotype"/>
          <w:i/>
          <w:vertAlign w:val="superscript"/>
        </w:rPr>
        <w:footnoteReference w:id="3"/>
      </w:r>
    </w:p>
    <w:p w14:paraId="43C19384" w14:textId="77777777" w:rsidR="00000D31" w:rsidRPr="00AD161D" w:rsidRDefault="00A93D2E">
      <w:pPr>
        <w:tabs>
          <w:tab w:val="left" w:pos="851"/>
        </w:tabs>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 “IMPROCEDENCIA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r w:rsidRPr="00AD161D">
        <w:rPr>
          <w:rFonts w:ascii="Palatino Linotype" w:eastAsia="Palatino Linotype" w:hAnsi="Palatino Linotype" w:cs="Palatino Linotype"/>
          <w:i/>
        </w:rPr>
        <w:t xml:space="preserve">La Primera Sala de la Suprema Corte de Justicia de la Nación, en la jurisprudencia 1ª./ J. 163/2005, publicada en el Semanario Judicial de la Federación y su Gaceta, Novena </w:t>
      </w:r>
      <w:proofErr w:type="gramStart"/>
      <w:r w:rsidRPr="00AD161D">
        <w:rPr>
          <w:rFonts w:ascii="Palatino Linotype" w:eastAsia="Palatino Linotype" w:hAnsi="Palatino Linotype" w:cs="Palatino Linotype"/>
          <w:i/>
        </w:rPr>
        <w:t>Época,  Tomo</w:t>
      </w:r>
      <w:proofErr w:type="gramEnd"/>
      <w:r w:rsidRPr="00AD161D">
        <w:rPr>
          <w:rFonts w:ascii="Palatino Linotype" w:eastAsia="Palatino Linotype" w:hAnsi="Palatino Linotype" w:cs="Palatino Linotype"/>
          <w:i/>
        </w:rPr>
        <w:t xml:space="preserve">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AD161D">
        <w:rPr>
          <w:rFonts w:ascii="Palatino Linotype" w:eastAsia="Palatino Linotype" w:hAnsi="Palatino Linotype" w:cs="Palatino Linotype"/>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AD161D">
        <w:rPr>
          <w:rFonts w:ascii="Palatino Linotype" w:eastAsia="Palatino Linotype" w:hAnsi="Palatino Linotype" w:cs="Palatino Linotype"/>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w:t>
      </w:r>
      <w:r w:rsidRPr="00AD161D">
        <w:rPr>
          <w:rFonts w:ascii="Palatino Linotype" w:eastAsia="Palatino Linotype" w:hAnsi="Palatino Linotype" w:cs="Palatino Linotype"/>
          <w:i/>
        </w:rPr>
        <w:lastRenderedPageBreak/>
        <w:t>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r w:rsidRPr="00AD161D">
        <w:rPr>
          <w:rFonts w:ascii="Palatino Linotype" w:eastAsia="Palatino Linotype" w:hAnsi="Palatino Linotype" w:cs="Palatino Linotype"/>
          <w:i/>
          <w:vertAlign w:val="superscript"/>
        </w:rPr>
        <w:footnoteReference w:id="4"/>
      </w:r>
    </w:p>
    <w:p w14:paraId="744504AB"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No obstante de lo anterior se negó el acceso a la información peticionada por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relativa al número de drones que tiene el ayuntamiento para la seguridad pública y eventos, así como el número de eventos en los que se han utilizado, al considerar que la misma reviste el carácter de reservada, de conformidad con los artículos 6 base A, fracción de la Constitución Política de los Estados Unidos Mexicanos, 54 de la Ley de Seguridad Nacional, 110 de la Ley General del Sistema Nacional de Seguridad Pública, 27 y 81 fracciones I y II de la Ley de Seguridad del Estado de México; así como, 140 fracciones I y XI de la Ley de Transparencia y Acceso a la Información Pública del Estado de México y Municipios; tan es así, que proporcionó el Acta de la Ducentésima Décima Tercera Sesión Extraordinaria del Comité de Transparencia, del siete de marzo de dos mil veinticinco, argumentando que la clasificación como reservada se confirmó a través del acuerdo CT/SE/213/01/2025, por un periodo de tres años.</w:t>
      </w:r>
    </w:p>
    <w:p w14:paraId="16D10C89"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Sin embargo, es de señalar </w:t>
      </w:r>
      <w:proofErr w:type="gramStart"/>
      <w:r w:rsidRPr="00AD161D">
        <w:rPr>
          <w:rFonts w:ascii="Palatino Linotype" w:eastAsia="Palatino Linotype" w:hAnsi="Palatino Linotype" w:cs="Palatino Linotype"/>
        </w:rPr>
        <w:t>que</w:t>
      </w:r>
      <w:proofErr w:type="gramEnd"/>
      <w:r w:rsidRPr="00AD161D">
        <w:rPr>
          <w:rFonts w:ascii="Palatino Linotype" w:eastAsia="Palatino Linotype" w:hAnsi="Palatino Linotype" w:cs="Palatino Linotype"/>
        </w:rPr>
        <w:t xml:space="preserve"> del análisis del Acta del Comité de Transparencia remitida, este Organismo Garante concluyó que la misma no se encuentra debidamente fundada y motivada, dado que si bien pretendió realizar la prueba de daño respecto de la información estadística materia de la solicitud que dio origen al recurso de revisión que nos ocupa, no pasa inadvertido que en el texto del acuerdo se hace referencia a información diversa a la solicitada, como se observa a continuación:</w:t>
      </w:r>
    </w:p>
    <w:p w14:paraId="6CDA9359" w14:textId="77777777" w:rsidR="00000D31" w:rsidRPr="00AD161D" w:rsidRDefault="00A93D2E">
      <w:pPr>
        <w:tabs>
          <w:tab w:val="left" w:pos="3544"/>
        </w:tabs>
        <w:spacing w:before="240" w:after="240" w:line="360" w:lineRule="auto"/>
        <w:ind w:right="49"/>
        <w:jc w:val="center"/>
        <w:rPr>
          <w:rFonts w:ascii="Palatino Linotype" w:eastAsia="Palatino Linotype" w:hAnsi="Palatino Linotype" w:cs="Palatino Linotype"/>
        </w:rPr>
      </w:pPr>
      <w:r w:rsidRPr="00AD161D">
        <w:rPr>
          <w:rFonts w:ascii="Palatino Linotype" w:eastAsia="Palatino Linotype" w:hAnsi="Palatino Linotype" w:cs="Palatino Linotype"/>
          <w:noProof/>
        </w:rPr>
        <w:lastRenderedPageBreak/>
        <w:drawing>
          <wp:inline distT="0" distB="0" distL="0" distR="0" wp14:anchorId="7046822F" wp14:editId="5BFD4281">
            <wp:extent cx="4500000" cy="2012220"/>
            <wp:effectExtent l="0" t="0" r="0" b="0"/>
            <wp:docPr id="19841231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00000" cy="2012220"/>
                    </a:xfrm>
                    <a:prstGeom prst="rect">
                      <a:avLst/>
                    </a:prstGeom>
                    <a:ln/>
                  </pic:spPr>
                </pic:pic>
              </a:graphicData>
            </a:graphic>
          </wp:inline>
        </w:drawing>
      </w:r>
      <w:r w:rsidRPr="00AD161D">
        <w:rPr>
          <w:rFonts w:ascii="Palatino Linotype" w:eastAsia="Palatino Linotype" w:hAnsi="Palatino Linotype" w:cs="Palatino Linotype"/>
          <w:noProof/>
        </w:rPr>
        <w:drawing>
          <wp:inline distT="0" distB="0" distL="0" distR="0" wp14:anchorId="1DED2B67" wp14:editId="2EA6CE68">
            <wp:extent cx="4500000" cy="1678717"/>
            <wp:effectExtent l="0" t="0" r="0" b="0"/>
            <wp:docPr id="1984123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500000" cy="1678717"/>
                    </a:xfrm>
                    <a:prstGeom prst="rect">
                      <a:avLst/>
                    </a:prstGeom>
                    <a:ln/>
                  </pic:spPr>
                </pic:pic>
              </a:graphicData>
            </a:graphic>
          </wp:inline>
        </w:drawing>
      </w: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noProof/>
        </w:rPr>
        <w:drawing>
          <wp:inline distT="0" distB="0" distL="0" distR="0" wp14:anchorId="50494A44" wp14:editId="26B2EE6B">
            <wp:extent cx="4500000" cy="1312204"/>
            <wp:effectExtent l="0" t="0" r="0" b="0"/>
            <wp:docPr id="19841231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b="70741"/>
                    <a:stretch>
                      <a:fillRect/>
                    </a:stretch>
                  </pic:blipFill>
                  <pic:spPr>
                    <a:xfrm>
                      <a:off x="0" y="0"/>
                      <a:ext cx="4500000" cy="1312204"/>
                    </a:xfrm>
                    <a:prstGeom prst="rect">
                      <a:avLst/>
                    </a:prstGeom>
                    <a:ln/>
                  </pic:spPr>
                </pic:pic>
              </a:graphicData>
            </a:graphic>
          </wp:inline>
        </w:drawing>
      </w:r>
      <w:r w:rsidRPr="00AD161D">
        <w:rPr>
          <w:rFonts w:ascii="Palatino Linotype" w:eastAsia="Palatino Linotype" w:hAnsi="Palatino Linotype" w:cs="Palatino Linotype"/>
          <w:noProof/>
        </w:rPr>
        <w:drawing>
          <wp:inline distT="0" distB="0" distL="0" distR="0" wp14:anchorId="39713EEF" wp14:editId="48883C47">
            <wp:extent cx="4500000" cy="993366"/>
            <wp:effectExtent l="0" t="0" r="0" b="0"/>
            <wp:docPr id="1984123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77850"/>
                    <a:stretch>
                      <a:fillRect/>
                    </a:stretch>
                  </pic:blipFill>
                  <pic:spPr>
                    <a:xfrm>
                      <a:off x="0" y="0"/>
                      <a:ext cx="4500000" cy="993366"/>
                    </a:xfrm>
                    <a:prstGeom prst="rect">
                      <a:avLst/>
                    </a:prstGeom>
                    <a:ln/>
                  </pic:spPr>
                </pic:pic>
              </a:graphicData>
            </a:graphic>
          </wp:inline>
        </w:drawing>
      </w:r>
    </w:p>
    <w:p w14:paraId="1853A449"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Como se observa, el Acta del Comité de Transparencia y el acuerdo aprobado, hacen referencia al número de patrullas, elementos y armas están asignados a la zona de Colón y quién es el comandante, mientras que la prueba de daño se refiere al número de drones que </w:t>
      </w:r>
      <w:r w:rsidRPr="00AD161D">
        <w:rPr>
          <w:rFonts w:ascii="Palatino Linotype" w:eastAsia="Palatino Linotype" w:hAnsi="Palatino Linotype" w:cs="Palatino Linotype"/>
        </w:rPr>
        <w:lastRenderedPageBreak/>
        <w:t>tiene el ayuntamiento para la seguridad pública y eventos, y el número de eventos en los que fueron utilizados.</w:t>
      </w:r>
    </w:p>
    <w:p w14:paraId="5BD24E2C" w14:textId="77777777" w:rsidR="00000D31" w:rsidRPr="00AD161D" w:rsidRDefault="00A93D2E">
      <w:pPr>
        <w:tabs>
          <w:tab w:val="left" w:pos="3544"/>
        </w:tabs>
        <w:spacing w:before="240" w:after="240" w:line="360" w:lineRule="auto"/>
        <w:ind w:right="49"/>
        <w:jc w:val="both"/>
        <w:rPr>
          <w:rFonts w:ascii="Palatino Linotype" w:eastAsia="Palatino Linotype" w:hAnsi="Palatino Linotype" w:cs="Palatino Linotype"/>
          <w:b/>
          <w:u w:val="single"/>
        </w:rPr>
      </w:pPr>
      <w:r w:rsidRPr="00AD161D">
        <w:rPr>
          <w:rFonts w:ascii="Palatino Linotype" w:eastAsia="Palatino Linotype" w:hAnsi="Palatino Linotype" w:cs="Palatino Linotype"/>
        </w:rPr>
        <w:t xml:space="preserve">Por consiguiente, se concluye que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b/>
          <w:u w:val="single"/>
        </w:rPr>
        <w:t>no acreditó cabalmente las razones por las cuales la entrega de la información estadística concerniente al</w:t>
      </w:r>
      <w:r w:rsidRPr="00AD161D">
        <w:rPr>
          <w:rFonts w:ascii="Palatino Linotype" w:eastAsia="Palatino Linotype" w:hAnsi="Palatino Linotype" w:cs="Palatino Linotype"/>
          <w:u w:val="single"/>
        </w:rPr>
        <w:t xml:space="preserve"> </w:t>
      </w:r>
      <w:r w:rsidRPr="00AD161D">
        <w:rPr>
          <w:rFonts w:ascii="Palatino Linotype" w:eastAsia="Palatino Linotype" w:hAnsi="Palatino Linotype" w:cs="Palatino Linotype"/>
          <w:b/>
          <w:u w:val="single"/>
        </w:rPr>
        <w:t>número de drones que tiene el ayuntamiento para la seguridad pública y eventos, y el número de eventos en los que fueron utilizados, podría comprometer la seguridad pública del municipio.</w:t>
      </w:r>
    </w:p>
    <w:p w14:paraId="2E0DDD08" w14:textId="77777777" w:rsidR="00000D31" w:rsidRPr="00AD161D" w:rsidRDefault="00A93D2E">
      <w:pPr>
        <w:spacing w:before="240" w:after="240" w:line="360" w:lineRule="auto"/>
        <w:jc w:val="both"/>
        <w:rPr>
          <w:rFonts w:ascii="Palatino Linotype" w:eastAsia="Palatino Linotype" w:hAnsi="Palatino Linotype" w:cs="Palatino Linotype"/>
          <w:b/>
          <w:u w:val="single"/>
        </w:rPr>
      </w:pPr>
      <w:r w:rsidRPr="00AD161D">
        <w:rPr>
          <w:rFonts w:ascii="Palatino Linotype" w:eastAsia="Palatino Linotype" w:hAnsi="Palatino Linotype" w:cs="Palatino Linotype"/>
        </w:rPr>
        <w:t xml:space="preserve">Por otro lado, y no menos importante, no obsta mencionar que en el presente asunto la información requerida corresponde con información estadística por lo que no se encuentra en ningún supuesto de </w:t>
      </w:r>
      <w:r w:rsidRPr="00AD161D">
        <w:rPr>
          <w:rFonts w:ascii="Palatino Linotype" w:eastAsia="Palatino Linotype" w:hAnsi="Palatino Linotype" w:cs="Palatino Linotype"/>
          <w:b/>
        </w:rPr>
        <w:t>reserva en su totalidad</w:t>
      </w:r>
      <w:r w:rsidRPr="00AD161D">
        <w:rPr>
          <w:rFonts w:ascii="Palatino Linotype" w:eastAsia="Palatino Linotype" w:hAnsi="Palatino Linotype" w:cs="Palatino Linotype"/>
        </w:rPr>
        <w:t xml:space="preserve">, ya que únicamente se daría a conocer de manera general </w:t>
      </w:r>
      <w:r w:rsidRPr="00AD161D">
        <w:rPr>
          <w:rFonts w:ascii="Palatino Linotype" w:eastAsia="Palatino Linotype" w:hAnsi="Palatino Linotype" w:cs="Palatino Linotype"/>
          <w:b/>
        </w:rPr>
        <w:t xml:space="preserve">el número de drones que tiene el ayuntamiento para la seguridad pública y eventos al veinte de febrero de dos mil veinticinco, así como el número de eventos en los que fueron utilizados del veinte de febrero de dos mil veinticuatro al </w:t>
      </w: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b/>
        </w:rPr>
        <w:t xml:space="preserve">veinte de febrero de dos mil veinticinco </w:t>
      </w:r>
      <w:r w:rsidRPr="00AD161D">
        <w:rPr>
          <w:rFonts w:ascii="Palatino Linotype" w:eastAsia="Palatino Linotype" w:hAnsi="Palatino Linotype" w:cs="Palatino Linotype"/>
        </w:rPr>
        <w:t>al no haber precisado temporalidad respecto de este último punto, ya que la información solicitada no se encuentra individualizada, sino que se solicita de manera general.</w:t>
      </w:r>
    </w:p>
    <w:p w14:paraId="64E536B9"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Sirve de apoyo a lo anterior, los Criterios orientadores con claves de control SO/003/2019 y SO/008/2023, emitidos por el entonces Instituto Nacional de Transparencia y Acceso a la Información y Protección de Datos Personales, INAI, de rubro y texto siguientes:</w:t>
      </w:r>
    </w:p>
    <w:p w14:paraId="48714799" w14:textId="77777777" w:rsidR="00000D31" w:rsidRPr="00AD161D" w:rsidRDefault="00A93D2E">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Periodo de búsqueda de la información</w:t>
      </w:r>
      <w:r w:rsidRPr="00AD161D">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3CD4A41B"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 xml:space="preserve">Ejercicio del derecho de Acceso a la Información Pública. La información estadística es de naturaleza pública, independientemente de la materia con la que se encuentre vinculada. </w:t>
      </w:r>
      <w:r w:rsidRPr="00AD161D">
        <w:rPr>
          <w:rFonts w:ascii="Palatino Linotype" w:eastAsia="Palatino Linotype" w:hAnsi="Palatino Linotype" w:cs="Palatino Linotype"/>
          <w:i/>
        </w:rPr>
        <w:t xml:space="preserve">Considerando que la </w:t>
      </w:r>
      <w:r w:rsidRPr="00AD161D">
        <w:rPr>
          <w:rFonts w:ascii="Palatino Linotype" w:eastAsia="Palatino Linotype" w:hAnsi="Palatino Linotype" w:cs="Palatino Linotype"/>
          <w:i/>
        </w:rPr>
        <w:lastRenderedPageBreak/>
        <w:t xml:space="preserve">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w:t>
      </w:r>
      <w:r w:rsidRPr="00AD161D">
        <w:rPr>
          <w:rFonts w:ascii="Palatino Linotype" w:eastAsia="Palatino Linotype" w:hAnsi="Palatino Linotype" w:cs="Palatino Linotype"/>
          <w:b/>
          <w:i/>
        </w:rPr>
        <w:t>los sujetos obligados deberán poner a disposición del público, entre otra, la relativa a la que con base en la información estadística</w:t>
      </w:r>
      <w:r w:rsidRPr="00AD161D">
        <w:rPr>
          <w:rFonts w:ascii="Palatino Linotype" w:eastAsia="Palatino Linotype" w:hAnsi="Palatino Linotype" w:cs="Palatino Linotype"/>
          <w:i/>
        </w:rPr>
        <w:t xml:space="preserve">, responda a las preguntas hechas con más frecuencia por el público, por lo que es posible afirmar que la información estadística es de naturaleza pública, </w:t>
      </w:r>
      <w:r w:rsidRPr="00AD161D">
        <w:rPr>
          <w:rFonts w:ascii="Palatino Linotype" w:eastAsia="Palatino Linotype" w:hAnsi="Palatino Linotype" w:cs="Palatino Linotype"/>
          <w:b/>
          <w:i/>
        </w:rPr>
        <w:t>siempre y cuando los datos estadísticos no se encuentren individualizados o personalizados a casos o situaciones específicas,</w:t>
      </w:r>
      <w:r w:rsidRPr="00AD161D">
        <w:rPr>
          <w:rFonts w:ascii="Palatino Linotype" w:eastAsia="Palatino Linotype" w:hAnsi="Palatino Linotype" w:cs="Palatino Linotype"/>
          <w:i/>
        </w:rPr>
        <w:t xml:space="preserve"> que pudieran llegar a justificar su clasificación.”</w:t>
      </w:r>
    </w:p>
    <w:p w14:paraId="44A86C63"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Por consiguiente, para tener por satisfecho el Derecho de acceso de la persona solicitante, se estima dable ordenar la entrega del o los documentos que den cuenta de lo peticionado, en versión pública de ser procedente de conformidad con el considerando siguiente.</w:t>
      </w:r>
    </w:p>
    <w:p w14:paraId="0C52DDDF" w14:textId="77777777" w:rsidR="00000D31" w:rsidRPr="00AD161D" w:rsidRDefault="00A93D2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De lo hasta aquí expuesto, se concluye que los motivos de inconformidad de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 xml:space="preserve">devienen fundados, siendo procedente </w:t>
      </w:r>
      <w:r w:rsidRPr="00AD161D">
        <w:rPr>
          <w:rFonts w:ascii="Palatino Linotype" w:eastAsia="Palatino Linotype" w:hAnsi="Palatino Linotype" w:cs="Palatino Linotype"/>
          <w:i/>
        </w:rPr>
        <w:t xml:space="preserve">Modificar </w:t>
      </w:r>
      <w:r w:rsidRPr="00AD161D">
        <w:rPr>
          <w:rFonts w:ascii="Palatino Linotype" w:eastAsia="Palatino Linotype" w:hAnsi="Palatino Linotype" w:cs="Palatino Linotype"/>
        </w:rPr>
        <w:t xml:space="preserve">la respuesta proporcionada por el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2166790"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Quinto. Versión Pública. </w:t>
      </w:r>
      <w:r w:rsidRPr="00AD161D">
        <w:rPr>
          <w:rFonts w:ascii="Palatino Linotype" w:eastAsia="Palatino Linotype" w:hAnsi="Palatino Linotype" w:cs="Palatino Linotype"/>
        </w:rPr>
        <w:t>Como fue debidamente apuntado,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08FD7F5"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w:t>
      </w:r>
      <w:r w:rsidRPr="00AD161D">
        <w:rPr>
          <w:rFonts w:ascii="Palatino Linotype" w:eastAsia="Palatino Linotype" w:hAnsi="Palatino Linotype" w:cs="Palatino Linotype"/>
        </w:rPr>
        <w:lastRenderedPageBreak/>
        <w:t>den a conocer aquéllos que garanticen la rendición de cuentas y la transparencia en el ejercicio de las atribuciones que tienen conferidas.</w:t>
      </w:r>
    </w:p>
    <w:p w14:paraId="795C80E8"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CCA393E"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2502EE32"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rPr>
        <w:t> </w:t>
      </w: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Artículo 3.</w:t>
      </w:r>
      <w:r w:rsidRPr="00AD161D">
        <w:rPr>
          <w:rFonts w:ascii="Palatino Linotype" w:eastAsia="Palatino Linotype" w:hAnsi="Palatino Linotype" w:cs="Palatino Linotype"/>
          <w:i/>
        </w:rPr>
        <w:t xml:space="preserve"> Para los efectos de la presente Ley se entenderá por:</w:t>
      </w:r>
    </w:p>
    <w:p w14:paraId="7C78B293"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3D67BD5E"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IX. Datos personales</w:t>
      </w:r>
      <w:r w:rsidRPr="00AD161D">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4FD8A4AD"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45325F68"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XX. Información clasificada</w:t>
      </w:r>
      <w:r w:rsidRPr="00AD161D">
        <w:rPr>
          <w:rFonts w:ascii="Palatino Linotype" w:eastAsia="Palatino Linotype" w:hAnsi="Palatino Linotype" w:cs="Palatino Linotype"/>
          <w:i/>
        </w:rPr>
        <w:t>: Aquella considerada por la presente Ley como reservada o confidencial;</w:t>
      </w:r>
    </w:p>
    <w:p w14:paraId="3882FB76"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XXI. Información confidencial</w:t>
      </w:r>
      <w:r w:rsidRPr="00AD161D">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3F5C02D"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55DA3DD0"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XXXII. Protección de Datos Personales</w:t>
      </w:r>
      <w:r w:rsidRPr="00AD161D">
        <w:rPr>
          <w:rFonts w:ascii="Palatino Linotype" w:eastAsia="Palatino Linotype" w:hAnsi="Palatino Linotype" w:cs="Palatino Linotype"/>
          <w:i/>
        </w:rPr>
        <w:t>: Derecho humano que tutela la privacidad de datos personales en poder de los sujetos obligados y sujetos particulares;</w:t>
      </w:r>
    </w:p>
    <w:p w14:paraId="308228A2"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0C5DA10D" w14:textId="77777777" w:rsidR="00000D31" w:rsidRPr="00AD161D" w:rsidRDefault="00A93D2E">
      <w:pPr>
        <w:tabs>
          <w:tab w:val="left" w:pos="1276"/>
        </w:tabs>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XLV. Versión pública</w:t>
      </w:r>
      <w:r w:rsidRPr="00AD161D">
        <w:rPr>
          <w:rFonts w:ascii="Palatino Linotype" w:eastAsia="Palatino Linotype" w:hAnsi="Palatino Linotype" w:cs="Palatino Linotype"/>
          <w:i/>
        </w:rPr>
        <w:t>: Documento en el que se elimine, suprime o borra la información clasificada como reservada o confidencial para permitir su acceso.</w:t>
      </w:r>
    </w:p>
    <w:p w14:paraId="7EF82D29"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Artículo 6</w:t>
      </w:r>
      <w:r w:rsidRPr="00AD161D">
        <w:rPr>
          <w:rFonts w:ascii="Palatino Linotype" w:eastAsia="Palatino Linotype" w:hAnsi="Palatino Linotype" w:cs="Palatino Linotype"/>
          <w:i/>
        </w:rPr>
        <w:t xml:space="preserve">. Los datos personales son irrenunciables, intransferibles e indelegables, por lo que los sujetos obligados no deberán proporcionar o hacer </w:t>
      </w:r>
      <w:r w:rsidRPr="00AD161D">
        <w:rPr>
          <w:rFonts w:ascii="Palatino Linotype" w:eastAsia="Palatino Linotype" w:hAnsi="Palatino Linotype" w:cs="Palatino Linotype"/>
          <w:i/>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E97C01"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4546DA73"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91.</w:t>
      </w:r>
      <w:r w:rsidRPr="00AD161D">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AD161D">
        <w:rPr>
          <w:rFonts w:ascii="Palatino Linotype" w:eastAsia="Palatino Linotype" w:hAnsi="Palatino Linotype" w:cs="Palatino Linotype"/>
          <w:i/>
        </w:rPr>
        <w:br/>
        <w:t>…</w:t>
      </w:r>
    </w:p>
    <w:p w14:paraId="4A374E6F"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132.</w:t>
      </w:r>
      <w:r w:rsidRPr="00AD161D">
        <w:rPr>
          <w:rFonts w:ascii="Palatino Linotype" w:eastAsia="Palatino Linotype" w:hAnsi="Palatino Linotype" w:cs="Palatino Linotype"/>
          <w:i/>
        </w:rPr>
        <w:t xml:space="preserve"> La clasificación de la información se llevará a cabo en el momento en que:</w:t>
      </w:r>
    </w:p>
    <w:p w14:paraId="46C8DE4D"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Se reciba una solicitud de acceso a la información;</w:t>
      </w:r>
    </w:p>
    <w:p w14:paraId="230511FB"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Se determine mediante resolución de autoridad competente; o</w:t>
      </w:r>
    </w:p>
    <w:p w14:paraId="148F9424"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III.</w:t>
      </w:r>
      <w:r w:rsidRPr="00AD161D">
        <w:rPr>
          <w:rFonts w:ascii="Palatino Linotype" w:eastAsia="Palatino Linotype" w:hAnsi="Palatino Linotype" w:cs="Palatino Linotype"/>
          <w:i/>
        </w:rPr>
        <w:t xml:space="preserve"> Se generen versiones públicas para dar cumplimiento a las obligaciones de transparencia previstas en esta Ley.</w:t>
      </w:r>
    </w:p>
    <w:p w14:paraId="6332E744"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w:t>
      </w:r>
    </w:p>
    <w:p w14:paraId="32DF12C4"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137.</w:t>
      </w:r>
      <w:r w:rsidRPr="00AD161D">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DFB4BB"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Artículo 143.</w:t>
      </w:r>
      <w:r w:rsidRPr="00AD161D">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B25475E"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02FCE64" w14:textId="77777777" w:rsidR="00000D31" w:rsidRPr="00AD161D" w:rsidRDefault="00A93D2E">
      <w:pPr>
        <w:spacing w:before="240" w:after="240" w:line="360" w:lineRule="auto"/>
        <w:ind w:right="50"/>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w:t>
      </w:r>
      <w:r w:rsidRPr="00AD161D">
        <w:rPr>
          <w:rFonts w:ascii="Palatino Linotype" w:eastAsia="Palatino Linotype" w:hAnsi="Palatino Linotype" w:cs="Palatino Linotype"/>
        </w:rPr>
        <w:lastRenderedPageBreak/>
        <w:t>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50DCC15" w14:textId="77777777" w:rsidR="00000D31" w:rsidRPr="00AD161D" w:rsidRDefault="00A93D2E">
      <w:pPr>
        <w:spacing w:before="240" w:after="240" w:line="360" w:lineRule="auto"/>
        <w:ind w:right="50"/>
        <w:jc w:val="both"/>
        <w:rPr>
          <w:rFonts w:ascii="Palatino Linotype" w:eastAsia="Palatino Linotype" w:hAnsi="Palatino Linotype" w:cs="Palatino Linotype"/>
        </w:rPr>
      </w:pPr>
      <w:r w:rsidRPr="00AD161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5B4847"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Asimismo, para el caso de que la información que se ordena contenga información relacionada con las especificaciones técnicas de los drones, dicha descripción deberá clasificarse en términos de lo previsto en el artículo 140, fracción I de la Ley de Transparencia y Acceso a la Información Pública del Estado de México y Municipios, a través del acuerdo de clasificación emitido por el Comité de Transparencia, en donde de manera fundada y motivada, mediante prueba de daño, confirme la clasificación de dicha información como reservada, a través de la versión pública que entregue.</w:t>
      </w:r>
    </w:p>
    <w:p w14:paraId="21F08F01"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24AAF095"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Ahora </w:t>
      </w:r>
      <w:proofErr w:type="gramStart"/>
      <w:r w:rsidRPr="00AD161D">
        <w:rPr>
          <w:rFonts w:ascii="Palatino Linotype" w:eastAsia="Palatino Linotype" w:hAnsi="Palatino Linotype" w:cs="Palatino Linotype"/>
        </w:rPr>
        <w:t>bien</w:t>
      </w:r>
      <w:proofErr w:type="gramEnd"/>
      <w:r w:rsidRPr="00AD161D">
        <w:rPr>
          <w:rFonts w:ascii="Palatino Linotype" w:eastAsia="Palatino Linotype" w:hAnsi="Palatino Linotype" w:cs="Palatino Linotype"/>
        </w:rPr>
        <w:t xml:space="preserve">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4CDC4817" w14:textId="77777777" w:rsidR="00000D31" w:rsidRPr="00AD161D" w:rsidRDefault="00A93D2E">
      <w:pPr>
        <w:spacing w:before="120" w:after="120"/>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lastRenderedPageBreak/>
        <w:t>“…</w:t>
      </w:r>
      <w:r w:rsidRPr="00AD161D">
        <w:rPr>
          <w:rFonts w:ascii="Palatino Linotype" w:eastAsia="Palatino Linotype" w:hAnsi="Palatino Linotype" w:cs="Palatino Linotype"/>
          <w:b/>
          <w:i/>
        </w:rPr>
        <w:t>XXIV. Información reservada</w:t>
      </w:r>
      <w:r w:rsidRPr="00AD161D">
        <w:rPr>
          <w:rFonts w:ascii="Palatino Linotype" w:eastAsia="Palatino Linotype" w:hAnsi="Palatino Linotype" w:cs="Palatino Linotype"/>
          <w:i/>
        </w:rPr>
        <w:t>: La clasificada con este carácter de manera temporal por las disposiciones de esta Ley, cuya divulgación puede causar daño en términos de lo establecido por esta Ley…”</w:t>
      </w:r>
    </w:p>
    <w:p w14:paraId="39C66A88"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la obligación de proteger los datos personales contenidos en la información en su poder, así como aquella que recaiga en alguna causal de reserva que señale la Ley.</w:t>
      </w:r>
    </w:p>
    <w:p w14:paraId="0BF1A486" w14:textId="77777777" w:rsidR="00000D31" w:rsidRPr="00AD161D" w:rsidRDefault="00A93D2E">
      <w:pPr>
        <w:spacing w:before="240" w:after="240" w:line="360" w:lineRule="auto"/>
        <w:ind w:right="50"/>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D161D">
        <w:rPr>
          <w:rFonts w:ascii="Palatino Linotype" w:eastAsia="Palatino Linotype" w:hAnsi="Palatino Linotype" w:cs="Palatino Linotype"/>
        </w:rPr>
        <w:t>Responsable</w:t>
      </w:r>
      <w:proofErr w:type="gramEnd"/>
      <w:r w:rsidRPr="00AD161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041563C"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49.</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Los Comités de Transparencia</w:t>
      </w:r>
      <w:r w:rsidRPr="00AD161D">
        <w:rPr>
          <w:rFonts w:ascii="Palatino Linotype" w:eastAsia="Palatino Linotype" w:hAnsi="Palatino Linotype" w:cs="Palatino Linotype"/>
          <w:i/>
        </w:rPr>
        <w:t xml:space="preserve"> tendrán las siguientes atribuciones:</w:t>
      </w:r>
    </w:p>
    <w:p w14:paraId="7596266B"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VIII. Aprobar, modificar o revocar la clasificación de la información</w:t>
      </w:r>
      <w:r w:rsidRPr="00AD161D">
        <w:rPr>
          <w:rFonts w:ascii="Palatino Linotype" w:eastAsia="Palatino Linotype" w:hAnsi="Palatino Linotype" w:cs="Palatino Linotype"/>
          <w:i/>
        </w:rPr>
        <w:t>…”</w:t>
      </w:r>
    </w:p>
    <w:p w14:paraId="1C4CC2EC"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Artículo 53.</w:t>
      </w:r>
      <w:r w:rsidRPr="00AD161D">
        <w:rPr>
          <w:rFonts w:ascii="Palatino Linotype" w:eastAsia="Palatino Linotype" w:hAnsi="Palatino Linotype" w:cs="Palatino Linotype"/>
          <w:i/>
        </w:rPr>
        <w:t xml:space="preserve"> Las </w:t>
      </w:r>
      <w:r w:rsidRPr="00AD161D">
        <w:rPr>
          <w:rFonts w:ascii="Palatino Linotype" w:eastAsia="Palatino Linotype" w:hAnsi="Palatino Linotype" w:cs="Palatino Linotype"/>
          <w:b/>
          <w:i/>
        </w:rPr>
        <w:t>Unidades de Transparencia</w:t>
      </w:r>
      <w:r w:rsidRPr="00AD161D">
        <w:rPr>
          <w:rFonts w:ascii="Palatino Linotype" w:eastAsia="Palatino Linotype" w:hAnsi="Palatino Linotype" w:cs="Palatino Linotype"/>
          <w:i/>
        </w:rPr>
        <w:t xml:space="preserve"> tendrán las siguientes </w:t>
      </w:r>
      <w:r w:rsidRPr="00AD161D">
        <w:rPr>
          <w:rFonts w:ascii="Palatino Linotype" w:eastAsia="Palatino Linotype" w:hAnsi="Palatino Linotype" w:cs="Palatino Linotype"/>
          <w:b/>
          <w:i/>
        </w:rPr>
        <w:t>funciones</w:t>
      </w:r>
      <w:r w:rsidRPr="00AD161D">
        <w:rPr>
          <w:rFonts w:ascii="Palatino Linotype" w:eastAsia="Palatino Linotype" w:hAnsi="Palatino Linotype" w:cs="Palatino Linotype"/>
          <w:i/>
        </w:rPr>
        <w:t>:</w:t>
      </w:r>
    </w:p>
    <w:p w14:paraId="47DE8883"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X. Presentar ante el Comité, el proyecto de clasificación de información</w:t>
      </w:r>
      <w:r w:rsidRPr="00AD161D">
        <w:rPr>
          <w:rFonts w:ascii="Palatino Linotype" w:eastAsia="Palatino Linotype" w:hAnsi="Palatino Linotype" w:cs="Palatino Linotype"/>
          <w:i/>
        </w:rPr>
        <w:t xml:space="preserve">…” </w:t>
      </w:r>
    </w:p>
    <w:p w14:paraId="3F27ECF2"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“Artículo 59.</w:t>
      </w:r>
      <w:r w:rsidRPr="00AD161D">
        <w:rPr>
          <w:rFonts w:ascii="Palatino Linotype" w:eastAsia="Palatino Linotype" w:hAnsi="Palatino Linotype" w:cs="Palatino Linotype"/>
          <w:i/>
        </w:rPr>
        <w:t xml:space="preserve"> Los </w:t>
      </w:r>
      <w:r w:rsidRPr="00AD161D">
        <w:rPr>
          <w:rFonts w:ascii="Palatino Linotype" w:eastAsia="Palatino Linotype" w:hAnsi="Palatino Linotype" w:cs="Palatino Linotype"/>
          <w:b/>
          <w:i/>
        </w:rPr>
        <w:t>servidores públicos habilitados</w:t>
      </w:r>
      <w:r w:rsidRPr="00AD161D">
        <w:rPr>
          <w:rFonts w:ascii="Palatino Linotype" w:eastAsia="Palatino Linotype" w:hAnsi="Palatino Linotype" w:cs="Palatino Linotype"/>
          <w:i/>
        </w:rPr>
        <w:t xml:space="preserve"> tendrán las </w:t>
      </w:r>
      <w:r w:rsidRPr="00AD161D">
        <w:rPr>
          <w:rFonts w:ascii="Palatino Linotype" w:eastAsia="Palatino Linotype" w:hAnsi="Palatino Linotype" w:cs="Palatino Linotype"/>
          <w:b/>
          <w:i/>
        </w:rPr>
        <w:t>funciones</w:t>
      </w:r>
      <w:r w:rsidRPr="00AD161D">
        <w:rPr>
          <w:rFonts w:ascii="Palatino Linotype" w:eastAsia="Palatino Linotype" w:hAnsi="Palatino Linotype" w:cs="Palatino Linotype"/>
          <w:i/>
        </w:rPr>
        <w:t xml:space="preserve"> siguientes:</w:t>
      </w:r>
    </w:p>
    <w:p w14:paraId="79B9D435"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V. Integrar y presentar al responsable de la Unidad de Transparencia la propuesta de clasificación de información</w:t>
      </w:r>
      <w:r w:rsidRPr="00AD161D">
        <w:rPr>
          <w:rFonts w:ascii="Palatino Linotype" w:eastAsia="Palatino Linotype" w:hAnsi="Palatino Linotype" w:cs="Palatino Linotype"/>
          <w:i/>
        </w:rPr>
        <w:t>, la cual tendrá los fundamentos y argumentos en que se basa dicha propuesta…”</w:t>
      </w:r>
    </w:p>
    <w:p w14:paraId="690EDC5A"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A28667F"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AF1155D"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Artículo 149.</w:t>
      </w:r>
      <w:r w:rsidRPr="00AD161D">
        <w:rPr>
          <w:rFonts w:ascii="Palatino Linotype" w:eastAsia="Palatino Linotype" w:hAnsi="Palatino Linotype" w:cs="Palatino Linotype"/>
          <w:i/>
        </w:rPr>
        <w:t xml:space="preserve"> El </w:t>
      </w:r>
      <w:r w:rsidRPr="00AD161D">
        <w:rPr>
          <w:rFonts w:ascii="Palatino Linotype" w:eastAsia="Palatino Linotype" w:hAnsi="Palatino Linotype" w:cs="Palatino Linotype"/>
          <w:b/>
          <w:i/>
        </w:rPr>
        <w:t>acuerdo que clasifique la información como confidencial</w:t>
      </w:r>
      <w:r w:rsidRPr="00AD161D">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0DCD7B1D" w14:textId="77777777" w:rsidR="00000D31" w:rsidRPr="00AD161D" w:rsidRDefault="00A93D2E">
      <w:pP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Es decir,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EF8B16C"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Atento a lo anterior, cabe señalar que el Comité de Transparencia del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deberá emitir el acuerdo de clasificación de información debidamente fundado y motivado, en términos los Lineamientos Segundo, fracción XVIII, y del Cuarto al Décimo Primero de los “Lineamientos Generales en materia de Clasificación y Desclasificación de la </w:t>
      </w:r>
      <w:r w:rsidRPr="00AD161D">
        <w:rPr>
          <w:rFonts w:ascii="Palatino Linotype" w:eastAsia="Palatino Linotype" w:hAnsi="Palatino Linotype" w:cs="Palatino Linotype"/>
        </w:rPr>
        <w:lastRenderedPageBreak/>
        <w:t>Información, así como para la elaboración de Versiones Públicas”, que literalmente expresan:</w:t>
      </w:r>
    </w:p>
    <w:p w14:paraId="45BB4451"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 “</w:t>
      </w:r>
      <w:proofErr w:type="gramStart"/>
      <w:r w:rsidRPr="00AD161D">
        <w:rPr>
          <w:rFonts w:ascii="Palatino Linotype" w:eastAsia="Palatino Linotype" w:hAnsi="Palatino Linotype" w:cs="Palatino Linotype"/>
          <w:b/>
          <w:i/>
        </w:rPr>
        <w:t>Segundo.-</w:t>
      </w:r>
      <w:proofErr w:type="gramEnd"/>
      <w:r w:rsidRPr="00AD161D">
        <w:rPr>
          <w:rFonts w:ascii="Palatino Linotype" w:eastAsia="Palatino Linotype" w:hAnsi="Palatino Linotype" w:cs="Palatino Linotype"/>
          <w:i/>
        </w:rPr>
        <w:t xml:space="preserve"> Para efectos de los presentes Lineamientos Generales, se entenderá por:</w:t>
      </w:r>
    </w:p>
    <w:p w14:paraId="3C38A73A" w14:textId="77777777" w:rsidR="00000D31" w:rsidRPr="00AD161D" w:rsidRDefault="00A93D2E">
      <w:pPr>
        <w:tabs>
          <w:tab w:val="left" w:pos="8222"/>
        </w:tabs>
        <w:spacing w:before="120" w:after="120" w:line="240" w:lineRule="auto"/>
        <w:ind w:left="1134"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XVIII.</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Versión pública:</w:t>
      </w:r>
      <w:r w:rsidRPr="00AD161D">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AD161D">
        <w:rPr>
          <w:rFonts w:ascii="Palatino Linotype" w:eastAsia="Palatino Linotype" w:hAnsi="Palatino Linotype" w:cs="Palatino Linotype"/>
          <w:b/>
          <w:i/>
        </w:rPr>
        <w:t>fundando y motivando la</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reserva o confidencialidad</w:t>
      </w:r>
      <w:r w:rsidRPr="00AD161D">
        <w:rPr>
          <w:rFonts w:ascii="Palatino Linotype" w:eastAsia="Palatino Linotype" w:hAnsi="Palatino Linotype" w:cs="Palatino Linotype"/>
          <w:i/>
        </w:rPr>
        <w:t>, a través de la resolución que para tal efecto emita el Comité de Transparencia.</w:t>
      </w:r>
    </w:p>
    <w:p w14:paraId="647420B4"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b/>
          <w:i/>
        </w:rPr>
      </w:pPr>
      <w:r w:rsidRPr="00AD161D">
        <w:rPr>
          <w:rFonts w:ascii="Palatino Linotype" w:eastAsia="Palatino Linotype" w:hAnsi="Palatino Linotype" w:cs="Palatino Linotype"/>
          <w:b/>
          <w:i/>
        </w:rPr>
        <w:t>...</w:t>
      </w:r>
    </w:p>
    <w:p w14:paraId="561781EA"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Cuarto.</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Para clasificar la información como</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reservada o</w:t>
      </w:r>
      <w:r w:rsidRPr="00AD161D">
        <w:rPr>
          <w:rFonts w:ascii="Palatino Linotype" w:eastAsia="Palatino Linotype" w:hAnsi="Palatino Linotype" w:cs="Palatino Linotype"/>
          <w:i/>
        </w:rPr>
        <w:t xml:space="preserve"> </w:t>
      </w:r>
      <w:r w:rsidRPr="00AD161D">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AD161D">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DFD6C2"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4C3EA7C5"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Quinto.</w:t>
      </w:r>
      <w:r w:rsidRPr="00AD161D">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B6FB7F"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Sexto.</w:t>
      </w:r>
      <w:r w:rsidRPr="00AD161D">
        <w:rPr>
          <w:rFonts w:ascii="Palatino Linotype" w:eastAsia="Palatino Linotype" w:hAnsi="Palatino Linotype" w:cs="Palatino Linotype"/>
          <w:i/>
        </w:rPr>
        <w:t xml:space="preserve"> Se deroga.</w:t>
      </w:r>
    </w:p>
    <w:p w14:paraId="78DB0330"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Séptimo.</w:t>
      </w:r>
      <w:r w:rsidRPr="00AD161D">
        <w:rPr>
          <w:rFonts w:ascii="Palatino Linotype" w:eastAsia="Palatino Linotype" w:hAnsi="Palatino Linotype" w:cs="Palatino Linotype"/>
          <w:i/>
        </w:rPr>
        <w:t xml:space="preserve"> La clasificación de la información se llevará a cabo en el momento en que:</w:t>
      </w:r>
    </w:p>
    <w:p w14:paraId="0516304B" w14:textId="77777777" w:rsidR="00000D31" w:rsidRPr="00AD161D" w:rsidRDefault="00A93D2E">
      <w:pPr>
        <w:tabs>
          <w:tab w:val="left" w:pos="8222"/>
        </w:tabs>
        <w:spacing w:before="120" w:after="120" w:line="240" w:lineRule="auto"/>
        <w:ind w:left="1134"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Se reciba una solicitud de acceso a la información;</w:t>
      </w:r>
    </w:p>
    <w:p w14:paraId="3F47576E" w14:textId="77777777" w:rsidR="00000D31" w:rsidRPr="00AD161D" w:rsidRDefault="00A93D2E">
      <w:pPr>
        <w:tabs>
          <w:tab w:val="left" w:pos="8222"/>
        </w:tabs>
        <w:spacing w:before="120" w:after="120" w:line="240" w:lineRule="auto"/>
        <w:ind w:left="1134"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2EF1FAEB" w14:textId="77777777" w:rsidR="00000D31" w:rsidRPr="00AD161D" w:rsidRDefault="00A93D2E">
      <w:pPr>
        <w:tabs>
          <w:tab w:val="left" w:pos="8222"/>
        </w:tabs>
        <w:spacing w:before="120" w:after="120" w:line="240" w:lineRule="auto"/>
        <w:ind w:left="1134"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lastRenderedPageBreak/>
        <w:t>III.</w:t>
      </w:r>
      <w:r w:rsidRPr="00AD161D">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433C8B0"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Los titulares de las áreas deberán revisar la clasificación al momento de la recepción de una solicitud de acceso, para verificar</w:t>
      </w:r>
      <w:r w:rsidRPr="00AD161D">
        <w:rPr>
          <w:rFonts w:ascii="Palatino Linotype" w:eastAsia="Palatino Linotype" w:hAnsi="Palatino Linotype" w:cs="Palatino Linotype"/>
        </w:rPr>
        <w:t xml:space="preserve">, </w:t>
      </w:r>
      <w:r w:rsidRPr="00AD161D">
        <w:rPr>
          <w:rFonts w:ascii="Palatino Linotype" w:eastAsia="Palatino Linotype" w:hAnsi="Palatino Linotype" w:cs="Palatino Linotype"/>
          <w:i/>
        </w:rPr>
        <w:t>conforme a su naturaleza, si encuadra en una causal de reserva o de confidencialidad.</w:t>
      </w:r>
    </w:p>
    <w:p w14:paraId="21A6CE13"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Octavo.</w:t>
      </w:r>
      <w:r w:rsidRPr="00AD161D">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73C62FB"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2ADF3E1"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671B728"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Noveno.</w:t>
      </w:r>
      <w:r w:rsidRPr="00AD161D">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8C711F"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Décimo.</w:t>
      </w:r>
      <w:r w:rsidRPr="00AD161D">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DDC78D8"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E14D45A" w14:textId="77777777" w:rsidR="00000D31" w:rsidRPr="00AD161D" w:rsidRDefault="00A93D2E">
      <w:pPr>
        <w:tabs>
          <w:tab w:val="left" w:pos="8222"/>
        </w:tabs>
        <w:spacing w:before="120" w:after="120" w:line="240" w:lineRule="auto"/>
        <w:ind w:left="851" w:right="1134"/>
        <w:jc w:val="both"/>
        <w:rPr>
          <w:rFonts w:ascii="Palatino Linotype" w:eastAsia="Palatino Linotype" w:hAnsi="Palatino Linotype" w:cs="Palatino Linotype"/>
          <w:i/>
        </w:rPr>
      </w:pPr>
      <w:r w:rsidRPr="00AD161D">
        <w:rPr>
          <w:rFonts w:ascii="Palatino Linotype" w:eastAsia="Palatino Linotype" w:hAnsi="Palatino Linotype" w:cs="Palatino Linotype"/>
          <w:b/>
          <w:i/>
        </w:rPr>
        <w:t>Décimo primero.</w:t>
      </w:r>
      <w:r w:rsidRPr="00AD161D">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0237164" w14:textId="77777777" w:rsidR="00000D31" w:rsidRPr="00AD161D" w:rsidRDefault="00A93D2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 xml:space="preserve">Asimismo, respecto a las formalidades que deberá llevar el acuerdo de clasificación que deberá emitir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AC1C3FF"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 “Quincuagésimo. </w:t>
      </w:r>
      <w:r w:rsidRPr="00AD161D">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688F019" w14:textId="77777777" w:rsidR="00000D31" w:rsidRPr="00AD161D" w:rsidRDefault="00A93D2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Quincuagésimo primero. </w:t>
      </w:r>
      <w:r w:rsidRPr="00AD161D">
        <w:rPr>
          <w:rFonts w:ascii="Palatino Linotype" w:eastAsia="Palatino Linotype" w:hAnsi="Palatino Linotype" w:cs="Palatino Linotype"/>
          <w:i/>
        </w:rPr>
        <w:t xml:space="preserve">Toda acta del Comité de Transparencia deberá contener: </w:t>
      </w:r>
    </w:p>
    <w:p w14:paraId="6E6FA481"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El número de sesión y fecha; </w:t>
      </w:r>
    </w:p>
    <w:p w14:paraId="4C06D642"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El nombre del área que solicitó la clasificación de información; </w:t>
      </w:r>
    </w:p>
    <w:p w14:paraId="3D56834F"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III</w:t>
      </w:r>
      <w:r w:rsidRPr="00AD161D">
        <w:rPr>
          <w:rFonts w:ascii="Palatino Linotype" w:eastAsia="Palatino Linotype" w:hAnsi="Palatino Linotype" w:cs="Palatino Linotype"/>
          <w:i/>
        </w:rPr>
        <w:t xml:space="preserve">. La fundamentación legal y motivación correspondiente; </w:t>
      </w:r>
    </w:p>
    <w:p w14:paraId="3AF845AA"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IV</w:t>
      </w:r>
      <w:r w:rsidRPr="00AD161D">
        <w:rPr>
          <w:rFonts w:ascii="Palatino Linotype" w:eastAsia="Palatino Linotype" w:hAnsi="Palatino Linotype" w:cs="Palatino Linotype"/>
          <w:i/>
        </w:rPr>
        <w:t xml:space="preserve">. La resolución o resoluciones aprobadas; y </w:t>
      </w:r>
    </w:p>
    <w:p w14:paraId="61956E09"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V</w:t>
      </w:r>
      <w:r w:rsidRPr="00AD161D">
        <w:rPr>
          <w:rFonts w:ascii="Palatino Linotype" w:eastAsia="Palatino Linotype" w:hAnsi="Palatino Linotype" w:cs="Palatino Linotype"/>
          <w:i/>
        </w:rPr>
        <w:t xml:space="preserve">. La rúbrica o firma digital de cada integrante del Comité de Transparencia. </w:t>
      </w:r>
    </w:p>
    <w:p w14:paraId="3CAB42F6" w14:textId="77777777" w:rsidR="00000D31" w:rsidRPr="00AD161D" w:rsidRDefault="00A93D2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11349C3B"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Los motivos y razonamientos que sustenten la confirmación o modificación de la prueba de daño;</w:t>
      </w:r>
    </w:p>
    <w:p w14:paraId="2A5A3423"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Descripción de las partes o secciones reservadas, en caso de clasificación parcial</w:t>
      </w:r>
      <w:r w:rsidRPr="00AD161D">
        <w:rPr>
          <w:rFonts w:ascii="Palatino Linotype" w:eastAsia="Palatino Linotype" w:hAnsi="Palatino Linotype" w:cs="Palatino Linotype"/>
          <w:b/>
          <w:i/>
        </w:rPr>
        <w:t xml:space="preserve">; </w:t>
      </w:r>
    </w:p>
    <w:p w14:paraId="618EFF1A"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III.</w:t>
      </w:r>
      <w:r w:rsidRPr="00AD161D">
        <w:rPr>
          <w:rFonts w:ascii="Palatino Linotype" w:eastAsia="Palatino Linotype" w:hAnsi="Palatino Linotype" w:cs="Palatino Linotype"/>
          <w:i/>
        </w:rPr>
        <w:t xml:space="preserve"> El periodo por el que mantendrá su clasificación y fecha de expiración; y </w:t>
      </w:r>
    </w:p>
    <w:p w14:paraId="45DD60DC" w14:textId="77777777" w:rsidR="00000D31" w:rsidRPr="00AD161D" w:rsidRDefault="00A93D2E">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IV.</w:t>
      </w:r>
      <w:r w:rsidRPr="00AD161D">
        <w:rPr>
          <w:rFonts w:ascii="Palatino Linotype" w:eastAsia="Palatino Linotype" w:hAnsi="Palatino Linotype" w:cs="Palatino Linotype"/>
          <w:i/>
        </w:rPr>
        <w:t xml:space="preserve"> El nombre del titular y área encargada de realizar la versión pública del documento, en su caso. </w:t>
      </w:r>
    </w:p>
    <w:p w14:paraId="58D9BEA6" w14:textId="77777777" w:rsidR="00000D31" w:rsidRPr="00AD161D" w:rsidRDefault="00A93D2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3473C145" w14:textId="77777777" w:rsidR="00000D31" w:rsidRPr="00AD161D" w:rsidRDefault="00A93D2E">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7CA3B2C" w14:textId="77777777" w:rsidR="00000D31" w:rsidRPr="00AD161D" w:rsidRDefault="00A93D2E">
      <w:pPr>
        <w:spacing w:before="240" w:after="240" w:line="360" w:lineRule="auto"/>
        <w:ind w:right="50"/>
        <w:jc w:val="both"/>
        <w:rPr>
          <w:rFonts w:ascii="Palatino Linotype" w:eastAsia="Palatino Linotype" w:hAnsi="Palatino Linotype" w:cs="Palatino Linotype"/>
        </w:rPr>
      </w:pPr>
      <w:r w:rsidRPr="00AD161D">
        <w:rPr>
          <w:rFonts w:ascii="Palatino Linotype" w:eastAsia="Palatino Linotype" w:hAnsi="Palatino Linotype" w:cs="Palatino Linotype"/>
        </w:rPr>
        <w:lastRenderedPageBreak/>
        <w:t xml:space="preserve">En relación directa con ello deberá observar el Lineamiento Quincuagésimo tercero de los Lineamientos Generales en Materia de Clasificación y Desclasificación de la Información </w:t>
      </w:r>
      <w:proofErr w:type="spellStart"/>
      <w:r w:rsidRPr="00AD161D">
        <w:rPr>
          <w:rFonts w:ascii="Palatino Linotype" w:eastAsia="Palatino Linotype" w:hAnsi="Palatino Linotype" w:cs="Palatino Linotype"/>
        </w:rPr>
        <w:t>supraindicados</w:t>
      </w:r>
      <w:proofErr w:type="spellEnd"/>
      <w:r w:rsidRPr="00AD161D">
        <w:rPr>
          <w:rFonts w:ascii="Palatino Linotype" w:eastAsia="Palatino Linotype" w:hAnsi="Palatino Linotype" w:cs="Palatino Linotype"/>
        </w:rPr>
        <w:t xml:space="preserve">, que establece los formatos para la clasificación de los documentos o expedientes que contengan información reservada, conforme a lo siguiente: </w:t>
      </w:r>
    </w:p>
    <w:p w14:paraId="044CEF4A" w14:textId="77777777" w:rsidR="00000D31" w:rsidRPr="00AD161D" w:rsidRDefault="00A93D2E">
      <w:pPr>
        <w:spacing w:before="120" w:after="120" w:line="240" w:lineRule="auto"/>
        <w:ind w:left="851" w:right="900"/>
        <w:jc w:val="center"/>
        <w:rPr>
          <w:rFonts w:ascii="Palatino Linotype" w:eastAsia="Palatino Linotype" w:hAnsi="Palatino Linotype" w:cs="Palatino Linotype"/>
          <w:b/>
          <w:i/>
        </w:rPr>
      </w:pPr>
      <w:r w:rsidRPr="00AD161D">
        <w:rPr>
          <w:rFonts w:ascii="Palatino Linotype" w:eastAsia="Palatino Linotype" w:hAnsi="Palatino Linotype" w:cs="Palatino Linotype"/>
          <w:b/>
          <w:i/>
        </w:rPr>
        <w:t>CAPÍTULO VIII</w:t>
      </w:r>
    </w:p>
    <w:p w14:paraId="1684975E" w14:textId="77777777" w:rsidR="00000D31" w:rsidRPr="00AD161D" w:rsidRDefault="00A93D2E">
      <w:pPr>
        <w:spacing w:before="120" w:after="120" w:line="240" w:lineRule="auto"/>
        <w:ind w:left="851" w:right="900"/>
        <w:jc w:val="center"/>
        <w:rPr>
          <w:rFonts w:ascii="Palatino Linotype" w:eastAsia="Palatino Linotype" w:hAnsi="Palatino Linotype" w:cs="Palatino Linotype"/>
          <w:b/>
          <w:i/>
        </w:rPr>
      </w:pPr>
      <w:r w:rsidRPr="00AD161D">
        <w:rPr>
          <w:rFonts w:ascii="Palatino Linotype" w:eastAsia="Palatino Linotype" w:hAnsi="Palatino Linotype" w:cs="Palatino Linotype"/>
          <w:b/>
          <w:i/>
        </w:rPr>
        <w:t xml:space="preserve">DE LOS ELEMENTOS PARA LA CLASIFICACIÓN </w:t>
      </w:r>
    </w:p>
    <w:p w14:paraId="77AFAE70" w14:textId="77777777" w:rsidR="00000D31" w:rsidRPr="00AD161D" w:rsidRDefault="00A93D2E">
      <w:pPr>
        <w:spacing w:before="120" w:after="120" w:line="240" w:lineRule="auto"/>
        <w:ind w:left="851" w:right="900"/>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29C3EEDB"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Quincuagésimo tercero. </w:t>
      </w:r>
      <w:r w:rsidRPr="00AD161D">
        <w:rPr>
          <w:rFonts w:ascii="Palatino Linotype" w:eastAsia="Palatino Linotype" w:hAnsi="Palatino Linotype" w:cs="Palatino Linotype"/>
          <w:b/>
          <w:i/>
          <w:u w:val="single"/>
        </w:rPr>
        <w:t>El formato para señalar la clasificación de un documento o expediente que contenga información reservada</w:t>
      </w:r>
      <w:r w:rsidRPr="00AD161D">
        <w:rPr>
          <w:rFonts w:ascii="Palatino Linotype" w:eastAsia="Palatino Linotype" w:hAnsi="Palatino Linotype" w:cs="Palatino Linotype"/>
          <w:b/>
          <w:i/>
        </w:rPr>
        <w:t xml:space="preserve">, </w:t>
      </w:r>
      <w:r w:rsidRPr="00AD161D">
        <w:rPr>
          <w:rFonts w:ascii="Palatino Linotype" w:eastAsia="Palatino Linotype" w:hAnsi="Palatino Linotype" w:cs="Palatino Linotype"/>
          <w:i/>
        </w:rPr>
        <w:t xml:space="preserve">es el siguiente: </w:t>
      </w:r>
    </w:p>
    <w:p w14:paraId="5CAF1E40" w14:textId="77777777" w:rsidR="00000D31" w:rsidRPr="00AD161D" w:rsidRDefault="00A93D2E">
      <w:pPr>
        <w:spacing w:before="120" w:after="120"/>
        <w:ind w:left="851"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noProof/>
        </w:rPr>
        <w:drawing>
          <wp:inline distT="0" distB="0" distL="0" distR="0" wp14:anchorId="2D7D4763" wp14:editId="3A286167">
            <wp:extent cx="4295775" cy="295275"/>
            <wp:effectExtent l="0" t="0" r="0" b="0"/>
            <wp:docPr id="1984123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95731"/>
                    <a:stretch>
                      <a:fillRect/>
                    </a:stretch>
                  </pic:blipFill>
                  <pic:spPr>
                    <a:xfrm>
                      <a:off x="0" y="0"/>
                      <a:ext cx="4295775" cy="295275"/>
                    </a:xfrm>
                    <a:prstGeom prst="rect">
                      <a:avLst/>
                    </a:prstGeom>
                    <a:ln/>
                  </pic:spPr>
                </pic:pic>
              </a:graphicData>
            </a:graphic>
          </wp:inline>
        </w:drawing>
      </w:r>
    </w:p>
    <w:p w14:paraId="45285D29" w14:textId="77777777" w:rsidR="00000D31" w:rsidRPr="00AD161D" w:rsidRDefault="00A93D2E">
      <w:pPr>
        <w:spacing w:before="120" w:after="120"/>
        <w:ind w:left="851"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noProof/>
        </w:rPr>
        <w:drawing>
          <wp:inline distT="0" distB="0" distL="0" distR="0" wp14:anchorId="3A2D8E5A" wp14:editId="00BAD5AF">
            <wp:extent cx="4333875" cy="3680841"/>
            <wp:effectExtent l="0" t="0" r="0" b="0"/>
            <wp:docPr id="1984123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30907" b="15799"/>
                    <a:stretch>
                      <a:fillRect/>
                    </a:stretch>
                  </pic:blipFill>
                  <pic:spPr>
                    <a:xfrm>
                      <a:off x="0" y="0"/>
                      <a:ext cx="4333875" cy="3680841"/>
                    </a:xfrm>
                    <a:prstGeom prst="rect">
                      <a:avLst/>
                    </a:prstGeom>
                    <a:ln/>
                  </pic:spPr>
                </pic:pic>
              </a:graphicData>
            </a:graphic>
          </wp:inline>
        </w:drawing>
      </w:r>
    </w:p>
    <w:p w14:paraId="388AB48D" w14:textId="77777777" w:rsidR="00000D31" w:rsidRPr="00AD161D" w:rsidRDefault="00A93D2E">
      <w:pPr>
        <w:spacing w:before="120" w:after="120"/>
        <w:ind w:left="851"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noProof/>
        </w:rPr>
        <w:lastRenderedPageBreak/>
        <w:drawing>
          <wp:inline distT="0" distB="0" distL="0" distR="0" wp14:anchorId="1AA45CE3" wp14:editId="2E8C40CA">
            <wp:extent cx="4333875" cy="967695"/>
            <wp:effectExtent l="0" t="0" r="0" b="0"/>
            <wp:docPr id="19841231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84983" b="1007"/>
                    <a:stretch>
                      <a:fillRect/>
                    </a:stretch>
                  </pic:blipFill>
                  <pic:spPr>
                    <a:xfrm>
                      <a:off x="0" y="0"/>
                      <a:ext cx="4333875" cy="967695"/>
                    </a:xfrm>
                    <a:prstGeom prst="rect">
                      <a:avLst/>
                    </a:prstGeom>
                    <a:ln/>
                  </pic:spPr>
                </pic:pic>
              </a:graphicData>
            </a:graphic>
          </wp:inline>
        </w:drawing>
      </w:r>
    </w:p>
    <w:p w14:paraId="3C3D6A14"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Los documentos que integren un expediente reservado en su totalidad no deberán marcarse en lo individual.</w:t>
      </w:r>
    </w:p>
    <w:p w14:paraId="1B1B477A"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0091CE5E"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4A6A4B7" w14:textId="77777777" w:rsidR="00000D31" w:rsidRPr="00AD161D" w:rsidRDefault="00A93D2E">
      <w:pPr>
        <w:spacing w:before="120" w:after="120" w:line="240" w:lineRule="auto"/>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r w:rsidRPr="00AD161D">
        <w:rPr>
          <w:rFonts w:ascii="Palatino Linotype" w:eastAsia="Palatino Linotype" w:hAnsi="Palatino Linotype" w:cs="Palatino Linotype"/>
          <w:b/>
          <w:i/>
        </w:rPr>
        <w:t>Quincuagésimo segundo</w:t>
      </w:r>
      <w:r w:rsidRPr="00AD161D">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80A0601" w14:textId="77777777" w:rsidR="00000D31" w:rsidRPr="00AD161D" w:rsidRDefault="00A93D2E">
      <w:pPr>
        <w:spacing w:before="120" w:after="120" w:line="240" w:lineRule="auto"/>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73952D9A" w14:textId="77777777" w:rsidR="00000D31" w:rsidRPr="00AD161D" w:rsidRDefault="00A93D2E">
      <w:pPr>
        <w:spacing w:before="120" w:after="120" w:line="240" w:lineRule="auto"/>
        <w:ind w:left="1134" w:right="900"/>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3D035399" w14:textId="77777777" w:rsidR="00000D31" w:rsidRPr="00AD161D" w:rsidRDefault="00A93D2E">
      <w:pPr>
        <w:spacing w:before="120" w:after="120" w:line="240" w:lineRule="auto"/>
        <w:ind w:left="1134" w:right="900"/>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43AAE8BA" w14:textId="77777777" w:rsidR="00000D31" w:rsidRPr="00AD161D" w:rsidRDefault="00A93D2E">
      <w:pPr>
        <w:spacing w:before="120" w:after="120" w:line="240" w:lineRule="auto"/>
        <w:ind w:left="1134" w:right="900"/>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III.</w:t>
      </w:r>
      <w:r w:rsidRPr="00AD161D">
        <w:rPr>
          <w:rFonts w:ascii="Palatino Linotype" w:eastAsia="Palatino Linotype" w:hAnsi="Palatino Linotype" w:cs="Palatino Linotype"/>
          <w:i/>
        </w:rPr>
        <w:t xml:space="preserve"> Señalar las personas o instancias autorizadas a acceder a la información clasificada.</w:t>
      </w:r>
    </w:p>
    <w:p w14:paraId="0EAF00BD" w14:textId="77777777" w:rsidR="00000D31" w:rsidRPr="00AD161D" w:rsidRDefault="00A93D2E">
      <w:pPr>
        <w:spacing w:before="120" w:after="120" w:line="240" w:lineRule="auto"/>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ABC0BFA" w14:textId="77777777" w:rsidR="00000D31" w:rsidRPr="00AD161D" w:rsidRDefault="00A93D2E">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rPr>
      </w:pPr>
      <w:r w:rsidRPr="00AD161D">
        <w:rPr>
          <w:rFonts w:ascii="Palatino Linotype" w:eastAsia="Palatino Linotype" w:hAnsi="Palatino Linotype" w:cs="Palatino Linotype"/>
          <w:i/>
        </w:rPr>
        <w:t>…</w:t>
      </w:r>
    </w:p>
    <w:p w14:paraId="4B24744D" w14:textId="77777777" w:rsidR="00000D31" w:rsidRPr="00AD161D" w:rsidRDefault="00A93D2E">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AD161D">
        <w:rPr>
          <w:rFonts w:ascii="Palatino Linotype" w:eastAsia="Palatino Linotype" w:hAnsi="Palatino Linotype" w:cs="Palatino Linotype"/>
          <w:b/>
          <w:i/>
        </w:rPr>
        <w:lastRenderedPageBreak/>
        <w:t xml:space="preserve">Quincuagésimo cuarto. </w:t>
      </w:r>
      <w:r w:rsidRPr="00AD161D">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D161D">
        <w:rPr>
          <w:rFonts w:ascii="Palatino Linotype" w:eastAsia="Palatino Linotype" w:hAnsi="Palatino Linotype" w:cs="Palatino Linotype"/>
          <w:b/>
          <w:i/>
        </w:rPr>
        <w:t xml:space="preserve"> </w:t>
      </w:r>
    </w:p>
    <w:p w14:paraId="508E78D3"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 xml:space="preserve">Quincuagésimo quinto. </w:t>
      </w:r>
      <w:r w:rsidRPr="00AD161D">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AD161D">
        <w:rPr>
          <w:rFonts w:ascii="Palatino Linotype" w:eastAsia="Palatino Linotype" w:hAnsi="Palatino Linotype" w:cs="Palatino Linotype"/>
          <w:i/>
        </w:rPr>
        <w:t>testado</w:t>
      </w:r>
      <w:proofErr w:type="spellEnd"/>
      <w:r w:rsidRPr="00AD161D">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4BE221A" w14:textId="77777777" w:rsidR="00000D31" w:rsidRPr="00AD161D" w:rsidRDefault="00A93D2E">
      <w:pPr>
        <w:spacing w:before="120" w:after="120" w:line="240" w:lineRule="auto"/>
        <w:ind w:left="851" w:right="902"/>
        <w:jc w:val="both"/>
        <w:rPr>
          <w:rFonts w:ascii="Palatino Linotype" w:eastAsia="Palatino Linotype" w:hAnsi="Palatino Linotype" w:cs="Palatino Linotype"/>
          <w:b/>
          <w:i/>
        </w:rPr>
      </w:pPr>
      <w:r w:rsidRPr="00AD161D">
        <w:rPr>
          <w:rFonts w:ascii="Palatino Linotype" w:eastAsia="Palatino Linotype" w:hAnsi="Palatino Linotype" w:cs="Palatino Linotype"/>
          <w:b/>
          <w:i/>
        </w:rPr>
        <w:t>...</w:t>
      </w:r>
    </w:p>
    <w:p w14:paraId="0D2F050F"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Quincuagésimo séptimo</w:t>
      </w:r>
      <w:r w:rsidRPr="00AD161D">
        <w:rPr>
          <w:rFonts w:ascii="Palatino Linotype" w:eastAsia="Palatino Linotype" w:hAnsi="Palatino Linotype" w:cs="Palatino Linotype"/>
          <w:i/>
        </w:rPr>
        <w:t xml:space="preserve">. Se considera, en principio, como información pública y no podrá omitirse de las versiones públicas la siguiente: </w:t>
      </w:r>
    </w:p>
    <w:p w14:paraId="5FE1BA1C"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w:t>
      </w:r>
      <w:r w:rsidRPr="00AD161D">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1AD9DB5"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w:t>
      </w:r>
      <w:r w:rsidRPr="00AD161D">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C882B48" w14:textId="77777777" w:rsidR="00000D31" w:rsidRPr="00AD161D" w:rsidRDefault="00A93D2E">
      <w:pPr>
        <w:spacing w:before="120" w:after="120" w:line="240" w:lineRule="auto"/>
        <w:ind w:left="1134"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III</w:t>
      </w:r>
      <w:r w:rsidRPr="00AD161D">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EF12CD0"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05512898" w14:textId="77777777" w:rsidR="00000D31" w:rsidRPr="00AD161D" w:rsidRDefault="00A93D2E">
      <w:pPr>
        <w:spacing w:before="120" w:after="120" w:line="240" w:lineRule="auto"/>
        <w:ind w:left="851" w:right="902"/>
        <w:jc w:val="both"/>
        <w:rPr>
          <w:rFonts w:ascii="Palatino Linotype" w:eastAsia="Palatino Linotype" w:hAnsi="Palatino Linotype" w:cs="Palatino Linotype"/>
          <w:i/>
        </w:rPr>
      </w:pPr>
      <w:r w:rsidRPr="00AD161D">
        <w:rPr>
          <w:rFonts w:ascii="Palatino Linotype" w:eastAsia="Palatino Linotype" w:hAnsi="Palatino Linotype" w:cs="Palatino Linotype"/>
          <w:b/>
          <w:i/>
        </w:rPr>
        <w:t>Quincuagésimo octavo</w:t>
      </w:r>
      <w:r w:rsidRPr="00AD161D">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58EFA9B" w14:textId="77777777" w:rsidR="00000D31" w:rsidRPr="00AD161D" w:rsidRDefault="00A93D2E">
      <w:pPr>
        <w:spacing w:after="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rPr>
        <w:t xml:space="preserve">Por lo anteriormente expuesto y con fundamento en lo prescrito en los artículos 5 párrafos trigésimo séptimo, trigésimo octavo y trigésimo noveno de la Constitución Política del Estado Libre y Soberano de México; 2, fracción II; 29, 36 fracciones I y II; 176, 178, 181, 185 y </w:t>
      </w:r>
      <w:r w:rsidRPr="00AD161D">
        <w:rPr>
          <w:rFonts w:ascii="Palatino Linotype" w:eastAsia="Palatino Linotype" w:hAnsi="Palatino Linotype" w:cs="Palatino Linotype"/>
        </w:rPr>
        <w:lastRenderedPageBreak/>
        <w:t>186 fracción III de la Ley de Transparencia y Acceso a la Información Pública del Estado de México y Municipios, este Pleno:</w:t>
      </w:r>
    </w:p>
    <w:p w14:paraId="2930C64E" w14:textId="77777777" w:rsidR="00000D31" w:rsidRPr="00AD161D" w:rsidRDefault="00A93D2E">
      <w:pPr>
        <w:spacing w:after="0" w:line="360" w:lineRule="auto"/>
        <w:jc w:val="center"/>
        <w:rPr>
          <w:rFonts w:ascii="Palatino Linotype" w:eastAsia="Palatino Linotype" w:hAnsi="Palatino Linotype" w:cs="Palatino Linotype"/>
          <w:b/>
        </w:rPr>
      </w:pPr>
      <w:r w:rsidRPr="00AD161D">
        <w:rPr>
          <w:rFonts w:ascii="Palatino Linotype" w:eastAsia="Palatino Linotype" w:hAnsi="Palatino Linotype" w:cs="Palatino Linotype"/>
          <w:b/>
        </w:rPr>
        <w:t xml:space="preserve">III. R E S U E L V </w:t>
      </w:r>
      <w:proofErr w:type="gramStart"/>
      <w:r w:rsidRPr="00AD161D">
        <w:rPr>
          <w:rFonts w:ascii="Palatino Linotype" w:eastAsia="Palatino Linotype" w:hAnsi="Palatino Linotype" w:cs="Palatino Linotype"/>
          <w:b/>
        </w:rPr>
        <w:t>E :</w:t>
      </w:r>
      <w:proofErr w:type="gramEnd"/>
    </w:p>
    <w:p w14:paraId="4F346870" w14:textId="77777777" w:rsidR="00000D31" w:rsidRPr="00AD161D" w:rsidRDefault="00A93D2E">
      <w:pPr>
        <w:spacing w:before="240" w:after="240" w:line="360" w:lineRule="auto"/>
        <w:jc w:val="both"/>
        <w:rPr>
          <w:rFonts w:ascii="Palatino Linotype" w:eastAsia="Palatino Linotype" w:hAnsi="Palatino Linotype" w:cs="Palatino Linotype"/>
          <w:b/>
        </w:rPr>
      </w:pPr>
      <w:r w:rsidRPr="00AD161D">
        <w:rPr>
          <w:rFonts w:ascii="Palatino Linotype" w:eastAsia="Palatino Linotype" w:hAnsi="Palatino Linotype" w:cs="Palatino Linotype"/>
          <w:b/>
        </w:rPr>
        <w:t xml:space="preserve">Primero. </w:t>
      </w:r>
      <w:r w:rsidRPr="00AD161D">
        <w:rPr>
          <w:rFonts w:ascii="Palatino Linotype" w:eastAsia="Palatino Linotype" w:hAnsi="Palatino Linotype" w:cs="Palatino Linotype"/>
        </w:rPr>
        <w:t>Resultan</w:t>
      </w:r>
      <w:r w:rsidRPr="00AD161D">
        <w:rPr>
          <w:rFonts w:ascii="Palatino Linotype" w:eastAsia="Palatino Linotype" w:hAnsi="Palatino Linotype" w:cs="Palatino Linotype"/>
          <w:b/>
        </w:rPr>
        <w:t xml:space="preserve"> fundados</w:t>
      </w:r>
      <w:r w:rsidRPr="00AD161D">
        <w:rPr>
          <w:rFonts w:ascii="Palatino Linotype" w:eastAsia="Palatino Linotype" w:hAnsi="Palatino Linotype" w:cs="Palatino Linotype"/>
        </w:rPr>
        <w:t xml:space="preserve"> los motivos de inconformidad hechos valer por la parte </w:t>
      </w:r>
      <w:r w:rsidRPr="00AD161D">
        <w:rPr>
          <w:rFonts w:ascii="Palatino Linotype" w:eastAsia="Palatino Linotype" w:hAnsi="Palatino Linotype" w:cs="Palatino Linotype"/>
          <w:b/>
        </w:rPr>
        <w:t xml:space="preserve">Recurrente </w:t>
      </w:r>
      <w:r w:rsidRPr="00AD161D">
        <w:rPr>
          <w:rFonts w:ascii="Palatino Linotype" w:eastAsia="Palatino Linotype" w:hAnsi="Palatino Linotype" w:cs="Palatino Linotype"/>
        </w:rPr>
        <w:t xml:space="preserve">en el Recurso de Revisión </w:t>
      </w:r>
      <w:r w:rsidRPr="00AD161D">
        <w:rPr>
          <w:rFonts w:ascii="Palatino Linotype" w:eastAsia="Palatino Linotype" w:hAnsi="Palatino Linotype" w:cs="Palatino Linotype"/>
          <w:b/>
        </w:rPr>
        <w:t>03009/INFOEM/IP/RR/2025</w:t>
      </w:r>
      <w:r w:rsidRPr="00AD161D">
        <w:rPr>
          <w:rFonts w:ascii="Palatino Linotype" w:eastAsia="Palatino Linotype" w:hAnsi="Palatino Linotype" w:cs="Palatino Linotype"/>
        </w:rPr>
        <w:t>,</w:t>
      </w:r>
      <w:r w:rsidRPr="00AD161D">
        <w:rPr>
          <w:rFonts w:ascii="Palatino Linotype" w:eastAsia="Palatino Linotype" w:hAnsi="Palatino Linotype" w:cs="Palatino Linotype"/>
          <w:b/>
        </w:rPr>
        <w:t xml:space="preserve"> </w:t>
      </w:r>
      <w:r w:rsidRPr="00AD161D">
        <w:rPr>
          <w:rFonts w:ascii="Palatino Linotype" w:eastAsia="Palatino Linotype" w:hAnsi="Palatino Linotype" w:cs="Palatino Linotype"/>
        </w:rPr>
        <w:t xml:space="preserve">por lo que, en términos del considerando </w:t>
      </w:r>
      <w:r w:rsidRPr="00AD161D">
        <w:rPr>
          <w:rFonts w:ascii="Palatino Linotype" w:eastAsia="Palatino Linotype" w:hAnsi="Palatino Linotype" w:cs="Palatino Linotype"/>
          <w:b/>
        </w:rPr>
        <w:t xml:space="preserve">Cuarto </w:t>
      </w:r>
      <w:r w:rsidRPr="00AD161D">
        <w:rPr>
          <w:rFonts w:ascii="Palatino Linotype" w:eastAsia="Palatino Linotype" w:hAnsi="Palatino Linotype" w:cs="Palatino Linotype"/>
        </w:rPr>
        <w:t xml:space="preserve">de esta resolución, se </w:t>
      </w:r>
      <w:r w:rsidRPr="00AD161D">
        <w:rPr>
          <w:rFonts w:ascii="Palatino Linotype" w:eastAsia="Palatino Linotype" w:hAnsi="Palatino Linotype" w:cs="Palatino Linotype"/>
          <w:b/>
        </w:rPr>
        <w:t>Modifica</w:t>
      </w:r>
      <w:r w:rsidRPr="00AD161D">
        <w:rPr>
          <w:rFonts w:ascii="Palatino Linotype" w:eastAsia="Palatino Linotype" w:hAnsi="Palatino Linotype" w:cs="Palatino Linotype"/>
          <w:b/>
          <w:i/>
        </w:rPr>
        <w:t xml:space="preserve"> </w:t>
      </w:r>
      <w:r w:rsidRPr="00AD161D">
        <w:rPr>
          <w:rFonts w:ascii="Palatino Linotype" w:eastAsia="Palatino Linotype" w:hAnsi="Palatino Linotype" w:cs="Palatino Linotype"/>
        </w:rPr>
        <w:t>la respuesta emitida por el</w:t>
      </w:r>
      <w:r w:rsidRPr="00AD161D">
        <w:rPr>
          <w:rFonts w:ascii="Palatino Linotype" w:eastAsia="Palatino Linotype" w:hAnsi="Palatino Linotype" w:cs="Palatino Linotype"/>
          <w:b/>
        </w:rPr>
        <w:t xml:space="preserve"> Sujeto Obligado</w:t>
      </w:r>
      <w:r w:rsidRPr="00AD161D">
        <w:rPr>
          <w:rFonts w:ascii="Palatino Linotype" w:eastAsia="Palatino Linotype" w:hAnsi="Palatino Linotype" w:cs="Palatino Linotype"/>
        </w:rPr>
        <w:t>.</w:t>
      </w:r>
    </w:p>
    <w:p w14:paraId="2897832E" w14:textId="77777777" w:rsidR="00000D31" w:rsidRPr="00AD161D" w:rsidRDefault="00A93D2E">
      <w:pPr>
        <w:spacing w:before="240" w:after="240" w:line="360" w:lineRule="auto"/>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Segundo. </w:t>
      </w:r>
      <w:r w:rsidRPr="00AD161D">
        <w:rPr>
          <w:rFonts w:ascii="Palatino Linotype" w:eastAsia="Palatino Linotype" w:hAnsi="Palatino Linotype" w:cs="Palatino Linotype"/>
        </w:rPr>
        <w:t xml:space="preserve">Se </w:t>
      </w:r>
      <w:r w:rsidRPr="00AD161D">
        <w:rPr>
          <w:rFonts w:ascii="Palatino Linotype" w:eastAsia="Palatino Linotype" w:hAnsi="Palatino Linotype" w:cs="Palatino Linotype"/>
          <w:b/>
        </w:rPr>
        <w:t xml:space="preserve">Ordena </w:t>
      </w:r>
      <w:r w:rsidRPr="00AD161D">
        <w:rPr>
          <w:rFonts w:ascii="Palatino Linotype" w:eastAsia="Palatino Linotype" w:hAnsi="Palatino Linotype" w:cs="Palatino Linotype"/>
        </w:rPr>
        <w:t xml:space="preserve">al </w:t>
      </w:r>
      <w:r w:rsidRPr="00AD161D">
        <w:rPr>
          <w:rFonts w:ascii="Palatino Linotype" w:eastAsia="Palatino Linotype" w:hAnsi="Palatino Linotype" w:cs="Palatino Linotype"/>
          <w:b/>
        </w:rPr>
        <w:t xml:space="preserve">Sujeto Obligado, </w:t>
      </w:r>
      <w:r w:rsidRPr="00AD161D">
        <w:rPr>
          <w:rFonts w:ascii="Palatino Linotype" w:eastAsia="Palatino Linotype" w:hAnsi="Palatino Linotype" w:cs="Palatino Linotype"/>
        </w:rPr>
        <w:t xml:space="preserve">en términos de los Considerandos </w:t>
      </w:r>
      <w:r w:rsidRPr="00AD161D">
        <w:rPr>
          <w:rFonts w:ascii="Palatino Linotype" w:eastAsia="Palatino Linotype" w:hAnsi="Palatino Linotype" w:cs="Palatino Linotype"/>
          <w:b/>
        </w:rPr>
        <w:t xml:space="preserve">Cuarto y Quinto </w:t>
      </w:r>
      <w:r w:rsidRPr="00AD161D">
        <w:rPr>
          <w:rFonts w:ascii="Palatino Linotype" w:eastAsia="Palatino Linotype" w:hAnsi="Palatino Linotype" w:cs="Palatino Linotype"/>
        </w:rPr>
        <w:t>de esta resolución, haga entrega vía SAIMEX, en versión pública de ser necesario, del o los documentos donde conste o se pueda advertir lo siguiente:</w:t>
      </w:r>
    </w:p>
    <w:p w14:paraId="5790442A" w14:textId="77777777" w:rsidR="00000D31" w:rsidRPr="00AD161D" w:rsidRDefault="00A93D2E">
      <w:pPr>
        <w:numPr>
          <w:ilvl w:val="0"/>
          <w:numId w:val="2"/>
        </w:numPr>
        <w:pBdr>
          <w:top w:val="nil"/>
          <w:left w:val="nil"/>
          <w:bottom w:val="nil"/>
          <w:right w:val="nil"/>
          <w:between w:val="nil"/>
        </w:pBdr>
        <w:spacing w:before="240" w:after="0" w:line="360" w:lineRule="auto"/>
        <w:ind w:right="49" w:hanging="360"/>
        <w:jc w:val="both"/>
        <w:rPr>
          <w:rFonts w:ascii="Palatino Linotype" w:eastAsia="Palatino Linotype" w:hAnsi="Palatino Linotype" w:cs="Palatino Linotype"/>
        </w:rPr>
      </w:pPr>
      <w:r w:rsidRPr="00AD161D">
        <w:rPr>
          <w:rFonts w:ascii="Palatino Linotype" w:eastAsia="Palatino Linotype" w:hAnsi="Palatino Linotype" w:cs="Palatino Linotype"/>
        </w:rPr>
        <w:t>El número de drones que tiene el ayuntamiento para la seguridad pública y eventos al veinte de febrero de dos mil veinticinco.</w:t>
      </w:r>
    </w:p>
    <w:p w14:paraId="5493F1E6" w14:textId="77777777" w:rsidR="00000D31" w:rsidRPr="00AD161D" w:rsidRDefault="00A93D2E">
      <w:pPr>
        <w:numPr>
          <w:ilvl w:val="0"/>
          <w:numId w:val="2"/>
        </w:numPr>
        <w:pBdr>
          <w:top w:val="nil"/>
          <w:left w:val="nil"/>
          <w:bottom w:val="nil"/>
          <w:right w:val="nil"/>
          <w:between w:val="nil"/>
        </w:pBdr>
        <w:spacing w:after="240" w:line="360" w:lineRule="auto"/>
        <w:ind w:right="49" w:hanging="360"/>
        <w:jc w:val="both"/>
        <w:rPr>
          <w:rFonts w:ascii="Palatino Linotype" w:eastAsia="Palatino Linotype" w:hAnsi="Palatino Linotype" w:cs="Palatino Linotype"/>
        </w:rPr>
      </w:pPr>
      <w:r w:rsidRPr="00AD161D">
        <w:rPr>
          <w:rFonts w:ascii="Palatino Linotype" w:eastAsia="Palatino Linotype" w:hAnsi="Palatino Linotype" w:cs="Palatino Linotype"/>
        </w:rPr>
        <w:t>El número de eventos en los que fueron utilizados los drones, del veinte de febrero de dos mil veinticuatro al veinte de febrero de dos mil veinticinco.</w:t>
      </w:r>
    </w:p>
    <w:p w14:paraId="4AB3DAF2" w14:textId="77777777" w:rsidR="00000D31" w:rsidRPr="00AD161D" w:rsidRDefault="00A93D2E">
      <w:pPr>
        <w:spacing w:before="120" w:after="120" w:line="240" w:lineRule="auto"/>
        <w:ind w:left="284"/>
        <w:jc w:val="both"/>
        <w:rPr>
          <w:rFonts w:ascii="Palatino Linotype" w:eastAsia="Palatino Linotype" w:hAnsi="Palatino Linotype" w:cs="Palatino Linotype"/>
          <w:i/>
        </w:rPr>
      </w:pPr>
      <w:bookmarkStart w:id="5" w:name="_heading=h.pzdfzumtitwq" w:colFirst="0" w:colLast="0"/>
      <w:bookmarkEnd w:id="5"/>
      <w:r w:rsidRPr="00AD161D">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D161D">
        <w:rPr>
          <w:rFonts w:ascii="Palatino Linotype" w:eastAsia="Palatino Linotype" w:hAnsi="Palatino Linotype" w:cs="Palatino Linotype"/>
          <w:b/>
          <w:i/>
        </w:rPr>
        <w:t>Recurrente</w:t>
      </w:r>
      <w:r w:rsidRPr="00AD161D">
        <w:rPr>
          <w:rFonts w:ascii="Palatino Linotype" w:eastAsia="Palatino Linotype" w:hAnsi="Palatino Linotype" w:cs="Palatino Linotype"/>
          <w:i/>
        </w:rPr>
        <w:t>, en términos de los artículos 49, fracción VIII, de la Ley de Transparencia y Acceso a la Información Pública del Estado de México y Municipios.</w:t>
      </w:r>
    </w:p>
    <w:p w14:paraId="70E3604F" w14:textId="77777777" w:rsidR="00000D31" w:rsidRPr="00AD161D" w:rsidRDefault="00A93D2E">
      <w:pPr>
        <w:spacing w:before="240" w:after="240" w:line="360" w:lineRule="auto"/>
        <w:ind w:right="49"/>
        <w:jc w:val="both"/>
        <w:rPr>
          <w:rFonts w:ascii="Palatino Linotype" w:eastAsia="Palatino Linotype" w:hAnsi="Palatino Linotype" w:cs="Palatino Linotype"/>
        </w:rPr>
      </w:pPr>
      <w:r w:rsidRPr="00AD161D">
        <w:rPr>
          <w:rFonts w:ascii="Palatino Linotype" w:eastAsia="Palatino Linotype" w:hAnsi="Palatino Linotype" w:cs="Palatino Linotype"/>
          <w:b/>
        </w:rPr>
        <w:t xml:space="preserve">Tercero.  Notifíquese, </w:t>
      </w:r>
      <w:r w:rsidRPr="00AD161D">
        <w:rPr>
          <w:rFonts w:ascii="Palatino Linotype" w:eastAsia="Palatino Linotype" w:hAnsi="Palatino Linotype" w:cs="Palatino Linotype"/>
        </w:rPr>
        <w:t>vía</w:t>
      </w:r>
      <w:r w:rsidRPr="00AD161D">
        <w:rPr>
          <w:rFonts w:ascii="Palatino Linotype" w:eastAsia="Palatino Linotype" w:hAnsi="Palatino Linotype" w:cs="Palatino Linotype"/>
          <w:b/>
        </w:rPr>
        <w:t xml:space="preserve"> SAIMEX, </w:t>
      </w:r>
      <w:r w:rsidRPr="00AD161D">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AD161D">
        <w:rPr>
          <w:rFonts w:ascii="Palatino Linotype" w:eastAsia="Palatino Linotype" w:hAnsi="Palatino Linotype" w:cs="Palatino Linotype"/>
        </w:rPr>
        <w:lastRenderedPageBreak/>
        <w:t>conformidad con lo previsto en los artículos 198, 200, fracción III; 214, 215 y 216 de la Ley  de Transparencia y Acceso a la Información Pública del Estado de México y Municipios.</w:t>
      </w:r>
    </w:p>
    <w:p w14:paraId="5DF2B434" w14:textId="77777777" w:rsidR="00000D31" w:rsidRPr="00AD161D" w:rsidRDefault="00A93D2E">
      <w:pPr>
        <w:spacing w:before="240" w:after="240" w:line="360" w:lineRule="auto"/>
        <w:jc w:val="both"/>
        <w:rPr>
          <w:rFonts w:ascii="Palatino Linotype" w:eastAsia="Palatino Linotype" w:hAnsi="Palatino Linotype" w:cs="Palatino Linotype"/>
        </w:rPr>
      </w:pPr>
      <w:bookmarkStart w:id="6" w:name="_heading=h.gjdgxs" w:colFirst="0" w:colLast="0"/>
      <w:bookmarkEnd w:id="6"/>
      <w:r w:rsidRPr="00AD161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D161D">
        <w:rPr>
          <w:rFonts w:ascii="Palatino Linotype" w:eastAsia="Palatino Linotype" w:hAnsi="Palatino Linotype" w:cs="Palatino Linotype"/>
          <w:b/>
        </w:rPr>
        <w:t>Sujeto Obligado</w:t>
      </w:r>
      <w:r w:rsidRPr="00AD161D">
        <w:rPr>
          <w:rFonts w:ascii="Palatino Linotype" w:eastAsia="Palatino Linotype" w:hAnsi="Palatino Linotype" w:cs="Palatino Linotype"/>
        </w:rPr>
        <w:t xml:space="preserve"> de manera fundada y motivada, podrá solicitar una ampliación de plazo para el cumplimiento de la presente resolución.</w:t>
      </w:r>
    </w:p>
    <w:p w14:paraId="42F81252" w14:textId="77777777" w:rsidR="00000D31" w:rsidRPr="00AD161D" w:rsidRDefault="00A93D2E">
      <w:pPr>
        <w:spacing w:before="240" w:after="240" w:line="360" w:lineRule="auto"/>
        <w:ind w:right="49"/>
        <w:jc w:val="both"/>
        <w:rPr>
          <w:rFonts w:ascii="Palatino Linotype" w:eastAsia="Palatino Linotype" w:hAnsi="Palatino Linotype" w:cs="Palatino Linotype"/>
        </w:rPr>
      </w:pPr>
      <w:bookmarkStart w:id="7" w:name="_heading=h.ot3qq6vxa08f" w:colFirst="0" w:colLast="0"/>
      <w:bookmarkEnd w:id="7"/>
      <w:r w:rsidRPr="00AD161D">
        <w:rPr>
          <w:rFonts w:ascii="Palatino Linotype" w:eastAsia="Palatino Linotype" w:hAnsi="Palatino Linotype" w:cs="Palatino Linotype"/>
          <w:b/>
        </w:rPr>
        <w:t xml:space="preserve">Cuarto.  Notifíquese, </w:t>
      </w:r>
      <w:r w:rsidRPr="00AD161D">
        <w:rPr>
          <w:rFonts w:ascii="Palatino Linotype" w:eastAsia="Palatino Linotype" w:hAnsi="Palatino Linotype" w:cs="Palatino Linotype"/>
        </w:rPr>
        <w:t xml:space="preserve">vía </w:t>
      </w:r>
      <w:r w:rsidRPr="00AD161D">
        <w:rPr>
          <w:rFonts w:ascii="Palatino Linotype" w:eastAsia="Palatino Linotype" w:hAnsi="Palatino Linotype" w:cs="Palatino Linotype"/>
          <w:b/>
        </w:rPr>
        <w:t>SAIMEX</w:t>
      </w:r>
      <w:r w:rsidRPr="00AD161D">
        <w:rPr>
          <w:rFonts w:ascii="Palatino Linotype" w:eastAsia="Palatino Linotype" w:hAnsi="Palatino Linotype" w:cs="Palatino Linotype"/>
        </w:rPr>
        <w:t xml:space="preserve"> a la parte </w:t>
      </w:r>
      <w:r w:rsidRPr="00AD161D">
        <w:rPr>
          <w:rFonts w:ascii="Palatino Linotype" w:eastAsia="Palatino Linotype" w:hAnsi="Palatino Linotype" w:cs="Palatino Linotype"/>
          <w:b/>
        </w:rPr>
        <w:t>Recurrente</w:t>
      </w:r>
      <w:r w:rsidRPr="00AD161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1E3AF0D" w14:textId="77777777" w:rsidR="00000D31" w:rsidRPr="00DE3648" w:rsidRDefault="00A93D2E">
      <w:pPr>
        <w:spacing w:before="240" w:after="240" w:line="360" w:lineRule="auto"/>
        <w:ind w:right="49"/>
        <w:jc w:val="both"/>
        <w:rPr>
          <w:rFonts w:ascii="Palatino Linotype" w:eastAsia="Palatino Linotype" w:hAnsi="Palatino Linotype" w:cs="Palatino Linotype"/>
        </w:rPr>
      </w:pPr>
      <w:bookmarkStart w:id="8" w:name="_heading=h.m6pmb0c8at5h" w:colFirst="0" w:colLast="0"/>
      <w:bookmarkEnd w:id="8"/>
      <w:r w:rsidRPr="00AD161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 SESIÓN ORDINARIA CELEBRADA EL VEINTIOCHO DE MAYO DE DOS MIL VEINTICINCO, ANTE EL SECRETARIO TÉCNICO DEL PLENO ALEXIS TAPIA RAMÍREZ.</w:t>
      </w:r>
      <w:r w:rsidRPr="00DE3648">
        <w:rPr>
          <w:rFonts w:ascii="Palatino Linotype" w:eastAsia="Palatino Linotype" w:hAnsi="Palatino Linotype" w:cs="Palatino Linotype"/>
        </w:rPr>
        <w:t xml:space="preserve"> </w:t>
      </w:r>
    </w:p>
    <w:p w14:paraId="56BF68B4" w14:textId="77777777" w:rsidR="00000D31" w:rsidRPr="00DE3648" w:rsidRDefault="00000D31">
      <w:pPr>
        <w:spacing w:after="0" w:line="360" w:lineRule="auto"/>
        <w:ind w:right="49"/>
        <w:jc w:val="both"/>
        <w:rPr>
          <w:rFonts w:ascii="Palatino Linotype" w:eastAsia="Palatino Linotype" w:hAnsi="Palatino Linotype" w:cs="Palatino Linotype"/>
        </w:rPr>
      </w:pPr>
    </w:p>
    <w:p w14:paraId="08209936" w14:textId="77777777" w:rsidR="00000D31" w:rsidRPr="00DE3648" w:rsidRDefault="00000D31">
      <w:pPr>
        <w:spacing w:after="0" w:line="360" w:lineRule="auto"/>
        <w:ind w:right="49"/>
        <w:jc w:val="both"/>
        <w:rPr>
          <w:rFonts w:ascii="Palatino Linotype" w:eastAsia="Palatino Linotype" w:hAnsi="Palatino Linotype" w:cs="Palatino Linotype"/>
        </w:rPr>
      </w:pPr>
    </w:p>
    <w:p w14:paraId="65A25B98" w14:textId="77777777" w:rsidR="00000D31" w:rsidRPr="00DE3648" w:rsidRDefault="00000D31">
      <w:pPr>
        <w:spacing w:after="0" w:line="360" w:lineRule="auto"/>
        <w:ind w:right="49"/>
        <w:jc w:val="both"/>
        <w:rPr>
          <w:rFonts w:ascii="Palatino Linotype" w:eastAsia="Palatino Linotype" w:hAnsi="Palatino Linotype" w:cs="Palatino Linotype"/>
        </w:rPr>
      </w:pPr>
    </w:p>
    <w:p w14:paraId="20A0D22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54AAE64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3B510FE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2FDBF02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2398DCD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3A5CE153" w14:textId="77777777" w:rsidR="00000D31" w:rsidRPr="00DE3648" w:rsidRDefault="00000D31">
      <w:pPr>
        <w:spacing w:after="0" w:line="360" w:lineRule="auto"/>
        <w:ind w:right="49"/>
        <w:jc w:val="both"/>
        <w:rPr>
          <w:rFonts w:ascii="Palatino Linotype" w:eastAsia="Palatino Linotype" w:hAnsi="Palatino Linotype" w:cs="Palatino Linotype"/>
        </w:rPr>
      </w:pPr>
    </w:p>
    <w:p w14:paraId="183CEFFE" w14:textId="77777777" w:rsidR="00000D31" w:rsidRPr="00DE3648" w:rsidRDefault="00000D31">
      <w:pPr>
        <w:spacing w:after="0" w:line="360" w:lineRule="auto"/>
        <w:ind w:right="49"/>
        <w:jc w:val="both"/>
        <w:rPr>
          <w:rFonts w:ascii="Palatino Linotype" w:eastAsia="Palatino Linotype" w:hAnsi="Palatino Linotype" w:cs="Palatino Linotype"/>
        </w:rPr>
      </w:pPr>
    </w:p>
    <w:p w14:paraId="74CF97A5" w14:textId="77777777" w:rsidR="00000D31" w:rsidRPr="00DE3648" w:rsidRDefault="00000D31">
      <w:pPr>
        <w:spacing w:after="0" w:line="360" w:lineRule="auto"/>
        <w:ind w:right="49"/>
        <w:jc w:val="both"/>
        <w:rPr>
          <w:rFonts w:ascii="Palatino Linotype" w:eastAsia="Palatino Linotype" w:hAnsi="Palatino Linotype" w:cs="Palatino Linotype"/>
        </w:rPr>
      </w:pPr>
    </w:p>
    <w:p w14:paraId="5AF993DE" w14:textId="77777777" w:rsidR="00000D31" w:rsidRPr="00DE3648" w:rsidRDefault="00000D31">
      <w:pPr>
        <w:spacing w:after="0" w:line="360" w:lineRule="auto"/>
        <w:ind w:right="49"/>
        <w:jc w:val="both"/>
        <w:rPr>
          <w:rFonts w:ascii="Palatino Linotype" w:eastAsia="Palatino Linotype" w:hAnsi="Palatino Linotype" w:cs="Palatino Linotype"/>
        </w:rPr>
      </w:pPr>
    </w:p>
    <w:p w14:paraId="33AAA076" w14:textId="77777777" w:rsidR="00000D31" w:rsidRPr="00DE3648" w:rsidRDefault="00000D31">
      <w:pPr>
        <w:spacing w:after="0" w:line="360" w:lineRule="auto"/>
        <w:ind w:right="49"/>
        <w:jc w:val="both"/>
        <w:rPr>
          <w:rFonts w:ascii="Palatino Linotype" w:eastAsia="Palatino Linotype" w:hAnsi="Palatino Linotype" w:cs="Palatino Linotype"/>
        </w:rPr>
      </w:pPr>
    </w:p>
    <w:p w14:paraId="33DAAF87" w14:textId="77777777" w:rsidR="00000D31" w:rsidRPr="00DE3648" w:rsidRDefault="00000D31">
      <w:pPr>
        <w:spacing w:after="0" w:line="360" w:lineRule="auto"/>
        <w:ind w:right="49"/>
        <w:jc w:val="both"/>
        <w:rPr>
          <w:rFonts w:ascii="Palatino Linotype" w:eastAsia="Palatino Linotype" w:hAnsi="Palatino Linotype" w:cs="Palatino Linotype"/>
        </w:rPr>
      </w:pPr>
    </w:p>
    <w:p w14:paraId="678C8DA8" w14:textId="77777777" w:rsidR="00000D31" w:rsidRPr="00DE3648" w:rsidRDefault="00000D31">
      <w:pPr>
        <w:spacing w:after="0" w:line="360" w:lineRule="auto"/>
        <w:ind w:right="49"/>
        <w:jc w:val="both"/>
        <w:rPr>
          <w:rFonts w:ascii="Palatino Linotype" w:eastAsia="Palatino Linotype" w:hAnsi="Palatino Linotype" w:cs="Palatino Linotype"/>
        </w:rPr>
      </w:pPr>
    </w:p>
    <w:p w14:paraId="1623480A" w14:textId="77777777" w:rsidR="00000D31" w:rsidRPr="00DE3648" w:rsidRDefault="00000D31">
      <w:pPr>
        <w:spacing w:after="0" w:line="360" w:lineRule="auto"/>
        <w:ind w:right="49"/>
        <w:jc w:val="both"/>
        <w:rPr>
          <w:rFonts w:ascii="Palatino Linotype" w:eastAsia="Palatino Linotype" w:hAnsi="Palatino Linotype" w:cs="Palatino Linotype"/>
        </w:rPr>
      </w:pPr>
    </w:p>
    <w:p w14:paraId="628F7196" w14:textId="77777777" w:rsidR="00000D31" w:rsidRPr="00DE3648" w:rsidRDefault="00000D31">
      <w:pPr>
        <w:spacing w:after="0" w:line="360" w:lineRule="auto"/>
        <w:ind w:right="49"/>
        <w:jc w:val="both"/>
        <w:rPr>
          <w:rFonts w:ascii="Palatino Linotype" w:eastAsia="Palatino Linotype" w:hAnsi="Palatino Linotype" w:cs="Palatino Linotype"/>
        </w:rPr>
      </w:pPr>
    </w:p>
    <w:p w14:paraId="34056C0C" w14:textId="77777777" w:rsidR="00000D31" w:rsidRPr="00DE3648" w:rsidRDefault="00000D31">
      <w:pPr>
        <w:spacing w:after="0" w:line="360" w:lineRule="auto"/>
        <w:ind w:right="49"/>
        <w:jc w:val="both"/>
        <w:rPr>
          <w:rFonts w:ascii="Palatino Linotype" w:eastAsia="Palatino Linotype" w:hAnsi="Palatino Linotype" w:cs="Palatino Linotype"/>
        </w:rPr>
      </w:pPr>
    </w:p>
    <w:p w14:paraId="4F0ED90E" w14:textId="77777777" w:rsidR="00000D31" w:rsidRPr="00DE3648" w:rsidRDefault="00000D31">
      <w:pPr>
        <w:spacing w:after="0" w:line="360" w:lineRule="auto"/>
        <w:ind w:right="49"/>
        <w:jc w:val="both"/>
        <w:rPr>
          <w:rFonts w:ascii="Palatino Linotype" w:eastAsia="Palatino Linotype" w:hAnsi="Palatino Linotype" w:cs="Palatino Linotype"/>
        </w:rPr>
      </w:pPr>
    </w:p>
    <w:p w14:paraId="07A9DFFB" w14:textId="77777777" w:rsidR="00000D31" w:rsidRPr="00DE3648" w:rsidRDefault="00000D31">
      <w:pPr>
        <w:spacing w:after="0" w:line="360" w:lineRule="auto"/>
        <w:ind w:right="49"/>
        <w:jc w:val="both"/>
        <w:rPr>
          <w:rFonts w:ascii="Palatino Linotype" w:eastAsia="Palatino Linotype" w:hAnsi="Palatino Linotype" w:cs="Palatino Linotype"/>
        </w:rPr>
      </w:pPr>
    </w:p>
    <w:p w14:paraId="1B025742" w14:textId="77777777" w:rsidR="00000D31" w:rsidRPr="00DE3648" w:rsidRDefault="00000D31">
      <w:pPr>
        <w:spacing w:after="0" w:line="360" w:lineRule="auto"/>
        <w:ind w:right="49"/>
        <w:jc w:val="both"/>
        <w:rPr>
          <w:rFonts w:ascii="Palatino Linotype" w:eastAsia="Palatino Linotype" w:hAnsi="Palatino Linotype" w:cs="Palatino Linotype"/>
        </w:rPr>
      </w:pPr>
    </w:p>
    <w:p w14:paraId="43DA45DC" w14:textId="77777777" w:rsidR="00000D31" w:rsidRPr="00DE3648" w:rsidRDefault="00000D31">
      <w:pPr>
        <w:spacing w:after="0" w:line="360" w:lineRule="auto"/>
        <w:ind w:right="49"/>
        <w:jc w:val="both"/>
        <w:rPr>
          <w:rFonts w:ascii="Palatino Linotype" w:eastAsia="Palatino Linotype" w:hAnsi="Palatino Linotype" w:cs="Palatino Linotype"/>
        </w:rPr>
      </w:pPr>
    </w:p>
    <w:p w14:paraId="27B6DC52" w14:textId="77777777" w:rsidR="00000D31" w:rsidRPr="00DE3648" w:rsidRDefault="00000D31">
      <w:pPr>
        <w:spacing w:after="0" w:line="360" w:lineRule="auto"/>
        <w:ind w:right="49"/>
        <w:jc w:val="both"/>
        <w:rPr>
          <w:rFonts w:ascii="Palatino Linotype" w:eastAsia="Palatino Linotype" w:hAnsi="Palatino Linotype" w:cs="Palatino Linotype"/>
        </w:rPr>
      </w:pPr>
    </w:p>
    <w:sectPr w:rsidR="00000D31" w:rsidRPr="00DE3648">
      <w:headerReference w:type="default" r:id="rId16"/>
      <w:footerReference w:type="default" r:id="rId17"/>
      <w:headerReference w:type="first" r:id="rId18"/>
      <w:footerReference w:type="first" r:id="rId19"/>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9357C" w14:textId="77777777" w:rsidR="00170178" w:rsidRDefault="00170178">
      <w:pPr>
        <w:spacing w:after="0" w:line="240" w:lineRule="auto"/>
      </w:pPr>
      <w:r>
        <w:separator/>
      </w:r>
    </w:p>
  </w:endnote>
  <w:endnote w:type="continuationSeparator" w:id="0">
    <w:p w14:paraId="373D4C3E" w14:textId="77777777" w:rsidR="00170178" w:rsidRDefault="00170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195E" w14:textId="77777777" w:rsidR="00000D31" w:rsidRDefault="00A93D2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F31DF">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F31DF">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14:paraId="74CB0536" w14:textId="77777777" w:rsidR="00000D31" w:rsidRDefault="00000D3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52C4" w14:textId="77777777" w:rsidR="00000D31" w:rsidRDefault="00A93D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31D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31DF">
      <w:rPr>
        <w:b/>
        <w:noProof/>
        <w:color w:val="000000"/>
        <w:sz w:val="24"/>
        <w:szCs w:val="24"/>
      </w:rPr>
      <w:t>42</w:t>
    </w:r>
    <w:r>
      <w:rPr>
        <w:b/>
        <w:color w:val="000000"/>
        <w:sz w:val="24"/>
        <w:szCs w:val="24"/>
      </w:rPr>
      <w:fldChar w:fldCharType="end"/>
    </w:r>
  </w:p>
  <w:p w14:paraId="5D1902AB" w14:textId="77777777" w:rsidR="00000D31" w:rsidRDefault="00000D3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AC26" w14:textId="77777777" w:rsidR="00170178" w:rsidRDefault="00170178">
      <w:pPr>
        <w:spacing w:after="0" w:line="240" w:lineRule="auto"/>
      </w:pPr>
      <w:r>
        <w:separator/>
      </w:r>
    </w:p>
  </w:footnote>
  <w:footnote w:type="continuationSeparator" w:id="0">
    <w:p w14:paraId="409A6251" w14:textId="77777777" w:rsidR="00170178" w:rsidRDefault="00170178">
      <w:pPr>
        <w:spacing w:after="0" w:line="240" w:lineRule="auto"/>
      </w:pPr>
      <w:r>
        <w:continuationSeparator/>
      </w:r>
    </w:p>
  </w:footnote>
  <w:footnote w:id="1">
    <w:p w14:paraId="06225191" w14:textId="77777777" w:rsidR="00000D31" w:rsidRDefault="00A93D2E">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14:paraId="6D9FE33E" w14:textId="77777777" w:rsidR="00000D31" w:rsidRDefault="00000D31">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p>
  </w:footnote>
  <w:footnote w:id="2">
    <w:p w14:paraId="29DDAAE0" w14:textId="77777777" w:rsidR="00000D31" w:rsidRDefault="00A93D2E">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XXVI, Noviembre 2013, P. 1373, Registro digital 2004949.</w:t>
      </w:r>
    </w:p>
  </w:footnote>
  <w:footnote w:id="3">
    <w:p w14:paraId="37F115D6" w14:textId="77777777" w:rsidR="00000D31" w:rsidRDefault="00A93D2E">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Tribunales Colegiados de Circuito, XXIX, Enero de 2009, P. 2470, Registro digital 168124.</w:t>
      </w:r>
    </w:p>
  </w:footnote>
  <w:footnote w:id="4">
    <w:p w14:paraId="36DF9101" w14:textId="77777777" w:rsidR="00000D31" w:rsidRDefault="00A93D2E">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Arial" w:eastAsia="Arial" w:hAnsi="Arial" w:cs="Arial"/>
          <w:color w:val="000000"/>
          <w:sz w:val="20"/>
          <w:szCs w:val="20"/>
        </w:rPr>
        <w:t xml:space="preserve"> </w:t>
      </w:r>
      <w:r>
        <w:rPr>
          <w:rFonts w:ascii="Palatino Linotype" w:eastAsia="Palatino Linotype" w:hAnsi="Palatino Linotype" w:cs="Palatino Linotype"/>
          <w:color w:val="000000"/>
          <w:sz w:val="16"/>
          <w:szCs w:val="16"/>
        </w:rPr>
        <w:t xml:space="preserve">Tesis [A.]: I.7o.A.16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Décima Época, Tribunales Colegiados de Circuito Libro 7, Junio de 2014, Tomo II, P. 1725,  Registro digital 2004949.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E647" w14:textId="77777777" w:rsidR="00000D31" w:rsidRDefault="00A93D2E">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279E51CE" wp14:editId="7FB502D4">
          <wp:simplePos x="0" y="0"/>
          <wp:positionH relativeFrom="column">
            <wp:posOffset>-717546</wp:posOffset>
          </wp:positionH>
          <wp:positionV relativeFrom="paragraph">
            <wp:posOffset>-250186</wp:posOffset>
          </wp:positionV>
          <wp:extent cx="7809876" cy="10165823"/>
          <wp:effectExtent l="0" t="0" r="0" b="0"/>
          <wp:wrapNone/>
          <wp:docPr id="1984123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000D31" w14:paraId="06693FDF" w14:textId="77777777">
      <w:tc>
        <w:tcPr>
          <w:tcW w:w="2551" w:type="dxa"/>
          <w:vAlign w:val="center"/>
        </w:tcPr>
        <w:p w14:paraId="674FEB90"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00CCEE1"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03009/INFOEM/IP/RR/2025</w:t>
          </w:r>
        </w:p>
      </w:tc>
    </w:tr>
    <w:tr w:rsidR="00000D31" w14:paraId="4C31B674" w14:textId="77777777">
      <w:trPr>
        <w:trHeight w:val="217"/>
      </w:trPr>
      <w:tc>
        <w:tcPr>
          <w:tcW w:w="2551" w:type="dxa"/>
          <w:vAlign w:val="center"/>
        </w:tcPr>
        <w:p w14:paraId="0EC3EEFC"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0DB3F7AF" w14:textId="77777777" w:rsidR="00000D31" w:rsidRDefault="00A93D2E">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000D31" w14:paraId="57352EDE" w14:textId="77777777">
      <w:tc>
        <w:tcPr>
          <w:tcW w:w="2551" w:type="dxa"/>
          <w:vAlign w:val="center"/>
        </w:tcPr>
        <w:p w14:paraId="2A316B89"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4F71D8B"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E53DE87" w14:textId="77777777" w:rsidR="00000D31" w:rsidRDefault="00000D3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7E43" w14:textId="77777777" w:rsidR="00000D31" w:rsidRDefault="00A93D2E">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E3A8BA8" wp14:editId="070C83A0">
          <wp:simplePos x="0" y="0"/>
          <wp:positionH relativeFrom="column">
            <wp:posOffset>-725801</wp:posOffset>
          </wp:positionH>
          <wp:positionV relativeFrom="paragraph">
            <wp:posOffset>-29837</wp:posOffset>
          </wp:positionV>
          <wp:extent cx="7809865" cy="10165715"/>
          <wp:effectExtent l="0" t="0" r="0" b="0"/>
          <wp:wrapNone/>
          <wp:docPr id="1984123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529" w:type="dxa"/>
      <w:tblInd w:w="3402" w:type="dxa"/>
      <w:tblLayout w:type="fixed"/>
      <w:tblLook w:val="0400" w:firstRow="0" w:lastRow="0" w:firstColumn="0" w:lastColumn="0" w:noHBand="0" w:noVBand="1"/>
    </w:tblPr>
    <w:tblGrid>
      <w:gridCol w:w="2552"/>
      <w:gridCol w:w="2977"/>
    </w:tblGrid>
    <w:tr w:rsidR="00000D31" w14:paraId="126E7827" w14:textId="77777777">
      <w:tc>
        <w:tcPr>
          <w:tcW w:w="2552" w:type="dxa"/>
          <w:vAlign w:val="center"/>
        </w:tcPr>
        <w:p w14:paraId="3C78CD05"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2977" w:type="dxa"/>
          <w:vAlign w:val="center"/>
        </w:tcPr>
        <w:p w14:paraId="015E1C40"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03009/INFOEM/IP/RR/2025</w:t>
          </w:r>
        </w:p>
      </w:tc>
    </w:tr>
    <w:tr w:rsidR="00000D31" w14:paraId="52C80D3C" w14:textId="77777777">
      <w:tc>
        <w:tcPr>
          <w:tcW w:w="2552" w:type="dxa"/>
          <w:vAlign w:val="center"/>
        </w:tcPr>
        <w:p w14:paraId="33042CCA"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2977" w:type="dxa"/>
          <w:vAlign w:val="center"/>
        </w:tcPr>
        <w:p w14:paraId="4236FE56" w14:textId="77777777" w:rsidR="00000D31" w:rsidRDefault="00000D3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000D31" w14:paraId="72D45B6D" w14:textId="77777777">
      <w:trPr>
        <w:trHeight w:val="152"/>
      </w:trPr>
      <w:tc>
        <w:tcPr>
          <w:tcW w:w="2552" w:type="dxa"/>
          <w:vAlign w:val="center"/>
        </w:tcPr>
        <w:p w14:paraId="5FB08CD0" w14:textId="77777777" w:rsidR="00000D31" w:rsidRDefault="00A93D2E">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2977" w:type="dxa"/>
        </w:tcPr>
        <w:p w14:paraId="1316F57C" w14:textId="77777777" w:rsidR="00000D31" w:rsidRDefault="00A93D2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000D31" w14:paraId="63771B8C" w14:textId="77777777">
      <w:tc>
        <w:tcPr>
          <w:tcW w:w="2552" w:type="dxa"/>
          <w:vAlign w:val="center"/>
        </w:tcPr>
        <w:p w14:paraId="57C46C71"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2977" w:type="dxa"/>
          <w:vAlign w:val="center"/>
        </w:tcPr>
        <w:p w14:paraId="25811108" w14:textId="77777777" w:rsidR="00000D31" w:rsidRDefault="00A93D2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B68BA2D" w14:textId="77777777" w:rsidR="00000D31" w:rsidRDefault="00A93D2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94941"/>
    <w:multiLevelType w:val="multilevel"/>
    <w:tmpl w:val="2F28726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69E4F7C"/>
    <w:multiLevelType w:val="multilevel"/>
    <w:tmpl w:val="3C40ACA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31"/>
    <w:rsid w:val="00000D31"/>
    <w:rsid w:val="00170178"/>
    <w:rsid w:val="009D0CFB"/>
    <w:rsid w:val="00A93D2E"/>
    <w:rsid w:val="00AD161D"/>
    <w:rsid w:val="00CF31DF"/>
    <w:rsid w:val="00DE36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4DE7A"/>
  <w15:docId w15:val="{DE87FF56-0368-4058-9E45-426A56E4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5D09"/>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table" w:customStyle="1" w:styleId="a5">
    <w:basedOn w:val="TableNormal1"/>
    <w:tblPr>
      <w:tblStyleRowBandSize w:val="1"/>
      <w:tblStyleColBandSize w:val="1"/>
      <w:tblCellMar>
        <w:top w:w="15" w:type="dxa"/>
        <w:left w:w="115" w:type="dxa"/>
        <w:bottom w:w="15" w:type="dxa"/>
        <w:right w:w="115" w:type="dxa"/>
      </w:tblCellMar>
    </w:tblPr>
  </w:style>
  <w:style w:type="character" w:customStyle="1" w:styleId="Mencinsinresolver2">
    <w:name w:val="Mención sin resolver2"/>
    <w:basedOn w:val="Fuentedeprrafopredeter"/>
    <w:uiPriority w:val="99"/>
    <w:semiHidden/>
    <w:unhideWhenUsed/>
    <w:rsid w:val="003D0BAB"/>
    <w:rPr>
      <w:color w:val="605E5C"/>
      <w:shd w:val="clear" w:color="auto" w:fill="E1DFDD"/>
    </w:rPr>
  </w:style>
  <w:style w:type="character" w:styleId="Hipervnculovisitado">
    <w:name w:val="FollowedHyperlink"/>
    <w:basedOn w:val="Fuentedeprrafopredeter"/>
    <w:uiPriority w:val="99"/>
    <w:semiHidden/>
    <w:unhideWhenUsed/>
    <w:rsid w:val="00D8488F"/>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104B16"/>
    <w:pPr>
      <w:spacing w:after="0" w:line="240" w:lineRule="auto"/>
    </w:pPr>
    <w:rPr>
      <w:rFonts w:ascii="Arial" w:eastAsia="Times New Roman" w:hAnsi="Arial" w:cs="Arial"/>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104B16"/>
    <w:rPr>
      <w:rFonts w:ascii="Arial" w:eastAsia="Times New Roman" w:hAnsi="Arial" w:cs="Arial"/>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104B16"/>
    <w:rPr>
      <w:vertAlign w:val="superscript"/>
    </w:rPr>
  </w:style>
  <w:style w:type="paragraph" w:styleId="Sinespaciado">
    <w:name w:val="No Spacing"/>
    <w:aliases w:val="Francesa"/>
    <w:link w:val="SinespaciadoCar"/>
    <w:uiPriority w:val="1"/>
    <w:qFormat/>
    <w:rsid w:val="00595D50"/>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
    <w:link w:val="Sinespaciado"/>
    <w:uiPriority w:val="1"/>
    <w:locked/>
    <w:rsid w:val="00595D50"/>
    <w:rPr>
      <w:rFonts w:asciiTheme="minorHAnsi" w:eastAsiaTheme="minorHAnsi" w:hAnsiTheme="minorHAnsi" w:cstheme="minorBidi"/>
      <w:lang w:eastAsia="en-US"/>
    </w:rPr>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APHIL1mfipQR9uZ8UKe9EntZQ==">CgMxLjAyCWguMzBqMHpsbDIJaC4yczhleW8xMghoLnR5amN3dDIJaC4zem55c2g3MgloLjJldDkycDAyDmgucHpkZnp1bXRpdHdxMghoLmdqZGd4czIOaC5vdDNxcTZ2eGEwOGYyDmgubTZwbWIwYzhhdDVoOAByITE1djZVMkRQdi1xaW16akdjVkhpWklJbmJ4NkZuTzdUeA==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11938</Words>
  <Characters>65664</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2025-05-30T19:05:00Z</cp:lastPrinted>
  <dcterms:created xsi:type="dcterms:W3CDTF">2025-06-11T18:34:00Z</dcterms:created>
  <dcterms:modified xsi:type="dcterms:W3CDTF">2025-06-11T18:34:00Z</dcterms:modified>
</cp:coreProperties>
</file>