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noProof/>
          <w:color w:val="auto"/>
          <w:sz w:val="20"/>
          <w:szCs w:val="20"/>
          <w:lang w:eastAsia="es-ES"/>
        </w:rPr>
        <w:id w:val="-260844837"/>
        <w:docPartObj>
          <w:docPartGallery w:val="Table of Contents"/>
          <w:docPartUnique/>
        </w:docPartObj>
      </w:sdtPr>
      <w:sdtEndPr>
        <w:rPr>
          <w:rFonts w:eastAsiaTheme="minorHAnsi" w:cstheme="minorBidi"/>
          <w:color w:val="000000" w:themeColor="text1"/>
          <w:sz w:val="22"/>
          <w:szCs w:val="22"/>
          <w:lang w:eastAsia="en-US"/>
        </w:rPr>
      </w:sdtEndPr>
      <w:sdtContent>
        <w:p w14:paraId="255AAB72" w14:textId="38785E67" w:rsidR="00D526FB" w:rsidRPr="0016487D" w:rsidRDefault="00D526FB" w:rsidP="00AE2352">
          <w:pPr>
            <w:pStyle w:val="TtulodeTDC"/>
            <w:spacing w:before="0" w:line="360" w:lineRule="auto"/>
            <w:jc w:val="center"/>
            <w:rPr>
              <w:rFonts w:ascii="Palatino Linotype" w:hAnsi="Palatino Linotype"/>
              <w:noProof/>
              <w:color w:val="000000" w:themeColor="text1"/>
              <w:sz w:val="22"/>
              <w:szCs w:val="22"/>
            </w:rPr>
          </w:pPr>
          <w:r w:rsidRPr="0016487D">
            <w:rPr>
              <w:rFonts w:ascii="Palatino Linotype" w:hAnsi="Palatino Linotype"/>
              <w:noProof/>
              <w:color w:val="000000" w:themeColor="text1"/>
              <w:sz w:val="22"/>
              <w:szCs w:val="22"/>
            </w:rPr>
            <w:t xml:space="preserve">RESOLUCIÓN DEL RECURSO DE REVISIÓN </w:t>
          </w:r>
          <w:r w:rsidR="006A126F" w:rsidRPr="0016487D">
            <w:rPr>
              <w:rFonts w:ascii="Palatino Linotype" w:hAnsi="Palatino Linotype"/>
              <w:noProof/>
              <w:color w:val="000000" w:themeColor="text1"/>
              <w:sz w:val="22"/>
              <w:szCs w:val="22"/>
            </w:rPr>
            <w:t>03221</w:t>
          </w:r>
          <w:r w:rsidRPr="0016487D">
            <w:rPr>
              <w:rFonts w:ascii="Palatino Linotype" w:hAnsi="Palatino Linotype"/>
              <w:noProof/>
              <w:color w:val="000000" w:themeColor="text1"/>
              <w:sz w:val="22"/>
              <w:szCs w:val="22"/>
            </w:rPr>
            <w:t>/INFOEM/IP/RR/</w:t>
          </w:r>
          <w:r w:rsidR="00BC52FA" w:rsidRPr="0016487D">
            <w:rPr>
              <w:rFonts w:ascii="Palatino Linotype" w:hAnsi="Palatino Linotype"/>
              <w:noProof/>
              <w:color w:val="000000" w:themeColor="text1"/>
              <w:sz w:val="22"/>
              <w:szCs w:val="22"/>
            </w:rPr>
            <w:t>2025</w:t>
          </w:r>
        </w:p>
        <w:p w14:paraId="7CF4A363" w14:textId="77777777" w:rsidR="008F5DC2" w:rsidRPr="0016487D" w:rsidRDefault="008F5DC2" w:rsidP="00AE2352">
          <w:pPr>
            <w:spacing w:after="0" w:line="360" w:lineRule="auto"/>
            <w:rPr>
              <w:noProof/>
              <w:lang w:eastAsia="es-MX"/>
            </w:rPr>
          </w:pPr>
        </w:p>
        <w:p w14:paraId="24254009" w14:textId="48C63CA4" w:rsidR="000A352E" w:rsidRPr="0016487D" w:rsidRDefault="00D526FB" w:rsidP="00AE2352">
          <w:pPr>
            <w:pStyle w:val="TDC1"/>
            <w:spacing w:after="0"/>
            <w:rPr>
              <w:rFonts w:ascii="Palatino Linotype" w:eastAsiaTheme="minorEastAsia" w:hAnsi="Palatino Linotype" w:cstheme="minorBidi"/>
              <w:noProof/>
              <w:sz w:val="22"/>
              <w:szCs w:val="22"/>
              <w:lang w:eastAsia="es-MX"/>
            </w:rPr>
          </w:pPr>
          <w:r w:rsidRPr="0016487D">
            <w:rPr>
              <w:rFonts w:ascii="Palatino Linotype" w:hAnsi="Palatino Linotype"/>
              <w:noProof/>
              <w:sz w:val="22"/>
              <w:szCs w:val="22"/>
            </w:rPr>
            <w:fldChar w:fldCharType="begin"/>
          </w:r>
          <w:r w:rsidRPr="0016487D">
            <w:rPr>
              <w:rFonts w:ascii="Palatino Linotype" w:hAnsi="Palatino Linotype"/>
              <w:noProof/>
              <w:sz w:val="22"/>
              <w:szCs w:val="22"/>
            </w:rPr>
            <w:instrText xml:space="preserve"> TOC \o "1-3" \h \z \u </w:instrText>
          </w:r>
          <w:r w:rsidRPr="0016487D">
            <w:rPr>
              <w:rFonts w:ascii="Palatino Linotype" w:hAnsi="Palatino Linotype"/>
              <w:noProof/>
              <w:sz w:val="22"/>
              <w:szCs w:val="22"/>
            </w:rPr>
            <w:fldChar w:fldCharType="separate"/>
          </w:r>
          <w:hyperlink w:anchor="_Toc193363640" w:history="1">
            <w:r w:rsidR="000A352E" w:rsidRPr="0016487D">
              <w:rPr>
                <w:rStyle w:val="Hipervnculo"/>
                <w:rFonts w:ascii="Palatino Linotype" w:eastAsia="Calibri" w:hAnsi="Palatino Linotype"/>
                <w:noProof/>
                <w:sz w:val="22"/>
                <w:szCs w:val="22"/>
              </w:rPr>
              <w:t>A N T E C E D E N T E S:</w:t>
            </w:r>
            <w:r w:rsidR="000A352E" w:rsidRPr="0016487D">
              <w:rPr>
                <w:rFonts w:ascii="Palatino Linotype" w:hAnsi="Palatino Linotype"/>
                <w:noProof/>
                <w:webHidden/>
                <w:sz w:val="22"/>
                <w:szCs w:val="22"/>
              </w:rPr>
              <w:tab/>
            </w:r>
            <w:r w:rsidR="000A352E" w:rsidRPr="0016487D">
              <w:rPr>
                <w:rFonts w:ascii="Palatino Linotype" w:hAnsi="Palatino Linotype"/>
                <w:noProof/>
                <w:webHidden/>
                <w:sz w:val="22"/>
                <w:szCs w:val="22"/>
              </w:rPr>
              <w:fldChar w:fldCharType="begin"/>
            </w:r>
            <w:r w:rsidR="000A352E" w:rsidRPr="0016487D">
              <w:rPr>
                <w:rFonts w:ascii="Palatino Linotype" w:hAnsi="Palatino Linotype"/>
                <w:noProof/>
                <w:webHidden/>
                <w:sz w:val="22"/>
                <w:szCs w:val="22"/>
              </w:rPr>
              <w:instrText xml:space="preserve"> PAGEREF _Toc193363640 \h </w:instrText>
            </w:r>
            <w:r w:rsidR="000A352E" w:rsidRPr="0016487D">
              <w:rPr>
                <w:rFonts w:ascii="Palatino Linotype" w:hAnsi="Palatino Linotype"/>
                <w:noProof/>
                <w:webHidden/>
                <w:sz w:val="22"/>
                <w:szCs w:val="22"/>
              </w:rPr>
            </w:r>
            <w:r w:rsidR="000A352E" w:rsidRPr="0016487D">
              <w:rPr>
                <w:rFonts w:ascii="Palatino Linotype" w:hAnsi="Palatino Linotype"/>
                <w:noProof/>
                <w:webHidden/>
                <w:sz w:val="22"/>
                <w:szCs w:val="22"/>
              </w:rPr>
              <w:fldChar w:fldCharType="separate"/>
            </w:r>
            <w:r w:rsidR="00454FD6">
              <w:rPr>
                <w:rFonts w:ascii="Palatino Linotype" w:hAnsi="Palatino Linotype"/>
                <w:noProof/>
                <w:webHidden/>
                <w:sz w:val="22"/>
                <w:szCs w:val="22"/>
              </w:rPr>
              <w:t>2</w:t>
            </w:r>
            <w:r w:rsidR="000A352E" w:rsidRPr="0016487D">
              <w:rPr>
                <w:rFonts w:ascii="Palatino Linotype" w:hAnsi="Palatino Linotype"/>
                <w:noProof/>
                <w:webHidden/>
                <w:sz w:val="22"/>
                <w:szCs w:val="22"/>
              </w:rPr>
              <w:fldChar w:fldCharType="end"/>
            </w:r>
          </w:hyperlink>
        </w:p>
        <w:p w14:paraId="4416592F" w14:textId="7D3CD65C" w:rsidR="000A352E" w:rsidRPr="0016487D" w:rsidRDefault="001D527A" w:rsidP="00AE2352">
          <w:pPr>
            <w:pStyle w:val="TDC2"/>
            <w:tabs>
              <w:tab w:val="right" w:leader="dot" w:pos="9111"/>
            </w:tabs>
            <w:spacing w:after="0" w:line="360" w:lineRule="auto"/>
            <w:rPr>
              <w:rFonts w:ascii="Palatino Linotype" w:eastAsiaTheme="minorEastAsia" w:hAnsi="Palatino Linotype" w:cstheme="minorBidi"/>
              <w:noProof/>
              <w:sz w:val="22"/>
              <w:szCs w:val="22"/>
              <w:lang w:eastAsia="es-MX"/>
            </w:rPr>
          </w:pPr>
          <w:hyperlink w:anchor="_Toc193363641" w:history="1">
            <w:r w:rsidR="000A352E" w:rsidRPr="0016487D">
              <w:rPr>
                <w:rStyle w:val="Hipervnculo"/>
                <w:rFonts w:ascii="Palatino Linotype" w:hAnsi="Palatino Linotype"/>
                <w:noProof/>
                <w:sz w:val="22"/>
                <w:szCs w:val="22"/>
              </w:rPr>
              <w:t>I. Presentación de la solicitud de información:</w:t>
            </w:r>
            <w:r w:rsidR="000A352E" w:rsidRPr="0016487D">
              <w:rPr>
                <w:rFonts w:ascii="Palatino Linotype" w:hAnsi="Palatino Linotype"/>
                <w:noProof/>
                <w:webHidden/>
                <w:sz w:val="22"/>
                <w:szCs w:val="22"/>
              </w:rPr>
              <w:tab/>
            </w:r>
            <w:r w:rsidR="000A352E" w:rsidRPr="0016487D">
              <w:rPr>
                <w:rFonts w:ascii="Palatino Linotype" w:hAnsi="Palatino Linotype"/>
                <w:noProof/>
                <w:webHidden/>
                <w:sz w:val="22"/>
                <w:szCs w:val="22"/>
              </w:rPr>
              <w:fldChar w:fldCharType="begin"/>
            </w:r>
            <w:r w:rsidR="000A352E" w:rsidRPr="0016487D">
              <w:rPr>
                <w:rFonts w:ascii="Palatino Linotype" w:hAnsi="Palatino Linotype"/>
                <w:noProof/>
                <w:webHidden/>
                <w:sz w:val="22"/>
                <w:szCs w:val="22"/>
              </w:rPr>
              <w:instrText xml:space="preserve"> PAGEREF _Toc193363641 \h </w:instrText>
            </w:r>
            <w:r w:rsidR="000A352E" w:rsidRPr="0016487D">
              <w:rPr>
                <w:rFonts w:ascii="Palatino Linotype" w:hAnsi="Palatino Linotype"/>
                <w:noProof/>
                <w:webHidden/>
                <w:sz w:val="22"/>
                <w:szCs w:val="22"/>
              </w:rPr>
            </w:r>
            <w:r w:rsidR="000A352E" w:rsidRPr="0016487D">
              <w:rPr>
                <w:rFonts w:ascii="Palatino Linotype" w:hAnsi="Palatino Linotype"/>
                <w:noProof/>
                <w:webHidden/>
                <w:sz w:val="22"/>
                <w:szCs w:val="22"/>
              </w:rPr>
              <w:fldChar w:fldCharType="separate"/>
            </w:r>
            <w:r w:rsidR="00454FD6">
              <w:rPr>
                <w:rFonts w:ascii="Palatino Linotype" w:hAnsi="Palatino Linotype"/>
                <w:noProof/>
                <w:webHidden/>
                <w:sz w:val="22"/>
                <w:szCs w:val="22"/>
              </w:rPr>
              <w:t>2</w:t>
            </w:r>
            <w:r w:rsidR="000A352E" w:rsidRPr="0016487D">
              <w:rPr>
                <w:rFonts w:ascii="Palatino Linotype" w:hAnsi="Palatino Linotype"/>
                <w:noProof/>
                <w:webHidden/>
                <w:sz w:val="22"/>
                <w:szCs w:val="22"/>
              </w:rPr>
              <w:fldChar w:fldCharType="end"/>
            </w:r>
          </w:hyperlink>
        </w:p>
        <w:p w14:paraId="28683798" w14:textId="1F824789" w:rsidR="000A352E" w:rsidRPr="0016487D" w:rsidRDefault="001D527A" w:rsidP="00AE2352">
          <w:pPr>
            <w:pStyle w:val="TDC2"/>
            <w:tabs>
              <w:tab w:val="right" w:leader="dot" w:pos="9111"/>
            </w:tabs>
            <w:spacing w:after="0" w:line="360" w:lineRule="auto"/>
            <w:rPr>
              <w:rFonts w:ascii="Palatino Linotype" w:eastAsiaTheme="minorEastAsia" w:hAnsi="Palatino Linotype" w:cstheme="minorBidi"/>
              <w:noProof/>
              <w:sz w:val="22"/>
              <w:szCs w:val="22"/>
              <w:lang w:eastAsia="es-MX"/>
            </w:rPr>
          </w:pPr>
          <w:hyperlink w:anchor="_Toc193363642" w:history="1">
            <w:r w:rsidR="000A352E" w:rsidRPr="0016487D">
              <w:rPr>
                <w:rStyle w:val="Hipervnculo"/>
                <w:rFonts w:ascii="Palatino Linotype" w:hAnsi="Palatino Linotype" w:cs="Tahoma"/>
                <w:noProof/>
                <w:sz w:val="22"/>
                <w:szCs w:val="22"/>
              </w:rPr>
              <w:t>II.</w:t>
            </w:r>
            <w:r w:rsidR="000A352E" w:rsidRPr="0016487D">
              <w:rPr>
                <w:rStyle w:val="Hipervnculo"/>
                <w:rFonts w:ascii="Palatino Linotype" w:hAnsi="Palatino Linotype"/>
                <w:noProof/>
                <w:sz w:val="22"/>
                <w:szCs w:val="22"/>
              </w:rPr>
              <w:t xml:space="preserve"> Respuesta del Sujeto Obligado.</w:t>
            </w:r>
            <w:r w:rsidR="000A352E" w:rsidRPr="0016487D">
              <w:rPr>
                <w:rFonts w:ascii="Palatino Linotype" w:hAnsi="Palatino Linotype"/>
                <w:noProof/>
                <w:webHidden/>
                <w:sz w:val="22"/>
                <w:szCs w:val="22"/>
              </w:rPr>
              <w:tab/>
            </w:r>
            <w:r w:rsidR="000A352E" w:rsidRPr="0016487D">
              <w:rPr>
                <w:rFonts w:ascii="Palatino Linotype" w:hAnsi="Palatino Linotype"/>
                <w:noProof/>
                <w:webHidden/>
                <w:sz w:val="22"/>
                <w:szCs w:val="22"/>
              </w:rPr>
              <w:fldChar w:fldCharType="begin"/>
            </w:r>
            <w:r w:rsidR="000A352E" w:rsidRPr="0016487D">
              <w:rPr>
                <w:rFonts w:ascii="Palatino Linotype" w:hAnsi="Palatino Linotype"/>
                <w:noProof/>
                <w:webHidden/>
                <w:sz w:val="22"/>
                <w:szCs w:val="22"/>
              </w:rPr>
              <w:instrText xml:space="preserve"> PAGEREF _Toc193363642 \h </w:instrText>
            </w:r>
            <w:r w:rsidR="000A352E" w:rsidRPr="0016487D">
              <w:rPr>
                <w:rFonts w:ascii="Palatino Linotype" w:hAnsi="Palatino Linotype"/>
                <w:noProof/>
                <w:webHidden/>
                <w:sz w:val="22"/>
                <w:szCs w:val="22"/>
              </w:rPr>
            </w:r>
            <w:r w:rsidR="000A352E" w:rsidRPr="0016487D">
              <w:rPr>
                <w:rFonts w:ascii="Palatino Linotype" w:hAnsi="Palatino Linotype"/>
                <w:noProof/>
                <w:webHidden/>
                <w:sz w:val="22"/>
                <w:szCs w:val="22"/>
              </w:rPr>
              <w:fldChar w:fldCharType="separate"/>
            </w:r>
            <w:r w:rsidR="00454FD6">
              <w:rPr>
                <w:rFonts w:ascii="Palatino Linotype" w:hAnsi="Palatino Linotype"/>
                <w:noProof/>
                <w:webHidden/>
                <w:sz w:val="22"/>
                <w:szCs w:val="22"/>
              </w:rPr>
              <w:t>3</w:t>
            </w:r>
            <w:r w:rsidR="000A352E" w:rsidRPr="0016487D">
              <w:rPr>
                <w:rFonts w:ascii="Palatino Linotype" w:hAnsi="Palatino Linotype"/>
                <w:noProof/>
                <w:webHidden/>
                <w:sz w:val="22"/>
                <w:szCs w:val="22"/>
              </w:rPr>
              <w:fldChar w:fldCharType="end"/>
            </w:r>
          </w:hyperlink>
        </w:p>
        <w:p w14:paraId="41297BB0" w14:textId="0C87C1D0" w:rsidR="000A352E" w:rsidRPr="0016487D" w:rsidRDefault="001D527A" w:rsidP="00AE2352">
          <w:pPr>
            <w:pStyle w:val="TDC2"/>
            <w:tabs>
              <w:tab w:val="right" w:leader="dot" w:pos="9111"/>
            </w:tabs>
            <w:spacing w:after="0" w:line="360" w:lineRule="auto"/>
            <w:rPr>
              <w:rFonts w:ascii="Palatino Linotype" w:eastAsiaTheme="minorEastAsia" w:hAnsi="Palatino Linotype" w:cstheme="minorBidi"/>
              <w:noProof/>
              <w:sz w:val="22"/>
              <w:szCs w:val="22"/>
              <w:lang w:eastAsia="es-MX"/>
            </w:rPr>
          </w:pPr>
          <w:hyperlink w:anchor="_Toc193363643" w:history="1">
            <w:r w:rsidR="000A352E" w:rsidRPr="0016487D">
              <w:rPr>
                <w:rStyle w:val="Hipervnculo"/>
                <w:rFonts w:ascii="Palatino Linotype" w:hAnsi="Palatino Linotype"/>
                <w:noProof/>
                <w:sz w:val="22"/>
                <w:szCs w:val="22"/>
              </w:rPr>
              <w:t>III. Interposición del Recurso de Revisión.</w:t>
            </w:r>
            <w:r w:rsidR="000A352E" w:rsidRPr="0016487D">
              <w:rPr>
                <w:rFonts w:ascii="Palatino Linotype" w:hAnsi="Palatino Linotype"/>
                <w:noProof/>
                <w:webHidden/>
                <w:sz w:val="22"/>
                <w:szCs w:val="22"/>
              </w:rPr>
              <w:tab/>
            </w:r>
            <w:r w:rsidR="000A352E" w:rsidRPr="0016487D">
              <w:rPr>
                <w:rFonts w:ascii="Palatino Linotype" w:hAnsi="Palatino Linotype"/>
                <w:noProof/>
                <w:webHidden/>
                <w:sz w:val="22"/>
                <w:szCs w:val="22"/>
              </w:rPr>
              <w:fldChar w:fldCharType="begin"/>
            </w:r>
            <w:r w:rsidR="000A352E" w:rsidRPr="0016487D">
              <w:rPr>
                <w:rFonts w:ascii="Palatino Linotype" w:hAnsi="Palatino Linotype"/>
                <w:noProof/>
                <w:webHidden/>
                <w:sz w:val="22"/>
                <w:szCs w:val="22"/>
              </w:rPr>
              <w:instrText xml:space="preserve"> PAGEREF _Toc193363643 \h </w:instrText>
            </w:r>
            <w:r w:rsidR="000A352E" w:rsidRPr="0016487D">
              <w:rPr>
                <w:rFonts w:ascii="Palatino Linotype" w:hAnsi="Palatino Linotype"/>
                <w:noProof/>
                <w:webHidden/>
                <w:sz w:val="22"/>
                <w:szCs w:val="22"/>
              </w:rPr>
            </w:r>
            <w:r w:rsidR="000A352E" w:rsidRPr="0016487D">
              <w:rPr>
                <w:rFonts w:ascii="Palatino Linotype" w:hAnsi="Palatino Linotype"/>
                <w:noProof/>
                <w:webHidden/>
                <w:sz w:val="22"/>
                <w:szCs w:val="22"/>
              </w:rPr>
              <w:fldChar w:fldCharType="separate"/>
            </w:r>
            <w:r w:rsidR="00454FD6">
              <w:rPr>
                <w:rFonts w:ascii="Palatino Linotype" w:hAnsi="Palatino Linotype"/>
                <w:noProof/>
                <w:webHidden/>
                <w:sz w:val="22"/>
                <w:szCs w:val="22"/>
              </w:rPr>
              <w:t>4</w:t>
            </w:r>
            <w:r w:rsidR="000A352E" w:rsidRPr="0016487D">
              <w:rPr>
                <w:rFonts w:ascii="Palatino Linotype" w:hAnsi="Palatino Linotype"/>
                <w:noProof/>
                <w:webHidden/>
                <w:sz w:val="22"/>
                <w:szCs w:val="22"/>
              </w:rPr>
              <w:fldChar w:fldCharType="end"/>
            </w:r>
          </w:hyperlink>
        </w:p>
        <w:p w14:paraId="6F7AF4FD" w14:textId="6C74AA04" w:rsidR="000A352E" w:rsidRPr="0016487D" w:rsidRDefault="001D527A" w:rsidP="00AE2352">
          <w:pPr>
            <w:pStyle w:val="TDC2"/>
            <w:tabs>
              <w:tab w:val="right" w:leader="dot" w:pos="9111"/>
            </w:tabs>
            <w:spacing w:after="0" w:line="360" w:lineRule="auto"/>
            <w:rPr>
              <w:rFonts w:ascii="Palatino Linotype" w:eastAsiaTheme="minorEastAsia" w:hAnsi="Palatino Linotype" w:cstheme="minorBidi"/>
              <w:noProof/>
              <w:sz w:val="22"/>
              <w:szCs w:val="22"/>
              <w:lang w:eastAsia="es-MX"/>
            </w:rPr>
          </w:pPr>
          <w:hyperlink w:anchor="_Toc193363644" w:history="1">
            <w:r w:rsidR="000A352E" w:rsidRPr="0016487D">
              <w:rPr>
                <w:rStyle w:val="Hipervnculo"/>
                <w:rFonts w:ascii="Palatino Linotype" w:hAnsi="Palatino Linotype"/>
                <w:noProof/>
                <w:sz w:val="22"/>
                <w:szCs w:val="22"/>
              </w:rPr>
              <w:t>IV. Trámite del Recurso de Revisión ante este Instituto.</w:t>
            </w:r>
            <w:r w:rsidR="000A352E" w:rsidRPr="0016487D">
              <w:rPr>
                <w:rFonts w:ascii="Palatino Linotype" w:hAnsi="Palatino Linotype"/>
                <w:noProof/>
                <w:webHidden/>
                <w:sz w:val="22"/>
                <w:szCs w:val="22"/>
              </w:rPr>
              <w:tab/>
            </w:r>
            <w:r w:rsidR="000A352E" w:rsidRPr="0016487D">
              <w:rPr>
                <w:rFonts w:ascii="Palatino Linotype" w:hAnsi="Palatino Linotype"/>
                <w:noProof/>
                <w:webHidden/>
                <w:sz w:val="22"/>
                <w:szCs w:val="22"/>
              </w:rPr>
              <w:fldChar w:fldCharType="begin"/>
            </w:r>
            <w:r w:rsidR="000A352E" w:rsidRPr="0016487D">
              <w:rPr>
                <w:rFonts w:ascii="Palatino Linotype" w:hAnsi="Palatino Linotype"/>
                <w:noProof/>
                <w:webHidden/>
                <w:sz w:val="22"/>
                <w:szCs w:val="22"/>
              </w:rPr>
              <w:instrText xml:space="preserve"> PAGEREF _Toc193363644 \h </w:instrText>
            </w:r>
            <w:r w:rsidR="000A352E" w:rsidRPr="0016487D">
              <w:rPr>
                <w:rFonts w:ascii="Palatino Linotype" w:hAnsi="Palatino Linotype"/>
                <w:noProof/>
                <w:webHidden/>
                <w:sz w:val="22"/>
                <w:szCs w:val="22"/>
              </w:rPr>
            </w:r>
            <w:r w:rsidR="000A352E" w:rsidRPr="0016487D">
              <w:rPr>
                <w:rFonts w:ascii="Palatino Linotype" w:hAnsi="Palatino Linotype"/>
                <w:noProof/>
                <w:webHidden/>
                <w:sz w:val="22"/>
                <w:szCs w:val="22"/>
              </w:rPr>
              <w:fldChar w:fldCharType="separate"/>
            </w:r>
            <w:r w:rsidR="00454FD6">
              <w:rPr>
                <w:rFonts w:ascii="Palatino Linotype" w:hAnsi="Palatino Linotype"/>
                <w:noProof/>
                <w:webHidden/>
                <w:sz w:val="22"/>
                <w:szCs w:val="22"/>
              </w:rPr>
              <w:t>5</w:t>
            </w:r>
            <w:r w:rsidR="000A352E" w:rsidRPr="0016487D">
              <w:rPr>
                <w:rFonts w:ascii="Palatino Linotype" w:hAnsi="Palatino Linotype"/>
                <w:noProof/>
                <w:webHidden/>
                <w:sz w:val="22"/>
                <w:szCs w:val="22"/>
              </w:rPr>
              <w:fldChar w:fldCharType="end"/>
            </w:r>
          </w:hyperlink>
        </w:p>
        <w:p w14:paraId="6263F533" w14:textId="20B14B17" w:rsidR="000A352E" w:rsidRPr="0016487D" w:rsidRDefault="001D527A" w:rsidP="00AE2352">
          <w:pPr>
            <w:pStyle w:val="TDC1"/>
            <w:spacing w:after="0"/>
            <w:rPr>
              <w:rFonts w:ascii="Palatino Linotype" w:eastAsiaTheme="minorEastAsia" w:hAnsi="Palatino Linotype" w:cstheme="minorBidi"/>
              <w:noProof/>
              <w:sz w:val="22"/>
              <w:szCs w:val="22"/>
              <w:lang w:eastAsia="es-MX"/>
            </w:rPr>
          </w:pPr>
          <w:hyperlink w:anchor="_Toc193363648" w:history="1">
            <w:r w:rsidR="000A352E" w:rsidRPr="0016487D">
              <w:rPr>
                <w:rStyle w:val="Hipervnculo"/>
                <w:rFonts w:ascii="Palatino Linotype" w:hAnsi="Palatino Linotype"/>
                <w:noProof/>
                <w:sz w:val="22"/>
                <w:szCs w:val="22"/>
              </w:rPr>
              <w:t>C O N S I D E R A N D O S:</w:t>
            </w:r>
            <w:r w:rsidR="000A352E" w:rsidRPr="0016487D">
              <w:rPr>
                <w:rFonts w:ascii="Palatino Linotype" w:hAnsi="Palatino Linotype"/>
                <w:noProof/>
                <w:webHidden/>
                <w:sz w:val="22"/>
                <w:szCs w:val="22"/>
              </w:rPr>
              <w:tab/>
            </w:r>
            <w:r w:rsidR="000A352E" w:rsidRPr="0016487D">
              <w:rPr>
                <w:rFonts w:ascii="Palatino Linotype" w:hAnsi="Palatino Linotype"/>
                <w:noProof/>
                <w:webHidden/>
                <w:sz w:val="22"/>
                <w:szCs w:val="22"/>
              </w:rPr>
              <w:fldChar w:fldCharType="begin"/>
            </w:r>
            <w:r w:rsidR="000A352E" w:rsidRPr="0016487D">
              <w:rPr>
                <w:rFonts w:ascii="Palatino Linotype" w:hAnsi="Palatino Linotype"/>
                <w:noProof/>
                <w:webHidden/>
                <w:sz w:val="22"/>
                <w:szCs w:val="22"/>
              </w:rPr>
              <w:instrText xml:space="preserve"> PAGEREF _Toc193363648 \h </w:instrText>
            </w:r>
            <w:r w:rsidR="000A352E" w:rsidRPr="0016487D">
              <w:rPr>
                <w:rFonts w:ascii="Palatino Linotype" w:hAnsi="Palatino Linotype"/>
                <w:noProof/>
                <w:webHidden/>
                <w:sz w:val="22"/>
                <w:szCs w:val="22"/>
              </w:rPr>
            </w:r>
            <w:r w:rsidR="000A352E" w:rsidRPr="0016487D">
              <w:rPr>
                <w:rFonts w:ascii="Palatino Linotype" w:hAnsi="Palatino Linotype"/>
                <w:noProof/>
                <w:webHidden/>
                <w:sz w:val="22"/>
                <w:szCs w:val="22"/>
              </w:rPr>
              <w:fldChar w:fldCharType="separate"/>
            </w:r>
            <w:r w:rsidR="00454FD6">
              <w:rPr>
                <w:rFonts w:ascii="Palatino Linotype" w:hAnsi="Palatino Linotype"/>
                <w:noProof/>
                <w:webHidden/>
                <w:sz w:val="22"/>
                <w:szCs w:val="22"/>
              </w:rPr>
              <w:t>6</w:t>
            </w:r>
            <w:r w:rsidR="000A352E" w:rsidRPr="0016487D">
              <w:rPr>
                <w:rFonts w:ascii="Palatino Linotype" w:hAnsi="Palatino Linotype"/>
                <w:noProof/>
                <w:webHidden/>
                <w:sz w:val="22"/>
                <w:szCs w:val="22"/>
              </w:rPr>
              <w:fldChar w:fldCharType="end"/>
            </w:r>
          </w:hyperlink>
        </w:p>
        <w:p w14:paraId="2FC28330" w14:textId="7CF64143" w:rsidR="000A352E" w:rsidRPr="0016487D" w:rsidRDefault="001D527A" w:rsidP="00AE2352">
          <w:pPr>
            <w:pStyle w:val="TDC2"/>
            <w:tabs>
              <w:tab w:val="right" w:leader="dot" w:pos="9111"/>
            </w:tabs>
            <w:spacing w:after="0" w:line="360" w:lineRule="auto"/>
            <w:rPr>
              <w:rFonts w:ascii="Palatino Linotype" w:eastAsiaTheme="minorEastAsia" w:hAnsi="Palatino Linotype" w:cstheme="minorBidi"/>
              <w:noProof/>
              <w:sz w:val="22"/>
              <w:szCs w:val="22"/>
              <w:lang w:eastAsia="es-MX"/>
            </w:rPr>
          </w:pPr>
          <w:hyperlink w:anchor="_Toc193363649" w:history="1">
            <w:r w:rsidR="000A352E" w:rsidRPr="0016487D">
              <w:rPr>
                <w:rStyle w:val="Hipervnculo"/>
                <w:rFonts w:ascii="Palatino Linotype" w:eastAsia="Calibri" w:hAnsi="Palatino Linotype"/>
                <w:noProof/>
                <w:sz w:val="22"/>
                <w:szCs w:val="22"/>
                <w:lang w:eastAsia="es-MX"/>
              </w:rPr>
              <w:t xml:space="preserve">PRIMERO. </w:t>
            </w:r>
            <w:r w:rsidR="000A352E" w:rsidRPr="0016487D">
              <w:rPr>
                <w:rStyle w:val="Hipervnculo"/>
                <w:rFonts w:ascii="Palatino Linotype" w:hAnsi="Palatino Linotype"/>
                <w:noProof/>
                <w:sz w:val="22"/>
                <w:szCs w:val="22"/>
              </w:rPr>
              <w:t>Competencia.</w:t>
            </w:r>
            <w:r w:rsidR="000A352E" w:rsidRPr="0016487D">
              <w:rPr>
                <w:rFonts w:ascii="Palatino Linotype" w:hAnsi="Palatino Linotype"/>
                <w:noProof/>
                <w:webHidden/>
                <w:sz w:val="22"/>
                <w:szCs w:val="22"/>
              </w:rPr>
              <w:tab/>
            </w:r>
            <w:r w:rsidR="000A352E" w:rsidRPr="0016487D">
              <w:rPr>
                <w:rFonts w:ascii="Palatino Linotype" w:hAnsi="Palatino Linotype"/>
                <w:noProof/>
                <w:webHidden/>
                <w:sz w:val="22"/>
                <w:szCs w:val="22"/>
              </w:rPr>
              <w:fldChar w:fldCharType="begin"/>
            </w:r>
            <w:r w:rsidR="000A352E" w:rsidRPr="0016487D">
              <w:rPr>
                <w:rFonts w:ascii="Palatino Linotype" w:hAnsi="Palatino Linotype"/>
                <w:noProof/>
                <w:webHidden/>
                <w:sz w:val="22"/>
                <w:szCs w:val="22"/>
              </w:rPr>
              <w:instrText xml:space="preserve"> PAGEREF _Toc193363649 \h </w:instrText>
            </w:r>
            <w:r w:rsidR="000A352E" w:rsidRPr="0016487D">
              <w:rPr>
                <w:rFonts w:ascii="Palatino Linotype" w:hAnsi="Palatino Linotype"/>
                <w:noProof/>
                <w:webHidden/>
                <w:sz w:val="22"/>
                <w:szCs w:val="22"/>
              </w:rPr>
            </w:r>
            <w:r w:rsidR="000A352E" w:rsidRPr="0016487D">
              <w:rPr>
                <w:rFonts w:ascii="Palatino Linotype" w:hAnsi="Palatino Linotype"/>
                <w:noProof/>
                <w:webHidden/>
                <w:sz w:val="22"/>
                <w:szCs w:val="22"/>
              </w:rPr>
              <w:fldChar w:fldCharType="separate"/>
            </w:r>
            <w:r w:rsidR="00454FD6">
              <w:rPr>
                <w:rFonts w:ascii="Palatino Linotype" w:hAnsi="Palatino Linotype"/>
                <w:noProof/>
                <w:webHidden/>
                <w:sz w:val="22"/>
                <w:szCs w:val="22"/>
              </w:rPr>
              <w:t>6</w:t>
            </w:r>
            <w:r w:rsidR="000A352E" w:rsidRPr="0016487D">
              <w:rPr>
                <w:rFonts w:ascii="Palatino Linotype" w:hAnsi="Palatino Linotype"/>
                <w:noProof/>
                <w:webHidden/>
                <w:sz w:val="22"/>
                <w:szCs w:val="22"/>
              </w:rPr>
              <w:fldChar w:fldCharType="end"/>
            </w:r>
          </w:hyperlink>
        </w:p>
        <w:p w14:paraId="542FA439" w14:textId="08F58B7F" w:rsidR="000A352E" w:rsidRPr="0016487D" w:rsidRDefault="001D527A" w:rsidP="00AE2352">
          <w:pPr>
            <w:pStyle w:val="TDC2"/>
            <w:tabs>
              <w:tab w:val="right" w:leader="dot" w:pos="9111"/>
            </w:tabs>
            <w:spacing w:after="0" w:line="360" w:lineRule="auto"/>
            <w:rPr>
              <w:rFonts w:ascii="Palatino Linotype" w:eastAsiaTheme="minorEastAsia" w:hAnsi="Palatino Linotype" w:cstheme="minorBidi"/>
              <w:noProof/>
              <w:sz w:val="22"/>
              <w:szCs w:val="22"/>
              <w:lang w:eastAsia="es-MX"/>
            </w:rPr>
          </w:pPr>
          <w:hyperlink w:anchor="_Toc193363650" w:history="1">
            <w:r w:rsidR="000A352E" w:rsidRPr="0016487D">
              <w:rPr>
                <w:rStyle w:val="Hipervnculo"/>
                <w:rFonts w:ascii="Palatino Linotype" w:eastAsia="Calibri" w:hAnsi="Palatino Linotype"/>
                <w:noProof/>
                <w:sz w:val="22"/>
                <w:szCs w:val="22"/>
                <w:lang w:eastAsia="es-MX"/>
              </w:rPr>
              <w:t xml:space="preserve">SEGUNDO. </w:t>
            </w:r>
            <w:r w:rsidR="000A352E" w:rsidRPr="0016487D">
              <w:rPr>
                <w:rStyle w:val="Hipervnculo"/>
                <w:rFonts w:ascii="Palatino Linotype" w:hAnsi="Palatino Linotype"/>
                <w:noProof/>
                <w:sz w:val="22"/>
                <w:szCs w:val="22"/>
              </w:rPr>
              <w:t>Causales de improcedencia y sobreseimiento.</w:t>
            </w:r>
            <w:r w:rsidR="000A352E" w:rsidRPr="0016487D">
              <w:rPr>
                <w:rFonts w:ascii="Palatino Linotype" w:hAnsi="Palatino Linotype"/>
                <w:noProof/>
                <w:webHidden/>
                <w:sz w:val="22"/>
                <w:szCs w:val="22"/>
              </w:rPr>
              <w:tab/>
            </w:r>
            <w:r w:rsidR="000A352E" w:rsidRPr="0016487D">
              <w:rPr>
                <w:rFonts w:ascii="Palatino Linotype" w:hAnsi="Palatino Linotype"/>
                <w:noProof/>
                <w:webHidden/>
                <w:sz w:val="22"/>
                <w:szCs w:val="22"/>
              </w:rPr>
              <w:fldChar w:fldCharType="begin"/>
            </w:r>
            <w:r w:rsidR="000A352E" w:rsidRPr="0016487D">
              <w:rPr>
                <w:rFonts w:ascii="Palatino Linotype" w:hAnsi="Palatino Linotype"/>
                <w:noProof/>
                <w:webHidden/>
                <w:sz w:val="22"/>
                <w:szCs w:val="22"/>
              </w:rPr>
              <w:instrText xml:space="preserve"> PAGEREF _Toc193363650 \h </w:instrText>
            </w:r>
            <w:r w:rsidR="000A352E" w:rsidRPr="0016487D">
              <w:rPr>
                <w:rFonts w:ascii="Palatino Linotype" w:hAnsi="Palatino Linotype"/>
                <w:noProof/>
                <w:webHidden/>
                <w:sz w:val="22"/>
                <w:szCs w:val="22"/>
              </w:rPr>
            </w:r>
            <w:r w:rsidR="000A352E" w:rsidRPr="0016487D">
              <w:rPr>
                <w:rFonts w:ascii="Palatino Linotype" w:hAnsi="Palatino Linotype"/>
                <w:noProof/>
                <w:webHidden/>
                <w:sz w:val="22"/>
                <w:szCs w:val="22"/>
              </w:rPr>
              <w:fldChar w:fldCharType="separate"/>
            </w:r>
            <w:r w:rsidR="00454FD6">
              <w:rPr>
                <w:rFonts w:ascii="Palatino Linotype" w:hAnsi="Palatino Linotype"/>
                <w:noProof/>
                <w:webHidden/>
                <w:sz w:val="22"/>
                <w:szCs w:val="22"/>
              </w:rPr>
              <w:t>6</w:t>
            </w:r>
            <w:r w:rsidR="000A352E" w:rsidRPr="0016487D">
              <w:rPr>
                <w:rFonts w:ascii="Palatino Linotype" w:hAnsi="Palatino Linotype"/>
                <w:noProof/>
                <w:webHidden/>
                <w:sz w:val="22"/>
                <w:szCs w:val="22"/>
              </w:rPr>
              <w:fldChar w:fldCharType="end"/>
            </w:r>
          </w:hyperlink>
        </w:p>
        <w:p w14:paraId="42BC0C1A" w14:textId="28BC78CE" w:rsidR="000A352E" w:rsidRPr="0016487D" w:rsidRDefault="001D527A" w:rsidP="00AE2352">
          <w:pPr>
            <w:pStyle w:val="TDC2"/>
            <w:tabs>
              <w:tab w:val="right" w:leader="dot" w:pos="9111"/>
            </w:tabs>
            <w:spacing w:after="0" w:line="360" w:lineRule="auto"/>
            <w:rPr>
              <w:rFonts w:ascii="Palatino Linotype" w:eastAsiaTheme="minorEastAsia" w:hAnsi="Palatino Linotype" w:cstheme="minorBidi"/>
              <w:noProof/>
              <w:sz w:val="22"/>
              <w:szCs w:val="22"/>
              <w:lang w:eastAsia="es-MX"/>
            </w:rPr>
          </w:pPr>
          <w:hyperlink w:anchor="_Toc193363651" w:history="1">
            <w:r w:rsidR="000A352E" w:rsidRPr="0016487D">
              <w:rPr>
                <w:rStyle w:val="Hipervnculo"/>
                <w:rFonts w:ascii="Palatino Linotype" w:hAnsi="Palatino Linotype"/>
                <w:noProof/>
                <w:sz w:val="22"/>
                <w:szCs w:val="22"/>
              </w:rPr>
              <w:t>TERCERO. Determinación de la Controversia.</w:t>
            </w:r>
            <w:r w:rsidR="000A352E" w:rsidRPr="0016487D">
              <w:rPr>
                <w:rFonts w:ascii="Palatino Linotype" w:hAnsi="Palatino Linotype"/>
                <w:noProof/>
                <w:webHidden/>
                <w:sz w:val="22"/>
                <w:szCs w:val="22"/>
              </w:rPr>
              <w:tab/>
            </w:r>
            <w:r w:rsidR="000A352E" w:rsidRPr="0016487D">
              <w:rPr>
                <w:rFonts w:ascii="Palatino Linotype" w:hAnsi="Palatino Linotype"/>
                <w:noProof/>
                <w:webHidden/>
                <w:sz w:val="22"/>
                <w:szCs w:val="22"/>
              </w:rPr>
              <w:fldChar w:fldCharType="begin"/>
            </w:r>
            <w:r w:rsidR="000A352E" w:rsidRPr="0016487D">
              <w:rPr>
                <w:rFonts w:ascii="Palatino Linotype" w:hAnsi="Palatino Linotype"/>
                <w:noProof/>
                <w:webHidden/>
                <w:sz w:val="22"/>
                <w:szCs w:val="22"/>
              </w:rPr>
              <w:instrText xml:space="preserve"> PAGEREF _Toc193363651 \h </w:instrText>
            </w:r>
            <w:r w:rsidR="000A352E" w:rsidRPr="0016487D">
              <w:rPr>
                <w:rFonts w:ascii="Palatino Linotype" w:hAnsi="Palatino Linotype"/>
                <w:noProof/>
                <w:webHidden/>
                <w:sz w:val="22"/>
                <w:szCs w:val="22"/>
              </w:rPr>
            </w:r>
            <w:r w:rsidR="000A352E" w:rsidRPr="0016487D">
              <w:rPr>
                <w:rFonts w:ascii="Palatino Linotype" w:hAnsi="Palatino Linotype"/>
                <w:noProof/>
                <w:webHidden/>
                <w:sz w:val="22"/>
                <w:szCs w:val="22"/>
              </w:rPr>
              <w:fldChar w:fldCharType="separate"/>
            </w:r>
            <w:r w:rsidR="00454FD6">
              <w:rPr>
                <w:rFonts w:ascii="Palatino Linotype" w:hAnsi="Palatino Linotype"/>
                <w:noProof/>
                <w:webHidden/>
                <w:sz w:val="22"/>
                <w:szCs w:val="22"/>
              </w:rPr>
              <w:t>8</w:t>
            </w:r>
            <w:r w:rsidR="000A352E" w:rsidRPr="0016487D">
              <w:rPr>
                <w:rFonts w:ascii="Palatino Linotype" w:hAnsi="Palatino Linotype"/>
                <w:noProof/>
                <w:webHidden/>
                <w:sz w:val="22"/>
                <w:szCs w:val="22"/>
              </w:rPr>
              <w:fldChar w:fldCharType="end"/>
            </w:r>
          </w:hyperlink>
        </w:p>
        <w:p w14:paraId="432922C7" w14:textId="284FACED" w:rsidR="000A352E" w:rsidRPr="0016487D" w:rsidRDefault="001D527A" w:rsidP="00AE2352">
          <w:pPr>
            <w:pStyle w:val="TDC2"/>
            <w:tabs>
              <w:tab w:val="right" w:leader="dot" w:pos="9111"/>
            </w:tabs>
            <w:spacing w:after="0" w:line="360" w:lineRule="auto"/>
            <w:rPr>
              <w:rFonts w:ascii="Palatino Linotype" w:eastAsiaTheme="minorEastAsia" w:hAnsi="Palatino Linotype" w:cstheme="minorBidi"/>
              <w:noProof/>
              <w:sz w:val="22"/>
              <w:szCs w:val="22"/>
              <w:lang w:eastAsia="es-MX"/>
            </w:rPr>
          </w:pPr>
          <w:hyperlink w:anchor="_Toc193363652" w:history="1">
            <w:r w:rsidR="000A352E" w:rsidRPr="0016487D">
              <w:rPr>
                <w:rStyle w:val="Hipervnculo"/>
                <w:rFonts w:ascii="Palatino Linotype" w:hAnsi="Palatino Linotype"/>
                <w:noProof/>
                <w:sz w:val="22"/>
                <w:szCs w:val="22"/>
              </w:rPr>
              <w:t>CUARTO. Marco normativo aplicable en materia de transparencia y acceso a la información pública.</w:t>
            </w:r>
            <w:r w:rsidR="000A352E" w:rsidRPr="0016487D">
              <w:rPr>
                <w:rFonts w:ascii="Palatino Linotype" w:hAnsi="Palatino Linotype"/>
                <w:noProof/>
                <w:webHidden/>
                <w:sz w:val="22"/>
                <w:szCs w:val="22"/>
              </w:rPr>
              <w:tab/>
            </w:r>
            <w:r w:rsidR="000A352E" w:rsidRPr="0016487D">
              <w:rPr>
                <w:rFonts w:ascii="Palatino Linotype" w:hAnsi="Palatino Linotype"/>
                <w:noProof/>
                <w:webHidden/>
                <w:sz w:val="22"/>
                <w:szCs w:val="22"/>
              </w:rPr>
              <w:fldChar w:fldCharType="begin"/>
            </w:r>
            <w:r w:rsidR="000A352E" w:rsidRPr="0016487D">
              <w:rPr>
                <w:rFonts w:ascii="Palatino Linotype" w:hAnsi="Palatino Linotype"/>
                <w:noProof/>
                <w:webHidden/>
                <w:sz w:val="22"/>
                <w:szCs w:val="22"/>
              </w:rPr>
              <w:instrText xml:space="preserve"> PAGEREF _Toc193363652 \h </w:instrText>
            </w:r>
            <w:r w:rsidR="000A352E" w:rsidRPr="0016487D">
              <w:rPr>
                <w:rFonts w:ascii="Palatino Linotype" w:hAnsi="Palatino Linotype"/>
                <w:noProof/>
                <w:webHidden/>
                <w:sz w:val="22"/>
                <w:szCs w:val="22"/>
              </w:rPr>
            </w:r>
            <w:r w:rsidR="000A352E" w:rsidRPr="0016487D">
              <w:rPr>
                <w:rFonts w:ascii="Palatino Linotype" w:hAnsi="Palatino Linotype"/>
                <w:noProof/>
                <w:webHidden/>
                <w:sz w:val="22"/>
                <w:szCs w:val="22"/>
              </w:rPr>
              <w:fldChar w:fldCharType="separate"/>
            </w:r>
            <w:r w:rsidR="00454FD6">
              <w:rPr>
                <w:rFonts w:ascii="Palatino Linotype" w:hAnsi="Palatino Linotype"/>
                <w:noProof/>
                <w:webHidden/>
                <w:sz w:val="22"/>
                <w:szCs w:val="22"/>
              </w:rPr>
              <w:t>10</w:t>
            </w:r>
            <w:r w:rsidR="000A352E" w:rsidRPr="0016487D">
              <w:rPr>
                <w:rFonts w:ascii="Palatino Linotype" w:hAnsi="Palatino Linotype"/>
                <w:noProof/>
                <w:webHidden/>
                <w:sz w:val="22"/>
                <w:szCs w:val="22"/>
              </w:rPr>
              <w:fldChar w:fldCharType="end"/>
            </w:r>
          </w:hyperlink>
        </w:p>
        <w:p w14:paraId="1C280443" w14:textId="685A296F" w:rsidR="000A352E" w:rsidRPr="0016487D" w:rsidRDefault="001D527A" w:rsidP="00AE2352">
          <w:pPr>
            <w:pStyle w:val="TDC2"/>
            <w:tabs>
              <w:tab w:val="right" w:leader="dot" w:pos="9111"/>
            </w:tabs>
            <w:spacing w:after="0" w:line="360" w:lineRule="auto"/>
            <w:rPr>
              <w:rFonts w:ascii="Palatino Linotype" w:eastAsiaTheme="minorEastAsia" w:hAnsi="Palatino Linotype" w:cstheme="minorBidi"/>
              <w:noProof/>
              <w:sz w:val="22"/>
              <w:szCs w:val="22"/>
              <w:lang w:eastAsia="es-MX"/>
            </w:rPr>
          </w:pPr>
          <w:hyperlink w:anchor="_Toc193363653" w:history="1">
            <w:r w:rsidR="000A352E" w:rsidRPr="0016487D">
              <w:rPr>
                <w:rStyle w:val="Hipervnculo"/>
                <w:rFonts w:ascii="Palatino Linotype" w:hAnsi="Palatino Linotype"/>
                <w:noProof/>
                <w:sz w:val="22"/>
                <w:szCs w:val="22"/>
              </w:rPr>
              <w:t>Quinto. Estudio de Fondo.</w:t>
            </w:r>
            <w:r w:rsidR="000A352E" w:rsidRPr="0016487D">
              <w:rPr>
                <w:rFonts w:ascii="Palatino Linotype" w:hAnsi="Palatino Linotype"/>
                <w:noProof/>
                <w:webHidden/>
                <w:sz w:val="22"/>
                <w:szCs w:val="22"/>
              </w:rPr>
              <w:tab/>
            </w:r>
            <w:r w:rsidR="000A352E" w:rsidRPr="0016487D">
              <w:rPr>
                <w:rFonts w:ascii="Palatino Linotype" w:hAnsi="Palatino Linotype"/>
                <w:noProof/>
                <w:webHidden/>
                <w:sz w:val="22"/>
                <w:szCs w:val="22"/>
              </w:rPr>
              <w:fldChar w:fldCharType="begin"/>
            </w:r>
            <w:r w:rsidR="000A352E" w:rsidRPr="0016487D">
              <w:rPr>
                <w:rFonts w:ascii="Palatino Linotype" w:hAnsi="Palatino Linotype"/>
                <w:noProof/>
                <w:webHidden/>
                <w:sz w:val="22"/>
                <w:szCs w:val="22"/>
              </w:rPr>
              <w:instrText xml:space="preserve"> PAGEREF _Toc193363653 \h </w:instrText>
            </w:r>
            <w:r w:rsidR="000A352E" w:rsidRPr="0016487D">
              <w:rPr>
                <w:rFonts w:ascii="Palatino Linotype" w:hAnsi="Palatino Linotype"/>
                <w:noProof/>
                <w:webHidden/>
                <w:sz w:val="22"/>
                <w:szCs w:val="22"/>
              </w:rPr>
            </w:r>
            <w:r w:rsidR="000A352E" w:rsidRPr="0016487D">
              <w:rPr>
                <w:rFonts w:ascii="Palatino Linotype" w:hAnsi="Palatino Linotype"/>
                <w:noProof/>
                <w:webHidden/>
                <w:sz w:val="22"/>
                <w:szCs w:val="22"/>
              </w:rPr>
              <w:fldChar w:fldCharType="separate"/>
            </w:r>
            <w:r w:rsidR="00454FD6">
              <w:rPr>
                <w:rFonts w:ascii="Palatino Linotype" w:hAnsi="Palatino Linotype"/>
                <w:noProof/>
                <w:webHidden/>
                <w:sz w:val="22"/>
                <w:szCs w:val="22"/>
              </w:rPr>
              <w:t>11</w:t>
            </w:r>
            <w:r w:rsidR="000A352E" w:rsidRPr="0016487D">
              <w:rPr>
                <w:rFonts w:ascii="Palatino Linotype" w:hAnsi="Palatino Linotype"/>
                <w:noProof/>
                <w:webHidden/>
                <w:sz w:val="22"/>
                <w:szCs w:val="22"/>
              </w:rPr>
              <w:fldChar w:fldCharType="end"/>
            </w:r>
          </w:hyperlink>
        </w:p>
        <w:p w14:paraId="46383B42" w14:textId="103F7956" w:rsidR="000A352E" w:rsidRPr="0016487D" w:rsidRDefault="001D527A" w:rsidP="00AE2352">
          <w:pPr>
            <w:pStyle w:val="TDC2"/>
            <w:tabs>
              <w:tab w:val="right" w:leader="dot" w:pos="9111"/>
            </w:tabs>
            <w:spacing w:after="0" w:line="360" w:lineRule="auto"/>
            <w:rPr>
              <w:rFonts w:ascii="Palatino Linotype" w:eastAsiaTheme="minorEastAsia" w:hAnsi="Palatino Linotype" w:cstheme="minorBidi"/>
              <w:noProof/>
              <w:sz w:val="22"/>
              <w:szCs w:val="22"/>
              <w:lang w:eastAsia="es-MX"/>
            </w:rPr>
          </w:pPr>
          <w:hyperlink w:anchor="_Toc193363654" w:history="1">
            <w:r w:rsidR="000A352E" w:rsidRPr="0016487D">
              <w:rPr>
                <w:rStyle w:val="Hipervnculo"/>
                <w:rFonts w:ascii="Palatino Linotype" w:eastAsia="Palatino Linotype" w:hAnsi="Palatino Linotype"/>
                <w:noProof/>
                <w:sz w:val="22"/>
                <w:szCs w:val="22"/>
                <w:lang w:eastAsia="es-MX"/>
              </w:rPr>
              <w:t>SEXTO. Decisión.</w:t>
            </w:r>
            <w:r w:rsidR="000A352E" w:rsidRPr="0016487D">
              <w:rPr>
                <w:rFonts w:ascii="Palatino Linotype" w:hAnsi="Palatino Linotype"/>
                <w:noProof/>
                <w:webHidden/>
                <w:sz w:val="22"/>
                <w:szCs w:val="22"/>
              </w:rPr>
              <w:tab/>
            </w:r>
            <w:r w:rsidR="000A352E" w:rsidRPr="0016487D">
              <w:rPr>
                <w:rFonts w:ascii="Palatino Linotype" w:hAnsi="Palatino Linotype"/>
                <w:noProof/>
                <w:webHidden/>
                <w:sz w:val="22"/>
                <w:szCs w:val="22"/>
              </w:rPr>
              <w:fldChar w:fldCharType="begin"/>
            </w:r>
            <w:r w:rsidR="000A352E" w:rsidRPr="0016487D">
              <w:rPr>
                <w:rFonts w:ascii="Palatino Linotype" w:hAnsi="Palatino Linotype"/>
                <w:noProof/>
                <w:webHidden/>
                <w:sz w:val="22"/>
                <w:szCs w:val="22"/>
              </w:rPr>
              <w:instrText xml:space="preserve"> PAGEREF _Toc193363654 \h </w:instrText>
            </w:r>
            <w:r w:rsidR="000A352E" w:rsidRPr="0016487D">
              <w:rPr>
                <w:rFonts w:ascii="Palatino Linotype" w:hAnsi="Palatino Linotype"/>
                <w:noProof/>
                <w:webHidden/>
                <w:sz w:val="22"/>
                <w:szCs w:val="22"/>
              </w:rPr>
            </w:r>
            <w:r w:rsidR="000A352E" w:rsidRPr="0016487D">
              <w:rPr>
                <w:rFonts w:ascii="Palatino Linotype" w:hAnsi="Palatino Linotype"/>
                <w:noProof/>
                <w:webHidden/>
                <w:sz w:val="22"/>
                <w:szCs w:val="22"/>
              </w:rPr>
              <w:fldChar w:fldCharType="separate"/>
            </w:r>
            <w:r w:rsidR="00454FD6">
              <w:rPr>
                <w:rFonts w:ascii="Palatino Linotype" w:hAnsi="Palatino Linotype"/>
                <w:noProof/>
                <w:webHidden/>
                <w:sz w:val="22"/>
                <w:szCs w:val="22"/>
              </w:rPr>
              <w:t>31</w:t>
            </w:r>
            <w:r w:rsidR="000A352E" w:rsidRPr="0016487D">
              <w:rPr>
                <w:rFonts w:ascii="Palatino Linotype" w:hAnsi="Palatino Linotype"/>
                <w:noProof/>
                <w:webHidden/>
                <w:sz w:val="22"/>
                <w:szCs w:val="22"/>
              </w:rPr>
              <w:fldChar w:fldCharType="end"/>
            </w:r>
          </w:hyperlink>
        </w:p>
        <w:p w14:paraId="7646204D" w14:textId="69C32FB0" w:rsidR="000A352E" w:rsidRPr="0016487D" w:rsidRDefault="001D527A" w:rsidP="00AE2352">
          <w:pPr>
            <w:pStyle w:val="TDC1"/>
            <w:spacing w:after="0"/>
            <w:rPr>
              <w:rFonts w:ascii="Palatino Linotype" w:eastAsiaTheme="minorEastAsia" w:hAnsi="Palatino Linotype" w:cstheme="minorBidi"/>
              <w:noProof/>
              <w:sz w:val="22"/>
              <w:szCs w:val="22"/>
              <w:lang w:eastAsia="es-MX"/>
            </w:rPr>
          </w:pPr>
          <w:hyperlink w:anchor="_Toc193363655" w:history="1">
            <w:r w:rsidR="000A352E" w:rsidRPr="0016487D">
              <w:rPr>
                <w:rStyle w:val="Hipervnculo"/>
                <w:rFonts w:ascii="Palatino Linotype" w:eastAsia="Calibri" w:hAnsi="Palatino Linotype"/>
                <w:noProof/>
                <w:sz w:val="22"/>
                <w:szCs w:val="22"/>
              </w:rPr>
              <w:t>R E S U E L V E:</w:t>
            </w:r>
            <w:r w:rsidR="000A352E" w:rsidRPr="0016487D">
              <w:rPr>
                <w:rFonts w:ascii="Palatino Linotype" w:hAnsi="Palatino Linotype"/>
                <w:noProof/>
                <w:webHidden/>
                <w:sz w:val="22"/>
                <w:szCs w:val="22"/>
              </w:rPr>
              <w:tab/>
            </w:r>
            <w:r w:rsidR="000A352E" w:rsidRPr="0016487D">
              <w:rPr>
                <w:rFonts w:ascii="Palatino Linotype" w:hAnsi="Palatino Linotype"/>
                <w:noProof/>
                <w:webHidden/>
                <w:sz w:val="22"/>
                <w:szCs w:val="22"/>
              </w:rPr>
              <w:fldChar w:fldCharType="begin"/>
            </w:r>
            <w:r w:rsidR="000A352E" w:rsidRPr="0016487D">
              <w:rPr>
                <w:rFonts w:ascii="Palatino Linotype" w:hAnsi="Palatino Linotype"/>
                <w:noProof/>
                <w:webHidden/>
                <w:sz w:val="22"/>
                <w:szCs w:val="22"/>
              </w:rPr>
              <w:instrText xml:space="preserve"> PAGEREF _Toc193363655 \h </w:instrText>
            </w:r>
            <w:r w:rsidR="000A352E" w:rsidRPr="0016487D">
              <w:rPr>
                <w:rFonts w:ascii="Palatino Linotype" w:hAnsi="Palatino Linotype"/>
                <w:noProof/>
                <w:webHidden/>
                <w:sz w:val="22"/>
                <w:szCs w:val="22"/>
              </w:rPr>
            </w:r>
            <w:r w:rsidR="000A352E" w:rsidRPr="0016487D">
              <w:rPr>
                <w:rFonts w:ascii="Palatino Linotype" w:hAnsi="Palatino Linotype"/>
                <w:noProof/>
                <w:webHidden/>
                <w:sz w:val="22"/>
                <w:szCs w:val="22"/>
              </w:rPr>
              <w:fldChar w:fldCharType="separate"/>
            </w:r>
            <w:r w:rsidR="00454FD6">
              <w:rPr>
                <w:rFonts w:ascii="Palatino Linotype" w:hAnsi="Palatino Linotype"/>
                <w:noProof/>
                <w:webHidden/>
                <w:sz w:val="22"/>
                <w:szCs w:val="22"/>
              </w:rPr>
              <w:t>31</w:t>
            </w:r>
            <w:r w:rsidR="000A352E" w:rsidRPr="0016487D">
              <w:rPr>
                <w:rFonts w:ascii="Palatino Linotype" w:hAnsi="Palatino Linotype"/>
                <w:noProof/>
                <w:webHidden/>
                <w:sz w:val="22"/>
                <w:szCs w:val="22"/>
              </w:rPr>
              <w:fldChar w:fldCharType="end"/>
            </w:r>
          </w:hyperlink>
        </w:p>
        <w:p w14:paraId="7EEDECDD" w14:textId="7B521531" w:rsidR="00D526FB" w:rsidRPr="0016487D" w:rsidRDefault="00D526FB" w:rsidP="00AE2352">
          <w:pPr>
            <w:spacing w:after="0" w:line="360" w:lineRule="auto"/>
            <w:rPr>
              <w:noProof/>
            </w:rPr>
          </w:pPr>
          <w:r w:rsidRPr="0016487D">
            <w:rPr>
              <w:noProof/>
            </w:rPr>
            <w:fldChar w:fldCharType="end"/>
          </w:r>
        </w:p>
      </w:sdtContent>
    </w:sdt>
    <w:p w14:paraId="385D98A5" w14:textId="77777777" w:rsidR="00D526FB" w:rsidRPr="0016487D" w:rsidRDefault="00D526FB" w:rsidP="00AE2352">
      <w:pPr>
        <w:spacing w:after="0" w:line="360" w:lineRule="auto"/>
        <w:rPr>
          <w:rFonts w:eastAsia="Calibri" w:cs="Tahoma"/>
          <w:noProof/>
          <w:color w:val="000000"/>
        </w:rPr>
      </w:pPr>
    </w:p>
    <w:p w14:paraId="620ADDC4" w14:textId="77777777" w:rsidR="00DF6D0F" w:rsidRPr="0016487D" w:rsidRDefault="00DF6D0F" w:rsidP="00AE2352">
      <w:pPr>
        <w:spacing w:after="0" w:line="360" w:lineRule="auto"/>
        <w:jc w:val="left"/>
        <w:rPr>
          <w:rFonts w:eastAsia="Calibri" w:cs="Tahoma"/>
          <w:bCs/>
          <w:noProof/>
          <w:color w:val="000000"/>
        </w:rPr>
      </w:pPr>
      <w:r w:rsidRPr="0016487D">
        <w:rPr>
          <w:rFonts w:eastAsia="Calibri" w:cs="Tahoma"/>
          <w:bCs/>
          <w:noProof/>
          <w:color w:val="000000"/>
        </w:rPr>
        <w:br w:type="page"/>
      </w:r>
    </w:p>
    <w:p w14:paraId="1DF6BBF6" w14:textId="548341E7" w:rsidR="00C853D1" w:rsidRPr="0016487D" w:rsidRDefault="00C853D1" w:rsidP="00AE2352">
      <w:pPr>
        <w:spacing w:after="0" w:line="360" w:lineRule="auto"/>
        <w:rPr>
          <w:rFonts w:eastAsia="Times New Roman" w:cs="Tahoma"/>
          <w:bCs/>
          <w:noProof/>
          <w:color w:val="auto"/>
          <w:lang w:eastAsia="es-ES"/>
        </w:rPr>
      </w:pPr>
      <w:r w:rsidRPr="0016487D">
        <w:rPr>
          <w:rFonts w:eastAsia="Calibri" w:cs="Tahoma"/>
          <w:bCs/>
          <w:noProof/>
          <w:color w:val="000000"/>
        </w:rPr>
        <w:lastRenderedPageBreak/>
        <w:t xml:space="preserve">Resolución del Pleno del Instituto de Transparencia, Acceso a la Información Pública y </w:t>
      </w:r>
      <w:r w:rsidRPr="0016487D">
        <w:rPr>
          <w:rFonts w:eastAsia="Times New Roman" w:cs="Tahoma"/>
          <w:bCs/>
          <w:noProof/>
          <w:color w:val="auto"/>
          <w:lang w:eastAsia="es-ES"/>
        </w:rPr>
        <w:t xml:space="preserve">Protección de Datos Personales del Estado de México y Municipios, con domicilio en Metepec, Estado de México, de fecha </w:t>
      </w:r>
      <w:r w:rsidR="006A126F" w:rsidRPr="0016487D">
        <w:rPr>
          <w:rFonts w:eastAsia="Times New Roman" w:cs="Tahoma"/>
          <w:bCs/>
          <w:noProof/>
          <w:color w:val="auto"/>
          <w:lang w:eastAsia="es-ES"/>
        </w:rPr>
        <w:t>nueve</w:t>
      </w:r>
      <w:r w:rsidR="00D9561F" w:rsidRPr="0016487D">
        <w:rPr>
          <w:rFonts w:eastAsia="Times New Roman" w:cs="Tahoma"/>
          <w:bCs/>
          <w:noProof/>
          <w:color w:val="auto"/>
          <w:lang w:eastAsia="es-ES"/>
        </w:rPr>
        <w:t xml:space="preserve"> de </w:t>
      </w:r>
      <w:r w:rsidR="006A126F" w:rsidRPr="0016487D">
        <w:rPr>
          <w:rFonts w:eastAsia="Times New Roman" w:cs="Tahoma"/>
          <w:bCs/>
          <w:noProof/>
          <w:color w:val="auto"/>
          <w:lang w:eastAsia="es-ES"/>
        </w:rPr>
        <w:t>abril</w:t>
      </w:r>
      <w:r w:rsidR="00D9561F" w:rsidRPr="0016487D">
        <w:rPr>
          <w:rFonts w:eastAsia="Times New Roman" w:cs="Tahoma"/>
          <w:bCs/>
          <w:noProof/>
          <w:color w:val="auto"/>
          <w:lang w:eastAsia="es-ES"/>
        </w:rPr>
        <w:t xml:space="preserve"> de dos mil veinti</w:t>
      </w:r>
      <w:r w:rsidR="00702180" w:rsidRPr="0016487D">
        <w:rPr>
          <w:rFonts w:eastAsia="Times New Roman" w:cs="Tahoma"/>
          <w:bCs/>
          <w:noProof/>
          <w:color w:val="auto"/>
          <w:lang w:eastAsia="es-ES"/>
        </w:rPr>
        <w:t>cinco</w:t>
      </w:r>
      <w:r w:rsidR="00D9561F" w:rsidRPr="0016487D">
        <w:rPr>
          <w:rFonts w:eastAsia="Times New Roman" w:cs="Tahoma"/>
          <w:bCs/>
          <w:noProof/>
          <w:color w:val="auto"/>
          <w:lang w:eastAsia="es-ES"/>
        </w:rPr>
        <w:t>.</w:t>
      </w:r>
    </w:p>
    <w:p w14:paraId="1D95A1A3" w14:textId="77777777" w:rsidR="00C853D1" w:rsidRPr="0016487D" w:rsidRDefault="00C853D1" w:rsidP="00AE2352">
      <w:pPr>
        <w:tabs>
          <w:tab w:val="left" w:pos="2839"/>
        </w:tabs>
        <w:spacing w:after="0" w:line="360" w:lineRule="auto"/>
        <w:rPr>
          <w:rFonts w:eastAsia="Times New Roman" w:cs="Tahoma"/>
          <w:bCs/>
          <w:noProof/>
          <w:color w:val="auto"/>
          <w:lang w:eastAsia="es-ES"/>
        </w:rPr>
      </w:pPr>
    </w:p>
    <w:p w14:paraId="1066B8D1" w14:textId="6C5A443D" w:rsidR="00C853D1" w:rsidRPr="0016487D" w:rsidRDefault="00C853D1" w:rsidP="00AE2352">
      <w:pPr>
        <w:spacing w:after="0" w:line="360" w:lineRule="auto"/>
        <w:rPr>
          <w:rFonts w:eastAsia="Calibri" w:cs="Tahoma"/>
          <w:noProof/>
          <w:color w:val="0D0D0D"/>
        </w:rPr>
      </w:pPr>
      <w:r w:rsidRPr="0016487D">
        <w:rPr>
          <w:rFonts w:eastAsia="Times New Roman" w:cs="Tahoma"/>
          <w:b/>
          <w:bCs/>
          <w:noProof/>
          <w:color w:val="auto"/>
          <w:lang w:eastAsia="es-ES"/>
        </w:rPr>
        <w:t>VISTO</w:t>
      </w:r>
      <w:r w:rsidRPr="0016487D">
        <w:rPr>
          <w:rFonts w:eastAsia="Calibri" w:cs="Tahoma"/>
          <w:bCs/>
          <w:noProof/>
          <w:color w:val="0D0D0D"/>
        </w:rPr>
        <w:t xml:space="preserve"> el expediente conformado con motivo del Recurso de Revisión </w:t>
      </w:r>
      <w:r w:rsidR="006A126F" w:rsidRPr="00B21D04">
        <w:rPr>
          <w:rFonts w:eastAsia="Calibri" w:cs="Tahoma"/>
          <w:b/>
          <w:noProof/>
          <w:color w:val="000000"/>
        </w:rPr>
        <w:t>03221</w:t>
      </w:r>
      <w:r w:rsidR="00BC52FA" w:rsidRPr="00B21D04">
        <w:rPr>
          <w:rFonts w:eastAsia="Calibri" w:cs="Tahoma"/>
          <w:b/>
          <w:noProof/>
          <w:color w:val="000000"/>
        </w:rPr>
        <w:t>/INFOEM/IP/RR/2025</w:t>
      </w:r>
      <w:r w:rsidRPr="0016487D">
        <w:rPr>
          <w:rFonts w:eastAsia="Calibri" w:cs="Tahoma"/>
          <w:noProof/>
          <w:color w:val="000000"/>
        </w:rPr>
        <w:t>, interpuesto</w:t>
      </w:r>
      <w:r w:rsidR="00BC52FA" w:rsidRPr="0016487D">
        <w:rPr>
          <w:rFonts w:eastAsia="Calibri" w:cs="Tahoma"/>
          <w:noProof/>
          <w:color w:val="000000"/>
        </w:rPr>
        <w:t xml:space="preserve"> por</w:t>
      </w:r>
      <w:r w:rsidR="006A126F" w:rsidRPr="0016487D">
        <w:rPr>
          <w:rFonts w:eastAsia="Calibri" w:cs="Tahoma"/>
          <w:noProof/>
          <w:color w:val="000000"/>
        </w:rPr>
        <w:t xml:space="preserve"> </w:t>
      </w:r>
      <w:r w:rsidR="00A24AAD" w:rsidRPr="00A24AAD">
        <w:rPr>
          <w:rFonts w:eastAsia="Calibri" w:cs="Tahoma"/>
          <w:highlight w:val="black"/>
        </w:rPr>
        <w:t>XXXXXX XXXXXXX XXXXXX</w:t>
      </w:r>
      <w:r w:rsidR="006A126F" w:rsidRPr="0016487D">
        <w:rPr>
          <w:rFonts w:eastAsia="Calibri" w:cs="Tahoma"/>
          <w:noProof/>
          <w:color w:val="000000"/>
        </w:rPr>
        <w:t>, en lo sucesivo</w:t>
      </w:r>
      <w:r w:rsidR="00BC52FA" w:rsidRPr="0016487D">
        <w:rPr>
          <w:rFonts w:eastAsia="Calibri" w:cs="Tahoma"/>
          <w:noProof/>
          <w:color w:val="000000"/>
        </w:rPr>
        <w:t xml:space="preserve"> la persona Recurrente o Particular</w:t>
      </w:r>
      <w:r w:rsidRPr="0016487D">
        <w:rPr>
          <w:rFonts w:eastAsia="Calibri" w:cs="Tahoma"/>
          <w:noProof/>
          <w:color w:val="0D0D0D"/>
        </w:rPr>
        <w:t>, en contra de la respuesta del Sujeto Obligado,</w:t>
      </w:r>
      <w:r w:rsidRPr="0016487D">
        <w:rPr>
          <w:rFonts w:eastAsia="Calibri" w:cs="Tahoma"/>
          <w:noProof/>
          <w:color w:val="000000"/>
        </w:rPr>
        <w:t xml:space="preserve"> </w:t>
      </w:r>
      <w:r w:rsidR="00702180" w:rsidRPr="00B21D04">
        <w:rPr>
          <w:rFonts w:eastAsia="Calibri" w:cs="Tahoma"/>
          <w:b/>
          <w:noProof/>
          <w:color w:val="000000"/>
        </w:rPr>
        <w:t xml:space="preserve">Ayuntamiento de </w:t>
      </w:r>
      <w:r w:rsidR="006A126F" w:rsidRPr="00B21D04">
        <w:rPr>
          <w:rFonts w:eastAsia="Calibri" w:cs="Tahoma"/>
          <w:b/>
          <w:noProof/>
          <w:color w:val="000000"/>
        </w:rPr>
        <w:t>Coacalco de Berriozábal</w:t>
      </w:r>
      <w:r w:rsidRPr="00B21D04">
        <w:rPr>
          <w:rFonts w:eastAsia="Calibri" w:cs="Tahoma"/>
          <w:b/>
          <w:noProof/>
          <w:color w:val="000000"/>
        </w:rPr>
        <w:t>,</w:t>
      </w:r>
      <w:r w:rsidRPr="0016487D">
        <w:rPr>
          <w:rFonts w:eastAsia="Calibri" w:cs="Tahoma"/>
          <w:noProof/>
          <w:color w:val="000000"/>
        </w:rPr>
        <w:t xml:space="preserve"> a la solicitud de acceso a la información </w:t>
      </w:r>
      <w:r w:rsidR="006A126F" w:rsidRPr="0016487D">
        <w:rPr>
          <w:rFonts w:eastAsia="Calibri" w:cs="Tahoma"/>
          <w:noProof/>
          <w:color w:val="000000"/>
        </w:rPr>
        <w:t>00022</w:t>
      </w:r>
      <w:r w:rsidR="00702180" w:rsidRPr="0016487D">
        <w:rPr>
          <w:rFonts w:eastAsia="Calibri" w:cs="Tahoma"/>
          <w:noProof/>
          <w:color w:val="000000"/>
        </w:rPr>
        <w:t>/</w:t>
      </w:r>
      <w:r w:rsidR="006A126F" w:rsidRPr="0016487D">
        <w:rPr>
          <w:rFonts w:eastAsia="Calibri" w:cs="Tahoma"/>
          <w:noProof/>
          <w:color w:val="000000"/>
        </w:rPr>
        <w:t>COACALCO</w:t>
      </w:r>
      <w:r w:rsidR="00702180" w:rsidRPr="0016487D">
        <w:rPr>
          <w:rFonts w:eastAsia="Calibri" w:cs="Tahoma"/>
          <w:noProof/>
          <w:color w:val="000000"/>
        </w:rPr>
        <w:t>/IP/</w:t>
      </w:r>
      <w:r w:rsidR="00BC52FA" w:rsidRPr="0016487D">
        <w:rPr>
          <w:rFonts w:eastAsia="Calibri" w:cs="Tahoma"/>
          <w:noProof/>
          <w:color w:val="000000"/>
        </w:rPr>
        <w:t>2025</w:t>
      </w:r>
      <w:r w:rsidRPr="0016487D">
        <w:rPr>
          <w:rFonts w:eastAsia="Calibri" w:cs="Tahoma"/>
          <w:noProof/>
          <w:color w:val="000000"/>
        </w:rPr>
        <w:t>, se emite la presente Resolución, con base en los Antecedentes y Considerandos que se exponen a continuación:</w:t>
      </w:r>
      <w:r w:rsidR="00A24AAD">
        <w:rPr>
          <w:rFonts w:eastAsia="Calibri" w:cs="Tahoma"/>
          <w:noProof/>
          <w:color w:val="000000"/>
        </w:rPr>
        <w:t xml:space="preserve"> </w:t>
      </w:r>
      <w:bookmarkStart w:id="0" w:name="_GoBack"/>
      <w:bookmarkEnd w:id="0"/>
    </w:p>
    <w:p w14:paraId="4FCCF228" w14:textId="77777777" w:rsidR="00C853D1" w:rsidRPr="0016487D" w:rsidRDefault="00C853D1" w:rsidP="00AE2352">
      <w:pPr>
        <w:spacing w:after="0" w:line="360" w:lineRule="auto"/>
        <w:rPr>
          <w:rFonts w:eastAsia="Calibri" w:cs="Tahoma"/>
          <w:noProof/>
          <w:color w:val="000000"/>
        </w:rPr>
      </w:pPr>
    </w:p>
    <w:p w14:paraId="0472C645" w14:textId="110263BE" w:rsidR="00C853D1" w:rsidRPr="0016487D" w:rsidRDefault="00C853D1" w:rsidP="00AE2352">
      <w:pPr>
        <w:pStyle w:val="Ttulo1"/>
        <w:spacing w:before="0" w:line="360" w:lineRule="auto"/>
        <w:jc w:val="center"/>
        <w:rPr>
          <w:rFonts w:ascii="Palatino Linotype" w:eastAsia="Calibri" w:hAnsi="Palatino Linotype"/>
          <w:b/>
          <w:bCs/>
          <w:noProof/>
          <w:color w:val="auto"/>
          <w:sz w:val="22"/>
          <w:szCs w:val="22"/>
        </w:rPr>
      </w:pPr>
      <w:bookmarkStart w:id="1" w:name="_Toc193363640"/>
      <w:r w:rsidRPr="0016487D">
        <w:rPr>
          <w:rFonts w:ascii="Palatino Linotype" w:eastAsia="Calibri" w:hAnsi="Palatino Linotype"/>
          <w:b/>
          <w:bCs/>
          <w:noProof/>
          <w:color w:val="auto"/>
          <w:sz w:val="22"/>
          <w:szCs w:val="22"/>
        </w:rPr>
        <w:t>A N T E C E D E N T E S</w:t>
      </w:r>
      <w:bookmarkEnd w:id="1"/>
    </w:p>
    <w:p w14:paraId="422D0175" w14:textId="77777777" w:rsidR="00C853D1" w:rsidRPr="0016487D" w:rsidRDefault="00C853D1" w:rsidP="00AE2352">
      <w:pPr>
        <w:spacing w:after="0" w:line="360" w:lineRule="auto"/>
        <w:rPr>
          <w:noProof/>
        </w:rPr>
      </w:pPr>
    </w:p>
    <w:p w14:paraId="539DCEC7" w14:textId="23B93D47" w:rsidR="00C853D1" w:rsidRPr="0016487D" w:rsidRDefault="00C853D1" w:rsidP="00AE2352">
      <w:pPr>
        <w:pStyle w:val="Ttulo2"/>
        <w:spacing w:before="0" w:line="360" w:lineRule="auto"/>
        <w:rPr>
          <w:rFonts w:ascii="Palatino Linotype" w:eastAsia="Times New Roman" w:hAnsi="Palatino Linotype"/>
          <w:b/>
          <w:bCs/>
          <w:noProof/>
          <w:color w:val="auto"/>
          <w:sz w:val="22"/>
          <w:szCs w:val="22"/>
          <w:lang w:eastAsia="es-ES"/>
        </w:rPr>
      </w:pPr>
      <w:bookmarkStart w:id="2" w:name="_Toc193363641"/>
      <w:r w:rsidRPr="0016487D">
        <w:rPr>
          <w:rFonts w:ascii="Palatino Linotype" w:eastAsia="Times New Roman" w:hAnsi="Palatino Linotype"/>
          <w:b/>
          <w:bCs/>
          <w:noProof/>
          <w:color w:val="auto"/>
          <w:sz w:val="22"/>
          <w:szCs w:val="22"/>
          <w:lang w:eastAsia="es-ES"/>
        </w:rPr>
        <w:t>I. Presentación de la solicitud de información</w:t>
      </w:r>
      <w:bookmarkEnd w:id="2"/>
    </w:p>
    <w:p w14:paraId="681289FF" w14:textId="77777777" w:rsidR="00C853D1" w:rsidRPr="0016487D" w:rsidRDefault="00C853D1" w:rsidP="00AE2352">
      <w:pPr>
        <w:tabs>
          <w:tab w:val="left" w:pos="567"/>
        </w:tabs>
        <w:spacing w:after="0" w:line="360" w:lineRule="auto"/>
        <w:rPr>
          <w:rFonts w:eastAsia="Times New Roman" w:cs="Tahoma"/>
          <w:noProof/>
          <w:color w:val="auto"/>
          <w:lang w:eastAsia="es-ES"/>
        </w:rPr>
      </w:pPr>
    </w:p>
    <w:p w14:paraId="2A44F672" w14:textId="2A69BB18" w:rsidR="00C853D1" w:rsidRPr="0016487D" w:rsidRDefault="00C853D1" w:rsidP="00AE2352">
      <w:pPr>
        <w:spacing w:after="0" w:line="360" w:lineRule="auto"/>
        <w:rPr>
          <w:rFonts w:eastAsia="Times New Roman" w:cs="Tahoma"/>
          <w:noProof/>
          <w:color w:val="auto"/>
          <w:lang w:eastAsia="es-ES"/>
        </w:rPr>
      </w:pPr>
      <w:r w:rsidRPr="0016487D">
        <w:rPr>
          <w:rFonts w:eastAsia="Times New Roman" w:cs="Tahoma"/>
          <w:noProof/>
          <w:color w:val="auto"/>
          <w:lang w:eastAsia="es-ES"/>
        </w:rPr>
        <w:t xml:space="preserve">Con fecha </w:t>
      </w:r>
      <w:r w:rsidR="006A126F" w:rsidRPr="0016487D">
        <w:rPr>
          <w:rFonts w:eastAsia="Times New Roman" w:cs="Tahoma"/>
          <w:noProof/>
          <w:color w:val="auto"/>
          <w:lang w:eastAsia="es-ES"/>
        </w:rPr>
        <w:t>veintisiete</w:t>
      </w:r>
      <w:r w:rsidR="00702180" w:rsidRPr="0016487D">
        <w:rPr>
          <w:rFonts w:eastAsia="Times New Roman" w:cs="Tahoma"/>
          <w:noProof/>
          <w:color w:val="auto"/>
          <w:lang w:eastAsia="es-ES"/>
        </w:rPr>
        <w:t xml:space="preserve"> </w:t>
      </w:r>
      <w:r w:rsidR="00BC52FA" w:rsidRPr="0016487D">
        <w:rPr>
          <w:rFonts w:eastAsia="Times New Roman" w:cs="Tahoma"/>
          <w:noProof/>
          <w:color w:val="auto"/>
          <w:lang w:eastAsia="es-ES"/>
        </w:rPr>
        <w:t>de febrero</w:t>
      </w:r>
      <w:r w:rsidR="00702180" w:rsidRPr="0016487D">
        <w:rPr>
          <w:rFonts w:eastAsia="Times New Roman" w:cs="Tahoma"/>
          <w:noProof/>
          <w:color w:val="auto"/>
          <w:lang w:eastAsia="es-ES"/>
        </w:rPr>
        <w:t xml:space="preserve"> de dos mil </w:t>
      </w:r>
      <w:r w:rsidR="00BC52FA" w:rsidRPr="0016487D">
        <w:rPr>
          <w:rFonts w:eastAsia="Times New Roman" w:cs="Tahoma"/>
          <w:noProof/>
          <w:color w:val="auto"/>
          <w:lang w:eastAsia="es-ES"/>
        </w:rPr>
        <w:t>veinticinco</w:t>
      </w:r>
      <w:r w:rsidRPr="0016487D">
        <w:rPr>
          <w:rFonts w:eastAsia="Times New Roman" w:cs="Tahoma"/>
          <w:noProof/>
          <w:color w:val="auto"/>
          <w:lang w:eastAsia="es-ES"/>
        </w:rPr>
        <w:t>,</w:t>
      </w:r>
      <w:r w:rsidR="00005E7C" w:rsidRPr="0016487D">
        <w:rPr>
          <w:rFonts w:eastAsia="Times New Roman" w:cs="Tahoma"/>
          <w:noProof/>
          <w:color w:val="auto"/>
          <w:lang w:eastAsia="es-ES"/>
        </w:rPr>
        <w:t xml:space="preserve"> </w:t>
      </w:r>
      <w:r w:rsidR="00702180" w:rsidRPr="0016487D">
        <w:rPr>
          <w:rFonts w:eastAsia="Times New Roman" w:cs="Tahoma"/>
          <w:noProof/>
          <w:color w:val="auto"/>
          <w:lang w:eastAsia="es-ES"/>
        </w:rPr>
        <w:t xml:space="preserve">el </w:t>
      </w:r>
      <w:r w:rsidRPr="0016487D">
        <w:rPr>
          <w:rFonts w:eastAsia="Times New Roman" w:cs="Tahoma"/>
          <w:noProof/>
          <w:color w:val="auto"/>
          <w:lang w:eastAsia="es-ES"/>
        </w:rPr>
        <w:t xml:space="preserve">Particular presentó una solicitud de acceso a la información pública, a través del Sistema de Acceso a la Información Mexiquense (SAIMEX), ante el </w:t>
      </w:r>
      <w:r w:rsidR="00702180" w:rsidRPr="0016487D">
        <w:rPr>
          <w:rFonts w:eastAsia="Calibri" w:cs="Tahoma"/>
          <w:noProof/>
        </w:rPr>
        <w:t xml:space="preserve">Ayuntamiento de </w:t>
      </w:r>
      <w:r w:rsidR="006A126F" w:rsidRPr="0016487D">
        <w:rPr>
          <w:rFonts w:eastAsia="Calibri" w:cs="Tahoma"/>
          <w:noProof/>
        </w:rPr>
        <w:t>Coacalco de Berriozábal</w:t>
      </w:r>
      <w:r w:rsidRPr="0016487D">
        <w:rPr>
          <w:rFonts w:eastAsia="Calibri" w:cs="Tahoma"/>
          <w:noProof/>
        </w:rPr>
        <w:t xml:space="preserve">, en los siguientes términos: </w:t>
      </w:r>
    </w:p>
    <w:p w14:paraId="32AF4217" w14:textId="77777777" w:rsidR="00C853D1" w:rsidRPr="0016487D" w:rsidRDefault="00C853D1" w:rsidP="00AE2352">
      <w:pPr>
        <w:spacing w:after="0" w:line="360" w:lineRule="auto"/>
        <w:rPr>
          <w:rFonts w:eastAsia="Calibri" w:cs="Tahoma"/>
          <w:noProof/>
        </w:rPr>
      </w:pPr>
    </w:p>
    <w:p w14:paraId="08873B8F" w14:textId="77777777" w:rsidR="00C853D1" w:rsidRPr="0016487D" w:rsidRDefault="00C853D1" w:rsidP="00AE2352">
      <w:pPr>
        <w:tabs>
          <w:tab w:val="left" w:pos="4667"/>
        </w:tabs>
        <w:spacing w:after="0" w:line="360" w:lineRule="auto"/>
        <w:ind w:left="567" w:right="567"/>
        <w:rPr>
          <w:rFonts w:eastAsia="Times New Roman" w:cs="Tahoma"/>
          <w:b/>
          <w:i/>
          <w:iCs/>
          <w:noProof/>
          <w:color w:val="auto"/>
          <w:sz w:val="20"/>
          <w:szCs w:val="20"/>
          <w:lang w:eastAsia="es-ES"/>
        </w:rPr>
      </w:pPr>
      <w:r w:rsidRPr="0016487D">
        <w:rPr>
          <w:rFonts w:eastAsia="Times New Roman" w:cs="Tahoma"/>
          <w:b/>
          <w:i/>
          <w:iCs/>
          <w:noProof/>
          <w:color w:val="auto"/>
          <w:sz w:val="20"/>
          <w:szCs w:val="20"/>
          <w:lang w:eastAsia="es-ES"/>
        </w:rPr>
        <w:t>“DESCRIPCIÓN CLARA Y PRECISA DE LA INFORMACIÓN SOLICITADA.</w:t>
      </w:r>
    </w:p>
    <w:p w14:paraId="47049033" w14:textId="517916AE" w:rsidR="00C853D1" w:rsidRPr="0016487D" w:rsidRDefault="006A126F" w:rsidP="00AE2352">
      <w:pPr>
        <w:tabs>
          <w:tab w:val="left" w:pos="4667"/>
        </w:tabs>
        <w:spacing w:after="0" w:line="360" w:lineRule="auto"/>
        <w:ind w:left="567" w:right="567"/>
        <w:rPr>
          <w:rFonts w:eastAsia="Times New Roman" w:cs="Tahoma"/>
          <w:bCs/>
          <w:i/>
          <w:iCs/>
          <w:noProof/>
          <w:color w:val="auto"/>
          <w:sz w:val="20"/>
          <w:szCs w:val="20"/>
          <w:lang w:eastAsia="es-ES"/>
        </w:rPr>
      </w:pPr>
      <w:r w:rsidRPr="0016487D">
        <w:rPr>
          <w:i/>
          <w:noProof/>
          <w:color w:val="000000"/>
          <w:sz w:val="20"/>
          <w:szCs w:val="20"/>
        </w:rPr>
        <w:t>SOLICITO LOS CONVENIOS SINDICALES 2021, 2022, 2023 Y 2024V SOLICITO EL TABULADOR DE SUELDOS Y SALARIOS 2024 Y 2025 SOLICITO LOS RECIBOS DE NOMINA EXPEDIDOS ESTE 2025 DE LOS DIRECTORES DE LA ADMINISTRACION PUBLICA MUNICIPAL SOLICITO LA NOMINA CORRESPONDIENTE A LA QUINCENA DEL 1 AL 15 DE FEBRERO DEL 2025</w:t>
      </w:r>
      <w:r w:rsidR="00C853D1" w:rsidRPr="0016487D">
        <w:rPr>
          <w:rFonts w:eastAsia="Times New Roman" w:cs="Tahoma"/>
          <w:bCs/>
          <w:i/>
          <w:iCs/>
          <w:noProof/>
          <w:color w:val="auto"/>
          <w:sz w:val="20"/>
          <w:szCs w:val="20"/>
          <w:lang w:eastAsia="es-ES"/>
        </w:rPr>
        <w:t xml:space="preserve">” (Sic) </w:t>
      </w:r>
    </w:p>
    <w:p w14:paraId="151CD7A9" w14:textId="77777777" w:rsidR="00C853D1" w:rsidRPr="0016487D" w:rsidRDefault="00C853D1" w:rsidP="00AE2352">
      <w:pPr>
        <w:tabs>
          <w:tab w:val="left" w:pos="4667"/>
        </w:tabs>
        <w:spacing w:after="0" w:line="360" w:lineRule="auto"/>
        <w:ind w:left="567" w:right="567"/>
        <w:rPr>
          <w:rFonts w:eastAsia="Times New Roman" w:cs="Tahoma"/>
          <w:b/>
          <w:bCs/>
          <w:i/>
          <w:iCs/>
          <w:noProof/>
          <w:color w:val="auto"/>
          <w:sz w:val="20"/>
          <w:lang w:eastAsia="es-ES"/>
        </w:rPr>
      </w:pPr>
    </w:p>
    <w:p w14:paraId="7B27E14C" w14:textId="77777777" w:rsidR="00A23C1B" w:rsidRPr="0016487D" w:rsidRDefault="00A23C1B" w:rsidP="00AE2352">
      <w:pPr>
        <w:tabs>
          <w:tab w:val="left" w:pos="4667"/>
        </w:tabs>
        <w:spacing w:after="0" w:line="360" w:lineRule="auto"/>
        <w:ind w:left="567" w:right="567"/>
        <w:rPr>
          <w:rFonts w:eastAsia="Times New Roman" w:cs="Tahoma"/>
          <w:b/>
          <w:bCs/>
          <w:i/>
          <w:iCs/>
          <w:noProof/>
          <w:color w:val="auto"/>
          <w:sz w:val="20"/>
          <w:lang w:eastAsia="es-ES"/>
        </w:rPr>
      </w:pPr>
    </w:p>
    <w:p w14:paraId="0E8A2DCA" w14:textId="77777777" w:rsidR="00C853D1" w:rsidRPr="0016487D" w:rsidRDefault="00C853D1" w:rsidP="00AE2352">
      <w:pPr>
        <w:tabs>
          <w:tab w:val="left" w:pos="4667"/>
        </w:tabs>
        <w:spacing w:after="0" w:line="360" w:lineRule="auto"/>
        <w:ind w:left="567" w:right="567"/>
        <w:rPr>
          <w:rFonts w:eastAsia="Times New Roman" w:cs="Tahoma"/>
          <w:b/>
          <w:bCs/>
          <w:i/>
          <w:iCs/>
          <w:noProof/>
          <w:color w:val="auto"/>
          <w:sz w:val="20"/>
          <w:lang w:eastAsia="es-ES"/>
        </w:rPr>
      </w:pPr>
      <w:r w:rsidRPr="0016487D">
        <w:rPr>
          <w:rFonts w:eastAsia="Times New Roman" w:cs="Tahoma"/>
          <w:b/>
          <w:bCs/>
          <w:i/>
          <w:iCs/>
          <w:noProof/>
          <w:color w:val="auto"/>
          <w:sz w:val="20"/>
          <w:lang w:eastAsia="es-ES"/>
        </w:rPr>
        <w:lastRenderedPageBreak/>
        <w:t>“MODALIDAD DE ENTREGA</w:t>
      </w:r>
    </w:p>
    <w:p w14:paraId="59678C94" w14:textId="1E32CB35" w:rsidR="00C853D1" w:rsidRPr="0016487D" w:rsidRDefault="00C853D1" w:rsidP="00AE2352">
      <w:pPr>
        <w:spacing w:after="0" w:line="360" w:lineRule="auto"/>
        <w:ind w:left="567" w:right="567"/>
        <w:rPr>
          <w:rFonts w:eastAsia="Times New Roman" w:cs="Arial"/>
          <w:bCs/>
          <w:i/>
          <w:iCs/>
          <w:noProof/>
          <w:color w:val="auto"/>
          <w:sz w:val="20"/>
          <w:lang w:eastAsia="es-ES"/>
        </w:rPr>
      </w:pPr>
      <w:r w:rsidRPr="0016487D">
        <w:rPr>
          <w:rFonts w:eastAsia="Times New Roman" w:cs="Arial"/>
          <w:bCs/>
          <w:i/>
          <w:iCs/>
          <w:noProof/>
          <w:color w:val="auto"/>
          <w:sz w:val="20"/>
          <w:lang w:eastAsia="es-ES"/>
        </w:rPr>
        <w:t>A través del SAIMEX”</w:t>
      </w:r>
    </w:p>
    <w:p w14:paraId="1DAA8380" w14:textId="77777777" w:rsidR="00682222" w:rsidRPr="0016487D" w:rsidRDefault="00682222" w:rsidP="00AE2352">
      <w:pPr>
        <w:spacing w:after="0" w:line="360" w:lineRule="auto"/>
        <w:ind w:left="567" w:right="567"/>
        <w:rPr>
          <w:rFonts w:eastAsia="Times New Roman" w:cs="Arial"/>
          <w:bCs/>
          <w:i/>
          <w:iCs/>
          <w:noProof/>
          <w:color w:val="auto"/>
          <w:sz w:val="20"/>
          <w:lang w:eastAsia="es-ES"/>
        </w:rPr>
      </w:pPr>
    </w:p>
    <w:p w14:paraId="7488ED31" w14:textId="3C8536C3" w:rsidR="00C853D1" w:rsidRPr="0016487D" w:rsidRDefault="00C853D1" w:rsidP="00AE2352">
      <w:pPr>
        <w:pStyle w:val="Ttulo2"/>
        <w:spacing w:before="0" w:line="360" w:lineRule="auto"/>
        <w:rPr>
          <w:rFonts w:ascii="Palatino Linotype" w:hAnsi="Palatino Linotype"/>
          <w:b/>
          <w:bCs/>
          <w:noProof/>
          <w:color w:val="auto"/>
          <w:sz w:val="22"/>
          <w:szCs w:val="22"/>
        </w:rPr>
      </w:pPr>
      <w:bookmarkStart w:id="3" w:name="_Toc193363642"/>
      <w:r w:rsidRPr="0016487D">
        <w:rPr>
          <w:rFonts w:ascii="Palatino Linotype" w:hAnsi="Palatino Linotype" w:cs="Tahoma"/>
          <w:b/>
          <w:bCs/>
          <w:noProof/>
          <w:color w:val="auto"/>
          <w:sz w:val="22"/>
          <w:szCs w:val="22"/>
        </w:rPr>
        <w:t>II.</w:t>
      </w:r>
      <w:r w:rsidRPr="0016487D">
        <w:rPr>
          <w:rFonts w:ascii="Palatino Linotype" w:hAnsi="Palatino Linotype"/>
          <w:b/>
          <w:bCs/>
          <w:noProof/>
          <w:color w:val="auto"/>
          <w:sz w:val="22"/>
          <w:szCs w:val="22"/>
        </w:rPr>
        <w:t xml:space="preserve"> Respuesta del Sujeto Obligado</w:t>
      </w:r>
      <w:bookmarkEnd w:id="3"/>
    </w:p>
    <w:p w14:paraId="4BBF47A5" w14:textId="77777777" w:rsidR="00EC7345" w:rsidRPr="0016487D" w:rsidRDefault="00EC7345" w:rsidP="00AE2352">
      <w:pPr>
        <w:autoSpaceDE w:val="0"/>
        <w:autoSpaceDN w:val="0"/>
        <w:adjustRightInd w:val="0"/>
        <w:spacing w:after="0" w:line="360" w:lineRule="auto"/>
        <w:rPr>
          <w:b/>
          <w:bCs/>
          <w:noProof/>
        </w:rPr>
      </w:pPr>
    </w:p>
    <w:p w14:paraId="3AE2F83E" w14:textId="25035009" w:rsidR="008F5DC2" w:rsidRPr="0016487D" w:rsidRDefault="00C853D1" w:rsidP="00AE2352">
      <w:pPr>
        <w:spacing w:after="0" w:line="360" w:lineRule="auto"/>
        <w:rPr>
          <w:noProof/>
        </w:rPr>
      </w:pPr>
      <w:r w:rsidRPr="0016487D">
        <w:rPr>
          <w:noProof/>
        </w:rPr>
        <w:t>Con fecha</w:t>
      </w:r>
      <w:r w:rsidR="002F68E2" w:rsidRPr="0016487D">
        <w:rPr>
          <w:noProof/>
        </w:rPr>
        <w:t xml:space="preserve"> </w:t>
      </w:r>
      <w:r w:rsidR="006A126F" w:rsidRPr="0016487D">
        <w:rPr>
          <w:noProof/>
        </w:rPr>
        <w:t>diez</w:t>
      </w:r>
      <w:r w:rsidR="00702180" w:rsidRPr="0016487D">
        <w:rPr>
          <w:noProof/>
        </w:rPr>
        <w:t xml:space="preserve"> de </w:t>
      </w:r>
      <w:r w:rsidR="006A126F" w:rsidRPr="0016487D">
        <w:rPr>
          <w:noProof/>
        </w:rPr>
        <w:t>marzo</w:t>
      </w:r>
      <w:r w:rsidR="00702180" w:rsidRPr="0016487D">
        <w:rPr>
          <w:noProof/>
        </w:rPr>
        <w:t xml:space="preserve"> de dos mil </w:t>
      </w:r>
      <w:r w:rsidR="00BC52FA" w:rsidRPr="0016487D">
        <w:rPr>
          <w:noProof/>
        </w:rPr>
        <w:t>veinticinco</w:t>
      </w:r>
      <w:r w:rsidR="002F68E2" w:rsidRPr="0016487D">
        <w:rPr>
          <w:noProof/>
        </w:rPr>
        <w:t xml:space="preserve">, el Sujeto Obligado notificó, a través del Sistema de Acceso a la Información Mexiquense (SAIMEX), la respuesta a la solicitud de acceso a la información pública, mediante </w:t>
      </w:r>
      <w:r w:rsidR="008F5DC2" w:rsidRPr="0016487D">
        <w:rPr>
          <w:noProof/>
        </w:rPr>
        <w:t xml:space="preserve">la digitalización de los siguientes documentos: </w:t>
      </w:r>
    </w:p>
    <w:p w14:paraId="6D83AB41" w14:textId="6F4DCC07" w:rsidR="008F5DC2" w:rsidRPr="0016487D" w:rsidRDefault="008F5DC2" w:rsidP="00AE2352">
      <w:pPr>
        <w:spacing w:after="0" w:line="360" w:lineRule="auto"/>
        <w:rPr>
          <w:noProof/>
        </w:rPr>
      </w:pPr>
    </w:p>
    <w:p w14:paraId="0F7A3C97" w14:textId="48469B22" w:rsidR="008F5DC2" w:rsidRPr="0016487D" w:rsidRDefault="00DD46BF" w:rsidP="00AE2352">
      <w:pPr>
        <w:spacing w:after="0" w:line="360" w:lineRule="auto"/>
        <w:rPr>
          <w:noProof/>
        </w:rPr>
      </w:pPr>
      <w:r w:rsidRPr="0016487D">
        <w:rPr>
          <w:noProof/>
        </w:rPr>
        <w:t>i) Oficio</w:t>
      </w:r>
      <w:r w:rsidR="008F5DC2" w:rsidRPr="0016487D">
        <w:rPr>
          <w:noProof/>
        </w:rPr>
        <w:t xml:space="preserve"> </w:t>
      </w:r>
      <w:r w:rsidR="006A126F" w:rsidRPr="0016487D">
        <w:rPr>
          <w:noProof/>
        </w:rPr>
        <w:t xml:space="preserve">número DA/316/2025, del seis de marzo de dos mil veinticinco, suscrito por la Directora de Administración, dirigido a la Coordinadora de Transparencia y Protección de Datos Personales por medio del cual </w:t>
      </w:r>
      <w:r w:rsidRPr="0016487D">
        <w:rPr>
          <w:noProof/>
        </w:rPr>
        <w:t>adjunta de manera digital el convenio sindical de dos mil veintiuno, tabulador de sueldos de dos mil veinticuatro y dos mil veinticinco y los recibos d</w:t>
      </w:r>
      <w:r w:rsidR="005B67F4" w:rsidRPr="0016487D">
        <w:rPr>
          <w:noProof/>
        </w:rPr>
        <w:t>e nómina solicitados, en este mismo menciona adjuntar la nómina solicitada</w:t>
      </w:r>
      <w:r w:rsidR="008E5D7A" w:rsidRPr="0016487D">
        <w:rPr>
          <w:noProof/>
        </w:rPr>
        <w:t>.</w:t>
      </w:r>
    </w:p>
    <w:p w14:paraId="1EB74E3C" w14:textId="77777777" w:rsidR="008E5D7A" w:rsidRPr="0016487D" w:rsidRDefault="008E5D7A" w:rsidP="00AE2352">
      <w:pPr>
        <w:spacing w:after="0" w:line="360" w:lineRule="auto"/>
        <w:rPr>
          <w:noProof/>
        </w:rPr>
      </w:pPr>
    </w:p>
    <w:p w14:paraId="2CBE8266" w14:textId="18D3B205" w:rsidR="00DD46BF" w:rsidRPr="0016487D" w:rsidRDefault="00DD46BF" w:rsidP="00AE2352">
      <w:pPr>
        <w:spacing w:after="0" w:line="360" w:lineRule="auto"/>
        <w:rPr>
          <w:noProof/>
        </w:rPr>
      </w:pPr>
      <w:r w:rsidRPr="0016487D">
        <w:rPr>
          <w:noProof/>
        </w:rPr>
        <w:t>ii) Convenio Sindical de dos mil veintiuno.</w:t>
      </w:r>
    </w:p>
    <w:p w14:paraId="4E71F566" w14:textId="77777777" w:rsidR="005B67F4" w:rsidRPr="0016487D" w:rsidRDefault="005B67F4" w:rsidP="00AE2352">
      <w:pPr>
        <w:spacing w:after="0" w:line="360" w:lineRule="auto"/>
        <w:rPr>
          <w:noProof/>
        </w:rPr>
      </w:pPr>
    </w:p>
    <w:p w14:paraId="4886F70E" w14:textId="652B9929" w:rsidR="00DD46BF" w:rsidRPr="0016487D" w:rsidRDefault="00DD46BF" w:rsidP="00AE2352">
      <w:pPr>
        <w:spacing w:after="0" w:line="360" w:lineRule="auto"/>
        <w:rPr>
          <w:noProof/>
        </w:rPr>
      </w:pPr>
      <w:r w:rsidRPr="0016487D">
        <w:rPr>
          <w:noProof/>
        </w:rPr>
        <w:t>ii</w:t>
      </w:r>
      <w:r w:rsidR="00F735C1" w:rsidRPr="0016487D">
        <w:rPr>
          <w:noProof/>
        </w:rPr>
        <w:t>i</w:t>
      </w:r>
      <w:r w:rsidRPr="0016487D">
        <w:rPr>
          <w:noProof/>
        </w:rPr>
        <w:t>) Tabuladores de dos mil veinticuatro y dos mil veinticinco.</w:t>
      </w:r>
    </w:p>
    <w:p w14:paraId="3120B2A3" w14:textId="77777777" w:rsidR="005B67F4" w:rsidRPr="0016487D" w:rsidRDefault="005B67F4" w:rsidP="00AE2352">
      <w:pPr>
        <w:spacing w:after="0" w:line="360" w:lineRule="auto"/>
        <w:rPr>
          <w:noProof/>
        </w:rPr>
      </w:pPr>
    </w:p>
    <w:p w14:paraId="637E38F1" w14:textId="79B17460" w:rsidR="00747E6F" w:rsidRPr="0016487D" w:rsidRDefault="00747E6F" w:rsidP="00AE2352">
      <w:pPr>
        <w:spacing w:after="0" w:line="360" w:lineRule="auto"/>
        <w:rPr>
          <w:noProof/>
        </w:rPr>
      </w:pPr>
      <w:r w:rsidRPr="0016487D">
        <w:rPr>
          <w:noProof/>
        </w:rPr>
        <w:t>iv) Listado de los Directores de la Administración Pública, en la cual contiene área, clave, nombre completo, clasificación, departamento, puesto, fecha de alta, total de deducción y neto a pagar.</w:t>
      </w:r>
    </w:p>
    <w:p w14:paraId="62CEC321" w14:textId="77777777" w:rsidR="005B67F4" w:rsidRPr="0016487D" w:rsidRDefault="005B67F4" w:rsidP="00AE2352">
      <w:pPr>
        <w:spacing w:after="0" w:line="360" w:lineRule="auto"/>
        <w:rPr>
          <w:noProof/>
        </w:rPr>
      </w:pPr>
    </w:p>
    <w:p w14:paraId="08BA7E31" w14:textId="51CBC6CB" w:rsidR="00C078CA" w:rsidRPr="0016487D" w:rsidRDefault="00AE2352" w:rsidP="00AE2352">
      <w:pPr>
        <w:spacing w:after="0" w:line="360" w:lineRule="auto"/>
        <w:rPr>
          <w:noProof/>
        </w:rPr>
      </w:pPr>
      <w:r w:rsidRPr="0016487D">
        <w:rPr>
          <w:noProof/>
        </w:rPr>
        <w:t>v</w:t>
      </w:r>
      <w:r w:rsidR="008F5DC2" w:rsidRPr="0016487D">
        <w:rPr>
          <w:noProof/>
        </w:rPr>
        <w:t>) O</w:t>
      </w:r>
      <w:r w:rsidR="002F68E2" w:rsidRPr="0016487D">
        <w:rPr>
          <w:noProof/>
        </w:rPr>
        <w:t>ficio</w:t>
      </w:r>
      <w:r w:rsidR="00005E7C" w:rsidRPr="0016487D">
        <w:rPr>
          <w:noProof/>
        </w:rPr>
        <w:t xml:space="preserve"> </w:t>
      </w:r>
      <w:r w:rsidR="00DD46BF" w:rsidRPr="0016487D">
        <w:rPr>
          <w:noProof/>
        </w:rPr>
        <w:t xml:space="preserve">sin número, del diez de marzo de dos mil veinticinco, suscrito por la Coordinadora de Transparencia y Protección de Datos Personales, dirigido al Solicitante, mediante el cual se turna a la Dirección de Administración para que pueda dar respuesta a lo solicitado. </w:t>
      </w:r>
    </w:p>
    <w:p w14:paraId="7C1DD6CB" w14:textId="25009CFC" w:rsidR="00065090" w:rsidRPr="0016487D" w:rsidRDefault="00F735C1" w:rsidP="00AE2352">
      <w:pPr>
        <w:spacing w:after="0" w:line="360" w:lineRule="auto"/>
        <w:rPr>
          <w:noProof/>
        </w:rPr>
      </w:pPr>
      <w:r w:rsidRPr="0016487D">
        <w:rPr>
          <w:noProof/>
        </w:rPr>
        <w:lastRenderedPageBreak/>
        <w:t>v</w:t>
      </w:r>
      <w:r w:rsidR="00AE2352" w:rsidRPr="0016487D">
        <w:rPr>
          <w:noProof/>
        </w:rPr>
        <w:t>i</w:t>
      </w:r>
      <w:r w:rsidR="00D50475" w:rsidRPr="0016487D">
        <w:rPr>
          <w:noProof/>
        </w:rPr>
        <w:t xml:space="preserve">) </w:t>
      </w:r>
      <w:r w:rsidR="008E5D7A" w:rsidRPr="0016487D">
        <w:rPr>
          <w:noProof/>
        </w:rPr>
        <w:t>Q</w:t>
      </w:r>
      <w:r w:rsidR="00BE7FC6" w:rsidRPr="0016487D">
        <w:rPr>
          <w:noProof/>
        </w:rPr>
        <w:t xml:space="preserve">uince recibos </w:t>
      </w:r>
      <w:r w:rsidR="00D50475" w:rsidRPr="0016487D">
        <w:rPr>
          <w:noProof/>
        </w:rPr>
        <w:t xml:space="preserve">de nómina en versión pública, correspondientes a la primera </w:t>
      </w:r>
      <w:r w:rsidR="00BE7FC6" w:rsidRPr="0016487D">
        <w:rPr>
          <w:noProof/>
        </w:rPr>
        <w:t>quincena de enero de dos mil veinticinco.</w:t>
      </w:r>
      <w:r w:rsidR="00D50475" w:rsidRPr="0016487D">
        <w:rPr>
          <w:noProof/>
        </w:rPr>
        <w:t xml:space="preserve"> </w:t>
      </w:r>
    </w:p>
    <w:p w14:paraId="533F66FB" w14:textId="77777777" w:rsidR="00F735C1" w:rsidRPr="0016487D" w:rsidRDefault="00F735C1" w:rsidP="00AE2352">
      <w:pPr>
        <w:spacing w:after="0" w:line="360" w:lineRule="auto"/>
        <w:rPr>
          <w:noProof/>
        </w:rPr>
      </w:pPr>
    </w:p>
    <w:p w14:paraId="69CD4F84" w14:textId="42ED3F6E" w:rsidR="00BE7FC6" w:rsidRPr="0016487D" w:rsidRDefault="00F735C1" w:rsidP="00AE2352">
      <w:pPr>
        <w:spacing w:after="0" w:line="360" w:lineRule="auto"/>
        <w:rPr>
          <w:noProof/>
        </w:rPr>
      </w:pPr>
      <w:r w:rsidRPr="0016487D">
        <w:rPr>
          <w:noProof/>
        </w:rPr>
        <w:t>v</w:t>
      </w:r>
      <w:r w:rsidR="00AE2352" w:rsidRPr="0016487D">
        <w:rPr>
          <w:noProof/>
        </w:rPr>
        <w:t>i</w:t>
      </w:r>
      <w:r w:rsidRPr="0016487D">
        <w:rPr>
          <w:noProof/>
        </w:rPr>
        <w:t>i</w:t>
      </w:r>
      <w:r w:rsidR="00BE7FC6" w:rsidRPr="0016487D">
        <w:rPr>
          <w:noProof/>
        </w:rPr>
        <w:t xml:space="preserve">) Acta de la Quinta Sesión Ordinaria del Comité de Transparencia con número ACT/TRANSCOA/ORD/05/2025, del siete de marzo de dos mil veinticinco, por medio del cual se aprobó la versión pública de los recibos de nómina previamente referidos, tal como se muestra a continuación: </w:t>
      </w:r>
    </w:p>
    <w:p w14:paraId="04705CE3" w14:textId="77777777" w:rsidR="00BE7FC6" w:rsidRPr="0016487D" w:rsidRDefault="00BE7FC6" w:rsidP="00AE2352">
      <w:pPr>
        <w:spacing w:after="0" w:line="360" w:lineRule="auto"/>
        <w:rPr>
          <w:noProof/>
        </w:rPr>
      </w:pPr>
    </w:p>
    <w:p w14:paraId="65A83373" w14:textId="77777777" w:rsidR="00BE7FC6" w:rsidRPr="0016487D" w:rsidRDefault="00BE7FC6" w:rsidP="00AE2352">
      <w:pPr>
        <w:spacing w:after="0" w:line="360" w:lineRule="auto"/>
        <w:rPr>
          <w:noProof/>
        </w:rPr>
      </w:pPr>
      <w:r w:rsidRPr="0016487D">
        <w:rPr>
          <w:noProof/>
          <w:lang w:eastAsia="es-MX"/>
        </w:rPr>
        <w:drawing>
          <wp:inline distT="0" distB="0" distL="0" distR="0" wp14:anchorId="00CAAB75" wp14:editId="7A205176">
            <wp:extent cx="5791835" cy="1501140"/>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1501140"/>
                    </a:xfrm>
                    <a:prstGeom prst="rect">
                      <a:avLst/>
                    </a:prstGeom>
                  </pic:spPr>
                </pic:pic>
              </a:graphicData>
            </a:graphic>
          </wp:inline>
        </w:drawing>
      </w:r>
    </w:p>
    <w:p w14:paraId="5CA99633" w14:textId="70F3FB64" w:rsidR="00D50475" w:rsidRPr="0016487D" w:rsidRDefault="00D50475" w:rsidP="00AE2352">
      <w:pPr>
        <w:spacing w:after="0" w:line="360" w:lineRule="auto"/>
        <w:rPr>
          <w:noProof/>
        </w:rPr>
      </w:pPr>
    </w:p>
    <w:p w14:paraId="2B803E22" w14:textId="77777777" w:rsidR="00C853D1" w:rsidRPr="0016487D" w:rsidRDefault="00C853D1" w:rsidP="00AE2352">
      <w:pPr>
        <w:pStyle w:val="Ttulo2"/>
        <w:spacing w:before="0" w:line="360" w:lineRule="auto"/>
        <w:rPr>
          <w:rFonts w:ascii="Palatino Linotype" w:hAnsi="Palatino Linotype"/>
          <w:b/>
          <w:bCs/>
          <w:noProof/>
          <w:color w:val="auto"/>
          <w:sz w:val="22"/>
          <w:szCs w:val="22"/>
        </w:rPr>
      </w:pPr>
      <w:bookmarkStart w:id="4" w:name="_Toc193363643"/>
      <w:r w:rsidRPr="0016487D">
        <w:rPr>
          <w:rFonts w:ascii="Palatino Linotype" w:hAnsi="Palatino Linotype"/>
          <w:b/>
          <w:bCs/>
          <w:noProof/>
          <w:color w:val="auto"/>
          <w:sz w:val="22"/>
          <w:szCs w:val="22"/>
        </w:rPr>
        <w:t>III. Interposición del Recurso de Revisión.</w:t>
      </w:r>
      <w:bookmarkEnd w:id="4"/>
      <w:r w:rsidRPr="0016487D">
        <w:rPr>
          <w:rFonts w:ascii="Palatino Linotype" w:hAnsi="Palatino Linotype"/>
          <w:b/>
          <w:bCs/>
          <w:noProof/>
          <w:color w:val="auto"/>
          <w:sz w:val="22"/>
          <w:szCs w:val="22"/>
        </w:rPr>
        <w:t xml:space="preserve"> </w:t>
      </w:r>
    </w:p>
    <w:p w14:paraId="71DC67DA" w14:textId="77777777" w:rsidR="00C853D1" w:rsidRPr="0016487D" w:rsidRDefault="00C853D1" w:rsidP="00AE2352">
      <w:pPr>
        <w:spacing w:after="0" w:line="360" w:lineRule="auto"/>
        <w:rPr>
          <w:bCs/>
          <w:noProof/>
        </w:rPr>
      </w:pPr>
    </w:p>
    <w:p w14:paraId="2F891DAB" w14:textId="1419BE48" w:rsidR="00C853D1" w:rsidRPr="0016487D" w:rsidRDefault="00C853D1" w:rsidP="00AE2352">
      <w:pPr>
        <w:spacing w:after="0" w:line="360" w:lineRule="auto"/>
        <w:rPr>
          <w:bCs/>
          <w:noProof/>
        </w:rPr>
      </w:pPr>
      <w:r w:rsidRPr="0016487D">
        <w:rPr>
          <w:bCs/>
          <w:noProof/>
        </w:rPr>
        <w:t>Con fecha</w:t>
      </w:r>
      <w:r w:rsidR="00827B0C" w:rsidRPr="0016487D">
        <w:rPr>
          <w:bCs/>
          <w:noProof/>
        </w:rPr>
        <w:t xml:space="preserve"> </w:t>
      </w:r>
      <w:r w:rsidR="00F735C1" w:rsidRPr="0016487D">
        <w:rPr>
          <w:bCs/>
          <w:noProof/>
        </w:rPr>
        <w:t>dieciocho</w:t>
      </w:r>
      <w:r w:rsidR="0024748E" w:rsidRPr="0016487D">
        <w:rPr>
          <w:bCs/>
          <w:noProof/>
        </w:rPr>
        <w:t xml:space="preserve"> de </w:t>
      </w:r>
      <w:r w:rsidR="00F735C1" w:rsidRPr="0016487D">
        <w:rPr>
          <w:bCs/>
          <w:noProof/>
        </w:rPr>
        <w:t>marzo</w:t>
      </w:r>
      <w:r w:rsidR="000A6926" w:rsidRPr="0016487D">
        <w:rPr>
          <w:bCs/>
          <w:noProof/>
        </w:rPr>
        <w:t xml:space="preserve"> de dos mil veintic</w:t>
      </w:r>
      <w:r w:rsidR="00675D6B" w:rsidRPr="0016487D">
        <w:rPr>
          <w:bCs/>
          <w:noProof/>
        </w:rPr>
        <w:t>inco</w:t>
      </w:r>
      <w:r w:rsidRPr="0016487D">
        <w:rPr>
          <w:bCs/>
          <w:noProof/>
        </w:rPr>
        <w:t>, se recibió en este Instituto, a través del Sistema de Acceso a la Información Mexiquense (SAIMEX), Recurso de Revisión interpuesto por la parte Recurrente, en contra de la respuesta por el Sujeto Obligado, a la solicitud de información, en los siguientes términos:</w:t>
      </w:r>
    </w:p>
    <w:p w14:paraId="3A43EC2F" w14:textId="77777777" w:rsidR="00C853D1" w:rsidRPr="0016487D" w:rsidRDefault="00C853D1" w:rsidP="00AE2352">
      <w:pPr>
        <w:spacing w:after="0" w:line="360" w:lineRule="auto"/>
        <w:rPr>
          <w:bCs/>
          <w:noProof/>
        </w:rPr>
      </w:pPr>
    </w:p>
    <w:p w14:paraId="5AC8905A" w14:textId="77777777" w:rsidR="00C853D1" w:rsidRPr="0016487D" w:rsidRDefault="00C853D1" w:rsidP="00AE2352">
      <w:pPr>
        <w:spacing w:after="0" w:line="360" w:lineRule="auto"/>
        <w:ind w:left="567" w:right="567"/>
        <w:rPr>
          <w:bCs/>
          <w:i/>
          <w:noProof/>
          <w:sz w:val="20"/>
          <w:szCs w:val="20"/>
        </w:rPr>
      </w:pPr>
      <w:r w:rsidRPr="0016487D">
        <w:rPr>
          <w:b/>
          <w:bCs/>
          <w:i/>
          <w:noProof/>
          <w:sz w:val="20"/>
          <w:szCs w:val="20"/>
        </w:rPr>
        <w:t>“ACTO IMPUGNADO</w:t>
      </w:r>
    </w:p>
    <w:p w14:paraId="5B56BF42" w14:textId="18999C2B" w:rsidR="00C853D1" w:rsidRPr="0016487D" w:rsidRDefault="00F735C1" w:rsidP="00AE2352">
      <w:pPr>
        <w:spacing w:after="0" w:line="360" w:lineRule="auto"/>
        <w:ind w:left="567" w:right="567"/>
        <w:rPr>
          <w:i/>
          <w:noProof/>
          <w:sz w:val="20"/>
          <w:szCs w:val="20"/>
        </w:rPr>
      </w:pPr>
      <w:r w:rsidRPr="0016487D">
        <w:rPr>
          <w:i/>
          <w:noProof/>
          <w:sz w:val="20"/>
          <w:szCs w:val="20"/>
        </w:rPr>
        <w:t>NO PRESENTALA NOMINA CORRESPONDIENTE A LA QUINCENA DEL 1 AL 15 DE FEBRERO DEL 2025</w:t>
      </w:r>
      <w:r w:rsidR="004D5266" w:rsidRPr="0016487D">
        <w:rPr>
          <w:i/>
          <w:noProof/>
          <w:sz w:val="20"/>
          <w:szCs w:val="20"/>
        </w:rPr>
        <w:t xml:space="preserve">” </w:t>
      </w:r>
      <w:r w:rsidR="00C853D1" w:rsidRPr="0016487D">
        <w:rPr>
          <w:i/>
          <w:noProof/>
          <w:sz w:val="20"/>
          <w:szCs w:val="20"/>
        </w:rPr>
        <w:t>(Sic.)</w:t>
      </w:r>
    </w:p>
    <w:p w14:paraId="29F43CC4" w14:textId="77777777" w:rsidR="00C853D1" w:rsidRPr="0016487D" w:rsidRDefault="00C853D1" w:rsidP="00AE2352">
      <w:pPr>
        <w:spacing w:after="0" w:line="360" w:lineRule="auto"/>
        <w:ind w:left="567" w:right="567"/>
        <w:rPr>
          <w:i/>
          <w:noProof/>
          <w:sz w:val="20"/>
          <w:szCs w:val="20"/>
        </w:rPr>
      </w:pPr>
    </w:p>
    <w:p w14:paraId="0315AF57" w14:textId="77777777" w:rsidR="00AE2352" w:rsidRPr="0016487D" w:rsidRDefault="00AE2352" w:rsidP="00AE2352">
      <w:pPr>
        <w:spacing w:after="0" w:line="360" w:lineRule="auto"/>
        <w:ind w:left="567" w:right="567"/>
        <w:rPr>
          <w:i/>
          <w:noProof/>
          <w:sz w:val="20"/>
          <w:szCs w:val="20"/>
        </w:rPr>
      </w:pPr>
    </w:p>
    <w:p w14:paraId="19CBF35D" w14:textId="77777777" w:rsidR="00C853D1" w:rsidRPr="0016487D" w:rsidRDefault="00C853D1" w:rsidP="00AE2352">
      <w:pPr>
        <w:spacing w:after="0" w:line="360" w:lineRule="auto"/>
        <w:ind w:left="567" w:right="567"/>
        <w:rPr>
          <w:b/>
          <w:i/>
          <w:noProof/>
          <w:sz w:val="20"/>
          <w:szCs w:val="20"/>
        </w:rPr>
      </w:pPr>
      <w:r w:rsidRPr="0016487D">
        <w:rPr>
          <w:b/>
          <w:i/>
          <w:noProof/>
          <w:sz w:val="20"/>
          <w:szCs w:val="20"/>
        </w:rPr>
        <w:lastRenderedPageBreak/>
        <w:t>“RAZONES O MOTIVOS DE LA INCONFORMIDAD</w:t>
      </w:r>
    </w:p>
    <w:p w14:paraId="4043E730" w14:textId="5B78EACE" w:rsidR="00C853D1" w:rsidRPr="0016487D" w:rsidRDefault="00F735C1" w:rsidP="00AE2352">
      <w:pPr>
        <w:spacing w:after="0" w:line="360" w:lineRule="auto"/>
        <w:ind w:left="567" w:right="567"/>
        <w:rPr>
          <w:i/>
          <w:noProof/>
          <w:sz w:val="20"/>
          <w:szCs w:val="20"/>
        </w:rPr>
      </w:pPr>
      <w:r w:rsidRPr="0016487D">
        <w:rPr>
          <w:i/>
          <w:noProof/>
          <w:sz w:val="20"/>
          <w:szCs w:val="20"/>
        </w:rPr>
        <w:t>NO PRESENTALA NOMINA CORRESPONDIENTE A LA QUINCENA DEL 1 AL 15 DE FEBRERO DEL 2025</w:t>
      </w:r>
      <w:r w:rsidR="00C853D1" w:rsidRPr="0016487D">
        <w:rPr>
          <w:i/>
          <w:noProof/>
          <w:sz w:val="20"/>
          <w:szCs w:val="20"/>
        </w:rPr>
        <w:t>” (Sic.)</w:t>
      </w:r>
    </w:p>
    <w:p w14:paraId="08852F84" w14:textId="61722B8B" w:rsidR="00682222" w:rsidRPr="0016487D" w:rsidRDefault="00682222" w:rsidP="00AE2352">
      <w:pPr>
        <w:spacing w:after="0" w:line="360" w:lineRule="auto"/>
        <w:rPr>
          <w:noProof/>
        </w:rPr>
      </w:pPr>
    </w:p>
    <w:p w14:paraId="5CD0FCF6" w14:textId="5D92B2DA" w:rsidR="00C853D1" w:rsidRPr="0016487D" w:rsidRDefault="00C853D1" w:rsidP="00AE2352">
      <w:pPr>
        <w:pStyle w:val="Ttulo2"/>
        <w:spacing w:before="0" w:line="360" w:lineRule="auto"/>
        <w:rPr>
          <w:rFonts w:ascii="Palatino Linotype" w:hAnsi="Palatino Linotype"/>
          <w:b/>
          <w:bCs/>
          <w:noProof/>
          <w:color w:val="auto"/>
          <w:sz w:val="22"/>
          <w:szCs w:val="22"/>
        </w:rPr>
      </w:pPr>
      <w:bookmarkStart w:id="5" w:name="_Toc193363644"/>
      <w:r w:rsidRPr="0016487D">
        <w:rPr>
          <w:rFonts w:ascii="Palatino Linotype" w:hAnsi="Palatino Linotype"/>
          <w:b/>
          <w:bCs/>
          <w:noProof/>
          <w:color w:val="auto"/>
          <w:sz w:val="22"/>
          <w:szCs w:val="22"/>
        </w:rPr>
        <w:t>IV. Trámite del Recurso de Revisión ante este Instituto</w:t>
      </w:r>
      <w:bookmarkEnd w:id="5"/>
    </w:p>
    <w:p w14:paraId="58854E98" w14:textId="77777777" w:rsidR="00C853D1" w:rsidRPr="0016487D" w:rsidRDefault="00C853D1" w:rsidP="00AE2352">
      <w:pPr>
        <w:spacing w:after="0" w:line="360" w:lineRule="auto"/>
        <w:rPr>
          <w:b/>
          <w:bCs/>
          <w:noProof/>
        </w:rPr>
      </w:pPr>
    </w:p>
    <w:p w14:paraId="606E51DE" w14:textId="51EC2186" w:rsidR="00C853D1" w:rsidRPr="0016487D" w:rsidRDefault="00C853D1" w:rsidP="00AE2352">
      <w:pPr>
        <w:spacing w:after="0" w:line="360" w:lineRule="auto"/>
        <w:rPr>
          <w:bCs/>
          <w:noProof/>
        </w:rPr>
      </w:pPr>
      <w:bookmarkStart w:id="6" w:name="_Toc193363645"/>
      <w:r w:rsidRPr="0016487D">
        <w:rPr>
          <w:rStyle w:val="Ttulo2Car"/>
          <w:rFonts w:ascii="Palatino Linotype" w:hAnsi="Palatino Linotype"/>
          <w:b/>
          <w:bCs/>
          <w:noProof/>
          <w:color w:val="auto"/>
          <w:sz w:val="22"/>
          <w:szCs w:val="22"/>
        </w:rPr>
        <w:t>a) Turno del Medio de Impugnación.</w:t>
      </w:r>
      <w:bookmarkEnd w:id="6"/>
      <w:r w:rsidRPr="0016487D">
        <w:rPr>
          <w:b/>
          <w:bCs/>
          <w:noProof/>
          <w:color w:val="auto"/>
        </w:rPr>
        <w:t xml:space="preserve"> </w:t>
      </w:r>
      <w:r w:rsidRPr="0016487D">
        <w:rPr>
          <w:bCs/>
          <w:noProof/>
        </w:rPr>
        <w:t xml:space="preserve">El </w:t>
      </w:r>
      <w:r w:rsidR="00F735C1" w:rsidRPr="0016487D">
        <w:rPr>
          <w:bCs/>
          <w:noProof/>
        </w:rPr>
        <w:t>dieciocho</w:t>
      </w:r>
      <w:r w:rsidR="00675D6B" w:rsidRPr="0016487D">
        <w:rPr>
          <w:bCs/>
          <w:noProof/>
        </w:rPr>
        <w:t xml:space="preserve"> de </w:t>
      </w:r>
      <w:r w:rsidR="00F735C1" w:rsidRPr="0016487D">
        <w:rPr>
          <w:bCs/>
          <w:noProof/>
        </w:rPr>
        <w:t>marzo</w:t>
      </w:r>
      <w:r w:rsidR="002D759F" w:rsidRPr="0016487D">
        <w:rPr>
          <w:bCs/>
          <w:noProof/>
        </w:rPr>
        <w:t xml:space="preserve"> de dos mil veintic</w:t>
      </w:r>
      <w:r w:rsidR="00675D6B" w:rsidRPr="0016487D">
        <w:rPr>
          <w:bCs/>
          <w:noProof/>
        </w:rPr>
        <w:t>inco</w:t>
      </w:r>
      <w:r w:rsidRPr="0016487D">
        <w:rPr>
          <w:bCs/>
          <w:noProof/>
        </w:rPr>
        <w:t xml:space="preserve">, el </w:t>
      </w:r>
      <w:r w:rsidRPr="0016487D">
        <w:rPr>
          <w:noProof/>
        </w:rPr>
        <w:t>Sistema de Acceso a la Información Mexiquense (SAIMEX),</w:t>
      </w:r>
      <w:r w:rsidRPr="0016487D">
        <w:rPr>
          <w:bCs/>
          <w:noProof/>
        </w:rPr>
        <w:t xml:space="preserve"> asignó el número de expediente </w:t>
      </w:r>
      <w:r w:rsidR="00F735C1" w:rsidRPr="0016487D">
        <w:rPr>
          <w:b/>
          <w:bCs/>
          <w:noProof/>
        </w:rPr>
        <w:t>03221</w:t>
      </w:r>
      <w:r w:rsidR="00675D6B" w:rsidRPr="0016487D">
        <w:rPr>
          <w:b/>
          <w:bCs/>
          <w:noProof/>
        </w:rPr>
        <w:t>/INFOEM/IP/RR/2025</w:t>
      </w:r>
      <w:r w:rsidRPr="0016487D">
        <w:rPr>
          <w:bCs/>
          <w:noProof/>
        </w:rPr>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14:paraId="5F3FB31F" w14:textId="77777777" w:rsidR="00061A69" w:rsidRPr="0016487D" w:rsidRDefault="00061A69" w:rsidP="00AE2352">
      <w:pPr>
        <w:spacing w:after="0" w:line="360" w:lineRule="auto"/>
        <w:rPr>
          <w:b/>
          <w:bCs/>
          <w:noProof/>
        </w:rPr>
      </w:pPr>
    </w:p>
    <w:p w14:paraId="03479276" w14:textId="668A7470" w:rsidR="00C853D1" w:rsidRPr="0016487D" w:rsidRDefault="00C853D1" w:rsidP="00AE2352">
      <w:pPr>
        <w:spacing w:after="0" w:line="360" w:lineRule="auto"/>
        <w:rPr>
          <w:noProof/>
        </w:rPr>
      </w:pPr>
      <w:bookmarkStart w:id="7" w:name="_Toc193363646"/>
      <w:r w:rsidRPr="0016487D">
        <w:rPr>
          <w:rStyle w:val="Ttulo2Car"/>
          <w:rFonts w:ascii="Palatino Linotype" w:hAnsi="Palatino Linotype"/>
          <w:b/>
          <w:bCs/>
          <w:noProof/>
          <w:color w:val="auto"/>
          <w:sz w:val="22"/>
          <w:szCs w:val="22"/>
        </w:rPr>
        <w:t>b) Admisión del Recurso de Revisión.</w:t>
      </w:r>
      <w:bookmarkEnd w:id="7"/>
      <w:r w:rsidRPr="0016487D">
        <w:rPr>
          <w:b/>
          <w:bCs/>
          <w:noProof/>
          <w:color w:val="auto"/>
        </w:rPr>
        <w:t xml:space="preserve"> </w:t>
      </w:r>
      <w:r w:rsidRPr="0016487D">
        <w:rPr>
          <w:bCs/>
          <w:noProof/>
        </w:rPr>
        <w:t xml:space="preserve">El </w:t>
      </w:r>
      <w:r w:rsidR="00F735C1" w:rsidRPr="0016487D">
        <w:rPr>
          <w:bCs/>
          <w:noProof/>
        </w:rPr>
        <w:t>veintiuno</w:t>
      </w:r>
      <w:r w:rsidR="00413B5A" w:rsidRPr="0016487D">
        <w:rPr>
          <w:bCs/>
          <w:noProof/>
        </w:rPr>
        <w:t xml:space="preserve"> de </w:t>
      </w:r>
      <w:r w:rsidR="00F735C1" w:rsidRPr="0016487D">
        <w:rPr>
          <w:bCs/>
          <w:noProof/>
        </w:rPr>
        <w:t>marzo</w:t>
      </w:r>
      <w:r w:rsidR="007B7122" w:rsidRPr="0016487D">
        <w:rPr>
          <w:bCs/>
          <w:noProof/>
        </w:rPr>
        <w:t xml:space="preserve"> </w:t>
      </w:r>
      <w:r w:rsidR="002D759F" w:rsidRPr="0016487D">
        <w:rPr>
          <w:bCs/>
          <w:noProof/>
        </w:rPr>
        <w:t>de dos mil veinticinco</w:t>
      </w:r>
      <w:r w:rsidRPr="0016487D">
        <w:rPr>
          <w:bCs/>
          <w:noProof/>
        </w:rPr>
        <w:t xml:space="preserve">, se acordó la admisión del Recurso de Revisión interpuesto por </w:t>
      </w:r>
      <w:r w:rsidR="005B1631" w:rsidRPr="0016487D">
        <w:rPr>
          <w:bCs/>
          <w:noProof/>
        </w:rPr>
        <w:t>la</w:t>
      </w:r>
      <w:r w:rsidRPr="0016487D">
        <w:rPr>
          <w:bCs/>
          <w:noProof/>
        </w:rPr>
        <w:t xml:space="preserve"> Recurrente en contra del Sujeto Obligado, en términos del artículo 185, fracciones I y II de la Ley de Transparencia y Acceso a la Información Pública del Estado de México y Municipios, el cual fue notificado a las partes el </w:t>
      </w:r>
      <w:r w:rsidR="002D759F" w:rsidRPr="0016487D">
        <w:rPr>
          <w:bCs/>
          <w:noProof/>
        </w:rPr>
        <w:t>mismo día</w:t>
      </w:r>
      <w:r w:rsidRPr="0016487D">
        <w:rPr>
          <w:bCs/>
          <w:noProof/>
        </w:rPr>
        <w:t>, a través del Sistema de Acceso a la Información Mexiquense (SAIMEX), en el que se les otorgó un plazo de siete días hábiles posteriores a la misma, para que manifestaran lo que a su derecho conviniera y formularan alegatos.</w:t>
      </w:r>
    </w:p>
    <w:p w14:paraId="6BCA600D" w14:textId="77777777" w:rsidR="00C853D1" w:rsidRPr="0016487D" w:rsidRDefault="00C853D1" w:rsidP="00AE2352">
      <w:pPr>
        <w:spacing w:after="0" w:line="360" w:lineRule="auto"/>
        <w:rPr>
          <w:noProof/>
        </w:rPr>
      </w:pPr>
    </w:p>
    <w:p w14:paraId="7BB2ECE6" w14:textId="258468F9" w:rsidR="00C21871" w:rsidRPr="0016487D" w:rsidRDefault="003C3862" w:rsidP="00AE2352">
      <w:pPr>
        <w:spacing w:after="0" w:line="360" w:lineRule="auto"/>
        <w:rPr>
          <w:rFonts w:eastAsia="Palatino Linotype" w:cs="Palatino Linotype"/>
          <w:noProof/>
          <w:lang w:eastAsia="es-MX"/>
        </w:rPr>
      </w:pPr>
      <w:r w:rsidRPr="0016487D">
        <w:rPr>
          <w:rFonts w:eastAsia="Palatino Linotype" w:cs="Palatino Linotype"/>
          <w:b/>
          <w:noProof/>
          <w:color w:val="000000"/>
          <w:lang w:eastAsia="es-MX"/>
        </w:rPr>
        <w:t xml:space="preserve">c) </w:t>
      </w:r>
      <w:r w:rsidR="00F735C1" w:rsidRPr="0016487D">
        <w:rPr>
          <w:rFonts w:eastAsia="Palatino Linotype" w:cs="Palatino Linotype"/>
          <w:b/>
          <w:noProof/>
          <w:lang w:eastAsia="es-MX"/>
        </w:rPr>
        <w:t xml:space="preserve">Informe Justificado o manifestaciones. </w:t>
      </w:r>
      <w:r w:rsidR="00F735C1" w:rsidRPr="0016487D">
        <w:rPr>
          <w:rFonts w:eastAsia="Palatino Linotype" w:cs="Palatino Linotype"/>
          <w:noProof/>
          <w:lang w:eastAsia="es-MX"/>
        </w:rPr>
        <w:t>Las partes fueron omisas en emitir manifestaciones o alegatos.</w:t>
      </w:r>
    </w:p>
    <w:p w14:paraId="07CA1ACD" w14:textId="77777777" w:rsidR="003C3862" w:rsidRPr="0016487D" w:rsidRDefault="003C3862" w:rsidP="00AE2352">
      <w:pPr>
        <w:spacing w:after="0" w:line="360" w:lineRule="auto"/>
        <w:rPr>
          <w:rFonts w:eastAsia="Palatino Linotype" w:cs="Palatino Linotype"/>
          <w:b/>
          <w:bCs/>
          <w:noProof/>
        </w:rPr>
      </w:pPr>
    </w:p>
    <w:p w14:paraId="39328222" w14:textId="503DBA52" w:rsidR="004548CD" w:rsidRPr="0016487D" w:rsidRDefault="00E44BDB" w:rsidP="00AE2352">
      <w:pPr>
        <w:spacing w:after="0" w:line="360" w:lineRule="auto"/>
        <w:rPr>
          <w:rFonts w:eastAsia="Palatino Linotype" w:cs="Palatino Linotype"/>
          <w:b/>
          <w:bCs/>
          <w:noProof/>
        </w:rPr>
      </w:pPr>
      <w:bookmarkStart w:id="8" w:name="_Toc193363647"/>
      <w:r w:rsidRPr="0016487D">
        <w:rPr>
          <w:rStyle w:val="Ttulo2Car"/>
          <w:rFonts w:ascii="Palatino Linotype" w:hAnsi="Palatino Linotype"/>
          <w:b/>
          <w:bCs/>
          <w:noProof/>
          <w:color w:val="auto"/>
          <w:sz w:val="22"/>
          <w:szCs w:val="22"/>
        </w:rPr>
        <w:t>d</w:t>
      </w:r>
      <w:r w:rsidR="004548CD" w:rsidRPr="0016487D">
        <w:rPr>
          <w:rStyle w:val="Ttulo2Car"/>
          <w:rFonts w:ascii="Palatino Linotype" w:hAnsi="Palatino Linotype"/>
          <w:b/>
          <w:bCs/>
          <w:noProof/>
          <w:color w:val="auto"/>
          <w:sz w:val="22"/>
          <w:szCs w:val="22"/>
        </w:rPr>
        <w:t>) Cierre de instrucción.</w:t>
      </w:r>
      <w:bookmarkEnd w:id="8"/>
      <w:r w:rsidR="004548CD" w:rsidRPr="0016487D">
        <w:rPr>
          <w:rFonts w:eastAsia="Times New Roman" w:cs="Tahoma"/>
          <w:noProof/>
          <w:color w:val="auto"/>
          <w:szCs w:val="24"/>
          <w:lang w:eastAsia="es-ES"/>
        </w:rPr>
        <w:t xml:space="preserve"> El</w:t>
      </w:r>
      <w:r w:rsidR="00430DF1" w:rsidRPr="0016487D">
        <w:rPr>
          <w:rFonts w:eastAsia="Times New Roman" w:cs="Tahoma"/>
          <w:noProof/>
          <w:color w:val="auto"/>
          <w:szCs w:val="24"/>
          <w:lang w:eastAsia="es-ES"/>
        </w:rPr>
        <w:t xml:space="preserve"> </w:t>
      </w:r>
      <w:r w:rsidR="00460F56" w:rsidRPr="0016487D">
        <w:rPr>
          <w:rFonts w:eastAsia="Times New Roman" w:cs="Tahoma"/>
          <w:noProof/>
          <w:color w:val="auto"/>
          <w:szCs w:val="24"/>
          <w:lang w:eastAsia="es-ES"/>
        </w:rPr>
        <w:t>nueve</w:t>
      </w:r>
      <w:r w:rsidR="003C3862" w:rsidRPr="0016487D">
        <w:rPr>
          <w:rFonts w:eastAsia="Times New Roman" w:cs="Tahoma"/>
          <w:noProof/>
          <w:color w:val="auto"/>
          <w:szCs w:val="24"/>
          <w:lang w:eastAsia="es-ES"/>
        </w:rPr>
        <w:t xml:space="preserve"> de </w:t>
      </w:r>
      <w:r w:rsidR="00F735C1" w:rsidRPr="0016487D">
        <w:rPr>
          <w:rFonts w:eastAsia="Times New Roman" w:cs="Tahoma"/>
          <w:noProof/>
          <w:color w:val="auto"/>
          <w:szCs w:val="24"/>
          <w:lang w:eastAsia="es-ES"/>
        </w:rPr>
        <w:t>abril</w:t>
      </w:r>
      <w:r w:rsidR="00D41ED1" w:rsidRPr="0016487D">
        <w:rPr>
          <w:rFonts w:eastAsia="Times New Roman" w:cs="Tahoma"/>
          <w:noProof/>
          <w:color w:val="auto"/>
          <w:szCs w:val="24"/>
          <w:lang w:eastAsia="es-ES"/>
        </w:rPr>
        <w:t xml:space="preserve"> de dos mil veinticinco</w:t>
      </w:r>
      <w:r w:rsidR="004548CD" w:rsidRPr="0016487D">
        <w:rPr>
          <w:rFonts w:eastAsia="Times New Roman" w:cs="Tahoma"/>
          <w:noProof/>
          <w:color w:val="auto"/>
          <w:szCs w:val="24"/>
          <w:lang w:eastAsia="es-ES"/>
        </w:rPr>
        <w:t xml:space="preserve">, al no existir diligencias pendientes por desahogar, se emitió el acuerdo por medio del cual se declaró cerrada la instrucción y se determinó pasar los expedientes a resolución, en términos de lo dispuesto en </w:t>
      </w:r>
      <w:r w:rsidR="004548CD" w:rsidRPr="0016487D">
        <w:rPr>
          <w:rFonts w:eastAsia="Times New Roman" w:cs="Tahoma"/>
          <w:noProof/>
          <w:color w:val="auto"/>
          <w:szCs w:val="24"/>
          <w:lang w:eastAsia="es-ES"/>
        </w:rPr>
        <w:lastRenderedPageBreak/>
        <w:t xml:space="preserve">los artículos 185, fracciones VI y VIII, de la Ley de Transparencia y Acceso a la Información Pública del Estado de México y Municipios, </w:t>
      </w:r>
      <w:r w:rsidR="004548CD" w:rsidRPr="0016487D">
        <w:rPr>
          <w:rFonts w:eastAsia="Palatino Linotype" w:cs="Palatino Linotype"/>
          <w:noProof/>
        </w:rPr>
        <w:t>acto que fue notificado a las partes</w:t>
      </w:r>
      <w:r w:rsidR="00460F56" w:rsidRPr="0016487D">
        <w:rPr>
          <w:rFonts w:eastAsia="Palatino Linotype" w:cs="Palatino Linotype"/>
          <w:noProof/>
        </w:rPr>
        <w:t xml:space="preserve"> el día hábil siguinete</w:t>
      </w:r>
      <w:r w:rsidR="004548CD" w:rsidRPr="0016487D">
        <w:rPr>
          <w:rFonts w:eastAsia="Palatino Linotype" w:cs="Palatino Linotype"/>
          <w:noProof/>
        </w:rPr>
        <w:t>, mediante el Sistema de Acceso a la Información Mexiquense (SAIMEX).</w:t>
      </w:r>
    </w:p>
    <w:p w14:paraId="61B73302" w14:textId="77777777" w:rsidR="004548CD" w:rsidRPr="0016487D" w:rsidRDefault="004548CD" w:rsidP="00AE2352">
      <w:pPr>
        <w:spacing w:after="0" w:line="360" w:lineRule="auto"/>
        <w:rPr>
          <w:rFonts w:eastAsia="Times New Roman" w:cs="Tahoma"/>
          <w:noProof/>
          <w:color w:val="auto"/>
          <w:szCs w:val="24"/>
          <w:lang w:eastAsia="es-ES"/>
        </w:rPr>
      </w:pPr>
    </w:p>
    <w:p w14:paraId="5795BBB6" w14:textId="77777777" w:rsidR="00C853D1" w:rsidRPr="0016487D" w:rsidRDefault="00C853D1" w:rsidP="00AE2352">
      <w:pPr>
        <w:spacing w:after="0" w:line="360" w:lineRule="auto"/>
        <w:rPr>
          <w:rFonts w:eastAsia="Times New Roman" w:cs="Tahoma"/>
          <w:noProof/>
          <w:color w:val="auto"/>
          <w:szCs w:val="24"/>
          <w:lang w:eastAsia="es-ES"/>
        </w:rPr>
      </w:pPr>
      <w:r w:rsidRPr="0016487D">
        <w:rPr>
          <w:rFonts w:eastAsia="Times New Roman" w:cs="Tahoma"/>
          <w:noProof/>
          <w:color w:val="auto"/>
          <w:szCs w:val="24"/>
          <w:lang w:eastAsia="es-ES"/>
        </w:rPr>
        <w:t xml:space="preserve">En razón de que fue debidamente sustanciado e integrado el expediente electrónico y no existe diligencia pendiente de desahogo, se emite la resolución que conforme a Derecho proceda, de acuerdo a los siguientes: </w:t>
      </w:r>
    </w:p>
    <w:p w14:paraId="264F2B95" w14:textId="77777777" w:rsidR="00C853D1" w:rsidRPr="0016487D" w:rsidRDefault="00C853D1" w:rsidP="00AE2352">
      <w:pPr>
        <w:spacing w:after="0" w:line="360" w:lineRule="auto"/>
        <w:rPr>
          <w:rFonts w:eastAsia="Times New Roman" w:cs="Tahoma"/>
          <w:bCs/>
          <w:iCs/>
          <w:noProof/>
          <w:color w:val="auto"/>
          <w:lang w:eastAsia="es-ES"/>
        </w:rPr>
      </w:pPr>
    </w:p>
    <w:p w14:paraId="4647AD46" w14:textId="0724F475" w:rsidR="00C853D1" w:rsidRPr="0016487D" w:rsidRDefault="00C853D1" w:rsidP="00AE2352">
      <w:pPr>
        <w:pStyle w:val="Ttulo1"/>
        <w:spacing w:before="0" w:line="360" w:lineRule="auto"/>
        <w:jc w:val="center"/>
        <w:rPr>
          <w:rFonts w:ascii="Palatino Linotype" w:eastAsia="Times New Roman" w:hAnsi="Palatino Linotype"/>
          <w:b/>
          <w:bCs/>
          <w:noProof/>
          <w:color w:val="auto"/>
          <w:sz w:val="22"/>
          <w:szCs w:val="22"/>
          <w:lang w:eastAsia="es-ES"/>
        </w:rPr>
      </w:pPr>
      <w:bookmarkStart w:id="9" w:name="_Toc193363648"/>
      <w:r w:rsidRPr="0016487D">
        <w:rPr>
          <w:rFonts w:ascii="Palatino Linotype" w:eastAsia="Times New Roman" w:hAnsi="Palatino Linotype"/>
          <w:b/>
          <w:bCs/>
          <w:noProof/>
          <w:color w:val="auto"/>
          <w:sz w:val="22"/>
          <w:szCs w:val="22"/>
          <w:lang w:eastAsia="es-ES"/>
        </w:rPr>
        <w:t>C O N S I D E R A N D O S</w:t>
      </w:r>
      <w:bookmarkEnd w:id="9"/>
    </w:p>
    <w:p w14:paraId="46CF2E78" w14:textId="77777777" w:rsidR="00C853D1" w:rsidRPr="0016487D" w:rsidRDefault="00C853D1" w:rsidP="00AE2352">
      <w:pPr>
        <w:spacing w:after="0" w:line="360" w:lineRule="auto"/>
        <w:rPr>
          <w:b/>
          <w:noProof/>
        </w:rPr>
      </w:pPr>
    </w:p>
    <w:p w14:paraId="15369BD8" w14:textId="6B21B4E0" w:rsidR="00C853D1" w:rsidRPr="0016487D" w:rsidRDefault="00C853D1" w:rsidP="00AE2352">
      <w:pPr>
        <w:pStyle w:val="Ttulo2"/>
        <w:spacing w:before="0" w:line="360" w:lineRule="auto"/>
        <w:rPr>
          <w:rFonts w:ascii="Palatino Linotype" w:eastAsia="Times New Roman" w:hAnsi="Palatino Linotype"/>
          <w:b/>
          <w:bCs/>
          <w:noProof/>
          <w:color w:val="auto"/>
          <w:sz w:val="22"/>
          <w:szCs w:val="22"/>
          <w:lang w:eastAsia="es-ES"/>
        </w:rPr>
      </w:pPr>
      <w:bookmarkStart w:id="10" w:name="_Toc193363649"/>
      <w:r w:rsidRPr="0016487D">
        <w:rPr>
          <w:rFonts w:ascii="Palatino Linotype" w:eastAsia="Calibri" w:hAnsi="Palatino Linotype"/>
          <w:b/>
          <w:bCs/>
          <w:noProof/>
          <w:color w:val="auto"/>
          <w:sz w:val="22"/>
          <w:szCs w:val="22"/>
          <w:lang w:eastAsia="es-MX"/>
        </w:rPr>
        <w:t xml:space="preserve">PRIMERO. </w:t>
      </w:r>
      <w:r w:rsidRPr="0016487D">
        <w:rPr>
          <w:rFonts w:ascii="Palatino Linotype" w:eastAsia="Times New Roman" w:hAnsi="Palatino Linotype"/>
          <w:b/>
          <w:bCs/>
          <w:noProof/>
          <w:color w:val="auto"/>
          <w:sz w:val="22"/>
          <w:szCs w:val="22"/>
          <w:lang w:eastAsia="es-ES"/>
        </w:rPr>
        <w:t>Competencia</w:t>
      </w:r>
      <w:bookmarkEnd w:id="10"/>
    </w:p>
    <w:p w14:paraId="6B0576AC" w14:textId="77777777" w:rsidR="00C853D1" w:rsidRPr="0016487D" w:rsidRDefault="00C853D1" w:rsidP="00AE2352">
      <w:pPr>
        <w:autoSpaceDE w:val="0"/>
        <w:autoSpaceDN w:val="0"/>
        <w:adjustRightInd w:val="0"/>
        <w:spacing w:after="0" w:line="360" w:lineRule="auto"/>
        <w:rPr>
          <w:rFonts w:eastAsia="Times New Roman" w:cs="Tahoma"/>
          <w:b/>
          <w:noProof/>
          <w:color w:val="auto"/>
          <w:szCs w:val="24"/>
          <w:lang w:eastAsia="es-ES"/>
        </w:rPr>
      </w:pPr>
    </w:p>
    <w:p w14:paraId="4BA69015" w14:textId="2B16BD5E" w:rsidR="00C853D1" w:rsidRPr="0016487D" w:rsidRDefault="00C853D1" w:rsidP="00AE2352">
      <w:pPr>
        <w:spacing w:after="0" w:line="360" w:lineRule="auto"/>
        <w:rPr>
          <w:rFonts w:eastAsia="Times New Roman" w:cs="Tahoma"/>
          <w:bCs/>
          <w:noProof/>
          <w:color w:val="auto"/>
          <w:lang w:eastAsia="es-ES"/>
        </w:rPr>
      </w:pPr>
      <w:r w:rsidRPr="0016487D">
        <w:rPr>
          <w:rFonts w:eastAsia="Times New Roman" w:cs="Tahoma"/>
          <w:bCs/>
          <w:noProof/>
          <w:color w:val="auto"/>
          <w:lang w:eastAsia="es-ES"/>
        </w:rPr>
        <w:t>El Instituto de Transparencia, Acceso a la Información Pública y Protección de Datos Personales del Estado de México y Municipios, es competente para conocer y resolver el presente recurso de revisión interpuesto por la parte recurrente, conforme a lo disp</w:t>
      </w:r>
      <w:r w:rsidR="00D41ED1" w:rsidRPr="0016487D">
        <w:rPr>
          <w:rFonts w:eastAsia="Times New Roman" w:cs="Tahoma"/>
          <w:bCs/>
          <w:noProof/>
          <w:color w:val="auto"/>
          <w:lang w:eastAsia="es-ES"/>
        </w:rPr>
        <w:t xml:space="preserve">uesto en los artículos </w:t>
      </w:r>
      <w:r w:rsidRPr="0016487D">
        <w:rPr>
          <w:rFonts w:eastAsia="Times New Roman" w:cs="Tahoma"/>
          <w:bCs/>
          <w:noProof/>
          <w:color w:val="auto"/>
          <w:lang w:eastAsia="es-ES"/>
        </w:rPr>
        <w:t xml:space="preserve">5°, párrafos </w:t>
      </w:r>
      <w:r w:rsidR="00682222" w:rsidRPr="0016487D">
        <w:rPr>
          <w:rFonts w:eastAsia="Times New Roman" w:cs="Tahoma"/>
          <w:bCs/>
          <w:noProof/>
          <w:color w:val="auto"/>
          <w:lang w:eastAsia="es-ES"/>
        </w:rPr>
        <w:t>trigésimo</w:t>
      </w:r>
      <w:r w:rsidR="00127FD5" w:rsidRPr="0016487D">
        <w:rPr>
          <w:rFonts w:eastAsia="Times New Roman" w:cs="Tahoma"/>
          <w:bCs/>
          <w:noProof/>
          <w:color w:val="auto"/>
          <w:lang w:eastAsia="es-ES"/>
        </w:rPr>
        <w:t xml:space="preserve"> séptimo</w:t>
      </w:r>
      <w:r w:rsidR="00682222" w:rsidRPr="0016487D">
        <w:rPr>
          <w:rFonts w:eastAsia="Times New Roman" w:cs="Tahoma"/>
          <w:bCs/>
          <w:noProof/>
          <w:color w:val="auto"/>
          <w:lang w:eastAsia="es-ES"/>
        </w:rPr>
        <w:t xml:space="preserve">, trigésimo </w:t>
      </w:r>
      <w:r w:rsidR="00127FD5" w:rsidRPr="0016487D">
        <w:rPr>
          <w:rFonts w:eastAsia="Times New Roman" w:cs="Tahoma"/>
          <w:bCs/>
          <w:noProof/>
          <w:color w:val="auto"/>
          <w:lang w:eastAsia="es-ES"/>
        </w:rPr>
        <w:t>octavo</w:t>
      </w:r>
      <w:r w:rsidRPr="0016487D">
        <w:rPr>
          <w:rFonts w:eastAsia="Times New Roman" w:cs="Tahoma"/>
          <w:bCs/>
          <w:noProof/>
          <w:color w:val="auto"/>
          <w:lang w:eastAsia="es-ES"/>
        </w:rPr>
        <w:t xml:space="preserve"> y trigésimo </w:t>
      </w:r>
      <w:r w:rsidR="00127FD5" w:rsidRPr="0016487D">
        <w:rPr>
          <w:rFonts w:eastAsia="Times New Roman" w:cs="Tahoma"/>
          <w:bCs/>
          <w:noProof/>
          <w:color w:val="auto"/>
          <w:lang w:eastAsia="es-ES"/>
        </w:rPr>
        <w:t>noveno</w:t>
      </w:r>
      <w:r w:rsidRPr="0016487D">
        <w:rPr>
          <w:rFonts w:eastAsia="Times New Roman" w:cs="Tahoma"/>
          <w:bCs/>
          <w:noProof/>
          <w:color w:val="auto"/>
          <w:lang w:eastAsia="es-ES"/>
        </w:rPr>
        <w:t>,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w:t>
      </w:r>
      <w:r w:rsidRPr="0016487D">
        <w:rPr>
          <w:rFonts w:eastAsia="Times New Roman" w:cs="Times New Roman"/>
          <w:bCs/>
          <w:noProof/>
          <w:color w:val="auto"/>
          <w:lang w:eastAsia="es-ES"/>
        </w:rPr>
        <w:t xml:space="preserve"> 7°, </w:t>
      </w:r>
      <w:r w:rsidRPr="0016487D">
        <w:rPr>
          <w:rFonts w:eastAsia="Times New Roman" w:cs="Tahoma"/>
          <w:bCs/>
          <w:noProof/>
          <w:color w:val="auto"/>
          <w:lang w:eastAsia="es-ES"/>
        </w:rPr>
        <w:t>9°, fracciones I y XXIV y 11 del Reglamento Interior del Instituto de Transparencia, Acceso a la Información Pública y Protección de Datos Personales del Estado de México y Municipios.</w:t>
      </w:r>
    </w:p>
    <w:p w14:paraId="4FF2492C" w14:textId="77777777" w:rsidR="00C853D1" w:rsidRPr="0016487D" w:rsidRDefault="00C853D1" w:rsidP="00AE2352">
      <w:pPr>
        <w:spacing w:after="0" w:line="360" w:lineRule="auto"/>
        <w:rPr>
          <w:rFonts w:eastAsia="Times New Roman" w:cs="Tahoma"/>
          <w:bCs/>
          <w:noProof/>
          <w:color w:val="auto"/>
          <w:lang w:eastAsia="es-ES"/>
        </w:rPr>
      </w:pPr>
    </w:p>
    <w:p w14:paraId="1CEE0B22" w14:textId="35A40CD9" w:rsidR="00C853D1" w:rsidRPr="0016487D" w:rsidRDefault="00C853D1" w:rsidP="00AE2352">
      <w:pPr>
        <w:pStyle w:val="Ttulo2"/>
        <w:spacing w:before="0" w:line="360" w:lineRule="auto"/>
        <w:rPr>
          <w:rFonts w:ascii="Palatino Linotype" w:eastAsia="Times New Roman" w:hAnsi="Palatino Linotype"/>
          <w:b/>
          <w:bCs/>
          <w:noProof/>
          <w:color w:val="auto"/>
          <w:sz w:val="22"/>
          <w:szCs w:val="22"/>
          <w:lang w:eastAsia="es-ES"/>
        </w:rPr>
      </w:pPr>
      <w:bookmarkStart w:id="11" w:name="_Toc193363650"/>
      <w:r w:rsidRPr="0016487D">
        <w:rPr>
          <w:rFonts w:ascii="Palatino Linotype" w:eastAsia="Calibri" w:hAnsi="Palatino Linotype"/>
          <w:b/>
          <w:bCs/>
          <w:noProof/>
          <w:color w:val="auto"/>
          <w:sz w:val="22"/>
          <w:szCs w:val="22"/>
          <w:lang w:eastAsia="es-MX"/>
        </w:rPr>
        <w:t xml:space="preserve">SEGUNDO. </w:t>
      </w:r>
      <w:r w:rsidRPr="0016487D">
        <w:rPr>
          <w:rFonts w:ascii="Palatino Linotype" w:eastAsia="Times New Roman" w:hAnsi="Palatino Linotype"/>
          <w:b/>
          <w:bCs/>
          <w:noProof/>
          <w:color w:val="auto"/>
          <w:sz w:val="22"/>
          <w:szCs w:val="22"/>
          <w:lang w:eastAsia="es-ES"/>
        </w:rPr>
        <w:t>Causales de improcedencia y sobreseimiento</w:t>
      </w:r>
      <w:bookmarkEnd w:id="11"/>
    </w:p>
    <w:p w14:paraId="732DCB46" w14:textId="77777777" w:rsidR="00C853D1" w:rsidRPr="0016487D" w:rsidRDefault="00C853D1" w:rsidP="00AE2352">
      <w:pPr>
        <w:autoSpaceDE w:val="0"/>
        <w:autoSpaceDN w:val="0"/>
        <w:adjustRightInd w:val="0"/>
        <w:spacing w:after="0" w:line="360" w:lineRule="auto"/>
        <w:rPr>
          <w:rFonts w:eastAsia="Times New Roman" w:cs="Tahoma"/>
          <w:noProof/>
          <w:color w:val="auto"/>
          <w:szCs w:val="24"/>
          <w:lang w:eastAsia="es-ES"/>
        </w:rPr>
      </w:pPr>
    </w:p>
    <w:p w14:paraId="3EDC37E9" w14:textId="77777777" w:rsidR="00C853D1" w:rsidRPr="0016487D" w:rsidRDefault="00C853D1" w:rsidP="00AE2352">
      <w:pPr>
        <w:autoSpaceDE w:val="0"/>
        <w:autoSpaceDN w:val="0"/>
        <w:adjustRightInd w:val="0"/>
        <w:spacing w:after="0" w:line="360" w:lineRule="auto"/>
        <w:rPr>
          <w:rFonts w:eastAsia="Times New Roman" w:cs="Tahoma"/>
          <w:noProof/>
          <w:color w:val="auto"/>
          <w:szCs w:val="24"/>
          <w:lang w:eastAsia="es-ES"/>
        </w:rPr>
      </w:pPr>
      <w:r w:rsidRPr="0016487D">
        <w:rPr>
          <w:rFonts w:eastAsia="Times New Roman" w:cs="Tahoma"/>
          <w:noProof/>
          <w:color w:val="auto"/>
          <w:szCs w:val="24"/>
          <w:lang w:eastAsia="es-ES"/>
        </w:rPr>
        <w:t xml:space="preserve">De las constancias que forma parte del Recurso de Revisión que se analiza, se advierte que previo al estudio del fondo de la </w:t>
      </w:r>
      <w:r w:rsidRPr="0016487D">
        <w:rPr>
          <w:rFonts w:eastAsia="Times New Roman" w:cs="Tahoma"/>
          <w:i/>
          <w:noProof/>
          <w:color w:val="auto"/>
          <w:szCs w:val="24"/>
          <w:lang w:eastAsia="es-ES"/>
        </w:rPr>
        <w:t>litis</w:t>
      </w:r>
      <w:r w:rsidRPr="0016487D">
        <w:rPr>
          <w:rFonts w:eastAsia="Times New Roman" w:cs="Tahoma"/>
          <w:noProof/>
          <w:color w:val="auto"/>
          <w:szCs w:val="24"/>
          <w:lang w:eastAsia="es-ES"/>
        </w:rPr>
        <w:t>, es necesario estudiar las causales de improcedencia y sobreseimiento que se adviertan, para determinar lo que en Derecho proceda.</w:t>
      </w:r>
    </w:p>
    <w:p w14:paraId="2159CCAC" w14:textId="77777777" w:rsidR="00C853D1" w:rsidRPr="0016487D" w:rsidRDefault="00C853D1" w:rsidP="00AE2352">
      <w:pPr>
        <w:autoSpaceDE w:val="0"/>
        <w:autoSpaceDN w:val="0"/>
        <w:adjustRightInd w:val="0"/>
        <w:spacing w:after="0" w:line="360" w:lineRule="auto"/>
        <w:rPr>
          <w:rFonts w:eastAsia="Times New Roman" w:cs="Tahoma"/>
          <w:noProof/>
          <w:color w:val="auto"/>
          <w:szCs w:val="24"/>
          <w:lang w:eastAsia="es-ES"/>
        </w:rPr>
      </w:pPr>
    </w:p>
    <w:p w14:paraId="0D0DB2F6" w14:textId="6295E8CE" w:rsidR="00C853D1" w:rsidRPr="0016487D" w:rsidRDefault="00C853D1" w:rsidP="00AE2352">
      <w:pPr>
        <w:autoSpaceDE w:val="0"/>
        <w:autoSpaceDN w:val="0"/>
        <w:adjustRightInd w:val="0"/>
        <w:spacing w:after="0" w:line="360" w:lineRule="auto"/>
        <w:rPr>
          <w:rFonts w:eastAsia="Calibri" w:cs="Tahoma"/>
          <w:noProof/>
          <w:color w:val="000000"/>
          <w:szCs w:val="24"/>
          <w:lang w:eastAsia="es-MX"/>
        </w:rPr>
      </w:pPr>
      <w:r w:rsidRPr="0016487D">
        <w:rPr>
          <w:rFonts w:eastAsia="Calibri" w:cs="Tahoma"/>
          <w:b/>
          <w:noProof/>
          <w:color w:val="000000"/>
          <w:szCs w:val="24"/>
          <w:lang w:eastAsia="es-MX"/>
        </w:rPr>
        <w:t>Causales de improcedencia</w:t>
      </w:r>
    </w:p>
    <w:p w14:paraId="61973DFD" w14:textId="77777777" w:rsidR="00C853D1" w:rsidRPr="0016487D" w:rsidRDefault="00C853D1" w:rsidP="00AE2352">
      <w:pPr>
        <w:autoSpaceDE w:val="0"/>
        <w:autoSpaceDN w:val="0"/>
        <w:adjustRightInd w:val="0"/>
        <w:spacing w:after="0" w:line="360" w:lineRule="auto"/>
        <w:rPr>
          <w:rFonts w:eastAsia="Calibri" w:cs="Tahoma"/>
          <w:noProof/>
          <w:color w:val="000000"/>
          <w:szCs w:val="24"/>
          <w:lang w:eastAsia="es-MX"/>
        </w:rPr>
      </w:pPr>
    </w:p>
    <w:p w14:paraId="0231FCB7" w14:textId="77777777" w:rsidR="00C853D1" w:rsidRPr="0016487D" w:rsidRDefault="00C853D1" w:rsidP="00AE2352">
      <w:pPr>
        <w:autoSpaceDE w:val="0"/>
        <w:autoSpaceDN w:val="0"/>
        <w:adjustRightInd w:val="0"/>
        <w:spacing w:after="0" w:line="360" w:lineRule="auto"/>
        <w:rPr>
          <w:rFonts w:eastAsia="Calibri" w:cs="Tahoma"/>
          <w:noProof/>
          <w:color w:val="000000"/>
          <w:lang w:eastAsia="es-MX"/>
        </w:rPr>
      </w:pPr>
      <w:r w:rsidRPr="0016487D">
        <w:rPr>
          <w:rFonts w:eastAsia="Calibri" w:cs="Tahoma"/>
          <w:noProof/>
          <w:color w:val="000000"/>
          <w:lang w:eastAsia="es-MX"/>
        </w:rPr>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1a./J. 163/2005</w:t>
      </w:r>
      <w:r w:rsidRPr="0016487D">
        <w:rPr>
          <w:rFonts w:eastAsia="Calibri" w:cs="Tahoma"/>
          <w:b/>
          <w:bCs/>
          <w:noProof/>
          <w:color w:val="000000"/>
          <w:lang w:eastAsia="es-MX"/>
        </w:rPr>
        <w:t xml:space="preserve"> </w:t>
      </w:r>
      <w:r w:rsidRPr="0016487D">
        <w:rPr>
          <w:rFonts w:eastAsia="Calibri" w:cs="Tahoma"/>
          <w:noProof/>
          <w:color w:val="000000"/>
          <w:lang w:eastAsia="es-MX"/>
        </w:rPr>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14:paraId="52B897E0" w14:textId="77777777" w:rsidR="00C853D1" w:rsidRPr="0016487D" w:rsidRDefault="00C853D1" w:rsidP="00AE2352">
      <w:pPr>
        <w:autoSpaceDE w:val="0"/>
        <w:autoSpaceDN w:val="0"/>
        <w:adjustRightInd w:val="0"/>
        <w:spacing w:after="0" w:line="360" w:lineRule="auto"/>
        <w:rPr>
          <w:rFonts w:eastAsia="Calibri" w:cs="Tahoma"/>
          <w:noProof/>
          <w:color w:val="000000"/>
          <w:lang w:eastAsia="es-MX"/>
        </w:rPr>
      </w:pPr>
    </w:p>
    <w:p w14:paraId="42DBAD8B" w14:textId="1C879A30" w:rsidR="00C853D1" w:rsidRPr="0016487D" w:rsidRDefault="00C853D1" w:rsidP="00AE2352">
      <w:pPr>
        <w:autoSpaceDE w:val="0"/>
        <w:autoSpaceDN w:val="0"/>
        <w:adjustRightInd w:val="0"/>
        <w:spacing w:after="0" w:line="360" w:lineRule="auto"/>
        <w:rPr>
          <w:rFonts w:eastAsia="Calibri" w:cs="Tahoma"/>
          <w:noProof/>
          <w:color w:val="000000"/>
          <w:lang w:eastAsia="es-MX"/>
        </w:rPr>
      </w:pPr>
      <w:r w:rsidRPr="0016487D">
        <w:rPr>
          <w:rFonts w:eastAsia="Calibri" w:cs="Tahoma"/>
          <w:noProof/>
          <w:color w:val="000000"/>
          <w:lang w:eastAsia="es-MX"/>
        </w:rPr>
        <w:t xml:space="preserve">En el presente caso, </w:t>
      </w:r>
      <w:r w:rsidRPr="0016487D">
        <w:rPr>
          <w:rFonts w:eastAsia="Calibri" w:cs="Tahoma"/>
          <w:b/>
          <w:noProof/>
          <w:color w:val="000000"/>
          <w:lang w:eastAsia="es-MX"/>
        </w:rPr>
        <w:t>no se actualiza ninguna de las causales de improcedencia</w:t>
      </w:r>
      <w:r w:rsidRPr="0016487D">
        <w:rPr>
          <w:rFonts w:eastAsia="Calibri" w:cs="Tahoma"/>
          <w:noProof/>
          <w:color w:val="000000"/>
          <w:lang w:eastAsia="es-MX"/>
        </w:rPr>
        <w:t xml:space="preserve"> establecidas en el ordenamiento jurídico previamente señalado, toda vez que este Instituto no tiene conocimiento de que se encuentre en trámite algún medio de defensa presentado por </w:t>
      </w:r>
      <w:r w:rsidR="005B1631" w:rsidRPr="0016487D">
        <w:rPr>
          <w:rFonts w:eastAsia="Calibri" w:cs="Tahoma"/>
          <w:noProof/>
          <w:color w:val="000000"/>
          <w:lang w:eastAsia="es-MX"/>
        </w:rPr>
        <w:t xml:space="preserve">la </w:t>
      </w:r>
      <w:r w:rsidRPr="0016487D">
        <w:rPr>
          <w:rFonts w:eastAsia="Calibri" w:cs="Tahoma"/>
          <w:noProof/>
          <w:color w:val="000000"/>
          <w:lang w:eastAsia="es-MX"/>
        </w:rPr>
        <w:t>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14:paraId="24BC7EC0" w14:textId="77777777" w:rsidR="00AE2352" w:rsidRPr="0016487D" w:rsidRDefault="00AE2352" w:rsidP="00AE2352">
      <w:pPr>
        <w:spacing w:after="0" w:line="360" w:lineRule="auto"/>
        <w:rPr>
          <w:rFonts w:eastAsia="Times New Roman" w:cs="Tahoma"/>
          <w:noProof/>
          <w:color w:val="auto"/>
          <w:lang w:eastAsia="es-ES"/>
        </w:rPr>
      </w:pPr>
    </w:p>
    <w:p w14:paraId="3577CA43" w14:textId="79073656" w:rsidR="00C853D1" w:rsidRPr="0016487D" w:rsidRDefault="00DD116F" w:rsidP="00AE2352">
      <w:pPr>
        <w:spacing w:after="0" w:line="360" w:lineRule="auto"/>
        <w:rPr>
          <w:rFonts w:eastAsia="Calibri" w:cs="Tahoma"/>
          <w:noProof/>
          <w:color w:val="000000"/>
          <w:lang w:eastAsia="es-MX"/>
        </w:rPr>
      </w:pPr>
      <w:r w:rsidRPr="0016487D">
        <w:rPr>
          <w:rFonts w:eastAsia="Times New Roman" w:cs="Tahoma"/>
          <w:noProof/>
          <w:color w:val="auto"/>
          <w:lang w:eastAsia="es-ES"/>
        </w:rPr>
        <w:t xml:space="preserve">Asimismo, </w:t>
      </w:r>
      <w:r w:rsidR="00C853D1" w:rsidRPr="0016487D">
        <w:rPr>
          <w:rFonts w:eastAsia="Times New Roman" w:cs="Tahoma"/>
          <w:noProof/>
          <w:color w:val="auto"/>
          <w:lang w:eastAsia="es-ES"/>
        </w:rPr>
        <w:t>se actualiza la causal de procedencia del Recurso de Revisión señalada en el artículo 179, fracc</w:t>
      </w:r>
      <w:r w:rsidR="00A364DB" w:rsidRPr="0016487D">
        <w:rPr>
          <w:rFonts w:eastAsia="Times New Roman" w:cs="Tahoma"/>
          <w:noProof/>
          <w:color w:val="auto"/>
          <w:lang w:eastAsia="es-ES"/>
        </w:rPr>
        <w:t xml:space="preserve">ión </w:t>
      </w:r>
      <w:r w:rsidR="00F80F48" w:rsidRPr="0016487D">
        <w:rPr>
          <w:rFonts w:eastAsia="Times New Roman" w:cs="Tahoma"/>
          <w:noProof/>
          <w:color w:val="auto"/>
          <w:lang w:eastAsia="es-ES"/>
        </w:rPr>
        <w:t>V</w:t>
      </w:r>
      <w:r w:rsidR="00682222" w:rsidRPr="0016487D">
        <w:rPr>
          <w:rFonts w:eastAsia="Times New Roman" w:cs="Tahoma"/>
          <w:noProof/>
          <w:color w:val="auto"/>
          <w:lang w:eastAsia="es-ES"/>
        </w:rPr>
        <w:t>,</w:t>
      </w:r>
      <w:r w:rsidR="00C853D1" w:rsidRPr="0016487D">
        <w:rPr>
          <w:rFonts w:eastAsia="Times New Roman" w:cs="Tahoma"/>
          <w:noProof/>
          <w:color w:val="auto"/>
          <w:lang w:eastAsia="es-ES"/>
        </w:rPr>
        <w:t xml:space="preserve"> de la Ley en cita, </w:t>
      </w:r>
      <w:r w:rsidR="00C853D1" w:rsidRPr="0016487D">
        <w:rPr>
          <w:rFonts w:eastAsia="Calibri" w:cs="Tahoma"/>
          <w:noProof/>
          <w:color w:val="000000"/>
          <w:lang w:eastAsia="es-MX"/>
        </w:rPr>
        <w:t>pues la Recurrente se inconformó</w:t>
      </w:r>
      <w:r w:rsidR="00D85A7D" w:rsidRPr="0016487D">
        <w:rPr>
          <w:rFonts w:eastAsia="Calibri" w:cs="Tahoma"/>
          <w:noProof/>
          <w:color w:val="000000"/>
          <w:lang w:eastAsia="es-MX"/>
        </w:rPr>
        <w:t xml:space="preserve"> </w:t>
      </w:r>
      <w:r w:rsidR="00F80F48" w:rsidRPr="0016487D">
        <w:rPr>
          <w:rFonts w:eastAsia="Calibri" w:cs="Tahoma"/>
          <w:noProof/>
          <w:color w:val="000000"/>
          <w:lang w:eastAsia="es-MX"/>
        </w:rPr>
        <w:t xml:space="preserve">con la entrega de información </w:t>
      </w:r>
      <w:r w:rsidR="009B426E" w:rsidRPr="0016487D">
        <w:rPr>
          <w:rFonts w:eastAsia="Calibri" w:cs="Tahoma"/>
          <w:noProof/>
          <w:color w:val="000000"/>
          <w:lang w:eastAsia="es-MX"/>
        </w:rPr>
        <w:t>incomplet</w:t>
      </w:r>
      <w:r w:rsidR="00A364DB" w:rsidRPr="0016487D">
        <w:rPr>
          <w:rFonts w:eastAsia="Calibri" w:cs="Tahoma"/>
          <w:noProof/>
          <w:color w:val="000000"/>
          <w:lang w:eastAsia="es-MX"/>
        </w:rPr>
        <w:t xml:space="preserve">a. </w:t>
      </w:r>
    </w:p>
    <w:p w14:paraId="4F68954C" w14:textId="77777777" w:rsidR="006A0724" w:rsidRPr="0016487D" w:rsidRDefault="006A0724" w:rsidP="00AE2352">
      <w:pPr>
        <w:spacing w:after="0" w:line="360" w:lineRule="auto"/>
        <w:rPr>
          <w:rFonts w:eastAsia="Calibri" w:cs="Tahoma"/>
          <w:noProof/>
          <w:color w:val="000000"/>
          <w:lang w:eastAsia="es-MX"/>
        </w:rPr>
      </w:pPr>
    </w:p>
    <w:p w14:paraId="4F973625" w14:textId="78CB7BF9" w:rsidR="00C853D1" w:rsidRPr="0016487D" w:rsidRDefault="00C853D1" w:rsidP="00AE2352">
      <w:pPr>
        <w:spacing w:after="0" w:line="360" w:lineRule="auto"/>
        <w:rPr>
          <w:rFonts w:eastAsia="Times New Roman" w:cs="Tahoma"/>
          <w:b/>
          <w:bCs/>
          <w:noProof/>
          <w:color w:val="auto"/>
          <w:lang w:eastAsia="es-ES"/>
        </w:rPr>
      </w:pPr>
      <w:r w:rsidRPr="0016487D">
        <w:rPr>
          <w:rFonts w:eastAsia="Times New Roman" w:cs="Tahoma"/>
          <w:b/>
          <w:bCs/>
          <w:noProof/>
          <w:color w:val="auto"/>
          <w:lang w:eastAsia="es-ES"/>
        </w:rPr>
        <w:t>Causales de sobreseimiento</w:t>
      </w:r>
    </w:p>
    <w:p w14:paraId="3FF75C55" w14:textId="77777777" w:rsidR="00CD573E" w:rsidRPr="0016487D" w:rsidRDefault="00CD573E" w:rsidP="00AE2352">
      <w:pPr>
        <w:spacing w:after="0" w:line="360" w:lineRule="auto"/>
        <w:rPr>
          <w:rFonts w:eastAsia="Times New Roman" w:cs="Tahoma"/>
          <w:b/>
          <w:bCs/>
          <w:noProof/>
          <w:color w:val="auto"/>
          <w:lang w:eastAsia="es-ES"/>
        </w:rPr>
      </w:pPr>
    </w:p>
    <w:p w14:paraId="77050B85" w14:textId="77777777" w:rsidR="00C853D1" w:rsidRPr="0016487D" w:rsidRDefault="00C853D1" w:rsidP="00AE2352">
      <w:pPr>
        <w:spacing w:after="0" w:line="360" w:lineRule="auto"/>
        <w:rPr>
          <w:rFonts w:eastAsia="Times New Roman" w:cs="Tahoma"/>
          <w:noProof/>
          <w:color w:val="auto"/>
          <w:szCs w:val="24"/>
          <w:lang w:eastAsia="es-ES"/>
        </w:rPr>
      </w:pPr>
      <w:r w:rsidRPr="0016487D">
        <w:rPr>
          <w:rFonts w:eastAsia="Times New Roman" w:cs="Tahoma"/>
          <w:noProof/>
          <w:color w:val="auto"/>
          <w:szCs w:val="24"/>
          <w:lang w:eastAsia="es-ES"/>
        </w:rPr>
        <w:t>Por ser de previo y especial pronunciamiento, este Instituto analiza si se actualiza alguna causal de sobreseimiento.</w:t>
      </w:r>
    </w:p>
    <w:p w14:paraId="1797E49B" w14:textId="77777777" w:rsidR="00C853D1" w:rsidRPr="0016487D" w:rsidRDefault="00C853D1" w:rsidP="00AE2352">
      <w:pPr>
        <w:spacing w:after="0" w:line="360" w:lineRule="auto"/>
        <w:rPr>
          <w:rFonts w:eastAsia="Times New Roman" w:cs="Tahoma"/>
          <w:noProof/>
          <w:color w:val="auto"/>
          <w:szCs w:val="24"/>
          <w:lang w:eastAsia="es-ES"/>
        </w:rPr>
      </w:pPr>
    </w:p>
    <w:p w14:paraId="3929C861" w14:textId="79ED2BC0" w:rsidR="00C853D1" w:rsidRPr="0016487D" w:rsidRDefault="00C853D1" w:rsidP="00AE2352">
      <w:pPr>
        <w:spacing w:after="0" w:line="360" w:lineRule="auto"/>
        <w:rPr>
          <w:rFonts w:eastAsia="Times New Roman" w:cs="Tahoma"/>
          <w:noProof/>
          <w:color w:val="auto"/>
          <w:szCs w:val="24"/>
          <w:lang w:eastAsia="es-ES"/>
        </w:rPr>
      </w:pPr>
      <w:r w:rsidRPr="0016487D">
        <w:rPr>
          <w:rFonts w:eastAsia="Times New Roman" w:cs="Tahoma"/>
          <w:noProof/>
          <w:color w:val="auto"/>
          <w:szCs w:val="24"/>
          <w:lang w:eastAsia="es-ES"/>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w:t>
      </w:r>
      <w:r w:rsidR="005B1631" w:rsidRPr="0016487D">
        <w:rPr>
          <w:rFonts w:eastAsia="Times New Roman" w:cs="Tahoma"/>
          <w:noProof/>
          <w:color w:val="auto"/>
          <w:szCs w:val="24"/>
          <w:lang w:eastAsia="es-ES"/>
        </w:rPr>
        <w:t>la</w:t>
      </w:r>
      <w:r w:rsidRPr="0016487D">
        <w:rPr>
          <w:rFonts w:eastAsia="Times New Roman" w:cs="Tahoma"/>
          <w:noProof/>
          <w:color w:val="auto"/>
          <w:szCs w:val="24"/>
          <w:lang w:eastAsia="es-ES"/>
        </w:rPr>
        <w:t xml:space="preserve"> Recurrente se haya desistido del recurso, haya fallecido, sobreviniera alguna causal de improcedencia, que el Sujeto Obligado hubiese modificado o revocado el acto impugnado o bien, haya quedado sin materia.</w:t>
      </w:r>
    </w:p>
    <w:p w14:paraId="12F90250" w14:textId="77777777" w:rsidR="00C853D1" w:rsidRPr="0016487D" w:rsidRDefault="00C853D1" w:rsidP="00AE2352">
      <w:pPr>
        <w:spacing w:after="0" w:line="360" w:lineRule="auto"/>
        <w:rPr>
          <w:rFonts w:eastAsia="Times New Roman" w:cs="Tahoma"/>
          <w:noProof/>
          <w:color w:val="auto"/>
          <w:szCs w:val="24"/>
          <w:lang w:eastAsia="es-ES"/>
        </w:rPr>
      </w:pPr>
    </w:p>
    <w:p w14:paraId="75DA7F11" w14:textId="77777777" w:rsidR="00C853D1" w:rsidRPr="0016487D" w:rsidRDefault="00C853D1" w:rsidP="00AE2352">
      <w:pPr>
        <w:spacing w:after="0" w:line="360" w:lineRule="auto"/>
        <w:rPr>
          <w:rFonts w:eastAsia="Times New Roman" w:cs="Tahoma"/>
          <w:noProof/>
          <w:color w:val="auto"/>
          <w:szCs w:val="24"/>
          <w:lang w:eastAsia="es-ES"/>
        </w:rPr>
      </w:pPr>
      <w:r w:rsidRPr="0016487D">
        <w:rPr>
          <w:rFonts w:eastAsia="Times New Roman" w:cs="Tahoma"/>
          <w:bCs/>
          <w:noProof/>
          <w:color w:val="auto"/>
          <w:szCs w:val="24"/>
          <w:lang w:eastAsia="es-ES"/>
        </w:rPr>
        <w:t xml:space="preserve">Por tales motivos, </w:t>
      </w:r>
      <w:r w:rsidRPr="0016487D">
        <w:rPr>
          <w:rFonts w:eastAsia="Times New Roman" w:cs="Tahoma"/>
          <w:noProof/>
          <w:color w:val="auto"/>
          <w:szCs w:val="24"/>
          <w:lang w:eastAsia="es-ES"/>
        </w:rPr>
        <w:t>se considera procedente entrar al fondo del presente asunto.</w:t>
      </w:r>
    </w:p>
    <w:p w14:paraId="5A499E5E" w14:textId="77777777" w:rsidR="00C853D1" w:rsidRPr="0016487D" w:rsidRDefault="00C853D1" w:rsidP="00AE2352">
      <w:pPr>
        <w:spacing w:after="0" w:line="360" w:lineRule="auto"/>
        <w:rPr>
          <w:noProof/>
        </w:rPr>
      </w:pPr>
    </w:p>
    <w:p w14:paraId="554D6B44" w14:textId="472852E0" w:rsidR="00C853D1" w:rsidRPr="0016487D" w:rsidRDefault="00C853D1" w:rsidP="00AE2352">
      <w:pPr>
        <w:pStyle w:val="Ttulo2"/>
        <w:spacing w:before="0" w:line="360" w:lineRule="auto"/>
        <w:rPr>
          <w:rFonts w:ascii="Palatino Linotype" w:eastAsia="Times New Roman" w:hAnsi="Palatino Linotype"/>
          <w:b/>
          <w:bCs/>
          <w:noProof/>
          <w:color w:val="auto"/>
          <w:sz w:val="22"/>
          <w:szCs w:val="22"/>
          <w:lang w:eastAsia="es-ES"/>
        </w:rPr>
      </w:pPr>
      <w:bookmarkStart w:id="12" w:name="_Toc193363651"/>
      <w:r w:rsidRPr="0016487D">
        <w:rPr>
          <w:rFonts w:ascii="Palatino Linotype" w:eastAsia="Times New Roman" w:hAnsi="Palatino Linotype"/>
          <w:b/>
          <w:bCs/>
          <w:noProof/>
          <w:color w:val="auto"/>
          <w:sz w:val="22"/>
          <w:szCs w:val="22"/>
          <w:lang w:eastAsia="es-ES"/>
        </w:rPr>
        <w:t>TERCERO. Determinación de la Controversia</w:t>
      </w:r>
      <w:bookmarkEnd w:id="12"/>
    </w:p>
    <w:p w14:paraId="1618F7DB" w14:textId="77777777" w:rsidR="00C853D1" w:rsidRPr="0016487D" w:rsidRDefault="00C853D1" w:rsidP="00AE2352">
      <w:pPr>
        <w:autoSpaceDE w:val="0"/>
        <w:autoSpaceDN w:val="0"/>
        <w:adjustRightInd w:val="0"/>
        <w:spacing w:after="0" w:line="360" w:lineRule="auto"/>
        <w:rPr>
          <w:rFonts w:eastAsia="Calibri" w:cs="Tahoma"/>
          <w:noProof/>
          <w:color w:val="000000"/>
          <w:szCs w:val="24"/>
          <w:lang w:eastAsia="es-MX"/>
        </w:rPr>
      </w:pPr>
    </w:p>
    <w:p w14:paraId="537DF591" w14:textId="77777777" w:rsidR="00AE2352" w:rsidRPr="0016487D" w:rsidRDefault="00CD573E" w:rsidP="00AE2352">
      <w:pPr>
        <w:autoSpaceDE w:val="0"/>
        <w:autoSpaceDN w:val="0"/>
        <w:adjustRightInd w:val="0"/>
        <w:spacing w:after="0" w:line="360" w:lineRule="auto"/>
        <w:rPr>
          <w:rFonts w:eastAsia="Calibri" w:cs="Tahoma"/>
          <w:noProof/>
          <w:color w:val="000000"/>
          <w:szCs w:val="24"/>
          <w:lang w:eastAsia="es-MX"/>
        </w:rPr>
      </w:pPr>
      <w:r w:rsidRPr="0016487D">
        <w:rPr>
          <w:rFonts w:eastAsia="Calibri" w:cs="Tahoma"/>
          <w:noProof/>
          <w:color w:val="000000"/>
          <w:szCs w:val="24"/>
          <w:lang w:eastAsia="es-MX"/>
        </w:rPr>
        <w:t>Una vez realizado el estudio de las constancias que obran en el expediente electrónico en el que se actúa, se advierte</w:t>
      </w:r>
      <w:r w:rsidR="00722C8D" w:rsidRPr="0016487D">
        <w:rPr>
          <w:rFonts w:eastAsia="Calibri" w:cs="Tahoma"/>
          <w:noProof/>
          <w:color w:val="000000"/>
          <w:szCs w:val="24"/>
          <w:lang w:eastAsia="es-MX"/>
        </w:rPr>
        <w:t xml:space="preserve"> </w:t>
      </w:r>
      <w:r w:rsidR="00A364DB" w:rsidRPr="0016487D">
        <w:rPr>
          <w:rFonts w:eastAsia="Calibri" w:cs="Tahoma"/>
          <w:noProof/>
          <w:color w:val="000000"/>
          <w:szCs w:val="24"/>
          <w:lang w:eastAsia="es-MX"/>
        </w:rPr>
        <w:t>que el Recurrente requirió</w:t>
      </w:r>
      <w:r w:rsidR="00AE2352" w:rsidRPr="0016487D">
        <w:rPr>
          <w:rFonts w:eastAsia="Calibri" w:cs="Tahoma"/>
          <w:noProof/>
          <w:color w:val="000000"/>
          <w:szCs w:val="24"/>
          <w:lang w:eastAsia="es-MX"/>
        </w:rPr>
        <w:t>:</w:t>
      </w:r>
    </w:p>
    <w:p w14:paraId="7137C60F" w14:textId="77777777" w:rsidR="00AE2352" w:rsidRPr="0016487D" w:rsidRDefault="00AE2352" w:rsidP="00AE2352">
      <w:pPr>
        <w:autoSpaceDE w:val="0"/>
        <w:autoSpaceDN w:val="0"/>
        <w:adjustRightInd w:val="0"/>
        <w:spacing w:after="0" w:line="360" w:lineRule="auto"/>
        <w:rPr>
          <w:rFonts w:eastAsia="Calibri" w:cs="Tahoma"/>
          <w:noProof/>
          <w:color w:val="000000"/>
          <w:szCs w:val="24"/>
          <w:lang w:eastAsia="es-MX"/>
        </w:rPr>
      </w:pPr>
    </w:p>
    <w:p w14:paraId="2301CA4F" w14:textId="77777777" w:rsidR="00AE2352" w:rsidRPr="0016487D" w:rsidRDefault="00AE2352" w:rsidP="00AE2352">
      <w:pPr>
        <w:pStyle w:val="Prrafodelista"/>
        <w:numPr>
          <w:ilvl w:val="0"/>
          <w:numId w:val="9"/>
        </w:numPr>
        <w:autoSpaceDE w:val="0"/>
        <w:autoSpaceDN w:val="0"/>
        <w:adjustRightInd w:val="0"/>
        <w:spacing w:line="360" w:lineRule="auto"/>
        <w:rPr>
          <w:rFonts w:eastAsia="Calibri" w:cs="Tahoma"/>
          <w:noProof/>
          <w:color w:val="000000"/>
          <w:lang w:eastAsia="es-MX"/>
        </w:rPr>
      </w:pPr>
      <w:r w:rsidRPr="0016487D">
        <w:rPr>
          <w:rFonts w:eastAsia="Calibri" w:cs="Tahoma"/>
          <w:noProof/>
          <w:color w:val="000000"/>
          <w:lang w:eastAsia="es-MX"/>
        </w:rPr>
        <w:t>L</w:t>
      </w:r>
      <w:r w:rsidR="00395C10" w:rsidRPr="0016487D">
        <w:rPr>
          <w:rFonts w:eastAsia="Calibri" w:cs="Tahoma"/>
          <w:noProof/>
          <w:color w:val="000000"/>
          <w:lang w:eastAsia="es-MX"/>
        </w:rPr>
        <w:t xml:space="preserve">os </w:t>
      </w:r>
      <w:r w:rsidRPr="0016487D">
        <w:rPr>
          <w:rFonts w:eastAsia="Calibri" w:cs="Tahoma"/>
          <w:noProof/>
          <w:color w:val="000000"/>
          <w:lang w:eastAsia="es-MX"/>
        </w:rPr>
        <w:t>C</w:t>
      </w:r>
      <w:r w:rsidR="00395C10" w:rsidRPr="0016487D">
        <w:rPr>
          <w:rFonts w:eastAsia="Calibri" w:cs="Tahoma"/>
          <w:noProof/>
          <w:color w:val="000000"/>
          <w:lang w:eastAsia="es-MX"/>
        </w:rPr>
        <w:t xml:space="preserve">onvenios </w:t>
      </w:r>
      <w:r w:rsidRPr="0016487D">
        <w:rPr>
          <w:rFonts w:eastAsia="Calibri" w:cs="Tahoma"/>
          <w:noProof/>
          <w:color w:val="000000"/>
          <w:lang w:eastAsia="es-MX"/>
        </w:rPr>
        <w:t>S</w:t>
      </w:r>
      <w:r w:rsidR="00395C10" w:rsidRPr="0016487D">
        <w:rPr>
          <w:rFonts w:eastAsia="Calibri" w:cs="Tahoma"/>
          <w:noProof/>
          <w:color w:val="000000"/>
          <w:lang w:eastAsia="es-MX"/>
        </w:rPr>
        <w:t>indicales de dos mil veintiuno a dos mil veinticuatro</w:t>
      </w:r>
      <w:r w:rsidRPr="0016487D">
        <w:rPr>
          <w:rFonts w:eastAsia="Calibri" w:cs="Tahoma"/>
          <w:noProof/>
          <w:color w:val="000000"/>
          <w:lang w:eastAsia="es-MX"/>
        </w:rPr>
        <w:t>;</w:t>
      </w:r>
    </w:p>
    <w:p w14:paraId="678AAA22" w14:textId="77777777" w:rsidR="00AE2352" w:rsidRPr="0016487D" w:rsidRDefault="00AE2352" w:rsidP="00AE2352">
      <w:pPr>
        <w:pStyle w:val="Prrafodelista"/>
        <w:numPr>
          <w:ilvl w:val="0"/>
          <w:numId w:val="9"/>
        </w:numPr>
        <w:autoSpaceDE w:val="0"/>
        <w:autoSpaceDN w:val="0"/>
        <w:adjustRightInd w:val="0"/>
        <w:spacing w:line="360" w:lineRule="auto"/>
        <w:rPr>
          <w:rFonts w:eastAsia="Calibri" w:cs="Tahoma"/>
          <w:noProof/>
          <w:color w:val="000000"/>
          <w:lang w:eastAsia="es-MX"/>
        </w:rPr>
      </w:pPr>
      <w:r w:rsidRPr="0016487D">
        <w:rPr>
          <w:rFonts w:eastAsia="Calibri" w:cs="Tahoma"/>
          <w:noProof/>
          <w:color w:val="000000"/>
          <w:lang w:eastAsia="es-MX"/>
        </w:rPr>
        <w:t>El t</w:t>
      </w:r>
      <w:r w:rsidR="00395C10" w:rsidRPr="0016487D">
        <w:rPr>
          <w:rFonts w:eastAsia="Calibri" w:cs="Tahoma"/>
          <w:noProof/>
          <w:color w:val="000000"/>
          <w:lang w:eastAsia="es-MX"/>
        </w:rPr>
        <w:t>abulador de sueldos y salarios de</w:t>
      </w:r>
      <w:r w:rsidRPr="0016487D">
        <w:rPr>
          <w:rFonts w:eastAsia="Calibri" w:cs="Tahoma"/>
          <w:noProof/>
          <w:color w:val="000000"/>
          <w:lang w:eastAsia="es-MX"/>
        </w:rPr>
        <w:t>l ejercicio fiscal</w:t>
      </w:r>
      <w:r w:rsidR="00395C10" w:rsidRPr="0016487D">
        <w:rPr>
          <w:rFonts w:eastAsia="Calibri" w:cs="Tahoma"/>
          <w:noProof/>
          <w:color w:val="000000"/>
          <w:lang w:eastAsia="es-MX"/>
        </w:rPr>
        <w:t xml:space="preserve"> dos mil veinticuatro y </w:t>
      </w:r>
      <w:r w:rsidRPr="0016487D">
        <w:rPr>
          <w:rFonts w:eastAsia="Calibri" w:cs="Tahoma"/>
          <w:noProof/>
          <w:color w:val="000000"/>
          <w:lang w:eastAsia="es-MX"/>
        </w:rPr>
        <w:t xml:space="preserve">del </w:t>
      </w:r>
      <w:r w:rsidR="00395C10" w:rsidRPr="0016487D">
        <w:rPr>
          <w:rFonts w:eastAsia="Calibri" w:cs="Tahoma"/>
          <w:noProof/>
          <w:color w:val="000000"/>
          <w:lang w:eastAsia="es-MX"/>
        </w:rPr>
        <w:t xml:space="preserve">dos mil </w:t>
      </w:r>
      <w:r w:rsidR="00747E6F" w:rsidRPr="0016487D">
        <w:rPr>
          <w:rFonts w:eastAsia="Calibri" w:cs="Tahoma"/>
          <w:noProof/>
          <w:color w:val="000000"/>
          <w:lang w:eastAsia="es-MX"/>
        </w:rPr>
        <w:t>veinticinco</w:t>
      </w:r>
      <w:r w:rsidRPr="0016487D">
        <w:rPr>
          <w:rFonts w:eastAsia="Calibri" w:cs="Tahoma"/>
          <w:noProof/>
          <w:color w:val="000000"/>
          <w:lang w:eastAsia="es-MX"/>
        </w:rPr>
        <w:t xml:space="preserve">; </w:t>
      </w:r>
    </w:p>
    <w:p w14:paraId="4F4E8ED2" w14:textId="77777777" w:rsidR="00AE2352" w:rsidRPr="0016487D" w:rsidRDefault="00AE2352" w:rsidP="00AE2352">
      <w:pPr>
        <w:pStyle w:val="Prrafodelista"/>
        <w:numPr>
          <w:ilvl w:val="0"/>
          <w:numId w:val="9"/>
        </w:numPr>
        <w:autoSpaceDE w:val="0"/>
        <w:autoSpaceDN w:val="0"/>
        <w:adjustRightInd w:val="0"/>
        <w:spacing w:line="360" w:lineRule="auto"/>
        <w:rPr>
          <w:rFonts w:eastAsia="Calibri" w:cs="Tahoma"/>
          <w:noProof/>
          <w:color w:val="000000"/>
          <w:lang w:eastAsia="es-MX"/>
        </w:rPr>
      </w:pPr>
      <w:r w:rsidRPr="0016487D">
        <w:rPr>
          <w:rFonts w:eastAsia="Calibri" w:cs="Tahoma"/>
          <w:noProof/>
          <w:color w:val="000000"/>
          <w:lang w:eastAsia="es-MX"/>
        </w:rPr>
        <w:t xml:space="preserve">Los </w:t>
      </w:r>
      <w:r w:rsidR="00747E6F" w:rsidRPr="0016487D">
        <w:rPr>
          <w:rFonts w:eastAsia="Calibri" w:cs="Tahoma"/>
          <w:noProof/>
          <w:color w:val="000000"/>
          <w:lang w:eastAsia="es-MX"/>
        </w:rPr>
        <w:t xml:space="preserve">recibos de nómina expedidos </w:t>
      </w:r>
      <w:r w:rsidRPr="0016487D">
        <w:rPr>
          <w:rFonts w:eastAsia="Calibri" w:cs="Tahoma"/>
          <w:noProof/>
          <w:color w:val="000000"/>
          <w:lang w:eastAsia="es-MX"/>
        </w:rPr>
        <w:t>durante el</w:t>
      </w:r>
      <w:r w:rsidR="00747E6F" w:rsidRPr="0016487D">
        <w:rPr>
          <w:rFonts w:eastAsia="Calibri" w:cs="Tahoma"/>
          <w:noProof/>
          <w:color w:val="000000"/>
          <w:lang w:eastAsia="es-MX"/>
        </w:rPr>
        <w:t xml:space="preserve"> dos mil veinticinco de los Directores de Administración Pública</w:t>
      </w:r>
      <w:r w:rsidRPr="0016487D">
        <w:rPr>
          <w:rFonts w:eastAsia="Calibri" w:cs="Tahoma"/>
          <w:noProof/>
          <w:color w:val="000000"/>
          <w:lang w:eastAsia="es-MX"/>
        </w:rPr>
        <w:t xml:space="preserve">, </w:t>
      </w:r>
      <w:r w:rsidR="00747E6F" w:rsidRPr="0016487D">
        <w:rPr>
          <w:rFonts w:eastAsia="Calibri" w:cs="Tahoma"/>
          <w:noProof/>
          <w:color w:val="000000"/>
          <w:lang w:eastAsia="es-MX"/>
        </w:rPr>
        <w:t xml:space="preserve">y </w:t>
      </w:r>
    </w:p>
    <w:p w14:paraId="37FBD712" w14:textId="0B32379B" w:rsidR="00F96A7D" w:rsidRPr="0016487D" w:rsidRDefault="00AE2352" w:rsidP="00AE2352">
      <w:pPr>
        <w:pStyle w:val="Prrafodelista"/>
        <w:numPr>
          <w:ilvl w:val="0"/>
          <w:numId w:val="9"/>
        </w:numPr>
        <w:autoSpaceDE w:val="0"/>
        <w:autoSpaceDN w:val="0"/>
        <w:adjustRightInd w:val="0"/>
        <w:spacing w:line="360" w:lineRule="auto"/>
        <w:rPr>
          <w:rFonts w:eastAsia="Calibri" w:cs="Tahoma"/>
          <w:noProof/>
          <w:color w:val="000000"/>
          <w:lang w:eastAsia="es-MX"/>
        </w:rPr>
      </w:pPr>
      <w:r w:rsidRPr="0016487D">
        <w:rPr>
          <w:rFonts w:eastAsia="Calibri" w:cs="Tahoma"/>
          <w:noProof/>
          <w:color w:val="000000"/>
          <w:lang w:eastAsia="es-MX"/>
        </w:rPr>
        <w:t>Nó</w:t>
      </w:r>
      <w:r w:rsidR="00747E6F" w:rsidRPr="0016487D">
        <w:rPr>
          <w:rFonts w:eastAsia="Calibri" w:cs="Tahoma"/>
          <w:noProof/>
          <w:color w:val="000000"/>
          <w:lang w:eastAsia="es-MX"/>
        </w:rPr>
        <w:t xml:space="preserve">mina </w:t>
      </w:r>
      <w:r w:rsidRPr="0016487D">
        <w:rPr>
          <w:rFonts w:eastAsia="Calibri" w:cs="Tahoma"/>
          <w:noProof/>
          <w:color w:val="000000"/>
          <w:lang w:eastAsia="es-MX"/>
        </w:rPr>
        <w:t xml:space="preserve">de </w:t>
      </w:r>
      <w:r w:rsidR="00747E6F" w:rsidRPr="0016487D">
        <w:rPr>
          <w:rFonts w:eastAsia="Calibri" w:cs="Tahoma"/>
          <w:noProof/>
          <w:color w:val="000000"/>
          <w:lang w:eastAsia="es-MX"/>
        </w:rPr>
        <w:t>la primera quincena de febrero de dos mil veinticinco.</w:t>
      </w:r>
    </w:p>
    <w:p w14:paraId="06990D1A" w14:textId="1AAE9579" w:rsidR="00F96A7D" w:rsidRPr="0016487D" w:rsidRDefault="00F96A7D" w:rsidP="00AE2352">
      <w:pPr>
        <w:autoSpaceDE w:val="0"/>
        <w:autoSpaceDN w:val="0"/>
        <w:adjustRightInd w:val="0"/>
        <w:spacing w:after="0" w:line="360" w:lineRule="auto"/>
        <w:rPr>
          <w:rFonts w:eastAsia="Calibri" w:cs="Tahoma"/>
          <w:noProof/>
          <w:color w:val="000000"/>
          <w:szCs w:val="24"/>
          <w:lang w:eastAsia="es-MX"/>
        </w:rPr>
      </w:pPr>
    </w:p>
    <w:p w14:paraId="0E4A2C3C" w14:textId="121D79BB" w:rsidR="003E283D" w:rsidRPr="0016487D" w:rsidRDefault="003E283D" w:rsidP="00AE2352">
      <w:pPr>
        <w:widowControl w:val="0"/>
        <w:spacing w:after="0" w:line="360" w:lineRule="auto"/>
        <w:rPr>
          <w:rFonts w:eastAsia="Palatino Linotype" w:cs="Palatino Linotype"/>
          <w:noProof/>
          <w:color w:val="000000"/>
          <w:lang w:eastAsia="es-MX"/>
        </w:rPr>
      </w:pPr>
      <w:r w:rsidRPr="0016487D">
        <w:rPr>
          <w:rFonts w:eastAsia="Palatino Linotype" w:cs="Palatino Linotype"/>
          <w:noProof/>
          <w:color w:val="000000"/>
          <w:lang w:eastAsia="es-MX"/>
        </w:rPr>
        <w:t xml:space="preserve">En respuesta, el Sujeto Obligado, proporcionó a través de la </w:t>
      </w:r>
      <w:r w:rsidR="00747E6F" w:rsidRPr="0016487D">
        <w:rPr>
          <w:rFonts w:eastAsia="Palatino Linotype" w:cs="Palatino Linotype"/>
          <w:noProof/>
          <w:color w:val="000000"/>
          <w:lang w:eastAsia="es-MX"/>
        </w:rPr>
        <w:t>Dirección de Administración</w:t>
      </w:r>
      <w:r w:rsidRPr="0016487D">
        <w:rPr>
          <w:rFonts w:eastAsia="Palatino Linotype" w:cs="Palatino Linotype"/>
          <w:noProof/>
          <w:color w:val="000000"/>
          <w:lang w:eastAsia="es-MX"/>
        </w:rPr>
        <w:t xml:space="preserve"> </w:t>
      </w:r>
      <w:r w:rsidR="00855E1D" w:rsidRPr="0016487D">
        <w:rPr>
          <w:rFonts w:eastAsia="Palatino Linotype" w:cs="Palatino Linotype"/>
          <w:noProof/>
          <w:color w:val="000000"/>
          <w:lang w:eastAsia="es-MX"/>
        </w:rPr>
        <w:t>lo</w:t>
      </w:r>
      <w:r w:rsidR="00747E6F" w:rsidRPr="0016487D">
        <w:rPr>
          <w:rFonts w:eastAsia="Palatino Linotype" w:cs="Palatino Linotype"/>
          <w:noProof/>
          <w:color w:val="000000"/>
          <w:lang w:eastAsia="es-MX"/>
        </w:rPr>
        <w:t>s CFDI del personal solicitado</w:t>
      </w:r>
      <w:r w:rsidRPr="0016487D">
        <w:rPr>
          <w:rFonts w:eastAsia="Palatino Linotype" w:cs="Palatino Linotype"/>
          <w:noProof/>
          <w:color w:val="000000"/>
          <w:lang w:eastAsia="es-MX"/>
        </w:rPr>
        <w:t xml:space="preserve">, </w:t>
      </w:r>
      <w:r w:rsidR="00747E6F" w:rsidRPr="0016487D">
        <w:rPr>
          <w:rFonts w:eastAsia="Palatino Linotype" w:cs="Palatino Linotype"/>
          <w:noProof/>
          <w:color w:val="000000"/>
          <w:lang w:eastAsia="es-MX"/>
        </w:rPr>
        <w:t xml:space="preserve">tabuladores de dos mil veinticuatro y dos mil veinticinco, </w:t>
      </w:r>
      <w:r w:rsidR="00AE2352" w:rsidRPr="0016487D">
        <w:rPr>
          <w:rFonts w:eastAsia="Palatino Linotype" w:cs="Palatino Linotype"/>
          <w:noProof/>
          <w:color w:val="000000"/>
          <w:lang w:eastAsia="es-MX"/>
        </w:rPr>
        <w:t>el C</w:t>
      </w:r>
      <w:r w:rsidR="00747E6F" w:rsidRPr="0016487D">
        <w:rPr>
          <w:rFonts w:eastAsia="Palatino Linotype" w:cs="Palatino Linotype"/>
          <w:noProof/>
          <w:color w:val="000000"/>
          <w:lang w:eastAsia="es-MX"/>
        </w:rPr>
        <w:t xml:space="preserve">onvenio </w:t>
      </w:r>
      <w:r w:rsidR="00AE2352" w:rsidRPr="0016487D">
        <w:rPr>
          <w:rFonts w:eastAsia="Palatino Linotype" w:cs="Palatino Linotype"/>
          <w:noProof/>
          <w:color w:val="000000"/>
          <w:lang w:eastAsia="es-MX"/>
        </w:rPr>
        <w:t>S</w:t>
      </w:r>
      <w:r w:rsidR="00747E6F" w:rsidRPr="0016487D">
        <w:rPr>
          <w:rFonts w:eastAsia="Palatino Linotype" w:cs="Palatino Linotype"/>
          <w:noProof/>
          <w:color w:val="000000"/>
          <w:lang w:eastAsia="es-MX"/>
        </w:rPr>
        <w:t xml:space="preserve">indical de dos mil veintiuno y un listado de los </w:t>
      </w:r>
      <w:r w:rsidR="00AE2352" w:rsidRPr="0016487D">
        <w:rPr>
          <w:rFonts w:eastAsia="Palatino Linotype" w:cs="Palatino Linotype"/>
          <w:noProof/>
          <w:color w:val="000000"/>
          <w:lang w:eastAsia="es-MX"/>
        </w:rPr>
        <w:t>D</w:t>
      </w:r>
      <w:r w:rsidR="00747E6F" w:rsidRPr="0016487D">
        <w:rPr>
          <w:rFonts w:eastAsia="Palatino Linotype" w:cs="Palatino Linotype"/>
          <w:noProof/>
          <w:color w:val="000000"/>
          <w:lang w:eastAsia="es-MX"/>
        </w:rPr>
        <w:t>irectores</w:t>
      </w:r>
      <w:r w:rsidR="00AE2352" w:rsidRPr="0016487D">
        <w:rPr>
          <w:rFonts w:eastAsia="Palatino Linotype" w:cs="Palatino Linotype"/>
          <w:noProof/>
          <w:color w:val="000000"/>
          <w:lang w:eastAsia="es-MX"/>
        </w:rPr>
        <w:t xml:space="preserve"> con los que contaba el Ayuntamiento;</w:t>
      </w:r>
      <w:r w:rsidRPr="0016487D">
        <w:rPr>
          <w:rFonts w:eastAsia="Palatino Linotype" w:cs="Palatino Linotype"/>
          <w:noProof/>
          <w:color w:val="000000"/>
          <w:lang w:eastAsia="es-MX"/>
        </w:rPr>
        <w:t xml:space="preserve"> ante dicha circunstancia el Particular se inconformó de </w:t>
      </w:r>
      <w:r w:rsidR="00747E6F" w:rsidRPr="0016487D">
        <w:rPr>
          <w:rFonts w:eastAsia="Palatino Linotype" w:cs="Palatino Linotype"/>
          <w:noProof/>
          <w:color w:val="000000"/>
          <w:lang w:eastAsia="es-MX"/>
        </w:rPr>
        <w:t>la entrega</w:t>
      </w:r>
      <w:r w:rsidR="00291347" w:rsidRPr="0016487D">
        <w:rPr>
          <w:rFonts w:eastAsia="Palatino Linotype" w:cs="Palatino Linotype"/>
          <w:noProof/>
          <w:color w:val="000000"/>
          <w:lang w:eastAsia="es-MX"/>
        </w:rPr>
        <w:t xml:space="preserve"> de </w:t>
      </w:r>
      <w:r w:rsidR="00291347" w:rsidRPr="0016487D">
        <w:rPr>
          <w:rFonts w:eastAsia="Palatino Linotype" w:cs="Palatino Linotype"/>
          <w:noProof/>
          <w:color w:val="000000"/>
          <w:lang w:eastAsia="es-MX"/>
        </w:rPr>
        <w:lastRenderedPageBreak/>
        <w:t>información incompleta</w:t>
      </w:r>
      <w:r w:rsidRPr="0016487D">
        <w:rPr>
          <w:rFonts w:eastAsia="Palatino Linotype" w:cs="Palatino Linotype"/>
          <w:noProof/>
          <w:color w:val="000000"/>
          <w:lang w:eastAsia="es-MX"/>
        </w:rPr>
        <w:t>,</w:t>
      </w:r>
      <w:r w:rsidR="00747E6F" w:rsidRPr="0016487D">
        <w:rPr>
          <w:rFonts w:eastAsia="Palatino Linotype" w:cs="Palatino Linotype"/>
          <w:noProof/>
          <w:color w:val="000000"/>
          <w:lang w:eastAsia="es-MX"/>
        </w:rPr>
        <w:t xml:space="preserve"> al precisar que no </w:t>
      </w:r>
      <w:r w:rsidR="00AE2352" w:rsidRPr="0016487D">
        <w:rPr>
          <w:rFonts w:eastAsia="Palatino Linotype" w:cs="Palatino Linotype"/>
          <w:noProof/>
          <w:color w:val="000000"/>
          <w:lang w:eastAsia="es-MX"/>
        </w:rPr>
        <w:t>le proporcionaban</w:t>
      </w:r>
      <w:r w:rsidR="00747E6F" w:rsidRPr="0016487D">
        <w:rPr>
          <w:rFonts w:eastAsia="Palatino Linotype" w:cs="Palatino Linotype"/>
          <w:noProof/>
          <w:color w:val="000000"/>
          <w:lang w:eastAsia="es-MX"/>
        </w:rPr>
        <w:t xml:space="preserve"> la nómina correspondiente a la quincena del primero al quince de febrero de dos mil veinticinco</w:t>
      </w:r>
      <w:r w:rsidR="00996D93" w:rsidRPr="0016487D">
        <w:rPr>
          <w:rFonts w:eastAsia="Palatino Linotype" w:cs="Palatino Linotype"/>
          <w:noProof/>
          <w:color w:val="000000"/>
          <w:lang w:eastAsia="es-MX"/>
        </w:rPr>
        <w:t xml:space="preserve">, </w:t>
      </w:r>
      <w:r w:rsidRPr="0016487D">
        <w:rPr>
          <w:rFonts w:eastAsia="Palatino Linotype" w:cs="Palatino Linotype"/>
          <w:noProof/>
          <w:color w:val="000000"/>
          <w:lang w:eastAsia="es-MX"/>
        </w:rPr>
        <w:t>lo cual actualiza el supuesto de procedencia establecido en el artículo 179, fracción V</w:t>
      </w:r>
      <w:r w:rsidR="00291347" w:rsidRPr="0016487D">
        <w:rPr>
          <w:rFonts w:eastAsia="Palatino Linotype" w:cs="Palatino Linotype"/>
          <w:noProof/>
          <w:color w:val="000000"/>
          <w:lang w:eastAsia="es-MX"/>
        </w:rPr>
        <w:t>,</w:t>
      </w:r>
      <w:r w:rsidRPr="0016487D">
        <w:rPr>
          <w:rFonts w:eastAsia="Palatino Linotype" w:cs="Palatino Linotype"/>
          <w:noProof/>
          <w:color w:val="000000"/>
          <w:lang w:eastAsia="es-MX"/>
        </w:rPr>
        <w:t xml:space="preserve"> de la Ley de Transparencia y Acceso a la Información Pública del Estado de México y Municipios. Así las cosas, una vez admitido y notificado el Recurso de Revisión a las partes, </w:t>
      </w:r>
      <w:r w:rsidR="00747E6F" w:rsidRPr="0016487D">
        <w:rPr>
          <w:rFonts w:eastAsia="Palatino Linotype" w:cs="Palatino Linotype"/>
          <w:noProof/>
          <w:color w:val="000000"/>
          <w:lang w:eastAsia="es-MX"/>
        </w:rPr>
        <w:t>las partes fueron omisas en emitir manifestaciones o informe justificado.</w:t>
      </w:r>
    </w:p>
    <w:p w14:paraId="6214EF0E" w14:textId="77777777" w:rsidR="00996D93" w:rsidRPr="0016487D" w:rsidRDefault="00996D93" w:rsidP="00AE2352">
      <w:pPr>
        <w:spacing w:after="0" w:line="360" w:lineRule="auto"/>
        <w:ind w:right="-28"/>
        <w:rPr>
          <w:rFonts w:eastAsia="Palatino Linotype" w:cs="Palatino Linotype"/>
          <w:noProof/>
          <w:color w:val="000000"/>
        </w:rPr>
      </w:pPr>
    </w:p>
    <w:p w14:paraId="5823C3E7" w14:textId="245536BA" w:rsidR="00996D93" w:rsidRPr="0016487D" w:rsidRDefault="00996D93" w:rsidP="00AE2352">
      <w:pPr>
        <w:spacing w:after="0" w:line="360" w:lineRule="auto"/>
        <w:rPr>
          <w:rFonts w:eastAsia="Times New Roman" w:cs="Times New Roman"/>
          <w:noProof/>
          <w:color w:val="000000"/>
          <w:lang w:eastAsia="es-ES_tradnl"/>
        </w:rPr>
      </w:pPr>
      <w:r w:rsidRPr="0016487D">
        <w:rPr>
          <w:rFonts w:eastAsia="Times New Roman" w:cs="Times New Roman"/>
          <w:noProof/>
          <w:color w:val="000000"/>
          <w:lang w:eastAsia="es-ES_tradnl"/>
        </w:rPr>
        <w:t>Conforme a lo anterior, se logra vislumbrar que el ahora Recurrente no se agravió respecto a</w:t>
      </w:r>
      <w:r w:rsidR="00386237" w:rsidRPr="0016487D">
        <w:rPr>
          <w:rFonts w:eastAsia="Times New Roman" w:cs="Times New Roman"/>
          <w:noProof/>
          <w:color w:val="000000"/>
          <w:lang w:eastAsia="es-ES_tradnl"/>
        </w:rPr>
        <w:t xml:space="preserve"> la </w:t>
      </w:r>
      <w:r w:rsidR="00AE2352" w:rsidRPr="0016487D">
        <w:rPr>
          <w:rFonts w:eastAsia="Times New Roman" w:cs="Times New Roman"/>
          <w:noProof/>
          <w:color w:val="000000"/>
          <w:lang w:eastAsia="es-ES_tradnl"/>
        </w:rPr>
        <w:t>información entregada para atender los puntos 1 a 3</w:t>
      </w:r>
      <w:r w:rsidRPr="0016487D">
        <w:rPr>
          <w:rFonts w:eastAsia="Calibri" w:cs="Tahoma"/>
          <w:noProof/>
          <w:color w:val="000000"/>
          <w:szCs w:val="24"/>
          <w:lang w:eastAsia="es-MX"/>
        </w:rPr>
        <w:t>; p</w:t>
      </w:r>
      <w:r w:rsidRPr="0016487D">
        <w:rPr>
          <w:rFonts w:eastAsia="Times New Roman" w:cs="Times New Roman"/>
          <w:noProof/>
          <w:color w:val="000000"/>
          <w:lang w:eastAsia="es-ES_tradnl"/>
        </w:rPr>
        <w:t>or lo que, no se hará pronunciamiento alguno, respecto a la información referida, de conformidad con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w:t>
      </w:r>
      <w:r w:rsidRPr="0016487D">
        <w:rPr>
          <w:rFonts w:eastAsia="Times New Roman" w:cs="Times New Roman"/>
          <w:b/>
          <w:bCs/>
          <w:noProof/>
          <w:color w:val="000000"/>
          <w:lang w:eastAsia="es-ES_tradnl"/>
        </w:rPr>
        <w:t>los actos que se hayan consentido tácitamente,</w:t>
      </w:r>
      <w:r w:rsidRPr="0016487D">
        <w:rPr>
          <w:rFonts w:eastAsia="Times New Roman" w:cs="Times New Roman"/>
          <w:noProof/>
          <w:color w:val="000000"/>
          <w:lang w:eastAsia="es-ES_tradnl"/>
        </w:rPr>
        <w:t> entendiéndose por estos cuando el agravio no se haya promovido en el plazo señalado para el efecto.</w:t>
      </w:r>
    </w:p>
    <w:p w14:paraId="6F1F4A42" w14:textId="77777777" w:rsidR="00996D93" w:rsidRPr="0016487D" w:rsidRDefault="00996D93" w:rsidP="00AE2352">
      <w:pPr>
        <w:spacing w:after="0" w:line="360" w:lineRule="auto"/>
        <w:rPr>
          <w:rFonts w:eastAsia="Times New Roman" w:cs="Times New Roman"/>
          <w:noProof/>
          <w:color w:val="000000"/>
          <w:lang w:eastAsia="es-ES_tradnl"/>
        </w:rPr>
      </w:pPr>
      <w:r w:rsidRPr="0016487D">
        <w:rPr>
          <w:rFonts w:eastAsia="Times New Roman" w:cs="Times New Roman"/>
          <w:noProof/>
          <w:color w:val="000000"/>
          <w:lang w:eastAsia="es-ES_tradnl"/>
        </w:rPr>
        <w:t> </w:t>
      </w:r>
    </w:p>
    <w:p w14:paraId="1E70C1E9" w14:textId="77777777" w:rsidR="00996D93" w:rsidRPr="0016487D" w:rsidRDefault="00996D93" w:rsidP="00AE2352">
      <w:pPr>
        <w:spacing w:after="0" w:line="360" w:lineRule="auto"/>
        <w:rPr>
          <w:rFonts w:eastAsia="Times New Roman" w:cs="Times New Roman"/>
          <w:noProof/>
          <w:color w:val="000000"/>
          <w:lang w:eastAsia="es-ES_tradnl"/>
        </w:rPr>
      </w:pPr>
      <w:r w:rsidRPr="0016487D">
        <w:rPr>
          <w:rFonts w:eastAsia="Times New Roman" w:cs="Times New Roman"/>
          <w:noProof/>
          <w:color w:val="000000"/>
          <w:lang w:eastAsia="es-ES_tradnl"/>
        </w:rPr>
        <w:t>De la misma manera resulta aplicable el criterio sostenido por el Poder Judicial de la Federación de rubro </w:t>
      </w:r>
      <w:r w:rsidRPr="0016487D">
        <w:rPr>
          <w:rFonts w:eastAsia="Times New Roman" w:cs="Times New Roman"/>
          <w:b/>
          <w:bCs/>
          <w:noProof/>
          <w:color w:val="000000"/>
          <w:lang w:eastAsia="es-ES_tradnl"/>
        </w:rPr>
        <w:t>ACTOS CONSENTIDOS TÁCITAMENTE</w:t>
      </w:r>
      <w:r w:rsidRPr="0016487D">
        <w:rPr>
          <w:rFonts w:eastAsia="Times New Roman" w:cs="Times New Roman"/>
          <w:noProof/>
          <w:color w:val="000000"/>
          <w:lang w:eastAsia="es-ES_tradnl"/>
        </w:rPr>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66CBCBE7" w14:textId="77777777" w:rsidR="00996D93" w:rsidRPr="0016487D" w:rsidRDefault="00996D93" w:rsidP="00AE2352">
      <w:pPr>
        <w:spacing w:after="0" w:line="360" w:lineRule="auto"/>
        <w:rPr>
          <w:rFonts w:eastAsia="Times New Roman" w:cs="Times New Roman"/>
          <w:noProof/>
          <w:color w:val="000000"/>
          <w:lang w:eastAsia="es-ES_tradnl"/>
        </w:rPr>
      </w:pPr>
      <w:r w:rsidRPr="0016487D">
        <w:rPr>
          <w:rFonts w:eastAsia="Times New Roman" w:cs="Times New Roman"/>
          <w:noProof/>
          <w:color w:val="000000"/>
          <w:lang w:eastAsia="es-ES_tradnl"/>
        </w:rPr>
        <w:t> </w:t>
      </w:r>
    </w:p>
    <w:p w14:paraId="335A48F7" w14:textId="77777777" w:rsidR="00996D93" w:rsidRPr="0016487D" w:rsidRDefault="00996D93" w:rsidP="00AE2352">
      <w:pPr>
        <w:spacing w:after="0" w:line="360" w:lineRule="auto"/>
        <w:rPr>
          <w:rFonts w:eastAsia="Times New Roman" w:cs="Times New Roman"/>
          <w:noProof/>
          <w:color w:val="000000"/>
          <w:lang w:eastAsia="es-ES_tradnl"/>
        </w:rPr>
      </w:pPr>
      <w:r w:rsidRPr="0016487D">
        <w:rPr>
          <w:rFonts w:eastAsia="Times New Roman" w:cs="Times New Roman"/>
          <w:noProof/>
          <w:color w:val="000000"/>
          <w:lang w:eastAsia="es-ES_tradnl"/>
        </w:rPr>
        <w:t xml:space="preserve">Conforme a lo previo, en el caso de que el Solicitante no haya manifestado su inconformidad en contra del acto en su totalidad o en cualquiera de sus partes, se tendrá por consentido al no haber realizado argumento alguno que formulara un agravio en su contra, por lo que, en la </w:t>
      </w:r>
      <w:r w:rsidRPr="0016487D">
        <w:rPr>
          <w:rFonts w:eastAsia="Times New Roman" w:cs="Times New Roman"/>
          <w:noProof/>
          <w:color w:val="000000"/>
          <w:lang w:eastAsia="es-ES_tradnl"/>
        </w:rPr>
        <w:lastRenderedPageBreak/>
        <w:t>especie, se válida la respuesta respecto de los puntos no controvertidos y se arriba a la conclusión de que estos quedaron firmes. </w:t>
      </w:r>
    </w:p>
    <w:p w14:paraId="29AE02B9" w14:textId="77777777" w:rsidR="00996D93" w:rsidRPr="0016487D" w:rsidRDefault="00996D93" w:rsidP="00AE2352">
      <w:pPr>
        <w:spacing w:after="0" w:line="360" w:lineRule="auto"/>
        <w:rPr>
          <w:rFonts w:eastAsia="Times New Roman" w:cs="Times New Roman"/>
          <w:noProof/>
          <w:color w:val="000000"/>
          <w:lang w:eastAsia="es-ES_tradnl"/>
        </w:rPr>
      </w:pPr>
      <w:r w:rsidRPr="0016487D">
        <w:rPr>
          <w:rFonts w:eastAsia="Times New Roman" w:cs="Times New Roman"/>
          <w:noProof/>
          <w:color w:val="000000"/>
          <w:lang w:eastAsia="es-ES_tradnl"/>
        </w:rPr>
        <w:t> </w:t>
      </w:r>
    </w:p>
    <w:p w14:paraId="5E64DC51" w14:textId="3D1E8A33" w:rsidR="00D92134" w:rsidRPr="0016487D" w:rsidRDefault="00996D93" w:rsidP="00AE2352">
      <w:pPr>
        <w:spacing w:after="0" w:line="360" w:lineRule="auto"/>
        <w:rPr>
          <w:rFonts w:eastAsia="Times New Roman" w:cs="Times New Roman"/>
          <w:noProof/>
          <w:color w:val="000000"/>
          <w:lang w:eastAsia="es-ES_tradnl"/>
        </w:rPr>
      </w:pPr>
      <w:r w:rsidRPr="0016487D">
        <w:rPr>
          <w:rFonts w:eastAsia="Times New Roman" w:cs="Times New Roman"/>
          <w:noProof/>
          <w:color w:val="000000"/>
          <w:lang w:eastAsia="es-ES_tradnl"/>
        </w:rPr>
        <w:t xml:space="preserve">Asimismo, resulta relevante traer a colación el </w:t>
      </w:r>
      <w:r w:rsidRPr="0016487D">
        <w:rPr>
          <w:rFonts w:eastAsia="Calibri" w:cs="Tahoma"/>
          <w:bCs/>
          <w:noProof/>
          <w:color w:val="auto"/>
        </w:rPr>
        <w:t xml:space="preserve">Criterio </w:t>
      </w:r>
      <w:r w:rsidR="00AE2352" w:rsidRPr="0016487D">
        <w:rPr>
          <w:rFonts w:eastAsia="Calibri" w:cs="Tahoma"/>
          <w:bCs/>
          <w:noProof/>
          <w:color w:val="auto"/>
        </w:rPr>
        <w:t>Orientador</w:t>
      </w:r>
      <w:r w:rsidRPr="0016487D">
        <w:rPr>
          <w:rFonts w:eastAsia="Calibri" w:cs="Tahoma"/>
          <w:bCs/>
          <w:noProof/>
          <w:color w:val="auto"/>
        </w:rPr>
        <w:t>, con número de registro SO/001/2020</w:t>
      </w:r>
      <w:r w:rsidRPr="0016487D">
        <w:rPr>
          <w:rFonts w:eastAsia="Times New Roman" w:cs="Times New Roman"/>
          <w:noProof/>
          <w:color w:val="000000"/>
          <w:lang w:eastAsia="es-ES_tradnl"/>
        </w:rPr>
        <w:t xml:space="preserve">, </w:t>
      </w:r>
      <w:r w:rsidR="00127FD5" w:rsidRPr="0016487D">
        <w:rPr>
          <w:rFonts w:eastAsia="Times New Roman" w:cs="Times New Roman"/>
          <w:noProof/>
          <w:color w:val="000000"/>
          <w:lang w:eastAsia="es-ES_tradnl"/>
        </w:rPr>
        <w:t>emitido por el entonces Instituto Nacional de Transparencia</w:t>
      </w:r>
      <w:r w:rsidRPr="0016487D">
        <w:rPr>
          <w:rFonts w:eastAsia="Times New Roman" w:cs="Times New Roman"/>
          <w:noProof/>
          <w:color w:val="000000"/>
          <w:lang w:eastAsia="es-ES_tradnl"/>
        </w:rPr>
        <w:t>, Acceso a la Información y Protección de Datos Personales</w:t>
      </w:r>
      <w:r w:rsidR="00AE2352" w:rsidRPr="0016487D">
        <w:rPr>
          <w:rFonts w:eastAsia="Times New Roman" w:cs="Times New Roman"/>
          <w:noProof/>
          <w:color w:val="000000"/>
          <w:lang w:eastAsia="es-ES_tradnl"/>
        </w:rPr>
        <w:t>, vigente a la fecha de la solicitud</w:t>
      </w:r>
      <w:r w:rsidRPr="0016487D">
        <w:rPr>
          <w:rFonts w:eastAsia="Times New Roman" w:cs="Times New Roman"/>
          <w:noProof/>
          <w:color w:val="000000"/>
          <w:lang w:eastAsia="es-ES_tradnl"/>
        </w:rPr>
        <w:t xml:space="preserve">, </w:t>
      </w:r>
      <w:r w:rsidR="00AE2352" w:rsidRPr="0016487D">
        <w:rPr>
          <w:rFonts w:eastAsia="Times New Roman" w:cs="Times New Roman"/>
          <w:noProof/>
          <w:color w:val="000000"/>
          <w:lang w:eastAsia="es-ES_tradnl"/>
        </w:rPr>
        <w:t xml:space="preserve">el cual precisa que resulta </w:t>
      </w:r>
      <w:r w:rsidRPr="0016487D">
        <w:rPr>
          <w:rFonts w:eastAsia="Times New Roman" w:cs="Times New Roman"/>
          <w:noProof/>
          <w:color w:val="000000"/>
          <w:lang w:eastAsia="es-ES_tradnl"/>
        </w:rPr>
        <w:t>improcedente entrar al análisis de las partes de la respuesta del Sujeto Obligado que no fueron impugnadas por la Recurrente; por lo que, en el presente caso, se tiene por consentida la información proporcionada por el Ente Recurrido</w:t>
      </w:r>
      <w:r w:rsidR="00AE2352" w:rsidRPr="0016487D">
        <w:rPr>
          <w:rFonts w:eastAsia="Times New Roman" w:cs="Times New Roman"/>
          <w:noProof/>
          <w:color w:val="000000"/>
          <w:lang w:eastAsia="es-ES_tradnl"/>
        </w:rPr>
        <w:t xml:space="preserve"> para atender los puntos 1 a 3, y únicamente se entrará al análisis del diverso 4.</w:t>
      </w:r>
      <w:r w:rsidR="00AE2352" w:rsidRPr="0016487D">
        <w:rPr>
          <w:rFonts w:eastAsia="Palatino Linotype" w:cs="Palatino Linotype"/>
          <w:noProof/>
          <w:lang w:eastAsia="es-ES"/>
        </w:rPr>
        <w:t xml:space="preserve"> Así, las cosas, una vez admitido y notificado el Recurso de Revisión el Sujeto Obligado ratificó la respuesta.</w:t>
      </w:r>
      <w:r w:rsidR="00D92134" w:rsidRPr="0016487D">
        <w:rPr>
          <w:rFonts w:eastAsia="Times New Roman" w:cs="Times New Roman"/>
          <w:noProof/>
          <w:color w:val="000000"/>
          <w:lang w:eastAsia="es-ES_tradnl"/>
        </w:rPr>
        <w:t xml:space="preserve"> </w:t>
      </w:r>
    </w:p>
    <w:p w14:paraId="1A1DADA3" w14:textId="77777777" w:rsidR="00996D93" w:rsidRPr="0016487D" w:rsidRDefault="00996D93" w:rsidP="00AE2352">
      <w:pPr>
        <w:spacing w:after="0" w:line="360" w:lineRule="auto"/>
        <w:ind w:right="-28"/>
        <w:rPr>
          <w:rFonts w:eastAsia="Palatino Linotype" w:cs="Palatino Linotype"/>
          <w:noProof/>
          <w:color w:val="000000"/>
        </w:rPr>
      </w:pPr>
    </w:p>
    <w:p w14:paraId="7F9B054D" w14:textId="05020CCC" w:rsidR="00996D93" w:rsidRPr="0016487D" w:rsidRDefault="00996D93" w:rsidP="00AE2352">
      <w:pPr>
        <w:spacing w:after="0" w:line="360" w:lineRule="auto"/>
        <w:rPr>
          <w:rFonts w:eastAsia="Times New Roman" w:cs="Times New Roman"/>
          <w:noProof/>
          <w:color w:val="auto"/>
          <w:lang w:eastAsia="es-ES"/>
        </w:rPr>
      </w:pPr>
      <w:r w:rsidRPr="0016487D">
        <w:rPr>
          <w:rFonts w:eastAsia="Times New Roman" w:cs="Times New Roman"/>
          <w:noProof/>
          <w:color w:val="auto"/>
          <w:lang w:eastAsia="es-ES"/>
        </w:rPr>
        <w:t>Lo anterior, se desprende de las documentales que obran en el expediente de referencia, materia de la presente resolución, consistentes en: la solicitud de acceso a la información; la respuesta proporcionada</w:t>
      </w:r>
      <w:r w:rsidR="00AE2352" w:rsidRPr="0016487D">
        <w:rPr>
          <w:rFonts w:eastAsia="Times New Roman" w:cs="Times New Roman"/>
          <w:noProof/>
          <w:color w:val="auto"/>
          <w:lang w:eastAsia="es-ES"/>
        </w:rPr>
        <w:t>;</w:t>
      </w:r>
      <w:r w:rsidR="00D92134" w:rsidRPr="0016487D">
        <w:rPr>
          <w:rFonts w:eastAsia="Times New Roman" w:cs="Times New Roman"/>
          <w:noProof/>
          <w:color w:val="auto"/>
          <w:lang w:eastAsia="es-ES"/>
        </w:rPr>
        <w:t xml:space="preserve"> </w:t>
      </w:r>
      <w:r w:rsidRPr="0016487D">
        <w:rPr>
          <w:rFonts w:eastAsia="Times New Roman" w:cs="Times New Roman"/>
          <w:noProof/>
          <w:color w:val="auto"/>
          <w:lang w:eastAsia="es-ES"/>
        </w:rPr>
        <w:t>el escrito recursal</w:t>
      </w:r>
      <w:r w:rsidR="00D92134" w:rsidRPr="0016487D">
        <w:rPr>
          <w:rFonts w:eastAsia="Times New Roman" w:cs="Times New Roman"/>
          <w:noProof/>
          <w:color w:val="auto"/>
          <w:lang w:eastAsia="es-ES"/>
        </w:rPr>
        <w:t xml:space="preserve"> y el Informe </w:t>
      </w:r>
      <w:r w:rsidR="00AE2352" w:rsidRPr="0016487D">
        <w:rPr>
          <w:rFonts w:eastAsia="Times New Roman" w:cs="Times New Roman"/>
          <w:noProof/>
          <w:color w:val="auto"/>
          <w:lang w:eastAsia="es-ES"/>
        </w:rPr>
        <w:t>Justificado</w:t>
      </w:r>
      <w:r w:rsidR="00D92134" w:rsidRPr="0016487D">
        <w:rPr>
          <w:rFonts w:eastAsia="Times New Roman" w:cs="Times New Roman"/>
          <w:noProof/>
          <w:color w:val="auto"/>
          <w:lang w:eastAsia="es-ES"/>
        </w:rPr>
        <w:t xml:space="preserve"> del Sujeto Obligado</w:t>
      </w:r>
      <w:r w:rsidRPr="0016487D">
        <w:rPr>
          <w:rFonts w:eastAsia="Times New Roman" w:cs="Times New Roman"/>
          <w:noProof/>
          <w:color w:val="auto"/>
          <w:lang w:eastAsia="es-ES"/>
        </w:rPr>
        <w:t xml:space="preserve">; instrumentales que se toman en cuenta a efecto de resolver el presente medio de impugnación, conforme a lo dispuesto por el artículo 185, fracción IV, de la Ley de Transparencia y Acceso a la Información Pública del Estado de México y Municipios. </w:t>
      </w:r>
    </w:p>
    <w:p w14:paraId="5796AF7E" w14:textId="77777777" w:rsidR="00C853D1" w:rsidRPr="0016487D" w:rsidRDefault="00C853D1" w:rsidP="00AE2352">
      <w:pPr>
        <w:spacing w:after="0" w:line="360" w:lineRule="auto"/>
        <w:rPr>
          <w:noProof/>
        </w:rPr>
      </w:pPr>
    </w:p>
    <w:p w14:paraId="687D7BE0" w14:textId="710023C1" w:rsidR="00395C10" w:rsidRPr="0016487D" w:rsidRDefault="00C853D1" w:rsidP="00AE2352">
      <w:pPr>
        <w:pStyle w:val="Ttulo2"/>
        <w:spacing w:before="0" w:line="360" w:lineRule="auto"/>
        <w:rPr>
          <w:rFonts w:ascii="Palatino Linotype" w:eastAsia="Times New Roman" w:hAnsi="Palatino Linotype"/>
          <w:b/>
          <w:bCs/>
          <w:noProof/>
          <w:color w:val="auto"/>
          <w:sz w:val="22"/>
          <w:szCs w:val="22"/>
          <w:lang w:eastAsia="es-ES"/>
        </w:rPr>
      </w:pPr>
      <w:bookmarkStart w:id="13" w:name="_Toc193363652"/>
      <w:r w:rsidRPr="0016487D">
        <w:rPr>
          <w:rFonts w:ascii="Palatino Linotype" w:eastAsia="Times New Roman" w:hAnsi="Palatino Linotype"/>
          <w:b/>
          <w:bCs/>
          <w:noProof/>
          <w:color w:val="auto"/>
          <w:sz w:val="22"/>
          <w:szCs w:val="22"/>
          <w:lang w:eastAsia="es-ES"/>
        </w:rPr>
        <w:t>CUARTO. Marco normativo aplicable en materia de transparencia y acceso a la información pública</w:t>
      </w:r>
      <w:bookmarkEnd w:id="13"/>
    </w:p>
    <w:p w14:paraId="7DF81018" w14:textId="77777777" w:rsidR="00386237" w:rsidRPr="0016487D" w:rsidRDefault="00386237" w:rsidP="00AE2352">
      <w:pPr>
        <w:spacing w:after="0" w:line="360" w:lineRule="auto"/>
        <w:rPr>
          <w:noProof/>
          <w:lang w:eastAsia="es-ES"/>
        </w:rPr>
      </w:pPr>
    </w:p>
    <w:p w14:paraId="31061DBD" w14:textId="77777777" w:rsidR="00395C10" w:rsidRPr="0016487D" w:rsidRDefault="00395C10" w:rsidP="00AE2352">
      <w:pPr>
        <w:spacing w:after="0" w:line="360" w:lineRule="auto"/>
        <w:rPr>
          <w:rFonts w:eastAsia="Times New Roman" w:cs="Tahoma"/>
          <w:bCs/>
          <w:iCs/>
          <w:noProof/>
          <w:color w:val="auto"/>
          <w:lang w:eastAsia="es-ES"/>
        </w:rPr>
      </w:pPr>
      <w:r w:rsidRPr="0016487D">
        <w:rPr>
          <w:rFonts w:eastAsia="Times New Roman" w:cs="Tahoma"/>
          <w:bCs/>
          <w:iCs/>
          <w:noProof/>
          <w:color w:val="auto"/>
          <w:lang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4AC4B259" w14:textId="77777777" w:rsidR="00AE2352" w:rsidRPr="0016487D" w:rsidRDefault="00AE2352" w:rsidP="00AE2352">
      <w:pPr>
        <w:spacing w:after="0" w:line="360" w:lineRule="auto"/>
        <w:rPr>
          <w:rFonts w:eastAsia="Times New Roman" w:cs="Tahoma"/>
          <w:bCs/>
          <w:iCs/>
          <w:noProof/>
          <w:color w:val="auto"/>
          <w:lang w:eastAsia="es-ES"/>
        </w:rPr>
      </w:pPr>
    </w:p>
    <w:p w14:paraId="52AF9B93" w14:textId="77777777" w:rsidR="00395C10" w:rsidRPr="0016487D" w:rsidRDefault="00395C10" w:rsidP="00AE2352">
      <w:pPr>
        <w:spacing w:after="0" w:line="360" w:lineRule="auto"/>
        <w:rPr>
          <w:rFonts w:eastAsia="Times New Roman" w:cs="Tahoma"/>
          <w:bCs/>
          <w:iCs/>
          <w:noProof/>
          <w:color w:val="auto"/>
          <w:lang w:eastAsia="es-ES"/>
        </w:rPr>
      </w:pPr>
      <w:r w:rsidRPr="0016487D">
        <w:rPr>
          <w:rFonts w:eastAsia="Times New Roman" w:cs="Tahoma"/>
          <w:bCs/>
          <w:iCs/>
          <w:noProof/>
          <w:color w:val="auto"/>
          <w:lang w:eastAsia="es-ES"/>
        </w:rPr>
        <w:lastRenderedPageBreak/>
        <w:t>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35F02DEB" w14:textId="77777777" w:rsidR="00395C10" w:rsidRPr="0016487D" w:rsidRDefault="00395C10" w:rsidP="00AE2352">
      <w:pPr>
        <w:spacing w:after="0" w:line="360" w:lineRule="auto"/>
        <w:rPr>
          <w:rFonts w:eastAsia="Times New Roman" w:cs="Tahoma"/>
          <w:bCs/>
          <w:iCs/>
          <w:noProof/>
          <w:color w:val="auto"/>
          <w:lang w:eastAsia="es-ES"/>
        </w:rPr>
      </w:pPr>
    </w:p>
    <w:p w14:paraId="5A1E7034" w14:textId="77777777" w:rsidR="00395C10" w:rsidRPr="0016487D" w:rsidRDefault="00395C10" w:rsidP="00AE2352">
      <w:pPr>
        <w:spacing w:after="0" w:line="360" w:lineRule="auto"/>
        <w:rPr>
          <w:rFonts w:eastAsia="Times New Roman" w:cs="Tahoma"/>
          <w:bCs/>
          <w:iCs/>
          <w:noProof/>
          <w:color w:val="auto"/>
          <w:lang w:eastAsia="es-ES"/>
        </w:rPr>
      </w:pPr>
      <w:r w:rsidRPr="0016487D">
        <w:rPr>
          <w:rFonts w:eastAsia="Times New Roman" w:cs="Tahoma"/>
          <w:bCs/>
          <w:iCs/>
          <w:noProof/>
          <w:color w:val="auto"/>
          <w:lang w:eastAsia="es-ES"/>
        </w:rPr>
        <w:t>Por su parte, la Ley de Transparencia y Acceso a la Información Pública del Estado de México y Municipios (Reglamentaria del artículo 5° de la Constitución Local), establece lo siguiente:</w:t>
      </w:r>
    </w:p>
    <w:p w14:paraId="5CC360F1" w14:textId="77777777" w:rsidR="00395C10" w:rsidRPr="0016487D" w:rsidRDefault="00395C10" w:rsidP="00AE2352">
      <w:pPr>
        <w:spacing w:after="0" w:line="360" w:lineRule="auto"/>
        <w:rPr>
          <w:rFonts w:eastAsia="Times New Roman" w:cs="Tahoma"/>
          <w:bCs/>
          <w:iCs/>
          <w:noProof/>
          <w:color w:val="auto"/>
          <w:lang w:eastAsia="es-ES"/>
        </w:rPr>
      </w:pPr>
    </w:p>
    <w:p w14:paraId="4E6AE686" w14:textId="77777777" w:rsidR="00395C10" w:rsidRPr="0016487D" w:rsidRDefault="00395C10" w:rsidP="00AE2352">
      <w:pPr>
        <w:spacing w:after="0" w:line="360" w:lineRule="auto"/>
        <w:rPr>
          <w:rFonts w:eastAsia="Times New Roman" w:cs="Tahoma"/>
          <w:bCs/>
          <w:iCs/>
          <w:noProof/>
          <w:color w:val="auto"/>
          <w:lang w:eastAsia="es-ES"/>
        </w:rPr>
      </w:pPr>
      <w:r w:rsidRPr="0016487D">
        <w:rPr>
          <w:rFonts w:eastAsia="Times New Roman" w:cs="Tahoma"/>
          <w:bCs/>
          <w:iCs/>
          <w:noProof/>
          <w:color w:val="auto"/>
          <w:lang w:eastAsia="es-ES"/>
        </w:rPr>
        <w:t>El artículo 12, que, quienes generen, recopilen, administren, manejen, procesen, archiven o conserven información pública serán responsables de la misma.</w:t>
      </w:r>
    </w:p>
    <w:p w14:paraId="761A8EE0" w14:textId="77777777" w:rsidR="00395C10" w:rsidRPr="0016487D" w:rsidRDefault="00395C10" w:rsidP="00AE2352">
      <w:pPr>
        <w:spacing w:after="0" w:line="360" w:lineRule="auto"/>
        <w:rPr>
          <w:rFonts w:eastAsia="Times New Roman" w:cs="Tahoma"/>
          <w:bCs/>
          <w:iCs/>
          <w:noProof/>
          <w:color w:val="auto"/>
          <w:lang w:eastAsia="es-ES"/>
        </w:rPr>
      </w:pPr>
    </w:p>
    <w:p w14:paraId="73E80C4D" w14:textId="77777777" w:rsidR="00395C10" w:rsidRPr="0016487D" w:rsidRDefault="00395C10" w:rsidP="00AE2352">
      <w:pPr>
        <w:spacing w:after="0" w:line="360" w:lineRule="auto"/>
        <w:rPr>
          <w:rFonts w:eastAsia="Times New Roman" w:cs="Tahoma"/>
          <w:bCs/>
          <w:iCs/>
          <w:noProof/>
          <w:color w:val="auto"/>
          <w:lang w:eastAsia="es-ES"/>
        </w:rPr>
      </w:pPr>
      <w:r w:rsidRPr="0016487D">
        <w:rPr>
          <w:rFonts w:eastAsia="Times New Roman" w:cs="Tahoma"/>
          <w:bCs/>
          <w:iCs/>
          <w:noProof/>
          <w:color w:val="auto"/>
          <w:lang w:eastAsia="es-ES"/>
        </w:rPr>
        <w:t>El artículo 18, que, los Sujetos Obligados deberán documentar todo acto que derive del ejercicio de sus facultades, competencias o funciones, considerando desde su origen la eventual publicidad y reutilización de la información que generen.</w:t>
      </w:r>
    </w:p>
    <w:p w14:paraId="282CD997" w14:textId="77777777" w:rsidR="00395C10" w:rsidRPr="0016487D" w:rsidRDefault="00395C10" w:rsidP="00AE2352">
      <w:pPr>
        <w:spacing w:after="0" w:line="360" w:lineRule="auto"/>
        <w:rPr>
          <w:rFonts w:eastAsia="Times New Roman" w:cs="Tahoma"/>
          <w:bCs/>
          <w:iCs/>
          <w:noProof/>
          <w:color w:val="auto"/>
          <w:lang w:eastAsia="es-ES"/>
        </w:rPr>
      </w:pPr>
    </w:p>
    <w:p w14:paraId="1052A03D" w14:textId="5BA433D2" w:rsidR="00C853D1" w:rsidRPr="0016487D" w:rsidRDefault="00395C10" w:rsidP="00AE2352">
      <w:pPr>
        <w:spacing w:after="0" w:line="360" w:lineRule="auto"/>
        <w:rPr>
          <w:rFonts w:eastAsia="Times New Roman" w:cs="Tahoma"/>
          <w:bCs/>
          <w:iCs/>
          <w:noProof/>
          <w:color w:val="auto"/>
          <w:lang w:eastAsia="es-ES"/>
        </w:rPr>
      </w:pPr>
      <w:r w:rsidRPr="0016487D">
        <w:rPr>
          <w:rFonts w:eastAsia="Times New Roman" w:cs="Tahoma"/>
          <w:bCs/>
          <w:iCs/>
          <w:noProof/>
          <w:color w:val="auto"/>
          <w:lang w:eastAsia="es-E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564E172" w14:textId="77777777" w:rsidR="00395C10" w:rsidRPr="0016487D" w:rsidRDefault="00395C10" w:rsidP="00AE2352">
      <w:pPr>
        <w:spacing w:after="0" w:line="360" w:lineRule="auto"/>
        <w:rPr>
          <w:rFonts w:eastAsia="Times New Roman" w:cs="Tahoma"/>
          <w:b/>
          <w:bCs/>
          <w:iCs/>
          <w:noProof/>
          <w:color w:val="auto"/>
          <w:lang w:eastAsia="es-ES"/>
        </w:rPr>
      </w:pPr>
    </w:p>
    <w:p w14:paraId="4CD9F9A9" w14:textId="5A65DDFF" w:rsidR="00C853D1" w:rsidRPr="0016487D" w:rsidRDefault="00E44BDB" w:rsidP="00AE2352">
      <w:pPr>
        <w:pStyle w:val="Ttulo2"/>
        <w:spacing w:before="0" w:line="360" w:lineRule="auto"/>
        <w:rPr>
          <w:rFonts w:ascii="Palatino Linotype" w:eastAsia="Times New Roman" w:hAnsi="Palatino Linotype"/>
          <w:b/>
          <w:bCs/>
          <w:noProof/>
          <w:color w:val="auto"/>
          <w:sz w:val="22"/>
          <w:szCs w:val="22"/>
          <w:lang w:eastAsia="es-ES"/>
        </w:rPr>
      </w:pPr>
      <w:bookmarkStart w:id="14" w:name="_Toc193363653"/>
      <w:r w:rsidRPr="0016487D">
        <w:rPr>
          <w:rFonts w:ascii="Palatino Linotype" w:eastAsia="Times New Roman" w:hAnsi="Palatino Linotype"/>
          <w:b/>
          <w:bCs/>
          <w:noProof/>
          <w:color w:val="auto"/>
          <w:sz w:val="22"/>
          <w:szCs w:val="22"/>
          <w:lang w:eastAsia="es-ES"/>
        </w:rPr>
        <w:t xml:space="preserve">QUINTO. </w:t>
      </w:r>
      <w:r w:rsidR="00C853D1" w:rsidRPr="0016487D">
        <w:rPr>
          <w:rFonts w:ascii="Palatino Linotype" w:eastAsia="Times New Roman" w:hAnsi="Palatino Linotype"/>
          <w:b/>
          <w:bCs/>
          <w:noProof/>
          <w:color w:val="auto"/>
          <w:sz w:val="22"/>
          <w:szCs w:val="22"/>
          <w:lang w:eastAsia="es-ES"/>
        </w:rPr>
        <w:t>Estudio de Fondo</w:t>
      </w:r>
      <w:bookmarkEnd w:id="14"/>
    </w:p>
    <w:p w14:paraId="614B9665" w14:textId="5578038A" w:rsidR="00C853D1" w:rsidRPr="0016487D" w:rsidRDefault="00C853D1" w:rsidP="00AE2352">
      <w:pPr>
        <w:spacing w:after="0" w:line="360" w:lineRule="auto"/>
        <w:rPr>
          <w:rFonts w:eastAsia="Times New Roman" w:cs="Tahoma"/>
          <w:iCs/>
          <w:noProof/>
          <w:color w:val="auto"/>
          <w:lang w:eastAsia="es-ES"/>
        </w:rPr>
      </w:pPr>
    </w:p>
    <w:p w14:paraId="118F0BE8" w14:textId="37C87AA7" w:rsidR="0062016F" w:rsidRPr="0016487D" w:rsidRDefault="000614FE" w:rsidP="00AE2352">
      <w:pPr>
        <w:spacing w:after="0" w:line="360" w:lineRule="auto"/>
        <w:rPr>
          <w:noProof/>
          <w:color w:val="000000"/>
        </w:rPr>
      </w:pPr>
      <w:r w:rsidRPr="0016487D">
        <w:rPr>
          <w:rFonts w:eastAsia="Calibri" w:cs="Tahoma"/>
          <w:bCs/>
          <w:noProof/>
          <w:color w:val="auto"/>
        </w:rPr>
        <w:t xml:space="preserve">Expuestas las posturas de las partes, se procede a analizar los agravios hechos valer por </w:t>
      </w:r>
      <w:r w:rsidR="00AC44E4" w:rsidRPr="0016487D">
        <w:rPr>
          <w:rFonts w:eastAsia="Calibri" w:cs="Tahoma"/>
          <w:bCs/>
          <w:noProof/>
          <w:color w:val="auto"/>
        </w:rPr>
        <w:t xml:space="preserve">la </w:t>
      </w:r>
      <w:r w:rsidRPr="0016487D">
        <w:rPr>
          <w:rFonts w:eastAsia="Calibri" w:cs="Tahoma"/>
          <w:bCs/>
          <w:noProof/>
          <w:color w:val="auto"/>
        </w:rPr>
        <w:t xml:space="preserve">ahora Recurrente, </w:t>
      </w:r>
      <w:r w:rsidR="00D92134" w:rsidRPr="0016487D">
        <w:rPr>
          <w:rFonts w:eastAsia="Calibri" w:cs="Tahoma"/>
          <w:bCs/>
          <w:noProof/>
          <w:color w:val="auto"/>
        </w:rPr>
        <w:t xml:space="preserve">referente a la entrega de información incompleta, </w:t>
      </w:r>
      <w:r w:rsidRPr="0016487D">
        <w:rPr>
          <w:rFonts w:eastAsia="Calibri" w:cs="Tahoma"/>
          <w:bCs/>
          <w:noProof/>
          <w:color w:val="auto"/>
        </w:rPr>
        <w:t>por lo cual, en un principio es necesario contextualizar el requerimiento de información</w:t>
      </w:r>
      <w:r w:rsidR="0062016F" w:rsidRPr="0016487D">
        <w:rPr>
          <w:rFonts w:eastAsia="Calibri" w:cs="Tahoma"/>
          <w:bCs/>
          <w:noProof/>
          <w:color w:val="auto"/>
        </w:rPr>
        <w:t xml:space="preserve">, relacionada con la nómina; </w:t>
      </w:r>
      <w:r w:rsidR="0062016F" w:rsidRPr="0016487D">
        <w:rPr>
          <w:noProof/>
        </w:rPr>
        <w:t xml:space="preserve">sobre el tema, el </w:t>
      </w:r>
      <w:r w:rsidR="0062016F" w:rsidRPr="0016487D">
        <w:rPr>
          <w:noProof/>
          <w:color w:val="000000"/>
        </w:rPr>
        <w:t xml:space="preserve">artículo 147 de la Constitución Política del Estado Libre y Soberano de México, que </w:t>
      </w:r>
      <w:r w:rsidR="0062016F" w:rsidRPr="0016487D">
        <w:rPr>
          <w:noProof/>
          <w:color w:val="000000"/>
        </w:rPr>
        <w:lastRenderedPageBreak/>
        <w:t>establece que los trabajadores al servicio del Estado, recibirán una remuneración adecuada e irrenunciable por el desempeño de su empleo, cargo o comisión, que será determinada en el presupuesto de egresos que corresponda.</w:t>
      </w:r>
    </w:p>
    <w:p w14:paraId="1BF706A8" w14:textId="77777777" w:rsidR="00A52FB5" w:rsidRPr="0016487D" w:rsidRDefault="00A52FB5" w:rsidP="00AE2352">
      <w:pPr>
        <w:spacing w:after="0" w:line="360" w:lineRule="auto"/>
        <w:rPr>
          <w:noProof/>
          <w:color w:val="000000"/>
        </w:rPr>
      </w:pPr>
    </w:p>
    <w:p w14:paraId="08F096C6" w14:textId="17FF0A34" w:rsidR="00284B0E" w:rsidRPr="0016487D" w:rsidRDefault="00284B0E" w:rsidP="00AE2352">
      <w:pPr>
        <w:spacing w:after="0" w:line="360" w:lineRule="auto"/>
        <w:rPr>
          <w:rFonts w:eastAsia="Calibri" w:cs="Times New Roman"/>
          <w:noProof/>
          <w:color w:val="auto"/>
          <w:szCs w:val="28"/>
        </w:rPr>
      </w:pPr>
      <w:r w:rsidRPr="0016487D">
        <w:rPr>
          <w:rFonts w:eastAsia="Calibri" w:cs="Times New Roman"/>
          <w:noProof/>
          <w:color w:val="auto"/>
          <w:szCs w:val="28"/>
        </w:rPr>
        <w:t xml:space="preserve">En orden de ideas, el artículo 3°, fracción </w:t>
      </w:r>
      <w:r w:rsidR="0062016F" w:rsidRPr="0016487D">
        <w:rPr>
          <w:rFonts w:eastAsia="Calibri" w:cs="Times New Roman"/>
          <w:noProof/>
          <w:color w:val="auto"/>
          <w:szCs w:val="28"/>
        </w:rPr>
        <w:t>LXVIII</w:t>
      </w:r>
      <w:r w:rsidRPr="0016487D">
        <w:rPr>
          <w:rFonts w:eastAsia="Calibri" w:cs="Times New Roman"/>
          <w:noProof/>
          <w:color w:val="auto"/>
          <w:szCs w:val="28"/>
        </w:rPr>
        <w:t>,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6BC2CBC9" w14:textId="77777777" w:rsidR="00425D06" w:rsidRPr="0016487D" w:rsidRDefault="00425D06" w:rsidP="00AE2352">
      <w:pPr>
        <w:spacing w:after="0" w:line="360" w:lineRule="auto"/>
        <w:rPr>
          <w:rFonts w:eastAsia="Calibri" w:cs="Times New Roman"/>
          <w:noProof/>
          <w:color w:val="auto"/>
          <w:szCs w:val="28"/>
        </w:rPr>
      </w:pPr>
    </w:p>
    <w:p w14:paraId="2B10D36F" w14:textId="60CD0B02" w:rsidR="00425D06" w:rsidRPr="0016487D" w:rsidRDefault="00425D06" w:rsidP="00AE2352">
      <w:pPr>
        <w:spacing w:after="0" w:line="360" w:lineRule="auto"/>
        <w:rPr>
          <w:rFonts w:eastAsia="Calibri" w:cs="Times New Roman"/>
          <w:noProof/>
          <w:color w:val="auto"/>
          <w:szCs w:val="28"/>
        </w:rPr>
      </w:pPr>
      <w:r w:rsidRPr="0016487D">
        <w:rPr>
          <w:rFonts w:eastAsia="Calibri" w:cs="Times New Roman"/>
          <w:noProof/>
          <w:color w:val="auto"/>
          <w:szCs w:val="28"/>
        </w:rPr>
        <w:t>De la misma manera, el Manual para la Planeación, Programación y presupuesto de egresos Municipal para el ejercicio fiscal dos mil veinticinco, refiere que las remuneraciones consisten en la percepción de un trabajador o atribución monetaria que se da en pago por su servicio o actividad.</w:t>
      </w:r>
    </w:p>
    <w:p w14:paraId="352C286A" w14:textId="77777777" w:rsidR="00425D06" w:rsidRPr="0016487D" w:rsidRDefault="00425D06" w:rsidP="00AE2352">
      <w:pPr>
        <w:spacing w:after="0" w:line="360" w:lineRule="auto"/>
        <w:rPr>
          <w:noProof/>
          <w:color w:val="000000"/>
        </w:rPr>
      </w:pPr>
    </w:p>
    <w:p w14:paraId="394BD43C" w14:textId="77777777" w:rsidR="0062016F" w:rsidRPr="0016487D" w:rsidRDefault="0062016F" w:rsidP="00AE2352">
      <w:pPr>
        <w:spacing w:after="0" w:line="360" w:lineRule="auto"/>
        <w:rPr>
          <w:noProof/>
          <w:color w:val="000000"/>
        </w:rPr>
      </w:pPr>
      <w:r w:rsidRPr="0016487D">
        <w:rPr>
          <w:noProof/>
          <w:color w:val="000000"/>
        </w:rPr>
        <w:t>En ese contexto, el artículo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14:paraId="66102DD2" w14:textId="77777777" w:rsidR="0062016F" w:rsidRPr="0016487D" w:rsidRDefault="0062016F" w:rsidP="00AE2352">
      <w:pPr>
        <w:spacing w:after="0" w:line="360" w:lineRule="auto"/>
        <w:rPr>
          <w:rFonts w:eastAsia="Calibri" w:cs="Times New Roman"/>
          <w:noProof/>
          <w:color w:val="auto"/>
          <w:szCs w:val="28"/>
        </w:rPr>
      </w:pPr>
    </w:p>
    <w:p w14:paraId="445705EB" w14:textId="77777777" w:rsidR="0062016F" w:rsidRPr="0016487D" w:rsidRDefault="0062016F" w:rsidP="00AE2352">
      <w:pPr>
        <w:spacing w:after="0" w:line="360" w:lineRule="auto"/>
        <w:rPr>
          <w:b/>
          <w:noProof/>
          <w:color w:val="000000"/>
        </w:rPr>
      </w:pPr>
      <w:r w:rsidRPr="0016487D">
        <w:rPr>
          <w:noProof/>
          <w:color w:val="000000"/>
        </w:rPr>
        <w:t>Además, respecto al documento requerido, el Glosario localizado en la página de Transparencia Presupuestaria de la Secretaría de Hacienda y Crédito Público (</w:t>
      </w:r>
      <w:hyperlink r:id="rId9" w:history="1">
        <w:r w:rsidRPr="0016487D">
          <w:rPr>
            <w:noProof/>
            <w:color w:val="0000FF"/>
            <w:u w:val="single"/>
          </w:rPr>
          <w:t>http://www.transparenciapresupuestaria.gob.mx/es/PTP/Glosario</w:t>
        </w:r>
      </w:hyperlink>
      <w:r w:rsidRPr="0016487D">
        <w:rPr>
          <w:noProof/>
          <w:color w:val="000000"/>
        </w:rPr>
        <w:t xml:space="preserve">), establece que la </w:t>
      </w:r>
      <w:r w:rsidRPr="0016487D">
        <w:rPr>
          <w:b/>
          <w:noProof/>
          <w:color w:val="000000"/>
        </w:rPr>
        <w:t xml:space="preserve">Nómina es el documento contable que contiene la relación de los trabajadores con las percepciones monetarias de cada uno; además, que también se refiere al recibo individual y justificativo </w:t>
      </w:r>
      <w:r w:rsidRPr="0016487D">
        <w:rPr>
          <w:b/>
          <w:noProof/>
          <w:color w:val="000000"/>
        </w:rPr>
        <w:lastRenderedPageBreak/>
        <w:t>que indica los sueldos de los trabajadores, incluyendo las prestaciones y deducciones correspondientes.</w:t>
      </w:r>
    </w:p>
    <w:p w14:paraId="598AE581" w14:textId="77777777" w:rsidR="0062016F" w:rsidRPr="0016487D" w:rsidRDefault="0062016F" w:rsidP="00AE2352">
      <w:pPr>
        <w:spacing w:after="0" w:line="360" w:lineRule="auto"/>
        <w:rPr>
          <w:b/>
          <w:noProof/>
          <w:color w:val="000000"/>
        </w:rPr>
      </w:pPr>
    </w:p>
    <w:p w14:paraId="40937D99" w14:textId="77777777" w:rsidR="0062016F" w:rsidRPr="0016487D" w:rsidRDefault="0062016F" w:rsidP="00AE2352">
      <w:pPr>
        <w:spacing w:after="0" w:line="360" w:lineRule="auto"/>
        <w:rPr>
          <w:noProof/>
          <w:color w:val="000000"/>
        </w:rPr>
      </w:pPr>
      <w:r w:rsidRPr="0016487D">
        <w:rPr>
          <w:noProof/>
          <w:color w:val="000000"/>
        </w:rPr>
        <w:t>De la misma manera, el Glosario de términos más usuales en la Administración Pública Federal, emitido por la Secretaría de Hacienda y Crédito Público (</w:t>
      </w:r>
      <w:hyperlink r:id="rId10" w:history="1">
        <w:r w:rsidRPr="0016487D">
          <w:rPr>
            <w:noProof/>
            <w:color w:val="0000FF"/>
            <w:u w:val="single"/>
          </w:rPr>
          <w:t>http://www.apartados.hacienda.gob.mx/contabilidad/documentos/informe_cuenta/1998/cuenta_pública/Glosario/n.htm</w:t>
        </w:r>
      </w:hyperlink>
      <w:r w:rsidRPr="0016487D">
        <w:rPr>
          <w:noProof/>
          <w:color w:val="000000"/>
        </w:rPr>
        <w:t xml:space="preserve">), establece que </w:t>
      </w:r>
      <w:r w:rsidRPr="0016487D">
        <w:rPr>
          <w:noProof/>
          <w:color w:val="000000"/>
          <w:u w:val="single"/>
        </w:rPr>
        <w:t>la nómina es un listado general</w:t>
      </w:r>
      <w:r w:rsidRPr="0016487D">
        <w:rPr>
          <w:noProof/>
          <w:color w:val="000000"/>
        </w:rPr>
        <w:t xml:space="preserve"> de los trabajadores de una institución, en el cual se asientan las percepciones brutas, deducciones y alcance neto de las mismas. Conforme a lo anterior, se puede advertir que la nómina se puede referir a lo siguiente:</w:t>
      </w:r>
    </w:p>
    <w:p w14:paraId="1707CE08" w14:textId="77777777" w:rsidR="004856D5" w:rsidRPr="0016487D" w:rsidRDefault="004856D5" w:rsidP="00AE2352">
      <w:pPr>
        <w:spacing w:after="0" w:line="360" w:lineRule="auto"/>
        <w:rPr>
          <w:noProof/>
          <w:color w:val="000000"/>
        </w:rPr>
      </w:pPr>
    </w:p>
    <w:p w14:paraId="73AF7266" w14:textId="6B40E770" w:rsidR="00063A0B" w:rsidRPr="0016487D" w:rsidRDefault="0062016F" w:rsidP="00AE2352">
      <w:pPr>
        <w:numPr>
          <w:ilvl w:val="0"/>
          <w:numId w:val="1"/>
        </w:numPr>
        <w:spacing w:after="0" w:line="360" w:lineRule="auto"/>
        <w:contextualSpacing/>
        <w:rPr>
          <w:noProof/>
          <w:kern w:val="2"/>
          <w:szCs w:val="24"/>
          <w14:ligatures w14:val="standardContextual"/>
        </w:rPr>
      </w:pPr>
      <w:r w:rsidRPr="0016487D">
        <w:rPr>
          <w:noProof/>
          <w:kern w:val="2"/>
          <w:szCs w:val="24"/>
          <w14:ligatures w14:val="standardContextual"/>
        </w:rPr>
        <w:t xml:space="preserve">Relación de trabajadores con las percepciones monetarias de cada uno. </w:t>
      </w:r>
    </w:p>
    <w:p w14:paraId="35D51E74" w14:textId="0385CD4E" w:rsidR="0062016F" w:rsidRPr="0016487D" w:rsidRDefault="0062016F" w:rsidP="00AE2352">
      <w:pPr>
        <w:numPr>
          <w:ilvl w:val="0"/>
          <w:numId w:val="1"/>
        </w:numPr>
        <w:spacing w:after="0" w:line="360" w:lineRule="auto"/>
        <w:contextualSpacing/>
        <w:rPr>
          <w:noProof/>
          <w:kern w:val="2"/>
          <w:szCs w:val="24"/>
          <w14:ligatures w14:val="standardContextual"/>
        </w:rPr>
      </w:pPr>
      <w:r w:rsidRPr="0016487D">
        <w:rPr>
          <w:noProof/>
          <w:kern w:val="2"/>
          <w:szCs w:val="24"/>
          <w14:ligatures w14:val="standardContextual"/>
        </w:rPr>
        <w:t>Recibo individual que contiene las prestaciones y deducciones de un trabajador.</w:t>
      </w:r>
    </w:p>
    <w:p w14:paraId="4BFE177D" w14:textId="77777777" w:rsidR="0062016F" w:rsidRPr="0016487D" w:rsidRDefault="0062016F" w:rsidP="00AE2352">
      <w:pPr>
        <w:numPr>
          <w:ilvl w:val="0"/>
          <w:numId w:val="1"/>
        </w:numPr>
        <w:spacing w:after="0" w:line="360" w:lineRule="auto"/>
        <w:contextualSpacing/>
        <w:rPr>
          <w:b/>
          <w:noProof/>
          <w:kern w:val="2"/>
          <w:szCs w:val="24"/>
          <w14:ligatures w14:val="standardContextual"/>
        </w:rPr>
      </w:pPr>
      <w:r w:rsidRPr="0016487D">
        <w:rPr>
          <w:b/>
          <w:noProof/>
          <w:kern w:val="2"/>
          <w:szCs w:val="24"/>
          <w14:ligatures w14:val="standardContextual"/>
        </w:rPr>
        <w:t>Listado general de los servidores públicos de una institución o dependencia, en el cual se asientan las percepciones brutas, deducciones y alcance neto de las mismas.</w:t>
      </w:r>
    </w:p>
    <w:p w14:paraId="72CFCDD0" w14:textId="77777777" w:rsidR="000A7E05" w:rsidRPr="0016487D" w:rsidRDefault="000A7E05" w:rsidP="00AE2352">
      <w:pPr>
        <w:spacing w:after="0" w:line="360" w:lineRule="auto"/>
        <w:rPr>
          <w:noProof/>
          <w:color w:val="000000"/>
          <w14:ligatures w14:val="standardContextual"/>
        </w:rPr>
      </w:pPr>
    </w:p>
    <w:p w14:paraId="5A331A41" w14:textId="7B05CE00" w:rsidR="00F80E6D" w:rsidRPr="0016487D" w:rsidRDefault="00F80E6D" w:rsidP="00F80E6D">
      <w:pPr>
        <w:spacing w:after="0" w:line="360" w:lineRule="auto"/>
        <w:rPr>
          <w:rFonts w:eastAsia="Times New Roman" w:cs="Palatino Linotype"/>
          <w:noProof/>
          <w:lang w:eastAsia="es-MX"/>
        </w:rPr>
      </w:pPr>
      <w:r w:rsidRPr="0016487D">
        <w:rPr>
          <w:rFonts w:eastAsia="Times New Roman" w:cs="Palatino Linotype"/>
          <w:noProof/>
          <w:lang w:eastAsia="es-MX"/>
        </w:rPr>
        <w:t>De tal circunstancia, se logra vislumbrar que la pretensión del ahora Recurrente, es obtener el listado general de los servidores públicos adscritos al Ayuntamiento de Coacalco de Berriozabal, que contengan las percepciones, prestaciones y deducciones realizadas, en la primera quincena de febrero de dos mil veinticinco.</w:t>
      </w:r>
    </w:p>
    <w:p w14:paraId="1BDE04BC" w14:textId="77777777" w:rsidR="00F80E6D" w:rsidRPr="0016487D" w:rsidRDefault="00F80E6D" w:rsidP="00AE2352">
      <w:pPr>
        <w:spacing w:after="0" w:line="360" w:lineRule="auto"/>
        <w:rPr>
          <w:noProof/>
          <w:color w:val="000000"/>
          <w14:ligatures w14:val="standardContextual"/>
        </w:rPr>
      </w:pPr>
    </w:p>
    <w:p w14:paraId="57BECBE9" w14:textId="0EE28674" w:rsidR="00F80E6D" w:rsidRPr="0016487D" w:rsidRDefault="00F80E6D" w:rsidP="00F80E6D">
      <w:pPr>
        <w:spacing w:after="0" w:line="360" w:lineRule="auto"/>
        <w:rPr>
          <w:rFonts w:eastAsia="Times New Roman" w:cs="Palatino Linotype"/>
          <w:noProof/>
          <w:lang w:eastAsia="es-MX"/>
        </w:rPr>
      </w:pPr>
      <w:r w:rsidRPr="0016487D">
        <w:rPr>
          <w:rFonts w:eastAsia="Times New Roman" w:cs="Palatino Linotype"/>
          <w:noProof/>
          <w:color w:val="000000"/>
          <w:lang w:eastAsia="es-MX"/>
        </w:rPr>
        <w:t>Ahora bien, de las constancias que obran en el expediente electrónico, se advierte que el Sujeto Obligado</w:t>
      </w:r>
      <w:r w:rsidRPr="0016487D">
        <w:rPr>
          <w:rFonts w:eastAsia="Times New Roman" w:cs="Palatino Linotype"/>
          <w:noProof/>
          <w:color w:val="0D0D0D"/>
          <w:lang w:eastAsia="es-MX"/>
        </w:rPr>
        <w:t xml:space="preserve">, turnó la solicitud de información a la </w:t>
      </w:r>
      <w:r w:rsidR="00A56493" w:rsidRPr="0016487D">
        <w:rPr>
          <w:rFonts w:eastAsia="Times New Roman" w:cs="Palatino Linotype"/>
          <w:noProof/>
          <w:color w:val="0D0D0D"/>
          <w:lang w:eastAsia="es-MX"/>
        </w:rPr>
        <w:t>Dirección de Administración</w:t>
      </w:r>
      <w:r w:rsidRPr="0016487D">
        <w:rPr>
          <w:rFonts w:eastAsia="Times New Roman" w:cs="Palatino Linotype"/>
          <w:noProof/>
          <w:color w:val="000000"/>
          <w:lang w:eastAsia="es-MX"/>
        </w:rPr>
        <w:t xml:space="preserve">; </w:t>
      </w:r>
      <w:r w:rsidRPr="0016487D">
        <w:rPr>
          <w:rFonts w:eastAsia="Times New Roman" w:cs="Palatino Linotype"/>
          <w:noProof/>
          <w:lang w:eastAsia="es-MX"/>
        </w:rPr>
        <w:t xml:space="preserve">por lo que, es oportuno hacer referencia al </w:t>
      </w:r>
      <w:r w:rsidRPr="0016487D">
        <w:rPr>
          <w:rFonts w:eastAsia="Times New Roman" w:cs="Palatino Linotype"/>
          <w:b/>
          <w:noProof/>
          <w:lang w:eastAsia="es-MX"/>
        </w:rPr>
        <w:t>procedimiento de búsqueda que deben de seguir los Sujetos Obligados para localizar la información</w:t>
      </w:r>
      <w:r w:rsidRPr="0016487D">
        <w:rPr>
          <w:rFonts w:eastAsia="Times New Roman" w:cs="Palatino Linotype"/>
          <w:noProof/>
          <w:lang w:eastAsia="es-MX"/>
        </w:rPr>
        <w:t xml:space="preserve">, el cual se encuentra previsto en el artículo 162 de la Ley de Transparencia y Acceso a la Información Pública del Estado de México y Municipios, el cual establece que las Unidades de Transparencia garantizarán que las solicitudes de acceso a </w:t>
      </w:r>
      <w:r w:rsidRPr="0016487D">
        <w:rPr>
          <w:rFonts w:eastAsia="Times New Roman" w:cs="Palatino Linotype"/>
          <w:noProof/>
          <w:lang w:eastAsia="es-MX"/>
        </w:rPr>
        <w:lastRenderedPageBreak/>
        <w:t>la información se turnen a todas las áreas competentes que cuenten con la información o deban tenerla -de acuerdo con las facultades, competencias y funciones- con el objeto de que dichas áreas realicen una búsqueda exhaustiva y razonable de la información requerida.</w:t>
      </w:r>
    </w:p>
    <w:p w14:paraId="5009889C" w14:textId="77777777" w:rsidR="00F80E6D" w:rsidRPr="0016487D" w:rsidRDefault="00F80E6D" w:rsidP="00AE2352">
      <w:pPr>
        <w:spacing w:after="0" w:line="360" w:lineRule="auto"/>
        <w:rPr>
          <w:noProof/>
          <w:color w:val="000000"/>
          <w14:ligatures w14:val="standardContextual"/>
        </w:rPr>
      </w:pPr>
    </w:p>
    <w:p w14:paraId="45E9AC9E" w14:textId="4FC235C5" w:rsidR="00A56493" w:rsidRPr="0016487D" w:rsidRDefault="00A56493" w:rsidP="00AE2352">
      <w:pPr>
        <w:spacing w:after="0" w:line="360" w:lineRule="auto"/>
        <w:rPr>
          <w:noProof/>
          <w:color w:val="000000"/>
          <w14:ligatures w14:val="standardContextual"/>
        </w:rPr>
      </w:pPr>
      <w:r w:rsidRPr="0016487D">
        <w:rPr>
          <w:noProof/>
          <w:color w:val="000000"/>
          <w14:ligatures w14:val="standardContextual"/>
        </w:rPr>
        <w:t>En ese sentido los artículos 40, fracción III, inciso a y 58 del Bando Municipal de Coacalco de Berriozábal, dos mil veinticinco, con relación a los diversos del Reglamento Interno de la Administración Pública Municipal del Sujeto Obligado, establecen que el Ayuntamiento para el cumplimiento de sus funciones, contara con una Dirección de Administración encargada de dirigir, evaluar y autorizar los programas, procesos y procedimientos para la elaboración, pago de nómina y el timbrado de la misma.</w:t>
      </w:r>
    </w:p>
    <w:p w14:paraId="56594855" w14:textId="77777777" w:rsidR="00A56493" w:rsidRPr="0016487D" w:rsidRDefault="00A56493" w:rsidP="00AE2352">
      <w:pPr>
        <w:spacing w:after="0" w:line="360" w:lineRule="auto"/>
        <w:rPr>
          <w:noProof/>
          <w:color w:val="000000"/>
          <w14:ligatures w14:val="standardContextual"/>
        </w:rPr>
      </w:pPr>
    </w:p>
    <w:p w14:paraId="292F9517" w14:textId="4E8B0F36" w:rsidR="009A61E1" w:rsidRPr="0016487D" w:rsidRDefault="00485786" w:rsidP="00AE2352">
      <w:pPr>
        <w:spacing w:after="0" w:line="360" w:lineRule="auto"/>
        <w:rPr>
          <w:rFonts w:eastAsia="Calibri" w:cs="Tahoma"/>
          <w:bCs/>
          <w:iCs/>
          <w:noProof/>
          <w:color w:val="000000"/>
        </w:rPr>
      </w:pPr>
      <w:r w:rsidRPr="0016487D">
        <w:rPr>
          <w:rFonts w:eastAsia="Calibri" w:cs="Tahoma"/>
          <w:bCs/>
          <w:iCs/>
          <w:noProof/>
          <w:color w:val="000000"/>
        </w:rPr>
        <w:t>Conforme a lo anterior, se logra colegir que el Sujeto Obligado cuenta con un área competente para conocer de la información peticionada, a saber, la Dirección de Administración, que ve todas las cuestiones relacionadas el pago de nómina; por lo que, es posible advertir que cumplió lo establecido en el artículo 162 de la Ley de Transparencia y Acceso a la Información Pública del Estado de México y Municipios.</w:t>
      </w:r>
    </w:p>
    <w:p w14:paraId="13986545" w14:textId="77777777" w:rsidR="00A52FB5" w:rsidRPr="0016487D" w:rsidRDefault="00A52FB5" w:rsidP="00AE2352">
      <w:pPr>
        <w:spacing w:after="0" w:line="360" w:lineRule="auto"/>
        <w:rPr>
          <w:rFonts w:eastAsia="Calibri" w:cs="Tahoma"/>
          <w:bCs/>
          <w:iCs/>
          <w:noProof/>
          <w:color w:val="000000"/>
        </w:rPr>
      </w:pPr>
    </w:p>
    <w:p w14:paraId="163FD178" w14:textId="61F306C8" w:rsidR="00A56493" w:rsidRPr="0016487D" w:rsidRDefault="00A56493" w:rsidP="00AE2352">
      <w:pPr>
        <w:spacing w:after="0" w:line="360" w:lineRule="auto"/>
        <w:rPr>
          <w:noProof/>
          <w:color w:val="000000"/>
          <w14:ligatures w14:val="standardContextual"/>
        </w:rPr>
      </w:pPr>
      <w:r w:rsidRPr="0016487D">
        <w:rPr>
          <w:noProof/>
          <w:color w:val="000000"/>
          <w14:ligatures w14:val="standardContextual"/>
        </w:rPr>
        <w:t>Ahora bien, en respuesta dicha área precisó que proporcionaba la nómina solicitada del dos mil veinticinco, por lo que proporcionó una relación con la información únicamente de los Directore, tal como se muestra a continuación:</w:t>
      </w:r>
    </w:p>
    <w:p w14:paraId="086626E7" w14:textId="77777777" w:rsidR="00A56493" w:rsidRPr="0016487D" w:rsidRDefault="00A56493" w:rsidP="00AE2352">
      <w:pPr>
        <w:spacing w:after="0" w:line="360" w:lineRule="auto"/>
        <w:rPr>
          <w:noProof/>
          <w:color w:val="000000"/>
          <w14:ligatures w14:val="standardContextual"/>
        </w:rPr>
      </w:pPr>
    </w:p>
    <w:p w14:paraId="682463FB" w14:textId="117C78C9" w:rsidR="00A56493" w:rsidRPr="0016487D" w:rsidRDefault="00A56493" w:rsidP="00A56493">
      <w:pPr>
        <w:spacing w:after="0" w:line="360" w:lineRule="auto"/>
        <w:jc w:val="center"/>
        <w:rPr>
          <w:noProof/>
          <w:color w:val="000000"/>
          <w14:ligatures w14:val="standardContextual"/>
        </w:rPr>
      </w:pPr>
      <w:r w:rsidRPr="0016487D">
        <w:rPr>
          <w:noProof/>
          <w:color w:val="000000"/>
          <w:lang w:eastAsia="es-MX"/>
          <w14:ligatures w14:val="standardContextual"/>
        </w:rPr>
        <w:drawing>
          <wp:inline distT="0" distB="0" distL="0" distR="0" wp14:anchorId="6F328312" wp14:editId="3A6D62A2">
            <wp:extent cx="5410200" cy="1616357"/>
            <wp:effectExtent l="0" t="0" r="0" b="3175"/>
            <wp:docPr id="3698480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848067" name=""/>
                    <pic:cNvPicPr/>
                  </pic:nvPicPr>
                  <pic:blipFill>
                    <a:blip r:embed="rId11"/>
                    <a:stretch>
                      <a:fillRect/>
                    </a:stretch>
                  </pic:blipFill>
                  <pic:spPr>
                    <a:xfrm>
                      <a:off x="0" y="0"/>
                      <a:ext cx="5426781" cy="1621311"/>
                    </a:xfrm>
                    <a:prstGeom prst="rect">
                      <a:avLst/>
                    </a:prstGeom>
                  </pic:spPr>
                </pic:pic>
              </a:graphicData>
            </a:graphic>
          </wp:inline>
        </w:drawing>
      </w:r>
    </w:p>
    <w:p w14:paraId="6C9DCED2" w14:textId="71A7FF33" w:rsidR="00A56493" w:rsidRPr="0016487D" w:rsidRDefault="00A56493" w:rsidP="00AE2352">
      <w:pPr>
        <w:spacing w:after="0" w:line="360" w:lineRule="auto"/>
        <w:rPr>
          <w:noProof/>
          <w:color w:val="000000"/>
          <w14:ligatures w14:val="standardContextual"/>
        </w:rPr>
      </w:pPr>
      <w:r w:rsidRPr="0016487D">
        <w:rPr>
          <w:noProof/>
          <w:color w:val="000000"/>
          <w14:ligatures w14:val="standardContextual"/>
        </w:rPr>
        <w:lastRenderedPageBreak/>
        <w:t xml:space="preserve">En ese orden de ideas, se logra vislumbrar que si bien el documento proporcionado se relacionada con lo solicitado, este no atiende el pedimento de información, pues la pretensión de la persona Recurrente, es obtener la información de la nómina pagada a todos los servidores públicos adscritos al Sujeto Obligado, de la primera quincena de febrero de dos mil veinticinco. Además, es de señalar que de dicho documento no se logra vislumbrar la temporalidad de entrega, ni la forman en que se conforman las prestaciones y el sueldo bruto, así como las deducciones. </w:t>
      </w:r>
    </w:p>
    <w:p w14:paraId="095F7AF0" w14:textId="77777777" w:rsidR="00A56493" w:rsidRPr="0016487D" w:rsidRDefault="00A56493" w:rsidP="00AE2352">
      <w:pPr>
        <w:spacing w:after="0" w:line="360" w:lineRule="auto"/>
        <w:rPr>
          <w:noProof/>
          <w:color w:val="000000"/>
          <w14:ligatures w14:val="standardContextual"/>
        </w:rPr>
      </w:pPr>
    </w:p>
    <w:p w14:paraId="652E05A2" w14:textId="603787D0" w:rsidR="009C3B3B" w:rsidRPr="0016487D" w:rsidRDefault="00A56493" w:rsidP="00AE2352">
      <w:pPr>
        <w:spacing w:after="0" w:line="360" w:lineRule="auto"/>
        <w:rPr>
          <w:noProof/>
          <w:color w:val="000000"/>
          <w14:ligatures w14:val="standardContextual"/>
        </w:rPr>
      </w:pPr>
      <w:r w:rsidRPr="0016487D">
        <w:rPr>
          <w:noProof/>
          <w:color w:val="000000"/>
          <w14:ligatures w14:val="standardContextual"/>
        </w:rPr>
        <w:t>Por lo cual</w:t>
      </w:r>
      <w:r w:rsidR="009C3B3B" w:rsidRPr="0016487D">
        <w:rPr>
          <w:noProof/>
          <w:color w:val="000000"/>
          <w14:ligatures w14:val="standardContextual"/>
        </w:rPr>
        <w:t>, se concluye que el Sujeto Obligo</w:t>
      </w:r>
      <w:r w:rsidR="005B67F4" w:rsidRPr="0016487D">
        <w:rPr>
          <w:noProof/>
          <w:color w:val="000000"/>
          <w14:ligatures w14:val="standardContextual"/>
        </w:rPr>
        <w:t xml:space="preserve"> no satisfizo el derecho de acceso a la información, </w:t>
      </w:r>
      <w:r w:rsidR="00B67812" w:rsidRPr="0016487D">
        <w:rPr>
          <w:noProof/>
          <w:color w:val="000000"/>
          <w14:ligatures w14:val="standardContextual"/>
        </w:rPr>
        <w:t>pues proporcionó un documento que no corresponde con lo solicitado y por lo tanto, no da cuenta de la nómina pagada, por lo que,</w:t>
      </w:r>
      <w:r w:rsidR="005B67F4" w:rsidRPr="0016487D">
        <w:rPr>
          <w:noProof/>
          <w:color w:val="000000"/>
          <w14:ligatures w14:val="standardContextual"/>
        </w:rPr>
        <w:t xml:space="preserve"> que el agravio</w:t>
      </w:r>
      <w:r w:rsidR="00B67812" w:rsidRPr="0016487D">
        <w:rPr>
          <w:noProof/>
          <w:color w:val="000000"/>
          <w14:ligatures w14:val="standardContextual"/>
        </w:rPr>
        <w:t xml:space="preserve"> manifestado</w:t>
      </w:r>
      <w:r w:rsidR="005B67F4" w:rsidRPr="0016487D">
        <w:rPr>
          <w:noProof/>
          <w:color w:val="000000"/>
          <w14:ligatures w14:val="standardContextual"/>
        </w:rPr>
        <w:t xml:space="preserve"> </w:t>
      </w:r>
      <w:r w:rsidR="00B67812" w:rsidRPr="0016487D">
        <w:rPr>
          <w:noProof/>
          <w:color w:val="000000"/>
          <w14:ligatures w14:val="standardContextual"/>
        </w:rPr>
        <w:t>es</w:t>
      </w:r>
      <w:r w:rsidR="005B67F4" w:rsidRPr="0016487D">
        <w:rPr>
          <w:noProof/>
          <w:color w:val="000000"/>
          <w14:ligatures w14:val="standardContextual"/>
        </w:rPr>
        <w:t xml:space="preserve"> </w:t>
      </w:r>
      <w:r w:rsidR="005B67F4" w:rsidRPr="0016487D">
        <w:rPr>
          <w:b/>
          <w:noProof/>
          <w:color w:val="000000"/>
          <w14:ligatures w14:val="standardContextual"/>
        </w:rPr>
        <w:t>FUNDADO</w:t>
      </w:r>
      <w:r w:rsidR="005B67F4" w:rsidRPr="0016487D">
        <w:rPr>
          <w:noProof/>
          <w:color w:val="000000"/>
          <w14:ligatures w14:val="standardContextual"/>
        </w:rPr>
        <w:t>.</w:t>
      </w:r>
    </w:p>
    <w:p w14:paraId="4B5D5491" w14:textId="77777777" w:rsidR="00B67812" w:rsidRPr="0016487D" w:rsidRDefault="00B67812" w:rsidP="00AE2352">
      <w:pPr>
        <w:spacing w:after="0" w:line="360" w:lineRule="auto"/>
        <w:rPr>
          <w:noProof/>
        </w:rPr>
      </w:pPr>
    </w:p>
    <w:p w14:paraId="56588582" w14:textId="6877DCBE" w:rsidR="009C3B3B" w:rsidRPr="0016487D" w:rsidRDefault="009C3B3B" w:rsidP="00AE2352">
      <w:pPr>
        <w:spacing w:after="0" w:line="360" w:lineRule="auto"/>
        <w:rPr>
          <w:noProof/>
        </w:rPr>
      </w:pPr>
      <w:r w:rsidRPr="0016487D">
        <w:rPr>
          <w:noProof/>
        </w:rPr>
        <w:t>Así, para atender al requerimiento en análisis, el Sujeto Obligado, deberá realizar una búsqueda exhaustiva y razonable en las unidades administrativas competentes, entre las cuales no podrá omitir a</w:t>
      </w:r>
      <w:r w:rsidR="00B67812" w:rsidRPr="0016487D">
        <w:rPr>
          <w:noProof/>
        </w:rPr>
        <w:t xml:space="preserve"> </w:t>
      </w:r>
      <w:r w:rsidRPr="0016487D">
        <w:rPr>
          <w:noProof/>
        </w:rPr>
        <w:t xml:space="preserve">la </w:t>
      </w:r>
      <w:r w:rsidRPr="0016487D">
        <w:rPr>
          <w:bCs/>
          <w:noProof/>
        </w:rPr>
        <w:t>Dirección de Administración,</w:t>
      </w:r>
      <w:r w:rsidRPr="0016487D">
        <w:rPr>
          <w:b/>
          <w:noProof/>
        </w:rPr>
        <w:t xml:space="preserve"> </w:t>
      </w:r>
      <w:r w:rsidRPr="0016487D">
        <w:rPr>
          <w:noProof/>
        </w:rPr>
        <w:t>en términos del artículo 162 de la Ley de Transparencia y Acceso a la Información Pública del Estado de México y Municipios, a efecto de que entregue los documentos que den cuenta de la información solicitada</w:t>
      </w:r>
      <w:r w:rsidR="00B67812" w:rsidRPr="0016487D">
        <w:rPr>
          <w:noProof/>
        </w:rPr>
        <w:t>, es decir, la nómina de la primera quincena de febrero de dos mil veinticinco</w:t>
      </w:r>
      <w:r w:rsidRPr="0016487D">
        <w:rPr>
          <w:noProof/>
        </w:rPr>
        <w:t>; dicha situación toma sustento en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1D06B6ED" w14:textId="77777777" w:rsidR="009C3B3B" w:rsidRPr="0016487D" w:rsidRDefault="009C3B3B" w:rsidP="00AE2352">
      <w:pPr>
        <w:tabs>
          <w:tab w:val="left" w:pos="6210"/>
        </w:tabs>
        <w:spacing w:after="0" w:line="360" w:lineRule="auto"/>
        <w:rPr>
          <w:noProof/>
        </w:rPr>
      </w:pPr>
      <w:r w:rsidRPr="0016487D">
        <w:rPr>
          <w:noProof/>
        </w:rPr>
        <w:tab/>
      </w:r>
    </w:p>
    <w:p w14:paraId="25A46EC0" w14:textId="77777777" w:rsidR="009C3B3B" w:rsidRPr="0016487D" w:rsidRDefault="009C3B3B" w:rsidP="00AE2352">
      <w:pPr>
        <w:spacing w:after="0" w:line="360" w:lineRule="auto"/>
        <w:rPr>
          <w:noProof/>
        </w:rPr>
      </w:pPr>
      <w:r w:rsidRPr="0016487D">
        <w:rPr>
          <w:noProof/>
        </w:rPr>
        <w:t xml:space="preserve">De esta manera, el derecho de acceso a la información pública se satisface en aquellos casos en que se entregue el soporte documental en el que conste la información solicitada, sin necesidad de elaborar documentos </w:t>
      </w:r>
      <w:r w:rsidRPr="0016487D">
        <w:rPr>
          <w:i/>
          <w:noProof/>
        </w:rPr>
        <w:t>ad hoc</w:t>
      </w:r>
      <w:r w:rsidRPr="0016487D">
        <w:rPr>
          <w:noProof/>
        </w:rPr>
        <w:t xml:space="preserve">; lo cual, de conformidad con en el artículo 160 de la Ley de </w:t>
      </w:r>
      <w:r w:rsidRPr="0016487D">
        <w:rPr>
          <w:noProof/>
        </w:rPr>
        <w:lastRenderedPageBreak/>
        <w:t>Transparencia y Acceso a la Información Pública del Estado de México y Municipios, el cual refiere que los sujetos obligados deberán entregar la información que obre en sus archivos.</w:t>
      </w:r>
    </w:p>
    <w:p w14:paraId="30398E9F" w14:textId="77777777" w:rsidR="009C3B3B" w:rsidRPr="0016487D" w:rsidRDefault="009C3B3B" w:rsidP="00AE2352">
      <w:pPr>
        <w:spacing w:after="0" w:line="360" w:lineRule="auto"/>
        <w:rPr>
          <w:b/>
          <w:noProof/>
          <w:color w:val="auto"/>
        </w:rPr>
      </w:pPr>
    </w:p>
    <w:p w14:paraId="2B213F8E" w14:textId="79459982" w:rsidR="009C3B3B" w:rsidRPr="0016487D" w:rsidRDefault="009C3B3B" w:rsidP="00AE2352">
      <w:pPr>
        <w:spacing w:after="0" w:line="360" w:lineRule="auto"/>
        <w:rPr>
          <w:noProof/>
        </w:rPr>
      </w:pPr>
      <w:r w:rsidRPr="0016487D">
        <w:rPr>
          <w:noProof/>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proporcionar el documento donde conste la nómina de la primera quincena de enero de dos mil veinticinco, pagada a los servidores públicos adscritos al Ayuntamiento de </w:t>
      </w:r>
      <w:r w:rsidR="00B67812" w:rsidRPr="0016487D">
        <w:rPr>
          <w:noProof/>
        </w:rPr>
        <w:t>Coacalco de Berriozabal</w:t>
      </w:r>
      <w:r w:rsidRPr="0016487D">
        <w:rPr>
          <w:noProof/>
        </w:rPr>
        <w:t xml:space="preserve">. </w:t>
      </w:r>
    </w:p>
    <w:p w14:paraId="3590039A" w14:textId="77777777" w:rsidR="009C3B3B" w:rsidRPr="0016487D" w:rsidRDefault="009C3B3B" w:rsidP="00AE2352">
      <w:pPr>
        <w:spacing w:after="0" w:line="360" w:lineRule="auto"/>
        <w:rPr>
          <w:noProof/>
        </w:rPr>
      </w:pPr>
    </w:p>
    <w:p w14:paraId="70E6FCB0" w14:textId="77777777" w:rsidR="009C3B3B" w:rsidRPr="0016487D" w:rsidRDefault="009C3B3B" w:rsidP="00AE2352">
      <w:pPr>
        <w:spacing w:after="0" w:line="360" w:lineRule="auto"/>
        <w:rPr>
          <w:noProof/>
        </w:rPr>
      </w:pPr>
      <w:r w:rsidRPr="0016487D">
        <w:rPr>
          <w:noProof/>
        </w:rPr>
        <w:t>Ahora bien, de manera enunciativa más no limitativa, la documentación que da cuenta de lo solicitado pudiera contener los siguientes datos:</w:t>
      </w:r>
    </w:p>
    <w:p w14:paraId="6878F2A8" w14:textId="77777777" w:rsidR="009C3B3B" w:rsidRPr="0016487D" w:rsidRDefault="009C3B3B" w:rsidP="00AE2352">
      <w:pPr>
        <w:spacing w:after="0" w:line="360" w:lineRule="auto"/>
        <w:rPr>
          <w:noProof/>
        </w:rPr>
      </w:pPr>
    </w:p>
    <w:p w14:paraId="030207A7" w14:textId="77777777" w:rsidR="009C3B3B" w:rsidRPr="0016487D" w:rsidRDefault="009C3B3B" w:rsidP="00AE2352">
      <w:pPr>
        <w:pStyle w:val="Prrafodelista"/>
        <w:numPr>
          <w:ilvl w:val="0"/>
          <w:numId w:val="4"/>
        </w:numPr>
        <w:spacing w:line="360" w:lineRule="auto"/>
        <w:rPr>
          <w:noProof/>
        </w:rPr>
      </w:pPr>
      <w:r w:rsidRPr="0016487D">
        <w:rPr>
          <w:noProof/>
        </w:rPr>
        <w:t xml:space="preserve">Clave Única de Registro de Población (CURP); </w:t>
      </w:r>
    </w:p>
    <w:p w14:paraId="7FEC455D" w14:textId="77777777" w:rsidR="009C3B3B" w:rsidRPr="0016487D" w:rsidRDefault="009C3B3B" w:rsidP="00AE2352">
      <w:pPr>
        <w:pStyle w:val="Prrafodelista"/>
        <w:numPr>
          <w:ilvl w:val="0"/>
          <w:numId w:val="4"/>
        </w:numPr>
        <w:spacing w:line="360" w:lineRule="auto"/>
        <w:rPr>
          <w:noProof/>
        </w:rPr>
      </w:pPr>
      <w:r w:rsidRPr="0016487D">
        <w:rPr>
          <w:noProof/>
        </w:rPr>
        <w:t xml:space="preserve">Registro Federal de Contribuyentes del servidor público (RFC); </w:t>
      </w:r>
    </w:p>
    <w:p w14:paraId="262E0DBB" w14:textId="77777777" w:rsidR="009C3B3B" w:rsidRPr="0016487D" w:rsidRDefault="009C3B3B" w:rsidP="00AE2352">
      <w:pPr>
        <w:pStyle w:val="Prrafodelista"/>
        <w:numPr>
          <w:ilvl w:val="0"/>
          <w:numId w:val="4"/>
        </w:numPr>
        <w:spacing w:line="360" w:lineRule="auto"/>
        <w:rPr>
          <w:noProof/>
        </w:rPr>
      </w:pPr>
      <w:r w:rsidRPr="0016487D">
        <w:rPr>
          <w:noProof/>
        </w:rPr>
        <w:t>Número de seguridad social del Instituto de Seguridad Social del Estado de México y Municipios, y</w:t>
      </w:r>
    </w:p>
    <w:p w14:paraId="4FD17C99" w14:textId="77777777" w:rsidR="009C3B3B" w:rsidRPr="0016487D" w:rsidRDefault="009C3B3B" w:rsidP="00AE2352">
      <w:pPr>
        <w:pStyle w:val="Prrafodelista"/>
        <w:numPr>
          <w:ilvl w:val="0"/>
          <w:numId w:val="4"/>
        </w:numPr>
        <w:spacing w:line="360" w:lineRule="auto"/>
        <w:rPr>
          <w:noProof/>
        </w:rPr>
      </w:pPr>
      <w:r w:rsidRPr="0016487D">
        <w:rPr>
          <w:noProof/>
        </w:rPr>
        <w:t>Deducciones personales.</w:t>
      </w:r>
    </w:p>
    <w:p w14:paraId="32A5E63B" w14:textId="77777777" w:rsidR="009C3B3B" w:rsidRPr="0016487D" w:rsidRDefault="009C3B3B" w:rsidP="00AE2352">
      <w:pPr>
        <w:spacing w:after="0" w:line="360" w:lineRule="auto"/>
        <w:rPr>
          <w:noProof/>
        </w:rPr>
      </w:pPr>
    </w:p>
    <w:p w14:paraId="39BCFEEE" w14:textId="01BE3E67" w:rsidR="009C3B3B" w:rsidRPr="0016487D" w:rsidRDefault="009C3B3B" w:rsidP="00AE2352">
      <w:pPr>
        <w:spacing w:after="0" w:line="360" w:lineRule="auto"/>
        <w:rPr>
          <w:noProof/>
        </w:rPr>
      </w:pPr>
      <w:r w:rsidRPr="0016487D">
        <w:rPr>
          <w:noProof/>
        </w:rPr>
        <w:t xml:space="preserve">Por lo que, resulta procedente analizar si dichos datos son públicos o privados; en principio, cabe mencionar </w:t>
      </w:r>
      <w:r w:rsidR="00B67812" w:rsidRPr="0016487D">
        <w:rPr>
          <w:noProof/>
        </w:rPr>
        <w:t xml:space="preserve">que </w:t>
      </w:r>
      <w:r w:rsidRPr="0016487D">
        <w:rPr>
          <w:noProof/>
        </w:rPr>
        <w:t xml:space="preserve">el artículo 143, fracción I, de la Ley </w:t>
      </w:r>
      <w:r w:rsidR="00B67812" w:rsidRPr="0016487D">
        <w:rPr>
          <w:noProof/>
        </w:rPr>
        <w:t>de Transparencia y Acceso a la Información Pública del Estado de México y Municipios</w:t>
      </w:r>
      <w:r w:rsidRPr="0016487D">
        <w:rPr>
          <w:noProof/>
        </w:rPr>
        <w:t>, establece que la información privada y los datos personales, concernientes a una persona física o jurídica colectiva identificada o identificable son confidenciales.</w:t>
      </w:r>
    </w:p>
    <w:p w14:paraId="228CBC11" w14:textId="77777777" w:rsidR="009C3B3B" w:rsidRPr="0016487D" w:rsidRDefault="009C3B3B" w:rsidP="00AE2352">
      <w:pPr>
        <w:spacing w:after="0" w:line="360" w:lineRule="auto"/>
        <w:rPr>
          <w:noProof/>
        </w:rPr>
      </w:pPr>
    </w:p>
    <w:p w14:paraId="0C179638" w14:textId="77777777" w:rsidR="009C3B3B" w:rsidRPr="0016487D" w:rsidRDefault="009C3B3B" w:rsidP="00AE2352">
      <w:pPr>
        <w:spacing w:after="0" w:line="360" w:lineRule="auto"/>
        <w:rPr>
          <w:noProof/>
        </w:rPr>
      </w:pPr>
      <w:r w:rsidRPr="0016487D">
        <w:rPr>
          <w:noProof/>
        </w:rPr>
        <w:t xml:space="preserve">Asimismo, el artículo 145 de la Ley de Transparencia y Acceso a la Información Pública del Estado de México y Municipios, prevé que para que los Sujetos Obligados puedan permitir el </w:t>
      </w:r>
      <w:r w:rsidRPr="0016487D">
        <w:rPr>
          <w:noProof/>
        </w:rPr>
        <w:lastRenderedPageBreak/>
        <w:t>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7FEAA51A" w14:textId="77777777" w:rsidR="009C3B3B" w:rsidRPr="0016487D" w:rsidRDefault="009C3B3B" w:rsidP="00AE2352">
      <w:pPr>
        <w:spacing w:after="0" w:line="360" w:lineRule="auto"/>
        <w:rPr>
          <w:noProof/>
        </w:rPr>
      </w:pPr>
    </w:p>
    <w:p w14:paraId="67CCD094" w14:textId="77777777" w:rsidR="009C3B3B" w:rsidRPr="0016487D" w:rsidRDefault="009C3B3B" w:rsidP="00AE2352">
      <w:pPr>
        <w:spacing w:after="0" w:line="360" w:lineRule="auto"/>
        <w:rPr>
          <w:noProof/>
        </w:rPr>
      </w:pPr>
      <w:r w:rsidRPr="0016487D">
        <w:rPr>
          <w:noProof/>
        </w:rPr>
        <w:t>En términos de lo expuesto, la documentación y aquellos datos que se consideren confidenciales, serán una limitante del derecho de acceso a la información, siempre y cuando:</w:t>
      </w:r>
    </w:p>
    <w:p w14:paraId="376A9A9A" w14:textId="77777777" w:rsidR="009C3B3B" w:rsidRPr="0016487D" w:rsidRDefault="009C3B3B" w:rsidP="00AE2352">
      <w:pPr>
        <w:spacing w:after="0" w:line="360" w:lineRule="auto"/>
        <w:rPr>
          <w:noProof/>
        </w:rPr>
      </w:pPr>
    </w:p>
    <w:p w14:paraId="0FB9E1D0" w14:textId="77777777" w:rsidR="009C3B3B" w:rsidRPr="0016487D" w:rsidRDefault="009C3B3B" w:rsidP="00AE2352">
      <w:pPr>
        <w:pStyle w:val="Prrafodelista"/>
        <w:numPr>
          <w:ilvl w:val="0"/>
          <w:numId w:val="5"/>
        </w:numPr>
        <w:spacing w:line="360" w:lineRule="auto"/>
        <w:rPr>
          <w:noProof/>
        </w:rPr>
      </w:pPr>
      <w:r w:rsidRPr="0016487D">
        <w:rPr>
          <w:noProof/>
        </w:rPr>
        <w:t xml:space="preserve">Se trate de datos personales o información privada; esto es, información concerniente a una persona física o jurídico colectiva y que esta sea identificada o identificable. </w:t>
      </w:r>
    </w:p>
    <w:p w14:paraId="69189033" w14:textId="77777777" w:rsidR="009C3B3B" w:rsidRPr="0016487D" w:rsidRDefault="009C3B3B" w:rsidP="00AE2352">
      <w:pPr>
        <w:spacing w:after="0" w:line="360" w:lineRule="auto"/>
        <w:rPr>
          <w:noProof/>
        </w:rPr>
      </w:pPr>
    </w:p>
    <w:p w14:paraId="6E60D1BC" w14:textId="77777777" w:rsidR="009C3B3B" w:rsidRPr="0016487D" w:rsidRDefault="009C3B3B" w:rsidP="00AE2352">
      <w:pPr>
        <w:pStyle w:val="Prrafodelista"/>
        <w:numPr>
          <w:ilvl w:val="0"/>
          <w:numId w:val="5"/>
        </w:numPr>
        <w:spacing w:line="360" w:lineRule="auto"/>
        <w:rPr>
          <w:noProof/>
        </w:rPr>
      </w:pPr>
      <w:r w:rsidRPr="0016487D">
        <w:rPr>
          <w:noProof/>
        </w:rPr>
        <w:t>Para la difusión de los datos, se requiera el consentimiento del titular.</w:t>
      </w:r>
    </w:p>
    <w:p w14:paraId="135B1801" w14:textId="77777777" w:rsidR="009C3B3B" w:rsidRPr="0016487D" w:rsidRDefault="009C3B3B" w:rsidP="00AE2352">
      <w:pPr>
        <w:pStyle w:val="Prrafodelista"/>
        <w:spacing w:line="360" w:lineRule="auto"/>
        <w:rPr>
          <w:noProof/>
        </w:rPr>
      </w:pPr>
    </w:p>
    <w:p w14:paraId="28B497D6" w14:textId="77777777" w:rsidR="009C3B3B" w:rsidRPr="0016487D" w:rsidRDefault="009C3B3B" w:rsidP="00AE2352">
      <w:pPr>
        <w:spacing w:after="0" w:line="360" w:lineRule="auto"/>
        <w:rPr>
          <w:noProof/>
        </w:rPr>
      </w:pPr>
      <w:r w:rsidRPr="0016487D">
        <w:rPr>
          <w:noProof/>
        </w:rPr>
        <w:t>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w:t>
      </w:r>
    </w:p>
    <w:p w14:paraId="3331AC6F" w14:textId="77777777" w:rsidR="009C3B3B" w:rsidRPr="0016487D" w:rsidRDefault="009C3B3B" w:rsidP="00AE2352">
      <w:pPr>
        <w:spacing w:after="0" w:line="360" w:lineRule="auto"/>
        <w:rPr>
          <w:noProof/>
        </w:rPr>
      </w:pPr>
    </w:p>
    <w:p w14:paraId="13B0E0F0" w14:textId="77777777" w:rsidR="009C3B3B" w:rsidRPr="0016487D" w:rsidRDefault="009C3B3B" w:rsidP="00AE2352">
      <w:pPr>
        <w:spacing w:after="0" w:line="360" w:lineRule="auto"/>
        <w:rPr>
          <w:noProof/>
        </w:rPr>
      </w:pPr>
      <w:r w:rsidRPr="0016487D">
        <w:rPr>
          <w:noProof/>
        </w:rPr>
        <w:t>Bajo ese contexto, se analizarán si los datos mencionados, deben ser considerados confidenciales, en términos del artículo 143, fracción I, de la Ley de Transparencia y Acceso a la Información Pública del Estado de México y Municipios, o públicos.</w:t>
      </w:r>
    </w:p>
    <w:p w14:paraId="03B21D06" w14:textId="77777777" w:rsidR="009C3B3B" w:rsidRPr="0016487D" w:rsidRDefault="009C3B3B" w:rsidP="00AE2352">
      <w:pPr>
        <w:spacing w:after="0" w:line="360" w:lineRule="auto"/>
        <w:rPr>
          <w:noProof/>
        </w:rPr>
      </w:pPr>
    </w:p>
    <w:p w14:paraId="63102DBE" w14:textId="77777777" w:rsidR="009C3B3B" w:rsidRPr="0016487D" w:rsidRDefault="009C3B3B" w:rsidP="00AE2352">
      <w:pPr>
        <w:pStyle w:val="Prrafodelista"/>
        <w:numPr>
          <w:ilvl w:val="0"/>
          <w:numId w:val="6"/>
        </w:numPr>
        <w:spacing w:line="360" w:lineRule="auto"/>
        <w:rPr>
          <w:b/>
          <w:noProof/>
        </w:rPr>
      </w:pPr>
      <w:r w:rsidRPr="0016487D">
        <w:rPr>
          <w:b/>
          <w:noProof/>
        </w:rPr>
        <w:lastRenderedPageBreak/>
        <w:t>Clave Única de Registro de Población (CURP)</w:t>
      </w:r>
    </w:p>
    <w:p w14:paraId="7EB7C58F" w14:textId="77777777" w:rsidR="009C3B3B" w:rsidRPr="0016487D" w:rsidRDefault="009C3B3B" w:rsidP="00AE2352">
      <w:pPr>
        <w:spacing w:after="0" w:line="360" w:lineRule="auto"/>
        <w:rPr>
          <w:b/>
          <w:noProof/>
        </w:rPr>
      </w:pPr>
    </w:p>
    <w:p w14:paraId="6B230299" w14:textId="77777777" w:rsidR="009C3B3B" w:rsidRPr="0016487D" w:rsidRDefault="009C3B3B" w:rsidP="00AE2352">
      <w:pPr>
        <w:spacing w:after="0" w:line="360" w:lineRule="auto"/>
        <w:rPr>
          <w:noProof/>
        </w:rPr>
      </w:pPr>
      <w:r w:rsidRPr="0016487D">
        <w:rPr>
          <w:noProof/>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392786F7" w14:textId="77777777" w:rsidR="009C3B3B" w:rsidRPr="0016487D" w:rsidRDefault="009C3B3B" w:rsidP="00AE2352">
      <w:pPr>
        <w:spacing w:after="0" w:line="360" w:lineRule="auto"/>
        <w:rPr>
          <w:noProof/>
        </w:rPr>
      </w:pPr>
    </w:p>
    <w:p w14:paraId="3C719469" w14:textId="77777777" w:rsidR="009C3B3B" w:rsidRPr="0016487D" w:rsidRDefault="009C3B3B" w:rsidP="00AE2352">
      <w:pPr>
        <w:spacing w:after="0" w:line="360" w:lineRule="auto"/>
        <w:rPr>
          <w:noProof/>
        </w:rPr>
      </w:pPr>
      <w:r w:rsidRPr="0016487D">
        <w:rPr>
          <w:noProof/>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6C576273" w14:textId="77777777" w:rsidR="009C3B3B" w:rsidRPr="0016487D" w:rsidRDefault="009C3B3B" w:rsidP="00AE2352">
      <w:pPr>
        <w:spacing w:after="0" w:line="360" w:lineRule="auto"/>
        <w:rPr>
          <w:noProof/>
        </w:rPr>
      </w:pPr>
    </w:p>
    <w:p w14:paraId="6F68BB9A" w14:textId="77777777" w:rsidR="009C3B3B" w:rsidRPr="0016487D" w:rsidRDefault="009C3B3B" w:rsidP="00AE2352">
      <w:pPr>
        <w:spacing w:after="0" w:line="360" w:lineRule="auto"/>
        <w:rPr>
          <w:noProof/>
        </w:rPr>
      </w:pPr>
      <w:r w:rsidRPr="0016487D">
        <w:rPr>
          <w:noProof/>
        </w:rPr>
        <w:t xml:space="preserve">En ese orden de ideas, la Secretaría de Gobernación en las direcciones </w:t>
      </w:r>
      <w:hyperlink r:id="rId12" w:history="1">
        <w:r w:rsidRPr="0016487D">
          <w:rPr>
            <w:rStyle w:val="Hipervnculo"/>
            <w:noProof/>
          </w:rPr>
          <w:t>https://consultas.curp.gob.mx/CurpSP/html/informacionecurpPS.html</w:t>
        </w:r>
      </w:hyperlink>
      <w:r w:rsidRPr="0016487D">
        <w:rPr>
          <w:noProof/>
        </w:rPr>
        <w:t xml:space="preserve">  y </w:t>
      </w:r>
      <w:hyperlink r:id="rId13" w:history="1">
        <w:r w:rsidRPr="0016487D">
          <w:rPr>
            <w:rStyle w:val="Hipervnculo"/>
            <w:noProof/>
          </w:rPr>
          <w:t>https://www.gob.mx/segob/renapo/acciones-y-programas/clave-unica-de-registro-depoblacion-curp-142226</w:t>
        </w:r>
      </w:hyperlink>
      <w:r w:rsidRPr="0016487D">
        <w:rPr>
          <w:noProof/>
        </w:rPr>
        <w:t xml:space="preserve">  (consultadas el veinticinco de febrero de dos mil veinticinco),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se </w:t>
      </w:r>
      <w:r w:rsidRPr="0016487D">
        <w:rPr>
          <w:b/>
          <w:noProof/>
        </w:rPr>
        <w:t xml:space="preserve">generan a partir de los datos contenidos en el documento probatorio de la identidad del interesado </w:t>
      </w:r>
      <w:r w:rsidRPr="0016487D">
        <w:rPr>
          <w:noProof/>
        </w:rPr>
        <w:t>(acta de nacimiento, carta de naturalización o documento migratorio) de la siguiente forma:</w:t>
      </w:r>
    </w:p>
    <w:p w14:paraId="1FF1FD75" w14:textId="77777777" w:rsidR="009C3B3B" w:rsidRPr="0016487D" w:rsidRDefault="009C3B3B" w:rsidP="00AE2352">
      <w:pPr>
        <w:spacing w:after="0" w:line="360" w:lineRule="auto"/>
        <w:rPr>
          <w:noProof/>
        </w:rPr>
      </w:pPr>
    </w:p>
    <w:p w14:paraId="21952462" w14:textId="77777777" w:rsidR="009C3B3B" w:rsidRPr="0016487D" w:rsidRDefault="009C3B3B" w:rsidP="00AE2352">
      <w:pPr>
        <w:pStyle w:val="Prrafodelista"/>
        <w:numPr>
          <w:ilvl w:val="0"/>
          <w:numId w:val="6"/>
        </w:numPr>
        <w:spacing w:line="360" w:lineRule="auto"/>
        <w:rPr>
          <w:noProof/>
        </w:rPr>
      </w:pPr>
      <w:r w:rsidRPr="0016487D">
        <w:rPr>
          <w:noProof/>
        </w:rPr>
        <w:t xml:space="preserve">El primero y segundo apellidos, así como al nombre de pila; </w:t>
      </w:r>
    </w:p>
    <w:p w14:paraId="71A183E3" w14:textId="77777777" w:rsidR="009C3B3B" w:rsidRPr="0016487D" w:rsidRDefault="009C3B3B" w:rsidP="00AE2352">
      <w:pPr>
        <w:pStyle w:val="Prrafodelista"/>
        <w:numPr>
          <w:ilvl w:val="0"/>
          <w:numId w:val="6"/>
        </w:numPr>
        <w:spacing w:line="360" w:lineRule="auto"/>
        <w:rPr>
          <w:noProof/>
        </w:rPr>
      </w:pPr>
      <w:r w:rsidRPr="0016487D">
        <w:rPr>
          <w:noProof/>
        </w:rPr>
        <w:t xml:space="preserve">La fecha de nacimiento; </w:t>
      </w:r>
    </w:p>
    <w:p w14:paraId="5C4D95D2" w14:textId="77777777" w:rsidR="009C3B3B" w:rsidRPr="0016487D" w:rsidRDefault="009C3B3B" w:rsidP="00AE2352">
      <w:pPr>
        <w:pStyle w:val="Prrafodelista"/>
        <w:numPr>
          <w:ilvl w:val="0"/>
          <w:numId w:val="6"/>
        </w:numPr>
        <w:spacing w:line="360" w:lineRule="auto"/>
        <w:rPr>
          <w:noProof/>
        </w:rPr>
      </w:pPr>
      <w:r w:rsidRPr="0016487D">
        <w:rPr>
          <w:noProof/>
        </w:rPr>
        <w:lastRenderedPageBreak/>
        <w:t xml:space="preserve">El sexo, y </w:t>
      </w:r>
    </w:p>
    <w:p w14:paraId="27798AF5" w14:textId="77777777" w:rsidR="009C3B3B" w:rsidRPr="0016487D" w:rsidRDefault="009C3B3B" w:rsidP="00AE2352">
      <w:pPr>
        <w:pStyle w:val="Prrafodelista"/>
        <w:numPr>
          <w:ilvl w:val="0"/>
          <w:numId w:val="6"/>
        </w:numPr>
        <w:spacing w:line="360" w:lineRule="auto"/>
        <w:rPr>
          <w:noProof/>
        </w:rPr>
      </w:pPr>
      <w:r w:rsidRPr="0016487D">
        <w:rPr>
          <w:noProof/>
        </w:rPr>
        <w:t>La entidad federativa de nacimiento.</w:t>
      </w:r>
    </w:p>
    <w:p w14:paraId="7CD4A188" w14:textId="77777777" w:rsidR="009C3B3B" w:rsidRPr="0016487D" w:rsidRDefault="009C3B3B" w:rsidP="00AE2352">
      <w:pPr>
        <w:spacing w:after="0" w:line="360" w:lineRule="auto"/>
        <w:rPr>
          <w:noProof/>
        </w:rPr>
      </w:pPr>
    </w:p>
    <w:p w14:paraId="0445D805" w14:textId="77777777" w:rsidR="009C3B3B" w:rsidRPr="0016487D" w:rsidRDefault="009C3B3B" w:rsidP="00AE2352">
      <w:pPr>
        <w:spacing w:after="0" w:line="360" w:lineRule="auto"/>
        <w:rPr>
          <w:noProof/>
        </w:rPr>
      </w:pPr>
      <w:r w:rsidRPr="0016487D">
        <w:rPr>
          <w:noProof/>
        </w:rPr>
        <w:t>Los dos últimos elementos de la Clave Única de Registro de Población evitan la duplicidad de la Clave y garantizan su correcta integración.</w:t>
      </w:r>
    </w:p>
    <w:p w14:paraId="3267CF98" w14:textId="77777777" w:rsidR="00B67812" w:rsidRPr="0016487D" w:rsidRDefault="00B67812" w:rsidP="00AE2352">
      <w:pPr>
        <w:spacing w:after="0" w:line="360" w:lineRule="auto"/>
        <w:rPr>
          <w:noProof/>
        </w:rPr>
      </w:pPr>
    </w:p>
    <w:p w14:paraId="067CE3CE" w14:textId="77777777" w:rsidR="009C3B3B" w:rsidRPr="0016487D" w:rsidRDefault="009C3B3B" w:rsidP="00AE2352">
      <w:pPr>
        <w:spacing w:after="0" w:line="360" w:lineRule="auto"/>
        <w:rPr>
          <w:noProof/>
        </w:rPr>
      </w:pPr>
      <w:r w:rsidRPr="0016487D">
        <w:rPr>
          <w:noProof/>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003BFADB" w14:textId="77777777" w:rsidR="009C3B3B" w:rsidRPr="0016487D" w:rsidRDefault="009C3B3B" w:rsidP="00AE2352">
      <w:pPr>
        <w:spacing w:after="0" w:line="360" w:lineRule="auto"/>
        <w:rPr>
          <w:noProof/>
        </w:rPr>
      </w:pPr>
    </w:p>
    <w:p w14:paraId="18134CB2" w14:textId="7834C922" w:rsidR="009C3B3B" w:rsidRPr="0016487D" w:rsidRDefault="009C3B3B" w:rsidP="00AE2352">
      <w:pPr>
        <w:spacing w:after="0" w:line="360" w:lineRule="auto"/>
        <w:rPr>
          <w:noProof/>
        </w:rPr>
      </w:pPr>
      <w:r w:rsidRPr="0016487D">
        <w:rPr>
          <w:noProof/>
        </w:rPr>
        <w:t xml:space="preserve">Situación que se robustece, con el Criterio </w:t>
      </w:r>
      <w:r w:rsidR="00B67812" w:rsidRPr="0016487D">
        <w:rPr>
          <w:noProof/>
        </w:rPr>
        <w:t>Orientador</w:t>
      </w:r>
      <w:r w:rsidRPr="0016487D">
        <w:rPr>
          <w:noProof/>
        </w:rPr>
        <w:t>, con número de registro SO/018/2017, emitido por el</w:t>
      </w:r>
      <w:r w:rsidR="00B67812" w:rsidRPr="0016487D">
        <w:rPr>
          <w:noProof/>
        </w:rPr>
        <w:t xml:space="preserve"> entonces</w:t>
      </w:r>
      <w:r w:rsidRPr="0016487D">
        <w:rPr>
          <w:noProof/>
        </w:rPr>
        <w:t xml:space="preserve"> Instituto Nacional de Transparencia, Acceso a la Información y Protección de Datos Personales</w:t>
      </w:r>
      <w:r w:rsidR="00B67812" w:rsidRPr="0016487D">
        <w:rPr>
          <w:noProof/>
        </w:rPr>
        <w:t>, vigente a la fecha de la solicitud</w:t>
      </w:r>
      <w:r w:rsidRPr="0016487D">
        <w:rPr>
          <w:noProof/>
        </w:rPr>
        <w:t>, que establece lo siguiente:</w:t>
      </w:r>
    </w:p>
    <w:p w14:paraId="377217CA" w14:textId="77777777" w:rsidR="009C3B3B" w:rsidRPr="0016487D" w:rsidRDefault="009C3B3B" w:rsidP="00AE2352">
      <w:pPr>
        <w:spacing w:after="0" w:line="360" w:lineRule="auto"/>
        <w:rPr>
          <w:noProof/>
        </w:rPr>
      </w:pPr>
    </w:p>
    <w:p w14:paraId="2F078166" w14:textId="77777777" w:rsidR="009C3B3B" w:rsidRPr="0016487D" w:rsidRDefault="009C3B3B" w:rsidP="00AE2352">
      <w:pPr>
        <w:tabs>
          <w:tab w:val="left" w:pos="4667"/>
        </w:tabs>
        <w:spacing w:after="0" w:line="360" w:lineRule="auto"/>
        <w:ind w:left="567" w:right="567"/>
        <w:rPr>
          <w:i/>
          <w:iCs/>
          <w:noProof/>
          <w:sz w:val="20"/>
          <w:szCs w:val="20"/>
        </w:rPr>
      </w:pPr>
      <w:r w:rsidRPr="0016487D">
        <w:rPr>
          <w:b/>
          <w:i/>
          <w:iCs/>
          <w:noProof/>
          <w:sz w:val="20"/>
          <w:szCs w:val="20"/>
        </w:rPr>
        <w:t>“Clave Única de Registro de Población (CURP).</w:t>
      </w:r>
      <w:r w:rsidRPr="0016487D">
        <w:rPr>
          <w:i/>
          <w:iCs/>
          <w:noProof/>
          <w:sz w:val="20"/>
          <w:szCs w:val="20"/>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4DFBEA04" w14:textId="77777777" w:rsidR="009C3B3B" w:rsidRPr="0016487D" w:rsidRDefault="009C3B3B" w:rsidP="00AE2352">
      <w:pPr>
        <w:spacing w:after="0" w:line="360" w:lineRule="auto"/>
        <w:rPr>
          <w:noProof/>
        </w:rPr>
      </w:pPr>
    </w:p>
    <w:p w14:paraId="544D6BA0" w14:textId="77777777" w:rsidR="009C3B3B" w:rsidRPr="0016487D" w:rsidRDefault="009C3B3B" w:rsidP="00AE2352">
      <w:pPr>
        <w:spacing w:after="0" w:line="360" w:lineRule="auto"/>
        <w:rPr>
          <w:noProof/>
        </w:rPr>
      </w:pPr>
      <w:r w:rsidRPr="0016487D">
        <w:rPr>
          <w:noProof/>
        </w:rPr>
        <w:t>De acuerdo con lo anterior, resulta procedente la clasificación de la Clave Única de Registro de Población, por tratarse de un dato personal confidencial, en términos del artículo 143, fracción I, de la Ley de Transparencia y Acceso a la Información Pública del Estado de México y Municipios.</w:t>
      </w:r>
    </w:p>
    <w:p w14:paraId="3926C09A" w14:textId="77777777" w:rsidR="009C3B3B" w:rsidRPr="0016487D" w:rsidRDefault="009C3B3B" w:rsidP="00AE2352">
      <w:pPr>
        <w:pStyle w:val="Prrafodelista"/>
        <w:numPr>
          <w:ilvl w:val="0"/>
          <w:numId w:val="7"/>
        </w:numPr>
        <w:spacing w:line="360" w:lineRule="auto"/>
        <w:rPr>
          <w:b/>
          <w:noProof/>
        </w:rPr>
      </w:pPr>
      <w:r w:rsidRPr="0016487D">
        <w:rPr>
          <w:b/>
          <w:noProof/>
        </w:rPr>
        <w:lastRenderedPageBreak/>
        <w:t>Registro Federal de Contribuyentes (RFC)</w:t>
      </w:r>
    </w:p>
    <w:p w14:paraId="1EB7A7DE" w14:textId="77777777" w:rsidR="009C3B3B" w:rsidRPr="0016487D" w:rsidRDefault="009C3B3B" w:rsidP="00AE2352">
      <w:pPr>
        <w:spacing w:after="0" w:line="360" w:lineRule="auto"/>
        <w:rPr>
          <w:noProof/>
        </w:rPr>
      </w:pPr>
    </w:p>
    <w:p w14:paraId="06AFB3E9" w14:textId="77777777" w:rsidR="009C3B3B" w:rsidRPr="0016487D" w:rsidRDefault="009C3B3B" w:rsidP="00AE2352">
      <w:pPr>
        <w:spacing w:after="0" w:line="360" w:lineRule="auto"/>
        <w:rPr>
          <w:noProof/>
        </w:rPr>
      </w:pPr>
      <w:r w:rsidRPr="0016487D">
        <w:rPr>
          <w:noProof/>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1D95B755" w14:textId="77777777" w:rsidR="009C3B3B" w:rsidRPr="0016487D" w:rsidRDefault="009C3B3B" w:rsidP="00AE2352">
      <w:pPr>
        <w:spacing w:after="0" w:line="360" w:lineRule="auto"/>
        <w:rPr>
          <w:noProof/>
        </w:rPr>
      </w:pPr>
    </w:p>
    <w:p w14:paraId="13A6E883" w14:textId="77777777" w:rsidR="009C3B3B" w:rsidRPr="0016487D" w:rsidRDefault="009C3B3B" w:rsidP="00AE2352">
      <w:pPr>
        <w:spacing w:after="0" w:line="360" w:lineRule="auto"/>
        <w:rPr>
          <w:noProof/>
        </w:rPr>
      </w:pPr>
      <w:r w:rsidRPr="0016487D">
        <w:rPr>
          <w:noProof/>
        </w:rPr>
        <w:t>De acuerdo a lo establecido en el artículo en comento, esta clave se compone de trece caracteres alfanuméricos, con datos obtenidos de los apellidos, nombre(s), fecha de nacimiento del titular, más una homoclave que establece el sistema automático del Servicio de Administración Tributaria.</w:t>
      </w:r>
    </w:p>
    <w:p w14:paraId="053298A6" w14:textId="77777777" w:rsidR="009C3B3B" w:rsidRPr="0016487D" w:rsidRDefault="009C3B3B" w:rsidP="00AE2352">
      <w:pPr>
        <w:spacing w:after="0" w:line="360" w:lineRule="auto"/>
        <w:rPr>
          <w:noProof/>
        </w:rPr>
      </w:pPr>
    </w:p>
    <w:p w14:paraId="0116CE7B" w14:textId="77777777" w:rsidR="009C3B3B" w:rsidRPr="0016487D" w:rsidRDefault="009C3B3B" w:rsidP="00AE2352">
      <w:pPr>
        <w:spacing w:after="0" w:line="360" w:lineRule="auto"/>
        <w:rPr>
          <w:noProof/>
        </w:rPr>
      </w:pPr>
      <w:r w:rsidRPr="0016487D">
        <w:rPr>
          <w:noProof/>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62FC04AC" w14:textId="77777777" w:rsidR="009C3B3B" w:rsidRPr="0016487D" w:rsidRDefault="009C3B3B" w:rsidP="00AE2352">
      <w:pPr>
        <w:spacing w:after="0" w:line="360" w:lineRule="auto"/>
        <w:rPr>
          <w:noProof/>
        </w:rPr>
      </w:pPr>
    </w:p>
    <w:p w14:paraId="794C18F8" w14:textId="77777777" w:rsidR="009C3B3B" w:rsidRPr="0016487D" w:rsidRDefault="009C3B3B" w:rsidP="00AE2352">
      <w:pPr>
        <w:spacing w:after="0" w:line="360" w:lineRule="auto"/>
        <w:rPr>
          <w:noProof/>
          <w:color w:val="000000"/>
        </w:rPr>
      </w:pPr>
      <w:r w:rsidRPr="0016487D">
        <w:rPr>
          <w:noProof/>
          <w:color w:val="000000"/>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7766C944" w14:textId="105D9EB4" w:rsidR="009C3B3B" w:rsidRPr="0016487D" w:rsidRDefault="009C3B3B" w:rsidP="00AE2352">
      <w:pPr>
        <w:spacing w:after="0" w:line="360" w:lineRule="auto"/>
        <w:rPr>
          <w:noProof/>
          <w:color w:val="000000"/>
        </w:rPr>
      </w:pPr>
      <w:r w:rsidRPr="0016487D">
        <w:rPr>
          <w:noProof/>
          <w:color w:val="000000"/>
        </w:rPr>
        <w:lastRenderedPageBreak/>
        <w:t xml:space="preserve">Lo anterior, resulta congruente con el Criterio </w:t>
      </w:r>
      <w:r w:rsidR="00B67812" w:rsidRPr="0016487D">
        <w:rPr>
          <w:noProof/>
          <w:color w:val="000000"/>
        </w:rPr>
        <w:t>Orientador</w:t>
      </w:r>
      <w:r w:rsidRPr="0016487D">
        <w:rPr>
          <w:noProof/>
          <w:color w:val="000000"/>
        </w:rPr>
        <w:t xml:space="preserve">, con número de registro SO/019/2017, emitido por el </w:t>
      </w:r>
      <w:r w:rsidR="00B67812" w:rsidRPr="0016487D">
        <w:rPr>
          <w:noProof/>
          <w:color w:val="000000"/>
        </w:rPr>
        <w:t xml:space="preserve">entonces </w:t>
      </w:r>
      <w:r w:rsidRPr="0016487D">
        <w:rPr>
          <w:noProof/>
          <w:color w:val="000000"/>
        </w:rPr>
        <w:t>Instituto Nacional de Transparencia, Acceso a la Información y Protección de Datos Personales</w:t>
      </w:r>
      <w:r w:rsidR="00B67812" w:rsidRPr="0016487D">
        <w:rPr>
          <w:noProof/>
          <w:color w:val="000000"/>
        </w:rPr>
        <w:t>, vigente a la fecha de la solicitud</w:t>
      </w:r>
      <w:r w:rsidRPr="0016487D">
        <w:rPr>
          <w:noProof/>
          <w:color w:val="000000"/>
        </w:rPr>
        <w:t>, en el cual se señala lo siguiente:</w:t>
      </w:r>
    </w:p>
    <w:p w14:paraId="3D443A8D" w14:textId="77777777" w:rsidR="009C3B3B" w:rsidRPr="0016487D" w:rsidRDefault="009C3B3B" w:rsidP="00AE2352">
      <w:pPr>
        <w:spacing w:after="0" w:line="360" w:lineRule="auto"/>
        <w:rPr>
          <w:noProof/>
          <w:color w:val="000000"/>
        </w:rPr>
      </w:pPr>
    </w:p>
    <w:p w14:paraId="7D870F02" w14:textId="77777777" w:rsidR="009C3B3B" w:rsidRPr="0016487D" w:rsidRDefault="009C3B3B" w:rsidP="00AE2352">
      <w:pPr>
        <w:spacing w:after="0" w:line="360" w:lineRule="auto"/>
        <w:ind w:left="567" w:right="567"/>
        <w:rPr>
          <w:i/>
          <w:noProof/>
          <w:color w:val="000000"/>
          <w:sz w:val="20"/>
          <w:szCs w:val="20"/>
        </w:rPr>
      </w:pPr>
      <w:r w:rsidRPr="0016487D">
        <w:rPr>
          <w:b/>
          <w:i/>
          <w:noProof/>
          <w:color w:val="000000"/>
          <w:sz w:val="20"/>
          <w:szCs w:val="20"/>
        </w:rPr>
        <w:t>“Registro Federal de Contribuyentes (RFC) de personas físicas.</w:t>
      </w:r>
      <w:r w:rsidRPr="0016487D">
        <w:rPr>
          <w:i/>
          <w:noProof/>
          <w:color w:val="000000"/>
          <w:sz w:val="20"/>
          <w:szCs w:val="20"/>
        </w:rPr>
        <w:t xml:space="preserve"> El RFC es una clave de carácter fiscal, única e irrepetible, que permite identificar al titular, su edad y fecha de nacimiento, por lo que es un dato personal de carácter confidencial.”</w:t>
      </w:r>
    </w:p>
    <w:p w14:paraId="4157AD1F" w14:textId="77777777" w:rsidR="009C3B3B" w:rsidRPr="0016487D" w:rsidRDefault="009C3B3B" w:rsidP="00AE2352">
      <w:pPr>
        <w:spacing w:after="0" w:line="360" w:lineRule="auto"/>
        <w:rPr>
          <w:noProof/>
          <w:color w:val="000000"/>
        </w:rPr>
      </w:pPr>
    </w:p>
    <w:p w14:paraId="5B995F98" w14:textId="77777777" w:rsidR="009C3B3B" w:rsidRPr="0016487D" w:rsidRDefault="009C3B3B" w:rsidP="00AE2352">
      <w:pPr>
        <w:spacing w:after="0" w:line="360" w:lineRule="auto"/>
        <w:rPr>
          <w:noProof/>
          <w:color w:val="000000"/>
        </w:rPr>
      </w:pPr>
      <w:r w:rsidRPr="0016487D">
        <w:rPr>
          <w:noProof/>
          <w:color w:val="000000"/>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25F52230" w14:textId="77777777" w:rsidR="009C3B3B" w:rsidRPr="0016487D" w:rsidRDefault="009C3B3B" w:rsidP="00AE2352">
      <w:pPr>
        <w:spacing w:after="0" w:line="360" w:lineRule="auto"/>
        <w:rPr>
          <w:noProof/>
        </w:rPr>
      </w:pPr>
    </w:p>
    <w:p w14:paraId="482D485B" w14:textId="77777777" w:rsidR="009C3B3B" w:rsidRPr="0016487D" w:rsidRDefault="009C3B3B" w:rsidP="00AE2352">
      <w:pPr>
        <w:pStyle w:val="Prrafodelista"/>
        <w:numPr>
          <w:ilvl w:val="0"/>
          <w:numId w:val="7"/>
        </w:numPr>
        <w:spacing w:line="360" w:lineRule="auto"/>
        <w:rPr>
          <w:noProof/>
        </w:rPr>
      </w:pPr>
      <w:r w:rsidRPr="0016487D">
        <w:rPr>
          <w:b/>
          <w:noProof/>
          <w:color w:val="000000"/>
        </w:rPr>
        <w:t>Número de seguridad social del Instituto de Seguridad Social del Estado de México y Municipios</w:t>
      </w:r>
    </w:p>
    <w:p w14:paraId="0C3D9863" w14:textId="77777777" w:rsidR="009C3B3B" w:rsidRPr="0016487D" w:rsidRDefault="009C3B3B" w:rsidP="00AE2352">
      <w:pPr>
        <w:pStyle w:val="Prrafodelista"/>
        <w:spacing w:line="360" w:lineRule="auto"/>
        <w:rPr>
          <w:noProof/>
        </w:rPr>
      </w:pPr>
    </w:p>
    <w:p w14:paraId="320BD2D3" w14:textId="77777777" w:rsidR="009C3B3B" w:rsidRPr="0016487D" w:rsidRDefault="009C3B3B" w:rsidP="00AE2352">
      <w:pPr>
        <w:spacing w:after="0" w:line="360" w:lineRule="auto"/>
        <w:rPr>
          <w:noProof/>
        </w:rPr>
      </w:pPr>
      <w:r w:rsidRPr="0016487D">
        <w:rPr>
          <w:noProof/>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0AA3BFB9" w14:textId="77777777" w:rsidR="009C3B3B" w:rsidRPr="0016487D" w:rsidRDefault="009C3B3B" w:rsidP="00AE2352">
      <w:pPr>
        <w:spacing w:after="0" w:line="360" w:lineRule="auto"/>
        <w:rPr>
          <w:noProof/>
        </w:rPr>
      </w:pPr>
    </w:p>
    <w:p w14:paraId="46FED23B" w14:textId="77777777" w:rsidR="009C3B3B" w:rsidRPr="0016487D" w:rsidRDefault="009C3B3B" w:rsidP="00AE2352">
      <w:pPr>
        <w:spacing w:after="0" w:line="360" w:lineRule="auto"/>
        <w:rPr>
          <w:noProof/>
        </w:rPr>
      </w:pPr>
      <w:r w:rsidRPr="0016487D">
        <w:rPr>
          <w:noProof/>
        </w:rPr>
        <w:t xml:space="preserve">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w:t>
      </w:r>
      <w:r w:rsidRPr="0016487D">
        <w:rPr>
          <w:noProof/>
        </w:rPr>
        <w:lastRenderedPageBreak/>
        <w:t>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38D3F9DA" w14:textId="77777777" w:rsidR="009C3B3B" w:rsidRPr="0016487D" w:rsidRDefault="009C3B3B" w:rsidP="00AE2352">
      <w:pPr>
        <w:spacing w:after="0" w:line="360" w:lineRule="auto"/>
        <w:rPr>
          <w:noProof/>
        </w:rPr>
      </w:pPr>
    </w:p>
    <w:p w14:paraId="3724E08F" w14:textId="77777777" w:rsidR="009C3B3B" w:rsidRPr="0016487D" w:rsidRDefault="009C3B3B" w:rsidP="00AE2352">
      <w:pPr>
        <w:spacing w:after="0" w:line="360" w:lineRule="auto"/>
        <w:rPr>
          <w:noProof/>
        </w:rPr>
      </w:pPr>
      <w:r w:rsidRPr="0016487D">
        <w:rPr>
          <w:noProof/>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1CC7A8EA" w14:textId="77777777" w:rsidR="009C3B3B" w:rsidRPr="0016487D" w:rsidRDefault="009C3B3B" w:rsidP="00AE2352">
      <w:pPr>
        <w:spacing w:after="0" w:line="360" w:lineRule="auto"/>
        <w:rPr>
          <w:noProof/>
        </w:rPr>
      </w:pPr>
    </w:p>
    <w:p w14:paraId="32A7E01E" w14:textId="77777777" w:rsidR="009C3B3B" w:rsidRPr="0016487D" w:rsidRDefault="009C3B3B" w:rsidP="00AE2352">
      <w:pPr>
        <w:spacing w:after="0" w:line="360" w:lineRule="auto"/>
        <w:rPr>
          <w:noProof/>
        </w:rPr>
      </w:pPr>
      <w:r w:rsidRPr="0016487D">
        <w:rPr>
          <w:noProof/>
        </w:rPr>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6D4DA0D5" w14:textId="77777777" w:rsidR="009C3B3B" w:rsidRPr="0016487D" w:rsidRDefault="009C3B3B" w:rsidP="00AE2352">
      <w:pPr>
        <w:spacing w:after="0" w:line="360" w:lineRule="auto"/>
        <w:rPr>
          <w:noProof/>
        </w:rPr>
      </w:pPr>
    </w:p>
    <w:p w14:paraId="56200596" w14:textId="77777777" w:rsidR="009C3B3B" w:rsidRPr="0016487D" w:rsidRDefault="009C3B3B" w:rsidP="00AE2352">
      <w:pPr>
        <w:pStyle w:val="Prrafodelista"/>
        <w:numPr>
          <w:ilvl w:val="0"/>
          <w:numId w:val="7"/>
        </w:numPr>
        <w:spacing w:line="360" w:lineRule="auto"/>
        <w:rPr>
          <w:b/>
          <w:noProof/>
        </w:rPr>
      </w:pPr>
      <w:r w:rsidRPr="0016487D">
        <w:rPr>
          <w:b/>
          <w:noProof/>
        </w:rPr>
        <w:t>Descuentos personales</w:t>
      </w:r>
    </w:p>
    <w:p w14:paraId="25832F39" w14:textId="77777777" w:rsidR="009C3B3B" w:rsidRPr="0016487D" w:rsidRDefault="009C3B3B" w:rsidP="00AE2352">
      <w:pPr>
        <w:spacing w:after="0" w:line="360" w:lineRule="auto"/>
        <w:rPr>
          <w:b/>
          <w:noProof/>
        </w:rPr>
      </w:pPr>
    </w:p>
    <w:p w14:paraId="34B76E7B" w14:textId="77777777" w:rsidR="009C3B3B" w:rsidRPr="0016487D" w:rsidRDefault="009C3B3B" w:rsidP="00AE2352">
      <w:pPr>
        <w:spacing w:after="0" w:line="360" w:lineRule="auto"/>
        <w:rPr>
          <w:noProof/>
          <w:color w:val="000000"/>
        </w:rPr>
      </w:pPr>
      <w:r w:rsidRPr="0016487D">
        <w:rPr>
          <w:noProof/>
          <w:color w:val="000000"/>
        </w:rPr>
        <w:t>Es necesario precisar que existen deducciones que se generan con motivo de una decisión libre y voluntaria de los servidores públicos, como son: créditos personales, cuotas sindicales y fondo de resistencia del Sindicato Único de Trabajadores de los Poderes, Municipios e Institución Descentralizadas del Estado de México, seguro de vida, accidentes y enfermedades.</w:t>
      </w:r>
    </w:p>
    <w:p w14:paraId="7C16372D" w14:textId="77777777" w:rsidR="009C3B3B" w:rsidRPr="0016487D" w:rsidRDefault="009C3B3B" w:rsidP="00AE2352">
      <w:pPr>
        <w:spacing w:after="0" w:line="360" w:lineRule="auto"/>
        <w:rPr>
          <w:noProof/>
          <w:color w:val="000000"/>
        </w:rPr>
      </w:pPr>
    </w:p>
    <w:p w14:paraId="7B4FB906" w14:textId="77777777" w:rsidR="009C3B3B" w:rsidRPr="0016487D" w:rsidRDefault="009C3B3B" w:rsidP="00AE2352">
      <w:pPr>
        <w:spacing w:after="0" w:line="360" w:lineRule="auto"/>
        <w:rPr>
          <w:noProof/>
          <w:color w:val="000000"/>
        </w:rPr>
      </w:pPr>
      <w:r w:rsidRPr="0016487D">
        <w:rPr>
          <w:noProof/>
          <w:color w:val="000000"/>
        </w:rPr>
        <w:t xml:space="preserve">Asimismo, hay otras que se generan con motivo de una sentencia judicial, como es la pensión alimenticia que periódicamente se retira de la cuenta de un empleado, a efecto de que sea entregado a un tercero.  </w:t>
      </w:r>
    </w:p>
    <w:p w14:paraId="3C7A08CD" w14:textId="77777777" w:rsidR="009C3B3B" w:rsidRPr="0016487D" w:rsidRDefault="009C3B3B" w:rsidP="00AE2352">
      <w:pPr>
        <w:spacing w:after="0" w:line="360" w:lineRule="auto"/>
        <w:rPr>
          <w:noProof/>
          <w:color w:val="000000"/>
        </w:rPr>
      </w:pPr>
    </w:p>
    <w:p w14:paraId="30B0706C" w14:textId="77777777" w:rsidR="009C3B3B" w:rsidRPr="0016487D" w:rsidRDefault="009C3B3B" w:rsidP="00AE2352">
      <w:pPr>
        <w:spacing w:after="0" w:line="360" w:lineRule="auto"/>
        <w:rPr>
          <w:noProof/>
          <w:color w:val="000000"/>
        </w:rPr>
      </w:pPr>
      <w:r w:rsidRPr="0016487D">
        <w:rPr>
          <w:noProof/>
          <w:color w:val="000000"/>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7BD5B1CD" w14:textId="77777777" w:rsidR="009C3B3B" w:rsidRPr="0016487D" w:rsidRDefault="009C3B3B" w:rsidP="00AE2352">
      <w:pPr>
        <w:spacing w:after="0" w:line="360" w:lineRule="auto"/>
        <w:rPr>
          <w:noProof/>
          <w:color w:val="000000"/>
        </w:rPr>
      </w:pPr>
    </w:p>
    <w:p w14:paraId="50130C1E" w14:textId="77777777" w:rsidR="009C3B3B" w:rsidRPr="0016487D" w:rsidRDefault="009C3B3B" w:rsidP="00AE2352">
      <w:pPr>
        <w:spacing w:after="0" w:line="360" w:lineRule="auto"/>
        <w:rPr>
          <w:noProof/>
          <w:color w:val="000000"/>
        </w:rPr>
      </w:pPr>
      <w:r w:rsidRPr="0016487D">
        <w:rPr>
          <w:noProof/>
          <w:color w:val="000000"/>
        </w:rPr>
        <w:t xml:space="preserve">Así, dichas deducciones reflejan el destino que un servidor público da a su patrimonio y, por lo tanto, resulta procedente clasificar dichos datos, en el caso, que obren, en los documentos que dan cuenta de lo requerido, en términos del artículo 143, fracción I, de la Ley de Transparencia y Acceso a la Información Pública del Estado de México y Municipios. </w:t>
      </w:r>
    </w:p>
    <w:p w14:paraId="05C4C47A" w14:textId="77777777" w:rsidR="009C3B3B" w:rsidRPr="0016487D" w:rsidRDefault="009C3B3B" w:rsidP="00AE2352">
      <w:pPr>
        <w:spacing w:after="0" w:line="360" w:lineRule="auto"/>
        <w:rPr>
          <w:b/>
          <w:noProof/>
        </w:rPr>
      </w:pPr>
    </w:p>
    <w:p w14:paraId="68B22D2C" w14:textId="1ADF653B" w:rsidR="009C3B3B" w:rsidRPr="0016487D" w:rsidRDefault="009C3B3B" w:rsidP="00AE2352">
      <w:pPr>
        <w:spacing w:after="0" w:line="360" w:lineRule="auto"/>
        <w:ind w:right="-93"/>
        <w:rPr>
          <w:rFonts w:eastAsia="Calibri" w:cs="Tahoma"/>
          <w:bCs/>
          <w:noProof/>
          <w:color w:val="000000"/>
        </w:rPr>
      </w:pPr>
      <w:r w:rsidRPr="0016487D">
        <w:rPr>
          <w:rFonts w:eastAsia="Calibri" w:cs="Tahoma"/>
          <w:bCs/>
          <w:noProof/>
          <w:color w:val="000000"/>
        </w:rPr>
        <w:t xml:space="preserve">Por otra parte, no pasa desapercibido, que conforme a los artículos </w:t>
      </w:r>
      <w:r w:rsidR="00B67812" w:rsidRPr="0016487D">
        <w:rPr>
          <w:rFonts w:eastAsia="Calibri" w:cs="Tahoma"/>
          <w:bCs/>
          <w:noProof/>
          <w:color w:val="000000"/>
        </w:rPr>
        <w:t>40</w:t>
      </w:r>
      <w:r w:rsidRPr="0016487D">
        <w:rPr>
          <w:rFonts w:eastAsia="Calibri" w:cs="Tahoma"/>
          <w:bCs/>
          <w:noProof/>
          <w:color w:val="000000"/>
        </w:rPr>
        <w:t>, fracción I</w:t>
      </w:r>
      <w:r w:rsidR="00B67812" w:rsidRPr="0016487D">
        <w:rPr>
          <w:rFonts w:eastAsia="Calibri" w:cs="Tahoma"/>
          <w:bCs/>
          <w:noProof/>
          <w:color w:val="000000"/>
        </w:rPr>
        <w:t>II</w:t>
      </w:r>
      <w:r w:rsidRPr="0016487D">
        <w:rPr>
          <w:rFonts w:eastAsia="Calibri" w:cs="Tahoma"/>
          <w:bCs/>
          <w:noProof/>
          <w:color w:val="000000"/>
        </w:rPr>
        <w:t xml:space="preserve">, </w:t>
      </w:r>
      <w:r w:rsidR="00B67812" w:rsidRPr="0016487D">
        <w:rPr>
          <w:rFonts w:eastAsia="Calibri" w:cs="Tahoma"/>
          <w:bCs/>
          <w:noProof/>
          <w:color w:val="000000"/>
        </w:rPr>
        <w:t>inciso e)</w:t>
      </w:r>
      <w:r w:rsidRPr="0016487D">
        <w:rPr>
          <w:rFonts w:eastAsia="Calibri" w:cs="Tahoma"/>
          <w:bCs/>
          <w:noProof/>
          <w:color w:val="000000"/>
        </w:rPr>
        <w:t xml:space="preserve">, y </w:t>
      </w:r>
      <w:r w:rsidR="00B67812" w:rsidRPr="0016487D">
        <w:rPr>
          <w:rFonts w:eastAsia="Calibri" w:cs="Tahoma"/>
          <w:bCs/>
          <w:noProof/>
          <w:color w:val="000000"/>
        </w:rPr>
        <w:t>91</w:t>
      </w:r>
      <w:r w:rsidRPr="0016487D">
        <w:rPr>
          <w:rFonts w:eastAsia="Calibri" w:cs="Tahoma"/>
          <w:bCs/>
          <w:noProof/>
          <w:color w:val="000000"/>
        </w:rPr>
        <w:t xml:space="preserve">, del Bando Municipal de </w:t>
      </w:r>
      <w:r w:rsidR="00B67812" w:rsidRPr="0016487D">
        <w:rPr>
          <w:rFonts w:eastAsia="Calibri" w:cs="Tahoma"/>
          <w:bCs/>
          <w:noProof/>
          <w:color w:val="000000"/>
        </w:rPr>
        <w:t>Coacalco de Berriozábal</w:t>
      </w:r>
      <w:r w:rsidRPr="0016487D">
        <w:rPr>
          <w:rFonts w:eastAsia="Calibri" w:cs="Tahoma"/>
          <w:bCs/>
          <w:noProof/>
          <w:color w:val="000000"/>
        </w:rPr>
        <w:t xml:space="preserve">, dos mil veinticinco, el Sujeto Obligado cuenta la </w:t>
      </w:r>
      <w:r w:rsidR="00B67812" w:rsidRPr="0016487D">
        <w:rPr>
          <w:rFonts w:eastAsia="Calibri" w:cs="Tahoma"/>
          <w:bCs/>
          <w:noProof/>
          <w:color w:val="000000"/>
        </w:rPr>
        <w:t>Comisaría de Seguridad Pública y Tránsito Municipal</w:t>
      </w:r>
      <w:r w:rsidRPr="0016487D">
        <w:rPr>
          <w:rFonts w:eastAsia="Calibri" w:cs="Tahoma"/>
          <w:bCs/>
          <w:noProof/>
          <w:color w:val="000000"/>
        </w:rPr>
        <w:t xml:space="preserve">, encargada </w:t>
      </w:r>
      <w:r w:rsidR="00B67812" w:rsidRPr="0016487D">
        <w:rPr>
          <w:rFonts w:eastAsia="Calibri" w:cs="Tahoma"/>
          <w:bCs/>
          <w:noProof/>
          <w:color w:val="000000"/>
        </w:rPr>
        <w:t>de garantizar el pleno goce de los derechos humanos y sociales de las personas</w:t>
      </w:r>
      <w:r w:rsidR="00B67812" w:rsidRPr="0016487D">
        <w:rPr>
          <w:noProof/>
        </w:rPr>
        <w:t>, salvaguardando su integridad física y patrimonial, la paz, la tranquilidad y el orden público, así como prevenir la comisión de delitos y la violación de la normatividad vigente.</w:t>
      </w:r>
    </w:p>
    <w:p w14:paraId="167BDB4F" w14:textId="77777777" w:rsidR="009C3B3B" w:rsidRPr="0016487D" w:rsidRDefault="009C3B3B" w:rsidP="00AE2352">
      <w:pPr>
        <w:spacing w:after="0" w:line="360" w:lineRule="auto"/>
        <w:ind w:right="-93"/>
        <w:rPr>
          <w:rFonts w:eastAsia="Calibri" w:cs="Tahoma"/>
          <w:bCs/>
          <w:noProof/>
          <w:color w:val="000000"/>
        </w:rPr>
      </w:pPr>
    </w:p>
    <w:p w14:paraId="289935E0" w14:textId="77777777" w:rsidR="009C3B3B" w:rsidRPr="0016487D" w:rsidRDefault="009C3B3B" w:rsidP="00AE2352">
      <w:pPr>
        <w:spacing w:after="0" w:line="360" w:lineRule="auto"/>
        <w:rPr>
          <w:rFonts w:eastAsia="Calibri" w:cs="Times New Roman"/>
          <w:noProof/>
          <w:color w:val="auto"/>
        </w:rPr>
      </w:pPr>
      <w:r w:rsidRPr="0016487D">
        <w:rPr>
          <w:rFonts w:eastAsia="Calibri" w:cs="Times New Roman"/>
          <w:noProof/>
          <w:color w:val="auto"/>
        </w:rPr>
        <w:t xml:space="preserve">Así resulta necesario analizar si el nombre de los servidores públicos operativos en materia de seguridad, actualizan alguna causal de clasificación; al respecto, con relación, los primeros dos datos referidos, el artículo 140, fracción IV, de la Ley de Transparencia y Acceso a la </w:t>
      </w:r>
      <w:r w:rsidRPr="0016487D">
        <w:rPr>
          <w:rFonts w:eastAsia="Calibri" w:cs="Times New Roman"/>
          <w:noProof/>
          <w:color w:val="auto"/>
        </w:rPr>
        <w:lastRenderedPageBreak/>
        <w:t>Información Pública del Estado de México y Municipios, homólogo a parte del artículo 113, fracción V de la Ley General de Transparencia y Acceso a la Información Pública), prevé lo siguiente:</w:t>
      </w:r>
    </w:p>
    <w:p w14:paraId="18B4937E" w14:textId="77777777" w:rsidR="009C3B3B" w:rsidRPr="0016487D" w:rsidRDefault="009C3B3B" w:rsidP="00AE2352">
      <w:pPr>
        <w:tabs>
          <w:tab w:val="left" w:pos="4962"/>
        </w:tabs>
        <w:spacing w:after="0" w:line="360" w:lineRule="auto"/>
        <w:ind w:left="567" w:right="567"/>
        <w:contextualSpacing/>
        <w:rPr>
          <w:rFonts w:eastAsia="Calibri" w:cs="Tahoma"/>
          <w:i/>
          <w:iCs/>
          <w:noProof/>
          <w:color w:val="auto"/>
          <w:sz w:val="20"/>
          <w:szCs w:val="20"/>
          <w:lang w:eastAsia="es-ES_tradnl"/>
        </w:rPr>
      </w:pPr>
    </w:p>
    <w:p w14:paraId="628AF654" w14:textId="77777777" w:rsidR="009C3B3B" w:rsidRPr="0016487D" w:rsidRDefault="009C3B3B" w:rsidP="00AE2352">
      <w:pPr>
        <w:tabs>
          <w:tab w:val="left" w:pos="4962"/>
        </w:tabs>
        <w:spacing w:after="0" w:line="360" w:lineRule="auto"/>
        <w:ind w:left="567" w:right="567"/>
        <w:contextualSpacing/>
        <w:rPr>
          <w:rFonts w:eastAsia="Calibri" w:cs="Tahoma"/>
          <w:i/>
          <w:iCs/>
          <w:noProof/>
          <w:color w:val="auto"/>
          <w:sz w:val="20"/>
          <w:szCs w:val="20"/>
          <w:lang w:eastAsia="es-ES_tradnl"/>
        </w:rPr>
      </w:pPr>
      <w:r w:rsidRPr="0016487D">
        <w:rPr>
          <w:rFonts w:eastAsia="Calibri" w:cs="Tahoma"/>
          <w:i/>
          <w:iCs/>
          <w:noProof/>
          <w:color w:val="auto"/>
          <w:sz w:val="20"/>
          <w:szCs w:val="20"/>
          <w:lang w:eastAsia="es-ES_tradnl"/>
        </w:rPr>
        <w:t xml:space="preserve"> “</w:t>
      </w:r>
      <w:r w:rsidRPr="0016487D">
        <w:rPr>
          <w:rFonts w:eastAsia="Calibri" w:cs="Tahoma"/>
          <w:b/>
          <w:i/>
          <w:iCs/>
          <w:noProof/>
          <w:color w:val="auto"/>
          <w:sz w:val="20"/>
          <w:szCs w:val="20"/>
          <w:lang w:eastAsia="es-ES_tradnl"/>
        </w:rPr>
        <w:t>Artículo 140.</w:t>
      </w:r>
      <w:r w:rsidRPr="0016487D">
        <w:rPr>
          <w:rFonts w:eastAsia="Calibri" w:cs="Tahoma"/>
          <w:i/>
          <w:iCs/>
          <w:noProof/>
          <w:color w:val="auto"/>
          <w:sz w:val="20"/>
          <w:szCs w:val="20"/>
          <w:lang w:eastAsia="es-ES_tradnl"/>
        </w:rPr>
        <w:t xml:space="preserve"> El acceso a la información pública será restringido excepcionalmente, cuando por razones de interés público, ésta sea clasificada como reservada, conforme a los criterios siguientes: </w:t>
      </w:r>
    </w:p>
    <w:p w14:paraId="0818DF24" w14:textId="77777777" w:rsidR="009C3B3B" w:rsidRPr="0016487D" w:rsidRDefault="009C3B3B" w:rsidP="00AE2352">
      <w:pPr>
        <w:tabs>
          <w:tab w:val="left" w:pos="4962"/>
        </w:tabs>
        <w:spacing w:after="0" w:line="360" w:lineRule="auto"/>
        <w:ind w:left="567" w:right="567"/>
        <w:contextualSpacing/>
        <w:rPr>
          <w:rFonts w:eastAsia="Calibri" w:cs="Tahoma"/>
          <w:i/>
          <w:iCs/>
          <w:noProof/>
          <w:color w:val="auto"/>
          <w:sz w:val="20"/>
          <w:szCs w:val="20"/>
          <w:lang w:eastAsia="es-ES_tradnl"/>
        </w:rPr>
      </w:pPr>
      <w:r w:rsidRPr="0016487D">
        <w:rPr>
          <w:rFonts w:eastAsia="Calibri" w:cs="Tahoma"/>
          <w:i/>
          <w:iCs/>
          <w:noProof/>
          <w:color w:val="auto"/>
          <w:sz w:val="20"/>
          <w:szCs w:val="20"/>
          <w:lang w:eastAsia="es-ES_tradnl"/>
        </w:rPr>
        <w:t>…</w:t>
      </w:r>
    </w:p>
    <w:p w14:paraId="3D352DC3" w14:textId="77777777" w:rsidR="009C3B3B" w:rsidRPr="0016487D" w:rsidRDefault="009C3B3B" w:rsidP="00AE2352">
      <w:pPr>
        <w:tabs>
          <w:tab w:val="left" w:pos="4962"/>
        </w:tabs>
        <w:spacing w:after="0" w:line="360" w:lineRule="auto"/>
        <w:ind w:left="567" w:right="567"/>
        <w:contextualSpacing/>
        <w:rPr>
          <w:rFonts w:eastAsia="Calibri" w:cs="Tahoma"/>
          <w:i/>
          <w:iCs/>
          <w:noProof/>
          <w:color w:val="auto"/>
          <w:sz w:val="20"/>
          <w:szCs w:val="20"/>
          <w:lang w:eastAsia="es-ES_tradnl"/>
        </w:rPr>
      </w:pPr>
      <w:r w:rsidRPr="0016487D">
        <w:rPr>
          <w:rFonts w:eastAsia="Calibri" w:cs="Tahoma"/>
          <w:i/>
          <w:iCs/>
          <w:noProof/>
          <w:color w:val="auto"/>
          <w:sz w:val="20"/>
          <w:szCs w:val="20"/>
          <w:lang w:eastAsia="es-ES_tradnl"/>
        </w:rPr>
        <w:t>IV. Ponga en riesgo la vida, la seguridad o la salud de una persona física;</w:t>
      </w:r>
    </w:p>
    <w:p w14:paraId="3C2968D5" w14:textId="77777777" w:rsidR="009C3B3B" w:rsidRPr="0016487D" w:rsidRDefault="009C3B3B" w:rsidP="00AE2352">
      <w:pPr>
        <w:tabs>
          <w:tab w:val="left" w:pos="4962"/>
        </w:tabs>
        <w:spacing w:after="0" w:line="360" w:lineRule="auto"/>
        <w:ind w:left="567" w:right="567"/>
        <w:contextualSpacing/>
        <w:rPr>
          <w:rFonts w:eastAsia="Calibri" w:cs="Tahoma"/>
          <w:i/>
          <w:iCs/>
          <w:noProof/>
          <w:color w:val="auto"/>
          <w:sz w:val="20"/>
          <w:szCs w:val="20"/>
          <w:lang w:eastAsia="es-ES_tradnl"/>
        </w:rPr>
      </w:pPr>
      <w:r w:rsidRPr="0016487D">
        <w:rPr>
          <w:rFonts w:eastAsia="Calibri" w:cs="Tahoma"/>
          <w:i/>
          <w:iCs/>
          <w:noProof/>
          <w:color w:val="auto"/>
          <w:sz w:val="20"/>
          <w:szCs w:val="20"/>
          <w:lang w:eastAsia="es-ES_tradnl"/>
        </w:rPr>
        <w:t xml:space="preserve">…” </w:t>
      </w:r>
    </w:p>
    <w:p w14:paraId="1BA788CD" w14:textId="77777777" w:rsidR="009C3B3B" w:rsidRPr="0016487D" w:rsidRDefault="009C3B3B" w:rsidP="00AE2352">
      <w:pPr>
        <w:spacing w:after="0" w:line="360" w:lineRule="auto"/>
        <w:rPr>
          <w:rFonts w:eastAsia="Calibri" w:cs="Tahoma"/>
          <w:bCs/>
          <w:noProof/>
          <w:color w:val="auto"/>
        </w:rPr>
      </w:pPr>
    </w:p>
    <w:p w14:paraId="0537D6A6" w14:textId="77777777" w:rsidR="009C3B3B" w:rsidRPr="0016487D" w:rsidRDefault="009C3B3B" w:rsidP="00AE2352">
      <w:pPr>
        <w:spacing w:after="0" w:line="360" w:lineRule="auto"/>
        <w:rPr>
          <w:rFonts w:eastAsia="Calibri" w:cs="Tahoma"/>
          <w:bCs/>
          <w:noProof/>
          <w:color w:val="auto"/>
        </w:rPr>
      </w:pPr>
      <w:r w:rsidRPr="0016487D">
        <w:rPr>
          <w:rFonts w:eastAsia="Calibri" w:cs="Tahoma"/>
          <w:bCs/>
          <w:noProof/>
          <w:color w:val="auto"/>
        </w:rPr>
        <w:t>Del precepto legal anteriormente citado se desprende que como información reservada podrá clasificarse aquella cuya publicación pueda poner en riesgo la vida, seguridad o salud de una persona física; para acreditar lo anterior, los Lineamientos Generales, establecen lo siguiente:</w:t>
      </w:r>
    </w:p>
    <w:p w14:paraId="4A325E4B" w14:textId="77777777" w:rsidR="009C3B3B" w:rsidRPr="0016487D" w:rsidRDefault="009C3B3B" w:rsidP="00AE2352">
      <w:pPr>
        <w:spacing w:after="0" w:line="360" w:lineRule="auto"/>
        <w:rPr>
          <w:rFonts w:eastAsia="Calibri" w:cs="Tahoma"/>
          <w:bCs/>
          <w:noProof/>
          <w:color w:val="auto"/>
        </w:rPr>
      </w:pPr>
    </w:p>
    <w:p w14:paraId="095841BC" w14:textId="77777777" w:rsidR="009C3B3B" w:rsidRPr="0016487D" w:rsidRDefault="009C3B3B" w:rsidP="00AE2352">
      <w:pPr>
        <w:spacing w:after="0" w:line="360" w:lineRule="auto"/>
        <w:ind w:left="567" w:right="567"/>
        <w:contextualSpacing/>
        <w:rPr>
          <w:rFonts w:eastAsia="Calibri" w:cs="Tahoma"/>
          <w:bCs/>
          <w:i/>
          <w:noProof/>
          <w:color w:val="auto"/>
          <w:sz w:val="20"/>
          <w:szCs w:val="20"/>
        </w:rPr>
      </w:pPr>
      <w:r w:rsidRPr="0016487D">
        <w:rPr>
          <w:rFonts w:eastAsia="Calibri" w:cs="Tahoma"/>
          <w:b/>
          <w:bCs/>
          <w:i/>
          <w:noProof/>
          <w:color w:val="auto"/>
          <w:sz w:val="20"/>
          <w:szCs w:val="20"/>
        </w:rPr>
        <w:t xml:space="preserve">“Vigésimo tercero. </w:t>
      </w:r>
      <w:r w:rsidRPr="0016487D">
        <w:rPr>
          <w:rFonts w:eastAsia="Calibri" w:cs="Tahoma"/>
          <w:bCs/>
          <w:i/>
          <w:noProof/>
          <w:color w:val="auto"/>
          <w:sz w:val="20"/>
          <w:szCs w:val="20"/>
        </w:rPr>
        <w:t>Para clasificar la información como reservada, de conformidad con el artículo 113, fracción V de la Ley General, será necesario acreditar un vínculo, entre una o varias personas físicas y la información que pueda poner en riesgo su vida, seguridad o salud; especificando cuál de estos bienes jurídicos será afectado, así como el potencial daño o riesgo que causaría su difusión”</w:t>
      </w:r>
    </w:p>
    <w:p w14:paraId="19DE7EA6" w14:textId="77777777" w:rsidR="009C3B3B" w:rsidRPr="0016487D" w:rsidRDefault="009C3B3B" w:rsidP="00AE2352">
      <w:pPr>
        <w:spacing w:after="0" w:line="360" w:lineRule="auto"/>
        <w:ind w:left="567" w:right="567"/>
        <w:contextualSpacing/>
        <w:rPr>
          <w:rFonts w:eastAsia="Calibri" w:cs="Tahoma"/>
          <w:bCs/>
          <w:i/>
          <w:noProof/>
          <w:color w:val="auto"/>
          <w:sz w:val="20"/>
          <w:szCs w:val="20"/>
        </w:rPr>
      </w:pPr>
    </w:p>
    <w:p w14:paraId="07AD665F" w14:textId="77777777" w:rsidR="009C3B3B" w:rsidRPr="0016487D" w:rsidRDefault="009C3B3B" w:rsidP="00AE2352">
      <w:pPr>
        <w:spacing w:after="0" w:line="360" w:lineRule="auto"/>
        <w:rPr>
          <w:rFonts w:eastAsia="Calibri" w:cs="Tahoma"/>
          <w:b/>
          <w:bCs/>
          <w:noProof/>
          <w:color w:val="auto"/>
        </w:rPr>
      </w:pPr>
      <w:r w:rsidRPr="0016487D">
        <w:rPr>
          <w:rFonts w:eastAsia="Calibri" w:cs="Tahoma"/>
          <w:bCs/>
          <w:noProof/>
          <w:color w:val="auto"/>
        </w:rPr>
        <w:t>Del Lineamiento referido, se desprende que para clasificar la información como reservada, será necesario acreditar un vínculo, entre la persona física y la información que pueda poner en riesgo su vida, seguridad o salud, es decir, se deben señalar el bien jurídico específico afectado y el potencial de daño o riesgo que causaría su difusión.</w:t>
      </w:r>
    </w:p>
    <w:p w14:paraId="223D099A" w14:textId="77777777" w:rsidR="009C3B3B" w:rsidRPr="0016487D" w:rsidRDefault="009C3B3B" w:rsidP="00AE2352">
      <w:pPr>
        <w:spacing w:after="0" w:line="360" w:lineRule="auto"/>
        <w:rPr>
          <w:rFonts w:eastAsia="Calibri" w:cs="Tahoma"/>
          <w:bCs/>
          <w:noProof/>
          <w:color w:val="auto"/>
        </w:rPr>
      </w:pPr>
    </w:p>
    <w:p w14:paraId="1AA6308A" w14:textId="77777777" w:rsidR="009C3B3B" w:rsidRPr="0016487D" w:rsidRDefault="009C3B3B" w:rsidP="00AE2352">
      <w:pPr>
        <w:spacing w:after="0" w:line="360" w:lineRule="auto"/>
        <w:rPr>
          <w:rFonts w:eastAsia="Calibri" w:cs="Tahoma"/>
          <w:bCs/>
          <w:noProof/>
          <w:color w:val="auto"/>
        </w:rPr>
      </w:pPr>
      <w:r w:rsidRPr="0016487D">
        <w:rPr>
          <w:rFonts w:eastAsia="Calibri" w:cs="Tahoma"/>
          <w:bCs/>
          <w:noProof/>
          <w:color w:val="auto"/>
        </w:rPr>
        <w:t>Además, el artículo 81, fracción III, de la Ley de Seguridad del Estado de México, establece lo siguiente:</w:t>
      </w:r>
    </w:p>
    <w:p w14:paraId="0E6C2CDB" w14:textId="77777777" w:rsidR="00B67812" w:rsidRPr="0016487D" w:rsidRDefault="00B67812" w:rsidP="00AE2352">
      <w:pPr>
        <w:spacing w:after="0" w:line="360" w:lineRule="auto"/>
        <w:rPr>
          <w:rFonts w:eastAsia="Calibri" w:cs="Tahoma"/>
          <w:bCs/>
          <w:noProof/>
          <w:color w:val="auto"/>
        </w:rPr>
      </w:pPr>
    </w:p>
    <w:p w14:paraId="74A0DE91" w14:textId="77777777" w:rsidR="009C3B3B" w:rsidRPr="0016487D" w:rsidRDefault="009C3B3B" w:rsidP="00AE2352">
      <w:pPr>
        <w:spacing w:after="0" w:line="360" w:lineRule="auto"/>
        <w:ind w:left="567" w:right="567"/>
        <w:contextualSpacing/>
        <w:rPr>
          <w:rFonts w:eastAsia="Calibri" w:cs="Tahoma"/>
          <w:bCs/>
          <w:i/>
          <w:noProof/>
          <w:color w:val="auto"/>
          <w:sz w:val="20"/>
          <w:szCs w:val="20"/>
        </w:rPr>
      </w:pPr>
      <w:r w:rsidRPr="0016487D">
        <w:rPr>
          <w:rFonts w:eastAsia="Calibri" w:cs="Tahoma"/>
          <w:b/>
          <w:bCs/>
          <w:i/>
          <w:noProof/>
          <w:color w:val="auto"/>
          <w:sz w:val="20"/>
          <w:szCs w:val="20"/>
        </w:rPr>
        <w:lastRenderedPageBreak/>
        <w:t>“Artículo 81.-</w:t>
      </w:r>
      <w:r w:rsidRPr="0016487D">
        <w:rPr>
          <w:rFonts w:eastAsia="Calibri" w:cs="Tahoma"/>
          <w:bCs/>
          <w:i/>
          <w:noProof/>
          <w:color w:val="auto"/>
          <w:sz w:val="20"/>
          <w:szCs w:val="20"/>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 </w:t>
      </w:r>
    </w:p>
    <w:p w14:paraId="5A8768F8" w14:textId="77777777" w:rsidR="009C3B3B" w:rsidRPr="0016487D" w:rsidRDefault="009C3B3B" w:rsidP="00AE2352">
      <w:pPr>
        <w:spacing w:after="0" w:line="360" w:lineRule="auto"/>
        <w:ind w:left="567" w:right="567"/>
        <w:contextualSpacing/>
        <w:rPr>
          <w:rFonts w:eastAsia="Calibri" w:cs="Tahoma"/>
          <w:bCs/>
          <w:i/>
          <w:noProof/>
          <w:color w:val="auto"/>
          <w:sz w:val="20"/>
          <w:szCs w:val="20"/>
        </w:rPr>
      </w:pPr>
      <w:r w:rsidRPr="0016487D">
        <w:rPr>
          <w:rFonts w:eastAsia="Calibri" w:cs="Tahoma"/>
          <w:bCs/>
          <w:i/>
          <w:noProof/>
          <w:color w:val="auto"/>
          <w:sz w:val="20"/>
          <w:szCs w:val="20"/>
        </w:rPr>
        <w:t>…</w:t>
      </w:r>
    </w:p>
    <w:p w14:paraId="17D2DB85" w14:textId="77777777" w:rsidR="009C3B3B" w:rsidRPr="0016487D" w:rsidRDefault="009C3B3B" w:rsidP="00AE2352">
      <w:pPr>
        <w:spacing w:after="0" w:line="360" w:lineRule="auto"/>
        <w:ind w:left="567" w:right="567"/>
        <w:contextualSpacing/>
        <w:rPr>
          <w:rFonts w:eastAsia="Calibri" w:cs="Tahoma"/>
          <w:bCs/>
          <w:i/>
          <w:noProof/>
          <w:color w:val="auto"/>
          <w:sz w:val="20"/>
          <w:szCs w:val="20"/>
        </w:rPr>
      </w:pPr>
      <w:r w:rsidRPr="0016487D">
        <w:rPr>
          <w:rFonts w:eastAsia="Calibri" w:cs="Tahoma"/>
          <w:bCs/>
          <w:i/>
          <w:noProof/>
          <w:color w:val="auto"/>
          <w:sz w:val="20"/>
          <w:szCs w:val="20"/>
        </w:rPr>
        <w:t>III. La relativa a los servidores públicos integrantes de las instituciones de seguridad pública, cuya revelación pueda poner en riesgo su vida e integridad física con motivo de sus funciones;</w:t>
      </w:r>
    </w:p>
    <w:p w14:paraId="0F3C4699" w14:textId="77777777" w:rsidR="009C3B3B" w:rsidRPr="0016487D" w:rsidRDefault="009C3B3B" w:rsidP="00AE2352">
      <w:pPr>
        <w:spacing w:after="0" w:line="360" w:lineRule="auto"/>
        <w:ind w:left="567" w:right="567"/>
        <w:contextualSpacing/>
        <w:rPr>
          <w:rFonts w:eastAsia="Calibri" w:cs="Tahoma"/>
          <w:bCs/>
          <w:i/>
          <w:noProof/>
          <w:color w:val="auto"/>
          <w:sz w:val="20"/>
          <w:szCs w:val="20"/>
        </w:rPr>
      </w:pPr>
      <w:r w:rsidRPr="0016487D">
        <w:rPr>
          <w:rFonts w:eastAsia="Calibri" w:cs="Tahoma"/>
          <w:bCs/>
          <w:i/>
          <w:noProof/>
          <w:color w:val="auto"/>
          <w:sz w:val="20"/>
          <w:szCs w:val="20"/>
        </w:rPr>
        <w:t>…”</w:t>
      </w:r>
    </w:p>
    <w:p w14:paraId="166D27C9" w14:textId="77777777" w:rsidR="009C3B3B" w:rsidRPr="0016487D" w:rsidRDefault="009C3B3B" w:rsidP="00AE2352">
      <w:pPr>
        <w:spacing w:after="0" w:line="360" w:lineRule="auto"/>
        <w:rPr>
          <w:rFonts w:eastAsia="Calibri" w:cs="Tahoma"/>
          <w:bCs/>
          <w:noProof/>
          <w:color w:val="auto"/>
          <w:sz w:val="20"/>
          <w:szCs w:val="20"/>
        </w:rPr>
      </w:pPr>
    </w:p>
    <w:p w14:paraId="749C1971" w14:textId="77777777" w:rsidR="009C3B3B" w:rsidRPr="0016487D" w:rsidRDefault="009C3B3B" w:rsidP="00AE2352">
      <w:pPr>
        <w:spacing w:after="0" w:line="360" w:lineRule="auto"/>
        <w:rPr>
          <w:rFonts w:eastAsia="Times New Roman" w:cs="Tahoma"/>
          <w:noProof/>
          <w:color w:val="auto"/>
          <w:lang w:eastAsia="es-ES"/>
        </w:rPr>
      </w:pPr>
      <w:r w:rsidRPr="0016487D">
        <w:rPr>
          <w:rFonts w:eastAsia="Times New Roman" w:cs="Tahoma"/>
          <w:noProof/>
          <w:color w:val="auto"/>
          <w:lang w:eastAsia="es-ES"/>
        </w:rPr>
        <w:t>Conforme al citado artículo, se desprende que es reservada toda aquella información de los servidores públicos integrantes de las instituciones de seguridad pública, cuya revelación pueda poner en riesgo su vida e integridad física con motivo de sus funciones.</w:t>
      </w:r>
    </w:p>
    <w:p w14:paraId="2388F292" w14:textId="77777777" w:rsidR="009C3B3B" w:rsidRPr="0016487D" w:rsidRDefault="009C3B3B" w:rsidP="00AE2352">
      <w:pPr>
        <w:spacing w:after="0" w:line="360" w:lineRule="auto"/>
        <w:rPr>
          <w:rFonts w:eastAsia="Times New Roman" w:cs="Tahoma"/>
          <w:bCs/>
          <w:iCs/>
          <w:noProof/>
          <w:color w:val="000000"/>
          <w:lang w:eastAsia="es-ES"/>
        </w:rPr>
      </w:pPr>
    </w:p>
    <w:p w14:paraId="57CEA1E1" w14:textId="67019962" w:rsidR="009C3B3B" w:rsidRPr="0016487D" w:rsidRDefault="009C3B3B" w:rsidP="00AE2352">
      <w:pPr>
        <w:spacing w:after="0" w:line="360" w:lineRule="auto"/>
        <w:rPr>
          <w:rFonts w:eastAsia="Calibri" w:cs="Tahoma"/>
          <w:bCs/>
          <w:noProof/>
          <w:color w:val="auto"/>
        </w:rPr>
      </w:pPr>
      <w:r w:rsidRPr="0016487D">
        <w:rPr>
          <w:rFonts w:eastAsia="Calibri" w:cs="Tahoma"/>
          <w:bCs/>
          <w:noProof/>
          <w:color w:val="auto"/>
        </w:rPr>
        <w:t>En ese contexto, es de señalar que los datos de servidores públicos, entre los que se encuentran el nombre y fotografía de los trabajadores, por regla general, son de naturaleza pública, de conformidad con el artículo 92, fracción VII, de la Ley de Transparencia y Acceso a la Información Pública del Estado de México y Municipios.</w:t>
      </w:r>
    </w:p>
    <w:p w14:paraId="2D252296" w14:textId="77777777" w:rsidR="009C3B3B" w:rsidRPr="0016487D" w:rsidRDefault="009C3B3B" w:rsidP="00AE2352">
      <w:pPr>
        <w:spacing w:after="0" w:line="360" w:lineRule="auto"/>
        <w:rPr>
          <w:rFonts w:eastAsia="Calibri" w:cs="Tahoma"/>
          <w:bCs/>
          <w:noProof/>
          <w:color w:val="auto"/>
        </w:rPr>
      </w:pPr>
    </w:p>
    <w:p w14:paraId="04AC92E9" w14:textId="77777777" w:rsidR="009C3B3B" w:rsidRPr="0016487D" w:rsidRDefault="009C3B3B" w:rsidP="00AE2352">
      <w:pPr>
        <w:spacing w:after="0" w:line="360" w:lineRule="auto"/>
        <w:rPr>
          <w:rFonts w:eastAsia="Times New Roman" w:cs="Tahoma"/>
          <w:noProof/>
          <w:color w:val="auto"/>
          <w:lang w:eastAsia="es-ES"/>
        </w:rPr>
      </w:pPr>
      <w:r w:rsidRPr="0016487D">
        <w:rPr>
          <w:rFonts w:eastAsia="Calibri" w:cs="Tahoma"/>
          <w:bCs/>
          <w:noProof/>
          <w:color w:val="auto"/>
        </w:rPr>
        <w:t xml:space="preserve">No obstante, resulta necesario traer a colación por analogía, el </w:t>
      </w:r>
      <w:r w:rsidRPr="0016487D">
        <w:rPr>
          <w:rFonts w:eastAsia="Calibri" w:cs="Times New Roman"/>
          <w:noProof/>
          <w:color w:val="000000"/>
        </w:rPr>
        <w:t xml:space="preserve">Criterio de interpretación, con número de registro SO/006/2009, de la Primera Época, </w:t>
      </w:r>
      <w:r w:rsidRPr="0016487D">
        <w:rPr>
          <w:rFonts w:eastAsia="Calibri" w:cs="Tahoma"/>
          <w:bCs/>
          <w:noProof/>
          <w:color w:val="auto"/>
        </w:rPr>
        <w:t xml:space="preserve">emitido por </w:t>
      </w:r>
      <w:r w:rsidRPr="0016487D">
        <w:rPr>
          <w:rFonts w:eastAsia="Times New Roman" w:cs="Tahoma"/>
          <w:noProof/>
          <w:color w:val="auto"/>
          <w:lang w:eastAsia="es-ES"/>
        </w:rPr>
        <w:t>el entonces Instituto Federal de Acceso a la Información y Protección de Datos ahora Instituto Nacional de Transparencia, Acceso a la Información y Protección de Datos Personales, que establece lo siguiente:</w:t>
      </w:r>
    </w:p>
    <w:p w14:paraId="6B8CB3E2" w14:textId="77777777" w:rsidR="009C3B3B" w:rsidRPr="0016487D" w:rsidRDefault="009C3B3B" w:rsidP="00AE2352">
      <w:pPr>
        <w:spacing w:after="0" w:line="360" w:lineRule="auto"/>
        <w:rPr>
          <w:rFonts w:eastAsia="Times New Roman" w:cs="Tahoma"/>
          <w:i/>
          <w:noProof/>
          <w:color w:val="auto"/>
          <w:lang w:eastAsia="es-ES"/>
        </w:rPr>
      </w:pPr>
    </w:p>
    <w:p w14:paraId="0FDDCAA2" w14:textId="77777777" w:rsidR="009C3B3B" w:rsidRPr="0016487D" w:rsidRDefault="009C3B3B" w:rsidP="00AE2352">
      <w:pPr>
        <w:tabs>
          <w:tab w:val="left" w:pos="4962"/>
        </w:tabs>
        <w:spacing w:after="0" w:line="360" w:lineRule="auto"/>
        <w:ind w:left="567" w:right="567"/>
        <w:contextualSpacing/>
        <w:rPr>
          <w:rFonts w:eastAsia="Times New Roman" w:cs="Tahoma"/>
          <w:i/>
          <w:noProof/>
          <w:color w:val="auto"/>
          <w:sz w:val="20"/>
          <w:lang w:eastAsia="es-ES"/>
        </w:rPr>
      </w:pPr>
      <w:r w:rsidRPr="0016487D">
        <w:rPr>
          <w:rFonts w:eastAsia="Times New Roman" w:cs="Tahoma"/>
          <w:b/>
          <w:i/>
          <w:noProof/>
          <w:color w:val="auto"/>
          <w:sz w:val="20"/>
          <w:lang w:eastAsia="es-ES"/>
        </w:rPr>
        <w:t>“Nombres de servidores públicos dedicados a actividades en materia de seguridad, por excepción pueden considerarse información reservada.</w:t>
      </w:r>
      <w:r w:rsidRPr="0016487D">
        <w:rPr>
          <w:rFonts w:eastAsia="Times New Roman" w:cs="Tahoma"/>
          <w:i/>
          <w:noProof/>
          <w:color w:val="auto"/>
          <w:sz w:val="20"/>
          <w:lang w:eastAsia="es-ES"/>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w:t>
      </w:r>
      <w:r w:rsidRPr="0016487D">
        <w:rPr>
          <w:rFonts w:eastAsia="Times New Roman" w:cs="Tahoma"/>
          <w:i/>
          <w:noProof/>
          <w:color w:val="auto"/>
          <w:sz w:val="20"/>
          <w:lang w:eastAsia="es-ES"/>
        </w:rPr>
        <w:lastRenderedPageBreak/>
        <w:t>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4AB3611F" w14:textId="77777777" w:rsidR="009C3B3B" w:rsidRPr="0016487D" w:rsidRDefault="009C3B3B" w:rsidP="00AE2352">
      <w:pPr>
        <w:spacing w:after="0" w:line="360" w:lineRule="auto"/>
        <w:rPr>
          <w:rFonts w:eastAsia="Calibri" w:cs="Tahoma"/>
          <w:bCs/>
          <w:noProof/>
          <w:color w:val="auto"/>
        </w:rPr>
      </w:pPr>
    </w:p>
    <w:p w14:paraId="5EA1CBE9" w14:textId="77777777" w:rsidR="009C3B3B" w:rsidRPr="0016487D" w:rsidRDefault="009C3B3B" w:rsidP="00AE2352">
      <w:pPr>
        <w:spacing w:after="0" w:line="360" w:lineRule="auto"/>
        <w:rPr>
          <w:rFonts w:eastAsia="Calibri" w:cs="Tahoma"/>
          <w:bCs/>
          <w:noProof/>
          <w:color w:val="auto"/>
        </w:rPr>
      </w:pPr>
      <w:r w:rsidRPr="0016487D">
        <w:rPr>
          <w:rFonts w:eastAsia="Calibri" w:cs="Tahoma"/>
          <w:bCs/>
          <w:noProof/>
          <w:color w:val="auto"/>
        </w:rPr>
        <w:t>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funciones de carácter operativo.</w:t>
      </w:r>
    </w:p>
    <w:p w14:paraId="001887D5" w14:textId="77777777" w:rsidR="009C3B3B" w:rsidRPr="0016487D" w:rsidRDefault="009C3B3B" w:rsidP="00AE2352">
      <w:pPr>
        <w:spacing w:after="0" w:line="360" w:lineRule="auto"/>
        <w:rPr>
          <w:rFonts w:eastAsia="Calibri" w:cs="Tahoma"/>
          <w:bCs/>
          <w:noProof/>
          <w:color w:val="auto"/>
        </w:rPr>
      </w:pPr>
    </w:p>
    <w:p w14:paraId="481FB638" w14:textId="77777777" w:rsidR="009C3B3B" w:rsidRPr="0016487D" w:rsidRDefault="009C3B3B" w:rsidP="00AE2352">
      <w:pPr>
        <w:spacing w:after="0" w:line="360" w:lineRule="auto"/>
        <w:rPr>
          <w:noProof/>
          <w:color w:val="000000"/>
        </w:rPr>
      </w:pPr>
      <w:r w:rsidRPr="0016487D">
        <w:rPr>
          <w:noProof/>
          <w:color w:val="000000"/>
        </w:rPr>
        <w:t>Además, el Criterio Reiterado 09/24, emitido por el Pleno de este Instituto, precisa que el nombre del personal operativo de seguridad pública debe clasificarse como información reservada, previa acreditación de la prueba de daño, ya que su publicidad podría poner en riesgo la vida, la seguridad o la salud del servidor público, ya que los vuelve plenamente identificables ante grupos delictivos.</w:t>
      </w:r>
    </w:p>
    <w:p w14:paraId="039E52E6" w14:textId="77777777" w:rsidR="009C3B3B" w:rsidRPr="0016487D" w:rsidRDefault="009C3B3B" w:rsidP="00AE2352">
      <w:pPr>
        <w:spacing w:after="0" w:line="360" w:lineRule="auto"/>
        <w:rPr>
          <w:rFonts w:eastAsia="Calibri" w:cs="Tahoma"/>
          <w:bCs/>
          <w:noProof/>
          <w:color w:val="auto"/>
        </w:rPr>
      </w:pPr>
    </w:p>
    <w:p w14:paraId="6BDEE66B" w14:textId="77777777" w:rsidR="009C3B3B" w:rsidRPr="0016487D" w:rsidRDefault="009C3B3B" w:rsidP="00AE2352">
      <w:pPr>
        <w:spacing w:after="0" w:line="360" w:lineRule="auto"/>
        <w:rPr>
          <w:rFonts w:eastAsia="Calibri" w:cs="Tahoma"/>
          <w:bCs/>
          <w:noProof/>
          <w:color w:val="auto"/>
        </w:rPr>
      </w:pPr>
      <w:r w:rsidRPr="0016487D">
        <w:rPr>
          <w:rFonts w:eastAsia="Calibri" w:cs="Tahoma"/>
          <w:bCs/>
          <w:noProof/>
          <w:color w:val="auto"/>
        </w:rPr>
        <w:lastRenderedPageBreak/>
        <w:t xml:space="preserve">En ese orden de ideas, si bien por regla general los nombres de los trabajadores gubernamentales son información pública de oficio, existe una excepción relativa a </w:t>
      </w:r>
      <w:r w:rsidRPr="0016487D">
        <w:rPr>
          <w:rFonts w:eastAsia="Calibri" w:cs="Tahoma"/>
          <w:b/>
          <w:bCs/>
          <w:noProof/>
          <w:color w:val="auto"/>
        </w:rPr>
        <w:t>aquellos que realicen actividades operativas en materia de seguridad,</w:t>
      </w:r>
      <w:r w:rsidRPr="0016487D">
        <w:rPr>
          <w:rFonts w:eastAsia="Calibri" w:cs="Tahoma"/>
          <w:bCs/>
          <w:noProof/>
          <w:color w:val="auto"/>
        </w:rPr>
        <w:t xml:space="preserve"> como es el caso de los elementos operativos y la policía municipal.</w:t>
      </w:r>
    </w:p>
    <w:p w14:paraId="613A7ECC" w14:textId="77777777" w:rsidR="009C3B3B" w:rsidRPr="0016487D" w:rsidRDefault="009C3B3B" w:rsidP="00AE2352">
      <w:pPr>
        <w:spacing w:after="0" w:line="360" w:lineRule="auto"/>
        <w:rPr>
          <w:rFonts w:eastAsia="Calibri" w:cs="Tahoma"/>
          <w:bCs/>
          <w:noProof/>
          <w:color w:val="auto"/>
        </w:rPr>
      </w:pPr>
    </w:p>
    <w:p w14:paraId="1C1F2F8E" w14:textId="77777777" w:rsidR="009C3B3B" w:rsidRPr="0016487D" w:rsidRDefault="009C3B3B" w:rsidP="00AE2352">
      <w:pPr>
        <w:spacing w:after="0" w:line="360" w:lineRule="auto"/>
        <w:rPr>
          <w:rFonts w:eastAsia="Calibri" w:cs="Tahoma"/>
          <w:bCs/>
          <w:noProof/>
          <w:color w:val="auto"/>
        </w:rPr>
      </w:pPr>
      <w:r w:rsidRPr="0016487D">
        <w:rPr>
          <w:rFonts w:eastAsia="Calibri" w:cs="Tahoma"/>
          <w:bCs/>
          <w:noProof/>
          <w:color w:val="auto"/>
        </w:rPr>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73700D16" w14:textId="77777777" w:rsidR="009C3B3B" w:rsidRPr="0016487D" w:rsidRDefault="009C3B3B" w:rsidP="00AE2352">
      <w:pPr>
        <w:spacing w:after="0" w:line="360" w:lineRule="auto"/>
        <w:rPr>
          <w:rFonts w:eastAsia="Calibri" w:cs="Tahoma"/>
          <w:bCs/>
          <w:noProof/>
          <w:color w:val="auto"/>
        </w:rPr>
      </w:pPr>
    </w:p>
    <w:p w14:paraId="2CB2EF2B" w14:textId="77777777" w:rsidR="009C3B3B" w:rsidRPr="0016487D" w:rsidRDefault="009C3B3B" w:rsidP="00AE2352">
      <w:pPr>
        <w:spacing w:after="0" w:line="360" w:lineRule="auto"/>
        <w:rPr>
          <w:rFonts w:eastAsia="Calibri" w:cs="Tahoma"/>
          <w:bCs/>
          <w:noProof/>
          <w:color w:val="auto"/>
        </w:rPr>
      </w:pPr>
      <w:r w:rsidRPr="0016487D">
        <w:rPr>
          <w:rFonts w:eastAsia="Calibri" w:cs="Tahoma"/>
          <w:bCs/>
          <w:noProof/>
          <w:color w:val="auto"/>
        </w:rPr>
        <w:t>En ese contexto, el artículo 6°, fracciones XI y XII de dicho ordenamiento jurídico, establece los siguientes conceptos:</w:t>
      </w:r>
    </w:p>
    <w:p w14:paraId="678E06EE" w14:textId="77777777" w:rsidR="009C3B3B" w:rsidRPr="0016487D" w:rsidRDefault="009C3B3B" w:rsidP="00AE2352">
      <w:pPr>
        <w:spacing w:after="0" w:line="360" w:lineRule="auto"/>
        <w:rPr>
          <w:rFonts w:eastAsia="Calibri" w:cs="Tahoma"/>
          <w:bCs/>
          <w:noProof/>
          <w:color w:val="auto"/>
        </w:rPr>
      </w:pPr>
    </w:p>
    <w:p w14:paraId="4EACCF26" w14:textId="77777777" w:rsidR="009C3B3B" w:rsidRPr="0016487D" w:rsidRDefault="009C3B3B" w:rsidP="00AE2352">
      <w:pPr>
        <w:numPr>
          <w:ilvl w:val="0"/>
          <w:numId w:val="3"/>
        </w:numPr>
        <w:spacing w:after="0" w:line="360" w:lineRule="auto"/>
        <w:rPr>
          <w:rFonts w:eastAsia="Calibri" w:cs="Tahoma"/>
          <w:b/>
          <w:bCs/>
          <w:noProof/>
          <w:color w:val="auto"/>
        </w:rPr>
      </w:pPr>
      <w:r w:rsidRPr="0016487D">
        <w:rPr>
          <w:rFonts w:eastAsia="Calibri" w:cs="Tahoma"/>
          <w:b/>
          <w:bCs/>
          <w:noProof/>
          <w:color w:val="auto"/>
        </w:rPr>
        <w:t xml:space="preserve">Instituciones Policiales: </w:t>
      </w:r>
      <w:r w:rsidRPr="0016487D">
        <w:rPr>
          <w:rFonts w:eastAsia="Calibri" w:cs="Tahoma"/>
          <w:bCs/>
          <w:noProof/>
          <w:color w:val="auto"/>
        </w:rPr>
        <w:t xml:space="preserve">Son los cuerpos de policía, de vigilancia y custodia de los establecimientos penitenciarios, detención preventiva, centros de arraigo y en general, </w:t>
      </w:r>
      <w:r w:rsidRPr="0016487D">
        <w:rPr>
          <w:rFonts w:eastAsia="Calibri" w:cs="Tahoma"/>
          <w:b/>
          <w:bCs/>
          <w:noProof/>
          <w:color w:val="auto"/>
        </w:rPr>
        <w:t>todas las dependencias encargadas de la seguridad pública a nivel</w:t>
      </w:r>
      <w:r w:rsidRPr="0016487D">
        <w:rPr>
          <w:rFonts w:eastAsia="Calibri" w:cs="Tahoma"/>
          <w:bCs/>
          <w:noProof/>
          <w:color w:val="auto"/>
        </w:rPr>
        <w:t xml:space="preserve"> estatal y </w:t>
      </w:r>
      <w:r w:rsidRPr="0016487D">
        <w:rPr>
          <w:rFonts w:eastAsia="Calibri" w:cs="Tahoma"/>
          <w:b/>
          <w:bCs/>
          <w:noProof/>
          <w:color w:val="auto"/>
        </w:rPr>
        <w:t>municipal.</w:t>
      </w:r>
    </w:p>
    <w:p w14:paraId="4461F068" w14:textId="77777777" w:rsidR="00B67812" w:rsidRPr="0016487D" w:rsidRDefault="00B67812" w:rsidP="00B67812">
      <w:pPr>
        <w:spacing w:after="0" w:line="360" w:lineRule="auto"/>
        <w:ind w:left="720"/>
        <w:rPr>
          <w:rFonts w:eastAsia="Calibri" w:cs="Tahoma"/>
          <w:b/>
          <w:bCs/>
          <w:noProof/>
          <w:color w:val="auto"/>
        </w:rPr>
      </w:pPr>
    </w:p>
    <w:p w14:paraId="5693B3DA" w14:textId="77777777" w:rsidR="009C3B3B" w:rsidRPr="0016487D" w:rsidRDefault="009C3B3B" w:rsidP="00AE2352">
      <w:pPr>
        <w:numPr>
          <w:ilvl w:val="0"/>
          <w:numId w:val="3"/>
        </w:numPr>
        <w:spacing w:after="0" w:line="360" w:lineRule="auto"/>
        <w:rPr>
          <w:rFonts w:eastAsia="Calibri" w:cs="Tahoma"/>
          <w:b/>
          <w:bCs/>
          <w:noProof/>
          <w:color w:val="auto"/>
        </w:rPr>
      </w:pPr>
      <w:r w:rsidRPr="0016487D">
        <w:rPr>
          <w:rFonts w:eastAsia="Calibri" w:cs="Tahoma"/>
          <w:b/>
          <w:bCs/>
          <w:noProof/>
          <w:color w:val="auto"/>
        </w:rPr>
        <w:t xml:space="preserve">Instituciones de Seguridad Pública: </w:t>
      </w:r>
      <w:r w:rsidRPr="0016487D">
        <w:rPr>
          <w:rFonts w:eastAsia="Calibri" w:cs="Tahoma"/>
          <w:bCs/>
          <w:noProof/>
          <w:color w:val="auto"/>
        </w:rPr>
        <w:t xml:space="preserve">Instituciones Policiales, Procuración de Justicia, Sistema Penitenciario y </w:t>
      </w:r>
      <w:r w:rsidRPr="0016487D">
        <w:rPr>
          <w:rFonts w:eastAsia="Calibri" w:cs="Tahoma"/>
          <w:b/>
          <w:bCs/>
          <w:noProof/>
          <w:color w:val="auto"/>
        </w:rPr>
        <w:t xml:space="preserve">dependencias encargadas de la seguridad pública a nivel </w:t>
      </w:r>
      <w:r w:rsidRPr="0016487D">
        <w:rPr>
          <w:rFonts w:eastAsia="Calibri" w:cs="Tahoma"/>
          <w:bCs/>
          <w:noProof/>
          <w:color w:val="auto"/>
        </w:rPr>
        <w:t xml:space="preserve">estatal y </w:t>
      </w:r>
      <w:r w:rsidRPr="0016487D">
        <w:rPr>
          <w:rFonts w:eastAsia="Calibri" w:cs="Tahoma"/>
          <w:b/>
          <w:bCs/>
          <w:noProof/>
          <w:color w:val="auto"/>
        </w:rPr>
        <w:t>municipal.</w:t>
      </w:r>
    </w:p>
    <w:p w14:paraId="3B73F6EE" w14:textId="77777777" w:rsidR="00B67812" w:rsidRPr="0016487D" w:rsidRDefault="00B67812" w:rsidP="00B67812">
      <w:pPr>
        <w:pStyle w:val="Prrafodelista"/>
        <w:rPr>
          <w:rFonts w:eastAsia="Calibri" w:cs="Tahoma"/>
          <w:b/>
          <w:bCs/>
          <w:noProof/>
          <w:color w:val="auto"/>
        </w:rPr>
      </w:pPr>
    </w:p>
    <w:p w14:paraId="7B67A43C" w14:textId="488B2B6A" w:rsidR="009C3B3B" w:rsidRPr="0016487D" w:rsidRDefault="009C3B3B" w:rsidP="00AE2352">
      <w:pPr>
        <w:spacing w:after="0" w:line="360" w:lineRule="auto"/>
        <w:rPr>
          <w:rFonts w:eastAsia="Calibri" w:cs="Times New Roman"/>
          <w:noProof/>
          <w:color w:val="auto"/>
          <w:szCs w:val="20"/>
          <w:lang w:eastAsia="es-ES"/>
        </w:rPr>
      </w:pPr>
      <w:r w:rsidRPr="0016487D">
        <w:rPr>
          <w:rFonts w:eastAsia="Calibri" w:cs="Tahoma"/>
          <w:iCs/>
          <w:noProof/>
          <w:color w:val="auto"/>
          <w:szCs w:val="20"/>
          <w:lang w:eastAsia="es-ES_tradnl"/>
        </w:rPr>
        <w:t>Conforme a lo anterior</w:t>
      </w:r>
      <w:r w:rsidRPr="0016487D">
        <w:rPr>
          <w:rFonts w:eastAsia="Calibri" w:cs="Tahoma"/>
          <w:bCs/>
          <w:noProof/>
          <w:color w:val="auto"/>
        </w:rPr>
        <w:t xml:space="preserve">, se puede deducir que la </w:t>
      </w:r>
      <w:r w:rsidR="00B67812" w:rsidRPr="0016487D">
        <w:rPr>
          <w:rFonts w:eastAsia="Calibri" w:cs="Tahoma"/>
          <w:bCs/>
          <w:noProof/>
          <w:color w:val="000000"/>
        </w:rPr>
        <w:t>Comisaría de Seguridad Pública y Tránsito Municipal</w:t>
      </w:r>
      <w:r w:rsidRPr="0016487D">
        <w:rPr>
          <w:rFonts w:eastAsia="Calibri" w:cs="Tahoma"/>
          <w:bCs/>
          <w:noProof/>
          <w:color w:val="auto"/>
        </w:rPr>
        <w:t xml:space="preserve">, es una institución de seguridad pública, pues tiene como atribución principal, la prevención de delitos </w:t>
      </w:r>
      <w:r w:rsidRPr="0016487D">
        <w:rPr>
          <w:rFonts w:eastAsia="Calibri" w:cs="Times New Roman"/>
          <w:noProof/>
          <w:color w:val="auto"/>
          <w:szCs w:val="20"/>
          <w:lang w:eastAsia="es-ES"/>
        </w:rPr>
        <w:t>y proteger a las personas, sus propiedades, posesiones y derechos.</w:t>
      </w:r>
    </w:p>
    <w:p w14:paraId="7712BFB2" w14:textId="024DCD4F" w:rsidR="009C3B3B" w:rsidRPr="0016487D" w:rsidRDefault="009C3B3B" w:rsidP="00AE2352">
      <w:pPr>
        <w:tabs>
          <w:tab w:val="left" w:pos="4962"/>
        </w:tabs>
        <w:spacing w:after="0" w:line="360" w:lineRule="auto"/>
        <w:ind w:right="-28"/>
        <w:contextualSpacing/>
        <w:rPr>
          <w:rFonts w:eastAsia="Calibri" w:cs="Tahoma"/>
          <w:bCs/>
          <w:noProof/>
          <w:color w:val="auto"/>
        </w:rPr>
      </w:pPr>
      <w:r w:rsidRPr="0016487D">
        <w:rPr>
          <w:rFonts w:eastAsia="Calibri" w:cs="Tahoma"/>
          <w:bCs/>
          <w:noProof/>
          <w:color w:val="auto"/>
        </w:rPr>
        <w:lastRenderedPageBreak/>
        <w:t xml:space="preserve">Además, el Instructivo de llenado del Formato “Personal de Seguridad Pública”, del Secretariado Ejecutivo del Sistema Nacional de Seguridad Pública (consultado, en la liga </w:t>
      </w:r>
      <w:hyperlink r:id="rId14" w:history="1">
        <w:r w:rsidRPr="0016487D">
          <w:rPr>
            <w:rFonts w:eastAsia="Calibri" w:cs="Tahoma"/>
            <w:bCs/>
            <w:noProof/>
            <w:color w:val="0563C1"/>
            <w:u w:val="single"/>
          </w:rPr>
          <w:t>http://secretariadoejecutivo.gob.mx/work/models/SecretariadoEjecutivo/Resource/328/1/images/instructivo_final_edo_fuerza(1).pdf</w:t>
        </w:r>
      </w:hyperlink>
      <w:r w:rsidRPr="0016487D">
        <w:rPr>
          <w:rFonts w:eastAsia="Calibri" w:cs="Tahoma"/>
          <w:bCs/>
          <w:noProof/>
          <w:color w:val="auto"/>
        </w:rPr>
        <w:t xml:space="preserve">), establece que los elementos operativos de seguridad pública, son aquellos que desempeñan funciones de campo (policiacas, especializadas o equivalentes y que no </w:t>
      </w:r>
      <w:r w:rsidRPr="0016487D">
        <w:rPr>
          <w:rFonts w:eastAsia="Calibri" w:cs="Tahoma"/>
          <w:b/>
          <w:bCs/>
          <w:noProof/>
          <w:color w:val="auto"/>
        </w:rPr>
        <w:t>desempeña funciones de mando</w:t>
      </w:r>
      <w:r w:rsidRPr="0016487D">
        <w:rPr>
          <w:rFonts w:eastAsia="Calibri" w:cs="Tahoma"/>
          <w:bCs/>
          <w:noProof/>
          <w:color w:val="auto"/>
        </w:rPr>
        <w:t xml:space="preserve">), entre los cuales, se encuentra </w:t>
      </w:r>
      <w:r w:rsidRPr="0016487D">
        <w:rPr>
          <w:rFonts w:eastAsia="Calibri" w:cs="Tahoma"/>
          <w:b/>
          <w:bCs/>
          <w:noProof/>
          <w:color w:val="auto"/>
        </w:rPr>
        <w:t>la Policía Municipal</w:t>
      </w:r>
      <w:r w:rsidRPr="0016487D">
        <w:rPr>
          <w:rFonts w:eastAsia="Calibri" w:cs="Tahoma"/>
          <w:bCs/>
          <w:noProof/>
          <w:color w:val="auto"/>
        </w:rPr>
        <w:t>.</w:t>
      </w:r>
    </w:p>
    <w:p w14:paraId="25511124" w14:textId="77777777" w:rsidR="009C3B3B" w:rsidRPr="0016487D" w:rsidRDefault="009C3B3B" w:rsidP="00AE2352">
      <w:pPr>
        <w:tabs>
          <w:tab w:val="left" w:pos="4962"/>
        </w:tabs>
        <w:spacing w:after="0" w:line="360" w:lineRule="auto"/>
        <w:ind w:right="-28"/>
        <w:contextualSpacing/>
        <w:rPr>
          <w:rFonts w:eastAsia="Calibri" w:cs="Tahoma"/>
          <w:bCs/>
          <w:noProof/>
          <w:color w:val="auto"/>
        </w:rPr>
      </w:pPr>
    </w:p>
    <w:p w14:paraId="320B671F" w14:textId="77777777" w:rsidR="009C3B3B" w:rsidRPr="0016487D" w:rsidRDefault="009C3B3B" w:rsidP="00AE2352">
      <w:pPr>
        <w:tabs>
          <w:tab w:val="left" w:pos="4962"/>
        </w:tabs>
        <w:spacing w:after="0" w:line="360" w:lineRule="auto"/>
        <w:ind w:right="-28"/>
        <w:contextualSpacing/>
        <w:rPr>
          <w:rFonts w:eastAsia="Calibri" w:cs="Tahoma"/>
          <w:bCs/>
          <w:noProof/>
          <w:color w:val="auto"/>
        </w:rPr>
      </w:pPr>
      <w:r w:rsidRPr="0016487D">
        <w:rPr>
          <w:rFonts w:eastAsia="Calibri" w:cs="Tahoma"/>
          <w:bCs/>
          <w:noProof/>
          <w:color w:val="auto"/>
        </w:rPr>
        <w:t xml:space="preserve">Asimismo, se advierte que las Instituciones Policiales, se conforman del personal </w:t>
      </w:r>
      <w:r w:rsidRPr="0016487D">
        <w:rPr>
          <w:rFonts w:eastAsia="Calibri" w:cs="Tahoma"/>
          <w:b/>
          <w:noProof/>
          <w:color w:val="auto"/>
        </w:rPr>
        <w:t>administrativo,</w:t>
      </w:r>
      <w:r w:rsidRPr="0016487D">
        <w:rPr>
          <w:rFonts w:eastAsia="Calibri" w:cs="Tahoma"/>
          <w:bCs/>
          <w:noProof/>
          <w:color w:val="auto"/>
        </w:rPr>
        <w:t xml:space="preserve"> que son los trabajadores de apoyo (chofer, personal de mantenimiento, servicios generales y área secretaria); </w:t>
      </w:r>
      <w:r w:rsidRPr="0016487D">
        <w:rPr>
          <w:rFonts w:eastAsia="Calibri" w:cs="Tahoma"/>
          <w:b/>
          <w:noProof/>
          <w:color w:val="auto"/>
        </w:rPr>
        <w:t>así como, el personal de mando</w:t>
      </w:r>
      <w:r w:rsidRPr="0016487D">
        <w:rPr>
          <w:rFonts w:eastAsia="Calibri" w:cs="Tahoma"/>
          <w:bCs/>
          <w:noProof/>
          <w:color w:val="auto"/>
        </w:rPr>
        <w:t xml:space="preserve"> (alto, medio y superior), que es aquel que realiza funciones de dirección, coordinación y supervisión, por lo cual, corresponde a aquel que tenga trabajadores a su cargo.</w:t>
      </w:r>
    </w:p>
    <w:p w14:paraId="7A7FF051" w14:textId="77777777" w:rsidR="009C3B3B" w:rsidRPr="0016487D" w:rsidRDefault="009C3B3B" w:rsidP="00AE2352">
      <w:pPr>
        <w:spacing w:after="0" w:line="360" w:lineRule="auto"/>
        <w:contextualSpacing/>
        <w:rPr>
          <w:rFonts w:eastAsia="Times New Roman" w:cs="Tahoma"/>
          <w:noProof/>
          <w:color w:val="auto"/>
          <w:szCs w:val="24"/>
          <w:lang w:eastAsia="es-ES"/>
        </w:rPr>
      </w:pPr>
    </w:p>
    <w:p w14:paraId="19334E63" w14:textId="7DCA008D" w:rsidR="009C3B3B" w:rsidRPr="0016487D" w:rsidRDefault="009C3B3B" w:rsidP="00AE2352">
      <w:pPr>
        <w:spacing w:after="0" w:line="360" w:lineRule="auto"/>
        <w:contextualSpacing/>
        <w:rPr>
          <w:rFonts w:eastAsia="Calibri" w:cs="Tahoma"/>
          <w:bCs/>
          <w:noProof/>
          <w:color w:val="auto"/>
        </w:rPr>
      </w:pPr>
      <w:r w:rsidRPr="0016487D">
        <w:rPr>
          <w:rFonts w:eastAsia="Calibri" w:cs="Tahoma"/>
          <w:bCs/>
          <w:noProof/>
          <w:color w:val="auto"/>
        </w:rPr>
        <w:t>Así, dar a conocer el nombre de las personas, vinculado con el hecho que son policías,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6052E249" w14:textId="77777777" w:rsidR="009C3B3B" w:rsidRPr="0016487D" w:rsidRDefault="009C3B3B" w:rsidP="00AE2352">
      <w:pPr>
        <w:spacing w:after="0" w:line="360" w:lineRule="auto"/>
        <w:contextualSpacing/>
        <w:rPr>
          <w:rFonts w:eastAsia="Calibri" w:cs="Tahoma"/>
          <w:bCs/>
          <w:noProof/>
          <w:color w:val="auto"/>
        </w:rPr>
      </w:pPr>
    </w:p>
    <w:p w14:paraId="66BFFECE" w14:textId="77777777" w:rsidR="009C3B3B" w:rsidRPr="0016487D" w:rsidRDefault="009C3B3B" w:rsidP="00AE2352">
      <w:pPr>
        <w:spacing w:after="0" w:line="360" w:lineRule="auto"/>
        <w:contextualSpacing/>
        <w:rPr>
          <w:rFonts w:eastAsia="Calibri" w:cs="Tahoma"/>
          <w:bCs/>
          <w:noProof/>
          <w:color w:val="auto"/>
        </w:rPr>
      </w:pPr>
      <w:r w:rsidRPr="0016487D">
        <w:rPr>
          <w:rFonts w:eastAsia="Calibri" w:cs="Tahoma"/>
          <w:bCs/>
          <w:noProof/>
          <w:color w:val="auto"/>
        </w:rPr>
        <w:t xml:space="preserve">Sin embargo, por lo que hace al personal administrativo y los mandos medios y superiores, se advierte que estos no realizan funciones operativas, sino únicamente realizan actividades de </w:t>
      </w:r>
      <w:r w:rsidRPr="0016487D">
        <w:rPr>
          <w:rFonts w:eastAsia="Calibri" w:cs="Tahoma"/>
          <w:bCs/>
          <w:noProof/>
          <w:color w:val="auto"/>
        </w:rPr>
        <w:lastRenderedPageBreak/>
        <w:t>apoyo y dirección respectivamente, por lo que, no procede la causal de reserva establecida en el artículo 140, fracción IV, de la Ley de la materia, pues por el tipo de funciones que realizan, no se pone en peligro su vida, seguridad o salud de este tipo de trabajadores.</w:t>
      </w:r>
    </w:p>
    <w:p w14:paraId="6E9F2170" w14:textId="77777777" w:rsidR="009C3B3B" w:rsidRPr="0016487D" w:rsidRDefault="009C3B3B" w:rsidP="00AE2352">
      <w:pPr>
        <w:spacing w:after="0" w:line="360" w:lineRule="auto"/>
        <w:contextualSpacing/>
        <w:rPr>
          <w:rFonts w:eastAsia="Calibri" w:cs="Tahoma"/>
          <w:bCs/>
          <w:noProof/>
          <w:color w:val="auto"/>
        </w:rPr>
      </w:pPr>
    </w:p>
    <w:p w14:paraId="69D2C883" w14:textId="77777777" w:rsidR="009C3B3B" w:rsidRPr="0016487D" w:rsidRDefault="009C3B3B" w:rsidP="00AE2352">
      <w:pPr>
        <w:spacing w:after="0" w:line="360" w:lineRule="auto"/>
        <w:rPr>
          <w:rFonts w:eastAsia="Calibri" w:cs="Tahoma"/>
          <w:bCs/>
          <w:noProof/>
          <w:color w:val="auto"/>
        </w:rPr>
      </w:pPr>
      <w:r w:rsidRPr="0016487D">
        <w:rPr>
          <w:rFonts w:eastAsia="Calibri" w:cs="Tahoma"/>
          <w:bCs/>
          <w:noProof/>
          <w:color w:val="auto"/>
        </w:rPr>
        <w:t>De tal situación, se considera que dar a conocer el nombre de los policías municipales, puede poner en riesgo la vida, seguridad y salud de estos, de sus familias e incluso su entorno social, pues al hacerlos identificables, los hacen blancos de los agentes delincuenciales o inclusive a la delincuencia organizada, los cuales podrían amenazar o causarles algún daño, con el fin de entorpecer o disminuir la seguridad pública y aumentar la comisión de actos ilícitos.</w:t>
      </w:r>
    </w:p>
    <w:p w14:paraId="5663291F" w14:textId="77777777" w:rsidR="009C3B3B" w:rsidRPr="0016487D" w:rsidRDefault="009C3B3B" w:rsidP="00AE2352">
      <w:pPr>
        <w:spacing w:after="0" w:line="360" w:lineRule="auto"/>
        <w:contextualSpacing/>
        <w:rPr>
          <w:rFonts w:eastAsia="Calibri" w:cs="Tahoma"/>
          <w:bCs/>
          <w:noProof/>
          <w:color w:val="auto"/>
        </w:rPr>
      </w:pPr>
    </w:p>
    <w:p w14:paraId="352D7ACE" w14:textId="77777777" w:rsidR="009C3B3B" w:rsidRPr="0016487D" w:rsidRDefault="009C3B3B" w:rsidP="00AE2352">
      <w:pPr>
        <w:spacing w:after="0" w:line="360" w:lineRule="auto"/>
        <w:rPr>
          <w:rFonts w:eastAsia="Calibri" w:cs="Tahoma"/>
          <w:bCs/>
          <w:noProof/>
          <w:color w:val="auto"/>
        </w:rPr>
      </w:pPr>
      <w:r w:rsidRPr="0016487D">
        <w:rPr>
          <w:rFonts w:eastAsia="Calibri" w:cs="Tahoma"/>
          <w:bCs/>
          <w:noProof/>
          <w:color w:val="auto"/>
        </w:rPr>
        <w:t>Lo anterior toma relevancia pues los individuos con pretensiones delictivas pudieran promover algún vínculo o relación directa con los elementos operativos, que incluye a la policía municipal o bien, someterla a extorsión o amenazas con el fin de obtener información sensible sobre el modus operandi de dicha área, lo cual se traduciría en un detrimento al combate a la delincuencia y un perjuicio a la seguridad pública, vulnerando así, el interés general.</w:t>
      </w:r>
    </w:p>
    <w:p w14:paraId="2CCD03EF" w14:textId="77777777" w:rsidR="009C3B3B" w:rsidRPr="0016487D" w:rsidRDefault="009C3B3B" w:rsidP="00AE2352">
      <w:pPr>
        <w:spacing w:after="0" w:line="360" w:lineRule="auto"/>
        <w:rPr>
          <w:rFonts w:eastAsia="Calibri" w:cs="Tahoma"/>
          <w:bCs/>
          <w:noProof/>
          <w:color w:val="auto"/>
        </w:rPr>
      </w:pPr>
    </w:p>
    <w:p w14:paraId="501CAC28" w14:textId="2661CA10" w:rsidR="009C3B3B" w:rsidRPr="0016487D" w:rsidRDefault="009C3B3B" w:rsidP="00AE2352">
      <w:pPr>
        <w:spacing w:after="0" w:line="360" w:lineRule="auto"/>
        <w:rPr>
          <w:rFonts w:eastAsia="Calibri" w:cs="Tahoma"/>
          <w:b/>
          <w:iCs/>
          <w:noProof/>
          <w:color w:val="auto"/>
          <w:lang w:eastAsia="es-ES_tradnl"/>
        </w:rPr>
      </w:pPr>
      <w:r w:rsidRPr="0016487D">
        <w:rPr>
          <w:rFonts w:eastAsia="Calibri" w:cs="Tahoma"/>
          <w:bCs/>
          <w:noProof/>
          <w:color w:val="auto"/>
        </w:rPr>
        <w:t xml:space="preserve">Por tales consideraciones, </w:t>
      </w:r>
      <w:r w:rsidRPr="0016487D">
        <w:rPr>
          <w:rFonts w:eastAsia="Calibri" w:cs="Tahoma"/>
          <w:b/>
          <w:bCs/>
          <w:noProof/>
          <w:color w:val="auto"/>
        </w:rPr>
        <w:t>resulta procedente la reserva del nombre de los elementos operativos</w:t>
      </w:r>
      <w:r w:rsidR="008E5D7A" w:rsidRPr="0016487D">
        <w:rPr>
          <w:rFonts w:eastAsia="Calibri" w:cs="Tahoma"/>
          <w:b/>
          <w:bCs/>
          <w:noProof/>
          <w:color w:val="auto"/>
        </w:rPr>
        <w:t xml:space="preserve"> en materia de seguridad</w:t>
      </w:r>
      <w:r w:rsidRPr="0016487D">
        <w:rPr>
          <w:rFonts w:eastAsia="Calibri" w:cs="Tahoma"/>
          <w:b/>
          <w:bCs/>
          <w:noProof/>
          <w:color w:val="auto"/>
        </w:rPr>
        <w:t xml:space="preserve"> adscritos a la </w:t>
      </w:r>
      <w:r w:rsidR="008E5D7A" w:rsidRPr="0016487D">
        <w:rPr>
          <w:rFonts w:eastAsia="Calibri" w:cs="Tahoma"/>
          <w:b/>
          <w:bCs/>
          <w:noProof/>
          <w:color w:val="auto"/>
        </w:rPr>
        <w:t>Comisaría de Seguridad Pública y Tránsito Municipal</w:t>
      </w:r>
      <w:r w:rsidRPr="0016487D">
        <w:rPr>
          <w:rFonts w:eastAsia="Calibri" w:cs="Tahoma"/>
          <w:b/>
          <w:bCs/>
          <w:noProof/>
          <w:color w:val="auto"/>
        </w:rPr>
        <w:t xml:space="preserve">, en términos del artículo 140, fracción IV, de </w:t>
      </w:r>
      <w:r w:rsidRPr="0016487D">
        <w:rPr>
          <w:rFonts w:eastAsia="Calibri" w:cs="Tahoma"/>
          <w:b/>
          <w:iCs/>
          <w:noProof/>
          <w:color w:val="auto"/>
          <w:lang w:eastAsia="es-ES_tradnl"/>
        </w:rPr>
        <w:t>de la Ley de Transparencia y Acceso a la Información Pública del Estado de México y Municipios.</w:t>
      </w:r>
    </w:p>
    <w:p w14:paraId="77056D8B" w14:textId="77777777" w:rsidR="009C3B3B" w:rsidRPr="0016487D" w:rsidRDefault="009C3B3B" w:rsidP="00AE2352">
      <w:pPr>
        <w:spacing w:after="0" w:line="360" w:lineRule="auto"/>
        <w:contextualSpacing/>
        <w:rPr>
          <w:rFonts w:eastAsia="Calibri" w:cs="Tahoma"/>
          <w:noProof/>
          <w:color w:val="000000"/>
        </w:rPr>
      </w:pPr>
    </w:p>
    <w:p w14:paraId="264866BB" w14:textId="77777777" w:rsidR="009C3B3B" w:rsidRPr="0016487D" w:rsidRDefault="009C3B3B" w:rsidP="00AE2352">
      <w:pPr>
        <w:tabs>
          <w:tab w:val="left" w:pos="4962"/>
        </w:tabs>
        <w:spacing w:after="0" w:line="360" w:lineRule="auto"/>
        <w:rPr>
          <w:rFonts w:eastAsia="Calibri" w:cs="Tahoma"/>
          <w:iCs/>
          <w:noProof/>
          <w:color w:val="auto"/>
          <w:lang w:eastAsia="es-ES_tradnl"/>
        </w:rPr>
      </w:pPr>
      <w:r w:rsidRPr="0016487D">
        <w:rPr>
          <w:rFonts w:eastAsia="Calibri" w:cs="Tahoma"/>
          <w:iCs/>
          <w:noProof/>
          <w:color w:val="auto"/>
          <w:lang w:eastAsia="es-ES_tradnl"/>
        </w:rPr>
        <w:t>Sobre el particular, cabe traer a colación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14:paraId="4299E9E0" w14:textId="77777777" w:rsidR="009C3B3B" w:rsidRPr="0016487D" w:rsidRDefault="009C3B3B" w:rsidP="00AE2352">
      <w:pPr>
        <w:tabs>
          <w:tab w:val="left" w:pos="4962"/>
        </w:tabs>
        <w:spacing w:after="0" w:line="360" w:lineRule="auto"/>
        <w:rPr>
          <w:rFonts w:eastAsia="Calibri" w:cs="Tahoma"/>
          <w:iCs/>
          <w:noProof/>
          <w:color w:val="auto"/>
          <w:lang w:eastAsia="es-ES_tradnl"/>
        </w:rPr>
      </w:pPr>
    </w:p>
    <w:p w14:paraId="08C27AFD" w14:textId="77777777" w:rsidR="008E5D7A" w:rsidRPr="0016487D" w:rsidRDefault="008E5D7A" w:rsidP="00AE2352">
      <w:pPr>
        <w:tabs>
          <w:tab w:val="left" w:pos="4962"/>
        </w:tabs>
        <w:spacing w:after="0" w:line="360" w:lineRule="auto"/>
        <w:rPr>
          <w:rFonts w:eastAsia="Calibri" w:cs="Tahoma"/>
          <w:iCs/>
          <w:noProof/>
          <w:color w:val="auto"/>
          <w:lang w:eastAsia="es-ES_tradnl"/>
        </w:rPr>
      </w:pPr>
    </w:p>
    <w:p w14:paraId="7A513D7B" w14:textId="77777777" w:rsidR="008E5D7A" w:rsidRPr="0016487D" w:rsidRDefault="008E5D7A" w:rsidP="00AE2352">
      <w:pPr>
        <w:tabs>
          <w:tab w:val="left" w:pos="4962"/>
        </w:tabs>
        <w:spacing w:after="0" w:line="360" w:lineRule="auto"/>
        <w:rPr>
          <w:rFonts w:eastAsia="Calibri" w:cs="Tahoma"/>
          <w:iCs/>
          <w:noProof/>
          <w:color w:val="auto"/>
          <w:lang w:eastAsia="es-ES_tradnl"/>
        </w:rPr>
      </w:pPr>
    </w:p>
    <w:p w14:paraId="25AE1D54" w14:textId="77777777" w:rsidR="009C3B3B" w:rsidRPr="0016487D" w:rsidRDefault="009C3B3B" w:rsidP="00AE2352">
      <w:pPr>
        <w:numPr>
          <w:ilvl w:val="0"/>
          <w:numId w:val="2"/>
        </w:numPr>
        <w:tabs>
          <w:tab w:val="left" w:pos="4962"/>
        </w:tabs>
        <w:spacing w:after="0" w:line="360" w:lineRule="auto"/>
        <w:ind w:left="709" w:hanging="436"/>
        <w:rPr>
          <w:rFonts w:eastAsia="Calibri" w:cs="Tahoma"/>
          <w:iCs/>
          <w:noProof/>
          <w:color w:val="auto"/>
          <w:lang w:eastAsia="es-ES_tradnl"/>
        </w:rPr>
      </w:pPr>
      <w:r w:rsidRPr="0016487D">
        <w:rPr>
          <w:rFonts w:eastAsia="Calibri" w:cs="Tahoma"/>
          <w:iCs/>
          <w:noProof/>
          <w:color w:val="auto"/>
          <w:lang w:eastAsia="es-ES_tradnl"/>
        </w:rPr>
        <w:t>La divulgación de la información representa un riesgo real, demostrable e identificable de perjuicio significativo al interés público o a la seguridad nacional.</w:t>
      </w:r>
    </w:p>
    <w:p w14:paraId="3647EA4C" w14:textId="77777777" w:rsidR="008E5D7A" w:rsidRPr="0016487D" w:rsidRDefault="008E5D7A" w:rsidP="008E5D7A">
      <w:pPr>
        <w:tabs>
          <w:tab w:val="left" w:pos="4962"/>
        </w:tabs>
        <w:spacing w:after="0" w:line="360" w:lineRule="auto"/>
        <w:ind w:left="709"/>
        <w:rPr>
          <w:rFonts w:eastAsia="Calibri" w:cs="Tahoma"/>
          <w:iCs/>
          <w:noProof/>
          <w:color w:val="auto"/>
          <w:lang w:eastAsia="es-ES_tradnl"/>
        </w:rPr>
      </w:pPr>
    </w:p>
    <w:p w14:paraId="23A7E906" w14:textId="77777777" w:rsidR="009C3B3B" w:rsidRPr="0016487D" w:rsidRDefault="009C3B3B" w:rsidP="00AE2352">
      <w:pPr>
        <w:numPr>
          <w:ilvl w:val="0"/>
          <w:numId w:val="2"/>
        </w:numPr>
        <w:tabs>
          <w:tab w:val="left" w:pos="4962"/>
        </w:tabs>
        <w:spacing w:after="0" w:line="360" w:lineRule="auto"/>
        <w:ind w:left="709" w:hanging="436"/>
        <w:rPr>
          <w:rFonts w:eastAsia="Calibri" w:cs="Tahoma"/>
          <w:iCs/>
          <w:noProof/>
          <w:color w:val="auto"/>
          <w:lang w:eastAsia="es-ES_tradnl"/>
        </w:rPr>
      </w:pPr>
      <w:r w:rsidRPr="0016487D">
        <w:rPr>
          <w:rFonts w:eastAsia="Calibri" w:cs="Tahoma"/>
          <w:iCs/>
          <w:noProof/>
          <w:color w:val="auto"/>
          <w:lang w:eastAsia="es-ES_tradnl"/>
        </w:rPr>
        <w:t>El riesgo de perjuicio supera el interés público general de que se difunda.</w:t>
      </w:r>
    </w:p>
    <w:p w14:paraId="221B3F80" w14:textId="77777777" w:rsidR="008E5D7A" w:rsidRPr="0016487D" w:rsidRDefault="008E5D7A" w:rsidP="008E5D7A">
      <w:pPr>
        <w:pStyle w:val="Prrafodelista"/>
        <w:spacing w:line="360" w:lineRule="auto"/>
        <w:rPr>
          <w:rFonts w:eastAsia="Calibri" w:cs="Tahoma"/>
          <w:iCs/>
          <w:noProof/>
          <w:color w:val="auto"/>
          <w:lang w:eastAsia="es-ES_tradnl"/>
        </w:rPr>
      </w:pPr>
    </w:p>
    <w:p w14:paraId="7BA345EC" w14:textId="77777777" w:rsidR="009C3B3B" w:rsidRPr="0016487D" w:rsidRDefault="009C3B3B" w:rsidP="00AE2352">
      <w:pPr>
        <w:numPr>
          <w:ilvl w:val="0"/>
          <w:numId w:val="2"/>
        </w:numPr>
        <w:tabs>
          <w:tab w:val="left" w:pos="4962"/>
        </w:tabs>
        <w:spacing w:after="0" w:line="360" w:lineRule="auto"/>
        <w:ind w:left="709" w:hanging="436"/>
        <w:rPr>
          <w:rFonts w:eastAsia="Calibri" w:cs="Tahoma"/>
          <w:iCs/>
          <w:noProof/>
          <w:color w:val="auto"/>
          <w:lang w:eastAsia="es-ES_tradnl"/>
        </w:rPr>
      </w:pPr>
      <w:r w:rsidRPr="0016487D">
        <w:rPr>
          <w:rFonts w:eastAsia="Calibri" w:cs="Tahoma"/>
          <w:iCs/>
          <w:noProof/>
          <w:color w:val="auto"/>
          <w:lang w:eastAsia="es-ES_tradnl"/>
        </w:rPr>
        <w:t>Que la limitación se adecua al principio de proporcionalidad y representa el medio menos restrictivo disponible para evitar el perjuicio.</w:t>
      </w:r>
    </w:p>
    <w:p w14:paraId="41BE5829" w14:textId="77777777" w:rsidR="009C3B3B" w:rsidRPr="0016487D" w:rsidRDefault="009C3B3B" w:rsidP="00AE2352">
      <w:pPr>
        <w:spacing w:after="0" w:line="360" w:lineRule="auto"/>
        <w:jc w:val="left"/>
        <w:rPr>
          <w:rFonts w:eastAsia="Calibri" w:cs="Tahoma"/>
          <w:iCs/>
          <w:noProof/>
          <w:color w:val="auto"/>
          <w:lang w:eastAsia="es-ES_tradnl"/>
        </w:rPr>
      </w:pPr>
    </w:p>
    <w:p w14:paraId="3E48E640" w14:textId="77777777" w:rsidR="009C3B3B" w:rsidRPr="0016487D" w:rsidRDefault="009C3B3B" w:rsidP="00AE2352">
      <w:pPr>
        <w:autoSpaceDE w:val="0"/>
        <w:autoSpaceDN w:val="0"/>
        <w:spacing w:after="0" w:line="360" w:lineRule="auto"/>
        <w:rPr>
          <w:rFonts w:eastAsia="Calibri" w:cs="Tahoma"/>
          <w:noProof/>
          <w:color w:val="000000"/>
        </w:rPr>
      </w:pPr>
      <w:r w:rsidRPr="0016487D">
        <w:rPr>
          <w:rFonts w:eastAsia="Calibri" w:cs="Tahoma"/>
          <w:bCs/>
          <w:noProof/>
          <w:color w:val="auto"/>
        </w:rPr>
        <w:t xml:space="preserve">Además, el artículo 125 de la Ley de la materia, establece </w:t>
      </w:r>
      <w:r w:rsidRPr="0016487D">
        <w:rPr>
          <w:rFonts w:eastAsia="Times New Roman" w:cs="Tahoma"/>
          <w:bCs/>
          <w:noProof/>
          <w:color w:val="auto"/>
          <w:lang w:eastAsia="es-ES"/>
        </w:rPr>
        <w:t xml:space="preserve">que la información clasificada como reservada según el artículo 140 de la Ley de Transparencia y Acceso a la Información Pública del Estado de México y Municipios, podrá permanecer con tal carácter hasta por un periodo de cinco años. Asimismo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 por lo que, en las </w:t>
      </w:r>
      <w:r w:rsidRPr="0016487D">
        <w:rPr>
          <w:rFonts w:eastAsia="Times New Roman" w:cs="Tahoma"/>
          <w:noProof/>
          <w:color w:val="auto"/>
          <w:lang w:eastAsia="es-ES"/>
        </w:rPr>
        <w:t xml:space="preserve">versiones públicas, deberá clasificar el nombre de los elementos operativos de la </w:t>
      </w:r>
      <w:r w:rsidRPr="0016487D">
        <w:rPr>
          <w:rFonts w:eastAsia="Calibri" w:cs="Tahoma"/>
          <w:noProof/>
          <w:color w:val="000000"/>
        </w:rPr>
        <w:t xml:space="preserve">Dirección General de Seguridad y Protección </w:t>
      </w:r>
      <w:r w:rsidRPr="0016487D">
        <w:rPr>
          <w:rFonts w:eastAsia="Times New Roman" w:cs="Tahoma"/>
          <w:noProof/>
          <w:color w:val="auto"/>
          <w:lang w:eastAsia="es-ES"/>
        </w:rPr>
        <w:t>de manera fundada y motivada, mediante la respectiva prueba de daño.</w:t>
      </w:r>
    </w:p>
    <w:p w14:paraId="236136FD" w14:textId="77777777" w:rsidR="009C3B3B" w:rsidRPr="0016487D" w:rsidRDefault="009C3B3B" w:rsidP="00AE2352">
      <w:pPr>
        <w:spacing w:after="0" w:line="360" w:lineRule="auto"/>
        <w:rPr>
          <w:noProof/>
          <w:color w:val="000000"/>
          <w14:ligatures w14:val="standardContextual"/>
        </w:rPr>
      </w:pPr>
    </w:p>
    <w:p w14:paraId="1908128A" w14:textId="77777777" w:rsidR="009C3B3B" w:rsidRPr="0016487D" w:rsidRDefault="009C3B3B" w:rsidP="00AE2352">
      <w:pPr>
        <w:spacing w:after="0" w:line="360" w:lineRule="auto"/>
        <w:ind w:right="-28"/>
        <w:rPr>
          <w:noProof/>
          <w:color w:val="000000"/>
        </w:rPr>
      </w:pPr>
      <w:r w:rsidRPr="0016487D">
        <w:rPr>
          <w:rFonts w:eastAsia="Times New Roman" w:cs="Tahoma"/>
          <w:noProof/>
          <w:color w:val="auto"/>
          <w:lang w:eastAsia="es-ES"/>
        </w:rPr>
        <w:t>Por lo que, para atender el requerimiento deberá proporcionar los documentos solicitados en versión pública; para tal situación,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w:t>
      </w:r>
      <w:r w:rsidRPr="0016487D">
        <w:rPr>
          <w:noProof/>
          <w:color w:val="000000"/>
        </w:rPr>
        <w:t xml:space="preserve"> </w:t>
      </w:r>
      <w:r w:rsidRPr="0016487D">
        <w:rPr>
          <w:noProof/>
          <w:color w:val="000000"/>
        </w:rPr>
        <w:lastRenderedPageBreak/>
        <w:t>de manera enunciativa más no limitativa los datos previamente señalados, fundando y motivando la clasificación.</w:t>
      </w:r>
    </w:p>
    <w:p w14:paraId="1C7DAC0D" w14:textId="77777777" w:rsidR="000332D6" w:rsidRPr="0016487D" w:rsidRDefault="000332D6" w:rsidP="00AE2352">
      <w:pPr>
        <w:spacing w:after="0" w:line="360" w:lineRule="auto"/>
        <w:ind w:right="-28"/>
        <w:contextualSpacing/>
        <w:rPr>
          <w:rFonts w:cs="Tahoma"/>
          <w:iCs/>
          <w:noProof/>
        </w:rPr>
      </w:pPr>
    </w:p>
    <w:p w14:paraId="2781626E" w14:textId="6555BA00" w:rsidR="00644811" w:rsidRPr="0016487D" w:rsidRDefault="00644811" w:rsidP="00AE2352">
      <w:pPr>
        <w:pStyle w:val="Ttulo2"/>
        <w:spacing w:before="0" w:line="360" w:lineRule="auto"/>
        <w:rPr>
          <w:rFonts w:ascii="Palatino Linotype" w:eastAsia="Palatino Linotype" w:hAnsi="Palatino Linotype"/>
          <w:b/>
          <w:bCs/>
          <w:noProof/>
          <w:color w:val="auto"/>
          <w:sz w:val="22"/>
          <w:szCs w:val="22"/>
          <w:lang w:eastAsia="es-MX"/>
        </w:rPr>
      </w:pPr>
      <w:bookmarkStart w:id="15" w:name="_Toc193363654"/>
      <w:r w:rsidRPr="0016487D">
        <w:rPr>
          <w:rFonts w:ascii="Palatino Linotype" w:eastAsia="Palatino Linotype" w:hAnsi="Palatino Linotype"/>
          <w:b/>
          <w:bCs/>
          <w:noProof/>
          <w:color w:val="auto"/>
          <w:sz w:val="22"/>
          <w:szCs w:val="22"/>
          <w:lang w:eastAsia="es-MX"/>
        </w:rPr>
        <w:t>SEXTO. Decisión</w:t>
      </w:r>
      <w:bookmarkEnd w:id="15"/>
    </w:p>
    <w:p w14:paraId="29A9CCCF" w14:textId="77777777" w:rsidR="00644811" w:rsidRPr="0016487D" w:rsidRDefault="00644811" w:rsidP="00AE2352">
      <w:pPr>
        <w:spacing w:after="0" w:line="360" w:lineRule="auto"/>
        <w:rPr>
          <w:rFonts w:eastAsia="Palatino Linotype" w:cs="Palatino Linotype"/>
          <w:b/>
          <w:noProof/>
          <w:lang w:eastAsia="es-MX"/>
        </w:rPr>
      </w:pPr>
    </w:p>
    <w:p w14:paraId="7AC0F8DE" w14:textId="77A9A261" w:rsidR="00F679C8" w:rsidRPr="0016487D" w:rsidRDefault="00977895" w:rsidP="00AE2352">
      <w:pPr>
        <w:spacing w:after="0" w:line="360" w:lineRule="auto"/>
        <w:rPr>
          <w:rFonts w:eastAsia="Palatino Linotype" w:cs="Palatino Linotype"/>
          <w:noProof/>
          <w:lang w:eastAsia="es-MX"/>
        </w:rPr>
      </w:pPr>
      <w:r w:rsidRPr="0016487D">
        <w:rPr>
          <w:rFonts w:eastAsia="Palatino Linotype" w:cs="Palatino Linotype"/>
          <w:noProof/>
          <w:lang w:eastAsia="es-MX"/>
        </w:rPr>
        <w:t xml:space="preserve">Con fundamento en el artículo 186, fracción III, de la Ley de Transparencia y Acceso a la Información Pública del Estado de México y Municipios, este Instituto considera procedente </w:t>
      </w:r>
      <w:r w:rsidRPr="0016487D">
        <w:rPr>
          <w:rFonts w:eastAsia="Palatino Linotype" w:cs="Palatino Linotype"/>
          <w:b/>
          <w:bCs/>
          <w:noProof/>
          <w:lang w:eastAsia="es-MX"/>
        </w:rPr>
        <w:t>MODIFICAR</w:t>
      </w:r>
      <w:r w:rsidRPr="0016487D">
        <w:rPr>
          <w:rFonts w:eastAsia="Palatino Linotype" w:cs="Palatino Linotype"/>
          <w:noProof/>
          <w:lang w:eastAsia="es-MX"/>
        </w:rPr>
        <w:t xml:space="preserve"> la respuesta otorgada a la solicitud de información, toda vez que el Sujeto Obligado, no proporcionó </w:t>
      </w:r>
      <w:r w:rsidR="008E5D7A" w:rsidRPr="0016487D">
        <w:rPr>
          <w:rFonts w:eastAsia="Palatino Linotype" w:cs="Palatino Linotype"/>
          <w:noProof/>
          <w:lang w:eastAsia="es-MX"/>
        </w:rPr>
        <w:t>parte de la información solicitada.</w:t>
      </w:r>
    </w:p>
    <w:p w14:paraId="7E700DFA" w14:textId="77777777" w:rsidR="00977895" w:rsidRPr="0016487D" w:rsidRDefault="00977895" w:rsidP="00AE2352">
      <w:pPr>
        <w:spacing w:after="0" w:line="360" w:lineRule="auto"/>
        <w:rPr>
          <w:noProof/>
        </w:rPr>
      </w:pPr>
    </w:p>
    <w:p w14:paraId="1BD24118" w14:textId="24CD7342" w:rsidR="00C853D1" w:rsidRPr="0016487D" w:rsidRDefault="00C853D1" w:rsidP="00AE2352">
      <w:pPr>
        <w:spacing w:after="0" w:line="360" w:lineRule="auto"/>
        <w:rPr>
          <w:b/>
          <w:bCs/>
          <w:noProof/>
        </w:rPr>
      </w:pPr>
      <w:r w:rsidRPr="0016487D">
        <w:rPr>
          <w:b/>
          <w:bCs/>
          <w:noProof/>
        </w:rPr>
        <w:t>Términos de la Resolución</w:t>
      </w:r>
    </w:p>
    <w:p w14:paraId="6C1809B6" w14:textId="3933B954" w:rsidR="00C853D1" w:rsidRPr="0016487D" w:rsidRDefault="00C853D1" w:rsidP="00AE2352">
      <w:pPr>
        <w:spacing w:after="0" w:line="360" w:lineRule="auto"/>
        <w:rPr>
          <w:noProof/>
        </w:rPr>
      </w:pPr>
    </w:p>
    <w:p w14:paraId="23055C26" w14:textId="77777777" w:rsidR="008E5D7A" w:rsidRPr="0016487D" w:rsidRDefault="000223B0" w:rsidP="00AE2352">
      <w:pPr>
        <w:spacing w:after="0" w:line="360" w:lineRule="auto"/>
        <w:rPr>
          <w:rFonts w:eastAsia="Calibri" w:cs="Tahoma"/>
          <w:noProof/>
        </w:rPr>
      </w:pPr>
      <w:r w:rsidRPr="0016487D">
        <w:rPr>
          <w:rFonts w:eastAsia="Times New Roman" w:cs="Times New Roman"/>
          <w:noProof/>
          <w:lang w:eastAsia="es-MX"/>
        </w:rPr>
        <w:t>Se le hace del conocimiento a</w:t>
      </w:r>
      <w:r w:rsidR="00D0396A" w:rsidRPr="0016487D">
        <w:rPr>
          <w:rFonts w:eastAsia="Times New Roman" w:cs="Times New Roman"/>
          <w:noProof/>
          <w:lang w:eastAsia="es-MX"/>
        </w:rPr>
        <w:t xml:space="preserve"> la</w:t>
      </w:r>
      <w:r w:rsidRPr="0016487D">
        <w:rPr>
          <w:rFonts w:eastAsia="Times New Roman" w:cs="Times New Roman"/>
          <w:noProof/>
          <w:lang w:eastAsia="es-MX"/>
        </w:rPr>
        <w:t xml:space="preserve"> Particular, que, en el presente caso, se le concede </w:t>
      </w:r>
      <w:r w:rsidR="003F4450" w:rsidRPr="0016487D">
        <w:rPr>
          <w:rFonts w:eastAsia="Times New Roman" w:cs="Times New Roman"/>
          <w:noProof/>
          <w:lang w:eastAsia="es-MX"/>
        </w:rPr>
        <w:t xml:space="preserve">la </w:t>
      </w:r>
      <w:r w:rsidRPr="0016487D">
        <w:rPr>
          <w:rFonts w:eastAsia="Times New Roman" w:cs="Times New Roman"/>
          <w:noProof/>
          <w:lang w:eastAsia="es-MX"/>
        </w:rPr>
        <w:t xml:space="preserve">razón, pues el </w:t>
      </w:r>
      <w:r w:rsidR="003F4450" w:rsidRPr="0016487D">
        <w:rPr>
          <w:rFonts w:eastAsia="Calibri" w:cs="Tahoma"/>
          <w:noProof/>
        </w:rPr>
        <w:t xml:space="preserve">Ayuntamiento de </w:t>
      </w:r>
      <w:r w:rsidR="004856D5" w:rsidRPr="0016487D">
        <w:rPr>
          <w:rFonts w:eastAsia="Calibri" w:cs="Tahoma"/>
          <w:noProof/>
        </w:rPr>
        <w:t>Coacalco de Berriozábal</w:t>
      </w:r>
      <w:r w:rsidRPr="0016487D">
        <w:rPr>
          <w:rFonts w:eastAsia="Calibri" w:cs="Tahoma"/>
          <w:noProof/>
        </w:rPr>
        <w:t xml:space="preserve">, </w:t>
      </w:r>
      <w:r w:rsidR="00D526FB" w:rsidRPr="0016487D">
        <w:rPr>
          <w:rFonts w:eastAsia="Calibri" w:cs="Tahoma"/>
          <w:noProof/>
        </w:rPr>
        <w:t xml:space="preserve">no proporcionó la información </w:t>
      </w:r>
      <w:r w:rsidR="003F4450" w:rsidRPr="0016487D">
        <w:rPr>
          <w:rFonts w:eastAsia="Calibri" w:cs="Tahoma"/>
          <w:noProof/>
        </w:rPr>
        <w:t>completa</w:t>
      </w:r>
      <w:r w:rsidR="004856D5" w:rsidRPr="0016487D">
        <w:rPr>
          <w:rFonts w:eastAsia="Calibri" w:cs="Tahoma"/>
          <w:noProof/>
        </w:rPr>
        <w:t>, al no hacer entrega de la nómina correspondiente a la primera quincena de febrero de dos mil veinticinco</w:t>
      </w:r>
      <w:r w:rsidR="00F679C8" w:rsidRPr="0016487D">
        <w:rPr>
          <w:rFonts w:eastAsia="Calibri" w:cs="Tahoma"/>
          <w:noProof/>
        </w:rPr>
        <w:t xml:space="preserve">; por lo que, deberá </w:t>
      </w:r>
      <w:r w:rsidR="008E5D7A" w:rsidRPr="0016487D">
        <w:rPr>
          <w:rFonts w:eastAsia="Calibri" w:cs="Tahoma"/>
          <w:noProof/>
        </w:rPr>
        <w:t>entregársela, en su caso, en versión pública</w:t>
      </w:r>
      <w:r w:rsidR="00B86FF2" w:rsidRPr="0016487D">
        <w:rPr>
          <w:rFonts w:eastAsia="Calibri" w:cs="Tahoma"/>
          <w:noProof/>
        </w:rPr>
        <w:t xml:space="preserve">. </w:t>
      </w:r>
    </w:p>
    <w:p w14:paraId="48B0F19B" w14:textId="77777777" w:rsidR="008E5D7A" w:rsidRPr="0016487D" w:rsidRDefault="008E5D7A" w:rsidP="00AE2352">
      <w:pPr>
        <w:spacing w:after="0" w:line="360" w:lineRule="auto"/>
        <w:rPr>
          <w:rFonts w:eastAsia="Calibri" w:cs="Tahoma"/>
          <w:noProof/>
        </w:rPr>
      </w:pPr>
    </w:p>
    <w:p w14:paraId="22B03D0E" w14:textId="12E6078C" w:rsidR="00904CFA" w:rsidRPr="0016487D" w:rsidRDefault="000223B0" w:rsidP="00AE2352">
      <w:pPr>
        <w:spacing w:after="0" w:line="360" w:lineRule="auto"/>
        <w:rPr>
          <w:rFonts w:eastAsia="Calibri" w:cs="Tahoma"/>
          <w:noProof/>
        </w:rPr>
      </w:pPr>
      <w:r w:rsidRPr="0016487D">
        <w:rPr>
          <w:rFonts w:eastAsia="Calibri" w:cs="Tahoma"/>
          <w:bCs/>
          <w:iCs/>
          <w:noProof/>
          <w:color w:val="auto"/>
        </w:rPr>
        <w:t>Finalmente,</w:t>
      </w:r>
      <w:r w:rsidR="008E5D7A" w:rsidRPr="0016487D">
        <w:rPr>
          <w:rFonts w:eastAsia="Calibri" w:cs="Tahoma"/>
          <w:bCs/>
          <w:iCs/>
          <w:noProof/>
          <w:color w:val="auto"/>
        </w:rPr>
        <w:t xml:space="preserve"> se le informa que</w:t>
      </w:r>
      <w:r w:rsidRPr="0016487D">
        <w:rPr>
          <w:rFonts w:eastAsia="Calibri" w:cs="Tahoma"/>
          <w:bCs/>
          <w:iCs/>
          <w:noProof/>
          <w:color w:val="auto"/>
        </w:rPr>
        <w:t xml:space="preserve"> la labor </w:t>
      </w:r>
      <w:r w:rsidR="00904CFA" w:rsidRPr="0016487D">
        <w:rPr>
          <w:rFonts w:eastAsia="Calibri" w:cs="Tahoma"/>
          <w:bCs/>
          <w:iCs/>
          <w:noProof/>
          <w:color w:val="auto"/>
        </w:rPr>
        <w:t>de</w:t>
      </w:r>
      <w:r w:rsidR="008E5D7A" w:rsidRPr="0016487D">
        <w:rPr>
          <w:rFonts w:eastAsia="Calibri" w:cs="Tahoma"/>
          <w:bCs/>
          <w:iCs/>
          <w:noProof/>
          <w:color w:val="auto"/>
        </w:rPr>
        <w:t xml:space="preserve"> este</w:t>
      </w:r>
      <w:r w:rsidR="00904CFA" w:rsidRPr="0016487D">
        <w:rPr>
          <w:rFonts w:eastAsia="Calibri" w:cs="Tahoma"/>
          <w:bCs/>
          <w:iCs/>
          <w:noProof/>
          <w:color w:val="auto"/>
        </w:rPr>
        <w:t xml:space="preserve"> Instituto</w:t>
      </w:r>
      <w:r w:rsidR="008E5D7A" w:rsidRPr="0016487D">
        <w:rPr>
          <w:rFonts w:eastAsia="Calibri" w:cs="Tahoma"/>
          <w:bCs/>
          <w:iCs/>
          <w:noProof/>
          <w:color w:val="auto"/>
        </w:rPr>
        <w:t xml:space="preserve"> de Transparencia, Acceso a la Información Pública y Protección de Datos Personales del Estado de México y Municipios</w:t>
      </w:r>
      <w:r w:rsidRPr="0016487D">
        <w:rPr>
          <w:rFonts w:eastAsia="Calibri" w:cs="Tahoma"/>
          <w:bCs/>
          <w:iCs/>
          <w:noProof/>
          <w:color w:val="auto"/>
        </w:rPr>
        <w:t>, es apoyar a la población a acceder a la información pública y garantizar la protección de los datos personales.</w:t>
      </w:r>
    </w:p>
    <w:p w14:paraId="099F7C9A" w14:textId="77777777" w:rsidR="00204FC4" w:rsidRPr="0016487D" w:rsidRDefault="00204FC4" w:rsidP="00AE2352">
      <w:pPr>
        <w:spacing w:after="0" w:line="360" w:lineRule="auto"/>
        <w:rPr>
          <w:rFonts w:eastAsia="Calibri" w:cs="Tahoma"/>
          <w:noProof/>
        </w:rPr>
      </w:pPr>
    </w:p>
    <w:p w14:paraId="4469D1A7" w14:textId="77777777" w:rsidR="00C853D1" w:rsidRPr="0016487D" w:rsidRDefault="00C853D1" w:rsidP="00AE2352">
      <w:pPr>
        <w:spacing w:after="0" w:line="360" w:lineRule="auto"/>
        <w:rPr>
          <w:rFonts w:eastAsia="Calibri" w:cs="Tahoma"/>
          <w:bCs/>
          <w:noProof/>
          <w:color w:val="auto"/>
        </w:rPr>
      </w:pPr>
      <w:r w:rsidRPr="0016487D">
        <w:rPr>
          <w:noProof/>
        </w:rPr>
        <w:t>Por</w:t>
      </w:r>
      <w:r w:rsidRPr="0016487D">
        <w:rPr>
          <w:rFonts w:eastAsia="Calibri" w:cs="Tahoma"/>
          <w:bCs/>
          <w:noProof/>
          <w:color w:val="auto"/>
        </w:rPr>
        <w:t xml:space="preserve"> lo expuesto y fundado, este Pleno:</w:t>
      </w:r>
    </w:p>
    <w:p w14:paraId="191259EA" w14:textId="77777777" w:rsidR="008E5D7A" w:rsidRPr="0016487D" w:rsidRDefault="008E5D7A" w:rsidP="00AE2352">
      <w:pPr>
        <w:spacing w:after="0" w:line="360" w:lineRule="auto"/>
        <w:rPr>
          <w:rFonts w:eastAsia="Calibri" w:cs="Tahoma"/>
          <w:bCs/>
          <w:noProof/>
          <w:color w:val="auto"/>
        </w:rPr>
      </w:pPr>
    </w:p>
    <w:p w14:paraId="5315815D" w14:textId="625EAE68" w:rsidR="00C853D1" w:rsidRPr="0016487D" w:rsidRDefault="00C853D1" w:rsidP="00AE2352">
      <w:pPr>
        <w:pStyle w:val="Ttulo1"/>
        <w:spacing w:before="0" w:line="360" w:lineRule="auto"/>
        <w:jc w:val="center"/>
        <w:rPr>
          <w:rFonts w:ascii="Palatino Linotype" w:eastAsia="Calibri" w:hAnsi="Palatino Linotype"/>
          <w:b/>
          <w:bCs/>
          <w:noProof/>
          <w:color w:val="auto"/>
          <w:sz w:val="22"/>
          <w:szCs w:val="22"/>
        </w:rPr>
      </w:pPr>
      <w:bookmarkStart w:id="16" w:name="_Toc193363655"/>
      <w:r w:rsidRPr="0016487D">
        <w:rPr>
          <w:rFonts w:ascii="Palatino Linotype" w:eastAsia="Calibri" w:hAnsi="Palatino Linotype"/>
          <w:b/>
          <w:bCs/>
          <w:noProof/>
          <w:color w:val="auto"/>
          <w:sz w:val="22"/>
          <w:szCs w:val="22"/>
        </w:rPr>
        <w:t>R E S U E L V E</w:t>
      </w:r>
      <w:bookmarkEnd w:id="16"/>
    </w:p>
    <w:p w14:paraId="6A202D9E" w14:textId="77777777" w:rsidR="00D54118" w:rsidRPr="0016487D" w:rsidRDefault="00D54118" w:rsidP="00AE2352">
      <w:pPr>
        <w:spacing w:after="0" w:line="360" w:lineRule="auto"/>
        <w:ind w:right="-28"/>
        <w:jc w:val="center"/>
        <w:rPr>
          <w:rFonts w:eastAsia="Calibri" w:cs="Tahoma"/>
          <w:b/>
          <w:bCs/>
          <w:noProof/>
          <w:color w:val="auto"/>
        </w:rPr>
      </w:pPr>
    </w:p>
    <w:p w14:paraId="5CC77DAF" w14:textId="77777777" w:rsidR="008E5D7A" w:rsidRPr="0016487D" w:rsidRDefault="008E5D7A" w:rsidP="00AE2352">
      <w:pPr>
        <w:spacing w:after="0" w:line="360" w:lineRule="auto"/>
        <w:ind w:right="-28"/>
        <w:jc w:val="center"/>
        <w:rPr>
          <w:rFonts w:eastAsia="Calibri" w:cs="Tahoma"/>
          <w:b/>
          <w:bCs/>
          <w:noProof/>
          <w:color w:val="auto"/>
        </w:rPr>
      </w:pPr>
    </w:p>
    <w:p w14:paraId="297AAFA1" w14:textId="77777777" w:rsidR="008E5D7A" w:rsidRPr="0016487D" w:rsidRDefault="008E5D7A" w:rsidP="00AE2352">
      <w:pPr>
        <w:spacing w:after="0" w:line="360" w:lineRule="auto"/>
        <w:ind w:right="-28"/>
        <w:jc w:val="center"/>
        <w:rPr>
          <w:rFonts w:eastAsia="Calibri" w:cs="Tahoma"/>
          <w:b/>
          <w:bCs/>
          <w:noProof/>
          <w:color w:val="auto"/>
        </w:rPr>
      </w:pPr>
    </w:p>
    <w:p w14:paraId="3F37601B" w14:textId="5400F1A2" w:rsidR="00782132" w:rsidRPr="0016487D" w:rsidRDefault="00782132" w:rsidP="00AE2352">
      <w:pPr>
        <w:spacing w:after="0" w:line="360" w:lineRule="auto"/>
        <w:contextualSpacing/>
        <w:rPr>
          <w:rFonts w:eastAsia="Calibri" w:cs="Tahoma"/>
          <w:bCs/>
          <w:noProof/>
        </w:rPr>
      </w:pPr>
      <w:r w:rsidRPr="0016487D">
        <w:rPr>
          <w:rFonts w:cs="Tahoma"/>
          <w:b/>
          <w:bCs/>
          <w:noProof/>
        </w:rPr>
        <w:t xml:space="preserve">PRIMERO. </w:t>
      </w:r>
      <w:r w:rsidRPr="0016487D">
        <w:rPr>
          <w:rFonts w:cs="Tahoma"/>
          <w:bCs/>
          <w:noProof/>
        </w:rPr>
        <w:t xml:space="preserve">Se </w:t>
      </w:r>
      <w:r w:rsidR="003F4450" w:rsidRPr="0016487D">
        <w:rPr>
          <w:rFonts w:cs="Tahoma"/>
          <w:b/>
          <w:bCs/>
          <w:noProof/>
        </w:rPr>
        <w:t>MODIF</w:t>
      </w:r>
      <w:r w:rsidR="00246B2F" w:rsidRPr="0016487D">
        <w:rPr>
          <w:rFonts w:cs="Tahoma"/>
          <w:b/>
          <w:bCs/>
          <w:noProof/>
        </w:rPr>
        <w:t>CA</w:t>
      </w:r>
      <w:r w:rsidRPr="0016487D">
        <w:rPr>
          <w:rFonts w:cs="Tahoma"/>
          <w:bCs/>
          <w:noProof/>
        </w:rPr>
        <w:t xml:space="preserve"> la respuesta entregada por el </w:t>
      </w:r>
      <w:r w:rsidR="003F4450" w:rsidRPr="0016487D">
        <w:rPr>
          <w:rFonts w:eastAsia="Calibri" w:cs="Tahoma"/>
          <w:noProof/>
        </w:rPr>
        <w:t>Ayuntamiento de Nezahualcóyotl</w:t>
      </w:r>
      <w:r w:rsidR="00246B2F" w:rsidRPr="0016487D">
        <w:rPr>
          <w:rFonts w:eastAsia="Calibri" w:cs="Tahoma"/>
          <w:noProof/>
        </w:rPr>
        <w:t>,</w:t>
      </w:r>
      <w:r w:rsidR="00F060A2" w:rsidRPr="0016487D">
        <w:rPr>
          <w:rFonts w:cs="Tahoma"/>
          <w:bCs/>
          <w:noProof/>
        </w:rPr>
        <w:t xml:space="preserve"> </w:t>
      </w:r>
      <w:r w:rsidRPr="0016487D">
        <w:rPr>
          <w:rFonts w:cs="Tahoma"/>
          <w:bCs/>
          <w:noProof/>
        </w:rPr>
        <w:t xml:space="preserve">a la solicitud de </w:t>
      </w:r>
      <w:r w:rsidRPr="0016487D">
        <w:rPr>
          <w:rFonts w:eastAsia="Calibri" w:cs="Tahoma"/>
          <w:noProof/>
        </w:rPr>
        <w:t xml:space="preserve">información </w:t>
      </w:r>
      <w:r w:rsidR="004856D5" w:rsidRPr="0016487D">
        <w:rPr>
          <w:rFonts w:eastAsia="Calibri" w:cs="Tahoma"/>
          <w:noProof/>
        </w:rPr>
        <w:t>00022</w:t>
      </w:r>
      <w:r w:rsidR="003F4450" w:rsidRPr="0016487D">
        <w:rPr>
          <w:rFonts w:eastAsia="Calibri" w:cs="Tahoma"/>
          <w:noProof/>
        </w:rPr>
        <w:t>/</w:t>
      </w:r>
      <w:r w:rsidR="004856D5" w:rsidRPr="0016487D">
        <w:rPr>
          <w:rFonts w:eastAsia="Calibri" w:cs="Tahoma"/>
          <w:noProof/>
        </w:rPr>
        <w:t>COACALCO</w:t>
      </w:r>
      <w:r w:rsidR="003F4450" w:rsidRPr="0016487D">
        <w:rPr>
          <w:rFonts w:eastAsia="Calibri" w:cs="Tahoma"/>
          <w:noProof/>
        </w:rPr>
        <w:t>/IP/2025</w:t>
      </w:r>
      <w:r w:rsidR="00246B2F" w:rsidRPr="0016487D">
        <w:rPr>
          <w:rFonts w:eastAsia="Calibri" w:cs="Tahoma"/>
          <w:noProof/>
        </w:rPr>
        <w:t>,</w:t>
      </w:r>
      <w:r w:rsidR="00E92B4A" w:rsidRPr="0016487D">
        <w:rPr>
          <w:noProof/>
        </w:rPr>
        <w:t xml:space="preserve"> </w:t>
      </w:r>
      <w:r w:rsidRPr="0016487D">
        <w:rPr>
          <w:noProof/>
        </w:rPr>
        <w:t>por resultar</w:t>
      </w:r>
      <w:r w:rsidR="00F679C8" w:rsidRPr="0016487D">
        <w:rPr>
          <w:noProof/>
        </w:rPr>
        <w:t xml:space="preserve"> </w:t>
      </w:r>
      <w:r w:rsidR="009C3B3B" w:rsidRPr="0016487D">
        <w:rPr>
          <w:b/>
          <w:bCs/>
          <w:noProof/>
        </w:rPr>
        <w:t>FUNDADA</w:t>
      </w:r>
      <w:r w:rsidRPr="0016487D">
        <w:rPr>
          <w:rFonts w:cs="Tahoma"/>
          <w:bCs/>
          <w:noProof/>
        </w:rPr>
        <w:t xml:space="preserve"> </w:t>
      </w:r>
      <w:r w:rsidRPr="0016487D">
        <w:rPr>
          <w:rFonts w:eastAsia="Calibri" w:cs="Tahoma"/>
          <w:bCs/>
          <w:noProof/>
        </w:rPr>
        <w:t>las</w:t>
      </w:r>
      <w:r w:rsidRPr="0016487D">
        <w:rPr>
          <w:rFonts w:eastAsia="Calibri" w:cs="Tahoma"/>
          <w:noProof/>
        </w:rPr>
        <w:t xml:space="preserve"> razones o motivos de inconformidad hechos valer por </w:t>
      </w:r>
      <w:r w:rsidR="005B1631" w:rsidRPr="0016487D">
        <w:rPr>
          <w:rFonts w:eastAsia="Calibri" w:cs="Tahoma"/>
          <w:noProof/>
        </w:rPr>
        <w:t>la</w:t>
      </w:r>
      <w:r w:rsidRPr="0016487D">
        <w:rPr>
          <w:rFonts w:eastAsia="Calibri" w:cs="Tahoma"/>
          <w:noProof/>
        </w:rPr>
        <w:t xml:space="preserve"> Particular, en</w:t>
      </w:r>
      <w:r w:rsidRPr="0016487D">
        <w:rPr>
          <w:rFonts w:eastAsia="Calibri" w:cs="Tahoma"/>
          <w:bCs/>
          <w:noProof/>
        </w:rPr>
        <w:t xml:space="preserve"> términos de los considerandos </w:t>
      </w:r>
      <w:r w:rsidRPr="0016487D">
        <w:rPr>
          <w:rFonts w:eastAsia="Calibri" w:cs="Tahoma"/>
          <w:noProof/>
        </w:rPr>
        <w:t>QUINTO y SEXTO de la presente</w:t>
      </w:r>
      <w:r w:rsidRPr="0016487D">
        <w:rPr>
          <w:rFonts w:eastAsia="Calibri" w:cs="Tahoma"/>
          <w:bCs/>
          <w:noProof/>
        </w:rPr>
        <w:t xml:space="preserve"> Resolución.</w:t>
      </w:r>
    </w:p>
    <w:p w14:paraId="4A6EB131" w14:textId="77777777" w:rsidR="00782132" w:rsidRPr="0016487D" w:rsidRDefault="00782132" w:rsidP="00AE2352">
      <w:pPr>
        <w:spacing w:after="0" w:line="360" w:lineRule="auto"/>
        <w:contextualSpacing/>
        <w:rPr>
          <w:rFonts w:eastAsia="Calibri" w:cs="Tahoma"/>
          <w:bCs/>
          <w:noProof/>
        </w:rPr>
      </w:pPr>
    </w:p>
    <w:p w14:paraId="52B57B0D" w14:textId="71B3A645" w:rsidR="008E5D7A" w:rsidRPr="0016487D" w:rsidRDefault="00782132" w:rsidP="00AE2352">
      <w:pPr>
        <w:spacing w:after="0" w:line="360" w:lineRule="auto"/>
        <w:rPr>
          <w:rFonts w:eastAsia="Calibri" w:cs="Tahoma"/>
          <w:iCs/>
          <w:noProof/>
          <w:lang w:eastAsia="es-ES_tradnl"/>
        </w:rPr>
      </w:pPr>
      <w:r w:rsidRPr="0016487D">
        <w:rPr>
          <w:rFonts w:cs="Tahoma"/>
          <w:b/>
          <w:bCs/>
          <w:noProof/>
        </w:rPr>
        <w:t xml:space="preserve">SEGUNDO. </w:t>
      </w:r>
      <w:r w:rsidRPr="0016487D">
        <w:rPr>
          <w:rFonts w:cs="Tahoma"/>
          <w:noProof/>
        </w:rPr>
        <w:t xml:space="preserve">Se </w:t>
      </w:r>
      <w:r w:rsidRPr="0016487D">
        <w:rPr>
          <w:rFonts w:cs="Tahoma"/>
          <w:b/>
          <w:noProof/>
        </w:rPr>
        <w:t xml:space="preserve">ORDENA </w:t>
      </w:r>
      <w:r w:rsidRPr="0016487D">
        <w:rPr>
          <w:rFonts w:cs="Tahoma"/>
          <w:bCs/>
          <w:noProof/>
        </w:rPr>
        <w:t xml:space="preserve">al </w:t>
      </w:r>
      <w:r w:rsidRPr="0016487D">
        <w:rPr>
          <w:rFonts w:cs="Tahoma"/>
          <w:noProof/>
        </w:rPr>
        <w:t xml:space="preserve">Ente Recurrido, </w:t>
      </w:r>
      <w:r w:rsidR="00246B2F" w:rsidRPr="0016487D">
        <w:rPr>
          <w:rFonts w:cs="Tahoma"/>
          <w:noProof/>
        </w:rPr>
        <w:t>a efecto de que</w:t>
      </w:r>
      <w:r w:rsidR="008E5D7A" w:rsidRPr="0016487D">
        <w:rPr>
          <w:rFonts w:cs="Tahoma"/>
          <w:noProof/>
        </w:rPr>
        <w:t xml:space="preserve"> previa búsqueda exhaustiva y razonable en los archivos de las unidades administrativas competentes,</w:t>
      </w:r>
      <w:r w:rsidR="00246B2F" w:rsidRPr="0016487D">
        <w:rPr>
          <w:rFonts w:cs="Tahoma"/>
          <w:noProof/>
        </w:rPr>
        <w:t xml:space="preserve"> entregue</w:t>
      </w:r>
      <w:r w:rsidR="008E5D7A" w:rsidRPr="0016487D">
        <w:rPr>
          <w:rFonts w:cs="Tahoma"/>
          <w:noProof/>
        </w:rPr>
        <w:t xml:space="preserve"> a </w:t>
      </w:r>
      <w:r w:rsidR="00246B2F" w:rsidRPr="0016487D">
        <w:rPr>
          <w:rFonts w:eastAsia="Calibri" w:cs="Tahoma"/>
          <w:iCs/>
          <w:noProof/>
          <w:lang w:eastAsia="es-ES_tradnl"/>
        </w:rPr>
        <w:t>través del Sistema de Acceso a la Información Mexiquense (SAIMEX</w:t>
      </w:r>
      <w:r w:rsidR="00413F33" w:rsidRPr="0016487D">
        <w:rPr>
          <w:rFonts w:eastAsia="Calibri" w:cs="Tahoma"/>
          <w:iCs/>
          <w:noProof/>
          <w:lang w:eastAsia="es-ES_tradnl"/>
        </w:rPr>
        <w:t>)</w:t>
      </w:r>
      <w:r w:rsidR="004856D5" w:rsidRPr="0016487D">
        <w:rPr>
          <w:rFonts w:eastAsia="Calibri" w:cs="Tahoma"/>
          <w:iCs/>
          <w:noProof/>
          <w:lang w:eastAsia="es-ES_tradnl"/>
        </w:rPr>
        <w:t>, en versión pública</w:t>
      </w:r>
      <w:r w:rsidR="008E5D7A" w:rsidRPr="0016487D">
        <w:rPr>
          <w:rFonts w:eastAsia="Calibri" w:cs="Tahoma"/>
          <w:iCs/>
          <w:noProof/>
          <w:lang w:eastAsia="es-ES_tradnl"/>
        </w:rPr>
        <w:t>, los documentos que den cuenta de lo siguiente:</w:t>
      </w:r>
    </w:p>
    <w:p w14:paraId="2BE330B5" w14:textId="77777777" w:rsidR="008E5D7A" w:rsidRPr="0016487D" w:rsidRDefault="008E5D7A" w:rsidP="00AE2352">
      <w:pPr>
        <w:spacing w:after="0" w:line="360" w:lineRule="auto"/>
        <w:rPr>
          <w:rFonts w:eastAsia="Calibri" w:cs="Tahoma"/>
          <w:iCs/>
          <w:noProof/>
          <w:lang w:eastAsia="es-ES_tradnl"/>
        </w:rPr>
      </w:pPr>
    </w:p>
    <w:p w14:paraId="1A2CA8E4" w14:textId="24FFC27F" w:rsidR="008E5D7A" w:rsidRPr="0016487D" w:rsidRDefault="008E5D7A" w:rsidP="008E5D7A">
      <w:pPr>
        <w:numPr>
          <w:ilvl w:val="0"/>
          <w:numId w:val="10"/>
        </w:numPr>
        <w:pBdr>
          <w:top w:val="nil"/>
          <w:left w:val="nil"/>
          <w:bottom w:val="nil"/>
          <w:right w:val="nil"/>
          <w:between w:val="nil"/>
        </w:pBdr>
        <w:tabs>
          <w:tab w:val="center" w:pos="4522"/>
        </w:tabs>
        <w:spacing w:after="0" w:line="360" w:lineRule="auto"/>
        <w:rPr>
          <w:rFonts w:eastAsia="Palatino Linotype" w:cs="Palatino Linotype"/>
          <w:noProof/>
          <w:color w:val="000000"/>
          <w:lang w:eastAsia="es-MX"/>
        </w:rPr>
      </w:pPr>
      <w:r w:rsidRPr="0016487D">
        <w:rPr>
          <w:rFonts w:eastAsia="Palatino Linotype" w:cs="Palatino Linotype"/>
          <w:noProof/>
          <w:color w:val="000000"/>
          <w:lang w:eastAsia="es-MX"/>
        </w:rPr>
        <w:t>La nómina de la primera quincena de febrero de dos mil veinticinco, de los servidores públicos adscritos al Ayuntamiento de Coacalco de Berriozábal.</w:t>
      </w:r>
    </w:p>
    <w:p w14:paraId="4AF3ED45" w14:textId="77777777" w:rsidR="003F4450" w:rsidRPr="0016487D" w:rsidRDefault="003F4450" w:rsidP="00AE2352">
      <w:pPr>
        <w:pStyle w:val="Prrafodelista"/>
        <w:spacing w:line="360" w:lineRule="auto"/>
        <w:rPr>
          <w:noProof/>
        </w:rPr>
      </w:pPr>
    </w:p>
    <w:p w14:paraId="36E5952C" w14:textId="0B2D5B64" w:rsidR="00413F33" w:rsidRPr="0016487D" w:rsidRDefault="00413F33" w:rsidP="00AE2352">
      <w:pPr>
        <w:spacing w:after="0" w:line="360" w:lineRule="auto"/>
        <w:rPr>
          <w:rFonts w:eastAsia="Times New Roman" w:cs="Tahoma"/>
          <w:bCs/>
          <w:noProof/>
          <w:color w:val="auto"/>
          <w:lang w:eastAsia="es-MX"/>
        </w:rPr>
      </w:pPr>
      <w:r w:rsidRPr="0016487D">
        <w:rPr>
          <w:rFonts w:eastAsia="Times New Roman" w:cs="Tahoma"/>
          <w:bCs/>
          <w:noProof/>
          <w:color w:val="auto"/>
          <w:lang w:eastAsia="es-MX"/>
        </w:rPr>
        <w:t>Además, deberá proporcionar el Acuerdo de Clasificación donde el Comité de Transparencia, confirme la eliminación de los datos o información clasificada</w:t>
      </w:r>
      <w:r w:rsidR="008E5D7A" w:rsidRPr="0016487D">
        <w:rPr>
          <w:rFonts w:eastAsia="Times New Roman" w:cs="Tahoma"/>
          <w:bCs/>
          <w:noProof/>
          <w:color w:val="auto"/>
          <w:lang w:eastAsia="es-MX"/>
        </w:rPr>
        <w:t>, en la versión pública</w:t>
      </w:r>
      <w:r w:rsidR="00082334" w:rsidRPr="0016487D">
        <w:rPr>
          <w:rFonts w:eastAsia="Times New Roman" w:cs="Tahoma"/>
          <w:bCs/>
          <w:noProof/>
          <w:color w:val="auto"/>
          <w:lang w:eastAsia="es-MX"/>
        </w:rPr>
        <w:t>, en términos del Considerando QUINTO</w:t>
      </w:r>
      <w:r w:rsidRPr="0016487D">
        <w:rPr>
          <w:rFonts w:eastAsia="Times New Roman" w:cs="Tahoma"/>
          <w:bCs/>
          <w:noProof/>
          <w:color w:val="auto"/>
          <w:lang w:eastAsia="es-MX"/>
        </w:rPr>
        <w:t>, de conformidad con los artículos 49, fracciones II y VIII, y 132, fracción II, de la Ley de Transparencia y Acceso a la Información Pública del Estado de México y Municipios.</w:t>
      </w:r>
    </w:p>
    <w:p w14:paraId="4097CBEB" w14:textId="77777777" w:rsidR="00413F33" w:rsidRPr="0016487D" w:rsidRDefault="00413F33" w:rsidP="00AE2352">
      <w:pPr>
        <w:spacing w:after="0" w:line="360" w:lineRule="auto"/>
        <w:rPr>
          <w:rFonts w:cs="Arial"/>
          <w:b/>
          <w:noProof/>
        </w:rPr>
      </w:pPr>
    </w:p>
    <w:p w14:paraId="3B54D014" w14:textId="4463E5CB" w:rsidR="00782132" w:rsidRPr="0016487D" w:rsidRDefault="00782132" w:rsidP="00AE2352">
      <w:pPr>
        <w:spacing w:after="0" w:line="360" w:lineRule="auto"/>
        <w:rPr>
          <w:rFonts w:cs="Tahoma"/>
          <w:noProof/>
        </w:rPr>
      </w:pPr>
      <w:r w:rsidRPr="0016487D">
        <w:rPr>
          <w:rFonts w:cs="Arial"/>
          <w:b/>
          <w:noProof/>
        </w:rPr>
        <w:t>TERCERO.</w:t>
      </w:r>
      <w:r w:rsidRPr="0016487D">
        <w:rPr>
          <w:rFonts w:cs="Tahoma"/>
          <w:b/>
          <w:noProof/>
        </w:rPr>
        <w:t xml:space="preserve"> NOTIFÍQUESE</w:t>
      </w:r>
      <w:r w:rsidR="00D526FB" w:rsidRPr="0016487D">
        <w:rPr>
          <w:rFonts w:cs="Tahoma"/>
          <w:b/>
          <w:noProof/>
        </w:rPr>
        <w:t xml:space="preserve"> POR SAIMEX</w:t>
      </w:r>
      <w:r w:rsidRPr="0016487D">
        <w:rPr>
          <w:rFonts w:cs="Tahoma"/>
          <w:b/>
          <w:noProof/>
        </w:rPr>
        <w:t xml:space="preserve"> </w:t>
      </w:r>
      <w:r w:rsidRPr="0016487D">
        <w:rPr>
          <w:rFonts w:cs="Tahoma"/>
          <w:noProof/>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w:t>
      </w:r>
    </w:p>
    <w:p w14:paraId="4E5F20B1" w14:textId="77777777" w:rsidR="00904CFA" w:rsidRPr="0016487D" w:rsidRDefault="00904CFA" w:rsidP="00AE2352">
      <w:pPr>
        <w:spacing w:after="0" w:line="360" w:lineRule="auto"/>
        <w:rPr>
          <w:rFonts w:cs="Tahoma"/>
          <w:noProof/>
        </w:rPr>
      </w:pPr>
    </w:p>
    <w:p w14:paraId="25CF535E" w14:textId="77777777" w:rsidR="008E5D7A" w:rsidRPr="0016487D" w:rsidRDefault="008E5D7A" w:rsidP="00AE2352">
      <w:pPr>
        <w:spacing w:after="0" w:line="360" w:lineRule="auto"/>
        <w:rPr>
          <w:rFonts w:cs="Tahoma"/>
          <w:noProof/>
        </w:rPr>
      </w:pPr>
    </w:p>
    <w:p w14:paraId="322F4541" w14:textId="0AB31413" w:rsidR="00413F33" w:rsidRPr="0016487D" w:rsidRDefault="00682222" w:rsidP="00AE2352">
      <w:pPr>
        <w:spacing w:after="0" w:line="360" w:lineRule="auto"/>
        <w:contextualSpacing/>
        <w:rPr>
          <w:rFonts w:eastAsia="Calibri" w:cs="Tahoma"/>
          <w:iCs/>
          <w:noProof/>
        </w:rPr>
      </w:pPr>
      <w:bookmarkStart w:id="17" w:name="_Hlk61509110"/>
      <w:r w:rsidRPr="0016487D">
        <w:rPr>
          <w:rFonts w:eastAsia="Calibri" w:cs="Tahoma"/>
          <w:iCs/>
          <w:noProof/>
        </w:rPr>
        <w:t xml:space="preserve">De conformidad con el artículo 198 de la </w:t>
      </w:r>
      <w:r w:rsidR="008E5D7A" w:rsidRPr="0016487D">
        <w:rPr>
          <w:rFonts w:cs="Tahoma"/>
          <w:noProof/>
        </w:rPr>
        <w:t>Ley de Transparencia y Acceso a la Información Pública del Estado de México y Municipios</w:t>
      </w:r>
      <w:r w:rsidRPr="0016487D">
        <w:rPr>
          <w:rFonts w:eastAsia="Calibri" w:cs="Tahoma"/>
          <w:iCs/>
          <w:noProof/>
        </w:rPr>
        <w:t>, de considerarlo procedente, el Sujeto Obligado de manera fundada y motivada, podrá solicitar una ampliación de plazo para el cumplimiento de la presente Resolución.</w:t>
      </w:r>
      <w:bookmarkEnd w:id="17"/>
    </w:p>
    <w:p w14:paraId="1549B620" w14:textId="77777777" w:rsidR="00413F33" w:rsidRPr="0016487D" w:rsidRDefault="00413F33" w:rsidP="00AE2352">
      <w:pPr>
        <w:spacing w:after="0" w:line="360" w:lineRule="auto"/>
        <w:contextualSpacing/>
        <w:rPr>
          <w:rFonts w:eastAsia="Calibri" w:cs="Tahoma"/>
          <w:iCs/>
          <w:noProof/>
        </w:rPr>
      </w:pPr>
    </w:p>
    <w:p w14:paraId="2C0ACFAC" w14:textId="0077C7D9" w:rsidR="00782132" w:rsidRPr="0016487D" w:rsidRDefault="00782132" w:rsidP="00AE2352">
      <w:pPr>
        <w:spacing w:after="0" w:line="360" w:lineRule="auto"/>
        <w:contextualSpacing/>
        <w:rPr>
          <w:rFonts w:cs="Tahoma"/>
          <w:noProof/>
        </w:rPr>
      </w:pPr>
      <w:r w:rsidRPr="0016487D">
        <w:rPr>
          <w:rFonts w:cs="Tahoma"/>
          <w:b/>
          <w:noProof/>
        </w:rPr>
        <w:t>CUARTO. NOTIFÍQUESE</w:t>
      </w:r>
      <w:r w:rsidR="00D526FB" w:rsidRPr="0016487D">
        <w:rPr>
          <w:rFonts w:cs="Tahoma"/>
          <w:b/>
          <w:noProof/>
        </w:rPr>
        <w:t xml:space="preserve"> POR SAIMEX</w:t>
      </w:r>
      <w:r w:rsidRPr="0016487D">
        <w:rPr>
          <w:rFonts w:cs="Tahoma"/>
          <w:noProof/>
        </w:rPr>
        <w:t xml:space="preserve"> a</w:t>
      </w:r>
      <w:r w:rsidR="005B1631" w:rsidRPr="0016487D">
        <w:rPr>
          <w:rFonts w:cs="Tahoma"/>
          <w:noProof/>
        </w:rPr>
        <w:t xml:space="preserve"> </w:t>
      </w:r>
      <w:r w:rsidRPr="0016487D">
        <w:rPr>
          <w:rFonts w:cs="Tahoma"/>
          <w:noProof/>
        </w:rPr>
        <w:t>l</w:t>
      </w:r>
      <w:r w:rsidR="005B1631" w:rsidRPr="0016487D">
        <w:rPr>
          <w:rFonts w:cs="Tahoma"/>
          <w:noProof/>
        </w:rPr>
        <w:t>a</w:t>
      </w:r>
      <w:r w:rsidRPr="0016487D">
        <w:rPr>
          <w:rFonts w:cs="Tahoma"/>
          <w:noProof/>
        </w:rPr>
        <w:t xml:space="preserv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42C8D564" w14:textId="77777777" w:rsidR="00782132" w:rsidRPr="0016487D" w:rsidRDefault="00782132" w:rsidP="00AE2352">
      <w:pPr>
        <w:spacing w:after="0" w:line="360" w:lineRule="auto"/>
        <w:rPr>
          <w:rFonts w:eastAsia="Calibri" w:cs="Tahoma"/>
          <w:bCs/>
          <w:noProof/>
        </w:rPr>
      </w:pPr>
    </w:p>
    <w:p w14:paraId="61493576" w14:textId="4309C9F8" w:rsidR="00C853D1" w:rsidRPr="00945419" w:rsidRDefault="0045726D" w:rsidP="00AE2352">
      <w:pPr>
        <w:spacing w:after="0" w:line="360" w:lineRule="auto"/>
        <w:rPr>
          <w:rFonts w:eastAsia="Calibri" w:cs="Tahoma"/>
          <w:bCs/>
          <w:noProof/>
        </w:rPr>
      </w:pPr>
      <w:r w:rsidRPr="0016487D">
        <w:rPr>
          <w:rFonts w:eastAsia="Calibri" w:cs="Tahoma"/>
          <w:bCs/>
          <w:noProof/>
        </w:rPr>
        <w:t xml:space="preserve">ASÍ LO RESUELVE, POR </w:t>
      </w:r>
      <w:r w:rsidRPr="0016487D">
        <w:rPr>
          <w:rFonts w:eastAsia="Calibri" w:cs="Tahoma"/>
          <w:b/>
          <w:noProof/>
        </w:rPr>
        <w:t>UNANIMIDAD</w:t>
      </w:r>
      <w:r w:rsidRPr="0016487D">
        <w:rPr>
          <w:rFonts w:eastAsia="Calibri" w:cs="Tahoma"/>
          <w:bCs/>
          <w:noProof/>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460F56" w:rsidRPr="0016487D">
        <w:rPr>
          <w:rFonts w:eastAsia="Calibri" w:cs="Tahoma"/>
          <w:bCs/>
          <w:noProof/>
        </w:rPr>
        <w:t xml:space="preserve"> CON VOTO PARTICULAR </w:t>
      </w:r>
      <w:r w:rsidRPr="0016487D">
        <w:rPr>
          <w:rFonts w:eastAsia="Calibri" w:cs="Tahoma"/>
          <w:bCs/>
          <w:noProof/>
        </w:rPr>
        <w:t>Y GUADALUPE RAMÍREZ PEÑA</w:t>
      </w:r>
      <w:r w:rsidR="00460F56" w:rsidRPr="0016487D">
        <w:rPr>
          <w:rFonts w:eastAsia="Calibri" w:cs="Tahoma"/>
          <w:bCs/>
          <w:noProof/>
        </w:rPr>
        <w:t xml:space="preserve"> CON VOTO PARTICULAR</w:t>
      </w:r>
      <w:r w:rsidRPr="0016487D">
        <w:rPr>
          <w:rFonts w:eastAsia="Calibri" w:cs="Tahoma"/>
          <w:bCs/>
          <w:noProof/>
        </w:rPr>
        <w:t>, EN</w:t>
      </w:r>
      <w:r w:rsidR="00533ABF">
        <w:rPr>
          <w:rFonts w:eastAsia="Calibri" w:cs="Tahoma"/>
          <w:bCs/>
          <w:noProof/>
        </w:rPr>
        <w:t xml:space="preserve"> LA</w:t>
      </w:r>
      <w:r w:rsidRPr="0016487D">
        <w:rPr>
          <w:rFonts w:eastAsia="Calibri" w:cs="Tahoma"/>
          <w:bCs/>
          <w:noProof/>
        </w:rPr>
        <w:t xml:space="preserve"> </w:t>
      </w:r>
      <w:r w:rsidR="00533ABF">
        <w:rPr>
          <w:rFonts w:eastAsia="Calibri" w:cs="Tahoma"/>
          <w:bCs/>
          <w:noProof/>
        </w:rPr>
        <w:t>DECIMA</w:t>
      </w:r>
      <w:r w:rsidR="004856D5" w:rsidRPr="0016487D">
        <w:rPr>
          <w:rFonts w:eastAsia="Calibri" w:cs="Tahoma"/>
          <w:bCs/>
          <w:noProof/>
        </w:rPr>
        <w:t xml:space="preserve"> TERCERA</w:t>
      </w:r>
      <w:r w:rsidR="003F4450" w:rsidRPr="0016487D">
        <w:rPr>
          <w:rFonts w:eastAsia="Calibri" w:cs="Tahoma"/>
          <w:bCs/>
          <w:noProof/>
        </w:rPr>
        <w:t xml:space="preserve"> </w:t>
      </w:r>
      <w:r w:rsidRPr="0016487D">
        <w:rPr>
          <w:rFonts w:eastAsia="Calibri" w:cs="Tahoma"/>
          <w:bCs/>
          <w:noProof/>
        </w:rPr>
        <w:t xml:space="preserve">SESIÓN ORDINARIA, CELEBRADA EL </w:t>
      </w:r>
      <w:r w:rsidR="004856D5" w:rsidRPr="0016487D">
        <w:rPr>
          <w:rFonts w:eastAsia="Calibri" w:cs="Tahoma"/>
          <w:bCs/>
          <w:noProof/>
        </w:rPr>
        <w:t>NUEVE DE ABRIL</w:t>
      </w:r>
      <w:r w:rsidRPr="0016487D">
        <w:rPr>
          <w:rFonts w:eastAsia="Calibri" w:cs="Tahoma"/>
          <w:bCs/>
          <w:noProof/>
        </w:rPr>
        <w:t xml:space="preserve"> DE DOS MIL VEINT</w:t>
      </w:r>
      <w:r w:rsidR="009E0CE1" w:rsidRPr="0016487D">
        <w:rPr>
          <w:rFonts w:eastAsia="Calibri" w:cs="Tahoma"/>
          <w:bCs/>
          <w:noProof/>
        </w:rPr>
        <w:t>I</w:t>
      </w:r>
      <w:r w:rsidR="00D526FB" w:rsidRPr="0016487D">
        <w:rPr>
          <w:rFonts w:eastAsia="Calibri" w:cs="Tahoma"/>
          <w:bCs/>
          <w:noProof/>
        </w:rPr>
        <w:t>CINCO</w:t>
      </w:r>
      <w:r w:rsidRPr="0016487D">
        <w:rPr>
          <w:rFonts w:eastAsia="Calibri" w:cs="Tahoma"/>
          <w:bCs/>
          <w:noProof/>
        </w:rPr>
        <w:t>, ANTE EL SECRETARIO TÉCNICO DEL PLENO, ALEXIS TAPIA RAMÍREZ.</w:t>
      </w:r>
    </w:p>
    <w:p w14:paraId="3A7BF8F4" w14:textId="2D48560D" w:rsidR="00A6477D" w:rsidRPr="00945419" w:rsidRDefault="00C853D1" w:rsidP="00AE2352">
      <w:pPr>
        <w:spacing w:after="0" w:line="360" w:lineRule="auto"/>
        <w:jc w:val="left"/>
        <w:rPr>
          <w:noProof/>
        </w:rPr>
      </w:pPr>
      <w:r w:rsidRPr="00945419">
        <w:rPr>
          <w:rFonts w:eastAsia="Calibri" w:cs="Tahoma"/>
          <w:b/>
          <w:bCs/>
          <w:noProof/>
        </w:rPr>
        <w:br w:type="page"/>
      </w:r>
    </w:p>
    <w:sectPr w:rsidR="00A6477D" w:rsidRPr="00945419" w:rsidSect="002C59A0">
      <w:headerReference w:type="even" r:id="rId15"/>
      <w:headerReference w:type="default" r:id="rId16"/>
      <w:footerReference w:type="even" r:id="rId17"/>
      <w:footerReference w:type="default" r:id="rId18"/>
      <w:headerReference w:type="first" r:id="rId19"/>
      <w:footerReference w:type="first" r:id="rId20"/>
      <w:pgSz w:w="12240" w:h="15840"/>
      <w:pgMar w:top="1418" w:right="1418"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9766E" w14:textId="77777777" w:rsidR="001D527A" w:rsidRDefault="001D527A" w:rsidP="00C853D1">
      <w:pPr>
        <w:spacing w:after="0" w:line="240" w:lineRule="auto"/>
      </w:pPr>
      <w:r>
        <w:separator/>
      </w:r>
    </w:p>
  </w:endnote>
  <w:endnote w:type="continuationSeparator" w:id="0">
    <w:p w14:paraId="771FC581" w14:textId="77777777" w:rsidR="001D527A" w:rsidRDefault="001D527A" w:rsidP="00C853D1">
      <w:pPr>
        <w:spacing w:after="0" w:line="240" w:lineRule="auto"/>
      </w:pPr>
      <w:r>
        <w:continuationSeparator/>
      </w:r>
    </w:p>
  </w:endnote>
  <w:endnote w:type="continuationNotice" w:id="1">
    <w:p w14:paraId="35E698EE" w14:textId="77777777" w:rsidR="001D527A" w:rsidRDefault="001D52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8588"/>
      <w:docPartObj>
        <w:docPartGallery w:val="Page Numbers (Bottom of Page)"/>
        <w:docPartUnique/>
      </w:docPartObj>
    </w:sdtPr>
    <w:sdtEndPr/>
    <w:sdtContent>
      <w:sdt>
        <w:sdtPr>
          <w:id w:val="-1486162003"/>
          <w:docPartObj>
            <w:docPartGallery w:val="Page Numbers (Top of Page)"/>
            <w:docPartUnique/>
          </w:docPartObj>
        </w:sdtPr>
        <w:sdtEndPr/>
        <w:sdtContent>
          <w:p w14:paraId="71583055" w14:textId="77777777" w:rsidR="009C3B3B" w:rsidRDefault="009C3B3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54FD6">
              <w:rPr>
                <w:b/>
                <w:bCs/>
                <w:noProof/>
              </w:rPr>
              <w:t>34</w:t>
            </w:r>
            <w:r>
              <w:rPr>
                <w:b/>
                <w:bCs/>
                <w:sz w:val="24"/>
                <w:szCs w:val="24"/>
              </w:rPr>
              <w:fldChar w:fldCharType="end"/>
            </w:r>
          </w:p>
        </w:sdtContent>
      </w:sdt>
    </w:sdtContent>
  </w:sdt>
  <w:p w14:paraId="5F4318B3" w14:textId="77777777" w:rsidR="009C3B3B" w:rsidRDefault="009C3B3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037141"/>
      <w:docPartObj>
        <w:docPartGallery w:val="Page Numbers (Bottom of Page)"/>
        <w:docPartUnique/>
      </w:docPartObj>
    </w:sdtPr>
    <w:sdtEndPr/>
    <w:sdtContent>
      <w:sdt>
        <w:sdtPr>
          <w:id w:val="-1053769877"/>
          <w:docPartObj>
            <w:docPartGallery w:val="Page Numbers (Top of Page)"/>
            <w:docPartUnique/>
          </w:docPartObj>
        </w:sdtPr>
        <w:sdtEndPr/>
        <w:sdtContent>
          <w:p w14:paraId="1AB8D0FA" w14:textId="77777777" w:rsidR="009C3B3B" w:rsidRDefault="009C3B3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24AAD">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24AAD">
              <w:rPr>
                <w:b/>
                <w:bCs/>
                <w:noProof/>
              </w:rPr>
              <w:t>34</w:t>
            </w:r>
            <w:r>
              <w:rPr>
                <w:b/>
                <w:bCs/>
                <w:sz w:val="24"/>
                <w:szCs w:val="24"/>
              </w:rPr>
              <w:fldChar w:fldCharType="end"/>
            </w:r>
          </w:p>
        </w:sdtContent>
      </w:sdt>
    </w:sdtContent>
  </w:sdt>
  <w:p w14:paraId="3F35B7C0" w14:textId="77777777" w:rsidR="009C3B3B" w:rsidRDefault="009C3B3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825420"/>
      <w:docPartObj>
        <w:docPartGallery w:val="Page Numbers (Bottom of Page)"/>
        <w:docPartUnique/>
      </w:docPartObj>
    </w:sdtPr>
    <w:sdtEndPr/>
    <w:sdtContent>
      <w:sdt>
        <w:sdtPr>
          <w:id w:val="-1769616900"/>
          <w:docPartObj>
            <w:docPartGallery w:val="Page Numbers (Top of Page)"/>
            <w:docPartUnique/>
          </w:docPartObj>
        </w:sdtPr>
        <w:sdtEndPr/>
        <w:sdtContent>
          <w:p w14:paraId="46648C95" w14:textId="77777777" w:rsidR="009C3B3B" w:rsidRDefault="009C3B3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24AAD">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24AAD">
              <w:rPr>
                <w:b/>
                <w:bCs/>
                <w:noProof/>
              </w:rPr>
              <w:t>34</w:t>
            </w:r>
            <w:r>
              <w:rPr>
                <w:b/>
                <w:bCs/>
                <w:sz w:val="24"/>
                <w:szCs w:val="24"/>
              </w:rPr>
              <w:fldChar w:fldCharType="end"/>
            </w:r>
          </w:p>
        </w:sdtContent>
      </w:sdt>
    </w:sdtContent>
  </w:sdt>
  <w:p w14:paraId="1A7218CE" w14:textId="77777777" w:rsidR="009C3B3B" w:rsidRDefault="009C3B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47799" w14:textId="77777777" w:rsidR="001D527A" w:rsidRDefault="001D527A" w:rsidP="00C853D1">
      <w:pPr>
        <w:spacing w:after="0" w:line="240" w:lineRule="auto"/>
      </w:pPr>
      <w:r>
        <w:separator/>
      </w:r>
    </w:p>
  </w:footnote>
  <w:footnote w:type="continuationSeparator" w:id="0">
    <w:p w14:paraId="699B0DE6" w14:textId="77777777" w:rsidR="001D527A" w:rsidRDefault="001D527A" w:rsidP="00C853D1">
      <w:pPr>
        <w:spacing w:after="0" w:line="240" w:lineRule="auto"/>
      </w:pPr>
      <w:r>
        <w:continuationSeparator/>
      </w:r>
    </w:p>
  </w:footnote>
  <w:footnote w:type="continuationNotice" w:id="1">
    <w:p w14:paraId="1B23AE46" w14:textId="77777777" w:rsidR="001D527A" w:rsidRDefault="001D527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991"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04"/>
      <w:gridCol w:w="3587"/>
    </w:tblGrid>
    <w:tr w:rsidR="009C3B3B" w14:paraId="282B3A75" w14:textId="77777777" w:rsidTr="002C59A0">
      <w:trPr>
        <w:trHeight w:val="141"/>
      </w:trPr>
      <w:tc>
        <w:tcPr>
          <w:tcW w:w="2404" w:type="dxa"/>
        </w:tcPr>
        <w:p w14:paraId="57F547E7" w14:textId="77777777" w:rsidR="009C3B3B" w:rsidRPr="001B5FB6" w:rsidRDefault="009C3B3B" w:rsidP="002C59A0">
          <w:pPr>
            <w:tabs>
              <w:tab w:val="right" w:pos="8838"/>
            </w:tabs>
            <w:ind w:right="-105"/>
            <w:rPr>
              <w:rFonts w:eastAsia="Calibri" w:cs="Tahoma"/>
              <w:b/>
              <w:lang w:val="es-MX"/>
            </w:rPr>
          </w:pPr>
          <w:r w:rsidRPr="001B5FB6">
            <w:rPr>
              <w:rFonts w:eastAsia="Calibri" w:cs="Tahoma"/>
              <w:b/>
              <w:lang w:val="es-MX"/>
            </w:rPr>
            <w:t>Recurso de Revisión:</w:t>
          </w:r>
        </w:p>
      </w:tc>
      <w:tc>
        <w:tcPr>
          <w:tcW w:w="3587" w:type="dxa"/>
        </w:tcPr>
        <w:p w14:paraId="77D4576F" w14:textId="77777777" w:rsidR="009C3B3B" w:rsidRPr="00A8173F" w:rsidRDefault="009C3B3B" w:rsidP="002C59A0">
          <w:pPr>
            <w:tabs>
              <w:tab w:val="right" w:pos="8838"/>
            </w:tabs>
            <w:ind w:left="-28" w:right="683"/>
            <w:rPr>
              <w:rFonts w:eastAsia="Calibri" w:cs="Tahoma"/>
            </w:rPr>
          </w:pPr>
          <w:r w:rsidRPr="00A8173F">
            <w:rPr>
              <w:rFonts w:eastAsia="Calibri" w:cs="Tahoma"/>
              <w:lang w:val="es-MX"/>
            </w:rPr>
            <w:t>04196/INFOEM/IP/RR/2020</w:t>
          </w:r>
        </w:p>
      </w:tc>
    </w:tr>
    <w:tr w:rsidR="009C3B3B" w14:paraId="46AFE2B4" w14:textId="77777777" w:rsidTr="002C59A0">
      <w:trPr>
        <w:trHeight w:val="276"/>
      </w:trPr>
      <w:tc>
        <w:tcPr>
          <w:tcW w:w="2404" w:type="dxa"/>
        </w:tcPr>
        <w:p w14:paraId="1D6E5B2B" w14:textId="77777777" w:rsidR="009C3B3B" w:rsidRPr="001B5FB6" w:rsidRDefault="009C3B3B" w:rsidP="002C59A0">
          <w:pPr>
            <w:tabs>
              <w:tab w:val="right" w:pos="8838"/>
            </w:tabs>
            <w:ind w:right="-105"/>
            <w:rPr>
              <w:rFonts w:eastAsia="Calibri" w:cs="Tahoma"/>
              <w:b/>
              <w:lang w:val="es-MX"/>
            </w:rPr>
          </w:pPr>
          <w:r w:rsidRPr="001B5FB6">
            <w:rPr>
              <w:rFonts w:eastAsia="Calibri" w:cs="Tahoma"/>
              <w:b/>
              <w:lang w:val="es-MX"/>
            </w:rPr>
            <w:t>Sujeto Obligado:</w:t>
          </w:r>
        </w:p>
      </w:tc>
      <w:tc>
        <w:tcPr>
          <w:tcW w:w="3587" w:type="dxa"/>
        </w:tcPr>
        <w:p w14:paraId="2DAC5118" w14:textId="77777777" w:rsidR="009C3B3B" w:rsidRPr="00A8173F" w:rsidRDefault="009C3B3B" w:rsidP="002C59A0">
          <w:pPr>
            <w:tabs>
              <w:tab w:val="right" w:pos="8838"/>
            </w:tabs>
            <w:ind w:right="116"/>
            <w:rPr>
              <w:rFonts w:eastAsia="Calibri" w:cs="Tahoma"/>
              <w:lang w:val="es-MX"/>
            </w:rPr>
          </w:pPr>
          <w:r w:rsidRPr="00A8173F">
            <w:rPr>
              <w:rFonts w:eastAsia="Calibri" w:cs="Tahoma"/>
              <w:lang w:val="es-MX"/>
            </w:rPr>
            <w:t>Ayuntamiento de Chapultepec</w:t>
          </w:r>
        </w:p>
      </w:tc>
    </w:tr>
    <w:tr w:rsidR="009C3B3B" w14:paraId="1FA679E9" w14:textId="77777777" w:rsidTr="002C59A0">
      <w:trPr>
        <w:trHeight w:val="276"/>
      </w:trPr>
      <w:tc>
        <w:tcPr>
          <w:tcW w:w="2404" w:type="dxa"/>
        </w:tcPr>
        <w:p w14:paraId="6498FD30" w14:textId="77777777" w:rsidR="009C3B3B" w:rsidRPr="001B5FB6" w:rsidRDefault="009C3B3B" w:rsidP="002C59A0">
          <w:pPr>
            <w:tabs>
              <w:tab w:val="right" w:pos="8838"/>
            </w:tabs>
            <w:ind w:right="-105"/>
            <w:rPr>
              <w:rFonts w:eastAsia="Calibri" w:cs="Tahoma"/>
              <w:b/>
              <w:lang w:val="es-MX"/>
            </w:rPr>
          </w:pPr>
          <w:r w:rsidRPr="001B5FB6">
            <w:rPr>
              <w:rFonts w:eastAsia="Calibri" w:cs="Tahoma"/>
              <w:b/>
              <w:lang w:val="es-MX"/>
            </w:rPr>
            <w:t>Comisionado Ponente:</w:t>
          </w:r>
        </w:p>
      </w:tc>
      <w:tc>
        <w:tcPr>
          <w:tcW w:w="3587" w:type="dxa"/>
        </w:tcPr>
        <w:p w14:paraId="5C36068F" w14:textId="77777777" w:rsidR="009C3B3B" w:rsidRPr="00A8173F" w:rsidRDefault="009C3B3B" w:rsidP="002C59A0">
          <w:pPr>
            <w:tabs>
              <w:tab w:val="right" w:pos="8838"/>
            </w:tabs>
            <w:ind w:right="-32"/>
            <w:rPr>
              <w:rFonts w:eastAsia="Calibri" w:cs="Tahoma"/>
              <w:lang w:val="es-MX"/>
            </w:rPr>
          </w:pPr>
          <w:r w:rsidRPr="00A8173F">
            <w:rPr>
              <w:rFonts w:eastAsia="Calibri" w:cs="Tahoma"/>
              <w:lang w:val="es-MX"/>
            </w:rPr>
            <w:t>Luis Gustavo Parra Noriega</w:t>
          </w:r>
        </w:p>
      </w:tc>
    </w:tr>
  </w:tbl>
  <w:p w14:paraId="509FB0F1" w14:textId="77777777" w:rsidR="009C3B3B" w:rsidRDefault="001D527A">
    <w:pPr>
      <w:pStyle w:val="Encabezado"/>
    </w:pPr>
    <w:r>
      <w:rPr>
        <w:noProof/>
      </w:rPr>
      <w:pict w14:anchorId="21C56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2024032" o:spid="_x0000_s2051" type="#_x0000_t75" alt="MARCA DE AGUA - HOJA RESOLUCIÓN" style="position:absolute;left:0;text-align:left;margin-left:0;margin-top:0;width:663.5pt;height:12in;z-index:-251658240;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693B3" w14:textId="77777777" w:rsidR="009C3B3B" w:rsidRPr="004A705D" w:rsidRDefault="009C3B3B">
    <w:pPr>
      <w:rPr>
        <w:sz w:val="18"/>
        <w:szCs w:val="18"/>
      </w:rPr>
    </w:pPr>
  </w:p>
  <w:tbl>
    <w:tblPr>
      <w:tblStyle w:val="Tablaconcuadrcula"/>
      <w:tblW w:w="6521" w:type="dxa"/>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04"/>
      <w:gridCol w:w="4117"/>
    </w:tblGrid>
    <w:tr w:rsidR="009C3B3B" w14:paraId="1E2FF18B" w14:textId="77777777" w:rsidTr="00F80E6D">
      <w:trPr>
        <w:trHeight w:val="141"/>
      </w:trPr>
      <w:tc>
        <w:tcPr>
          <w:tcW w:w="2404" w:type="dxa"/>
        </w:tcPr>
        <w:p w14:paraId="6B6D03E8" w14:textId="77777777" w:rsidR="009C3B3B" w:rsidRPr="001B5FB6" w:rsidRDefault="009C3B3B" w:rsidP="00682222">
          <w:pPr>
            <w:tabs>
              <w:tab w:val="right" w:pos="8838"/>
            </w:tabs>
            <w:ind w:left="-395" w:right="-105" w:firstLine="395"/>
            <w:rPr>
              <w:rFonts w:eastAsia="Calibri" w:cs="Tahoma"/>
              <w:b/>
              <w:lang w:val="es-MX"/>
            </w:rPr>
          </w:pPr>
          <w:r w:rsidRPr="001B5FB6">
            <w:rPr>
              <w:rFonts w:eastAsia="Calibri" w:cs="Tahoma"/>
              <w:b/>
              <w:lang w:val="es-MX"/>
            </w:rPr>
            <w:t>Recurso de Revisión:</w:t>
          </w:r>
        </w:p>
      </w:tc>
      <w:tc>
        <w:tcPr>
          <w:tcW w:w="4117" w:type="dxa"/>
        </w:tcPr>
        <w:p w14:paraId="503BB8DE" w14:textId="7D7C44FA" w:rsidR="009C3B3B" w:rsidRPr="00C853D1" w:rsidRDefault="009C3B3B" w:rsidP="00682222">
          <w:pPr>
            <w:tabs>
              <w:tab w:val="right" w:pos="8838"/>
            </w:tabs>
            <w:ind w:left="-28" w:right="454"/>
            <w:rPr>
              <w:rFonts w:eastAsia="Calibri" w:cs="Tahoma"/>
            </w:rPr>
          </w:pPr>
          <w:r>
            <w:rPr>
              <w:rFonts w:eastAsia="Calibri" w:cs="Tahoma"/>
              <w:lang w:val="es-MX"/>
            </w:rPr>
            <w:t>03221/INFOEM/IP/RR/2025</w:t>
          </w:r>
        </w:p>
      </w:tc>
    </w:tr>
    <w:tr w:rsidR="009C3B3B" w14:paraId="110906AA" w14:textId="77777777" w:rsidTr="00F80E6D">
      <w:trPr>
        <w:trHeight w:val="276"/>
      </w:trPr>
      <w:tc>
        <w:tcPr>
          <w:tcW w:w="2404" w:type="dxa"/>
        </w:tcPr>
        <w:p w14:paraId="3052339E" w14:textId="77777777" w:rsidR="009C3B3B" w:rsidRPr="001B5FB6" w:rsidRDefault="009C3B3B" w:rsidP="002C59A0">
          <w:pPr>
            <w:tabs>
              <w:tab w:val="right" w:pos="8838"/>
            </w:tabs>
            <w:ind w:right="-105"/>
            <w:rPr>
              <w:rFonts w:eastAsia="Calibri" w:cs="Tahoma"/>
              <w:b/>
              <w:lang w:val="es-MX"/>
            </w:rPr>
          </w:pPr>
          <w:r w:rsidRPr="001B5FB6">
            <w:rPr>
              <w:rFonts w:eastAsia="Calibri" w:cs="Tahoma"/>
              <w:b/>
              <w:lang w:val="es-MX"/>
            </w:rPr>
            <w:t>Sujeto Obligado:</w:t>
          </w:r>
        </w:p>
      </w:tc>
      <w:tc>
        <w:tcPr>
          <w:tcW w:w="4117" w:type="dxa"/>
        </w:tcPr>
        <w:p w14:paraId="5C93113C" w14:textId="6BCBB592" w:rsidR="009C3B3B" w:rsidRPr="00A8173F" w:rsidRDefault="009C3B3B" w:rsidP="006A126F">
          <w:pPr>
            <w:tabs>
              <w:tab w:val="right" w:pos="8838"/>
            </w:tabs>
            <w:ind w:right="454"/>
            <w:rPr>
              <w:rFonts w:eastAsia="Calibri" w:cs="Tahoma"/>
              <w:lang w:val="es-MX"/>
            </w:rPr>
          </w:pPr>
          <w:r w:rsidRPr="00702180">
            <w:rPr>
              <w:rFonts w:eastAsia="Calibri" w:cs="Tahoma"/>
              <w:lang w:val="es-MX"/>
            </w:rPr>
            <w:t xml:space="preserve">Ayuntamiento de </w:t>
          </w:r>
          <w:r>
            <w:rPr>
              <w:rFonts w:eastAsia="Calibri" w:cs="Tahoma"/>
              <w:lang w:val="es-MX"/>
            </w:rPr>
            <w:t>Coacalco de Berriozábal</w:t>
          </w:r>
        </w:p>
      </w:tc>
    </w:tr>
    <w:tr w:rsidR="009C3B3B" w14:paraId="065F2043" w14:textId="77777777" w:rsidTr="00F80E6D">
      <w:trPr>
        <w:trHeight w:val="276"/>
      </w:trPr>
      <w:tc>
        <w:tcPr>
          <w:tcW w:w="2404" w:type="dxa"/>
        </w:tcPr>
        <w:p w14:paraId="22514F66" w14:textId="77777777" w:rsidR="009C3B3B" w:rsidRPr="001B5FB6" w:rsidRDefault="009C3B3B" w:rsidP="002C59A0">
          <w:pPr>
            <w:tabs>
              <w:tab w:val="right" w:pos="8838"/>
            </w:tabs>
            <w:ind w:right="-105"/>
            <w:rPr>
              <w:rFonts w:eastAsia="Calibri" w:cs="Tahoma"/>
              <w:b/>
              <w:lang w:val="es-MX"/>
            </w:rPr>
          </w:pPr>
          <w:r w:rsidRPr="001B5FB6">
            <w:rPr>
              <w:rFonts w:eastAsia="Calibri" w:cs="Tahoma"/>
              <w:b/>
              <w:lang w:val="es-MX"/>
            </w:rPr>
            <w:t>Comisionado Ponente:</w:t>
          </w:r>
        </w:p>
      </w:tc>
      <w:tc>
        <w:tcPr>
          <w:tcW w:w="4117" w:type="dxa"/>
        </w:tcPr>
        <w:p w14:paraId="245FB2E7" w14:textId="77777777" w:rsidR="009C3B3B" w:rsidRPr="00A8173F" w:rsidRDefault="009C3B3B" w:rsidP="00682222">
          <w:pPr>
            <w:tabs>
              <w:tab w:val="right" w:pos="8838"/>
            </w:tabs>
            <w:ind w:right="454"/>
            <w:rPr>
              <w:rFonts w:eastAsia="Calibri" w:cs="Tahoma"/>
              <w:lang w:val="es-MX"/>
            </w:rPr>
          </w:pPr>
          <w:r w:rsidRPr="00A8173F">
            <w:rPr>
              <w:rFonts w:eastAsia="Calibri" w:cs="Tahoma"/>
              <w:lang w:val="es-MX"/>
            </w:rPr>
            <w:t>Luis Gustavo Parra Noriega</w:t>
          </w:r>
        </w:p>
      </w:tc>
    </w:tr>
  </w:tbl>
  <w:p w14:paraId="0A6563BD" w14:textId="77777777" w:rsidR="009C3B3B" w:rsidRDefault="001D527A">
    <w:pPr>
      <w:pStyle w:val="Encabezado"/>
    </w:pPr>
    <w:r>
      <w:rPr>
        <w:noProof/>
      </w:rPr>
      <w:pict w14:anchorId="2D3404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2024033" o:spid="_x0000_s2050" type="#_x0000_t75" alt="MARCA DE AGUA - HOJA RESOLUCIÓN" style="position:absolute;left:0;text-align:left;margin-left:0;margin-top:0;width:663.5pt;height:12in;z-index:-251658239;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Look w:val="04A0" w:firstRow="1" w:lastRow="0" w:firstColumn="1" w:lastColumn="0" w:noHBand="0" w:noVBand="1"/>
    </w:tblPr>
    <w:tblGrid>
      <w:gridCol w:w="2127"/>
      <w:gridCol w:w="6945"/>
    </w:tblGrid>
    <w:tr w:rsidR="009C3B3B" w:rsidRPr="005C106F" w14:paraId="5D26797B" w14:textId="77777777" w:rsidTr="002C59A0">
      <w:trPr>
        <w:trHeight w:val="1546"/>
      </w:trPr>
      <w:tc>
        <w:tcPr>
          <w:tcW w:w="2127" w:type="dxa"/>
          <w:shd w:val="clear" w:color="auto" w:fill="auto"/>
        </w:tcPr>
        <w:p w14:paraId="76E7DE43" w14:textId="77777777" w:rsidR="009C3B3B" w:rsidRPr="005C106F" w:rsidRDefault="009C3B3B" w:rsidP="002C59A0">
          <w:pPr>
            <w:tabs>
              <w:tab w:val="right" w:pos="4273"/>
            </w:tabs>
            <w:rPr>
              <w:rFonts w:ascii="Garamond" w:eastAsia="Calibri" w:hAnsi="Garamond"/>
              <w:sz w:val="16"/>
              <w:szCs w:val="16"/>
            </w:rPr>
          </w:pPr>
        </w:p>
      </w:tc>
      <w:tc>
        <w:tcPr>
          <w:tcW w:w="6945" w:type="dxa"/>
          <w:shd w:val="clear" w:color="auto" w:fill="auto"/>
        </w:tcPr>
        <w:tbl>
          <w:tblPr>
            <w:tblStyle w:val="Tablaconcuadrcula"/>
            <w:tblW w:w="6237"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04"/>
            <w:gridCol w:w="3833"/>
          </w:tblGrid>
          <w:tr w:rsidR="009C3B3B" w14:paraId="5CB74832" w14:textId="77777777" w:rsidTr="00702180">
            <w:trPr>
              <w:trHeight w:val="141"/>
            </w:trPr>
            <w:tc>
              <w:tcPr>
                <w:tcW w:w="2404" w:type="dxa"/>
                <w:vAlign w:val="bottom"/>
              </w:tcPr>
              <w:p w14:paraId="38469831" w14:textId="77777777" w:rsidR="009C3B3B" w:rsidRPr="001B5FB6" w:rsidRDefault="009C3B3B" w:rsidP="002C59A0">
                <w:pPr>
                  <w:tabs>
                    <w:tab w:val="right" w:pos="8838"/>
                  </w:tabs>
                  <w:ind w:right="-105"/>
                  <w:rPr>
                    <w:rFonts w:eastAsia="Calibri" w:cs="Tahoma"/>
                    <w:b/>
                    <w:lang w:val="es-MX"/>
                  </w:rPr>
                </w:pPr>
                <w:r w:rsidRPr="001B5FB6">
                  <w:rPr>
                    <w:rFonts w:eastAsia="Calibri" w:cs="Tahoma"/>
                    <w:b/>
                    <w:lang w:val="es-MX"/>
                  </w:rPr>
                  <w:t>Recurso de Revisión:</w:t>
                </w:r>
              </w:p>
            </w:tc>
            <w:tc>
              <w:tcPr>
                <w:tcW w:w="3833" w:type="dxa"/>
              </w:tcPr>
              <w:p w14:paraId="0749605A" w14:textId="77777777" w:rsidR="009C3B3B" w:rsidRDefault="009C3B3B" w:rsidP="002C59A0">
                <w:pPr>
                  <w:tabs>
                    <w:tab w:val="right" w:pos="8838"/>
                  </w:tabs>
                  <w:ind w:left="-28" w:right="-107"/>
                  <w:rPr>
                    <w:rFonts w:eastAsia="Calibri" w:cs="Tahoma"/>
                    <w:lang w:val="es-MX"/>
                  </w:rPr>
                </w:pPr>
              </w:p>
              <w:p w14:paraId="25021A4A" w14:textId="46E1FEEF" w:rsidR="009C3B3B" w:rsidRPr="00C853D1" w:rsidRDefault="009C3B3B" w:rsidP="00BC52FA">
                <w:pPr>
                  <w:tabs>
                    <w:tab w:val="right" w:pos="8838"/>
                  </w:tabs>
                  <w:ind w:left="-28" w:right="-107"/>
                  <w:rPr>
                    <w:rFonts w:eastAsia="Calibri" w:cs="Tahoma"/>
                  </w:rPr>
                </w:pPr>
                <w:r>
                  <w:rPr>
                    <w:rFonts w:eastAsia="Calibri" w:cs="Tahoma"/>
                    <w:lang w:val="es-MX"/>
                  </w:rPr>
                  <w:t>03221</w:t>
                </w:r>
                <w:r w:rsidRPr="00702180">
                  <w:rPr>
                    <w:rFonts w:eastAsia="Calibri" w:cs="Tahoma"/>
                    <w:lang w:val="es-MX"/>
                  </w:rPr>
                  <w:t>/INFOEM/IP/RR/</w:t>
                </w:r>
                <w:r>
                  <w:rPr>
                    <w:rFonts w:eastAsia="Calibri" w:cs="Tahoma"/>
                    <w:lang w:val="es-MX"/>
                  </w:rPr>
                  <w:t>2025</w:t>
                </w:r>
              </w:p>
            </w:tc>
          </w:tr>
          <w:tr w:rsidR="009C3B3B" w14:paraId="65D6C982" w14:textId="77777777" w:rsidTr="00702180">
            <w:trPr>
              <w:trHeight w:val="141"/>
            </w:trPr>
            <w:tc>
              <w:tcPr>
                <w:tcW w:w="2404" w:type="dxa"/>
              </w:tcPr>
              <w:p w14:paraId="7E5992A8" w14:textId="77777777" w:rsidR="009C3B3B" w:rsidRPr="001B5FB6" w:rsidRDefault="009C3B3B" w:rsidP="002C59A0">
                <w:pPr>
                  <w:tabs>
                    <w:tab w:val="right" w:pos="8838"/>
                  </w:tabs>
                  <w:ind w:right="-105"/>
                  <w:rPr>
                    <w:rFonts w:eastAsia="Calibri" w:cs="Tahoma"/>
                    <w:b/>
                    <w:lang w:val="es-MX"/>
                  </w:rPr>
                </w:pPr>
                <w:r w:rsidRPr="001B5FB6">
                  <w:rPr>
                    <w:rFonts w:eastAsia="Calibri" w:cs="Tahoma"/>
                    <w:b/>
                    <w:lang w:val="es-MX"/>
                  </w:rPr>
                  <w:t>Recurrente:</w:t>
                </w:r>
              </w:p>
            </w:tc>
            <w:tc>
              <w:tcPr>
                <w:tcW w:w="3833" w:type="dxa"/>
              </w:tcPr>
              <w:p w14:paraId="4D5C37D5" w14:textId="2E8201E5" w:rsidR="009C3B3B" w:rsidRPr="00A24AAD" w:rsidRDefault="00A24AAD" w:rsidP="00A24AAD">
                <w:pPr>
                  <w:tabs>
                    <w:tab w:val="left" w:pos="3272"/>
                    <w:tab w:val="right" w:pos="8838"/>
                  </w:tabs>
                  <w:ind w:right="-107"/>
                  <w:rPr>
                    <w:rFonts w:eastAsia="Calibri" w:cs="Tahoma"/>
                    <w:highlight w:val="black"/>
                    <w:lang w:val="es-MX"/>
                  </w:rPr>
                </w:pPr>
                <w:r w:rsidRPr="00A24AAD">
                  <w:rPr>
                    <w:rFonts w:eastAsia="Calibri" w:cs="Tahoma"/>
                    <w:highlight w:val="black"/>
                    <w:lang w:val="es-MX"/>
                  </w:rPr>
                  <w:t>XXXXXX</w:t>
                </w:r>
                <w:r w:rsidR="009C3B3B" w:rsidRPr="00A24AAD">
                  <w:rPr>
                    <w:rFonts w:eastAsia="Calibri" w:cs="Tahoma"/>
                    <w:highlight w:val="black"/>
                    <w:lang w:val="es-MX"/>
                  </w:rPr>
                  <w:t xml:space="preserve"> </w:t>
                </w:r>
                <w:r w:rsidRPr="00A24AAD">
                  <w:rPr>
                    <w:rFonts w:eastAsia="Calibri" w:cs="Tahoma"/>
                    <w:highlight w:val="black"/>
                    <w:lang w:val="es-MX"/>
                  </w:rPr>
                  <w:t>XXXXXXX</w:t>
                </w:r>
                <w:r w:rsidR="009C3B3B" w:rsidRPr="00A24AAD">
                  <w:rPr>
                    <w:rFonts w:eastAsia="Calibri" w:cs="Tahoma"/>
                    <w:highlight w:val="black"/>
                    <w:lang w:val="es-MX"/>
                  </w:rPr>
                  <w:t xml:space="preserve"> </w:t>
                </w:r>
                <w:r w:rsidRPr="00A24AAD">
                  <w:rPr>
                    <w:rFonts w:eastAsia="Calibri" w:cs="Tahoma"/>
                    <w:highlight w:val="black"/>
                    <w:lang w:val="es-MX"/>
                  </w:rPr>
                  <w:t>XXXXXX</w:t>
                </w:r>
              </w:p>
            </w:tc>
          </w:tr>
          <w:tr w:rsidR="009C3B3B" w14:paraId="40A995EA" w14:textId="77777777" w:rsidTr="00702180">
            <w:trPr>
              <w:trHeight w:val="276"/>
            </w:trPr>
            <w:tc>
              <w:tcPr>
                <w:tcW w:w="2404" w:type="dxa"/>
              </w:tcPr>
              <w:p w14:paraId="7BFD65FA" w14:textId="77777777" w:rsidR="009C3B3B" w:rsidRPr="001B5FB6" w:rsidRDefault="009C3B3B" w:rsidP="002C59A0">
                <w:pPr>
                  <w:tabs>
                    <w:tab w:val="right" w:pos="8838"/>
                  </w:tabs>
                  <w:ind w:right="-105"/>
                  <w:rPr>
                    <w:rFonts w:eastAsia="Calibri" w:cs="Tahoma"/>
                    <w:b/>
                    <w:lang w:val="es-MX"/>
                  </w:rPr>
                </w:pPr>
                <w:r w:rsidRPr="001B5FB6">
                  <w:rPr>
                    <w:rFonts w:eastAsia="Calibri" w:cs="Tahoma"/>
                    <w:b/>
                    <w:lang w:val="es-MX"/>
                  </w:rPr>
                  <w:t>Sujeto Obligado:</w:t>
                </w:r>
              </w:p>
            </w:tc>
            <w:tc>
              <w:tcPr>
                <w:tcW w:w="3833" w:type="dxa"/>
              </w:tcPr>
              <w:p w14:paraId="433E1B49" w14:textId="4460EF41" w:rsidR="009C3B3B" w:rsidRPr="00C853D1" w:rsidRDefault="009C3B3B" w:rsidP="006A126F">
                <w:pPr>
                  <w:tabs>
                    <w:tab w:val="right" w:pos="8838"/>
                  </w:tabs>
                  <w:ind w:right="-107"/>
                  <w:rPr>
                    <w:rFonts w:eastAsia="Calibri" w:cs="Tahoma"/>
                    <w:lang w:val="es-MX"/>
                  </w:rPr>
                </w:pPr>
                <w:r w:rsidRPr="00702180">
                  <w:rPr>
                    <w:rFonts w:eastAsia="Calibri" w:cs="Tahoma"/>
                    <w:lang w:val="es-MX"/>
                  </w:rPr>
                  <w:t xml:space="preserve">Ayuntamiento de </w:t>
                </w:r>
                <w:r>
                  <w:rPr>
                    <w:rFonts w:eastAsia="Calibri" w:cs="Tahoma"/>
                    <w:lang w:val="es-MX"/>
                  </w:rPr>
                  <w:t>Coacalco de Berriozábal</w:t>
                </w:r>
              </w:p>
            </w:tc>
          </w:tr>
          <w:tr w:rsidR="009C3B3B" w14:paraId="386AB112" w14:textId="77777777" w:rsidTr="00702180">
            <w:trPr>
              <w:trHeight w:val="276"/>
            </w:trPr>
            <w:tc>
              <w:tcPr>
                <w:tcW w:w="2404" w:type="dxa"/>
              </w:tcPr>
              <w:p w14:paraId="44E8F60B" w14:textId="77777777" w:rsidR="009C3B3B" w:rsidRPr="001B5FB6" w:rsidRDefault="009C3B3B" w:rsidP="002C59A0">
                <w:pPr>
                  <w:tabs>
                    <w:tab w:val="right" w:pos="8838"/>
                  </w:tabs>
                  <w:ind w:right="-105"/>
                  <w:rPr>
                    <w:rFonts w:eastAsia="Calibri" w:cs="Tahoma"/>
                    <w:b/>
                    <w:lang w:val="es-MX"/>
                  </w:rPr>
                </w:pPr>
                <w:r w:rsidRPr="001B5FB6">
                  <w:rPr>
                    <w:rFonts w:eastAsia="Calibri" w:cs="Tahoma"/>
                    <w:b/>
                    <w:lang w:val="es-MX"/>
                  </w:rPr>
                  <w:t>Comisionado Ponente:</w:t>
                </w:r>
              </w:p>
            </w:tc>
            <w:tc>
              <w:tcPr>
                <w:tcW w:w="3833" w:type="dxa"/>
              </w:tcPr>
              <w:p w14:paraId="3833DB23" w14:textId="77777777" w:rsidR="009C3B3B" w:rsidRPr="00A8173F" w:rsidRDefault="009C3B3B" w:rsidP="002C59A0">
                <w:pPr>
                  <w:tabs>
                    <w:tab w:val="right" w:pos="8838"/>
                  </w:tabs>
                  <w:ind w:right="-107"/>
                  <w:rPr>
                    <w:rFonts w:eastAsia="Calibri" w:cs="Tahoma"/>
                    <w:lang w:val="es-MX"/>
                  </w:rPr>
                </w:pPr>
                <w:r w:rsidRPr="00A8173F">
                  <w:rPr>
                    <w:rFonts w:eastAsia="Calibri" w:cs="Tahoma"/>
                    <w:lang w:val="es-MX"/>
                  </w:rPr>
                  <w:t>Luis Gustavo Parra Noriega</w:t>
                </w:r>
              </w:p>
            </w:tc>
          </w:tr>
        </w:tbl>
        <w:p w14:paraId="7017D3D5" w14:textId="77777777" w:rsidR="009C3B3B" w:rsidRPr="005C106F" w:rsidRDefault="009C3B3B" w:rsidP="002C59A0">
          <w:pPr>
            <w:tabs>
              <w:tab w:val="right" w:pos="8838"/>
            </w:tabs>
            <w:ind w:left="-28"/>
            <w:rPr>
              <w:rFonts w:ascii="Arial" w:eastAsia="Calibri" w:hAnsi="Arial" w:cs="Arial"/>
              <w:b/>
            </w:rPr>
          </w:pPr>
        </w:p>
      </w:tc>
    </w:tr>
  </w:tbl>
  <w:p w14:paraId="280F3B20" w14:textId="77777777" w:rsidR="009C3B3B" w:rsidRDefault="001D527A">
    <w:pPr>
      <w:pStyle w:val="Encabezado"/>
    </w:pPr>
    <w:r>
      <w:rPr>
        <w:noProof/>
      </w:rPr>
      <w:pict w14:anchorId="3F987C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2024031" o:spid="_x0000_s2049" type="#_x0000_t75" alt="MARCA DE AGUA - HOJA RESOLUCIÓN" style="position:absolute;left:0;text-align:left;margin-left:-97.1pt;margin-top:-127.6pt;width:663.5pt;height:12in;z-index:-25165823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B562E"/>
    <w:multiLevelType w:val="hybridMultilevel"/>
    <w:tmpl w:val="D2AEF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DC02BD"/>
    <w:multiLevelType w:val="hybridMultilevel"/>
    <w:tmpl w:val="E82A3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1824A1"/>
    <w:multiLevelType w:val="hybridMultilevel"/>
    <w:tmpl w:val="CAB86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B7C2679"/>
    <w:multiLevelType w:val="hybridMultilevel"/>
    <w:tmpl w:val="C8C48654"/>
    <w:lvl w:ilvl="0" w:tplc="6F6ABC3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66923FFB"/>
    <w:multiLevelType w:val="hybridMultilevel"/>
    <w:tmpl w:val="FD961E7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46E5E8E"/>
    <w:multiLevelType w:val="multilevel"/>
    <w:tmpl w:val="7E0275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7F024B27"/>
    <w:multiLevelType w:val="hybridMultilevel"/>
    <w:tmpl w:val="A6E662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F9A015B"/>
    <w:multiLevelType w:val="hybridMultilevel"/>
    <w:tmpl w:val="67546AB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8"/>
  </w:num>
  <w:num w:numId="6">
    <w:abstractNumId w:val="2"/>
  </w:num>
  <w:num w:numId="7">
    <w:abstractNumId w:val="1"/>
  </w:num>
  <w:num w:numId="8">
    <w:abstractNumId w:val="7"/>
  </w:num>
  <w:num w:numId="9">
    <w:abstractNumId w:val="4"/>
  </w:num>
  <w:num w:numId="1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D1"/>
    <w:rsid w:val="00001F87"/>
    <w:rsid w:val="00002CDE"/>
    <w:rsid w:val="00002E53"/>
    <w:rsid w:val="000039BC"/>
    <w:rsid w:val="000051F1"/>
    <w:rsid w:val="000059A8"/>
    <w:rsid w:val="00005E7C"/>
    <w:rsid w:val="00005FCD"/>
    <w:rsid w:val="00007008"/>
    <w:rsid w:val="00007AD0"/>
    <w:rsid w:val="00007EB8"/>
    <w:rsid w:val="0001499A"/>
    <w:rsid w:val="00017A8F"/>
    <w:rsid w:val="00017D8C"/>
    <w:rsid w:val="000223B0"/>
    <w:rsid w:val="00025461"/>
    <w:rsid w:val="00027F27"/>
    <w:rsid w:val="00027FA3"/>
    <w:rsid w:val="00030561"/>
    <w:rsid w:val="0003131B"/>
    <w:rsid w:val="00032D0A"/>
    <w:rsid w:val="000332D6"/>
    <w:rsid w:val="000403C2"/>
    <w:rsid w:val="0004662C"/>
    <w:rsid w:val="000477C6"/>
    <w:rsid w:val="00050169"/>
    <w:rsid w:val="000519B8"/>
    <w:rsid w:val="00052A57"/>
    <w:rsid w:val="00053A6B"/>
    <w:rsid w:val="00054A18"/>
    <w:rsid w:val="000567BD"/>
    <w:rsid w:val="000614FE"/>
    <w:rsid w:val="00061A69"/>
    <w:rsid w:val="00061FDD"/>
    <w:rsid w:val="000624D0"/>
    <w:rsid w:val="00062AAC"/>
    <w:rsid w:val="00062C8B"/>
    <w:rsid w:val="00063A0B"/>
    <w:rsid w:val="00065090"/>
    <w:rsid w:val="0006549E"/>
    <w:rsid w:val="00065B42"/>
    <w:rsid w:val="000705A9"/>
    <w:rsid w:val="00081145"/>
    <w:rsid w:val="00082334"/>
    <w:rsid w:val="00084A29"/>
    <w:rsid w:val="000850D9"/>
    <w:rsid w:val="00085525"/>
    <w:rsid w:val="0009103C"/>
    <w:rsid w:val="00093914"/>
    <w:rsid w:val="000939CD"/>
    <w:rsid w:val="00096694"/>
    <w:rsid w:val="000A17F3"/>
    <w:rsid w:val="000A18E3"/>
    <w:rsid w:val="000A2588"/>
    <w:rsid w:val="000A259F"/>
    <w:rsid w:val="000A2A5D"/>
    <w:rsid w:val="000A352E"/>
    <w:rsid w:val="000A443E"/>
    <w:rsid w:val="000A61A2"/>
    <w:rsid w:val="000A62FA"/>
    <w:rsid w:val="000A6926"/>
    <w:rsid w:val="000A6BB0"/>
    <w:rsid w:val="000A7187"/>
    <w:rsid w:val="000A785D"/>
    <w:rsid w:val="000A7E05"/>
    <w:rsid w:val="000B0EAF"/>
    <w:rsid w:val="000B350E"/>
    <w:rsid w:val="000B7029"/>
    <w:rsid w:val="000B7F11"/>
    <w:rsid w:val="000C0123"/>
    <w:rsid w:val="000C715C"/>
    <w:rsid w:val="000D1A72"/>
    <w:rsid w:val="000D2522"/>
    <w:rsid w:val="000D45D9"/>
    <w:rsid w:val="000D59F5"/>
    <w:rsid w:val="000D69EB"/>
    <w:rsid w:val="000D6E68"/>
    <w:rsid w:val="000D73F7"/>
    <w:rsid w:val="000E25B2"/>
    <w:rsid w:val="000E28E6"/>
    <w:rsid w:val="000E4E10"/>
    <w:rsid w:val="000E7F83"/>
    <w:rsid w:val="000F05A6"/>
    <w:rsid w:val="000F0D92"/>
    <w:rsid w:val="000F2A9A"/>
    <w:rsid w:val="000F2F61"/>
    <w:rsid w:val="000F3403"/>
    <w:rsid w:val="000F45A1"/>
    <w:rsid w:val="001004CE"/>
    <w:rsid w:val="00100EB3"/>
    <w:rsid w:val="0010232F"/>
    <w:rsid w:val="0010413E"/>
    <w:rsid w:val="001059E3"/>
    <w:rsid w:val="00105EF9"/>
    <w:rsid w:val="00107995"/>
    <w:rsid w:val="0011000C"/>
    <w:rsid w:val="001105F1"/>
    <w:rsid w:val="00114329"/>
    <w:rsid w:val="00115309"/>
    <w:rsid w:val="00116E36"/>
    <w:rsid w:val="001202DE"/>
    <w:rsid w:val="00120881"/>
    <w:rsid w:val="0012662A"/>
    <w:rsid w:val="00127836"/>
    <w:rsid w:val="00127FD5"/>
    <w:rsid w:val="001302E7"/>
    <w:rsid w:val="00130842"/>
    <w:rsid w:val="00133D89"/>
    <w:rsid w:val="001344F9"/>
    <w:rsid w:val="00134C39"/>
    <w:rsid w:val="00142455"/>
    <w:rsid w:val="00144332"/>
    <w:rsid w:val="00146731"/>
    <w:rsid w:val="00157731"/>
    <w:rsid w:val="001601CC"/>
    <w:rsid w:val="00161E74"/>
    <w:rsid w:val="00164599"/>
    <w:rsid w:val="0016487D"/>
    <w:rsid w:val="00165E88"/>
    <w:rsid w:val="001672DE"/>
    <w:rsid w:val="001674D7"/>
    <w:rsid w:val="001675D9"/>
    <w:rsid w:val="00171F4B"/>
    <w:rsid w:val="0017427D"/>
    <w:rsid w:val="00174F57"/>
    <w:rsid w:val="00175405"/>
    <w:rsid w:val="00175572"/>
    <w:rsid w:val="001775A4"/>
    <w:rsid w:val="00180003"/>
    <w:rsid w:val="00184349"/>
    <w:rsid w:val="00184D7C"/>
    <w:rsid w:val="001900B4"/>
    <w:rsid w:val="00190EBA"/>
    <w:rsid w:val="001935D3"/>
    <w:rsid w:val="00194DD1"/>
    <w:rsid w:val="0019678D"/>
    <w:rsid w:val="001972F5"/>
    <w:rsid w:val="001A4813"/>
    <w:rsid w:val="001A641F"/>
    <w:rsid w:val="001B0166"/>
    <w:rsid w:val="001B3B40"/>
    <w:rsid w:val="001B77BD"/>
    <w:rsid w:val="001B7FC4"/>
    <w:rsid w:val="001C1007"/>
    <w:rsid w:val="001C1FDF"/>
    <w:rsid w:val="001C207F"/>
    <w:rsid w:val="001C241D"/>
    <w:rsid w:val="001C3C7E"/>
    <w:rsid w:val="001C3D02"/>
    <w:rsid w:val="001C551A"/>
    <w:rsid w:val="001C614D"/>
    <w:rsid w:val="001C6764"/>
    <w:rsid w:val="001D02DD"/>
    <w:rsid w:val="001D37BB"/>
    <w:rsid w:val="001D382D"/>
    <w:rsid w:val="001D527A"/>
    <w:rsid w:val="001E1814"/>
    <w:rsid w:val="001E386E"/>
    <w:rsid w:val="001E60E5"/>
    <w:rsid w:val="001E6D1F"/>
    <w:rsid w:val="001E71C7"/>
    <w:rsid w:val="001E7300"/>
    <w:rsid w:val="001F12A8"/>
    <w:rsid w:val="001F162F"/>
    <w:rsid w:val="001F2D90"/>
    <w:rsid w:val="001F50EB"/>
    <w:rsid w:val="001F7C51"/>
    <w:rsid w:val="00202760"/>
    <w:rsid w:val="0020389C"/>
    <w:rsid w:val="00204AF1"/>
    <w:rsid w:val="00204FC4"/>
    <w:rsid w:val="0020771C"/>
    <w:rsid w:val="002111A8"/>
    <w:rsid w:val="00213776"/>
    <w:rsid w:val="00213B19"/>
    <w:rsid w:val="0021520E"/>
    <w:rsid w:val="00216FF4"/>
    <w:rsid w:val="002175B4"/>
    <w:rsid w:val="00220583"/>
    <w:rsid w:val="0022261D"/>
    <w:rsid w:val="002266FD"/>
    <w:rsid w:val="0023232F"/>
    <w:rsid w:val="00235BA0"/>
    <w:rsid w:val="002402DE"/>
    <w:rsid w:val="002419E9"/>
    <w:rsid w:val="00242082"/>
    <w:rsid w:val="0024313A"/>
    <w:rsid w:val="00246B2F"/>
    <w:rsid w:val="0024712D"/>
    <w:rsid w:val="0024748E"/>
    <w:rsid w:val="002501D2"/>
    <w:rsid w:val="00251A4C"/>
    <w:rsid w:val="00252EF3"/>
    <w:rsid w:val="0025433F"/>
    <w:rsid w:val="00254436"/>
    <w:rsid w:val="002557A7"/>
    <w:rsid w:val="002565C9"/>
    <w:rsid w:val="00257F3B"/>
    <w:rsid w:val="00260AAA"/>
    <w:rsid w:val="00261807"/>
    <w:rsid w:val="00261BED"/>
    <w:rsid w:val="00261F65"/>
    <w:rsid w:val="002634E5"/>
    <w:rsid w:val="002718A0"/>
    <w:rsid w:val="00271D9C"/>
    <w:rsid w:val="00272886"/>
    <w:rsid w:val="00272A50"/>
    <w:rsid w:val="00273E3B"/>
    <w:rsid w:val="0027410D"/>
    <w:rsid w:val="00276ACA"/>
    <w:rsid w:val="00276F3B"/>
    <w:rsid w:val="0028305A"/>
    <w:rsid w:val="00284B0E"/>
    <w:rsid w:val="00290B9E"/>
    <w:rsid w:val="00291347"/>
    <w:rsid w:val="00296E2A"/>
    <w:rsid w:val="002A078A"/>
    <w:rsid w:val="002A233D"/>
    <w:rsid w:val="002A5C31"/>
    <w:rsid w:val="002B3565"/>
    <w:rsid w:val="002B3FDA"/>
    <w:rsid w:val="002B54AE"/>
    <w:rsid w:val="002B68DF"/>
    <w:rsid w:val="002B7626"/>
    <w:rsid w:val="002C1472"/>
    <w:rsid w:val="002C514D"/>
    <w:rsid w:val="002C59A0"/>
    <w:rsid w:val="002C5AFB"/>
    <w:rsid w:val="002C6390"/>
    <w:rsid w:val="002C7309"/>
    <w:rsid w:val="002D0FC9"/>
    <w:rsid w:val="002D10AD"/>
    <w:rsid w:val="002D138E"/>
    <w:rsid w:val="002D241A"/>
    <w:rsid w:val="002D2E5D"/>
    <w:rsid w:val="002D6434"/>
    <w:rsid w:val="002D6EEA"/>
    <w:rsid w:val="002D759F"/>
    <w:rsid w:val="002E0552"/>
    <w:rsid w:val="002E05D6"/>
    <w:rsid w:val="002E25E7"/>
    <w:rsid w:val="002E333F"/>
    <w:rsid w:val="002E33E8"/>
    <w:rsid w:val="002E5CED"/>
    <w:rsid w:val="002F3F35"/>
    <w:rsid w:val="002F68E2"/>
    <w:rsid w:val="00300286"/>
    <w:rsid w:val="0030168D"/>
    <w:rsid w:val="00302A3E"/>
    <w:rsid w:val="003045B8"/>
    <w:rsid w:val="00305529"/>
    <w:rsid w:val="003100D3"/>
    <w:rsid w:val="00311288"/>
    <w:rsid w:val="003114A1"/>
    <w:rsid w:val="00311811"/>
    <w:rsid w:val="00315103"/>
    <w:rsid w:val="003160D6"/>
    <w:rsid w:val="00316C63"/>
    <w:rsid w:val="00320671"/>
    <w:rsid w:val="0032085C"/>
    <w:rsid w:val="003208B9"/>
    <w:rsid w:val="00320B93"/>
    <w:rsid w:val="003227C7"/>
    <w:rsid w:val="003265A2"/>
    <w:rsid w:val="00334B20"/>
    <w:rsid w:val="00335981"/>
    <w:rsid w:val="00336980"/>
    <w:rsid w:val="0034462A"/>
    <w:rsid w:val="00345528"/>
    <w:rsid w:val="00350D55"/>
    <w:rsid w:val="003523BD"/>
    <w:rsid w:val="003537E3"/>
    <w:rsid w:val="003547CF"/>
    <w:rsid w:val="00355553"/>
    <w:rsid w:val="003573DF"/>
    <w:rsid w:val="00360690"/>
    <w:rsid w:val="00362DE2"/>
    <w:rsid w:val="00363046"/>
    <w:rsid w:val="0036370E"/>
    <w:rsid w:val="003647F7"/>
    <w:rsid w:val="00365075"/>
    <w:rsid w:val="003702B8"/>
    <w:rsid w:val="00370D99"/>
    <w:rsid w:val="0037194C"/>
    <w:rsid w:val="00371DAE"/>
    <w:rsid w:val="00372BAB"/>
    <w:rsid w:val="00376559"/>
    <w:rsid w:val="00380368"/>
    <w:rsid w:val="0038061E"/>
    <w:rsid w:val="00381E74"/>
    <w:rsid w:val="00381FDE"/>
    <w:rsid w:val="00382850"/>
    <w:rsid w:val="00383C11"/>
    <w:rsid w:val="00384A4A"/>
    <w:rsid w:val="00386237"/>
    <w:rsid w:val="0038632C"/>
    <w:rsid w:val="0038779D"/>
    <w:rsid w:val="00390733"/>
    <w:rsid w:val="003936D2"/>
    <w:rsid w:val="003955C4"/>
    <w:rsid w:val="00395C10"/>
    <w:rsid w:val="003975AD"/>
    <w:rsid w:val="00397660"/>
    <w:rsid w:val="003A1962"/>
    <w:rsid w:val="003A1B84"/>
    <w:rsid w:val="003A4895"/>
    <w:rsid w:val="003A7D5C"/>
    <w:rsid w:val="003B0BA2"/>
    <w:rsid w:val="003B46DC"/>
    <w:rsid w:val="003B744E"/>
    <w:rsid w:val="003C238D"/>
    <w:rsid w:val="003C2ED7"/>
    <w:rsid w:val="003C3862"/>
    <w:rsid w:val="003C3885"/>
    <w:rsid w:val="003C470A"/>
    <w:rsid w:val="003C5B59"/>
    <w:rsid w:val="003C7029"/>
    <w:rsid w:val="003D0451"/>
    <w:rsid w:val="003D0D3A"/>
    <w:rsid w:val="003D15D4"/>
    <w:rsid w:val="003D3018"/>
    <w:rsid w:val="003D30B4"/>
    <w:rsid w:val="003D316C"/>
    <w:rsid w:val="003D3467"/>
    <w:rsid w:val="003D4A58"/>
    <w:rsid w:val="003D5226"/>
    <w:rsid w:val="003D705B"/>
    <w:rsid w:val="003D7ED4"/>
    <w:rsid w:val="003E0631"/>
    <w:rsid w:val="003E22A8"/>
    <w:rsid w:val="003E283D"/>
    <w:rsid w:val="003E2FB0"/>
    <w:rsid w:val="003E4BB4"/>
    <w:rsid w:val="003E6425"/>
    <w:rsid w:val="003E7060"/>
    <w:rsid w:val="003F0CE1"/>
    <w:rsid w:val="003F0E14"/>
    <w:rsid w:val="003F0F63"/>
    <w:rsid w:val="003F2010"/>
    <w:rsid w:val="003F4450"/>
    <w:rsid w:val="003F523C"/>
    <w:rsid w:val="003F774C"/>
    <w:rsid w:val="004010D6"/>
    <w:rsid w:val="004059D0"/>
    <w:rsid w:val="00405B57"/>
    <w:rsid w:val="00406C6D"/>
    <w:rsid w:val="004122A9"/>
    <w:rsid w:val="00413B5A"/>
    <w:rsid w:val="00413F33"/>
    <w:rsid w:val="00414ACB"/>
    <w:rsid w:val="00415A15"/>
    <w:rsid w:val="00415A25"/>
    <w:rsid w:val="00416C15"/>
    <w:rsid w:val="00417EED"/>
    <w:rsid w:val="0042422A"/>
    <w:rsid w:val="00425CB1"/>
    <w:rsid w:val="00425D06"/>
    <w:rsid w:val="00430B0D"/>
    <w:rsid w:val="00430DF1"/>
    <w:rsid w:val="00433CAA"/>
    <w:rsid w:val="00433FD2"/>
    <w:rsid w:val="00437F4A"/>
    <w:rsid w:val="004417E2"/>
    <w:rsid w:val="004421EC"/>
    <w:rsid w:val="00442C3B"/>
    <w:rsid w:val="00445A6F"/>
    <w:rsid w:val="00450E6E"/>
    <w:rsid w:val="004519BF"/>
    <w:rsid w:val="00452038"/>
    <w:rsid w:val="004542DC"/>
    <w:rsid w:val="0045448F"/>
    <w:rsid w:val="004548CD"/>
    <w:rsid w:val="00454FD6"/>
    <w:rsid w:val="00455374"/>
    <w:rsid w:val="0045726D"/>
    <w:rsid w:val="00457629"/>
    <w:rsid w:val="0046049F"/>
    <w:rsid w:val="00460EAD"/>
    <w:rsid w:val="00460F56"/>
    <w:rsid w:val="00462A63"/>
    <w:rsid w:val="004633F1"/>
    <w:rsid w:val="00463A70"/>
    <w:rsid w:val="00464242"/>
    <w:rsid w:val="00465EC8"/>
    <w:rsid w:val="004673C4"/>
    <w:rsid w:val="00467751"/>
    <w:rsid w:val="00470A7A"/>
    <w:rsid w:val="00470AF6"/>
    <w:rsid w:val="00471A6E"/>
    <w:rsid w:val="00472F9D"/>
    <w:rsid w:val="00473242"/>
    <w:rsid w:val="00474538"/>
    <w:rsid w:val="00474E4C"/>
    <w:rsid w:val="00476ED1"/>
    <w:rsid w:val="00480527"/>
    <w:rsid w:val="004829B9"/>
    <w:rsid w:val="004839B5"/>
    <w:rsid w:val="00483CD1"/>
    <w:rsid w:val="004856D5"/>
    <w:rsid w:val="00485786"/>
    <w:rsid w:val="00485CFA"/>
    <w:rsid w:val="0048648B"/>
    <w:rsid w:val="0048697B"/>
    <w:rsid w:val="00487748"/>
    <w:rsid w:val="00487B38"/>
    <w:rsid w:val="00490550"/>
    <w:rsid w:val="0049061B"/>
    <w:rsid w:val="00491C3E"/>
    <w:rsid w:val="00494387"/>
    <w:rsid w:val="004949AC"/>
    <w:rsid w:val="00496426"/>
    <w:rsid w:val="00496531"/>
    <w:rsid w:val="00496A36"/>
    <w:rsid w:val="004A1C0A"/>
    <w:rsid w:val="004A1E88"/>
    <w:rsid w:val="004A27DB"/>
    <w:rsid w:val="004A2DCA"/>
    <w:rsid w:val="004A33F1"/>
    <w:rsid w:val="004A528D"/>
    <w:rsid w:val="004B15BE"/>
    <w:rsid w:val="004B35F4"/>
    <w:rsid w:val="004B38FC"/>
    <w:rsid w:val="004B720F"/>
    <w:rsid w:val="004B726A"/>
    <w:rsid w:val="004C1B53"/>
    <w:rsid w:val="004C34C6"/>
    <w:rsid w:val="004C3C1A"/>
    <w:rsid w:val="004C4CFB"/>
    <w:rsid w:val="004D15B6"/>
    <w:rsid w:val="004D2468"/>
    <w:rsid w:val="004D4220"/>
    <w:rsid w:val="004D4C9B"/>
    <w:rsid w:val="004D5266"/>
    <w:rsid w:val="004D66A3"/>
    <w:rsid w:val="004D6DDD"/>
    <w:rsid w:val="004E0237"/>
    <w:rsid w:val="004E1BF6"/>
    <w:rsid w:val="004E2875"/>
    <w:rsid w:val="004E3B3E"/>
    <w:rsid w:val="004E5602"/>
    <w:rsid w:val="004E617D"/>
    <w:rsid w:val="004E6D06"/>
    <w:rsid w:val="004F3096"/>
    <w:rsid w:val="004F4445"/>
    <w:rsid w:val="004F56E1"/>
    <w:rsid w:val="004F6003"/>
    <w:rsid w:val="004F662C"/>
    <w:rsid w:val="004F736C"/>
    <w:rsid w:val="004F7666"/>
    <w:rsid w:val="004F7F90"/>
    <w:rsid w:val="005020B6"/>
    <w:rsid w:val="00503BFA"/>
    <w:rsid w:val="0050427F"/>
    <w:rsid w:val="00504E02"/>
    <w:rsid w:val="00506EFE"/>
    <w:rsid w:val="00506F24"/>
    <w:rsid w:val="00507733"/>
    <w:rsid w:val="00510CFB"/>
    <w:rsid w:val="00513F33"/>
    <w:rsid w:val="00515CA2"/>
    <w:rsid w:val="00516A21"/>
    <w:rsid w:val="00517B06"/>
    <w:rsid w:val="00520182"/>
    <w:rsid w:val="00522F3F"/>
    <w:rsid w:val="005230CF"/>
    <w:rsid w:val="00523E88"/>
    <w:rsid w:val="00524D81"/>
    <w:rsid w:val="005277CB"/>
    <w:rsid w:val="00527BC2"/>
    <w:rsid w:val="00532C46"/>
    <w:rsid w:val="00533ABF"/>
    <w:rsid w:val="00533C3F"/>
    <w:rsid w:val="00534853"/>
    <w:rsid w:val="00534932"/>
    <w:rsid w:val="005355AD"/>
    <w:rsid w:val="00537072"/>
    <w:rsid w:val="0054028E"/>
    <w:rsid w:val="00540994"/>
    <w:rsid w:val="005420CA"/>
    <w:rsid w:val="005455A6"/>
    <w:rsid w:val="00547EF1"/>
    <w:rsid w:val="00550CA8"/>
    <w:rsid w:val="00550D10"/>
    <w:rsid w:val="00551230"/>
    <w:rsid w:val="00565848"/>
    <w:rsid w:val="00567A59"/>
    <w:rsid w:val="005706CC"/>
    <w:rsid w:val="00571737"/>
    <w:rsid w:val="00571EB6"/>
    <w:rsid w:val="00572AAD"/>
    <w:rsid w:val="005747FF"/>
    <w:rsid w:val="00580853"/>
    <w:rsid w:val="00581915"/>
    <w:rsid w:val="00583138"/>
    <w:rsid w:val="005836C9"/>
    <w:rsid w:val="005861E7"/>
    <w:rsid w:val="00587FE6"/>
    <w:rsid w:val="00593E62"/>
    <w:rsid w:val="0059523B"/>
    <w:rsid w:val="005957E2"/>
    <w:rsid w:val="00595C69"/>
    <w:rsid w:val="00596883"/>
    <w:rsid w:val="005A0BBF"/>
    <w:rsid w:val="005A1A69"/>
    <w:rsid w:val="005A3C89"/>
    <w:rsid w:val="005A5845"/>
    <w:rsid w:val="005B1631"/>
    <w:rsid w:val="005B5271"/>
    <w:rsid w:val="005B67F4"/>
    <w:rsid w:val="005C40CA"/>
    <w:rsid w:val="005C577D"/>
    <w:rsid w:val="005C5CBF"/>
    <w:rsid w:val="005C6308"/>
    <w:rsid w:val="005C6804"/>
    <w:rsid w:val="005C7219"/>
    <w:rsid w:val="005D2ABF"/>
    <w:rsid w:val="005D2E05"/>
    <w:rsid w:val="005D3368"/>
    <w:rsid w:val="005D388A"/>
    <w:rsid w:val="005D5F5F"/>
    <w:rsid w:val="005D7419"/>
    <w:rsid w:val="005E0A33"/>
    <w:rsid w:val="005E1588"/>
    <w:rsid w:val="005E26B4"/>
    <w:rsid w:val="005E38CA"/>
    <w:rsid w:val="005E3C14"/>
    <w:rsid w:val="005E4483"/>
    <w:rsid w:val="005E5646"/>
    <w:rsid w:val="005F0AA5"/>
    <w:rsid w:val="005F0F77"/>
    <w:rsid w:val="005F251F"/>
    <w:rsid w:val="005F2BAD"/>
    <w:rsid w:val="005F4E56"/>
    <w:rsid w:val="00601202"/>
    <w:rsid w:val="006026B5"/>
    <w:rsid w:val="006029D7"/>
    <w:rsid w:val="00604FB9"/>
    <w:rsid w:val="00606229"/>
    <w:rsid w:val="00607213"/>
    <w:rsid w:val="00607F00"/>
    <w:rsid w:val="006104AD"/>
    <w:rsid w:val="00610CFE"/>
    <w:rsid w:val="00612FE2"/>
    <w:rsid w:val="006134B9"/>
    <w:rsid w:val="0061403D"/>
    <w:rsid w:val="00614CDB"/>
    <w:rsid w:val="00616DD3"/>
    <w:rsid w:val="0062016F"/>
    <w:rsid w:val="00621E91"/>
    <w:rsid w:val="0062540C"/>
    <w:rsid w:val="00625925"/>
    <w:rsid w:val="00631373"/>
    <w:rsid w:val="00631FD1"/>
    <w:rsid w:val="00631FED"/>
    <w:rsid w:val="0063438C"/>
    <w:rsid w:val="00635177"/>
    <w:rsid w:val="0063599F"/>
    <w:rsid w:val="006441E1"/>
    <w:rsid w:val="00644811"/>
    <w:rsid w:val="00644838"/>
    <w:rsid w:val="00644CE6"/>
    <w:rsid w:val="006473A8"/>
    <w:rsid w:val="006507ED"/>
    <w:rsid w:val="00650EB5"/>
    <w:rsid w:val="006510F8"/>
    <w:rsid w:val="00653E62"/>
    <w:rsid w:val="006565CC"/>
    <w:rsid w:val="00660363"/>
    <w:rsid w:val="00660E60"/>
    <w:rsid w:val="006631C9"/>
    <w:rsid w:val="006642B4"/>
    <w:rsid w:val="006703A5"/>
    <w:rsid w:val="006733E5"/>
    <w:rsid w:val="00675D6B"/>
    <w:rsid w:val="006762D7"/>
    <w:rsid w:val="00676911"/>
    <w:rsid w:val="00682222"/>
    <w:rsid w:val="00687641"/>
    <w:rsid w:val="00687F9C"/>
    <w:rsid w:val="006901C3"/>
    <w:rsid w:val="0069249E"/>
    <w:rsid w:val="00695E03"/>
    <w:rsid w:val="006A0724"/>
    <w:rsid w:val="006A0781"/>
    <w:rsid w:val="006A0B45"/>
    <w:rsid w:val="006A126F"/>
    <w:rsid w:val="006A1691"/>
    <w:rsid w:val="006A4247"/>
    <w:rsid w:val="006A4E8D"/>
    <w:rsid w:val="006A60B0"/>
    <w:rsid w:val="006B06CA"/>
    <w:rsid w:val="006B3E5F"/>
    <w:rsid w:val="006B5B3E"/>
    <w:rsid w:val="006C03ED"/>
    <w:rsid w:val="006D1782"/>
    <w:rsid w:val="006D30DB"/>
    <w:rsid w:val="006D325C"/>
    <w:rsid w:val="006D4AB9"/>
    <w:rsid w:val="006D5D87"/>
    <w:rsid w:val="006D6F5A"/>
    <w:rsid w:val="006E035D"/>
    <w:rsid w:val="006E0643"/>
    <w:rsid w:val="006E1A0E"/>
    <w:rsid w:val="006E2CA9"/>
    <w:rsid w:val="006E353E"/>
    <w:rsid w:val="006E5273"/>
    <w:rsid w:val="006F0508"/>
    <w:rsid w:val="006F1392"/>
    <w:rsid w:val="006F16DF"/>
    <w:rsid w:val="006F3217"/>
    <w:rsid w:val="006F4D7D"/>
    <w:rsid w:val="006F6104"/>
    <w:rsid w:val="00702180"/>
    <w:rsid w:val="00706604"/>
    <w:rsid w:val="0072101E"/>
    <w:rsid w:val="00721566"/>
    <w:rsid w:val="00722C8D"/>
    <w:rsid w:val="00723848"/>
    <w:rsid w:val="00723CF2"/>
    <w:rsid w:val="007241C0"/>
    <w:rsid w:val="00724A49"/>
    <w:rsid w:val="007268C8"/>
    <w:rsid w:val="007268F6"/>
    <w:rsid w:val="00726A94"/>
    <w:rsid w:val="007273DA"/>
    <w:rsid w:val="00732599"/>
    <w:rsid w:val="007359A2"/>
    <w:rsid w:val="00737252"/>
    <w:rsid w:val="00740CD0"/>
    <w:rsid w:val="007411C8"/>
    <w:rsid w:val="007430FE"/>
    <w:rsid w:val="00743B72"/>
    <w:rsid w:val="00744439"/>
    <w:rsid w:val="00745AEC"/>
    <w:rsid w:val="007474FF"/>
    <w:rsid w:val="00747DFD"/>
    <w:rsid w:val="00747E6F"/>
    <w:rsid w:val="00750797"/>
    <w:rsid w:val="00750A9D"/>
    <w:rsid w:val="007550F6"/>
    <w:rsid w:val="007556BC"/>
    <w:rsid w:val="007558D3"/>
    <w:rsid w:val="0075605D"/>
    <w:rsid w:val="0076077F"/>
    <w:rsid w:val="00762999"/>
    <w:rsid w:val="00763125"/>
    <w:rsid w:val="0076370F"/>
    <w:rsid w:val="00763B92"/>
    <w:rsid w:val="00765809"/>
    <w:rsid w:val="00767172"/>
    <w:rsid w:val="00771352"/>
    <w:rsid w:val="00771725"/>
    <w:rsid w:val="00772009"/>
    <w:rsid w:val="007745CA"/>
    <w:rsid w:val="00774742"/>
    <w:rsid w:val="00775D8A"/>
    <w:rsid w:val="00776368"/>
    <w:rsid w:val="00781B90"/>
    <w:rsid w:val="00782132"/>
    <w:rsid w:val="0079077D"/>
    <w:rsid w:val="007913A4"/>
    <w:rsid w:val="00791C4A"/>
    <w:rsid w:val="00792748"/>
    <w:rsid w:val="00796733"/>
    <w:rsid w:val="007A0941"/>
    <w:rsid w:val="007A0978"/>
    <w:rsid w:val="007A0D0B"/>
    <w:rsid w:val="007A5334"/>
    <w:rsid w:val="007A66D1"/>
    <w:rsid w:val="007B18F1"/>
    <w:rsid w:val="007B1AA2"/>
    <w:rsid w:val="007B7122"/>
    <w:rsid w:val="007C2BFF"/>
    <w:rsid w:val="007C385B"/>
    <w:rsid w:val="007C42E6"/>
    <w:rsid w:val="007C46E5"/>
    <w:rsid w:val="007C53B9"/>
    <w:rsid w:val="007C7750"/>
    <w:rsid w:val="007C7F7D"/>
    <w:rsid w:val="007D171D"/>
    <w:rsid w:val="007D2AF9"/>
    <w:rsid w:val="007D35D6"/>
    <w:rsid w:val="007D42C2"/>
    <w:rsid w:val="007D5661"/>
    <w:rsid w:val="007D779A"/>
    <w:rsid w:val="007D7AB9"/>
    <w:rsid w:val="007E1C77"/>
    <w:rsid w:val="007E2548"/>
    <w:rsid w:val="007E38E8"/>
    <w:rsid w:val="007E5D97"/>
    <w:rsid w:val="007E600B"/>
    <w:rsid w:val="007F06F2"/>
    <w:rsid w:val="007F0980"/>
    <w:rsid w:val="007F2021"/>
    <w:rsid w:val="007F400F"/>
    <w:rsid w:val="007F507C"/>
    <w:rsid w:val="007F7D92"/>
    <w:rsid w:val="008006C4"/>
    <w:rsid w:val="00800FED"/>
    <w:rsid w:val="0080401B"/>
    <w:rsid w:val="00804053"/>
    <w:rsid w:val="00804248"/>
    <w:rsid w:val="00807B7C"/>
    <w:rsid w:val="00810184"/>
    <w:rsid w:val="008116CF"/>
    <w:rsid w:val="00812A0C"/>
    <w:rsid w:val="00812CFA"/>
    <w:rsid w:val="00813D88"/>
    <w:rsid w:val="0081663D"/>
    <w:rsid w:val="0082087F"/>
    <w:rsid w:val="00820C1B"/>
    <w:rsid w:val="00823130"/>
    <w:rsid w:val="00823293"/>
    <w:rsid w:val="0082332B"/>
    <w:rsid w:val="00825475"/>
    <w:rsid w:val="0082578E"/>
    <w:rsid w:val="008262C2"/>
    <w:rsid w:val="00826FBE"/>
    <w:rsid w:val="00827B0C"/>
    <w:rsid w:val="00830FDF"/>
    <w:rsid w:val="00831EAC"/>
    <w:rsid w:val="008337A2"/>
    <w:rsid w:val="00834A0C"/>
    <w:rsid w:val="008368DA"/>
    <w:rsid w:val="00836F1F"/>
    <w:rsid w:val="00841990"/>
    <w:rsid w:val="00842168"/>
    <w:rsid w:val="00842704"/>
    <w:rsid w:val="00843AB9"/>
    <w:rsid w:val="008443C7"/>
    <w:rsid w:val="008454F4"/>
    <w:rsid w:val="00845AB7"/>
    <w:rsid w:val="008463E2"/>
    <w:rsid w:val="008508E2"/>
    <w:rsid w:val="00850A5F"/>
    <w:rsid w:val="00852049"/>
    <w:rsid w:val="008538DF"/>
    <w:rsid w:val="00853ACB"/>
    <w:rsid w:val="00853F28"/>
    <w:rsid w:val="0085496F"/>
    <w:rsid w:val="00855E1D"/>
    <w:rsid w:val="0085649B"/>
    <w:rsid w:val="00857F62"/>
    <w:rsid w:val="008603D2"/>
    <w:rsid w:val="008644E3"/>
    <w:rsid w:val="008654D0"/>
    <w:rsid w:val="00867011"/>
    <w:rsid w:val="008702B3"/>
    <w:rsid w:val="008756A6"/>
    <w:rsid w:val="008760EF"/>
    <w:rsid w:val="00877C07"/>
    <w:rsid w:val="00880F6A"/>
    <w:rsid w:val="00881518"/>
    <w:rsid w:val="00883D63"/>
    <w:rsid w:val="00884387"/>
    <w:rsid w:val="00884AD3"/>
    <w:rsid w:val="00892595"/>
    <w:rsid w:val="008934EE"/>
    <w:rsid w:val="008948AD"/>
    <w:rsid w:val="008949CD"/>
    <w:rsid w:val="008956BD"/>
    <w:rsid w:val="0089639B"/>
    <w:rsid w:val="00896B99"/>
    <w:rsid w:val="008977F6"/>
    <w:rsid w:val="00897AC3"/>
    <w:rsid w:val="00897D57"/>
    <w:rsid w:val="008A34BD"/>
    <w:rsid w:val="008A43BA"/>
    <w:rsid w:val="008B0792"/>
    <w:rsid w:val="008B0A53"/>
    <w:rsid w:val="008B2FFC"/>
    <w:rsid w:val="008B42C1"/>
    <w:rsid w:val="008B4F02"/>
    <w:rsid w:val="008B5B74"/>
    <w:rsid w:val="008B6BE9"/>
    <w:rsid w:val="008B76D3"/>
    <w:rsid w:val="008C1062"/>
    <w:rsid w:val="008C4F3D"/>
    <w:rsid w:val="008C5A8C"/>
    <w:rsid w:val="008C7C01"/>
    <w:rsid w:val="008D1382"/>
    <w:rsid w:val="008D1DB0"/>
    <w:rsid w:val="008D4F4A"/>
    <w:rsid w:val="008D70D7"/>
    <w:rsid w:val="008E3B00"/>
    <w:rsid w:val="008E4623"/>
    <w:rsid w:val="008E5D7A"/>
    <w:rsid w:val="008E7022"/>
    <w:rsid w:val="008E702E"/>
    <w:rsid w:val="008F1584"/>
    <w:rsid w:val="008F2DD7"/>
    <w:rsid w:val="008F3FB3"/>
    <w:rsid w:val="008F436E"/>
    <w:rsid w:val="008F5DC2"/>
    <w:rsid w:val="008F5FA0"/>
    <w:rsid w:val="008F619E"/>
    <w:rsid w:val="00904433"/>
    <w:rsid w:val="00904A6F"/>
    <w:rsid w:val="00904CFA"/>
    <w:rsid w:val="00907631"/>
    <w:rsid w:val="00911857"/>
    <w:rsid w:val="00911D65"/>
    <w:rsid w:val="0091221A"/>
    <w:rsid w:val="00912D87"/>
    <w:rsid w:val="009144C6"/>
    <w:rsid w:val="00914BCC"/>
    <w:rsid w:val="0091790E"/>
    <w:rsid w:val="009237C1"/>
    <w:rsid w:val="009264DB"/>
    <w:rsid w:val="00926C20"/>
    <w:rsid w:val="00927AEA"/>
    <w:rsid w:val="0093192E"/>
    <w:rsid w:val="0093249D"/>
    <w:rsid w:val="009366D5"/>
    <w:rsid w:val="00937998"/>
    <w:rsid w:val="009402FE"/>
    <w:rsid w:val="009418D2"/>
    <w:rsid w:val="00942065"/>
    <w:rsid w:val="009430B1"/>
    <w:rsid w:val="00943E54"/>
    <w:rsid w:val="00943E93"/>
    <w:rsid w:val="00945419"/>
    <w:rsid w:val="009473E1"/>
    <w:rsid w:val="009508A6"/>
    <w:rsid w:val="00951B5E"/>
    <w:rsid w:val="00951F34"/>
    <w:rsid w:val="00954939"/>
    <w:rsid w:val="00960BDB"/>
    <w:rsid w:val="0096288F"/>
    <w:rsid w:val="00963588"/>
    <w:rsid w:val="009660F7"/>
    <w:rsid w:val="00967589"/>
    <w:rsid w:val="00970A7D"/>
    <w:rsid w:val="00977207"/>
    <w:rsid w:val="0097775B"/>
    <w:rsid w:val="00977895"/>
    <w:rsid w:val="00977D0A"/>
    <w:rsid w:val="00980165"/>
    <w:rsid w:val="00985714"/>
    <w:rsid w:val="00993F22"/>
    <w:rsid w:val="00996D93"/>
    <w:rsid w:val="00996E6C"/>
    <w:rsid w:val="009A3DE0"/>
    <w:rsid w:val="009A4D2B"/>
    <w:rsid w:val="009A57DD"/>
    <w:rsid w:val="009A61E1"/>
    <w:rsid w:val="009B1AE5"/>
    <w:rsid w:val="009B2A82"/>
    <w:rsid w:val="009B2F68"/>
    <w:rsid w:val="009B31FE"/>
    <w:rsid w:val="009B3CF0"/>
    <w:rsid w:val="009B426E"/>
    <w:rsid w:val="009B772D"/>
    <w:rsid w:val="009C0C2C"/>
    <w:rsid w:val="009C1CED"/>
    <w:rsid w:val="009C25CB"/>
    <w:rsid w:val="009C36C6"/>
    <w:rsid w:val="009C3B3B"/>
    <w:rsid w:val="009C450E"/>
    <w:rsid w:val="009C4F25"/>
    <w:rsid w:val="009C5A7D"/>
    <w:rsid w:val="009C6891"/>
    <w:rsid w:val="009D03DE"/>
    <w:rsid w:val="009D03F2"/>
    <w:rsid w:val="009D4D92"/>
    <w:rsid w:val="009D53AC"/>
    <w:rsid w:val="009D60B1"/>
    <w:rsid w:val="009D6CD2"/>
    <w:rsid w:val="009D7F75"/>
    <w:rsid w:val="009E0CE1"/>
    <w:rsid w:val="009E3B82"/>
    <w:rsid w:val="009E5AC3"/>
    <w:rsid w:val="009E6313"/>
    <w:rsid w:val="009E701A"/>
    <w:rsid w:val="009E7481"/>
    <w:rsid w:val="009F508D"/>
    <w:rsid w:val="009F6DD7"/>
    <w:rsid w:val="009F6E50"/>
    <w:rsid w:val="009F78B3"/>
    <w:rsid w:val="00A00E8D"/>
    <w:rsid w:val="00A0114C"/>
    <w:rsid w:val="00A05BA1"/>
    <w:rsid w:val="00A1044E"/>
    <w:rsid w:val="00A12996"/>
    <w:rsid w:val="00A13E67"/>
    <w:rsid w:val="00A141CF"/>
    <w:rsid w:val="00A143DD"/>
    <w:rsid w:val="00A1551E"/>
    <w:rsid w:val="00A159E8"/>
    <w:rsid w:val="00A17DFE"/>
    <w:rsid w:val="00A22D36"/>
    <w:rsid w:val="00A23C1B"/>
    <w:rsid w:val="00A24AAD"/>
    <w:rsid w:val="00A251F4"/>
    <w:rsid w:val="00A26733"/>
    <w:rsid w:val="00A27233"/>
    <w:rsid w:val="00A3342E"/>
    <w:rsid w:val="00A35410"/>
    <w:rsid w:val="00A364DB"/>
    <w:rsid w:val="00A41C4A"/>
    <w:rsid w:val="00A44740"/>
    <w:rsid w:val="00A46802"/>
    <w:rsid w:val="00A477DA"/>
    <w:rsid w:val="00A479D3"/>
    <w:rsid w:val="00A47DC9"/>
    <w:rsid w:val="00A50618"/>
    <w:rsid w:val="00A519CC"/>
    <w:rsid w:val="00A523E1"/>
    <w:rsid w:val="00A52FB5"/>
    <w:rsid w:val="00A556D2"/>
    <w:rsid w:val="00A56493"/>
    <w:rsid w:val="00A62844"/>
    <w:rsid w:val="00A6477D"/>
    <w:rsid w:val="00A649DF"/>
    <w:rsid w:val="00A662F3"/>
    <w:rsid w:val="00A6633F"/>
    <w:rsid w:val="00A715FF"/>
    <w:rsid w:val="00A7345F"/>
    <w:rsid w:val="00A760F1"/>
    <w:rsid w:val="00A77BAC"/>
    <w:rsid w:val="00A8100A"/>
    <w:rsid w:val="00A8135E"/>
    <w:rsid w:val="00A82B69"/>
    <w:rsid w:val="00A91D47"/>
    <w:rsid w:val="00A92676"/>
    <w:rsid w:val="00A944F4"/>
    <w:rsid w:val="00A95337"/>
    <w:rsid w:val="00A97944"/>
    <w:rsid w:val="00AA484B"/>
    <w:rsid w:val="00AA64FB"/>
    <w:rsid w:val="00AB0C45"/>
    <w:rsid w:val="00AB26B7"/>
    <w:rsid w:val="00AB2C78"/>
    <w:rsid w:val="00AB37B5"/>
    <w:rsid w:val="00AB4685"/>
    <w:rsid w:val="00AB6CE2"/>
    <w:rsid w:val="00AC3EE3"/>
    <w:rsid w:val="00AC44E4"/>
    <w:rsid w:val="00AC4743"/>
    <w:rsid w:val="00AC5758"/>
    <w:rsid w:val="00AC6254"/>
    <w:rsid w:val="00AD02F5"/>
    <w:rsid w:val="00AD4CDA"/>
    <w:rsid w:val="00AD546F"/>
    <w:rsid w:val="00AD5B92"/>
    <w:rsid w:val="00AD663B"/>
    <w:rsid w:val="00AD6FA4"/>
    <w:rsid w:val="00AE1BEB"/>
    <w:rsid w:val="00AE2352"/>
    <w:rsid w:val="00AE29CA"/>
    <w:rsid w:val="00AE3AE5"/>
    <w:rsid w:val="00AE58ED"/>
    <w:rsid w:val="00AE6E01"/>
    <w:rsid w:val="00AF11E4"/>
    <w:rsid w:val="00AF469B"/>
    <w:rsid w:val="00AF5260"/>
    <w:rsid w:val="00AF5CDA"/>
    <w:rsid w:val="00AF6494"/>
    <w:rsid w:val="00AF693E"/>
    <w:rsid w:val="00B01566"/>
    <w:rsid w:val="00B03504"/>
    <w:rsid w:val="00B042A0"/>
    <w:rsid w:val="00B059A5"/>
    <w:rsid w:val="00B06C0F"/>
    <w:rsid w:val="00B06D58"/>
    <w:rsid w:val="00B125A8"/>
    <w:rsid w:val="00B15379"/>
    <w:rsid w:val="00B20B03"/>
    <w:rsid w:val="00B211ED"/>
    <w:rsid w:val="00B21D04"/>
    <w:rsid w:val="00B22E82"/>
    <w:rsid w:val="00B232E8"/>
    <w:rsid w:val="00B25B74"/>
    <w:rsid w:val="00B263A9"/>
    <w:rsid w:val="00B265BF"/>
    <w:rsid w:val="00B30B2A"/>
    <w:rsid w:val="00B30B57"/>
    <w:rsid w:val="00B30D07"/>
    <w:rsid w:val="00B31157"/>
    <w:rsid w:val="00B332FC"/>
    <w:rsid w:val="00B33736"/>
    <w:rsid w:val="00B33A5D"/>
    <w:rsid w:val="00B4054F"/>
    <w:rsid w:val="00B43451"/>
    <w:rsid w:val="00B4500A"/>
    <w:rsid w:val="00B46370"/>
    <w:rsid w:val="00B46D38"/>
    <w:rsid w:val="00B50F7D"/>
    <w:rsid w:val="00B5197F"/>
    <w:rsid w:val="00B561F9"/>
    <w:rsid w:val="00B57547"/>
    <w:rsid w:val="00B57EC4"/>
    <w:rsid w:val="00B606C3"/>
    <w:rsid w:val="00B60710"/>
    <w:rsid w:val="00B6255E"/>
    <w:rsid w:val="00B63882"/>
    <w:rsid w:val="00B638BC"/>
    <w:rsid w:val="00B65640"/>
    <w:rsid w:val="00B65D71"/>
    <w:rsid w:val="00B67812"/>
    <w:rsid w:val="00B70C84"/>
    <w:rsid w:val="00B73AE4"/>
    <w:rsid w:val="00B8071B"/>
    <w:rsid w:val="00B808EE"/>
    <w:rsid w:val="00B81498"/>
    <w:rsid w:val="00B82D8E"/>
    <w:rsid w:val="00B8591E"/>
    <w:rsid w:val="00B85DBE"/>
    <w:rsid w:val="00B86340"/>
    <w:rsid w:val="00B86FF2"/>
    <w:rsid w:val="00B922BD"/>
    <w:rsid w:val="00B935E7"/>
    <w:rsid w:val="00B94F17"/>
    <w:rsid w:val="00B959E4"/>
    <w:rsid w:val="00BA0189"/>
    <w:rsid w:val="00BA122E"/>
    <w:rsid w:val="00BA48D6"/>
    <w:rsid w:val="00BA75B1"/>
    <w:rsid w:val="00BB1C7F"/>
    <w:rsid w:val="00BB672D"/>
    <w:rsid w:val="00BC012A"/>
    <w:rsid w:val="00BC0CBD"/>
    <w:rsid w:val="00BC2DAE"/>
    <w:rsid w:val="00BC3F9C"/>
    <w:rsid w:val="00BC52FA"/>
    <w:rsid w:val="00BC6F77"/>
    <w:rsid w:val="00BC70A3"/>
    <w:rsid w:val="00BD4D6F"/>
    <w:rsid w:val="00BD6BDC"/>
    <w:rsid w:val="00BD7099"/>
    <w:rsid w:val="00BD7F02"/>
    <w:rsid w:val="00BE0C4E"/>
    <w:rsid w:val="00BE23DD"/>
    <w:rsid w:val="00BE2A2E"/>
    <w:rsid w:val="00BE7FC6"/>
    <w:rsid w:val="00BF0782"/>
    <w:rsid w:val="00BF0FAB"/>
    <w:rsid w:val="00BF1292"/>
    <w:rsid w:val="00BF27F5"/>
    <w:rsid w:val="00BF548C"/>
    <w:rsid w:val="00BF7714"/>
    <w:rsid w:val="00C00C97"/>
    <w:rsid w:val="00C00FE4"/>
    <w:rsid w:val="00C04901"/>
    <w:rsid w:val="00C04DBE"/>
    <w:rsid w:val="00C058EC"/>
    <w:rsid w:val="00C078CA"/>
    <w:rsid w:val="00C14652"/>
    <w:rsid w:val="00C160F9"/>
    <w:rsid w:val="00C169CE"/>
    <w:rsid w:val="00C171B9"/>
    <w:rsid w:val="00C20846"/>
    <w:rsid w:val="00C20F8A"/>
    <w:rsid w:val="00C21871"/>
    <w:rsid w:val="00C21CEE"/>
    <w:rsid w:val="00C228A9"/>
    <w:rsid w:val="00C252B9"/>
    <w:rsid w:val="00C26F66"/>
    <w:rsid w:val="00C334F1"/>
    <w:rsid w:val="00C35A21"/>
    <w:rsid w:val="00C44DC0"/>
    <w:rsid w:val="00C452FF"/>
    <w:rsid w:val="00C513B1"/>
    <w:rsid w:val="00C546C5"/>
    <w:rsid w:val="00C60F81"/>
    <w:rsid w:val="00C654C2"/>
    <w:rsid w:val="00C67251"/>
    <w:rsid w:val="00C72907"/>
    <w:rsid w:val="00C72970"/>
    <w:rsid w:val="00C72F8C"/>
    <w:rsid w:val="00C734DD"/>
    <w:rsid w:val="00C739D8"/>
    <w:rsid w:val="00C74988"/>
    <w:rsid w:val="00C76951"/>
    <w:rsid w:val="00C84C2B"/>
    <w:rsid w:val="00C853D1"/>
    <w:rsid w:val="00C85A96"/>
    <w:rsid w:val="00C93299"/>
    <w:rsid w:val="00CA0C1D"/>
    <w:rsid w:val="00CA2F84"/>
    <w:rsid w:val="00CA61C2"/>
    <w:rsid w:val="00CB2B7B"/>
    <w:rsid w:val="00CB5A9E"/>
    <w:rsid w:val="00CC12D9"/>
    <w:rsid w:val="00CC2EBD"/>
    <w:rsid w:val="00CC38F5"/>
    <w:rsid w:val="00CC5561"/>
    <w:rsid w:val="00CC7111"/>
    <w:rsid w:val="00CC7EAC"/>
    <w:rsid w:val="00CD233B"/>
    <w:rsid w:val="00CD573E"/>
    <w:rsid w:val="00CD70E9"/>
    <w:rsid w:val="00CE04D7"/>
    <w:rsid w:val="00CF1FCE"/>
    <w:rsid w:val="00CF38E2"/>
    <w:rsid w:val="00CF5199"/>
    <w:rsid w:val="00CF7911"/>
    <w:rsid w:val="00D01015"/>
    <w:rsid w:val="00D02413"/>
    <w:rsid w:val="00D0396A"/>
    <w:rsid w:val="00D042E7"/>
    <w:rsid w:val="00D04493"/>
    <w:rsid w:val="00D059E5"/>
    <w:rsid w:val="00D060B7"/>
    <w:rsid w:val="00D069DF"/>
    <w:rsid w:val="00D104DB"/>
    <w:rsid w:val="00D10BBE"/>
    <w:rsid w:val="00D114F9"/>
    <w:rsid w:val="00D11E84"/>
    <w:rsid w:val="00D121F9"/>
    <w:rsid w:val="00D1356E"/>
    <w:rsid w:val="00D15032"/>
    <w:rsid w:val="00D15DAB"/>
    <w:rsid w:val="00D16932"/>
    <w:rsid w:val="00D16C0D"/>
    <w:rsid w:val="00D20831"/>
    <w:rsid w:val="00D237F3"/>
    <w:rsid w:val="00D23BD0"/>
    <w:rsid w:val="00D2535A"/>
    <w:rsid w:val="00D259E8"/>
    <w:rsid w:val="00D26EF0"/>
    <w:rsid w:val="00D27054"/>
    <w:rsid w:val="00D30909"/>
    <w:rsid w:val="00D349C8"/>
    <w:rsid w:val="00D41ED1"/>
    <w:rsid w:val="00D4202B"/>
    <w:rsid w:val="00D43062"/>
    <w:rsid w:val="00D43AC0"/>
    <w:rsid w:val="00D440B3"/>
    <w:rsid w:val="00D47266"/>
    <w:rsid w:val="00D5012F"/>
    <w:rsid w:val="00D50475"/>
    <w:rsid w:val="00D526FB"/>
    <w:rsid w:val="00D53A0C"/>
    <w:rsid w:val="00D54118"/>
    <w:rsid w:val="00D54BE8"/>
    <w:rsid w:val="00D553B2"/>
    <w:rsid w:val="00D603BF"/>
    <w:rsid w:val="00D60EB1"/>
    <w:rsid w:val="00D61FB9"/>
    <w:rsid w:val="00D6200B"/>
    <w:rsid w:val="00D62C6E"/>
    <w:rsid w:val="00D6407D"/>
    <w:rsid w:val="00D640FF"/>
    <w:rsid w:val="00D64B0B"/>
    <w:rsid w:val="00D65868"/>
    <w:rsid w:val="00D71277"/>
    <w:rsid w:val="00D73114"/>
    <w:rsid w:val="00D733EF"/>
    <w:rsid w:val="00D743C9"/>
    <w:rsid w:val="00D752D2"/>
    <w:rsid w:val="00D76975"/>
    <w:rsid w:val="00D772C9"/>
    <w:rsid w:val="00D77542"/>
    <w:rsid w:val="00D827A8"/>
    <w:rsid w:val="00D85322"/>
    <w:rsid w:val="00D855D1"/>
    <w:rsid w:val="00D85A7D"/>
    <w:rsid w:val="00D86647"/>
    <w:rsid w:val="00D90E06"/>
    <w:rsid w:val="00D92134"/>
    <w:rsid w:val="00D93EFD"/>
    <w:rsid w:val="00D94C0C"/>
    <w:rsid w:val="00D9561F"/>
    <w:rsid w:val="00D96276"/>
    <w:rsid w:val="00DA0030"/>
    <w:rsid w:val="00DA3751"/>
    <w:rsid w:val="00DA4FC6"/>
    <w:rsid w:val="00DA6768"/>
    <w:rsid w:val="00DA7965"/>
    <w:rsid w:val="00DB10DD"/>
    <w:rsid w:val="00DB18A2"/>
    <w:rsid w:val="00DB268E"/>
    <w:rsid w:val="00DB3394"/>
    <w:rsid w:val="00DB3BDF"/>
    <w:rsid w:val="00DB3C43"/>
    <w:rsid w:val="00DB3F65"/>
    <w:rsid w:val="00DB4728"/>
    <w:rsid w:val="00DB5661"/>
    <w:rsid w:val="00DB6D27"/>
    <w:rsid w:val="00DC02D8"/>
    <w:rsid w:val="00DC054A"/>
    <w:rsid w:val="00DC133E"/>
    <w:rsid w:val="00DC1375"/>
    <w:rsid w:val="00DC6387"/>
    <w:rsid w:val="00DC7B2F"/>
    <w:rsid w:val="00DD116F"/>
    <w:rsid w:val="00DD2536"/>
    <w:rsid w:val="00DD3459"/>
    <w:rsid w:val="00DD46BF"/>
    <w:rsid w:val="00DD4A1A"/>
    <w:rsid w:val="00DD5573"/>
    <w:rsid w:val="00DD6442"/>
    <w:rsid w:val="00DD6D93"/>
    <w:rsid w:val="00DD7430"/>
    <w:rsid w:val="00DE2AB2"/>
    <w:rsid w:val="00DE5595"/>
    <w:rsid w:val="00DE5720"/>
    <w:rsid w:val="00DE6290"/>
    <w:rsid w:val="00DE65FB"/>
    <w:rsid w:val="00DF058B"/>
    <w:rsid w:val="00DF2B03"/>
    <w:rsid w:val="00DF2DD7"/>
    <w:rsid w:val="00DF4326"/>
    <w:rsid w:val="00DF5A12"/>
    <w:rsid w:val="00DF63B1"/>
    <w:rsid w:val="00DF6D0F"/>
    <w:rsid w:val="00E000D1"/>
    <w:rsid w:val="00E00CF7"/>
    <w:rsid w:val="00E010F7"/>
    <w:rsid w:val="00E0369E"/>
    <w:rsid w:val="00E04D30"/>
    <w:rsid w:val="00E06552"/>
    <w:rsid w:val="00E07924"/>
    <w:rsid w:val="00E160CE"/>
    <w:rsid w:val="00E1746B"/>
    <w:rsid w:val="00E240BC"/>
    <w:rsid w:val="00E278F2"/>
    <w:rsid w:val="00E30E7E"/>
    <w:rsid w:val="00E317EA"/>
    <w:rsid w:val="00E32D11"/>
    <w:rsid w:val="00E33E03"/>
    <w:rsid w:val="00E34225"/>
    <w:rsid w:val="00E359A0"/>
    <w:rsid w:val="00E378A7"/>
    <w:rsid w:val="00E37EC0"/>
    <w:rsid w:val="00E400A3"/>
    <w:rsid w:val="00E4195D"/>
    <w:rsid w:val="00E41E5D"/>
    <w:rsid w:val="00E44385"/>
    <w:rsid w:val="00E44BDB"/>
    <w:rsid w:val="00E44CD4"/>
    <w:rsid w:val="00E45953"/>
    <w:rsid w:val="00E462FF"/>
    <w:rsid w:val="00E46DA8"/>
    <w:rsid w:val="00E47B89"/>
    <w:rsid w:val="00E520E6"/>
    <w:rsid w:val="00E5473E"/>
    <w:rsid w:val="00E6067D"/>
    <w:rsid w:val="00E61BAB"/>
    <w:rsid w:val="00E61DB2"/>
    <w:rsid w:val="00E61E5E"/>
    <w:rsid w:val="00E625C7"/>
    <w:rsid w:val="00E766F9"/>
    <w:rsid w:val="00E81484"/>
    <w:rsid w:val="00E8346C"/>
    <w:rsid w:val="00E83494"/>
    <w:rsid w:val="00E84427"/>
    <w:rsid w:val="00E861B9"/>
    <w:rsid w:val="00E91237"/>
    <w:rsid w:val="00E9186A"/>
    <w:rsid w:val="00E92B4A"/>
    <w:rsid w:val="00E93EDF"/>
    <w:rsid w:val="00E95172"/>
    <w:rsid w:val="00E966F3"/>
    <w:rsid w:val="00E9701C"/>
    <w:rsid w:val="00E97929"/>
    <w:rsid w:val="00EA0EBF"/>
    <w:rsid w:val="00EA1004"/>
    <w:rsid w:val="00EA2CF6"/>
    <w:rsid w:val="00EA30B1"/>
    <w:rsid w:val="00EA4522"/>
    <w:rsid w:val="00EA56D0"/>
    <w:rsid w:val="00EB051B"/>
    <w:rsid w:val="00EB0AEA"/>
    <w:rsid w:val="00EB1A2F"/>
    <w:rsid w:val="00EB1E57"/>
    <w:rsid w:val="00EB1F38"/>
    <w:rsid w:val="00EB3BEB"/>
    <w:rsid w:val="00EB43DB"/>
    <w:rsid w:val="00EB4A38"/>
    <w:rsid w:val="00EB7966"/>
    <w:rsid w:val="00EB7A8B"/>
    <w:rsid w:val="00EC01B9"/>
    <w:rsid w:val="00EC023F"/>
    <w:rsid w:val="00EC1019"/>
    <w:rsid w:val="00EC7345"/>
    <w:rsid w:val="00ED011D"/>
    <w:rsid w:val="00ED23EB"/>
    <w:rsid w:val="00ED5AEF"/>
    <w:rsid w:val="00EE23E5"/>
    <w:rsid w:val="00EE2F16"/>
    <w:rsid w:val="00EE53C5"/>
    <w:rsid w:val="00EE545D"/>
    <w:rsid w:val="00EE7721"/>
    <w:rsid w:val="00EF0402"/>
    <w:rsid w:val="00EF0D39"/>
    <w:rsid w:val="00EF5B2D"/>
    <w:rsid w:val="00EF5B87"/>
    <w:rsid w:val="00EF639E"/>
    <w:rsid w:val="00EF7967"/>
    <w:rsid w:val="00EF7DE2"/>
    <w:rsid w:val="00F03067"/>
    <w:rsid w:val="00F03666"/>
    <w:rsid w:val="00F05DDC"/>
    <w:rsid w:val="00F060A2"/>
    <w:rsid w:val="00F07CD6"/>
    <w:rsid w:val="00F121AE"/>
    <w:rsid w:val="00F12A1F"/>
    <w:rsid w:val="00F147AC"/>
    <w:rsid w:val="00F15CC0"/>
    <w:rsid w:val="00F1662E"/>
    <w:rsid w:val="00F20495"/>
    <w:rsid w:val="00F3096E"/>
    <w:rsid w:val="00F35700"/>
    <w:rsid w:val="00F35A10"/>
    <w:rsid w:val="00F35F68"/>
    <w:rsid w:val="00F3667C"/>
    <w:rsid w:val="00F3717E"/>
    <w:rsid w:val="00F4029B"/>
    <w:rsid w:val="00F42906"/>
    <w:rsid w:val="00F44120"/>
    <w:rsid w:val="00F46D09"/>
    <w:rsid w:val="00F516F1"/>
    <w:rsid w:val="00F54246"/>
    <w:rsid w:val="00F55A24"/>
    <w:rsid w:val="00F561D0"/>
    <w:rsid w:val="00F57154"/>
    <w:rsid w:val="00F618CA"/>
    <w:rsid w:val="00F622BA"/>
    <w:rsid w:val="00F647A7"/>
    <w:rsid w:val="00F679C8"/>
    <w:rsid w:val="00F735C1"/>
    <w:rsid w:val="00F7369F"/>
    <w:rsid w:val="00F74146"/>
    <w:rsid w:val="00F762D3"/>
    <w:rsid w:val="00F7670F"/>
    <w:rsid w:val="00F80E6D"/>
    <w:rsid w:val="00F80F48"/>
    <w:rsid w:val="00F81A9B"/>
    <w:rsid w:val="00F821C8"/>
    <w:rsid w:val="00F8439F"/>
    <w:rsid w:val="00F860E9"/>
    <w:rsid w:val="00F926A0"/>
    <w:rsid w:val="00F96A7D"/>
    <w:rsid w:val="00FA3952"/>
    <w:rsid w:val="00FA5759"/>
    <w:rsid w:val="00FA6DC8"/>
    <w:rsid w:val="00FA7BC3"/>
    <w:rsid w:val="00FC21BA"/>
    <w:rsid w:val="00FC4CB0"/>
    <w:rsid w:val="00FC6454"/>
    <w:rsid w:val="00FC6B3E"/>
    <w:rsid w:val="00FD1A44"/>
    <w:rsid w:val="00FD7AF9"/>
    <w:rsid w:val="00FE2C2C"/>
    <w:rsid w:val="00FE3038"/>
    <w:rsid w:val="00FE4543"/>
    <w:rsid w:val="00FE53FE"/>
    <w:rsid w:val="00FE5B58"/>
    <w:rsid w:val="00FE5E84"/>
    <w:rsid w:val="00FE7975"/>
    <w:rsid w:val="00FF2ADF"/>
    <w:rsid w:val="00FF38B8"/>
    <w:rsid w:val="00FF4977"/>
    <w:rsid w:val="00FF69E9"/>
    <w:rsid w:val="00FF6D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2629B6"/>
  <w15:chartTrackingRefBased/>
  <w15:docId w15:val="{79F345A3-8A39-49A9-900F-38268F30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B0E"/>
    <w:pPr>
      <w:jc w:val="both"/>
    </w:pPr>
    <w:rPr>
      <w:rFonts w:ascii="Palatino Linotype" w:hAnsi="Palatino Linotype"/>
      <w:color w:val="000000" w:themeColor="text1"/>
    </w:rPr>
  </w:style>
  <w:style w:type="paragraph" w:styleId="Ttulo1">
    <w:name w:val="heading 1"/>
    <w:basedOn w:val="Normal"/>
    <w:next w:val="Normal"/>
    <w:link w:val="Ttulo1Car"/>
    <w:uiPriority w:val="9"/>
    <w:qFormat/>
    <w:rsid w:val="00D526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526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F07CD6"/>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07CD6"/>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semiHidden/>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Mencinsinresolver2">
    <w:name w:val="Mención sin resolver2"/>
    <w:basedOn w:val="Fuentedeprrafopredeter"/>
    <w:uiPriority w:val="99"/>
    <w:semiHidden/>
    <w:unhideWhenUsed/>
    <w:rsid w:val="00FE2C2C"/>
    <w:rPr>
      <w:color w:val="605E5C"/>
      <w:shd w:val="clear" w:color="auto" w:fill="E1DFDD"/>
    </w:rPr>
  </w:style>
  <w:style w:type="character" w:customStyle="1" w:styleId="Ttulo1Car">
    <w:name w:val="Título 1 Car"/>
    <w:basedOn w:val="Fuentedeprrafopredeter"/>
    <w:link w:val="Ttulo1"/>
    <w:uiPriority w:val="9"/>
    <w:rsid w:val="00D526FB"/>
    <w:rPr>
      <w:rFonts w:asciiTheme="majorHAnsi" w:eastAsiaTheme="majorEastAsia" w:hAnsiTheme="majorHAnsi" w:cstheme="majorBidi"/>
      <w:color w:val="2F5496" w:themeColor="accent1" w:themeShade="BF"/>
      <w:sz w:val="32"/>
      <w:szCs w:val="32"/>
    </w:rPr>
  </w:style>
  <w:style w:type="paragraph" w:styleId="TtulodeTDC">
    <w:name w:val="TOC Heading"/>
    <w:basedOn w:val="Ttulo1"/>
    <w:next w:val="Normal"/>
    <w:uiPriority w:val="39"/>
    <w:unhideWhenUsed/>
    <w:qFormat/>
    <w:rsid w:val="00D526FB"/>
    <w:pPr>
      <w:jc w:val="left"/>
      <w:outlineLvl w:val="9"/>
    </w:pPr>
    <w:rPr>
      <w:lang w:eastAsia="es-MX"/>
    </w:rPr>
  </w:style>
  <w:style w:type="paragraph" w:styleId="TDC1">
    <w:name w:val="toc 1"/>
    <w:basedOn w:val="Normal"/>
    <w:next w:val="Normal"/>
    <w:autoRedefine/>
    <w:uiPriority w:val="39"/>
    <w:unhideWhenUsed/>
    <w:rsid w:val="00DF6D0F"/>
    <w:pPr>
      <w:tabs>
        <w:tab w:val="right" w:leader="dot" w:pos="9072"/>
      </w:tabs>
      <w:spacing w:after="100" w:line="360" w:lineRule="auto"/>
    </w:pPr>
    <w:rPr>
      <w:rFonts w:ascii="Times New Roman" w:eastAsia="Times New Roman" w:hAnsi="Times New Roman" w:cs="Times New Roman"/>
      <w:color w:val="auto"/>
      <w:sz w:val="20"/>
      <w:szCs w:val="20"/>
      <w:lang w:eastAsia="es-ES"/>
    </w:rPr>
  </w:style>
  <w:style w:type="paragraph" w:styleId="TDC2">
    <w:name w:val="toc 2"/>
    <w:basedOn w:val="Normal"/>
    <w:next w:val="Normal"/>
    <w:autoRedefine/>
    <w:uiPriority w:val="39"/>
    <w:unhideWhenUsed/>
    <w:rsid w:val="00D526FB"/>
    <w:pPr>
      <w:spacing w:after="100" w:line="240" w:lineRule="auto"/>
      <w:ind w:left="200"/>
      <w:jc w:val="left"/>
    </w:pPr>
    <w:rPr>
      <w:rFonts w:ascii="Times New Roman" w:eastAsia="Times New Roman" w:hAnsi="Times New Roman" w:cs="Times New Roman"/>
      <w:color w:val="auto"/>
      <w:sz w:val="20"/>
      <w:szCs w:val="20"/>
      <w:lang w:eastAsia="es-ES"/>
    </w:rPr>
  </w:style>
  <w:style w:type="character" w:customStyle="1" w:styleId="Ttulo2Car">
    <w:name w:val="Título 2 Car"/>
    <w:basedOn w:val="Fuentedeprrafopredeter"/>
    <w:link w:val="Ttulo2"/>
    <w:uiPriority w:val="9"/>
    <w:rsid w:val="00D526F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7769">
      <w:bodyDiv w:val="1"/>
      <w:marLeft w:val="0"/>
      <w:marRight w:val="0"/>
      <w:marTop w:val="0"/>
      <w:marBottom w:val="0"/>
      <w:divBdr>
        <w:top w:val="none" w:sz="0" w:space="0" w:color="auto"/>
        <w:left w:val="none" w:sz="0" w:space="0" w:color="auto"/>
        <w:bottom w:val="none" w:sz="0" w:space="0" w:color="auto"/>
        <w:right w:val="none" w:sz="0" w:space="0" w:color="auto"/>
      </w:divBdr>
    </w:div>
    <w:div w:id="107898282">
      <w:bodyDiv w:val="1"/>
      <w:marLeft w:val="0"/>
      <w:marRight w:val="0"/>
      <w:marTop w:val="0"/>
      <w:marBottom w:val="0"/>
      <w:divBdr>
        <w:top w:val="none" w:sz="0" w:space="0" w:color="auto"/>
        <w:left w:val="none" w:sz="0" w:space="0" w:color="auto"/>
        <w:bottom w:val="none" w:sz="0" w:space="0" w:color="auto"/>
        <w:right w:val="none" w:sz="0" w:space="0" w:color="auto"/>
      </w:divBdr>
    </w:div>
    <w:div w:id="249659322">
      <w:bodyDiv w:val="1"/>
      <w:marLeft w:val="0"/>
      <w:marRight w:val="0"/>
      <w:marTop w:val="0"/>
      <w:marBottom w:val="0"/>
      <w:divBdr>
        <w:top w:val="none" w:sz="0" w:space="0" w:color="auto"/>
        <w:left w:val="none" w:sz="0" w:space="0" w:color="auto"/>
        <w:bottom w:val="none" w:sz="0" w:space="0" w:color="auto"/>
        <w:right w:val="none" w:sz="0" w:space="0" w:color="auto"/>
      </w:divBdr>
    </w:div>
    <w:div w:id="305748574">
      <w:bodyDiv w:val="1"/>
      <w:marLeft w:val="0"/>
      <w:marRight w:val="0"/>
      <w:marTop w:val="0"/>
      <w:marBottom w:val="0"/>
      <w:divBdr>
        <w:top w:val="none" w:sz="0" w:space="0" w:color="auto"/>
        <w:left w:val="none" w:sz="0" w:space="0" w:color="auto"/>
        <w:bottom w:val="none" w:sz="0" w:space="0" w:color="auto"/>
        <w:right w:val="none" w:sz="0" w:space="0" w:color="auto"/>
      </w:divBdr>
    </w:div>
    <w:div w:id="383716946">
      <w:bodyDiv w:val="1"/>
      <w:marLeft w:val="0"/>
      <w:marRight w:val="0"/>
      <w:marTop w:val="0"/>
      <w:marBottom w:val="0"/>
      <w:divBdr>
        <w:top w:val="none" w:sz="0" w:space="0" w:color="auto"/>
        <w:left w:val="none" w:sz="0" w:space="0" w:color="auto"/>
        <w:bottom w:val="none" w:sz="0" w:space="0" w:color="auto"/>
        <w:right w:val="none" w:sz="0" w:space="0" w:color="auto"/>
      </w:divBdr>
    </w:div>
    <w:div w:id="387798768">
      <w:bodyDiv w:val="1"/>
      <w:marLeft w:val="0"/>
      <w:marRight w:val="0"/>
      <w:marTop w:val="0"/>
      <w:marBottom w:val="0"/>
      <w:divBdr>
        <w:top w:val="none" w:sz="0" w:space="0" w:color="auto"/>
        <w:left w:val="none" w:sz="0" w:space="0" w:color="auto"/>
        <w:bottom w:val="none" w:sz="0" w:space="0" w:color="auto"/>
        <w:right w:val="none" w:sz="0" w:space="0" w:color="auto"/>
      </w:divBdr>
    </w:div>
    <w:div w:id="509413431">
      <w:bodyDiv w:val="1"/>
      <w:marLeft w:val="0"/>
      <w:marRight w:val="0"/>
      <w:marTop w:val="0"/>
      <w:marBottom w:val="0"/>
      <w:divBdr>
        <w:top w:val="none" w:sz="0" w:space="0" w:color="auto"/>
        <w:left w:val="none" w:sz="0" w:space="0" w:color="auto"/>
        <w:bottom w:val="none" w:sz="0" w:space="0" w:color="auto"/>
        <w:right w:val="none" w:sz="0" w:space="0" w:color="auto"/>
      </w:divBdr>
    </w:div>
    <w:div w:id="612901374">
      <w:bodyDiv w:val="1"/>
      <w:marLeft w:val="0"/>
      <w:marRight w:val="0"/>
      <w:marTop w:val="0"/>
      <w:marBottom w:val="0"/>
      <w:divBdr>
        <w:top w:val="none" w:sz="0" w:space="0" w:color="auto"/>
        <w:left w:val="none" w:sz="0" w:space="0" w:color="auto"/>
        <w:bottom w:val="none" w:sz="0" w:space="0" w:color="auto"/>
        <w:right w:val="none" w:sz="0" w:space="0" w:color="auto"/>
      </w:divBdr>
      <w:divsChild>
        <w:div w:id="773287151">
          <w:marLeft w:val="0"/>
          <w:marRight w:val="0"/>
          <w:marTop w:val="0"/>
          <w:marBottom w:val="0"/>
          <w:divBdr>
            <w:top w:val="none" w:sz="0" w:space="0" w:color="auto"/>
            <w:left w:val="none" w:sz="0" w:space="0" w:color="auto"/>
            <w:bottom w:val="none" w:sz="0" w:space="0" w:color="auto"/>
            <w:right w:val="none" w:sz="0" w:space="0" w:color="auto"/>
          </w:divBdr>
          <w:divsChild>
            <w:div w:id="1658723871">
              <w:marLeft w:val="0"/>
              <w:marRight w:val="0"/>
              <w:marTop w:val="0"/>
              <w:marBottom w:val="0"/>
              <w:divBdr>
                <w:top w:val="none" w:sz="0" w:space="0" w:color="auto"/>
                <w:left w:val="none" w:sz="0" w:space="0" w:color="auto"/>
                <w:bottom w:val="none" w:sz="0" w:space="0" w:color="auto"/>
                <w:right w:val="none" w:sz="0" w:space="0" w:color="auto"/>
              </w:divBdr>
              <w:divsChild>
                <w:div w:id="133371374">
                  <w:marLeft w:val="0"/>
                  <w:marRight w:val="0"/>
                  <w:marTop w:val="0"/>
                  <w:marBottom w:val="0"/>
                  <w:divBdr>
                    <w:top w:val="none" w:sz="0" w:space="0" w:color="auto"/>
                    <w:left w:val="none" w:sz="0" w:space="0" w:color="auto"/>
                    <w:bottom w:val="none" w:sz="0" w:space="0" w:color="auto"/>
                    <w:right w:val="none" w:sz="0" w:space="0" w:color="auto"/>
                  </w:divBdr>
                  <w:divsChild>
                    <w:div w:id="16661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3173">
      <w:bodyDiv w:val="1"/>
      <w:marLeft w:val="0"/>
      <w:marRight w:val="0"/>
      <w:marTop w:val="0"/>
      <w:marBottom w:val="0"/>
      <w:divBdr>
        <w:top w:val="none" w:sz="0" w:space="0" w:color="auto"/>
        <w:left w:val="none" w:sz="0" w:space="0" w:color="auto"/>
        <w:bottom w:val="none" w:sz="0" w:space="0" w:color="auto"/>
        <w:right w:val="none" w:sz="0" w:space="0" w:color="auto"/>
      </w:divBdr>
    </w:div>
    <w:div w:id="776094971">
      <w:bodyDiv w:val="1"/>
      <w:marLeft w:val="0"/>
      <w:marRight w:val="0"/>
      <w:marTop w:val="0"/>
      <w:marBottom w:val="0"/>
      <w:divBdr>
        <w:top w:val="none" w:sz="0" w:space="0" w:color="auto"/>
        <w:left w:val="none" w:sz="0" w:space="0" w:color="auto"/>
        <w:bottom w:val="none" w:sz="0" w:space="0" w:color="auto"/>
        <w:right w:val="none" w:sz="0" w:space="0" w:color="auto"/>
      </w:divBdr>
      <w:divsChild>
        <w:div w:id="1471750448">
          <w:marLeft w:val="0"/>
          <w:marRight w:val="0"/>
          <w:marTop w:val="0"/>
          <w:marBottom w:val="0"/>
          <w:divBdr>
            <w:top w:val="none" w:sz="0" w:space="0" w:color="auto"/>
            <w:left w:val="none" w:sz="0" w:space="0" w:color="auto"/>
            <w:bottom w:val="none" w:sz="0" w:space="0" w:color="auto"/>
            <w:right w:val="none" w:sz="0" w:space="0" w:color="auto"/>
          </w:divBdr>
          <w:divsChild>
            <w:div w:id="2054648796">
              <w:marLeft w:val="0"/>
              <w:marRight w:val="0"/>
              <w:marTop w:val="0"/>
              <w:marBottom w:val="0"/>
              <w:divBdr>
                <w:top w:val="none" w:sz="0" w:space="0" w:color="auto"/>
                <w:left w:val="none" w:sz="0" w:space="0" w:color="auto"/>
                <w:bottom w:val="none" w:sz="0" w:space="0" w:color="auto"/>
                <w:right w:val="none" w:sz="0" w:space="0" w:color="auto"/>
              </w:divBdr>
              <w:divsChild>
                <w:div w:id="4984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328887">
      <w:bodyDiv w:val="1"/>
      <w:marLeft w:val="0"/>
      <w:marRight w:val="0"/>
      <w:marTop w:val="0"/>
      <w:marBottom w:val="0"/>
      <w:divBdr>
        <w:top w:val="none" w:sz="0" w:space="0" w:color="auto"/>
        <w:left w:val="none" w:sz="0" w:space="0" w:color="auto"/>
        <w:bottom w:val="none" w:sz="0" w:space="0" w:color="auto"/>
        <w:right w:val="none" w:sz="0" w:space="0" w:color="auto"/>
      </w:divBdr>
    </w:div>
    <w:div w:id="1031955428">
      <w:bodyDiv w:val="1"/>
      <w:marLeft w:val="0"/>
      <w:marRight w:val="0"/>
      <w:marTop w:val="0"/>
      <w:marBottom w:val="0"/>
      <w:divBdr>
        <w:top w:val="none" w:sz="0" w:space="0" w:color="auto"/>
        <w:left w:val="none" w:sz="0" w:space="0" w:color="auto"/>
        <w:bottom w:val="none" w:sz="0" w:space="0" w:color="auto"/>
        <w:right w:val="none" w:sz="0" w:space="0" w:color="auto"/>
      </w:divBdr>
    </w:div>
    <w:div w:id="1106389017">
      <w:bodyDiv w:val="1"/>
      <w:marLeft w:val="0"/>
      <w:marRight w:val="0"/>
      <w:marTop w:val="0"/>
      <w:marBottom w:val="0"/>
      <w:divBdr>
        <w:top w:val="none" w:sz="0" w:space="0" w:color="auto"/>
        <w:left w:val="none" w:sz="0" w:space="0" w:color="auto"/>
        <w:bottom w:val="none" w:sz="0" w:space="0" w:color="auto"/>
        <w:right w:val="none" w:sz="0" w:space="0" w:color="auto"/>
      </w:divBdr>
    </w:div>
    <w:div w:id="1126582591">
      <w:bodyDiv w:val="1"/>
      <w:marLeft w:val="0"/>
      <w:marRight w:val="0"/>
      <w:marTop w:val="0"/>
      <w:marBottom w:val="0"/>
      <w:divBdr>
        <w:top w:val="none" w:sz="0" w:space="0" w:color="auto"/>
        <w:left w:val="none" w:sz="0" w:space="0" w:color="auto"/>
        <w:bottom w:val="none" w:sz="0" w:space="0" w:color="auto"/>
        <w:right w:val="none" w:sz="0" w:space="0" w:color="auto"/>
      </w:divBdr>
    </w:div>
    <w:div w:id="1240023026">
      <w:bodyDiv w:val="1"/>
      <w:marLeft w:val="0"/>
      <w:marRight w:val="0"/>
      <w:marTop w:val="0"/>
      <w:marBottom w:val="0"/>
      <w:divBdr>
        <w:top w:val="none" w:sz="0" w:space="0" w:color="auto"/>
        <w:left w:val="none" w:sz="0" w:space="0" w:color="auto"/>
        <w:bottom w:val="none" w:sz="0" w:space="0" w:color="auto"/>
        <w:right w:val="none" w:sz="0" w:space="0" w:color="auto"/>
      </w:divBdr>
      <w:divsChild>
        <w:div w:id="2006083033">
          <w:marLeft w:val="0"/>
          <w:marRight w:val="0"/>
          <w:marTop w:val="0"/>
          <w:marBottom w:val="0"/>
          <w:divBdr>
            <w:top w:val="none" w:sz="0" w:space="0" w:color="auto"/>
            <w:left w:val="none" w:sz="0" w:space="0" w:color="auto"/>
            <w:bottom w:val="none" w:sz="0" w:space="0" w:color="auto"/>
            <w:right w:val="none" w:sz="0" w:space="0" w:color="auto"/>
          </w:divBdr>
          <w:divsChild>
            <w:div w:id="2093238247">
              <w:marLeft w:val="0"/>
              <w:marRight w:val="0"/>
              <w:marTop w:val="0"/>
              <w:marBottom w:val="0"/>
              <w:divBdr>
                <w:top w:val="none" w:sz="0" w:space="0" w:color="auto"/>
                <w:left w:val="none" w:sz="0" w:space="0" w:color="auto"/>
                <w:bottom w:val="none" w:sz="0" w:space="0" w:color="auto"/>
                <w:right w:val="none" w:sz="0" w:space="0" w:color="auto"/>
              </w:divBdr>
              <w:divsChild>
                <w:div w:id="11153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734650">
      <w:bodyDiv w:val="1"/>
      <w:marLeft w:val="0"/>
      <w:marRight w:val="0"/>
      <w:marTop w:val="0"/>
      <w:marBottom w:val="0"/>
      <w:divBdr>
        <w:top w:val="none" w:sz="0" w:space="0" w:color="auto"/>
        <w:left w:val="none" w:sz="0" w:space="0" w:color="auto"/>
        <w:bottom w:val="none" w:sz="0" w:space="0" w:color="auto"/>
        <w:right w:val="none" w:sz="0" w:space="0" w:color="auto"/>
      </w:divBdr>
    </w:div>
    <w:div w:id="1299726302">
      <w:bodyDiv w:val="1"/>
      <w:marLeft w:val="0"/>
      <w:marRight w:val="0"/>
      <w:marTop w:val="0"/>
      <w:marBottom w:val="0"/>
      <w:divBdr>
        <w:top w:val="none" w:sz="0" w:space="0" w:color="auto"/>
        <w:left w:val="none" w:sz="0" w:space="0" w:color="auto"/>
        <w:bottom w:val="none" w:sz="0" w:space="0" w:color="auto"/>
        <w:right w:val="none" w:sz="0" w:space="0" w:color="auto"/>
      </w:divBdr>
    </w:div>
    <w:div w:id="1362516153">
      <w:bodyDiv w:val="1"/>
      <w:marLeft w:val="0"/>
      <w:marRight w:val="0"/>
      <w:marTop w:val="0"/>
      <w:marBottom w:val="0"/>
      <w:divBdr>
        <w:top w:val="none" w:sz="0" w:space="0" w:color="auto"/>
        <w:left w:val="none" w:sz="0" w:space="0" w:color="auto"/>
        <w:bottom w:val="none" w:sz="0" w:space="0" w:color="auto"/>
        <w:right w:val="none" w:sz="0" w:space="0" w:color="auto"/>
      </w:divBdr>
    </w:div>
    <w:div w:id="1416780549">
      <w:bodyDiv w:val="1"/>
      <w:marLeft w:val="0"/>
      <w:marRight w:val="0"/>
      <w:marTop w:val="0"/>
      <w:marBottom w:val="0"/>
      <w:divBdr>
        <w:top w:val="none" w:sz="0" w:space="0" w:color="auto"/>
        <w:left w:val="none" w:sz="0" w:space="0" w:color="auto"/>
        <w:bottom w:val="none" w:sz="0" w:space="0" w:color="auto"/>
        <w:right w:val="none" w:sz="0" w:space="0" w:color="auto"/>
      </w:divBdr>
    </w:div>
    <w:div w:id="1656296780">
      <w:bodyDiv w:val="1"/>
      <w:marLeft w:val="0"/>
      <w:marRight w:val="0"/>
      <w:marTop w:val="0"/>
      <w:marBottom w:val="0"/>
      <w:divBdr>
        <w:top w:val="none" w:sz="0" w:space="0" w:color="auto"/>
        <w:left w:val="none" w:sz="0" w:space="0" w:color="auto"/>
        <w:bottom w:val="none" w:sz="0" w:space="0" w:color="auto"/>
        <w:right w:val="none" w:sz="0" w:space="0" w:color="auto"/>
      </w:divBdr>
    </w:div>
    <w:div w:id="1698432375">
      <w:bodyDiv w:val="1"/>
      <w:marLeft w:val="0"/>
      <w:marRight w:val="0"/>
      <w:marTop w:val="0"/>
      <w:marBottom w:val="0"/>
      <w:divBdr>
        <w:top w:val="none" w:sz="0" w:space="0" w:color="auto"/>
        <w:left w:val="none" w:sz="0" w:space="0" w:color="auto"/>
        <w:bottom w:val="none" w:sz="0" w:space="0" w:color="auto"/>
        <w:right w:val="none" w:sz="0" w:space="0" w:color="auto"/>
      </w:divBdr>
    </w:div>
    <w:div w:id="1814329354">
      <w:bodyDiv w:val="1"/>
      <w:marLeft w:val="0"/>
      <w:marRight w:val="0"/>
      <w:marTop w:val="0"/>
      <w:marBottom w:val="0"/>
      <w:divBdr>
        <w:top w:val="none" w:sz="0" w:space="0" w:color="auto"/>
        <w:left w:val="none" w:sz="0" w:space="0" w:color="auto"/>
        <w:bottom w:val="none" w:sz="0" w:space="0" w:color="auto"/>
        <w:right w:val="none" w:sz="0" w:space="0" w:color="auto"/>
      </w:divBdr>
    </w:div>
    <w:div w:id="1891377070">
      <w:bodyDiv w:val="1"/>
      <w:marLeft w:val="0"/>
      <w:marRight w:val="0"/>
      <w:marTop w:val="0"/>
      <w:marBottom w:val="0"/>
      <w:divBdr>
        <w:top w:val="none" w:sz="0" w:space="0" w:color="auto"/>
        <w:left w:val="none" w:sz="0" w:space="0" w:color="auto"/>
        <w:bottom w:val="none" w:sz="0" w:space="0" w:color="auto"/>
        <w:right w:val="none" w:sz="0" w:space="0" w:color="auto"/>
      </w:divBdr>
    </w:div>
    <w:div w:id="1902251316">
      <w:bodyDiv w:val="1"/>
      <w:marLeft w:val="0"/>
      <w:marRight w:val="0"/>
      <w:marTop w:val="0"/>
      <w:marBottom w:val="0"/>
      <w:divBdr>
        <w:top w:val="none" w:sz="0" w:space="0" w:color="auto"/>
        <w:left w:val="none" w:sz="0" w:space="0" w:color="auto"/>
        <w:bottom w:val="none" w:sz="0" w:space="0" w:color="auto"/>
        <w:right w:val="none" w:sz="0" w:space="0" w:color="auto"/>
      </w:divBdr>
    </w:div>
    <w:div w:id="1912345079">
      <w:bodyDiv w:val="1"/>
      <w:marLeft w:val="0"/>
      <w:marRight w:val="0"/>
      <w:marTop w:val="0"/>
      <w:marBottom w:val="0"/>
      <w:divBdr>
        <w:top w:val="none" w:sz="0" w:space="0" w:color="auto"/>
        <w:left w:val="none" w:sz="0" w:space="0" w:color="auto"/>
        <w:bottom w:val="none" w:sz="0" w:space="0" w:color="auto"/>
        <w:right w:val="none" w:sz="0" w:space="0" w:color="auto"/>
      </w:divBdr>
    </w:div>
    <w:div w:id="208964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b.mx/segob/renapo/acciones-y-programas/clave-unica-de-registro-depoblacion-curp-14222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sultas.curp.gob.mx/CurpSP/html/informacionecurpP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partados.hacienda.gob.mx/contabilidad/documentos/informe_cuenta/1998/cuenta_p&#250;blica/Glosario/n.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transparenciapresupuestaria.gob.mx/es/PTP/Glosario" TargetMode="External"/><Relationship Id="rId14" Type="http://schemas.openxmlformats.org/officeDocument/2006/relationships/hyperlink" Target="http://secretariadoejecutivo.gob.mx/work/models/SecretariadoEjecutivo/Resource/328/1/images/instructivo_final_edo_fuerza(1).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A167D-AD44-4BEE-89B7-B1F150B65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8681</Words>
  <Characters>47750</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oswaldo</dc:creator>
  <cp:keywords/>
  <dc:description/>
  <cp:lastModifiedBy>INFOEM500</cp:lastModifiedBy>
  <cp:revision>7</cp:revision>
  <cp:lastPrinted>2025-04-11T19:08:00Z</cp:lastPrinted>
  <dcterms:created xsi:type="dcterms:W3CDTF">2025-04-11T18:37:00Z</dcterms:created>
  <dcterms:modified xsi:type="dcterms:W3CDTF">2025-06-02T17:26:00Z</dcterms:modified>
</cp:coreProperties>
</file>