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735F18E3"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9613CB">
        <w:rPr>
          <w:rFonts w:ascii="Palatino Linotype" w:eastAsia="Palatino Linotype" w:hAnsi="Palatino Linotype" w:cs="Palatino Linotype"/>
          <w:color w:val="000000"/>
        </w:rPr>
        <w:t>treinta de abril</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4E101B78"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9613CB">
        <w:rPr>
          <w:rFonts w:ascii="Palatino Linotype" w:eastAsia="Palatino Linotype" w:hAnsi="Palatino Linotype" w:cs="Palatino Linotype"/>
          <w:b/>
          <w:sz w:val="23"/>
          <w:szCs w:val="23"/>
        </w:rPr>
        <w:t>3555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391DDF">
        <w:rPr>
          <w:rFonts w:ascii="Palatino Linotype" w:eastAsia="Palatino Linotype" w:hAnsi="Palatino Linotype" w:cs="Palatino Linotype"/>
        </w:rPr>
        <w:t xml:space="preserve">el </w:t>
      </w:r>
      <w:r w:rsidR="00391DDF" w:rsidRPr="00391DDF">
        <w:rPr>
          <w:rFonts w:ascii="Palatino Linotype" w:eastAsia="Palatino Linotype" w:hAnsi="Palatino Linotype" w:cs="Palatino Linotype"/>
          <w:b/>
          <w:bCs/>
        </w:rPr>
        <w:t xml:space="preserve">C. </w:t>
      </w:r>
      <w:r w:rsidR="001517DE">
        <w:rPr>
          <w:rFonts w:ascii="Palatino Linotype" w:eastAsia="Palatino Linotype" w:hAnsi="Palatino Linotype" w:cs="Palatino Linotype"/>
          <w:b/>
          <w:bCs/>
        </w:rPr>
        <w:t>XXXXXXXXXXXXX</w:t>
      </w:r>
      <w:bookmarkStart w:id="0" w:name="_GoBack"/>
      <w:bookmarkEnd w:id="0"/>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9613CB" w:rsidRPr="009613CB">
        <w:rPr>
          <w:rFonts w:ascii="Palatino Linotype" w:eastAsia="Palatino Linotype" w:hAnsi="Palatino Linotype" w:cs="Palatino Linotype"/>
          <w:b/>
        </w:rPr>
        <w:t xml:space="preserve">Ayuntamiento de </w:t>
      </w:r>
      <w:proofErr w:type="spellStart"/>
      <w:r w:rsidR="009613CB" w:rsidRPr="009613CB">
        <w:rPr>
          <w:rFonts w:ascii="Palatino Linotype" w:eastAsia="Palatino Linotype" w:hAnsi="Palatino Linotype" w:cs="Palatino Linotype"/>
          <w:b/>
        </w:rPr>
        <w:t>Amatepec</w:t>
      </w:r>
      <w:proofErr w:type="spellEnd"/>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2BCAEB8A"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391DDF">
        <w:rPr>
          <w:rFonts w:ascii="Palatino Linotype" w:eastAsia="Palatino Linotype" w:hAnsi="Palatino Linotype" w:cs="Palatino Linotype"/>
        </w:rPr>
        <w:t>veintiocho de febrero</w:t>
      </w:r>
      <w:r w:rsidR="006B41E2">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391DDF" w:rsidRPr="00391DDF">
        <w:rPr>
          <w:rFonts w:ascii="Palatino Linotype" w:eastAsia="Palatino Linotype" w:hAnsi="Palatino Linotype" w:cs="Palatino Linotype"/>
          <w:b/>
        </w:rPr>
        <w:t>00008/AMATEPEC/IP/2025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19491BC9" w14:textId="396F095B" w:rsidR="00693587" w:rsidRDefault="00693587" w:rsidP="00391DDF">
      <w:pPr>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391DDF" w:rsidRPr="00391DDF">
        <w:rPr>
          <w:rFonts w:ascii="Palatino Linotype" w:eastAsia="Palatino Linotype" w:hAnsi="Palatino Linotype" w:cs="Palatino Linotype"/>
          <w:i/>
        </w:rPr>
        <w:t xml:space="preserve">Relación de Vales de gasolina del año 2022 al 2024 del Ayuntamiento, </w:t>
      </w:r>
      <w:proofErr w:type="spellStart"/>
      <w:r w:rsidR="00391DDF" w:rsidRPr="00391DDF">
        <w:rPr>
          <w:rFonts w:ascii="Palatino Linotype" w:eastAsia="Palatino Linotype" w:hAnsi="Palatino Linotype" w:cs="Palatino Linotype"/>
          <w:i/>
        </w:rPr>
        <w:t>Dif</w:t>
      </w:r>
      <w:proofErr w:type="spellEnd"/>
      <w:r w:rsidR="00391DDF" w:rsidRPr="00391DDF">
        <w:rPr>
          <w:rFonts w:ascii="Palatino Linotype" w:eastAsia="Palatino Linotype" w:hAnsi="Palatino Linotype" w:cs="Palatino Linotype"/>
          <w:i/>
        </w:rPr>
        <w:t xml:space="preserve"> y Deporte, escaneados mes con mes, no quiero relación, quiero bitácoras, contratos de comodatos, copia de pagos realizados mes con mes. Relación de cuentas productivas de los años 2022, 2023 y 2024, aperturas, y cierres de cuentas, Calificaciones del SEVAC de los años, 2022 al 2024. Reportes finales de SRFT de Indicadores, Destino del Gasto y Ejercicio del gasto. Poa de los años 2022 y 2024. Avances del sistema SITRAEM de los años 2022 al 2024. Relación de pagos de CFE de los años 2022 al 2024, incluyendo alumbrado público, edificios, etc. Relación de pagos por pagos de telefonía</w:t>
      </w:r>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08EF778A" w14:textId="2CF6C50A" w:rsidR="00CA47DE"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37A7B2DA"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391DDF">
        <w:rPr>
          <w:rFonts w:ascii="Palatino Linotype" w:eastAsia="Palatino Linotype" w:hAnsi="Palatino Linotype" w:cs="Palatino Linotype"/>
        </w:rPr>
        <w:t>veintiséis de marzo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391DDF">
        <w:rPr>
          <w:rFonts w:ascii="Palatino Linotype" w:eastAsia="Palatino Linotype" w:hAnsi="Palatino Linotype" w:cs="Palatino Linotype"/>
          <w:b/>
          <w:sz w:val="23"/>
          <w:szCs w:val="23"/>
        </w:rPr>
        <w:t>3555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3D99FE01" w:rsidR="00785E98" w:rsidRPr="00693587" w:rsidRDefault="00693587" w:rsidP="006B41E2">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391DDF" w:rsidRPr="00391DDF">
        <w:rPr>
          <w:rFonts w:ascii="Palatino Linotype" w:eastAsia="Palatino Linotype" w:hAnsi="Palatino Linotype" w:cs="Palatino Linotype"/>
          <w:i/>
          <w:color w:val="000000"/>
        </w:rPr>
        <w:t>Negación a presentar información</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4B606956" w:rsidR="00693587" w:rsidRPr="00693587" w:rsidRDefault="00693587" w:rsidP="006B41E2">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391DDF" w:rsidRPr="00391DDF">
        <w:rPr>
          <w:rFonts w:ascii="Palatino Linotype" w:eastAsia="Palatino Linotype" w:hAnsi="Palatino Linotype" w:cs="Palatino Linotype"/>
          <w:i/>
          <w:color w:val="000000"/>
        </w:rPr>
        <w:t>No entregaron ninguna información</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7C9B9E01"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391DDF">
        <w:rPr>
          <w:rFonts w:ascii="Palatino Linotype" w:eastAsia="Palatino Linotype" w:hAnsi="Palatino Linotype" w:cs="Palatino Linotype"/>
        </w:rPr>
        <w:t>uno de abril</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6A5CDB3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391DDF">
        <w:rPr>
          <w:rFonts w:ascii="Palatino Linotype" w:eastAsia="Palatino Linotype" w:hAnsi="Palatino Linotype" w:cs="Palatino Linotype"/>
        </w:rPr>
        <w:t>once de abril</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63D68319" w14:textId="77777777" w:rsidR="00391DDF" w:rsidRPr="00391DDF" w:rsidRDefault="00391DDF" w:rsidP="00391DDF">
      <w:pPr>
        <w:spacing w:after="160" w:line="360" w:lineRule="auto"/>
        <w:jc w:val="both"/>
        <w:rPr>
          <w:rFonts w:ascii="Palatino Linotype" w:eastAsia="Calibri" w:hAnsi="Palatino Linotype"/>
          <w:kern w:val="2"/>
          <w:lang w:val="es-MX" w:eastAsia="en-US"/>
          <w14:ligatures w14:val="standardContextual"/>
        </w:rPr>
      </w:pPr>
      <w:bookmarkStart w:id="1" w:name="_Hlk194325801"/>
      <w:r w:rsidRPr="00391DDF">
        <w:rPr>
          <w:rFonts w:ascii="Palatino Linotype" w:eastAsia="Calibri" w:hAnsi="Palatino Linotype"/>
          <w:kern w:val="2"/>
          <w:lang w:val="es-MX" w:eastAsia="en-US"/>
          <w14:ligatures w14:val="standardContextual"/>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bookmarkEnd w:id="1"/>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partir de la cual pudiera computarse dicho plazo, por tal motivo es pertinente establecer que no existe plazo específico para la interposición del </w:t>
      </w:r>
      <w:r>
        <w:rPr>
          <w:rFonts w:ascii="Palatino Linotype" w:eastAsia="Palatino Linotype" w:hAnsi="Palatino Linotype" w:cs="Palatino Linotype"/>
          <w:color w:val="000000"/>
        </w:rPr>
        <w:lastRenderedPageBreak/>
        <w:t>recurso de revisión, y este puede ser presentado en cualquier momento. Por lo que la interposición del presente recurso de revisión resulta oportuna.</w:t>
      </w:r>
    </w:p>
    <w:p w14:paraId="3BA994AD" w14:textId="77777777" w:rsidR="00785E98" w:rsidRDefault="00785E98">
      <w:pPr>
        <w:spacing w:line="360" w:lineRule="auto"/>
        <w:jc w:val="both"/>
        <w:rPr>
          <w:rFonts w:ascii="Palatino Linotype" w:eastAsia="Palatino Linotype" w:hAnsi="Palatino Linotype" w:cs="Palatino Linotype"/>
        </w:rPr>
      </w:pPr>
    </w:p>
    <w:p w14:paraId="73B98FA1" w14:textId="67491671" w:rsidR="00785E98" w:rsidRDefault="00391DDF">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estudio de las causas de improcedencia que se hagan valer por las partes o que se advierta de oficio por este </w:t>
      </w:r>
      <w:proofErr w:type="spellStart"/>
      <w:r>
        <w:rPr>
          <w:rFonts w:ascii="Palatino Linotype" w:eastAsia="Palatino Linotype" w:hAnsi="Palatino Linotype" w:cs="Palatino Linotype"/>
        </w:rPr>
        <w:t>Resolutor</w:t>
      </w:r>
      <w:proofErr w:type="spellEnd"/>
      <w:r>
        <w:rPr>
          <w:rFonts w:ascii="Palatino Linotype" w:eastAsia="Palatino Linotype" w:hAnsi="Palatino Linotype" w:cs="Palatino Linotype"/>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w:t>
      </w:r>
      <w:r>
        <w:rPr>
          <w:rFonts w:ascii="Palatino Linotype" w:eastAsia="Palatino Linotype" w:hAnsi="Palatino Linotype" w:cs="Palatino Linotype"/>
          <w:i/>
          <w:color w:val="000000"/>
          <w:sz w:val="22"/>
          <w:szCs w:val="22"/>
        </w:rPr>
        <w:lastRenderedPageBreak/>
        <w:t xml:space="preserve">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9E91822" w14:textId="77777777" w:rsidR="00391DDF" w:rsidRDefault="00391DDF">
      <w:pPr>
        <w:spacing w:line="360" w:lineRule="auto"/>
        <w:jc w:val="both"/>
        <w:rPr>
          <w:rFonts w:ascii="Palatino Linotype" w:eastAsia="Palatino Linotype" w:hAnsi="Palatino Linotype" w:cs="Palatino Linotype"/>
        </w:rPr>
      </w:pP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al no existir causas de improcedencia invocadas por las partes ni advertidas de oficio por este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 se proceden al análisis del fondo de los asuntos en los siguientes términos.</w:t>
      </w:r>
    </w:p>
    <w:p w14:paraId="2242B7AC" w14:textId="5FB44A71" w:rsidR="00785E98" w:rsidRDefault="00391DDF">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CUAR</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0D35536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D77B2AD" w14:textId="77777777" w:rsidR="006B41E2" w:rsidRDefault="006B41E2">
      <w:pPr>
        <w:spacing w:line="360" w:lineRule="auto"/>
        <w:jc w:val="both"/>
        <w:rPr>
          <w:rFonts w:ascii="Palatino Linotype" w:eastAsia="Palatino Linotype" w:hAnsi="Palatino Linotype" w:cs="Palatino Linotype"/>
        </w:rPr>
      </w:pPr>
    </w:p>
    <w:p w14:paraId="340E6064" w14:textId="77777777" w:rsidR="006B41E2" w:rsidRDefault="006B41E2">
      <w:pPr>
        <w:spacing w:line="360" w:lineRule="auto"/>
        <w:jc w:val="both"/>
        <w:rPr>
          <w:rFonts w:ascii="Palatino Linotype" w:eastAsia="Palatino Linotype" w:hAnsi="Palatino Linotype" w:cs="Palatino Linotype"/>
        </w:rPr>
      </w:pPr>
    </w:p>
    <w:p w14:paraId="2694ADB4" w14:textId="77777777" w:rsidR="006B41E2" w:rsidRDefault="006B41E2">
      <w:pPr>
        <w:spacing w:line="360" w:lineRule="auto"/>
        <w:jc w:val="both"/>
        <w:rPr>
          <w:rFonts w:ascii="Palatino Linotype" w:eastAsia="Palatino Linotype" w:hAnsi="Palatino Linotype" w:cs="Palatino Linotype"/>
        </w:rPr>
      </w:pPr>
    </w:p>
    <w:p w14:paraId="4EFCC0CE" w14:textId="77777777" w:rsidR="00785E98" w:rsidRPr="00391DDF" w:rsidRDefault="005D216E" w:rsidP="00391DDF">
      <w:pPr>
        <w:numPr>
          <w:ilvl w:val="0"/>
          <w:numId w:val="1"/>
        </w:numPr>
        <w:pBdr>
          <w:top w:val="nil"/>
          <w:left w:val="nil"/>
          <w:bottom w:val="nil"/>
          <w:right w:val="nil"/>
          <w:between w:val="nil"/>
        </w:pBdr>
        <w:spacing w:line="360" w:lineRule="auto"/>
        <w:jc w:val="both"/>
        <w:rPr>
          <w:b/>
          <w:color w:val="000000"/>
          <w:sz w:val="28"/>
          <w:szCs w:val="28"/>
          <w:u w:val="thick"/>
        </w:rPr>
      </w:pPr>
      <w:r w:rsidRPr="00391DDF">
        <w:rPr>
          <w:rFonts w:ascii="Palatino Linotype" w:eastAsia="Palatino Linotype" w:hAnsi="Palatino Linotype" w:cs="Palatino Linotype"/>
          <w:b/>
          <w:color w:val="000000"/>
          <w:sz w:val="28"/>
          <w:szCs w:val="28"/>
          <w:u w:val="thick"/>
        </w:rPr>
        <w:lastRenderedPageBreak/>
        <w:t>De la clasificación de la información</w:t>
      </w:r>
    </w:p>
    <w:p w14:paraId="58B0324F" w14:textId="57D758C7" w:rsidR="00785E98" w:rsidRDefault="005D216E" w:rsidP="00391DD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1C8238C" w14:textId="77777777" w:rsidR="00391DDF" w:rsidRDefault="00391DDF" w:rsidP="00391DDF">
      <w:pPr>
        <w:tabs>
          <w:tab w:val="left" w:pos="8647"/>
        </w:tabs>
        <w:spacing w:line="360" w:lineRule="auto"/>
        <w:ind w:right="51"/>
        <w:jc w:val="both"/>
        <w:rPr>
          <w:rFonts w:ascii="Palatino Linotype" w:eastAsia="Palatino Linotype" w:hAnsi="Palatino Linotype" w:cs="Palatino Linotype"/>
        </w:rPr>
      </w:pPr>
    </w:p>
    <w:p w14:paraId="21F677C1" w14:textId="7B75B6C9"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365C04DE" w14:textId="77777777" w:rsidR="00391DDF" w:rsidRDefault="00391DDF">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la clasificación de la información como reservada se deben establecer, de manera fundada y motivada, las hipótesis normativas aplicables al caso concreto y se analice </w:t>
      </w:r>
      <w:r>
        <w:rPr>
          <w:rFonts w:ascii="Palatino Linotype" w:eastAsia="Palatino Linotype" w:hAnsi="Palatino Linotype" w:cs="Palatino Linotype"/>
        </w:rPr>
        <w:lastRenderedPageBreak/>
        <w:t>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Pr="00391DDF" w:rsidRDefault="005D216E" w:rsidP="00391DDF">
      <w:pPr>
        <w:numPr>
          <w:ilvl w:val="0"/>
          <w:numId w:val="1"/>
        </w:numPr>
        <w:pBdr>
          <w:top w:val="nil"/>
          <w:left w:val="nil"/>
          <w:bottom w:val="nil"/>
          <w:right w:val="nil"/>
          <w:between w:val="nil"/>
        </w:pBdr>
        <w:tabs>
          <w:tab w:val="left" w:pos="7938"/>
        </w:tabs>
        <w:spacing w:line="360" w:lineRule="auto"/>
        <w:jc w:val="both"/>
        <w:rPr>
          <w:b/>
          <w:color w:val="000000"/>
          <w:sz w:val="28"/>
          <w:szCs w:val="28"/>
          <w:u w:val="thick"/>
        </w:rPr>
      </w:pPr>
      <w:r w:rsidRPr="00391DDF">
        <w:rPr>
          <w:rFonts w:ascii="Palatino Linotype" w:eastAsia="Palatino Linotype" w:hAnsi="Palatino Linotype" w:cs="Palatino Linotype"/>
          <w:b/>
          <w:color w:val="000000"/>
          <w:sz w:val="28"/>
          <w:szCs w:val="28"/>
          <w:u w:val="thick"/>
        </w:rPr>
        <w:t xml:space="preserve">De la vista a los órganos de control interno competentes </w:t>
      </w:r>
    </w:p>
    <w:p w14:paraId="299D5695" w14:textId="77777777" w:rsidR="00785E98" w:rsidRDefault="005D216E" w:rsidP="00391DD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rPr>
        <w:lastRenderedPageBreak/>
        <w:t>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0FB1F26A"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391DDF" w:rsidRPr="00391DDF">
        <w:rPr>
          <w:rFonts w:ascii="Palatino Linotype" w:eastAsia="Palatino Linotype" w:hAnsi="Palatino Linotype" w:cs="Palatino Linotype"/>
          <w:b/>
        </w:rPr>
        <w:t>00008/AMATEPEC/IP/2025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78560DEE" w14:textId="77777777" w:rsidR="00E94B1F" w:rsidRPr="00CA19C9" w:rsidRDefault="00E94B1F"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0B42E763"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391DDF">
        <w:rPr>
          <w:rFonts w:ascii="Palatino Linotype" w:eastAsia="Palatino Linotype" w:hAnsi="Palatino Linotype" w:cs="Palatino Linotype"/>
          <w:b/>
        </w:rPr>
        <w:t>CUAR</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4DA395B9"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391DDF" w:rsidRPr="00391DDF">
        <w:rPr>
          <w:rFonts w:ascii="Palatino Linotype" w:eastAsia="Palatino Linotype" w:hAnsi="Palatino Linotype" w:cs="Palatino Linotype"/>
          <w:b/>
        </w:rPr>
        <w:t>00008/AMATEPEC/IP/2025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391DDF">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65E61E40" w14:textId="6FDCB74C"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Pr>
          <w:rFonts w:ascii="Palatino Linotype" w:eastAsia="Palatino Linotype" w:hAnsi="Palatino Linotype" w:cs="Palatino Linotype"/>
          <w:b/>
        </w:rPr>
        <w:t>o</w:t>
      </w:r>
      <w:r>
        <w:rPr>
          <w:rFonts w:ascii="Palatino Linotype" w:eastAsia="Palatino Linotype" w:hAnsi="Palatino Linotype" w:cs="Palatino Linotype"/>
        </w:rPr>
        <w:t xml:space="preserve"> </w:t>
      </w:r>
      <w:r w:rsidR="00391DDF">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321CD0D5"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C0B85">
        <w:rPr>
          <w:rFonts w:ascii="Palatino Linotype" w:eastAsia="Palatino Linotype" w:hAnsi="Palatino Linotype" w:cs="Palatino Linotype"/>
        </w:rPr>
        <w:t>DÉCIMA QUINTA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9C0B85">
        <w:rPr>
          <w:rFonts w:ascii="Palatino Linotype" w:eastAsia="Palatino Linotype" w:hAnsi="Palatino Linotype" w:cs="Palatino Linotype"/>
        </w:rPr>
        <w:t>TREINTA DE ABRIL</w:t>
      </w:r>
      <w:r w:rsidR="00CA47DE" w:rsidRPr="00CA47DE">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5C32" w14:textId="77777777" w:rsidR="00BE3FDA" w:rsidRDefault="00BE3FDA">
      <w:r>
        <w:separator/>
      </w:r>
    </w:p>
  </w:endnote>
  <w:endnote w:type="continuationSeparator" w:id="0">
    <w:p w14:paraId="566106FF" w14:textId="77777777" w:rsidR="00BE3FDA" w:rsidRDefault="00BE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17DE">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17DE">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517D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517DE">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76E7C" w14:textId="77777777" w:rsidR="00BE3FDA" w:rsidRDefault="00BE3FDA">
      <w:r>
        <w:separator/>
      </w:r>
    </w:p>
  </w:footnote>
  <w:footnote w:type="continuationSeparator" w:id="0">
    <w:p w14:paraId="6605DE70" w14:textId="77777777" w:rsidR="00BE3FDA" w:rsidRDefault="00BE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1517DE">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1517DE">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30.6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0F3CE78B"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9613CB">
            <w:rPr>
              <w:rFonts w:ascii="Palatino Linotype" w:eastAsia="Palatino Linotype" w:hAnsi="Palatino Linotype" w:cs="Palatino Linotype"/>
              <w:sz w:val="22"/>
              <w:szCs w:val="22"/>
            </w:rPr>
            <w:t>3555</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753693E2" w:rsidR="00785E98" w:rsidRDefault="009613CB">
          <w:pPr>
            <w:spacing w:line="276" w:lineRule="auto"/>
            <w:jc w:val="right"/>
            <w:rPr>
              <w:rFonts w:ascii="Palatino Linotype" w:eastAsia="Palatino Linotype" w:hAnsi="Palatino Linotype" w:cs="Palatino Linotype"/>
              <w:sz w:val="21"/>
              <w:szCs w:val="21"/>
            </w:rPr>
          </w:pPr>
          <w:r w:rsidRPr="009613CB">
            <w:rPr>
              <w:rFonts w:ascii="Palatino Linotype" w:eastAsia="Palatino Linotype" w:hAnsi="Palatino Linotype" w:cs="Palatino Linotype"/>
              <w:sz w:val="21"/>
              <w:szCs w:val="21"/>
            </w:rPr>
            <w:t xml:space="preserve">Ayuntamiento de </w:t>
          </w:r>
          <w:proofErr w:type="spellStart"/>
          <w:r w:rsidRPr="009613CB">
            <w:rPr>
              <w:rFonts w:ascii="Palatino Linotype" w:eastAsia="Palatino Linotype" w:hAnsi="Palatino Linotype" w:cs="Palatino Linotype"/>
              <w:sz w:val="21"/>
              <w:szCs w:val="21"/>
            </w:rPr>
            <w:t>Amatepec</w:t>
          </w:r>
          <w:proofErr w:type="spellEnd"/>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1517D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56620EC6"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9613CB">
            <w:rPr>
              <w:rFonts w:ascii="Palatino Linotype" w:eastAsia="Palatino Linotype" w:hAnsi="Palatino Linotype" w:cs="Palatino Linotype"/>
              <w:sz w:val="22"/>
              <w:szCs w:val="22"/>
            </w:rPr>
            <w:t>3555</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1A052B0B" w:rsidR="00785E98" w:rsidRDefault="001517D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05C8BF06" w:rsidR="00785E98" w:rsidRDefault="009613CB">
          <w:pPr>
            <w:jc w:val="right"/>
            <w:rPr>
              <w:rFonts w:ascii="Palatino Linotype" w:eastAsia="Palatino Linotype" w:hAnsi="Palatino Linotype" w:cs="Palatino Linotype"/>
              <w:sz w:val="21"/>
              <w:szCs w:val="21"/>
            </w:rPr>
          </w:pPr>
          <w:r w:rsidRPr="009613CB">
            <w:rPr>
              <w:rFonts w:ascii="Palatino Linotype" w:eastAsia="Palatino Linotype" w:hAnsi="Palatino Linotype" w:cs="Palatino Linotype"/>
              <w:sz w:val="21"/>
              <w:szCs w:val="21"/>
            </w:rPr>
            <w:t xml:space="preserve">Ayuntamiento de </w:t>
          </w:r>
          <w:proofErr w:type="spellStart"/>
          <w:r w:rsidRPr="009613CB">
            <w:rPr>
              <w:rFonts w:ascii="Palatino Linotype" w:eastAsia="Palatino Linotype" w:hAnsi="Palatino Linotype" w:cs="Palatino Linotype"/>
              <w:sz w:val="21"/>
              <w:szCs w:val="21"/>
            </w:rPr>
            <w:t>Amatepec</w:t>
          </w:r>
          <w:proofErr w:type="spellEnd"/>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52776"/>
    <w:rsid w:val="00092D69"/>
    <w:rsid w:val="001517DE"/>
    <w:rsid w:val="00232219"/>
    <w:rsid w:val="00391DDF"/>
    <w:rsid w:val="00543AA4"/>
    <w:rsid w:val="00543E38"/>
    <w:rsid w:val="005D216E"/>
    <w:rsid w:val="00603A5B"/>
    <w:rsid w:val="00645942"/>
    <w:rsid w:val="00693587"/>
    <w:rsid w:val="006B41E2"/>
    <w:rsid w:val="00784677"/>
    <w:rsid w:val="00785E98"/>
    <w:rsid w:val="009613CB"/>
    <w:rsid w:val="009C0B85"/>
    <w:rsid w:val="009E14D9"/>
    <w:rsid w:val="00A06D16"/>
    <w:rsid w:val="00A15154"/>
    <w:rsid w:val="00AA16A3"/>
    <w:rsid w:val="00B451BA"/>
    <w:rsid w:val="00BE036E"/>
    <w:rsid w:val="00BE3FDA"/>
    <w:rsid w:val="00CA19C9"/>
    <w:rsid w:val="00CA47DE"/>
    <w:rsid w:val="00E94B1F"/>
    <w:rsid w:val="00EB1290"/>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4267</Words>
  <Characters>23471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5</cp:revision>
  <dcterms:created xsi:type="dcterms:W3CDTF">2025-04-11T03:52:00Z</dcterms:created>
  <dcterms:modified xsi:type="dcterms:W3CDTF">2025-05-13T18:32:00Z</dcterms:modified>
</cp:coreProperties>
</file>