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9B399" w14:textId="77777777" w:rsidR="00E370EF" w:rsidRDefault="00E370EF" w:rsidP="00E370EF">
      <w:pPr>
        <w:pStyle w:val="Ttulode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Start w:id="1" w:name="_Hlk207838146"/>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13DBA464" w14:textId="30F8E91A" w:rsidR="00E370EF" w:rsidRPr="00AC17E4" w:rsidRDefault="00E370EF" w:rsidP="00E370EF">
          <w:pPr>
            <w:pStyle w:val="TtulodeTDC"/>
            <w:spacing w:before="0" w:line="360" w:lineRule="auto"/>
            <w:contextualSpacing/>
            <w:jc w:val="center"/>
            <w:rPr>
              <w:rFonts w:ascii="Palatino Linotype" w:hAnsi="Palatino Linotype"/>
              <w:color w:val="auto"/>
              <w:sz w:val="22"/>
              <w:szCs w:val="22"/>
            </w:rPr>
          </w:pPr>
          <w:r w:rsidRPr="00AC17E4">
            <w:rPr>
              <w:rFonts w:ascii="Palatino Linotype" w:hAnsi="Palatino Linotype"/>
              <w:color w:val="auto"/>
              <w:sz w:val="22"/>
              <w:szCs w:val="22"/>
              <w:lang w:val="es-ES"/>
            </w:rPr>
            <w:t xml:space="preserve">RESOLUCIÓN DEL RECURSO DE REVISIÓN </w:t>
          </w:r>
          <w:r w:rsidRPr="00AC17E4">
            <w:rPr>
              <w:rFonts w:ascii="Palatino Linotype" w:hAnsi="Palatino Linotype"/>
              <w:color w:val="auto"/>
              <w:sz w:val="22"/>
              <w:szCs w:val="22"/>
            </w:rPr>
            <w:t>0</w:t>
          </w:r>
          <w:r>
            <w:rPr>
              <w:rFonts w:ascii="Palatino Linotype" w:hAnsi="Palatino Linotype"/>
              <w:color w:val="auto"/>
              <w:sz w:val="22"/>
              <w:szCs w:val="22"/>
            </w:rPr>
            <w:t>6726</w:t>
          </w:r>
          <w:r w:rsidRPr="00AC17E4">
            <w:rPr>
              <w:rFonts w:ascii="Palatino Linotype" w:hAnsi="Palatino Linotype"/>
              <w:color w:val="auto"/>
              <w:sz w:val="22"/>
              <w:szCs w:val="22"/>
            </w:rPr>
            <w:t>/INFOEM/IP/RR/2025</w:t>
          </w:r>
        </w:p>
        <w:p w14:paraId="6C3E3F75" w14:textId="77777777" w:rsidR="00E370EF" w:rsidRPr="00AC17E4" w:rsidRDefault="00E370EF" w:rsidP="00E370EF">
          <w:pPr>
            <w:pStyle w:val="TtulodeTDC"/>
            <w:spacing w:before="0" w:line="360" w:lineRule="auto"/>
            <w:contextualSpacing/>
            <w:rPr>
              <w:rFonts w:ascii="Palatino Linotype" w:hAnsi="Palatino Linotype"/>
              <w:color w:val="auto"/>
              <w:sz w:val="22"/>
              <w:szCs w:val="22"/>
            </w:rPr>
          </w:pPr>
        </w:p>
        <w:p w14:paraId="49884203" w14:textId="653AE062" w:rsidR="008F7AFF" w:rsidRPr="008F7AFF" w:rsidRDefault="00E370EF" w:rsidP="008F7AFF">
          <w:pPr>
            <w:pStyle w:val="TDC1"/>
            <w:tabs>
              <w:tab w:val="right" w:leader="dot" w:pos="8828"/>
            </w:tabs>
            <w:spacing w:line="360" w:lineRule="auto"/>
            <w:contextualSpacing/>
            <w:rPr>
              <w:rFonts w:cstheme="minorBidi"/>
              <w:noProof/>
              <w:kern w:val="2"/>
              <w:sz w:val="24"/>
              <w:szCs w:val="24"/>
              <w14:ligatures w14:val="standardContextual"/>
            </w:rPr>
          </w:pPr>
          <w:r w:rsidRPr="00065B61">
            <w:rPr>
              <w:rFonts w:ascii="Palatino Linotype" w:eastAsia="Palatino Linotype" w:hAnsi="Palatino Linotype" w:cs="Palatino Linotype"/>
              <w:color w:val="000000" w:themeColor="text1"/>
            </w:rPr>
            <w:fldChar w:fldCharType="begin"/>
          </w:r>
          <w:r w:rsidRPr="00065B61">
            <w:rPr>
              <w:rFonts w:ascii="Palatino Linotype" w:hAnsi="Palatino Linotype"/>
            </w:rPr>
            <w:instrText xml:space="preserve"> TOC \o "1-3" \h \z \u </w:instrText>
          </w:r>
          <w:r w:rsidRPr="00065B61">
            <w:rPr>
              <w:rFonts w:ascii="Palatino Linotype" w:eastAsia="Palatino Linotype" w:hAnsi="Palatino Linotype" w:cs="Palatino Linotype"/>
              <w:color w:val="000000" w:themeColor="text1"/>
            </w:rPr>
            <w:fldChar w:fldCharType="separate"/>
          </w:r>
          <w:hyperlink w:anchor="_Toc210308874" w:history="1">
            <w:r w:rsidR="008F7AFF" w:rsidRPr="008F7AFF">
              <w:rPr>
                <w:rStyle w:val="Hipervnculo"/>
                <w:rFonts w:ascii="Palatino Linotype" w:hAnsi="Palatino Linotype"/>
                <w:noProof/>
              </w:rPr>
              <w:t>A N T E C E D E N T E S</w:t>
            </w:r>
            <w:r w:rsidR="008F7AFF" w:rsidRPr="008F7AFF">
              <w:rPr>
                <w:noProof/>
                <w:webHidden/>
              </w:rPr>
              <w:tab/>
            </w:r>
            <w:r w:rsidR="008F7AFF" w:rsidRPr="008F7AFF">
              <w:rPr>
                <w:noProof/>
                <w:webHidden/>
              </w:rPr>
              <w:fldChar w:fldCharType="begin"/>
            </w:r>
            <w:r w:rsidR="008F7AFF" w:rsidRPr="008F7AFF">
              <w:rPr>
                <w:noProof/>
                <w:webHidden/>
              </w:rPr>
              <w:instrText xml:space="preserve"> PAGEREF _Toc210308874 \h </w:instrText>
            </w:r>
            <w:r w:rsidR="008F7AFF" w:rsidRPr="008F7AFF">
              <w:rPr>
                <w:noProof/>
                <w:webHidden/>
              </w:rPr>
            </w:r>
            <w:r w:rsidR="008F7AFF" w:rsidRPr="008F7AFF">
              <w:rPr>
                <w:noProof/>
                <w:webHidden/>
              </w:rPr>
              <w:fldChar w:fldCharType="separate"/>
            </w:r>
            <w:r w:rsidR="0099699B">
              <w:rPr>
                <w:noProof/>
                <w:webHidden/>
              </w:rPr>
              <w:t>2</w:t>
            </w:r>
            <w:r w:rsidR="008F7AFF" w:rsidRPr="008F7AFF">
              <w:rPr>
                <w:noProof/>
                <w:webHidden/>
              </w:rPr>
              <w:fldChar w:fldCharType="end"/>
            </w:r>
          </w:hyperlink>
        </w:p>
        <w:p w14:paraId="0B595698" w14:textId="1EF15000" w:rsidR="008F7AFF" w:rsidRPr="008F7AFF" w:rsidRDefault="00D91E06" w:rsidP="008F7AFF">
          <w:pPr>
            <w:pStyle w:val="TDC2"/>
            <w:tabs>
              <w:tab w:val="right" w:leader="dot" w:pos="8828"/>
            </w:tabs>
            <w:spacing w:line="360" w:lineRule="auto"/>
            <w:contextualSpacing/>
            <w:rPr>
              <w:rFonts w:cstheme="minorBidi"/>
              <w:noProof/>
              <w:kern w:val="2"/>
              <w:sz w:val="24"/>
              <w:szCs w:val="24"/>
              <w14:ligatures w14:val="standardContextual"/>
            </w:rPr>
          </w:pPr>
          <w:hyperlink w:anchor="_Toc210308875" w:history="1">
            <w:r w:rsidR="008F7AFF" w:rsidRPr="008F7AFF">
              <w:rPr>
                <w:rStyle w:val="Hipervnculo"/>
                <w:rFonts w:ascii="Palatino Linotype" w:hAnsi="Palatino Linotype"/>
                <w:noProof/>
              </w:rPr>
              <w:t>I. Presentación de la solicitud de información</w:t>
            </w:r>
            <w:r w:rsidR="008F7AFF" w:rsidRPr="008F7AFF">
              <w:rPr>
                <w:noProof/>
                <w:webHidden/>
              </w:rPr>
              <w:tab/>
            </w:r>
            <w:r w:rsidR="008F7AFF" w:rsidRPr="008F7AFF">
              <w:rPr>
                <w:noProof/>
                <w:webHidden/>
              </w:rPr>
              <w:fldChar w:fldCharType="begin"/>
            </w:r>
            <w:r w:rsidR="008F7AFF" w:rsidRPr="008F7AFF">
              <w:rPr>
                <w:noProof/>
                <w:webHidden/>
              </w:rPr>
              <w:instrText xml:space="preserve"> PAGEREF _Toc210308875 \h </w:instrText>
            </w:r>
            <w:r w:rsidR="008F7AFF" w:rsidRPr="008F7AFF">
              <w:rPr>
                <w:noProof/>
                <w:webHidden/>
              </w:rPr>
            </w:r>
            <w:r w:rsidR="008F7AFF" w:rsidRPr="008F7AFF">
              <w:rPr>
                <w:noProof/>
                <w:webHidden/>
              </w:rPr>
              <w:fldChar w:fldCharType="separate"/>
            </w:r>
            <w:r w:rsidR="0099699B">
              <w:rPr>
                <w:noProof/>
                <w:webHidden/>
              </w:rPr>
              <w:t>2</w:t>
            </w:r>
            <w:r w:rsidR="008F7AFF" w:rsidRPr="008F7AFF">
              <w:rPr>
                <w:noProof/>
                <w:webHidden/>
              </w:rPr>
              <w:fldChar w:fldCharType="end"/>
            </w:r>
          </w:hyperlink>
        </w:p>
        <w:p w14:paraId="7D5BAF1A" w14:textId="747FB4DE" w:rsidR="008F7AFF" w:rsidRPr="008F7AFF" w:rsidRDefault="00D91E06" w:rsidP="008F7AFF">
          <w:pPr>
            <w:pStyle w:val="TDC2"/>
            <w:tabs>
              <w:tab w:val="right" w:leader="dot" w:pos="8828"/>
            </w:tabs>
            <w:spacing w:line="360" w:lineRule="auto"/>
            <w:contextualSpacing/>
            <w:rPr>
              <w:rFonts w:cstheme="minorBidi"/>
              <w:noProof/>
              <w:kern w:val="2"/>
              <w:sz w:val="24"/>
              <w:szCs w:val="24"/>
              <w14:ligatures w14:val="standardContextual"/>
            </w:rPr>
          </w:pPr>
          <w:hyperlink w:anchor="_Toc210308876" w:history="1">
            <w:r w:rsidR="008F7AFF" w:rsidRPr="008F7AFF">
              <w:rPr>
                <w:rStyle w:val="Hipervnculo"/>
                <w:rFonts w:ascii="Palatino Linotype" w:hAnsi="Palatino Linotype"/>
                <w:noProof/>
              </w:rPr>
              <w:t>III. Interposición del Recurso de Revisión</w:t>
            </w:r>
            <w:r w:rsidR="008F7AFF" w:rsidRPr="008F7AFF">
              <w:rPr>
                <w:noProof/>
                <w:webHidden/>
              </w:rPr>
              <w:tab/>
            </w:r>
            <w:r w:rsidR="008F7AFF" w:rsidRPr="008F7AFF">
              <w:rPr>
                <w:noProof/>
                <w:webHidden/>
              </w:rPr>
              <w:fldChar w:fldCharType="begin"/>
            </w:r>
            <w:r w:rsidR="008F7AFF" w:rsidRPr="008F7AFF">
              <w:rPr>
                <w:noProof/>
                <w:webHidden/>
              </w:rPr>
              <w:instrText xml:space="preserve"> PAGEREF _Toc210308876 \h </w:instrText>
            </w:r>
            <w:r w:rsidR="008F7AFF" w:rsidRPr="008F7AFF">
              <w:rPr>
                <w:noProof/>
                <w:webHidden/>
              </w:rPr>
            </w:r>
            <w:r w:rsidR="008F7AFF" w:rsidRPr="008F7AFF">
              <w:rPr>
                <w:noProof/>
                <w:webHidden/>
              </w:rPr>
              <w:fldChar w:fldCharType="separate"/>
            </w:r>
            <w:r w:rsidR="0099699B">
              <w:rPr>
                <w:noProof/>
                <w:webHidden/>
              </w:rPr>
              <w:t>3</w:t>
            </w:r>
            <w:r w:rsidR="008F7AFF" w:rsidRPr="008F7AFF">
              <w:rPr>
                <w:noProof/>
                <w:webHidden/>
              </w:rPr>
              <w:fldChar w:fldCharType="end"/>
            </w:r>
          </w:hyperlink>
        </w:p>
        <w:p w14:paraId="415966E4" w14:textId="6672F6F9" w:rsidR="008F7AFF" w:rsidRPr="008F7AFF" w:rsidRDefault="00D91E06" w:rsidP="008F7AFF">
          <w:pPr>
            <w:pStyle w:val="TDC2"/>
            <w:tabs>
              <w:tab w:val="right" w:leader="dot" w:pos="8828"/>
            </w:tabs>
            <w:spacing w:line="360" w:lineRule="auto"/>
            <w:contextualSpacing/>
            <w:rPr>
              <w:rFonts w:cstheme="minorBidi"/>
              <w:noProof/>
              <w:kern w:val="2"/>
              <w:sz w:val="24"/>
              <w:szCs w:val="24"/>
              <w14:ligatures w14:val="standardContextual"/>
            </w:rPr>
          </w:pPr>
          <w:hyperlink w:anchor="_Toc210308877" w:history="1">
            <w:r w:rsidR="008F7AFF" w:rsidRPr="008F7AFF">
              <w:rPr>
                <w:rStyle w:val="Hipervnculo"/>
                <w:rFonts w:ascii="Palatino Linotype" w:hAnsi="Palatino Linotype"/>
                <w:noProof/>
              </w:rPr>
              <w:t xml:space="preserve">IV. </w:t>
            </w:r>
            <w:r w:rsidR="008F7AFF" w:rsidRPr="008F7AFF">
              <w:rPr>
                <w:rStyle w:val="Hipervnculo"/>
                <w:rFonts w:ascii="Palatino Linotype" w:eastAsia="Batang" w:hAnsi="Palatino Linotype"/>
                <w:noProof/>
              </w:rPr>
              <w:t xml:space="preserve">Trámite del </w:t>
            </w:r>
            <w:r w:rsidR="008F7AFF" w:rsidRPr="008F7AFF">
              <w:rPr>
                <w:rStyle w:val="Hipervnculo"/>
                <w:rFonts w:ascii="Palatino Linotype" w:hAnsi="Palatino Linotype"/>
                <w:noProof/>
              </w:rPr>
              <w:t xml:space="preserve">Recurso de Revisión </w:t>
            </w:r>
            <w:r w:rsidR="008F7AFF" w:rsidRPr="008F7AFF">
              <w:rPr>
                <w:rStyle w:val="Hipervnculo"/>
                <w:rFonts w:ascii="Palatino Linotype" w:eastAsia="Batang" w:hAnsi="Palatino Linotype"/>
                <w:noProof/>
              </w:rPr>
              <w:t>ante este Instituto</w:t>
            </w:r>
            <w:r w:rsidR="008F7AFF" w:rsidRPr="008F7AFF">
              <w:rPr>
                <w:noProof/>
                <w:webHidden/>
              </w:rPr>
              <w:tab/>
            </w:r>
            <w:r w:rsidR="008F7AFF" w:rsidRPr="008F7AFF">
              <w:rPr>
                <w:noProof/>
                <w:webHidden/>
              </w:rPr>
              <w:fldChar w:fldCharType="begin"/>
            </w:r>
            <w:r w:rsidR="008F7AFF" w:rsidRPr="008F7AFF">
              <w:rPr>
                <w:noProof/>
                <w:webHidden/>
              </w:rPr>
              <w:instrText xml:space="preserve"> PAGEREF _Toc210308877 \h </w:instrText>
            </w:r>
            <w:r w:rsidR="008F7AFF" w:rsidRPr="008F7AFF">
              <w:rPr>
                <w:noProof/>
                <w:webHidden/>
              </w:rPr>
            </w:r>
            <w:r w:rsidR="008F7AFF" w:rsidRPr="008F7AFF">
              <w:rPr>
                <w:noProof/>
                <w:webHidden/>
              </w:rPr>
              <w:fldChar w:fldCharType="separate"/>
            </w:r>
            <w:r w:rsidR="0099699B">
              <w:rPr>
                <w:noProof/>
                <w:webHidden/>
              </w:rPr>
              <w:t>4</w:t>
            </w:r>
            <w:r w:rsidR="008F7AFF" w:rsidRPr="008F7AFF">
              <w:rPr>
                <w:noProof/>
                <w:webHidden/>
              </w:rPr>
              <w:fldChar w:fldCharType="end"/>
            </w:r>
          </w:hyperlink>
        </w:p>
        <w:p w14:paraId="1DCD08C7" w14:textId="4BB317A6" w:rsidR="008F7AFF" w:rsidRPr="008F7AFF" w:rsidRDefault="00D91E06" w:rsidP="008F7AFF">
          <w:pPr>
            <w:pStyle w:val="TDC1"/>
            <w:tabs>
              <w:tab w:val="right" w:leader="dot" w:pos="8828"/>
            </w:tabs>
            <w:spacing w:line="360" w:lineRule="auto"/>
            <w:contextualSpacing/>
            <w:rPr>
              <w:rFonts w:cstheme="minorBidi"/>
              <w:noProof/>
              <w:kern w:val="2"/>
              <w:sz w:val="24"/>
              <w:szCs w:val="24"/>
              <w14:ligatures w14:val="standardContextual"/>
            </w:rPr>
          </w:pPr>
          <w:hyperlink w:anchor="_Toc210308878" w:history="1">
            <w:r w:rsidR="008F7AFF" w:rsidRPr="008F7AFF">
              <w:rPr>
                <w:rStyle w:val="Hipervnculo"/>
                <w:rFonts w:ascii="Palatino Linotype" w:hAnsi="Palatino Linotype"/>
                <w:noProof/>
              </w:rPr>
              <w:t>C O N S I D E R A N D O S</w:t>
            </w:r>
            <w:r w:rsidR="008F7AFF" w:rsidRPr="008F7AFF">
              <w:rPr>
                <w:noProof/>
                <w:webHidden/>
              </w:rPr>
              <w:tab/>
            </w:r>
            <w:r w:rsidR="008F7AFF" w:rsidRPr="008F7AFF">
              <w:rPr>
                <w:noProof/>
                <w:webHidden/>
              </w:rPr>
              <w:fldChar w:fldCharType="begin"/>
            </w:r>
            <w:r w:rsidR="008F7AFF" w:rsidRPr="008F7AFF">
              <w:rPr>
                <w:noProof/>
                <w:webHidden/>
              </w:rPr>
              <w:instrText xml:space="preserve"> PAGEREF _Toc210308878 \h </w:instrText>
            </w:r>
            <w:r w:rsidR="008F7AFF" w:rsidRPr="008F7AFF">
              <w:rPr>
                <w:noProof/>
                <w:webHidden/>
              </w:rPr>
            </w:r>
            <w:r w:rsidR="008F7AFF" w:rsidRPr="008F7AFF">
              <w:rPr>
                <w:noProof/>
                <w:webHidden/>
              </w:rPr>
              <w:fldChar w:fldCharType="separate"/>
            </w:r>
            <w:r w:rsidR="0099699B">
              <w:rPr>
                <w:noProof/>
                <w:webHidden/>
              </w:rPr>
              <w:t>5</w:t>
            </w:r>
            <w:r w:rsidR="008F7AFF" w:rsidRPr="008F7AFF">
              <w:rPr>
                <w:noProof/>
                <w:webHidden/>
              </w:rPr>
              <w:fldChar w:fldCharType="end"/>
            </w:r>
          </w:hyperlink>
        </w:p>
        <w:p w14:paraId="5DD68CDD" w14:textId="606B7016" w:rsidR="008F7AFF" w:rsidRPr="008F7AFF" w:rsidRDefault="00D91E06" w:rsidP="008F7AFF">
          <w:pPr>
            <w:pStyle w:val="TDC2"/>
            <w:tabs>
              <w:tab w:val="right" w:leader="dot" w:pos="8828"/>
            </w:tabs>
            <w:spacing w:line="360" w:lineRule="auto"/>
            <w:contextualSpacing/>
            <w:rPr>
              <w:rFonts w:cstheme="minorBidi"/>
              <w:noProof/>
              <w:kern w:val="2"/>
              <w:sz w:val="24"/>
              <w:szCs w:val="24"/>
              <w14:ligatures w14:val="standardContextual"/>
            </w:rPr>
          </w:pPr>
          <w:hyperlink w:anchor="_Toc210308879" w:history="1">
            <w:r w:rsidR="008F7AFF" w:rsidRPr="008F7AFF">
              <w:rPr>
                <w:rStyle w:val="Hipervnculo"/>
                <w:rFonts w:ascii="Palatino Linotype" w:hAnsi="Palatino Linotype"/>
                <w:noProof/>
              </w:rPr>
              <w:t>PRIMERO. Competencia</w:t>
            </w:r>
            <w:r w:rsidR="008F7AFF" w:rsidRPr="008F7AFF">
              <w:rPr>
                <w:noProof/>
                <w:webHidden/>
              </w:rPr>
              <w:tab/>
            </w:r>
            <w:r w:rsidR="008F7AFF" w:rsidRPr="008F7AFF">
              <w:rPr>
                <w:noProof/>
                <w:webHidden/>
              </w:rPr>
              <w:fldChar w:fldCharType="begin"/>
            </w:r>
            <w:r w:rsidR="008F7AFF" w:rsidRPr="008F7AFF">
              <w:rPr>
                <w:noProof/>
                <w:webHidden/>
              </w:rPr>
              <w:instrText xml:space="preserve"> PAGEREF _Toc210308879 \h </w:instrText>
            </w:r>
            <w:r w:rsidR="008F7AFF" w:rsidRPr="008F7AFF">
              <w:rPr>
                <w:noProof/>
                <w:webHidden/>
              </w:rPr>
            </w:r>
            <w:r w:rsidR="008F7AFF" w:rsidRPr="008F7AFF">
              <w:rPr>
                <w:noProof/>
                <w:webHidden/>
              </w:rPr>
              <w:fldChar w:fldCharType="separate"/>
            </w:r>
            <w:r w:rsidR="0099699B">
              <w:rPr>
                <w:noProof/>
                <w:webHidden/>
              </w:rPr>
              <w:t>5</w:t>
            </w:r>
            <w:r w:rsidR="008F7AFF" w:rsidRPr="008F7AFF">
              <w:rPr>
                <w:noProof/>
                <w:webHidden/>
              </w:rPr>
              <w:fldChar w:fldCharType="end"/>
            </w:r>
          </w:hyperlink>
        </w:p>
        <w:p w14:paraId="0AE6DA92" w14:textId="70DD0123" w:rsidR="008F7AFF" w:rsidRPr="008F7AFF" w:rsidRDefault="00D91E06" w:rsidP="008F7AFF">
          <w:pPr>
            <w:pStyle w:val="TDC2"/>
            <w:tabs>
              <w:tab w:val="right" w:leader="dot" w:pos="8828"/>
            </w:tabs>
            <w:spacing w:line="360" w:lineRule="auto"/>
            <w:contextualSpacing/>
            <w:rPr>
              <w:rFonts w:cstheme="minorBidi"/>
              <w:noProof/>
              <w:kern w:val="2"/>
              <w:sz w:val="24"/>
              <w:szCs w:val="24"/>
              <w14:ligatures w14:val="standardContextual"/>
            </w:rPr>
          </w:pPr>
          <w:hyperlink w:anchor="_Toc210308880" w:history="1">
            <w:r w:rsidR="008F7AFF" w:rsidRPr="008F7AFF">
              <w:rPr>
                <w:rStyle w:val="Hipervnculo"/>
                <w:rFonts w:ascii="Palatino Linotype" w:eastAsia="Calibri" w:hAnsi="Palatino Linotype"/>
                <w:noProof/>
                <w:lang w:val="es-ES"/>
              </w:rPr>
              <w:t xml:space="preserve">SEGUNDO. </w:t>
            </w:r>
            <w:r w:rsidR="008F7AFF" w:rsidRPr="008F7AFF">
              <w:rPr>
                <w:rStyle w:val="Hipervnculo"/>
                <w:rFonts w:ascii="Palatino Linotype" w:hAnsi="Palatino Linotype"/>
                <w:noProof/>
                <w:lang w:val="es-ES"/>
              </w:rPr>
              <w:t>Causales de improcedencia y sobreseimiento</w:t>
            </w:r>
            <w:r w:rsidR="008F7AFF" w:rsidRPr="008F7AFF">
              <w:rPr>
                <w:noProof/>
                <w:webHidden/>
              </w:rPr>
              <w:tab/>
            </w:r>
            <w:r w:rsidR="008F7AFF" w:rsidRPr="008F7AFF">
              <w:rPr>
                <w:noProof/>
                <w:webHidden/>
              </w:rPr>
              <w:fldChar w:fldCharType="begin"/>
            </w:r>
            <w:r w:rsidR="008F7AFF" w:rsidRPr="008F7AFF">
              <w:rPr>
                <w:noProof/>
                <w:webHidden/>
              </w:rPr>
              <w:instrText xml:space="preserve"> PAGEREF _Toc210308880 \h </w:instrText>
            </w:r>
            <w:r w:rsidR="008F7AFF" w:rsidRPr="008F7AFF">
              <w:rPr>
                <w:noProof/>
                <w:webHidden/>
              </w:rPr>
            </w:r>
            <w:r w:rsidR="008F7AFF" w:rsidRPr="008F7AFF">
              <w:rPr>
                <w:noProof/>
                <w:webHidden/>
              </w:rPr>
              <w:fldChar w:fldCharType="separate"/>
            </w:r>
            <w:r w:rsidR="0099699B">
              <w:rPr>
                <w:noProof/>
                <w:webHidden/>
              </w:rPr>
              <w:t>6</w:t>
            </w:r>
            <w:r w:rsidR="008F7AFF" w:rsidRPr="008F7AFF">
              <w:rPr>
                <w:noProof/>
                <w:webHidden/>
              </w:rPr>
              <w:fldChar w:fldCharType="end"/>
            </w:r>
          </w:hyperlink>
        </w:p>
        <w:p w14:paraId="555BD62D" w14:textId="28C96044" w:rsidR="008F7AFF" w:rsidRPr="008F7AFF" w:rsidRDefault="00D91E06" w:rsidP="008F7AFF">
          <w:pPr>
            <w:pStyle w:val="TDC2"/>
            <w:tabs>
              <w:tab w:val="right" w:leader="dot" w:pos="8828"/>
            </w:tabs>
            <w:spacing w:line="360" w:lineRule="auto"/>
            <w:contextualSpacing/>
            <w:rPr>
              <w:rFonts w:cstheme="minorBidi"/>
              <w:noProof/>
              <w:kern w:val="2"/>
              <w:sz w:val="24"/>
              <w:szCs w:val="24"/>
              <w14:ligatures w14:val="standardContextual"/>
            </w:rPr>
          </w:pPr>
          <w:hyperlink w:anchor="_Toc210308881" w:history="1">
            <w:r w:rsidR="008F7AFF" w:rsidRPr="008F7AFF">
              <w:rPr>
                <w:rStyle w:val="Hipervnculo"/>
                <w:rFonts w:ascii="Palatino Linotype" w:eastAsia="Calibri" w:hAnsi="Palatino Linotype"/>
                <w:noProof/>
                <w:lang w:val="es-ES" w:eastAsia="es-ES_tradnl"/>
              </w:rPr>
              <w:t>TERCERO. Determinación de la Controversia</w:t>
            </w:r>
            <w:r w:rsidR="008F7AFF" w:rsidRPr="008F7AFF">
              <w:rPr>
                <w:noProof/>
                <w:webHidden/>
              </w:rPr>
              <w:tab/>
            </w:r>
            <w:r w:rsidR="008F7AFF" w:rsidRPr="008F7AFF">
              <w:rPr>
                <w:noProof/>
                <w:webHidden/>
              </w:rPr>
              <w:fldChar w:fldCharType="begin"/>
            </w:r>
            <w:r w:rsidR="008F7AFF" w:rsidRPr="008F7AFF">
              <w:rPr>
                <w:noProof/>
                <w:webHidden/>
              </w:rPr>
              <w:instrText xml:space="preserve"> PAGEREF _Toc210308881 \h </w:instrText>
            </w:r>
            <w:r w:rsidR="008F7AFF" w:rsidRPr="008F7AFF">
              <w:rPr>
                <w:noProof/>
                <w:webHidden/>
              </w:rPr>
            </w:r>
            <w:r w:rsidR="008F7AFF" w:rsidRPr="008F7AFF">
              <w:rPr>
                <w:noProof/>
                <w:webHidden/>
              </w:rPr>
              <w:fldChar w:fldCharType="separate"/>
            </w:r>
            <w:r w:rsidR="0099699B">
              <w:rPr>
                <w:noProof/>
                <w:webHidden/>
              </w:rPr>
              <w:t>8</w:t>
            </w:r>
            <w:r w:rsidR="008F7AFF" w:rsidRPr="008F7AFF">
              <w:rPr>
                <w:noProof/>
                <w:webHidden/>
              </w:rPr>
              <w:fldChar w:fldCharType="end"/>
            </w:r>
          </w:hyperlink>
        </w:p>
        <w:p w14:paraId="3F344C99" w14:textId="2C807022" w:rsidR="008F7AFF" w:rsidRPr="008F7AFF" w:rsidRDefault="00D91E06" w:rsidP="008F7AFF">
          <w:pPr>
            <w:pStyle w:val="TDC2"/>
            <w:tabs>
              <w:tab w:val="right" w:leader="dot" w:pos="8828"/>
            </w:tabs>
            <w:spacing w:line="360" w:lineRule="auto"/>
            <w:contextualSpacing/>
            <w:rPr>
              <w:rFonts w:cstheme="minorBidi"/>
              <w:noProof/>
              <w:kern w:val="2"/>
              <w:sz w:val="24"/>
              <w:szCs w:val="24"/>
              <w14:ligatures w14:val="standardContextual"/>
            </w:rPr>
          </w:pPr>
          <w:hyperlink w:anchor="_Toc210308882" w:history="1">
            <w:r w:rsidR="008F7AFF" w:rsidRPr="008F7AFF">
              <w:rPr>
                <w:rStyle w:val="Hipervnculo"/>
                <w:rFonts w:ascii="Palatino Linotype" w:hAnsi="Palatino Linotype"/>
                <w:noProof/>
                <w:lang w:val="es-ES"/>
              </w:rPr>
              <w:t xml:space="preserve">CUARTO. </w:t>
            </w:r>
            <w:r w:rsidR="008F7AFF" w:rsidRPr="008F7AFF">
              <w:rPr>
                <w:rStyle w:val="Hipervnculo"/>
                <w:rFonts w:ascii="Palatino Linotype" w:hAnsi="Palatino Linotype"/>
                <w:noProof/>
              </w:rPr>
              <w:t>Marco normativo aplicable en materia de transparencia y acceso a la información pública</w:t>
            </w:r>
            <w:r w:rsidR="008F7AFF" w:rsidRPr="008F7AFF">
              <w:rPr>
                <w:noProof/>
                <w:webHidden/>
              </w:rPr>
              <w:tab/>
            </w:r>
            <w:r w:rsidR="008F7AFF" w:rsidRPr="008F7AFF">
              <w:rPr>
                <w:noProof/>
                <w:webHidden/>
              </w:rPr>
              <w:fldChar w:fldCharType="begin"/>
            </w:r>
            <w:r w:rsidR="008F7AFF" w:rsidRPr="008F7AFF">
              <w:rPr>
                <w:noProof/>
                <w:webHidden/>
              </w:rPr>
              <w:instrText xml:space="preserve"> PAGEREF _Toc210308882 \h </w:instrText>
            </w:r>
            <w:r w:rsidR="008F7AFF" w:rsidRPr="008F7AFF">
              <w:rPr>
                <w:noProof/>
                <w:webHidden/>
              </w:rPr>
            </w:r>
            <w:r w:rsidR="008F7AFF" w:rsidRPr="008F7AFF">
              <w:rPr>
                <w:noProof/>
                <w:webHidden/>
              </w:rPr>
              <w:fldChar w:fldCharType="separate"/>
            </w:r>
            <w:r w:rsidR="0099699B">
              <w:rPr>
                <w:noProof/>
                <w:webHidden/>
              </w:rPr>
              <w:t>9</w:t>
            </w:r>
            <w:r w:rsidR="008F7AFF" w:rsidRPr="008F7AFF">
              <w:rPr>
                <w:noProof/>
                <w:webHidden/>
              </w:rPr>
              <w:fldChar w:fldCharType="end"/>
            </w:r>
          </w:hyperlink>
        </w:p>
        <w:p w14:paraId="546B51AA" w14:textId="695899A8" w:rsidR="008F7AFF" w:rsidRPr="008F7AFF" w:rsidRDefault="00D91E06" w:rsidP="008F7AFF">
          <w:pPr>
            <w:pStyle w:val="TDC2"/>
            <w:tabs>
              <w:tab w:val="right" w:leader="dot" w:pos="8828"/>
            </w:tabs>
            <w:spacing w:line="360" w:lineRule="auto"/>
            <w:contextualSpacing/>
            <w:rPr>
              <w:rFonts w:cstheme="minorBidi"/>
              <w:noProof/>
              <w:kern w:val="2"/>
              <w:sz w:val="24"/>
              <w:szCs w:val="24"/>
              <w14:ligatures w14:val="standardContextual"/>
            </w:rPr>
          </w:pPr>
          <w:hyperlink w:anchor="_Toc210308883" w:history="1">
            <w:r w:rsidR="008F7AFF" w:rsidRPr="008F7AFF">
              <w:rPr>
                <w:rStyle w:val="Hipervnculo"/>
                <w:rFonts w:ascii="Palatino Linotype" w:hAnsi="Palatino Linotype"/>
                <w:noProof/>
                <w:lang w:val="es-ES"/>
              </w:rPr>
              <w:t>QUINTO. Estudio de Fondo</w:t>
            </w:r>
            <w:r w:rsidR="008F7AFF" w:rsidRPr="008F7AFF">
              <w:rPr>
                <w:noProof/>
                <w:webHidden/>
              </w:rPr>
              <w:tab/>
            </w:r>
            <w:r w:rsidR="008F7AFF" w:rsidRPr="008F7AFF">
              <w:rPr>
                <w:noProof/>
                <w:webHidden/>
              </w:rPr>
              <w:fldChar w:fldCharType="begin"/>
            </w:r>
            <w:r w:rsidR="008F7AFF" w:rsidRPr="008F7AFF">
              <w:rPr>
                <w:noProof/>
                <w:webHidden/>
              </w:rPr>
              <w:instrText xml:space="preserve"> PAGEREF _Toc210308883 \h </w:instrText>
            </w:r>
            <w:r w:rsidR="008F7AFF" w:rsidRPr="008F7AFF">
              <w:rPr>
                <w:noProof/>
                <w:webHidden/>
              </w:rPr>
            </w:r>
            <w:r w:rsidR="008F7AFF" w:rsidRPr="008F7AFF">
              <w:rPr>
                <w:noProof/>
                <w:webHidden/>
              </w:rPr>
              <w:fldChar w:fldCharType="separate"/>
            </w:r>
            <w:r w:rsidR="0099699B">
              <w:rPr>
                <w:noProof/>
                <w:webHidden/>
              </w:rPr>
              <w:t>10</w:t>
            </w:r>
            <w:r w:rsidR="008F7AFF" w:rsidRPr="008F7AFF">
              <w:rPr>
                <w:noProof/>
                <w:webHidden/>
              </w:rPr>
              <w:fldChar w:fldCharType="end"/>
            </w:r>
          </w:hyperlink>
        </w:p>
        <w:p w14:paraId="3428B68F" w14:textId="69246999" w:rsidR="008F7AFF" w:rsidRPr="008F7AFF" w:rsidRDefault="00D91E06" w:rsidP="008F7AFF">
          <w:pPr>
            <w:pStyle w:val="TDC2"/>
            <w:tabs>
              <w:tab w:val="right" w:leader="dot" w:pos="8828"/>
            </w:tabs>
            <w:spacing w:line="360" w:lineRule="auto"/>
            <w:contextualSpacing/>
            <w:rPr>
              <w:rFonts w:cstheme="minorBidi"/>
              <w:noProof/>
              <w:kern w:val="2"/>
              <w:sz w:val="24"/>
              <w:szCs w:val="24"/>
              <w14:ligatures w14:val="standardContextual"/>
            </w:rPr>
          </w:pPr>
          <w:hyperlink w:anchor="_Toc210308884" w:history="1">
            <w:r w:rsidR="008F7AFF" w:rsidRPr="008F7AFF">
              <w:rPr>
                <w:rStyle w:val="Hipervnculo"/>
                <w:rFonts w:ascii="Palatino Linotype" w:eastAsia="Calibri" w:hAnsi="Palatino Linotype"/>
                <w:noProof/>
              </w:rPr>
              <w:t>SEXTO. Decisión</w:t>
            </w:r>
            <w:r w:rsidR="008F7AFF" w:rsidRPr="008F7AFF">
              <w:rPr>
                <w:noProof/>
                <w:webHidden/>
              </w:rPr>
              <w:tab/>
            </w:r>
            <w:r w:rsidR="008F7AFF" w:rsidRPr="008F7AFF">
              <w:rPr>
                <w:noProof/>
                <w:webHidden/>
              </w:rPr>
              <w:fldChar w:fldCharType="begin"/>
            </w:r>
            <w:r w:rsidR="008F7AFF" w:rsidRPr="008F7AFF">
              <w:rPr>
                <w:noProof/>
                <w:webHidden/>
              </w:rPr>
              <w:instrText xml:space="preserve"> PAGEREF _Toc210308884 \h </w:instrText>
            </w:r>
            <w:r w:rsidR="008F7AFF" w:rsidRPr="008F7AFF">
              <w:rPr>
                <w:noProof/>
                <w:webHidden/>
              </w:rPr>
            </w:r>
            <w:r w:rsidR="008F7AFF" w:rsidRPr="008F7AFF">
              <w:rPr>
                <w:noProof/>
                <w:webHidden/>
              </w:rPr>
              <w:fldChar w:fldCharType="separate"/>
            </w:r>
            <w:r w:rsidR="0099699B">
              <w:rPr>
                <w:noProof/>
                <w:webHidden/>
              </w:rPr>
              <w:t>16</w:t>
            </w:r>
            <w:r w:rsidR="008F7AFF" w:rsidRPr="008F7AFF">
              <w:rPr>
                <w:noProof/>
                <w:webHidden/>
              </w:rPr>
              <w:fldChar w:fldCharType="end"/>
            </w:r>
          </w:hyperlink>
        </w:p>
        <w:p w14:paraId="18F05096" w14:textId="0D4E9693" w:rsidR="008F7AFF" w:rsidRPr="008F7AFF" w:rsidRDefault="00D91E06" w:rsidP="008F7AFF">
          <w:pPr>
            <w:pStyle w:val="TDC1"/>
            <w:tabs>
              <w:tab w:val="right" w:leader="dot" w:pos="8828"/>
            </w:tabs>
            <w:spacing w:line="360" w:lineRule="auto"/>
            <w:contextualSpacing/>
            <w:rPr>
              <w:rFonts w:cstheme="minorBidi"/>
              <w:noProof/>
              <w:kern w:val="2"/>
              <w:sz w:val="24"/>
              <w:szCs w:val="24"/>
              <w14:ligatures w14:val="standardContextual"/>
            </w:rPr>
          </w:pPr>
          <w:hyperlink w:anchor="_Toc210308885" w:history="1">
            <w:r w:rsidR="008F7AFF" w:rsidRPr="008F7AFF">
              <w:rPr>
                <w:rStyle w:val="Hipervnculo"/>
                <w:rFonts w:ascii="Palatino Linotype" w:eastAsia="Calibri" w:hAnsi="Palatino Linotype"/>
                <w:noProof/>
              </w:rPr>
              <w:t>R E S U E L V E</w:t>
            </w:r>
            <w:r w:rsidR="008F7AFF" w:rsidRPr="008F7AFF">
              <w:rPr>
                <w:noProof/>
                <w:webHidden/>
              </w:rPr>
              <w:tab/>
            </w:r>
            <w:r w:rsidR="008F7AFF" w:rsidRPr="008F7AFF">
              <w:rPr>
                <w:noProof/>
                <w:webHidden/>
              </w:rPr>
              <w:fldChar w:fldCharType="begin"/>
            </w:r>
            <w:r w:rsidR="008F7AFF" w:rsidRPr="008F7AFF">
              <w:rPr>
                <w:noProof/>
                <w:webHidden/>
              </w:rPr>
              <w:instrText xml:space="preserve"> PAGEREF _Toc210308885 \h </w:instrText>
            </w:r>
            <w:r w:rsidR="008F7AFF" w:rsidRPr="008F7AFF">
              <w:rPr>
                <w:noProof/>
                <w:webHidden/>
              </w:rPr>
            </w:r>
            <w:r w:rsidR="008F7AFF" w:rsidRPr="008F7AFF">
              <w:rPr>
                <w:noProof/>
                <w:webHidden/>
              </w:rPr>
              <w:fldChar w:fldCharType="separate"/>
            </w:r>
            <w:r w:rsidR="0099699B">
              <w:rPr>
                <w:noProof/>
                <w:webHidden/>
              </w:rPr>
              <w:t>16</w:t>
            </w:r>
            <w:r w:rsidR="008F7AFF" w:rsidRPr="008F7AFF">
              <w:rPr>
                <w:noProof/>
                <w:webHidden/>
              </w:rPr>
              <w:fldChar w:fldCharType="end"/>
            </w:r>
          </w:hyperlink>
        </w:p>
        <w:p w14:paraId="0DB424CC" w14:textId="56504CA7" w:rsidR="00E370EF" w:rsidRPr="00065B61" w:rsidRDefault="00E370EF" w:rsidP="00E370EF">
          <w:pPr>
            <w:spacing w:line="360" w:lineRule="auto"/>
            <w:contextualSpacing/>
            <w:jc w:val="both"/>
            <w:rPr>
              <w:rFonts w:ascii="Palatino Linotype" w:hAnsi="Palatino Linotype" w:cs="Tahoma"/>
              <w:sz w:val="22"/>
              <w:szCs w:val="22"/>
            </w:rPr>
          </w:pPr>
          <w:r w:rsidRPr="00065B61">
            <w:rPr>
              <w:rFonts w:ascii="Palatino Linotype" w:hAnsi="Palatino Linotype"/>
              <w:sz w:val="22"/>
              <w:szCs w:val="22"/>
              <w:lang w:val="es-ES"/>
            </w:rPr>
            <w:fldChar w:fldCharType="end"/>
          </w:r>
        </w:p>
      </w:sdtContent>
    </w:sdt>
    <w:p w14:paraId="52F455D6" w14:textId="77777777" w:rsidR="00E370EF" w:rsidRPr="00AC17E4" w:rsidRDefault="00E370EF" w:rsidP="00E370EF">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157EFAD4" w14:textId="77777777" w:rsidR="00E370EF" w:rsidRDefault="00E370EF" w:rsidP="00E370EF">
      <w:pPr>
        <w:spacing w:line="360" w:lineRule="auto"/>
        <w:contextualSpacing/>
        <w:jc w:val="both"/>
        <w:rPr>
          <w:rFonts w:ascii="Palatino Linotype" w:hAnsi="Palatino Linotype" w:cs="Tahoma"/>
          <w:bCs/>
          <w:sz w:val="22"/>
          <w:szCs w:val="22"/>
        </w:rPr>
      </w:pPr>
    </w:p>
    <w:p w14:paraId="18FBF31E" w14:textId="0BB40DB8" w:rsidR="00E370EF" w:rsidRPr="00AC17E4" w:rsidRDefault="00E370EF" w:rsidP="00E370EF">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del </w:t>
      </w:r>
      <w:r>
        <w:rPr>
          <w:rFonts w:ascii="Palatino Linotype" w:hAnsi="Palatino Linotype" w:cs="Tahoma"/>
          <w:bCs/>
          <w:sz w:val="22"/>
          <w:szCs w:val="22"/>
        </w:rPr>
        <w:t xml:space="preserve">ocho de octubre </w:t>
      </w:r>
      <w:r w:rsidRPr="00AC17E4">
        <w:rPr>
          <w:rFonts w:ascii="Palatino Linotype" w:hAnsi="Palatino Linotype" w:cs="Tahoma"/>
          <w:bCs/>
          <w:sz w:val="22"/>
          <w:szCs w:val="22"/>
        </w:rPr>
        <w:t>de dos mil veinticinco.</w:t>
      </w:r>
    </w:p>
    <w:p w14:paraId="14AA8166" w14:textId="77777777" w:rsidR="00E370EF" w:rsidRPr="00AC17E4" w:rsidRDefault="00E370EF" w:rsidP="00E370EF">
      <w:pPr>
        <w:spacing w:line="360" w:lineRule="auto"/>
        <w:contextualSpacing/>
        <w:rPr>
          <w:rFonts w:ascii="Palatino Linotype" w:hAnsi="Palatino Linotype" w:cs="Tahoma"/>
          <w:bCs/>
          <w:sz w:val="22"/>
          <w:szCs w:val="22"/>
        </w:rPr>
      </w:pPr>
    </w:p>
    <w:p w14:paraId="6C32D2B6" w14:textId="4CC573A5" w:rsidR="00E370EF" w:rsidRPr="00AC17E4" w:rsidRDefault="00E370EF" w:rsidP="00E370EF">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Pr="00D051C5">
        <w:rPr>
          <w:rFonts w:ascii="Palatino Linotype" w:eastAsia="Batang" w:hAnsi="Palatino Linotype" w:cs="Tahoma"/>
          <w:b/>
          <w:bCs/>
          <w:sz w:val="22"/>
          <w:szCs w:val="22"/>
          <w:lang w:val="es-ES_tradnl"/>
        </w:rPr>
        <w:t>06726/INFOEM/IP/RR/2025</w:t>
      </w:r>
      <w:r w:rsidRPr="00BB6B4E">
        <w:rPr>
          <w:rFonts w:ascii="Palatino Linotype" w:eastAsia="Batang" w:hAnsi="Palatino Linotype" w:cs="Tahoma"/>
          <w:bCs/>
          <w:sz w:val="22"/>
          <w:szCs w:val="22"/>
          <w:lang w:val="es-ES_tradnl"/>
        </w:rPr>
        <w:t xml:space="preserve">, </w:t>
      </w:r>
      <w:r w:rsidRPr="00BB6B4E">
        <w:rPr>
          <w:rFonts w:ascii="Palatino Linotype" w:hAnsi="Palatino Linotype" w:cs="Tahoma"/>
          <w:bCs/>
          <w:color w:val="0D0D0D" w:themeColor="text1" w:themeTint="F2"/>
          <w:sz w:val="22"/>
          <w:szCs w:val="22"/>
        </w:rPr>
        <w:t xml:space="preserve">interpuesto por </w:t>
      </w:r>
      <w:r w:rsidRPr="00BB6B4E">
        <w:rPr>
          <w:rFonts w:ascii="Palatino Linotype" w:eastAsia="Calibri" w:hAnsi="Palatino Linotype" w:cs="Tahoma"/>
          <w:bCs/>
          <w:sz w:val="22"/>
          <w:szCs w:val="22"/>
          <w:lang w:eastAsia="en-US"/>
        </w:rPr>
        <w:t xml:space="preserve">el </w:t>
      </w:r>
      <w:r w:rsidRPr="00BB6B4E">
        <w:rPr>
          <w:rFonts w:ascii="Palatino Linotype" w:hAnsi="Palatino Linotype" w:cs="Tahoma"/>
          <w:bCs/>
          <w:color w:val="0D0D0D" w:themeColor="text1" w:themeTint="F2"/>
          <w:sz w:val="22"/>
          <w:szCs w:val="22"/>
        </w:rPr>
        <w:t xml:space="preserve">Recurrente o Particular, en contra de la respuesta del Sujeto Obligado, </w:t>
      </w:r>
      <w:r w:rsidRPr="00D051C5">
        <w:rPr>
          <w:rFonts w:ascii="Palatino Linotype" w:hAnsi="Palatino Linotype" w:cs="Tahoma"/>
          <w:b/>
          <w:bCs/>
          <w:color w:val="0D0D0D" w:themeColor="text1" w:themeTint="F2"/>
          <w:sz w:val="22"/>
          <w:szCs w:val="22"/>
        </w:rPr>
        <w:t>Ayuntamiento de Toluca</w:t>
      </w:r>
      <w:r w:rsidRPr="00BB6B4E">
        <w:rPr>
          <w:rFonts w:ascii="Palatino Linotype" w:hAnsi="Palatino Linotype" w:cs="Tahoma"/>
          <w:bCs/>
          <w:color w:val="0D0D0D" w:themeColor="text1" w:themeTint="F2"/>
          <w:sz w:val="22"/>
          <w:szCs w:val="22"/>
        </w:rPr>
        <w:t xml:space="preserve">, a la solicitud de acceso a la información pública </w:t>
      </w:r>
      <w:r>
        <w:rPr>
          <w:rFonts w:ascii="Palatino Linotype" w:hAnsi="Palatino Linotype"/>
          <w:bCs/>
          <w:sz w:val="22"/>
          <w:szCs w:val="22"/>
        </w:rPr>
        <w:t>02486/TOLUCA/IP/2025</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74CA73D8" w14:textId="77777777" w:rsidR="00E370EF" w:rsidRDefault="00E370EF" w:rsidP="00E370EF">
      <w:pPr>
        <w:spacing w:line="360" w:lineRule="auto"/>
        <w:contextualSpacing/>
        <w:jc w:val="both"/>
        <w:rPr>
          <w:rFonts w:ascii="Palatino Linotype" w:hAnsi="Palatino Linotype" w:cs="Tahoma"/>
          <w:bCs/>
          <w:sz w:val="22"/>
          <w:szCs w:val="22"/>
        </w:rPr>
      </w:pPr>
    </w:p>
    <w:p w14:paraId="747186B6" w14:textId="77777777" w:rsidR="006E172C" w:rsidRPr="00AC17E4" w:rsidRDefault="006E172C" w:rsidP="00E370EF">
      <w:pPr>
        <w:spacing w:line="360" w:lineRule="auto"/>
        <w:contextualSpacing/>
        <w:jc w:val="both"/>
        <w:rPr>
          <w:rFonts w:ascii="Palatino Linotype" w:hAnsi="Palatino Linotype" w:cs="Tahoma"/>
          <w:bCs/>
          <w:sz w:val="22"/>
          <w:szCs w:val="22"/>
        </w:rPr>
      </w:pPr>
    </w:p>
    <w:p w14:paraId="15CB1CAF" w14:textId="77777777" w:rsidR="00E370EF" w:rsidRPr="00AC17E4" w:rsidRDefault="00E370EF" w:rsidP="00E370EF">
      <w:pPr>
        <w:pStyle w:val="Ttulo1"/>
        <w:spacing w:before="0" w:after="0" w:line="360" w:lineRule="auto"/>
        <w:contextualSpacing/>
        <w:jc w:val="center"/>
        <w:rPr>
          <w:rFonts w:ascii="Palatino Linotype" w:hAnsi="Palatino Linotype"/>
          <w:b/>
          <w:bCs/>
          <w:color w:val="auto"/>
          <w:sz w:val="22"/>
          <w:szCs w:val="22"/>
        </w:rPr>
      </w:pPr>
      <w:bookmarkStart w:id="2" w:name="_Toc210308874"/>
      <w:r w:rsidRPr="00AC17E4">
        <w:rPr>
          <w:rFonts w:ascii="Palatino Linotype" w:hAnsi="Palatino Linotype"/>
          <w:b/>
          <w:bCs/>
          <w:color w:val="auto"/>
          <w:sz w:val="22"/>
          <w:szCs w:val="22"/>
        </w:rPr>
        <w:t>A N T E C E D E N T E S</w:t>
      </w:r>
      <w:bookmarkEnd w:id="2"/>
    </w:p>
    <w:p w14:paraId="29402A32" w14:textId="77777777" w:rsidR="006E172C" w:rsidRPr="00AC17E4" w:rsidRDefault="006E172C" w:rsidP="00E370EF">
      <w:pPr>
        <w:spacing w:line="360" w:lineRule="auto"/>
        <w:contextualSpacing/>
      </w:pPr>
    </w:p>
    <w:p w14:paraId="337A59EA" w14:textId="77777777" w:rsidR="00E370EF" w:rsidRPr="00AC17E4" w:rsidRDefault="00E370EF" w:rsidP="00E370EF">
      <w:pPr>
        <w:pStyle w:val="Ttulo2"/>
        <w:spacing w:before="0" w:after="0" w:line="360" w:lineRule="auto"/>
        <w:contextualSpacing/>
        <w:rPr>
          <w:rFonts w:ascii="Palatino Linotype" w:hAnsi="Palatino Linotype"/>
          <w:b/>
          <w:bCs/>
          <w:color w:val="auto"/>
          <w:sz w:val="22"/>
          <w:szCs w:val="22"/>
        </w:rPr>
      </w:pPr>
      <w:bookmarkStart w:id="3" w:name="_Toc210308875"/>
      <w:r w:rsidRPr="00AC17E4">
        <w:rPr>
          <w:rFonts w:ascii="Palatino Linotype" w:hAnsi="Palatino Linotype"/>
          <w:b/>
          <w:bCs/>
          <w:color w:val="auto"/>
          <w:sz w:val="22"/>
          <w:szCs w:val="22"/>
        </w:rPr>
        <w:t>I. Presentación de la solicitud de información</w:t>
      </w:r>
      <w:bookmarkEnd w:id="3"/>
    </w:p>
    <w:p w14:paraId="77D82984" w14:textId="77777777" w:rsidR="00E370EF" w:rsidRPr="00AC17E4" w:rsidRDefault="00E370EF" w:rsidP="00E370EF">
      <w:pPr>
        <w:pStyle w:val="Prrafodelista"/>
        <w:tabs>
          <w:tab w:val="left" w:pos="567"/>
        </w:tabs>
        <w:spacing w:line="360" w:lineRule="auto"/>
        <w:ind w:left="0"/>
        <w:jc w:val="both"/>
        <w:rPr>
          <w:rFonts w:ascii="Palatino Linotype" w:hAnsi="Palatino Linotype" w:cs="Tahoma"/>
          <w:szCs w:val="22"/>
        </w:rPr>
      </w:pPr>
    </w:p>
    <w:p w14:paraId="3ABDA00B" w14:textId="01922873" w:rsidR="00E370EF" w:rsidRPr="00AC17E4" w:rsidRDefault="00E370EF" w:rsidP="00E370EF">
      <w:pPr>
        <w:pStyle w:val="Prrafodelista"/>
        <w:tabs>
          <w:tab w:val="left" w:pos="567"/>
        </w:tabs>
        <w:spacing w:line="360" w:lineRule="auto"/>
        <w:ind w:left="0"/>
        <w:jc w:val="both"/>
        <w:rPr>
          <w:rFonts w:ascii="Palatino Linotype" w:hAnsi="Palatino Linotype" w:cs="Tahoma"/>
          <w:sz w:val="22"/>
          <w:szCs w:val="22"/>
        </w:rPr>
      </w:pPr>
      <w:r w:rsidRPr="00AC17E4">
        <w:rPr>
          <w:rFonts w:ascii="Palatino Linotype" w:hAnsi="Palatino Linotype" w:cs="Tahoma"/>
          <w:sz w:val="22"/>
          <w:szCs w:val="22"/>
        </w:rPr>
        <w:t xml:space="preserve">Con fecha </w:t>
      </w:r>
      <w:r>
        <w:rPr>
          <w:rFonts w:ascii="Palatino Linotype" w:hAnsi="Palatino Linotype" w:cs="Tahoma"/>
          <w:sz w:val="22"/>
          <w:szCs w:val="22"/>
        </w:rPr>
        <w:t xml:space="preserve">veinticuatro de abril </w:t>
      </w:r>
      <w:r w:rsidRPr="00AC17E4">
        <w:rPr>
          <w:rFonts w:ascii="Palatino Linotype" w:hAnsi="Palatino Linotype" w:cs="Tahoma"/>
          <w:sz w:val="22"/>
          <w:szCs w:val="22"/>
        </w:rPr>
        <w:t xml:space="preserve">de dos mil veinticinco, el Particular presentó una solicitud de acceso a la información pública, a través del Sistema de Acceso a la Información Mexiquense, en lo sucesivo </w:t>
      </w:r>
      <w:r w:rsidRPr="00AC17E4">
        <w:rPr>
          <w:rFonts w:ascii="Palatino Linotype" w:hAnsi="Palatino Linotype" w:cs="Tahoma"/>
          <w:sz w:val="22"/>
          <w:szCs w:val="22"/>
          <w:lang w:val="es-ES"/>
        </w:rPr>
        <w:t>el SAIME</w:t>
      </w:r>
      <w:r>
        <w:rPr>
          <w:rFonts w:ascii="Palatino Linotype" w:hAnsi="Palatino Linotype" w:cs="Tahoma"/>
          <w:sz w:val="22"/>
          <w:szCs w:val="22"/>
          <w:lang w:val="es-ES"/>
        </w:rPr>
        <w:t>X</w:t>
      </w:r>
      <w:r w:rsidRPr="00AC17E4">
        <w:rPr>
          <w:rFonts w:ascii="Palatino Linotype" w:hAnsi="Palatino Linotype" w:cs="Tahoma"/>
          <w:sz w:val="22"/>
          <w:szCs w:val="22"/>
        </w:rPr>
        <w:t>, ante el Ayuntamiento de Toluca,</w:t>
      </w:r>
      <w:r w:rsidRPr="00AC17E4">
        <w:rPr>
          <w:rFonts w:ascii="Palatino Linotype" w:hAnsi="Palatino Linotype" w:cs="Tahoma"/>
          <w:sz w:val="22"/>
          <w:szCs w:val="22"/>
          <w:lang w:val="es-ES"/>
        </w:rPr>
        <w:t xml:space="preserve"> </w:t>
      </w:r>
      <w:r w:rsidRPr="00AC17E4">
        <w:rPr>
          <w:rFonts w:ascii="Palatino Linotype" w:hAnsi="Palatino Linotype" w:cs="Tahoma"/>
          <w:sz w:val="22"/>
          <w:szCs w:val="22"/>
        </w:rPr>
        <w:t>mediante la cual requirió lo siguiente:</w:t>
      </w:r>
    </w:p>
    <w:p w14:paraId="17B19FD7" w14:textId="77777777" w:rsidR="00E370EF" w:rsidRPr="00AC17E4" w:rsidRDefault="00E370EF" w:rsidP="00E370EF">
      <w:pPr>
        <w:pStyle w:val="Prrafodelista"/>
        <w:tabs>
          <w:tab w:val="left" w:pos="567"/>
        </w:tabs>
        <w:spacing w:line="360" w:lineRule="auto"/>
        <w:ind w:left="0"/>
        <w:jc w:val="both"/>
        <w:rPr>
          <w:rFonts w:ascii="Palatino Linotype" w:hAnsi="Palatino Linotype" w:cs="Tahoma"/>
          <w:b/>
          <w:szCs w:val="22"/>
        </w:rPr>
      </w:pPr>
    </w:p>
    <w:p w14:paraId="144DA66B" w14:textId="77777777" w:rsidR="00E370EF" w:rsidRPr="00D82165" w:rsidRDefault="00E370EF" w:rsidP="00E370EF">
      <w:pPr>
        <w:tabs>
          <w:tab w:val="left" w:pos="4667"/>
        </w:tabs>
        <w:spacing w:line="360" w:lineRule="auto"/>
        <w:ind w:left="567" w:right="567"/>
        <w:contextualSpacing/>
        <w:jc w:val="both"/>
        <w:rPr>
          <w:rFonts w:ascii="Palatino Linotype" w:hAnsi="Palatino Linotype" w:cs="Tahoma"/>
          <w:b/>
          <w:bCs/>
          <w:i/>
        </w:rPr>
      </w:pPr>
      <w:r w:rsidRPr="00D82165">
        <w:rPr>
          <w:rFonts w:ascii="Palatino Linotype" w:hAnsi="Palatino Linotype" w:cs="Tahoma"/>
          <w:b/>
          <w:bCs/>
          <w:i/>
        </w:rPr>
        <w:t>“DESCRIPCIÓN CLARA Y PRECISA DE LA INFORMACIÓN SOLICITADA</w:t>
      </w:r>
    </w:p>
    <w:p w14:paraId="38B7BCD1" w14:textId="77777777" w:rsidR="00E370EF" w:rsidRDefault="00E370EF" w:rsidP="00E370EF">
      <w:pPr>
        <w:spacing w:line="360" w:lineRule="auto"/>
        <w:ind w:left="567" w:right="567"/>
        <w:contextualSpacing/>
        <w:jc w:val="both"/>
        <w:rPr>
          <w:rFonts w:ascii="Palatino Linotype" w:hAnsi="Palatino Linotype" w:cs="Tahoma"/>
          <w:bCs/>
          <w:i/>
        </w:rPr>
      </w:pPr>
      <w:r w:rsidRPr="00E370EF">
        <w:rPr>
          <w:rFonts w:ascii="Palatino Linotype" w:hAnsi="Palatino Linotype"/>
          <w:i/>
          <w:lang w:eastAsia="es-MX"/>
        </w:rPr>
        <w:t xml:space="preserve">Requerimos todos los documentos en los que este sujeto obligado informa al </w:t>
      </w:r>
      <w:proofErr w:type="spellStart"/>
      <w:r w:rsidRPr="00E370EF">
        <w:rPr>
          <w:rFonts w:ascii="Palatino Linotype" w:hAnsi="Palatino Linotype"/>
          <w:i/>
          <w:lang w:eastAsia="es-MX"/>
        </w:rPr>
        <w:t>infoem</w:t>
      </w:r>
      <w:proofErr w:type="spellEnd"/>
      <w:r w:rsidRPr="00E370EF">
        <w:rPr>
          <w:rFonts w:ascii="Palatino Linotype" w:hAnsi="Palatino Linotype"/>
          <w:i/>
          <w:lang w:eastAsia="es-MX"/>
        </w:rPr>
        <w:t xml:space="preserve"> sobre la supresión de sus sistemas de datos personales durante el año 2025</w:t>
      </w:r>
      <w:r w:rsidRPr="00D82165">
        <w:rPr>
          <w:rFonts w:ascii="Palatino Linotype" w:hAnsi="Palatino Linotype"/>
          <w:i/>
          <w:lang w:eastAsia="es-MX"/>
        </w:rPr>
        <w:t>.</w:t>
      </w:r>
      <w:r w:rsidRPr="00D82165">
        <w:rPr>
          <w:rFonts w:ascii="Palatino Linotype" w:hAnsi="Palatino Linotype" w:cs="Tahoma"/>
          <w:bCs/>
          <w:i/>
        </w:rPr>
        <w:t xml:space="preserve">” </w:t>
      </w:r>
    </w:p>
    <w:p w14:paraId="56E68AC7" w14:textId="43694638" w:rsidR="00E370EF" w:rsidRPr="00D82165" w:rsidRDefault="00E370EF" w:rsidP="00E370EF">
      <w:pPr>
        <w:spacing w:line="360" w:lineRule="auto"/>
        <w:ind w:left="567" w:right="567"/>
        <w:contextualSpacing/>
        <w:jc w:val="both"/>
        <w:rPr>
          <w:rFonts w:ascii="Palatino Linotype" w:hAnsi="Palatino Linotype" w:cs="Tahoma"/>
          <w:bCs/>
          <w:i/>
        </w:rPr>
      </w:pPr>
      <w:r w:rsidRPr="00D82165">
        <w:rPr>
          <w:rFonts w:ascii="Palatino Linotype" w:hAnsi="Palatino Linotype" w:cs="Tahoma"/>
          <w:bCs/>
          <w:i/>
        </w:rPr>
        <w:t>(Sic).</w:t>
      </w:r>
    </w:p>
    <w:p w14:paraId="6566E669" w14:textId="77777777" w:rsidR="00E370EF" w:rsidRPr="00D82165" w:rsidRDefault="00E370EF" w:rsidP="00E370EF">
      <w:pPr>
        <w:pStyle w:val="Prrafodelista"/>
        <w:tabs>
          <w:tab w:val="left" w:pos="567"/>
        </w:tabs>
        <w:spacing w:line="360" w:lineRule="auto"/>
        <w:ind w:left="567" w:right="567"/>
        <w:jc w:val="both"/>
        <w:rPr>
          <w:rFonts w:ascii="Palatino Linotype" w:hAnsi="Palatino Linotype"/>
          <w:b/>
          <w:bCs/>
          <w:i/>
          <w:color w:val="000000" w:themeColor="text1"/>
        </w:rPr>
      </w:pPr>
      <w:r w:rsidRPr="00D82165">
        <w:rPr>
          <w:rFonts w:ascii="Palatino Linotype" w:hAnsi="Palatino Linotype"/>
          <w:b/>
          <w:bCs/>
          <w:i/>
          <w:color w:val="000000" w:themeColor="text1"/>
        </w:rPr>
        <w:tab/>
      </w:r>
    </w:p>
    <w:p w14:paraId="7B4A4480" w14:textId="7D1BDA83" w:rsidR="00E370EF" w:rsidRDefault="00E370EF" w:rsidP="006E172C">
      <w:pPr>
        <w:tabs>
          <w:tab w:val="left" w:pos="4667"/>
        </w:tabs>
        <w:spacing w:line="360" w:lineRule="auto"/>
        <w:ind w:left="567" w:right="567"/>
        <w:contextualSpacing/>
        <w:jc w:val="both"/>
        <w:rPr>
          <w:rFonts w:ascii="Palatino Linotype" w:hAnsi="Palatino Linotype" w:cs="Tahoma"/>
          <w:bCs/>
          <w:i/>
        </w:rPr>
      </w:pPr>
      <w:r w:rsidRPr="00D82165">
        <w:rPr>
          <w:rFonts w:ascii="Palatino Linotype" w:hAnsi="Palatino Linotype" w:cs="Tahoma"/>
          <w:b/>
          <w:bCs/>
          <w:i/>
        </w:rPr>
        <w:t xml:space="preserve">Modalidad de Entrega: </w:t>
      </w:r>
      <w:r w:rsidRPr="00D82165">
        <w:rPr>
          <w:rFonts w:ascii="Palatino Linotype" w:hAnsi="Palatino Linotype" w:cs="Tahoma"/>
          <w:bCs/>
          <w:i/>
        </w:rPr>
        <w:t>A través de SAIMEX.</w:t>
      </w:r>
    </w:p>
    <w:p w14:paraId="3F851B71" w14:textId="77777777" w:rsidR="006E172C" w:rsidRPr="006E172C" w:rsidRDefault="006E172C" w:rsidP="006E172C">
      <w:pPr>
        <w:tabs>
          <w:tab w:val="left" w:pos="4667"/>
        </w:tabs>
        <w:spacing w:line="360" w:lineRule="auto"/>
        <w:ind w:left="567" w:right="567"/>
        <w:contextualSpacing/>
        <w:jc w:val="both"/>
        <w:rPr>
          <w:rFonts w:ascii="Palatino Linotype" w:hAnsi="Palatino Linotype" w:cs="Tahoma"/>
          <w:bCs/>
          <w:i/>
        </w:rPr>
      </w:pPr>
    </w:p>
    <w:p w14:paraId="0B465066" w14:textId="77777777" w:rsidR="00E370EF" w:rsidRPr="004616B5" w:rsidRDefault="00E370EF" w:rsidP="00E370EF">
      <w:pPr>
        <w:tabs>
          <w:tab w:val="left" w:pos="4667"/>
        </w:tabs>
        <w:spacing w:line="360" w:lineRule="auto"/>
        <w:contextualSpacing/>
        <w:jc w:val="both"/>
        <w:rPr>
          <w:rFonts w:ascii="Palatino Linotype" w:eastAsiaTheme="majorEastAsia" w:hAnsi="Palatino Linotype" w:cstheme="majorBidi"/>
          <w:b/>
          <w:bCs/>
          <w:sz w:val="22"/>
          <w:szCs w:val="22"/>
        </w:rPr>
      </w:pPr>
      <w:bookmarkStart w:id="4" w:name="_Hlk207876558"/>
      <w:r w:rsidRPr="004616B5">
        <w:rPr>
          <w:rFonts w:ascii="Palatino Linotype" w:eastAsiaTheme="majorEastAsia" w:hAnsi="Palatino Linotype" w:cstheme="majorBidi"/>
          <w:b/>
          <w:bCs/>
          <w:sz w:val="22"/>
          <w:szCs w:val="22"/>
        </w:rPr>
        <w:lastRenderedPageBreak/>
        <w:t>II. Respuesta del Sujeto Obligado</w:t>
      </w:r>
    </w:p>
    <w:p w14:paraId="23870843" w14:textId="77777777" w:rsidR="00E370EF" w:rsidRPr="004616B5" w:rsidRDefault="00E370EF" w:rsidP="00E370EF">
      <w:pPr>
        <w:tabs>
          <w:tab w:val="left" w:pos="4667"/>
        </w:tabs>
        <w:spacing w:line="360" w:lineRule="auto"/>
        <w:contextualSpacing/>
        <w:jc w:val="both"/>
        <w:rPr>
          <w:rFonts w:ascii="Palatino Linotype" w:eastAsiaTheme="majorEastAsia" w:hAnsi="Palatino Linotype" w:cstheme="majorBidi"/>
          <w:b/>
          <w:bCs/>
          <w:sz w:val="22"/>
          <w:szCs w:val="22"/>
        </w:rPr>
      </w:pPr>
      <w:r w:rsidRPr="004616B5">
        <w:rPr>
          <w:rFonts w:ascii="Palatino Linotype" w:eastAsiaTheme="majorEastAsia" w:hAnsi="Palatino Linotype" w:cstheme="majorBidi"/>
          <w:b/>
          <w:bCs/>
          <w:sz w:val="22"/>
          <w:szCs w:val="22"/>
        </w:rPr>
        <w:t xml:space="preserve"> </w:t>
      </w:r>
    </w:p>
    <w:p w14:paraId="54F3890A" w14:textId="77777777" w:rsidR="00CC6407" w:rsidRDefault="00E370EF" w:rsidP="00CC6407">
      <w:pPr>
        <w:tabs>
          <w:tab w:val="left" w:pos="4667"/>
        </w:tabs>
        <w:spacing w:line="360" w:lineRule="auto"/>
        <w:contextualSpacing/>
        <w:jc w:val="both"/>
        <w:rPr>
          <w:rFonts w:ascii="Palatino Linotype" w:eastAsiaTheme="majorEastAsia" w:hAnsi="Palatino Linotype" w:cstheme="majorBidi"/>
          <w:sz w:val="22"/>
          <w:szCs w:val="22"/>
        </w:rPr>
      </w:pPr>
      <w:r w:rsidRPr="004616B5">
        <w:rPr>
          <w:rFonts w:ascii="Palatino Linotype" w:eastAsiaTheme="majorEastAsia" w:hAnsi="Palatino Linotype" w:cstheme="majorBidi"/>
          <w:sz w:val="22"/>
          <w:szCs w:val="22"/>
        </w:rPr>
        <w:t xml:space="preserve">Con fecha </w:t>
      </w:r>
      <w:r>
        <w:rPr>
          <w:rFonts w:ascii="Palatino Linotype" w:eastAsiaTheme="majorEastAsia" w:hAnsi="Palatino Linotype" w:cstheme="majorBidi"/>
          <w:sz w:val="22"/>
          <w:szCs w:val="22"/>
        </w:rPr>
        <w:t xml:space="preserve">diecinueve de mayo </w:t>
      </w:r>
      <w:r w:rsidRPr="004616B5">
        <w:rPr>
          <w:rFonts w:ascii="Palatino Linotype" w:eastAsiaTheme="majorEastAsia" w:hAnsi="Palatino Linotype" w:cstheme="majorBidi"/>
          <w:sz w:val="22"/>
          <w:szCs w:val="22"/>
        </w:rPr>
        <w:t xml:space="preserve">de dos mil veinticinco, el Sujeto Obligado dio respuesta a la solicitud de acceso a la información a través del Sistema de Acceso a la Información Mexiquense (SAIMEX), </w:t>
      </w:r>
      <w:r>
        <w:rPr>
          <w:rFonts w:ascii="Palatino Linotype" w:eastAsiaTheme="majorEastAsia" w:hAnsi="Palatino Linotype" w:cstheme="majorBidi"/>
          <w:sz w:val="22"/>
          <w:szCs w:val="22"/>
        </w:rPr>
        <w:t>a través de la digitalización de los documentos</w:t>
      </w:r>
      <w:bookmarkEnd w:id="4"/>
      <w:r>
        <w:rPr>
          <w:rFonts w:ascii="Palatino Linotype" w:eastAsiaTheme="majorEastAsia" w:hAnsi="Palatino Linotype" w:cstheme="majorBidi"/>
          <w:sz w:val="22"/>
          <w:szCs w:val="22"/>
        </w:rPr>
        <w:t xml:space="preserve"> </w:t>
      </w:r>
      <w:r w:rsidRPr="007318FE">
        <w:rPr>
          <w:rFonts w:ascii="Palatino Linotype" w:eastAsiaTheme="majorEastAsia" w:hAnsi="Palatino Linotype" w:cstheme="majorBidi"/>
          <w:sz w:val="22"/>
          <w:szCs w:val="22"/>
        </w:rPr>
        <w:t>siguientes:</w:t>
      </w:r>
    </w:p>
    <w:p w14:paraId="4936FEFD" w14:textId="77777777" w:rsidR="00CC6407" w:rsidRDefault="00CC6407" w:rsidP="00CC6407">
      <w:pPr>
        <w:tabs>
          <w:tab w:val="left" w:pos="4667"/>
        </w:tabs>
        <w:spacing w:line="360" w:lineRule="auto"/>
        <w:contextualSpacing/>
        <w:jc w:val="both"/>
        <w:rPr>
          <w:rFonts w:ascii="Palatino Linotype" w:eastAsiaTheme="majorEastAsia" w:hAnsi="Palatino Linotype" w:cstheme="majorBidi"/>
          <w:sz w:val="22"/>
          <w:szCs w:val="22"/>
        </w:rPr>
      </w:pPr>
    </w:p>
    <w:p w14:paraId="1008FE56" w14:textId="21817263" w:rsidR="00006797" w:rsidRDefault="00CC6407" w:rsidP="00CC6407">
      <w:pPr>
        <w:tabs>
          <w:tab w:val="left" w:pos="4667"/>
        </w:tabs>
        <w:spacing w:line="360" w:lineRule="auto"/>
        <w:jc w:val="both"/>
        <w:rPr>
          <w:rFonts w:ascii="Palatino Linotype" w:eastAsiaTheme="majorEastAsia" w:hAnsi="Palatino Linotype" w:cstheme="majorBidi"/>
          <w:sz w:val="22"/>
          <w:szCs w:val="22"/>
        </w:rPr>
      </w:pPr>
      <w:r w:rsidRPr="00CC6407">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w:t>
      </w:r>
      <w:r w:rsidR="00006797">
        <w:rPr>
          <w:rFonts w:ascii="Palatino Linotype" w:eastAsiaTheme="majorEastAsia" w:hAnsi="Palatino Linotype" w:cstheme="majorBidi"/>
          <w:sz w:val="22"/>
          <w:szCs w:val="22"/>
        </w:rPr>
        <w:t xml:space="preserve">Oficio sin número de fecha de su presentación suscrito por el Titular de la Unidad de Transparencia, dirigido al solicitante, a través del cual manifiesta que remite lo solicitado en formato </w:t>
      </w:r>
      <w:proofErr w:type="spellStart"/>
      <w:r w:rsidR="00006797">
        <w:rPr>
          <w:rFonts w:ascii="Palatino Linotype" w:eastAsiaTheme="majorEastAsia" w:hAnsi="Palatino Linotype" w:cstheme="majorBidi"/>
          <w:sz w:val="22"/>
          <w:szCs w:val="22"/>
        </w:rPr>
        <w:t>pdf</w:t>
      </w:r>
      <w:proofErr w:type="spellEnd"/>
      <w:r w:rsidR="00006797">
        <w:rPr>
          <w:rFonts w:ascii="Palatino Linotype" w:eastAsiaTheme="majorEastAsia" w:hAnsi="Palatino Linotype" w:cstheme="majorBidi"/>
          <w:sz w:val="22"/>
          <w:szCs w:val="22"/>
        </w:rPr>
        <w:t>.</w:t>
      </w:r>
    </w:p>
    <w:p w14:paraId="7F19104F" w14:textId="77777777" w:rsidR="00006797" w:rsidRDefault="00006797" w:rsidP="00CC6407">
      <w:pPr>
        <w:tabs>
          <w:tab w:val="left" w:pos="4667"/>
        </w:tabs>
        <w:spacing w:line="360" w:lineRule="auto"/>
        <w:jc w:val="both"/>
        <w:rPr>
          <w:rFonts w:ascii="Palatino Linotype" w:eastAsiaTheme="majorEastAsia" w:hAnsi="Palatino Linotype" w:cstheme="majorBidi"/>
          <w:sz w:val="22"/>
          <w:szCs w:val="22"/>
        </w:rPr>
      </w:pPr>
    </w:p>
    <w:p w14:paraId="570BA493" w14:textId="2131820A" w:rsidR="00E370EF" w:rsidRPr="00CC6407" w:rsidRDefault="00006797" w:rsidP="00CC6407">
      <w:pPr>
        <w:tabs>
          <w:tab w:val="left" w:pos="4667"/>
        </w:tabs>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ii) </w:t>
      </w:r>
      <w:r w:rsidR="00E370EF" w:rsidRPr="00CC6407">
        <w:rPr>
          <w:rFonts w:ascii="Palatino Linotype" w:eastAsiaTheme="majorEastAsia" w:hAnsi="Palatino Linotype" w:cstheme="majorBidi"/>
          <w:sz w:val="22"/>
          <w:szCs w:val="22"/>
        </w:rPr>
        <w:t>Oficio número 2010A4000/770/2025 de</w:t>
      </w:r>
      <w:r w:rsidR="00CC6407" w:rsidRPr="00CC6407">
        <w:rPr>
          <w:rFonts w:ascii="Palatino Linotype" w:eastAsiaTheme="majorEastAsia" w:hAnsi="Palatino Linotype" w:cstheme="majorBidi"/>
          <w:sz w:val="22"/>
          <w:szCs w:val="22"/>
        </w:rPr>
        <w:t>l once de abril del presente año</w:t>
      </w:r>
      <w:r w:rsidR="00E370EF" w:rsidRPr="00CC6407">
        <w:rPr>
          <w:rFonts w:ascii="Palatino Linotype" w:eastAsiaTheme="majorEastAsia" w:hAnsi="Palatino Linotype" w:cstheme="majorBidi"/>
          <w:sz w:val="22"/>
          <w:szCs w:val="22"/>
        </w:rPr>
        <w:t xml:space="preserve">, suscrito por </w:t>
      </w:r>
      <w:r w:rsidR="00CC6407" w:rsidRPr="00CC6407">
        <w:rPr>
          <w:rFonts w:ascii="Palatino Linotype" w:eastAsiaTheme="majorEastAsia" w:hAnsi="Palatino Linotype" w:cstheme="majorBidi"/>
          <w:sz w:val="22"/>
          <w:szCs w:val="22"/>
        </w:rPr>
        <w:t xml:space="preserve">el </w:t>
      </w:r>
      <w:r w:rsidR="00E370EF" w:rsidRPr="00CC6407">
        <w:rPr>
          <w:rFonts w:ascii="Palatino Linotype" w:eastAsiaTheme="majorEastAsia" w:hAnsi="Palatino Linotype" w:cstheme="majorBidi"/>
          <w:sz w:val="22"/>
          <w:szCs w:val="22"/>
        </w:rPr>
        <w:t>Titular de la Unidad de Transparencia</w:t>
      </w:r>
      <w:r w:rsidR="00CC6407" w:rsidRPr="00CC6407">
        <w:rPr>
          <w:rFonts w:ascii="Palatino Linotype" w:eastAsiaTheme="majorEastAsia" w:hAnsi="Palatino Linotype" w:cstheme="majorBidi"/>
          <w:sz w:val="22"/>
          <w:szCs w:val="22"/>
        </w:rPr>
        <w:t>, dirigido al Encargado de Despacho de la Dirección General de Protección de Datos Personales de Este Instituto,</w:t>
      </w:r>
      <w:r w:rsidR="00E370EF" w:rsidRPr="00CC6407">
        <w:rPr>
          <w:rFonts w:ascii="Palatino Linotype" w:eastAsiaTheme="majorEastAsia" w:hAnsi="Palatino Linotype" w:cstheme="majorBidi"/>
          <w:sz w:val="22"/>
          <w:szCs w:val="22"/>
        </w:rPr>
        <w:t xml:space="preserve"> a través del cual </w:t>
      </w:r>
      <w:r w:rsidR="006E172C">
        <w:rPr>
          <w:rFonts w:ascii="Palatino Linotype" w:eastAsiaTheme="majorEastAsia" w:hAnsi="Palatino Linotype" w:cstheme="majorBidi"/>
          <w:sz w:val="22"/>
          <w:szCs w:val="22"/>
        </w:rPr>
        <w:t xml:space="preserve">le requiere autorización de alta, modificación y supresión de </w:t>
      </w:r>
      <w:r w:rsidR="00C56D59">
        <w:rPr>
          <w:rFonts w:ascii="Palatino Linotype" w:eastAsiaTheme="majorEastAsia" w:hAnsi="Palatino Linotype" w:cstheme="majorBidi"/>
          <w:sz w:val="22"/>
          <w:szCs w:val="22"/>
        </w:rPr>
        <w:t xml:space="preserve">diversos concentrados de </w:t>
      </w:r>
      <w:r w:rsidR="006E172C">
        <w:rPr>
          <w:rFonts w:ascii="Palatino Linotype" w:eastAsiaTheme="majorEastAsia" w:hAnsi="Palatino Linotype" w:cstheme="majorBidi"/>
          <w:sz w:val="22"/>
          <w:szCs w:val="22"/>
        </w:rPr>
        <w:t>bases de datos personales</w:t>
      </w:r>
      <w:r w:rsidR="00C56D59">
        <w:rPr>
          <w:rFonts w:ascii="Palatino Linotype" w:eastAsiaTheme="majorEastAsia" w:hAnsi="Palatino Linotype" w:cstheme="majorBidi"/>
          <w:sz w:val="22"/>
          <w:szCs w:val="22"/>
        </w:rPr>
        <w:t>.</w:t>
      </w:r>
    </w:p>
    <w:p w14:paraId="3D080CFC" w14:textId="77777777" w:rsidR="00006797" w:rsidRPr="00AA21D2" w:rsidRDefault="00006797" w:rsidP="00E370EF">
      <w:pPr>
        <w:tabs>
          <w:tab w:val="left" w:pos="4667"/>
        </w:tabs>
        <w:spacing w:line="360" w:lineRule="auto"/>
        <w:contextualSpacing/>
        <w:jc w:val="both"/>
        <w:rPr>
          <w:rFonts w:ascii="Palatino Linotype" w:hAnsi="Palatino Linotype" w:cs="Tahoma"/>
          <w:bCs/>
        </w:rPr>
      </w:pPr>
    </w:p>
    <w:p w14:paraId="43021C33" w14:textId="77777777" w:rsidR="00E370EF" w:rsidRPr="00AC17E4" w:rsidRDefault="00E370EF" w:rsidP="00E370EF">
      <w:pPr>
        <w:pStyle w:val="Ttulo2"/>
        <w:spacing w:before="0" w:after="0" w:line="360" w:lineRule="auto"/>
        <w:contextualSpacing/>
        <w:rPr>
          <w:rFonts w:ascii="Palatino Linotype" w:hAnsi="Palatino Linotype"/>
          <w:b/>
          <w:bCs/>
          <w:color w:val="auto"/>
          <w:sz w:val="22"/>
          <w:szCs w:val="22"/>
        </w:rPr>
      </w:pPr>
      <w:bookmarkStart w:id="5" w:name="_Toc210308876"/>
      <w:r>
        <w:rPr>
          <w:rFonts w:ascii="Palatino Linotype" w:hAnsi="Palatino Linotype"/>
          <w:b/>
          <w:bCs/>
          <w:color w:val="auto"/>
          <w:sz w:val="22"/>
          <w:szCs w:val="22"/>
        </w:rPr>
        <w:t>III</w:t>
      </w:r>
      <w:r w:rsidRPr="00AC17E4">
        <w:rPr>
          <w:rFonts w:ascii="Palatino Linotype" w:hAnsi="Palatino Linotype"/>
          <w:b/>
          <w:bCs/>
          <w:color w:val="auto"/>
          <w:sz w:val="22"/>
          <w:szCs w:val="22"/>
        </w:rPr>
        <w:t>. Interposición del Recurso de Revisión</w:t>
      </w:r>
      <w:bookmarkEnd w:id="5"/>
    </w:p>
    <w:p w14:paraId="4300B169" w14:textId="77777777" w:rsidR="00E370EF" w:rsidRPr="00AC17E4" w:rsidRDefault="00E370EF" w:rsidP="00E370EF">
      <w:pPr>
        <w:autoSpaceDE w:val="0"/>
        <w:autoSpaceDN w:val="0"/>
        <w:adjustRightInd w:val="0"/>
        <w:spacing w:line="360" w:lineRule="auto"/>
        <w:contextualSpacing/>
        <w:jc w:val="both"/>
        <w:rPr>
          <w:rFonts w:ascii="Palatino Linotype" w:hAnsi="Palatino Linotype" w:cs="Tahoma"/>
          <w:sz w:val="22"/>
          <w:szCs w:val="22"/>
        </w:rPr>
      </w:pPr>
    </w:p>
    <w:p w14:paraId="60D6649D" w14:textId="53C7993B" w:rsidR="00E370EF" w:rsidRPr="006E172C" w:rsidRDefault="00E370EF" w:rsidP="00E370EF">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t xml:space="preserve">Con fecha </w:t>
      </w:r>
      <w:r w:rsidR="0045111A">
        <w:rPr>
          <w:rFonts w:ascii="Palatino Linotype" w:hAnsi="Palatino Linotype" w:cs="Tahoma"/>
          <w:sz w:val="22"/>
          <w:szCs w:val="22"/>
        </w:rPr>
        <w:t xml:space="preserve">nueve de junio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el Recurso de Revisión interpuesto por la parte Recurrente, en contra de la respuesta del Ayuntamiento de Toluca, en los siguientes términos</w:t>
      </w:r>
      <w:r w:rsidRPr="00AC17E4">
        <w:rPr>
          <w:rFonts w:ascii="Palatino Linotype" w:hAnsi="Palatino Linotype" w:cs="Tahoma"/>
          <w:sz w:val="22"/>
          <w:szCs w:val="22"/>
          <w:lang w:val="es-ES"/>
        </w:rPr>
        <w:t>:</w:t>
      </w:r>
    </w:p>
    <w:p w14:paraId="1BDEBBC5" w14:textId="77777777" w:rsidR="00E370EF" w:rsidRPr="009C3D5D" w:rsidRDefault="00E370EF" w:rsidP="00E370EF">
      <w:pPr>
        <w:autoSpaceDE w:val="0"/>
        <w:autoSpaceDN w:val="0"/>
        <w:adjustRightInd w:val="0"/>
        <w:spacing w:line="360" w:lineRule="auto"/>
        <w:contextualSpacing/>
        <w:jc w:val="both"/>
        <w:rPr>
          <w:rFonts w:ascii="Palatino Linotype" w:hAnsi="Palatino Linotype" w:cs="Tahoma"/>
          <w:b/>
          <w:bCs/>
          <w:sz w:val="22"/>
          <w:szCs w:val="22"/>
          <w:lang w:val="es-ES"/>
        </w:rPr>
      </w:pPr>
    </w:p>
    <w:p w14:paraId="4AD63B26" w14:textId="77777777" w:rsidR="00E370EF" w:rsidRPr="0045111A" w:rsidRDefault="00E370EF" w:rsidP="0045111A">
      <w:pPr>
        <w:autoSpaceDE w:val="0"/>
        <w:autoSpaceDN w:val="0"/>
        <w:adjustRightInd w:val="0"/>
        <w:spacing w:line="360" w:lineRule="auto"/>
        <w:ind w:left="567" w:right="567"/>
        <w:contextualSpacing/>
        <w:jc w:val="both"/>
        <w:rPr>
          <w:rFonts w:ascii="Palatino Linotype" w:hAnsi="Palatino Linotype" w:cs="Tahoma"/>
          <w:bCs/>
          <w:i/>
          <w:iCs/>
        </w:rPr>
      </w:pPr>
      <w:r w:rsidRPr="0045111A">
        <w:rPr>
          <w:rFonts w:ascii="Palatino Linotype" w:hAnsi="Palatino Linotype" w:cs="Tahoma"/>
          <w:b/>
          <w:bCs/>
          <w:i/>
          <w:iCs/>
        </w:rPr>
        <w:t>ACTO IMPUGNADO</w:t>
      </w:r>
    </w:p>
    <w:p w14:paraId="62809A34" w14:textId="77777777" w:rsidR="0089313D" w:rsidRDefault="00E370EF" w:rsidP="0089313D">
      <w:pPr>
        <w:spacing w:line="360" w:lineRule="auto"/>
        <w:ind w:left="567" w:right="567"/>
        <w:contextualSpacing/>
        <w:jc w:val="both"/>
        <w:rPr>
          <w:rFonts w:ascii="Palatino Linotype" w:hAnsi="Palatino Linotype" w:cs="Tahoma"/>
          <w:i/>
          <w:iCs/>
        </w:rPr>
      </w:pPr>
      <w:r w:rsidRPr="0045111A">
        <w:rPr>
          <w:rFonts w:ascii="Palatino Linotype" w:hAnsi="Palatino Linotype"/>
          <w:i/>
          <w:iCs/>
          <w:lang w:eastAsia="es-MX"/>
        </w:rPr>
        <w:t>“</w:t>
      </w:r>
      <w:r w:rsidR="0045111A" w:rsidRPr="0045111A">
        <w:rPr>
          <w:rFonts w:ascii="Palatino Linotype" w:hAnsi="Palatino Linotype"/>
          <w:i/>
          <w:iCs/>
          <w:lang w:eastAsia="es-MX"/>
        </w:rPr>
        <w:t>La Unidad de transparencia oculta la información no entrega la información solicitada</w:t>
      </w:r>
      <w:r w:rsidRPr="0045111A">
        <w:rPr>
          <w:rFonts w:ascii="Palatino Linotype" w:hAnsi="Palatino Linotype"/>
          <w:i/>
          <w:iCs/>
          <w:color w:val="000000"/>
        </w:rPr>
        <w:t>.</w:t>
      </w:r>
      <w:r w:rsidRPr="0045111A">
        <w:rPr>
          <w:rFonts w:ascii="Palatino Linotype" w:hAnsi="Palatino Linotype" w:cs="Tahoma"/>
          <w:i/>
          <w:iCs/>
        </w:rPr>
        <w:t xml:space="preserve">” </w:t>
      </w:r>
    </w:p>
    <w:p w14:paraId="22E296A2" w14:textId="7ABDE82A" w:rsidR="00E370EF" w:rsidRPr="0045111A" w:rsidRDefault="00E370EF" w:rsidP="0089313D">
      <w:pPr>
        <w:spacing w:line="360" w:lineRule="auto"/>
        <w:ind w:left="567" w:right="567"/>
        <w:contextualSpacing/>
        <w:jc w:val="both"/>
        <w:rPr>
          <w:rFonts w:ascii="Palatino Linotype" w:hAnsi="Palatino Linotype" w:cs="Tahoma"/>
          <w:i/>
          <w:iCs/>
        </w:rPr>
      </w:pPr>
      <w:r w:rsidRPr="0045111A">
        <w:rPr>
          <w:rFonts w:ascii="Palatino Linotype" w:hAnsi="Palatino Linotype" w:cs="Tahoma"/>
          <w:i/>
          <w:iCs/>
        </w:rPr>
        <w:t>(Sic)</w:t>
      </w:r>
    </w:p>
    <w:p w14:paraId="69B97F85" w14:textId="77777777" w:rsidR="00E370EF" w:rsidRPr="0045111A" w:rsidRDefault="00E370EF" w:rsidP="0045111A">
      <w:pPr>
        <w:autoSpaceDE w:val="0"/>
        <w:autoSpaceDN w:val="0"/>
        <w:adjustRightInd w:val="0"/>
        <w:spacing w:line="360" w:lineRule="auto"/>
        <w:ind w:left="567" w:right="567"/>
        <w:contextualSpacing/>
        <w:jc w:val="both"/>
        <w:rPr>
          <w:rFonts w:ascii="Palatino Linotype" w:hAnsi="Palatino Linotype" w:cs="Tahoma"/>
          <w:i/>
          <w:iCs/>
        </w:rPr>
      </w:pPr>
    </w:p>
    <w:p w14:paraId="0C5DF3C7" w14:textId="77777777" w:rsidR="00E370EF" w:rsidRPr="0045111A" w:rsidRDefault="00E370EF" w:rsidP="0045111A">
      <w:pPr>
        <w:autoSpaceDE w:val="0"/>
        <w:autoSpaceDN w:val="0"/>
        <w:adjustRightInd w:val="0"/>
        <w:spacing w:line="360" w:lineRule="auto"/>
        <w:ind w:left="567" w:right="567"/>
        <w:contextualSpacing/>
        <w:jc w:val="both"/>
        <w:rPr>
          <w:rFonts w:ascii="Palatino Linotype" w:hAnsi="Palatino Linotype" w:cs="Tahoma"/>
          <w:b/>
          <w:i/>
          <w:iCs/>
        </w:rPr>
      </w:pPr>
      <w:r w:rsidRPr="0045111A">
        <w:rPr>
          <w:rFonts w:ascii="Palatino Linotype" w:hAnsi="Palatino Linotype" w:cs="Tahoma"/>
          <w:b/>
          <w:i/>
          <w:iCs/>
        </w:rPr>
        <w:t>RAZONES O MOTIVOS DE LA INCONFORMIDAD</w:t>
      </w:r>
    </w:p>
    <w:p w14:paraId="31748C8E" w14:textId="77777777" w:rsidR="0089313D" w:rsidRDefault="00E370EF" w:rsidP="0089313D">
      <w:pPr>
        <w:spacing w:line="360" w:lineRule="auto"/>
        <w:ind w:firstLine="567"/>
        <w:contextualSpacing/>
        <w:jc w:val="both"/>
        <w:rPr>
          <w:rFonts w:ascii="Palatino Linotype" w:hAnsi="Palatino Linotype" w:cs="Tahoma"/>
          <w:i/>
          <w:iCs/>
        </w:rPr>
      </w:pPr>
      <w:r w:rsidRPr="0045111A">
        <w:rPr>
          <w:rFonts w:ascii="Palatino Linotype" w:hAnsi="Palatino Linotype"/>
          <w:i/>
          <w:iCs/>
          <w:color w:val="000000"/>
        </w:rPr>
        <w:t>“</w:t>
      </w:r>
      <w:r w:rsidR="0045111A" w:rsidRPr="0045111A">
        <w:rPr>
          <w:rFonts w:ascii="Palatino Linotype" w:hAnsi="Palatino Linotype"/>
          <w:i/>
          <w:iCs/>
          <w:lang w:eastAsia="es-MX"/>
        </w:rPr>
        <w:t>No entrega la información solicitada</w:t>
      </w:r>
      <w:r w:rsidRPr="0045111A">
        <w:rPr>
          <w:rFonts w:ascii="Palatino Linotype" w:hAnsi="Palatino Linotype"/>
          <w:i/>
          <w:iCs/>
          <w:color w:val="000000"/>
        </w:rPr>
        <w:t>.</w:t>
      </w:r>
      <w:r w:rsidRPr="0045111A">
        <w:rPr>
          <w:rFonts w:ascii="Palatino Linotype" w:hAnsi="Palatino Linotype" w:cs="Tahoma"/>
          <w:i/>
          <w:iCs/>
        </w:rPr>
        <w:t xml:space="preserve">” </w:t>
      </w:r>
    </w:p>
    <w:p w14:paraId="26A848B5" w14:textId="7AA89BF9" w:rsidR="00E370EF" w:rsidRPr="0089313D" w:rsidRDefault="00E370EF" w:rsidP="0089313D">
      <w:pPr>
        <w:spacing w:line="360" w:lineRule="auto"/>
        <w:ind w:firstLine="567"/>
        <w:contextualSpacing/>
        <w:jc w:val="both"/>
        <w:rPr>
          <w:rFonts w:ascii="Palatino Linotype" w:hAnsi="Palatino Linotype"/>
          <w:i/>
          <w:iCs/>
          <w:lang w:eastAsia="es-MX"/>
        </w:rPr>
      </w:pPr>
      <w:r w:rsidRPr="0045111A">
        <w:rPr>
          <w:rFonts w:ascii="Palatino Linotype" w:hAnsi="Palatino Linotype" w:cs="Tahoma"/>
          <w:i/>
          <w:iCs/>
        </w:rPr>
        <w:lastRenderedPageBreak/>
        <w:t>(Sic)</w:t>
      </w:r>
    </w:p>
    <w:p w14:paraId="20FA1AB4" w14:textId="77777777" w:rsidR="00E370EF" w:rsidRPr="00AC17E4" w:rsidRDefault="00E370EF" w:rsidP="00E370EF">
      <w:pPr>
        <w:spacing w:line="360" w:lineRule="auto"/>
        <w:ind w:left="567" w:right="567"/>
        <w:contextualSpacing/>
        <w:jc w:val="both"/>
        <w:rPr>
          <w:rFonts w:ascii="Palatino Linotype" w:hAnsi="Palatino Linotype" w:cs="Tahoma"/>
          <w:i/>
          <w:iCs/>
        </w:rPr>
      </w:pPr>
    </w:p>
    <w:p w14:paraId="35DF21CA" w14:textId="77777777" w:rsidR="00E370EF" w:rsidRPr="00AC17E4" w:rsidRDefault="00E370EF" w:rsidP="00E370EF">
      <w:pPr>
        <w:pStyle w:val="Ttulo2"/>
        <w:spacing w:before="0" w:after="0" w:line="360" w:lineRule="auto"/>
        <w:contextualSpacing/>
        <w:rPr>
          <w:rFonts w:ascii="Palatino Linotype" w:eastAsia="Batang" w:hAnsi="Palatino Linotype"/>
          <w:b/>
          <w:bCs/>
          <w:color w:val="auto"/>
          <w:sz w:val="22"/>
          <w:szCs w:val="22"/>
        </w:rPr>
      </w:pPr>
      <w:bookmarkStart w:id="6" w:name="_Toc210308877"/>
      <w:r>
        <w:rPr>
          <w:rFonts w:ascii="Palatino Linotype" w:hAnsi="Palatino Linotype"/>
          <w:b/>
          <w:bCs/>
          <w:color w:val="auto"/>
          <w:sz w:val="22"/>
          <w:szCs w:val="22"/>
        </w:rPr>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6"/>
    </w:p>
    <w:p w14:paraId="4C201747" w14:textId="77777777" w:rsidR="00E370EF" w:rsidRPr="00AC17E4" w:rsidRDefault="00E370EF" w:rsidP="00E370EF">
      <w:pPr>
        <w:spacing w:line="360" w:lineRule="auto"/>
        <w:contextualSpacing/>
        <w:jc w:val="both"/>
        <w:rPr>
          <w:rFonts w:ascii="Palatino Linotype" w:eastAsia="Batang" w:hAnsi="Palatino Linotype" w:cs="Tahoma"/>
          <w:b/>
          <w:bCs/>
          <w:sz w:val="22"/>
          <w:szCs w:val="22"/>
        </w:rPr>
      </w:pPr>
    </w:p>
    <w:p w14:paraId="0629D0EB" w14:textId="18530168" w:rsidR="00E370EF" w:rsidRPr="00AC17E4" w:rsidRDefault="00E370EF" w:rsidP="00E370EF">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sidR="0045111A">
        <w:rPr>
          <w:rFonts w:ascii="Palatino Linotype" w:hAnsi="Palatino Linotype" w:cs="Tahoma"/>
          <w:sz w:val="22"/>
          <w:szCs w:val="22"/>
        </w:rPr>
        <w:t xml:space="preserve">nueve de junio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el número de expediente </w:t>
      </w:r>
      <w:r w:rsidRPr="00AC17E4">
        <w:rPr>
          <w:rFonts w:ascii="Palatino Linotype" w:eastAsia="Batang" w:hAnsi="Palatino Linotype" w:cs="Tahoma"/>
          <w:b/>
          <w:sz w:val="22"/>
          <w:szCs w:val="22"/>
          <w:lang w:val="es-ES_tradnl"/>
        </w:rPr>
        <w:t>0</w:t>
      </w:r>
      <w:r>
        <w:rPr>
          <w:rFonts w:ascii="Palatino Linotype" w:eastAsia="Batang" w:hAnsi="Palatino Linotype" w:cs="Tahoma"/>
          <w:b/>
          <w:sz w:val="22"/>
          <w:szCs w:val="22"/>
          <w:lang w:val="es-ES_tradnl"/>
        </w:rPr>
        <w:t>6</w:t>
      </w:r>
      <w:r w:rsidR="0045111A">
        <w:rPr>
          <w:rFonts w:ascii="Palatino Linotype" w:eastAsia="Batang" w:hAnsi="Palatino Linotype" w:cs="Tahoma"/>
          <w:b/>
          <w:sz w:val="22"/>
          <w:szCs w:val="22"/>
          <w:lang w:val="es-ES_tradnl"/>
        </w:rPr>
        <w:t>726</w:t>
      </w:r>
      <w:r w:rsidRPr="00AC17E4">
        <w:rPr>
          <w:rFonts w:ascii="Palatino Linotype" w:eastAsia="Batang" w:hAnsi="Palatino Linotype" w:cs="Tahoma"/>
          <w:b/>
          <w:sz w:val="22"/>
          <w:szCs w:val="22"/>
          <w:lang w:val="es-ES_tradnl"/>
        </w:rPr>
        <w:t>/INFOEM/IP/RR/2025</w:t>
      </w:r>
      <w:r w:rsidRPr="00AC17E4">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0D407DD9" w14:textId="77777777" w:rsidR="00E370EF" w:rsidRPr="00AC17E4" w:rsidRDefault="00E370EF" w:rsidP="00E370EF">
      <w:pPr>
        <w:spacing w:line="360" w:lineRule="auto"/>
        <w:contextualSpacing/>
        <w:jc w:val="both"/>
        <w:rPr>
          <w:rFonts w:ascii="Palatino Linotype" w:eastAsia="Batang" w:hAnsi="Palatino Linotype" w:cs="Tahoma"/>
          <w:b/>
          <w:bCs/>
          <w:sz w:val="22"/>
          <w:szCs w:val="22"/>
        </w:rPr>
      </w:pPr>
    </w:p>
    <w:p w14:paraId="7E28A354" w14:textId="27FC9942" w:rsidR="00E370EF" w:rsidRPr="00AC17E4" w:rsidRDefault="00E370EF" w:rsidP="00E370EF">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sidR="0045111A">
        <w:rPr>
          <w:rFonts w:ascii="Palatino Linotype" w:eastAsia="Batang" w:hAnsi="Palatino Linotype" w:cs="Tahoma"/>
          <w:bCs/>
          <w:sz w:val="22"/>
          <w:szCs w:val="22"/>
          <w:lang w:val="es-ES_tradnl"/>
        </w:rPr>
        <w:t xml:space="preserve">doce de junio </w:t>
      </w:r>
      <w:r w:rsidRPr="00AC17E4">
        <w:rPr>
          <w:rFonts w:ascii="Palatino Linotype" w:eastAsia="Batang" w:hAnsi="Palatino Linotype" w:cs="Tahoma"/>
          <w:bCs/>
          <w:sz w:val="22"/>
          <w:szCs w:val="22"/>
          <w:lang w:val="es-ES_tradnl"/>
        </w:rPr>
        <w:t xml:space="preserve">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45111A">
        <w:rPr>
          <w:rFonts w:ascii="Palatino Linotype" w:eastAsia="Batang" w:hAnsi="Palatino Linotype" w:cs="Tahoma"/>
          <w:bCs/>
          <w:sz w:val="22"/>
          <w:szCs w:val="22"/>
          <w:lang w:val="es-ES_tradnl"/>
        </w:rPr>
        <w:t>mismo día</w:t>
      </w:r>
      <w:r w:rsidRPr="00AC17E4">
        <w:rPr>
          <w:rFonts w:ascii="Palatino Linotype" w:eastAsia="Batang" w:hAnsi="Palatino Linotype" w:cs="Tahoma"/>
          <w:bCs/>
          <w:sz w:val="22"/>
          <w:szCs w:val="22"/>
          <w:lang w:val="es-ES_tradnl"/>
        </w:rPr>
        <w:t>, a través del SAIMEX, en el que se les otorgó un plazo de siete días hábiles posteriores a la misma, para que manifestaran lo que a su derecho conviniera y formularan alegatos.</w:t>
      </w:r>
    </w:p>
    <w:p w14:paraId="780EC1E0" w14:textId="77777777" w:rsidR="00E370EF" w:rsidRPr="00AC17E4" w:rsidRDefault="00E370EF" w:rsidP="00E370EF">
      <w:pPr>
        <w:spacing w:line="360" w:lineRule="auto"/>
        <w:contextualSpacing/>
        <w:jc w:val="both"/>
        <w:rPr>
          <w:rFonts w:ascii="Palatino Linotype" w:eastAsia="Batang" w:hAnsi="Palatino Linotype" w:cs="Tahoma"/>
          <w:bCs/>
          <w:sz w:val="22"/>
          <w:szCs w:val="22"/>
          <w:lang w:val="es-ES_tradnl"/>
        </w:rPr>
      </w:pPr>
    </w:p>
    <w:p w14:paraId="6930B206" w14:textId="3EF43643" w:rsidR="00E370EF" w:rsidRPr="0087094E" w:rsidRDefault="00E370EF" w:rsidP="00E370EF">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t xml:space="preserve">c) Informe Justificado. </w:t>
      </w:r>
      <w:r w:rsidRPr="00AC17E4">
        <w:rPr>
          <w:rFonts w:ascii="Palatino Linotype" w:hAnsi="Palatino Linotype" w:cs="Tahoma"/>
          <w:sz w:val="22"/>
          <w:szCs w:val="22"/>
        </w:rPr>
        <w:t xml:space="preserve">El </w:t>
      </w:r>
      <w:r w:rsidR="0045111A">
        <w:rPr>
          <w:rFonts w:ascii="Palatino Linotype" w:hAnsi="Palatino Linotype" w:cs="Tahoma"/>
          <w:sz w:val="22"/>
          <w:szCs w:val="22"/>
        </w:rPr>
        <w:t xml:space="preserve">veintitrés de junio </w:t>
      </w:r>
      <w:r w:rsidRPr="00AC17E4">
        <w:rPr>
          <w:rFonts w:ascii="Palatino Linotype" w:hAnsi="Palatino Linotype" w:cs="Tahoma"/>
          <w:sz w:val="22"/>
          <w:szCs w:val="22"/>
        </w:rPr>
        <w:t>de dos mil veinticinco, se recibió, a través del SAIMEX, el informe justificado</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por medio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 digitalización del o</w:t>
      </w:r>
      <w:r w:rsidRPr="00D60AAF">
        <w:rPr>
          <w:rFonts w:ascii="Palatino Linotype" w:hAnsi="Palatino Linotype" w:cs="Tahoma"/>
          <w:sz w:val="22"/>
          <w:szCs w:val="22"/>
        </w:rPr>
        <w:t>ficio</w:t>
      </w:r>
      <w:r>
        <w:rPr>
          <w:rFonts w:ascii="Palatino Linotype" w:hAnsi="Palatino Linotype" w:cs="Tahoma"/>
          <w:sz w:val="22"/>
          <w:szCs w:val="22"/>
        </w:rPr>
        <w:t xml:space="preserve"> sin</w:t>
      </w:r>
      <w:r w:rsidRPr="00D60AAF">
        <w:rPr>
          <w:rFonts w:ascii="Palatino Linotype" w:hAnsi="Palatino Linotype" w:cs="Tahoma"/>
          <w:sz w:val="22"/>
          <w:szCs w:val="22"/>
        </w:rPr>
        <w:t xml:space="preserve"> número,</w:t>
      </w:r>
      <w:r>
        <w:rPr>
          <w:rFonts w:ascii="Palatino Linotype" w:hAnsi="Palatino Linotype" w:cs="Tahoma"/>
          <w:sz w:val="22"/>
          <w:szCs w:val="22"/>
        </w:rPr>
        <w:t xml:space="preserve"> </w:t>
      </w:r>
      <w:r w:rsidRPr="00D60AAF">
        <w:rPr>
          <w:rFonts w:ascii="Palatino Linotype" w:hAnsi="Palatino Linotype" w:cs="Tahoma"/>
          <w:sz w:val="22"/>
          <w:szCs w:val="22"/>
        </w:rPr>
        <w:t xml:space="preserve">de </w:t>
      </w:r>
      <w:r>
        <w:rPr>
          <w:rFonts w:ascii="Palatino Linotype" w:hAnsi="Palatino Linotype" w:cs="Tahoma"/>
          <w:sz w:val="22"/>
          <w:szCs w:val="22"/>
        </w:rPr>
        <w:t>fecha de su presentación</w:t>
      </w:r>
      <w:r w:rsidRPr="00D60AAF">
        <w:rPr>
          <w:rFonts w:ascii="Palatino Linotype" w:hAnsi="Palatino Linotype" w:cs="Tahoma"/>
          <w:sz w:val="22"/>
          <w:szCs w:val="22"/>
        </w:rPr>
        <w:t xml:space="preserve">, suscrito por </w:t>
      </w:r>
      <w:r>
        <w:rPr>
          <w:rFonts w:ascii="Palatino Linotype" w:hAnsi="Palatino Linotype" w:cs="Tahoma"/>
          <w:sz w:val="22"/>
          <w:szCs w:val="22"/>
        </w:rPr>
        <w:t xml:space="preserve">el </w:t>
      </w:r>
      <w:r w:rsidRPr="00D60AAF">
        <w:rPr>
          <w:rFonts w:ascii="Palatino Linotype" w:hAnsi="Palatino Linotype" w:cs="Tahoma"/>
          <w:sz w:val="22"/>
          <w:szCs w:val="22"/>
        </w:rPr>
        <w:t>Titular de la Unidad de Transparencia,</w:t>
      </w:r>
      <w:r>
        <w:rPr>
          <w:rFonts w:ascii="Palatino Linotype" w:hAnsi="Palatino Linotype" w:cs="Tahoma"/>
          <w:sz w:val="22"/>
          <w:szCs w:val="22"/>
        </w:rPr>
        <w:t xml:space="preserve"> dirigido al Comisionado Ponente</w:t>
      </w:r>
      <w:r w:rsidRPr="00D60AAF">
        <w:rPr>
          <w:rFonts w:ascii="Palatino Linotype" w:hAnsi="Palatino Linotype" w:cs="Tahoma"/>
          <w:sz w:val="22"/>
          <w:szCs w:val="22"/>
        </w:rPr>
        <w:t xml:space="preserve"> a través del cual </w:t>
      </w:r>
      <w:r>
        <w:rPr>
          <w:rFonts w:ascii="Palatino Linotype" w:hAnsi="Palatino Linotype" w:cs="Tahoma"/>
          <w:sz w:val="22"/>
          <w:szCs w:val="22"/>
        </w:rPr>
        <w:t xml:space="preserve">informa que la </w:t>
      </w:r>
      <w:r w:rsidR="0045111A">
        <w:rPr>
          <w:rFonts w:ascii="Palatino Linotype" w:hAnsi="Palatino Linotype" w:cs="Tahoma"/>
          <w:sz w:val="22"/>
          <w:szCs w:val="22"/>
        </w:rPr>
        <w:t>Unidad de Transparencia</w:t>
      </w:r>
      <w:r>
        <w:rPr>
          <w:rFonts w:ascii="Palatino Linotype" w:hAnsi="Palatino Linotype" w:cs="Tahoma"/>
          <w:sz w:val="22"/>
          <w:szCs w:val="22"/>
        </w:rPr>
        <w:t xml:space="preserve">, </w:t>
      </w:r>
      <w:r w:rsidRPr="00D60AAF">
        <w:rPr>
          <w:rFonts w:ascii="Palatino Linotype" w:hAnsi="Palatino Linotype" w:cs="Tahoma"/>
          <w:sz w:val="22"/>
          <w:szCs w:val="22"/>
        </w:rPr>
        <w:t>ratifica su respuesta inicial.</w:t>
      </w:r>
    </w:p>
    <w:p w14:paraId="0C2A6F91" w14:textId="77777777" w:rsidR="00E370EF" w:rsidRPr="00AC17E4" w:rsidRDefault="00E370EF" w:rsidP="00E370EF">
      <w:pPr>
        <w:spacing w:line="360" w:lineRule="auto"/>
        <w:contextualSpacing/>
        <w:jc w:val="both"/>
        <w:rPr>
          <w:rFonts w:ascii="Palatino Linotype" w:hAnsi="Palatino Linotype" w:cs="Tahoma"/>
          <w:b/>
          <w:sz w:val="22"/>
          <w:szCs w:val="22"/>
        </w:rPr>
      </w:pPr>
    </w:p>
    <w:p w14:paraId="5306C9EB" w14:textId="4277F9AA" w:rsidR="00E370EF" w:rsidRPr="00AC17E4" w:rsidRDefault="00E370EF" w:rsidP="00E370EF">
      <w:pPr>
        <w:spacing w:line="360" w:lineRule="auto"/>
        <w:contextualSpacing/>
        <w:jc w:val="both"/>
        <w:rPr>
          <w:rFonts w:ascii="Palatino Linotype" w:eastAsia="Batang" w:hAnsi="Palatino Linotype" w:cs="Tahoma"/>
          <w:b/>
          <w:bCs/>
          <w:color w:val="000000"/>
          <w:sz w:val="22"/>
          <w:szCs w:val="22"/>
          <w:lang w:eastAsia="en-US"/>
        </w:rPr>
      </w:pPr>
      <w:r>
        <w:rPr>
          <w:rFonts w:ascii="Palatino Linotype" w:hAnsi="Palatino Linotype" w:cs="Tahoma"/>
          <w:b/>
          <w:sz w:val="22"/>
          <w:szCs w:val="22"/>
        </w:rPr>
        <w:lastRenderedPageBreak/>
        <w:t>d</w:t>
      </w:r>
      <w:r w:rsidRPr="00AC17E4">
        <w:rPr>
          <w:rFonts w:ascii="Palatino Linotype" w:hAnsi="Palatino Linotype" w:cs="Tahoma"/>
          <w:b/>
          <w:sz w:val="22"/>
          <w:szCs w:val="22"/>
        </w:rPr>
        <w:t xml:space="preserve">) </w:t>
      </w:r>
      <w:r w:rsidRPr="00AC17E4">
        <w:rPr>
          <w:rFonts w:ascii="Palatino Linotype" w:hAnsi="Palatino Linotype" w:cs="Tahoma"/>
          <w:b/>
          <w:bCs/>
          <w:sz w:val="22"/>
          <w:szCs w:val="22"/>
        </w:rPr>
        <w:t xml:space="preserve">Vista del informe justificado. </w:t>
      </w:r>
      <w:r w:rsidRPr="00AC17E4">
        <w:rPr>
          <w:rFonts w:ascii="Palatino Linotype" w:hAnsi="Palatino Linotype" w:cs="Tahoma"/>
          <w:sz w:val="22"/>
          <w:szCs w:val="22"/>
        </w:rPr>
        <w:t xml:space="preserve">El </w:t>
      </w:r>
      <w:r w:rsidR="0045111A">
        <w:rPr>
          <w:rFonts w:ascii="Palatino Linotype" w:hAnsi="Palatino Linotype" w:cs="Tahoma"/>
          <w:sz w:val="22"/>
          <w:szCs w:val="22"/>
        </w:rPr>
        <w:t>dieci</w:t>
      </w:r>
      <w:r>
        <w:rPr>
          <w:rFonts w:ascii="Palatino Linotype" w:hAnsi="Palatino Linotype" w:cs="Tahoma"/>
          <w:sz w:val="22"/>
          <w:szCs w:val="22"/>
        </w:rPr>
        <w:t xml:space="preserve">ocho de julio </w:t>
      </w:r>
      <w:r w:rsidRPr="00AC17E4">
        <w:rPr>
          <w:rFonts w:ascii="Palatino Linotype" w:hAnsi="Palatino Linotype" w:cs="Tahoma"/>
          <w:sz w:val="22"/>
          <w:szCs w:val="22"/>
        </w:rPr>
        <w:t xml:space="preserve">de dos mil veinticinco, se dictó acuerdo mediante el cual </w:t>
      </w:r>
      <w:r w:rsidRPr="00AC17E4">
        <w:rPr>
          <w:rFonts w:ascii="Palatino Linotype" w:hAnsi="Palatino Linotype" w:cs="Tahoma"/>
          <w:bCs/>
          <w:sz w:val="22"/>
          <w:szCs w:val="22"/>
        </w:rPr>
        <w:t>se puso a la vista del Particular, el Informe Justificado</w:t>
      </w:r>
      <w:r w:rsidRPr="00AC17E4">
        <w:rPr>
          <w:rFonts w:ascii="Palatino Linotype" w:hAnsi="Palatino Linotype" w:cs="Tahoma"/>
          <w:sz w:val="22"/>
          <w:szCs w:val="22"/>
        </w:rPr>
        <w:t xml:space="preserve"> entregado por el Sujeto Obligado, el cual fue notificado, a través del SAIMEX, el mismo día. </w:t>
      </w:r>
    </w:p>
    <w:p w14:paraId="467D17B5" w14:textId="77777777" w:rsidR="00E370EF" w:rsidRPr="00AC17E4" w:rsidRDefault="00E370EF" w:rsidP="00E370EF">
      <w:pPr>
        <w:autoSpaceDE w:val="0"/>
        <w:autoSpaceDN w:val="0"/>
        <w:adjustRightInd w:val="0"/>
        <w:spacing w:line="360" w:lineRule="auto"/>
        <w:contextualSpacing/>
        <w:jc w:val="both"/>
        <w:rPr>
          <w:rFonts w:ascii="Palatino Linotype" w:hAnsi="Palatino Linotype" w:cs="Tahoma"/>
          <w:b/>
          <w:sz w:val="22"/>
          <w:szCs w:val="22"/>
        </w:rPr>
      </w:pPr>
    </w:p>
    <w:p w14:paraId="480364B4" w14:textId="415A0E4D" w:rsidR="00E370EF" w:rsidRPr="00666E36" w:rsidRDefault="00E370EF" w:rsidP="00E370EF">
      <w:pPr>
        <w:spacing w:line="360" w:lineRule="auto"/>
        <w:contextualSpacing/>
        <w:jc w:val="both"/>
        <w:rPr>
          <w:rFonts w:ascii="Palatino Linotype" w:hAnsi="Palatino Linotype" w:cs="Tahoma"/>
          <w:b/>
          <w:bCs/>
          <w:sz w:val="22"/>
          <w:szCs w:val="22"/>
        </w:rPr>
      </w:pPr>
      <w:bookmarkStart w:id="7" w:name="_Hlk145410441"/>
      <w:r>
        <w:rPr>
          <w:rFonts w:ascii="Palatino Linotype" w:hAnsi="Palatino Linotype" w:cs="Tahoma"/>
          <w:b/>
          <w:bCs/>
          <w:sz w:val="22"/>
          <w:szCs w:val="22"/>
        </w:rPr>
        <w:t>e</w:t>
      </w:r>
      <w:r w:rsidRPr="00723DBE">
        <w:rPr>
          <w:rFonts w:ascii="Palatino Linotype" w:hAnsi="Palatino Linotype" w:cs="Tahoma"/>
          <w:b/>
          <w:bCs/>
          <w:sz w:val="22"/>
          <w:szCs w:val="22"/>
        </w:rPr>
        <w:t xml:space="preserve">) </w:t>
      </w:r>
      <w:r w:rsidRPr="00666E36">
        <w:rPr>
          <w:rFonts w:ascii="Palatino Linotype" w:hAnsi="Palatino Linotype" w:cs="Tahoma"/>
          <w:b/>
          <w:bCs/>
          <w:sz w:val="22"/>
          <w:szCs w:val="22"/>
        </w:rPr>
        <w:t xml:space="preserve">Ampliación de plazo para resolver. </w:t>
      </w:r>
      <w:r w:rsidRPr="00666E36">
        <w:rPr>
          <w:rFonts w:ascii="Palatino Linotype" w:hAnsi="Palatino Linotype" w:cs="Tahoma"/>
          <w:sz w:val="22"/>
          <w:szCs w:val="22"/>
        </w:rPr>
        <w:t xml:space="preserve">El </w:t>
      </w:r>
      <w:r w:rsidR="0089313D">
        <w:rPr>
          <w:rFonts w:ascii="Palatino Linotype" w:hAnsi="Palatino Linotype" w:cs="Tahoma"/>
          <w:sz w:val="22"/>
          <w:szCs w:val="22"/>
        </w:rPr>
        <w:t xml:space="preserve">ocho </w:t>
      </w:r>
      <w:r w:rsidR="0045111A">
        <w:rPr>
          <w:rFonts w:ascii="Palatino Linotype" w:hAnsi="Palatino Linotype" w:cs="Tahoma"/>
          <w:sz w:val="22"/>
          <w:szCs w:val="22"/>
        </w:rPr>
        <w:t xml:space="preserve">de octubre </w:t>
      </w:r>
      <w:r w:rsidRPr="00666E36">
        <w:rPr>
          <w:rFonts w:ascii="Palatino Linotype" w:hAnsi="Palatino Linotype" w:cs="Tahoma"/>
          <w:sz w:val="22"/>
          <w:szCs w:val="22"/>
        </w:rPr>
        <w:t xml:space="preserve">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Pr>
          <w:rFonts w:ascii="Palatino Linotype" w:hAnsi="Palatino Linotype" w:cs="Tahoma"/>
          <w:sz w:val="22"/>
          <w:szCs w:val="22"/>
        </w:rPr>
        <w:t>mismo día</w:t>
      </w:r>
      <w:r w:rsidRPr="00666E36">
        <w:rPr>
          <w:rFonts w:ascii="Palatino Linotype" w:hAnsi="Palatino Linotype" w:cs="Tahoma"/>
          <w:sz w:val="22"/>
          <w:szCs w:val="22"/>
        </w:rPr>
        <w:t>.</w:t>
      </w:r>
    </w:p>
    <w:p w14:paraId="453B2116" w14:textId="77777777" w:rsidR="00E370EF" w:rsidRDefault="00E370EF" w:rsidP="00E370EF">
      <w:pPr>
        <w:spacing w:line="360" w:lineRule="auto"/>
        <w:contextualSpacing/>
        <w:jc w:val="both"/>
        <w:rPr>
          <w:rFonts w:ascii="Palatino Linotype" w:hAnsi="Palatino Linotype" w:cs="Tahoma"/>
          <w:b/>
          <w:bCs/>
          <w:sz w:val="22"/>
          <w:szCs w:val="22"/>
        </w:rPr>
      </w:pPr>
    </w:p>
    <w:p w14:paraId="08711EB7" w14:textId="74159339" w:rsidR="00E370EF" w:rsidRPr="00967419" w:rsidRDefault="00E370EF" w:rsidP="00E370EF">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 xml:space="preserve">f) </w:t>
      </w:r>
      <w:r w:rsidRPr="00AC17E4">
        <w:rPr>
          <w:rFonts w:ascii="Palatino Linotype" w:hAnsi="Palatino Linotype" w:cs="Tahoma"/>
          <w:b/>
          <w:bCs/>
          <w:sz w:val="22"/>
          <w:szCs w:val="22"/>
        </w:rPr>
        <w:t>Cierre de instrucción.</w:t>
      </w:r>
      <w:r w:rsidRPr="00AC17E4">
        <w:rPr>
          <w:rFonts w:ascii="Palatino Linotype" w:hAnsi="Palatino Linotype" w:cs="Tahoma"/>
          <w:bCs/>
          <w:sz w:val="22"/>
          <w:szCs w:val="22"/>
        </w:rPr>
        <w:t xml:space="preserve"> El </w:t>
      </w:r>
      <w:r w:rsidR="0089313D">
        <w:rPr>
          <w:rFonts w:ascii="Palatino Linotype" w:hAnsi="Palatino Linotype" w:cs="Tahoma"/>
          <w:bCs/>
          <w:sz w:val="22"/>
          <w:szCs w:val="22"/>
        </w:rPr>
        <w:t>siete</w:t>
      </w:r>
      <w:r w:rsidR="0045111A">
        <w:rPr>
          <w:rFonts w:ascii="Palatino Linotype" w:hAnsi="Palatino Linotype" w:cs="Tahoma"/>
          <w:bCs/>
          <w:sz w:val="22"/>
          <w:szCs w:val="22"/>
        </w:rPr>
        <w:t xml:space="preserve"> de octubre </w:t>
      </w:r>
      <w:r w:rsidRPr="00AC17E4">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AC17E4">
        <w:rPr>
          <w:rFonts w:ascii="Palatino Linotype" w:hAnsi="Palatino Linotype" w:cs="Tahoma"/>
          <w:bCs/>
          <w:sz w:val="22"/>
          <w:szCs w:val="22"/>
          <w:lang w:val="es-ES"/>
        </w:rPr>
        <w:t xml:space="preserve">acto que fue notificado a las partes, mediante el SAIMEX, el </w:t>
      </w:r>
      <w:r w:rsidR="0089313D">
        <w:rPr>
          <w:rFonts w:ascii="Palatino Linotype" w:hAnsi="Palatino Linotype" w:cs="Tahoma"/>
          <w:bCs/>
          <w:sz w:val="22"/>
          <w:szCs w:val="22"/>
          <w:lang w:val="es-ES"/>
        </w:rPr>
        <w:t>ocho de dicho mes y año</w:t>
      </w:r>
      <w:r w:rsidRPr="00AC17E4">
        <w:rPr>
          <w:rFonts w:ascii="Palatino Linotype" w:hAnsi="Palatino Linotype" w:cs="Tahoma"/>
          <w:bCs/>
          <w:sz w:val="22"/>
          <w:szCs w:val="22"/>
          <w:lang w:val="es-ES"/>
        </w:rPr>
        <w:t>.</w:t>
      </w:r>
    </w:p>
    <w:bookmarkEnd w:id="7"/>
    <w:p w14:paraId="76B3FE29" w14:textId="77777777" w:rsidR="00E370EF" w:rsidRPr="00AC17E4" w:rsidRDefault="00E370EF" w:rsidP="00E370EF">
      <w:pPr>
        <w:autoSpaceDE w:val="0"/>
        <w:autoSpaceDN w:val="0"/>
        <w:adjustRightInd w:val="0"/>
        <w:spacing w:line="360" w:lineRule="auto"/>
        <w:contextualSpacing/>
        <w:jc w:val="both"/>
        <w:rPr>
          <w:rFonts w:ascii="Palatino Linotype" w:hAnsi="Palatino Linotype" w:cs="Tahoma"/>
          <w:b/>
          <w:sz w:val="22"/>
          <w:szCs w:val="22"/>
          <w:lang w:val="es-ES"/>
        </w:rPr>
      </w:pPr>
    </w:p>
    <w:p w14:paraId="722A671F" w14:textId="77777777" w:rsidR="00E370EF" w:rsidRPr="00AC17E4" w:rsidRDefault="00E370EF" w:rsidP="00E370EF">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5A4CEC1D" w14:textId="77777777" w:rsidR="00E370EF" w:rsidRPr="00AC17E4" w:rsidRDefault="00E370EF" w:rsidP="00E370EF">
      <w:pPr>
        <w:spacing w:line="360" w:lineRule="auto"/>
        <w:contextualSpacing/>
      </w:pPr>
    </w:p>
    <w:p w14:paraId="540AF3FE" w14:textId="77777777" w:rsidR="00E370EF" w:rsidRPr="00AC17E4" w:rsidRDefault="00E370EF" w:rsidP="00E370EF">
      <w:pPr>
        <w:pStyle w:val="Ttulo1"/>
        <w:spacing w:before="0" w:after="0" w:line="360" w:lineRule="auto"/>
        <w:contextualSpacing/>
        <w:jc w:val="center"/>
        <w:rPr>
          <w:rFonts w:ascii="Palatino Linotype" w:hAnsi="Palatino Linotype"/>
          <w:b/>
          <w:bCs/>
          <w:color w:val="auto"/>
          <w:sz w:val="22"/>
          <w:szCs w:val="22"/>
        </w:rPr>
      </w:pPr>
      <w:bookmarkStart w:id="8" w:name="_Toc210308878"/>
      <w:r w:rsidRPr="00AC17E4">
        <w:rPr>
          <w:rFonts w:ascii="Palatino Linotype" w:hAnsi="Palatino Linotype"/>
          <w:b/>
          <w:bCs/>
          <w:color w:val="auto"/>
          <w:sz w:val="22"/>
          <w:szCs w:val="22"/>
        </w:rPr>
        <w:t>C O N S I D E R A N D O S</w:t>
      </w:r>
      <w:bookmarkEnd w:id="8"/>
    </w:p>
    <w:p w14:paraId="433F40D9" w14:textId="77777777" w:rsidR="00E370EF" w:rsidRPr="00AC17E4" w:rsidRDefault="00E370EF" w:rsidP="00E370EF">
      <w:pPr>
        <w:spacing w:line="360" w:lineRule="auto"/>
        <w:contextualSpacing/>
      </w:pPr>
    </w:p>
    <w:p w14:paraId="6CA79C0C" w14:textId="77777777" w:rsidR="00E370EF" w:rsidRPr="00AC17E4" w:rsidRDefault="00E370EF" w:rsidP="00E370EF">
      <w:pPr>
        <w:pStyle w:val="Ttulo2"/>
        <w:spacing w:before="0" w:after="0" w:line="360" w:lineRule="auto"/>
        <w:contextualSpacing/>
        <w:rPr>
          <w:rFonts w:ascii="Palatino Linotype" w:hAnsi="Palatino Linotype"/>
          <w:b/>
          <w:bCs/>
          <w:color w:val="auto"/>
          <w:sz w:val="22"/>
          <w:szCs w:val="22"/>
        </w:rPr>
      </w:pPr>
      <w:bookmarkStart w:id="9" w:name="_Toc210308879"/>
      <w:r w:rsidRPr="00AC17E4">
        <w:rPr>
          <w:rFonts w:ascii="Palatino Linotype" w:hAnsi="Palatino Linotype"/>
          <w:b/>
          <w:bCs/>
          <w:color w:val="auto"/>
          <w:sz w:val="22"/>
          <w:szCs w:val="22"/>
        </w:rPr>
        <w:t>PRIMERO. Competencia</w:t>
      </w:r>
      <w:bookmarkEnd w:id="9"/>
    </w:p>
    <w:p w14:paraId="751A62AE" w14:textId="77777777" w:rsidR="00E370EF" w:rsidRPr="00AC17E4" w:rsidRDefault="00E370EF" w:rsidP="00E370EF">
      <w:pPr>
        <w:spacing w:line="360" w:lineRule="auto"/>
        <w:contextualSpacing/>
        <w:rPr>
          <w:rFonts w:eastAsia="Batang"/>
        </w:rPr>
      </w:pPr>
    </w:p>
    <w:p w14:paraId="1048A3D3" w14:textId="77777777" w:rsidR="00E370EF" w:rsidRPr="008C181A" w:rsidRDefault="00E370EF" w:rsidP="00E370EF">
      <w:pPr>
        <w:spacing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w:t>
      </w:r>
      <w:r w:rsidRPr="00B71E3E">
        <w:rPr>
          <w:rFonts w:ascii="Palatino Linotype" w:hAnsi="Palatino Linotype" w:cs="Tahoma"/>
          <w:bCs/>
          <w:sz w:val="22"/>
          <w:szCs w:val="22"/>
        </w:rPr>
        <w:lastRenderedPageBreak/>
        <w:t xml:space="preserve">presente recurso de revisión interpuesto por la persona recurrente, conforme a lo dispuesto en los artículos 5°, párrafo trigésimo </w:t>
      </w:r>
      <w:r>
        <w:rPr>
          <w:rFonts w:ascii="Palatino Linotype" w:hAnsi="Palatino Linotype" w:cs="Tahoma"/>
          <w:bCs/>
          <w:sz w:val="22"/>
          <w:szCs w:val="22"/>
        </w:rPr>
        <w:t>noveno</w:t>
      </w:r>
      <w:r w:rsidRPr="00B71E3E">
        <w:rPr>
          <w:rFonts w:ascii="Palatino Linotype" w:hAnsi="Palatino Linotype" w:cs="Tahoma"/>
          <w:bCs/>
          <w:sz w:val="22"/>
          <w:szCs w:val="22"/>
        </w:rPr>
        <w:t xml:space="preserve">, </w:t>
      </w:r>
      <w:r>
        <w:rPr>
          <w:rFonts w:ascii="Palatino Linotype" w:hAnsi="Palatino Linotype" w:cs="Tahoma"/>
          <w:bCs/>
          <w:sz w:val="22"/>
          <w:szCs w:val="22"/>
        </w:rPr>
        <w:t>cuadragésimo</w:t>
      </w:r>
      <w:r w:rsidRPr="00B71E3E">
        <w:rPr>
          <w:rFonts w:ascii="Palatino Linotype" w:hAnsi="Palatino Linotype" w:cs="Tahoma"/>
          <w:bCs/>
          <w:sz w:val="22"/>
          <w:szCs w:val="22"/>
        </w:rPr>
        <w:t xml:space="preserve"> y </w:t>
      </w:r>
      <w:r>
        <w:rPr>
          <w:rFonts w:ascii="Palatino Linotype" w:hAnsi="Palatino Linotype" w:cs="Tahoma"/>
          <w:bCs/>
          <w:sz w:val="22"/>
          <w:szCs w:val="22"/>
        </w:rPr>
        <w:t>cuadragésimo primero</w:t>
      </w:r>
      <w:r w:rsidRPr="00B71E3E">
        <w:rPr>
          <w:rFonts w:ascii="Palatino Linotype" w:hAnsi="Palatino Linotype" w:cs="Tahoma"/>
          <w:bCs/>
          <w:sz w:val="22"/>
          <w:szCs w:val="22"/>
        </w:rPr>
        <w:t>, fracciones I, II, III, IV y V de la Constitución Política del Estado Libre y Soberano de México;</w:t>
      </w:r>
      <w:r>
        <w:rPr>
          <w:rFonts w:ascii="Palatino Linotype" w:hAnsi="Palatino Linotype" w:cs="Tahoma"/>
          <w:bCs/>
          <w:sz w:val="22"/>
          <w:szCs w:val="22"/>
        </w:rPr>
        <w:t xml:space="preserve"> </w:t>
      </w:r>
      <w:r w:rsidRPr="00B71E3E">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DC19DCF" w14:textId="77777777" w:rsidR="00E370EF" w:rsidRPr="00AC17E4" w:rsidRDefault="00E370EF" w:rsidP="00E370EF">
      <w:pPr>
        <w:spacing w:line="360" w:lineRule="auto"/>
        <w:contextualSpacing/>
        <w:jc w:val="both"/>
        <w:rPr>
          <w:rFonts w:ascii="Palatino Linotype" w:eastAsia="Calibri" w:hAnsi="Palatino Linotype" w:cs="Tahoma"/>
          <w:bCs/>
          <w:color w:val="000000"/>
          <w:sz w:val="22"/>
          <w:szCs w:val="22"/>
          <w:lang w:eastAsia="es-ES_tradnl"/>
        </w:rPr>
      </w:pPr>
    </w:p>
    <w:p w14:paraId="17CFE4F8" w14:textId="77777777" w:rsidR="00E370EF" w:rsidRPr="00AC17E4" w:rsidRDefault="00E370EF" w:rsidP="00E370EF">
      <w:pPr>
        <w:pStyle w:val="Ttulo2"/>
        <w:spacing w:before="0" w:after="0" w:line="360" w:lineRule="auto"/>
        <w:contextualSpacing/>
        <w:rPr>
          <w:rFonts w:ascii="Palatino Linotype" w:hAnsi="Palatino Linotype"/>
          <w:b/>
          <w:bCs/>
          <w:color w:val="auto"/>
          <w:sz w:val="22"/>
          <w:szCs w:val="22"/>
          <w:lang w:val="es-ES"/>
        </w:rPr>
      </w:pPr>
      <w:bookmarkStart w:id="10" w:name="_Toc210308880"/>
      <w:r w:rsidRPr="00AC17E4">
        <w:rPr>
          <w:rFonts w:ascii="Palatino Linotype" w:eastAsia="Calibri" w:hAnsi="Palatino Linotype"/>
          <w:b/>
          <w:bCs/>
          <w:color w:val="auto"/>
          <w:sz w:val="22"/>
          <w:szCs w:val="22"/>
          <w:lang w:val="es-ES" w:eastAsia="es-MX"/>
        </w:rPr>
        <w:t xml:space="preserve">SEGUNDO. </w:t>
      </w:r>
      <w:r w:rsidRPr="00AC17E4">
        <w:rPr>
          <w:rFonts w:ascii="Palatino Linotype" w:hAnsi="Palatino Linotype"/>
          <w:b/>
          <w:bCs/>
          <w:color w:val="auto"/>
          <w:sz w:val="22"/>
          <w:szCs w:val="22"/>
          <w:lang w:val="es-ES"/>
        </w:rPr>
        <w:t>Causales de improcedencia y sobreseimiento</w:t>
      </w:r>
      <w:bookmarkEnd w:id="10"/>
    </w:p>
    <w:p w14:paraId="1D8FBE9C" w14:textId="77777777" w:rsidR="00E370EF" w:rsidRPr="00AC17E4" w:rsidRDefault="00E370EF" w:rsidP="00E370EF">
      <w:pPr>
        <w:autoSpaceDE w:val="0"/>
        <w:autoSpaceDN w:val="0"/>
        <w:adjustRightInd w:val="0"/>
        <w:spacing w:line="360" w:lineRule="auto"/>
        <w:contextualSpacing/>
        <w:jc w:val="both"/>
        <w:rPr>
          <w:rFonts w:ascii="Palatino Linotype" w:hAnsi="Palatino Linotype" w:cs="Tahoma"/>
          <w:b/>
          <w:sz w:val="22"/>
          <w:szCs w:val="22"/>
          <w:lang w:val="es-ES"/>
        </w:rPr>
      </w:pPr>
    </w:p>
    <w:p w14:paraId="2E902936" w14:textId="77777777" w:rsidR="00E370EF" w:rsidRPr="00AC17E4" w:rsidRDefault="00E370EF" w:rsidP="00E370EF">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AC17E4">
        <w:rPr>
          <w:rFonts w:ascii="Palatino Linotype" w:hAnsi="Palatino Linotype" w:cs="Tahoma"/>
          <w:i/>
          <w:sz w:val="22"/>
          <w:szCs w:val="22"/>
          <w:lang w:val="es-ES"/>
        </w:rPr>
        <w:t>litis</w:t>
      </w:r>
      <w:proofErr w:type="spellEnd"/>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6B89BB7B" w14:textId="77777777" w:rsidR="00E370EF" w:rsidRPr="00AC17E4" w:rsidRDefault="00E370EF" w:rsidP="00E370EF">
      <w:pPr>
        <w:spacing w:line="360" w:lineRule="auto"/>
        <w:contextualSpacing/>
        <w:jc w:val="both"/>
        <w:rPr>
          <w:rFonts w:ascii="Palatino Linotype" w:eastAsia="Calibri" w:hAnsi="Palatino Linotype" w:cs="Tahoma"/>
          <w:b/>
          <w:color w:val="000000"/>
          <w:sz w:val="22"/>
          <w:szCs w:val="22"/>
          <w:lang w:val="es-ES" w:eastAsia="es-MX"/>
        </w:rPr>
      </w:pPr>
    </w:p>
    <w:p w14:paraId="1DEA46BC" w14:textId="77777777" w:rsidR="00E370EF" w:rsidRPr="00AC17E4" w:rsidRDefault="00E370EF" w:rsidP="00E370EF">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3FA86740" w14:textId="77777777" w:rsidR="00E370EF" w:rsidRPr="00AC17E4" w:rsidRDefault="00E370EF" w:rsidP="00E370EF">
      <w:pPr>
        <w:spacing w:line="360" w:lineRule="auto"/>
        <w:contextualSpacing/>
        <w:jc w:val="both"/>
        <w:rPr>
          <w:rFonts w:ascii="Palatino Linotype" w:hAnsi="Palatino Linotype" w:cs="Tahoma"/>
          <w:sz w:val="22"/>
          <w:szCs w:val="22"/>
          <w:lang w:val="es-ES"/>
        </w:rPr>
      </w:pPr>
    </w:p>
    <w:p w14:paraId="3A8DCAA2" w14:textId="77777777" w:rsidR="00E370EF" w:rsidRPr="00AC17E4" w:rsidRDefault="00E370EF" w:rsidP="00E370EF">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CA36E28" w14:textId="77777777" w:rsidR="00E370EF" w:rsidRPr="00AC17E4" w:rsidRDefault="00E370EF" w:rsidP="00E370EF">
      <w:pPr>
        <w:spacing w:line="360" w:lineRule="auto"/>
        <w:contextualSpacing/>
        <w:jc w:val="both"/>
        <w:rPr>
          <w:rFonts w:ascii="Palatino Linotype" w:hAnsi="Palatino Linotype" w:cs="Tahoma"/>
          <w:sz w:val="22"/>
          <w:szCs w:val="22"/>
          <w:lang w:val="es-ES"/>
        </w:rPr>
      </w:pPr>
    </w:p>
    <w:p w14:paraId="54C5F568" w14:textId="77777777" w:rsidR="00E370EF" w:rsidRPr="00AC17E4" w:rsidRDefault="00E370EF" w:rsidP="00E370EF">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lastRenderedPageBreak/>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96480CE" w14:textId="77777777" w:rsidR="00E370EF" w:rsidRPr="00AC17E4" w:rsidRDefault="00E370EF" w:rsidP="00E370EF">
      <w:pPr>
        <w:spacing w:line="360" w:lineRule="auto"/>
        <w:contextualSpacing/>
        <w:jc w:val="both"/>
        <w:rPr>
          <w:rFonts w:ascii="Palatino Linotype" w:hAnsi="Palatino Linotype" w:cs="Tahoma"/>
          <w:sz w:val="22"/>
          <w:szCs w:val="22"/>
          <w:lang w:val="es-ES"/>
        </w:rPr>
      </w:pPr>
    </w:p>
    <w:p w14:paraId="2FAE3980" w14:textId="544E115A" w:rsidR="00E370EF" w:rsidRPr="00AC17E4" w:rsidRDefault="00E370EF" w:rsidP="00E370EF">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Pr>
          <w:rFonts w:ascii="Palatino Linotype" w:hAnsi="Palatino Linotype" w:cs="Tahoma"/>
          <w:sz w:val="22"/>
          <w:szCs w:val="22"/>
          <w:lang w:val="es-ES"/>
        </w:rPr>
        <w:t>V</w:t>
      </w:r>
      <w:r w:rsidR="006E172C">
        <w:rPr>
          <w:rFonts w:ascii="Palatino Linotype" w:hAnsi="Palatino Linotype" w:cs="Tahoma"/>
          <w:sz w:val="22"/>
          <w:szCs w:val="22"/>
          <w:lang w:val="es-ES"/>
        </w:rPr>
        <w:t>I</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 xml:space="preserve">referente a la entrega de información </w:t>
      </w:r>
      <w:r w:rsidR="006E172C">
        <w:rPr>
          <w:rFonts w:ascii="Palatino Linotype" w:hAnsi="Palatino Linotype" w:cs="Tahoma"/>
          <w:sz w:val="22"/>
          <w:szCs w:val="22"/>
          <w:lang w:val="es-ES"/>
        </w:rPr>
        <w:t>que no corresponde con lo solicitado</w:t>
      </w:r>
      <w:r w:rsidRPr="00AC17E4">
        <w:rPr>
          <w:rFonts w:ascii="Palatino Linotype" w:hAnsi="Palatino Linotype" w:cs="Tahoma"/>
          <w:sz w:val="22"/>
          <w:szCs w:val="22"/>
          <w:lang w:val="es-ES"/>
        </w:rPr>
        <w:t>.</w:t>
      </w:r>
    </w:p>
    <w:p w14:paraId="49E0B519" w14:textId="77777777" w:rsidR="00E370EF" w:rsidRPr="00AC17E4" w:rsidRDefault="00E370EF" w:rsidP="00E370EF">
      <w:pPr>
        <w:spacing w:line="360" w:lineRule="auto"/>
        <w:contextualSpacing/>
        <w:jc w:val="both"/>
        <w:rPr>
          <w:rFonts w:ascii="Palatino Linotype" w:hAnsi="Palatino Linotype" w:cs="Tahoma"/>
          <w:sz w:val="22"/>
          <w:szCs w:val="22"/>
          <w:lang w:val="es-ES"/>
        </w:rPr>
      </w:pPr>
    </w:p>
    <w:p w14:paraId="4C905281" w14:textId="77777777" w:rsidR="00E370EF" w:rsidRPr="00AC17E4" w:rsidRDefault="00E370EF" w:rsidP="00E370EF">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t>Causales de sobreseimiento</w:t>
      </w:r>
    </w:p>
    <w:p w14:paraId="57B9F135" w14:textId="77777777" w:rsidR="00E370EF" w:rsidRPr="00AC17E4" w:rsidRDefault="00E370EF" w:rsidP="00E370EF">
      <w:pPr>
        <w:spacing w:line="360" w:lineRule="auto"/>
        <w:contextualSpacing/>
        <w:jc w:val="both"/>
        <w:rPr>
          <w:rFonts w:ascii="Palatino Linotype" w:hAnsi="Palatino Linotype" w:cs="Tahoma"/>
          <w:sz w:val="22"/>
          <w:szCs w:val="22"/>
        </w:rPr>
      </w:pPr>
    </w:p>
    <w:p w14:paraId="13677000" w14:textId="77777777" w:rsidR="00E370EF" w:rsidRPr="00AC17E4" w:rsidRDefault="00E370EF" w:rsidP="00E370EF">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Por ser de previo y especial pronunciamiento, este Instituto analiza si se actualiza alguna causal de sobreseimiento.</w:t>
      </w:r>
    </w:p>
    <w:p w14:paraId="02405924" w14:textId="77777777" w:rsidR="00E370EF" w:rsidRPr="00AC17E4" w:rsidRDefault="00E370EF" w:rsidP="00E370EF">
      <w:pPr>
        <w:spacing w:line="360" w:lineRule="auto"/>
        <w:contextualSpacing/>
        <w:jc w:val="both"/>
        <w:rPr>
          <w:rFonts w:ascii="Palatino Linotype" w:hAnsi="Palatino Linotype" w:cs="Tahoma"/>
          <w:sz w:val="22"/>
          <w:szCs w:val="22"/>
        </w:rPr>
      </w:pPr>
    </w:p>
    <w:p w14:paraId="79A862D6" w14:textId="77777777" w:rsidR="00E370EF" w:rsidRPr="00AC17E4" w:rsidRDefault="00E370EF" w:rsidP="00E370EF">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BE4A4C1" w14:textId="77777777" w:rsidR="00E370EF" w:rsidRPr="00AC17E4" w:rsidRDefault="00E370EF" w:rsidP="00E370EF">
      <w:pPr>
        <w:spacing w:line="360" w:lineRule="auto"/>
        <w:contextualSpacing/>
        <w:jc w:val="both"/>
        <w:rPr>
          <w:rFonts w:ascii="Palatino Linotype" w:hAnsi="Palatino Linotype" w:cs="Tahoma"/>
          <w:sz w:val="22"/>
          <w:szCs w:val="22"/>
        </w:rPr>
      </w:pPr>
    </w:p>
    <w:p w14:paraId="6BE9FAAC" w14:textId="035676DA" w:rsidR="00E370EF" w:rsidRDefault="00E370EF" w:rsidP="00E370EF">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lastRenderedPageBreak/>
        <w:t xml:space="preserve">Por tales motivos, </w:t>
      </w:r>
      <w:r w:rsidRPr="00AC17E4">
        <w:rPr>
          <w:rFonts w:ascii="Palatino Linotype" w:hAnsi="Palatino Linotype" w:cs="Tahoma"/>
          <w:sz w:val="22"/>
          <w:szCs w:val="22"/>
          <w:lang w:val="es-ES"/>
        </w:rPr>
        <w:t xml:space="preserve">se considera procedente entrar al fondo del presente asunto. </w:t>
      </w:r>
    </w:p>
    <w:p w14:paraId="528D6A22" w14:textId="77777777" w:rsidR="006E172C" w:rsidRDefault="006E172C" w:rsidP="00E370EF">
      <w:pPr>
        <w:tabs>
          <w:tab w:val="left" w:pos="4962"/>
        </w:tabs>
        <w:spacing w:line="360" w:lineRule="auto"/>
        <w:contextualSpacing/>
        <w:jc w:val="both"/>
        <w:rPr>
          <w:rFonts w:ascii="Palatino Linotype" w:hAnsi="Palatino Linotype" w:cs="Tahoma"/>
          <w:sz w:val="22"/>
          <w:szCs w:val="22"/>
          <w:lang w:val="es-ES"/>
        </w:rPr>
      </w:pPr>
    </w:p>
    <w:p w14:paraId="0A42904C" w14:textId="77777777" w:rsidR="00E370EF" w:rsidRPr="00591ED8" w:rsidRDefault="00E370EF" w:rsidP="00E370EF">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1" w:name="_Toc203518780"/>
      <w:bookmarkStart w:id="12" w:name="_Toc210308881"/>
      <w:r w:rsidRPr="00591ED8">
        <w:rPr>
          <w:rFonts w:ascii="Palatino Linotype" w:eastAsia="Calibri" w:hAnsi="Palatino Linotype"/>
          <w:b/>
          <w:bCs/>
          <w:color w:val="auto"/>
          <w:sz w:val="22"/>
          <w:szCs w:val="22"/>
          <w:lang w:val="es-ES" w:eastAsia="es-ES_tradnl"/>
        </w:rPr>
        <w:t>TERCERO. Determinación de la Controversia</w:t>
      </w:r>
      <w:bookmarkEnd w:id="11"/>
      <w:bookmarkEnd w:id="12"/>
    </w:p>
    <w:p w14:paraId="36A6782B" w14:textId="77777777" w:rsidR="00E370EF" w:rsidRDefault="00E370EF" w:rsidP="00E370EF">
      <w:pPr>
        <w:spacing w:line="360" w:lineRule="auto"/>
        <w:contextualSpacing/>
        <w:jc w:val="both"/>
        <w:rPr>
          <w:rFonts w:ascii="Palatino Linotype" w:hAnsi="Palatino Linotype" w:cs="Tahoma"/>
          <w:sz w:val="22"/>
          <w:szCs w:val="22"/>
          <w:lang w:val="es-ES"/>
        </w:rPr>
      </w:pPr>
    </w:p>
    <w:p w14:paraId="3A6D7900" w14:textId="23DEE50D" w:rsidR="0080275B" w:rsidRPr="00740EAB" w:rsidRDefault="0080275B" w:rsidP="0080275B">
      <w:pPr>
        <w:spacing w:line="360" w:lineRule="auto"/>
        <w:contextualSpacing/>
        <w:jc w:val="both"/>
        <w:rPr>
          <w:rFonts w:ascii="Palatino Linotype" w:hAnsi="Palatino Linotype" w:cs="Tahoma"/>
          <w:sz w:val="22"/>
          <w:szCs w:val="22"/>
        </w:rPr>
      </w:pPr>
      <w:r w:rsidRPr="00740EAB">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Pr="00740EAB">
        <w:rPr>
          <w:rFonts w:ascii="Palatino Linotype" w:hAnsi="Palatino Linotype" w:cs="Tahoma"/>
          <w:sz w:val="22"/>
          <w:szCs w:val="22"/>
        </w:rPr>
        <w:t xml:space="preserve">que el Particular requirió, </w:t>
      </w:r>
      <w:r>
        <w:rPr>
          <w:rFonts w:ascii="Palatino Linotype" w:hAnsi="Palatino Linotype" w:cs="Tahoma"/>
          <w:sz w:val="22"/>
          <w:szCs w:val="22"/>
        </w:rPr>
        <w:t xml:space="preserve">los documentos con los que el Ayuntamiento de </w:t>
      </w:r>
      <w:r w:rsidRPr="00740EAB">
        <w:rPr>
          <w:rFonts w:ascii="Palatino Linotype" w:hAnsi="Palatino Linotype" w:cs="Tahoma"/>
          <w:sz w:val="22"/>
          <w:szCs w:val="22"/>
        </w:rPr>
        <w:t>Toluca</w:t>
      </w:r>
      <w:r>
        <w:rPr>
          <w:rFonts w:ascii="Palatino Linotype" w:hAnsi="Palatino Linotype" w:cs="Tahoma"/>
          <w:sz w:val="22"/>
          <w:szCs w:val="22"/>
        </w:rPr>
        <w:t xml:space="preserve"> informó a este Instituto, la supresión de sistemas de datos personales</w:t>
      </w:r>
      <w:r w:rsidRPr="00740EAB">
        <w:rPr>
          <w:rFonts w:ascii="Palatino Linotype" w:hAnsi="Palatino Linotype" w:cs="Tahoma"/>
          <w:sz w:val="22"/>
          <w:szCs w:val="22"/>
        </w:rPr>
        <w:t xml:space="preserve">, </w:t>
      </w:r>
      <w:r>
        <w:rPr>
          <w:rFonts w:ascii="Palatino Linotype" w:hAnsi="Palatino Linotype" w:cs="Tahoma"/>
          <w:sz w:val="22"/>
          <w:szCs w:val="22"/>
        </w:rPr>
        <w:t xml:space="preserve">del primero de </w:t>
      </w:r>
      <w:r w:rsidRPr="00740EAB">
        <w:rPr>
          <w:rFonts w:ascii="Palatino Linotype" w:hAnsi="Palatino Linotype" w:cs="Tahoma"/>
          <w:sz w:val="22"/>
          <w:szCs w:val="22"/>
        </w:rPr>
        <w:t>enero</w:t>
      </w:r>
      <w:r>
        <w:rPr>
          <w:rFonts w:ascii="Palatino Linotype" w:hAnsi="Palatino Linotype" w:cs="Tahoma"/>
          <w:sz w:val="22"/>
          <w:szCs w:val="22"/>
        </w:rPr>
        <w:t>, al veinticuatro de abril</w:t>
      </w:r>
      <w:r w:rsidRPr="00740EAB">
        <w:rPr>
          <w:rFonts w:ascii="Palatino Linotype" w:hAnsi="Palatino Linotype" w:cs="Tahoma"/>
          <w:sz w:val="22"/>
          <w:szCs w:val="22"/>
        </w:rPr>
        <w:t xml:space="preserve"> de dos mil veinticinco</w:t>
      </w:r>
      <w:r>
        <w:rPr>
          <w:rFonts w:ascii="Palatino Linotype" w:hAnsi="Palatino Linotype" w:cs="Tahoma"/>
          <w:sz w:val="22"/>
          <w:szCs w:val="22"/>
        </w:rPr>
        <w:t>.</w:t>
      </w:r>
    </w:p>
    <w:p w14:paraId="14C7BD75" w14:textId="77777777" w:rsidR="0080275B" w:rsidRPr="00740EAB" w:rsidRDefault="0080275B" w:rsidP="0080275B">
      <w:pPr>
        <w:spacing w:line="360" w:lineRule="auto"/>
        <w:contextualSpacing/>
        <w:rPr>
          <w:rFonts w:ascii="Palatino Linotype" w:hAnsi="Palatino Linotype" w:cs="Tahoma"/>
          <w:sz w:val="22"/>
          <w:szCs w:val="22"/>
        </w:rPr>
      </w:pPr>
    </w:p>
    <w:p w14:paraId="4DBBFDC8" w14:textId="6AE0D049" w:rsidR="0080275B" w:rsidRPr="00740EAB" w:rsidRDefault="0080275B" w:rsidP="0080275B">
      <w:pPr>
        <w:autoSpaceDE w:val="0"/>
        <w:autoSpaceDN w:val="0"/>
        <w:adjustRightInd w:val="0"/>
        <w:spacing w:line="360" w:lineRule="auto"/>
        <w:contextualSpacing/>
        <w:jc w:val="both"/>
        <w:rPr>
          <w:rFonts w:ascii="Palatino Linotype" w:eastAsia="Calibri" w:hAnsi="Palatino Linotype" w:cs="Tahoma"/>
          <w:sz w:val="22"/>
          <w:szCs w:val="22"/>
        </w:rPr>
      </w:pPr>
      <w:r w:rsidRPr="00740EAB">
        <w:rPr>
          <w:rFonts w:ascii="Palatino Linotype" w:hAnsi="Palatino Linotype" w:cs="Tahoma"/>
          <w:sz w:val="22"/>
          <w:szCs w:val="22"/>
          <w:lang w:val="es-ES"/>
        </w:rPr>
        <w:t xml:space="preserve">En respuesta, el Sujeto Obligado a través de la Unidad de Transparencia, </w:t>
      </w:r>
      <w:r w:rsidR="00C56D59">
        <w:rPr>
          <w:rFonts w:ascii="Palatino Linotype" w:hAnsi="Palatino Linotype" w:cs="Tahoma"/>
          <w:sz w:val="22"/>
          <w:szCs w:val="22"/>
          <w:lang w:val="es-ES"/>
        </w:rPr>
        <w:t>proporcionó un oficio por el que solicita a la Dirección General de Protección de Datos Personales de Este Instituto, autorización para la supresión de diversos concentrados de datos personales</w:t>
      </w:r>
      <w:r w:rsidRPr="00740EAB">
        <w:rPr>
          <w:rFonts w:ascii="Palatino Linotype" w:eastAsia="Calibri" w:hAnsi="Palatino Linotype" w:cs="Tahoma"/>
          <w:color w:val="000000"/>
          <w:sz w:val="22"/>
          <w:szCs w:val="22"/>
          <w:lang w:val="es-ES"/>
        </w:rPr>
        <w:t>;</w:t>
      </w:r>
      <w:r w:rsidRPr="00740EAB">
        <w:rPr>
          <w:rFonts w:ascii="Palatino Linotype" w:hAnsi="Palatino Linotype" w:cs="Tahoma"/>
          <w:sz w:val="22"/>
          <w:szCs w:val="22"/>
          <w:lang w:val="es-ES"/>
        </w:rPr>
        <w:t xml:space="preserve"> ante dicha circunstancia, el Particular se agravió por la entrega de información</w:t>
      </w:r>
      <w:r w:rsidR="00C56D59">
        <w:rPr>
          <w:rFonts w:ascii="Palatino Linotype" w:hAnsi="Palatino Linotype" w:cs="Tahoma"/>
          <w:sz w:val="22"/>
          <w:szCs w:val="22"/>
          <w:lang w:val="es-ES"/>
        </w:rPr>
        <w:t xml:space="preserve"> que no corresponde con lo solicitado</w:t>
      </w:r>
      <w:r w:rsidRPr="00740EAB">
        <w:rPr>
          <w:rFonts w:ascii="Palatino Linotype" w:hAnsi="Palatino Linotype" w:cs="Tahoma"/>
          <w:sz w:val="22"/>
          <w:szCs w:val="22"/>
        </w:rPr>
        <w:t>, al señalar que</w:t>
      </w:r>
      <w:r w:rsidR="00C56D59">
        <w:rPr>
          <w:rFonts w:ascii="Palatino Linotype" w:hAnsi="Palatino Linotype" w:cs="Tahoma"/>
          <w:sz w:val="22"/>
          <w:szCs w:val="22"/>
        </w:rPr>
        <w:t xml:space="preserve"> no se le había proporcionado la información solicitada</w:t>
      </w:r>
      <w:r w:rsidRPr="00740EAB">
        <w:rPr>
          <w:rFonts w:ascii="Palatino Linotype" w:hAnsi="Palatino Linotype" w:cs="Tahoma"/>
          <w:sz w:val="22"/>
          <w:szCs w:val="22"/>
        </w:rPr>
        <w:t xml:space="preserve">; </w:t>
      </w:r>
      <w:r w:rsidRPr="00740EAB">
        <w:rPr>
          <w:rFonts w:ascii="Palatino Linotype" w:hAnsi="Palatino Linotype" w:cs="Tahoma"/>
          <w:sz w:val="22"/>
          <w:szCs w:val="22"/>
          <w:lang w:val="es-ES"/>
        </w:rPr>
        <w:t xml:space="preserve">circunstancia que </w:t>
      </w:r>
      <w:r w:rsidRPr="00740EAB">
        <w:rPr>
          <w:rFonts w:ascii="Palatino Linotype" w:eastAsia="Calibri" w:hAnsi="Palatino Linotype" w:cs="Tahoma"/>
          <w:sz w:val="22"/>
          <w:szCs w:val="22"/>
        </w:rPr>
        <w:t xml:space="preserve">actualiza la causal de procedencia prevista en la fracción </w:t>
      </w:r>
      <w:r w:rsidR="00C56D59">
        <w:rPr>
          <w:rFonts w:ascii="Palatino Linotype" w:eastAsia="Calibri" w:hAnsi="Palatino Linotype" w:cs="Tahoma"/>
          <w:sz w:val="22"/>
          <w:szCs w:val="22"/>
        </w:rPr>
        <w:t>V</w:t>
      </w:r>
      <w:r w:rsidRPr="00740EAB">
        <w:rPr>
          <w:rFonts w:ascii="Palatino Linotype" w:eastAsia="Calibri" w:hAnsi="Palatino Linotype" w:cs="Tahoma"/>
          <w:sz w:val="22"/>
          <w:szCs w:val="22"/>
        </w:rPr>
        <w:t xml:space="preserve">I, del artículo 179 de la Ley de Transparencia y Acceso a la Información Pública del Estado de México y Municipios. </w:t>
      </w:r>
    </w:p>
    <w:p w14:paraId="3FC6690E" w14:textId="77777777" w:rsidR="00E370EF" w:rsidRDefault="00E370EF" w:rsidP="00E370EF">
      <w:pPr>
        <w:spacing w:line="360" w:lineRule="auto"/>
        <w:contextualSpacing/>
        <w:jc w:val="both"/>
        <w:rPr>
          <w:rFonts w:ascii="Palatino Linotype" w:eastAsia="Calibri" w:hAnsi="Palatino Linotype" w:cs="Tahoma"/>
          <w:iCs/>
          <w:sz w:val="22"/>
          <w:szCs w:val="22"/>
          <w:lang w:val="es-ES" w:eastAsia="es-ES_tradnl"/>
        </w:rPr>
      </w:pPr>
    </w:p>
    <w:p w14:paraId="39B925A3" w14:textId="77777777" w:rsidR="00E370EF" w:rsidRPr="005979FE" w:rsidRDefault="00E370EF" w:rsidP="00E370EF">
      <w:pPr>
        <w:spacing w:line="360" w:lineRule="auto"/>
        <w:contextualSpacing/>
        <w:jc w:val="both"/>
        <w:rPr>
          <w:rFonts w:ascii="Palatino Linotype" w:eastAsia="Calibri" w:hAnsi="Palatino Linotype" w:cs="Tahoma"/>
          <w:b/>
          <w:bCs/>
          <w:sz w:val="22"/>
          <w:szCs w:val="22"/>
        </w:rPr>
      </w:pPr>
      <w:r w:rsidRPr="00B71E3E">
        <w:rPr>
          <w:rFonts w:ascii="Palatino Linotype" w:eastAsia="Calibri" w:hAnsi="Palatino Linotype" w:cs="Tahoma"/>
          <w:iCs/>
          <w:sz w:val="22"/>
          <w:szCs w:val="22"/>
          <w:lang w:val="es-ES" w:eastAsia="es-ES_tradnl"/>
        </w:rPr>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 solicitud de acceso a la información, la respuesta</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el escrito </w:t>
      </w:r>
      <w:proofErr w:type="spellStart"/>
      <w:r>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y el informe justificado</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Calibri" w:hAnsi="Palatino Linotype" w:cs="Tahoma"/>
          <w:b/>
          <w:bCs/>
          <w:sz w:val="22"/>
          <w:szCs w:val="22"/>
        </w:rPr>
        <w:t>Cabe señalar que el Particular fue omiso en realizar manifestaciones o alegatos.</w:t>
      </w:r>
    </w:p>
    <w:p w14:paraId="0EE5B91B" w14:textId="77777777" w:rsidR="00E370EF" w:rsidRPr="00B71E3E" w:rsidRDefault="00E370EF" w:rsidP="00E370EF">
      <w:pPr>
        <w:spacing w:line="360" w:lineRule="auto"/>
        <w:contextualSpacing/>
        <w:jc w:val="both"/>
        <w:rPr>
          <w:rFonts w:ascii="Palatino Linotype" w:hAnsi="Palatino Linotype"/>
          <w:color w:val="000000"/>
          <w:sz w:val="22"/>
          <w:szCs w:val="22"/>
          <w:lang w:eastAsia="es-ES_tradnl"/>
        </w:rPr>
      </w:pPr>
    </w:p>
    <w:p w14:paraId="1DFB00F3" w14:textId="77777777" w:rsidR="00E370EF" w:rsidRPr="00903CC5" w:rsidRDefault="00E370EF" w:rsidP="00E370EF">
      <w:pPr>
        <w:pStyle w:val="Ttulo2"/>
        <w:spacing w:before="0" w:after="0" w:line="360" w:lineRule="auto"/>
        <w:contextualSpacing/>
        <w:jc w:val="both"/>
        <w:rPr>
          <w:rFonts w:ascii="Palatino Linotype" w:hAnsi="Palatino Linotype"/>
          <w:b/>
          <w:bCs/>
          <w:color w:val="auto"/>
          <w:sz w:val="22"/>
          <w:szCs w:val="22"/>
        </w:rPr>
      </w:pPr>
      <w:bookmarkStart w:id="13" w:name="_Toc199369391"/>
      <w:bookmarkStart w:id="14" w:name="_Toc203518781"/>
      <w:bookmarkStart w:id="15" w:name="_Toc210308882"/>
      <w:r w:rsidRPr="00903CC5">
        <w:rPr>
          <w:rFonts w:ascii="Palatino Linotype" w:hAnsi="Palatino Linotype"/>
          <w:b/>
          <w:bCs/>
          <w:color w:val="auto"/>
          <w:sz w:val="22"/>
          <w:szCs w:val="22"/>
          <w:lang w:val="es-ES"/>
        </w:rPr>
        <w:lastRenderedPageBreak/>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13"/>
      <w:bookmarkEnd w:id="14"/>
      <w:bookmarkEnd w:id="15"/>
    </w:p>
    <w:p w14:paraId="41603056" w14:textId="77777777" w:rsidR="00E370EF" w:rsidRPr="00B71E3E" w:rsidRDefault="00E370EF" w:rsidP="00E370EF">
      <w:pPr>
        <w:widowControl w:val="0"/>
        <w:spacing w:line="360" w:lineRule="auto"/>
        <w:contextualSpacing/>
        <w:jc w:val="both"/>
        <w:rPr>
          <w:rFonts w:ascii="Palatino Linotype" w:hAnsi="Palatino Linotype" w:cs="Tahoma"/>
          <w:sz w:val="22"/>
          <w:szCs w:val="22"/>
          <w:lang w:eastAsia="es-MX"/>
        </w:rPr>
      </w:pPr>
    </w:p>
    <w:p w14:paraId="222B26B7" w14:textId="77777777" w:rsidR="00E370EF" w:rsidRPr="00B71E3E" w:rsidRDefault="00E370EF" w:rsidP="00E370EF">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C78FB4B" w14:textId="77777777" w:rsidR="00E370EF" w:rsidRPr="00B71E3E" w:rsidRDefault="00E370EF" w:rsidP="00E370EF">
      <w:pPr>
        <w:widowControl w:val="0"/>
        <w:spacing w:line="360" w:lineRule="auto"/>
        <w:contextualSpacing/>
        <w:jc w:val="both"/>
        <w:rPr>
          <w:rFonts w:ascii="Palatino Linotype" w:hAnsi="Palatino Linotype" w:cs="Tahoma"/>
          <w:sz w:val="22"/>
          <w:szCs w:val="22"/>
          <w:lang w:eastAsia="es-MX"/>
        </w:rPr>
      </w:pPr>
    </w:p>
    <w:p w14:paraId="784D4AA7" w14:textId="77777777" w:rsidR="00E370EF" w:rsidRPr="00B71E3E" w:rsidRDefault="00E370EF" w:rsidP="00E370EF">
      <w:pPr>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835E3C6" w14:textId="77777777" w:rsidR="00E370EF" w:rsidRPr="00B71E3E" w:rsidRDefault="00E370EF" w:rsidP="00E370EF">
      <w:pPr>
        <w:widowControl w:val="0"/>
        <w:spacing w:line="360" w:lineRule="auto"/>
        <w:contextualSpacing/>
        <w:jc w:val="both"/>
        <w:rPr>
          <w:rFonts w:ascii="Palatino Linotype" w:hAnsi="Palatino Linotype" w:cs="Tahoma"/>
          <w:sz w:val="22"/>
          <w:szCs w:val="22"/>
          <w:lang w:eastAsia="es-MX"/>
        </w:rPr>
      </w:pPr>
    </w:p>
    <w:p w14:paraId="56700D8D" w14:textId="77777777" w:rsidR="00E370EF" w:rsidRPr="00B71E3E" w:rsidRDefault="00E370EF" w:rsidP="00E370EF">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23C4C645" w14:textId="77777777" w:rsidR="00E370EF" w:rsidRPr="00B71E3E" w:rsidRDefault="00E370EF" w:rsidP="00E370EF">
      <w:pPr>
        <w:widowControl w:val="0"/>
        <w:spacing w:line="360" w:lineRule="auto"/>
        <w:contextualSpacing/>
        <w:jc w:val="both"/>
        <w:rPr>
          <w:rFonts w:ascii="Palatino Linotype" w:hAnsi="Palatino Linotype" w:cs="Tahoma"/>
          <w:sz w:val="22"/>
          <w:szCs w:val="22"/>
          <w:lang w:eastAsia="es-MX"/>
        </w:rPr>
      </w:pPr>
    </w:p>
    <w:p w14:paraId="4EF71C0F" w14:textId="77777777" w:rsidR="00E370EF" w:rsidRPr="00B71E3E" w:rsidRDefault="00E370EF" w:rsidP="00E370EF">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78FC40DD" w14:textId="77777777" w:rsidR="00E370EF" w:rsidRPr="00B71E3E" w:rsidRDefault="00E370EF" w:rsidP="00E370EF">
      <w:pPr>
        <w:widowControl w:val="0"/>
        <w:spacing w:line="360" w:lineRule="auto"/>
        <w:contextualSpacing/>
        <w:jc w:val="both"/>
        <w:rPr>
          <w:rFonts w:ascii="Palatino Linotype" w:hAnsi="Palatino Linotype" w:cs="Tahoma"/>
          <w:sz w:val="22"/>
          <w:szCs w:val="22"/>
          <w:lang w:eastAsia="es-MX"/>
        </w:rPr>
      </w:pPr>
    </w:p>
    <w:p w14:paraId="00516130" w14:textId="77777777" w:rsidR="00E370EF" w:rsidRPr="00B71E3E" w:rsidRDefault="00E370EF" w:rsidP="00E370EF">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4D0A2E80" w14:textId="77777777" w:rsidR="00E370EF" w:rsidRPr="00B71E3E" w:rsidRDefault="00E370EF" w:rsidP="00E370EF">
      <w:pPr>
        <w:widowControl w:val="0"/>
        <w:spacing w:line="360" w:lineRule="auto"/>
        <w:contextualSpacing/>
        <w:jc w:val="both"/>
        <w:rPr>
          <w:rFonts w:ascii="Palatino Linotype" w:hAnsi="Palatino Linotype" w:cs="Tahoma"/>
          <w:sz w:val="22"/>
          <w:szCs w:val="22"/>
          <w:lang w:eastAsia="es-MX"/>
        </w:rPr>
      </w:pPr>
    </w:p>
    <w:p w14:paraId="1AA6C9F5" w14:textId="77777777" w:rsidR="00E370EF" w:rsidRDefault="00E370EF" w:rsidP="00E370EF">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 xml:space="preserve">El artículo 19, que, se presume que la información debe existir si se refiere a las facultades, competencias y funciones que los ordenamientos jurídicos aplicables otorgan a los sujetos </w:t>
      </w:r>
      <w:r w:rsidRPr="00B71E3E">
        <w:rPr>
          <w:rFonts w:ascii="Palatino Linotype" w:hAnsi="Palatino Linotype" w:cs="Tahoma"/>
          <w:sz w:val="22"/>
          <w:szCs w:val="22"/>
          <w:lang w:eastAsia="es-MX"/>
        </w:rPr>
        <w:lastRenderedPageBreak/>
        <w:t>obligados y en caso de que dichas facultades no se hayan ejercido, se deberá motivar la respuesta en función de las causas que motivaron tal circunstancia.</w:t>
      </w:r>
    </w:p>
    <w:p w14:paraId="0B9E7B9F" w14:textId="77777777" w:rsidR="00E370EF" w:rsidRPr="00004DA0" w:rsidRDefault="00E370EF" w:rsidP="00E370EF">
      <w:pPr>
        <w:widowControl w:val="0"/>
        <w:spacing w:line="360" w:lineRule="auto"/>
        <w:contextualSpacing/>
        <w:jc w:val="both"/>
        <w:rPr>
          <w:rFonts w:ascii="Palatino Linotype" w:hAnsi="Palatino Linotype" w:cs="Tahoma"/>
          <w:sz w:val="22"/>
          <w:szCs w:val="22"/>
          <w:lang w:eastAsia="es-MX"/>
        </w:rPr>
      </w:pPr>
    </w:p>
    <w:p w14:paraId="59F93E67" w14:textId="77777777" w:rsidR="00E370EF" w:rsidRPr="00903CC5" w:rsidRDefault="00E370EF" w:rsidP="00E370EF">
      <w:pPr>
        <w:pStyle w:val="Ttulo2"/>
        <w:spacing w:before="0" w:after="0" w:line="360" w:lineRule="auto"/>
        <w:contextualSpacing/>
        <w:rPr>
          <w:rFonts w:ascii="Palatino Linotype" w:hAnsi="Palatino Linotype"/>
          <w:b/>
          <w:bCs/>
          <w:color w:val="auto"/>
          <w:sz w:val="22"/>
          <w:szCs w:val="22"/>
          <w:lang w:val="es-ES"/>
        </w:rPr>
      </w:pPr>
      <w:bookmarkStart w:id="16" w:name="_Toc199369392"/>
      <w:bookmarkStart w:id="17" w:name="_Toc203518782"/>
      <w:bookmarkStart w:id="18" w:name="_Toc210308883"/>
      <w:r w:rsidRPr="00903CC5">
        <w:rPr>
          <w:rFonts w:ascii="Palatino Linotype" w:hAnsi="Palatino Linotype"/>
          <w:b/>
          <w:bCs/>
          <w:color w:val="auto"/>
          <w:sz w:val="22"/>
          <w:szCs w:val="22"/>
          <w:lang w:val="es-ES"/>
        </w:rPr>
        <w:t>QUINTO. Estudio de Fondo</w:t>
      </w:r>
      <w:bookmarkEnd w:id="16"/>
      <w:bookmarkEnd w:id="17"/>
      <w:bookmarkEnd w:id="18"/>
    </w:p>
    <w:p w14:paraId="49DBE5BC" w14:textId="77777777" w:rsidR="00E370EF" w:rsidRPr="00B71E3E" w:rsidRDefault="00E370EF" w:rsidP="00E370EF">
      <w:pPr>
        <w:spacing w:line="360" w:lineRule="auto"/>
        <w:contextualSpacing/>
        <w:jc w:val="both"/>
        <w:rPr>
          <w:rFonts w:ascii="Palatino Linotype" w:hAnsi="Palatino Linotype" w:cs="Tahoma"/>
          <w:b/>
          <w:sz w:val="22"/>
          <w:szCs w:val="22"/>
          <w:lang w:val="es-ES"/>
        </w:rPr>
      </w:pPr>
    </w:p>
    <w:p w14:paraId="140941DB" w14:textId="77777777" w:rsidR="00E370EF" w:rsidRDefault="00E370EF" w:rsidP="00E370EF">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Expuestas las posturas de las partes, se procede a realizar el análisis del agravio hecho valer por el ahora Recurrente, concerniente a la entrega de información incompleta por parte del Sujeto Obligado, por lo que en principio resulta necesario contextualizar la solicitud de información.</w:t>
      </w:r>
    </w:p>
    <w:p w14:paraId="423018E5" w14:textId="77777777" w:rsidR="00E370EF" w:rsidRPr="0032544D" w:rsidRDefault="00E370EF" w:rsidP="00E370EF">
      <w:pPr>
        <w:widowControl w:val="0"/>
        <w:spacing w:line="360" w:lineRule="auto"/>
        <w:contextualSpacing/>
        <w:jc w:val="both"/>
        <w:rPr>
          <w:rFonts w:ascii="Palatino Linotype" w:hAnsi="Palatino Linotype" w:cs="Tahoma"/>
          <w:bCs/>
          <w:iCs/>
          <w:sz w:val="22"/>
          <w:szCs w:val="22"/>
        </w:rPr>
      </w:pPr>
    </w:p>
    <w:p w14:paraId="4A37D4B8" w14:textId="77777777" w:rsidR="00E370EF" w:rsidRPr="0032544D" w:rsidRDefault="00E370EF" w:rsidP="00E370EF">
      <w:pPr>
        <w:widowControl w:val="0"/>
        <w:spacing w:line="360" w:lineRule="auto"/>
        <w:contextualSpacing/>
        <w:jc w:val="both"/>
        <w:rPr>
          <w:rFonts w:ascii="Palatino Linotype" w:hAnsi="Palatino Linotype" w:cs="Tahoma"/>
          <w:b/>
          <w:bCs/>
          <w:iCs/>
          <w:sz w:val="22"/>
          <w:szCs w:val="22"/>
        </w:rPr>
      </w:pPr>
      <w:r>
        <w:rPr>
          <w:rFonts w:ascii="Palatino Linotype" w:hAnsi="Palatino Linotype" w:cs="Tahoma"/>
          <w:bCs/>
          <w:iCs/>
          <w:sz w:val="22"/>
          <w:szCs w:val="22"/>
        </w:rPr>
        <w:t>En principio</w:t>
      </w:r>
      <w:r w:rsidRPr="0032544D">
        <w:rPr>
          <w:rFonts w:ascii="Palatino Linotype" w:hAnsi="Palatino Linotype" w:cs="Tahoma"/>
          <w:bCs/>
          <w:iCs/>
          <w:sz w:val="22"/>
          <w:szCs w:val="22"/>
        </w:rPr>
        <w:t xml:space="preserve">,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w:t>
      </w:r>
      <w:r w:rsidRPr="0032544D">
        <w:rPr>
          <w:rFonts w:ascii="Palatino Linotype" w:hAnsi="Palatino Linotype" w:cs="Tahoma"/>
          <w:b/>
          <w:bCs/>
          <w:iCs/>
          <w:sz w:val="22"/>
          <w:szCs w:val="22"/>
        </w:rPr>
        <w:t>toda la información generada, obtenida, adquirida, transformada o en posesión de los sujetos obligados es pública y accesible a cualquier persona.</w:t>
      </w:r>
    </w:p>
    <w:p w14:paraId="5AE87447" w14:textId="77777777" w:rsidR="00E370EF" w:rsidRPr="0032544D" w:rsidRDefault="00E370EF" w:rsidP="00E370EF">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 xml:space="preserve"> </w:t>
      </w:r>
    </w:p>
    <w:p w14:paraId="22C1B50A" w14:textId="77777777" w:rsidR="00E370EF" w:rsidRPr="0032544D" w:rsidRDefault="00E370EF" w:rsidP="00E370EF">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7C4B1406" w14:textId="77777777" w:rsidR="00E370EF" w:rsidRPr="0032544D" w:rsidRDefault="00E370EF" w:rsidP="00E370EF">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 xml:space="preserve"> </w:t>
      </w:r>
    </w:p>
    <w:p w14:paraId="674C30C0" w14:textId="77777777" w:rsidR="00E370EF" w:rsidRPr="0032544D" w:rsidRDefault="00E370EF" w:rsidP="00E370EF">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 xml:space="preserve">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w:t>
      </w:r>
      <w:r w:rsidRPr="0032544D">
        <w:rPr>
          <w:rFonts w:ascii="Palatino Linotype" w:hAnsi="Palatino Linotype" w:cs="Tahoma"/>
          <w:bCs/>
          <w:iCs/>
          <w:sz w:val="22"/>
          <w:szCs w:val="22"/>
        </w:rPr>
        <w:lastRenderedPageBreak/>
        <w:t>competencias o funciones.</w:t>
      </w:r>
    </w:p>
    <w:p w14:paraId="70F71847" w14:textId="77777777" w:rsidR="00E370EF" w:rsidRPr="0032544D" w:rsidRDefault="00E370EF" w:rsidP="00E370EF">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 xml:space="preserve"> </w:t>
      </w:r>
    </w:p>
    <w:p w14:paraId="526B5686" w14:textId="77777777" w:rsidR="00E370EF" w:rsidRPr="0032544D" w:rsidRDefault="00E370EF" w:rsidP="00E370EF">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7AE340E5" w14:textId="77777777" w:rsidR="00E370EF" w:rsidRPr="0032544D" w:rsidRDefault="00E370EF" w:rsidP="00E370EF">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 xml:space="preserve"> </w:t>
      </w:r>
    </w:p>
    <w:p w14:paraId="7B3D98CF" w14:textId="77777777" w:rsidR="00E370EF" w:rsidRDefault="00E370EF" w:rsidP="00E370EF">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051C34B7" w14:textId="77777777" w:rsidR="00E370EF" w:rsidRDefault="00E370EF" w:rsidP="00E370EF">
      <w:pPr>
        <w:widowControl w:val="0"/>
        <w:spacing w:line="360" w:lineRule="auto"/>
        <w:contextualSpacing/>
        <w:jc w:val="both"/>
        <w:rPr>
          <w:rFonts w:ascii="Palatino Linotype" w:hAnsi="Palatino Linotype" w:cs="Tahoma"/>
          <w:bCs/>
          <w:iCs/>
          <w:sz w:val="22"/>
          <w:szCs w:val="22"/>
        </w:rPr>
      </w:pPr>
    </w:p>
    <w:p w14:paraId="763472CB" w14:textId="77777777" w:rsidR="00387F84" w:rsidRDefault="00E370EF" w:rsidP="00387F84">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En este contexto, resulta necesario traer a estudio los artículos</w:t>
      </w:r>
      <w:r w:rsidR="00C56D59">
        <w:rPr>
          <w:rFonts w:ascii="Palatino Linotype" w:hAnsi="Palatino Linotype" w:cs="Tahoma"/>
          <w:bCs/>
          <w:iCs/>
          <w:sz w:val="22"/>
          <w:szCs w:val="22"/>
        </w:rPr>
        <w:t xml:space="preserve"> 4</w:t>
      </w:r>
      <w:r>
        <w:rPr>
          <w:rFonts w:ascii="Palatino Linotype" w:hAnsi="Palatino Linotype" w:cs="Tahoma"/>
          <w:bCs/>
          <w:iCs/>
          <w:sz w:val="22"/>
          <w:szCs w:val="22"/>
        </w:rPr>
        <w:t xml:space="preserve"> fracci</w:t>
      </w:r>
      <w:r w:rsidR="00C56D59">
        <w:rPr>
          <w:rFonts w:ascii="Palatino Linotype" w:hAnsi="Palatino Linotype" w:cs="Tahoma"/>
          <w:bCs/>
          <w:iCs/>
          <w:sz w:val="22"/>
          <w:szCs w:val="22"/>
        </w:rPr>
        <w:t>ón</w:t>
      </w:r>
      <w:r>
        <w:rPr>
          <w:rFonts w:ascii="Palatino Linotype" w:hAnsi="Palatino Linotype" w:cs="Tahoma"/>
          <w:bCs/>
          <w:iCs/>
          <w:sz w:val="22"/>
          <w:szCs w:val="22"/>
        </w:rPr>
        <w:t xml:space="preserve"> </w:t>
      </w:r>
      <w:r w:rsidR="00C56D59">
        <w:rPr>
          <w:rFonts w:ascii="Palatino Linotype" w:hAnsi="Palatino Linotype" w:cs="Tahoma"/>
          <w:bCs/>
          <w:iCs/>
          <w:sz w:val="22"/>
          <w:szCs w:val="22"/>
        </w:rPr>
        <w:t>XVL, artículo 35</w:t>
      </w:r>
      <w:r w:rsidR="00387F84">
        <w:rPr>
          <w:rFonts w:ascii="Palatino Linotype" w:hAnsi="Palatino Linotype" w:cs="Tahoma"/>
          <w:bCs/>
          <w:iCs/>
          <w:sz w:val="22"/>
          <w:szCs w:val="22"/>
        </w:rPr>
        <w:t xml:space="preserve">, </w:t>
      </w:r>
      <w:r w:rsidR="00C56D59">
        <w:rPr>
          <w:rFonts w:ascii="Palatino Linotype" w:hAnsi="Palatino Linotype" w:cs="Tahoma"/>
          <w:bCs/>
          <w:iCs/>
          <w:sz w:val="22"/>
          <w:szCs w:val="22"/>
        </w:rPr>
        <w:t xml:space="preserve">36 </w:t>
      </w:r>
      <w:proofErr w:type="gramStart"/>
      <w:r w:rsidR="00C56D59">
        <w:rPr>
          <w:rFonts w:ascii="Palatino Linotype" w:hAnsi="Palatino Linotype" w:cs="Tahoma"/>
          <w:bCs/>
          <w:iCs/>
          <w:sz w:val="22"/>
          <w:szCs w:val="22"/>
        </w:rPr>
        <w:t>fracción</w:t>
      </w:r>
      <w:proofErr w:type="gramEnd"/>
      <w:r w:rsidR="00C56D59">
        <w:rPr>
          <w:rFonts w:ascii="Palatino Linotype" w:hAnsi="Palatino Linotype" w:cs="Tahoma"/>
          <w:bCs/>
          <w:iCs/>
          <w:sz w:val="22"/>
          <w:szCs w:val="22"/>
        </w:rPr>
        <w:t xml:space="preserve"> I</w:t>
      </w:r>
      <w:r w:rsidR="00387F84">
        <w:rPr>
          <w:rFonts w:ascii="Palatino Linotype" w:hAnsi="Palatino Linotype" w:cs="Tahoma"/>
          <w:bCs/>
          <w:iCs/>
          <w:sz w:val="22"/>
          <w:szCs w:val="22"/>
        </w:rPr>
        <w:t xml:space="preserve"> de la Ley de Protección de Datos Personales en Posesión de Sujetos Obligados </w:t>
      </w:r>
      <w:r>
        <w:rPr>
          <w:rFonts w:ascii="Palatino Linotype" w:hAnsi="Palatino Linotype" w:cs="Tahoma"/>
          <w:bCs/>
          <w:iCs/>
          <w:sz w:val="22"/>
          <w:szCs w:val="22"/>
        </w:rPr>
        <w:t>del Estado de México</w:t>
      </w:r>
      <w:r w:rsidR="00387F84">
        <w:rPr>
          <w:rFonts w:ascii="Palatino Linotype" w:hAnsi="Palatino Linotype" w:cs="Tahoma"/>
          <w:bCs/>
          <w:iCs/>
          <w:sz w:val="22"/>
          <w:szCs w:val="22"/>
        </w:rPr>
        <w:t xml:space="preserve"> y Municipios</w:t>
      </w:r>
      <w:r>
        <w:rPr>
          <w:rFonts w:ascii="Palatino Linotype" w:hAnsi="Palatino Linotype" w:cs="Tahoma"/>
          <w:bCs/>
          <w:iCs/>
          <w:sz w:val="22"/>
          <w:szCs w:val="22"/>
        </w:rPr>
        <w:t>, e</w:t>
      </w:r>
      <w:r w:rsidR="00387F84">
        <w:rPr>
          <w:rFonts w:ascii="Palatino Linotype" w:hAnsi="Palatino Linotype" w:cs="Tahoma"/>
          <w:bCs/>
          <w:iCs/>
          <w:sz w:val="22"/>
          <w:szCs w:val="22"/>
        </w:rPr>
        <w:t>n</w:t>
      </w:r>
      <w:r>
        <w:rPr>
          <w:rFonts w:ascii="Palatino Linotype" w:hAnsi="Palatino Linotype" w:cs="Tahoma"/>
          <w:bCs/>
          <w:iCs/>
          <w:sz w:val="22"/>
          <w:szCs w:val="22"/>
        </w:rPr>
        <w:t xml:space="preserve"> </w:t>
      </w:r>
      <w:r w:rsidR="00387F84">
        <w:rPr>
          <w:rFonts w:ascii="Palatino Linotype" w:hAnsi="Palatino Linotype" w:cs="Tahoma"/>
          <w:bCs/>
          <w:iCs/>
          <w:sz w:val="22"/>
          <w:szCs w:val="22"/>
        </w:rPr>
        <w:t>los cuales se establece lo siguiente:</w:t>
      </w:r>
    </w:p>
    <w:p w14:paraId="70EBB375" w14:textId="353E94BE" w:rsidR="00387F84" w:rsidRDefault="00387F84" w:rsidP="00387F84">
      <w:pPr>
        <w:widowControl w:val="0"/>
        <w:spacing w:line="360" w:lineRule="auto"/>
        <w:contextualSpacing/>
        <w:jc w:val="both"/>
        <w:rPr>
          <w:rFonts w:ascii="Palatino Linotype" w:hAnsi="Palatino Linotype" w:cs="Tahoma"/>
          <w:bCs/>
          <w:iCs/>
          <w:sz w:val="22"/>
          <w:szCs w:val="22"/>
        </w:rPr>
      </w:pPr>
    </w:p>
    <w:p w14:paraId="077E1C93" w14:textId="53FD96DA" w:rsidR="00387F84" w:rsidRPr="00387F84" w:rsidRDefault="00387F84" w:rsidP="00387F84">
      <w:pPr>
        <w:widowControl w:val="0"/>
        <w:spacing w:line="360" w:lineRule="auto"/>
        <w:ind w:right="567"/>
        <w:contextualSpacing/>
        <w:jc w:val="both"/>
        <w:rPr>
          <w:rFonts w:ascii="Palatino Linotype" w:hAnsi="Palatino Linotype" w:cs="Tahoma"/>
          <w:b/>
          <w:bCs/>
          <w:iCs/>
          <w:sz w:val="22"/>
          <w:szCs w:val="22"/>
        </w:rPr>
      </w:pPr>
      <w:r w:rsidRPr="00387F84">
        <w:rPr>
          <w:rFonts w:ascii="Palatino Linotype" w:hAnsi="Palatino Linotype" w:cs="Tahoma"/>
          <w:b/>
          <w:bCs/>
          <w:iCs/>
        </w:rPr>
        <w:t>(</w:t>
      </w:r>
      <w:r w:rsidRPr="00387F84">
        <w:rPr>
          <w:rFonts w:ascii="Palatino Linotype" w:hAnsi="Palatino Linotype" w:cs="Tahoma"/>
          <w:b/>
          <w:bCs/>
          <w:iCs/>
          <w:sz w:val="22"/>
          <w:szCs w:val="22"/>
        </w:rPr>
        <w:t>Artículo 4) Glosario de términos</w:t>
      </w:r>
    </w:p>
    <w:p w14:paraId="261EF92B" w14:textId="3CDD0E65" w:rsidR="00E370EF" w:rsidRPr="00387F84" w:rsidRDefault="00387F84" w:rsidP="00387F84">
      <w:pPr>
        <w:widowControl w:val="0"/>
        <w:spacing w:line="360" w:lineRule="auto"/>
        <w:ind w:right="567"/>
        <w:contextualSpacing/>
        <w:jc w:val="both"/>
        <w:rPr>
          <w:rFonts w:ascii="Palatino Linotype" w:hAnsi="Palatino Linotype" w:cs="Tahoma"/>
          <w:bCs/>
          <w:iCs/>
          <w:sz w:val="22"/>
          <w:szCs w:val="22"/>
        </w:rPr>
      </w:pPr>
      <w:r w:rsidRPr="00387F84">
        <w:rPr>
          <w:rFonts w:ascii="Palatino Linotype" w:hAnsi="Palatino Linotype" w:cs="Tahoma"/>
          <w:b/>
          <w:bCs/>
          <w:iCs/>
          <w:sz w:val="22"/>
          <w:szCs w:val="22"/>
        </w:rPr>
        <w:t xml:space="preserve">Supresión: </w:t>
      </w:r>
      <w:r w:rsidRPr="00387F84">
        <w:rPr>
          <w:rFonts w:ascii="Palatino Linotype" w:hAnsi="Palatino Linotype" w:cs="Tahoma"/>
          <w:iCs/>
          <w:sz w:val="22"/>
          <w:szCs w:val="22"/>
        </w:rPr>
        <w:t>Se le considera así</w:t>
      </w:r>
      <w:r w:rsidRPr="00387F84">
        <w:rPr>
          <w:rFonts w:ascii="Palatino Linotype" w:hAnsi="Palatino Linotype" w:cs="Tahoma"/>
          <w:b/>
          <w:bCs/>
          <w:iCs/>
          <w:sz w:val="22"/>
          <w:szCs w:val="22"/>
        </w:rPr>
        <w:t xml:space="preserve"> </w:t>
      </w:r>
      <w:r w:rsidRPr="00387F84">
        <w:rPr>
          <w:rFonts w:ascii="Palatino Linotype" w:hAnsi="Palatino Linotype" w:cs="Tahoma"/>
          <w:bCs/>
          <w:iCs/>
          <w:sz w:val="22"/>
          <w:szCs w:val="22"/>
        </w:rPr>
        <w:t>a la baja archivística de los datos personales, que resulte en la eliminación, borrado o destrucción de los datos personales bajo las medidas de seguridad previamente establecidas por el responsable.</w:t>
      </w:r>
    </w:p>
    <w:p w14:paraId="0D49B24D" w14:textId="77777777" w:rsidR="00E370EF" w:rsidRDefault="00E370EF" w:rsidP="00E370EF">
      <w:pPr>
        <w:widowControl w:val="0"/>
        <w:spacing w:line="360" w:lineRule="auto"/>
        <w:contextualSpacing/>
        <w:jc w:val="both"/>
        <w:rPr>
          <w:rFonts w:ascii="Palatino Linotype" w:hAnsi="Palatino Linotype" w:cs="Tahoma"/>
          <w:bCs/>
          <w:iCs/>
          <w:sz w:val="22"/>
          <w:szCs w:val="22"/>
        </w:rPr>
      </w:pPr>
    </w:p>
    <w:p w14:paraId="5662869F" w14:textId="7D85DA1A" w:rsidR="00387F84" w:rsidRDefault="00387F84" w:rsidP="00E370EF">
      <w:pPr>
        <w:widowControl w:val="0"/>
        <w:spacing w:line="360" w:lineRule="auto"/>
        <w:contextualSpacing/>
        <w:jc w:val="both"/>
        <w:rPr>
          <w:rFonts w:ascii="Palatino Linotype" w:hAnsi="Palatino Linotype" w:cs="Tahoma"/>
          <w:b/>
          <w:iCs/>
          <w:sz w:val="22"/>
          <w:szCs w:val="22"/>
        </w:rPr>
      </w:pPr>
      <w:r w:rsidRPr="00387F84">
        <w:rPr>
          <w:rFonts w:ascii="Palatino Linotype" w:hAnsi="Palatino Linotype" w:cs="Tahoma"/>
          <w:b/>
          <w:iCs/>
          <w:sz w:val="22"/>
          <w:szCs w:val="22"/>
        </w:rPr>
        <w:t>(Artículo 35)</w:t>
      </w:r>
      <w:r>
        <w:rPr>
          <w:rFonts w:ascii="Palatino Linotype" w:hAnsi="Palatino Linotype" w:cs="Tahoma"/>
          <w:b/>
          <w:iCs/>
          <w:sz w:val="22"/>
          <w:szCs w:val="22"/>
        </w:rPr>
        <w:t xml:space="preserve"> Sistemas de Datos Personales</w:t>
      </w:r>
    </w:p>
    <w:p w14:paraId="53CEB82B" w14:textId="3235D614" w:rsidR="00387F84" w:rsidRPr="00387F84" w:rsidRDefault="00387F84" w:rsidP="00E370EF">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Corresponde a cada Sujeto Obligado determinar, a través de su titular, órgano o Comité de Transparencia, la creación, modificación o supresión de sistemas de bases de datos personales conforme a su respectivo ámbito de competencia.</w:t>
      </w:r>
    </w:p>
    <w:p w14:paraId="456797C2" w14:textId="77777777" w:rsidR="00387F84" w:rsidRDefault="00387F84" w:rsidP="00E370EF">
      <w:pPr>
        <w:widowControl w:val="0"/>
        <w:spacing w:line="360" w:lineRule="auto"/>
        <w:contextualSpacing/>
        <w:jc w:val="both"/>
        <w:rPr>
          <w:rFonts w:ascii="Palatino Linotype" w:hAnsi="Palatino Linotype" w:cs="Tahoma"/>
          <w:b/>
          <w:iCs/>
          <w:sz w:val="22"/>
          <w:szCs w:val="22"/>
        </w:rPr>
      </w:pPr>
    </w:p>
    <w:p w14:paraId="5F49F8FB" w14:textId="48576DDF" w:rsidR="00E370EF" w:rsidRDefault="00E370EF" w:rsidP="00E370EF">
      <w:pPr>
        <w:widowControl w:val="0"/>
        <w:spacing w:line="360" w:lineRule="auto"/>
        <w:contextualSpacing/>
        <w:jc w:val="both"/>
        <w:rPr>
          <w:rFonts w:ascii="Palatino Linotype" w:hAnsi="Palatino Linotype" w:cs="Tahoma"/>
          <w:b/>
          <w:iCs/>
          <w:sz w:val="22"/>
          <w:szCs w:val="22"/>
        </w:rPr>
      </w:pPr>
      <w:r w:rsidRPr="003B075C">
        <w:rPr>
          <w:rFonts w:ascii="Palatino Linotype" w:hAnsi="Palatino Linotype" w:cs="Tahoma"/>
          <w:b/>
          <w:iCs/>
          <w:sz w:val="22"/>
          <w:szCs w:val="22"/>
        </w:rPr>
        <w:t>(Artículo 3</w:t>
      </w:r>
      <w:r w:rsidR="00387F84">
        <w:rPr>
          <w:rFonts w:ascii="Palatino Linotype" w:hAnsi="Palatino Linotype" w:cs="Tahoma"/>
          <w:b/>
          <w:iCs/>
          <w:sz w:val="22"/>
          <w:szCs w:val="22"/>
        </w:rPr>
        <w:t>5</w:t>
      </w:r>
      <w:r w:rsidRPr="003B075C">
        <w:rPr>
          <w:rFonts w:ascii="Palatino Linotype" w:hAnsi="Palatino Linotype" w:cs="Tahoma"/>
          <w:b/>
          <w:iCs/>
          <w:sz w:val="22"/>
          <w:szCs w:val="22"/>
        </w:rPr>
        <w:t>)</w:t>
      </w:r>
      <w:r w:rsidR="00387F84">
        <w:rPr>
          <w:rFonts w:ascii="Palatino Linotype" w:hAnsi="Palatino Linotype" w:cs="Tahoma"/>
          <w:b/>
          <w:iCs/>
          <w:sz w:val="22"/>
          <w:szCs w:val="22"/>
        </w:rPr>
        <w:t xml:space="preserve"> Tratamiento de los Sistemas de Datos Personales</w:t>
      </w:r>
    </w:p>
    <w:p w14:paraId="74E76B83" w14:textId="17B989C7" w:rsidR="00387F84" w:rsidRDefault="00E373BD" w:rsidP="00E370EF">
      <w:pPr>
        <w:widowControl w:val="0"/>
        <w:spacing w:line="360" w:lineRule="auto"/>
        <w:contextualSpacing/>
        <w:jc w:val="both"/>
        <w:rPr>
          <w:rFonts w:ascii="Palatino Linotype" w:hAnsi="Palatino Linotype" w:cs="Tahoma"/>
          <w:bCs/>
          <w:iCs/>
          <w:sz w:val="22"/>
          <w:szCs w:val="22"/>
        </w:rPr>
      </w:pPr>
      <w:r w:rsidRPr="00E373BD">
        <w:rPr>
          <w:rFonts w:ascii="Palatino Linotype" w:hAnsi="Palatino Linotype" w:cs="Tahoma"/>
          <w:bCs/>
          <w:iCs/>
          <w:sz w:val="22"/>
          <w:szCs w:val="22"/>
        </w:rPr>
        <w:t>La</w:t>
      </w:r>
      <w:r>
        <w:rPr>
          <w:rFonts w:ascii="Palatino Linotype" w:hAnsi="Palatino Linotype" w:cs="Tahoma"/>
          <w:bCs/>
          <w:iCs/>
          <w:sz w:val="22"/>
          <w:szCs w:val="22"/>
        </w:rPr>
        <w:t xml:space="preserve"> integración, tratamiento y tutela de los sistemas de datos personales se regirán por las disposiciones siguientes:</w:t>
      </w:r>
    </w:p>
    <w:p w14:paraId="1AD5FD1F" w14:textId="77777777" w:rsidR="00E373BD" w:rsidRDefault="00E373BD" w:rsidP="00E370EF">
      <w:pPr>
        <w:widowControl w:val="0"/>
        <w:spacing w:line="360" w:lineRule="auto"/>
        <w:contextualSpacing/>
        <w:jc w:val="both"/>
        <w:rPr>
          <w:rFonts w:ascii="Palatino Linotype" w:hAnsi="Palatino Linotype" w:cs="Tahoma"/>
          <w:bCs/>
          <w:iCs/>
          <w:sz w:val="22"/>
          <w:szCs w:val="22"/>
        </w:rPr>
      </w:pPr>
    </w:p>
    <w:p w14:paraId="5293DD45" w14:textId="4E078348" w:rsidR="00E373BD" w:rsidRPr="00E373BD" w:rsidRDefault="00E373BD" w:rsidP="00E373BD">
      <w:pPr>
        <w:pStyle w:val="Prrafodelista"/>
        <w:widowControl w:val="0"/>
        <w:numPr>
          <w:ilvl w:val="0"/>
          <w:numId w:val="41"/>
        </w:numPr>
        <w:spacing w:line="360" w:lineRule="auto"/>
        <w:jc w:val="both"/>
        <w:rPr>
          <w:rFonts w:ascii="Palatino Linotype" w:hAnsi="Palatino Linotype" w:cs="Tahoma"/>
          <w:bCs/>
          <w:iCs/>
          <w:sz w:val="22"/>
          <w:szCs w:val="22"/>
        </w:rPr>
      </w:pPr>
      <w:r w:rsidRPr="00E373BD">
        <w:rPr>
          <w:rFonts w:ascii="Palatino Linotype" w:hAnsi="Palatino Linotype" w:cs="Tahoma"/>
          <w:bCs/>
          <w:iCs/>
          <w:sz w:val="22"/>
          <w:szCs w:val="22"/>
        </w:rPr>
        <w:t xml:space="preserve">Cada sujeto obligado deberá informar al Instituto sobre la creación, modificación o supresión de sus sistemas de datos personales. </w:t>
      </w:r>
    </w:p>
    <w:p w14:paraId="484547AC" w14:textId="1D1E1CB4" w:rsidR="00E373BD" w:rsidRPr="00E373BD" w:rsidRDefault="00E373BD" w:rsidP="00E373BD">
      <w:pPr>
        <w:pStyle w:val="Prrafodelista"/>
        <w:widowControl w:val="0"/>
        <w:numPr>
          <w:ilvl w:val="0"/>
          <w:numId w:val="41"/>
        </w:numPr>
        <w:spacing w:line="360" w:lineRule="auto"/>
        <w:jc w:val="both"/>
        <w:rPr>
          <w:rFonts w:ascii="Palatino Linotype" w:hAnsi="Palatino Linotype" w:cs="Tahoma"/>
          <w:bCs/>
          <w:iCs/>
          <w:sz w:val="22"/>
          <w:szCs w:val="22"/>
        </w:rPr>
      </w:pPr>
      <w:r w:rsidRPr="00E373BD">
        <w:rPr>
          <w:rFonts w:ascii="Palatino Linotype" w:hAnsi="Palatino Linotype" w:cs="Tahoma"/>
          <w:bCs/>
          <w:iCs/>
          <w:sz w:val="22"/>
          <w:szCs w:val="22"/>
        </w:rPr>
        <w:t xml:space="preserve">En caso de creación o modificación de sistemas de datos personales, se incluirá en el registro, los datos previstos la presente Ley. </w:t>
      </w:r>
    </w:p>
    <w:p w14:paraId="0F5C0432" w14:textId="7F2DC3B2" w:rsidR="00E373BD" w:rsidRPr="00E373BD" w:rsidRDefault="00E373BD" w:rsidP="00E373BD">
      <w:pPr>
        <w:pStyle w:val="Prrafodelista"/>
        <w:widowControl w:val="0"/>
        <w:numPr>
          <w:ilvl w:val="0"/>
          <w:numId w:val="41"/>
        </w:numPr>
        <w:spacing w:line="360" w:lineRule="auto"/>
        <w:jc w:val="both"/>
        <w:rPr>
          <w:rFonts w:ascii="Palatino Linotype" w:hAnsi="Palatino Linotype" w:cs="Tahoma"/>
          <w:bCs/>
          <w:iCs/>
          <w:sz w:val="22"/>
          <w:szCs w:val="22"/>
        </w:rPr>
      </w:pPr>
      <w:r w:rsidRPr="00E373BD">
        <w:rPr>
          <w:rFonts w:ascii="Palatino Linotype" w:hAnsi="Palatino Linotype" w:cs="Tahoma"/>
          <w:bCs/>
          <w:iCs/>
          <w:sz w:val="22"/>
          <w:szCs w:val="22"/>
        </w:rPr>
        <w:t xml:space="preserve">En las disposiciones que se dicten para la supresión de los sistemas de datos personales, se establecerá el destino de los datos contenidos en los mismos o, en su caso, las previsiones que se adopten para su destrucción. </w:t>
      </w:r>
    </w:p>
    <w:p w14:paraId="5589335D" w14:textId="55B4D80D" w:rsidR="00E373BD" w:rsidRPr="00E373BD" w:rsidRDefault="00E373BD" w:rsidP="00E373BD">
      <w:pPr>
        <w:pStyle w:val="Prrafodelista"/>
        <w:widowControl w:val="0"/>
        <w:numPr>
          <w:ilvl w:val="0"/>
          <w:numId w:val="41"/>
        </w:numPr>
        <w:spacing w:line="360" w:lineRule="auto"/>
        <w:jc w:val="both"/>
        <w:rPr>
          <w:rFonts w:ascii="Palatino Linotype" w:hAnsi="Palatino Linotype" w:cs="Tahoma"/>
          <w:bCs/>
          <w:iCs/>
          <w:sz w:val="22"/>
          <w:szCs w:val="22"/>
        </w:rPr>
      </w:pPr>
      <w:r w:rsidRPr="00E373BD">
        <w:rPr>
          <w:rFonts w:ascii="Palatino Linotype" w:hAnsi="Palatino Linotype" w:cs="Tahoma"/>
          <w:bCs/>
          <w:iCs/>
          <w:sz w:val="22"/>
          <w:szCs w:val="22"/>
        </w:rPr>
        <w:t>De la destrucción de los datos personales podrán ser excluidos aquellos que, con finalidades estadísticas o históricas, sean previamente sometidos al procedimiento de disociación. El registro de Sistemas de Datos Personales deberá realizarse a más tardar dentro de los seis meses siguientes al inicio del tratamiento por parte del responsable.</w:t>
      </w:r>
    </w:p>
    <w:p w14:paraId="18C12A91" w14:textId="77777777" w:rsidR="00E370EF" w:rsidRDefault="00E370EF" w:rsidP="00E370EF">
      <w:pPr>
        <w:widowControl w:val="0"/>
        <w:spacing w:line="360" w:lineRule="auto"/>
        <w:contextualSpacing/>
        <w:jc w:val="both"/>
        <w:rPr>
          <w:rFonts w:ascii="Palatino Linotype" w:hAnsi="Palatino Linotype" w:cs="Tahoma"/>
          <w:bCs/>
          <w:iCs/>
          <w:sz w:val="22"/>
          <w:szCs w:val="22"/>
        </w:rPr>
      </w:pPr>
    </w:p>
    <w:p w14:paraId="041A04F8" w14:textId="6F45A2AF" w:rsidR="00E373BD" w:rsidRPr="00740EAB" w:rsidRDefault="00E370EF" w:rsidP="00E373BD">
      <w:pPr>
        <w:spacing w:line="360" w:lineRule="auto"/>
        <w:contextualSpacing/>
        <w:jc w:val="both"/>
        <w:rPr>
          <w:rFonts w:ascii="Palatino Linotype" w:hAnsi="Palatino Linotype" w:cs="Tahoma"/>
          <w:sz w:val="22"/>
          <w:szCs w:val="22"/>
        </w:rPr>
      </w:pPr>
      <w:r w:rsidRPr="00947379">
        <w:rPr>
          <w:rFonts w:ascii="Palatino Linotype" w:hAnsi="Palatino Linotype" w:cs="Tahoma"/>
          <w:bCs/>
          <w:iCs/>
          <w:sz w:val="22"/>
          <w:szCs w:val="22"/>
        </w:rPr>
        <w:t xml:space="preserve">Conforme a lo anterior, se logra vislumbrar que la pretensión del ahora Recurrente es obtener </w:t>
      </w:r>
      <w:r>
        <w:rPr>
          <w:rFonts w:ascii="Palatino Linotype" w:hAnsi="Palatino Linotype" w:cs="Tahoma"/>
          <w:bCs/>
          <w:iCs/>
          <w:sz w:val="22"/>
          <w:szCs w:val="22"/>
        </w:rPr>
        <w:t xml:space="preserve">los documentos </w:t>
      </w:r>
      <w:r w:rsidR="00E373BD">
        <w:rPr>
          <w:rFonts w:ascii="Palatino Linotype" w:hAnsi="Palatino Linotype" w:cs="Tahoma"/>
          <w:sz w:val="22"/>
          <w:szCs w:val="22"/>
        </w:rPr>
        <w:t xml:space="preserve">con los que el Ayuntamiento de </w:t>
      </w:r>
      <w:r w:rsidR="00E373BD" w:rsidRPr="00740EAB">
        <w:rPr>
          <w:rFonts w:ascii="Palatino Linotype" w:hAnsi="Palatino Linotype" w:cs="Tahoma"/>
          <w:sz w:val="22"/>
          <w:szCs w:val="22"/>
        </w:rPr>
        <w:t>Toluca</w:t>
      </w:r>
      <w:r w:rsidR="00E373BD">
        <w:rPr>
          <w:rFonts w:ascii="Palatino Linotype" w:hAnsi="Palatino Linotype" w:cs="Tahoma"/>
          <w:sz w:val="22"/>
          <w:szCs w:val="22"/>
        </w:rPr>
        <w:t xml:space="preserve"> informó a este Instituto, la supresión de sistemas de bases de datos personales</w:t>
      </w:r>
      <w:r w:rsidR="00E373BD" w:rsidRPr="00740EAB">
        <w:rPr>
          <w:rFonts w:ascii="Palatino Linotype" w:hAnsi="Palatino Linotype" w:cs="Tahoma"/>
          <w:sz w:val="22"/>
          <w:szCs w:val="22"/>
        </w:rPr>
        <w:t xml:space="preserve">, </w:t>
      </w:r>
      <w:r w:rsidR="00E373BD">
        <w:rPr>
          <w:rFonts w:ascii="Palatino Linotype" w:hAnsi="Palatino Linotype" w:cs="Tahoma"/>
          <w:sz w:val="22"/>
          <w:szCs w:val="22"/>
        </w:rPr>
        <w:t xml:space="preserve">del primero de </w:t>
      </w:r>
      <w:r w:rsidR="00E373BD" w:rsidRPr="00740EAB">
        <w:rPr>
          <w:rFonts w:ascii="Palatino Linotype" w:hAnsi="Palatino Linotype" w:cs="Tahoma"/>
          <w:sz w:val="22"/>
          <w:szCs w:val="22"/>
        </w:rPr>
        <w:t>enero</w:t>
      </w:r>
      <w:r w:rsidR="00E373BD">
        <w:rPr>
          <w:rFonts w:ascii="Palatino Linotype" w:hAnsi="Palatino Linotype" w:cs="Tahoma"/>
          <w:sz w:val="22"/>
          <w:szCs w:val="22"/>
        </w:rPr>
        <w:t xml:space="preserve"> al veinticuatro de abril</w:t>
      </w:r>
      <w:r w:rsidR="00E373BD" w:rsidRPr="00740EAB">
        <w:rPr>
          <w:rFonts w:ascii="Palatino Linotype" w:hAnsi="Palatino Linotype" w:cs="Tahoma"/>
          <w:sz w:val="22"/>
          <w:szCs w:val="22"/>
        </w:rPr>
        <w:t xml:space="preserve"> de dos mil veinticinco</w:t>
      </w:r>
      <w:r w:rsidR="00E373BD">
        <w:rPr>
          <w:rFonts w:ascii="Palatino Linotype" w:hAnsi="Palatino Linotype" w:cs="Tahoma"/>
          <w:sz w:val="22"/>
          <w:szCs w:val="22"/>
        </w:rPr>
        <w:t>.</w:t>
      </w:r>
    </w:p>
    <w:p w14:paraId="77BF355E" w14:textId="753D49A0" w:rsidR="00E370EF" w:rsidRDefault="00E370EF" w:rsidP="00E373BD">
      <w:pPr>
        <w:widowControl w:val="0"/>
        <w:spacing w:line="360" w:lineRule="auto"/>
        <w:contextualSpacing/>
        <w:jc w:val="both"/>
        <w:rPr>
          <w:rFonts w:ascii="Palatino Linotype" w:eastAsia="Palatino Linotype" w:hAnsi="Palatino Linotype" w:cs="Palatino Linotype"/>
          <w:sz w:val="22"/>
          <w:szCs w:val="22"/>
        </w:rPr>
      </w:pPr>
    </w:p>
    <w:p w14:paraId="7D6F4BA9" w14:textId="21447D2B" w:rsidR="00E370EF" w:rsidRDefault="00E370EF" w:rsidP="00E370EF">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Así, de las constancias que obran en el expediente, se logra vislumbrar que el Sujeto Obligado turnó la solicitud de información a la </w:t>
      </w:r>
      <w:r w:rsidR="00E373BD">
        <w:rPr>
          <w:rFonts w:ascii="Palatino Linotype" w:eastAsia="Palatino Linotype" w:hAnsi="Palatino Linotype" w:cs="Palatino Linotype"/>
          <w:sz w:val="22"/>
          <w:szCs w:val="22"/>
        </w:rPr>
        <w:t>Unidad de Transparencia</w:t>
      </w:r>
      <w:r>
        <w:rPr>
          <w:rFonts w:ascii="Palatino Linotype" w:eastAsia="Palatino Linotype" w:hAnsi="Palatino Linotype" w:cs="Palatino Linotype"/>
          <w:sz w:val="22"/>
          <w:szCs w:val="22"/>
        </w:rPr>
        <w:t xml:space="preserve">, por lo que resulta necesario hacer referencia al procedimiento de búsqueda que deben seguir los Sujetos Obligados para localizar la información, el cual se encuentra previsto en el artículo 162 de </w:t>
      </w:r>
      <w:r>
        <w:rPr>
          <w:rFonts w:ascii="Palatino Linotype" w:eastAsia="Palatino Linotype" w:hAnsi="Palatino Linotype" w:cs="Palatino Linotype"/>
          <w:sz w:val="22"/>
          <w:szCs w:val="22"/>
        </w:rPr>
        <w:lastRenderedPageBreak/>
        <w:t>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31B67D9E" w14:textId="77777777" w:rsidR="00E370EF" w:rsidRDefault="00E370EF" w:rsidP="00E370EF">
      <w:pPr>
        <w:widowControl w:val="0"/>
        <w:spacing w:line="360" w:lineRule="auto"/>
        <w:contextualSpacing/>
        <w:jc w:val="both"/>
        <w:rPr>
          <w:rFonts w:ascii="Palatino Linotype" w:hAnsi="Palatino Linotype" w:cs="Tahoma"/>
          <w:bCs/>
          <w:iCs/>
          <w:sz w:val="22"/>
          <w:szCs w:val="22"/>
          <w:lang w:val="es-ES"/>
        </w:rPr>
      </w:pPr>
    </w:p>
    <w:p w14:paraId="5B82A2C7" w14:textId="77777777" w:rsidR="00E373BD" w:rsidRPr="00740EAB" w:rsidRDefault="00E373BD" w:rsidP="00E373BD">
      <w:pPr>
        <w:spacing w:line="360" w:lineRule="auto"/>
        <w:ind w:right="-28"/>
        <w:contextualSpacing/>
        <w:jc w:val="both"/>
        <w:rPr>
          <w:rFonts w:ascii="Palatino Linotype" w:eastAsia="Palatino Linotype" w:hAnsi="Palatino Linotype" w:cs="Palatino Linotype"/>
          <w:sz w:val="22"/>
          <w:szCs w:val="22"/>
        </w:rPr>
      </w:pPr>
      <w:r w:rsidRPr="00740EAB">
        <w:rPr>
          <w:rFonts w:ascii="Palatino Linotype" w:eastAsia="Palatino Linotype" w:hAnsi="Palatino Linotype" w:cs="Palatino Linotype"/>
          <w:sz w:val="22"/>
          <w:szCs w:val="22"/>
        </w:rPr>
        <w:t>Así, es necesario traer al estudio el artículo 114, fracción II, del Bando Municipal de Toluca, dos mil veinticinco, en relación con el artículo 5.41 fracción I, del Código Reglamentario Municipal, en el que se establece que el Sujeto Obligado para el ejercicio de sus funciones contará con diversas unidades administrativas, entre otras, la Unidad de Transparencia, encargada de conocer todo lo relacionado a garantizar el derecho de acceso a la información, y la protección de datos personales de la Administración Municipal.</w:t>
      </w:r>
    </w:p>
    <w:p w14:paraId="3DAB830F" w14:textId="77777777" w:rsidR="00E373BD" w:rsidRPr="00740EAB" w:rsidRDefault="00E373BD" w:rsidP="00E373BD">
      <w:pPr>
        <w:spacing w:line="360" w:lineRule="auto"/>
        <w:ind w:right="-28"/>
        <w:contextualSpacing/>
        <w:jc w:val="both"/>
        <w:rPr>
          <w:rFonts w:ascii="Palatino Linotype" w:eastAsia="Palatino Linotype" w:hAnsi="Palatino Linotype" w:cs="Palatino Linotype"/>
          <w:sz w:val="22"/>
          <w:szCs w:val="22"/>
        </w:rPr>
      </w:pPr>
      <w:r w:rsidRPr="00740EAB">
        <w:rPr>
          <w:rFonts w:ascii="Palatino Linotype" w:eastAsia="Palatino Linotype" w:hAnsi="Palatino Linotype" w:cs="Palatino Linotype"/>
          <w:sz w:val="22"/>
          <w:szCs w:val="22"/>
        </w:rPr>
        <w:t xml:space="preserve"> </w:t>
      </w:r>
    </w:p>
    <w:p w14:paraId="77CFBD53" w14:textId="77777777" w:rsidR="00E373BD" w:rsidRPr="00740EAB" w:rsidRDefault="00E373BD" w:rsidP="00E373BD">
      <w:pPr>
        <w:spacing w:line="360" w:lineRule="auto"/>
        <w:ind w:right="-28"/>
        <w:contextualSpacing/>
        <w:jc w:val="both"/>
        <w:rPr>
          <w:rFonts w:ascii="Palatino Linotype" w:eastAsia="Palatino Linotype" w:hAnsi="Palatino Linotype" w:cs="Palatino Linotype"/>
          <w:sz w:val="22"/>
          <w:szCs w:val="22"/>
        </w:rPr>
      </w:pPr>
      <w:r w:rsidRPr="00740EAB">
        <w:rPr>
          <w:rFonts w:ascii="Palatino Linotype" w:eastAsia="Palatino Linotype" w:hAnsi="Palatino Linotype" w:cs="Palatino Linotype"/>
          <w:sz w:val="22"/>
          <w:szCs w:val="22"/>
        </w:rPr>
        <w:t xml:space="preserve">Así, se advierte que fue la propia Unidad de Transparencia en su calidad de Servidor Público Habilitado quien atendió la solicitud, que ve las cuestiones relacionadas con el derecho de acceso a la información y la protección de datos personales del Ayuntamiento de Toluca. </w:t>
      </w:r>
    </w:p>
    <w:p w14:paraId="3B371959" w14:textId="77777777" w:rsidR="00E370EF" w:rsidRPr="003A6F1F" w:rsidRDefault="00E370EF" w:rsidP="00E370EF">
      <w:pPr>
        <w:pStyle w:val="Prrafodelista"/>
        <w:spacing w:line="360" w:lineRule="auto"/>
        <w:ind w:right="-28"/>
        <w:jc w:val="both"/>
        <w:rPr>
          <w:rFonts w:ascii="Palatino Linotype" w:eastAsia="Palatino Linotype" w:hAnsi="Palatino Linotype" w:cs="Palatino Linotype"/>
          <w:color w:val="000000"/>
          <w:sz w:val="22"/>
          <w:szCs w:val="22"/>
        </w:rPr>
      </w:pPr>
    </w:p>
    <w:p w14:paraId="2740D3BF" w14:textId="4450D750" w:rsidR="00E370EF" w:rsidRDefault="00E373BD" w:rsidP="00E370EF">
      <w:pPr>
        <w:spacing w:line="360" w:lineRule="auto"/>
        <w:contextualSpacing/>
        <w:jc w:val="both"/>
        <w:rPr>
          <w:rFonts w:ascii="Palatino Linotype" w:hAnsi="Palatino Linotype" w:cs="Tahoma"/>
          <w:sz w:val="22"/>
          <w:szCs w:val="22"/>
          <w:lang w:val="es-ES"/>
        </w:rPr>
      </w:pPr>
      <w:r>
        <w:rPr>
          <w:rFonts w:ascii="Palatino Linotype" w:eastAsia="Palatino Linotype" w:hAnsi="Palatino Linotype" w:cs="Palatino Linotype"/>
          <w:sz w:val="22"/>
          <w:szCs w:val="22"/>
        </w:rPr>
        <w:t>Ahora bien, dicha área en respuesta</w:t>
      </w:r>
      <w:r w:rsidR="002A67C7">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proporcionó </w:t>
      </w:r>
      <w:r w:rsidR="002A67C7">
        <w:rPr>
          <w:rFonts w:ascii="Palatino Linotype" w:eastAsiaTheme="majorEastAsia" w:hAnsi="Palatino Linotype" w:cstheme="majorBidi"/>
          <w:sz w:val="22"/>
          <w:szCs w:val="22"/>
        </w:rPr>
        <w:t>el o</w:t>
      </w:r>
      <w:r w:rsidR="002A67C7" w:rsidRPr="00CC6407">
        <w:rPr>
          <w:rFonts w:ascii="Palatino Linotype" w:eastAsiaTheme="majorEastAsia" w:hAnsi="Palatino Linotype" w:cstheme="majorBidi"/>
          <w:sz w:val="22"/>
          <w:szCs w:val="22"/>
        </w:rPr>
        <w:t>ficio número 2010A4000/770/2025 del once de abril del presente año, suscrito por el Titular de la Unidad de Transparencia</w:t>
      </w:r>
      <w:r w:rsidR="002A67C7">
        <w:rPr>
          <w:rFonts w:ascii="Palatino Linotype" w:eastAsiaTheme="majorEastAsia" w:hAnsi="Palatino Linotype" w:cstheme="majorBidi"/>
          <w:sz w:val="22"/>
          <w:szCs w:val="22"/>
        </w:rPr>
        <w:t>,</w:t>
      </w:r>
      <w:r>
        <w:rPr>
          <w:rFonts w:ascii="Palatino Linotype" w:eastAsia="Palatino Linotype" w:hAnsi="Palatino Linotype" w:cs="Palatino Linotype"/>
          <w:sz w:val="22"/>
          <w:szCs w:val="22"/>
        </w:rPr>
        <w:t xml:space="preserve"> </w:t>
      </w:r>
      <w:r w:rsidR="002A67C7">
        <w:rPr>
          <w:rFonts w:ascii="Palatino Linotype" w:eastAsia="Palatino Linotype" w:hAnsi="Palatino Linotype" w:cs="Palatino Linotype"/>
          <w:sz w:val="22"/>
          <w:szCs w:val="22"/>
        </w:rPr>
        <w:t xml:space="preserve">remitido a la Dirección General de Protección de Datos Personales de este Instituto, mediante el cual entre otras cosas requirió </w:t>
      </w:r>
      <w:r w:rsidR="002A67C7">
        <w:rPr>
          <w:rFonts w:ascii="Palatino Linotype" w:hAnsi="Palatino Linotype" w:cs="Tahoma"/>
          <w:sz w:val="22"/>
          <w:szCs w:val="22"/>
          <w:lang w:val="es-ES"/>
        </w:rPr>
        <w:t>autorización para la supresión de diversos concentrados de bases de datos personales, circunstancia que se logra colegir conforme a los siguientes extractos para mayor referencia:</w:t>
      </w:r>
    </w:p>
    <w:p w14:paraId="045CDA68" w14:textId="77777777" w:rsidR="002A67C7" w:rsidRDefault="002A67C7" w:rsidP="00E370EF">
      <w:pPr>
        <w:spacing w:line="360" w:lineRule="auto"/>
        <w:contextualSpacing/>
        <w:jc w:val="both"/>
        <w:rPr>
          <w:rFonts w:ascii="Palatino Linotype" w:hAnsi="Palatino Linotype" w:cs="Tahoma"/>
          <w:sz w:val="22"/>
          <w:szCs w:val="22"/>
          <w:lang w:val="es-ES"/>
        </w:rPr>
      </w:pPr>
    </w:p>
    <w:p w14:paraId="46826ADB" w14:textId="2E34A07B" w:rsidR="002A67C7" w:rsidRDefault="002A67C7" w:rsidP="002A67C7">
      <w:pPr>
        <w:spacing w:line="360" w:lineRule="auto"/>
        <w:contextualSpacing/>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lang w:eastAsia="es-MX"/>
        </w:rPr>
        <w:lastRenderedPageBreak/>
        <w:drawing>
          <wp:inline distT="0" distB="0" distL="0" distR="0" wp14:anchorId="1227CBE0" wp14:editId="2D5FC328">
            <wp:extent cx="5373384" cy="2444909"/>
            <wp:effectExtent l="0" t="0" r="0" b="0"/>
            <wp:docPr id="11186990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5716" cy="2445970"/>
                    </a:xfrm>
                    <a:prstGeom prst="rect">
                      <a:avLst/>
                    </a:prstGeom>
                    <a:noFill/>
                  </pic:spPr>
                </pic:pic>
              </a:graphicData>
            </a:graphic>
          </wp:inline>
        </w:drawing>
      </w:r>
    </w:p>
    <w:p w14:paraId="588ACD27" w14:textId="78C034A5" w:rsidR="00E373BD" w:rsidRDefault="002A67C7" w:rsidP="002A67C7">
      <w:pPr>
        <w:spacing w:line="360" w:lineRule="auto"/>
        <w:contextualSpacing/>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p w14:paraId="27A08886" w14:textId="58FFA637" w:rsidR="00E373BD" w:rsidRDefault="002A67C7" w:rsidP="002A67C7">
      <w:pPr>
        <w:spacing w:line="360" w:lineRule="auto"/>
        <w:contextualSpacing/>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lang w:eastAsia="es-MX"/>
        </w:rPr>
        <w:drawing>
          <wp:inline distT="0" distB="0" distL="0" distR="0" wp14:anchorId="38465E2A" wp14:editId="5D3B7D8B">
            <wp:extent cx="4291965" cy="2621280"/>
            <wp:effectExtent l="0" t="0" r="0" b="7620"/>
            <wp:docPr id="67995762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1965" cy="2621280"/>
                    </a:xfrm>
                    <a:prstGeom prst="rect">
                      <a:avLst/>
                    </a:prstGeom>
                    <a:noFill/>
                  </pic:spPr>
                </pic:pic>
              </a:graphicData>
            </a:graphic>
          </wp:inline>
        </w:drawing>
      </w:r>
    </w:p>
    <w:p w14:paraId="0B225F7E" w14:textId="77777777" w:rsidR="002A67C7" w:rsidRDefault="002A67C7" w:rsidP="00E370EF">
      <w:pPr>
        <w:spacing w:line="360" w:lineRule="auto"/>
        <w:contextualSpacing/>
        <w:jc w:val="both"/>
        <w:rPr>
          <w:rFonts w:ascii="Palatino Linotype" w:eastAsia="Palatino Linotype" w:hAnsi="Palatino Linotype" w:cs="Palatino Linotype"/>
          <w:sz w:val="22"/>
          <w:szCs w:val="22"/>
        </w:rPr>
      </w:pPr>
    </w:p>
    <w:p w14:paraId="294966EA" w14:textId="47E7D6ED" w:rsidR="00FF2251" w:rsidRPr="00FF2251" w:rsidRDefault="002A67C7" w:rsidP="002A67C7">
      <w:pPr>
        <w:spacing w:line="360" w:lineRule="auto"/>
        <w:contextualSpacing/>
        <w:jc w:val="both"/>
        <w:rPr>
          <w:rFonts w:ascii="Palatino Linotype" w:hAnsi="Palatino Linotype"/>
          <w:bCs/>
          <w:iCs/>
          <w:sz w:val="22"/>
          <w:szCs w:val="22"/>
        </w:rPr>
      </w:pPr>
      <w:r w:rsidRPr="005F63F6">
        <w:rPr>
          <w:rFonts w:ascii="Palatino Linotype" w:hAnsi="Palatino Linotype" w:cs="Tahoma"/>
          <w:bCs/>
          <w:iCs/>
          <w:sz w:val="22"/>
          <w:szCs w:val="22"/>
        </w:rPr>
        <w:t xml:space="preserve">Conforme a lo anterior, se </w:t>
      </w:r>
      <w:r w:rsidR="00FF2251">
        <w:rPr>
          <w:rFonts w:ascii="Palatino Linotype" w:hAnsi="Palatino Linotype" w:cs="Tahoma"/>
          <w:bCs/>
          <w:iCs/>
          <w:sz w:val="22"/>
          <w:szCs w:val="22"/>
        </w:rPr>
        <w:t>obtiene</w:t>
      </w:r>
      <w:r w:rsidRPr="005F63F6">
        <w:rPr>
          <w:rFonts w:ascii="Palatino Linotype" w:hAnsi="Palatino Linotype" w:cs="Tahoma"/>
          <w:bCs/>
          <w:iCs/>
          <w:sz w:val="22"/>
          <w:szCs w:val="22"/>
        </w:rPr>
        <w:t xml:space="preserve">, que el Sujeto Obligado a través del área competente, proporcionó la información que daba cuenta de lo solicitado, pues dicho documento </w:t>
      </w:r>
      <w:r>
        <w:rPr>
          <w:rFonts w:ascii="Palatino Linotype" w:hAnsi="Palatino Linotype" w:cs="Tahoma"/>
          <w:bCs/>
          <w:iCs/>
          <w:sz w:val="22"/>
          <w:szCs w:val="22"/>
        </w:rPr>
        <w:t>se generó a efecto de informar a</w:t>
      </w:r>
      <w:r w:rsidR="00FF2251">
        <w:rPr>
          <w:rFonts w:ascii="Palatino Linotype" w:hAnsi="Palatino Linotype" w:cs="Tahoma"/>
          <w:bCs/>
          <w:iCs/>
          <w:sz w:val="22"/>
          <w:szCs w:val="22"/>
        </w:rPr>
        <w:t>l área encargada de la protección de datos personales</w:t>
      </w:r>
      <w:r>
        <w:rPr>
          <w:rFonts w:ascii="Palatino Linotype" w:hAnsi="Palatino Linotype" w:cs="Tahoma"/>
          <w:bCs/>
          <w:iCs/>
          <w:sz w:val="22"/>
          <w:szCs w:val="22"/>
        </w:rPr>
        <w:t xml:space="preserve"> </w:t>
      </w:r>
      <w:r w:rsidR="00FF2251">
        <w:rPr>
          <w:rFonts w:ascii="Palatino Linotype" w:hAnsi="Palatino Linotype" w:cs="Tahoma"/>
          <w:bCs/>
          <w:iCs/>
          <w:sz w:val="22"/>
          <w:szCs w:val="22"/>
        </w:rPr>
        <w:t xml:space="preserve">este Organismo Garante sobre la supresión de las bases de datos personales generadas por el Ayuntamiento de Toluca en el ejercicio de sus funciones durante el periodo requerido, </w:t>
      </w:r>
      <w:r w:rsidR="00FF2251">
        <w:rPr>
          <w:rFonts w:ascii="Palatino Linotype" w:hAnsi="Palatino Linotype"/>
          <w:bCs/>
          <w:iCs/>
          <w:sz w:val="22"/>
          <w:szCs w:val="22"/>
        </w:rPr>
        <w:t xml:space="preserve">además, no se localizó que el Ente Recurrido hubiera generado mayor información en el que </w:t>
      </w:r>
      <w:r w:rsidR="00FF2251">
        <w:rPr>
          <w:rFonts w:ascii="Palatino Linotype" w:hAnsi="Palatino Linotype"/>
          <w:bCs/>
          <w:iCs/>
          <w:sz w:val="22"/>
          <w:szCs w:val="22"/>
        </w:rPr>
        <w:lastRenderedPageBreak/>
        <w:t>se advirtiera dicha circunstancia en el periodo solicitado</w:t>
      </w:r>
      <w:r w:rsidR="00FF2251">
        <w:rPr>
          <w:rFonts w:ascii="Palatino Linotype" w:hAnsi="Palatino Linotype" w:cs="Tahoma"/>
          <w:bCs/>
          <w:iCs/>
          <w:sz w:val="22"/>
          <w:szCs w:val="22"/>
        </w:rPr>
        <w:t xml:space="preserve">, por lo que con dicho documento se considera atendido </w:t>
      </w:r>
      <w:r w:rsidRPr="005F63F6">
        <w:rPr>
          <w:rFonts w:ascii="Palatino Linotype" w:hAnsi="Palatino Linotype" w:cs="Tahoma"/>
          <w:bCs/>
          <w:iCs/>
          <w:sz w:val="22"/>
          <w:szCs w:val="22"/>
        </w:rPr>
        <w:t>l</w:t>
      </w:r>
      <w:r w:rsidR="00FF2251">
        <w:rPr>
          <w:rFonts w:ascii="Palatino Linotype" w:hAnsi="Palatino Linotype" w:cs="Tahoma"/>
          <w:bCs/>
          <w:iCs/>
          <w:sz w:val="22"/>
          <w:szCs w:val="22"/>
        </w:rPr>
        <w:t>o peticionado por el Particular.</w:t>
      </w:r>
    </w:p>
    <w:p w14:paraId="0F680C83" w14:textId="77777777" w:rsidR="00FF2251" w:rsidRPr="005F63F6" w:rsidRDefault="00FF2251" w:rsidP="002A67C7">
      <w:pPr>
        <w:spacing w:line="360" w:lineRule="auto"/>
        <w:contextualSpacing/>
        <w:jc w:val="both"/>
        <w:rPr>
          <w:rFonts w:ascii="Palatino Linotype" w:hAnsi="Palatino Linotype"/>
          <w:bCs/>
          <w:iCs/>
          <w:sz w:val="22"/>
          <w:szCs w:val="22"/>
        </w:rPr>
      </w:pPr>
    </w:p>
    <w:p w14:paraId="7B1158AE" w14:textId="77777777" w:rsidR="002A67C7" w:rsidRPr="005F63F6" w:rsidRDefault="002A67C7" w:rsidP="002A67C7">
      <w:pPr>
        <w:spacing w:line="360" w:lineRule="auto"/>
        <w:contextualSpacing/>
        <w:jc w:val="both"/>
        <w:rPr>
          <w:rFonts w:ascii="Palatino Linotype" w:hAnsi="Palatino Linotype" w:cs="Tahoma"/>
          <w:bCs/>
          <w:iCs/>
          <w:sz w:val="22"/>
          <w:szCs w:val="22"/>
        </w:rPr>
      </w:pPr>
      <w:r w:rsidRPr="005F63F6">
        <w:rPr>
          <w:rFonts w:ascii="Palatino Linotype" w:hAnsi="Palatino Linotype"/>
          <w:bCs/>
          <w:iCs/>
          <w:sz w:val="22"/>
          <w:szCs w:val="22"/>
        </w:rPr>
        <w:t>Dicha circunstancia,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6383FD53" w14:textId="77777777" w:rsidR="002A67C7" w:rsidRPr="005F63F6" w:rsidRDefault="002A67C7" w:rsidP="002A67C7">
      <w:pPr>
        <w:spacing w:line="360" w:lineRule="auto"/>
        <w:contextualSpacing/>
        <w:jc w:val="both"/>
        <w:rPr>
          <w:rFonts w:ascii="Palatino Linotype" w:hAnsi="Palatino Linotype"/>
          <w:bCs/>
          <w:iCs/>
          <w:sz w:val="22"/>
          <w:szCs w:val="22"/>
        </w:rPr>
      </w:pPr>
      <w:r w:rsidRPr="005F63F6">
        <w:rPr>
          <w:rFonts w:ascii="Palatino Linotype" w:hAnsi="Palatino Linotype"/>
          <w:bCs/>
          <w:iCs/>
          <w:sz w:val="22"/>
          <w:szCs w:val="22"/>
        </w:rPr>
        <w:t xml:space="preserve"> </w:t>
      </w:r>
    </w:p>
    <w:p w14:paraId="599A4B91" w14:textId="77777777" w:rsidR="002A67C7" w:rsidRPr="005F63F6" w:rsidRDefault="002A67C7" w:rsidP="002A67C7">
      <w:pPr>
        <w:spacing w:line="360" w:lineRule="auto"/>
        <w:contextualSpacing/>
        <w:jc w:val="both"/>
        <w:rPr>
          <w:rFonts w:ascii="Palatino Linotype" w:hAnsi="Palatino Linotype"/>
          <w:bCs/>
          <w:iCs/>
          <w:sz w:val="22"/>
          <w:szCs w:val="22"/>
        </w:rPr>
      </w:pPr>
      <w:r w:rsidRPr="005F63F6">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5F63F6">
        <w:rPr>
          <w:rFonts w:ascii="Palatino Linotype" w:hAnsi="Palatino Linotype"/>
          <w:bCs/>
          <w:i/>
          <w:iCs/>
          <w:sz w:val="22"/>
          <w:szCs w:val="22"/>
        </w:rPr>
        <w:t>ad hoc</w:t>
      </w:r>
      <w:r w:rsidRPr="005F63F6">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0F51E188" w14:textId="77777777" w:rsidR="002A67C7" w:rsidRPr="005F63F6" w:rsidRDefault="002A67C7" w:rsidP="002A67C7">
      <w:pPr>
        <w:spacing w:line="360" w:lineRule="auto"/>
        <w:contextualSpacing/>
        <w:jc w:val="both"/>
        <w:rPr>
          <w:rFonts w:ascii="Palatino Linotype" w:hAnsi="Palatino Linotype"/>
          <w:bCs/>
          <w:iCs/>
          <w:sz w:val="22"/>
          <w:szCs w:val="22"/>
        </w:rPr>
      </w:pPr>
      <w:r w:rsidRPr="005F63F6">
        <w:rPr>
          <w:rFonts w:ascii="Palatino Linotype" w:hAnsi="Palatino Linotype"/>
          <w:bCs/>
          <w:iCs/>
          <w:sz w:val="22"/>
          <w:szCs w:val="22"/>
        </w:rPr>
        <w:t xml:space="preserve"> </w:t>
      </w:r>
    </w:p>
    <w:p w14:paraId="5345C871" w14:textId="77777777" w:rsidR="002A67C7" w:rsidRPr="005F63F6" w:rsidRDefault="002A67C7" w:rsidP="002A67C7">
      <w:pPr>
        <w:spacing w:line="360" w:lineRule="auto"/>
        <w:contextualSpacing/>
        <w:jc w:val="both"/>
        <w:rPr>
          <w:rFonts w:ascii="Palatino Linotype" w:hAnsi="Palatino Linotype"/>
          <w:bCs/>
          <w:iCs/>
          <w:sz w:val="22"/>
          <w:szCs w:val="22"/>
        </w:rPr>
      </w:pPr>
      <w:r w:rsidRPr="005F63F6">
        <w:rPr>
          <w:rFonts w:ascii="Palatino Linotype" w:hAnsi="Palatino Linotype"/>
          <w:bCs/>
          <w:iCs/>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 la información solicitada.</w:t>
      </w:r>
    </w:p>
    <w:p w14:paraId="37276D12" w14:textId="77777777" w:rsidR="002A67C7" w:rsidRPr="005F63F6" w:rsidRDefault="002A67C7" w:rsidP="002A67C7">
      <w:pPr>
        <w:spacing w:line="360" w:lineRule="auto"/>
        <w:contextualSpacing/>
        <w:jc w:val="both"/>
        <w:rPr>
          <w:rFonts w:ascii="Palatino Linotype" w:eastAsia="Calibri" w:hAnsi="Palatino Linotype" w:cs="Tahoma"/>
          <w:color w:val="000000"/>
          <w:sz w:val="22"/>
          <w:szCs w:val="22"/>
          <w:lang w:val="es-ES" w:eastAsia="es-MX"/>
        </w:rPr>
      </w:pPr>
    </w:p>
    <w:p w14:paraId="7E901318" w14:textId="77777777" w:rsidR="002A67C7" w:rsidRPr="005F63F6" w:rsidRDefault="002A67C7" w:rsidP="002A67C7">
      <w:pPr>
        <w:spacing w:line="360" w:lineRule="auto"/>
        <w:contextualSpacing/>
        <w:jc w:val="both"/>
        <w:rPr>
          <w:rFonts w:ascii="Palatino Linotype" w:hAnsi="Palatino Linotype" w:cs="Tahoma"/>
          <w:bCs/>
          <w:iCs/>
          <w:sz w:val="22"/>
          <w:szCs w:val="22"/>
        </w:rPr>
      </w:pPr>
      <w:r w:rsidRPr="005F63F6">
        <w:rPr>
          <w:rFonts w:ascii="Palatino Linotype" w:hAnsi="Palatino Linotype" w:cs="Tahoma"/>
          <w:bCs/>
          <w:iCs/>
          <w:sz w:val="22"/>
          <w:szCs w:val="22"/>
        </w:rPr>
        <w:t xml:space="preserve">Por lo expuesto, este Organismo Garante considera que la unidad administrativa competente interpretó de manera correcta la solicitud de información, al proporcionar el documento que contenía la información requerida por el ahora Recurrente, por lo que resulta inatendible su inconformidad, </w:t>
      </w:r>
      <w:r w:rsidRPr="005F63F6">
        <w:rPr>
          <w:rFonts w:ascii="Palatino Linotype" w:eastAsia="Palatino Linotype" w:hAnsi="Palatino Linotype" w:cs="Palatino Linotype"/>
          <w:color w:val="000000"/>
          <w:sz w:val="22"/>
          <w:szCs w:val="22"/>
          <w:lang w:eastAsia="es-MX"/>
        </w:rPr>
        <w:t xml:space="preserve">de tal circunstancia, se concluye que la información solicitada por el ahora Recurrente corresponde con lo solicitado, información que obraba en </w:t>
      </w:r>
      <w:r w:rsidRPr="005F63F6">
        <w:rPr>
          <w:rFonts w:ascii="Palatino Linotype" w:eastAsia="Palatino Linotype" w:hAnsi="Palatino Linotype" w:cs="Palatino Linotype"/>
          <w:color w:val="000000"/>
          <w:sz w:val="22"/>
          <w:szCs w:val="22"/>
          <w:lang w:eastAsia="es-MX"/>
        </w:rPr>
        <w:lastRenderedPageBreak/>
        <w:t xml:space="preserve">sus archivos y conforme a sus atribuciones, lo cual da como resultado que el agravio sea </w:t>
      </w:r>
      <w:r w:rsidRPr="005F63F6">
        <w:rPr>
          <w:rFonts w:ascii="Palatino Linotype" w:eastAsia="Palatino Linotype" w:hAnsi="Palatino Linotype" w:cs="Palatino Linotype"/>
          <w:b/>
          <w:color w:val="000000"/>
          <w:sz w:val="22"/>
          <w:szCs w:val="22"/>
          <w:lang w:eastAsia="es-MX"/>
        </w:rPr>
        <w:t>INFUNDADO.</w:t>
      </w:r>
    </w:p>
    <w:p w14:paraId="78396B76" w14:textId="77777777" w:rsidR="002A67C7" w:rsidRPr="005F63F6" w:rsidRDefault="002A67C7" w:rsidP="002A67C7">
      <w:pPr>
        <w:spacing w:line="360" w:lineRule="auto"/>
        <w:jc w:val="both"/>
        <w:rPr>
          <w:rFonts w:ascii="Palatino Linotype" w:hAnsi="Palatino Linotype" w:cs="Tahoma"/>
          <w:iCs/>
          <w:sz w:val="22"/>
          <w:szCs w:val="22"/>
        </w:rPr>
      </w:pPr>
    </w:p>
    <w:p w14:paraId="4DDC95DD" w14:textId="77777777" w:rsidR="002A67C7" w:rsidRPr="005F63F6" w:rsidRDefault="002A67C7" w:rsidP="002A67C7">
      <w:pPr>
        <w:pStyle w:val="Ttulo2"/>
        <w:spacing w:before="0" w:after="0" w:line="360" w:lineRule="auto"/>
        <w:jc w:val="both"/>
        <w:rPr>
          <w:rFonts w:ascii="Palatino Linotype" w:eastAsia="Calibri" w:hAnsi="Palatino Linotype"/>
          <w:b/>
          <w:color w:val="000000" w:themeColor="text1"/>
          <w:sz w:val="22"/>
          <w:szCs w:val="22"/>
        </w:rPr>
      </w:pPr>
      <w:bookmarkStart w:id="19" w:name="_Toc198655086"/>
      <w:bookmarkStart w:id="20" w:name="_Toc199422009"/>
      <w:bookmarkStart w:id="21" w:name="_Toc203060356"/>
      <w:bookmarkStart w:id="22" w:name="_Toc210308884"/>
      <w:r w:rsidRPr="005F63F6">
        <w:rPr>
          <w:rFonts w:ascii="Palatino Linotype" w:eastAsia="Calibri" w:hAnsi="Palatino Linotype"/>
          <w:b/>
          <w:color w:val="000000" w:themeColor="text1"/>
          <w:sz w:val="22"/>
          <w:szCs w:val="22"/>
        </w:rPr>
        <w:t>SEXTO. Decisión</w:t>
      </w:r>
      <w:bookmarkEnd w:id="19"/>
      <w:bookmarkEnd w:id="20"/>
      <w:bookmarkEnd w:id="21"/>
      <w:bookmarkEnd w:id="22"/>
    </w:p>
    <w:p w14:paraId="226E0CD7" w14:textId="77777777" w:rsidR="002A67C7" w:rsidRPr="005F63F6" w:rsidRDefault="002A67C7" w:rsidP="002A67C7">
      <w:pPr>
        <w:spacing w:line="360" w:lineRule="auto"/>
        <w:contextualSpacing/>
        <w:jc w:val="both"/>
        <w:rPr>
          <w:rFonts w:ascii="Palatino Linotype" w:eastAsia="Calibri" w:hAnsi="Palatino Linotype" w:cs="Tahoma"/>
          <w:b/>
          <w:sz w:val="22"/>
          <w:szCs w:val="22"/>
        </w:rPr>
      </w:pPr>
    </w:p>
    <w:p w14:paraId="72EF4781" w14:textId="77777777" w:rsidR="002A67C7" w:rsidRPr="005F63F6" w:rsidRDefault="002A67C7" w:rsidP="002A67C7">
      <w:pPr>
        <w:spacing w:line="360" w:lineRule="auto"/>
        <w:contextualSpacing/>
        <w:jc w:val="both"/>
        <w:rPr>
          <w:rFonts w:ascii="Palatino Linotype" w:eastAsia="Palatino Linotype" w:hAnsi="Palatino Linotype" w:cs="Tahoma"/>
          <w:color w:val="000000"/>
          <w:sz w:val="22"/>
          <w:szCs w:val="22"/>
          <w:lang w:eastAsia="es-MX"/>
        </w:rPr>
      </w:pPr>
      <w:r w:rsidRPr="005F63F6">
        <w:rPr>
          <w:rFonts w:ascii="Palatino Linotype" w:eastAsia="Palatino Linotype" w:hAnsi="Palatino Linotype" w:cs="Tahoma"/>
          <w:color w:val="000000"/>
          <w:sz w:val="22"/>
          <w:szCs w:val="22"/>
          <w:lang w:eastAsia="es-MX"/>
        </w:rPr>
        <w:t xml:space="preserve">Con fundamento en el artículo 186, fracción II, de la Ley de Transparencia y Acceso a la Información Pública del Estado de México y Municipios, este Instituto considera procedente </w:t>
      </w:r>
      <w:r w:rsidRPr="005F63F6">
        <w:rPr>
          <w:rFonts w:ascii="Palatino Linotype" w:eastAsia="Palatino Linotype" w:hAnsi="Palatino Linotype" w:cs="Tahoma"/>
          <w:b/>
          <w:color w:val="000000"/>
          <w:sz w:val="22"/>
          <w:szCs w:val="22"/>
          <w:lang w:eastAsia="es-MX"/>
        </w:rPr>
        <w:t xml:space="preserve">CONFIRMAR </w:t>
      </w:r>
      <w:r w:rsidRPr="005F63F6">
        <w:rPr>
          <w:rFonts w:ascii="Palatino Linotype" w:eastAsia="Palatino Linotype" w:hAnsi="Palatino Linotype" w:cs="Tahoma"/>
          <w:color w:val="000000"/>
          <w:sz w:val="22"/>
          <w:szCs w:val="22"/>
          <w:lang w:eastAsia="es-MX"/>
        </w:rPr>
        <w:t xml:space="preserve">la respuesta otorgada por el Sujeto Obligado. </w:t>
      </w:r>
    </w:p>
    <w:p w14:paraId="609710EE" w14:textId="77777777" w:rsidR="002A67C7" w:rsidRPr="005F63F6" w:rsidRDefault="002A67C7" w:rsidP="002A67C7">
      <w:pPr>
        <w:spacing w:line="360" w:lineRule="auto"/>
        <w:jc w:val="both"/>
        <w:rPr>
          <w:rFonts w:ascii="Palatino Linotype" w:hAnsi="Palatino Linotype" w:cs="Tahoma"/>
          <w:bCs/>
          <w:iCs/>
          <w:sz w:val="22"/>
          <w:szCs w:val="22"/>
          <w:lang w:val="es-ES"/>
        </w:rPr>
      </w:pPr>
    </w:p>
    <w:p w14:paraId="1E71580C" w14:textId="77777777" w:rsidR="002A67C7" w:rsidRPr="005F63F6" w:rsidRDefault="002A67C7" w:rsidP="002A67C7">
      <w:pPr>
        <w:spacing w:line="360" w:lineRule="auto"/>
        <w:jc w:val="both"/>
        <w:rPr>
          <w:rFonts w:ascii="Palatino Linotype" w:hAnsi="Palatino Linotype" w:cs="Tahoma"/>
          <w:b/>
          <w:bCs/>
          <w:iCs/>
          <w:sz w:val="22"/>
          <w:szCs w:val="22"/>
          <w:lang w:val="es-ES"/>
        </w:rPr>
      </w:pPr>
      <w:r w:rsidRPr="005F63F6">
        <w:rPr>
          <w:rFonts w:ascii="Palatino Linotype" w:hAnsi="Palatino Linotype" w:cs="Tahoma"/>
          <w:b/>
          <w:bCs/>
          <w:iCs/>
          <w:sz w:val="22"/>
          <w:szCs w:val="22"/>
          <w:lang w:val="es-ES"/>
        </w:rPr>
        <w:t>Términos de la Resolución para conocimiento del Particular</w:t>
      </w:r>
    </w:p>
    <w:p w14:paraId="7D4B992D" w14:textId="77777777" w:rsidR="002A67C7" w:rsidRPr="005F63F6" w:rsidRDefault="002A67C7" w:rsidP="002A67C7">
      <w:pPr>
        <w:spacing w:line="360" w:lineRule="auto"/>
        <w:jc w:val="both"/>
        <w:rPr>
          <w:rFonts w:ascii="Palatino Linotype" w:hAnsi="Palatino Linotype" w:cs="Tahoma"/>
          <w:b/>
          <w:bCs/>
          <w:iCs/>
          <w:sz w:val="22"/>
          <w:szCs w:val="22"/>
          <w:lang w:val="es-ES"/>
        </w:rPr>
      </w:pPr>
    </w:p>
    <w:p w14:paraId="584044DD" w14:textId="77777777" w:rsidR="002A67C7" w:rsidRPr="005F63F6" w:rsidRDefault="002A67C7" w:rsidP="002A67C7">
      <w:pPr>
        <w:widowControl w:val="0"/>
        <w:spacing w:line="360" w:lineRule="auto"/>
        <w:contextualSpacing/>
        <w:jc w:val="both"/>
        <w:rPr>
          <w:rFonts w:ascii="Palatino Linotype" w:eastAsia="Calibri" w:hAnsi="Palatino Linotype" w:cs="Tahoma"/>
          <w:sz w:val="22"/>
          <w:szCs w:val="22"/>
        </w:rPr>
      </w:pPr>
      <w:r w:rsidRPr="005F63F6">
        <w:rPr>
          <w:rFonts w:ascii="Palatino Linotype" w:eastAsia="Calibri" w:hAnsi="Palatino Linotype" w:cs="Tahoma"/>
          <w:bCs/>
          <w:iCs/>
          <w:color w:val="000000"/>
          <w:sz w:val="22"/>
          <w:szCs w:val="22"/>
          <w:lang w:eastAsia="es-MX"/>
        </w:rPr>
        <w:t xml:space="preserve">Se le hace del conocimiento al Particular, que, en el presente caso, no se le concede la razón, pues desde respuesta el Sujeto Obligado proporcionó la información solicitada. </w:t>
      </w:r>
      <w:r w:rsidRPr="005F63F6">
        <w:rPr>
          <w:rFonts w:ascii="Palatino Linotype" w:eastAsia="Calibri" w:hAnsi="Palatino Linotype" w:cs="Tahoma"/>
          <w:sz w:val="22"/>
          <w:szCs w:val="22"/>
        </w:rPr>
        <w:t xml:space="preserve">Finalmente, la labor del Instituto, es apoyar a la población a acceder a la información pública y garantizar la protección de sus datos personales. </w:t>
      </w:r>
    </w:p>
    <w:p w14:paraId="349EB351" w14:textId="77777777" w:rsidR="002A67C7" w:rsidRPr="005F63F6" w:rsidRDefault="002A67C7" w:rsidP="002A67C7">
      <w:pPr>
        <w:widowControl w:val="0"/>
        <w:spacing w:line="360" w:lineRule="auto"/>
        <w:contextualSpacing/>
        <w:jc w:val="both"/>
        <w:rPr>
          <w:rFonts w:ascii="Palatino Linotype" w:eastAsia="Calibri" w:hAnsi="Palatino Linotype" w:cs="Tahoma"/>
          <w:bCs/>
          <w:iCs/>
          <w:color w:val="000000"/>
          <w:sz w:val="22"/>
          <w:szCs w:val="22"/>
          <w:lang w:val="es-ES_tradnl" w:eastAsia="es-MX"/>
        </w:rPr>
      </w:pPr>
    </w:p>
    <w:p w14:paraId="47520CE2" w14:textId="77777777" w:rsidR="002A67C7" w:rsidRPr="005F63F6" w:rsidRDefault="002A67C7" w:rsidP="002A67C7">
      <w:pPr>
        <w:spacing w:line="360" w:lineRule="auto"/>
        <w:jc w:val="both"/>
        <w:rPr>
          <w:rFonts w:ascii="Palatino Linotype" w:hAnsi="Palatino Linotype" w:cs="Tahoma"/>
          <w:bCs/>
          <w:iCs/>
          <w:sz w:val="22"/>
          <w:szCs w:val="22"/>
        </w:rPr>
      </w:pPr>
      <w:r w:rsidRPr="005F63F6">
        <w:rPr>
          <w:rFonts w:ascii="Palatino Linotype" w:hAnsi="Palatino Linotype" w:cs="Tahoma"/>
          <w:bCs/>
          <w:iCs/>
          <w:sz w:val="22"/>
          <w:szCs w:val="22"/>
        </w:rPr>
        <w:t>Por lo expuesto y fundado, este Pleno:</w:t>
      </w:r>
    </w:p>
    <w:p w14:paraId="31C50781" w14:textId="77777777" w:rsidR="002A67C7" w:rsidRPr="005F63F6" w:rsidRDefault="002A67C7" w:rsidP="002A67C7">
      <w:pPr>
        <w:spacing w:line="360" w:lineRule="auto"/>
        <w:jc w:val="both"/>
        <w:rPr>
          <w:rFonts w:ascii="Palatino Linotype" w:hAnsi="Palatino Linotype" w:cs="Tahoma"/>
          <w:bCs/>
          <w:iCs/>
          <w:sz w:val="22"/>
          <w:szCs w:val="22"/>
        </w:rPr>
      </w:pPr>
    </w:p>
    <w:p w14:paraId="6EBDABB0" w14:textId="77777777" w:rsidR="002A67C7" w:rsidRPr="005F63F6" w:rsidRDefault="002A67C7" w:rsidP="002A67C7">
      <w:pPr>
        <w:pStyle w:val="Ttulo1"/>
        <w:spacing w:before="0" w:after="0" w:line="360" w:lineRule="auto"/>
        <w:jc w:val="center"/>
        <w:rPr>
          <w:rFonts w:ascii="Palatino Linotype" w:eastAsia="Calibri" w:hAnsi="Palatino Linotype"/>
          <w:b/>
          <w:color w:val="000000" w:themeColor="text1"/>
          <w:sz w:val="22"/>
          <w:szCs w:val="22"/>
        </w:rPr>
      </w:pPr>
      <w:bookmarkStart w:id="23" w:name="_Toc198655087"/>
      <w:bookmarkStart w:id="24" w:name="_Toc199422010"/>
      <w:bookmarkStart w:id="25" w:name="_Toc203060357"/>
      <w:bookmarkStart w:id="26" w:name="_Toc210308885"/>
      <w:r w:rsidRPr="005F63F6">
        <w:rPr>
          <w:rFonts w:ascii="Palatino Linotype" w:eastAsia="Calibri" w:hAnsi="Palatino Linotype"/>
          <w:b/>
          <w:color w:val="000000" w:themeColor="text1"/>
          <w:sz w:val="22"/>
          <w:szCs w:val="22"/>
        </w:rPr>
        <w:t>R E S U E L V E</w:t>
      </w:r>
      <w:bookmarkEnd w:id="23"/>
      <w:bookmarkEnd w:id="24"/>
      <w:bookmarkEnd w:id="25"/>
      <w:bookmarkEnd w:id="26"/>
    </w:p>
    <w:p w14:paraId="7D70783E" w14:textId="77777777" w:rsidR="002A67C7" w:rsidRPr="005F63F6" w:rsidRDefault="002A67C7" w:rsidP="002A67C7">
      <w:pPr>
        <w:spacing w:line="360" w:lineRule="auto"/>
        <w:ind w:right="-91"/>
        <w:contextualSpacing/>
        <w:jc w:val="both"/>
        <w:rPr>
          <w:rFonts w:ascii="Palatino Linotype" w:eastAsia="Calibri" w:hAnsi="Palatino Linotype" w:cs="Tahoma"/>
          <w:b/>
          <w:bCs/>
          <w:sz w:val="22"/>
          <w:szCs w:val="22"/>
        </w:rPr>
      </w:pPr>
    </w:p>
    <w:p w14:paraId="5EC1E5B9" w14:textId="3AAFDDA1" w:rsidR="002A67C7" w:rsidRPr="005F63F6" w:rsidRDefault="002A67C7" w:rsidP="002A67C7">
      <w:pPr>
        <w:spacing w:line="360" w:lineRule="auto"/>
        <w:contextualSpacing/>
        <w:jc w:val="both"/>
        <w:rPr>
          <w:rFonts w:ascii="Palatino Linotype" w:eastAsia="Calibri" w:hAnsi="Palatino Linotype" w:cs="Tahoma"/>
          <w:iCs/>
          <w:color w:val="000000"/>
          <w:sz w:val="22"/>
          <w:szCs w:val="22"/>
          <w:lang w:eastAsia="es-MX"/>
        </w:rPr>
      </w:pPr>
      <w:r w:rsidRPr="005F63F6">
        <w:rPr>
          <w:rFonts w:ascii="Palatino Linotype" w:eastAsia="Calibri" w:hAnsi="Palatino Linotype" w:cs="Tahoma"/>
          <w:b/>
          <w:iCs/>
          <w:color w:val="000000"/>
          <w:sz w:val="22"/>
          <w:szCs w:val="22"/>
          <w:lang w:eastAsia="es-MX"/>
        </w:rPr>
        <w:t>PRIMERO.</w:t>
      </w:r>
      <w:r w:rsidRPr="005F63F6">
        <w:rPr>
          <w:rFonts w:ascii="Palatino Linotype" w:eastAsia="Calibri" w:hAnsi="Palatino Linotype" w:cs="Tahoma"/>
          <w:bCs/>
          <w:iCs/>
          <w:color w:val="000000"/>
          <w:sz w:val="22"/>
          <w:szCs w:val="22"/>
          <w:lang w:eastAsia="es-MX"/>
        </w:rPr>
        <w:t xml:space="preserve"> Se </w:t>
      </w:r>
      <w:r w:rsidRPr="005F63F6">
        <w:rPr>
          <w:rFonts w:ascii="Palatino Linotype" w:eastAsia="Calibri" w:hAnsi="Palatino Linotype" w:cs="Tahoma"/>
          <w:b/>
          <w:bCs/>
          <w:iCs/>
          <w:color w:val="000000"/>
          <w:sz w:val="22"/>
          <w:szCs w:val="22"/>
          <w:lang w:eastAsia="es-MX"/>
        </w:rPr>
        <w:t xml:space="preserve">CONFIRMA </w:t>
      </w:r>
      <w:r w:rsidRPr="005F63F6">
        <w:rPr>
          <w:rFonts w:ascii="Palatino Linotype" w:eastAsia="Calibri" w:hAnsi="Palatino Linotype" w:cs="Tahoma"/>
          <w:iCs/>
          <w:color w:val="000000"/>
          <w:sz w:val="22"/>
          <w:szCs w:val="22"/>
          <w:lang w:eastAsia="es-MX"/>
        </w:rPr>
        <w:t xml:space="preserve">la respuesta entregada por el Sujeto Obligado a la solicitud de acceso a la información </w:t>
      </w:r>
      <w:r w:rsidRPr="005F63F6">
        <w:rPr>
          <w:rFonts w:ascii="Palatino Linotype" w:eastAsia="Palatino Linotype" w:hAnsi="Palatino Linotype" w:cs="Tahoma"/>
          <w:color w:val="0D0D0D"/>
          <w:sz w:val="22"/>
          <w:szCs w:val="22"/>
          <w:lang w:eastAsia="es-MX"/>
        </w:rPr>
        <w:t>con número de folio</w:t>
      </w:r>
      <w:r w:rsidRPr="005F63F6">
        <w:rPr>
          <w:rFonts w:ascii="Palatino Linotype" w:eastAsia="Palatino Linotype" w:hAnsi="Palatino Linotype" w:cs="Palatino Linotype"/>
          <w:b/>
          <w:bCs/>
          <w:color w:val="FF0000"/>
          <w:sz w:val="22"/>
          <w:szCs w:val="22"/>
          <w:lang w:eastAsia="es-MX"/>
        </w:rPr>
        <w:t> </w:t>
      </w:r>
      <w:r w:rsidRPr="005F63F6">
        <w:rPr>
          <w:rFonts w:ascii="Palatino Linotype" w:eastAsia="Calibri" w:hAnsi="Palatino Linotype"/>
          <w:sz w:val="22"/>
          <w:szCs w:val="22"/>
        </w:rPr>
        <w:t>0</w:t>
      </w:r>
      <w:r w:rsidR="00FF2251">
        <w:rPr>
          <w:rFonts w:ascii="Palatino Linotype" w:eastAsia="Calibri" w:hAnsi="Palatino Linotype"/>
          <w:sz w:val="22"/>
          <w:szCs w:val="22"/>
        </w:rPr>
        <w:t>2486</w:t>
      </w:r>
      <w:r w:rsidRPr="005F63F6">
        <w:rPr>
          <w:rFonts w:ascii="Palatino Linotype" w:eastAsia="Calibri" w:hAnsi="Palatino Linotype"/>
          <w:sz w:val="22"/>
          <w:szCs w:val="22"/>
        </w:rPr>
        <w:t>/TOLUCA/IP/2025</w:t>
      </w:r>
      <w:r w:rsidRPr="005F63F6">
        <w:rPr>
          <w:rFonts w:ascii="Palatino Linotype" w:eastAsia="Palatino Linotype" w:hAnsi="Palatino Linotype" w:cs="Tahoma"/>
          <w:color w:val="0D0D0D"/>
          <w:sz w:val="22"/>
          <w:szCs w:val="22"/>
          <w:lang w:eastAsia="es-MX"/>
        </w:rPr>
        <w:t>,</w:t>
      </w:r>
      <w:r w:rsidRPr="005F63F6">
        <w:rPr>
          <w:rFonts w:ascii="Palatino Linotype" w:eastAsia="Palatino Linotype" w:hAnsi="Palatino Linotype" w:cs="Tahoma"/>
          <w:bCs/>
          <w:color w:val="0D0D0D"/>
          <w:sz w:val="22"/>
          <w:szCs w:val="22"/>
          <w:lang w:eastAsia="es-MX"/>
        </w:rPr>
        <w:t xml:space="preserve"> </w:t>
      </w:r>
      <w:r w:rsidRPr="005F63F6">
        <w:rPr>
          <w:rFonts w:ascii="Palatino Linotype" w:eastAsia="Calibri" w:hAnsi="Palatino Linotype" w:cs="Tahoma"/>
          <w:bCs/>
          <w:iCs/>
          <w:color w:val="000000"/>
          <w:sz w:val="22"/>
          <w:szCs w:val="22"/>
          <w:lang w:eastAsia="es-MX"/>
        </w:rPr>
        <w:t xml:space="preserve">por resultar </w:t>
      </w:r>
      <w:r w:rsidRPr="005F63F6">
        <w:rPr>
          <w:rFonts w:ascii="Palatino Linotype" w:eastAsia="Calibri" w:hAnsi="Palatino Linotype" w:cs="Tahoma"/>
          <w:b/>
          <w:bCs/>
          <w:iCs/>
          <w:color w:val="000000"/>
          <w:sz w:val="22"/>
          <w:szCs w:val="22"/>
          <w:lang w:eastAsia="es-MX"/>
        </w:rPr>
        <w:t>INFUNDADAS</w:t>
      </w:r>
      <w:r w:rsidRPr="005F63F6">
        <w:rPr>
          <w:rFonts w:ascii="Palatino Linotype" w:eastAsia="Calibri" w:hAnsi="Palatino Linotype" w:cs="Tahoma"/>
          <w:bCs/>
          <w:iCs/>
          <w:color w:val="000000"/>
          <w:sz w:val="22"/>
          <w:szCs w:val="22"/>
          <w:lang w:eastAsia="es-MX"/>
        </w:rPr>
        <w:t xml:space="preserve"> las razones o motivos de inconformidad hechas valer por la persona Recurrente, en términos de los Considerandos </w:t>
      </w:r>
      <w:r w:rsidRPr="005F63F6">
        <w:rPr>
          <w:rFonts w:ascii="Palatino Linotype" w:eastAsia="Calibri" w:hAnsi="Palatino Linotype" w:cs="Tahoma"/>
          <w:iCs/>
          <w:color w:val="000000"/>
          <w:sz w:val="22"/>
          <w:szCs w:val="22"/>
          <w:lang w:eastAsia="es-MX"/>
        </w:rPr>
        <w:t>QUINTO y SEXTO de esta Resolución.</w:t>
      </w:r>
    </w:p>
    <w:p w14:paraId="4F96C625" w14:textId="77777777" w:rsidR="002A67C7" w:rsidRPr="005F63F6" w:rsidRDefault="002A67C7" w:rsidP="002A67C7">
      <w:pPr>
        <w:spacing w:line="360" w:lineRule="auto"/>
        <w:jc w:val="both"/>
        <w:rPr>
          <w:rFonts w:ascii="Palatino Linotype" w:eastAsia="Calibri" w:hAnsi="Palatino Linotype" w:cs="Tahoma"/>
          <w:b/>
          <w:bCs/>
          <w:iCs/>
          <w:sz w:val="22"/>
          <w:szCs w:val="22"/>
          <w:lang w:eastAsia="es-MX"/>
        </w:rPr>
      </w:pPr>
    </w:p>
    <w:p w14:paraId="663C4E68" w14:textId="77777777" w:rsidR="002A67C7" w:rsidRPr="005F63F6" w:rsidRDefault="002A67C7" w:rsidP="002A67C7">
      <w:pPr>
        <w:spacing w:line="360" w:lineRule="auto"/>
        <w:jc w:val="both"/>
        <w:rPr>
          <w:rFonts w:ascii="Palatino Linotype" w:eastAsia="Calibri" w:hAnsi="Palatino Linotype" w:cs="Tahoma"/>
          <w:b/>
          <w:bCs/>
          <w:iCs/>
          <w:sz w:val="22"/>
          <w:szCs w:val="22"/>
          <w:lang w:eastAsia="es-MX"/>
        </w:rPr>
      </w:pPr>
      <w:r w:rsidRPr="005F63F6">
        <w:rPr>
          <w:rFonts w:ascii="Palatino Linotype" w:eastAsia="Calibri" w:hAnsi="Palatino Linotype" w:cs="Tahoma"/>
          <w:b/>
          <w:bCs/>
          <w:iCs/>
          <w:sz w:val="22"/>
          <w:szCs w:val="22"/>
          <w:lang w:eastAsia="es-MX"/>
        </w:rPr>
        <w:t xml:space="preserve">SEGUNDO. NOTIFÍQUESE POR SAIMEX </w:t>
      </w:r>
      <w:r w:rsidRPr="005F63F6">
        <w:rPr>
          <w:rFonts w:ascii="Palatino Linotype" w:eastAsia="Calibri" w:hAnsi="Palatino Linotype" w:cs="Tahoma"/>
          <w:iCs/>
          <w:sz w:val="22"/>
          <w:szCs w:val="22"/>
          <w:lang w:eastAsia="es-MX"/>
        </w:rPr>
        <w:t>la presente Resolución, al Titular de la Unidad de Transparencia del Sujeto Obligado.</w:t>
      </w:r>
    </w:p>
    <w:p w14:paraId="3298EB3C" w14:textId="77777777" w:rsidR="002A67C7" w:rsidRPr="005F63F6" w:rsidRDefault="002A67C7" w:rsidP="002A67C7">
      <w:pPr>
        <w:spacing w:line="360" w:lineRule="auto"/>
        <w:jc w:val="both"/>
        <w:rPr>
          <w:rFonts w:ascii="Palatino Linotype" w:eastAsia="Calibri" w:hAnsi="Palatino Linotype" w:cs="Tahoma"/>
          <w:b/>
          <w:bCs/>
          <w:i/>
          <w:iCs/>
          <w:sz w:val="22"/>
          <w:szCs w:val="22"/>
          <w:lang w:eastAsia="es-MX"/>
        </w:rPr>
      </w:pPr>
    </w:p>
    <w:p w14:paraId="2F853583" w14:textId="77777777" w:rsidR="002A67C7" w:rsidRPr="005F63F6" w:rsidRDefault="002A67C7" w:rsidP="002A67C7">
      <w:pPr>
        <w:spacing w:line="360" w:lineRule="auto"/>
        <w:jc w:val="both"/>
        <w:rPr>
          <w:rFonts w:ascii="Palatino Linotype" w:eastAsia="Calibri" w:hAnsi="Palatino Linotype" w:cs="Tahoma"/>
          <w:b/>
          <w:bCs/>
          <w:iCs/>
          <w:sz w:val="22"/>
          <w:szCs w:val="22"/>
          <w:lang w:eastAsia="es-MX"/>
        </w:rPr>
      </w:pPr>
      <w:r w:rsidRPr="005F63F6">
        <w:rPr>
          <w:rFonts w:ascii="Palatino Linotype" w:eastAsia="Calibri" w:hAnsi="Palatino Linotype" w:cs="Tahoma"/>
          <w:b/>
          <w:bCs/>
          <w:iCs/>
          <w:sz w:val="22"/>
          <w:szCs w:val="22"/>
          <w:lang w:eastAsia="es-MX"/>
        </w:rPr>
        <w:t xml:space="preserve">TERCERO. NOTIFÍQUESE POR SAIMEX </w:t>
      </w:r>
      <w:r w:rsidRPr="005F63F6">
        <w:rPr>
          <w:rFonts w:ascii="Palatino Linotype" w:eastAsia="Calibri" w:hAnsi="Palatino Linotype" w:cs="Tahoma"/>
          <w:iCs/>
          <w:sz w:val="22"/>
          <w:szCs w:val="22"/>
          <w:lang w:eastAsia="es-MX"/>
        </w:rPr>
        <w:t>a la persona Recurrente, la presente Resolución</w:t>
      </w:r>
      <w:r w:rsidRPr="005F63F6">
        <w:rPr>
          <w:rFonts w:ascii="Palatino Linotype" w:eastAsia="Calibri" w:hAnsi="Palatino Linotype" w:cs="Tahoma"/>
          <w:color w:val="000000"/>
          <w:sz w:val="22"/>
          <w:szCs w:val="22"/>
          <w:lang w:val="es-ES" w:eastAsia="es-MX"/>
        </w:rPr>
        <w:t>,</w:t>
      </w:r>
      <w:r w:rsidRPr="005F63F6">
        <w:rPr>
          <w:rFonts w:ascii="Palatino Linotype" w:eastAsia="Calibri" w:hAnsi="Palatino Linotype" w:cs="Tahoma"/>
          <w:iCs/>
          <w:sz w:val="22"/>
          <w:szCs w:val="22"/>
          <w:lang w:eastAsia="es-MX"/>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462BED4" w14:textId="77777777" w:rsidR="002A67C7" w:rsidRPr="005F63F6" w:rsidRDefault="002A67C7" w:rsidP="002A67C7">
      <w:pPr>
        <w:spacing w:line="360" w:lineRule="auto"/>
        <w:contextualSpacing/>
        <w:jc w:val="both"/>
        <w:rPr>
          <w:rFonts w:ascii="Palatino Linotype" w:eastAsia="Palatino Linotype" w:hAnsi="Palatino Linotype" w:cs="Arial"/>
          <w:b/>
          <w:bCs/>
          <w:color w:val="000000"/>
          <w:sz w:val="22"/>
          <w:szCs w:val="22"/>
          <w:lang w:eastAsia="es-MX"/>
        </w:rPr>
      </w:pPr>
    </w:p>
    <w:p w14:paraId="4531D35D" w14:textId="6873364A" w:rsidR="00E370EF" w:rsidRDefault="00B729AC" w:rsidP="00E370EF">
      <w:pPr>
        <w:spacing w:line="360" w:lineRule="auto"/>
        <w:contextualSpacing/>
        <w:jc w:val="both"/>
        <w:rPr>
          <w:rFonts w:ascii="Palatino Linotype" w:hAnsi="Palatino Linotype" w:cs="Tahoma"/>
          <w:bCs/>
          <w:iCs/>
          <w:sz w:val="22"/>
          <w:szCs w:val="22"/>
        </w:rPr>
      </w:pPr>
      <w:r w:rsidRPr="00B729AC">
        <w:rPr>
          <w:rFonts w:ascii="Palatino Linotype" w:eastAsia="Calibri" w:hAnsi="Palatino Linotype" w:cs="Tahoma"/>
          <w:bCs/>
          <w:color w:val="000000"/>
          <w:sz w:val="22"/>
          <w:szCs w:val="22"/>
          <w:lang w:eastAsia="es-MX"/>
        </w:rPr>
        <w:t xml:space="preserve">ASÍ LO RESUELVE, POR </w:t>
      </w:r>
      <w:r w:rsidRPr="00B729AC">
        <w:rPr>
          <w:rFonts w:ascii="Palatino Linotype" w:eastAsia="Calibri" w:hAnsi="Palatino Linotype" w:cs="Tahoma"/>
          <w:b/>
          <w:color w:val="000000"/>
          <w:sz w:val="22"/>
          <w:szCs w:val="22"/>
          <w:lang w:eastAsia="es-MX"/>
        </w:rPr>
        <w:t>UNANIMIDAD</w:t>
      </w:r>
      <w:r w:rsidRPr="00B729AC">
        <w:rPr>
          <w:rFonts w:ascii="Palatino Linotype" w:eastAsia="Calibri" w:hAnsi="Palatino Linotype" w:cs="Tahoma"/>
          <w:bCs/>
          <w:color w:val="000000"/>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w:t>
      </w:r>
      <w:r w:rsidR="00D051C5">
        <w:rPr>
          <w:rFonts w:ascii="Palatino Linotype" w:eastAsia="Calibri" w:hAnsi="Palatino Linotype" w:cs="Tahoma"/>
          <w:bCs/>
          <w:color w:val="000000"/>
          <w:sz w:val="22"/>
          <w:szCs w:val="22"/>
          <w:lang w:eastAsia="es-MX"/>
        </w:rPr>
        <w:t xml:space="preserve">, </w:t>
      </w:r>
      <w:bookmarkStart w:id="27" w:name="_GoBack"/>
      <w:bookmarkEnd w:id="27"/>
      <w:r w:rsidRPr="00B729AC">
        <w:rPr>
          <w:rFonts w:ascii="Palatino Linotype" w:eastAsia="Calibri" w:hAnsi="Palatino Linotype" w:cs="Tahoma"/>
          <w:bCs/>
          <w:color w:val="000000"/>
          <w:sz w:val="22"/>
          <w:szCs w:val="22"/>
          <w:lang w:eastAsia="es-MX"/>
        </w:rPr>
        <w:t xml:space="preserve"> EN SUPLENCIA DEL SECRETARIO TÉCNICO DEL PLENO ALEXIS TAPIA RAMÍREZ.</w:t>
      </w:r>
    </w:p>
    <w:p w14:paraId="23868276" w14:textId="77777777" w:rsidR="00E370EF" w:rsidRDefault="00E370EF" w:rsidP="00E370EF">
      <w:pPr>
        <w:spacing w:line="360" w:lineRule="auto"/>
        <w:contextualSpacing/>
        <w:rPr>
          <w:rFonts w:ascii="Palatino Linotype" w:hAnsi="Palatino Linotype"/>
        </w:rPr>
      </w:pPr>
    </w:p>
    <w:p w14:paraId="7A479D04" w14:textId="77777777" w:rsidR="00E370EF" w:rsidRDefault="00E370EF" w:rsidP="00E370EF">
      <w:pPr>
        <w:spacing w:line="360" w:lineRule="auto"/>
        <w:contextualSpacing/>
        <w:rPr>
          <w:rFonts w:ascii="Palatino Linotype" w:hAnsi="Palatino Linotype"/>
        </w:rPr>
      </w:pPr>
    </w:p>
    <w:p w14:paraId="285F8C7A" w14:textId="77777777" w:rsidR="00E370EF" w:rsidRDefault="00E370EF" w:rsidP="00E370EF">
      <w:pPr>
        <w:spacing w:line="360" w:lineRule="auto"/>
        <w:contextualSpacing/>
        <w:rPr>
          <w:rFonts w:ascii="Palatino Linotype" w:hAnsi="Palatino Linotype"/>
        </w:rPr>
      </w:pPr>
    </w:p>
    <w:p w14:paraId="749CFF0E" w14:textId="77777777" w:rsidR="00E370EF" w:rsidRDefault="00E370EF" w:rsidP="00E370EF">
      <w:pPr>
        <w:spacing w:line="360" w:lineRule="auto"/>
        <w:contextualSpacing/>
        <w:rPr>
          <w:rFonts w:ascii="Palatino Linotype" w:hAnsi="Palatino Linotype"/>
        </w:rPr>
      </w:pPr>
    </w:p>
    <w:p w14:paraId="45F1BB04" w14:textId="77777777" w:rsidR="00E370EF" w:rsidRDefault="00E370EF" w:rsidP="00E370EF">
      <w:pPr>
        <w:spacing w:line="360" w:lineRule="auto"/>
        <w:contextualSpacing/>
        <w:rPr>
          <w:rFonts w:ascii="Palatino Linotype" w:hAnsi="Palatino Linotype"/>
        </w:rPr>
      </w:pPr>
    </w:p>
    <w:p w14:paraId="65A056E7" w14:textId="77777777" w:rsidR="00E370EF" w:rsidRDefault="00E370EF" w:rsidP="00E370EF">
      <w:pPr>
        <w:spacing w:line="360" w:lineRule="auto"/>
        <w:contextualSpacing/>
        <w:rPr>
          <w:rFonts w:ascii="Palatino Linotype" w:hAnsi="Palatino Linotype"/>
        </w:rPr>
      </w:pPr>
    </w:p>
    <w:p w14:paraId="5332BC93" w14:textId="77777777" w:rsidR="00E370EF" w:rsidRDefault="00E370EF" w:rsidP="00E370EF">
      <w:pPr>
        <w:spacing w:line="360" w:lineRule="auto"/>
        <w:contextualSpacing/>
        <w:rPr>
          <w:rFonts w:ascii="Palatino Linotype" w:hAnsi="Palatino Linotype"/>
        </w:rPr>
      </w:pPr>
    </w:p>
    <w:p w14:paraId="5C793961" w14:textId="77777777" w:rsidR="00E370EF" w:rsidRDefault="00E370EF" w:rsidP="00E370EF">
      <w:pPr>
        <w:spacing w:line="360" w:lineRule="auto"/>
        <w:contextualSpacing/>
        <w:rPr>
          <w:rFonts w:ascii="Palatino Linotype" w:hAnsi="Palatino Linotype"/>
        </w:rPr>
      </w:pPr>
    </w:p>
    <w:p w14:paraId="319B203F" w14:textId="77777777" w:rsidR="00E370EF" w:rsidRDefault="00E370EF" w:rsidP="00E370EF">
      <w:pPr>
        <w:spacing w:line="360" w:lineRule="auto"/>
        <w:contextualSpacing/>
        <w:rPr>
          <w:rFonts w:ascii="Palatino Linotype" w:hAnsi="Palatino Linotype"/>
        </w:rPr>
      </w:pPr>
    </w:p>
    <w:p w14:paraId="2730DAD8" w14:textId="77777777" w:rsidR="00E370EF" w:rsidRDefault="00E370EF" w:rsidP="00E370EF">
      <w:pPr>
        <w:spacing w:line="360" w:lineRule="auto"/>
        <w:contextualSpacing/>
        <w:rPr>
          <w:rFonts w:ascii="Palatino Linotype" w:hAnsi="Palatino Linotype"/>
        </w:rPr>
      </w:pPr>
    </w:p>
    <w:p w14:paraId="18484EA9" w14:textId="77777777" w:rsidR="00E370EF" w:rsidRDefault="00E370EF" w:rsidP="00E370EF">
      <w:pPr>
        <w:spacing w:line="360" w:lineRule="auto"/>
        <w:contextualSpacing/>
        <w:rPr>
          <w:rFonts w:ascii="Palatino Linotype" w:hAnsi="Palatino Linotype"/>
        </w:rPr>
      </w:pPr>
    </w:p>
    <w:p w14:paraId="28FE7A18" w14:textId="77777777" w:rsidR="00E370EF" w:rsidRDefault="00E370EF" w:rsidP="00E370EF">
      <w:pPr>
        <w:spacing w:line="360" w:lineRule="auto"/>
        <w:contextualSpacing/>
        <w:rPr>
          <w:rFonts w:ascii="Palatino Linotype" w:hAnsi="Palatino Linotype"/>
        </w:rPr>
      </w:pPr>
    </w:p>
    <w:p w14:paraId="459EB63F" w14:textId="77777777" w:rsidR="00E370EF" w:rsidRDefault="00E370EF" w:rsidP="00E370EF">
      <w:pPr>
        <w:spacing w:line="360" w:lineRule="auto"/>
        <w:contextualSpacing/>
        <w:rPr>
          <w:rFonts w:ascii="Palatino Linotype" w:hAnsi="Palatino Linotype"/>
        </w:rPr>
      </w:pPr>
    </w:p>
    <w:p w14:paraId="74C26C52" w14:textId="77777777" w:rsidR="00E370EF" w:rsidRPr="00537F14" w:rsidRDefault="00E370EF" w:rsidP="00E370EF">
      <w:pPr>
        <w:spacing w:line="360" w:lineRule="auto"/>
        <w:contextualSpacing/>
        <w:rPr>
          <w:rFonts w:ascii="Palatino Linotype" w:hAnsi="Palatino Linotype"/>
        </w:rPr>
      </w:pPr>
    </w:p>
    <w:p w14:paraId="61C27308" w14:textId="77777777" w:rsidR="00E370EF" w:rsidRDefault="00E370EF" w:rsidP="00E370EF">
      <w:pPr>
        <w:spacing w:line="360" w:lineRule="auto"/>
        <w:contextualSpacing/>
      </w:pPr>
    </w:p>
    <w:p w14:paraId="7BC3F3D0" w14:textId="77777777" w:rsidR="00E370EF" w:rsidRDefault="00E370EF" w:rsidP="00E370EF">
      <w:pPr>
        <w:spacing w:line="360" w:lineRule="auto"/>
        <w:contextualSpacing/>
      </w:pPr>
    </w:p>
    <w:p w14:paraId="276D60B5" w14:textId="77777777" w:rsidR="00E370EF" w:rsidRDefault="00E370EF" w:rsidP="00E370EF">
      <w:pPr>
        <w:spacing w:line="360" w:lineRule="auto"/>
        <w:contextualSpacing/>
      </w:pPr>
    </w:p>
    <w:p w14:paraId="2A23DA32" w14:textId="77777777" w:rsidR="00E370EF" w:rsidRDefault="00E370EF" w:rsidP="00E370EF">
      <w:pPr>
        <w:spacing w:line="360" w:lineRule="auto"/>
        <w:contextualSpacing/>
      </w:pPr>
    </w:p>
    <w:p w14:paraId="3C766CDB" w14:textId="77777777" w:rsidR="00E370EF" w:rsidRDefault="00E370EF" w:rsidP="00E370EF">
      <w:pPr>
        <w:spacing w:line="360" w:lineRule="auto"/>
        <w:contextualSpacing/>
      </w:pPr>
    </w:p>
    <w:p w14:paraId="263AEC58" w14:textId="77777777" w:rsidR="00E370EF" w:rsidRDefault="00E370EF" w:rsidP="00E370EF">
      <w:pPr>
        <w:spacing w:line="360" w:lineRule="auto"/>
        <w:contextualSpacing/>
      </w:pPr>
    </w:p>
    <w:p w14:paraId="3D89BD31" w14:textId="77777777" w:rsidR="00E370EF" w:rsidRDefault="00E370EF" w:rsidP="00E370EF">
      <w:pPr>
        <w:spacing w:line="360" w:lineRule="auto"/>
        <w:contextualSpacing/>
      </w:pPr>
    </w:p>
    <w:p w14:paraId="682BD6BE" w14:textId="77777777" w:rsidR="00E370EF" w:rsidRDefault="00E370EF" w:rsidP="00E370EF">
      <w:pPr>
        <w:spacing w:line="360" w:lineRule="auto"/>
        <w:contextualSpacing/>
      </w:pPr>
    </w:p>
    <w:p w14:paraId="74DA1DF9" w14:textId="77777777" w:rsidR="00E370EF" w:rsidRDefault="00E370EF" w:rsidP="00E370EF">
      <w:pPr>
        <w:spacing w:line="360" w:lineRule="auto"/>
        <w:contextualSpacing/>
      </w:pPr>
    </w:p>
    <w:p w14:paraId="6EBCC953" w14:textId="77777777" w:rsidR="00E370EF" w:rsidRDefault="00E370EF" w:rsidP="00E370EF">
      <w:pPr>
        <w:spacing w:line="360" w:lineRule="auto"/>
        <w:contextualSpacing/>
      </w:pPr>
    </w:p>
    <w:p w14:paraId="5B845655" w14:textId="77777777" w:rsidR="00E370EF" w:rsidRDefault="00E370EF" w:rsidP="00E370EF">
      <w:pPr>
        <w:spacing w:line="360" w:lineRule="auto"/>
        <w:contextualSpacing/>
      </w:pPr>
    </w:p>
    <w:p w14:paraId="7EF0EB58" w14:textId="77777777" w:rsidR="00E370EF" w:rsidRDefault="00E370EF" w:rsidP="00E370EF">
      <w:pPr>
        <w:spacing w:line="360" w:lineRule="auto"/>
        <w:contextualSpacing/>
      </w:pPr>
    </w:p>
    <w:p w14:paraId="7B818175" w14:textId="77777777" w:rsidR="00E370EF" w:rsidRDefault="00E370EF" w:rsidP="00E370EF">
      <w:pPr>
        <w:spacing w:line="360" w:lineRule="auto"/>
        <w:contextualSpacing/>
      </w:pPr>
    </w:p>
    <w:bookmarkEnd w:id="1"/>
    <w:p w14:paraId="32505453" w14:textId="77777777" w:rsidR="00E370EF" w:rsidRDefault="00E370EF" w:rsidP="00E370EF">
      <w:pPr>
        <w:spacing w:line="360" w:lineRule="auto"/>
        <w:contextualSpacing/>
      </w:pPr>
    </w:p>
    <w:p w14:paraId="4EBFC081" w14:textId="77777777" w:rsidR="00E370EF" w:rsidRDefault="00E370EF" w:rsidP="00E370EF">
      <w:pPr>
        <w:spacing w:line="360" w:lineRule="auto"/>
        <w:contextualSpacing/>
      </w:pPr>
    </w:p>
    <w:p w14:paraId="2D48F23A" w14:textId="77777777" w:rsidR="00E370EF" w:rsidRDefault="00E370EF" w:rsidP="00E370EF">
      <w:pPr>
        <w:spacing w:line="360" w:lineRule="auto"/>
        <w:contextualSpacing/>
      </w:pPr>
    </w:p>
    <w:p w14:paraId="712D3CD4" w14:textId="77777777" w:rsidR="00B01980" w:rsidRDefault="00B01980"/>
    <w:sectPr w:rsidR="00B01980" w:rsidSect="00E370EF">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020DB" w14:textId="77777777" w:rsidR="00D91E06" w:rsidRDefault="00D91E06" w:rsidP="00E370EF">
      <w:r>
        <w:separator/>
      </w:r>
    </w:p>
  </w:endnote>
  <w:endnote w:type="continuationSeparator" w:id="0">
    <w:p w14:paraId="33E3ADA5" w14:textId="77777777" w:rsidR="00D91E06" w:rsidRDefault="00D91E06" w:rsidP="00E3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0C003B71" w14:textId="77777777" w:rsidR="00E370EF" w:rsidRDefault="00E370EF">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99699B">
              <w:rPr>
                <w:rFonts w:ascii="Palatino Linotype" w:hAnsi="Palatino Linotype"/>
                <w:b/>
                <w:bCs/>
                <w:noProof/>
                <w:sz w:val="22"/>
                <w:szCs w:val="22"/>
              </w:rPr>
              <w:t>18</w:t>
            </w:r>
            <w:r w:rsidRPr="00AA25BA">
              <w:rPr>
                <w:rFonts w:ascii="Palatino Linotype" w:hAnsi="Palatino Linotype"/>
                <w:b/>
                <w:bCs/>
                <w:sz w:val="22"/>
                <w:szCs w:val="22"/>
              </w:rPr>
              <w:fldChar w:fldCharType="end"/>
            </w:r>
          </w:p>
        </w:sdtContent>
      </w:sdt>
    </w:sdtContent>
  </w:sdt>
  <w:p w14:paraId="7FF515B8" w14:textId="77777777" w:rsidR="00E370EF" w:rsidRDefault="00E370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115024E6" w14:textId="77777777" w:rsidR="00E370EF" w:rsidRDefault="00E370EF">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99699B">
              <w:rPr>
                <w:rFonts w:ascii="Palatino Linotype" w:hAnsi="Palatino Linotype"/>
                <w:b/>
                <w:bCs/>
                <w:noProof/>
                <w:sz w:val="22"/>
                <w:szCs w:val="22"/>
              </w:rPr>
              <w:t>17</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99699B">
              <w:rPr>
                <w:rFonts w:ascii="Palatino Linotype" w:hAnsi="Palatino Linotype"/>
                <w:b/>
                <w:bCs/>
                <w:noProof/>
                <w:sz w:val="22"/>
                <w:szCs w:val="22"/>
              </w:rPr>
              <w:t>18</w:t>
            </w:r>
            <w:r w:rsidRPr="00AA25BA">
              <w:rPr>
                <w:rFonts w:ascii="Palatino Linotype" w:hAnsi="Palatino Linotype"/>
                <w:b/>
                <w:bCs/>
                <w:sz w:val="22"/>
                <w:szCs w:val="22"/>
              </w:rPr>
              <w:fldChar w:fldCharType="end"/>
            </w:r>
          </w:p>
        </w:sdtContent>
      </w:sdt>
    </w:sdtContent>
  </w:sdt>
  <w:p w14:paraId="4AA45668" w14:textId="77777777" w:rsidR="00E370EF" w:rsidRDefault="00E370E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15B54BB4" w14:textId="77777777" w:rsidR="00E370EF" w:rsidRPr="00AA25BA" w:rsidRDefault="00E370EF">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99699B">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99699B">
              <w:rPr>
                <w:rFonts w:ascii="Palatino Linotype" w:hAnsi="Palatino Linotype"/>
                <w:b/>
                <w:bCs/>
                <w:noProof/>
                <w:sz w:val="22"/>
                <w:szCs w:val="22"/>
              </w:rPr>
              <w:t>18</w:t>
            </w:r>
            <w:r w:rsidRPr="00AA25BA">
              <w:rPr>
                <w:rFonts w:ascii="Palatino Linotype" w:hAnsi="Palatino Linotype"/>
                <w:b/>
                <w:bCs/>
                <w:sz w:val="22"/>
                <w:szCs w:val="22"/>
              </w:rPr>
              <w:fldChar w:fldCharType="end"/>
            </w:r>
          </w:p>
        </w:sdtContent>
      </w:sdt>
    </w:sdtContent>
  </w:sdt>
  <w:p w14:paraId="6725F90D" w14:textId="77777777" w:rsidR="00E370EF" w:rsidRDefault="00E370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F227A" w14:textId="77777777" w:rsidR="00D91E06" w:rsidRDefault="00D91E06" w:rsidP="00E370EF">
      <w:r>
        <w:separator/>
      </w:r>
    </w:p>
  </w:footnote>
  <w:footnote w:type="continuationSeparator" w:id="0">
    <w:p w14:paraId="425255A3" w14:textId="77777777" w:rsidR="00D91E06" w:rsidRDefault="00D91E06" w:rsidP="00E37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E370EF" w14:paraId="2E3B863C" w14:textId="77777777" w:rsidTr="00704C16">
      <w:trPr>
        <w:trHeight w:val="1435"/>
      </w:trPr>
      <w:tc>
        <w:tcPr>
          <w:tcW w:w="2972" w:type="dxa"/>
        </w:tcPr>
        <w:p w14:paraId="19D09D97" w14:textId="77777777" w:rsidR="00E370EF" w:rsidRDefault="00E370EF" w:rsidP="00704C16">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E370EF" w14:paraId="1728FAE6" w14:textId="77777777" w:rsidTr="00704C16">
            <w:trPr>
              <w:trHeight w:val="144"/>
            </w:trPr>
            <w:tc>
              <w:tcPr>
                <w:tcW w:w="2447" w:type="dxa"/>
                <w:hideMark/>
              </w:tcPr>
              <w:p w14:paraId="733A6618" w14:textId="77777777" w:rsidR="00E370EF" w:rsidRPr="008A245E" w:rsidRDefault="00E370EF" w:rsidP="00704C16">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226BA86C" w14:textId="77777777" w:rsidR="00E370EF" w:rsidRPr="008A245E" w:rsidRDefault="00E370EF" w:rsidP="00704C16">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E370EF" w14:paraId="05BDACF5" w14:textId="77777777" w:rsidTr="00704C16">
            <w:trPr>
              <w:trHeight w:val="283"/>
            </w:trPr>
            <w:tc>
              <w:tcPr>
                <w:tcW w:w="2447" w:type="dxa"/>
                <w:hideMark/>
              </w:tcPr>
              <w:p w14:paraId="1A2DFDDB" w14:textId="77777777" w:rsidR="00E370EF" w:rsidRPr="008A245E" w:rsidRDefault="00E370EF" w:rsidP="00704C16">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71708C27" w14:textId="77777777" w:rsidR="00E370EF" w:rsidRPr="008A245E" w:rsidRDefault="00E370EF" w:rsidP="00704C16">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E370EF" w14:paraId="36F37FBA" w14:textId="77777777" w:rsidTr="00704C16">
            <w:trPr>
              <w:trHeight w:val="283"/>
            </w:trPr>
            <w:tc>
              <w:tcPr>
                <w:tcW w:w="2447" w:type="dxa"/>
                <w:hideMark/>
              </w:tcPr>
              <w:p w14:paraId="58A0DEFC" w14:textId="77777777" w:rsidR="00E370EF" w:rsidRPr="008A245E" w:rsidRDefault="00E370EF" w:rsidP="00704C16">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2E975B4A" w14:textId="77777777" w:rsidR="00E370EF" w:rsidRPr="008A245E" w:rsidRDefault="00E370EF" w:rsidP="00704C16">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7F95F561" w14:textId="77777777" w:rsidR="00E370EF" w:rsidRPr="008A245E" w:rsidRDefault="00E370EF" w:rsidP="00704C16">
                <w:pPr>
                  <w:tabs>
                    <w:tab w:val="right" w:pos="8838"/>
                  </w:tabs>
                  <w:ind w:left="-74" w:right="-105"/>
                  <w:jc w:val="both"/>
                  <w:rPr>
                    <w:rFonts w:ascii="Palatino Linotype" w:eastAsia="Calibri" w:hAnsi="Palatino Linotype" w:cs="Tahoma"/>
                    <w:b/>
                    <w:sz w:val="22"/>
                    <w:szCs w:val="22"/>
                    <w:lang w:eastAsia="en-US"/>
                  </w:rPr>
                </w:pPr>
              </w:p>
            </w:tc>
          </w:tr>
        </w:tbl>
        <w:p w14:paraId="3677D538" w14:textId="77777777" w:rsidR="00E370EF" w:rsidRDefault="00E370EF" w:rsidP="00704C16">
          <w:pPr>
            <w:tabs>
              <w:tab w:val="right" w:pos="8838"/>
            </w:tabs>
            <w:spacing w:line="256" w:lineRule="auto"/>
            <w:ind w:left="-28"/>
            <w:jc w:val="both"/>
            <w:rPr>
              <w:rFonts w:ascii="Arial" w:eastAsia="Calibri" w:hAnsi="Arial" w:cs="Arial"/>
              <w:b/>
              <w:sz w:val="22"/>
              <w:szCs w:val="22"/>
              <w:lang w:eastAsia="en-US"/>
            </w:rPr>
          </w:pPr>
        </w:p>
      </w:tc>
    </w:tr>
  </w:tbl>
  <w:p w14:paraId="3C996AD0" w14:textId="77777777" w:rsidR="00E370EF" w:rsidRDefault="00E370EF">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6F2CBBFF" wp14:editId="22350732">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E370EF" w14:paraId="234BB23A" w14:textId="77777777" w:rsidTr="00704C16">
      <w:trPr>
        <w:trHeight w:val="1435"/>
      </w:trPr>
      <w:tc>
        <w:tcPr>
          <w:tcW w:w="1985" w:type="dxa"/>
        </w:tcPr>
        <w:p w14:paraId="6761CFD2" w14:textId="77777777" w:rsidR="00E370EF" w:rsidRDefault="00E370EF" w:rsidP="00704C16">
          <w:pPr>
            <w:tabs>
              <w:tab w:val="right" w:pos="4273"/>
            </w:tabs>
            <w:spacing w:line="256" w:lineRule="auto"/>
            <w:rPr>
              <w:rFonts w:ascii="Garamond" w:eastAsia="Calibri" w:hAnsi="Garamond"/>
              <w:sz w:val="22"/>
              <w:szCs w:val="22"/>
              <w:lang w:eastAsia="en-US"/>
            </w:rPr>
          </w:pPr>
        </w:p>
      </w:tc>
      <w:tc>
        <w:tcPr>
          <w:tcW w:w="7371" w:type="dxa"/>
          <w:hideMark/>
        </w:tcPr>
        <w:p w14:paraId="2E6E9025" w14:textId="77777777" w:rsidR="00E370EF" w:rsidRPr="007D2BD0" w:rsidRDefault="00E370EF">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2835"/>
            <w:gridCol w:w="2396"/>
          </w:tblGrid>
          <w:tr w:rsidR="00E370EF" w14:paraId="1B1AF0E2" w14:textId="77777777" w:rsidTr="00704C16">
            <w:trPr>
              <w:trHeight w:val="194"/>
            </w:trPr>
            <w:tc>
              <w:tcPr>
                <w:tcW w:w="2841" w:type="dxa"/>
                <w:hideMark/>
              </w:tcPr>
              <w:p w14:paraId="629CA1A6" w14:textId="77777777" w:rsidR="00E370EF" w:rsidRPr="008A245E" w:rsidRDefault="00E370EF" w:rsidP="00704C16">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835" w:type="dxa"/>
                <w:hideMark/>
              </w:tcPr>
              <w:p w14:paraId="2DF23EB7" w14:textId="42BF19C4" w:rsidR="00E370EF" w:rsidRPr="008A245E" w:rsidRDefault="00E370EF" w:rsidP="00704C16">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006726</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396" w:type="dxa"/>
              </w:tcPr>
              <w:p w14:paraId="415CAB0D" w14:textId="77777777" w:rsidR="00E370EF" w:rsidRDefault="00E370EF" w:rsidP="00704C16">
                <w:pPr>
                  <w:tabs>
                    <w:tab w:val="right" w:pos="8838"/>
                  </w:tabs>
                  <w:ind w:left="-114" w:right="-105"/>
                  <w:jc w:val="both"/>
                  <w:rPr>
                    <w:rFonts w:ascii="Palatino Linotype" w:eastAsia="Calibri" w:hAnsi="Palatino Linotype" w:cs="Tahoma"/>
                    <w:bCs/>
                    <w:sz w:val="22"/>
                    <w:szCs w:val="22"/>
                    <w:lang w:eastAsia="en-US"/>
                  </w:rPr>
                </w:pPr>
              </w:p>
            </w:tc>
          </w:tr>
          <w:tr w:rsidR="00E370EF" w14:paraId="26B14A76" w14:textId="77777777" w:rsidTr="00704C16">
            <w:trPr>
              <w:trHeight w:val="88"/>
            </w:trPr>
            <w:tc>
              <w:tcPr>
                <w:tcW w:w="2841" w:type="dxa"/>
                <w:hideMark/>
              </w:tcPr>
              <w:p w14:paraId="7397DBCD" w14:textId="77777777" w:rsidR="00E370EF" w:rsidRPr="008A245E" w:rsidRDefault="00E370EF" w:rsidP="00704C16">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835" w:type="dxa"/>
                <w:hideMark/>
              </w:tcPr>
              <w:p w14:paraId="23D82F2D" w14:textId="77777777" w:rsidR="00E370EF" w:rsidRPr="00300B53" w:rsidRDefault="00E370EF" w:rsidP="00704C16">
                <w:pPr>
                  <w:tabs>
                    <w:tab w:val="left" w:pos="2834"/>
                    <w:tab w:val="right" w:pos="8838"/>
                  </w:tabs>
                  <w:ind w:left="-114"/>
                  <w:jc w:val="both"/>
                  <w:rPr>
                    <w:rFonts w:ascii="Palatino Linotype" w:eastAsia="Calibri" w:hAnsi="Palatino Linotype" w:cs="Tahoma"/>
                    <w:b/>
                    <w:sz w:val="32"/>
                    <w:szCs w:val="3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Toluca</w:t>
                </w:r>
              </w:p>
            </w:tc>
            <w:tc>
              <w:tcPr>
                <w:tcW w:w="2396" w:type="dxa"/>
              </w:tcPr>
              <w:p w14:paraId="379693CF" w14:textId="77777777" w:rsidR="00E370EF" w:rsidRPr="00326F31" w:rsidRDefault="00E370EF" w:rsidP="00704C16">
                <w:pPr>
                  <w:tabs>
                    <w:tab w:val="left" w:pos="2834"/>
                    <w:tab w:val="right" w:pos="8838"/>
                  </w:tabs>
                  <w:ind w:left="-114"/>
                  <w:jc w:val="both"/>
                  <w:rPr>
                    <w:rFonts w:ascii="Palatino Linotype" w:eastAsia="Calibri" w:hAnsi="Palatino Linotype" w:cs="Tahoma"/>
                    <w:sz w:val="22"/>
                    <w:szCs w:val="22"/>
                    <w:lang w:eastAsia="en-US"/>
                  </w:rPr>
                </w:pPr>
              </w:p>
            </w:tc>
          </w:tr>
          <w:tr w:rsidR="00E370EF" w14:paraId="478E25B5" w14:textId="77777777" w:rsidTr="00704C16">
            <w:trPr>
              <w:trHeight w:val="383"/>
            </w:trPr>
            <w:tc>
              <w:tcPr>
                <w:tcW w:w="2841" w:type="dxa"/>
                <w:hideMark/>
              </w:tcPr>
              <w:p w14:paraId="7A8257AC" w14:textId="77777777" w:rsidR="00E370EF" w:rsidRPr="008A245E" w:rsidRDefault="00E370EF" w:rsidP="00704C16">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835" w:type="dxa"/>
              </w:tcPr>
              <w:p w14:paraId="756A5446" w14:textId="77777777" w:rsidR="00E370EF" w:rsidRPr="007D2BD0" w:rsidRDefault="00E370EF" w:rsidP="00704C16">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0B2FE5C3" w14:textId="77777777" w:rsidR="00E370EF" w:rsidRPr="008A245E" w:rsidRDefault="00E370EF" w:rsidP="00704C16">
                <w:pPr>
                  <w:tabs>
                    <w:tab w:val="right" w:pos="8838"/>
                  </w:tabs>
                  <w:ind w:left="-114" w:right="-105"/>
                  <w:jc w:val="both"/>
                  <w:rPr>
                    <w:rFonts w:ascii="Palatino Linotype" w:eastAsia="Calibri" w:hAnsi="Palatino Linotype" w:cs="Tahoma"/>
                    <w:sz w:val="22"/>
                    <w:szCs w:val="22"/>
                    <w:lang w:eastAsia="en-US"/>
                  </w:rPr>
                </w:pPr>
              </w:p>
            </w:tc>
          </w:tr>
        </w:tbl>
        <w:p w14:paraId="33496F9D" w14:textId="77777777" w:rsidR="00E370EF" w:rsidRDefault="00E370EF" w:rsidP="00704C16">
          <w:pPr>
            <w:tabs>
              <w:tab w:val="right" w:pos="8838"/>
            </w:tabs>
            <w:spacing w:line="256" w:lineRule="auto"/>
            <w:ind w:left="-28"/>
            <w:jc w:val="both"/>
            <w:rPr>
              <w:rFonts w:ascii="Arial" w:eastAsia="Calibri" w:hAnsi="Arial" w:cs="Arial"/>
              <w:b/>
              <w:sz w:val="22"/>
              <w:szCs w:val="22"/>
              <w:lang w:eastAsia="en-US"/>
            </w:rPr>
          </w:pPr>
        </w:p>
      </w:tc>
    </w:tr>
  </w:tbl>
  <w:p w14:paraId="2A012CE5" w14:textId="77777777" w:rsidR="00E370EF" w:rsidRDefault="00E370EF">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243FDA84" wp14:editId="40AEC675">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E370EF" w14:paraId="2D37C9EF" w14:textId="77777777" w:rsidTr="00704C16">
      <w:trPr>
        <w:trHeight w:val="1435"/>
      </w:trPr>
      <w:tc>
        <w:tcPr>
          <w:tcW w:w="1560" w:type="dxa"/>
        </w:tcPr>
        <w:p w14:paraId="753A7604" w14:textId="77777777" w:rsidR="00E370EF" w:rsidRDefault="00E370EF" w:rsidP="00704C16">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2835"/>
            <w:gridCol w:w="459"/>
          </w:tblGrid>
          <w:tr w:rsidR="00E370EF" w:rsidRPr="0095634C" w14:paraId="0988C017" w14:textId="77777777" w:rsidTr="00704C16">
            <w:trPr>
              <w:gridAfter w:val="1"/>
              <w:wAfter w:w="459" w:type="dxa"/>
              <w:trHeight w:val="132"/>
            </w:trPr>
            <w:tc>
              <w:tcPr>
                <w:tcW w:w="3818" w:type="dxa"/>
                <w:hideMark/>
              </w:tcPr>
              <w:p w14:paraId="5ECE775B" w14:textId="77777777" w:rsidR="00E370EF" w:rsidRPr="0095634C" w:rsidRDefault="00E370EF" w:rsidP="00704C16">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835" w:type="dxa"/>
                <w:hideMark/>
              </w:tcPr>
              <w:p w14:paraId="31C5BA4C" w14:textId="18BBA6E8" w:rsidR="00E370EF" w:rsidRPr="0095634C" w:rsidRDefault="00E370EF" w:rsidP="00704C16">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06726</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E370EF" w:rsidRPr="0095634C" w14:paraId="2397E748" w14:textId="77777777" w:rsidTr="00704C16">
            <w:trPr>
              <w:gridAfter w:val="1"/>
              <w:wAfter w:w="459" w:type="dxa"/>
              <w:trHeight w:val="132"/>
            </w:trPr>
            <w:tc>
              <w:tcPr>
                <w:tcW w:w="3818" w:type="dxa"/>
                <w:hideMark/>
              </w:tcPr>
              <w:p w14:paraId="5E3DFAF6" w14:textId="77777777" w:rsidR="00E370EF" w:rsidRPr="0095634C" w:rsidRDefault="00E370EF" w:rsidP="00704C16">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835" w:type="dxa"/>
              </w:tcPr>
              <w:p w14:paraId="0AD18996" w14:textId="77777777" w:rsidR="00E370EF" w:rsidRPr="0095634C" w:rsidRDefault="00E370EF" w:rsidP="00704C16">
                <w:pPr>
                  <w:tabs>
                    <w:tab w:val="left" w:pos="3122"/>
                    <w:tab w:val="right" w:pos="8838"/>
                  </w:tabs>
                  <w:ind w:left="-74" w:right="-105"/>
                  <w:jc w:val="both"/>
                  <w:rPr>
                    <w:rFonts w:ascii="Palatino Linotype" w:eastAsia="Calibri" w:hAnsi="Palatino Linotype" w:cs="Tahoma"/>
                    <w:sz w:val="22"/>
                    <w:szCs w:val="22"/>
                    <w:lang w:eastAsia="en-US"/>
                  </w:rPr>
                </w:pPr>
              </w:p>
            </w:tc>
          </w:tr>
          <w:tr w:rsidR="00E370EF" w:rsidRPr="0095634C" w14:paraId="1DDDDAD1" w14:textId="77777777" w:rsidTr="00704C16">
            <w:trPr>
              <w:gridAfter w:val="1"/>
              <w:wAfter w:w="459" w:type="dxa"/>
              <w:trHeight w:val="261"/>
            </w:trPr>
            <w:tc>
              <w:tcPr>
                <w:tcW w:w="3818" w:type="dxa"/>
                <w:hideMark/>
              </w:tcPr>
              <w:p w14:paraId="159079F1" w14:textId="77777777" w:rsidR="00E370EF" w:rsidRPr="0095634C" w:rsidRDefault="00E370EF" w:rsidP="00704C16">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835" w:type="dxa"/>
                <w:hideMark/>
              </w:tcPr>
              <w:p w14:paraId="62A2E2A6" w14:textId="77777777" w:rsidR="00E370EF" w:rsidRPr="0095634C" w:rsidRDefault="00E370EF" w:rsidP="00704C16">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Ayuntamiento d</w:t>
                </w:r>
                <w:r>
                  <w:rPr>
                    <w:rFonts w:ascii="Palatino Linotype" w:eastAsia="Calibri" w:hAnsi="Palatino Linotype" w:cs="Tahoma"/>
                    <w:sz w:val="22"/>
                    <w:szCs w:val="22"/>
                    <w:lang w:val="es-MX" w:eastAsia="en-US"/>
                  </w:rPr>
                  <w:t xml:space="preserve">e Toluca </w:t>
                </w:r>
              </w:p>
            </w:tc>
          </w:tr>
          <w:tr w:rsidR="00E370EF" w:rsidRPr="0095634C" w14:paraId="75462A5E" w14:textId="77777777" w:rsidTr="00704C16">
            <w:trPr>
              <w:trHeight w:val="261"/>
            </w:trPr>
            <w:tc>
              <w:tcPr>
                <w:tcW w:w="3818" w:type="dxa"/>
                <w:hideMark/>
              </w:tcPr>
              <w:p w14:paraId="6320359A" w14:textId="77777777" w:rsidR="00E370EF" w:rsidRPr="0095634C" w:rsidRDefault="00E370EF" w:rsidP="00704C16">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294" w:type="dxa"/>
                <w:gridSpan w:val="2"/>
              </w:tcPr>
              <w:p w14:paraId="65B53F31" w14:textId="77777777" w:rsidR="00E370EF" w:rsidRPr="0057023C" w:rsidRDefault="00E370EF" w:rsidP="00704C16">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1FD443BF" w14:textId="77777777" w:rsidR="00E370EF" w:rsidRDefault="00E370EF" w:rsidP="00704C16">
          <w:pPr>
            <w:tabs>
              <w:tab w:val="right" w:pos="8838"/>
            </w:tabs>
            <w:spacing w:line="256" w:lineRule="auto"/>
            <w:ind w:left="-28"/>
            <w:jc w:val="both"/>
            <w:rPr>
              <w:rFonts w:ascii="Arial" w:eastAsia="Calibri" w:hAnsi="Arial" w:cs="Arial"/>
              <w:b/>
              <w:sz w:val="22"/>
              <w:szCs w:val="22"/>
              <w:lang w:eastAsia="en-US"/>
            </w:rPr>
          </w:pPr>
        </w:p>
      </w:tc>
    </w:tr>
  </w:tbl>
  <w:p w14:paraId="504A9D9B" w14:textId="77777777" w:rsidR="00E370EF" w:rsidRDefault="00D91E06" w:rsidP="00704C16">
    <w:pPr>
      <w:pStyle w:val="Encabezado"/>
    </w:pPr>
    <w:r>
      <w:rPr>
        <w:rFonts w:ascii="Garamond" w:eastAsia="Calibri" w:hAnsi="Garamond"/>
        <w:noProof/>
        <w:sz w:val="22"/>
        <w:szCs w:val="22"/>
        <w:lang w:eastAsia="en-US"/>
      </w:rPr>
      <w:pict w14:anchorId="481C0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85.8pt;margin-top:-134.85pt;width:663.5pt;height:12in;z-index:-25165772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39C6"/>
    <w:multiLevelType w:val="multilevel"/>
    <w:tmpl w:val="2916B88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 w15:restartNumberingAfterBreak="0">
    <w:nsid w:val="0510565D"/>
    <w:multiLevelType w:val="hybridMultilevel"/>
    <w:tmpl w:val="E990B8FA"/>
    <w:lvl w:ilvl="0" w:tplc="080A0011">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05F4D24"/>
    <w:multiLevelType w:val="multilevel"/>
    <w:tmpl w:val="4CC817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1DE14E2"/>
    <w:multiLevelType w:val="hybridMultilevel"/>
    <w:tmpl w:val="DE82AD1E"/>
    <w:lvl w:ilvl="0" w:tplc="FFFFFFFF">
      <w:start w:val="3"/>
      <w:numFmt w:val="bullet"/>
      <w:lvlText w:val="-"/>
      <w:lvlJc w:val="left"/>
      <w:pPr>
        <w:ind w:left="720" w:hanging="360"/>
      </w:pPr>
      <w:rPr>
        <w:rFonts w:ascii="Palatino Linotype" w:eastAsia="Times New Roman" w:hAnsi="Palatino Linotype" w:cs="Tahoma" w:hint="default"/>
      </w:rPr>
    </w:lvl>
    <w:lvl w:ilvl="1" w:tplc="080A0011">
      <w:start w:val="1"/>
      <w:numFmt w:val="decimal"/>
      <w:lvlText w:val="%2)"/>
      <w:lvlJc w:val="left"/>
      <w:pPr>
        <w:ind w:left="1068"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2121AB"/>
    <w:multiLevelType w:val="hybridMultilevel"/>
    <w:tmpl w:val="B06EF7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922C02"/>
    <w:multiLevelType w:val="hybridMultilevel"/>
    <w:tmpl w:val="296C6154"/>
    <w:lvl w:ilvl="0" w:tplc="7F263E8E">
      <w:start w:val="1"/>
      <w:numFmt w:val="bullet"/>
      <w:lvlText w:val="-"/>
      <w:lvlJc w:val="left"/>
      <w:pPr>
        <w:ind w:left="720" w:hanging="360"/>
      </w:pPr>
      <w:rPr>
        <w:rFonts w:ascii="Palatino Linotype" w:eastAsia="Times New Roman" w:hAnsi="Palatino Linotype" w:cs="Tahom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2F5CC7"/>
    <w:multiLevelType w:val="hybridMultilevel"/>
    <w:tmpl w:val="9844020C"/>
    <w:lvl w:ilvl="0" w:tplc="FFFFFFFF">
      <w:start w:val="3"/>
      <w:numFmt w:val="bullet"/>
      <w:lvlText w:val="-"/>
      <w:lvlJc w:val="left"/>
      <w:pPr>
        <w:ind w:left="720" w:hanging="360"/>
      </w:pPr>
      <w:rPr>
        <w:rFonts w:ascii="Palatino Linotype" w:eastAsia="Times New Roman" w:hAnsi="Palatino Linotype" w:cs="Tahoma" w:hint="default"/>
      </w:rPr>
    </w:lvl>
    <w:lvl w:ilvl="1" w:tplc="080A0001">
      <w:start w:val="1"/>
      <w:numFmt w:val="bullet"/>
      <w:lvlText w:val=""/>
      <w:lvlJc w:val="left"/>
      <w:pPr>
        <w:ind w:left="106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7559E2"/>
    <w:multiLevelType w:val="multilevel"/>
    <w:tmpl w:val="1CC8A2F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8" w15:restartNumberingAfterBreak="0">
    <w:nsid w:val="24214242"/>
    <w:multiLevelType w:val="multilevel"/>
    <w:tmpl w:val="4656C8C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257F22E3"/>
    <w:multiLevelType w:val="multilevel"/>
    <w:tmpl w:val="3F4EE46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0" w15:restartNumberingAfterBreak="0">
    <w:nsid w:val="25AD0775"/>
    <w:multiLevelType w:val="hybridMultilevel"/>
    <w:tmpl w:val="E168EEC6"/>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06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C2131D"/>
    <w:multiLevelType w:val="hybridMultilevel"/>
    <w:tmpl w:val="25241C34"/>
    <w:lvl w:ilvl="0" w:tplc="8B5259EC">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311AF4"/>
    <w:multiLevelType w:val="multilevel"/>
    <w:tmpl w:val="554E06F6"/>
    <w:lvl w:ilvl="0">
      <w:start w:val="1"/>
      <w:numFmt w:val="bullet"/>
      <w:lvlText w:val="●"/>
      <w:lvlJc w:val="left"/>
      <w:pPr>
        <w:ind w:left="780" w:hanging="360"/>
      </w:pPr>
      <w:rPr>
        <w:rFonts w:ascii="Noto Sans Symbols" w:hAnsi="Noto Sans Symbol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Noto Sans Symbols" w:hAnsi="Noto Sans Symbols" w:hint="default"/>
      </w:rPr>
    </w:lvl>
    <w:lvl w:ilvl="3">
      <w:start w:val="1"/>
      <w:numFmt w:val="bullet"/>
      <w:lvlText w:val="●"/>
      <w:lvlJc w:val="left"/>
      <w:pPr>
        <w:ind w:left="2940" w:hanging="360"/>
      </w:pPr>
      <w:rPr>
        <w:rFonts w:ascii="Noto Sans Symbols" w:hAnsi="Noto Sans Symbols"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Noto Sans Symbols" w:hAnsi="Noto Sans Symbols" w:hint="default"/>
      </w:rPr>
    </w:lvl>
    <w:lvl w:ilvl="6">
      <w:start w:val="1"/>
      <w:numFmt w:val="bullet"/>
      <w:lvlText w:val="●"/>
      <w:lvlJc w:val="left"/>
      <w:pPr>
        <w:ind w:left="5100" w:hanging="360"/>
      </w:pPr>
      <w:rPr>
        <w:rFonts w:ascii="Noto Sans Symbols" w:hAnsi="Noto Sans Symbols"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Noto Sans Symbols" w:hAnsi="Noto Sans Symbols" w:hint="default"/>
      </w:rPr>
    </w:lvl>
  </w:abstractNum>
  <w:abstractNum w:abstractNumId="13" w15:restartNumberingAfterBreak="0">
    <w:nsid w:val="2F3B15E2"/>
    <w:multiLevelType w:val="hybridMultilevel"/>
    <w:tmpl w:val="238ADA40"/>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07492B"/>
    <w:multiLevelType w:val="hybridMultilevel"/>
    <w:tmpl w:val="51C67274"/>
    <w:lvl w:ilvl="0" w:tplc="9D88D0C6">
      <w:start w:val="3"/>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1D7C0E"/>
    <w:multiLevelType w:val="hybridMultilevel"/>
    <w:tmpl w:val="BD726EAA"/>
    <w:lvl w:ilvl="0" w:tplc="9D88D0C6">
      <w:start w:val="3"/>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765545"/>
    <w:multiLevelType w:val="hybridMultilevel"/>
    <w:tmpl w:val="DC1A824A"/>
    <w:lvl w:ilvl="0" w:tplc="080A0001">
      <w:start w:val="1"/>
      <w:numFmt w:val="bullet"/>
      <w:lvlText w:val=""/>
      <w:lvlJc w:val="left"/>
      <w:pPr>
        <w:ind w:left="1428" w:hanging="72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315F56C5"/>
    <w:multiLevelType w:val="hybridMultilevel"/>
    <w:tmpl w:val="2B9456C0"/>
    <w:lvl w:ilvl="0" w:tplc="08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32E777BB"/>
    <w:multiLevelType w:val="hybridMultilevel"/>
    <w:tmpl w:val="76C4C8E0"/>
    <w:lvl w:ilvl="0" w:tplc="080A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9" w15:restartNumberingAfterBreak="0">
    <w:nsid w:val="349A4267"/>
    <w:multiLevelType w:val="hybridMultilevel"/>
    <w:tmpl w:val="10C0FEAE"/>
    <w:lvl w:ilvl="0" w:tplc="080A0001">
      <w:start w:val="1"/>
      <w:numFmt w:val="bullet"/>
      <w:lvlText w:val=""/>
      <w:lvlJc w:val="left"/>
      <w:pPr>
        <w:ind w:left="720" w:hanging="360"/>
      </w:pPr>
      <w:rPr>
        <w:rFonts w:ascii="Symbol" w:hAnsi="Symbol" w:hint="default"/>
      </w:rPr>
    </w:lvl>
    <w:lvl w:ilvl="1" w:tplc="1BD663A6">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F55738"/>
    <w:multiLevelType w:val="hybridMultilevel"/>
    <w:tmpl w:val="EC423EF2"/>
    <w:lvl w:ilvl="0" w:tplc="3B08066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B7792B"/>
    <w:multiLevelType w:val="hybridMultilevel"/>
    <w:tmpl w:val="AB9E5BEA"/>
    <w:lvl w:ilvl="0" w:tplc="7F263E8E">
      <w:start w:val="1"/>
      <w:numFmt w:val="bullet"/>
      <w:lvlText w:val="-"/>
      <w:lvlJc w:val="left"/>
      <w:pPr>
        <w:ind w:left="720" w:hanging="360"/>
      </w:pPr>
      <w:rPr>
        <w:rFonts w:ascii="Palatino Linotype" w:eastAsia="Times New Roman" w:hAnsi="Palatino Linotype" w:cs="Tahom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62E39EB"/>
    <w:multiLevelType w:val="hybridMultilevel"/>
    <w:tmpl w:val="C97AF970"/>
    <w:lvl w:ilvl="0" w:tplc="9948F89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B1361B"/>
    <w:multiLevelType w:val="multilevel"/>
    <w:tmpl w:val="AC7EF2E4"/>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4" w15:restartNumberingAfterBreak="0">
    <w:nsid w:val="436364E2"/>
    <w:multiLevelType w:val="hybridMultilevel"/>
    <w:tmpl w:val="23B686F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3AD194E"/>
    <w:multiLevelType w:val="hybridMultilevel"/>
    <w:tmpl w:val="1D6E603C"/>
    <w:lvl w:ilvl="0" w:tplc="AADC6E7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F25015"/>
    <w:multiLevelType w:val="hybridMultilevel"/>
    <w:tmpl w:val="D122C1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2844ED"/>
    <w:multiLevelType w:val="hybridMultilevel"/>
    <w:tmpl w:val="FB8A7138"/>
    <w:lvl w:ilvl="0" w:tplc="FDDEE1D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C220B1"/>
    <w:multiLevelType w:val="hybridMultilevel"/>
    <w:tmpl w:val="D98C7730"/>
    <w:lvl w:ilvl="0" w:tplc="063A2B4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8436EE0"/>
    <w:multiLevelType w:val="hybridMultilevel"/>
    <w:tmpl w:val="B5DAFCD0"/>
    <w:lvl w:ilvl="0" w:tplc="90F6BD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B43C97"/>
    <w:multiLevelType w:val="multilevel"/>
    <w:tmpl w:val="7F5C6C8E"/>
    <w:lvl w:ilvl="0">
      <w:start w:val="1"/>
      <w:numFmt w:val="lowerLetter"/>
      <w:lvlText w:val="%1."/>
      <w:lvlJc w:val="left"/>
      <w:pPr>
        <w:ind w:left="780" w:hanging="360"/>
      </w:pPr>
      <w:rPr>
        <w:rFonts w:ascii="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Noto Sans Symbols" w:hAnsi="Noto Sans Symbols" w:hint="default"/>
      </w:rPr>
    </w:lvl>
    <w:lvl w:ilvl="3">
      <w:start w:val="1"/>
      <w:numFmt w:val="bullet"/>
      <w:lvlText w:val="●"/>
      <w:lvlJc w:val="left"/>
      <w:pPr>
        <w:ind w:left="2940" w:hanging="360"/>
      </w:pPr>
      <w:rPr>
        <w:rFonts w:ascii="Noto Sans Symbols" w:hAnsi="Noto Sans Symbols"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Noto Sans Symbols" w:hAnsi="Noto Sans Symbols" w:hint="default"/>
      </w:rPr>
    </w:lvl>
    <w:lvl w:ilvl="6">
      <w:start w:val="1"/>
      <w:numFmt w:val="bullet"/>
      <w:lvlText w:val="●"/>
      <w:lvlJc w:val="left"/>
      <w:pPr>
        <w:ind w:left="5100" w:hanging="360"/>
      </w:pPr>
      <w:rPr>
        <w:rFonts w:ascii="Noto Sans Symbols" w:hAnsi="Noto Sans Symbols"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Noto Sans Symbols" w:hAnsi="Noto Sans Symbols" w:hint="default"/>
      </w:rPr>
    </w:lvl>
  </w:abstractNum>
  <w:abstractNum w:abstractNumId="31" w15:restartNumberingAfterBreak="0">
    <w:nsid w:val="55F26FA7"/>
    <w:multiLevelType w:val="multilevel"/>
    <w:tmpl w:val="32F8CDE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32" w15:restartNumberingAfterBreak="0">
    <w:nsid w:val="60C93B0B"/>
    <w:multiLevelType w:val="hybridMultilevel"/>
    <w:tmpl w:val="FDC04388"/>
    <w:lvl w:ilvl="0" w:tplc="BB7AD6B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9D3C69"/>
    <w:multiLevelType w:val="hybridMultilevel"/>
    <w:tmpl w:val="8DA0BC20"/>
    <w:lvl w:ilvl="0" w:tplc="FFFFFFFF">
      <w:start w:val="1"/>
      <w:numFmt w:val="lowerRoman"/>
      <w:lvlText w:val="%1)"/>
      <w:lvlJc w:val="left"/>
      <w:pPr>
        <w:ind w:left="720" w:hanging="360"/>
      </w:pPr>
      <w:rPr>
        <w:rFonts w:ascii="Palatino Linotype" w:eastAsia="Times New Roman"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7A0284B"/>
    <w:multiLevelType w:val="multilevel"/>
    <w:tmpl w:val="DA0EC98A"/>
    <w:lvl w:ilvl="0">
      <w:start w:val="3"/>
      <w:numFmt w:val="bullet"/>
      <w:lvlText w:val="-"/>
      <w:lvlJc w:val="left"/>
      <w:pPr>
        <w:ind w:left="1080" w:hanging="360"/>
      </w:pPr>
      <w:rPr>
        <w:rFonts w:ascii="Palatino Linotype" w:eastAsia="Calibri" w:hAnsi="Palatino Linotype" w:cs="Tahoma"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69ED02AC"/>
    <w:multiLevelType w:val="hybridMultilevel"/>
    <w:tmpl w:val="374823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4F4EFF"/>
    <w:multiLevelType w:val="hybridMultilevel"/>
    <w:tmpl w:val="20723758"/>
    <w:lvl w:ilvl="0" w:tplc="080A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D427F1"/>
    <w:multiLevelType w:val="hybridMultilevel"/>
    <w:tmpl w:val="0C52294E"/>
    <w:lvl w:ilvl="0" w:tplc="FFFFFFFF">
      <w:start w:val="1"/>
      <w:numFmt w:val="bullet"/>
      <w:lvlText w:val=""/>
      <w:lvlJc w:val="left"/>
      <w:pPr>
        <w:ind w:left="720" w:hanging="360"/>
      </w:pPr>
      <w:rPr>
        <w:rFonts w:ascii="Symbol" w:hAnsi="Symbol" w:hint="default"/>
      </w:rPr>
    </w:lvl>
    <w:lvl w:ilvl="1" w:tplc="9D88D0C6">
      <w:start w:val="3"/>
      <w:numFmt w:val="bullet"/>
      <w:lvlText w:val="-"/>
      <w:lvlJc w:val="left"/>
      <w:pPr>
        <w:ind w:left="720" w:hanging="360"/>
      </w:pPr>
      <w:rPr>
        <w:rFonts w:ascii="Palatino Linotype" w:eastAsia="Times New Roman" w:hAnsi="Palatino Linotype" w:cs="Tahom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096AE3"/>
    <w:multiLevelType w:val="hybridMultilevel"/>
    <w:tmpl w:val="F69A3402"/>
    <w:lvl w:ilvl="0" w:tplc="08C6FEA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78220C9A"/>
    <w:multiLevelType w:val="multilevel"/>
    <w:tmpl w:val="3A427F4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79E04E15"/>
    <w:multiLevelType w:val="hybridMultilevel"/>
    <w:tmpl w:val="017415FE"/>
    <w:lvl w:ilvl="0" w:tplc="B5062C1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974822"/>
    <w:multiLevelType w:val="hybridMultilevel"/>
    <w:tmpl w:val="CE46CF7A"/>
    <w:lvl w:ilvl="0" w:tplc="D13A2B0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8"/>
  </w:num>
  <w:num w:numId="3">
    <w:abstractNumId w:val="0"/>
  </w:num>
  <w:num w:numId="4">
    <w:abstractNumId w:val="11"/>
  </w:num>
  <w:num w:numId="5">
    <w:abstractNumId w:val="26"/>
  </w:num>
  <w:num w:numId="6">
    <w:abstractNumId w:val="27"/>
  </w:num>
  <w:num w:numId="7">
    <w:abstractNumId w:val="41"/>
  </w:num>
  <w:num w:numId="8">
    <w:abstractNumId w:val="40"/>
  </w:num>
  <w:num w:numId="9">
    <w:abstractNumId w:val="21"/>
  </w:num>
  <w:num w:numId="10">
    <w:abstractNumId w:val="33"/>
  </w:num>
  <w:num w:numId="11">
    <w:abstractNumId w:val="28"/>
  </w:num>
  <w:num w:numId="12">
    <w:abstractNumId w:val="25"/>
  </w:num>
  <w:num w:numId="13">
    <w:abstractNumId w:val="15"/>
  </w:num>
  <w:num w:numId="14">
    <w:abstractNumId w:val="35"/>
  </w:num>
  <w:num w:numId="15">
    <w:abstractNumId w:val="19"/>
  </w:num>
  <w:num w:numId="16">
    <w:abstractNumId w:val="29"/>
  </w:num>
  <w:num w:numId="17">
    <w:abstractNumId w:val="36"/>
  </w:num>
  <w:num w:numId="18">
    <w:abstractNumId w:val="38"/>
  </w:num>
  <w:num w:numId="19">
    <w:abstractNumId w:val="16"/>
  </w:num>
  <w:num w:numId="20">
    <w:abstractNumId w:val="2"/>
  </w:num>
  <w:num w:numId="21">
    <w:abstractNumId w:val="34"/>
  </w:num>
  <w:num w:numId="22">
    <w:abstractNumId w:val="14"/>
  </w:num>
  <w:num w:numId="23">
    <w:abstractNumId w:val="6"/>
  </w:num>
  <w:num w:numId="24">
    <w:abstractNumId w:val="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0"/>
  </w:num>
  <w:num w:numId="28">
    <w:abstractNumId w:val="37"/>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30"/>
    <w:lvlOverride w:ilvl="0">
      <w:startOverride w:val="1"/>
    </w:lvlOverride>
    <w:lvlOverride w:ilvl="1"/>
    <w:lvlOverride w:ilvl="2"/>
    <w:lvlOverride w:ilvl="3"/>
    <w:lvlOverride w:ilvl="4"/>
    <w:lvlOverride w:ilvl="5"/>
    <w:lvlOverride w:ilvl="6"/>
    <w:lvlOverride w:ilvl="7"/>
    <w:lvlOverride w:ilvl="8"/>
  </w:num>
  <w:num w:numId="32">
    <w:abstractNumId w:val="31"/>
  </w:num>
  <w:num w:numId="33">
    <w:abstractNumId w:val="7"/>
  </w:num>
  <w:num w:numId="34">
    <w:abstractNumId w:val="23"/>
  </w:num>
  <w:num w:numId="35">
    <w:abstractNumId w:val="1"/>
  </w:num>
  <w:num w:numId="36">
    <w:abstractNumId w:val="9"/>
  </w:num>
  <w:num w:numId="37">
    <w:abstractNumId w:val="17"/>
  </w:num>
  <w:num w:numId="38">
    <w:abstractNumId w:val="20"/>
  </w:num>
  <w:num w:numId="39">
    <w:abstractNumId w:val="32"/>
  </w:num>
  <w:num w:numId="40">
    <w:abstractNumId w:val="13"/>
  </w:num>
  <w:num w:numId="41">
    <w:abstractNumId w:val="5"/>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EF"/>
    <w:rsid w:val="00006797"/>
    <w:rsid w:val="000F0026"/>
    <w:rsid w:val="001323D1"/>
    <w:rsid w:val="00183EE3"/>
    <w:rsid w:val="002A67C7"/>
    <w:rsid w:val="003212D8"/>
    <w:rsid w:val="00387F84"/>
    <w:rsid w:val="0045111A"/>
    <w:rsid w:val="004C2985"/>
    <w:rsid w:val="00522345"/>
    <w:rsid w:val="00543563"/>
    <w:rsid w:val="006637A1"/>
    <w:rsid w:val="006E172C"/>
    <w:rsid w:val="0080275B"/>
    <w:rsid w:val="0089313D"/>
    <w:rsid w:val="008F7AFF"/>
    <w:rsid w:val="0099699B"/>
    <w:rsid w:val="009A2726"/>
    <w:rsid w:val="00B01980"/>
    <w:rsid w:val="00B729AC"/>
    <w:rsid w:val="00C56D59"/>
    <w:rsid w:val="00CC6407"/>
    <w:rsid w:val="00D051C5"/>
    <w:rsid w:val="00D91E06"/>
    <w:rsid w:val="00E370EF"/>
    <w:rsid w:val="00E373BD"/>
    <w:rsid w:val="00E6124F"/>
    <w:rsid w:val="00FF22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980B28"/>
  <w15:chartTrackingRefBased/>
  <w15:docId w15:val="{13B1A866-A2BD-4DFE-B5AD-FC258596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0EF"/>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E370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370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370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370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370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370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70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70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70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70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370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370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370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370E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370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370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370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370EF"/>
    <w:rPr>
      <w:rFonts w:eastAsiaTheme="majorEastAsia" w:cstheme="majorBidi"/>
      <w:color w:val="272727" w:themeColor="text1" w:themeTint="D8"/>
    </w:rPr>
  </w:style>
  <w:style w:type="paragraph" w:styleId="Puesto">
    <w:name w:val="Title"/>
    <w:basedOn w:val="Normal"/>
    <w:next w:val="Normal"/>
    <w:link w:val="PuestoCar"/>
    <w:uiPriority w:val="10"/>
    <w:qFormat/>
    <w:rsid w:val="00E370EF"/>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E370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70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70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370EF"/>
    <w:pPr>
      <w:spacing w:before="160"/>
      <w:jc w:val="center"/>
    </w:pPr>
    <w:rPr>
      <w:i/>
      <w:iCs/>
      <w:color w:val="404040" w:themeColor="text1" w:themeTint="BF"/>
    </w:rPr>
  </w:style>
  <w:style w:type="character" w:customStyle="1" w:styleId="CitaCar">
    <w:name w:val="Cita Car"/>
    <w:basedOn w:val="Fuentedeprrafopredeter"/>
    <w:link w:val="Cita"/>
    <w:uiPriority w:val="29"/>
    <w:rsid w:val="00E370E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70EF"/>
    <w:pPr>
      <w:ind w:left="720"/>
      <w:contextualSpacing/>
    </w:pPr>
  </w:style>
  <w:style w:type="character" w:styleId="nfasisintenso">
    <w:name w:val="Intense Emphasis"/>
    <w:basedOn w:val="Fuentedeprrafopredeter"/>
    <w:uiPriority w:val="21"/>
    <w:qFormat/>
    <w:rsid w:val="00E370EF"/>
    <w:rPr>
      <w:i/>
      <w:iCs/>
      <w:color w:val="2F5496" w:themeColor="accent1" w:themeShade="BF"/>
    </w:rPr>
  </w:style>
  <w:style w:type="paragraph" w:styleId="Citadestacada">
    <w:name w:val="Intense Quote"/>
    <w:basedOn w:val="Normal"/>
    <w:next w:val="Normal"/>
    <w:link w:val="CitadestacadaCar"/>
    <w:uiPriority w:val="30"/>
    <w:qFormat/>
    <w:rsid w:val="00E370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370EF"/>
    <w:rPr>
      <w:i/>
      <w:iCs/>
      <w:color w:val="2F5496" w:themeColor="accent1" w:themeShade="BF"/>
    </w:rPr>
  </w:style>
  <w:style w:type="character" w:styleId="Referenciaintensa">
    <w:name w:val="Intense Reference"/>
    <w:basedOn w:val="Fuentedeprrafopredeter"/>
    <w:uiPriority w:val="32"/>
    <w:qFormat/>
    <w:rsid w:val="00E370EF"/>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E370EF"/>
  </w:style>
  <w:style w:type="table" w:styleId="Tablaconcuadrcula">
    <w:name w:val="Table Grid"/>
    <w:basedOn w:val="Tablanormal"/>
    <w:uiPriority w:val="39"/>
    <w:rsid w:val="00E370EF"/>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370EF"/>
    <w:pPr>
      <w:tabs>
        <w:tab w:val="center" w:pos="4419"/>
        <w:tab w:val="right" w:pos="8838"/>
      </w:tabs>
    </w:pPr>
  </w:style>
  <w:style w:type="character" w:customStyle="1" w:styleId="EncabezadoCar">
    <w:name w:val="Encabezado Car"/>
    <w:basedOn w:val="Fuentedeprrafopredeter"/>
    <w:link w:val="Encabezado"/>
    <w:uiPriority w:val="99"/>
    <w:rsid w:val="00E370EF"/>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E370EF"/>
    <w:pPr>
      <w:tabs>
        <w:tab w:val="center" w:pos="4419"/>
        <w:tab w:val="right" w:pos="8838"/>
      </w:tabs>
    </w:pPr>
  </w:style>
  <w:style w:type="character" w:customStyle="1" w:styleId="PiedepginaCar">
    <w:name w:val="Pie de página Car"/>
    <w:basedOn w:val="Fuentedeprrafopredeter"/>
    <w:link w:val="Piedepgina"/>
    <w:uiPriority w:val="99"/>
    <w:rsid w:val="00E370EF"/>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E370EF"/>
    <w:rPr>
      <w:color w:val="0563C1" w:themeColor="hyperlink"/>
      <w:u w:val="single"/>
    </w:rPr>
  </w:style>
  <w:style w:type="paragraph" w:styleId="TtulodeTDC">
    <w:name w:val="TOC Heading"/>
    <w:basedOn w:val="Ttulo1"/>
    <w:next w:val="Normal"/>
    <w:uiPriority w:val="39"/>
    <w:unhideWhenUsed/>
    <w:qFormat/>
    <w:rsid w:val="00E370EF"/>
    <w:pPr>
      <w:spacing w:before="240" w:after="0"/>
      <w:outlineLvl w:val="9"/>
    </w:pPr>
    <w:rPr>
      <w:sz w:val="32"/>
      <w:szCs w:val="32"/>
      <w:lang w:eastAsia="es-MX"/>
    </w:rPr>
  </w:style>
  <w:style w:type="paragraph" w:styleId="TDC2">
    <w:name w:val="toc 2"/>
    <w:basedOn w:val="Normal"/>
    <w:next w:val="Normal"/>
    <w:autoRedefine/>
    <w:uiPriority w:val="39"/>
    <w:unhideWhenUsed/>
    <w:rsid w:val="00E370EF"/>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E370EF"/>
    <w:pPr>
      <w:spacing w:after="100" w:line="259" w:lineRule="auto"/>
    </w:pPr>
    <w:rPr>
      <w:rFonts w:asciiTheme="minorHAnsi" w:eastAsiaTheme="minorEastAsia" w:hAnsiTheme="minorHAnsi"/>
      <w:sz w:val="22"/>
      <w:szCs w:val="22"/>
      <w:lang w:eastAsia="es-MX"/>
    </w:rPr>
  </w:style>
  <w:style w:type="character" w:customStyle="1" w:styleId="UnresolvedMention">
    <w:name w:val="Unresolved Mention"/>
    <w:basedOn w:val="Fuentedeprrafopredeter"/>
    <w:uiPriority w:val="99"/>
    <w:semiHidden/>
    <w:unhideWhenUsed/>
    <w:rsid w:val="00E37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3872</Words>
  <Characters>21300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2025-10-10T00:26:00Z</cp:lastPrinted>
  <dcterms:created xsi:type="dcterms:W3CDTF">2025-10-10T00:26:00Z</dcterms:created>
  <dcterms:modified xsi:type="dcterms:W3CDTF">2025-10-10T00:26:00Z</dcterms:modified>
</cp:coreProperties>
</file>