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320EC4A"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855BA5">
        <w:t>veintiséis</w:t>
      </w:r>
      <w:r w:rsidR="000962AC">
        <w:t xml:space="preserve"> de </w:t>
      </w:r>
      <w:r w:rsidR="00FF3E42">
        <w:t>febrero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467EEA2"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091941">
        <w:rPr>
          <w:rFonts w:eastAsia="Palatino Linotype" w:cs="Palatino Linotype"/>
          <w:b/>
          <w:bCs/>
          <w:color w:val="000000" w:themeColor="text1"/>
          <w:lang w:val="es-ES"/>
        </w:rPr>
        <w:t>00575/INFOEM/IP/RR/2025</w:t>
      </w:r>
      <w:bookmarkEnd w:id="0"/>
      <w:r w:rsidRPr="70652167">
        <w:rPr>
          <w:rFonts w:eastAsia="Palatino Linotype" w:cs="Palatino Linotype"/>
          <w:color w:val="000000" w:themeColor="text1"/>
          <w:lang w:val="es-ES"/>
        </w:rPr>
        <w:t xml:space="preserve">, interpuesto por </w:t>
      </w:r>
      <w:r w:rsidR="00AC4CAF">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03326B">
        <w:rPr>
          <w:rFonts w:eastAsia="Palatino Linotype" w:cs="Palatino Linotype"/>
          <w:b/>
          <w:bCs/>
          <w:color w:val="000000" w:themeColor="text1"/>
          <w:lang w:val="es-ES"/>
        </w:rPr>
        <w:t>Ayuntamiento de Cocotitlán</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2CBB04A0"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00755F">
        <w:rPr>
          <w:rFonts w:eastAsia="Palatino Linotype" w:cs="Palatino Linotype"/>
          <w:color w:val="000000"/>
          <w:szCs w:val="24"/>
        </w:rPr>
        <w:t>catorce</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03326B">
        <w:rPr>
          <w:rFonts w:eastAsia="Palatino Linotype" w:cs="Palatino Linotype"/>
          <w:b/>
          <w:bCs/>
          <w:color w:val="000000"/>
          <w:szCs w:val="24"/>
        </w:rPr>
        <w:t>00035/COCOTIT/IP/2025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56C30D1" w:rsidR="00A970D5" w:rsidRPr="006922F5" w:rsidRDefault="70652167" w:rsidP="009950AD">
      <w:pPr>
        <w:pStyle w:val="Fundamentos"/>
      </w:pPr>
      <w:r w:rsidRPr="70652167">
        <w:rPr>
          <w:lang w:val="es-ES"/>
        </w:rPr>
        <w:t>«</w:t>
      </w:r>
      <w:r w:rsidR="00DC0B43" w:rsidRPr="00DC0B43">
        <w:rPr>
          <w:lang w:val="es-ES"/>
        </w:rPr>
        <w:t>solicito copias certificadas del recibo de nóminas de todo el personal adscrito a este ayuntamiento (primera quincena de enero del 2025) de la administración del municipio de Cocotitlán 2025-2027.</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513F57D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DF5F57">
        <w:rPr>
          <w:rFonts w:eastAsia="Palatino Linotype" w:cs="Palatino Linotype"/>
          <w:color w:val="000000"/>
          <w:szCs w:val="24"/>
        </w:rPr>
        <w:t>cuatro de febrero</w:t>
      </w:r>
      <w:r w:rsidR="004A5EE6">
        <w:rPr>
          <w:rFonts w:eastAsia="Palatino Linotype" w:cs="Palatino Linotype"/>
          <w:color w:val="000000"/>
          <w:szCs w:val="24"/>
        </w:rPr>
        <w:t xml:space="preserve"> </w:t>
      </w:r>
      <w:r w:rsidR="000F7F59">
        <w:rPr>
          <w:rFonts w:eastAsia="Palatino Linotype" w:cs="Palatino Linotype"/>
          <w:color w:val="000000"/>
          <w:szCs w:val="24"/>
        </w:rPr>
        <w:t>de</w:t>
      </w:r>
      <w:r w:rsidR="004A5EE6">
        <w:rPr>
          <w:rFonts w:eastAsia="Palatino Linotype" w:cs="Palatino Linotype"/>
          <w:color w:val="000000"/>
          <w:szCs w:val="24"/>
        </w:rPr>
        <w:t xml:space="preserv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05A3D247" w14:textId="77777777" w:rsidR="006336BD" w:rsidRDefault="23740614" w:rsidP="006336BD">
      <w:pPr>
        <w:pStyle w:val="Fundamentos"/>
        <w:rPr>
          <w:lang w:val="es-ES"/>
        </w:rPr>
      </w:pPr>
      <w:r w:rsidRPr="23740614">
        <w:rPr>
          <w:lang w:val="es-ES"/>
        </w:rPr>
        <w:t>«</w:t>
      </w:r>
      <w:r w:rsidR="006336BD" w:rsidRPr="006336BD">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D65F12" w14:textId="77777777" w:rsidR="006336BD" w:rsidRPr="006336BD" w:rsidRDefault="006336BD" w:rsidP="006336BD">
      <w:pPr>
        <w:pStyle w:val="Fundamentos"/>
        <w:rPr>
          <w:lang w:val="es-ES"/>
        </w:rPr>
      </w:pPr>
    </w:p>
    <w:p w14:paraId="3FE4A9EF" w14:textId="377D6F37" w:rsidR="00A970D5" w:rsidRPr="00404754" w:rsidRDefault="006336BD" w:rsidP="006336BD">
      <w:pPr>
        <w:pStyle w:val="Fundamentos"/>
        <w:rPr>
          <w:lang w:val="es-MX"/>
        </w:rPr>
      </w:pPr>
      <w:r w:rsidRPr="006336BD">
        <w:rPr>
          <w:lang w:val="es-ES"/>
        </w:rPr>
        <w:t>EN RESPUESTA A SU SOLICITD 00035/COCOTIT/IP/2025 LE INFORMO QUE NO SE A EFECTUADO DICHO PAGO, POR LO CUAL NO SE PUEDE DAR CONTESTACION A SU SOLICITUD</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7E673A2"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5912E8">
        <w:rPr>
          <w:rFonts w:eastAsia="Palatino Linotype" w:cs="Palatino Linotype"/>
          <w:color w:val="000000"/>
          <w:szCs w:val="24"/>
        </w:rPr>
        <w:t>cuatro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091941">
        <w:rPr>
          <w:rFonts w:eastAsia="Palatino Linotype" w:cs="Palatino Linotype"/>
          <w:b/>
          <w:color w:val="000000"/>
          <w:szCs w:val="24"/>
        </w:rPr>
        <w:t>00575/INFOEM/IP/RR/2025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FDFB949" w:rsidR="00A970D5" w:rsidRPr="006922F5" w:rsidRDefault="5C35490E" w:rsidP="5C35490E">
      <w:pPr>
        <w:pStyle w:val="Fundamentos"/>
        <w:rPr>
          <w:b/>
          <w:bCs/>
          <w:lang w:val="es-ES"/>
        </w:rPr>
      </w:pPr>
      <w:r w:rsidRPr="5C35490E">
        <w:rPr>
          <w:lang w:val="es-ES"/>
        </w:rPr>
        <w:t>«</w:t>
      </w:r>
      <w:r w:rsidR="00C60FDB" w:rsidRPr="00C60FDB">
        <w:rPr>
          <w:lang w:val="es-ES"/>
        </w:rPr>
        <w:t>NO SE HACE ENTREGA DE LA INFORMACIÓN QUE SE LES SOLICITÓ.</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47797C2" w:rsidR="00300EA0" w:rsidRPr="006922F5" w:rsidRDefault="00300EA0" w:rsidP="00300EA0">
      <w:pPr>
        <w:pStyle w:val="Fundamentos"/>
        <w:rPr>
          <w:b/>
          <w:bCs/>
          <w:lang w:val="es-ES"/>
        </w:rPr>
      </w:pPr>
      <w:r w:rsidRPr="5C35490E">
        <w:rPr>
          <w:lang w:val="es-ES"/>
        </w:rPr>
        <w:t>«</w:t>
      </w:r>
      <w:r w:rsidR="00435789" w:rsidRPr="00435789">
        <w:rPr>
          <w:lang w:val="es-ES"/>
        </w:rPr>
        <w:t>NO SE HACE LLEGAR LA INFORMACION SOLICITADA Y SIN PREVIA JUSTIFICACIÓN.</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648C7773"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w:t>
      </w:r>
      <w:r w:rsidRPr="70652167">
        <w:rPr>
          <w:rFonts w:eastAsia="Palatino Linotype" w:cs="Palatino Linotype"/>
          <w:color w:val="000000" w:themeColor="text1"/>
          <w:lang w:val="es-ES"/>
        </w:rPr>
        <w:lastRenderedPageBreak/>
        <w:t>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435789">
        <w:rPr>
          <w:rFonts w:eastAsia="Palatino Linotype" w:cs="Palatino Linotype"/>
          <w:color w:val="000000" w:themeColor="text1"/>
          <w:lang w:val="es-ES"/>
        </w:rPr>
        <w:t>seis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F61CB" w:rsidRDefault="00531CE5" w:rsidP="006922F5">
      <w:pPr>
        <w:pStyle w:val="Ttulo2"/>
        <w:rPr>
          <w:rFonts w:eastAsia="Palatino Linotype"/>
        </w:rPr>
      </w:pPr>
      <w:r w:rsidRPr="004F61CB">
        <w:rPr>
          <w:rFonts w:eastAsia="Palatino Linotype"/>
        </w:rPr>
        <w:t>QUIN</w:t>
      </w:r>
      <w:r w:rsidR="007A1154" w:rsidRPr="004F61CB">
        <w:rPr>
          <w:rFonts w:eastAsia="Palatino Linotype"/>
        </w:rPr>
        <w:t>TO</w:t>
      </w:r>
      <w:r w:rsidR="00A970D5" w:rsidRPr="004F61CB">
        <w:rPr>
          <w:rFonts w:eastAsia="Palatino Linotype"/>
        </w:rPr>
        <w:t>. De la etapa de instrucción.</w:t>
      </w:r>
    </w:p>
    <w:p w14:paraId="1B21AB6D" w14:textId="77777777" w:rsidR="004F61CB" w:rsidRPr="004F61CB" w:rsidRDefault="004F61CB" w:rsidP="004F61CB">
      <w:pPr>
        <w:pBdr>
          <w:top w:val="nil"/>
          <w:left w:val="nil"/>
          <w:bottom w:val="nil"/>
          <w:right w:val="nil"/>
          <w:between w:val="nil"/>
        </w:pBdr>
        <w:contextualSpacing/>
        <w:rPr>
          <w:rFonts w:eastAsia="Palatino Linotype" w:cs="Palatino Linotype"/>
          <w:color w:val="000000"/>
        </w:rPr>
      </w:pPr>
      <w:r w:rsidRPr="004F61CB">
        <w:rPr>
          <w:rFonts w:eastAsia="Palatino Linotype" w:cs="Palatino Linotype"/>
          <w:color w:val="000000" w:themeColor="text1"/>
        </w:rPr>
        <w:t>Se observa que el Sujeto Obligado omitió rendir el Informe Justificado durante la etapa de instrucción. Por su parte, el Recurrente no realizó manifestaciones, vertió alegatos ni presentó pruebas que a su derecho convinieran.</w:t>
      </w:r>
    </w:p>
    <w:p w14:paraId="5B536618" w14:textId="7ED50870" w:rsidR="00C02596" w:rsidRPr="004F61CB"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4F61CB" w:rsidRDefault="007A1154" w:rsidP="006922F5">
      <w:pPr>
        <w:pStyle w:val="Ttulo2"/>
        <w:rPr>
          <w:rFonts w:eastAsia="Palatino Linotype"/>
        </w:rPr>
      </w:pPr>
      <w:r w:rsidRPr="004F61CB">
        <w:rPr>
          <w:rFonts w:eastAsia="Palatino Linotype"/>
        </w:rPr>
        <w:t>S</w:t>
      </w:r>
      <w:r w:rsidR="00531CE5" w:rsidRPr="004F61CB">
        <w:rPr>
          <w:rFonts w:eastAsia="Palatino Linotype"/>
        </w:rPr>
        <w:t>EXTO</w:t>
      </w:r>
      <w:r w:rsidR="00A970D5" w:rsidRPr="004F61CB">
        <w:rPr>
          <w:rFonts w:eastAsia="Palatino Linotype"/>
        </w:rPr>
        <w:t>. Del cierre de instrucción.</w:t>
      </w:r>
    </w:p>
    <w:p w14:paraId="2456F4BD" w14:textId="5A67187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4F61CB">
        <w:rPr>
          <w:rFonts w:eastAsia="Palatino Linotype" w:cs="Palatino Linotype"/>
          <w:color w:val="000000"/>
          <w:szCs w:val="24"/>
        </w:rPr>
        <w:t>Así, una vez transcurrido el término legal, se decretó el cierre de instru</w:t>
      </w:r>
      <w:r w:rsidR="00AE6B11" w:rsidRPr="004F61CB">
        <w:rPr>
          <w:rFonts w:eastAsia="Palatino Linotype" w:cs="Palatino Linotype"/>
          <w:color w:val="000000"/>
          <w:szCs w:val="24"/>
        </w:rPr>
        <w:t>cción</w:t>
      </w:r>
      <w:r w:rsidR="007826F1" w:rsidRPr="004F61CB">
        <w:rPr>
          <w:rFonts w:eastAsia="Palatino Linotype" w:cs="Palatino Linotype"/>
          <w:color w:val="000000"/>
          <w:szCs w:val="24"/>
        </w:rPr>
        <w:t xml:space="preserve"> el</w:t>
      </w:r>
      <w:r w:rsidR="00B53BEF" w:rsidRPr="004F61CB">
        <w:rPr>
          <w:rFonts w:eastAsia="Palatino Linotype" w:cs="Palatino Linotype"/>
          <w:color w:val="000000"/>
          <w:szCs w:val="24"/>
        </w:rPr>
        <w:t xml:space="preserve"> </w:t>
      </w:r>
      <w:r w:rsidR="00446F93" w:rsidRPr="004F61CB">
        <w:rPr>
          <w:rFonts w:eastAsia="Palatino Linotype" w:cs="Palatino Linotype"/>
          <w:color w:val="000000"/>
          <w:szCs w:val="24"/>
        </w:rPr>
        <w:t>dieciocho</w:t>
      </w:r>
      <w:r w:rsidR="00330546" w:rsidRPr="004F61CB">
        <w:rPr>
          <w:rFonts w:eastAsia="Palatino Linotype" w:cs="Palatino Linotype"/>
          <w:color w:val="000000"/>
          <w:szCs w:val="24"/>
        </w:rPr>
        <w:t xml:space="preserve"> </w:t>
      </w:r>
      <w:r w:rsidR="00CF427E" w:rsidRPr="004F61CB">
        <w:rPr>
          <w:rFonts w:eastAsia="Palatino Linotype" w:cs="Palatino Linotype"/>
          <w:color w:val="000000"/>
          <w:szCs w:val="24"/>
        </w:rPr>
        <w:t>de febrero</w:t>
      </w:r>
      <w:r w:rsidR="001F3363" w:rsidRPr="004F61CB">
        <w:rPr>
          <w:rFonts w:eastAsia="Palatino Linotype" w:cs="Palatino Linotype"/>
          <w:color w:val="000000"/>
          <w:szCs w:val="24"/>
        </w:rPr>
        <w:t xml:space="preserve"> de dos mil veinticinco</w:t>
      </w:r>
      <w:r w:rsidRPr="004F61CB">
        <w:rPr>
          <w:rFonts w:eastAsia="Palatino Linotype" w:cs="Palatino Linotype"/>
          <w:color w:val="000000"/>
          <w:szCs w:val="24"/>
        </w:rPr>
        <w:t xml:space="preserve">, en términos del artículo 185 </w:t>
      </w:r>
      <w:r w:rsidR="004579DC" w:rsidRPr="004F61CB">
        <w:rPr>
          <w:rFonts w:eastAsia="Palatino Linotype" w:cs="Palatino Linotype"/>
          <w:color w:val="000000"/>
          <w:szCs w:val="24"/>
        </w:rPr>
        <w:t>f</w:t>
      </w:r>
      <w:r w:rsidRPr="004F61CB">
        <w:rPr>
          <w:rFonts w:eastAsia="Palatino Linotype" w:cs="Palatino Linotype"/>
          <w:color w:val="000000"/>
          <w:szCs w:val="24"/>
        </w:rPr>
        <w:t>racción VI de la Ley de Transparencia y Acceso a la Información Pública del Estado de México y Municipios,</w:t>
      </w:r>
      <w:r w:rsidRPr="006922F5">
        <w:rPr>
          <w:rFonts w:eastAsia="Palatino Linotype" w:cs="Palatino Linotype"/>
          <w:color w:val="000000"/>
          <w:szCs w:val="24"/>
        </w:rPr>
        <w:t xml:space="preserve">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264613">
        <w:rPr>
          <w:rFonts w:eastAsia="Palatino Linotype" w:cs="Palatino Linotype"/>
          <w:color w:val="000000"/>
          <w:szCs w:val="24"/>
        </w:rPr>
        <w:lastRenderedPageBreak/>
        <w:t xml:space="preserve">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33C5A9" w14:textId="77777777" w:rsidR="00C6060E" w:rsidRPr="00F34F85" w:rsidRDefault="00C6060E" w:rsidP="007337A8">
      <w:pPr>
        <w:pStyle w:val="Ttulo2"/>
      </w:pPr>
      <w:r w:rsidRPr="00F34F85">
        <w:t xml:space="preserve">TERCERO. Cuestiones de previo y especial pronunciamiento. </w:t>
      </w:r>
    </w:p>
    <w:p w14:paraId="3832AAD4" w14:textId="77777777" w:rsidR="00C6060E" w:rsidRPr="00F34F85" w:rsidRDefault="00C6060E" w:rsidP="00C6060E">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F34F85" w:rsidRDefault="00C6060E" w:rsidP="00C6060E">
      <w:pPr>
        <w:rPr>
          <w:rFonts w:eastAsia="Palatino Linotype" w:cs="Palatino Linotype"/>
        </w:rPr>
      </w:pPr>
    </w:p>
    <w:p w14:paraId="75A514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5908AE4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3D11DD3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lastRenderedPageBreak/>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70CC5DF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5DFA41D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64BC859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33DC3F3D" w14:textId="77777777" w:rsidR="00C6060E" w:rsidRPr="00F34F85" w:rsidRDefault="00C6060E" w:rsidP="00C6060E">
      <w:pPr>
        <w:spacing w:line="240" w:lineRule="auto"/>
        <w:ind w:left="567" w:right="567"/>
        <w:rPr>
          <w:rFonts w:eastAsia="Palatino Linotype" w:cs="Palatino Linotype"/>
          <w:i/>
          <w:sz w:val="22"/>
        </w:rPr>
      </w:pPr>
    </w:p>
    <w:p w14:paraId="2372C66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05321C96" w14:textId="77777777" w:rsidR="00C6060E" w:rsidRPr="00F34F85" w:rsidRDefault="00C6060E" w:rsidP="00C6060E">
      <w:pPr>
        <w:spacing w:line="240" w:lineRule="auto"/>
        <w:ind w:left="567" w:right="567"/>
        <w:rPr>
          <w:rFonts w:eastAsia="Palatino Linotype" w:cs="Palatino Linotype"/>
          <w:i/>
          <w:sz w:val="22"/>
        </w:rPr>
      </w:pPr>
    </w:p>
    <w:p w14:paraId="6E7F5EB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2760689F" w14:textId="77777777" w:rsidR="00C6060E" w:rsidRPr="00F34F85" w:rsidRDefault="00C6060E" w:rsidP="00C6060E">
      <w:pPr>
        <w:spacing w:line="240" w:lineRule="auto"/>
        <w:ind w:left="567" w:right="567"/>
        <w:rPr>
          <w:rFonts w:eastAsia="Palatino Linotype" w:cs="Palatino Linotype"/>
          <w:i/>
          <w:sz w:val="22"/>
        </w:rPr>
      </w:pPr>
    </w:p>
    <w:p w14:paraId="389A57C8" w14:textId="77777777" w:rsidR="00C6060E" w:rsidRPr="00F34F85" w:rsidRDefault="00C6060E" w:rsidP="00C6060E">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14265A18" w14:textId="77777777" w:rsidR="00C6060E" w:rsidRPr="00F34F85" w:rsidRDefault="00C6060E" w:rsidP="00C6060E">
      <w:pPr>
        <w:rPr>
          <w:rFonts w:eastAsia="Palatino Linotype" w:cs="Palatino Linotype"/>
          <w:b/>
          <w:i/>
        </w:rPr>
      </w:pPr>
    </w:p>
    <w:p w14:paraId="1E5AF44E" w14:textId="7C0B8847" w:rsidR="00C6060E" w:rsidRPr="00F34F85" w:rsidRDefault="00C6060E" w:rsidP="00C6060E">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F34F85" w:rsidRDefault="00C6060E" w:rsidP="00C6060E">
      <w:pPr>
        <w:rPr>
          <w:rFonts w:eastAsia="Palatino Linotype" w:cs="Palatino Linotype"/>
        </w:rPr>
      </w:pPr>
    </w:p>
    <w:p w14:paraId="1DF0729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2C67E7D0" w14:textId="77777777" w:rsidR="00C6060E" w:rsidRPr="00F34F85" w:rsidRDefault="00C6060E" w:rsidP="00C6060E">
      <w:pPr>
        <w:spacing w:line="240" w:lineRule="auto"/>
        <w:ind w:left="567" w:right="567"/>
        <w:rPr>
          <w:rFonts w:eastAsia="Palatino Linotype" w:cs="Palatino Linotype"/>
          <w:i/>
          <w:sz w:val="22"/>
        </w:rPr>
      </w:pPr>
    </w:p>
    <w:p w14:paraId="2934E6D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28566BE" w14:textId="77777777" w:rsidR="00C6060E" w:rsidRPr="00F34F85" w:rsidRDefault="00C6060E" w:rsidP="00C6060E">
      <w:pPr>
        <w:rPr>
          <w:rFonts w:eastAsia="Palatino Linotype" w:cs="Palatino Linotype"/>
        </w:rPr>
      </w:pPr>
    </w:p>
    <w:p w14:paraId="52C34BBB" w14:textId="77777777" w:rsidR="00C6060E" w:rsidRPr="00F34F85" w:rsidRDefault="00C6060E" w:rsidP="00C6060E">
      <w:pPr>
        <w:rPr>
          <w:rFonts w:eastAsia="Palatino Linotype" w:cs="Palatino Linotype"/>
        </w:rPr>
      </w:pPr>
      <w:r w:rsidRPr="00F34F85">
        <w:rPr>
          <w:rFonts w:eastAsia="Palatino Linotype" w:cs="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93D346E" w14:textId="77777777" w:rsidR="00C6060E" w:rsidRPr="00F34F85" w:rsidRDefault="00C6060E" w:rsidP="00C6060E">
      <w:pPr>
        <w:rPr>
          <w:rFonts w:eastAsia="Palatino Linotype" w:cs="Palatino Linotype"/>
        </w:rPr>
      </w:pPr>
    </w:p>
    <w:p w14:paraId="2C11353B" w14:textId="77777777" w:rsidR="00C6060E" w:rsidRPr="00F34F85" w:rsidRDefault="00C6060E" w:rsidP="00C6060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B33E709"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330C8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1E7368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4C72A88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5B91DFF"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9C0B008"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02DE81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C2CA0C1" w14:textId="77777777" w:rsidR="00C6060E" w:rsidRPr="00F34F85" w:rsidRDefault="00C6060E" w:rsidP="00C6060E">
      <w:pPr>
        <w:spacing w:line="240" w:lineRule="auto"/>
        <w:ind w:left="567" w:right="567"/>
        <w:rPr>
          <w:rFonts w:eastAsia="Palatino Linotype" w:cs="Palatino Linotype"/>
          <w:i/>
          <w:sz w:val="22"/>
        </w:rPr>
      </w:pPr>
    </w:p>
    <w:p w14:paraId="171FD805" w14:textId="77777777" w:rsidR="00C6060E" w:rsidRPr="00F34F85" w:rsidRDefault="00C6060E" w:rsidP="00C6060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3BAEEB5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481D13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84E6B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53772058" w14:textId="77777777" w:rsidR="00C6060E" w:rsidRPr="00F34F85" w:rsidRDefault="00C6060E" w:rsidP="00C6060E">
      <w:pPr>
        <w:spacing w:line="240" w:lineRule="auto"/>
        <w:ind w:left="567" w:right="567"/>
        <w:rPr>
          <w:rFonts w:eastAsia="Palatino Linotype" w:cs="Palatino Linotype"/>
          <w:i/>
          <w:sz w:val="22"/>
        </w:rPr>
      </w:pPr>
    </w:p>
    <w:p w14:paraId="1C20B2BA"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F34F85" w:rsidRDefault="00C6060E" w:rsidP="00C6060E">
      <w:pPr>
        <w:spacing w:line="240" w:lineRule="auto"/>
        <w:ind w:left="567" w:right="567"/>
        <w:rPr>
          <w:rFonts w:eastAsia="Palatino Linotype" w:cs="Palatino Linotype"/>
          <w:i/>
          <w:sz w:val="22"/>
        </w:rPr>
      </w:pPr>
    </w:p>
    <w:p w14:paraId="0803EC6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19908CC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975569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2FCE5E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38353353" w14:textId="77777777" w:rsidR="00C6060E" w:rsidRPr="00F34F85" w:rsidRDefault="00C6060E" w:rsidP="00C6060E">
      <w:pPr>
        <w:ind w:left="567" w:right="567"/>
        <w:rPr>
          <w:rFonts w:eastAsia="Palatino Linotype" w:cs="Palatino Linotype"/>
        </w:rPr>
      </w:pPr>
    </w:p>
    <w:p w14:paraId="6BFECD78" w14:textId="77777777" w:rsidR="00C6060E" w:rsidRPr="00F34F85" w:rsidRDefault="00C6060E" w:rsidP="00C6060E">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291D5806" w14:textId="77777777" w:rsidR="00C6060E" w:rsidRPr="00F34F85" w:rsidRDefault="00C6060E" w:rsidP="00C6060E">
      <w:pPr>
        <w:spacing w:line="240" w:lineRule="auto"/>
        <w:ind w:left="567" w:right="567"/>
        <w:rPr>
          <w:rFonts w:eastAsia="Palatino Linotype" w:cs="Palatino Linotype"/>
        </w:rPr>
      </w:pPr>
    </w:p>
    <w:p w14:paraId="65C6B98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F34F85" w:rsidRDefault="00C6060E" w:rsidP="00C6060E">
      <w:pPr>
        <w:spacing w:line="240" w:lineRule="auto"/>
        <w:ind w:left="567" w:right="567"/>
        <w:rPr>
          <w:rFonts w:eastAsia="Palatino Linotype" w:cs="Palatino Linotype"/>
          <w:i/>
          <w:sz w:val="22"/>
        </w:rPr>
      </w:pPr>
    </w:p>
    <w:p w14:paraId="76F1FF9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F34F85" w:rsidRDefault="00C6060E" w:rsidP="00C6060E">
      <w:pPr>
        <w:spacing w:line="240" w:lineRule="auto"/>
        <w:ind w:left="567" w:right="567"/>
        <w:rPr>
          <w:rFonts w:eastAsia="Palatino Linotype" w:cs="Palatino Linotype"/>
          <w:i/>
          <w:sz w:val="22"/>
        </w:rPr>
      </w:pPr>
    </w:p>
    <w:p w14:paraId="2B4B6129"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F34F85" w:rsidRDefault="00C6060E" w:rsidP="00C6060E">
      <w:pPr>
        <w:ind w:left="567" w:right="567"/>
        <w:rPr>
          <w:rFonts w:eastAsia="Palatino Linotype" w:cs="Palatino Linotype"/>
        </w:rPr>
      </w:pPr>
    </w:p>
    <w:p w14:paraId="45F713D3" w14:textId="77777777" w:rsidR="00C6060E" w:rsidRPr="00F34F85" w:rsidRDefault="00C6060E" w:rsidP="00C6060E">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F34F85" w:rsidRDefault="00C6060E" w:rsidP="00C6060E">
      <w:pPr>
        <w:rPr>
          <w:rFonts w:eastAsia="Palatino Linotype" w:cs="Palatino Linotype"/>
        </w:rPr>
      </w:pPr>
    </w:p>
    <w:p w14:paraId="1747AB87" w14:textId="77777777" w:rsidR="00C6060E" w:rsidRPr="00F34F85" w:rsidRDefault="00C6060E" w:rsidP="00C6060E">
      <w:r w:rsidRPr="00F34F85">
        <w:t>En conclusión, se cubrieron los requisitos de procedencia y procedibilidad, conforme a las constancias que obran en el expediente.</w:t>
      </w:r>
    </w:p>
    <w:p w14:paraId="32DE8137" w14:textId="77777777" w:rsidR="00584F97" w:rsidRDefault="00584F97" w:rsidP="006922F5"/>
    <w:p w14:paraId="7E828C31" w14:textId="1DEDFE7D" w:rsidR="00454915" w:rsidRPr="006922F5" w:rsidRDefault="00B670F0"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6922F5" w:rsidRDefault="00B670F0"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349CC931" w:rsidR="00012F8B" w:rsidRPr="00FB795E" w:rsidRDefault="0EE28084" w:rsidP="00D31CA9">
      <w:pPr>
        <w:rPr>
          <w:rFonts w:eastAsiaTheme="minorEastAsia" w:cstheme="minorBidi"/>
          <w:lang w:eastAsia="en-US"/>
        </w:rPr>
      </w:pPr>
      <w:r w:rsidRPr="0EE28084">
        <w:rPr>
          <w:rFonts w:eastAsiaTheme="minorEastAsia" w:cstheme="minorBidi"/>
          <w:lang w:val="es-ES" w:eastAsia="en-US"/>
        </w:rPr>
        <w:t xml:space="preserve">En virtud de lo anterior, es conveniente recordar que el </w:t>
      </w:r>
      <w:r w:rsidR="00EB62C7">
        <w:rPr>
          <w:rFonts w:eastAsiaTheme="minorEastAsia" w:cstheme="minorBidi"/>
          <w:lang w:val="es-ES" w:eastAsia="en-US"/>
        </w:rPr>
        <w:t xml:space="preserve">día catorce de enero de dos mil veinticinco, el </w:t>
      </w:r>
      <w:r w:rsidRPr="0EE28084">
        <w:rPr>
          <w:rFonts w:eastAsiaTheme="minorEastAsia" w:cstheme="minorBidi"/>
          <w:lang w:val="es-ES" w:eastAsia="en-US"/>
        </w:rPr>
        <w:t>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le proporcionaran </w:t>
      </w:r>
      <w:r w:rsidR="00EB62C7">
        <w:rPr>
          <w:rFonts w:eastAsiaTheme="minorEastAsia" w:cstheme="minorBidi"/>
          <w:lang w:val="es-ES" w:eastAsia="en-US"/>
        </w:rPr>
        <w:t xml:space="preserve">copias certificadas </w:t>
      </w:r>
      <w:r w:rsidR="00F57070">
        <w:rPr>
          <w:rFonts w:eastAsiaTheme="minorEastAsia" w:cstheme="minorBidi"/>
          <w:lang w:val="es-ES" w:eastAsia="en-US"/>
        </w:rPr>
        <w:t>de los recibos de nómina de todo el personal adscrito al Sujeto Obligado</w:t>
      </w:r>
      <w:r w:rsidR="00FB795E">
        <w:rPr>
          <w:rFonts w:eastAsiaTheme="minorEastAsia" w:cstheme="minorBidi"/>
          <w:lang w:val="es-ES" w:eastAsia="en-US"/>
        </w:rPr>
        <w:t xml:space="preserve"> </w:t>
      </w:r>
      <w:r w:rsidR="00FB795E">
        <w:rPr>
          <w:rFonts w:eastAsiaTheme="minorEastAsia" w:cstheme="minorBidi"/>
          <w:b/>
          <w:bCs/>
          <w:lang w:val="es-ES" w:eastAsia="en-US"/>
        </w:rPr>
        <w:t>correspondiente a la primera quincena de enero del año en curso</w:t>
      </w:r>
      <w:r w:rsidR="00FB795E">
        <w:rPr>
          <w:rFonts w:eastAsiaTheme="minorEastAsia" w:cstheme="minorBidi"/>
          <w:lang w:val="es-ES" w:eastAsia="en-US"/>
        </w:rPr>
        <w:t>.</w:t>
      </w:r>
    </w:p>
    <w:p w14:paraId="093B1C89" w14:textId="77777777" w:rsidR="00012F8B" w:rsidRDefault="00012F8B" w:rsidP="00AA6088">
      <w:pPr>
        <w:pBdr>
          <w:top w:val="nil"/>
          <w:left w:val="nil"/>
          <w:bottom w:val="nil"/>
          <w:right w:val="nil"/>
          <w:between w:val="nil"/>
        </w:pBdr>
        <w:contextualSpacing/>
        <w:rPr>
          <w:rFonts w:eastAsia="Palatino Linotype" w:cs="Palatino Linotype"/>
          <w:color w:val="000000"/>
          <w:szCs w:val="24"/>
        </w:rPr>
      </w:pPr>
    </w:p>
    <w:p w14:paraId="68A8BF1C" w14:textId="365BAEDA" w:rsidR="00815EE9"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8175F0">
        <w:rPr>
          <w:rFonts w:eastAsia="Palatino Linotype" w:cs="Palatino Linotype"/>
          <w:color w:val="000000"/>
          <w:szCs w:val="24"/>
        </w:rPr>
        <w:t xml:space="preserve">respondió que el pago de la nómina no se había efectuado, por lo que no </w:t>
      </w:r>
      <w:r w:rsidR="003D4F89">
        <w:rPr>
          <w:rFonts w:eastAsia="Palatino Linotype" w:cs="Palatino Linotype"/>
          <w:color w:val="000000"/>
          <w:szCs w:val="24"/>
        </w:rPr>
        <w:t>era posible dar contestación a la solicitud.</w:t>
      </w:r>
    </w:p>
    <w:p w14:paraId="3E394D37" w14:textId="77777777" w:rsidR="00815EE9" w:rsidRDefault="00815EE9" w:rsidP="004903B6">
      <w:pPr>
        <w:pBdr>
          <w:top w:val="nil"/>
          <w:left w:val="nil"/>
          <w:bottom w:val="nil"/>
          <w:right w:val="nil"/>
          <w:between w:val="nil"/>
        </w:pBdr>
        <w:contextualSpacing/>
        <w:rPr>
          <w:rFonts w:eastAsia="Palatino Linotype" w:cs="Palatino Linotype"/>
          <w:color w:val="000000"/>
          <w:szCs w:val="24"/>
        </w:rPr>
      </w:pPr>
    </w:p>
    <w:p w14:paraId="6128DFF4" w14:textId="6015FCAE"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lastRenderedPageBreak/>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3526EA">
        <w:rPr>
          <w:rFonts w:eastAsia="Palatino Linotype" w:cs="Palatino Linotype"/>
          <w:color w:val="000000" w:themeColor="text1"/>
          <w:lang w:val="es-ES"/>
        </w:rPr>
        <w:t>que</w:t>
      </w:r>
      <w:r w:rsidR="003D4F89">
        <w:rPr>
          <w:rFonts w:eastAsia="Palatino Linotype" w:cs="Palatino Linotype"/>
          <w:color w:val="000000" w:themeColor="text1"/>
          <w:lang w:val="es-ES"/>
        </w:rPr>
        <w:t xml:space="preserve"> no se entregó la información solicitada</w:t>
      </w:r>
      <w:r w:rsidR="00A402FA">
        <w:rPr>
          <w:rFonts w:eastAsia="Palatino Linotype" w:cs="Palatino Linotype"/>
          <w:color w:val="000000" w:themeColor="text1"/>
          <w:lang w:val="es-ES"/>
        </w:rPr>
        <w:t xml:space="preserve"> y</w:t>
      </w:r>
      <w:r w:rsidR="003526EA">
        <w:rPr>
          <w:rFonts w:eastAsia="Palatino Linotype" w:cs="Palatino Linotype"/>
          <w:color w:val="000000" w:themeColor="text1"/>
          <w:lang w:val="es-ES"/>
        </w:rPr>
        <w:t xml:space="preserve"> dando como</w:t>
      </w:r>
      <w:r w:rsidR="001C407C">
        <w:rPr>
          <w:rFonts w:eastAsia="Palatino Linotype" w:cs="Palatino Linotype"/>
          <w:color w:val="000000" w:themeColor="text1"/>
          <w:lang w:val="es-ES"/>
        </w:rPr>
        <w:t xml:space="preserve"> razones o motivos de inconformidad que </w:t>
      </w:r>
      <w:r w:rsidR="003526EA">
        <w:rPr>
          <w:rFonts w:eastAsia="Palatino Linotype" w:cs="Palatino Linotype"/>
          <w:color w:val="000000" w:themeColor="text1"/>
          <w:lang w:val="es-ES"/>
        </w:rPr>
        <w:t xml:space="preserve">no </w:t>
      </w:r>
      <w:r w:rsidR="00A402FA">
        <w:rPr>
          <w:rFonts w:eastAsia="Palatino Linotype" w:cs="Palatino Linotype"/>
          <w:color w:val="000000" w:themeColor="text1"/>
          <w:lang w:val="es-ES"/>
        </w:rPr>
        <w:t>se hizo llegar la información solicitada y sin previa justificación.</w:t>
      </w:r>
    </w:p>
    <w:p w14:paraId="4A6500B8" w14:textId="77777777" w:rsidR="008F50E6" w:rsidRDefault="008F50E6" w:rsidP="00A04222"/>
    <w:p w14:paraId="78101780" w14:textId="77777777" w:rsidR="00F305B1" w:rsidRDefault="00F305B1" w:rsidP="00F305B1">
      <w:r w:rsidRPr="00757365">
        <w:t>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142F5D04" w14:textId="77777777" w:rsidR="00F305B1" w:rsidRDefault="00F305B1"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lastRenderedPageBreak/>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51C7840D"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lastRenderedPageBreak/>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12B286C3" w14:textId="343C6907" w:rsidR="00745848" w:rsidRDefault="006100FC" w:rsidP="00637679">
      <w:r>
        <w:t xml:space="preserve">En segundo término, </w:t>
      </w:r>
      <w:r w:rsidR="00745848">
        <w:t xml:space="preserve">se debe resaltar que el Recurrente requirió que se le proporcionaran copias certificadas de los recibos de nómina </w:t>
      </w:r>
      <w:r w:rsidR="000E3204">
        <w:t xml:space="preserve">de los servidores públicos adscritos a la administración pública municipal correspondiente a la primera quincena </w:t>
      </w:r>
      <w:r w:rsidR="003E1FCA">
        <w:t>de enero de dos mil veinticinco.</w:t>
      </w:r>
    </w:p>
    <w:p w14:paraId="2677F27B" w14:textId="77777777" w:rsidR="00745848" w:rsidRDefault="00745848" w:rsidP="00637679"/>
    <w:p w14:paraId="66CEF556" w14:textId="7AACDEE1" w:rsidR="00745848" w:rsidRDefault="008834B0" w:rsidP="008834B0">
      <w:pPr>
        <w:tabs>
          <w:tab w:val="left" w:pos="1057"/>
        </w:tabs>
      </w:pPr>
      <w:r w:rsidRPr="008834B0">
        <w:t xml:space="preserve">Ahora bien, el Sujeto Obligado respondió que la información solicitada aún no se había generado al momento de ingresar la solicitud de información, lo que resulta congruente con la situación toda vez que la solicitud fue realizada el </w:t>
      </w:r>
      <w:r w:rsidR="000F23CA">
        <w:t>catorce de enero del año en curso</w:t>
      </w:r>
      <w:r w:rsidRPr="008834B0">
        <w:t xml:space="preserve"> como se observa a continuación:</w:t>
      </w:r>
    </w:p>
    <w:p w14:paraId="17ED4E3B" w14:textId="44018F41" w:rsidR="00745848" w:rsidRDefault="00F17B46" w:rsidP="00637679">
      <w:r>
        <w:t>------------------------------------------------------------------------------------------------------------------------------------------------------------------------------------------------------------------------------------------------------------------------------------------------------------------------------------------------------------------------------------------------------------------------------------------------------------------------------------------------------------------------------------------------------------------------------------------------------------------------------------------------------------------------------------------------------------------------------------------------------------------------------------------------------------------------------------------------------------------------------------------------------------------------------------------------------------------------------------------------------------------------------------------------------------------------------------------------------------------------------------------------------------------------------------------------------------------</w:t>
      </w:r>
    </w:p>
    <w:p w14:paraId="41B9E2B5" w14:textId="082FD6DD" w:rsidR="0080467D" w:rsidRDefault="0080467D" w:rsidP="00637679">
      <w:r>
        <w:rPr>
          <w:noProof/>
          <w:lang w:val="es-MX"/>
        </w:rPr>
        <w:lastRenderedPageBreak/>
        <w:drawing>
          <wp:inline distT="0" distB="0" distL="0" distR="0" wp14:anchorId="2E5298FA" wp14:editId="7155A243">
            <wp:extent cx="5939790" cy="5966460"/>
            <wp:effectExtent l="0" t="0" r="1270" b="635"/>
            <wp:docPr id="2356345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34507" name="Imagen 2356345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5966460"/>
                    </a:xfrm>
                    <a:prstGeom prst="rect">
                      <a:avLst/>
                    </a:prstGeom>
                  </pic:spPr>
                </pic:pic>
              </a:graphicData>
            </a:graphic>
          </wp:inline>
        </w:drawing>
      </w:r>
    </w:p>
    <w:p w14:paraId="59550374" w14:textId="77777777" w:rsidR="0080467D" w:rsidRDefault="0080467D" w:rsidP="00637679"/>
    <w:p w14:paraId="18F135D0" w14:textId="07069BC4" w:rsidR="0080467D" w:rsidRDefault="00F806A9" w:rsidP="00637679">
      <w:r>
        <w:t xml:space="preserve">En ese sentido, si bien es cierto que el </w:t>
      </w:r>
      <w:r w:rsidR="00E94E6B">
        <w:t xml:space="preserve">Sujeto Obligado se encuentra constreñido a generar la información del pago de nómina de manera quincenal, también lo es que el periodo </w:t>
      </w:r>
      <w:r w:rsidR="0089535C">
        <w:t xml:space="preserve">correspondiente a la primera quincena de cada </w:t>
      </w:r>
      <w:r w:rsidR="006E031A">
        <w:t>mes</w:t>
      </w:r>
      <w:r w:rsidR="00E94E6B">
        <w:t xml:space="preserve"> abarca hasta el día quince</w:t>
      </w:r>
      <w:r w:rsidR="006E031A">
        <w:t xml:space="preserve">, por lo que </w:t>
      </w:r>
      <w:r w:rsidR="00316A74">
        <w:lastRenderedPageBreak/>
        <w:t>la autoridad municipal aún no se encontraba constreñida a generar, poseer o administrar la información solicitada</w:t>
      </w:r>
      <w:r w:rsidR="00EF52DF">
        <w:t>.</w:t>
      </w:r>
    </w:p>
    <w:p w14:paraId="456C8498" w14:textId="77777777" w:rsidR="00B72E0B" w:rsidRDefault="00B72E0B" w:rsidP="00637679"/>
    <w:p w14:paraId="32EB6525" w14:textId="42F43502" w:rsidR="000A17EB" w:rsidRDefault="000A17EB" w:rsidP="000A17EB">
      <w:pPr>
        <w:contextualSpacing/>
        <w:rPr>
          <w:rFonts w:eastAsia="Palatino Linotype" w:cs="Palatino Linotype"/>
          <w:szCs w:val="24"/>
        </w:rPr>
      </w:pPr>
      <w:r>
        <w:rPr>
          <w:rFonts w:eastAsia="Palatino Linotype" w:cs="Palatino Linotype"/>
          <w:szCs w:val="24"/>
        </w:rPr>
        <w:t>Por tanto, se tiene que el Recurrente solicitó información que consiste en hechos futuros</w:t>
      </w:r>
      <w:r w:rsidR="00BF6A2F">
        <w:rPr>
          <w:rFonts w:eastAsia="Palatino Linotype" w:cs="Palatino Linotype"/>
          <w:szCs w:val="24"/>
        </w:rPr>
        <w:t xml:space="preserve"> y</w:t>
      </w:r>
      <w:r>
        <w:rPr>
          <w:rFonts w:eastAsia="Palatino Linotype" w:cs="Palatino Linotype"/>
          <w:szCs w:val="24"/>
        </w:rPr>
        <w:t xml:space="preserve"> que</w:t>
      </w:r>
      <w:r w:rsidR="00BF6A2F">
        <w:rPr>
          <w:rFonts w:eastAsia="Palatino Linotype" w:cs="Palatino Linotype"/>
          <w:szCs w:val="24"/>
        </w:rPr>
        <w:t>,</w:t>
      </w:r>
      <w:r>
        <w:rPr>
          <w:rFonts w:eastAsia="Palatino Linotype" w:cs="Palatino Linotype"/>
          <w:szCs w:val="24"/>
        </w:rPr>
        <w:t xml:space="preserve"> si bien es cierto que su generación no es incierta, también lo es que los sujetos obligados no se encuentran constreñidos a proporcionar información que a la fecha del ingreso de la solicitud aún no se generaba, lo anterior conforme a los artículos 4 y 12 de la Ley de Transparencia estatal, en lo que se dispone lo siguiente:</w:t>
      </w:r>
    </w:p>
    <w:p w14:paraId="0B940965" w14:textId="77777777" w:rsidR="000A17EB" w:rsidRDefault="000A17EB" w:rsidP="000A17EB">
      <w:pPr>
        <w:contextualSpacing/>
        <w:rPr>
          <w:rFonts w:eastAsia="Palatino Linotype" w:cs="Palatino Linotype"/>
          <w:szCs w:val="24"/>
        </w:rPr>
      </w:pPr>
    </w:p>
    <w:p w14:paraId="49393012" w14:textId="77777777" w:rsidR="000A17EB" w:rsidRPr="00AF5B98" w:rsidRDefault="000A17EB" w:rsidP="000A17EB">
      <w:pPr>
        <w:pStyle w:val="Fundamentos"/>
        <w:rPr>
          <w:lang w:val="es-MX"/>
        </w:rPr>
      </w:pPr>
      <w:r w:rsidRPr="00AF5B98">
        <w:rPr>
          <w:b/>
          <w:lang w:val="es-MX"/>
        </w:rPr>
        <w:t xml:space="preserve">Artículo 4. </w:t>
      </w:r>
      <w:r w:rsidRPr="00AF5B98">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31F60E36" w14:textId="77777777" w:rsidR="000A17EB" w:rsidRPr="00AF5B98" w:rsidRDefault="000A17EB" w:rsidP="000A17EB">
      <w:pPr>
        <w:pStyle w:val="Fundamentos"/>
        <w:rPr>
          <w:lang w:val="es-MX"/>
        </w:rPr>
      </w:pPr>
    </w:p>
    <w:p w14:paraId="478C0821" w14:textId="77777777" w:rsidR="000A17EB" w:rsidRPr="00AF5B98" w:rsidRDefault="000A17EB" w:rsidP="000A17EB">
      <w:pPr>
        <w:pStyle w:val="Fundamentos"/>
        <w:rPr>
          <w:lang w:val="es-MX"/>
        </w:rPr>
      </w:pPr>
      <w:r w:rsidRPr="00486AF0">
        <w:rPr>
          <w:b/>
          <w:u w:val="single"/>
          <w:lang w:val="es-MX"/>
        </w:rPr>
        <w:t>Toda la información generada, obtenida, adquirida, transformada, administrada o en posesión de los sujetos obligados es pública y accesible de manera permanente a cualquier persona</w:t>
      </w:r>
      <w:r w:rsidRPr="00AF5B98">
        <w:rPr>
          <w:lang w:val="es-MX"/>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220C403" w14:textId="77777777" w:rsidR="000A17EB" w:rsidRPr="00AF5B98" w:rsidRDefault="000A17EB" w:rsidP="000A17EB">
      <w:pPr>
        <w:pStyle w:val="Fundamentos"/>
        <w:rPr>
          <w:lang w:val="es-MX"/>
        </w:rPr>
      </w:pPr>
    </w:p>
    <w:p w14:paraId="1E0C81C1" w14:textId="77777777" w:rsidR="000A17EB" w:rsidRPr="00AF5B98" w:rsidRDefault="000A17EB" w:rsidP="000A17EB">
      <w:pPr>
        <w:pStyle w:val="Fundamentos"/>
        <w:rPr>
          <w:lang w:val="es-MX"/>
        </w:rPr>
      </w:pPr>
      <w:r w:rsidRPr="00AF5B98">
        <w:rPr>
          <w:lang w:val="es-MX"/>
        </w:rPr>
        <w:t>Los sujetos obligados deben poner en práctica, políticas y programas de acceso a la información que se apeguen a criterios de publicidad, veracidad, oportunidad, precisión y suficiencia en beneficio de los solicitantes.</w:t>
      </w:r>
    </w:p>
    <w:p w14:paraId="60DA9AB5" w14:textId="77777777" w:rsidR="000A17EB" w:rsidRDefault="000A17EB" w:rsidP="000A17EB">
      <w:pPr>
        <w:pStyle w:val="Fundamentos"/>
      </w:pPr>
    </w:p>
    <w:p w14:paraId="3D6E0A8A" w14:textId="77777777" w:rsidR="000A17EB" w:rsidRPr="00AF5B98" w:rsidRDefault="000A17EB" w:rsidP="000A17EB">
      <w:pPr>
        <w:pStyle w:val="Fundamentos"/>
        <w:rPr>
          <w:lang w:val="es-MX"/>
        </w:rPr>
      </w:pPr>
      <w:r w:rsidRPr="00AF5B98">
        <w:rPr>
          <w:b/>
          <w:lang w:val="es-MX"/>
        </w:rPr>
        <w:t xml:space="preserve">Artículo 12. </w:t>
      </w:r>
      <w:r w:rsidRPr="00AF5B98">
        <w:rPr>
          <w:lang w:val="es-MX"/>
        </w:rPr>
        <w:t>Quienes generen, recopilen, administren, manejen, procesen, archiven o conserven información pública serán responsables de la misma en los términos de las disposiciones jurídicas aplicables.</w:t>
      </w:r>
    </w:p>
    <w:p w14:paraId="4197227B" w14:textId="77777777" w:rsidR="000A17EB" w:rsidRPr="00AF5B98" w:rsidRDefault="000A17EB" w:rsidP="000A17EB">
      <w:pPr>
        <w:pStyle w:val="Fundamentos"/>
        <w:rPr>
          <w:lang w:val="es-MX"/>
        </w:rPr>
      </w:pPr>
    </w:p>
    <w:p w14:paraId="5E12940F" w14:textId="77777777" w:rsidR="000A17EB" w:rsidRPr="00AF5B98" w:rsidRDefault="000A17EB" w:rsidP="000A17EB">
      <w:pPr>
        <w:pStyle w:val="Fundamentos"/>
        <w:rPr>
          <w:lang w:val="es-MX"/>
        </w:rPr>
      </w:pPr>
      <w:r w:rsidRPr="00486AF0">
        <w:rPr>
          <w:b/>
          <w:u w:val="single"/>
          <w:lang w:val="es-MX"/>
        </w:rPr>
        <w:t>Los sujetos obligados sólo proporcionarán la información pública que se les requiera y que obre en sus archivos y en el estado en que ésta se encuentre</w:t>
      </w:r>
      <w:r w:rsidRPr="00AF5B98">
        <w:rPr>
          <w:lang w:val="es-MX"/>
        </w:rPr>
        <w:t xml:space="preserve">. La obligación de proporcionar información no comprende el procesamiento de la misma, ni el presentarla </w:t>
      </w:r>
      <w:r w:rsidRPr="00AF5B98">
        <w:rPr>
          <w:lang w:val="es-MX"/>
        </w:rPr>
        <w:lastRenderedPageBreak/>
        <w:t>conforme al interés del solicitante; no estarán obligados a generarla, resumirla, efectuar cálculos o practicar investigaciones.</w:t>
      </w:r>
    </w:p>
    <w:p w14:paraId="09C6F951" w14:textId="77777777" w:rsidR="000A17EB" w:rsidRDefault="000A17EB" w:rsidP="000A17EB">
      <w:pPr>
        <w:contextualSpacing/>
        <w:rPr>
          <w:rFonts w:eastAsia="Palatino Linotype" w:cs="Palatino Linotype"/>
          <w:szCs w:val="24"/>
        </w:rPr>
      </w:pPr>
    </w:p>
    <w:p w14:paraId="31574130" w14:textId="77777777" w:rsidR="000A17EB" w:rsidRDefault="000A17EB" w:rsidP="000A17EB">
      <w:pPr>
        <w:contextualSpacing/>
        <w:rPr>
          <w:rFonts w:eastAsia="Palatino Linotype" w:cs="Palatino Linotype"/>
          <w:szCs w:val="24"/>
          <w:lang w:val="es-MX"/>
        </w:rPr>
      </w:pPr>
      <w:r>
        <w:rPr>
          <w:rFonts w:eastAsia="Palatino Linotype" w:cs="Palatino Linotype"/>
          <w:szCs w:val="24"/>
        </w:rPr>
        <w:t xml:space="preserve">De lo anterior se desprende que toda la información generada, poseída o administrada por los sujetos obligados es pública, y que los sujetos obligados sólo están constreñidos a proporcionar la información que se les requiera </w:t>
      </w:r>
      <w:r>
        <w:rPr>
          <w:rFonts w:eastAsia="Palatino Linotype" w:cs="Palatino Linotype"/>
          <w:b/>
          <w:szCs w:val="24"/>
        </w:rPr>
        <w:t>y que obre en sus archivos y en el estado en el que esta se encuentre</w:t>
      </w:r>
      <w:r>
        <w:rPr>
          <w:rFonts w:eastAsia="Palatino Linotype" w:cs="Palatino Linotype"/>
          <w:szCs w:val="24"/>
        </w:rPr>
        <w:t xml:space="preserve">, sin estar obligados a presentarla conforme al interés del solicitante ni a generarla, resumirla, efectuar cálculos o practicar investigaciones. </w:t>
      </w:r>
      <w:r>
        <w:rPr>
          <w:rFonts w:eastAsia="Palatino Linotype" w:cs="Palatino Linotype"/>
          <w:szCs w:val="24"/>
          <w:lang w:val="es-MX"/>
        </w:rPr>
        <w:t xml:space="preserve">Lo anterior implica que para satisfacer el derecho de acceso a la información </w:t>
      </w:r>
      <w:r w:rsidRPr="00AF5B98">
        <w:rPr>
          <w:rFonts w:eastAsia="Palatino Linotype" w:cs="Palatino Linotype"/>
          <w:b/>
          <w:szCs w:val="24"/>
          <w:lang w:val="es-MX"/>
        </w:rPr>
        <w:t>los sujetos obligados deberán entregar la información que hayan generado con anterioridad a las solicitudes de información</w:t>
      </w:r>
      <w:r>
        <w:rPr>
          <w:rFonts w:eastAsia="Palatino Linotype" w:cs="Palatino Linotype"/>
          <w:szCs w:val="24"/>
          <w:lang w:val="es-MX"/>
        </w:rPr>
        <w:t xml:space="preserve"> y que conste en algún documento, en el estado en el que ésta se encuentre en sus archivos.</w:t>
      </w:r>
    </w:p>
    <w:p w14:paraId="7B6CA115" w14:textId="77777777" w:rsidR="000A17EB" w:rsidRDefault="000A17EB" w:rsidP="000A17EB">
      <w:pPr>
        <w:contextualSpacing/>
        <w:rPr>
          <w:rFonts w:eastAsia="Palatino Linotype" w:cs="Palatino Linotype"/>
          <w:szCs w:val="24"/>
          <w:lang w:val="es-MX"/>
        </w:rPr>
      </w:pPr>
    </w:p>
    <w:p w14:paraId="116C89E2" w14:textId="77777777" w:rsidR="000A17EB" w:rsidRPr="00FC7C24" w:rsidRDefault="000A17EB" w:rsidP="000A17EB">
      <w:pPr>
        <w:rPr>
          <w:rFonts w:eastAsia="Times New Roman" w:cs="Times New Roman"/>
          <w:i/>
          <w:szCs w:val="24"/>
          <w:lang w:eastAsia="es-ES"/>
        </w:rPr>
      </w:pPr>
      <w:r>
        <w:rPr>
          <w:rFonts w:eastAsia="Palatino Linotype" w:cs="Palatino Linotype"/>
          <w:szCs w:val="24"/>
          <w:lang w:val="es-MX"/>
        </w:rPr>
        <w:t xml:space="preserve">Esta conclusión se robustece con la </w:t>
      </w:r>
      <w:r w:rsidRPr="00FC7C24">
        <w:rPr>
          <w:rFonts w:eastAsia="Times New Roman" w:cs="Times New Roman"/>
          <w:szCs w:val="24"/>
          <w:lang w:eastAsia="es-ES"/>
        </w:rPr>
        <w:t>definición de derecho a la información de</w:t>
      </w:r>
      <w:r>
        <w:rPr>
          <w:rFonts w:eastAsia="Times New Roman" w:cs="Times New Roman"/>
          <w:szCs w:val="24"/>
          <w:lang w:eastAsia="es-ES"/>
        </w:rPr>
        <w:t>l doctor</w:t>
      </w:r>
      <w:r w:rsidRPr="00FC7C24">
        <w:rPr>
          <w:rFonts w:eastAsia="Times New Roman" w:cs="Times New Roman"/>
          <w:szCs w:val="24"/>
          <w:lang w:eastAsia="es-ES"/>
        </w:rPr>
        <w:t xml:space="preserve"> Ernesto Villanueva </w:t>
      </w:r>
      <w:proofErr w:type="spellStart"/>
      <w:r w:rsidRPr="00FC7C24">
        <w:rPr>
          <w:rFonts w:eastAsia="Times New Roman" w:cs="Times New Roman"/>
          <w:szCs w:val="24"/>
          <w:lang w:eastAsia="es-ES"/>
        </w:rPr>
        <w:t>Villanueva</w:t>
      </w:r>
      <w:proofErr w:type="spellEnd"/>
      <w:r w:rsidRPr="00FC7C24">
        <w:rPr>
          <w:rFonts w:eastAsia="Times New Roman" w:cs="Times New Roman"/>
          <w:szCs w:val="24"/>
          <w:lang w:eastAsia="es-ES"/>
        </w:rPr>
        <w:t xml:space="preserve"> </w:t>
      </w:r>
      <w:r>
        <w:rPr>
          <w:rFonts w:eastAsia="Times New Roman" w:cs="Times New Roman"/>
          <w:szCs w:val="24"/>
          <w:lang w:eastAsia="es-ES"/>
        </w:rPr>
        <w:t>quien la define como</w:t>
      </w:r>
      <w:r w:rsidRPr="00FC7C24">
        <w:rPr>
          <w:rFonts w:eastAsia="Times New Roman" w:cs="Times New Roman"/>
          <w:szCs w:val="24"/>
          <w:lang w:eastAsia="es-ES"/>
        </w:rPr>
        <w:t xml:space="preserve"> </w:t>
      </w:r>
      <w:r w:rsidRPr="00FC7C24">
        <w:rPr>
          <w:rFonts w:eastAsia="Times New Roman" w:cs="Times New Roman"/>
          <w:i/>
          <w:szCs w:val="24"/>
          <w:lang w:eastAsia="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FC7C24">
        <w:rPr>
          <w:rFonts w:eastAsia="Times New Roman" w:cs="Times New Roman"/>
          <w:i/>
          <w:szCs w:val="24"/>
          <w:vertAlign w:val="superscript"/>
          <w:lang w:eastAsia="es-ES"/>
        </w:rPr>
        <w:footnoteReference w:id="3"/>
      </w:r>
      <w:r w:rsidRPr="00FC7C24">
        <w:rPr>
          <w:rFonts w:eastAsia="Times New Roman" w:cs="Times New Roman"/>
          <w:i/>
          <w:szCs w:val="24"/>
          <w:lang w:eastAsia="es-ES"/>
        </w:rPr>
        <w:t xml:space="preserve"> (Sic)</w:t>
      </w:r>
    </w:p>
    <w:p w14:paraId="0BF2621F" w14:textId="77777777" w:rsidR="000A17EB" w:rsidRPr="00AF5B98" w:rsidRDefault="000A17EB" w:rsidP="000A17EB">
      <w:pPr>
        <w:rPr>
          <w:rFonts w:eastAsia="Times New Roman" w:cs="Arial"/>
          <w:iCs/>
          <w:color w:val="000000" w:themeColor="text1"/>
          <w:szCs w:val="24"/>
          <w:lang w:eastAsia="es-ES"/>
        </w:rPr>
      </w:pPr>
    </w:p>
    <w:p w14:paraId="6CAAE985" w14:textId="77777777" w:rsidR="000A17EB" w:rsidRPr="00FC7C24" w:rsidRDefault="000A17EB" w:rsidP="000A17EB">
      <w:pPr>
        <w:rPr>
          <w:rFonts w:eastAsia="Times New Roman" w:cs="Arial"/>
          <w:szCs w:val="24"/>
          <w:lang w:eastAsia="es-ES"/>
        </w:rPr>
      </w:pPr>
      <w:r w:rsidRPr="00FC7C24">
        <w:rPr>
          <w:rFonts w:eastAsia="Times New Roman" w:cs="Arial"/>
          <w:szCs w:val="24"/>
          <w:lang w:eastAsia="es-ES"/>
        </w:rPr>
        <w:t>Ahora bien</w:t>
      </w:r>
      <w:r>
        <w:rPr>
          <w:rFonts w:eastAsia="Times New Roman" w:cs="Arial"/>
          <w:szCs w:val="24"/>
          <w:lang w:eastAsia="es-ES"/>
        </w:rPr>
        <w:t>,</w:t>
      </w:r>
      <w:r w:rsidRPr="00FC7C24">
        <w:rPr>
          <w:rFonts w:eastAsia="Times New Roman" w:cs="Arial"/>
          <w:szCs w:val="24"/>
          <w:lang w:eastAsia="es-ES"/>
        </w:rPr>
        <w:t xml:space="preserve"> para entender los alcances de la información pública se considera importante citar el criterio </w:t>
      </w:r>
      <w:r w:rsidRPr="00FC7C24">
        <w:rPr>
          <w:rFonts w:eastAsia="Times New Roman" w:cs="Arial"/>
          <w:bCs/>
          <w:szCs w:val="24"/>
        </w:rPr>
        <w:t xml:space="preserve">de interpretación 0002-11, emitido por Acuerdo del Pleno de este Instituto de Transparencia y Acceso a la Información Pública del Estado de México y Municipios, publicado en el Periódico Oficial del Gobierno del Estado Libre y Soberano de México </w:t>
      </w:r>
      <w:r w:rsidRPr="00FC7C24">
        <w:rPr>
          <w:rFonts w:eastAsia="Times New Roman" w:cs="Arial"/>
          <w:bCs/>
          <w:szCs w:val="24"/>
        </w:rPr>
        <w:lastRenderedPageBreak/>
        <w:t xml:space="preserve">“Gaceta del Gobierno” el diecinueve de octubre de dos mil once, </w:t>
      </w:r>
      <w:r w:rsidRPr="00FC7C24">
        <w:rPr>
          <w:rFonts w:eastAsia="Times New Roman" w:cs="Arial"/>
          <w:szCs w:val="24"/>
          <w:lang w:eastAsia="es-ES"/>
        </w:rPr>
        <w:t>cuyo rubro y texto dispone</w:t>
      </w:r>
      <w:r>
        <w:rPr>
          <w:rFonts w:eastAsia="Times New Roman" w:cs="Arial"/>
          <w:szCs w:val="24"/>
          <w:lang w:eastAsia="es-ES"/>
        </w:rPr>
        <w:t xml:space="preserve"> lo siguiente</w:t>
      </w:r>
      <w:r w:rsidRPr="00FC7C24">
        <w:rPr>
          <w:rFonts w:eastAsia="Times New Roman" w:cs="Arial"/>
          <w:szCs w:val="24"/>
          <w:lang w:eastAsia="es-ES"/>
        </w:rPr>
        <w:t>:</w:t>
      </w:r>
    </w:p>
    <w:p w14:paraId="73CD7E3C" w14:textId="77777777" w:rsidR="000A17EB" w:rsidRPr="000A27B1" w:rsidRDefault="000A17EB" w:rsidP="000A17EB">
      <w:pPr>
        <w:rPr>
          <w:rFonts w:eastAsia="Times New Roman" w:cs="Arial"/>
          <w:szCs w:val="24"/>
          <w:lang w:eastAsia="es-ES"/>
        </w:rPr>
      </w:pPr>
    </w:p>
    <w:p w14:paraId="2D70CBCB" w14:textId="77777777" w:rsidR="000A17EB" w:rsidRDefault="000A17EB" w:rsidP="000A17EB">
      <w:pPr>
        <w:pStyle w:val="Fundamentos"/>
      </w:pPr>
      <w:r w:rsidRPr="00C82D3C">
        <w:rPr>
          <w:b/>
          <w:bCs/>
        </w:rPr>
        <w:t>INFORMACIÓN PÚBLICA, CONCEPTO DE, EN MATERIA DE TRANSPARENCIA. INTERPRETACIÓN TEMÁTICA DE LOS ARTÍCULOS 2, FRACCIÓN V, XV, Y XVI, 32, 4,11 Y 41.</w:t>
      </w:r>
      <w:r w:rsidRPr="000A27B1">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B46F84C" w14:textId="77777777" w:rsidR="000A17EB" w:rsidRPr="000A27B1" w:rsidRDefault="000A17EB" w:rsidP="000A17EB">
      <w:pPr>
        <w:pStyle w:val="Fundamentos"/>
      </w:pPr>
    </w:p>
    <w:p w14:paraId="4CB0555F" w14:textId="77777777" w:rsidR="000A17EB" w:rsidRDefault="000A17EB" w:rsidP="000A17EB">
      <w:pPr>
        <w:pStyle w:val="Fundamentos"/>
      </w:pPr>
      <w:r w:rsidRPr="000A27B1">
        <w:t>En consecuencia el acceso a la información se refiere a que se cumplan cualquiera de los siguientes tres supuestos:</w:t>
      </w:r>
    </w:p>
    <w:p w14:paraId="23C80E95" w14:textId="77777777" w:rsidR="000A17EB" w:rsidRPr="000A27B1" w:rsidRDefault="000A17EB" w:rsidP="000A17EB">
      <w:pPr>
        <w:pStyle w:val="Fundamentos"/>
      </w:pPr>
    </w:p>
    <w:p w14:paraId="4CE42147" w14:textId="77777777" w:rsidR="000A17EB" w:rsidRDefault="000A17EB" w:rsidP="000A17EB">
      <w:pPr>
        <w:pStyle w:val="Fundamentos"/>
      </w:pPr>
      <w:r w:rsidRPr="000A27B1">
        <w:t>Que se trate de información registrada en cualquier soporte documental, que en ejercicio de las atribuciones conferidas, sea generada por los Sujetos Obligados;</w:t>
      </w:r>
    </w:p>
    <w:p w14:paraId="66DD6EA4" w14:textId="77777777" w:rsidR="000A17EB" w:rsidRPr="000A27B1" w:rsidRDefault="000A17EB" w:rsidP="000A17EB">
      <w:pPr>
        <w:pStyle w:val="Fundamentos"/>
      </w:pPr>
    </w:p>
    <w:p w14:paraId="57EA7F37" w14:textId="77777777" w:rsidR="000A17EB" w:rsidRDefault="000A17EB" w:rsidP="000A17EB">
      <w:pPr>
        <w:pStyle w:val="Fundamentos"/>
      </w:pPr>
      <w:r w:rsidRPr="000A27B1">
        <w:t>Que se trate de información registrada en cualquier soporte documental, que en ejercicio de las atribuciones conferidas, sea administrada por los Sujetos Obligados, y</w:t>
      </w:r>
    </w:p>
    <w:p w14:paraId="5A1F4190" w14:textId="77777777" w:rsidR="000A17EB" w:rsidRPr="000A27B1" w:rsidRDefault="000A17EB" w:rsidP="000A17EB">
      <w:pPr>
        <w:pStyle w:val="Fundamentos"/>
      </w:pPr>
    </w:p>
    <w:p w14:paraId="7C231051" w14:textId="77777777" w:rsidR="000A17EB" w:rsidRPr="000A27B1" w:rsidRDefault="000A17EB" w:rsidP="000A17EB">
      <w:pPr>
        <w:pStyle w:val="Fundamentos"/>
      </w:pPr>
      <w:r w:rsidRPr="000A27B1">
        <w:t>Que se trate de información registrada en cualquier soporte documental, que en ejercicio de las atribuciones conferidas, se encuentre en posesión de los Sujetos Obligados.</w:t>
      </w:r>
    </w:p>
    <w:p w14:paraId="6835FFEA" w14:textId="77777777" w:rsidR="000A17EB" w:rsidRPr="000A27B1" w:rsidRDefault="000A17EB" w:rsidP="000A17EB">
      <w:pPr>
        <w:rPr>
          <w:rFonts w:eastAsia="Times New Roman" w:cs="Times New Roman"/>
          <w:szCs w:val="24"/>
          <w:lang w:eastAsia="es-ES"/>
        </w:rPr>
      </w:pPr>
    </w:p>
    <w:p w14:paraId="7AA7A406" w14:textId="77777777" w:rsidR="000A17EB" w:rsidRDefault="000A17EB" w:rsidP="000A17EB">
      <w:pPr>
        <w:contextualSpacing/>
        <w:rPr>
          <w:rFonts w:eastAsia="Times New Roman" w:cs="Times New Roman"/>
          <w:szCs w:val="24"/>
        </w:rPr>
      </w:pPr>
      <w:r>
        <w:rPr>
          <w:rFonts w:eastAsia="Times New Roman" w:cs="Times New Roman"/>
          <w:szCs w:val="24"/>
        </w:rPr>
        <w:t>Por tanto</w:t>
      </w:r>
      <w:r w:rsidRPr="000A27B1">
        <w:rPr>
          <w:rFonts w:eastAsia="Times New Roman" w:cs="Times New Roman"/>
          <w:szCs w:val="24"/>
        </w:rPr>
        <w:t xml:space="preserve">, el derecho a la información constituye </w:t>
      </w:r>
      <w:r w:rsidRPr="00AF5B98">
        <w:rPr>
          <w:rFonts w:eastAsia="Times New Roman" w:cs="Times New Roman"/>
          <w:b/>
          <w:szCs w:val="24"/>
        </w:rPr>
        <w:t>una prerrogativa a acceder a documentación que obra en los archivos de los sujetos obligados</w:t>
      </w:r>
      <w:r>
        <w:rPr>
          <w:rFonts w:eastAsia="Times New Roman" w:cs="Times New Roman"/>
          <w:szCs w:val="24"/>
        </w:rPr>
        <w:t xml:space="preserve">, quienes están constreñidos a proporcionarla </w:t>
      </w:r>
      <w:r w:rsidRPr="00AF5B98">
        <w:rPr>
          <w:rFonts w:eastAsia="Times New Roman" w:cs="Times New Roman"/>
          <w:bCs/>
          <w:szCs w:val="24"/>
        </w:rPr>
        <w:t>en el estado en el que se encuentre</w:t>
      </w:r>
      <w:r>
        <w:rPr>
          <w:rFonts w:eastAsia="Times New Roman" w:cs="Times New Roman"/>
          <w:szCs w:val="24"/>
        </w:rPr>
        <w:t>; por tanto, dicha prerrogativa no contempla la entrega de documentos que se generen con posterioridad a las solicitudes que planteen los particulares.</w:t>
      </w:r>
    </w:p>
    <w:p w14:paraId="0C4C693A" w14:textId="77777777" w:rsidR="000A17EB" w:rsidRDefault="000A17EB" w:rsidP="000A17EB">
      <w:pPr>
        <w:contextualSpacing/>
        <w:rPr>
          <w:rFonts w:eastAsia="Times New Roman" w:cs="Times New Roman"/>
          <w:szCs w:val="24"/>
        </w:rPr>
      </w:pPr>
    </w:p>
    <w:p w14:paraId="6A6D90E3" w14:textId="77777777" w:rsidR="000A17EB" w:rsidRDefault="000A17EB" w:rsidP="000A17EB">
      <w:pPr>
        <w:contextualSpacing/>
        <w:rPr>
          <w:rFonts w:eastAsia="Palatino Linotype" w:cs="Palatino Linotype"/>
          <w:szCs w:val="24"/>
        </w:rPr>
      </w:pPr>
      <w:r>
        <w:rPr>
          <w:rFonts w:eastAsia="Times New Roman" w:cs="Times New Roman"/>
          <w:szCs w:val="24"/>
        </w:rPr>
        <w:t xml:space="preserve">Del mismo modo, se debe considera que la información sobre hechos que aún no se han generado debido a la temporalidad son hechos futuros; por lo que no es procedente que </w:t>
      </w:r>
      <w:r>
        <w:rPr>
          <w:rFonts w:eastAsia="Times New Roman" w:cs="Times New Roman"/>
          <w:szCs w:val="24"/>
        </w:rPr>
        <w:lastRenderedPageBreak/>
        <w:t>los sujetos obligados proporcionen dicha información incluso cuando la temporalidad referida por los solicitantes coincida con el término para emitir la respuesta correspondiente.</w:t>
      </w:r>
    </w:p>
    <w:p w14:paraId="085C44DC" w14:textId="77777777" w:rsidR="000A17EB" w:rsidRDefault="000A17EB" w:rsidP="000A17EB">
      <w:pPr>
        <w:contextualSpacing/>
        <w:rPr>
          <w:rFonts w:eastAsia="Palatino Linotype" w:cs="Palatino Linotype"/>
          <w:szCs w:val="24"/>
        </w:rPr>
      </w:pPr>
    </w:p>
    <w:p w14:paraId="5D126C2C" w14:textId="528BF27E" w:rsidR="00B72E0B" w:rsidRDefault="00F433D7" w:rsidP="00637679">
      <w:r>
        <w:t xml:space="preserve">Ahora bien, se debe señalar que </w:t>
      </w:r>
      <w:r w:rsidR="009C30C4">
        <w:t xml:space="preserve">el Sujeto Obligado no remitió documento alguno </w:t>
      </w:r>
      <w:r w:rsidR="00AA5F38">
        <w:t xml:space="preserve">que permita </w:t>
      </w:r>
      <w:r w:rsidR="001C4CC3">
        <w:t>identificar el área que emitió la respuesta</w:t>
      </w:r>
      <w:r w:rsidR="00614574">
        <w:t xml:space="preserve">; sin embargo, se observa que </w:t>
      </w:r>
      <w:r w:rsidR="00950D34">
        <w:t xml:space="preserve">en el apartado de </w:t>
      </w:r>
      <w:r w:rsidR="00F22AD8">
        <w:t xml:space="preserve">«Requerimientos» del expediente electrónico, </w:t>
      </w:r>
      <w:r w:rsidR="003B525E">
        <w:t xml:space="preserve">la solicitud se turnó al servidor público de nombre </w:t>
      </w:r>
      <w:proofErr w:type="spellStart"/>
      <w:r w:rsidR="003B525E">
        <w:t>Jahel</w:t>
      </w:r>
      <w:proofErr w:type="spellEnd"/>
      <w:r w:rsidR="003B525E">
        <w:t xml:space="preserve"> Guzmán Galicia, como se observa en la siguiente imagen:</w:t>
      </w:r>
    </w:p>
    <w:p w14:paraId="5C5CB9AB" w14:textId="77777777" w:rsidR="003B525E" w:rsidRDefault="003B525E" w:rsidP="00637679"/>
    <w:p w14:paraId="325AF8D0" w14:textId="7DEF03DA" w:rsidR="003B525E" w:rsidRDefault="00486973" w:rsidP="00637679">
      <w:r>
        <w:rPr>
          <w:noProof/>
          <w:lang w:val="es-MX"/>
        </w:rPr>
        <w:drawing>
          <wp:inline distT="0" distB="0" distL="0" distR="0" wp14:anchorId="5573C3D2" wp14:editId="7B9C5B23">
            <wp:extent cx="5939790" cy="1197610"/>
            <wp:effectExtent l="0" t="0" r="3810" b="0"/>
            <wp:docPr id="21149063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06397" name="Imagen 21149063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1197610"/>
                    </a:xfrm>
                    <a:prstGeom prst="rect">
                      <a:avLst/>
                    </a:prstGeom>
                  </pic:spPr>
                </pic:pic>
              </a:graphicData>
            </a:graphic>
          </wp:inline>
        </w:drawing>
      </w:r>
    </w:p>
    <w:p w14:paraId="30E6D974" w14:textId="77777777" w:rsidR="0080467D" w:rsidRDefault="0080467D" w:rsidP="00637679"/>
    <w:p w14:paraId="51C063D1" w14:textId="1013B004" w:rsidR="00745848" w:rsidRDefault="00A54EB5" w:rsidP="00637679">
      <w:r>
        <w:t xml:space="preserve">Así, de una búsqueda en </w:t>
      </w:r>
      <w:r w:rsidR="00317725">
        <w:t>la red, se obtuvo que dicho servidor público es el actual Tesorero Municipal</w:t>
      </w:r>
      <w:r w:rsidR="00C67E35">
        <w:t xml:space="preserve"> del Ayuntamiento de Cocotitlán. En ese orden de ideas, </w:t>
      </w:r>
      <w:r w:rsidR="00057C3A">
        <w:t xml:space="preserve">conforme a lo dispuesto en </w:t>
      </w:r>
      <w:r w:rsidR="003D2961">
        <w:t xml:space="preserve">el artículo 52 </w:t>
      </w:r>
      <w:r w:rsidR="00057C3A">
        <w:t xml:space="preserve">del Bando Municipal </w:t>
      </w:r>
      <w:r w:rsidR="005F33D3">
        <w:t xml:space="preserve">2024 (vigente al momento de realizarse la solicitud), </w:t>
      </w:r>
      <w:r w:rsidR="00203EB8">
        <w:t>se tiene lo siguiente:</w:t>
      </w:r>
    </w:p>
    <w:p w14:paraId="63614939" w14:textId="77777777" w:rsidR="00203EB8" w:rsidRDefault="00203EB8" w:rsidP="00637679"/>
    <w:p w14:paraId="42348C2E" w14:textId="77777777" w:rsidR="00203EB8" w:rsidRDefault="00203EB8" w:rsidP="00715E8F">
      <w:pPr>
        <w:pStyle w:val="Fundamentos"/>
      </w:pPr>
      <w:r w:rsidRPr="00715E8F">
        <w:rPr>
          <w:b/>
          <w:bCs/>
        </w:rPr>
        <w:t>Artículo 52.</w:t>
      </w:r>
      <w:r>
        <w:t xml:space="preserve"> La Tesorería Municipal tendrá a su cargo las siguientes áreas:</w:t>
      </w:r>
    </w:p>
    <w:p w14:paraId="3D8585F2" w14:textId="77777777" w:rsidR="00203EB8" w:rsidRDefault="00203EB8" w:rsidP="00715E8F">
      <w:pPr>
        <w:pStyle w:val="Fundamentos"/>
      </w:pPr>
    </w:p>
    <w:p w14:paraId="74F29693" w14:textId="77777777" w:rsidR="00203EB8" w:rsidRDefault="00203EB8" w:rsidP="00715E8F">
      <w:pPr>
        <w:pStyle w:val="Fundamentos"/>
      </w:pPr>
      <w:r>
        <w:t>I. Departamento de Catastro Municipal;</w:t>
      </w:r>
    </w:p>
    <w:p w14:paraId="71D53CB5" w14:textId="19878BC0" w:rsidR="00203EB8" w:rsidRDefault="00203EB8" w:rsidP="00715E8F">
      <w:pPr>
        <w:pStyle w:val="Fundamentos"/>
      </w:pPr>
      <w:r>
        <w:t>II. Jefatura de Ingresos;</w:t>
      </w:r>
    </w:p>
    <w:p w14:paraId="014CA7AF" w14:textId="77777777" w:rsidR="00715E8F" w:rsidRDefault="00715E8F" w:rsidP="00715E8F">
      <w:pPr>
        <w:pStyle w:val="Fundamentos"/>
      </w:pPr>
      <w:r>
        <w:t>III. Jefatura de Egresos; y</w:t>
      </w:r>
    </w:p>
    <w:p w14:paraId="1FFE7C65" w14:textId="74C98564" w:rsidR="00745848" w:rsidRDefault="00715E8F" w:rsidP="00715E8F">
      <w:pPr>
        <w:pStyle w:val="Fundamentos"/>
      </w:pPr>
      <w:r>
        <w:t xml:space="preserve">IV. </w:t>
      </w:r>
      <w:r w:rsidRPr="00715E8F">
        <w:rPr>
          <w:b/>
          <w:bCs/>
          <w:u w:val="single"/>
        </w:rPr>
        <w:t>Administración y desarrollo personal</w:t>
      </w:r>
      <w:r>
        <w:t>.</w:t>
      </w:r>
    </w:p>
    <w:p w14:paraId="1A102024" w14:textId="77777777" w:rsidR="00745848" w:rsidRDefault="00745848" w:rsidP="00637679"/>
    <w:p w14:paraId="3F38A9AB" w14:textId="77777777" w:rsidR="00D51D59" w:rsidRDefault="000769FD" w:rsidP="00D51D59">
      <w:pPr>
        <w:contextualSpacing/>
        <w:rPr>
          <w:rFonts w:eastAsia="Palatino Linotype" w:cs="Palatino Linotype"/>
          <w:szCs w:val="24"/>
        </w:rPr>
      </w:pPr>
      <w:r>
        <w:lastRenderedPageBreak/>
        <w:t>Asimismo, en el portal de Información Pública de Oficio Mexiquense del Sujeto Obligado</w:t>
      </w:r>
      <w:r w:rsidR="00200266">
        <w:rPr>
          <w:rStyle w:val="Refdenotaalpie"/>
        </w:rPr>
        <w:footnoteReference w:id="4"/>
      </w:r>
      <w:r w:rsidR="00454CB0">
        <w:t xml:space="preserve">, se </w:t>
      </w:r>
      <w:r w:rsidR="00F17343">
        <w:t xml:space="preserve">observa que </w:t>
      </w:r>
      <w:r w:rsidR="007630C1">
        <w:t xml:space="preserve">la Coordinación de Administración y Desarrollo Personal está facultada </w:t>
      </w:r>
      <w:r w:rsidR="00F42176">
        <w:t>para planear y administrar los recursos humanos, materiales y los servicios de la Administración Pública Municipal</w:t>
      </w:r>
      <w:r w:rsidR="007560A0">
        <w:t xml:space="preserve">, por lo que se </w:t>
      </w:r>
      <w:r w:rsidR="00D51D59">
        <w:rPr>
          <w:rFonts w:eastAsia="Palatino Linotype" w:cs="Palatino Linotype"/>
          <w:szCs w:val="24"/>
        </w:rPr>
        <w:t>colige que es el área competente para generar, poseer o administrar la información.</w:t>
      </w:r>
    </w:p>
    <w:p w14:paraId="7BD1C854" w14:textId="77777777" w:rsidR="00D51D59" w:rsidRDefault="00D51D59" w:rsidP="00D51D59">
      <w:pPr>
        <w:contextualSpacing/>
        <w:rPr>
          <w:rFonts w:eastAsia="Palatino Linotype" w:cs="Palatino Linotype"/>
          <w:szCs w:val="24"/>
        </w:rPr>
      </w:pPr>
    </w:p>
    <w:p w14:paraId="39FF3C19" w14:textId="445B07E3" w:rsidR="00D51D59" w:rsidRPr="001F5A09" w:rsidRDefault="00D51D59" w:rsidP="00D51D59">
      <w:r>
        <w:rPr>
          <w:rFonts w:eastAsia="Palatino Linotype" w:cs="Palatino Linotype"/>
          <w:szCs w:val="24"/>
        </w:rPr>
        <w:t xml:space="preserve">En esa tesitura, toda vez que el área competente manifestó que a la fecha de ingreso de la solicitud todavía no se había generado la información requerida, esto </w:t>
      </w:r>
      <w:r>
        <w:t>se traduce como un pronunciamiento en sentido negativo; es decir, implica que no se generó, poseyó o administró la información solicitada</w:t>
      </w:r>
      <w:r>
        <w:rPr>
          <w:color w:val="000000"/>
        </w:rPr>
        <w:t xml:space="preserve">. </w:t>
      </w:r>
      <w:r w:rsidRPr="001F5A09">
        <w:rPr>
          <w:rFonts w:eastAsiaTheme="minorHAnsi" w:cs="Arial"/>
          <w:lang w:val="es-MX" w:eastAsia="es-ES"/>
        </w:rPr>
        <w:t>Así, el Pleno de este Órgano Garante ha sostenido que ante un hecho negativo resulta innecesaria una declaratoria de inexistencia en términos de los artículos 19, 169 y 170 de la Ley de Transparencia y Acceso a la Información Pública del Estado de México y Municipios, resultando aplicable la siguiente tesis:</w:t>
      </w:r>
    </w:p>
    <w:p w14:paraId="0FB14F0C" w14:textId="77777777" w:rsidR="00D51D59" w:rsidRPr="001F5A09" w:rsidRDefault="00D51D59" w:rsidP="00D51D59">
      <w:pPr>
        <w:rPr>
          <w:rFonts w:eastAsiaTheme="minorHAnsi" w:cstheme="minorBidi"/>
          <w:lang w:val="es-MX"/>
        </w:rPr>
      </w:pPr>
    </w:p>
    <w:p w14:paraId="2032292C" w14:textId="77777777" w:rsidR="00D51D59" w:rsidRPr="00D72B70" w:rsidRDefault="00D51D59" w:rsidP="00D51D59">
      <w:pPr>
        <w:pStyle w:val="Fundamentos"/>
        <w:rPr>
          <w:b/>
          <w:bCs/>
          <w:lang w:val="es-MX"/>
        </w:rPr>
      </w:pPr>
      <w:r w:rsidRPr="00D72B70">
        <w:rPr>
          <w:b/>
          <w:bCs/>
          <w:lang w:val="es-MX"/>
        </w:rPr>
        <w:t xml:space="preserve">HECHOS NEGATIVOS, NO SON SUSCEPTIBLES DE DEMOSTRACIÓN. </w:t>
      </w:r>
    </w:p>
    <w:p w14:paraId="3F623E19" w14:textId="77777777" w:rsidR="00D51D59" w:rsidRPr="001F5A09" w:rsidRDefault="00D51D59" w:rsidP="00D51D59">
      <w:pPr>
        <w:pStyle w:val="Fundamentos"/>
        <w:rPr>
          <w:lang w:val="es-MX"/>
        </w:rPr>
      </w:pPr>
      <w:r w:rsidRPr="001F5A09">
        <w:rPr>
          <w:lang w:val="es-MX"/>
        </w:rPr>
        <w:t>Tratándose de un hecho negativo, el Juez no tiene por qué invocar prueba alguna de la que se desprenda, ya que es bien sabido que esta clase de hechos no son susceptibles de demostración.</w:t>
      </w:r>
    </w:p>
    <w:p w14:paraId="36F51901" w14:textId="77777777" w:rsidR="00D51D59" w:rsidRPr="00D72B70" w:rsidRDefault="00D51D59" w:rsidP="00D51D59">
      <w:pPr>
        <w:rPr>
          <w:rFonts w:eastAsiaTheme="minorHAnsi" w:cstheme="minorBidi"/>
          <w:iCs/>
          <w:lang w:val="es-MX"/>
        </w:rPr>
      </w:pPr>
    </w:p>
    <w:p w14:paraId="73CCFF9F" w14:textId="77777777" w:rsidR="00D51D59" w:rsidRPr="001F5A09" w:rsidRDefault="00D51D59" w:rsidP="00D51D59">
      <w:pPr>
        <w:rPr>
          <w:bCs/>
          <w:color w:val="000000"/>
        </w:rPr>
      </w:pPr>
      <w:r w:rsidRPr="001F5A09">
        <w:rPr>
          <w:rFonts w:eastAsiaTheme="minorHAnsi" w:cstheme="minorBidi"/>
          <w:lang w:val="es-MX"/>
        </w:rPr>
        <w:t xml:space="preserve">Además, de conformidad con lo establecido en el artículo 12 de la Ley de la materia, el Sujeto Obligado sólo proporcionará la información que obra en sus archivos, lo que </w:t>
      </w:r>
      <w:r w:rsidRPr="001F5A09">
        <w:rPr>
          <w:rFonts w:eastAsiaTheme="minorHAnsi" w:cstheme="minorBidi"/>
          <w:i/>
          <w:lang w:val="es-MX"/>
        </w:rPr>
        <w:t>a contrario sensu</w:t>
      </w:r>
      <w:r w:rsidRPr="001F5A09">
        <w:rPr>
          <w:rFonts w:eastAsiaTheme="minorHAnsi" w:cstheme="minorBidi"/>
          <w:lang w:val="es-MX"/>
        </w:rPr>
        <w:t xml:space="preserve"> significa que no está obligado a proporcionar lo que no obre en sus archivos.</w:t>
      </w:r>
    </w:p>
    <w:p w14:paraId="1A7762D0" w14:textId="77777777" w:rsidR="00D51D59" w:rsidRDefault="00D51D59" w:rsidP="00D51D59">
      <w:pPr>
        <w:contextualSpacing/>
        <w:rPr>
          <w:rFonts w:eastAsia="Palatino Linotype" w:cs="Palatino Linotype"/>
          <w:szCs w:val="24"/>
        </w:rPr>
      </w:pPr>
    </w:p>
    <w:p w14:paraId="71167630" w14:textId="23D4414A" w:rsidR="00D51D59" w:rsidRDefault="00D51D59" w:rsidP="00D51D59">
      <w:pPr>
        <w:pBdr>
          <w:top w:val="nil"/>
          <w:left w:val="nil"/>
          <w:bottom w:val="nil"/>
          <w:right w:val="nil"/>
          <w:between w:val="nil"/>
        </w:pBdr>
        <w:contextualSpacing/>
        <w:rPr>
          <w:rFonts w:eastAsia="Palatino Linotype" w:cs="Palatino Linotype"/>
          <w:color w:val="000000"/>
          <w:szCs w:val="24"/>
        </w:rPr>
      </w:pPr>
      <w:r>
        <w:rPr>
          <w:rFonts w:eastAsia="Palatino Linotype" w:cs="Palatino Linotype"/>
          <w:szCs w:val="24"/>
        </w:rPr>
        <w:t xml:space="preserve">Por lo argumentado en los párrafos que anteceden, </w:t>
      </w:r>
      <w:r>
        <w:rPr>
          <w:rFonts w:eastAsia="Palatino Linotype" w:cs="Palatino Linotype"/>
          <w:color w:val="000000"/>
          <w:szCs w:val="24"/>
        </w:rPr>
        <w:t xml:space="preserve">este Instituto estima que el Sujeto Obligado colmó las pretensiones del Recurrente al hacer de su conocimiento que la información relativa a la </w:t>
      </w:r>
      <w:r w:rsidR="00476AEA">
        <w:rPr>
          <w:rFonts w:eastAsia="Palatino Linotype" w:cs="Palatino Linotype"/>
          <w:color w:val="000000"/>
          <w:szCs w:val="24"/>
        </w:rPr>
        <w:t xml:space="preserve">recibos de nómina correspondientes a la primera quincena de enero de dos mil veinticinco </w:t>
      </w:r>
      <w:r>
        <w:rPr>
          <w:rFonts w:eastAsia="Palatino Linotype" w:cs="Palatino Linotype"/>
          <w:color w:val="000000"/>
          <w:szCs w:val="24"/>
        </w:rPr>
        <w:t>no había sido generada, poseída o administrada a la fecha de ingreso de la solicitud de información y, por tanto, los motivos de inconformidad planteados por el particular devienen infundados; por lo que es procedente confirmar la respuesta del Sujeto Obligado.</w:t>
      </w:r>
    </w:p>
    <w:p w14:paraId="05C10B39" w14:textId="77777777" w:rsidR="00D51D59" w:rsidRDefault="00D51D59" w:rsidP="00D51D59">
      <w:pPr>
        <w:pBdr>
          <w:top w:val="nil"/>
          <w:left w:val="nil"/>
          <w:bottom w:val="nil"/>
          <w:right w:val="nil"/>
          <w:between w:val="nil"/>
        </w:pBdr>
        <w:contextualSpacing/>
        <w:rPr>
          <w:rFonts w:eastAsia="Palatino Linotype" w:cs="Palatino Linotype"/>
          <w:szCs w:val="24"/>
        </w:rPr>
      </w:pPr>
    </w:p>
    <w:p w14:paraId="5949FDD5" w14:textId="2DB017BC" w:rsidR="00872535" w:rsidRPr="003F4924" w:rsidRDefault="00872535" w:rsidP="00872535">
      <w:pPr>
        <w:contextualSpacing/>
        <w:rPr>
          <w:rFonts w:eastAsia="Palatino Linotype" w:cs="Palatino Linotype"/>
          <w:color w:val="000000"/>
          <w:szCs w:val="24"/>
        </w:rPr>
      </w:pPr>
      <w:r w:rsidRPr="00A734EA">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a la solicitud de información pública </w:t>
      </w:r>
      <w:r w:rsidR="005120C4" w:rsidRPr="005120C4">
        <w:rPr>
          <w:rFonts w:eastAsia="Palatino Linotype" w:cs="Palatino Linotype"/>
          <w:b/>
          <w:bCs/>
          <w:color w:val="000000"/>
          <w:szCs w:val="24"/>
        </w:rPr>
        <w:t>00035/COCOTIT/IP/2025</w:t>
      </w:r>
      <w:r>
        <w:rPr>
          <w:rFonts w:eastAsia="Palatino Linotype" w:cs="Palatino Linotype"/>
          <w:b/>
          <w:bCs/>
          <w:color w:val="000000"/>
          <w:szCs w:val="24"/>
        </w:rPr>
        <w:t xml:space="preserve"> </w:t>
      </w:r>
      <w:r w:rsidRPr="00A734EA">
        <w:rPr>
          <w:rFonts w:eastAsia="Palatino Linotype" w:cs="Palatino Linotype"/>
          <w:color w:val="000000"/>
          <w:szCs w:val="24"/>
        </w:rPr>
        <w:t>que ha sido materia del presente fallo, por lo que este Pleno:</w:t>
      </w:r>
    </w:p>
    <w:p w14:paraId="069BC261" w14:textId="77777777" w:rsidR="00872535" w:rsidRDefault="00872535" w:rsidP="00872535">
      <w:pPr>
        <w:rPr>
          <w:rFonts w:eastAsia="Times New Roman" w:cs="Times New Roman"/>
          <w:szCs w:val="24"/>
          <w:lang w:eastAsia="es-ES"/>
        </w:rPr>
      </w:pPr>
    </w:p>
    <w:p w14:paraId="207CA93B" w14:textId="77777777" w:rsidR="00872535" w:rsidRPr="00A734EA" w:rsidRDefault="00872535" w:rsidP="00872535">
      <w:pPr>
        <w:pBdr>
          <w:top w:val="nil"/>
          <w:left w:val="nil"/>
          <w:bottom w:val="nil"/>
          <w:right w:val="nil"/>
          <w:between w:val="nil"/>
        </w:pBdr>
        <w:contextualSpacing/>
        <w:jc w:val="center"/>
        <w:rPr>
          <w:rFonts w:eastAsia="Palatino Linotype" w:cs="Palatino Linotype"/>
          <w:b/>
          <w:color w:val="000000"/>
          <w:sz w:val="28"/>
          <w:szCs w:val="28"/>
        </w:rPr>
      </w:pPr>
      <w:r w:rsidRPr="00A734EA">
        <w:rPr>
          <w:rFonts w:eastAsia="Palatino Linotype" w:cs="Palatino Linotype"/>
          <w:b/>
          <w:color w:val="000000"/>
          <w:sz w:val="28"/>
          <w:szCs w:val="28"/>
        </w:rPr>
        <w:t>R E S U E L V E</w:t>
      </w:r>
    </w:p>
    <w:p w14:paraId="6974F36E" w14:textId="77777777" w:rsidR="00872535" w:rsidRPr="00A734EA" w:rsidRDefault="00872535" w:rsidP="00872535">
      <w:pPr>
        <w:pBdr>
          <w:top w:val="nil"/>
          <w:left w:val="nil"/>
          <w:bottom w:val="nil"/>
          <w:right w:val="nil"/>
          <w:between w:val="nil"/>
        </w:pBdr>
        <w:spacing w:before="240"/>
        <w:contextualSpacing/>
        <w:jc w:val="center"/>
        <w:rPr>
          <w:rFonts w:eastAsia="Palatino Linotype" w:cs="Palatino Linotype"/>
          <w:b/>
          <w:color w:val="000000"/>
          <w:szCs w:val="24"/>
        </w:rPr>
      </w:pPr>
    </w:p>
    <w:p w14:paraId="46ABA93D" w14:textId="62FE8F5B" w:rsidR="00872535" w:rsidRPr="00A734EA" w:rsidRDefault="00872535" w:rsidP="00872535">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 xml:space="preserve">PRIMERO. </w:t>
      </w:r>
      <w:r w:rsidRPr="00A734EA">
        <w:rPr>
          <w:rFonts w:eastAsia="Palatino Linotype" w:cs="Palatino Linotype"/>
          <w:color w:val="000000"/>
          <w:szCs w:val="24"/>
        </w:rPr>
        <w:t xml:space="preserve">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del Sujeto Obligado</w:t>
      </w:r>
      <w:r w:rsidRPr="00A734EA">
        <w:rPr>
          <w:rFonts w:eastAsia="Palatino Linotype" w:cs="Palatino Linotype"/>
          <w:b/>
          <w:color w:val="000000"/>
          <w:szCs w:val="24"/>
        </w:rPr>
        <w:t xml:space="preserve"> </w:t>
      </w:r>
      <w:r w:rsidRPr="00A734EA">
        <w:rPr>
          <w:rFonts w:eastAsia="Palatino Linotype" w:cs="Palatino Linotype"/>
          <w:color w:val="000000"/>
          <w:szCs w:val="24"/>
        </w:rPr>
        <w:t xml:space="preserve">a la solicitud de información </w:t>
      </w:r>
      <w:r w:rsidR="005120C4">
        <w:rPr>
          <w:rFonts w:eastAsia="Palatino Linotype" w:cs="Palatino Linotype"/>
          <w:b/>
          <w:bCs/>
          <w:color w:val="000000"/>
          <w:szCs w:val="24"/>
        </w:rPr>
        <w:t>00035/COCOTIT/IP/2025</w:t>
      </w:r>
      <w:r w:rsidR="005120C4">
        <w:rPr>
          <w:rFonts w:eastAsia="Palatino Linotype" w:cs="Palatino Linotype"/>
          <w:color w:val="000000"/>
          <w:szCs w:val="24"/>
        </w:rPr>
        <w:t>,</w:t>
      </w:r>
      <w:r w:rsidR="005120C4">
        <w:rPr>
          <w:rFonts w:eastAsia="Palatino Linotype" w:cs="Palatino Linotype"/>
          <w:b/>
          <w:bCs/>
          <w:color w:val="000000"/>
          <w:szCs w:val="24"/>
        </w:rPr>
        <w:t xml:space="preserve"> </w:t>
      </w:r>
      <w:r w:rsidRPr="00A734EA">
        <w:rPr>
          <w:rFonts w:eastAsia="Palatino Linotype" w:cs="Palatino Linotype"/>
          <w:color w:val="000000"/>
          <w:szCs w:val="24"/>
        </w:rPr>
        <w:t xml:space="preserve">por resultar infundadas las razones o motivos de inconformidad hechos valer por </w:t>
      </w:r>
      <w:r w:rsidR="00584D2F">
        <w:rPr>
          <w:rFonts w:eastAsia="Palatino Linotype" w:cs="Palatino Linotype"/>
          <w:color w:val="000000"/>
          <w:szCs w:val="24"/>
        </w:rPr>
        <w:t>el</w:t>
      </w:r>
      <w:r w:rsidRPr="00A734EA">
        <w:rPr>
          <w:rFonts w:eastAsia="Palatino Linotype" w:cs="Palatino Linotype"/>
          <w:color w:val="000000"/>
          <w:szCs w:val="24"/>
        </w:rPr>
        <w:t xml:space="preserve"> Recurrente, en términos del Considerando </w:t>
      </w:r>
      <w:r>
        <w:rPr>
          <w:rFonts w:eastAsia="Palatino Linotype" w:cs="Palatino Linotype"/>
          <w:b/>
          <w:color w:val="000000"/>
          <w:szCs w:val="24"/>
        </w:rPr>
        <w:t>QUIN</w:t>
      </w:r>
      <w:r w:rsidRPr="00A734EA">
        <w:rPr>
          <w:rFonts w:eastAsia="Palatino Linotype" w:cs="Palatino Linotype"/>
          <w:b/>
          <w:color w:val="000000"/>
          <w:szCs w:val="24"/>
        </w:rPr>
        <w:t xml:space="preserve">TO </w:t>
      </w:r>
      <w:r w:rsidRPr="00A734EA">
        <w:rPr>
          <w:rFonts w:eastAsia="Palatino Linotype" w:cs="Palatino Linotype"/>
          <w:color w:val="000000"/>
          <w:szCs w:val="24"/>
        </w:rPr>
        <w:t>de esta resolución.</w:t>
      </w:r>
    </w:p>
    <w:p w14:paraId="428860AD" w14:textId="77777777" w:rsidR="00872535" w:rsidRPr="00A734EA" w:rsidRDefault="00872535" w:rsidP="00872535">
      <w:pPr>
        <w:pBdr>
          <w:top w:val="nil"/>
          <w:left w:val="nil"/>
          <w:bottom w:val="nil"/>
          <w:right w:val="nil"/>
          <w:between w:val="nil"/>
        </w:pBdr>
        <w:contextualSpacing/>
        <w:rPr>
          <w:rFonts w:eastAsia="Palatino Linotype" w:cs="Palatino Linotype"/>
          <w:b/>
          <w:color w:val="000000"/>
          <w:szCs w:val="24"/>
        </w:rPr>
      </w:pPr>
    </w:p>
    <w:p w14:paraId="04F1ACAF" w14:textId="77777777" w:rsidR="00872535" w:rsidRPr="00A734EA" w:rsidRDefault="00872535" w:rsidP="00872535">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SEGUNDO.</w:t>
      </w:r>
      <w:r w:rsidRPr="00A734EA">
        <w:rPr>
          <w:rFonts w:eastAsia="Palatino Linotype" w:cs="Palatino Linotype"/>
          <w:color w:val="000000"/>
          <w:szCs w:val="24"/>
        </w:rPr>
        <w:t xml:space="preserve"> </w:t>
      </w:r>
      <w:r w:rsidRPr="00A734EA">
        <w:rPr>
          <w:rFonts w:eastAsia="Palatino Linotype" w:cs="Palatino Linotype"/>
          <w:b/>
          <w:color w:val="000000"/>
          <w:szCs w:val="24"/>
        </w:rPr>
        <w:t>Notifíquese</w:t>
      </w:r>
      <w:r w:rsidRPr="00A734EA">
        <w:rPr>
          <w:rFonts w:eastAsia="Palatino Linotype" w:cs="Palatino Linotype"/>
          <w:color w:val="000000"/>
          <w:szCs w:val="24"/>
        </w:rPr>
        <w:t xml:space="preserve"> la presente resolución </w:t>
      </w:r>
      <w:r w:rsidRPr="00A734EA">
        <w:rPr>
          <w:rFonts w:eastAsia="Palatino Linotype" w:cs="Palatino Linotype"/>
          <w:szCs w:val="24"/>
        </w:rPr>
        <w:t>mediante el Sistema de Acceso a la Información Mexiquense</w:t>
      </w:r>
      <w:r w:rsidRPr="00A734EA">
        <w:rPr>
          <w:rFonts w:eastAsia="Palatino Linotype" w:cs="Palatino Linotype"/>
          <w:color w:val="000000"/>
          <w:szCs w:val="24"/>
        </w:rPr>
        <w:t xml:space="preserve"> (SAIMEX) al Titular de la Unidad de Transparencia del Sujeto Obligado.</w:t>
      </w:r>
    </w:p>
    <w:p w14:paraId="467A7543" w14:textId="77777777" w:rsidR="00872535" w:rsidRPr="00A734EA" w:rsidRDefault="00872535" w:rsidP="00872535">
      <w:pPr>
        <w:pBdr>
          <w:top w:val="nil"/>
          <w:left w:val="nil"/>
          <w:bottom w:val="nil"/>
          <w:right w:val="nil"/>
          <w:between w:val="nil"/>
        </w:pBdr>
        <w:contextualSpacing/>
        <w:rPr>
          <w:rFonts w:eastAsia="Palatino Linotype" w:cs="Palatino Linotype"/>
          <w:color w:val="000000"/>
          <w:szCs w:val="24"/>
        </w:rPr>
      </w:pPr>
    </w:p>
    <w:p w14:paraId="62F17450" w14:textId="77777777" w:rsidR="00872535" w:rsidRPr="00F12001" w:rsidRDefault="00872535" w:rsidP="00872535">
      <w:pPr>
        <w:pBdr>
          <w:top w:val="nil"/>
          <w:left w:val="nil"/>
          <w:bottom w:val="nil"/>
          <w:right w:val="nil"/>
          <w:between w:val="nil"/>
        </w:pBdr>
        <w:rPr>
          <w:rFonts w:eastAsia="Palatino Linotype" w:cs="Palatino Linotype"/>
          <w:color w:val="000000"/>
          <w:szCs w:val="24"/>
          <w:lang w:val="es-MX"/>
        </w:rPr>
      </w:pPr>
      <w:r w:rsidRPr="00F12001">
        <w:rPr>
          <w:rFonts w:eastAsia="Palatino Linotype" w:cs="Palatino Linotype"/>
          <w:b/>
          <w:color w:val="000000"/>
          <w:szCs w:val="24"/>
          <w:lang w:val="es-MX"/>
        </w:rPr>
        <w:t>TERCERO.</w:t>
      </w:r>
      <w:r w:rsidRPr="00F12001">
        <w:rPr>
          <w:rFonts w:eastAsia="Palatino Linotype" w:cs="Palatino Linotype"/>
          <w:color w:val="000000"/>
          <w:szCs w:val="24"/>
          <w:lang w:val="es-MX"/>
        </w:rPr>
        <w:t xml:space="preserve"> </w:t>
      </w:r>
      <w:r w:rsidRPr="00F12001">
        <w:rPr>
          <w:rFonts w:eastAsia="Palatino Linotype" w:cs="Palatino Linotype"/>
          <w:b/>
          <w:color w:val="000000"/>
          <w:szCs w:val="24"/>
          <w:lang w:val="es-MX"/>
        </w:rPr>
        <w:t>Notifíquese</w:t>
      </w:r>
      <w:r w:rsidRPr="00F12001">
        <w:rPr>
          <w:rFonts w:eastAsia="Palatino Linotype" w:cs="Palatino Linotype"/>
          <w:color w:val="000000"/>
          <w:szCs w:val="24"/>
          <w:lang w:val="es-MX"/>
        </w:rPr>
        <w:t xml:space="preserve"> </w:t>
      </w:r>
      <w:r>
        <w:rPr>
          <w:rFonts w:eastAsia="Palatino Linotype" w:cs="Palatino Linotype"/>
          <w:color w:val="000000"/>
          <w:szCs w:val="24"/>
          <w:lang w:val="es-MX"/>
        </w:rPr>
        <w:t>al</w:t>
      </w:r>
      <w:r w:rsidRPr="00F12001">
        <w:rPr>
          <w:rFonts w:eastAsia="Palatino Linotype" w:cs="Palatino Linotype"/>
          <w:color w:val="000000"/>
          <w:szCs w:val="24"/>
          <w:lang w:val="es-MX"/>
        </w:rPr>
        <w:t xml:space="preserve"> Recurrente</w:t>
      </w:r>
      <w:r w:rsidRPr="00F12001">
        <w:rPr>
          <w:rFonts w:eastAsia="Palatino Linotype" w:cs="Palatino Linotype"/>
          <w:b/>
          <w:color w:val="000000"/>
          <w:szCs w:val="24"/>
          <w:lang w:val="es-MX"/>
        </w:rPr>
        <w:t xml:space="preserve"> </w:t>
      </w:r>
      <w:r w:rsidRPr="00F12001">
        <w:rPr>
          <w:rFonts w:eastAsia="Palatino Linotype" w:cs="Palatino Linotype"/>
          <w:color w:val="000000"/>
          <w:szCs w:val="24"/>
          <w:lang w:val="es-MX"/>
        </w:rPr>
        <w:t>la presente resolución vía S</w:t>
      </w:r>
      <w:r w:rsidRPr="00F12001">
        <w:rPr>
          <w:rFonts w:eastAsia="Palatino Linotype" w:cs="Palatino Linotype"/>
          <w:szCs w:val="24"/>
          <w:lang w:val="es-MX"/>
        </w:rPr>
        <w:t>istema de Acceso a la Información Mexiquense</w:t>
      </w:r>
      <w:r w:rsidRPr="00F12001">
        <w:rPr>
          <w:rFonts w:eastAsia="Palatino Linotype" w:cs="Palatino Linotype"/>
          <w:color w:val="000000"/>
          <w:szCs w:val="24"/>
          <w:lang w:val="es-MX"/>
        </w:rPr>
        <w:t xml:space="preserve"> (SAIMEX)</w:t>
      </w:r>
      <w:r>
        <w:rPr>
          <w:rFonts w:eastAsia="Palatino Linotype" w:cs="Palatino Linotype"/>
          <w:color w:val="000000"/>
          <w:szCs w:val="24"/>
          <w:lang w:val="es-MX"/>
        </w:rPr>
        <w:t>,</w:t>
      </w:r>
      <w:r w:rsidRPr="00F12001">
        <w:rPr>
          <w:rFonts w:eastAsia="Palatino Linotype" w:cs="Palatino Linotype"/>
          <w:color w:val="000000"/>
          <w:szCs w:val="24"/>
          <w:lang w:val="es-MX"/>
        </w:rPr>
        <w:t xml:space="preserve">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1161184" w14:textId="40C178F4" w:rsidR="00715E8F" w:rsidRPr="00872535" w:rsidRDefault="00715E8F" w:rsidP="006059B5">
      <w:pPr>
        <w:pStyle w:val="NormalINFOEM"/>
        <w:rPr>
          <w:lang w:val="es-MX"/>
        </w:rPr>
      </w:pPr>
    </w:p>
    <w:p w14:paraId="20573BFF" w14:textId="4F74952B" w:rsidR="00A970D5" w:rsidRPr="006922F5" w:rsidRDefault="005A45B1" w:rsidP="006059B5">
      <w:pPr>
        <w:pStyle w:val="NormalINFOEM"/>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5526F">
        <w:rPr>
          <w:rFonts w:eastAsia="Palatino Linotype" w:cs="Palatino Linotype"/>
          <w:color w:val="000000"/>
          <w:szCs w:val="24"/>
        </w:rPr>
        <w:t xml:space="preserve">SÉPTIMA </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5526F">
        <w:rPr>
          <w:rFonts w:eastAsia="Palatino Linotype" w:cs="Palatino Linotype"/>
          <w:color w:val="000000"/>
          <w:szCs w:val="24"/>
        </w:rPr>
        <w:t>VEINTISÉIS</w:t>
      </w:r>
      <w:r w:rsidR="00B43890">
        <w:rPr>
          <w:rFonts w:eastAsia="Palatino Linotype" w:cs="Palatino Linotype"/>
          <w:color w:val="000000"/>
          <w:szCs w:val="24"/>
        </w:rPr>
        <w:t xml:space="preserve">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584D2F">
        <w:rPr>
          <w:rFonts w:eastAsia="Palatino Linotype" w:cs="Palatino Linotype"/>
          <w:color w:val="000000"/>
          <w:szCs w:val="24"/>
        </w:rPr>
        <w:t>---------------------------------------------------------------------------------------------------------------------------------------------------------------------------------------------------------------------------------------------------------------------------------------------------------------------------------------------------------------------------------------------------------------------------------------------------------------------------------------------------------------------------------------------------------------------------------------------------------------------------------------------------------------------------------------------------------------------------------------------------------------------------------------------------------------------------------------------------</w:t>
      </w:r>
    </w:p>
    <w:p w14:paraId="4DA57669" w14:textId="77777777" w:rsidR="00A970D5" w:rsidRPr="004B7011" w:rsidRDefault="44E9108F" w:rsidP="006059B5">
      <w:pPr>
        <w:pStyle w:val="NormalINFOEM"/>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059B5">
      <w:pPr>
        <w:pStyle w:val="NormalINFOEM"/>
        <w:rPr>
          <w:rFonts w:eastAsia="Palatino Linotype" w:cs="Palatino Linotype"/>
          <w:color w:val="000000"/>
          <w:sz w:val="20"/>
          <w:szCs w:val="20"/>
        </w:rPr>
      </w:pPr>
    </w:p>
    <w:p w14:paraId="5AA0A8E4" w14:textId="77777777" w:rsidR="00A970D5" w:rsidRPr="004B7011" w:rsidRDefault="00A970D5" w:rsidP="006059B5">
      <w:pPr>
        <w:pStyle w:val="NormalINFOEM"/>
        <w:rPr>
          <w:rFonts w:eastAsia="Palatino Linotype" w:cs="Palatino Linotype"/>
          <w:color w:val="000000"/>
          <w:sz w:val="20"/>
          <w:szCs w:val="20"/>
        </w:rPr>
      </w:pPr>
    </w:p>
    <w:p w14:paraId="607C2072" w14:textId="77777777" w:rsidR="00A970D5" w:rsidRPr="004B7011" w:rsidRDefault="00A970D5" w:rsidP="006059B5">
      <w:pPr>
        <w:pStyle w:val="NormalINFOEM"/>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11A9" w14:textId="77777777" w:rsidR="00DF15A4" w:rsidRDefault="00DF15A4" w:rsidP="00F2498E">
      <w:pPr>
        <w:spacing w:line="240" w:lineRule="auto"/>
      </w:pPr>
      <w:r>
        <w:separator/>
      </w:r>
    </w:p>
  </w:endnote>
  <w:endnote w:type="continuationSeparator" w:id="0">
    <w:p w14:paraId="23E03A07" w14:textId="77777777" w:rsidR="00DF15A4" w:rsidRDefault="00DF15A4" w:rsidP="00F2498E">
      <w:pPr>
        <w:spacing w:line="240" w:lineRule="auto"/>
      </w:pPr>
      <w:r>
        <w:continuationSeparator/>
      </w:r>
    </w:p>
  </w:endnote>
  <w:endnote w:type="continuationNotice" w:id="1">
    <w:p w14:paraId="76B94C7C" w14:textId="77777777" w:rsidR="00DF15A4" w:rsidRDefault="00DF1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1004C">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1004C">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1004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1004C">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605EF" w14:textId="77777777" w:rsidR="00DF15A4" w:rsidRDefault="00DF15A4" w:rsidP="00F2498E">
      <w:pPr>
        <w:spacing w:line="240" w:lineRule="auto"/>
      </w:pPr>
      <w:r>
        <w:separator/>
      </w:r>
    </w:p>
  </w:footnote>
  <w:footnote w:type="continuationSeparator" w:id="0">
    <w:p w14:paraId="443953CA" w14:textId="77777777" w:rsidR="00DF15A4" w:rsidRDefault="00DF15A4" w:rsidP="00F2498E">
      <w:pPr>
        <w:spacing w:line="240" w:lineRule="auto"/>
      </w:pPr>
      <w:r>
        <w:continuationSeparator/>
      </w:r>
    </w:p>
  </w:footnote>
  <w:footnote w:type="continuationNotice" w:id="1">
    <w:p w14:paraId="2ECE3F76" w14:textId="77777777" w:rsidR="00DF15A4" w:rsidRDefault="00DF15A4">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6CA7114" w14:textId="77777777" w:rsidR="000A17EB" w:rsidRDefault="000A17EB" w:rsidP="000A17EB">
      <w:pPr>
        <w:pStyle w:val="Textonotapie"/>
      </w:pPr>
      <w:r>
        <w:rPr>
          <w:rStyle w:val="Refdenotaalpie"/>
        </w:rPr>
        <w:footnoteRef/>
      </w:r>
      <w:r>
        <w:t xml:space="preserve"> </w:t>
      </w:r>
      <w:r>
        <w:rPr>
          <w:rFonts w:eastAsia="MS Mincho" w:cs="Arial"/>
          <w:sz w:val="16"/>
          <w:szCs w:val="16"/>
          <w:lang w:eastAsia="es-ES"/>
        </w:rPr>
        <w:t xml:space="preserve">VILLANUEVA </w:t>
      </w:r>
      <w:proofErr w:type="spellStart"/>
      <w:r>
        <w:rPr>
          <w:rFonts w:eastAsia="MS Mincho" w:cs="Arial"/>
          <w:sz w:val="16"/>
          <w:szCs w:val="16"/>
          <w:lang w:eastAsia="es-ES"/>
        </w:rPr>
        <w:t>VILLANUEVA</w:t>
      </w:r>
      <w:proofErr w:type="spellEnd"/>
      <w:r>
        <w:rPr>
          <w:rFonts w:eastAsia="MS Mincho" w:cs="Arial"/>
          <w:sz w:val="16"/>
          <w:szCs w:val="16"/>
          <w:lang w:eastAsia="es-ES"/>
        </w:rPr>
        <w:t xml:space="preserve"> Ernesto. Derecho de la Información, Ed. Porrúa. </w:t>
      </w:r>
      <w:r>
        <w:rPr>
          <w:rFonts w:eastAsia="MS Mincho" w:cs="Arial"/>
          <w:sz w:val="16"/>
          <w:szCs w:val="16"/>
        </w:rPr>
        <w:t>S.A., México. 2006. p. 270</w:t>
      </w:r>
    </w:p>
  </w:footnote>
  <w:footnote w:id="4">
    <w:p w14:paraId="095615B4" w14:textId="486DDDA9" w:rsidR="00200266" w:rsidRDefault="00200266">
      <w:pPr>
        <w:pStyle w:val="Textonotapie"/>
      </w:pPr>
      <w:r>
        <w:rPr>
          <w:rStyle w:val="Refdenotaalpie"/>
        </w:rPr>
        <w:footnoteRef/>
      </w:r>
      <w:r>
        <w:t xml:space="preserve"> </w:t>
      </w:r>
      <w:hyperlink r:id="rId3" w:history="1">
        <w:r w:rsidRPr="00110478">
          <w:rPr>
            <w:rStyle w:val="Hipervnculo"/>
          </w:rPr>
          <w:t>https://ipomex3.ipomex.org.mx/ipo3/lgt/indice/COCOTITLAN/organigramas.web</w:t>
        </w:r>
      </w:hyperlink>
      <w:r>
        <w:t xml:space="preserve"> consultado el </w:t>
      </w:r>
      <w:r w:rsidR="00F17343">
        <w:t>dieciocho de febrero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12F8B" w:rsidRDefault="0041004C">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C2F6898" w:rsidR="00012F8B" w:rsidRPr="00096248" w:rsidRDefault="00091941" w:rsidP="00011C4D">
          <w:pPr>
            <w:spacing w:after="120" w:line="240" w:lineRule="auto"/>
            <w:ind w:right="71"/>
            <w:jc w:val="right"/>
            <w:rPr>
              <w:rFonts w:cs="Arial"/>
              <w:b/>
              <w:szCs w:val="24"/>
            </w:rPr>
          </w:pPr>
          <w:r>
            <w:rPr>
              <w:rFonts w:cs="Arial"/>
              <w:b/>
              <w:bCs/>
              <w:szCs w:val="24"/>
            </w:rPr>
            <w:t>00575/INFOEM/IP/RR/2025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5D3D516" w:rsidR="00012F8B" w:rsidRPr="00096248" w:rsidRDefault="0003326B" w:rsidP="00011C4D">
          <w:pPr>
            <w:spacing w:after="120" w:line="240" w:lineRule="auto"/>
            <w:ind w:left="-81" w:right="71"/>
            <w:jc w:val="right"/>
            <w:rPr>
              <w:rFonts w:cs="Arial"/>
              <w:szCs w:val="24"/>
            </w:rPr>
          </w:pPr>
          <w:r>
            <w:rPr>
              <w:rFonts w:cs="Arial"/>
              <w:szCs w:val="24"/>
            </w:rPr>
            <w:t>Ayuntamiento de Cocotitlán</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41004C">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pt;margin-top:-142.2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4277856" w:rsidR="00012F8B" w:rsidRPr="00C81ECD" w:rsidRDefault="00091941" w:rsidP="00011C4D">
          <w:pPr>
            <w:spacing w:after="120" w:line="240" w:lineRule="auto"/>
            <w:ind w:left="-486" w:right="68" w:firstLine="558"/>
            <w:jc w:val="right"/>
            <w:rPr>
              <w:rFonts w:cs="Arial"/>
              <w:b/>
              <w:szCs w:val="24"/>
            </w:rPr>
          </w:pPr>
          <w:r>
            <w:rPr>
              <w:rFonts w:cs="Arial"/>
              <w:b/>
              <w:bCs/>
              <w:szCs w:val="24"/>
            </w:rPr>
            <w:t>00575/INFOEM/IP/RR/2025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D811E19" w:rsidR="00012F8B" w:rsidRPr="00663A37" w:rsidRDefault="0041004C" w:rsidP="70652167">
          <w:pPr>
            <w:spacing w:after="120" w:line="240" w:lineRule="auto"/>
            <w:ind w:right="68"/>
            <w:jc w:val="right"/>
            <w:rPr>
              <w:rFonts w:cs="Arial"/>
              <w:lang w:val="es-ES"/>
            </w:rPr>
          </w:pPr>
          <w:r>
            <w:rPr>
              <w:rFonts w:cs="Arial"/>
              <w:lang w:val="es-ES"/>
            </w:rPr>
            <w:t>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1F431EC" w:rsidR="00012F8B" w:rsidRPr="00663A37" w:rsidRDefault="0003326B" w:rsidP="00771E23">
          <w:pPr>
            <w:spacing w:after="120" w:line="240" w:lineRule="auto"/>
            <w:ind w:left="-70" w:right="68"/>
            <w:jc w:val="right"/>
            <w:rPr>
              <w:rFonts w:cs="Arial"/>
              <w:szCs w:val="24"/>
            </w:rPr>
          </w:pPr>
          <w:r>
            <w:rPr>
              <w:rFonts w:cs="Arial"/>
              <w:szCs w:val="24"/>
            </w:rPr>
            <w:t>Ayuntamiento de Cocotitlán</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41004C">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pt;margin-top:-142.0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9"/>
  </w:num>
  <w:num w:numId="3">
    <w:abstractNumId w:val="13"/>
  </w:num>
  <w:num w:numId="4">
    <w:abstractNumId w:val="50"/>
  </w:num>
  <w:num w:numId="5">
    <w:abstractNumId w:val="5"/>
  </w:num>
  <w:num w:numId="6">
    <w:abstractNumId w:val="43"/>
  </w:num>
  <w:num w:numId="7">
    <w:abstractNumId w:val="12"/>
  </w:num>
  <w:num w:numId="8">
    <w:abstractNumId w:val="4"/>
  </w:num>
  <w:num w:numId="9">
    <w:abstractNumId w:val="21"/>
  </w:num>
  <w:num w:numId="10">
    <w:abstractNumId w:val="22"/>
  </w:num>
  <w:num w:numId="11">
    <w:abstractNumId w:val="54"/>
  </w:num>
  <w:num w:numId="12">
    <w:abstractNumId w:val="48"/>
  </w:num>
  <w:num w:numId="13">
    <w:abstractNumId w:val="33"/>
  </w:num>
  <w:num w:numId="14">
    <w:abstractNumId w:val="38"/>
  </w:num>
  <w:num w:numId="15">
    <w:abstractNumId w:val="18"/>
  </w:num>
  <w:num w:numId="16">
    <w:abstractNumId w:val="32"/>
  </w:num>
  <w:num w:numId="17">
    <w:abstractNumId w:val="15"/>
  </w:num>
  <w:num w:numId="18">
    <w:abstractNumId w:val="7"/>
  </w:num>
  <w:num w:numId="19">
    <w:abstractNumId w:val="8"/>
  </w:num>
  <w:num w:numId="20">
    <w:abstractNumId w:val="14"/>
  </w:num>
  <w:num w:numId="21">
    <w:abstractNumId w:val="24"/>
  </w:num>
  <w:num w:numId="22">
    <w:abstractNumId w:val="3"/>
  </w:num>
  <w:num w:numId="23">
    <w:abstractNumId w:val="35"/>
  </w:num>
  <w:num w:numId="24">
    <w:abstractNumId w:val="42"/>
  </w:num>
  <w:num w:numId="25">
    <w:abstractNumId w:val="49"/>
  </w:num>
  <w:num w:numId="26">
    <w:abstractNumId w:val="20"/>
  </w:num>
  <w:num w:numId="27">
    <w:abstractNumId w:val="45"/>
  </w:num>
  <w:num w:numId="28">
    <w:abstractNumId w:val="27"/>
  </w:num>
  <w:num w:numId="29">
    <w:abstractNumId w:val="23"/>
  </w:num>
  <w:num w:numId="30">
    <w:abstractNumId w:val="16"/>
  </w:num>
  <w:num w:numId="31">
    <w:abstractNumId w:val="36"/>
  </w:num>
  <w:num w:numId="32">
    <w:abstractNumId w:val="41"/>
  </w:num>
  <w:num w:numId="33">
    <w:abstractNumId w:val="6"/>
  </w:num>
  <w:num w:numId="34">
    <w:abstractNumId w:val="52"/>
  </w:num>
  <w:num w:numId="35">
    <w:abstractNumId w:val="55"/>
  </w:num>
  <w:num w:numId="36">
    <w:abstractNumId w:val="47"/>
  </w:num>
  <w:num w:numId="37">
    <w:abstractNumId w:val="9"/>
  </w:num>
  <w:num w:numId="38">
    <w:abstractNumId w:val="46"/>
  </w:num>
  <w:num w:numId="39">
    <w:abstractNumId w:val="10"/>
  </w:num>
  <w:num w:numId="40">
    <w:abstractNumId w:val="44"/>
  </w:num>
  <w:num w:numId="41">
    <w:abstractNumId w:val="51"/>
  </w:num>
  <w:num w:numId="42">
    <w:abstractNumId w:val="0"/>
  </w:num>
  <w:num w:numId="43">
    <w:abstractNumId w:val="2"/>
  </w:num>
  <w:num w:numId="44">
    <w:abstractNumId w:val="30"/>
  </w:num>
  <w:num w:numId="45">
    <w:abstractNumId w:val="19"/>
  </w:num>
  <w:num w:numId="46">
    <w:abstractNumId w:val="28"/>
  </w:num>
  <w:num w:numId="47">
    <w:abstractNumId w:val="53"/>
  </w:num>
  <w:num w:numId="48">
    <w:abstractNumId w:val="26"/>
  </w:num>
  <w:num w:numId="49">
    <w:abstractNumId w:val="56"/>
  </w:num>
  <w:num w:numId="50">
    <w:abstractNumId w:val="17"/>
  </w:num>
  <w:num w:numId="51">
    <w:abstractNumId w:val="31"/>
  </w:num>
  <w:num w:numId="52">
    <w:abstractNumId w:val="37"/>
  </w:num>
  <w:num w:numId="53">
    <w:abstractNumId w:val="25"/>
  </w:num>
  <w:num w:numId="54">
    <w:abstractNumId w:val="1"/>
  </w:num>
  <w:num w:numId="55">
    <w:abstractNumId w:val="40"/>
  </w:num>
  <w:num w:numId="56">
    <w:abstractNumId w:val="11"/>
  </w:num>
  <w:num w:numId="57">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55F"/>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63"/>
    <w:rsid w:val="00033089"/>
    <w:rsid w:val="0003326B"/>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57C3A"/>
    <w:rsid w:val="00060716"/>
    <w:rsid w:val="00061B46"/>
    <w:rsid w:val="00061B8D"/>
    <w:rsid w:val="00061D9B"/>
    <w:rsid w:val="00061F00"/>
    <w:rsid w:val="000623D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9FD"/>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1941"/>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7EB"/>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204"/>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3CA"/>
    <w:rsid w:val="000F2668"/>
    <w:rsid w:val="000F367A"/>
    <w:rsid w:val="000F3D79"/>
    <w:rsid w:val="000F44C1"/>
    <w:rsid w:val="000F4958"/>
    <w:rsid w:val="000F547D"/>
    <w:rsid w:val="000F54F6"/>
    <w:rsid w:val="000F7D93"/>
    <w:rsid w:val="000F7F59"/>
    <w:rsid w:val="001005F5"/>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4CC3"/>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266"/>
    <w:rsid w:val="00200FAD"/>
    <w:rsid w:val="002015CF"/>
    <w:rsid w:val="00201765"/>
    <w:rsid w:val="00201ABD"/>
    <w:rsid w:val="002022B3"/>
    <w:rsid w:val="0020257F"/>
    <w:rsid w:val="00203EB8"/>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AD2"/>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4"/>
    <w:rsid w:val="00316A7B"/>
    <w:rsid w:val="003176D1"/>
    <w:rsid w:val="00317725"/>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39B"/>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25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2961"/>
    <w:rsid w:val="003D3477"/>
    <w:rsid w:val="003D372B"/>
    <w:rsid w:val="003D4F89"/>
    <w:rsid w:val="003D5450"/>
    <w:rsid w:val="003D58CE"/>
    <w:rsid w:val="003D70D0"/>
    <w:rsid w:val="003D7707"/>
    <w:rsid w:val="003D7760"/>
    <w:rsid w:val="003D7841"/>
    <w:rsid w:val="003E0B2A"/>
    <w:rsid w:val="003E0F89"/>
    <w:rsid w:val="003E13A1"/>
    <w:rsid w:val="003E1FCA"/>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04C"/>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C63"/>
    <w:rsid w:val="004310BB"/>
    <w:rsid w:val="004325EA"/>
    <w:rsid w:val="004338C7"/>
    <w:rsid w:val="00433E65"/>
    <w:rsid w:val="00434C3F"/>
    <w:rsid w:val="00434EAD"/>
    <w:rsid w:val="0043556C"/>
    <w:rsid w:val="00435789"/>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6F93"/>
    <w:rsid w:val="00447748"/>
    <w:rsid w:val="00447A90"/>
    <w:rsid w:val="00450D3E"/>
    <w:rsid w:val="00451C0A"/>
    <w:rsid w:val="00451E46"/>
    <w:rsid w:val="0045354B"/>
    <w:rsid w:val="00453687"/>
    <w:rsid w:val="004536F3"/>
    <w:rsid w:val="00453BC4"/>
    <w:rsid w:val="00454915"/>
    <w:rsid w:val="00454CB0"/>
    <w:rsid w:val="0045526F"/>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AEA"/>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6973"/>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1CB"/>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0C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D2F"/>
    <w:rsid w:val="00584F97"/>
    <w:rsid w:val="00585165"/>
    <w:rsid w:val="005856B3"/>
    <w:rsid w:val="00585AA7"/>
    <w:rsid w:val="00587662"/>
    <w:rsid w:val="00587B1E"/>
    <w:rsid w:val="00587E84"/>
    <w:rsid w:val="005912E8"/>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33D3"/>
    <w:rsid w:val="005F4D3D"/>
    <w:rsid w:val="005F514E"/>
    <w:rsid w:val="005F5B10"/>
    <w:rsid w:val="005F6CAB"/>
    <w:rsid w:val="005F760D"/>
    <w:rsid w:val="0060049C"/>
    <w:rsid w:val="0060129A"/>
    <w:rsid w:val="0060244C"/>
    <w:rsid w:val="006024B2"/>
    <w:rsid w:val="00602B07"/>
    <w:rsid w:val="00603988"/>
    <w:rsid w:val="0060429C"/>
    <w:rsid w:val="006055AB"/>
    <w:rsid w:val="006059B5"/>
    <w:rsid w:val="0060623B"/>
    <w:rsid w:val="00606D46"/>
    <w:rsid w:val="006100FC"/>
    <w:rsid w:val="00610274"/>
    <w:rsid w:val="00610980"/>
    <w:rsid w:val="00610A95"/>
    <w:rsid w:val="006115F0"/>
    <w:rsid w:val="00611CEF"/>
    <w:rsid w:val="00613401"/>
    <w:rsid w:val="00613C62"/>
    <w:rsid w:val="00613F4F"/>
    <w:rsid w:val="00614574"/>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6BD"/>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031A"/>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5E8F"/>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584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60A0"/>
    <w:rsid w:val="0075702C"/>
    <w:rsid w:val="0075799A"/>
    <w:rsid w:val="00757CF8"/>
    <w:rsid w:val="0076064B"/>
    <w:rsid w:val="00760F14"/>
    <w:rsid w:val="007616A0"/>
    <w:rsid w:val="007619CE"/>
    <w:rsid w:val="00761C38"/>
    <w:rsid w:val="00761EE8"/>
    <w:rsid w:val="00762151"/>
    <w:rsid w:val="0076215F"/>
    <w:rsid w:val="00762871"/>
    <w:rsid w:val="00762D4B"/>
    <w:rsid w:val="007630C1"/>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67D"/>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5EE9"/>
    <w:rsid w:val="00816C5A"/>
    <w:rsid w:val="00817344"/>
    <w:rsid w:val="008175F0"/>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BA5"/>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535"/>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4B0"/>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35C"/>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19E"/>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0D34"/>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0C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2FA"/>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EB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5F38"/>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2E0B"/>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6A2F"/>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0FDB"/>
    <w:rsid w:val="00C61818"/>
    <w:rsid w:val="00C61B06"/>
    <w:rsid w:val="00C61FEC"/>
    <w:rsid w:val="00C62B4F"/>
    <w:rsid w:val="00C62FC2"/>
    <w:rsid w:val="00C646B6"/>
    <w:rsid w:val="00C6512A"/>
    <w:rsid w:val="00C65918"/>
    <w:rsid w:val="00C65FA7"/>
    <w:rsid w:val="00C668EA"/>
    <w:rsid w:val="00C66AC2"/>
    <w:rsid w:val="00C67387"/>
    <w:rsid w:val="00C679CA"/>
    <w:rsid w:val="00C67D0D"/>
    <w:rsid w:val="00C67E35"/>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2C6"/>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1D59"/>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B43"/>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15A4"/>
    <w:rsid w:val="00DF2CB0"/>
    <w:rsid w:val="00DF33A6"/>
    <w:rsid w:val="00DF383C"/>
    <w:rsid w:val="00DF4465"/>
    <w:rsid w:val="00DF451B"/>
    <w:rsid w:val="00DF451C"/>
    <w:rsid w:val="00DF4F09"/>
    <w:rsid w:val="00DF5B04"/>
    <w:rsid w:val="00DF5D03"/>
    <w:rsid w:val="00DF5F57"/>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4E6B"/>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2C7"/>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DF"/>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17343"/>
    <w:rsid w:val="00F17B46"/>
    <w:rsid w:val="00F20491"/>
    <w:rsid w:val="00F206DE"/>
    <w:rsid w:val="00F20903"/>
    <w:rsid w:val="00F20DCF"/>
    <w:rsid w:val="00F20E1B"/>
    <w:rsid w:val="00F22AD8"/>
    <w:rsid w:val="00F23331"/>
    <w:rsid w:val="00F238F5"/>
    <w:rsid w:val="00F23CF2"/>
    <w:rsid w:val="00F2498E"/>
    <w:rsid w:val="00F249C5"/>
    <w:rsid w:val="00F25865"/>
    <w:rsid w:val="00F270F0"/>
    <w:rsid w:val="00F276A8"/>
    <w:rsid w:val="00F27DB1"/>
    <w:rsid w:val="00F305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176"/>
    <w:rsid w:val="00F423F6"/>
    <w:rsid w:val="00F433D7"/>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5EF"/>
    <w:rsid w:val="00F53747"/>
    <w:rsid w:val="00F53B5B"/>
    <w:rsid w:val="00F53EC1"/>
    <w:rsid w:val="00F541F1"/>
    <w:rsid w:val="00F54AF1"/>
    <w:rsid w:val="00F551D6"/>
    <w:rsid w:val="00F55B3B"/>
    <w:rsid w:val="00F55CBC"/>
    <w:rsid w:val="00F55DCB"/>
    <w:rsid w:val="00F56426"/>
    <w:rsid w:val="00F5643F"/>
    <w:rsid w:val="00F56CB4"/>
    <w:rsid w:val="00F57070"/>
    <w:rsid w:val="00F577DC"/>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6A9"/>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B795E"/>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UnresolvedMention">
    <w:name w:val="Unresolved Mention"/>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pomex3.ipomex.org.mx/ipo3/lgt/indice/COCOTITLAN/organigramas.web"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73BE-3967-4E41-A20F-37F8934F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23</Pages>
  <Words>5373</Words>
  <Characters>29555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436</cp:revision>
  <cp:lastPrinted>2019-06-13T16:30:00Z</cp:lastPrinted>
  <dcterms:created xsi:type="dcterms:W3CDTF">2024-10-14T18:17:00Z</dcterms:created>
  <dcterms:modified xsi:type="dcterms:W3CDTF">2025-03-12T17:19:00Z</dcterms:modified>
</cp:coreProperties>
</file>