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F1" w:rsidRPr="0021195C" w:rsidRDefault="009D3673" w:rsidP="00EC2856">
      <w:pPr>
        <w:tabs>
          <w:tab w:val="left" w:pos="3465"/>
        </w:tabs>
        <w:spacing w:line="360" w:lineRule="auto"/>
        <w:ind w:right="49"/>
        <w:jc w:val="both"/>
        <w:rPr>
          <w:rFonts w:ascii="Palatino Linotype" w:eastAsia="Palatino Linotype" w:hAnsi="Palatino Linotype" w:cs="Palatino Linotype"/>
          <w:b/>
        </w:rPr>
      </w:pPr>
      <w:r w:rsidRPr="0021195C">
        <w:rPr>
          <w:rFonts w:ascii="Palatino Linotype" w:eastAsia="Palatino Linotype" w:hAnsi="Palatino Linotype" w:cs="Palatino Linotype"/>
        </w:rPr>
        <w:t>R</w:t>
      </w:r>
      <w:bookmarkStart w:id="0" w:name="_GoBack"/>
      <w:bookmarkEnd w:id="0"/>
      <w:r w:rsidRPr="0021195C">
        <w:rPr>
          <w:rFonts w:ascii="Palatino Linotype" w:eastAsia="Palatino Linotype" w:hAnsi="Palatino Linotype" w:cs="Palatino Linotype"/>
        </w:rPr>
        <w:t>esolución del Pleno del Instituto de Transparencia, Acceso a la Información Pública y Protección de Datos Personales del Estado de México y Municipios, con domicilio en Metepec, Es</w:t>
      </w:r>
      <w:r w:rsidR="0081462E" w:rsidRPr="0021195C">
        <w:rPr>
          <w:rFonts w:ascii="Palatino Linotype" w:eastAsia="Palatino Linotype" w:hAnsi="Palatino Linotype" w:cs="Palatino Linotype"/>
        </w:rPr>
        <w:t xml:space="preserve">tado de México; </w:t>
      </w:r>
      <w:r w:rsidR="0081462E" w:rsidRPr="0021195C">
        <w:rPr>
          <w:rFonts w:ascii="Palatino Linotype" w:eastAsia="Palatino Linotype" w:hAnsi="Palatino Linotype" w:cs="Palatino Linotype"/>
          <w:b/>
        </w:rPr>
        <w:t xml:space="preserve">de fecha </w:t>
      </w:r>
      <w:r w:rsidR="00BE415E" w:rsidRPr="0021195C">
        <w:rPr>
          <w:rFonts w:ascii="Palatino Linotype" w:eastAsia="Palatino Linotype" w:hAnsi="Palatino Linotype" w:cs="Palatino Linotype"/>
          <w:b/>
        </w:rPr>
        <w:t>dieciséis</w:t>
      </w:r>
      <w:r w:rsidR="0021195C" w:rsidRPr="0021195C">
        <w:rPr>
          <w:rFonts w:ascii="Palatino Linotype" w:eastAsia="Palatino Linotype" w:hAnsi="Palatino Linotype" w:cs="Palatino Linotype"/>
          <w:b/>
        </w:rPr>
        <w:t xml:space="preserve"> (16)</w:t>
      </w:r>
      <w:r w:rsidR="00654047" w:rsidRPr="0021195C">
        <w:rPr>
          <w:rFonts w:ascii="Palatino Linotype" w:eastAsia="Palatino Linotype" w:hAnsi="Palatino Linotype" w:cs="Palatino Linotype"/>
          <w:b/>
        </w:rPr>
        <w:t xml:space="preserve"> de </w:t>
      </w:r>
      <w:r w:rsidR="00BE415E" w:rsidRPr="0021195C">
        <w:rPr>
          <w:rFonts w:ascii="Palatino Linotype" w:eastAsia="Palatino Linotype" w:hAnsi="Palatino Linotype" w:cs="Palatino Linotype"/>
          <w:b/>
        </w:rPr>
        <w:t>julio</w:t>
      </w:r>
      <w:r w:rsidRPr="0021195C">
        <w:rPr>
          <w:rFonts w:ascii="Palatino Linotype" w:eastAsia="Palatino Linotype" w:hAnsi="Palatino Linotype" w:cs="Palatino Linotype"/>
          <w:b/>
        </w:rPr>
        <w:t xml:space="preserve"> de dos mil veinticinco.</w:t>
      </w:r>
    </w:p>
    <w:p w:rsidR="00B84DF1" w:rsidRPr="0021195C" w:rsidRDefault="00B84DF1" w:rsidP="00EC2856">
      <w:pPr>
        <w:tabs>
          <w:tab w:val="left" w:pos="3465"/>
        </w:tabs>
        <w:spacing w:line="360" w:lineRule="auto"/>
        <w:ind w:right="49"/>
        <w:jc w:val="both"/>
        <w:rPr>
          <w:rFonts w:ascii="Palatino Linotype" w:eastAsia="Palatino Linotype" w:hAnsi="Palatino Linotype" w:cs="Palatino Linotype"/>
        </w:rPr>
      </w:pPr>
    </w:p>
    <w:p w:rsidR="00B84DF1" w:rsidRPr="0021195C" w:rsidRDefault="009D3673" w:rsidP="00EC2856">
      <w:pPr>
        <w:spacing w:line="360" w:lineRule="auto"/>
        <w:ind w:right="49"/>
        <w:jc w:val="both"/>
        <w:rPr>
          <w:rFonts w:ascii="Palatino Linotype" w:eastAsia="Palatino Linotype" w:hAnsi="Palatino Linotype" w:cs="Palatino Linotype"/>
        </w:rPr>
      </w:pPr>
      <w:r w:rsidRPr="0021195C">
        <w:rPr>
          <w:rFonts w:ascii="Palatino Linotype" w:eastAsia="Palatino Linotype" w:hAnsi="Palatino Linotype" w:cs="Palatino Linotype"/>
          <w:b/>
        </w:rPr>
        <w:t xml:space="preserve">VISTAS </w:t>
      </w:r>
      <w:r w:rsidRPr="0021195C">
        <w:rPr>
          <w:rFonts w:ascii="Palatino Linotype" w:eastAsia="Palatino Linotype" w:hAnsi="Palatino Linotype" w:cs="Palatino Linotype"/>
        </w:rPr>
        <w:t xml:space="preserve">las constancias para resolver el Recurso de Revisión </w:t>
      </w:r>
      <w:r w:rsidR="00D11877" w:rsidRPr="0021195C">
        <w:rPr>
          <w:rFonts w:ascii="Palatino Linotype" w:eastAsia="Palatino Linotype" w:hAnsi="Palatino Linotype" w:cs="Palatino Linotype"/>
          <w:b/>
        </w:rPr>
        <w:t>03143/INFOEM/IP/RR/2025</w:t>
      </w:r>
      <w:r w:rsidRPr="0021195C">
        <w:rPr>
          <w:rFonts w:ascii="Palatino Linotype" w:eastAsia="Palatino Linotype" w:hAnsi="Palatino Linotype" w:cs="Palatino Linotype"/>
          <w:b/>
        </w:rPr>
        <w:t>,</w:t>
      </w:r>
      <w:r w:rsidRPr="0021195C">
        <w:rPr>
          <w:rFonts w:ascii="Palatino Linotype" w:eastAsia="Palatino Linotype" w:hAnsi="Palatino Linotype" w:cs="Palatino Linotype"/>
        </w:rPr>
        <w:t xml:space="preserve"> presentado por </w:t>
      </w:r>
      <w:r w:rsidR="00264072">
        <w:rPr>
          <w:rFonts w:ascii="Palatino Linotype" w:eastAsia="Palatino Linotype" w:hAnsi="Palatino Linotype" w:cs="Palatino Linotype"/>
          <w:b/>
        </w:rPr>
        <w:t>XXXX</w:t>
      </w:r>
      <w:r w:rsidRPr="0021195C">
        <w:rPr>
          <w:rFonts w:ascii="Palatino Linotype" w:eastAsia="Palatino Linotype" w:hAnsi="Palatino Linotype" w:cs="Palatino Linotype"/>
          <w:b/>
        </w:rPr>
        <w:t>,</w:t>
      </w:r>
      <w:r w:rsidRPr="0021195C">
        <w:rPr>
          <w:rFonts w:ascii="Palatino Linotype" w:eastAsia="Palatino Linotype" w:hAnsi="Palatino Linotype" w:cs="Palatino Linotype"/>
        </w:rPr>
        <w:t xml:space="preserve"> a quien en lo sucesivo se denominará como </w:t>
      </w:r>
      <w:r w:rsidRPr="0021195C">
        <w:rPr>
          <w:rFonts w:ascii="Palatino Linotype" w:eastAsia="Palatino Linotype" w:hAnsi="Palatino Linotype" w:cs="Palatino Linotype"/>
          <w:b/>
        </w:rPr>
        <w:t>EL RECURRENTE</w:t>
      </w:r>
      <w:r w:rsidRPr="0021195C">
        <w:rPr>
          <w:rFonts w:ascii="Palatino Linotype" w:eastAsia="Palatino Linotype" w:hAnsi="Palatino Linotype" w:cs="Palatino Linotype"/>
        </w:rPr>
        <w:t xml:space="preserve">, en contra de la respuesta otorgada a la solicitud de información con número de folio </w:t>
      </w:r>
      <w:r w:rsidR="00256C47" w:rsidRPr="0021195C">
        <w:rPr>
          <w:rFonts w:ascii="Palatino Linotype" w:eastAsia="Palatino Linotype" w:hAnsi="Palatino Linotype" w:cs="Palatino Linotype"/>
          <w:b/>
        </w:rPr>
        <w:t>00461/CUAUTIZC/IP/2025</w:t>
      </w:r>
      <w:r w:rsidRPr="0021195C">
        <w:rPr>
          <w:rFonts w:ascii="Palatino Linotype" w:eastAsia="Palatino Linotype" w:hAnsi="Palatino Linotype" w:cs="Palatino Linotype"/>
        </w:rPr>
        <w:t xml:space="preserve">, por parte del </w:t>
      </w:r>
      <w:r w:rsidR="00BE415E" w:rsidRPr="0021195C">
        <w:rPr>
          <w:rFonts w:ascii="Palatino Linotype" w:eastAsia="Palatino Linotype" w:hAnsi="Palatino Linotype" w:cs="Palatino Linotype"/>
          <w:b/>
        </w:rPr>
        <w:t>Ayuntamiento de Cuautitlán Izcalli</w:t>
      </w:r>
      <w:r w:rsidRPr="0021195C">
        <w:rPr>
          <w:rFonts w:ascii="Palatino Linotype" w:eastAsia="Palatino Linotype" w:hAnsi="Palatino Linotype" w:cs="Palatino Linotype"/>
          <w:b/>
        </w:rPr>
        <w:t xml:space="preserve">, </w:t>
      </w:r>
      <w:r w:rsidRPr="0021195C">
        <w:rPr>
          <w:rFonts w:ascii="Palatino Linotype" w:eastAsia="Palatino Linotype" w:hAnsi="Palatino Linotype" w:cs="Palatino Linotype"/>
        </w:rPr>
        <w:t xml:space="preserve">en adelante </w:t>
      </w:r>
      <w:r w:rsidRPr="0021195C">
        <w:rPr>
          <w:rFonts w:ascii="Palatino Linotype" w:eastAsia="Palatino Linotype" w:hAnsi="Palatino Linotype" w:cs="Palatino Linotype"/>
          <w:b/>
        </w:rPr>
        <w:t>EL SUJETO OBLIGADO,</w:t>
      </w:r>
      <w:r w:rsidRPr="0021195C">
        <w:rPr>
          <w:rFonts w:ascii="Palatino Linotype" w:eastAsia="Palatino Linotype" w:hAnsi="Palatino Linotype" w:cs="Palatino Linotype"/>
        </w:rPr>
        <w:t xml:space="preserve"> se emite la presente </w:t>
      </w:r>
      <w:r w:rsidR="0081462E" w:rsidRPr="0021195C">
        <w:rPr>
          <w:rFonts w:ascii="Palatino Linotype" w:eastAsia="Palatino Linotype" w:hAnsi="Palatino Linotype" w:cs="Palatino Linotype"/>
        </w:rPr>
        <w:t>R</w:t>
      </w:r>
      <w:r w:rsidRPr="0021195C">
        <w:rPr>
          <w:rFonts w:ascii="Palatino Linotype" w:eastAsia="Palatino Linotype" w:hAnsi="Palatino Linotype" w:cs="Palatino Linotype"/>
        </w:rPr>
        <w:t>esolución con base en los siguientes:</w:t>
      </w:r>
    </w:p>
    <w:p w:rsidR="00B84DF1" w:rsidRPr="0021195C" w:rsidRDefault="00B84DF1" w:rsidP="00EC2856">
      <w:pPr>
        <w:spacing w:line="360" w:lineRule="auto"/>
        <w:ind w:right="49"/>
        <w:jc w:val="both"/>
        <w:rPr>
          <w:rFonts w:ascii="Palatino Linotype" w:eastAsia="Palatino Linotype" w:hAnsi="Palatino Linotype" w:cs="Palatino Linotype"/>
        </w:rPr>
      </w:pPr>
    </w:p>
    <w:p w:rsidR="00B84DF1" w:rsidRPr="0021195C" w:rsidRDefault="009D3673" w:rsidP="00EC2856">
      <w:pPr>
        <w:pStyle w:val="Ttulo1"/>
        <w:spacing w:before="0" w:line="360" w:lineRule="auto"/>
        <w:ind w:right="49"/>
        <w:jc w:val="center"/>
        <w:rPr>
          <w:rFonts w:ascii="Palatino Linotype" w:eastAsia="Palatino Linotype" w:hAnsi="Palatino Linotype" w:cs="Palatino Linotype"/>
          <w:b/>
          <w:color w:val="000000"/>
          <w:sz w:val="24"/>
          <w:szCs w:val="24"/>
        </w:rPr>
      </w:pPr>
      <w:bookmarkStart w:id="1" w:name="_heading=h.gjdgxs" w:colFirst="0" w:colLast="0"/>
      <w:bookmarkEnd w:id="1"/>
      <w:r w:rsidRPr="0021195C">
        <w:rPr>
          <w:rFonts w:ascii="Palatino Linotype" w:eastAsia="Palatino Linotype" w:hAnsi="Palatino Linotype" w:cs="Palatino Linotype"/>
          <w:b/>
          <w:color w:val="000000"/>
          <w:sz w:val="24"/>
          <w:szCs w:val="24"/>
        </w:rPr>
        <w:t>A N T E C E D E N T E S</w:t>
      </w:r>
    </w:p>
    <w:p w:rsidR="00B84DF1" w:rsidRPr="0021195C" w:rsidRDefault="00B84DF1" w:rsidP="00EC2856">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p>
    <w:p w:rsidR="00B84DF1" w:rsidRPr="0021195C" w:rsidRDefault="009D3673" w:rsidP="00EC2856">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El día</w:t>
      </w:r>
      <w:r w:rsidRPr="0021195C">
        <w:rPr>
          <w:rFonts w:ascii="Palatino Linotype" w:eastAsia="Palatino Linotype" w:hAnsi="Palatino Linotype" w:cs="Palatino Linotype"/>
          <w:b/>
          <w:color w:val="000000"/>
        </w:rPr>
        <w:t xml:space="preserve"> </w:t>
      </w:r>
      <w:r w:rsidR="00BE415E" w:rsidRPr="0021195C">
        <w:rPr>
          <w:rFonts w:ascii="Palatino Linotype" w:eastAsia="Palatino Linotype" w:hAnsi="Palatino Linotype" w:cs="Palatino Linotype"/>
          <w:b/>
          <w:color w:val="000000"/>
        </w:rPr>
        <w:t>veintiséis de febrero</w:t>
      </w:r>
      <w:r w:rsidRPr="0021195C">
        <w:rPr>
          <w:rFonts w:ascii="Palatino Linotype" w:eastAsia="Palatino Linotype" w:hAnsi="Palatino Linotype" w:cs="Palatino Linotype"/>
          <w:b/>
          <w:color w:val="000000"/>
        </w:rPr>
        <w:t xml:space="preserve"> dos mil veintic</w:t>
      </w:r>
      <w:r w:rsidR="00AC01CA" w:rsidRPr="0021195C">
        <w:rPr>
          <w:rFonts w:ascii="Palatino Linotype" w:eastAsia="Palatino Linotype" w:hAnsi="Palatino Linotype" w:cs="Palatino Linotype"/>
          <w:b/>
          <w:color w:val="000000"/>
        </w:rPr>
        <w:t>inco</w:t>
      </w:r>
      <w:r w:rsidRPr="0021195C">
        <w:rPr>
          <w:rFonts w:ascii="Palatino Linotype" w:eastAsia="Palatino Linotype" w:hAnsi="Palatino Linotype" w:cs="Palatino Linotype"/>
          <w:color w:val="000000"/>
        </w:rPr>
        <w:t>,</w:t>
      </w:r>
      <w:r w:rsidRPr="0021195C">
        <w:rPr>
          <w:rFonts w:ascii="Palatino Linotype" w:eastAsia="Palatino Linotype" w:hAnsi="Palatino Linotype" w:cs="Palatino Linotype"/>
          <w:b/>
          <w:color w:val="000000"/>
        </w:rPr>
        <w:t xml:space="preserve"> </w:t>
      </w:r>
      <w:r w:rsidRPr="0021195C">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B84DF1" w:rsidRPr="0021195C" w:rsidRDefault="00B84DF1" w:rsidP="00EC285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21195C" w:rsidRDefault="009D3673" w:rsidP="00EC2856">
      <w:pPr>
        <w:pBdr>
          <w:top w:val="nil"/>
          <w:left w:val="nil"/>
          <w:bottom w:val="nil"/>
          <w:right w:val="nil"/>
          <w:between w:val="nil"/>
        </w:pBdr>
        <w:spacing w:line="360" w:lineRule="auto"/>
        <w:ind w:left="425" w:right="49"/>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i/>
          <w:color w:val="000000"/>
        </w:rPr>
        <w:t>“</w:t>
      </w:r>
      <w:r w:rsidR="00BE415E" w:rsidRPr="0021195C">
        <w:rPr>
          <w:rFonts w:ascii="Palatino Linotype" w:eastAsia="Palatino Linotype" w:hAnsi="Palatino Linotype" w:cs="Palatino Linotype"/>
          <w:i/>
          <w:color w:val="000000"/>
        </w:rPr>
        <w:t>EN EJERCICIO DE MI DERECHO HUMANO A LA INFORMACION, SOLICITO LA NOMINA DE PRESIDENCIA MUNICIPAL, DE LA PRIMERA SINDICATURA, SEGUNDA SINDICATURA, PRIMERA REGIDURIA,SEGUNDA REGIDURIA,TERCERA,REGIDURIA,CUARTA REGIDURIA, QUINTA REGIDURIA, SEXTA REGIDURIA, SEPTIMA REGIDURIA, OCTAVA REGIDURIA, NOVENA REGIDURIA,DECIMA REGIDURIA, UNDECIMA REGIDURIA Y DUODECIMA REGIDURIA; TAMBIEN LA NOMINA DE LA SECRETARIA DEL AYUNTAMIENTO COMPLETA</w:t>
      </w:r>
      <w:r w:rsidRPr="0021195C">
        <w:rPr>
          <w:rFonts w:ascii="Palatino Linotype" w:eastAsia="Palatino Linotype" w:hAnsi="Palatino Linotype" w:cs="Palatino Linotype"/>
          <w:i/>
          <w:color w:val="000000"/>
        </w:rPr>
        <w:t>”</w:t>
      </w:r>
    </w:p>
    <w:p w:rsidR="00B84DF1" w:rsidRPr="0021195C" w:rsidRDefault="00B84DF1" w:rsidP="00EC2856">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rsidR="00B84DF1" w:rsidRPr="0021195C" w:rsidRDefault="009D3673" w:rsidP="00EC2856">
      <w:pPr>
        <w:numPr>
          <w:ilvl w:val="0"/>
          <w:numId w:val="2"/>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Se eligió como modalidad de entrega de la información: A través del </w:t>
      </w:r>
      <w:r w:rsidRPr="0021195C">
        <w:rPr>
          <w:rFonts w:ascii="Palatino Linotype" w:eastAsia="Palatino Linotype" w:hAnsi="Palatino Linotype" w:cs="Palatino Linotype"/>
          <w:b/>
          <w:color w:val="000000"/>
        </w:rPr>
        <w:t>SAIMEX.</w:t>
      </w:r>
    </w:p>
    <w:p w:rsidR="00053809" w:rsidRPr="0021195C" w:rsidRDefault="00053809" w:rsidP="00EC2856">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rsidR="0081462E" w:rsidRPr="0021195C" w:rsidRDefault="009D3673" w:rsidP="00BE415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color w:val="000000"/>
        </w:rPr>
        <w:t xml:space="preserve">El </w:t>
      </w:r>
      <w:r w:rsidR="00BE415E" w:rsidRPr="0021195C">
        <w:rPr>
          <w:rFonts w:ascii="Palatino Linotype" w:eastAsia="Palatino Linotype" w:hAnsi="Palatino Linotype" w:cs="Palatino Linotype"/>
          <w:b/>
          <w:color w:val="000000"/>
        </w:rPr>
        <w:t>doce</w:t>
      </w:r>
      <w:r w:rsidR="00654047" w:rsidRPr="0021195C">
        <w:rPr>
          <w:rFonts w:ascii="Palatino Linotype" w:eastAsia="Palatino Linotype" w:hAnsi="Palatino Linotype" w:cs="Palatino Linotype"/>
          <w:b/>
          <w:color w:val="000000"/>
        </w:rPr>
        <w:t xml:space="preserve"> de </w:t>
      </w:r>
      <w:r w:rsidR="00BE415E" w:rsidRPr="0021195C">
        <w:rPr>
          <w:rFonts w:ascii="Palatino Linotype" w:eastAsia="Palatino Linotype" w:hAnsi="Palatino Linotype" w:cs="Palatino Linotype"/>
          <w:b/>
          <w:color w:val="000000"/>
        </w:rPr>
        <w:t xml:space="preserve">marzo </w:t>
      </w:r>
      <w:r w:rsidR="00654047" w:rsidRPr="0021195C">
        <w:rPr>
          <w:rFonts w:ascii="Palatino Linotype" w:eastAsia="Palatino Linotype" w:hAnsi="Palatino Linotype" w:cs="Palatino Linotype"/>
          <w:b/>
          <w:color w:val="000000"/>
        </w:rPr>
        <w:t>dos mil veinticinco</w:t>
      </w:r>
      <w:r w:rsidRPr="0021195C">
        <w:rPr>
          <w:rFonts w:ascii="Palatino Linotype" w:eastAsia="Palatino Linotype" w:hAnsi="Palatino Linotype" w:cs="Palatino Linotype"/>
          <w:color w:val="000000"/>
        </w:rPr>
        <w:t xml:space="preserve">, el </w:t>
      </w:r>
      <w:r w:rsidR="00654047" w:rsidRPr="0021195C">
        <w:rPr>
          <w:rFonts w:ascii="Palatino Linotype" w:eastAsia="Palatino Linotype" w:hAnsi="Palatino Linotype" w:cs="Palatino Linotype"/>
          <w:b/>
          <w:color w:val="000000"/>
        </w:rPr>
        <w:t>SUJETO OBLIGADO</w:t>
      </w:r>
      <w:r w:rsidRPr="0021195C">
        <w:rPr>
          <w:rFonts w:ascii="Palatino Linotype" w:eastAsia="Palatino Linotype" w:hAnsi="Palatino Linotype" w:cs="Palatino Linotype"/>
          <w:b/>
          <w:color w:val="000000"/>
        </w:rPr>
        <w:t>,</w:t>
      </w:r>
      <w:r w:rsidRPr="0021195C">
        <w:rPr>
          <w:rFonts w:ascii="Palatino Linotype" w:eastAsia="Palatino Linotype" w:hAnsi="Palatino Linotype" w:cs="Palatino Linotype"/>
          <w:color w:val="000000"/>
        </w:rPr>
        <w:t xml:space="preserve"> dio respuesta a través de</w:t>
      </w:r>
      <w:r w:rsidR="0081462E" w:rsidRPr="0021195C">
        <w:rPr>
          <w:rFonts w:ascii="Palatino Linotype" w:eastAsia="Palatino Linotype" w:hAnsi="Palatino Linotype" w:cs="Palatino Linotype"/>
          <w:color w:val="000000"/>
        </w:rPr>
        <w:t xml:space="preserve"> </w:t>
      </w:r>
      <w:r w:rsidR="00DB20B2" w:rsidRPr="0021195C">
        <w:rPr>
          <w:rFonts w:ascii="Palatino Linotype" w:eastAsia="Palatino Linotype" w:hAnsi="Palatino Linotype" w:cs="Palatino Linotype"/>
          <w:color w:val="000000"/>
        </w:rPr>
        <w:t xml:space="preserve">un </w:t>
      </w:r>
      <w:r w:rsidR="00053809" w:rsidRPr="0021195C">
        <w:rPr>
          <w:rFonts w:ascii="Palatino Linotype" w:eastAsia="Palatino Linotype" w:hAnsi="Palatino Linotype" w:cs="Palatino Linotype"/>
          <w:color w:val="000000"/>
        </w:rPr>
        <w:t xml:space="preserve">archivo denominado </w:t>
      </w:r>
      <w:r w:rsidR="00BE415E" w:rsidRPr="0021195C">
        <w:rPr>
          <w:rFonts w:ascii="Palatino Linotype" w:eastAsia="Palatino Linotype" w:hAnsi="Palatino Linotype" w:cs="Palatino Linotype"/>
          <w:b/>
          <w:i/>
          <w:color w:val="000000"/>
        </w:rPr>
        <w:t xml:space="preserve">RESPUESTA 461.pdf </w:t>
      </w:r>
      <w:r w:rsidR="00BE415E" w:rsidRPr="0021195C">
        <w:rPr>
          <w:rFonts w:ascii="Palatino Linotype" w:eastAsia="Palatino Linotype" w:hAnsi="Palatino Linotype" w:cs="Palatino Linotype"/>
          <w:color w:val="000000"/>
        </w:rPr>
        <w:t>y</w:t>
      </w:r>
      <w:r w:rsidR="00BE415E" w:rsidRPr="0021195C">
        <w:rPr>
          <w:rFonts w:ascii="Palatino Linotype" w:eastAsia="Palatino Linotype" w:hAnsi="Palatino Linotype" w:cs="Palatino Linotype"/>
          <w:b/>
          <w:i/>
          <w:color w:val="000000"/>
        </w:rPr>
        <w:t xml:space="preserve"> LISTADO DE SERVIDORES PÚBLICOS.pdf</w:t>
      </w:r>
      <w:r w:rsidR="00C273BD" w:rsidRPr="0021195C">
        <w:rPr>
          <w:rFonts w:ascii="Palatino Linotype" w:eastAsia="Palatino Linotype" w:hAnsi="Palatino Linotype" w:cs="Palatino Linotype"/>
          <w:color w:val="000000"/>
        </w:rPr>
        <w:t xml:space="preserve">, cuyo contenido </w:t>
      </w:r>
      <w:r w:rsidR="00BE415E" w:rsidRPr="0021195C">
        <w:rPr>
          <w:rFonts w:ascii="Palatino Linotype" w:eastAsia="Palatino Linotype" w:hAnsi="Palatino Linotype" w:cs="Palatino Linotype"/>
          <w:color w:val="000000"/>
        </w:rPr>
        <w:t>corresponde el primero de ellos a un oficio signado por el Director de Administración, a través del cual informa que se remite en formato PDF el listado de nómina de los servidores públicos adscritos a la Presidencia Municipal, Primera Sindicatura, Segunda Sindicatura, Regidurías y Secretaria del Ayuntamiento con los datos de: clave, nombre del trabajados. clave de nómina, departamento, puesto, dieta, sueldo bruto y sueldo neto; el segundo de ellos corresponde a un archivo en formato PDF, constante de trece fojas, de contenido ilegible.</w:t>
      </w:r>
    </w:p>
    <w:p w:rsidR="00DB20B2" w:rsidRPr="0021195C" w:rsidRDefault="00DB20B2" w:rsidP="00EC285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rsidR="00B84DF1" w:rsidRPr="0021195C" w:rsidRDefault="009D3673" w:rsidP="00EC2856">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El</w:t>
      </w:r>
      <w:r w:rsidRPr="0021195C">
        <w:rPr>
          <w:rFonts w:ascii="Palatino Linotype" w:eastAsia="Palatino Linotype" w:hAnsi="Palatino Linotype" w:cs="Palatino Linotype"/>
          <w:b/>
          <w:color w:val="000000"/>
        </w:rPr>
        <w:t xml:space="preserve"> </w:t>
      </w:r>
      <w:r w:rsidR="00BE415E" w:rsidRPr="0021195C">
        <w:rPr>
          <w:rFonts w:ascii="Palatino Linotype" w:eastAsia="Palatino Linotype" w:hAnsi="Palatino Linotype" w:cs="Palatino Linotype"/>
          <w:b/>
          <w:color w:val="000000"/>
        </w:rPr>
        <w:t>dieci</w:t>
      </w:r>
      <w:r w:rsidR="00C273BD" w:rsidRPr="0021195C">
        <w:rPr>
          <w:rFonts w:ascii="Palatino Linotype" w:eastAsia="Palatino Linotype" w:hAnsi="Palatino Linotype" w:cs="Palatino Linotype"/>
          <w:b/>
          <w:color w:val="000000"/>
        </w:rPr>
        <w:t xml:space="preserve">ocho de </w:t>
      </w:r>
      <w:r w:rsidR="00BE415E" w:rsidRPr="0021195C">
        <w:rPr>
          <w:rFonts w:ascii="Palatino Linotype" w:eastAsia="Palatino Linotype" w:hAnsi="Palatino Linotype" w:cs="Palatino Linotype"/>
          <w:b/>
          <w:color w:val="000000"/>
        </w:rPr>
        <w:t>marzo</w:t>
      </w:r>
      <w:r w:rsidR="00DB20B2" w:rsidRPr="0021195C">
        <w:rPr>
          <w:rFonts w:ascii="Palatino Linotype" w:eastAsia="Palatino Linotype" w:hAnsi="Palatino Linotype" w:cs="Palatino Linotype"/>
          <w:b/>
          <w:color w:val="000000"/>
        </w:rPr>
        <w:t xml:space="preserve"> dos mil veinticinco</w:t>
      </w:r>
      <w:r w:rsidRPr="0021195C">
        <w:rPr>
          <w:rFonts w:ascii="Palatino Linotype" w:eastAsia="Palatino Linotype" w:hAnsi="Palatino Linotype" w:cs="Palatino Linotype"/>
          <w:color w:val="000000"/>
        </w:rPr>
        <w:t>, el particular interpuso el recurso de revisión en contra de la respuesta, realizando las siguientes manifestaciones:</w:t>
      </w:r>
    </w:p>
    <w:p w:rsidR="00AD30C0" w:rsidRPr="0021195C" w:rsidRDefault="00AD30C0" w:rsidP="00EC285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B84DF1" w:rsidRPr="0021195C" w:rsidRDefault="009D3673" w:rsidP="006B7977">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bookmarkStart w:id="2" w:name="_heading=h.30j0zll" w:colFirst="0" w:colLast="0"/>
      <w:bookmarkEnd w:id="2"/>
      <w:r w:rsidRPr="0021195C">
        <w:rPr>
          <w:rFonts w:ascii="Palatino Linotype" w:eastAsia="Palatino Linotype" w:hAnsi="Palatino Linotype" w:cs="Palatino Linotype"/>
          <w:b/>
          <w:color w:val="000000"/>
        </w:rPr>
        <w:t xml:space="preserve">ACTO IMPUGNADO: </w:t>
      </w:r>
      <w:r w:rsidRPr="0021195C">
        <w:rPr>
          <w:rFonts w:ascii="Palatino Linotype" w:eastAsia="Palatino Linotype" w:hAnsi="Palatino Linotype" w:cs="Palatino Linotype"/>
          <w:i/>
          <w:color w:val="000000"/>
        </w:rPr>
        <w:t>“</w:t>
      </w:r>
      <w:r w:rsidR="006B7977" w:rsidRPr="0021195C">
        <w:rPr>
          <w:rFonts w:ascii="Palatino Linotype" w:eastAsia="Palatino Linotype" w:hAnsi="Palatino Linotype" w:cs="Palatino Linotype"/>
          <w:i/>
          <w:color w:val="000000"/>
        </w:rPr>
        <w:t>LA RESPUESTA CONTENIDA EN EL OFICO DA/1345/2025, ESPCIFICAMENTE EL SUPUESTO ANEXO QUE CONTINE LA INFORMACION SOLICITADA</w:t>
      </w:r>
      <w:r w:rsidRPr="0021195C">
        <w:rPr>
          <w:rFonts w:ascii="Palatino Linotype" w:eastAsia="Palatino Linotype" w:hAnsi="Palatino Linotype" w:cs="Palatino Linotype"/>
          <w:i/>
          <w:color w:val="000000"/>
        </w:rPr>
        <w:t>”</w:t>
      </w:r>
    </w:p>
    <w:p w:rsidR="00AD30C0" w:rsidRPr="0021195C" w:rsidRDefault="00AD30C0" w:rsidP="00EC2856">
      <w:pPr>
        <w:pBdr>
          <w:top w:val="nil"/>
          <w:left w:val="nil"/>
          <w:bottom w:val="nil"/>
          <w:right w:val="nil"/>
          <w:between w:val="nil"/>
        </w:pBdr>
        <w:spacing w:line="360" w:lineRule="auto"/>
        <w:ind w:left="709" w:right="49"/>
        <w:jc w:val="both"/>
        <w:rPr>
          <w:rFonts w:ascii="Palatino Linotype" w:eastAsia="Palatino Linotype" w:hAnsi="Palatino Linotype" w:cs="Palatino Linotype"/>
          <w:i/>
          <w:color w:val="000000"/>
        </w:rPr>
      </w:pPr>
    </w:p>
    <w:p w:rsidR="00B84DF1" w:rsidRPr="0021195C" w:rsidRDefault="009D3673" w:rsidP="006B7977">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b/>
          <w:color w:val="000000"/>
        </w:rPr>
        <w:t xml:space="preserve">RAZONES O MOTIVOS DE LA INCONFORMIDAD: </w:t>
      </w:r>
      <w:r w:rsidRPr="0021195C">
        <w:rPr>
          <w:rFonts w:ascii="Palatino Linotype" w:eastAsia="Palatino Linotype" w:hAnsi="Palatino Linotype" w:cs="Palatino Linotype"/>
          <w:i/>
          <w:color w:val="000000"/>
        </w:rPr>
        <w:t>“</w:t>
      </w:r>
      <w:r w:rsidR="006B7977" w:rsidRPr="0021195C">
        <w:rPr>
          <w:rFonts w:ascii="Palatino Linotype" w:eastAsia="Palatino Linotype" w:hAnsi="Palatino Linotype" w:cs="Palatino Linotype"/>
          <w:i/>
          <w:color w:val="000000"/>
        </w:rPr>
        <w:t xml:space="preserve">ANEXAN UN ARCHIVO ILEGIBLE, QUE INCLUSIVE PUDIERA CONSIDERARSE COMO UNA BURLA, PUESTO QUE EN EL OFICIO DE RESPUESTA DESCRIBE CON PRESICION LO QUE CONTIENE EL ARCHIVO, SIN EMBARGO NO SE PUEDE VER, ES ILEGIBLE LO </w:t>
      </w:r>
      <w:r w:rsidR="006B7977" w:rsidRPr="0021195C">
        <w:rPr>
          <w:rFonts w:ascii="Palatino Linotype" w:eastAsia="Palatino Linotype" w:hAnsi="Palatino Linotype" w:cs="Palatino Linotype"/>
          <w:i/>
          <w:color w:val="000000"/>
        </w:rPr>
        <w:lastRenderedPageBreak/>
        <w:t>CONTENIDO EN EL ARCHIVO, POR LO CUAL DEBEN DE PROPORCIONAR LA INFORMACIÓN QUE PUEDA VERSE</w:t>
      </w:r>
      <w:r w:rsidRPr="0021195C">
        <w:rPr>
          <w:rFonts w:ascii="Palatino Linotype" w:eastAsia="Palatino Linotype" w:hAnsi="Palatino Linotype" w:cs="Palatino Linotype"/>
          <w:i/>
          <w:color w:val="000000"/>
        </w:rPr>
        <w:t>”</w:t>
      </w:r>
    </w:p>
    <w:p w:rsidR="00B84DF1" w:rsidRPr="0021195C" w:rsidRDefault="00B84DF1" w:rsidP="00EC2856">
      <w:pPr>
        <w:pBdr>
          <w:top w:val="nil"/>
          <w:left w:val="nil"/>
          <w:bottom w:val="nil"/>
          <w:right w:val="nil"/>
          <w:between w:val="nil"/>
        </w:pBdr>
        <w:spacing w:line="360" w:lineRule="auto"/>
        <w:ind w:left="720" w:right="49"/>
        <w:rPr>
          <w:rFonts w:ascii="Palatino Linotype" w:eastAsia="Palatino Linotype" w:hAnsi="Palatino Linotype" w:cs="Palatino Linotype"/>
          <w:i/>
          <w:color w:val="000000"/>
        </w:rPr>
      </w:pPr>
    </w:p>
    <w:p w:rsidR="00B84DF1" w:rsidRPr="0021195C" w:rsidRDefault="009D3673" w:rsidP="00EC285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Con fundamento en lo dispuesto por el artículo 185 fracción II de la ley de la materia, se acordó a las partes a efecto de que en un plazo máximo de siete días, el Recurrente </w:t>
      </w:r>
      <w:r w:rsidRPr="0021195C">
        <w:rPr>
          <w:rFonts w:ascii="Palatino Linotype" w:eastAsia="Palatino Linotype" w:hAnsi="Palatino Linotype" w:cs="Palatino Linotype"/>
        </w:rPr>
        <w:t>manifiesta</w:t>
      </w:r>
      <w:r w:rsidRPr="0021195C">
        <w:rPr>
          <w:rFonts w:ascii="Palatino Linotype" w:eastAsia="Palatino Linotype" w:hAnsi="Palatino Linotype" w:cs="Palatino Linotype"/>
          <w:color w:val="000000"/>
        </w:rPr>
        <w:t xml:space="preserve"> lo que a su derecho conviniera, </w:t>
      </w:r>
      <w:r w:rsidRPr="0021195C">
        <w:rPr>
          <w:rFonts w:ascii="Palatino Linotype" w:eastAsia="Palatino Linotype" w:hAnsi="Palatino Linotype" w:cs="Palatino Linotype"/>
        </w:rPr>
        <w:t>ofreciera</w:t>
      </w:r>
      <w:r w:rsidRPr="0021195C">
        <w:rPr>
          <w:rFonts w:ascii="Palatino Linotype" w:eastAsia="Palatino Linotype" w:hAnsi="Palatino Linotype" w:cs="Palatino Linotype"/>
          <w:color w:val="000000"/>
        </w:rPr>
        <w:t xml:space="preserve"> pruebas y alegatos, y el Sujeto Obligado presentará el Informe Justificado.</w:t>
      </w:r>
    </w:p>
    <w:p w:rsidR="00C273BD" w:rsidRPr="0021195C" w:rsidRDefault="00C273BD" w:rsidP="00EC285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B20B2" w:rsidRPr="0021195C" w:rsidRDefault="009D3673" w:rsidP="00CC78C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El Recurrente</w:t>
      </w:r>
      <w:r w:rsidRPr="0021195C">
        <w:rPr>
          <w:rFonts w:ascii="Palatino Linotype" w:eastAsia="Palatino Linotype" w:hAnsi="Palatino Linotype" w:cs="Palatino Linotype"/>
          <w:b/>
          <w:color w:val="000000"/>
        </w:rPr>
        <w:t xml:space="preserve"> </w:t>
      </w:r>
      <w:r w:rsidRPr="0021195C">
        <w:rPr>
          <w:rFonts w:ascii="Palatino Linotype" w:eastAsia="Palatino Linotype" w:hAnsi="Palatino Linotype" w:cs="Palatino Linotype"/>
          <w:color w:val="000000"/>
        </w:rPr>
        <w:t xml:space="preserve">dejó de realizar manifestaciones que a su derecho conviniera y asistiera. Por su parte el Sujeto Obligado, </w:t>
      </w:r>
      <w:r w:rsidR="006B7977" w:rsidRPr="0021195C">
        <w:rPr>
          <w:rFonts w:ascii="Palatino Linotype" w:eastAsia="Palatino Linotype" w:hAnsi="Palatino Linotype" w:cs="Palatino Linotype"/>
          <w:color w:val="000000"/>
        </w:rPr>
        <w:t>en fecha veintisiete de marzo del año en curso, rindió</w:t>
      </w:r>
      <w:r w:rsidR="00C273BD" w:rsidRPr="0021195C">
        <w:rPr>
          <w:rFonts w:ascii="Palatino Linotype" w:eastAsia="Palatino Linotype" w:hAnsi="Palatino Linotype" w:cs="Palatino Linotype"/>
          <w:color w:val="000000"/>
        </w:rPr>
        <w:t xml:space="preserve"> el informe</w:t>
      </w:r>
      <w:r w:rsidRPr="0021195C">
        <w:rPr>
          <w:rFonts w:ascii="Palatino Linotype" w:eastAsia="Palatino Linotype" w:hAnsi="Palatino Linotype" w:cs="Palatino Linotype"/>
          <w:color w:val="000000"/>
        </w:rPr>
        <w:t xml:space="preserve"> justificado </w:t>
      </w:r>
      <w:r w:rsidR="006B7977" w:rsidRPr="0021195C">
        <w:rPr>
          <w:rFonts w:ascii="Palatino Linotype" w:eastAsia="Palatino Linotype" w:hAnsi="Palatino Linotype" w:cs="Palatino Linotype"/>
          <w:color w:val="000000"/>
        </w:rPr>
        <w:t xml:space="preserve">correspondiente a través del archivo de nominado </w:t>
      </w:r>
      <w:r w:rsidR="006B7977" w:rsidRPr="0021195C">
        <w:rPr>
          <w:rFonts w:ascii="Palatino Linotype" w:eastAsia="Palatino Linotype" w:hAnsi="Palatino Linotype" w:cs="Palatino Linotype"/>
          <w:b/>
          <w:i/>
          <w:color w:val="000000"/>
        </w:rPr>
        <w:t>Informe Justificado RR 03143.pdf</w:t>
      </w:r>
      <w:r w:rsidR="006B7977" w:rsidRPr="0021195C">
        <w:rPr>
          <w:rFonts w:ascii="Palatino Linotype" w:eastAsia="Palatino Linotype" w:hAnsi="Palatino Linotype" w:cs="Palatino Linotype"/>
          <w:color w:val="000000"/>
        </w:rPr>
        <w:t>, suscrito</w:t>
      </w:r>
      <w:bookmarkStart w:id="3" w:name="_heading=h.1fob9te" w:colFirst="0" w:colLast="0"/>
      <w:bookmarkEnd w:id="3"/>
      <w:r w:rsidR="006B7977" w:rsidRPr="0021195C">
        <w:rPr>
          <w:rFonts w:ascii="Palatino Linotype" w:eastAsia="Palatino Linotype" w:hAnsi="Palatino Linotype" w:cs="Palatino Linotype"/>
          <w:color w:val="000000"/>
        </w:rPr>
        <w:t xml:space="preserve"> por el Director de Administración, a </w:t>
      </w:r>
      <w:r w:rsidR="00CC78CD" w:rsidRPr="0021195C">
        <w:rPr>
          <w:rFonts w:ascii="Palatino Linotype" w:eastAsia="Palatino Linotype" w:hAnsi="Palatino Linotype" w:cs="Palatino Linotype"/>
          <w:color w:val="000000"/>
        </w:rPr>
        <w:t>través</w:t>
      </w:r>
      <w:r w:rsidR="006B7977" w:rsidRPr="0021195C">
        <w:rPr>
          <w:rFonts w:ascii="Palatino Linotype" w:eastAsia="Palatino Linotype" w:hAnsi="Palatino Linotype" w:cs="Palatino Linotype"/>
          <w:color w:val="000000"/>
        </w:rPr>
        <w:t xml:space="preserve"> del </w:t>
      </w:r>
      <w:r w:rsidR="00CC78CD" w:rsidRPr="0021195C">
        <w:rPr>
          <w:rFonts w:ascii="Palatino Linotype" w:eastAsia="Palatino Linotype" w:hAnsi="Palatino Linotype" w:cs="Palatino Linotype"/>
          <w:color w:val="000000"/>
        </w:rPr>
        <w:t xml:space="preserve">a través del cual confirma su respuesta manifestando que es lo que obra en sus archivos luego de su búsqueda acuciosa, detenida y selectiva; no obstante que se argumenta su ilegibilidad, se remite nuevamente lo solicitado. Por otro lado se adjunta el archivo denominado </w:t>
      </w:r>
      <w:r w:rsidR="00CC78CD" w:rsidRPr="0021195C">
        <w:rPr>
          <w:rFonts w:ascii="Palatino Linotype" w:eastAsia="Palatino Linotype" w:hAnsi="Palatino Linotype" w:cs="Palatino Linotype"/>
          <w:b/>
          <w:i/>
          <w:color w:val="000000"/>
        </w:rPr>
        <w:t>Información RR 03143.pdf</w:t>
      </w:r>
      <w:r w:rsidR="00CC78CD" w:rsidRPr="0021195C">
        <w:rPr>
          <w:rFonts w:ascii="Palatino Linotype" w:eastAsia="Palatino Linotype" w:hAnsi="Palatino Linotype" w:cs="Palatino Linotype"/>
          <w:color w:val="000000"/>
        </w:rPr>
        <w:t>, que consiste en el mismo anexo remitido en respuesta, ilegible.</w:t>
      </w:r>
    </w:p>
    <w:p w:rsidR="00CC78CD" w:rsidRPr="0021195C" w:rsidRDefault="00CC78CD" w:rsidP="00CC78CD">
      <w:pPr>
        <w:pStyle w:val="Prrafodelista"/>
        <w:rPr>
          <w:rFonts w:ascii="Palatino Linotype" w:eastAsia="Palatino Linotype" w:hAnsi="Palatino Linotype" w:cs="Palatino Linotype"/>
          <w:color w:val="000000"/>
        </w:rPr>
      </w:pPr>
    </w:p>
    <w:p w:rsidR="00B84DF1" w:rsidRPr="0021195C" w:rsidRDefault="00B60BC1" w:rsidP="00EC285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color w:val="000000"/>
        </w:rPr>
        <w:t>Al no existir pendientes o diligencias por desahogar,</w:t>
      </w:r>
      <w:r w:rsidR="009D3673" w:rsidRPr="0021195C">
        <w:rPr>
          <w:rFonts w:ascii="Palatino Linotype" w:eastAsia="Palatino Linotype" w:hAnsi="Palatino Linotype" w:cs="Palatino Linotype"/>
        </w:rPr>
        <w:t xml:space="preserve"> mediante acuerdo de </w:t>
      </w:r>
      <w:r w:rsidR="004656BC" w:rsidRPr="0021195C">
        <w:rPr>
          <w:rFonts w:ascii="Palatino Linotype" w:eastAsia="Palatino Linotype" w:hAnsi="Palatino Linotype" w:cs="Palatino Linotype"/>
          <w:b/>
        </w:rPr>
        <w:t xml:space="preserve">día </w:t>
      </w:r>
      <w:r w:rsidR="00CC78CD" w:rsidRPr="0021195C">
        <w:rPr>
          <w:rFonts w:ascii="Palatino Linotype" w:eastAsia="Palatino Linotype" w:hAnsi="Palatino Linotype" w:cs="Palatino Linotype"/>
          <w:b/>
        </w:rPr>
        <w:t>nueve de</w:t>
      </w:r>
      <w:r w:rsidRPr="0021195C">
        <w:rPr>
          <w:rFonts w:ascii="Palatino Linotype" w:eastAsia="Palatino Linotype" w:hAnsi="Palatino Linotype" w:cs="Palatino Linotype"/>
          <w:b/>
        </w:rPr>
        <w:t xml:space="preserve"> </w:t>
      </w:r>
      <w:r w:rsidR="00CC78CD" w:rsidRPr="0021195C">
        <w:rPr>
          <w:rFonts w:ascii="Palatino Linotype" w:eastAsia="Palatino Linotype" w:hAnsi="Palatino Linotype" w:cs="Palatino Linotype"/>
          <w:b/>
        </w:rPr>
        <w:t>juli</w:t>
      </w:r>
      <w:r w:rsidRPr="0021195C">
        <w:rPr>
          <w:rFonts w:ascii="Palatino Linotype" w:eastAsia="Palatino Linotype" w:hAnsi="Palatino Linotype" w:cs="Palatino Linotype"/>
          <w:b/>
        </w:rPr>
        <w:t>o del año en curso</w:t>
      </w:r>
      <w:r w:rsidR="009D3673" w:rsidRPr="0021195C">
        <w:rPr>
          <w:rFonts w:ascii="Palatino Linotype" w:eastAsia="Palatino Linotype" w:hAnsi="Palatino Linotype" w:cs="Palatino Linotype"/>
        </w:rPr>
        <w:t xml:space="preserve">, la Comisionada Ponente dictó el cierre del periodo de </w:t>
      </w:r>
      <w:r w:rsidR="009D3673" w:rsidRPr="0021195C">
        <w:rPr>
          <w:rFonts w:ascii="Palatino Linotype" w:eastAsia="Palatino Linotype" w:hAnsi="Palatino Linotype" w:cs="Palatino Linotype"/>
          <w:color w:val="000000"/>
        </w:rPr>
        <w:t>instrucción</w:t>
      </w:r>
      <w:r w:rsidR="009D3673" w:rsidRPr="0021195C">
        <w:rPr>
          <w:rFonts w:ascii="Palatino Linotype" w:eastAsia="Palatino Linotype" w:hAnsi="Palatino Linotype" w:cs="Palatino Linotype"/>
        </w:rPr>
        <w:t xml:space="preserve"> y, orden</w:t>
      </w:r>
      <w:r w:rsidR="00CC78CD" w:rsidRPr="0021195C">
        <w:rPr>
          <w:rFonts w:ascii="Palatino Linotype" w:eastAsia="Palatino Linotype" w:hAnsi="Palatino Linotype" w:cs="Palatino Linotype"/>
        </w:rPr>
        <w:t>ó la resolución que conforme a d</w:t>
      </w:r>
      <w:r w:rsidR="009D3673" w:rsidRPr="0021195C">
        <w:rPr>
          <w:rFonts w:ascii="Palatino Linotype" w:eastAsia="Palatino Linotype" w:hAnsi="Palatino Linotype" w:cs="Palatino Linotype"/>
        </w:rPr>
        <w:t>erecho proceda, de acuerdo a las siguientes:</w:t>
      </w:r>
      <w:r w:rsidR="00CB4A28" w:rsidRPr="0021195C">
        <w:rPr>
          <w:rFonts w:ascii="Palatino Linotype" w:eastAsia="Palatino Linotype" w:hAnsi="Palatino Linotype" w:cs="Palatino Linotype"/>
        </w:rPr>
        <w:t xml:space="preserve"> ---------</w:t>
      </w:r>
    </w:p>
    <w:p w:rsidR="0021195C" w:rsidRPr="0021195C" w:rsidRDefault="0021195C" w:rsidP="0021195C">
      <w:pPr>
        <w:pStyle w:val="Prrafodelista"/>
        <w:rPr>
          <w:rFonts w:ascii="Palatino Linotype" w:eastAsia="Palatino Linotype" w:hAnsi="Palatino Linotype" w:cs="Palatino Linotype"/>
          <w:b/>
          <w:color w:val="000000"/>
        </w:rPr>
      </w:pPr>
    </w:p>
    <w:p w:rsidR="0021195C" w:rsidRDefault="0021195C" w:rsidP="0021195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626B88" w:rsidRDefault="00626B88" w:rsidP="0021195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626B88" w:rsidRPr="0021195C" w:rsidRDefault="00626B88" w:rsidP="0021195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B84DF1" w:rsidRPr="0021195C" w:rsidRDefault="009D3673" w:rsidP="00EC2856">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lastRenderedPageBreak/>
        <w:t>C O N S I D E R A C I O N E S</w:t>
      </w:r>
    </w:p>
    <w:p w:rsidR="00B84DF1" w:rsidRPr="0021195C" w:rsidRDefault="00B84DF1" w:rsidP="00EC2856">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p>
    <w:p w:rsidR="00B84DF1" w:rsidRPr="0021195C" w:rsidRDefault="009D3673" w:rsidP="00EC2856">
      <w:pPr>
        <w:pStyle w:val="Ttulo2"/>
        <w:spacing w:before="0" w:line="360" w:lineRule="auto"/>
        <w:ind w:right="49"/>
        <w:rPr>
          <w:rFonts w:ascii="Palatino Linotype" w:eastAsia="Palatino Linotype" w:hAnsi="Palatino Linotype" w:cs="Palatino Linotype"/>
          <w:b/>
          <w:color w:val="000000"/>
          <w:sz w:val="24"/>
          <w:szCs w:val="24"/>
        </w:rPr>
      </w:pPr>
      <w:bookmarkStart w:id="4" w:name="_heading=h.3znysh7" w:colFirst="0" w:colLast="0"/>
      <w:bookmarkEnd w:id="4"/>
      <w:r w:rsidRPr="0021195C">
        <w:rPr>
          <w:rFonts w:ascii="Palatino Linotype" w:eastAsia="Palatino Linotype" w:hAnsi="Palatino Linotype" w:cs="Palatino Linotype"/>
          <w:b/>
          <w:color w:val="000000"/>
          <w:sz w:val="24"/>
          <w:szCs w:val="24"/>
        </w:rPr>
        <w:t>PRIMERA. Competencia</w:t>
      </w:r>
    </w:p>
    <w:p w:rsidR="00B84DF1" w:rsidRPr="0021195C" w:rsidRDefault="009D3673" w:rsidP="00EC285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6535A3" w:rsidRPr="0021195C" w:rsidRDefault="006535A3" w:rsidP="00EC285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21195C" w:rsidRDefault="009D3673" w:rsidP="00EC2856">
      <w:pPr>
        <w:pStyle w:val="Ttulo2"/>
        <w:spacing w:before="0" w:line="360" w:lineRule="auto"/>
        <w:ind w:right="49"/>
        <w:rPr>
          <w:rFonts w:ascii="Palatino Linotype" w:eastAsia="Palatino Linotype" w:hAnsi="Palatino Linotype" w:cs="Palatino Linotype"/>
          <w:b/>
          <w:color w:val="000000"/>
          <w:sz w:val="24"/>
          <w:szCs w:val="24"/>
        </w:rPr>
      </w:pPr>
      <w:bookmarkStart w:id="5" w:name="_heading=h.2et92p0" w:colFirst="0" w:colLast="0"/>
      <w:bookmarkEnd w:id="5"/>
      <w:r w:rsidRPr="0021195C">
        <w:rPr>
          <w:rFonts w:ascii="Palatino Linotype" w:eastAsia="Palatino Linotype" w:hAnsi="Palatino Linotype" w:cs="Palatino Linotype"/>
          <w:b/>
          <w:color w:val="000000"/>
          <w:sz w:val="24"/>
          <w:szCs w:val="24"/>
        </w:rPr>
        <w:t>SEGUNDA. Procedencia.</w:t>
      </w:r>
    </w:p>
    <w:p w:rsidR="00B84DF1" w:rsidRPr="0021195C" w:rsidRDefault="009D3673" w:rsidP="00EC285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Este Órgano Garante considera que el medio de impugnación reúne los requisitos de </w:t>
      </w:r>
      <w:r w:rsidRPr="0021195C">
        <w:rPr>
          <w:rFonts w:ascii="Palatino Linotype" w:eastAsia="Palatino Linotype" w:hAnsi="Palatino Linotype" w:cs="Palatino Linotype"/>
          <w:color w:val="000000"/>
        </w:rPr>
        <w:t>procedencia</w:t>
      </w:r>
      <w:r w:rsidRPr="0021195C">
        <w:rPr>
          <w:rFonts w:ascii="Palatino Linotype" w:eastAsia="Palatino Linotype" w:hAnsi="Palatino Linotype" w:cs="Palatino Linotype"/>
        </w:rPr>
        <w:t xml:space="preserve"> </w:t>
      </w:r>
      <w:r w:rsidRPr="0021195C">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B84DF1" w:rsidRPr="0021195C" w:rsidRDefault="00B84DF1" w:rsidP="00EC2856">
      <w:pPr>
        <w:spacing w:line="360" w:lineRule="auto"/>
        <w:ind w:right="49"/>
        <w:jc w:val="both"/>
        <w:rPr>
          <w:rFonts w:ascii="Palatino Linotype" w:eastAsia="Palatino Linotype" w:hAnsi="Palatino Linotype" w:cs="Palatino Linotype"/>
        </w:rPr>
      </w:pPr>
    </w:p>
    <w:p w:rsidR="00B84DF1" w:rsidRPr="0021195C" w:rsidRDefault="009D3673" w:rsidP="00EC285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lastRenderedPageBreak/>
        <w:t xml:space="preserve">Finalmente, el escrito contiene las formalidades previstas por el artículo 180 último </w:t>
      </w:r>
      <w:r w:rsidR="00A227E2" w:rsidRPr="0021195C">
        <w:rPr>
          <w:rFonts w:ascii="Palatino Linotype" w:eastAsia="Palatino Linotype" w:hAnsi="Palatino Linotype" w:cs="Palatino Linotype"/>
        </w:rPr>
        <w:t>párrafo de la citada Ley de la M</w:t>
      </w:r>
      <w:r w:rsidRPr="0021195C">
        <w:rPr>
          <w:rFonts w:ascii="Palatino Linotype" w:eastAsia="Palatino Linotype" w:hAnsi="Palatino Linotype" w:cs="Palatino Linotype"/>
        </w:rPr>
        <w:t>ateria, por lo que es procedente que este Instituto conozca y resuelva el presente Recurso de Revisión.</w:t>
      </w:r>
    </w:p>
    <w:p w:rsidR="00B84DF1" w:rsidRPr="0021195C" w:rsidRDefault="00B84DF1" w:rsidP="00EC2856">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rsidR="00B84DF1" w:rsidRPr="0021195C" w:rsidRDefault="009D3673" w:rsidP="00EC2856">
      <w:pPr>
        <w:pStyle w:val="Ttulo1"/>
        <w:spacing w:before="0" w:line="360" w:lineRule="auto"/>
        <w:ind w:right="49"/>
        <w:rPr>
          <w:rFonts w:ascii="Palatino Linotype" w:eastAsia="Palatino Linotype" w:hAnsi="Palatino Linotype" w:cs="Palatino Linotype"/>
          <w:b/>
          <w:color w:val="000000"/>
          <w:sz w:val="24"/>
          <w:szCs w:val="24"/>
        </w:rPr>
      </w:pPr>
      <w:bookmarkStart w:id="6" w:name="_heading=h.tyjcwt" w:colFirst="0" w:colLast="0"/>
      <w:bookmarkEnd w:id="6"/>
      <w:r w:rsidRPr="0021195C">
        <w:rPr>
          <w:rFonts w:ascii="Palatino Linotype" w:eastAsia="Palatino Linotype" w:hAnsi="Palatino Linotype" w:cs="Palatino Linotype"/>
          <w:b/>
          <w:color w:val="000000"/>
          <w:sz w:val="24"/>
          <w:szCs w:val="24"/>
        </w:rPr>
        <w:t xml:space="preserve">TERCERA. </w:t>
      </w:r>
      <w:r w:rsidR="00B44995" w:rsidRPr="0021195C">
        <w:rPr>
          <w:rFonts w:ascii="Palatino Linotype" w:eastAsia="Palatino Linotype" w:hAnsi="Palatino Linotype" w:cs="Palatino Linotype"/>
          <w:b/>
          <w:color w:val="000000"/>
          <w:sz w:val="24"/>
          <w:szCs w:val="24"/>
        </w:rPr>
        <w:t>De</w:t>
      </w:r>
      <w:r w:rsidR="001268E9" w:rsidRPr="0021195C">
        <w:rPr>
          <w:rFonts w:ascii="Palatino Linotype" w:eastAsia="Palatino Linotype" w:hAnsi="Palatino Linotype" w:cs="Palatino Linotype"/>
          <w:b/>
          <w:color w:val="000000"/>
          <w:sz w:val="24"/>
          <w:szCs w:val="24"/>
        </w:rPr>
        <w:t xml:space="preserve">l planteamiento de la </w:t>
      </w:r>
      <w:r w:rsidR="001268E9" w:rsidRPr="0021195C">
        <w:rPr>
          <w:rFonts w:ascii="Palatino Linotype" w:eastAsia="Palatino Linotype" w:hAnsi="Palatino Linotype" w:cs="Palatino Linotype"/>
          <w:b/>
          <w:i/>
          <w:color w:val="000000"/>
          <w:sz w:val="24"/>
          <w:szCs w:val="24"/>
        </w:rPr>
        <w:t>Litis</w:t>
      </w:r>
    </w:p>
    <w:p w:rsidR="00B84DF1" w:rsidRPr="0021195C" w:rsidRDefault="009D3673" w:rsidP="00EC285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Se solicitó tener acceso, a la información que a continuación se simplifica:</w:t>
      </w:r>
    </w:p>
    <w:p w:rsidR="00B84DF1" w:rsidRPr="0021195C" w:rsidRDefault="00071823" w:rsidP="00071823">
      <w:pPr>
        <w:numPr>
          <w:ilvl w:val="0"/>
          <w:numId w:val="3"/>
        </w:numPr>
        <w:pBdr>
          <w:top w:val="nil"/>
          <w:left w:val="nil"/>
          <w:bottom w:val="nil"/>
          <w:right w:val="nil"/>
          <w:between w:val="nil"/>
        </w:pBdr>
        <w:spacing w:line="360" w:lineRule="auto"/>
        <w:ind w:right="333"/>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N</w:t>
      </w:r>
      <w:r w:rsidR="00CC78CD" w:rsidRPr="0021195C">
        <w:rPr>
          <w:rFonts w:ascii="Palatino Linotype" w:eastAsia="Palatino Linotype" w:hAnsi="Palatino Linotype" w:cs="Palatino Linotype"/>
          <w:b/>
          <w:color w:val="000000"/>
        </w:rPr>
        <w:t>ómina</w:t>
      </w:r>
      <w:r w:rsidRPr="0021195C">
        <w:rPr>
          <w:rFonts w:ascii="Palatino Linotype" w:eastAsia="Palatino Linotype" w:hAnsi="Palatino Linotype" w:cs="Palatino Linotype"/>
          <w:b/>
          <w:color w:val="000000"/>
        </w:rPr>
        <w:t xml:space="preserve"> completa de las áreas de: </w:t>
      </w:r>
      <w:r w:rsidR="00CC78CD" w:rsidRPr="0021195C">
        <w:rPr>
          <w:rFonts w:ascii="Palatino Linotype" w:eastAsia="Palatino Linotype" w:hAnsi="Palatino Linotype" w:cs="Palatino Linotype"/>
          <w:b/>
          <w:color w:val="000000"/>
        </w:rPr>
        <w:t>Presidencia, Primera Sindicatura, Segunda Sindicatura, Primera Regiduría, Segunda Regiduría, Tercera Regiduría, Cuarta Regiduría, Quinta Regiduría, Sexta Regiduría, Séptima Regiduría, Octava Regiduría, Novena Regiduría, Decima Regiduría, Undécima regiduría</w:t>
      </w:r>
      <w:r w:rsidRPr="0021195C">
        <w:rPr>
          <w:rFonts w:ascii="Palatino Linotype" w:eastAsia="Palatino Linotype" w:hAnsi="Palatino Linotype" w:cs="Palatino Linotype"/>
          <w:b/>
          <w:color w:val="000000"/>
        </w:rPr>
        <w:t xml:space="preserve">, </w:t>
      </w:r>
      <w:r w:rsidR="00CC78CD" w:rsidRPr="0021195C">
        <w:rPr>
          <w:rFonts w:ascii="Palatino Linotype" w:eastAsia="Palatino Linotype" w:hAnsi="Palatino Linotype" w:cs="Palatino Linotype"/>
          <w:b/>
          <w:color w:val="000000"/>
        </w:rPr>
        <w:t>Duodécima Regiduría</w:t>
      </w:r>
      <w:r w:rsidRPr="0021195C">
        <w:rPr>
          <w:rFonts w:ascii="Palatino Linotype" w:eastAsia="Palatino Linotype" w:hAnsi="Palatino Linotype" w:cs="Palatino Linotype"/>
          <w:b/>
          <w:color w:val="000000"/>
        </w:rPr>
        <w:t xml:space="preserve"> y S</w:t>
      </w:r>
      <w:r w:rsidR="00CC78CD" w:rsidRPr="0021195C">
        <w:rPr>
          <w:rFonts w:ascii="Palatino Linotype" w:eastAsia="Palatino Linotype" w:hAnsi="Palatino Linotype" w:cs="Palatino Linotype"/>
          <w:b/>
          <w:color w:val="000000"/>
        </w:rPr>
        <w:t xml:space="preserve">ecretaria del </w:t>
      </w:r>
      <w:r w:rsidRPr="0021195C">
        <w:rPr>
          <w:rFonts w:ascii="Palatino Linotype" w:eastAsia="Palatino Linotype" w:hAnsi="Palatino Linotype" w:cs="Palatino Linotype"/>
          <w:b/>
          <w:color w:val="000000"/>
        </w:rPr>
        <w:t>Ayuntamiento.</w:t>
      </w:r>
    </w:p>
    <w:p w:rsidR="00B84DF1" w:rsidRPr="0021195C" w:rsidRDefault="00B84DF1" w:rsidP="00EC2856">
      <w:pPr>
        <w:pBdr>
          <w:top w:val="nil"/>
          <w:left w:val="nil"/>
          <w:bottom w:val="nil"/>
          <w:right w:val="nil"/>
          <w:between w:val="nil"/>
        </w:pBdr>
        <w:spacing w:line="360" w:lineRule="auto"/>
        <w:ind w:left="778" w:right="49"/>
        <w:jc w:val="both"/>
        <w:rPr>
          <w:rFonts w:ascii="Palatino Linotype" w:eastAsia="Palatino Linotype" w:hAnsi="Palatino Linotype" w:cs="Palatino Linotype"/>
          <w:b/>
          <w:color w:val="000000"/>
        </w:rPr>
      </w:pPr>
    </w:p>
    <w:p w:rsidR="00B84DF1" w:rsidRPr="0021195C" w:rsidRDefault="009D3673" w:rsidP="00EC2856">
      <w:pPr>
        <w:numPr>
          <w:ilvl w:val="0"/>
          <w:numId w:val="1"/>
        </w:numP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rPr>
        <w:t xml:space="preserve">En respuesta, el </w:t>
      </w:r>
      <w:r w:rsidR="00454DEC" w:rsidRPr="0021195C">
        <w:rPr>
          <w:rFonts w:ascii="Palatino Linotype" w:eastAsia="Palatino Linotype" w:hAnsi="Palatino Linotype" w:cs="Palatino Linotype"/>
          <w:b/>
        </w:rPr>
        <w:t xml:space="preserve">SUJETO OBLIGADO </w:t>
      </w:r>
      <w:r w:rsidR="00454DEC" w:rsidRPr="0021195C">
        <w:rPr>
          <w:rFonts w:ascii="Palatino Linotype" w:eastAsia="Palatino Linotype" w:hAnsi="Palatino Linotype" w:cs="Palatino Linotype"/>
        </w:rPr>
        <w:t>contestó con el escrito plasmado</w:t>
      </w:r>
      <w:r w:rsidRPr="0021195C">
        <w:rPr>
          <w:rFonts w:ascii="Palatino Linotype" w:eastAsia="Palatino Linotype" w:hAnsi="Palatino Linotype" w:cs="Palatino Linotype"/>
        </w:rPr>
        <w:t xml:space="preserve"> en el </w:t>
      </w:r>
      <w:r w:rsidR="003D2130" w:rsidRPr="0021195C">
        <w:rPr>
          <w:rFonts w:ascii="Palatino Linotype" w:eastAsia="Palatino Linotype" w:hAnsi="Palatino Linotype" w:cs="Palatino Linotype"/>
        </w:rPr>
        <w:t xml:space="preserve">anterior </w:t>
      </w:r>
      <w:r w:rsidRPr="0021195C">
        <w:rPr>
          <w:rFonts w:ascii="Palatino Linotype" w:eastAsia="Palatino Linotype" w:hAnsi="Palatino Linotype" w:cs="Palatino Linotype"/>
        </w:rPr>
        <w:t xml:space="preserve">párrafo 2. Inconforme con la respuesta, </w:t>
      </w:r>
      <w:r w:rsidR="00071823" w:rsidRPr="0021195C">
        <w:rPr>
          <w:rFonts w:ascii="Palatino Linotype" w:eastAsia="Palatino Linotype" w:hAnsi="Palatino Linotype" w:cs="Palatino Linotype"/>
        </w:rPr>
        <w:t xml:space="preserve">el solicitante </w:t>
      </w:r>
      <w:r w:rsidRPr="0021195C">
        <w:rPr>
          <w:rFonts w:ascii="Palatino Linotype" w:eastAsia="Palatino Linotype" w:hAnsi="Palatino Linotype" w:cs="Palatino Linotype"/>
        </w:rPr>
        <w:t>interpuso recurso de revisión</w:t>
      </w:r>
      <w:r w:rsidR="00961CA6" w:rsidRPr="0021195C">
        <w:rPr>
          <w:rFonts w:ascii="Palatino Linotype" w:eastAsia="Palatino Linotype" w:hAnsi="Palatino Linotype" w:cs="Palatino Linotype"/>
        </w:rPr>
        <w:t xml:space="preserve"> argumentando de manera general, </w:t>
      </w:r>
      <w:r w:rsidR="00B11C54" w:rsidRPr="0021195C">
        <w:rPr>
          <w:rFonts w:ascii="Palatino Linotype" w:eastAsia="Palatino Linotype" w:hAnsi="Palatino Linotype" w:cs="Palatino Linotype"/>
        </w:rPr>
        <w:t xml:space="preserve">la </w:t>
      </w:r>
      <w:r w:rsidR="00071823" w:rsidRPr="0021195C">
        <w:rPr>
          <w:rFonts w:ascii="Palatino Linotype" w:eastAsia="Palatino Linotype" w:hAnsi="Palatino Linotype" w:cs="Palatino Linotype"/>
        </w:rPr>
        <w:t>entrega de información incompleta; toda vez que a su decir el oficio entregado no describe con precisión qué es lo que se entregó y por la entrega de un anexo ilegible.</w:t>
      </w:r>
    </w:p>
    <w:p w:rsidR="00B84DF1" w:rsidRPr="0021195C" w:rsidRDefault="00B84DF1" w:rsidP="00EC2856">
      <w:pPr>
        <w:spacing w:line="360" w:lineRule="auto"/>
        <w:ind w:right="49"/>
        <w:jc w:val="both"/>
        <w:rPr>
          <w:rFonts w:ascii="Palatino Linotype" w:eastAsia="Palatino Linotype" w:hAnsi="Palatino Linotype" w:cs="Palatino Linotype"/>
          <w:i/>
          <w:color w:val="000000"/>
        </w:rPr>
      </w:pPr>
    </w:p>
    <w:p w:rsidR="00B84DF1" w:rsidRPr="0021195C" w:rsidRDefault="009D3673"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w:t>
      </w:r>
      <w:r w:rsidR="00071823" w:rsidRPr="0021195C">
        <w:rPr>
          <w:rFonts w:ascii="Palatino Linotype" w:eastAsia="Palatino Linotype" w:hAnsi="Palatino Linotype" w:cs="Palatino Linotype"/>
        </w:rPr>
        <w:t>V</w:t>
      </w:r>
      <w:r w:rsidRPr="0021195C">
        <w:rPr>
          <w:rFonts w:ascii="Palatino Linotype" w:eastAsia="Palatino Linotype" w:hAnsi="Palatino Linotype" w:cs="Palatino Linotype"/>
          <w:b/>
        </w:rPr>
        <w:t xml:space="preserve"> </w:t>
      </w:r>
      <w:r w:rsidRPr="0021195C">
        <w:rPr>
          <w:rFonts w:ascii="Palatino Linotype" w:eastAsia="Palatino Linotype" w:hAnsi="Palatino Linotype" w:cs="Palatino Linotype"/>
        </w:rPr>
        <w:t>de la Ley de Transparencia y Acceso a la Información Pública del Estado de</w:t>
      </w:r>
      <w:r w:rsidRPr="0021195C">
        <w:rPr>
          <w:rFonts w:ascii="Palatino Linotype" w:eastAsia="Palatino Linotype" w:hAnsi="Palatino Linotype" w:cs="Palatino Linotype"/>
          <w:b/>
        </w:rPr>
        <w:t xml:space="preserve"> </w:t>
      </w:r>
      <w:r w:rsidRPr="0021195C">
        <w:rPr>
          <w:rFonts w:ascii="Palatino Linotype" w:eastAsia="Palatino Linotype" w:hAnsi="Palatino Linotype" w:cs="Palatino Linotype"/>
        </w:rPr>
        <w:t>México</w:t>
      </w:r>
      <w:r w:rsidRPr="0021195C">
        <w:rPr>
          <w:rFonts w:ascii="Palatino Linotype" w:eastAsia="Palatino Linotype" w:hAnsi="Palatino Linotype" w:cs="Palatino Linotype"/>
          <w:b/>
        </w:rPr>
        <w:t xml:space="preserve"> </w:t>
      </w:r>
      <w:r w:rsidRPr="0021195C">
        <w:rPr>
          <w:rFonts w:ascii="Palatino Linotype" w:eastAsia="Palatino Linotype" w:hAnsi="Palatino Linotype" w:cs="Palatino Linotype"/>
        </w:rPr>
        <w:t>y</w:t>
      </w:r>
      <w:r w:rsidRPr="0021195C">
        <w:rPr>
          <w:rFonts w:ascii="Palatino Linotype" w:eastAsia="Palatino Linotype" w:hAnsi="Palatino Linotype" w:cs="Palatino Linotype"/>
          <w:b/>
        </w:rPr>
        <w:t xml:space="preserve"> </w:t>
      </w:r>
      <w:r w:rsidRPr="0021195C">
        <w:rPr>
          <w:rFonts w:ascii="Palatino Linotype" w:eastAsia="Palatino Linotype" w:hAnsi="Palatino Linotype" w:cs="Palatino Linotype"/>
        </w:rPr>
        <w:t xml:space="preserve">Municipios; </w:t>
      </w:r>
      <w:r w:rsidRPr="0021195C">
        <w:rPr>
          <w:rFonts w:ascii="Palatino Linotype" w:eastAsia="Palatino Linotype" w:hAnsi="Palatino Linotype" w:cs="Palatino Linotype"/>
          <w:color w:val="000000"/>
        </w:rPr>
        <w:t xml:space="preserve">fracción que determina </w:t>
      </w:r>
      <w:r w:rsidR="00961CA6" w:rsidRPr="0021195C">
        <w:rPr>
          <w:rFonts w:ascii="Palatino Linotype" w:eastAsia="Palatino Linotype" w:hAnsi="Palatino Linotype" w:cs="Palatino Linotype"/>
          <w:color w:val="000000"/>
        </w:rPr>
        <w:t xml:space="preserve">la </w:t>
      </w:r>
      <w:r w:rsidR="00071823" w:rsidRPr="0021195C">
        <w:rPr>
          <w:rFonts w:ascii="Palatino Linotype" w:eastAsia="Palatino Linotype" w:hAnsi="Palatino Linotype" w:cs="Palatino Linotype"/>
          <w:color w:val="000000"/>
        </w:rPr>
        <w:t>entrega de información incompleta</w:t>
      </w:r>
      <w:r w:rsidRPr="0021195C">
        <w:rPr>
          <w:rFonts w:ascii="Palatino Linotype" w:eastAsia="Palatino Linotype" w:hAnsi="Palatino Linotype" w:cs="Palatino Linotype"/>
        </w:rPr>
        <w:t>.</w:t>
      </w:r>
      <w:r w:rsidR="003D2130" w:rsidRPr="0021195C">
        <w:rPr>
          <w:rFonts w:ascii="Palatino Linotype" w:eastAsia="Palatino Linotype" w:hAnsi="Palatino Linotype" w:cs="Palatino Linotype"/>
          <w:color w:val="000000"/>
        </w:rPr>
        <w:t xml:space="preserve"> De modo tal que el presente R</w:t>
      </w:r>
      <w:r w:rsidRPr="0021195C">
        <w:rPr>
          <w:rFonts w:ascii="Palatino Linotype" w:eastAsia="Palatino Linotype" w:hAnsi="Palatino Linotype" w:cs="Palatino Linotype"/>
          <w:color w:val="000000"/>
        </w:rPr>
        <w:t xml:space="preserve">ecurso de </w:t>
      </w:r>
      <w:r w:rsidR="003D2130" w:rsidRPr="0021195C">
        <w:rPr>
          <w:rFonts w:ascii="Palatino Linotype" w:eastAsia="Palatino Linotype" w:hAnsi="Palatino Linotype" w:cs="Palatino Linotype"/>
          <w:color w:val="000000"/>
        </w:rPr>
        <w:t>R</w:t>
      </w:r>
      <w:r w:rsidRPr="0021195C">
        <w:rPr>
          <w:rFonts w:ascii="Palatino Linotype" w:eastAsia="Palatino Linotype" w:hAnsi="Palatino Linotype" w:cs="Palatino Linotype"/>
          <w:color w:val="000000"/>
        </w:rPr>
        <w:t xml:space="preserve">evisión se </w:t>
      </w:r>
      <w:r w:rsidRPr="0021195C">
        <w:rPr>
          <w:rFonts w:ascii="Palatino Linotype" w:eastAsia="Palatino Linotype" w:hAnsi="Palatino Linotype" w:cs="Palatino Linotype"/>
        </w:rPr>
        <w:t>abocará</w:t>
      </w:r>
      <w:r w:rsidRPr="0021195C">
        <w:rPr>
          <w:rFonts w:ascii="Palatino Linotype" w:eastAsia="Palatino Linotype" w:hAnsi="Palatino Linotype" w:cs="Palatino Linotype"/>
          <w:color w:val="000000"/>
        </w:rPr>
        <w:t xml:space="preserve"> en determinar si el Sujeto Obligado con su respuesta ciertamente actualiza la causal de procedencia</w:t>
      </w:r>
      <w:r w:rsidRPr="0021195C">
        <w:rPr>
          <w:rFonts w:ascii="Palatino Linotype" w:eastAsia="Palatino Linotype" w:hAnsi="Palatino Linotype" w:cs="Palatino Linotype"/>
          <w:b/>
          <w:color w:val="000000"/>
        </w:rPr>
        <w:t xml:space="preserve"> </w:t>
      </w:r>
      <w:r w:rsidRPr="0021195C">
        <w:rPr>
          <w:rFonts w:ascii="Palatino Linotype" w:eastAsia="Palatino Linotype" w:hAnsi="Palatino Linotype" w:cs="Palatino Linotype"/>
          <w:color w:val="000000"/>
        </w:rPr>
        <w:t>señalada.</w:t>
      </w:r>
    </w:p>
    <w:p w:rsidR="001268E9" w:rsidRPr="0021195C" w:rsidRDefault="001268E9" w:rsidP="00EC2856">
      <w:pPr>
        <w:pStyle w:val="Ttulo1"/>
        <w:spacing w:before="0" w:line="360" w:lineRule="auto"/>
        <w:ind w:right="49"/>
        <w:rPr>
          <w:rFonts w:ascii="Palatino Linotype" w:eastAsia="Palatino Linotype" w:hAnsi="Palatino Linotype" w:cs="Palatino Linotype"/>
          <w:b/>
          <w:color w:val="000000"/>
          <w:sz w:val="24"/>
          <w:szCs w:val="24"/>
        </w:rPr>
      </w:pPr>
      <w:r w:rsidRPr="0021195C">
        <w:rPr>
          <w:rFonts w:ascii="Palatino Linotype" w:eastAsia="Palatino Linotype" w:hAnsi="Palatino Linotype" w:cs="Palatino Linotype"/>
          <w:b/>
          <w:color w:val="000000"/>
          <w:sz w:val="24"/>
          <w:szCs w:val="24"/>
        </w:rPr>
        <w:lastRenderedPageBreak/>
        <w:t xml:space="preserve">CUATO. </w:t>
      </w:r>
      <w:r w:rsidR="00EC2856" w:rsidRPr="0021195C">
        <w:rPr>
          <w:rFonts w:ascii="Palatino Linotype" w:eastAsia="Palatino Linotype" w:hAnsi="Palatino Linotype" w:cs="Palatino Linotype"/>
          <w:b/>
          <w:color w:val="000000"/>
          <w:sz w:val="24"/>
          <w:szCs w:val="24"/>
        </w:rPr>
        <w:t>Estudio y resolución</w:t>
      </w:r>
    </w:p>
    <w:p w:rsidR="00B84DF1" w:rsidRPr="0021195C" w:rsidRDefault="009D3673" w:rsidP="00EC2856">
      <w:pPr>
        <w:numPr>
          <w:ilvl w:val="0"/>
          <w:numId w:val="1"/>
        </w:numPr>
        <w:spacing w:line="360" w:lineRule="auto"/>
        <w:ind w:left="0" w:right="49" w:firstLine="0"/>
        <w:jc w:val="both"/>
        <w:rPr>
          <w:rFonts w:ascii="Palatino Linotype" w:eastAsia="Palatino Linotype" w:hAnsi="Palatino Linotype" w:cs="Palatino Linotype"/>
        </w:rPr>
      </w:pPr>
      <w:bookmarkStart w:id="7" w:name="_heading=h.3dy6vkm" w:colFirst="0" w:colLast="0"/>
      <w:bookmarkEnd w:id="7"/>
      <w:r w:rsidRPr="0021195C">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655B77" w:rsidRPr="0021195C" w:rsidRDefault="00655B77" w:rsidP="00EC2856">
      <w:pPr>
        <w:spacing w:line="360" w:lineRule="auto"/>
        <w:ind w:right="49"/>
        <w:jc w:val="both"/>
        <w:rPr>
          <w:rFonts w:ascii="Palatino Linotype" w:eastAsia="Palatino Linotype" w:hAnsi="Palatino Linotype" w:cs="Palatino Linotype"/>
        </w:rPr>
      </w:pPr>
    </w:p>
    <w:p w:rsidR="00B84DF1" w:rsidRPr="0021195C" w:rsidRDefault="009D3673"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D2130" w:rsidRPr="0021195C" w:rsidRDefault="003D2130" w:rsidP="004D47CA">
      <w:pPr>
        <w:spacing w:line="360" w:lineRule="auto"/>
        <w:rPr>
          <w:rFonts w:ascii="Palatino Linotype" w:eastAsia="Palatino Linotype" w:hAnsi="Palatino Linotype" w:cs="Palatino Linotype"/>
        </w:rPr>
      </w:pPr>
    </w:p>
    <w:p w:rsidR="00B84DF1" w:rsidRPr="0021195C" w:rsidRDefault="009D3673"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w:t>
      </w:r>
      <w:r w:rsidRPr="0021195C">
        <w:rPr>
          <w:rFonts w:ascii="Palatino Linotype" w:eastAsia="Palatino Linotype" w:hAnsi="Palatino Linotype" w:cs="Palatino Linotype"/>
        </w:rPr>
        <w:lastRenderedPageBreak/>
        <w:t>cualquier medio de difusión o porque la requieren a través de una solicitud de acceso a la información, siempre y cuando no encuadre en una de las excepciones contempladas por la ley.</w:t>
      </w:r>
    </w:p>
    <w:p w:rsidR="0021195C" w:rsidRPr="0021195C" w:rsidRDefault="0021195C" w:rsidP="0021195C">
      <w:pPr>
        <w:spacing w:line="360" w:lineRule="auto"/>
        <w:ind w:right="49"/>
        <w:jc w:val="both"/>
        <w:rPr>
          <w:rFonts w:ascii="Palatino Linotype" w:eastAsia="Palatino Linotype" w:hAnsi="Palatino Linotype" w:cs="Palatino Linotype"/>
        </w:rPr>
      </w:pPr>
    </w:p>
    <w:p w:rsidR="00B60BC1" w:rsidRPr="0021195C" w:rsidRDefault="009D3673" w:rsidP="00A502B5">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Acotado lo anterior, es dable traer a contexto </w:t>
      </w:r>
      <w:r w:rsidR="00B60BC1" w:rsidRPr="0021195C">
        <w:rPr>
          <w:rFonts w:ascii="Palatino Linotype" w:eastAsia="Palatino Linotype" w:hAnsi="Palatino Linotype" w:cs="Palatino Linotype"/>
        </w:rPr>
        <w:t xml:space="preserve">la respuesta, que versa en </w:t>
      </w:r>
      <w:r w:rsidR="00071823" w:rsidRPr="0021195C">
        <w:rPr>
          <w:rFonts w:ascii="Palatino Linotype" w:eastAsia="Palatino Linotype" w:hAnsi="Palatino Linotype" w:cs="Palatino Linotype"/>
        </w:rPr>
        <w:t xml:space="preserve">la entrega de información incompleta; toda vez que el oficio de respuesta es impreciso en señalar que es lo que se está entregado y por la </w:t>
      </w:r>
      <w:r w:rsidR="0021195C" w:rsidRPr="0021195C">
        <w:rPr>
          <w:rFonts w:ascii="Palatino Linotype" w:eastAsia="Palatino Linotype" w:hAnsi="Palatino Linotype" w:cs="Palatino Linotype"/>
        </w:rPr>
        <w:t>entrega de un anexo ilegible. A</w:t>
      </w:r>
      <w:r w:rsidR="00071823" w:rsidRPr="0021195C">
        <w:rPr>
          <w:rFonts w:ascii="Palatino Linotype" w:eastAsia="Palatino Linotype" w:hAnsi="Palatino Linotype" w:cs="Palatino Linotype"/>
        </w:rPr>
        <w:t xml:space="preserve">l respecto del análisis a las dos documentales, se advierte </w:t>
      </w:r>
      <w:r w:rsidR="00A502B5" w:rsidRPr="0021195C">
        <w:rPr>
          <w:rFonts w:ascii="Palatino Linotype" w:eastAsia="Palatino Linotype" w:hAnsi="Palatino Linotype" w:cs="Palatino Linotype"/>
        </w:rPr>
        <w:t>que  relativo al oficio, se refiere que se adjunta un listado de nómina de servidores públicos adscritos a las áreas que se señalan en la solicitud de información con los rubros de clave, nombre del servidor público, clave de nómina, departamento, puesto, dieta, sueldo bruto y sueldo neto, luego entonces si es puntual en la información que se refiere entregar, de modo tal que resulta improcedente el argumento relativo a su ambigüedad.</w:t>
      </w:r>
    </w:p>
    <w:p w:rsidR="00A502B5" w:rsidRPr="0021195C" w:rsidRDefault="00A502B5" w:rsidP="00A502B5">
      <w:pPr>
        <w:spacing w:line="360" w:lineRule="auto"/>
        <w:ind w:right="49"/>
        <w:jc w:val="both"/>
        <w:rPr>
          <w:rFonts w:ascii="Palatino Linotype" w:eastAsia="Palatino Linotype" w:hAnsi="Palatino Linotype" w:cs="Palatino Linotype"/>
        </w:rPr>
      </w:pPr>
    </w:p>
    <w:p w:rsidR="00A502B5" w:rsidRPr="0021195C" w:rsidRDefault="00A502B5" w:rsidP="00A502B5">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Ahora bien, de dicho pronunciamiento se desprende un aspecto importante y es que el </w:t>
      </w:r>
      <w:r w:rsidRPr="0021195C">
        <w:rPr>
          <w:rFonts w:ascii="Palatino Linotype" w:eastAsia="Palatino Linotype" w:hAnsi="Palatino Linotype" w:cs="Palatino Linotype"/>
          <w:b/>
        </w:rPr>
        <w:t>SUJETO OBLIGADO</w:t>
      </w:r>
      <w:r w:rsidRPr="0021195C">
        <w:rPr>
          <w:rFonts w:ascii="Palatino Linotype" w:eastAsia="Palatino Linotype" w:hAnsi="Palatino Linotype" w:cs="Palatino Linotype"/>
        </w:rPr>
        <w:t xml:space="preserve"> asume de manera expresa que ciertamente, genera, posee y administra lo solicitado; tan es así que además refiere que se anexa. En esa tesitura, respecto del anexo entregado, luego de su revisión, se advierte procedente el motivo de inconformidad, relativo a la falta de legibilidad; toda vez que efectivamente se encuentra ilegible en su totalidad.</w:t>
      </w:r>
    </w:p>
    <w:p w:rsidR="007137AB" w:rsidRPr="0021195C" w:rsidRDefault="007137AB" w:rsidP="007137AB">
      <w:pPr>
        <w:pStyle w:val="Prrafodelista"/>
        <w:rPr>
          <w:rFonts w:ascii="Palatino Linotype" w:eastAsia="Palatino Linotype" w:hAnsi="Palatino Linotype" w:cs="Palatino Linotype"/>
        </w:rPr>
      </w:pPr>
    </w:p>
    <w:p w:rsidR="007137AB" w:rsidRPr="0021195C" w:rsidRDefault="007137AB" w:rsidP="007137AB">
      <w:pPr>
        <w:numPr>
          <w:ilvl w:val="0"/>
          <w:numId w:val="1"/>
        </w:numPr>
        <w:spacing w:line="360" w:lineRule="auto"/>
        <w:ind w:left="0" w:right="49" w:firstLine="0"/>
        <w:jc w:val="both"/>
        <w:rPr>
          <w:rFonts w:ascii="Palatino Linotype" w:hAnsi="Palatino Linotype" w:cs="Arial"/>
          <w:color w:val="000000" w:themeColor="text1"/>
        </w:rPr>
      </w:pPr>
      <w:r w:rsidRPr="0021195C">
        <w:rPr>
          <w:rFonts w:ascii="Palatino Linotype" w:eastAsia="Calibri" w:hAnsi="Palatino Linotype" w:cs="Arial"/>
        </w:rPr>
        <w:t xml:space="preserve">Al respecto es de señalar que la información que proporcionen los sujetos obligados para dar cumplimiento al derecho de acceso a la información debe ser clara, precisa y sobre todo legible, para </w:t>
      </w:r>
      <w:r w:rsidRPr="0021195C">
        <w:rPr>
          <w:rFonts w:ascii="Palatino Linotype" w:eastAsia="Palatino Linotype" w:hAnsi="Palatino Linotype" w:cs="Palatino Linotype"/>
        </w:rPr>
        <w:t>cumplir</w:t>
      </w:r>
      <w:r w:rsidRPr="0021195C">
        <w:rPr>
          <w:rFonts w:ascii="Palatino Linotype" w:eastAsia="Calibri" w:hAnsi="Palatino Linotype" w:cs="Arial"/>
        </w:rPr>
        <w:t xml:space="preserve"> en estricto sentido con el principio de accesibilidad; de lo contrario </w:t>
      </w:r>
      <w:r w:rsidRPr="0021195C">
        <w:rPr>
          <w:rFonts w:ascii="Palatino Linotype" w:eastAsia="Calibri" w:hAnsi="Palatino Linotype" w:cs="Arial"/>
        </w:rPr>
        <w:lastRenderedPageBreak/>
        <w:t>se restringe de manera ilegítima el derecho de los particulares al impedirles conocer el contenido de los documentos.</w:t>
      </w:r>
    </w:p>
    <w:p w:rsidR="007137AB" w:rsidRPr="0021195C" w:rsidRDefault="007137AB" w:rsidP="007137AB">
      <w:pPr>
        <w:pStyle w:val="Prrafodelista"/>
        <w:spacing w:line="360" w:lineRule="auto"/>
        <w:ind w:left="0"/>
        <w:jc w:val="both"/>
        <w:rPr>
          <w:rFonts w:ascii="Palatino Linotype" w:hAnsi="Palatino Linotype" w:cs="Arial"/>
          <w:color w:val="000000" w:themeColor="text1"/>
        </w:rPr>
      </w:pPr>
    </w:p>
    <w:p w:rsidR="007137AB" w:rsidRPr="0021195C" w:rsidRDefault="007137AB" w:rsidP="007137AB">
      <w:pPr>
        <w:numPr>
          <w:ilvl w:val="0"/>
          <w:numId w:val="1"/>
        </w:numPr>
        <w:spacing w:line="360" w:lineRule="auto"/>
        <w:ind w:left="0" w:right="49" w:firstLine="0"/>
        <w:jc w:val="both"/>
        <w:rPr>
          <w:rFonts w:ascii="Palatino Linotype" w:hAnsi="Palatino Linotype" w:cs="Arial"/>
          <w:color w:val="000000" w:themeColor="text1"/>
        </w:rPr>
      </w:pPr>
      <w:r w:rsidRPr="0021195C">
        <w:rPr>
          <w:rFonts w:ascii="Palatino Linotype" w:eastAsia="MS Mincho" w:hAnsi="Palatino Linotype" w:cs="Arial"/>
        </w:rPr>
        <w:t xml:space="preserve">Sirve de sustento a lo anterior, el criterio orientador la tesis número II. 1°. C.T. 55 C, </w:t>
      </w:r>
      <w:r w:rsidRPr="0021195C">
        <w:rPr>
          <w:rFonts w:ascii="Palatino Linotype" w:eastAsia="Calibri" w:hAnsi="Palatino Linotype" w:cs="Arial"/>
        </w:rPr>
        <w:t>publicada</w:t>
      </w:r>
      <w:r w:rsidRPr="0021195C">
        <w:rPr>
          <w:rFonts w:ascii="Palatino Linotype" w:eastAsia="MS Mincho" w:hAnsi="Palatino Linotype" w:cs="Arial"/>
        </w:rPr>
        <w:t xml:space="preserve"> en el Semanario Judicial de la Federación y su Gaceta bajo el número de 3 registro 201,412, que a la letra dice:</w:t>
      </w:r>
    </w:p>
    <w:p w:rsidR="007137AB" w:rsidRPr="0021195C" w:rsidRDefault="007137AB" w:rsidP="007137AB">
      <w:pPr>
        <w:pStyle w:val="Prrafodelista"/>
        <w:spacing w:before="240" w:after="240" w:line="360" w:lineRule="auto"/>
        <w:ind w:left="426" w:right="616"/>
        <w:jc w:val="both"/>
        <w:rPr>
          <w:rFonts w:ascii="Palatino Linotype" w:eastAsia="MS Mincho" w:hAnsi="Palatino Linotype" w:cs="Arial"/>
          <w:i/>
        </w:rPr>
      </w:pPr>
      <w:r w:rsidRPr="0021195C">
        <w:rPr>
          <w:rFonts w:ascii="Palatino Linotype" w:eastAsia="MS Mincho" w:hAnsi="Palatino Linotype" w:cs="Arial"/>
          <w:b/>
          <w:i/>
        </w:rPr>
        <w:t>COTEJO DE COPIAS FOTOSTÁTICAS ILEGIBLES. AL NO SER POSIBLE CONSTATAR SU AUTENTICIDAD ES INÚTIL E INTRASCENDENTE SU PERFECCIONAMIENTO, POR LO QUE LA JUNTA ESTÁ IMPEDIDA PARA ORDENAR SU DESAHOGO.</w:t>
      </w:r>
      <w:r w:rsidRPr="0021195C">
        <w:rPr>
          <w:rFonts w:ascii="Palatino Linotype" w:eastAsia="MS Mincho" w:hAnsi="Palatino Linotype" w:cs="Arial"/>
          <w:i/>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rsidR="007137AB" w:rsidRPr="0021195C" w:rsidRDefault="007137AB" w:rsidP="007137AB">
      <w:pPr>
        <w:pStyle w:val="Prrafodelista"/>
        <w:spacing w:line="360" w:lineRule="auto"/>
        <w:ind w:left="0"/>
        <w:jc w:val="both"/>
        <w:rPr>
          <w:rFonts w:ascii="Palatino Linotype" w:hAnsi="Palatino Linotype" w:cs="Arial"/>
          <w:color w:val="000000" w:themeColor="text1"/>
        </w:rPr>
      </w:pPr>
    </w:p>
    <w:p w:rsidR="007137AB" w:rsidRPr="0021195C" w:rsidRDefault="007137AB" w:rsidP="007137AB">
      <w:pPr>
        <w:numPr>
          <w:ilvl w:val="0"/>
          <w:numId w:val="1"/>
        </w:numPr>
        <w:spacing w:line="360" w:lineRule="auto"/>
        <w:ind w:left="0" w:right="49" w:firstLine="0"/>
        <w:jc w:val="both"/>
        <w:rPr>
          <w:rFonts w:ascii="Palatino Linotype" w:hAnsi="Palatino Linotype" w:cs="Arial"/>
          <w:color w:val="000000" w:themeColor="text1"/>
        </w:rPr>
      </w:pPr>
      <w:r w:rsidRPr="0021195C">
        <w:rPr>
          <w:rFonts w:ascii="Palatino Linotype" w:eastAsia="MS Mincho" w:hAnsi="Palatino Linotype" w:cs="Arial"/>
        </w:rPr>
        <w:t>Entonces</w:t>
      </w:r>
      <w:r w:rsidRPr="0021195C">
        <w:rPr>
          <w:rFonts w:ascii="Palatino Linotype" w:hAnsi="Palatino Linotype" w:cs="Arial"/>
          <w:color w:val="000000" w:themeColor="text1"/>
        </w:rPr>
        <w:t>, tal y como se aprecia de la respuesta del Sujeto Obligado, el documento remitido impide conocer el contenido del mismo al no ser legible del todo, como se puede corroborar en la imagen insertada a continuación:</w:t>
      </w:r>
    </w:p>
    <w:p w:rsidR="007137AB" w:rsidRPr="0021195C" w:rsidRDefault="007137AB" w:rsidP="007137AB">
      <w:pPr>
        <w:spacing w:line="360" w:lineRule="auto"/>
        <w:ind w:right="49"/>
        <w:jc w:val="both"/>
        <w:rPr>
          <w:rFonts w:ascii="Palatino Linotype" w:hAnsi="Palatino Linotype" w:cs="Arial"/>
          <w:color w:val="000000" w:themeColor="text1"/>
        </w:rPr>
      </w:pPr>
      <w:r w:rsidRPr="0021195C">
        <w:rPr>
          <w:rFonts w:ascii="Palatino Linotype" w:hAnsi="Palatino Linotype" w:cs="Arial"/>
          <w:noProof/>
          <w:color w:val="000000" w:themeColor="text1"/>
          <w:lang w:val="es-MX" w:eastAsia="es-MX"/>
        </w:rPr>
        <w:lastRenderedPageBreak/>
        <w:drawing>
          <wp:inline distT="0" distB="0" distL="0" distR="0" wp14:anchorId="1F107101" wp14:editId="2D7B4E22">
            <wp:extent cx="5612130" cy="11195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119505"/>
                    </a:xfrm>
                    <a:prstGeom prst="rect">
                      <a:avLst/>
                    </a:prstGeom>
                  </pic:spPr>
                </pic:pic>
              </a:graphicData>
            </a:graphic>
          </wp:inline>
        </w:drawing>
      </w:r>
    </w:p>
    <w:p w:rsidR="007137AB" w:rsidRPr="0021195C" w:rsidRDefault="007137AB" w:rsidP="007137AB">
      <w:pPr>
        <w:pStyle w:val="Prrafodelista"/>
        <w:spacing w:line="360" w:lineRule="auto"/>
        <w:ind w:left="0"/>
        <w:jc w:val="both"/>
        <w:rPr>
          <w:rFonts w:ascii="Palatino Linotype" w:hAnsi="Palatino Linotype" w:cs="Arial"/>
          <w:color w:val="000000" w:themeColor="text1"/>
        </w:rPr>
      </w:pPr>
    </w:p>
    <w:p w:rsidR="007137AB" w:rsidRPr="0021195C" w:rsidRDefault="007137AB" w:rsidP="007137AB">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hAnsi="Palatino Linotype" w:cs="Arial"/>
          <w:color w:val="000000" w:themeColor="text1"/>
        </w:rPr>
        <w:t xml:space="preserve">Por otro lado, como se señaló en el apartado de antecedentes del presente proveído, el </w:t>
      </w:r>
      <w:r w:rsidRPr="0021195C">
        <w:rPr>
          <w:rFonts w:ascii="Palatino Linotype" w:hAnsi="Palatino Linotype" w:cs="Arial"/>
          <w:b/>
          <w:color w:val="000000" w:themeColor="text1"/>
        </w:rPr>
        <w:t xml:space="preserve">SUJETO OBLIGADO </w:t>
      </w:r>
      <w:r w:rsidRPr="0021195C">
        <w:rPr>
          <w:rFonts w:ascii="Palatino Linotype" w:hAnsi="Palatino Linotype" w:cs="Arial"/>
          <w:color w:val="000000" w:themeColor="text1"/>
        </w:rPr>
        <w:t>en calidad de informe justificado, pretendió subsanar la deficiencia, remitiendo nuevamente la información; sin embargo esta se advierte también ilegible, como se ilustra a continuación:</w:t>
      </w:r>
    </w:p>
    <w:p w:rsidR="007137AB" w:rsidRPr="0021195C" w:rsidRDefault="007137AB" w:rsidP="007137AB">
      <w:pPr>
        <w:spacing w:line="360" w:lineRule="auto"/>
        <w:ind w:right="49"/>
        <w:jc w:val="both"/>
        <w:rPr>
          <w:rFonts w:ascii="Palatino Linotype" w:eastAsia="Palatino Linotype" w:hAnsi="Palatino Linotype" w:cs="Palatino Linotype"/>
        </w:rPr>
      </w:pPr>
      <w:r w:rsidRPr="0021195C">
        <w:rPr>
          <w:rFonts w:ascii="Palatino Linotype" w:eastAsia="Palatino Linotype" w:hAnsi="Palatino Linotype" w:cs="Palatino Linotype"/>
          <w:noProof/>
          <w:lang w:val="es-MX" w:eastAsia="es-MX"/>
        </w:rPr>
        <w:drawing>
          <wp:inline distT="0" distB="0" distL="0" distR="0" wp14:anchorId="67DB2D1C" wp14:editId="27FD7945">
            <wp:extent cx="5612130" cy="13811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381125"/>
                    </a:xfrm>
                    <a:prstGeom prst="rect">
                      <a:avLst/>
                    </a:prstGeom>
                  </pic:spPr>
                </pic:pic>
              </a:graphicData>
            </a:graphic>
          </wp:inline>
        </w:drawing>
      </w:r>
    </w:p>
    <w:p w:rsidR="00B60BC1" w:rsidRPr="0021195C" w:rsidRDefault="00B60BC1" w:rsidP="00EC2856">
      <w:pPr>
        <w:pStyle w:val="Prrafodelista"/>
        <w:spacing w:line="360" w:lineRule="auto"/>
        <w:rPr>
          <w:rFonts w:ascii="Palatino Linotype" w:eastAsia="Palatino Linotype" w:hAnsi="Palatino Linotype" w:cs="Palatino Linotype"/>
        </w:rPr>
      </w:pPr>
    </w:p>
    <w:p w:rsidR="007137AB" w:rsidRPr="0021195C" w:rsidRDefault="007137AB" w:rsidP="00EC2856">
      <w:pPr>
        <w:numPr>
          <w:ilvl w:val="0"/>
          <w:numId w:val="1"/>
        </w:numPr>
        <w:spacing w:line="360" w:lineRule="auto"/>
        <w:ind w:left="0" w:right="49" w:firstLine="0"/>
        <w:jc w:val="both"/>
        <w:rPr>
          <w:rFonts w:ascii="Palatino Linotype" w:eastAsia="MS Mincho" w:hAnsi="Palatino Linotype" w:cs="Arial"/>
        </w:rPr>
      </w:pPr>
      <w:r w:rsidRPr="0021195C">
        <w:rPr>
          <w:rFonts w:ascii="Palatino Linotype" w:eastAsia="MS Mincho" w:hAnsi="Palatino Linotype" w:cs="Arial"/>
        </w:rPr>
        <w:t>Por lo que ante relatadas circunstancias, resultan procedentes las razones o motivos de inconformidad, siendo dable ordenar de nueva cuenta la información requerida</w:t>
      </w:r>
      <w:r w:rsidR="00212FD8" w:rsidRPr="0021195C">
        <w:rPr>
          <w:rFonts w:ascii="Palatino Linotype" w:eastAsia="MS Mincho" w:hAnsi="Palatino Linotype" w:cs="Arial"/>
        </w:rPr>
        <w:t xml:space="preserve">, misma que si bien ya asumió de manera expresar contar con ella el </w:t>
      </w:r>
      <w:r w:rsidR="00212FD8" w:rsidRPr="0021195C">
        <w:rPr>
          <w:rFonts w:ascii="Palatino Linotype" w:eastAsia="MS Mincho" w:hAnsi="Palatino Linotype" w:cs="Arial"/>
          <w:b/>
        </w:rPr>
        <w:t>SUJETO OBLIGADO</w:t>
      </w:r>
      <w:r w:rsidR="00212FD8" w:rsidRPr="0021195C">
        <w:rPr>
          <w:rFonts w:ascii="Palatino Linotype" w:eastAsia="MS Mincho" w:hAnsi="Palatino Linotype" w:cs="Arial"/>
        </w:rPr>
        <w:t xml:space="preserve"> no es óbice para realizar las siguientes precisiones.</w:t>
      </w:r>
    </w:p>
    <w:p w:rsidR="00212FD8" w:rsidRPr="0021195C" w:rsidRDefault="00212FD8" w:rsidP="00212FD8">
      <w:pPr>
        <w:spacing w:line="360" w:lineRule="auto"/>
        <w:ind w:right="49"/>
        <w:jc w:val="both"/>
        <w:rPr>
          <w:rFonts w:ascii="Palatino Linotype" w:eastAsia="MS Mincho" w:hAnsi="Palatino Linotype" w:cs="Arial"/>
        </w:rPr>
      </w:pPr>
    </w:p>
    <w:p w:rsidR="008330D2" w:rsidRPr="0021195C" w:rsidRDefault="008330D2" w:rsidP="008330D2">
      <w:pPr>
        <w:numPr>
          <w:ilvl w:val="0"/>
          <w:numId w:val="1"/>
        </w:numPr>
        <w:spacing w:line="360" w:lineRule="auto"/>
        <w:ind w:left="0" w:right="49" w:firstLine="0"/>
        <w:jc w:val="both"/>
        <w:rPr>
          <w:rFonts w:ascii="Palatino Linotype" w:eastAsia="Arial Unicode MS" w:hAnsi="Palatino Linotype" w:cs="Arial"/>
        </w:rPr>
      </w:pPr>
      <w:r w:rsidRPr="0021195C">
        <w:rPr>
          <w:rFonts w:ascii="Palatino Linotype" w:eastAsia="Calibri" w:hAnsi="Palatino Linotype" w:cs="Tahoma"/>
          <w:bCs/>
          <w:lang w:eastAsia="en-US"/>
        </w:rPr>
        <w:t xml:space="preserve">En ese sentido, sobre la nómina </w:t>
      </w:r>
      <w:r w:rsidRPr="0021195C">
        <w:rPr>
          <w:rFonts w:ascii="Palatino Linotype" w:hAnsi="Palatino Linotype"/>
        </w:rPr>
        <w:t xml:space="preserve">nos lleva a precisar que </w:t>
      </w:r>
      <w:r w:rsidRPr="0021195C">
        <w:rPr>
          <w:rFonts w:ascii="Palatino Linotype" w:hAnsi="Palatino Linotype" w:cs="Arial"/>
        </w:rPr>
        <w:t xml:space="preserve">en nuestra legislación del Estado de </w:t>
      </w:r>
      <w:r w:rsidRPr="0021195C">
        <w:rPr>
          <w:rFonts w:ascii="Palatino Linotype" w:eastAsia="MS Mincho" w:hAnsi="Palatino Linotype" w:cs="Arial"/>
        </w:rPr>
        <w:t>México</w:t>
      </w:r>
      <w:r w:rsidRPr="0021195C">
        <w:rPr>
          <w:rFonts w:ascii="Palatino Linotype" w:hAnsi="Palatino Linotype" w:cs="Arial"/>
        </w:rPr>
        <w:t xml:space="preserve"> no existe como tal una definición de “nómina”; sin embargo, el “Glosario de Términos Usuales de Finanzas Públicas” del Centro de Estudios de las Finanzas Públicas de la Cámara de Diputados del H. Congreso de la Unión, el “Glosario de Términos </w:t>
      </w:r>
      <w:r w:rsidRPr="0021195C">
        <w:rPr>
          <w:rFonts w:ascii="Palatino Linotype" w:hAnsi="Palatino Linotype" w:cs="Arial"/>
        </w:rPr>
        <w:lastRenderedPageBreak/>
        <w:t>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8330D2" w:rsidRPr="0021195C" w:rsidRDefault="008330D2" w:rsidP="008330D2">
      <w:pPr>
        <w:spacing w:before="240" w:after="240"/>
        <w:ind w:left="851" w:right="851"/>
        <w:contextualSpacing/>
        <w:jc w:val="both"/>
        <w:rPr>
          <w:rFonts w:ascii="Palatino Linotype" w:hAnsi="Palatino Linotype" w:cs="Arial"/>
          <w:i/>
        </w:rPr>
      </w:pPr>
      <w:r w:rsidRPr="0021195C">
        <w:rPr>
          <w:rFonts w:ascii="Palatino Linotype" w:hAnsi="Palatino Linotype" w:cs="Arial"/>
          <w:b/>
          <w:bCs/>
          <w:i/>
        </w:rPr>
        <w:t xml:space="preserve">“NÓMINA </w:t>
      </w:r>
      <w:r w:rsidRPr="0021195C">
        <w:rPr>
          <w:rFonts w:ascii="Palatino Linotype" w:hAnsi="Palatino Linotype" w:cs="Arial"/>
          <w:i/>
        </w:rPr>
        <w:t>Listado general de los trabajadores de una institución, en</w:t>
      </w:r>
      <w:r w:rsidRPr="0021195C">
        <w:rPr>
          <w:rFonts w:ascii="Palatino Linotype" w:hAnsi="Palatino Linotype" w:cs="Arial"/>
          <w:b/>
          <w:bCs/>
          <w:i/>
        </w:rPr>
        <w:t xml:space="preserve"> </w:t>
      </w:r>
      <w:r w:rsidRPr="0021195C">
        <w:rPr>
          <w:rFonts w:ascii="Palatino Linotype" w:hAnsi="Palatino Linotype" w:cs="Arial"/>
          <w:i/>
        </w:rPr>
        <w:t>el cual se asientan las percepciones brutas, deducciones y</w:t>
      </w:r>
      <w:r w:rsidRPr="0021195C">
        <w:rPr>
          <w:rFonts w:ascii="Palatino Linotype" w:hAnsi="Palatino Linotype" w:cs="Arial"/>
          <w:b/>
          <w:bCs/>
          <w:i/>
        </w:rPr>
        <w:t xml:space="preserve"> </w:t>
      </w:r>
      <w:r w:rsidRPr="0021195C">
        <w:rPr>
          <w:rFonts w:ascii="Palatino Linotype" w:hAnsi="Palatino Linotype" w:cs="Arial"/>
          <w:i/>
        </w:rPr>
        <w:t>alcance neto de las mismas; la nómina es utilizada para</w:t>
      </w:r>
      <w:r w:rsidRPr="0021195C">
        <w:rPr>
          <w:rFonts w:ascii="Palatino Linotype" w:hAnsi="Palatino Linotype" w:cs="Arial"/>
          <w:b/>
          <w:bCs/>
          <w:i/>
        </w:rPr>
        <w:t xml:space="preserve"> </w:t>
      </w:r>
      <w:r w:rsidRPr="0021195C">
        <w:rPr>
          <w:rFonts w:ascii="Palatino Linotype" w:hAnsi="Palatino Linotype" w:cs="Arial"/>
          <w:i/>
        </w:rPr>
        <w:t>efectuar los pagos periódicos (semanales, quincenales o</w:t>
      </w:r>
      <w:r w:rsidRPr="0021195C">
        <w:rPr>
          <w:rFonts w:ascii="Palatino Linotype" w:hAnsi="Palatino Linotype" w:cs="Arial"/>
          <w:b/>
          <w:bCs/>
          <w:i/>
        </w:rPr>
        <w:t xml:space="preserve"> </w:t>
      </w:r>
      <w:r w:rsidRPr="0021195C">
        <w:rPr>
          <w:rFonts w:ascii="Palatino Linotype" w:hAnsi="Palatino Linotype" w:cs="Arial"/>
          <w:i/>
        </w:rPr>
        <w:t>mensuales) a los trabajadores por concepto de sueldos y</w:t>
      </w:r>
      <w:r w:rsidRPr="0021195C">
        <w:rPr>
          <w:rFonts w:ascii="Palatino Linotype" w:hAnsi="Palatino Linotype" w:cs="Arial"/>
          <w:b/>
          <w:bCs/>
          <w:i/>
        </w:rPr>
        <w:t xml:space="preserve"> </w:t>
      </w:r>
      <w:r w:rsidRPr="0021195C">
        <w:rPr>
          <w:rFonts w:ascii="Palatino Linotype" w:hAnsi="Palatino Linotype" w:cs="Arial"/>
          <w:i/>
        </w:rPr>
        <w:t>salarios.”(Sic)</w:t>
      </w:r>
    </w:p>
    <w:p w:rsidR="008330D2" w:rsidRPr="0021195C" w:rsidRDefault="008330D2" w:rsidP="008330D2">
      <w:pPr>
        <w:spacing w:line="360" w:lineRule="auto"/>
        <w:ind w:right="-93"/>
        <w:jc w:val="both"/>
        <w:rPr>
          <w:rFonts w:ascii="Palatino Linotype" w:eastAsia="Palatino Linotype" w:hAnsi="Palatino Linotype" w:cs="Palatino Linotype"/>
        </w:rPr>
      </w:pPr>
    </w:p>
    <w:p w:rsidR="008330D2" w:rsidRPr="0021195C" w:rsidRDefault="008330D2" w:rsidP="008330D2">
      <w:pPr>
        <w:numPr>
          <w:ilvl w:val="0"/>
          <w:numId w:val="1"/>
        </w:numPr>
        <w:spacing w:line="360" w:lineRule="auto"/>
        <w:ind w:left="0" w:right="49" w:firstLine="0"/>
        <w:jc w:val="both"/>
        <w:rPr>
          <w:rFonts w:ascii="Palatino Linotype" w:hAnsi="Palatino Linotype" w:cs="Arial"/>
          <w:lang w:val="es-MX"/>
        </w:rPr>
      </w:pPr>
      <w:r w:rsidRPr="0021195C">
        <w:rPr>
          <w:rFonts w:ascii="Palatino Linotype" w:hAnsi="Palatino Linotype" w:cs="Arial"/>
        </w:rPr>
        <w:t xml:space="preserve">En base a lo anterior, conviene a traer lo establecido por el artículo 804, fracción II, de la Ley Federal de Trabajo, el cual a la letra establece: </w:t>
      </w:r>
    </w:p>
    <w:p w:rsidR="008330D2" w:rsidRPr="0021195C" w:rsidRDefault="008330D2" w:rsidP="008330D2">
      <w:pPr>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w:t>
      </w:r>
      <w:r w:rsidRPr="0021195C">
        <w:rPr>
          <w:rFonts w:ascii="Palatino Linotype" w:eastAsia="Palatino Linotype" w:hAnsi="Palatino Linotype" w:cs="Palatino Linotype"/>
          <w:b/>
          <w:i/>
        </w:rPr>
        <w:t>Artículo 804.-</w:t>
      </w:r>
      <w:r w:rsidRPr="0021195C">
        <w:rPr>
          <w:rFonts w:ascii="Palatino Linotype" w:eastAsia="Palatino Linotype" w:hAnsi="Palatino Linotype" w:cs="Palatino Linotype"/>
          <w:i/>
        </w:rPr>
        <w:t xml:space="preserve"> </w:t>
      </w:r>
      <w:r w:rsidRPr="0021195C">
        <w:rPr>
          <w:rFonts w:ascii="Palatino Linotype" w:eastAsia="Palatino Linotype" w:hAnsi="Palatino Linotype" w:cs="Palatino Linotype"/>
          <w:b/>
          <w:i/>
        </w:rPr>
        <w:t>El patrón tiene obligación de conservar y exhibir en juicio los documentos que a continuación se precisan</w:t>
      </w:r>
      <w:r w:rsidRPr="0021195C">
        <w:rPr>
          <w:rFonts w:ascii="Palatino Linotype" w:eastAsia="Palatino Linotype" w:hAnsi="Palatino Linotype" w:cs="Palatino Linotype"/>
          <w:i/>
        </w:rPr>
        <w:t>:</w:t>
      </w:r>
    </w:p>
    <w:p w:rsidR="008330D2" w:rsidRPr="0021195C" w:rsidRDefault="008330D2" w:rsidP="008330D2">
      <w:pPr>
        <w:ind w:left="851" w:right="851"/>
        <w:jc w:val="both"/>
        <w:rPr>
          <w:rFonts w:ascii="Palatino Linotype" w:eastAsia="Palatino Linotype" w:hAnsi="Palatino Linotype" w:cs="Palatino Linotype"/>
          <w:i/>
        </w:rPr>
      </w:pPr>
    </w:p>
    <w:p w:rsidR="008330D2" w:rsidRPr="0021195C" w:rsidRDefault="008330D2" w:rsidP="008330D2">
      <w:pPr>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b/>
          <w:i/>
        </w:rPr>
        <w:t>II.</w:t>
      </w:r>
      <w:r w:rsidRPr="0021195C">
        <w:rPr>
          <w:rFonts w:ascii="Palatino Linotype" w:eastAsia="Palatino Linotype" w:hAnsi="Palatino Linotype" w:cs="Palatino Linotype"/>
          <w:i/>
        </w:rPr>
        <w:t xml:space="preserve"> </w:t>
      </w:r>
      <w:r w:rsidRPr="0021195C">
        <w:rPr>
          <w:rFonts w:ascii="Palatino Linotype" w:eastAsia="Palatino Linotype" w:hAnsi="Palatino Linotype" w:cs="Palatino Linotype"/>
          <w:b/>
          <w:i/>
        </w:rPr>
        <w:t>Listas de raya o nómina de personal</w:t>
      </w:r>
      <w:r w:rsidRPr="0021195C">
        <w:rPr>
          <w:rFonts w:ascii="Palatino Linotype" w:eastAsia="Palatino Linotype" w:hAnsi="Palatino Linotype" w:cs="Palatino Linotype"/>
          <w:i/>
        </w:rPr>
        <w:t xml:space="preserve">, cuando se lleven en el centro de trabajo; o recibos de pagos de salarios; </w:t>
      </w:r>
    </w:p>
    <w:p w:rsidR="008330D2" w:rsidRPr="0021195C" w:rsidRDefault="008330D2" w:rsidP="008330D2">
      <w:pPr>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w:t>
      </w:r>
    </w:p>
    <w:p w:rsidR="008330D2" w:rsidRDefault="008330D2" w:rsidP="008330D2">
      <w:pPr>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21195C">
        <w:rPr>
          <w:rFonts w:ascii="Palatino Linotype" w:eastAsia="Palatino Linotype" w:hAnsi="Palatino Linotype" w:cs="Palatino Linotype"/>
          <w:b/>
          <w:i/>
        </w:rPr>
        <w:t>los señalados en las fracciones II, III y IV, durante el último año y un año después de que se extinga la relación laboral</w:t>
      </w:r>
      <w:r w:rsidRPr="0021195C">
        <w:rPr>
          <w:rFonts w:ascii="Palatino Linotype" w:eastAsia="Palatino Linotype" w:hAnsi="Palatino Linotype" w:cs="Palatino Linotype"/>
          <w:i/>
        </w:rPr>
        <w:t>; y los mencionados en la fracción V, conforme lo señalen las Leyes que los rijan.” (Sic)</w:t>
      </w:r>
    </w:p>
    <w:p w:rsidR="0039350F" w:rsidRPr="0021195C" w:rsidRDefault="0039350F" w:rsidP="008330D2">
      <w:pPr>
        <w:ind w:left="851" w:right="851"/>
        <w:jc w:val="both"/>
        <w:rPr>
          <w:rFonts w:ascii="Palatino Linotype" w:eastAsia="Palatino Linotype" w:hAnsi="Palatino Linotype" w:cs="Palatino Linotype"/>
          <w:i/>
        </w:rPr>
      </w:pPr>
    </w:p>
    <w:p w:rsidR="008330D2" w:rsidRPr="0021195C" w:rsidRDefault="008330D2" w:rsidP="008330D2">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De lo precedente, se concluye que la nómina, es el registro utilizado para efectuar los pagos a </w:t>
      </w:r>
      <w:r w:rsidRPr="0021195C">
        <w:rPr>
          <w:rFonts w:ascii="Palatino Linotype" w:hAnsi="Palatino Linotype" w:cs="Arial"/>
        </w:rPr>
        <w:t>los</w:t>
      </w:r>
      <w:r w:rsidRPr="0021195C">
        <w:rPr>
          <w:rFonts w:ascii="Palatino Linotype" w:eastAsia="Palatino Linotype" w:hAnsi="Palatino Linotype" w:cs="Palatino Linotype"/>
        </w:rPr>
        <w:t xml:space="preserve"> trabajadores por concepto de sueldos y salarios, el cual se compone por el </w:t>
      </w:r>
      <w:r w:rsidRPr="0021195C">
        <w:rPr>
          <w:rFonts w:ascii="Palatino Linotype" w:eastAsia="Palatino Linotype" w:hAnsi="Palatino Linotype" w:cs="Palatino Linotype"/>
        </w:rPr>
        <w:lastRenderedPageBreak/>
        <w:t>conjunto de trabajadores en el que se asientan las percepciones brutas, deducciones y la cantidad neta a pagar.</w:t>
      </w:r>
    </w:p>
    <w:p w:rsidR="008330D2" w:rsidRPr="0021195C" w:rsidRDefault="008330D2" w:rsidP="008330D2">
      <w:pPr>
        <w:spacing w:line="360" w:lineRule="auto"/>
        <w:ind w:right="49"/>
        <w:jc w:val="both"/>
        <w:rPr>
          <w:rFonts w:ascii="Palatino Linotype" w:eastAsia="Palatino Linotype" w:hAnsi="Palatino Linotype" w:cs="Palatino Linotype"/>
        </w:rPr>
      </w:pPr>
    </w:p>
    <w:p w:rsidR="008330D2" w:rsidRPr="0021195C" w:rsidRDefault="008330D2" w:rsidP="008330D2">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8330D2" w:rsidRPr="0021195C" w:rsidRDefault="008330D2" w:rsidP="008330D2">
      <w:pPr>
        <w:tabs>
          <w:tab w:val="left" w:pos="9072"/>
        </w:tabs>
        <w:spacing w:before="240"/>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b/>
          <w:i/>
        </w:rPr>
        <w:t>“ARTÍCULO 220 K.-</w:t>
      </w:r>
      <w:r w:rsidRPr="0021195C">
        <w:rPr>
          <w:rFonts w:ascii="Palatino Linotype" w:eastAsia="Palatino Linotype" w:hAnsi="Palatino Linotype" w:cs="Palatino Linotype"/>
          <w:i/>
        </w:rPr>
        <w:t xml:space="preserve"> La </w:t>
      </w:r>
      <w:r w:rsidRPr="0021195C">
        <w:rPr>
          <w:rFonts w:ascii="Palatino Linotype" w:eastAsia="Palatino Linotype" w:hAnsi="Palatino Linotype" w:cs="Palatino Linotype"/>
          <w:b/>
          <w:i/>
        </w:rPr>
        <w:t>institución o dependencia pública tiene la obligación de conservar y exhibir en el proceso los documentos que a continuación</w:t>
      </w:r>
      <w:r w:rsidRPr="0021195C">
        <w:rPr>
          <w:rFonts w:ascii="Palatino Linotype" w:eastAsia="Palatino Linotype" w:hAnsi="Palatino Linotype" w:cs="Palatino Linotype"/>
          <w:i/>
        </w:rPr>
        <w:t xml:space="preserve"> </w:t>
      </w:r>
      <w:r w:rsidRPr="0021195C">
        <w:rPr>
          <w:rFonts w:ascii="Palatino Linotype" w:eastAsia="Palatino Linotype" w:hAnsi="Palatino Linotype" w:cs="Palatino Linotype"/>
          <w:b/>
          <w:i/>
        </w:rPr>
        <w:t>se precisan</w:t>
      </w:r>
      <w:r w:rsidRPr="0021195C">
        <w:rPr>
          <w:rFonts w:ascii="Palatino Linotype" w:eastAsia="Palatino Linotype" w:hAnsi="Palatino Linotype" w:cs="Palatino Linotype"/>
          <w:i/>
        </w:rPr>
        <w:t>:</w:t>
      </w:r>
    </w:p>
    <w:p w:rsidR="008330D2" w:rsidRPr="0021195C" w:rsidRDefault="008330D2" w:rsidP="008330D2">
      <w:pPr>
        <w:tabs>
          <w:tab w:val="left" w:pos="9072"/>
        </w:tabs>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w:t>
      </w:r>
    </w:p>
    <w:p w:rsidR="008330D2" w:rsidRPr="0021195C" w:rsidRDefault="008330D2" w:rsidP="008330D2">
      <w:pPr>
        <w:tabs>
          <w:tab w:val="left" w:pos="9072"/>
        </w:tabs>
        <w:ind w:left="851" w:right="851"/>
        <w:jc w:val="both"/>
        <w:rPr>
          <w:rFonts w:ascii="Palatino Linotype" w:eastAsia="Palatino Linotype" w:hAnsi="Palatino Linotype" w:cs="Palatino Linotype"/>
          <w:b/>
          <w:i/>
        </w:rPr>
      </w:pPr>
      <w:r w:rsidRPr="0021195C">
        <w:rPr>
          <w:rFonts w:ascii="Palatino Linotype" w:eastAsia="Palatino Linotype" w:hAnsi="Palatino Linotype" w:cs="Palatino Linotype"/>
          <w:i/>
        </w:rPr>
        <w:t xml:space="preserve">II. </w:t>
      </w:r>
      <w:r w:rsidRPr="0021195C">
        <w:rPr>
          <w:rFonts w:ascii="Palatino Linotype" w:eastAsia="Palatino Linotype" w:hAnsi="Palatino Linotype" w:cs="Palatino Linotype"/>
          <w:b/>
          <w:i/>
        </w:rPr>
        <w:t>Recibos de pagos de salarios o</w:t>
      </w:r>
      <w:r w:rsidRPr="0021195C">
        <w:rPr>
          <w:rFonts w:ascii="Palatino Linotype" w:eastAsia="Palatino Linotype" w:hAnsi="Palatino Linotype" w:cs="Palatino Linotype"/>
          <w:i/>
        </w:rPr>
        <w:t xml:space="preserve"> </w:t>
      </w:r>
      <w:r w:rsidRPr="0021195C">
        <w:rPr>
          <w:rFonts w:ascii="Palatino Linotype" w:eastAsia="Palatino Linotype" w:hAnsi="Palatino Linotype" w:cs="Palatino Linotype"/>
          <w:b/>
          <w:i/>
        </w:rPr>
        <w:t>las constancias documentales del pago de salario</w:t>
      </w:r>
      <w:r w:rsidRPr="0021195C">
        <w:rPr>
          <w:rFonts w:ascii="Palatino Linotype" w:eastAsia="Palatino Linotype" w:hAnsi="Palatino Linotype" w:cs="Palatino Linotype"/>
          <w:i/>
        </w:rPr>
        <w:t xml:space="preserve"> </w:t>
      </w:r>
      <w:r w:rsidRPr="0021195C">
        <w:rPr>
          <w:rFonts w:ascii="Palatino Linotype" w:eastAsia="Palatino Linotype" w:hAnsi="Palatino Linotype" w:cs="Palatino Linotype"/>
          <w:b/>
          <w:i/>
        </w:rPr>
        <w:t xml:space="preserve">cuando </w:t>
      </w:r>
      <w:r w:rsidRPr="0021195C">
        <w:rPr>
          <w:rFonts w:ascii="Palatino Linotype" w:eastAsia="Palatino Linotype" w:hAnsi="Palatino Linotype" w:cs="Palatino Linotype"/>
          <w:b/>
          <w:i/>
          <w:u w:val="single"/>
        </w:rPr>
        <w:t>sea por depósito o mediante información electrónica</w:t>
      </w:r>
      <w:r w:rsidRPr="0021195C">
        <w:rPr>
          <w:rFonts w:ascii="Palatino Linotype" w:eastAsia="Palatino Linotype" w:hAnsi="Palatino Linotype" w:cs="Palatino Linotype"/>
          <w:b/>
          <w:i/>
        </w:rPr>
        <w:t>;</w:t>
      </w:r>
    </w:p>
    <w:p w:rsidR="008330D2" w:rsidRPr="0021195C" w:rsidRDefault="008330D2" w:rsidP="008330D2">
      <w:pPr>
        <w:tabs>
          <w:tab w:val="left" w:pos="9072"/>
        </w:tabs>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w:t>
      </w:r>
    </w:p>
    <w:p w:rsidR="008330D2" w:rsidRPr="0021195C" w:rsidRDefault="008330D2" w:rsidP="008330D2">
      <w:pPr>
        <w:tabs>
          <w:tab w:val="left" w:pos="9072"/>
        </w:tabs>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8330D2" w:rsidRPr="0021195C" w:rsidRDefault="008330D2" w:rsidP="008330D2">
      <w:pPr>
        <w:tabs>
          <w:tab w:val="left" w:pos="9072"/>
        </w:tabs>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8330D2" w:rsidRPr="0021195C" w:rsidRDefault="008330D2" w:rsidP="008330D2">
      <w:pPr>
        <w:tabs>
          <w:tab w:val="left" w:pos="9072"/>
        </w:tabs>
        <w:ind w:left="851" w:right="851"/>
        <w:jc w:val="both"/>
        <w:rPr>
          <w:rFonts w:ascii="Palatino Linotype" w:eastAsia="Palatino Linotype" w:hAnsi="Palatino Linotype" w:cs="Palatino Linotype"/>
          <w:i/>
        </w:rPr>
      </w:pPr>
    </w:p>
    <w:p w:rsidR="008330D2" w:rsidRPr="0021195C" w:rsidRDefault="008330D2" w:rsidP="008330D2">
      <w:pPr>
        <w:spacing w:line="360" w:lineRule="auto"/>
        <w:ind w:right="49"/>
        <w:jc w:val="both"/>
      </w:pPr>
    </w:p>
    <w:p w:rsidR="008330D2" w:rsidRPr="0021195C" w:rsidRDefault="008330D2" w:rsidP="008330D2">
      <w:pPr>
        <w:numPr>
          <w:ilvl w:val="0"/>
          <w:numId w:val="1"/>
        </w:numPr>
        <w:spacing w:line="360" w:lineRule="auto"/>
        <w:ind w:left="0" w:right="49" w:firstLine="0"/>
        <w:jc w:val="both"/>
      </w:pPr>
      <w:r w:rsidRPr="0021195C">
        <w:rPr>
          <w:rFonts w:ascii="Palatino Linotype" w:eastAsia="Palatino Linotype" w:hAnsi="Palatino Linotype" w:cs="Palatino Linotype"/>
        </w:rPr>
        <w:t xml:space="preserve">La Ley de Fiscalización Superior del Estado de México, toda vez que señala que los municipios que conforman el Estado de México, entre ellos el </w:t>
      </w:r>
      <w:r w:rsidRPr="0021195C">
        <w:rPr>
          <w:rFonts w:ascii="Palatino Linotype" w:eastAsia="Palatino Linotype" w:hAnsi="Palatino Linotype" w:cs="Palatino Linotype"/>
          <w:b/>
        </w:rPr>
        <w:t>SUJETO OBLIGADO</w:t>
      </w:r>
      <w:r w:rsidRPr="0021195C">
        <w:rPr>
          <w:rFonts w:ascii="Palatino Linotype" w:eastAsia="Palatino Linotype" w:hAnsi="Palatino Linotype" w:cs="Palatino Linotype"/>
        </w:rPr>
        <w:t>,</w:t>
      </w:r>
      <w:r w:rsidRPr="0021195C">
        <w:t xml:space="preserve"> </w:t>
      </w:r>
      <w:r w:rsidRPr="0021195C">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8330D2" w:rsidRPr="0021195C" w:rsidRDefault="008330D2" w:rsidP="008330D2">
      <w:pPr>
        <w:spacing w:before="240"/>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b/>
          <w:i/>
        </w:rPr>
        <w:lastRenderedPageBreak/>
        <w:t xml:space="preserve">“Artículo 4. </w:t>
      </w:r>
      <w:r w:rsidRPr="0021195C">
        <w:rPr>
          <w:rFonts w:ascii="Palatino Linotype" w:eastAsia="Palatino Linotype" w:hAnsi="Palatino Linotype" w:cs="Palatino Linotype"/>
          <w:i/>
        </w:rPr>
        <w:t>Son sujetos de fiscalización:</w:t>
      </w:r>
    </w:p>
    <w:p w:rsidR="008330D2" w:rsidRPr="0021195C" w:rsidRDefault="008330D2" w:rsidP="008330D2">
      <w:pPr>
        <w:ind w:left="851" w:right="851"/>
        <w:jc w:val="both"/>
        <w:rPr>
          <w:i/>
        </w:rPr>
      </w:pPr>
      <w:r w:rsidRPr="0021195C">
        <w:rPr>
          <w:rFonts w:ascii="Palatino Linotype" w:eastAsia="Palatino Linotype" w:hAnsi="Palatino Linotype" w:cs="Palatino Linotype"/>
          <w:i/>
        </w:rPr>
        <w:t>…</w:t>
      </w:r>
    </w:p>
    <w:p w:rsidR="008330D2" w:rsidRPr="0021195C" w:rsidRDefault="008330D2" w:rsidP="00B33052">
      <w:pPr>
        <w:pBdr>
          <w:top w:val="nil"/>
          <w:left w:val="nil"/>
          <w:bottom w:val="nil"/>
          <w:right w:val="nil"/>
          <w:between w:val="nil"/>
        </w:pBdr>
        <w:spacing w:before="240" w:after="160"/>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 xml:space="preserve">Los municipios del Estado de México…” </w:t>
      </w:r>
    </w:p>
    <w:p w:rsidR="008330D2" w:rsidRPr="0021195C" w:rsidRDefault="008330D2" w:rsidP="008330D2">
      <w:pPr>
        <w:spacing w:before="240"/>
        <w:ind w:left="851" w:right="851"/>
        <w:jc w:val="both"/>
        <w:rPr>
          <w:b/>
        </w:rPr>
      </w:pPr>
    </w:p>
    <w:p w:rsidR="008330D2" w:rsidRPr="0021195C" w:rsidRDefault="008330D2" w:rsidP="00B33052">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2023, como así se advierte a continuación:</w:t>
      </w:r>
    </w:p>
    <w:p w:rsidR="008330D2" w:rsidRPr="0021195C" w:rsidRDefault="008330D2" w:rsidP="008330D2">
      <w:pPr>
        <w:ind w:left="851" w:right="851"/>
        <w:jc w:val="both"/>
        <w:rPr>
          <w:i/>
        </w:rPr>
      </w:pPr>
      <w:r w:rsidRPr="0021195C">
        <w:rPr>
          <w:rFonts w:ascii="Palatino Linotype" w:eastAsia="Palatino Linotype" w:hAnsi="Palatino Linotype" w:cs="Palatino Linotype"/>
          <w:b/>
          <w:i/>
        </w:rPr>
        <w:t xml:space="preserve">“Artículo 8. </w:t>
      </w:r>
      <w:r w:rsidRPr="0021195C">
        <w:rPr>
          <w:rFonts w:ascii="Palatino Linotype" w:eastAsia="Palatino Linotype" w:hAnsi="Palatino Linotype" w:cs="Palatino Linotype"/>
          <w:i/>
        </w:rPr>
        <w:t>El Órgano Superior tendrá las siguientes atribuciones:</w:t>
      </w:r>
    </w:p>
    <w:p w:rsidR="008330D2" w:rsidRPr="0021195C" w:rsidRDefault="008330D2" w:rsidP="008330D2">
      <w:pPr>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i/>
        </w:rPr>
        <w:t>…</w:t>
      </w:r>
    </w:p>
    <w:p w:rsidR="008330D2" w:rsidRPr="0021195C" w:rsidRDefault="008330D2" w:rsidP="008330D2">
      <w:pPr>
        <w:ind w:left="851" w:right="851"/>
        <w:jc w:val="both"/>
        <w:rPr>
          <w:rFonts w:ascii="Palatino Linotype" w:eastAsia="Palatino Linotype" w:hAnsi="Palatino Linotype" w:cs="Palatino Linotype"/>
          <w:b/>
          <w:i/>
        </w:rPr>
      </w:pPr>
      <w:r w:rsidRPr="0021195C">
        <w:rPr>
          <w:rFonts w:ascii="Palatino Linotype" w:eastAsia="Palatino Linotype" w:hAnsi="Palatino Linotype" w:cs="Palatino Linotype"/>
          <w:b/>
          <w:i/>
        </w:rPr>
        <w:t>XI. Establecer los lineamientos</w:t>
      </w:r>
      <w:r w:rsidRPr="0021195C">
        <w:rPr>
          <w:rFonts w:ascii="Palatino Linotype" w:eastAsia="Palatino Linotype" w:hAnsi="Palatino Linotype" w:cs="Palatino Linotype"/>
          <w:i/>
        </w:rPr>
        <w:t xml:space="preserve">, criterios, procedimientos, métodos y sistemas </w:t>
      </w:r>
      <w:r w:rsidRPr="0021195C">
        <w:rPr>
          <w:rFonts w:ascii="Palatino Linotype" w:eastAsia="Palatino Linotype" w:hAnsi="Palatino Linotype" w:cs="Palatino Linotype"/>
          <w:b/>
          <w:i/>
        </w:rPr>
        <w:t>para las acciones de control y evaluación, necesarios para la fiscalización de las cuentas públicas y los informes trimestrales</w:t>
      </w:r>
      <w:r w:rsidRPr="0021195C">
        <w:rPr>
          <w:rFonts w:ascii="Palatino Linotype" w:eastAsia="Palatino Linotype" w:hAnsi="Palatino Linotype" w:cs="Palatino Linotype"/>
          <w:i/>
        </w:rPr>
        <w:t>…</w:t>
      </w:r>
      <w:r w:rsidR="00B33052" w:rsidRPr="0021195C">
        <w:rPr>
          <w:rFonts w:ascii="Palatino Linotype" w:eastAsia="Palatino Linotype" w:hAnsi="Palatino Linotype" w:cs="Palatino Linotype"/>
        </w:rPr>
        <w:t>”</w:t>
      </w:r>
    </w:p>
    <w:p w:rsidR="008330D2" w:rsidRDefault="008330D2" w:rsidP="008330D2">
      <w:pPr>
        <w:ind w:left="851" w:right="851"/>
        <w:jc w:val="both"/>
        <w:rPr>
          <w:rFonts w:ascii="Palatino Linotype" w:eastAsia="Palatino Linotype" w:hAnsi="Palatino Linotype" w:cs="Palatino Linotype"/>
          <w:b/>
          <w:i/>
        </w:rPr>
      </w:pPr>
    </w:p>
    <w:p w:rsidR="0039350F" w:rsidRPr="0021195C" w:rsidRDefault="0039350F" w:rsidP="008330D2">
      <w:pPr>
        <w:ind w:left="851" w:right="851"/>
        <w:jc w:val="both"/>
        <w:rPr>
          <w:rFonts w:ascii="Palatino Linotype" w:eastAsia="Palatino Linotype" w:hAnsi="Palatino Linotype" w:cs="Palatino Linotype"/>
          <w:b/>
          <w:i/>
        </w:rPr>
      </w:pPr>
    </w:p>
    <w:p w:rsidR="008330D2" w:rsidRPr="0021195C" w:rsidRDefault="008330D2" w:rsidP="00B33052">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Dentro de los cuales ubicamos en su módulo cuatro la información de la conciliación de nómina, como se advierte en las siguientes imágenes sustraídas de dichos lineamientos:</w:t>
      </w:r>
    </w:p>
    <w:p w:rsidR="008330D2" w:rsidRPr="0021195C" w:rsidRDefault="008330D2" w:rsidP="008330D2">
      <w:pPr>
        <w:spacing w:line="360" w:lineRule="auto"/>
        <w:jc w:val="both"/>
        <w:rPr>
          <w:rFonts w:ascii="Palatino Linotype" w:eastAsia="Palatino Linotype" w:hAnsi="Palatino Linotype" w:cs="Palatino Linotype"/>
        </w:rPr>
      </w:pPr>
    </w:p>
    <w:p w:rsidR="008330D2" w:rsidRPr="0021195C" w:rsidRDefault="008330D2" w:rsidP="008330D2">
      <w:pPr>
        <w:spacing w:line="360" w:lineRule="auto"/>
        <w:jc w:val="both"/>
        <w:rPr>
          <w:noProof/>
          <w:lang w:val="es-MX"/>
        </w:rPr>
      </w:pPr>
    </w:p>
    <w:p w:rsidR="008330D2" w:rsidRPr="0021195C" w:rsidRDefault="008330D2" w:rsidP="008330D2">
      <w:pPr>
        <w:spacing w:line="360" w:lineRule="auto"/>
        <w:jc w:val="center"/>
        <w:rPr>
          <w:rFonts w:ascii="Palatino Linotype" w:eastAsia="Palatino Linotype" w:hAnsi="Palatino Linotype" w:cs="Palatino Linotype"/>
        </w:rPr>
      </w:pPr>
      <w:r w:rsidRPr="0021195C">
        <w:rPr>
          <w:noProof/>
          <w:lang w:val="es-MX" w:eastAsia="es-MX"/>
        </w:rPr>
        <w:drawing>
          <wp:inline distT="0" distB="0" distL="0" distR="0" wp14:anchorId="2BCEFF64" wp14:editId="3F285A4C">
            <wp:extent cx="2810518" cy="2265680"/>
            <wp:effectExtent l="0" t="0" r="889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339" t="13689" r="27297" b="25803"/>
                    <a:stretch/>
                  </pic:blipFill>
                  <pic:spPr bwMode="auto">
                    <a:xfrm>
                      <a:off x="0" y="0"/>
                      <a:ext cx="2817004" cy="2270909"/>
                    </a:xfrm>
                    <a:prstGeom prst="rect">
                      <a:avLst/>
                    </a:prstGeom>
                    <a:ln>
                      <a:noFill/>
                    </a:ln>
                    <a:extLst>
                      <a:ext uri="{53640926-AAD7-44D8-BBD7-CCE9431645EC}">
                        <a14:shadowObscured xmlns:a14="http://schemas.microsoft.com/office/drawing/2010/main"/>
                      </a:ext>
                    </a:extLst>
                  </pic:spPr>
                </pic:pic>
              </a:graphicData>
            </a:graphic>
          </wp:inline>
        </w:drawing>
      </w:r>
    </w:p>
    <w:p w:rsidR="008330D2" w:rsidRPr="0021195C" w:rsidRDefault="008330D2" w:rsidP="00B33052">
      <w:pPr>
        <w:spacing w:line="360" w:lineRule="auto"/>
        <w:jc w:val="center"/>
      </w:pPr>
      <w:r w:rsidRPr="0021195C">
        <w:rPr>
          <w:noProof/>
          <w:lang w:val="es-MX" w:eastAsia="es-MX"/>
        </w:rPr>
        <w:lastRenderedPageBreak/>
        <w:drawing>
          <wp:inline distT="0" distB="0" distL="0" distR="0" wp14:anchorId="0A1CED94" wp14:editId="12D303AF">
            <wp:extent cx="5037615" cy="4857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111" t="20373" r="25064" b="7025"/>
                    <a:stretch/>
                  </pic:blipFill>
                  <pic:spPr bwMode="auto">
                    <a:xfrm>
                      <a:off x="0" y="0"/>
                      <a:ext cx="5068497" cy="4887529"/>
                    </a:xfrm>
                    <a:prstGeom prst="rect">
                      <a:avLst/>
                    </a:prstGeom>
                    <a:ln>
                      <a:noFill/>
                    </a:ln>
                    <a:extLst>
                      <a:ext uri="{53640926-AAD7-44D8-BBD7-CCE9431645EC}">
                        <a14:shadowObscured xmlns:a14="http://schemas.microsoft.com/office/drawing/2010/main"/>
                      </a:ext>
                    </a:extLst>
                  </pic:spPr>
                </pic:pic>
              </a:graphicData>
            </a:graphic>
          </wp:inline>
        </w:drawing>
      </w:r>
    </w:p>
    <w:p w:rsidR="008330D2" w:rsidRPr="0021195C" w:rsidRDefault="008330D2" w:rsidP="00A227E2">
      <w:pPr>
        <w:spacing w:line="360" w:lineRule="auto"/>
        <w:jc w:val="center"/>
        <w:rPr>
          <w:rFonts w:ascii="Palatino Linotype" w:eastAsia="Palatino Linotype" w:hAnsi="Palatino Linotype" w:cs="Palatino Linotype"/>
        </w:rPr>
      </w:pPr>
      <w:r w:rsidRPr="0021195C">
        <w:rPr>
          <w:noProof/>
          <w:lang w:val="es-MX" w:eastAsia="es-MX"/>
        </w:rPr>
        <w:lastRenderedPageBreak/>
        <w:drawing>
          <wp:inline distT="0" distB="0" distL="0" distR="0" wp14:anchorId="44411DE6" wp14:editId="1124EBC8">
            <wp:extent cx="5025896" cy="689895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844" t="11619" r="25062" b="12435"/>
                    <a:stretch/>
                  </pic:blipFill>
                  <pic:spPr bwMode="auto">
                    <a:xfrm>
                      <a:off x="0" y="0"/>
                      <a:ext cx="5047661" cy="6928834"/>
                    </a:xfrm>
                    <a:prstGeom prst="rect">
                      <a:avLst/>
                    </a:prstGeom>
                    <a:ln>
                      <a:noFill/>
                    </a:ln>
                    <a:extLst>
                      <a:ext uri="{53640926-AAD7-44D8-BBD7-CCE9431645EC}">
                        <a14:shadowObscured xmlns:a14="http://schemas.microsoft.com/office/drawing/2010/main"/>
                      </a:ext>
                    </a:extLst>
                  </pic:spPr>
                </pic:pic>
              </a:graphicData>
            </a:graphic>
          </wp:inline>
        </w:drawing>
      </w:r>
    </w:p>
    <w:p w:rsidR="008330D2" w:rsidRPr="0021195C" w:rsidRDefault="008330D2" w:rsidP="00B33052">
      <w:pPr>
        <w:spacing w:line="360" w:lineRule="auto"/>
        <w:jc w:val="center"/>
        <w:rPr>
          <w:rFonts w:ascii="Palatino Linotype" w:eastAsia="Palatino Linotype" w:hAnsi="Palatino Linotype" w:cs="Palatino Linotype"/>
        </w:rPr>
      </w:pPr>
      <w:r w:rsidRPr="0021195C">
        <w:rPr>
          <w:noProof/>
          <w:lang w:val="es-MX" w:eastAsia="es-MX"/>
        </w:rPr>
        <w:lastRenderedPageBreak/>
        <w:drawing>
          <wp:inline distT="0" distB="0" distL="0" distR="0" wp14:anchorId="5076085C" wp14:editId="5B2B8DCF">
            <wp:extent cx="4441427" cy="28610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931" t="27218" r="25247" b="28681"/>
                    <a:stretch/>
                  </pic:blipFill>
                  <pic:spPr bwMode="auto">
                    <a:xfrm>
                      <a:off x="0" y="0"/>
                      <a:ext cx="4457153" cy="2871136"/>
                    </a:xfrm>
                    <a:prstGeom prst="rect">
                      <a:avLst/>
                    </a:prstGeom>
                    <a:ln>
                      <a:noFill/>
                    </a:ln>
                    <a:extLst>
                      <a:ext uri="{53640926-AAD7-44D8-BBD7-CCE9431645EC}">
                        <a14:shadowObscured xmlns:a14="http://schemas.microsoft.com/office/drawing/2010/main"/>
                      </a:ext>
                    </a:extLst>
                  </pic:spPr>
                </pic:pic>
              </a:graphicData>
            </a:graphic>
          </wp:inline>
        </w:drawing>
      </w:r>
    </w:p>
    <w:p w:rsidR="00B33052" w:rsidRPr="0021195C" w:rsidRDefault="00B33052" w:rsidP="00B33052">
      <w:pPr>
        <w:spacing w:line="360" w:lineRule="auto"/>
        <w:jc w:val="center"/>
        <w:rPr>
          <w:rFonts w:ascii="Palatino Linotype" w:eastAsia="Palatino Linotype" w:hAnsi="Palatino Linotype" w:cs="Palatino Linotype"/>
        </w:rPr>
      </w:pPr>
    </w:p>
    <w:p w:rsidR="008330D2" w:rsidRPr="0021195C" w:rsidRDefault="008330D2" w:rsidP="00B33052">
      <w:pPr>
        <w:numPr>
          <w:ilvl w:val="0"/>
          <w:numId w:val="1"/>
        </w:numPr>
        <w:spacing w:line="360" w:lineRule="auto"/>
        <w:ind w:left="0" w:right="49" w:firstLine="0"/>
        <w:jc w:val="both"/>
        <w:rPr>
          <w:rFonts w:ascii="Palatino Linotype" w:eastAsia="MS Mincho" w:hAnsi="Palatino Linotype" w:cs="Arial"/>
        </w:rPr>
      </w:pPr>
      <w:r w:rsidRPr="0021195C">
        <w:rPr>
          <w:rFonts w:ascii="Palatino Linotype" w:eastAsia="Palatino Linotype" w:hAnsi="Palatino Linotype" w:cs="Palatino Linotype"/>
        </w:rPr>
        <w:t xml:space="preserve">En observancia a las imágenes anteriores, se acredita que el </w:t>
      </w:r>
      <w:r w:rsidRPr="0021195C">
        <w:rPr>
          <w:rFonts w:ascii="Palatino Linotype" w:eastAsia="Palatino Linotype" w:hAnsi="Palatino Linotype" w:cs="Palatino Linotype"/>
          <w:b/>
        </w:rPr>
        <w:t>SUJETO OBLIGADO</w:t>
      </w:r>
      <w:r w:rsidRPr="0021195C">
        <w:rPr>
          <w:rFonts w:ascii="Palatino Linotype" w:eastAsia="Palatino Linotype" w:hAnsi="Palatino Linotype" w:cs="Palatino Linotype"/>
        </w:rPr>
        <w:t>, debió generar la información relativa a la conciliación de nómina de manera quincenal y remitirla de manera trimestral al Órgano Superior de Fiscalización del Estado de México, para su respectiva revisión y fiscalización.</w:t>
      </w:r>
      <w:r w:rsidR="00B33052" w:rsidRPr="0021195C">
        <w:rPr>
          <w:rFonts w:ascii="Palatino Linotype" w:eastAsia="Palatino Linotype" w:hAnsi="Palatino Linotype" w:cs="Palatino Linotype"/>
        </w:rPr>
        <w:t xml:space="preserve"> </w:t>
      </w:r>
      <w:r w:rsidRPr="0021195C">
        <w:rPr>
          <w:rFonts w:ascii="Palatino Linotype" w:eastAsia="Palatino Linotype" w:hAnsi="Palatino Linotype" w:cs="Palatino Linotype"/>
        </w:rPr>
        <w:t>En resumen, la conciliación de nómina, es el documento que contiene los sueldos, salarios y deducciones de todos</w:t>
      </w:r>
      <w:r w:rsidR="00B33052" w:rsidRPr="0021195C">
        <w:rPr>
          <w:rFonts w:ascii="Palatino Linotype" w:eastAsia="Palatino Linotype" w:hAnsi="Palatino Linotype" w:cs="Palatino Linotype"/>
        </w:rPr>
        <w:t>, siendo dable ordenar dicho soporte documental con referencia a las áreas señaladas en la solicitud de información.</w:t>
      </w:r>
    </w:p>
    <w:p w:rsidR="008330D2" w:rsidRPr="0021195C" w:rsidRDefault="008330D2" w:rsidP="008330D2">
      <w:pPr>
        <w:spacing w:line="360" w:lineRule="auto"/>
        <w:ind w:right="49"/>
        <w:jc w:val="both"/>
        <w:rPr>
          <w:rFonts w:ascii="Palatino Linotype" w:eastAsia="MS Mincho" w:hAnsi="Palatino Linotype" w:cs="Arial"/>
        </w:rPr>
      </w:pPr>
    </w:p>
    <w:p w:rsidR="00194544" w:rsidRPr="0021195C" w:rsidRDefault="00194544" w:rsidP="00EC2856">
      <w:pPr>
        <w:numPr>
          <w:ilvl w:val="0"/>
          <w:numId w:val="1"/>
        </w:numP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Con la determinación anterior quedará por colmado el derecho de acceso a la información del ahora </w:t>
      </w:r>
      <w:r w:rsidRPr="0021195C">
        <w:rPr>
          <w:rFonts w:ascii="Palatino Linotype" w:hAnsi="Palatino Linotype" w:cs="Times New Roman"/>
        </w:rPr>
        <w:t>Recurrente</w:t>
      </w:r>
      <w:r w:rsidRPr="0021195C">
        <w:rPr>
          <w:rFonts w:ascii="Palatino Linotype" w:eastAsia="Palatino Linotype" w:hAnsi="Palatino Linotype" w:cs="Palatino Linotype"/>
          <w:color w:val="000000"/>
        </w:rPr>
        <w:t xml:space="preserve">; toda vez que el Derecho que tutela este Órgano </w:t>
      </w:r>
      <w:r w:rsidRPr="0021195C">
        <w:rPr>
          <w:rFonts w:ascii="Palatino Linotype" w:eastAsia="Palatino Linotype" w:hAnsi="Palatino Linotype" w:cs="Palatino Linotype"/>
        </w:rPr>
        <w:t>Garante</w:t>
      </w:r>
      <w:r w:rsidRPr="0021195C">
        <w:rPr>
          <w:rFonts w:ascii="Palatino Linotype" w:eastAsia="Palatino Linotype" w:hAnsi="Palatino Linotype" w:cs="Palatino Linotype"/>
          <w:color w:val="000000"/>
        </w:rPr>
        <w:t xml:space="preserve"> corresponde a la  </w:t>
      </w:r>
      <w:r w:rsidRPr="0021195C">
        <w:rPr>
          <w:rFonts w:ascii="Palatino Linotype" w:eastAsia="Palatino Linotype" w:hAnsi="Palatino Linotype" w:cs="Palatino Linotype"/>
          <w:i/>
          <w:color w:val="000000"/>
        </w:rPr>
        <w:t>igualdad de oportunidades para recibir, buscar e impartir información</w:t>
      </w:r>
      <w:r w:rsidRPr="0021195C">
        <w:rPr>
          <w:rFonts w:ascii="Palatino Linotype" w:eastAsia="Palatino Linotype" w:hAnsi="Palatino Linotype" w:cs="Palatino Linotype"/>
          <w:i/>
          <w:color w:val="000000"/>
          <w:vertAlign w:val="superscript"/>
        </w:rPr>
        <w:footnoteReference w:id="1"/>
      </w:r>
      <w:r w:rsidRPr="0021195C">
        <w:rPr>
          <w:rFonts w:ascii="Palatino Linotype" w:eastAsia="Palatino Linotype" w:hAnsi="Palatino Linotype" w:cs="Palatino Linotype"/>
          <w:i/>
          <w:color w:val="000000"/>
        </w:rPr>
        <w:t xml:space="preserve"> en posesión de cualquier autoridad, entidad, órgano y organismo de los </w:t>
      </w:r>
      <w:r w:rsidRPr="0021195C">
        <w:rPr>
          <w:rFonts w:ascii="Palatino Linotype" w:eastAsia="Palatino Linotype" w:hAnsi="Palatino Linotype" w:cs="Palatino Linotype"/>
        </w:rPr>
        <w:t>poderes</w:t>
      </w:r>
      <w:r w:rsidRPr="0021195C">
        <w:rPr>
          <w:rFonts w:ascii="Palatino Linotype" w:eastAsia="Palatino Linotype" w:hAnsi="Palatino Linotype" w:cs="Palatino Linotype"/>
          <w:i/>
          <w:color w:val="000000"/>
        </w:rPr>
        <w:t xml:space="preserve"> Ejecutivo, Legislativo y Judicial, órganos autónomos, partidos políticos, fideicomisos, y fondos públicos, así como de cualquier persona </w:t>
      </w:r>
      <w:r w:rsidRPr="0021195C">
        <w:rPr>
          <w:rFonts w:ascii="Palatino Linotype" w:eastAsia="Palatino Linotype" w:hAnsi="Palatino Linotype" w:cs="Palatino Linotype"/>
          <w:i/>
          <w:color w:val="000000"/>
        </w:rPr>
        <w:lastRenderedPageBreak/>
        <w:t>física, moral o sindicato que reciba y ejerza recursos públicos o realice actos de autoridad en el ámbito federal, estatal y municipal</w:t>
      </w:r>
      <w:r w:rsidRPr="0021195C">
        <w:rPr>
          <w:rFonts w:ascii="Palatino Linotype" w:eastAsia="Palatino Linotype" w:hAnsi="Palatino Linotype" w:cs="Palatino Linotype"/>
          <w:color w:val="000000"/>
          <w:vertAlign w:val="superscript"/>
        </w:rPr>
        <w:footnoteReference w:id="2"/>
      </w:r>
      <w:r w:rsidRPr="0021195C">
        <w:rPr>
          <w:rFonts w:ascii="Palatino Linotype" w:eastAsia="Palatino Linotype" w:hAnsi="Palatino Linotype" w:cs="Palatino Linotype"/>
          <w:i/>
          <w:color w:val="000000"/>
        </w:rPr>
        <w:t xml:space="preserve"> </w:t>
      </w:r>
      <w:r w:rsidRPr="0021195C">
        <w:rPr>
          <w:rFonts w:ascii="Palatino Linotype" w:eastAsia="Palatino Linotype" w:hAnsi="Palatino Linotype" w:cs="Palatino Linotype"/>
          <w:color w:val="000000"/>
        </w:rPr>
        <w:t xml:space="preserve">que se constituye como una herramienta fundamental para </w:t>
      </w:r>
      <w:r w:rsidRPr="0021195C">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21195C">
        <w:rPr>
          <w:rFonts w:ascii="Palatino Linotype" w:eastAsia="Palatino Linotype" w:hAnsi="Palatino Linotype" w:cs="Palatino Linotype"/>
          <w:i/>
          <w:color w:val="000000"/>
          <w:vertAlign w:val="superscript"/>
        </w:rPr>
        <w:footnoteReference w:id="3"/>
      </w:r>
      <w:r w:rsidRPr="0021195C">
        <w:rPr>
          <w:rFonts w:ascii="Palatino Linotype" w:eastAsia="Palatino Linotype" w:hAnsi="Palatino Linotype" w:cs="Palatino Linotype"/>
          <w:color w:val="000000"/>
        </w:rPr>
        <w:t>fomentando</w:t>
      </w:r>
      <w:r w:rsidRPr="0021195C">
        <w:rPr>
          <w:rFonts w:ascii="Palatino Linotype" w:eastAsia="Palatino Linotype" w:hAnsi="Palatino Linotype" w:cs="Palatino Linotype"/>
          <w:i/>
          <w:color w:val="000000"/>
        </w:rPr>
        <w:t xml:space="preserve"> la transparencia de las actividades estatales y</w:t>
      </w:r>
      <w:r w:rsidRPr="0021195C">
        <w:rPr>
          <w:rFonts w:ascii="Palatino Linotype" w:eastAsia="Palatino Linotype" w:hAnsi="Palatino Linotype" w:cs="Palatino Linotype"/>
          <w:color w:val="000000"/>
        </w:rPr>
        <w:t xml:space="preserve"> promoviendo</w:t>
      </w:r>
      <w:r w:rsidRPr="0021195C">
        <w:rPr>
          <w:rFonts w:ascii="Palatino Linotype" w:eastAsia="Palatino Linotype" w:hAnsi="Palatino Linotype" w:cs="Palatino Linotype"/>
          <w:i/>
          <w:color w:val="000000"/>
        </w:rPr>
        <w:t xml:space="preserve"> la responsabilidad de los funcionarios sobre su gestión pública</w:t>
      </w:r>
      <w:r w:rsidRPr="0021195C">
        <w:rPr>
          <w:rFonts w:ascii="Palatino Linotype" w:eastAsia="Palatino Linotype" w:hAnsi="Palatino Linotype" w:cs="Palatino Linotype"/>
          <w:i/>
          <w:color w:val="000000"/>
          <w:vertAlign w:val="superscript"/>
        </w:rPr>
        <w:footnoteReference w:id="4"/>
      </w:r>
      <w:r w:rsidRPr="0021195C">
        <w:rPr>
          <w:rFonts w:ascii="Palatino Linotype" w:eastAsia="Palatino Linotype" w:hAnsi="Palatino Linotype" w:cs="Palatino Linotype"/>
          <w:i/>
          <w:color w:val="000000"/>
        </w:rPr>
        <w:t xml:space="preserve"> </w:t>
      </w:r>
      <w:r w:rsidRPr="0021195C">
        <w:rPr>
          <w:rFonts w:ascii="Palatino Linotype" w:eastAsia="Palatino Linotype" w:hAnsi="Palatino Linotype" w:cs="Palatino Linotype"/>
          <w:color w:val="000000"/>
        </w:rPr>
        <w:t>que permite</w:t>
      </w:r>
      <w:r w:rsidRPr="0021195C">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21195C">
        <w:rPr>
          <w:rFonts w:ascii="Palatino Linotype" w:eastAsia="Palatino Linotype" w:hAnsi="Palatino Linotype" w:cs="Palatino Linotype"/>
          <w:i/>
          <w:color w:val="000000"/>
          <w:vertAlign w:val="superscript"/>
        </w:rPr>
        <w:footnoteReference w:id="5"/>
      </w:r>
      <w:r w:rsidRPr="0021195C">
        <w:rPr>
          <w:rFonts w:ascii="Palatino Linotype" w:eastAsia="Palatino Linotype" w:hAnsi="Palatino Linotype" w:cs="Palatino Linotype"/>
          <w:color w:val="000000"/>
        </w:rPr>
        <w:t xml:space="preserve"> ” </w:t>
      </w:r>
    </w:p>
    <w:p w:rsidR="00194544" w:rsidRPr="0021195C" w:rsidRDefault="00194544" w:rsidP="00EC2856">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rsidR="00194544" w:rsidRPr="0021195C" w:rsidRDefault="00194544" w:rsidP="00EC2856">
      <w:pPr>
        <w:numPr>
          <w:ilvl w:val="0"/>
          <w:numId w:val="1"/>
        </w:numPr>
        <w:spacing w:line="360" w:lineRule="auto"/>
        <w:ind w:left="0" w:right="49" w:firstLine="0"/>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color w:val="000000"/>
        </w:rPr>
        <w:t xml:space="preserve">Para entender los alcances de la información pública se considera importante citar el criterio de interpretación </w:t>
      </w:r>
      <w:r w:rsidRPr="0021195C">
        <w:rPr>
          <w:rFonts w:ascii="Palatino Linotype" w:hAnsi="Palatino Linotype" w:cs="Times New Roman"/>
        </w:rPr>
        <w:t>en</w:t>
      </w:r>
      <w:r w:rsidRPr="0021195C">
        <w:rPr>
          <w:rFonts w:ascii="Palatino Linotype" w:eastAsia="Palatino Linotype" w:hAnsi="Palatino Linotype" w:cs="Palatino Linotype"/>
          <w:color w:val="000000"/>
        </w:rPr>
        <w:t xml:space="preserve">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194544" w:rsidRPr="0021195C" w:rsidRDefault="00194544" w:rsidP="00EC2856">
      <w:pPr>
        <w:spacing w:line="360" w:lineRule="auto"/>
        <w:ind w:left="426" w:right="474"/>
        <w:jc w:val="both"/>
        <w:rPr>
          <w:rFonts w:ascii="Palatino Linotype" w:eastAsia="Palatino Linotype" w:hAnsi="Palatino Linotype" w:cs="Palatino Linotype"/>
          <w:b/>
          <w:i/>
          <w:color w:val="000000"/>
        </w:rPr>
      </w:pPr>
      <w:r w:rsidRPr="0021195C">
        <w:rPr>
          <w:rFonts w:ascii="Palatino Linotype" w:eastAsia="Palatino Linotype" w:hAnsi="Palatino Linotype" w:cs="Palatino Linotype"/>
          <w:b/>
          <w:i/>
          <w:color w:val="000000"/>
        </w:rPr>
        <w:t>“CRITERIO 0002-11</w:t>
      </w:r>
    </w:p>
    <w:p w:rsidR="00194544" w:rsidRPr="0021195C" w:rsidRDefault="00194544" w:rsidP="00EC2856">
      <w:pPr>
        <w:spacing w:line="360" w:lineRule="auto"/>
        <w:ind w:left="426" w:right="474"/>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21195C">
        <w:rPr>
          <w:rFonts w:ascii="Palatino Linotype" w:eastAsia="Palatino Linotype" w:hAnsi="Palatino Linotype" w:cs="Palatino Linotype"/>
          <w:i/>
          <w:color w:val="000000"/>
        </w:rPr>
        <w:t xml:space="preserve"> De conformidad con los artículos antes referidos, </w:t>
      </w:r>
      <w:r w:rsidRPr="0021195C">
        <w:rPr>
          <w:rFonts w:ascii="Palatino Linotype" w:eastAsia="Palatino Linotype" w:hAnsi="Palatino Linotype" w:cs="Palatino Linotype"/>
          <w:i/>
          <w:color w:val="000000"/>
        </w:rPr>
        <w:lastRenderedPageBreak/>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94544" w:rsidRPr="0021195C" w:rsidRDefault="00194544" w:rsidP="00EC2856">
      <w:pPr>
        <w:spacing w:line="360" w:lineRule="auto"/>
        <w:ind w:left="426" w:right="474"/>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i/>
          <w:color w:val="000000"/>
        </w:rPr>
        <w:t>En consecuencia el acceso a la información se refiere a que se cumplan cualquiera de los siguientes tres supuestos:</w:t>
      </w:r>
    </w:p>
    <w:p w:rsidR="00194544" w:rsidRPr="0021195C" w:rsidRDefault="00194544" w:rsidP="00EC2856">
      <w:pPr>
        <w:spacing w:line="360" w:lineRule="auto"/>
        <w:ind w:left="426" w:right="474"/>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rsidR="00194544" w:rsidRPr="0021195C" w:rsidRDefault="00194544" w:rsidP="00EC2856">
      <w:pPr>
        <w:spacing w:line="360" w:lineRule="auto"/>
        <w:ind w:left="426" w:right="474"/>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194544" w:rsidRPr="0021195C" w:rsidRDefault="00194544" w:rsidP="00EC2856">
      <w:pPr>
        <w:spacing w:line="360" w:lineRule="auto"/>
        <w:ind w:left="426" w:right="474"/>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194544" w:rsidRPr="0021195C" w:rsidRDefault="00194544" w:rsidP="00EC2856">
      <w:pPr>
        <w:spacing w:line="360" w:lineRule="auto"/>
        <w:ind w:left="567" w:right="567"/>
        <w:jc w:val="both"/>
        <w:rPr>
          <w:rFonts w:ascii="Palatino Linotype" w:eastAsia="Palatino Linotype" w:hAnsi="Palatino Linotype" w:cs="Palatino Linotype"/>
          <w:i/>
          <w:color w:val="000000"/>
        </w:rPr>
      </w:pPr>
    </w:p>
    <w:p w:rsidR="00194544" w:rsidRPr="0021195C" w:rsidRDefault="00194544" w:rsidP="00EC2856">
      <w:pPr>
        <w:numPr>
          <w:ilvl w:val="0"/>
          <w:numId w:val="1"/>
        </w:numP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194544" w:rsidRPr="0021195C" w:rsidRDefault="00194544" w:rsidP="00EC2856">
      <w:pPr>
        <w:spacing w:line="360" w:lineRule="auto"/>
        <w:ind w:left="426" w:right="474"/>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b/>
          <w:i/>
          <w:color w:val="000000"/>
        </w:rPr>
        <w:t xml:space="preserve">XI. Documento: </w:t>
      </w:r>
      <w:r w:rsidRPr="0021195C">
        <w:rPr>
          <w:rFonts w:ascii="Palatino Linotype" w:eastAsia="Palatino Linotype" w:hAnsi="Palatino Linotype" w:cs="Palatino Linotype"/>
          <w:i/>
          <w:color w:val="000000"/>
        </w:rPr>
        <w:t xml:space="preserve">Los expedientes, reportes, estudios, actas, resoluciones, oficios, correspondencia, acuerdos, directivas, directrices, circulares, contratos, convenios, instructivos, notas, memorandos, estadísticas o bien, </w:t>
      </w:r>
      <w:r w:rsidRPr="0021195C">
        <w:rPr>
          <w:rFonts w:ascii="Palatino Linotype" w:eastAsia="Palatino Linotype" w:hAnsi="Palatino Linotype" w:cs="Palatino Linotype"/>
          <w:b/>
          <w:i/>
          <w:color w:val="000000"/>
        </w:rPr>
        <w:t>cualquier otro registro</w:t>
      </w:r>
      <w:r w:rsidRPr="0021195C">
        <w:rPr>
          <w:rFonts w:ascii="Palatino Linotype" w:eastAsia="Palatino Linotype" w:hAnsi="Palatino Linotype" w:cs="Palatino Linotype"/>
          <w:i/>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94544" w:rsidRPr="0021195C" w:rsidRDefault="00194544" w:rsidP="00EC2856">
      <w:pPr>
        <w:spacing w:line="360" w:lineRule="auto"/>
        <w:ind w:left="567" w:right="567"/>
        <w:jc w:val="both"/>
        <w:rPr>
          <w:rFonts w:ascii="Palatino Linotype" w:eastAsia="Palatino Linotype" w:hAnsi="Palatino Linotype" w:cs="Palatino Linotype"/>
          <w:i/>
          <w:color w:val="000000"/>
        </w:rPr>
      </w:pPr>
    </w:p>
    <w:p w:rsidR="00194544" w:rsidRPr="0021195C" w:rsidRDefault="00194544" w:rsidP="00EC2856">
      <w:pPr>
        <w:numPr>
          <w:ilvl w:val="0"/>
          <w:numId w:val="1"/>
        </w:numP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lastRenderedPageBreak/>
        <w:t xml:space="preserve">Es así que, todos los actos de autoridad que realicen los Sujetos Obligados </w:t>
      </w:r>
      <w:r w:rsidRPr="0021195C">
        <w:rPr>
          <w:rFonts w:ascii="Palatino Linotype" w:eastAsia="Palatino Linotype" w:hAnsi="Palatino Linotype" w:cs="Palatino Linotype"/>
          <w:b/>
          <w:color w:val="000000"/>
        </w:rPr>
        <w:t xml:space="preserve">deben estar </w:t>
      </w:r>
      <w:r w:rsidRPr="0021195C">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194544" w:rsidRPr="0021195C" w:rsidRDefault="00194544" w:rsidP="00EC2856">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rsidR="00194544" w:rsidRPr="0021195C" w:rsidRDefault="00194544" w:rsidP="00EC2856">
      <w:pPr>
        <w:numPr>
          <w:ilvl w:val="0"/>
          <w:numId w:val="1"/>
        </w:numP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194544" w:rsidRPr="0021195C" w:rsidRDefault="00194544" w:rsidP="00EC2856">
      <w:pPr>
        <w:spacing w:line="360" w:lineRule="auto"/>
        <w:ind w:left="426" w:right="567"/>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b/>
          <w:i/>
          <w:color w:val="000000"/>
        </w:rPr>
        <w:t xml:space="preserve">“Artículo 4. </w:t>
      </w:r>
      <w:r w:rsidRPr="0021195C">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194544" w:rsidRPr="0021195C" w:rsidRDefault="00194544" w:rsidP="00EC2856">
      <w:pPr>
        <w:spacing w:line="360" w:lineRule="auto"/>
        <w:ind w:left="426" w:right="567"/>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b/>
          <w:i/>
          <w:color w:val="000000"/>
        </w:rPr>
        <w:t>Toda la información</w:t>
      </w:r>
      <w:r w:rsidRPr="0021195C">
        <w:rPr>
          <w:rFonts w:ascii="Palatino Linotype" w:eastAsia="Palatino Linotype" w:hAnsi="Palatino Linotype" w:cs="Palatino Linotype"/>
          <w:i/>
          <w:color w:val="000000"/>
        </w:rPr>
        <w:t xml:space="preserve"> generada, obtenida, adquirida, transformada, administrada o </w:t>
      </w:r>
      <w:r w:rsidRPr="0021195C">
        <w:rPr>
          <w:rFonts w:ascii="Palatino Linotype" w:eastAsia="Palatino Linotype" w:hAnsi="Palatino Linotype" w:cs="Palatino Linotype"/>
          <w:b/>
          <w:i/>
          <w:color w:val="000000"/>
        </w:rPr>
        <w:t>en posesión de los sujetos obligados es pública</w:t>
      </w:r>
      <w:r w:rsidRPr="0021195C">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94544" w:rsidRPr="0021195C" w:rsidRDefault="00194544" w:rsidP="00EC2856">
      <w:pPr>
        <w:spacing w:line="360" w:lineRule="auto"/>
        <w:ind w:left="426" w:right="567"/>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rsidR="00194544" w:rsidRPr="0021195C" w:rsidRDefault="00194544" w:rsidP="00EC2856">
      <w:pPr>
        <w:spacing w:line="360" w:lineRule="auto"/>
        <w:ind w:left="567" w:right="567"/>
        <w:jc w:val="both"/>
        <w:rPr>
          <w:rFonts w:ascii="Palatino Linotype" w:eastAsia="Palatino Linotype" w:hAnsi="Palatino Linotype" w:cs="Palatino Linotype"/>
          <w:i/>
          <w:color w:val="000000"/>
        </w:rPr>
      </w:pPr>
    </w:p>
    <w:p w:rsidR="00194544" w:rsidRDefault="00194544" w:rsidP="00EC2856">
      <w:pPr>
        <w:numPr>
          <w:ilvl w:val="0"/>
          <w:numId w:val="1"/>
        </w:numP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1195C">
        <w:rPr>
          <w:rFonts w:ascii="Palatino Linotype" w:eastAsia="Palatino Linotype" w:hAnsi="Palatino Linotype" w:cs="Palatino Linotype"/>
          <w:color w:val="000000"/>
          <w:vertAlign w:val="superscript"/>
        </w:rPr>
        <w:footnoteReference w:id="6"/>
      </w:r>
      <w:r w:rsidRPr="0021195C">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39350F" w:rsidRPr="0021195C" w:rsidRDefault="0039350F" w:rsidP="0039350F">
      <w:pPr>
        <w:spacing w:line="360" w:lineRule="auto"/>
        <w:ind w:right="49"/>
        <w:jc w:val="both"/>
        <w:rPr>
          <w:rFonts w:ascii="Palatino Linotype" w:eastAsia="Palatino Linotype" w:hAnsi="Palatino Linotype" w:cs="Palatino Linotype"/>
          <w:color w:val="000000"/>
        </w:rPr>
      </w:pPr>
    </w:p>
    <w:p w:rsidR="00194544" w:rsidRPr="0021195C" w:rsidRDefault="00194544" w:rsidP="00EC2856">
      <w:pPr>
        <w:numPr>
          <w:ilvl w:val="0"/>
          <w:numId w:val="1"/>
        </w:numP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194544" w:rsidRPr="0021195C" w:rsidRDefault="00194544" w:rsidP="00EC2856">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color w:val="000000"/>
        </w:rPr>
      </w:pPr>
      <w:r w:rsidRPr="0021195C">
        <w:rPr>
          <w:rFonts w:ascii="Palatino Linotype" w:eastAsia="Palatino Linotype" w:hAnsi="Palatino Linotype" w:cs="Palatino Linotype"/>
          <w:b/>
          <w:i/>
          <w:color w:val="000000"/>
        </w:rPr>
        <w:t>ACCESO A LA INFORMACIÓN. IMPLICACIÓN DEL PRINCIPIO DE MÁXIMA PUBLICIDAD EN EL DERECHO FUNDAMENTAL RELATIVO.</w:t>
      </w:r>
      <w:r w:rsidRPr="0021195C">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w:t>
      </w:r>
      <w:r w:rsidRPr="0021195C">
        <w:rPr>
          <w:rFonts w:ascii="Palatino Linotype" w:eastAsia="Palatino Linotype" w:hAnsi="Palatino Linotype" w:cs="Palatino Linotype"/>
          <w:i/>
          <w:color w:val="000000"/>
        </w:rPr>
        <w:lastRenderedPageBreak/>
        <w:t>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A227E2" w:rsidRPr="0021195C" w:rsidRDefault="00A227E2" w:rsidP="00EC2856">
      <w:pPr>
        <w:spacing w:line="360" w:lineRule="auto"/>
        <w:jc w:val="both"/>
        <w:rPr>
          <w:rFonts w:ascii="Palatino Linotype" w:eastAsia="Arial Unicode MS" w:hAnsi="Palatino Linotype" w:cs="Arial"/>
        </w:rPr>
      </w:pPr>
    </w:p>
    <w:p w:rsidR="00194544" w:rsidRPr="0021195C" w:rsidRDefault="00A227E2" w:rsidP="00A227E2">
      <w:pPr>
        <w:numPr>
          <w:ilvl w:val="0"/>
          <w:numId w:val="1"/>
        </w:numPr>
        <w:spacing w:line="360" w:lineRule="auto"/>
        <w:ind w:left="0" w:right="49" w:firstLine="0"/>
        <w:jc w:val="both"/>
        <w:rPr>
          <w:rFonts w:ascii="Palatino Linotype" w:eastAsia="Arial Unicode MS" w:hAnsi="Palatino Linotype" w:cs="Arial"/>
        </w:rPr>
      </w:pPr>
      <w:r w:rsidRPr="0021195C">
        <w:rPr>
          <w:rFonts w:ascii="Palatino Linotype" w:eastAsia="Arial Unicode MS" w:hAnsi="Palatino Linotype" w:cs="Arial"/>
        </w:rPr>
        <w:t xml:space="preserve">Finalmente no pasa desapercibido que la solicitud de información carecía de temporalidad de la cual se requiere la información. Al respecto ha sido criterio del Pleno de este Instituto que tratándose de solicitudes de una naturaleza como la de mérito sin lapso temporal, lo procedente es ordenar, las últimas dos quincenas generadas, poseídas o administradas anteriores a la interposición de la solicitud de información; en el caso concreto </w:t>
      </w:r>
      <w:r w:rsidRPr="0021195C">
        <w:rPr>
          <w:rFonts w:ascii="Palatino Linotype" w:eastAsia="Palatino Linotype" w:hAnsi="Palatino Linotype" w:cs="Palatino Linotype"/>
          <w:color w:val="000000"/>
        </w:rPr>
        <w:t>de la segunda quincena del mes enero y primera del mes de febrero del ejercicio fiscal 2025.</w:t>
      </w:r>
    </w:p>
    <w:p w:rsidR="00A227E2" w:rsidRPr="0021195C" w:rsidRDefault="00A227E2" w:rsidP="00EC2856">
      <w:pPr>
        <w:spacing w:line="360" w:lineRule="auto"/>
        <w:jc w:val="both"/>
        <w:rPr>
          <w:rFonts w:ascii="Palatino Linotype" w:eastAsia="Palatino Linotype" w:hAnsi="Palatino Linotype" w:cs="Palatino Linotype"/>
        </w:rPr>
      </w:pPr>
    </w:p>
    <w:p w:rsidR="00456AC6" w:rsidRPr="0021195C" w:rsidRDefault="00456AC6" w:rsidP="00EC2856">
      <w:pPr>
        <w:keepNext/>
        <w:keepLines/>
        <w:spacing w:line="360" w:lineRule="auto"/>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QUINTO. De la versión pública.</w:t>
      </w:r>
    </w:p>
    <w:p w:rsidR="00456AC6" w:rsidRPr="0021195C" w:rsidRDefault="00456AC6" w:rsidP="00EC2856">
      <w:pPr>
        <w:numPr>
          <w:ilvl w:val="0"/>
          <w:numId w:val="1"/>
        </w:numPr>
        <w:spacing w:line="360" w:lineRule="auto"/>
        <w:ind w:left="0" w:right="49" w:firstLine="0"/>
        <w:jc w:val="both"/>
        <w:rPr>
          <w:rFonts w:ascii="Palatino Linotype" w:eastAsia="Arial Unicode MS" w:hAnsi="Palatino Linotype" w:cs="Arial"/>
        </w:rPr>
      </w:pPr>
      <w:r w:rsidRPr="0021195C">
        <w:rPr>
          <w:rFonts w:ascii="Palatino Linotype" w:eastAsia="Arial Unicode MS" w:hAnsi="Palatino Linotype" w:cs="Arial"/>
        </w:rPr>
        <w:t xml:space="preserve">Derivado de la naturaleza de la información </w:t>
      </w:r>
      <w:r w:rsidR="00B33052" w:rsidRPr="0021195C">
        <w:rPr>
          <w:rFonts w:ascii="Palatino Linotype" w:eastAsia="Arial Unicode MS" w:hAnsi="Palatino Linotype" w:cs="Arial"/>
        </w:rPr>
        <w:t>esta contiene</w:t>
      </w:r>
      <w:r w:rsidRPr="0021195C">
        <w:rPr>
          <w:rFonts w:ascii="Palatino Linotype" w:eastAsia="Arial Unicode MS" w:hAnsi="Palatino Linotype" w:cs="Arial"/>
        </w:rPr>
        <w:t xml:space="preserve"> datos personales susceptibles de clasificar mediante una versión pública. Ello es así ya que la excepción de </w:t>
      </w:r>
      <w:r w:rsidRPr="0021195C">
        <w:rPr>
          <w:rFonts w:ascii="Palatino Linotype" w:eastAsia="Arial Unicode MS" w:hAnsi="Palatino Linotype" w:cs="Arial"/>
        </w:rPr>
        <w:lastRenderedPageBreak/>
        <w:t>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456AC6" w:rsidRPr="0021195C" w:rsidRDefault="00456AC6" w:rsidP="00EC2856">
      <w:pPr>
        <w:tabs>
          <w:tab w:val="left" w:pos="7938"/>
        </w:tabs>
        <w:spacing w:line="360" w:lineRule="auto"/>
        <w:ind w:left="567"/>
        <w:jc w:val="both"/>
        <w:rPr>
          <w:rFonts w:ascii="Palatino Linotype" w:hAnsi="Palatino Linotype"/>
          <w:color w:val="222222"/>
        </w:rPr>
      </w:pPr>
      <w:r w:rsidRPr="0021195C">
        <w:rPr>
          <w:rFonts w:ascii="Palatino Linotype" w:eastAsia="Arial Unicode MS" w:hAnsi="Palatino Linotype" w:cs="Arial"/>
        </w:rPr>
        <w:t> </w:t>
      </w:r>
      <w:r w:rsidRPr="0021195C">
        <w:rPr>
          <w:rFonts w:ascii="Palatino Linotype" w:hAnsi="Palatino Linotype"/>
          <w:b/>
          <w:bCs/>
          <w:i/>
          <w:iCs/>
          <w:color w:val="222222"/>
        </w:rPr>
        <w:t>Artículo 3. Para los efectos de la presente Ley se entenderá por:</w:t>
      </w: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b/>
          <w:bCs/>
          <w:i/>
          <w:iCs/>
          <w:color w:val="222222"/>
        </w:rPr>
        <w:t>[…]</w:t>
      </w: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b/>
          <w:bCs/>
          <w:i/>
          <w:iCs/>
          <w:color w:val="222222"/>
        </w:rPr>
        <w:t xml:space="preserve">IX. Datos personales: </w:t>
      </w:r>
      <w:r w:rsidRPr="0021195C">
        <w:rPr>
          <w:rFonts w:ascii="Palatino Linotype" w:hAnsi="Palatino Linotype"/>
          <w:bCs/>
          <w:i/>
          <w:iCs/>
          <w:color w:val="222222"/>
        </w:rPr>
        <w:t>La información concerniente a una persona, identificada o identificable según lo dispuesto por la Ley de Protección de Datos Personales del Estado de México;</w:t>
      </w: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b/>
          <w:bCs/>
          <w:i/>
          <w:iCs/>
          <w:color w:val="222222"/>
        </w:rPr>
        <w:t>[…]</w:t>
      </w: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b/>
          <w:bCs/>
          <w:i/>
          <w:iCs/>
          <w:color w:val="222222"/>
        </w:rPr>
        <w:t xml:space="preserve">XLV. Versión pública: </w:t>
      </w:r>
      <w:r w:rsidRPr="0021195C">
        <w:rPr>
          <w:rFonts w:ascii="Palatino Linotype" w:hAnsi="Palatino Linotype"/>
          <w:bCs/>
          <w:i/>
          <w:iCs/>
          <w:color w:val="222222"/>
        </w:rPr>
        <w:t>Documento en el que se elimine, suprime o borra la información clasificada como reservada o confidencial para permitir su acceso.</w:t>
      </w:r>
    </w:p>
    <w:p w:rsidR="00456AC6" w:rsidRPr="0021195C" w:rsidRDefault="00456AC6" w:rsidP="00EC2856">
      <w:pPr>
        <w:shd w:val="clear" w:color="auto" w:fill="FFFFFF"/>
        <w:spacing w:line="360" w:lineRule="auto"/>
        <w:ind w:left="567" w:right="567"/>
        <w:jc w:val="both"/>
        <w:rPr>
          <w:rFonts w:ascii="Palatino Linotype" w:hAnsi="Palatino Linotype"/>
          <w:b/>
          <w:bCs/>
          <w:i/>
          <w:iCs/>
          <w:color w:val="222222"/>
        </w:rPr>
      </w:pP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b/>
          <w:bCs/>
          <w:i/>
          <w:iCs/>
          <w:color w:val="222222"/>
        </w:rPr>
        <w:t xml:space="preserve">Artículo 122. </w:t>
      </w:r>
      <w:r w:rsidRPr="0021195C">
        <w:rPr>
          <w:rFonts w:ascii="Palatino Linotype" w:hAnsi="Palatino Linotype"/>
          <w:i/>
          <w:iCs/>
          <w:color w:val="222222"/>
        </w:rPr>
        <w:t>La clasificación es el proceso mediante el cual el sujeto obligado determina que la información en su poder actualiza alguno de los supuestos de reserva o confidencialidad, de conformidad con lo dispuesto en el presente título.</w:t>
      </w: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i/>
          <w:iCs/>
          <w:color w:val="222222"/>
        </w:rPr>
        <w:t>[…]</w:t>
      </w:r>
    </w:p>
    <w:p w:rsidR="00456AC6" w:rsidRPr="0021195C" w:rsidRDefault="00456AC6" w:rsidP="00EC2856">
      <w:pPr>
        <w:shd w:val="clear" w:color="auto" w:fill="FFFFFF"/>
        <w:spacing w:line="360" w:lineRule="auto"/>
        <w:ind w:left="567" w:right="567"/>
        <w:jc w:val="both"/>
        <w:rPr>
          <w:rFonts w:ascii="Palatino Linotype" w:hAnsi="Palatino Linotype"/>
          <w:b/>
          <w:bCs/>
          <w:i/>
          <w:iCs/>
          <w:color w:val="222222"/>
        </w:rPr>
      </w:pP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b/>
          <w:bCs/>
          <w:i/>
          <w:iCs/>
          <w:color w:val="222222"/>
        </w:rPr>
        <w:t>Artículo 132.</w:t>
      </w:r>
      <w:r w:rsidRPr="0021195C">
        <w:rPr>
          <w:rFonts w:ascii="Palatino Linotype" w:hAnsi="Palatino Linotype"/>
          <w:i/>
          <w:iCs/>
          <w:color w:val="222222"/>
        </w:rPr>
        <w:t xml:space="preserve"> La clasificación de la información se llevará a cabo en el momento en que:</w:t>
      </w: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i/>
          <w:iCs/>
          <w:color w:val="222222"/>
        </w:rPr>
        <w:t>[…]</w:t>
      </w: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b/>
          <w:bCs/>
          <w:i/>
          <w:iCs/>
          <w:color w:val="222222"/>
        </w:rPr>
        <w:t>II. Se determine mediante resolución de autoridad competente; o</w:t>
      </w:r>
    </w:p>
    <w:p w:rsidR="00456AC6" w:rsidRPr="0021195C" w:rsidRDefault="00456AC6" w:rsidP="00EC2856">
      <w:pPr>
        <w:shd w:val="clear" w:color="auto" w:fill="FFFFFF"/>
        <w:spacing w:line="360" w:lineRule="auto"/>
        <w:ind w:left="567" w:right="567"/>
        <w:jc w:val="both"/>
        <w:rPr>
          <w:rFonts w:ascii="Palatino Linotype" w:hAnsi="Palatino Linotype"/>
          <w:b/>
          <w:bCs/>
          <w:i/>
          <w:iCs/>
          <w:color w:val="222222"/>
        </w:rPr>
      </w:pPr>
    </w:p>
    <w:p w:rsidR="00456AC6" w:rsidRPr="0021195C" w:rsidRDefault="00456AC6" w:rsidP="00EC2856">
      <w:pPr>
        <w:shd w:val="clear" w:color="auto" w:fill="FFFFFF"/>
        <w:spacing w:line="360" w:lineRule="auto"/>
        <w:ind w:left="567" w:right="567"/>
        <w:jc w:val="both"/>
        <w:rPr>
          <w:rFonts w:ascii="Palatino Linotype" w:hAnsi="Palatino Linotype"/>
          <w:color w:val="222222"/>
        </w:rPr>
      </w:pPr>
      <w:r w:rsidRPr="0021195C">
        <w:rPr>
          <w:rFonts w:ascii="Palatino Linotype" w:hAnsi="Palatino Linotype"/>
          <w:b/>
          <w:bCs/>
          <w:i/>
          <w:iCs/>
          <w:color w:val="222222"/>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21195C">
        <w:rPr>
          <w:rFonts w:ascii="Palatino Linotype" w:hAnsi="Palatino Linotype"/>
          <w:b/>
          <w:bCs/>
          <w:i/>
          <w:iCs/>
          <w:color w:val="222222"/>
          <w:u w:val="single"/>
        </w:rPr>
        <w:t>de manera genérica y fundando y motivando su clasificación.”</w:t>
      </w:r>
    </w:p>
    <w:p w:rsidR="00456AC6" w:rsidRPr="0021195C" w:rsidRDefault="00456AC6" w:rsidP="00EC2856">
      <w:pPr>
        <w:shd w:val="clear" w:color="auto" w:fill="FFFFFF"/>
        <w:spacing w:line="360" w:lineRule="auto"/>
        <w:ind w:left="567" w:right="567"/>
        <w:rPr>
          <w:rFonts w:ascii="Palatino Linotype" w:hAnsi="Palatino Linotype"/>
          <w:color w:val="222222"/>
        </w:rPr>
      </w:pPr>
      <w:r w:rsidRPr="0021195C">
        <w:rPr>
          <w:rFonts w:ascii="Palatino Linotype" w:hAnsi="Palatino Linotype"/>
          <w:color w:val="222222"/>
        </w:rPr>
        <w:t>(Énfasis añadido)</w:t>
      </w:r>
    </w:p>
    <w:p w:rsidR="00456AC6" w:rsidRPr="0021195C" w:rsidRDefault="00456AC6" w:rsidP="00EC2856">
      <w:pPr>
        <w:tabs>
          <w:tab w:val="left" w:pos="7938"/>
        </w:tabs>
        <w:spacing w:line="360" w:lineRule="auto"/>
        <w:jc w:val="both"/>
        <w:rPr>
          <w:rFonts w:ascii="Palatino Linotype" w:eastAsia="Arial Unicode MS" w:hAnsi="Palatino Linotype" w:cs="Arial"/>
        </w:rPr>
      </w:pPr>
    </w:p>
    <w:p w:rsidR="00456AC6" w:rsidRPr="0021195C" w:rsidRDefault="00456AC6" w:rsidP="00EC2856">
      <w:pPr>
        <w:numPr>
          <w:ilvl w:val="0"/>
          <w:numId w:val="1"/>
        </w:numPr>
        <w:spacing w:line="360" w:lineRule="auto"/>
        <w:ind w:left="0" w:right="49" w:firstLine="0"/>
        <w:jc w:val="both"/>
        <w:rPr>
          <w:rFonts w:ascii="Palatino Linotype" w:eastAsia="Arial Unicode MS" w:hAnsi="Palatino Linotype" w:cs="Arial"/>
        </w:rPr>
      </w:pPr>
      <w:r w:rsidRPr="0021195C">
        <w:rPr>
          <w:rFonts w:ascii="Palatino Linotype" w:eastAsia="Arial Unicode MS"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456AC6" w:rsidRPr="0021195C" w:rsidRDefault="00456AC6" w:rsidP="00EC2856">
      <w:pPr>
        <w:shd w:val="clear" w:color="auto" w:fill="FFFFFF"/>
        <w:spacing w:line="360" w:lineRule="auto"/>
        <w:ind w:left="567" w:right="567"/>
        <w:jc w:val="both"/>
        <w:rPr>
          <w:rFonts w:ascii="Palatino Linotype" w:hAnsi="Palatino Linotype" w:cs="Arial"/>
          <w:color w:val="222222"/>
        </w:rPr>
      </w:pPr>
      <w:r w:rsidRPr="0021195C">
        <w:rPr>
          <w:rFonts w:ascii="Palatino Linotype" w:hAnsi="Palatino Linotype" w:cs="Arial"/>
          <w:b/>
          <w:bCs/>
          <w:i/>
          <w:iCs/>
          <w:color w:val="000000"/>
        </w:rPr>
        <w:t>“FUNDAMENTACIÓN Y MOTIVACIÓN.</w:t>
      </w:r>
      <w:r w:rsidRPr="0021195C">
        <w:rPr>
          <w:rFonts w:ascii="Palatino Linotype" w:hAnsi="Palatino Linotype" w:cs="Arial"/>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456AC6" w:rsidRPr="0021195C" w:rsidRDefault="00456AC6" w:rsidP="00EC2856">
      <w:pPr>
        <w:tabs>
          <w:tab w:val="left" w:pos="7938"/>
        </w:tabs>
        <w:spacing w:line="360" w:lineRule="auto"/>
        <w:jc w:val="both"/>
        <w:rPr>
          <w:rFonts w:ascii="Palatino Linotype" w:eastAsia="Arial Unicode MS" w:hAnsi="Palatino Linotype" w:cs="Arial"/>
        </w:rPr>
      </w:pPr>
    </w:p>
    <w:p w:rsidR="00456AC6" w:rsidRPr="0021195C" w:rsidRDefault="00456AC6" w:rsidP="00EC2856">
      <w:pPr>
        <w:numPr>
          <w:ilvl w:val="0"/>
          <w:numId w:val="1"/>
        </w:numPr>
        <w:spacing w:line="360" w:lineRule="auto"/>
        <w:ind w:left="0" w:right="49" w:firstLine="0"/>
        <w:jc w:val="both"/>
        <w:rPr>
          <w:rFonts w:ascii="Palatino Linotype" w:eastAsia="Arial Unicode MS" w:hAnsi="Palatino Linotype" w:cs="Arial"/>
        </w:rPr>
      </w:pPr>
      <w:r w:rsidRPr="0021195C">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456AC6" w:rsidRPr="0021195C" w:rsidRDefault="00456AC6" w:rsidP="00EC2856">
      <w:pPr>
        <w:tabs>
          <w:tab w:val="left" w:pos="7938"/>
        </w:tabs>
        <w:spacing w:line="360" w:lineRule="auto"/>
        <w:jc w:val="both"/>
        <w:rPr>
          <w:rFonts w:ascii="Palatino Linotype" w:eastAsia="Arial Unicode MS" w:hAnsi="Palatino Linotype" w:cs="Arial"/>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lastRenderedPageBreak/>
        <w:t xml:space="preserve">En el caso </w:t>
      </w:r>
      <w:r w:rsidRPr="0021195C">
        <w:rPr>
          <w:rFonts w:ascii="Palatino Linotype" w:eastAsia="Arial Unicode MS" w:hAnsi="Palatino Linotype" w:cs="Arial"/>
        </w:rPr>
        <w:t>específico</w:t>
      </w:r>
      <w:r w:rsidRPr="0021195C">
        <w:rPr>
          <w:rFonts w:ascii="Palatino Linotype" w:eastAsia="Palatino Linotype" w:hAnsi="Palatino Linotype" w:cs="Palatino Linotype"/>
        </w:rPr>
        <w:t xml:space="preserve">,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21195C">
        <w:rPr>
          <w:rFonts w:ascii="Palatino Linotype" w:eastAsia="Palatino Linotype" w:hAnsi="Palatino Linotype" w:cs="Palatino Linotype"/>
          <w:b/>
        </w:rPr>
        <w:t>Registro Federal de Contribuyentes</w:t>
      </w:r>
      <w:r w:rsidRPr="0021195C">
        <w:rPr>
          <w:rFonts w:ascii="Palatino Linotype" w:eastAsia="Palatino Linotype" w:hAnsi="Palatino Linotype" w:cs="Palatino Linotype"/>
        </w:rPr>
        <w:t xml:space="preserve"> (RFC), la </w:t>
      </w:r>
      <w:r w:rsidRPr="0021195C">
        <w:rPr>
          <w:rFonts w:ascii="Palatino Linotype" w:eastAsia="Palatino Linotype" w:hAnsi="Palatino Linotype" w:cs="Palatino Linotype"/>
          <w:b/>
        </w:rPr>
        <w:t>Clave Única de Registro de Población</w:t>
      </w:r>
      <w:r w:rsidRPr="0021195C">
        <w:rPr>
          <w:rFonts w:ascii="Palatino Linotype" w:eastAsia="Palatino Linotype" w:hAnsi="Palatino Linotype" w:cs="Palatino Linotype"/>
        </w:rPr>
        <w:t xml:space="preserve"> (CURP), la </w:t>
      </w:r>
      <w:r w:rsidRPr="0021195C">
        <w:rPr>
          <w:rFonts w:ascii="Palatino Linotype" w:eastAsia="Palatino Linotype" w:hAnsi="Palatino Linotype" w:cs="Palatino Linotype"/>
          <w:b/>
        </w:rPr>
        <w:t>Clave de cualquier tipo de seguridad social</w:t>
      </w:r>
      <w:r w:rsidRPr="0021195C">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Por cuanto hace al </w:t>
      </w:r>
      <w:r w:rsidRPr="0021195C">
        <w:rPr>
          <w:rFonts w:ascii="Palatino Linotype" w:eastAsia="Palatino Linotype" w:hAnsi="Palatino Linotype" w:cs="Palatino Linotype"/>
          <w:b/>
        </w:rPr>
        <w:t>Registro Federal de Contribuyentes (RFC),</w:t>
      </w:r>
      <w:r w:rsidRPr="0021195C">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lastRenderedPageBreak/>
        <w:t>Lo anterior es compartido por el entonces Instituto Federal de Acceso a la Información Pública y Protección de Datos Personales (IFAI) a través del Criterio 19/17, el cual es del tenor literal siguiente:</w:t>
      </w:r>
    </w:p>
    <w:p w:rsidR="00456AC6" w:rsidRPr="0021195C" w:rsidRDefault="00456AC6" w:rsidP="00EC2856">
      <w:pPr>
        <w:spacing w:line="360" w:lineRule="auto"/>
        <w:ind w:left="851" w:right="900"/>
        <w:jc w:val="both"/>
        <w:rPr>
          <w:rFonts w:ascii="Palatino Linotype" w:eastAsia="Palatino Linotype" w:hAnsi="Palatino Linotype" w:cs="Palatino Linotype"/>
          <w:i/>
        </w:rPr>
      </w:pPr>
      <w:r w:rsidRPr="0021195C">
        <w:rPr>
          <w:rFonts w:ascii="Palatino Linotype" w:eastAsia="Palatino Linotype" w:hAnsi="Palatino Linotype" w:cs="Palatino Linotype"/>
          <w:b/>
          <w:i/>
        </w:rPr>
        <w:t>“Registro Federal de Contribuyentes (RFC) de personas físicas</w:t>
      </w:r>
      <w:r w:rsidRPr="0021195C">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456AC6" w:rsidRPr="0021195C" w:rsidRDefault="00456AC6" w:rsidP="00EC2856">
      <w:pPr>
        <w:spacing w:line="360" w:lineRule="auto"/>
        <w:ind w:left="851" w:right="900"/>
        <w:jc w:val="both"/>
        <w:rPr>
          <w:rFonts w:ascii="Palatino Linotype" w:eastAsia="Palatino Linotype" w:hAnsi="Palatino Linotype" w:cs="Palatino Linotype"/>
          <w:i/>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456AC6" w:rsidRPr="0021195C" w:rsidRDefault="00456AC6" w:rsidP="00EC2856">
      <w:pPr>
        <w:spacing w:line="360" w:lineRule="auto"/>
        <w:ind w:right="49"/>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De igual manera la </w:t>
      </w:r>
      <w:r w:rsidRPr="0021195C">
        <w:rPr>
          <w:rFonts w:ascii="Palatino Linotype" w:eastAsia="Palatino Linotype" w:hAnsi="Palatino Linotype" w:cs="Palatino Linotype"/>
          <w:b/>
        </w:rPr>
        <w:t>Clave Única de Registro de Población (CURP)</w:t>
      </w:r>
      <w:r w:rsidRPr="0021195C">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lastRenderedPageBreak/>
        <w:t>Argumento que es compartido por el Instituto Nacional de Transparencia, Acceso a la Información y Protección de Datos Personales, INAI</w:t>
      </w:r>
      <w:r w:rsidRPr="0021195C">
        <w:rPr>
          <w:rFonts w:ascii="Palatino Linotype" w:eastAsia="Palatino Linotype" w:hAnsi="Palatino Linotype" w:cs="Palatino Linotype"/>
          <w:b/>
        </w:rPr>
        <w:t xml:space="preserve">, conforme al </w:t>
      </w:r>
      <w:r w:rsidRPr="0021195C">
        <w:rPr>
          <w:rFonts w:ascii="Palatino Linotype" w:eastAsia="Palatino Linotype" w:hAnsi="Palatino Linotype" w:cs="Palatino Linotype"/>
        </w:rPr>
        <w:t xml:space="preserve">criterio 18/17, el cual refiere: </w:t>
      </w:r>
    </w:p>
    <w:p w:rsidR="00456AC6" w:rsidRPr="0021195C" w:rsidRDefault="00456AC6" w:rsidP="00EC2856">
      <w:pPr>
        <w:spacing w:line="360" w:lineRule="auto"/>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b/>
          <w:i/>
        </w:rPr>
        <w:t xml:space="preserve">“Clave Única de Registro de Población (CURP). </w:t>
      </w:r>
      <w:r w:rsidRPr="0021195C">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56AC6" w:rsidRPr="0021195C" w:rsidRDefault="00456AC6" w:rsidP="00EC2856">
      <w:pPr>
        <w:spacing w:line="360" w:lineRule="auto"/>
        <w:ind w:right="851"/>
        <w:jc w:val="both"/>
        <w:rPr>
          <w:rFonts w:ascii="Palatino Linotype" w:eastAsia="Palatino Linotype" w:hAnsi="Palatino Linotype" w:cs="Palatino Linotype"/>
          <w:i/>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Por cuanto hace a la </w:t>
      </w:r>
      <w:r w:rsidRPr="0021195C">
        <w:rPr>
          <w:rFonts w:ascii="Palatino Linotype" w:eastAsia="Palatino Linotype" w:hAnsi="Palatino Linotype" w:cs="Palatino Linotype"/>
          <w:b/>
        </w:rPr>
        <w:t xml:space="preserve">Clave de cualquier tipo de seguridad social (ISSEMyM, u otros), </w:t>
      </w:r>
      <w:r w:rsidRPr="0021195C">
        <w:rPr>
          <w:rFonts w:ascii="Palatino Linotype" w:eastAsia="Palatino Linotype" w:hAnsi="Palatino Linotype" w:cs="Palatino Linotype"/>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56AC6" w:rsidRPr="0021195C" w:rsidRDefault="00456AC6" w:rsidP="00EC2856">
      <w:pPr>
        <w:spacing w:line="360" w:lineRule="auto"/>
        <w:ind w:right="49"/>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u w:val="single"/>
        </w:rPr>
      </w:pPr>
      <w:r w:rsidRPr="0021195C">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w:t>
      </w:r>
      <w:r w:rsidRPr="0021195C">
        <w:rPr>
          <w:rFonts w:ascii="Palatino Linotype" w:eastAsia="Palatino Linotype" w:hAnsi="Palatino Linotype" w:cs="Palatino Linotype"/>
        </w:rPr>
        <w:lastRenderedPageBreak/>
        <w:t xml:space="preserve">de los derechohabientes tramitar la credencial que los acredite como tal, la cual será de naturaleza personal e intransferible. En esta credencial se consignan diversos datos personales y </w:t>
      </w:r>
      <w:r w:rsidRPr="0021195C">
        <w:rPr>
          <w:rFonts w:ascii="Palatino Linotype" w:eastAsia="Palatino Linotype" w:hAnsi="Palatino Linotype" w:cs="Palatino Linotype"/>
          <w:u w:val="single"/>
        </w:rPr>
        <w:t>se le asigna una clave para hacer identificable al trabajador con el objetivo de poder proporcionar los servicios que brinda el ISSEMYM.</w:t>
      </w:r>
    </w:p>
    <w:p w:rsidR="00456AC6" w:rsidRPr="0021195C" w:rsidRDefault="00456AC6" w:rsidP="00EC2856">
      <w:pPr>
        <w:spacing w:line="360" w:lineRule="auto"/>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456AC6" w:rsidRPr="0021195C" w:rsidRDefault="00456AC6" w:rsidP="00EC2856">
      <w:pPr>
        <w:spacing w:line="360" w:lineRule="auto"/>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hAnsi="Palatino Linotype"/>
        </w:rPr>
      </w:pPr>
      <w:r w:rsidRPr="0021195C">
        <w:rPr>
          <w:rFonts w:ascii="Palatino Linotype" w:eastAsia="Palatino Linotype" w:hAnsi="Palatino Linotype" w:cs="Palatino Linotype"/>
        </w:rPr>
        <w:t xml:space="preserve">Respecto de los </w:t>
      </w:r>
      <w:r w:rsidRPr="0021195C">
        <w:rPr>
          <w:rFonts w:ascii="Palatino Linotype" w:eastAsia="Palatino Linotype" w:hAnsi="Palatino Linotype" w:cs="Palatino Linotype"/>
          <w:b/>
        </w:rPr>
        <w:t>préstamos o descuentos</w:t>
      </w:r>
      <w:r w:rsidRPr="0021195C">
        <w:rPr>
          <w:rFonts w:ascii="Palatino Linotype" w:eastAsia="Palatino Linotype" w:hAnsi="Palatino Linotype" w:cs="Palatino Linotype"/>
        </w:rPr>
        <w:t xml:space="preserve"> </w:t>
      </w:r>
      <w:r w:rsidRPr="0021195C">
        <w:rPr>
          <w:rFonts w:ascii="Palatino Linotype" w:eastAsia="Palatino Linotype" w:hAnsi="Palatino Linotype" w:cs="Palatino Linotype"/>
          <w:b/>
        </w:rPr>
        <w:t>de carácter personal</w:t>
      </w:r>
      <w:r w:rsidRPr="0021195C">
        <w:rPr>
          <w:rFonts w:ascii="Palatino Linotype" w:eastAsia="Palatino Linotype" w:hAnsi="Palatino Linotype" w:cs="Palatino Linotype"/>
        </w:rPr>
        <w:t xml:space="preserve">,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w:t>
      </w:r>
      <w:r w:rsidRPr="0021195C">
        <w:rPr>
          <w:rFonts w:ascii="Palatino Linotype" w:eastAsia="Palatino Linotype" w:hAnsi="Palatino Linotype" w:cs="Palatino Linotype"/>
        </w:rPr>
        <w:lastRenderedPageBreak/>
        <w:t>violentaría la protección de información confidencial, porque incide en la intimidad de un individuo identificado.</w:t>
      </w:r>
    </w:p>
    <w:p w:rsidR="00B33052" w:rsidRPr="0021195C" w:rsidRDefault="00B33052" w:rsidP="00B33052">
      <w:pPr>
        <w:pStyle w:val="Prrafodelista"/>
        <w:rPr>
          <w:rFonts w:ascii="Palatino Linotype" w:hAnsi="Palatino Linotype"/>
        </w:rPr>
      </w:pPr>
    </w:p>
    <w:p w:rsidR="00456AC6" w:rsidRPr="0021195C" w:rsidRDefault="00456AC6" w:rsidP="00EC2856">
      <w:pPr>
        <w:numPr>
          <w:ilvl w:val="0"/>
          <w:numId w:val="1"/>
        </w:numPr>
        <w:spacing w:line="360" w:lineRule="auto"/>
        <w:ind w:left="0" w:right="49" w:firstLine="0"/>
        <w:jc w:val="both"/>
        <w:rPr>
          <w:rFonts w:ascii="Palatino Linotype" w:hAnsi="Palatino Linotype"/>
        </w:rPr>
      </w:pPr>
      <w:r w:rsidRPr="0021195C">
        <w:rPr>
          <w:rFonts w:ascii="Palatino Linotype" w:eastAsia="Palatino Linotype" w:hAnsi="Palatino Linotype" w:cs="Palatino Linotype"/>
        </w:rPr>
        <w:t>Por su parte, el artículo 84 de la Ley del Trabajo de los Servidores Públicos del Estado y Municipios, señala:</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i/>
        </w:rPr>
        <w:t>“</w:t>
      </w:r>
      <w:r w:rsidRPr="0021195C">
        <w:rPr>
          <w:rFonts w:ascii="Palatino Linotype" w:eastAsia="Palatino Linotype" w:hAnsi="Palatino Linotype" w:cs="Palatino Linotype"/>
          <w:b/>
          <w:i/>
        </w:rPr>
        <w:t>ARTICULO 84. Sólo podrán hacerse retenciones, descuentos o deducciones al sueldo de los servidores públicos por concepto de:</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i/>
        </w:rPr>
        <w:t>I. Gravámenes fiscales relacionados con el sueldo;</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b/>
          <w:i/>
        </w:rPr>
        <w:t>II. Deudas contraídas con las instituciones públicas o dependencias</w:t>
      </w:r>
      <w:r w:rsidRPr="0021195C">
        <w:rPr>
          <w:rFonts w:ascii="Palatino Linotype" w:eastAsia="Palatino Linotype" w:hAnsi="Palatino Linotype" w:cs="Palatino Linotype"/>
          <w:i/>
        </w:rPr>
        <w:t xml:space="preserve"> por concepto de anticipos de sueldo, pagos hechos con exceso, errores o pérdidas debidamente comprobados;</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b/>
          <w:i/>
        </w:rPr>
        <w:t>III. Cuotas sindicales</w:t>
      </w:r>
      <w:r w:rsidRPr="0021195C">
        <w:rPr>
          <w:rFonts w:ascii="Palatino Linotype" w:eastAsia="Palatino Linotype" w:hAnsi="Palatino Linotype" w:cs="Palatino Linotype"/>
          <w:i/>
        </w:rPr>
        <w:t>;</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b/>
          <w:i/>
        </w:rPr>
        <w:t>VI. Obligaciones a cargo del servidor público con las que haya consentido</w:t>
      </w:r>
      <w:r w:rsidRPr="0021195C">
        <w:rPr>
          <w:rFonts w:ascii="Palatino Linotype" w:eastAsia="Palatino Linotype" w:hAnsi="Palatino Linotype" w:cs="Palatino Linotype"/>
          <w:i/>
        </w:rPr>
        <w:t>, derivadas de la adquisición o del uso de habitaciones consideradas como de interés social;</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i/>
        </w:rPr>
        <w:t>VII. Faltas de puntualidad o de asistencia injustificadas;</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b/>
          <w:i/>
        </w:rPr>
        <w:t>VIII. Pensiones alimenticias ordenadas por la autoridad judicial;</w:t>
      </w:r>
      <w:r w:rsidRPr="0021195C">
        <w:rPr>
          <w:rFonts w:ascii="Palatino Linotype" w:eastAsia="Palatino Linotype" w:hAnsi="Palatino Linotype" w:cs="Palatino Linotype"/>
          <w:i/>
        </w:rPr>
        <w:t xml:space="preserve"> o</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b/>
          <w:i/>
        </w:rPr>
        <w:lastRenderedPageBreak/>
        <w:t>IX. Cualquier otro convenido con instituciones de servicios y aceptado por el servidor público.</w:t>
      </w:r>
    </w:p>
    <w:p w:rsidR="00456AC6" w:rsidRPr="0021195C" w:rsidRDefault="00456AC6" w:rsidP="00EC2856">
      <w:pPr>
        <w:spacing w:line="360" w:lineRule="auto"/>
        <w:ind w:left="851" w:right="902"/>
        <w:jc w:val="both"/>
        <w:rPr>
          <w:rFonts w:ascii="Palatino Linotype" w:hAnsi="Palatino Linotype"/>
        </w:rPr>
      </w:pPr>
      <w:r w:rsidRPr="0021195C">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456AC6" w:rsidRPr="0021195C" w:rsidRDefault="00456AC6" w:rsidP="00EC2856">
      <w:pPr>
        <w:spacing w:line="360" w:lineRule="auto"/>
        <w:ind w:left="851" w:right="902"/>
        <w:jc w:val="both"/>
        <w:rPr>
          <w:rFonts w:ascii="Palatino Linotype" w:eastAsia="Palatino Linotype" w:hAnsi="Palatino Linotype" w:cs="Palatino Linotype"/>
        </w:rPr>
      </w:pPr>
      <w:r w:rsidRPr="0021195C">
        <w:rPr>
          <w:rFonts w:ascii="Palatino Linotype" w:eastAsia="Palatino Linotype" w:hAnsi="Palatino Linotype" w:cs="Palatino Linotype"/>
        </w:rPr>
        <w:t>(Énfasis añadido)</w:t>
      </w:r>
    </w:p>
    <w:p w:rsidR="00456AC6" w:rsidRPr="0021195C" w:rsidRDefault="00456AC6" w:rsidP="00EC2856">
      <w:pPr>
        <w:spacing w:line="360" w:lineRule="auto"/>
        <w:ind w:left="851" w:right="902"/>
        <w:jc w:val="both"/>
        <w:rPr>
          <w:rFonts w:ascii="Palatino Linotype" w:hAnsi="Palatino Linotype"/>
        </w:rPr>
      </w:pPr>
    </w:p>
    <w:p w:rsidR="00456AC6" w:rsidRPr="0021195C" w:rsidRDefault="00456AC6" w:rsidP="00EC2856">
      <w:pPr>
        <w:numPr>
          <w:ilvl w:val="0"/>
          <w:numId w:val="1"/>
        </w:numPr>
        <w:spacing w:line="360" w:lineRule="auto"/>
        <w:ind w:left="0" w:right="49" w:firstLine="0"/>
        <w:jc w:val="both"/>
        <w:rPr>
          <w:rFonts w:ascii="Palatino Linotype" w:hAnsi="Palatino Linotype"/>
        </w:rPr>
      </w:pPr>
      <w:r w:rsidRPr="0021195C">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21195C">
        <w:rPr>
          <w:rFonts w:ascii="Palatino Linotype" w:eastAsia="Palatino Linotype" w:hAnsi="Palatino Linotype" w:cs="Palatino Linotype"/>
          <w:b/>
        </w:rPr>
        <w:t>únicamente inciden en su vida privada</w:t>
      </w:r>
      <w:r w:rsidRPr="0021195C">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456AC6" w:rsidRPr="0021195C" w:rsidRDefault="00456AC6" w:rsidP="00EC2856">
      <w:pPr>
        <w:spacing w:line="360" w:lineRule="auto"/>
        <w:ind w:right="49"/>
        <w:jc w:val="both"/>
        <w:rPr>
          <w:rFonts w:ascii="Palatino Linotype" w:hAnsi="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lastRenderedPageBreak/>
        <w:t xml:space="preserve">Sirven de sustento a lo anterior, las tesis jurisprudenciales </w:t>
      </w:r>
      <w:r w:rsidRPr="0021195C">
        <w:rPr>
          <w:rFonts w:ascii="Palatino Linotype" w:eastAsia="Palatino Linotype" w:hAnsi="Palatino Linotype" w:cs="Palatino Linotype"/>
          <w:i/>
        </w:rPr>
        <w:t xml:space="preserve">P. LX/2000 </w:t>
      </w:r>
      <w:r w:rsidRPr="0021195C">
        <w:rPr>
          <w:rFonts w:ascii="Palatino Linotype" w:eastAsia="Palatino Linotype" w:hAnsi="Palatino Linotype" w:cs="Palatino Linotype"/>
        </w:rPr>
        <w:t xml:space="preserve">y </w:t>
      </w:r>
      <w:r w:rsidRPr="0021195C">
        <w:rPr>
          <w:rFonts w:ascii="Palatino Linotype" w:eastAsia="Palatino Linotype" w:hAnsi="Palatino Linotype" w:cs="Palatino Linotype"/>
          <w:i/>
        </w:rPr>
        <w:t>2a. XLIII/2008</w:t>
      </w:r>
      <w:r w:rsidRPr="0021195C">
        <w:rPr>
          <w:rFonts w:ascii="Palatino Linotype" w:eastAsia="Tahoma" w:hAnsi="Palatino Linotype" w:cs="Tahoma"/>
          <w:b/>
        </w:rPr>
        <w:t xml:space="preserve"> </w:t>
      </w:r>
      <w:r w:rsidRPr="0021195C">
        <w:rPr>
          <w:rFonts w:ascii="Palatino Linotype" w:eastAsia="Palatino Linotype" w:hAnsi="Palatino Linotype" w:cs="Palatino Linotype"/>
        </w:rPr>
        <w:t>emitidas por el Peno y la Segunda Sala de la Suprema Corte de Justicia de la Nación, respectivamente, que son del tenor literal siguiente:</w:t>
      </w:r>
    </w:p>
    <w:p w:rsidR="00456AC6" w:rsidRPr="0021195C" w:rsidRDefault="00456AC6" w:rsidP="00EC2856">
      <w:pPr>
        <w:spacing w:line="360" w:lineRule="auto"/>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21195C">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21195C">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21195C">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21195C">
        <w:rPr>
          <w:rFonts w:ascii="Palatino Linotype" w:eastAsia="Palatino Linotype" w:hAnsi="Palatino Linotype" w:cs="Palatino Linotype"/>
          <w:b/>
          <w:i/>
        </w:rPr>
        <w:t xml:space="preserve">mientras que por lo que respecta a la protección de la persona </w:t>
      </w:r>
      <w:r w:rsidRPr="0021195C">
        <w:rPr>
          <w:rFonts w:ascii="Palatino Linotype" w:eastAsia="Palatino Linotype" w:hAnsi="Palatino Linotype" w:cs="Palatino Linotype"/>
          <w:b/>
          <w:i/>
        </w:rPr>
        <w:lastRenderedPageBreak/>
        <w:t>existen normas que protegen el derecho a la vida o a la privacidad de los gobernados</w:t>
      </w:r>
      <w:r w:rsidRPr="0021195C">
        <w:rPr>
          <w:rFonts w:ascii="Palatino Linotype" w:eastAsia="Palatino Linotype" w:hAnsi="Palatino Linotype" w:cs="Palatino Linotype"/>
          <w:i/>
        </w:rPr>
        <w:t>.”</w:t>
      </w:r>
    </w:p>
    <w:p w:rsidR="00456AC6" w:rsidRPr="0021195C" w:rsidRDefault="00456AC6" w:rsidP="00EC2856">
      <w:pPr>
        <w:spacing w:line="360" w:lineRule="auto"/>
        <w:ind w:left="851" w:right="851"/>
        <w:jc w:val="both"/>
        <w:rPr>
          <w:rFonts w:ascii="Palatino Linotype" w:eastAsia="Palatino Linotype" w:hAnsi="Palatino Linotype" w:cs="Palatino Linotype"/>
          <w:i/>
        </w:rPr>
      </w:pPr>
    </w:p>
    <w:p w:rsidR="00456AC6" w:rsidRPr="0021195C" w:rsidRDefault="00456AC6" w:rsidP="00EC2856">
      <w:pPr>
        <w:spacing w:line="360" w:lineRule="auto"/>
        <w:ind w:left="851" w:right="851"/>
        <w:jc w:val="both"/>
        <w:rPr>
          <w:rFonts w:ascii="Palatino Linotype" w:eastAsia="Palatino Linotype" w:hAnsi="Palatino Linotype" w:cs="Palatino Linotype"/>
          <w:i/>
        </w:rPr>
      </w:pPr>
      <w:r w:rsidRPr="0021195C">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21195C">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21195C">
        <w:rPr>
          <w:rFonts w:ascii="Palatino Linotype" w:eastAsia="Palatino Linotype" w:hAnsi="Palatino Linotype" w:cs="Palatino Linotype"/>
          <w:b/>
          <w:i/>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w:t>
      </w:r>
      <w:r w:rsidRPr="0021195C">
        <w:rPr>
          <w:rFonts w:ascii="Palatino Linotype" w:eastAsia="Palatino Linotype" w:hAnsi="Palatino Linotype" w:cs="Palatino Linotype"/>
          <w:b/>
          <w:i/>
        </w:rPr>
        <w:lastRenderedPageBreak/>
        <w:t>congruencia entre el derecho fundamental de que se trata y la razón que motive la restricción legislativa correspondiente,</w:t>
      </w:r>
      <w:r w:rsidRPr="0021195C">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A227E2" w:rsidRPr="0021195C" w:rsidRDefault="00A227E2" w:rsidP="00EC2856">
      <w:pPr>
        <w:spacing w:line="360" w:lineRule="auto"/>
        <w:ind w:left="851" w:right="851"/>
        <w:jc w:val="both"/>
        <w:rPr>
          <w:rFonts w:ascii="Palatino Linotype" w:eastAsia="Palatino Linotype" w:hAnsi="Palatino Linotype" w:cs="Palatino Linotype"/>
          <w:i/>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b/>
        </w:rPr>
      </w:pPr>
      <w:r w:rsidRPr="0021195C">
        <w:rPr>
          <w:rFonts w:ascii="Palatino Linotype" w:eastAsia="Palatino Linotype" w:hAnsi="Palatino Linotype" w:cs="Palatino Linotype"/>
        </w:rPr>
        <w:t>También,</w:t>
      </w:r>
      <w:r w:rsidRPr="0021195C">
        <w:rPr>
          <w:rFonts w:ascii="Palatino Linotype" w:eastAsia="Palatino Linotype" w:hAnsi="Palatino Linotype" w:cs="Palatino Linotype"/>
          <w:b/>
        </w:rPr>
        <w:t xml:space="preserve"> el número de cuenta bancario</w:t>
      </w:r>
      <w:r w:rsidRPr="0021195C">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rsidR="00456AC6" w:rsidRPr="0021195C" w:rsidRDefault="00456AC6" w:rsidP="00EC2856">
      <w:pPr>
        <w:shd w:val="clear" w:color="auto" w:fill="FFFFFF"/>
        <w:spacing w:line="360" w:lineRule="auto"/>
        <w:ind w:left="567" w:right="567"/>
        <w:jc w:val="both"/>
        <w:rPr>
          <w:rFonts w:ascii="Palatino Linotype" w:eastAsia="Palatino Linotype" w:hAnsi="Palatino Linotype" w:cs="Palatino Linotype"/>
        </w:rPr>
      </w:pPr>
      <w:r w:rsidRPr="0021195C">
        <w:rPr>
          <w:rFonts w:ascii="Palatino Linotype" w:eastAsia="Palatino Linotype" w:hAnsi="Palatino Linotype" w:cs="Palatino Linotype"/>
        </w:rPr>
        <w:t>“</w:t>
      </w:r>
      <w:r w:rsidRPr="0021195C">
        <w:rPr>
          <w:rFonts w:ascii="Palatino Linotype" w:eastAsia="Palatino Linotype" w:hAnsi="Palatino Linotype" w:cs="Palatino Linotype"/>
          <w:b/>
          <w:i/>
        </w:rPr>
        <w:t>Cuentas bancarias y/o CLABE interbancaria de personas físicas y morales privadas.</w:t>
      </w:r>
      <w:r w:rsidRPr="0021195C">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21195C">
        <w:rPr>
          <w:rFonts w:ascii="Palatino Linotype" w:eastAsia="Palatino Linotype" w:hAnsi="Palatino Linotype" w:cs="Palatino Linotype"/>
        </w:rPr>
        <w:t>.”</w:t>
      </w:r>
    </w:p>
    <w:p w:rsidR="00456AC6" w:rsidRPr="0021195C" w:rsidRDefault="00456AC6" w:rsidP="00EC2856">
      <w:pPr>
        <w:spacing w:line="360" w:lineRule="auto"/>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w:t>
      </w:r>
      <w:r w:rsidRPr="0021195C">
        <w:rPr>
          <w:rFonts w:ascii="Palatino Linotype" w:eastAsia="Palatino Linotype" w:hAnsi="Palatino Linotype" w:cs="Palatino Linotype"/>
        </w:rPr>
        <w:lastRenderedPageBreak/>
        <w:t>vida privada del trabajador y procede su eliminación de conformidad con el artículo 143, fracción I de la Ley de Transparencia y Acceso a la Información Pública del Estado de México y Municipios.</w:t>
      </w:r>
    </w:p>
    <w:p w:rsidR="00A227E2" w:rsidRPr="0021195C" w:rsidRDefault="00A227E2" w:rsidP="00A227E2">
      <w:pPr>
        <w:spacing w:line="360" w:lineRule="auto"/>
        <w:ind w:right="49"/>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b/>
        </w:rPr>
      </w:pPr>
      <w:r w:rsidRPr="0021195C">
        <w:rPr>
          <w:rFonts w:ascii="Palatino Linotype" w:eastAsia="Palatino Linotype" w:hAnsi="Palatino Linotype" w:cs="Palatino Linotype"/>
        </w:rPr>
        <w:t xml:space="preserve">El </w:t>
      </w:r>
      <w:r w:rsidRPr="0021195C">
        <w:rPr>
          <w:rFonts w:ascii="Palatino Linotype" w:eastAsia="Palatino Linotype" w:hAnsi="Palatino Linotype" w:cs="Palatino Linotype"/>
          <w:b/>
        </w:rPr>
        <w:t>Código de barras bidimensional (QR)</w:t>
      </w:r>
      <w:r w:rsidRPr="0021195C">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sidRPr="0021195C">
        <w:rPr>
          <w:rFonts w:ascii="Palatino Linotype" w:eastAsia="Palatino Linotype" w:hAnsi="Palatino Linotype" w:cs="Palatino Linotype"/>
          <w:i/>
        </w:rPr>
        <w:t>QR Code (Quick Response Code)</w:t>
      </w:r>
      <w:r w:rsidRPr="0021195C">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r w:rsidRPr="0021195C">
        <w:rPr>
          <w:rFonts w:ascii="Palatino Linotype" w:eastAsia="Palatino Linotype" w:hAnsi="Palatino Linotype" w:cs="Palatino Linotype"/>
          <w:color w:val="0000FF"/>
          <w:u w:val="single"/>
        </w:rPr>
        <w:t>http://dof.gob.mx/nota_detalle.php?codigo=5492254&amp;fecha=28/07/2017</w:t>
      </w:r>
      <w:r w:rsidRPr="0021195C">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sidRPr="0021195C">
        <w:rPr>
          <w:rFonts w:ascii="Palatino Linotype" w:eastAsia="Palatino Linotype" w:hAnsi="Palatino Linotype" w:cs="Palatino Linotype"/>
          <w:b/>
        </w:rPr>
        <w:t>Sujeto Obligado</w:t>
      </w:r>
      <w:r w:rsidRPr="0021195C">
        <w:rPr>
          <w:rFonts w:ascii="Palatino Linotype" w:eastAsia="Palatino Linotype" w:hAnsi="Palatino Linotype" w:cs="Palatino Linotype"/>
        </w:rPr>
        <w:t>, como de la persona física o moral correspondiente.</w:t>
      </w:r>
    </w:p>
    <w:p w:rsidR="00456AC6" w:rsidRPr="0021195C" w:rsidRDefault="00456AC6" w:rsidP="00EC2856">
      <w:pPr>
        <w:spacing w:line="360" w:lineRule="auto"/>
        <w:ind w:right="-93"/>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hAnsi="Palatino Linotype"/>
          <w:color w:val="222222"/>
        </w:rPr>
      </w:pPr>
      <w:r w:rsidRPr="0021195C">
        <w:rPr>
          <w:rFonts w:ascii="Palatino Linotype" w:eastAsia="Palatino Linotype" w:hAnsi="Palatino Linotype" w:cs="Palatino Linotype"/>
          <w:color w:val="222222"/>
        </w:rPr>
        <w:t>Por otra parte y respecto a</w:t>
      </w:r>
      <w:r w:rsidRPr="0021195C">
        <w:rPr>
          <w:rFonts w:ascii="Palatino Linotype" w:eastAsia="Palatino Linotype" w:hAnsi="Palatino Linotype" w:cs="Palatino Linotype"/>
          <w:b/>
          <w:color w:val="222222"/>
        </w:rPr>
        <w:t xml:space="preserve"> la clave de seguridad social y en su caso clave o número del </w:t>
      </w:r>
      <w:r w:rsidRPr="0021195C">
        <w:rPr>
          <w:rFonts w:ascii="Palatino Linotype" w:eastAsia="Palatino Linotype" w:hAnsi="Palatino Linotype" w:cs="Palatino Linotype"/>
        </w:rPr>
        <w:t>servidor</w:t>
      </w:r>
      <w:r w:rsidRPr="0021195C">
        <w:rPr>
          <w:rFonts w:ascii="Palatino Linotype" w:eastAsia="Palatino Linotype" w:hAnsi="Palatino Linotype" w:cs="Palatino Linotype"/>
          <w:b/>
          <w:color w:val="222222"/>
        </w:rPr>
        <w:t xml:space="preserve"> público –trabajador-,</w:t>
      </w:r>
      <w:r w:rsidRPr="0021195C">
        <w:rPr>
          <w:rFonts w:ascii="Palatino Linotype" w:eastAsia="Palatino Linotype" w:hAnsi="Palatino Linotype" w:cs="Palatino Linotype"/>
          <w:color w:val="222222"/>
        </w:rPr>
        <w:t xml:space="preserve"> en virtud de que su divulgación no aporta a la </w:t>
      </w:r>
      <w:r w:rsidRPr="0021195C">
        <w:rPr>
          <w:rFonts w:ascii="Palatino Linotype" w:eastAsia="Palatino Linotype" w:hAnsi="Palatino Linotype" w:cs="Palatino Linotype"/>
        </w:rPr>
        <w:t>transparencia</w:t>
      </w:r>
      <w:r w:rsidRPr="0021195C">
        <w:rPr>
          <w:rFonts w:ascii="Palatino Linotype" w:eastAsia="Palatino Linotype" w:hAnsi="Palatino Linotype" w:cs="Palatino Linotype"/>
          <w:color w:val="222222"/>
        </w:rPr>
        <w:t xml:space="preserve"> o a la rendición de cuentas y sí provoca una transgresión a la vida privada e intimidad de la persona, esta información también resulta ser de carácter confidencial; siendo </w:t>
      </w:r>
      <w:r w:rsidRPr="0021195C">
        <w:rPr>
          <w:rFonts w:ascii="Palatino Linotype" w:eastAsia="Palatino Linotype" w:hAnsi="Palatino Linotype" w:cs="Palatino Linotype"/>
          <w:color w:val="222222"/>
        </w:rPr>
        <w:lastRenderedPageBreak/>
        <w:t>aplicable como orientador el criterio número 15/10 emitido por el entonces Instituto Federal de Transparencia y Acceso a la Información (INAI, cuyo texto y sentido literal es el siguiente:</w:t>
      </w:r>
    </w:p>
    <w:p w:rsidR="00456AC6" w:rsidRPr="0021195C" w:rsidRDefault="00456AC6" w:rsidP="00EC2856">
      <w:pPr>
        <w:shd w:val="clear" w:color="auto" w:fill="FFFFFF"/>
        <w:spacing w:line="360" w:lineRule="auto"/>
        <w:ind w:left="567" w:right="900"/>
        <w:jc w:val="both"/>
        <w:rPr>
          <w:rFonts w:ascii="Palatino Linotype" w:hAnsi="Palatino Linotype"/>
          <w:color w:val="222222"/>
        </w:rPr>
      </w:pPr>
      <w:r w:rsidRPr="0021195C">
        <w:rPr>
          <w:rFonts w:ascii="Palatino Linotype" w:eastAsia="Palatino Linotype" w:hAnsi="Palatino Linotype" w:cs="Palatino Linotype"/>
          <w:b/>
          <w:i/>
          <w:color w:val="222222"/>
        </w:rPr>
        <w:t>“El número de ficha de identificación única de los trabajadores es información de carácter confidencial.</w:t>
      </w:r>
      <w:r w:rsidRPr="0021195C">
        <w:rPr>
          <w:rFonts w:ascii="Palatino Linotype" w:eastAsia="Palatino Linotype" w:hAnsi="Palatino Linotype" w:cs="Palatino Linotype"/>
          <w:i/>
          <w:color w:val="222222"/>
        </w:rPr>
        <w:t> </w:t>
      </w:r>
      <w:r w:rsidRPr="0021195C">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21195C">
        <w:rPr>
          <w:rFonts w:ascii="Palatino Linotype" w:eastAsia="Palatino Linotype" w:hAnsi="Palatino Linotype" w:cs="Palatino Linotype"/>
          <w:i/>
          <w:color w:val="222222"/>
        </w:rPr>
        <w:t>, </w:t>
      </w:r>
      <w:r w:rsidRPr="0021195C">
        <w:rPr>
          <w:rFonts w:ascii="Palatino Linotype" w:eastAsia="Palatino Linotype" w:hAnsi="Palatino Linotype" w:cs="Palatino Linotype"/>
          <w:i/>
          <w:color w:val="222222"/>
          <w:u w:val="single"/>
        </w:rPr>
        <w:t>dicha información es susceptible de clasificarse con el carácter de confidencial</w:t>
      </w:r>
      <w:r w:rsidRPr="0021195C">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w:t>
      </w:r>
      <w:r w:rsidR="00EC2856" w:rsidRPr="0021195C">
        <w:rPr>
          <w:rFonts w:ascii="Palatino Linotype" w:eastAsia="Palatino Linotype" w:hAnsi="Palatino Linotype" w:cs="Palatino Linotype"/>
          <w:i/>
          <w:color w:val="222222"/>
        </w:rPr>
        <w:t xml:space="preserve">n personal de su titular.” </w:t>
      </w:r>
    </w:p>
    <w:p w:rsidR="00456AC6" w:rsidRPr="0021195C" w:rsidRDefault="00456AC6" w:rsidP="00EC2856">
      <w:pPr>
        <w:spacing w:line="360" w:lineRule="auto"/>
        <w:ind w:right="-93"/>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Al respecto, es de señalar que </w:t>
      </w:r>
      <w:r w:rsidRPr="0021195C">
        <w:rPr>
          <w:rFonts w:ascii="Palatino Linotype" w:eastAsia="Palatino Linotype" w:hAnsi="Palatino Linotype" w:cs="Palatino Linotype"/>
          <w:b/>
        </w:rPr>
        <w:t xml:space="preserve">la firma </w:t>
      </w:r>
      <w:r w:rsidRPr="0021195C">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456AC6" w:rsidRPr="0021195C" w:rsidRDefault="00456AC6" w:rsidP="00EC2856">
      <w:pPr>
        <w:spacing w:line="360" w:lineRule="auto"/>
        <w:ind w:right="-93"/>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456AC6" w:rsidRPr="0021195C" w:rsidRDefault="00456AC6" w:rsidP="00EC2856">
      <w:pPr>
        <w:spacing w:line="360" w:lineRule="auto"/>
        <w:ind w:right="-93"/>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Por lo que, se considera que, en el presente caso, al dar validez al documento en cuestión, la firma del servidor público guarda el carácter de público y, por lo tanto, no </w:t>
      </w:r>
      <w:r w:rsidRPr="0021195C">
        <w:rPr>
          <w:rFonts w:ascii="Palatino Linotype" w:eastAsia="Palatino Linotype" w:hAnsi="Palatino Linotype" w:cs="Palatino Linotype"/>
        </w:rPr>
        <w:lastRenderedPageBreak/>
        <w:t>actualiza la causal de clasificación prevista en el artículo 143, fracción I, de la Ley de Transparencia y Acceso a la Información Pública del Estado de México y Municipios.</w:t>
      </w:r>
    </w:p>
    <w:p w:rsidR="00456AC6" w:rsidRPr="0021195C" w:rsidRDefault="00456AC6" w:rsidP="00EC2856">
      <w:pPr>
        <w:spacing w:line="360" w:lineRule="auto"/>
        <w:ind w:right="-93"/>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Sirve de sustento a lo anterior el Criterio de Interpretación 02/19 emitido por el entonces Instituto Nacional de Transparencia, Acceso a la Información y Protección de Datos Personales, cuyo rubro y texto establecen lo siguiente:</w:t>
      </w:r>
    </w:p>
    <w:p w:rsidR="00456AC6" w:rsidRPr="0021195C" w:rsidRDefault="00456AC6" w:rsidP="00A227E2">
      <w:pPr>
        <w:spacing w:line="360" w:lineRule="auto"/>
        <w:ind w:left="567" w:right="616"/>
        <w:jc w:val="both"/>
        <w:rPr>
          <w:rFonts w:ascii="Palatino Linotype" w:eastAsia="Palatino Linotype" w:hAnsi="Palatino Linotype" w:cs="Palatino Linotype"/>
          <w:i/>
        </w:rPr>
      </w:pPr>
      <w:r w:rsidRPr="0021195C">
        <w:rPr>
          <w:rFonts w:ascii="Palatino Linotype" w:eastAsia="Palatino Linotype" w:hAnsi="Palatino Linotype" w:cs="Palatino Linotype"/>
          <w:i/>
        </w:rPr>
        <w:t>“</w:t>
      </w:r>
      <w:r w:rsidRPr="0021195C">
        <w:rPr>
          <w:rFonts w:ascii="Palatino Linotype" w:eastAsia="Palatino Linotype" w:hAnsi="Palatino Linotype" w:cs="Palatino Linotype"/>
          <w:b/>
          <w:i/>
        </w:rPr>
        <w:t>FIRMA Y RÚBRICA DE SERVIDORES PÚBLICOS.</w:t>
      </w:r>
      <w:r w:rsidRPr="0021195C">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456AC6" w:rsidRPr="0021195C" w:rsidRDefault="00456AC6" w:rsidP="00EC2856">
      <w:pPr>
        <w:spacing w:line="360" w:lineRule="auto"/>
        <w:ind w:left="1134" w:right="1041"/>
        <w:jc w:val="both"/>
        <w:rPr>
          <w:rFonts w:ascii="Palatino Linotype" w:eastAsia="Palatino Linotype" w:hAnsi="Palatino Linotype" w:cs="Palatino Linotype"/>
          <w:i/>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Al respecto, se destaca que la versión pública que elabore el </w:t>
      </w:r>
      <w:r w:rsidRPr="0021195C">
        <w:rPr>
          <w:rFonts w:ascii="Palatino Linotype" w:eastAsia="Palatino Linotype" w:hAnsi="Palatino Linotype" w:cs="Palatino Linotype"/>
          <w:b/>
        </w:rPr>
        <w:t>SUJETO OBLIGADO</w:t>
      </w:r>
      <w:r w:rsidRPr="0021195C">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A227E2" w:rsidRPr="0021195C" w:rsidRDefault="00A227E2" w:rsidP="00A227E2">
      <w:pPr>
        <w:spacing w:line="360" w:lineRule="auto"/>
        <w:ind w:right="49"/>
        <w:jc w:val="both"/>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en el que se expongan los fundamentos y razonamientos que llevaron al </w:t>
      </w:r>
      <w:r w:rsidRPr="0021195C">
        <w:rPr>
          <w:rFonts w:ascii="Palatino Linotype" w:eastAsia="Palatino Linotype" w:hAnsi="Palatino Linotype" w:cs="Palatino Linotype"/>
          <w:b/>
        </w:rPr>
        <w:t>SUJETO OBLIGADO</w:t>
      </w:r>
      <w:r w:rsidRPr="0021195C">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21195C">
        <w:rPr>
          <w:rFonts w:ascii="Palatino Linotype" w:eastAsia="Palatino Linotype" w:hAnsi="Palatino Linotype" w:cs="Palatino Linotype"/>
          <w:b/>
        </w:rPr>
        <w:t>RECURRENTE.</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A227E2" w:rsidRPr="0021195C" w:rsidRDefault="00A227E2" w:rsidP="00A227E2">
      <w:pPr>
        <w:pStyle w:val="Prrafodelista"/>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w:t>
      </w:r>
      <w:r w:rsidRPr="0021195C">
        <w:rPr>
          <w:rFonts w:ascii="Palatino Linotype" w:eastAsia="Palatino Linotype" w:hAnsi="Palatino Linotype" w:cs="Palatino Linotype"/>
        </w:rPr>
        <w:lastRenderedPageBreak/>
        <w:t>desclasificarán y generarán, en su caso, versiones públicas de expedientes o documentos que contengan partes o secciones clasificadas.</w:t>
      </w:r>
    </w:p>
    <w:p w:rsidR="00456AC6" w:rsidRPr="0021195C" w:rsidRDefault="00456AC6" w:rsidP="00EC2856">
      <w:pPr>
        <w:pStyle w:val="Prrafodelista"/>
        <w:spacing w:line="360" w:lineRule="auto"/>
        <w:rPr>
          <w:rFonts w:ascii="Palatino Linotype" w:eastAsia="Palatino Linotype" w:hAnsi="Palatino Linotype" w:cs="Palatino Linotype"/>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456AC6" w:rsidRPr="0021195C" w:rsidRDefault="00456AC6" w:rsidP="00A227E2">
      <w:pPr>
        <w:spacing w:line="360" w:lineRule="auto"/>
        <w:ind w:left="567" w:right="902"/>
        <w:jc w:val="both"/>
        <w:rPr>
          <w:rFonts w:ascii="Palatino Linotype" w:eastAsia="Palatino Linotype" w:hAnsi="Palatino Linotype" w:cs="Palatino Linotype"/>
          <w:i/>
        </w:rPr>
      </w:pPr>
      <w:r w:rsidRPr="0021195C">
        <w:rPr>
          <w:rFonts w:ascii="Palatino Linotype" w:eastAsia="Palatino Linotype" w:hAnsi="Palatino Linotype" w:cs="Palatino Linotype"/>
          <w:i/>
        </w:rPr>
        <w:t>“Quincuagésimo sexto</w:t>
      </w:r>
      <w:r w:rsidRPr="0021195C">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56AC6" w:rsidRPr="0021195C" w:rsidRDefault="00456AC6" w:rsidP="00A227E2">
      <w:pPr>
        <w:spacing w:line="360" w:lineRule="auto"/>
        <w:ind w:left="567" w:right="902"/>
        <w:jc w:val="both"/>
        <w:rPr>
          <w:rFonts w:ascii="Palatino Linotype" w:eastAsia="Palatino Linotype" w:hAnsi="Palatino Linotype" w:cs="Palatino Linotype"/>
          <w:i/>
        </w:rPr>
      </w:pPr>
      <w:r w:rsidRPr="0021195C">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456AC6" w:rsidRPr="0021195C" w:rsidRDefault="00456AC6" w:rsidP="00A227E2">
      <w:pPr>
        <w:spacing w:line="360" w:lineRule="auto"/>
        <w:ind w:left="567" w:right="902"/>
        <w:jc w:val="both"/>
        <w:rPr>
          <w:rFonts w:ascii="Palatino Linotype" w:eastAsia="Palatino Linotype" w:hAnsi="Palatino Linotype" w:cs="Palatino Linotype"/>
          <w:i/>
        </w:rPr>
      </w:pPr>
      <w:r w:rsidRPr="0021195C">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456AC6" w:rsidRPr="0021195C" w:rsidRDefault="00456AC6" w:rsidP="00A227E2">
      <w:pPr>
        <w:spacing w:line="360" w:lineRule="auto"/>
        <w:ind w:left="567" w:right="902"/>
        <w:jc w:val="both"/>
        <w:rPr>
          <w:rFonts w:ascii="Palatino Linotype" w:eastAsia="Palatino Linotype" w:hAnsi="Palatino Linotype" w:cs="Palatino Linotype"/>
          <w:i/>
        </w:rPr>
      </w:pPr>
      <w:r w:rsidRPr="0021195C">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456AC6" w:rsidRPr="0021195C" w:rsidRDefault="00456AC6" w:rsidP="00A227E2">
      <w:pPr>
        <w:spacing w:line="360" w:lineRule="auto"/>
        <w:ind w:left="567" w:right="902"/>
        <w:jc w:val="both"/>
        <w:rPr>
          <w:rFonts w:ascii="Palatino Linotype" w:eastAsia="Palatino Linotype" w:hAnsi="Palatino Linotype" w:cs="Palatino Linotype"/>
          <w:i/>
        </w:rPr>
      </w:pPr>
      <w:r w:rsidRPr="0021195C">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456AC6" w:rsidRPr="0021195C" w:rsidRDefault="00456AC6" w:rsidP="00A227E2">
      <w:pPr>
        <w:spacing w:line="360" w:lineRule="auto"/>
        <w:ind w:left="567" w:right="902"/>
        <w:jc w:val="both"/>
        <w:rPr>
          <w:rFonts w:ascii="Palatino Linotype" w:eastAsia="Palatino Linotype" w:hAnsi="Palatino Linotype" w:cs="Palatino Linotype"/>
          <w:i/>
        </w:rPr>
      </w:pPr>
      <w:r w:rsidRPr="0021195C">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456AC6" w:rsidRPr="0021195C" w:rsidRDefault="00456AC6" w:rsidP="00A227E2">
      <w:pPr>
        <w:spacing w:line="360" w:lineRule="auto"/>
        <w:ind w:left="567" w:right="902"/>
        <w:jc w:val="both"/>
        <w:rPr>
          <w:rFonts w:ascii="Palatino Linotype" w:eastAsia="Palatino Linotype" w:hAnsi="Palatino Linotype" w:cs="Palatino Linotype"/>
          <w:i/>
        </w:rPr>
      </w:pPr>
      <w:r w:rsidRPr="0021195C">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rPr>
      </w:pPr>
      <w:r w:rsidRPr="0021195C">
        <w:rPr>
          <w:rFonts w:ascii="Palatino Linotype" w:eastAsia="Palatino Linotype" w:hAnsi="Palatino Linotype" w:cs="Palatino Linotype"/>
        </w:rPr>
        <w:lastRenderedPageBreak/>
        <w:t xml:space="preserve">Por lo tanto, </w:t>
      </w:r>
      <w:r w:rsidRPr="0021195C">
        <w:rPr>
          <w:rFonts w:ascii="Palatino Linotype" w:eastAsia="Palatino Linotype" w:hAnsi="Palatino Linotype" w:cs="Palatino Linotype"/>
          <w:b/>
        </w:rPr>
        <w:t xml:space="preserve">la entrega de documentos en su versión pública debe acompañarse </w:t>
      </w:r>
      <w:r w:rsidRPr="0021195C">
        <w:rPr>
          <w:rFonts w:ascii="Palatino Linotype" w:eastAsia="Palatino Linotype" w:hAnsi="Palatino Linotype" w:cs="Palatino Linotype"/>
        </w:rPr>
        <w:t>necesariamente</w:t>
      </w:r>
      <w:r w:rsidRPr="0021195C">
        <w:rPr>
          <w:rFonts w:ascii="Palatino Linotype" w:eastAsia="Palatino Linotype" w:hAnsi="Palatino Linotype" w:cs="Palatino Linotype"/>
          <w:b/>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21195C">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56AC6" w:rsidRPr="0021195C" w:rsidRDefault="00456AC6" w:rsidP="00EC2856">
      <w:pPr>
        <w:spacing w:line="360" w:lineRule="auto"/>
        <w:jc w:val="both"/>
        <w:rPr>
          <w:rFonts w:ascii="Palatino Linotype" w:eastAsia="MS Mincho" w:hAnsi="Palatino Linotype"/>
        </w:rPr>
      </w:pPr>
    </w:p>
    <w:p w:rsidR="00456AC6" w:rsidRPr="0021195C" w:rsidRDefault="00456AC6" w:rsidP="00EC2856">
      <w:pPr>
        <w:numPr>
          <w:ilvl w:val="0"/>
          <w:numId w:val="1"/>
        </w:numPr>
        <w:spacing w:line="360" w:lineRule="auto"/>
        <w:ind w:left="0" w:right="49" w:firstLine="0"/>
        <w:jc w:val="both"/>
        <w:rPr>
          <w:rFonts w:ascii="Palatino Linotype" w:hAnsi="Palatino Linotype" w:cs="Arial"/>
          <w:color w:val="000000"/>
        </w:rPr>
      </w:pPr>
      <w:r w:rsidRPr="0021195C">
        <w:rPr>
          <w:rFonts w:ascii="Palatino Linotype" w:hAnsi="Palatino Linotype" w:cs="Arial"/>
          <w:color w:val="000000"/>
        </w:rPr>
        <w:t xml:space="preserve">Luego entonces, no pasa desapercibido para este Órgano Garante que los </w:t>
      </w:r>
      <w:r w:rsidRPr="0021195C">
        <w:rPr>
          <w:rFonts w:ascii="Palatino Linotype" w:hAnsi="Palatino Linotype" w:cs="Arial"/>
          <w:bCs/>
          <w:color w:val="000000"/>
        </w:rPr>
        <w:t xml:space="preserve">sujetos </w:t>
      </w:r>
      <w:r w:rsidRPr="0021195C">
        <w:rPr>
          <w:rFonts w:ascii="Palatino Linotype" w:eastAsia="Arial Unicode MS" w:hAnsi="Palatino Linotype" w:cs="Arial"/>
        </w:rPr>
        <w:t>obligados</w:t>
      </w:r>
      <w:r w:rsidRPr="0021195C">
        <w:rPr>
          <w:rFonts w:ascii="Palatino Linotype" w:hAnsi="Palatino Linotype" w:cs="Arial"/>
          <w:b/>
          <w:bCs/>
          <w:color w:val="000000"/>
        </w:rPr>
        <w:t xml:space="preserve"> </w:t>
      </w:r>
      <w:r w:rsidRPr="0021195C">
        <w:rPr>
          <w:rFonts w:ascii="Palatino Linotype" w:hAnsi="Palatino Linotype" w:cs="Arial"/>
          <w:color w:val="000000"/>
        </w:rPr>
        <w:t xml:space="preserve">serán responsables de los datos personales en su posesión y que, en caso </w:t>
      </w:r>
      <w:r w:rsidRPr="0021195C">
        <w:rPr>
          <w:rFonts w:ascii="Palatino Linotype" w:eastAsia="Palatino Linotype" w:hAnsi="Palatino Linotype" w:cs="Palatino Linotype"/>
        </w:rPr>
        <w:t>de</w:t>
      </w:r>
      <w:r w:rsidRPr="0021195C">
        <w:rPr>
          <w:rFonts w:ascii="Palatino Linotype" w:hAnsi="Palatino Linotype" w:cs="Arial"/>
          <w:color w:val="000000"/>
        </w:rPr>
        <w:t xml:space="preserve"> </w:t>
      </w:r>
      <w:r w:rsidRPr="0021195C">
        <w:rPr>
          <w:rFonts w:ascii="Palatino Linotype" w:eastAsia="Palatino Linotype" w:hAnsi="Palatino Linotype" w:cs="Palatino Linotype"/>
        </w:rPr>
        <w:t>localizarse</w:t>
      </w:r>
      <w:r w:rsidRPr="0021195C">
        <w:rPr>
          <w:rFonts w:ascii="Palatino Linotype" w:hAnsi="Palatino Linotype" w:cs="Arial"/>
          <w:color w:val="000000"/>
        </w:rPr>
        <w:t xml:space="preserv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456AC6" w:rsidRPr="0021195C" w:rsidRDefault="00456AC6" w:rsidP="00EC2856">
      <w:pPr>
        <w:tabs>
          <w:tab w:val="left" w:pos="284"/>
        </w:tabs>
        <w:spacing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456AC6" w:rsidRPr="0021195C" w:rsidTr="0032619C">
        <w:tc>
          <w:tcPr>
            <w:tcW w:w="2689" w:type="dxa"/>
          </w:tcPr>
          <w:p w:rsidR="00456AC6" w:rsidRPr="0021195C" w:rsidRDefault="00456AC6" w:rsidP="00B33052">
            <w:pPr>
              <w:tabs>
                <w:tab w:val="left" w:pos="284"/>
              </w:tabs>
              <w:rPr>
                <w:rFonts w:ascii="Palatino Linotype" w:eastAsia="Palatino Linotype" w:hAnsi="Palatino Linotype" w:cs="Palatino Linotype"/>
                <w:b/>
              </w:rPr>
            </w:pPr>
            <w:r w:rsidRPr="0021195C">
              <w:rPr>
                <w:rFonts w:ascii="Palatino Linotype" w:eastAsia="Palatino Linotype" w:hAnsi="Palatino Linotype" w:cs="Palatino Linotype"/>
                <w:b/>
              </w:rPr>
              <w:t>a) Requisitos previos.</w:t>
            </w:r>
          </w:p>
        </w:tc>
        <w:tc>
          <w:tcPr>
            <w:tcW w:w="6520" w:type="dxa"/>
          </w:tcPr>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21195C">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21195C">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456AC6" w:rsidRPr="0021195C" w:rsidRDefault="00456AC6" w:rsidP="00B33052">
            <w:pPr>
              <w:tabs>
                <w:tab w:val="left" w:pos="284"/>
              </w:tabs>
              <w:jc w:val="both"/>
              <w:rPr>
                <w:rFonts w:ascii="Palatino Linotype" w:eastAsia="Palatino Linotype" w:hAnsi="Palatino Linotype" w:cs="Palatino Linotype"/>
              </w:rPr>
            </w:pPr>
          </w:p>
        </w:tc>
      </w:tr>
      <w:tr w:rsidR="00456AC6" w:rsidRPr="0021195C" w:rsidTr="0032619C">
        <w:tc>
          <w:tcPr>
            <w:tcW w:w="2689" w:type="dxa"/>
          </w:tcPr>
          <w:p w:rsidR="00456AC6" w:rsidRPr="0021195C" w:rsidRDefault="00456AC6" w:rsidP="00B33052">
            <w:pPr>
              <w:tabs>
                <w:tab w:val="left" w:pos="284"/>
              </w:tabs>
              <w:rPr>
                <w:rFonts w:ascii="Palatino Linotype" w:eastAsia="Palatino Linotype" w:hAnsi="Palatino Linotype" w:cs="Palatino Linotype"/>
                <w:b/>
              </w:rPr>
            </w:pPr>
            <w:r w:rsidRPr="0021195C">
              <w:rPr>
                <w:rFonts w:ascii="Palatino Linotype" w:eastAsia="Palatino Linotype" w:hAnsi="Palatino Linotype" w:cs="Palatino Linotype"/>
                <w:b/>
              </w:rPr>
              <w:lastRenderedPageBreak/>
              <w:t>b) Supuestos de clasificación.</w:t>
            </w:r>
          </w:p>
        </w:tc>
        <w:tc>
          <w:tcPr>
            <w:tcW w:w="6520" w:type="dxa"/>
          </w:tcPr>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El </w:t>
            </w:r>
            <w:r w:rsidRPr="0021195C">
              <w:rPr>
                <w:rFonts w:ascii="Palatino Linotype" w:eastAsia="Palatino Linotype" w:hAnsi="Palatino Linotype" w:cs="Palatino Linotype"/>
                <w:b/>
                <w:color w:val="000000"/>
              </w:rPr>
              <w:t>Sujeto Obligado</w:t>
            </w:r>
            <w:r w:rsidRPr="0021195C">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w:t>
            </w:r>
            <w:r w:rsidRPr="0021195C">
              <w:rPr>
                <w:rFonts w:ascii="Palatino Linotype" w:eastAsia="Palatino Linotype" w:hAnsi="Palatino Linotype" w:cs="Palatino Linotype"/>
                <w:color w:val="000000"/>
              </w:rPr>
              <w:lastRenderedPageBreak/>
              <w:t>de realizar el servidor público habilitado y el titular del área que administra la información.</w:t>
            </w:r>
          </w:p>
          <w:p w:rsidR="00456AC6" w:rsidRPr="0021195C" w:rsidRDefault="00456AC6" w:rsidP="00B33052">
            <w:pPr>
              <w:tabs>
                <w:tab w:val="left" w:pos="284"/>
              </w:tabs>
              <w:jc w:val="both"/>
              <w:rPr>
                <w:rFonts w:ascii="Palatino Linotype" w:eastAsia="Palatino Linotype" w:hAnsi="Palatino Linotype" w:cs="Palatino Linotype"/>
              </w:rPr>
            </w:pPr>
          </w:p>
        </w:tc>
      </w:tr>
      <w:tr w:rsidR="00456AC6" w:rsidRPr="0021195C" w:rsidTr="0032619C">
        <w:tc>
          <w:tcPr>
            <w:tcW w:w="2689" w:type="dxa"/>
          </w:tcPr>
          <w:p w:rsidR="00456AC6" w:rsidRPr="0021195C" w:rsidRDefault="00456AC6" w:rsidP="00B33052">
            <w:pPr>
              <w:tabs>
                <w:tab w:val="left" w:pos="284"/>
              </w:tabs>
              <w:rPr>
                <w:rFonts w:ascii="Palatino Linotype" w:eastAsia="Palatino Linotype" w:hAnsi="Palatino Linotype" w:cs="Palatino Linotype"/>
                <w:b/>
              </w:rPr>
            </w:pPr>
            <w:r w:rsidRPr="0021195C">
              <w:rPr>
                <w:rFonts w:ascii="Palatino Linotype" w:eastAsia="Palatino Linotype" w:hAnsi="Palatino Linotype" w:cs="Palatino Linotype"/>
                <w:b/>
              </w:rPr>
              <w:lastRenderedPageBreak/>
              <w:t>c) Formalidades para emitir el acuerdo de clasificación.</w:t>
            </w:r>
          </w:p>
        </w:tc>
        <w:tc>
          <w:tcPr>
            <w:tcW w:w="6520" w:type="dxa"/>
          </w:tcPr>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Es necesario que </w:t>
            </w:r>
            <w:r w:rsidRPr="0021195C">
              <w:rPr>
                <w:rFonts w:ascii="Palatino Linotype" w:eastAsia="Palatino Linotype" w:hAnsi="Palatino Linotype" w:cs="Palatino Linotype"/>
                <w:b/>
                <w:color w:val="000000"/>
                <w:u w:val="single"/>
              </w:rPr>
              <w:t>el acto reúna con los requisitos elementales</w:t>
            </w:r>
            <w:r w:rsidRPr="0021195C">
              <w:rPr>
                <w:rFonts w:ascii="Palatino Linotype" w:eastAsia="Palatino Linotype" w:hAnsi="Palatino Linotype" w:cs="Palatino Linotype"/>
                <w:color w:val="000000"/>
              </w:rPr>
              <w:t>, entre ellos, que la autoridad que va a emitir el acto de autoridad sea la legalmente facultada para ello.</w:t>
            </w:r>
          </w:p>
          <w:p w:rsidR="00456AC6" w:rsidRPr="0021195C" w:rsidRDefault="00456AC6" w:rsidP="00B33052">
            <w:pPr>
              <w:tabs>
                <w:tab w:val="left" w:pos="284"/>
              </w:tabs>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456AC6" w:rsidRPr="0021195C" w:rsidRDefault="00456AC6" w:rsidP="00B33052">
            <w:pPr>
              <w:tabs>
                <w:tab w:val="left" w:pos="284"/>
              </w:tabs>
              <w:jc w:val="both"/>
              <w:rPr>
                <w:rFonts w:ascii="Palatino Linotype" w:eastAsia="Palatino Linotype" w:hAnsi="Palatino Linotype" w:cs="Palatino Linotype"/>
              </w:rPr>
            </w:pPr>
          </w:p>
        </w:tc>
      </w:tr>
      <w:tr w:rsidR="00456AC6" w:rsidRPr="0021195C" w:rsidTr="0032619C">
        <w:tc>
          <w:tcPr>
            <w:tcW w:w="2689" w:type="dxa"/>
          </w:tcPr>
          <w:p w:rsidR="00456AC6" w:rsidRPr="0021195C" w:rsidRDefault="00456AC6" w:rsidP="00B33052">
            <w:pPr>
              <w:tabs>
                <w:tab w:val="left" w:pos="284"/>
              </w:tabs>
              <w:rPr>
                <w:rFonts w:ascii="Palatino Linotype" w:eastAsia="Palatino Linotype" w:hAnsi="Palatino Linotype" w:cs="Palatino Linotype"/>
                <w:b/>
              </w:rPr>
            </w:pPr>
          </w:p>
          <w:p w:rsidR="00456AC6" w:rsidRPr="0021195C" w:rsidRDefault="00456AC6" w:rsidP="00B33052">
            <w:pPr>
              <w:tabs>
                <w:tab w:val="left" w:pos="284"/>
              </w:tabs>
              <w:jc w:val="both"/>
              <w:rPr>
                <w:rFonts w:ascii="Palatino Linotype" w:eastAsia="Palatino Linotype" w:hAnsi="Palatino Linotype" w:cs="Palatino Linotype"/>
                <w:b/>
              </w:rPr>
            </w:pPr>
            <w:r w:rsidRPr="0021195C">
              <w:rPr>
                <w:rFonts w:ascii="Palatino Linotype" w:eastAsia="Palatino Linotype" w:hAnsi="Palatino Linotype" w:cs="Palatino Linotype"/>
                <w:b/>
                <w:color w:val="000000"/>
              </w:rPr>
              <w:t xml:space="preserve">d) Requisitos de fondo del acuerdo de clasificación. </w:t>
            </w:r>
          </w:p>
        </w:tc>
        <w:tc>
          <w:tcPr>
            <w:tcW w:w="6520" w:type="dxa"/>
          </w:tcPr>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1195C">
              <w:rPr>
                <w:rFonts w:ascii="Palatino Linotype" w:eastAsia="Palatino Linotype" w:hAnsi="Palatino Linotype" w:cs="Palatino Linotype"/>
                <w:b/>
                <w:color w:val="000000"/>
              </w:rPr>
              <w:t>Sujetos Obligados</w:t>
            </w:r>
            <w:r w:rsidRPr="0021195C">
              <w:rPr>
                <w:rFonts w:ascii="Palatino Linotype" w:eastAsia="Palatino Linotype" w:hAnsi="Palatino Linotype" w:cs="Palatino Linotype"/>
                <w:color w:val="000000"/>
              </w:rPr>
              <w:t xml:space="preserve">, por lo que deberán fundar y motivar debidamente la clasificación. </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De lo anterior, se desprende que para una correcta </w:t>
            </w:r>
            <w:r w:rsidRPr="0021195C">
              <w:rPr>
                <w:rFonts w:ascii="Palatino Linotype" w:eastAsia="Palatino Linotype" w:hAnsi="Palatino Linotype" w:cs="Palatino Linotype"/>
                <w:b/>
                <w:color w:val="000000"/>
              </w:rPr>
              <w:t>clasificación total o parcial</w:t>
            </w:r>
            <w:r w:rsidRPr="0021195C">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21195C">
              <w:rPr>
                <w:rFonts w:ascii="Palatino Linotype" w:eastAsia="Palatino Linotype" w:hAnsi="Palatino Linotype" w:cs="Palatino Linotype"/>
                <w:color w:val="000000"/>
              </w:rPr>
              <w:lastRenderedPageBreak/>
              <w:t>fundamentos legales que le dieron origen y las razones por las que se deben aplicar al caso concreto.</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Ahora bien, </w:t>
            </w:r>
            <w:r w:rsidRPr="0021195C">
              <w:rPr>
                <w:rFonts w:ascii="Palatino Linotype" w:eastAsia="Palatino Linotype" w:hAnsi="Palatino Linotype" w:cs="Palatino Linotype"/>
                <w:b/>
                <w:color w:val="000000"/>
                <w:u w:val="single"/>
              </w:rPr>
              <w:t>para cada caso además de fundar y motivar</w:t>
            </w:r>
            <w:r w:rsidRPr="0021195C">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tc>
      </w:tr>
      <w:tr w:rsidR="00456AC6" w:rsidRPr="0021195C" w:rsidTr="0032619C">
        <w:tc>
          <w:tcPr>
            <w:tcW w:w="2689" w:type="dxa"/>
          </w:tcPr>
          <w:p w:rsidR="00456AC6" w:rsidRPr="0021195C" w:rsidRDefault="00456AC6" w:rsidP="00B33052">
            <w:pPr>
              <w:tabs>
                <w:tab w:val="left" w:pos="284"/>
              </w:tabs>
              <w:ind w:right="49"/>
              <w:jc w:val="both"/>
              <w:rPr>
                <w:rFonts w:ascii="Palatino Linotype" w:eastAsia="Palatino Linotype" w:hAnsi="Palatino Linotype" w:cs="Palatino Linotype"/>
                <w:b/>
              </w:rPr>
            </w:pPr>
            <w:r w:rsidRPr="0021195C">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w:t>
            </w:r>
            <w:r w:rsidRPr="0021195C">
              <w:rPr>
                <w:rFonts w:ascii="Palatino Linotype" w:eastAsia="Palatino Linotype" w:hAnsi="Palatino Linotype" w:cs="Palatino Linotype"/>
                <w:color w:val="000000"/>
              </w:rPr>
              <w:lastRenderedPageBreak/>
              <w:t xml:space="preserve">discutido la Suprema Corte de Justicia de la Nación, los servidores públicos nos encontramos sujetos a un régimen menor de protección. </w:t>
            </w:r>
          </w:p>
          <w:p w:rsidR="00456AC6" w:rsidRPr="0021195C" w:rsidRDefault="00456AC6" w:rsidP="00B33052">
            <w:pPr>
              <w:tabs>
                <w:tab w:val="left" w:pos="284"/>
              </w:tabs>
              <w:ind w:right="49"/>
              <w:jc w:val="both"/>
              <w:rPr>
                <w:rFonts w:ascii="Palatino Linotype" w:eastAsia="Palatino Linotype" w:hAnsi="Palatino Linotype" w:cs="Palatino Linotype"/>
                <w:color w:val="000000"/>
              </w:rPr>
            </w:pPr>
          </w:p>
          <w:p w:rsidR="00456AC6" w:rsidRPr="0021195C" w:rsidRDefault="00456AC6" w:rsidP="00B33052">
            <w:pPr>
              <w:tabs>
                <w:tab w:val="left" w:pos="284"/>
              </w:tabs>
              <w:jc w:val="both"/>
              <w:rPr>
                <w:rFonts w:ascii="Palatino Linotype" w:eastAsia="Palatino Linotype" w:hAnsi="Palatino Linotype" w:cs="Palatino Linotype"/>
              </w:rPr>
            </w:pPr>
            <w:r w:rsidRPr="0021195C">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56AC6" w:rsidRPr="0021195C" w:rsidRDefault="00456AC6" w:rsidP="00EC2856">
      <w:pPr>
        <w:spacing w:line="360" w:lineRule="auto"/>
        <w:jc w:val="both"/>
        <w:rPr>
          <w:rFonts w:ascii="Palatino Linotype" w:eastAsia="Palatino Linotype" w:hAnsi="Palatino Linotype" w:cs="Palatino Linotype"/>
          <w:color w:val="000000"/>
        </w:rPr>
      </w:pPr>
    </w:p>
    <w:p w:rsidR="00456AC6" w:rsidRPr="0021195C" w:rsidRDefault="00456AC6" w:rsidP="00EC2856">
      <w:pPr>
        <w:numPr>
          <w:ilvl w:val="0"/>
          <w:numId w:val="1"/>
        </w:numPr>
        <w:spacing w:line="360" w:lineRule="auto"/>
        <w:ind w:left="0" w:right="49" w:firstLine="0"/>
        <w:jc w:val="both"/>
        <w:rPr>
          <w:rFonts w:ascii="Palatino Linotype" w:eastAsia="Palatino Linotype" w:hAnsi="Palatino Linotype" w:cs="Palatino Linotype"/>
          <w:color w:val="000000"/>
        </w:rPr>
      </w:pPr>
      <w:r w:rsidRPr="0021195C">
        <w:rPr>
          <w:rFonts w:ascii="Palatino Linotype" w:eastAsia="Palatino Linotype" w:hAnsi="Palatino Linotype" w:cs="Palatino Linotype"/>
        </w:rPr>
        <w:t xml:space="preserve">Si el </w:t>
      </w:r>
      <w:r w:rsidRPr="0021195C">
        <w:rPr>
          <w:rFonts w:ascii="Palatino Linotype" w:eastAsia="Palatino Linotype" w:hAnsi="Palatino Linotype" w:cs="Palatino Linotype"/>
          <w:color w:val="000000"/>
        </w:rPr>
        <w:t>servidor</w:t>
      </w:r>
      <w:r w:rsidRPr="0021195C">
        <w:rPr>
          <w:rFonts w:ascii="Palatino Linotype" w:eastAsia="Palatino Linotype" w:hAnsi="Palatino Linotype" w:cs="Palatino Linotype"/>
        </w:rPr>
        <w:t xml:space="preserve"> público incumple con estas formalidades y entrega la </w:t>
      </w:r>
      <w:r w:rsidRPr="0021195C">
        <w:rPr>
          <w:rFonts w:ascii="Palatino Linotype" w:hAnsi="Palatino Linotype" w:cs="Arial"/>
          <w:color w:val="000000"/>
        </w:rPr>
        <w:t>información</w:t>
      </w:r>
      <w:r w:rsidRPr="0021195C">
        <w:rPr>
          <w:rFonts w:ascii="Palatino Linotype" w:eastAsia="Palatino Linotype" w:hAnsi="Palatino Linotype" w:cs="Palatino Linotype"/>
        </w:rPr>
        <w:t xml:space="preserve"> </w:t>
      </w:r>
      <w:r w:rsidRPr="0021195C">
        <w:rPr>
          <w:rFonts w:ascii="Palatino Linotype" w:hAnsi="Palatino Linotype" w:cs="Arial"/>
          <w:color w:val="000000"/>
        </w:rPr>
        <w:t>sin</w:t>
      </w:r>
      <w:r w:rsidRPr="0021195C">
        <w:rPr>
          <w:rFonts w:ascii="Palatino Linotype" w:eastAsia="Palatino Linotype" w:hAnsi="Palatino Linotype" w:cs="Palatino Linotype"/>
        </w:rPr>
        <w:t xml:space="preserve"> </w:t>
      </w:r>
      <w:r w:rsidRPr="0021195C">
        <w:rPr>
          <w:rFonts w:ascii="Palatino Linotype" w:eastAsia="Palatino Linotype" w:hAnsi="Palatino Linotype" w:cs="Palatino Linotype"/>
          <w:color w:val="000000"/>
        </w:rPr>
        <w:t>proteger</w:t>
      </w:r>
      <w:r w:rsidRPr="0021195C">
        <w:rPr>
          <w:rFonts w:ascii="Palatino Linotype" w:eastAsia="Palatino Linotype" w:hAnsi="Palatino Linotype" w:cs="Palatino Linotype"/>
        </w:rPr>
        <w:t xml:space="preserve"> los datos personales incumple con lo que estipula las disposiciones </w:t>
      </w:r>
      <w:r w:rsidRPr="0021195C">
        <w:rPr>
          <w:rFonts w:ascii="Palatino Linotype" w:eastAsia="Palatino Linotype" w:hAnsi="Palatino Linotype" w:cs="Palatino Linotype"/>
          <w:color w:val="000000"/>
        </w:rPr>
        <w:t>legales</w:t>
      </w:r>
      <w:r w:rsidRPr="0021195C">
        <w:rPr>
          <w:rFonts w:ascii="Palatino Linotype" w:eastAsia="Palatino Linotype" w:hAnsi="Palatino Linotype" w:cs="Palatino Linotype"/>
        </w:rPr>
        <w:t xml:space="preserve"> </w:t>
      </w:r>
      <w:r w:rsidRPr="0021195C">
        <w:rPr>
          <w:rFonts w:ascii="Palatino Linotype" w:eastAsia="Palatino Linotype" w:hAnsi="Palatino Linotype" w:cs="Palatino Linotype"/>
          <w:color w:val="000000"/>
        </w:rPr>
        <w:t>establecidas;</w:t>
      </w:r>
      <w:r w:rsidRPr="0021195C">
        <w:rPr>
          <w:rFonts w:ascii="Palatino Linotype" w:eastAsia="Palatino Linotype" w:hAnsi="Palatino Linotype" w:cs="Palatino Linotype"/>
        </w:rPr>
        <w:t xml:space="preserve"> asimismo que si entrega un documento testado sin el debido acuerdo de clasificación.</w:t>
      </w:r>
    </w:p>
    <w:p w:rsidR="00456AC6" w:rsidRPr="0021195C" w:rsidRDefault="00456AC6" w:rsidP="00EC2856">
      <w:pPr>
        <w:spacing w:line="360" w:lineRule="auto"/>
        <w:ind w:right="49"/>
        <w:jc w:val="both"/>
        <w:rPr>
          <w:rFonts w:ascii="Palatino Linotype" w:hAnsi="Palatino Linotype"/>
        </w:rPr>
      </w:pPr>
    </w:p>
    <w:p w:rsidR="00DC2BB2" w:rsidRPr="0021195C" w:rsidRDefault="00DC2BB2" w:rsidP="00EC2856">
      <w:pPr>
        <w:numPr>
          <w:ilvl w:val="0"/>
          <w:numId w:val="1"/>
        </w:numPr>
        <w:spacing w:line="360" w:lineRule="auto"/>
        <w:ind w:left="0" w:right="49" w:firstLine="0"/>
        <w:jc w:val="both"/>
        <w:rPr>
          <w:rFonts w:ascii="Palatino Linotype" w:hAnsi="Palatino Linotype"/>
        </w:rPr>
      </w:pPr>
      <w:r w:rsidRPr="0021195C">
        <w:rPr>
          <w:rFonts w:ascii="Palatino Linotype" w:eastAsia="Palatino Linotype" w:hAnsi="Palatino Linotype" w:cs="Palatino Linotype"/>
        </w:rPr>
        <w:t xml:space="preserve">Por lo anteriormente expuesto y fundado, este </w:t>
      </w:r>
      <w:r w:rsidRPr="0021195C">
        <w:rPr>
          <w:rFonts w:ascii="Palatino Linotype" w:eastAsia="Palatino Linotype" w:hAnsi="Palatino Linotype" w:cs="Palatino Linotype"/>
          <w:b/>
        </w:rPr>
        <w:t>ÓRGANO GARANTE</w:t>
      </w:r>
      <w:r w:rsidRPr="0021195C">
        <w:rPr>
          <w:rFonts w:ascii="Palatino Linotype" w:eastAsia="Palatino Linotype" w:hAnsi="Palatino Linotype" w:cs="Palatino Linotype"/>
        </w:rPr>
        <w:t xml:space="preserve"> emite los siguientes: </w:t>
      </w:r>
    </w:p>
    <w:p w:rsidR="00DC2BB2" w:rsidRPr="0021195C" w:rsidRDefault="00DC2BB2" w:rsidP="00EC2856">
      <w:pPr>
        <w:spacing w:line="360" w:lineRule="auto"/>
        <w:rPr>
          <w:rFonts w:ascii="Palatino Linotype" w:eastAsia="Palatino Linotype" w:hAnsi="Palatino Linotype" w:cs="Palatino Linotype"/>
        </w:rPr>
      </w:pPr>
    </w:p>
    <w:p w:rsidR="00B84DF1" w:rsidRPr="0021195C" w:rsidRDefault="009D3673" w:rsidP="00EC2856">
      <w:pPr>
        <w:pStyle w:val="Ttulo1"/>
        <w:spacing w:before="0" w:line="360" w:lineRule="auto"/>
        <w:ind w:right="49"/>
        <w:jc w:val="center"/>
        <w:rPr>
          <w:rFonts w:ascii="Palatino Linotype" w:eastAsia="Palatino Linotype" w:hAnsi="Palatino Linotype" w:cs="Palatino Linotype"/>
          <w:b/>
          <w:color w:val="000000"/>
          <w:sz w:val="24"/>
          <w:szCs w:val="24"/>
        </w:rPr>
      </w:pPr>
      <w:bookmarkStart w:id="8" w:name="_heading=h.4d34og8" w:colFirst="0" w:colLast="0"/>
      <w:bookmarkEnd w:id="8"/>
      <w:r w:rsidRPr="0021195C">
        <w:rPr>
          <w:rFonts w:ascii="Palatino Linotype" w:eastAsia="Palatino Linotype" w:hAnsi="Palatino Linotype" w:cs="Palatino Linotype"/>
          <w:b/>
          <w:color w:val="000000"/>
          <w:sz w:val="24"/>
          <w:szCs w:val="24"/>
        </w:rPr>
        <w:t>R E S O L U T I V O S</w:t>
      </w:r>
    </w:p>
    <w:p w:rsidR="00B84DF1" w:rsidRPr="0021195C" w:rsidRDefault="00B84DF1" w:rsidP="00EC2856">
      <w:pPr>
        <w:spacing w:line="360" w:lineRule="auto"/>
        <w:ind w:right="49"/>
        <w:rPr>
          <w:rFonts w:ascii="Palatino Linotype" w:eastAsia="Palatino Linotype" w:hAnsi="Palatino Linotype" w:cs="Palatino Linotype"/>
        </w:rPr>
      </w:pPr>
    </w:p>
    <w:p w:rsidR="00194544" w:rsidRDefault="00194544" w:rsidP="00EC2856">
      <w:pPr>
        <w:spacing w:line="360" w:lineRule="auto"/>
        <w:jc w:val="both"/>
        <w:rPr>
          <w:rFonts w:ascii="Palatino Linotype" w:eastAsia="Palatino Linotype" w:hAnsi="Palatino Linotype" w:cs="Palatino Linotype"/>
        </w:rPr>
      </w:pPr>
      <w:bookmarkStart w:id="9" w:name="_heading=h.1t3h5sf" w:colFirst="0" w:colLast="0"/>
      <w:bookmarkEnd w:id="9"/>
      <w:r w:rsidRPr="0021195C">
        <w:rPr>
          <w:rFonts w:ascii="Palatino Linotype" w:eastAsia="Palatino Linotype" w:hAnsi="Palatino Linotype" w:cs="Palatino Linotype"/>
          <w:b/>
        </w:rPr>
        <w:t>PRIMERO</w:t>
      </w:r>
      <w:r w:rsidRPr="0021195C">
        <w:rPr>
          <w:rFonts w:ascii="Palatino Linotype" w:eastAsia="Palatino Linotype" w:hAnsi="Palatino Linotype" w:cs="Palatino Linotype"/>
        </w:rPr>
        <w:t>. Resultan fundadas las</w:t>
      </w:r>
      <w:r w:rsidRPr="0021195C">
        <w:rPr>
          <w:rFonts w:ascii="Palatino Linotype" w:eastAsia="Palatino Linotype" w:hAnsi="Palatino Linotype" w:cs="Palatino Linotype"/>
          <w:b/>
        </w:rPr>
        <w:t xml:space="preserve"> </w:t>
      </w:r>
      <w:r w:rsidRPr="0021195C">
        <w:rPr>
          <w:rFonts w:ascii="Palatino Linotype" w:eastAsia="Palatino Linotype" w:hAnsi="Palatino Linotype" w:cs="Palatino Linotype"/>
        </w:rPr>
        <w:t xml:space="preserve">razones o motivos de inconformidad hechos valer en el Recurso de Revisión </w:t>
      </w:r>
      <w:r w:rsidRPr="0021195C">
        <w:rPr>
          <w:rFonts w:ascii="Palatino Linotype" w:eastAsia="Palatino Linotype" w:hAnsi="Palatino Linotype" w:cs="Palatino Linotype"/>
          <w:b/>
        </w:rPr>
        <w:t>0</w:t>
      </w:r>
      <w:r w:rsidR="00B33052" w:rsidRPr="0021195C">
        <w:rPr>
          <w:rFonts w:ascii="Palatino Linotype" w:eastAsia="Palatino Linotype" w:hAnsi="Palatino Linotype" w:cs="Palatino Linotype"/>
          <w:b/>
        </w:rPr>
        <w:t>314</w:t>
      </w:r>
      <w:r w:rsidR="00456AC6" w:rsidRPr="0021195C">
        <w:rPr>
          <w:rFonts w:ascii="Palatino Linotype" w:eastAsia="Palatino Linotype" w:hAnsi="Palatino Linotype" w:cs="Palatino Linotype"/>
          <w:b/>
        </w:rPr>
        <w:t>3</w:t>
      </w:r>
      <w:r w:rsidRPr="0021195C">
        <w:rPr>
          <w:rFonts w:ascii="Palatino Linotype" w:eastAsia="Palatino Linotype" w:hAnsi="Palatino Linotype" w:cs="Palatino Linotype"/>
          <w:b/>
        </w:rPr>
        <w:t xml:space="preserve">/INFOEM/IP/RR/2025, </w:t>
      </w:r>
      <w:r w:rsidRPr="0021195C">
        <w:rPr>
          <w:rFonts w:ascii="Palatino Linotype" w:eastAsia="Palatino Linotype" w:hAnsi="Palatino Linotype" w:cs="Palatino Linotype"/>
        </w:rPr>
        <w:t xml:space="preserve">en términos de los </w:t>
      </w:r>
      <w:r w:rsidRPr="0021195C">
        <w:rPr>
          <w:rFonts w:ascii="Palatino Linotype" w:eastAsia="Palatino Linotype" w:hAnsi="Palatino Linotype" w:cs="Palatino Linotype"/>
          <w:b/>
        </w:rPr>
        <w:t>Considerandos</w:t>
      </w:r>
      <w:r w:rsidRPr="0021195C">
        <w:rPr>
          <w:rFonts w:ascii="Palatino Linotype" w:eastAsia="Palatino Linotype" w:hAnsi="Palatino Linotype" w:cs="Palatino Linotype"/>
        </w:rPr>
        <w:t xml:space="preserve"> </w:t>
      </w:r>
      <w:r w:rsidRPr="0021195C">
        <w:rPr>
          <w:rFonts w:ascii="Palatino Linotype" w:eastAsia="Palatino Linotype" w:hAnsi="Palatino Linotype" w:cs="Palatino Linotype"/>
          <w:b/>
        </w:rPr>
        <w:t>CUARTO</w:t>
      </w:r>
      <w:r w:rsidRPr="0021195C">
        <w:rPr>
          <w:rFonts w:ascii="Palatino Linotype" w:eastAsia="Palatino Linotype" w:hAnsi="Palatino Linotype" w:cs="Palatino Linotype"/>
        </w:rPr>
        <w:t xml:space="preserve"> y </w:t>
      </w:r>
      <w:r w:rsidRPr="0021195C">
        <w:rPr>
          <w:rFonts w:ascii="Palatino Linotype" w:eastAsia="Palatino Linotype" w:hAnsi="Palatino Linotype" w:cs="Palatino Linotype"/>
          <w:b/>
        </w:rPr>
        <w:t xml:space="preserve">QUINTO </w:t>
      </w:r>
      <w:r w:rsidRPr="0021195C">
        <w:rPr>
          <w:rFonts w:ascii="Palatino Linotype" w:eastAsia="Palatino Linotype" w:hAnsi="Palatino Linotype" w:cs="Palatino Linotype"/>
        </w:rPr>
        <w:t>de la presente Resolución.</w:t>
      </w:r>
    </w:p>
    <w:p w:rsidR="0039350F" w:rsidRPr="0021195C" w:rsidRDefault="0039350F" w:rsidP="00EC2856">
      <w:pPr>
        <w:spacing w:line="360" w:lineRule="auto"/>
        <w:jc w:val="both"/>
        <w:rPr>
          <w:rFonts w:ascii="Palatino Linotype" w:eastAsia="Palatino Linotype" w:hAnsi="Palatino Linotype" w:cs="Palatino Linotype"/>
        </w:rPr>
      </w:pPr>
    </w:p>
    <w:p w:rsidR="00194544" w:rsidRPr="0021195C" w:rsidRDefault="00194544" w:rsidP="00EC2856">
      <w:pPr>
        <w:spacing w:line="360" w:lineRule="auto"/>
        <w:jc w:val="both"/>
        <w:rPr>
          <w:rFonts w:ascii="Palatino Linotype" w:hAnsi="Palatino Linotype" w:cs="Arial"/>
        </w:rPr>
      </w:pPr>
      <w:r w:rsidRPr="0021195C">
        <w:rPr>
          <w:rFonts w:ascii="Palatino Linotype" w:eastAsia="Times New Roman" w:hAnsi="Palatino Linotype" w:cs="Times New Roman"/>
          <w:b/>
        </w:rPr>
        <w:lastRenderedPageBreak/>
        <w:t xml:space="preserve">SEGUNDO. </w:t>
      </w:r>
      <w:r w:rsidRPr="0021195C">
        <w:rPr>
          <w:rFonts w:ascii="Palatino Linotype" w:eastAsia="MS Mincho" w:hAnsi="Palatino Linotype" w:cs="Times New Roman"/>
          <w:color w:val="000000" w:themeColor="text1"/>
        </w:rPr>
        <w:t xml:space="preserve">Se </w:t>
      </w:r>
      <w:r w:rsidR="00456AC6" w:rsidRPr="0021195C">
        <w:rPr>
          <w:rFonts w:ascii="Palatino Linotype" w:eastAsia="MS Mincho" w:hAnsi="Palatino Linotype" w:cs="Times New Roman"/>
          <w:b/>
          <w:color w:val="000000" w:themeColor="text1"/>
        </w:rPr>
        <w:t>REVOCA</w:t>
      </w:r>
      <w:r w:rsidRPr="0021195C">
        <w:rPr>
          <w:rFonts w:ascii="Palatino Linotype" w:eastAsia="MS Mincho" w:hAnsi="Palatino Linotype" w:cs="Times New Roman"/>
          <w:b/>
          <w:color w:val="000000" w:themeColor="text1"/>
        </w:rPr>
        <w:t xml:space="preserve"> </w:t>
      </w:r>
      <w:r w:rsidRPr="0021195C">
        <w:rPr>
          <w:rFonts w:ascii="Palatino Linotype" w:eastAsia="MS Mincho" w:hAnsi="Palatino Linotype" w:cs="Times New Roman"/>
          <w:color w:val="000000" w:themeColor="text1"/>
        </w:rPr>
        <w:t xml:space="preserve">la respuesta emitida por el </w:t>
      </w:r>
      <w:r w:rsidR="00BE415E" w:rsidRPr="0021195C">
        <w:rPr>
          <w:rFonts w:ascii="Palatino Linotype" w:hAnsi="Palatino Linotype"/>
          <w:b/>
          <w:bCs/>
          <w:color w:val="000000"/>
        </w:rPr>
        <w:t>Ayuntamiento de Cuautitlán Izcalli</w:t>
      </w:r>
      <w:r w:rsidRPr="0021195C">
        <w:rPr>
          <w:rFonts w:ascii="Palatino Linotype" w:eastAsia="MS Mincho" w:hAnsi="Palatino Linotype" w:cs="Times New Roman"/>
          <w:b/>
          <w:color w:val="000000" w:themeColor="text1"/>
        </w:rPr>
        <w:t xml:space="preserve"> </w:t>
      </w:r>
      <w:r w:rsidRPr="0021195C">
        <w:rPr>
          <w:rFonts w:ascii="Palatino Linotype" w:eastAsia="MS Mincho" w:hAnsi="Palatino Linotype" w:cs="Times New Roman"/>
          <w:color w:val="000000" w:themeColor="text1"/>
        </w:rPr>
        <w:t xml:space="preserve">y se </w:t>
      </w:r>
      <w:r w:rsidRPr="0021195C">
        <w:rPr>
          <w:rFonts w:ascii="Palatino Linotype" w:eastAsia="MS Mincho" w:hAnsi="Palatino Linotype" w:cs="Times New Roman"/>
          <w:b/>
          <w:color w:val="000000" w:themeColor="text1"/>
        </w:rPr>
        <w:t>ORDENA</w:t>
      </w:r>
      <w:r w:rsidRPr="0021195C">
        <w:rPr>
          <w:rFonts w:ascii="Palatino Linotype" w:eastAsia="MS Mincho" w:hAnsi="Palatino Linotype" w:cs="Times New Roman"/>
          <w:color w:val="000000" w:themeColor="text1"/>
        </w:rPr>
        <w:t xml:space="preserve"> </w:t>
      </w:r>
      <w:bookmarkStart w:id="10" w:name="_Toc503891610"/>
      <w:bookmarkStart w:id="11" w:name="_Toc453696503"/>
      <w:bookmarkStart w:id="12" w:name="_Toc454301156"/>
      <w:bookmarkStart w:id="13" w:name="_Toc462653938"/>
      <w:bookmarkStart w:id="14" w:name="_Toc477891769"/>
      <w:bookmarkStart w:id="15" w:name="_Toc477891859"/>
      <w:bookmarkStart w:id="16" w:name="_Toc481576260"/>
      <w:bookmarkStart w:id="17" w:name="_Toc492590392"/>
      <w:r w:rsidRPr="0021195C">
        <w:rPr>
          <w:rFonts w:ascii="Palatino Linotype" w:eastAsia="MS Mincho" w:hAnsi="Palatino Linotype" w:cs="Times New Roman"/>
          <w:color w:val="000000" w:themeColor="text1"/>
        </w:rPr>
        <w:t>entregar vía Sistema de Acceso a la Información Mexi</w:t>
      </w:r>
      <w:r w:rsidR="00456AC6" w:rsidRPr="0021195C">
        <w:rPr>
          <w:rFonts w:ascii="Palatino Linotype" w:eastAsia="MS Mincho" w:hAnsi="Palatino Linotype" w:cs="Times New Roman"/>
          <w:color w:val="000000" w:themeColor="text1"/>
        </w:rPr>
        <w:t xml:space="preserve">quense (SAIMEX), </w:t>
      </w:r>
      <w:r w:rsidRPr="0021195C">
        <w:rPr>
          <w:rFonts w:ascii="Palatino Linotype" w:eastAsia="MS Mincho" w:hAnsi="Palatino Linotype" w:cs="Times New Roman"/>
          <w:color w:val="000000" w:themeColor="text1"/>
        </w:rPr>
        <w:t>en versión pública, la siguiente información</w:t>
      </w:r>
      <w:r w:rsidRPr="0021195C">
        <w:rPr>
          <w:rFonts w:ascii="Palatino Linotype" w:hAnsi="Palatino Linotype" w:cs="Arial"/>
        </w:rPr>
        <w:t>:</w:t>
      </w:r>
    </w:p>
    <w:p w:rsidR="00194544" w:rsidRPr="0021195C" w:rsidRDefault="00194544" w:rsidP="00EC2856">
      <w:pPr>
        <w:pStyle w:val="Prrafodelista"/>
        <w:tabs>
          <w:tab w:val="left" w:pos="8080"/>
        </w:tabs>
        <w:spacing w:line="360" w:lineRule="auto"/>
        <w:ind w:left="709" w:right="474"/>
        <w:jc w:val="both"/>
        <w:rPr>
          <w:rFonts w:ascii="Palatino Linotype" w:hAnsi="Palatino Linotype" w:cs="Arial"/>
          <w:i/>
          <w:color w:val="000000" w:themeColor="text1"/>
        </w:rPr>
      </w:pPr>
    </w:p>
    <w:p w:rsidR="0032619C" w:rsidRPr="0021195C" w:rsidRDefault="0032619C" w:rsidP="00EC2856">
      <w:pPr>
        <w:numPr>
          <w:ilvl w:val="0"/>
          <w:numId w:val="14"/>
        </w:numPr>
        <w:pBdr>
          <w:top w:val="nil"/>
          <w:left w:val="nil"/>
          <w:bottom w:val="nil"/>
          <w:right w:val="nil"/>
          <w:between w:val="nil"/>
        </w:pBdr>
        <w:spacing w:line="360" w:lineRule="auto"/>
        <w:ind w:left="851" w:right="616"/>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 xml:space="preserve">Conciliación de nómina, de la segunda quincena del mes </w:t>
      </w:r>
      <w:r w:rsidR="00831F7B" w:rsidRPr="0021195C">
        <w:rPr>
          <w:rFonts w:ascii="Palatino Linotype" w:eastAsia="Palatino Linotype" w:hAnsi="Palatino Linotype" w:cs="Palatino Linotype"/>
          <w:b/>
          <w:color w:val="000000"/>
        </w:rPr>
        <w:t xml:space="preserve">enero y primera </w:t>
      </w:r>
      <w:r w:rsidRPr="0021195C">
        <w:rPr>
          <w:rFonts w:ascii="Palatino Linotype" w:eastAsia="Palatino Linotype" w:hAnsi="Palatino Linotype" w:cs="Palatino Linotype"/>
          <w:b/>
          <w:color w:val="000000"/>
        </w:rPr>
        <w:t>de</w:t>
      </w:r>
      <w:r w:rsidR="00831F7B" w:rsidRPr="0021195C">
        <w:rPr>
          <w:rFonts w:ascii="Palatino Linotype" w:eastAsia="Palatino Linotype" w:hAnsi="Palatino Linotype" w:cs="Palatino Linotype"/>
          <w:b/>
          <w:color w:val="000000"/>
        </w:rPr>
        <w:t>l mes de</w:t>
      </w:r>
      <w:r w:rsidRPr="0021195C">
        <w:rPr>
          <w:rFonts w:ascii="Palatino Linotype" w:eastAsia="Palatino Linotype" w:hAnsi="Palatino Linotype" w:cs="Palatino Linotype"/>
          <w:b/>
          <w:color w:val="000000"/>
        </w:rPr>
        <w:t xml:space="preserve"> febrero del ejercicio fiscal</w:t>
      </w:r>
      <w:r w:rsidR="003B6629" w:rsidRPr="0021195C">
        <w:rPr>
          <w:rFonts w:ascii="Palatino Linotype" w:eastAsia="Palatino Linotype" w:hAnsi="Palatino Linotype" w:cs="Palatino Linotype"/>
          <w:b/>
          <w:color w:val="000000"/>
        </w:rPr>
        <w:t xml:space="preserve"> 202</w:t>
      </w:r>
      <w:r w:rsidR="00831F7B" w:rsidRPr="0021195C">
        <w:rPr>
          <w:rFonts w:ascii="Palatino Linotype" w:eastAsia="Palatino Linotype" w:hAnsi="Palatino Linotype" w:cs="Palatino Linotype"/>
          <w:b/>
          <w:color w:val="000000"/>
        </w:rPr>
        <w:t>5</w:t>
      </w:r>
      <w:r w:rsidR="003B6629" w:rsidRPr="0021195C">
        <w:rPr>
          <w:rFonts w:ascii="Palatino Linotype" w:eastAsia="Palatino Linotype" w:hAnsi="Palatino Linotype" w:cs="Palatino Linotype"/>
          <w:b/>
          <w:color w:val="000000"/>
        </w:rPr>
        <w:t>, en que consten las siguientes áreas:</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Presidencia</w:t>
      </w:r>
    </w:p>
    <w:p w:rsidR="00831F7B" w:rsidRPr="0021195C" w:rsidRDefault="00831F7B" w:rsidP="00831F7B">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Secretaría del Ayuntamiento</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Primera Sindicatura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Segunda Sindicatura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Primera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Segunda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Tercera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Cuarta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Quinta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Sexta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Séptima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Octava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Novena Regiduría</w:t>
      </w:r>
    </w:p>
    <w:p w:rsidR="00725BBA" w:rsidRPr="0021195C" w:rsidRDefault="00725BBA"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D</w:t>
      </w:r>
      <w:r w:rsidR="00831F7B" w:rsidRPr="0021195C">
        <w:rPr>
          <w:rFonts w:ascii="Palatino Linotype" w:eastAsia="Palatino Linotype" w:hAnsi="Palatino Linotype" w:cs="Palatino Linotype"/>
          <w:b/>
          <w:color w:val="000000"/>
        </w:rPr>
        <w:t>é</w:t>
      </w:r>
      <w:r w:rsidRPr="0021195C">
        <w:rPr>
          <w:rFonts w:ascii="Palatino Linotype" w:eastAsia="Palatino Linotype" w:hAnsi="Palatino Linotype" w:cs="Palatino Linotype"/>
          <w:b/>
          <w:color w:val="000000"/>
        </w:rPr>
        <w:t>cima Regiduría</w:t>
      </w:r>
    </w:p>
    <w:p w:rsidR="00725BBA" w:rsidRPr="0021195C" w:rsidRDefault="00831F7B"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Décima Primera</w:t>
      </w:r>
      <w:r w:rsidR="00725BBA" w:rsidRPr="0021195C">
        <w:rPr>
          <w:rFonts w:ascii="Palatino Linotype" w:eastAsia="Palatino Linotype" w:hAnsi="Palatino Linotype" w:cs="Palatino Linotype"/>
          <w:b/>
          <w:color w:val="000000"/>
        </w:rPr>
        <w:t xml:space="preserve"> Regiduría</w:t>
      </w:r>
    </w:p>
    <w:p w:rsidR="00725BBA" w:rsidRPr="0021195C" w:rsidRDefault="00831F7B" w:rsidP="00725BBA">
      <w:pPr>
        <w:pStyle w:val="Prrafodelista"/>
        <w:numPr>
          <w:ilvl w:val="0"/>
          <w:numId w:val="21"/>
        </w:numPr>
        <w:tabs>
          <w:tab w:val="left" w:pos="8080"/>
        </w:tabs>
        <w:spacing w:line="360" w:lineRule="auto"/>
        <w:ind w:left="1418" w:right="49"/>
        <w:jc w:val="both"/>
        <w:rPr>
          <w:rFonts w:ascii="Palatino Linotype" w:eastAsia="Palatino Linotype" w:hAnsi="Palatino Linotype" w:cs="Palatino Linotype"/>
          <w:b/>
          <w:color w:val="000000"/>
        </w:rPr>
      </w:pPr>
      <w:r w:rsidRPr="0021195C">
        <w:rPr>
          <w:rFonts w:ascii="Palatino Linotype" w:eastAsia="Palatino Linotype" w:hAnsi="Palatino Linotype" w:cs="Palatino Linotype"/>
          <w:b/>
          <w:color w:val="000000"/>
        </w:rPr>
        <w:t>Décima Segunda</w:t>
      </w:r>
      <w:r w:rsidR="00725BBA" w:rsidRPr="0021195C">
        <w:rPr>
          <w:rFonts w:ascii="Palatino Linotype" w:eastAsia="Palatino Linotype" w:hAnsi="Palatino Linotype" w:cs="Palatino Linotype"/>
          <w:b/>
          <w:color w:val="000000"/>
        </w:rPr>
        <w:t xml:space="preserve"> Regiduría</w:t>
      </w:r>
    </w:p>
    <w:p w:rsidR="00725BBA" w:rsidRPr="0021195C" w:rsidRDefault="00725BBA" w:rsidP="00EC2856">
      <w:pPr>
        <w:tabs>
          <w:tab w:val="left" w:pos="8080"/>
        </w:tabs>
        <w:spacing w:line="360" w:lineRule="auto"/>
        <w:ind w:right="49"/>
        <w:jc w:val="both"/>
        <w:rPr>
          <w:rFonts w:ascii="Palatino Linotype" w:eastAsia="Palatino Linotype" w:hAnsi="Palatino Linotype" w:cs="Palatino Linotype"/>
        </w:rPr>
      </w:pPr>
    </w:p>
    <w:p w:rsidR="00194544" w:rsidRPr="0021195C" w:rsidRDefault="00194544" w:rsidP="00EC2856">
      <w:pPr>
        <w:tabs>
          <w:tab w:val="left" w:pos="8080"/>
        </w:tabs>
        <w:spacing w:line="360" w:lineRule="auto"/>
        <w:ind w:right="49"/>
        <w:jc w:val="both"/>
        <w:rPr>
          <w:rFonts w:ascii="Palatino Linotype" w:eastAsia="Palatino Linotype" w:hAnsi="Palatino Linotype" w:cs="Palatino Linotype"/>
        </w:rPr>
      </w:pPr>
      <w:r w:rsidRPr="0021195C">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21195C">
        <w:rPr>
          <w:rFonts w:ascii="Palatino Linotype" w:eastAsia="Palatino Linotype" w:hAnsi="Palatino Linotype" w:cs="Palatino Linotype"/>
          <w:b/>
          <w:color w:val="000000" w:themeColor="text1"/>
        </w:rPr>
        <w:t>RECURRENTE</w:t>
      </w:r>
      <w:r w:rsidRPr="0021195C">
        <w:rPr>
          <w:rFonts w:ascii="Palatino Linotype" w:eastAsia="Palatino Linotype" w:hAnsi="Palatino Linotype" w:cs="Palatino Linotype"/>
        </w:rPr>
        <w:t>.</w:t>
      </w:r>
    </w:p>
    <w:p w:rsidR="000444BD" w:rsidRPr="0021195C" w:rsidRDefault="000444BD" w:rsidP="00EC2856">
      <w:pPr>
        <w:tabs>
          <w:tab w:val="left" w:pos="8080"/>
        </w:tabs>
        <w:spacing w:line="360" w:lineRule="auto"/>
        <w:ind w:right="49"/>
        <w:jc w:val="both"/>
        <w:rPr>
          <w:rFonts w:ascii="Palatino Linotype" w:eastAsia="Palatino Linotype" w:hAnsi="Palatino Linotype" w:cs="Palatino Linotype"/>
        </w:rPr>
      </w:pPr>
    </w:p>
    <w:bookmarkEnd w:id="10"/>
    <w:bookmarkEnd w:id="11"/>
    <w:bookmarkEnd w:id="12"/>
    <w:bookmarkEnd w:id="13"/>
    <w:bookmarkEnd w:id="14"/>
    <w:bookmarkEnd w:id="15"/>
    <w:bookmarkEnd w:id="16"/>
    <w:bookmarkEnd w:id="17"/>
    <w:p w:rsidR="00194544" w:rsidRPr="0021195C" w:rsidRDefault="00194544" w:rsidP="00EC2856">
      <w:pPr>
        <w:spacing w:line="360" w:lineRule="auto"/>
        <w:jc w:val="both"/>
        <w:rPr>
          <w:rFonts w:ascii="Palatino Linotype" w:eastAsia="Times New Roman" w:hAnsi="Palatino Linotype" w:cs="Times New Roman"/>
          <w:lang w:val="es-MX"/>
        </w:rPr>
      </w:pPr>
      <w:r w:rsidRPr="0021195C">
        <w:rPr>
          <w:rFonts w:ascii="Palatino Linotype" w:eastAsia="Times New Roman" w:hAnsi="Palatino Linotype" w:cs="Arial"/>
          <w:b/>
          <w:bCs/>
          <w:lang w:val="es-MX"/>
        </w:rPr>
        <w:t>TERCERO</w:t>
      </w:r>
      <w:r w:rsidRPr="0021195C">
        <w:rPr>
          <w:rFonts w:ascii="Palatino Linotype" w:eastAsia="Times New Roman" w:hAnsi="Palatino Linotype" w:cs="Arial"/>
          <w:b/>
          <w:lang w:val="es-MX"/>
        </w:rPr>
        <w:t>.</w:t>
      </w:r>
      <w:r w:rsidRPr="0021195C">
        <w:rPr>
          <w:rFonts w:ascii="Palatino Linotype" w:eastAsia="Palatino Linotype" w:hAnsi="Palatino Linotype" w:cs="Palatino Linotype"/>
          <w:b/>
          <w:lang w:val="es-MX"/>
        </w:rPr>
        <w:t xml:space="preserve"> </w:t>
      </w:r>
      <w:r w:rsidRPr="0021195C">
        <w:rPr>
          <w:rFonts w:ascii="Palatino Linotype" w:eastAsia="Times New Roman" w:hAnsi="Palatino Linotype" w:cs="Times New Roman"/>
          <w:b/>
          <w:lang w:val="es-MX"/>
        </w:rPr>
        <w:t xml:space="preserve">Notifíquese </w:t>
      </w:r>
      <w:r w:rsidRPr="0021195C">
        <w:rPr>
          <w:rFonts w:ascii="Palatino Linotype" w:eastAsia="Times New Roman" w:hAnsi="Palatino Linotype" w:cs="Times New Roman"/>
          <w:lang w:val="es-MX"/>
        </w:rPr>
        <w:t xml:space="preserve">la presente </w:t>
      </w:r>
      <w:r w:rsidR="00831F7B" w:rsidRPr="0021195C">
        <w:rPr>
          <w:rFonts w:ascii="Palatino Linotype" w:eastAsia="Times New Roman" w:hAnsi="Palatino Linotype" w:cs="Times New Roman"/>
          <w:lang w:val="es-MX"/>
        </w:rPr>
        <w:t>R</w:t>
      </w:r>
      <w:r w:rsidRPr="0021195C">
        <w:rPr>
          <w:rFonts w:ascii="Palatino Linotype" w:eastAsia="Times New Roman" w:hAnsi="Palatino Linotype" w:cs="Times New Roman"/>
          <w:lang w:val="es-MX"/>
        </w:rPr>
        <w:t xml:space="preserve">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9350F">
        <w:rPr>
          <w:rFonts w:ascii="Palatino Linotype" w:eastAsia="Times New Roman" w:hAnsi="Palatino Linotype" w:cs="Times New Roman"/>
          <w:b/>
          <w:lang w:val="es-MX"/>
        </w:rPr>
        <w:t>dé cumplimiento a lo ordenado dentro del plazo de diez días hábiles,</w:t>
      </w:r>
      <w:r w:rsidRPr="0021195C">
        <w:rPr>
          <w:rFonts w:ascii="Palatino Linotype" w:eastAsia="Times New Roman" w:hAnsi="Palatino Linotype" w:cs="Times New Roman"/>
          <w:lang w:val="es-MX"/>
        </w:rPr>
        <w:t xml:space="preserve"> e informe a este Instituto en un plazo de tres días hábiles siguientes sobre el cumplimiento dado a la presente y, se le apercibe que en caso de</w:t>
      </w:r>
      <w:r w:rsidR="00456AC6" w:rsidRPr="0021195C">
        <w:rPr>
          <w:rFonts w:ascii="Palatino Linotype" w:eastAsia="Times New Roman" w:hAnsi="Palatino Linotype" w:cs="Times New Roman"/>
          <w:lang w:val="es-MX"/>
        </w:rPr>
        <w:t xml:space="preserve"> negarse a cumplir la presente R</w:t>
      </w:r>
      <w:r w:rsidRPr="0021195C">
        <w:rPr>
          <w:rFonts w:ascii="Palatino Linotype" w:eastAsia="Times New Roman" w:hAnsi="Palatino Linotype" w:cs="Times New Roman"/>
          <w:lang w:val="es-MX"/>
        </w:rPr>
        <w:t>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94544" w:rsidRPr="0021195C" w:rsidRDefault="00194544" w:rsidP="00EC2856">
      <w:pPr>
        <w:spacing w:line="360" w:lineRule="auto"/>
        <w:jc w:val="both"/>
        <w:rPr>
          <w:rFonts w:ascii="Palatino Linotype" w:eastAsia="Times New Roman" w:hAnsi="Palatino Linotype" w:cs="Times New Roman"/>
          <w:lang w:val="es-MX"/>
        </w:rPr>
      </w:pPr>
    </w:p>
    <w:p w:rsidR="00194544" w:rsidRPr="0021195C" w:rsidRDefault="00194544" w:rsidP="00EC2856">
      <w:pPr>
        <w:spacing w:line="360" w:lineRule="auto"/>
        <w:jc w:val="both"/>
        <w:rPr>
          <w:rFonts w:ascii="Palatino Linotype" w:eastAsia="Calibri" w:hAnsi="Palatino Linotype" w:cs="Arial"/>
          <w:bCs/>
        </w:rPr>
      </w:pPr>
      <w:r w:rsidRPr="0021195C">
        <w:rPr>
          <w:rFonts w:ascii="Palatino Linotype" w:hAnsi="Palatino Linotype" w:cs="Arial"/>
          <w:b/>
        </w:rPr>
        <w:t xml:space="preserve">CUARTO. </w:t>
      </w:r>
      <w:r w:rsidRPr="0021195C">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21195C">
        <w:rPr>
          <w:rFonts w:ascii="Palatino Linotype" w:eastAsia="Calibri" w:hAnsi="Palatino Linotype" w:cs="Arial"/>
          <w:b/>
          <w:bCs/>
        </w:rPr>
        <w:t>SUJETO OBLIGADO</w:t>
      </w:r>
      <w:r w:rsidRPr="0021195C">
        <w:rPr>
          <w:rFonts w:ascii="Palatino Linotype" w:eastAsia="Calibri" w:hAnsi="Palatino Linotype" w:cs="Arial"/>
          <w:bCs/>
        </w:rPr>
        <w:t xml:space="preserve"> de manera fundada y motivada, podrá solicitar una ampliación de plazo para el cumplimiento de la presente Resolución.</w:t>
      </w:r>
    </w:p>
    <w:p w:rsidR="00194544" w:rsidRPr="0021195C" w:rsidRDefault="00194544" w:rsidP="00EC2856">
      <w:pPr>
        <w:spacing w:line="360" w:lineRule="auto"/>
        <w:jc w:val="both"/>
        <w:rPr>
          <w:rFonts w:ascii="Palatino Linotype" w:eastAsia="Calibri" w:hAnsi="Palatino Linotype" w:cs="Arial"/>
          <w:bCs/>
        </w:rPr>
      </w:pPr>
    </w:p>
    <w:p w:rsidR="00194544" w:rsidRPr="0021195C" w:rsidRDefault="00194544" w:rsidP="00EC2856">
      <w:pPr>
        <w:tabs>
          <w:tab w:val="left" w:pos="8080"/>
        </w:tabs>
        <w:spacing w:line="360" w:lineRule="auto"/>
        <w:ind w:right="49"/>
        <w:jc w:val="both"/>
        <w:rPr>
          <w:rFonts w:ascii="Palatino Linotype" w:eastAsia="Times New Roman" w:hAnsi="Palatino Linotype" w:cs="Times New Roman"/>
          <w:lang w:val="es-ES" w:eastAsia="es-MX"/>
        </w:rPr>
      </w:pPr>
      <w:bookmarkStart w:id="18" w:name="_Toc492590393"/>
      <w:bookmarkStart w:id="19" w:name="_Toc503891611"/>
      <w:bookmarkStart w:id="20" w:name="_Toc511647759"/>
      <w:bookmarkStart w:id="21" w:name="_Toc511647820"/>
      <w:r w:rsidRPr="0021195C">
        <w:rPr>
          <w:rFonts w:ascii="Palatino Linotype" w:eastAsia="Times New Roman" w:hAnsi="Palatino Linotype" w:cs="Times New Roman"/>
          <w:b/>
        </w:rPr>
        <w:t xml:space="preserve">QUINTO. </w:t>
      </w:r>
      <w:r w:rsidRPr="0021195C">
        <w:rPr>
          <w:rFonts w:ascii="Palatino Linotype" w:eastAsia="Times New Roman" w:hAnsi="Palatino Linotype" w:cs="Times New Roman"/>
        </w:rPr>
        <w:t>Notifíquese</w:t>
      </w:r>
      <w:bookmarkEnd w:id="18"/>
      <w:bookmarkEnd w:id="19"/>
      <w:bookmarkEnd w:id="20"/>
      <w:bookmarkEnd w:id="21"/>
      <w:r w:rsidRPr="0021195C">
        <w:rPr>
          <w:rFonts w:ascii="Palatino Linotype" w:eastAsia="Times New Roman" w:hAnsi="Palatino Linotype" w:cs="Times New Roman"/>
        </w:rPr>
        <w:t xml:space="preserve"> al </w:t>
      </w:r>
      <w:r w:rsidRPr="0021195C">
        <w:rPr>
          <w:rFonts w:ascii="Palatino Linotype" w:eastAsia="Times New Roman" w:hAnsi="Palatino Linotype" w:cs="Times New Roman"/>
          <w:b/>
        </w:rPr>
        <w:t>RECURRENTE</w:t>
      </w:r>
      <w:r w:rsidRPr="0021195C">
        <w:rPr>
          <w:rFonts w:ascii="Palatino Linotype" w:eastAsia="Times New Roman" w:hAnsi="Palatino Linotype" w:cs="Times New Roman"/>
        </w:rPr>
        <w:t xml:space="preserve"> la presente</w:t>
      </w:r>
      <w:r w:rsidRPr="0021195C">
        <w:rPr>
          <w:rFonts w:ascii="Palatino Linotype" w:eastAsia="Times New Roman" w:hAnsi="Palatino Linotype" w:cs="Times New Roman"/>
          <w:lang w:val="es-ES" w:eastAsia="es-MX"/>
        </w:rPr>
        <w:t xml:space="preserve"> Resolución, vía </w:t>
      </w:r>
      <w:r w:rsidRPr="0021195C">
        <w:rPr>
          <w:rFonts w:ascii="Palatino Linotype" w:eastAsia="Times New Roman" w:hAnsi="Palatino Linotype" w:cs="Times New Roman"/>
          <w:b/>
          <w:lang w:val="es-ES" w:eastAsia="es-MX"/>
        </w:rPr>
        <w:t>SAIMEX</w:t>
      </w:r>
      <w:r w:rsidRPr="0021195C">
        <w:rPr>
          <w:rFonts w:ascii="Palatino Linotype" w:eastAsia="Times New Roman" w:hAnsi="Palatino Linotype" w:cs="Times New Roman"/>
          <w:lang w:val="es-ES" w:eastAsia="es-MX"/>
        </w:rPr>
        <w:t>.</w:t>
      </w:r>
    </w:p>
    <w:p w:rsidR="00C766BF" w:rsidRPr="0021195C" w:rsidRDefault="00C766BF" w:rsidP="00EC2856">
      <w:pPr>
        <w:tabs>
          <w:tab w:val="left" w:pos="8080"/>
        </w:tabs>
        <w:spacing w:line="360" w:lineRule="auto"/>
        <w:ind w:right="49"/>
        <w:jc w:val="both"/>
        <w:rPr>
          <w:rFonts w:ascii="Palatino Linotype" w:eastAsia="Times New Roman" w:hAnsi="Palatino Linotype" w:cs="Times New Roman"/>
          <w:lang w:val="es-ES" w:eastAsia="es-MX"/>
        </w:rPr>
      </w:pPr>
    </w:p>
    <w:p w:rsidR="00194544" w:rsidRPr="0021195C" w:rsidRDefault="00194544" w:rsidP="00EC2856">
      <w:pPr>
        <w:shd w:val="clear" w:color="auto" w:fill="FFFFFF"/>
        <w:spacing w:line="360" w:lineRule="auto"/>
        <w:jc w:val="both"/>
        <w:rPr>
          <w:rFonts w:ascii="Palatino Linotype" w:eastAsia="Calibri" w:hAnsi="Palatino Linotype"/>
          <w:lang w:val="es-MX" w:eastAsia="en-US"/>
        </w:rPr>
      </w:pPr>
      <w:r w:rsidRPr="0021195C">
        <w:rPr>
          <w:rFonts w:ascii="Palatino Linotype" w:eastAsia="Calibri" w:hAnsi="Palatino Linotype"/>
          <w:b/>
          <w:lang w:eastAsia="en-US"/>
        </w:rPr>
        <w:lastRenderedPageBreak/>
        <w:t xml:space="preserve">SEXTO. </w:t>
      </w:r>
      <w:r w:rsidRPr="0021195C">
        <w:rPr>
          <w:rFonts w:ascii="Palatino Linotype" w:eastAsia="Calibri" w:hAnsi="Palatino Linotype"/>
          <w:lang w:eastAsia="en-US"/>
        </w:rPr>
        <w:t>Se hace del conocimiento del</w:t>
      </w:r>
      <w:r w:rsidRPr="0021195C">
        <w:rPr>
          <w:rFonts w:ascii="Palatino Linotype" w:eastAsia="Calibri" w:hAnsi="Palatino Linotype"/>
          <w:b/>
          <w:lang w:eastAsia="en-US"/>
        </w:rPr>
        <w:t xml:space="preserve"> RECURRENTE </w:t>
      </w:r>
      <w:r w:rsidRPr="0021195C">
        <w:rPr>
          <w:rFonts w:ascii="Palatino Linotype" w:eastAsia="Calibri"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84DF1" w:rsidRPr="0021195C" w:rsidRDefault="00B84DF1" w:rsidP="00EC2856">
      <w:pPr>
        <w:shd w:val="clear" w:color="auto" w:fill="FFFFFF"/>
        <w:spacing w:line="360" w:lineRule="auto"/>
        <w:ind w:right="49"/>
        <w:jc w:val="both"/>
        <w:rPr>
          <w:rFonts w:ascii="Palatino Linotype" w:eastAsia="Palatino Linotype" w:hAnsi="Palatino Linotype" w:cs="Palatino Linotype"/>
        </w:rPr>
      </w:pPr>
    </w:p>
    <w:p w:rsidR="00C766BF" w:rsidRPr="0021195C" w:rsidRDefault="00CF59FB" w:rsidP="00C766BF">
      <w:pPr>
        <w:spacing w:before="240" w:after="240" w:line="360" w:lineRule="auto"/>
        <w:ind w:firstLine="1"/>
        <w:jc w:val="both"/>
        <w:rPr>
          <w:rFonts w:ascii="Palatino Linotype" w:hAnsi="Palatino Linotype"/>
        </w:rPr>
      </w:pPr>
      <w:bookmarkStart w:id="22" w:name="_Hlk99014733"/>
      <w:r w:rsidRPr="0021195C">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(16) DE JULIO DE DOS MIL VEINTICINCO, ANTE EL SECRETARIO TÉCNICO DEL PLENO </w:t>
      </w:r>
      <w:r w:rsidRPr="0021195C">
        <w:rPr>
          <w:rFonts w:ascii="Palatino Linotype" w:eastAsia="Times New Roman" w:hAnsi="Palatino Linotype" w:cs="Palatino Linotype"/>
          <w:color w:val="000000" w:themeColor="text1"/>
        </w:rPr>
        <w:t>ALEXIS TAPIA RAMÍREZ</w:t>
      </w:r>
      <w:r w:rsidR="00C766BF" w:rsidRPr="0021195C">
        <w:rPr>
          <w:rFonts w:ascii="Palatino Linotype" w:eastAsia="Times New Roman" w:hAnsi="Palatino Linotype" w:cs="Palatino Linotype"/>
          <w:color w:val="000000" w:themeColor="text1"/>
        </w:rPr>
        <w:t>.</w:t>
      </w:r>
    </w:p>
    <w:p w:rsidR="00C766BF" w:rsidRPr="0021195C" w:rsidRDefault="00C766BF" w:rsidP="00C766BF">
      <w:pPr>
        <w:spacing w:before="240" w:after="240" w:line="360" w:lineRule="auto"/>
        <w:ind w:firstLine="1"/>
        <w:jc w:val="both"/>
        <w:rPr>
          <w:rFonts w:ascii="Palatino Linotype" w:hAnsi="Palatino Linotype"/>
        </w:rPr>
      </w:pPr>
    </w:p>
    <w:bookmarkEnd w:id="22"/>
    <w:p w:rsidR="00B84DF1" w:rsidRPr="0021195C" w:rsidRDefault="00B84DF1" w:rsidP="00EC2856">
      <w:pPr>
        <w:spacing w:line="360" w:lineRule="auto"/>
        <w:ind w:right="49"/>
        <w:rPr>
          <w:rFonts w:ascii="Palatino Linotype" w:eastAsia="Palatino Linotype" w:hAnsi="Palatino Linotype" w:cs="Palatino Linotype"/>
        </w:rPr>
      </w:pPr>
    </w:p>
    <w:p w:rsidR="00B84DF1" w:rsidRPr="0021195C" w:rsidRDefault="00B84DF1" w:rsidP="00EC2856">
      <w:pPr>
        <w:spacing w:line="360" w:lineRule="auto"/>
        <w:ind w:right="49"/>
        <w:rPr>
          <w:rFonts w:ascii="Palatino Linotype" w:eastAsia="Palatino Linotype" w:hAnsi="Palatino Linotype" w:cs="Palatino Linotype"/>
        </w:rPr>
      </w:pPr>
    </w:p>
    <w:p w:rsidR="00B84DF1" w:rsidRPr="0021195C" w:rsidRDefault="00B84DF1" w:rsidP="00EC2856">
      <w:pPr>
        <w:spacing w:line="360" w:lineRule="auto"/>
        <w:ind w:right="49"/>
        <w:rPr>
          <w:rFonts w:ascii="Palatino Linotype" w:eastAsia="Palatino Linotype" w:hAnsi="Palatino Linotype" w:cs="Palatino Linotype"/>
        </w:rPr>
      </w:pPr>
    </w:p>
    <w:p w:rsidR="00B84DF1" w:rsidRPr="0021195C" w:rsidRDefault="00B84DF1" w:rsidP="00EC2856">
      <w:pPr>
        <w:spacing w:line="360" w:lineRule="auto"/>
        <w:ind w:right="49"/>
        <w:rPr>
          <w:rFonts w:ascii="Palatino Linotype" w:eastAsia="Palatino Linotype" w:hAnsi="Palatino Linotype" w:cs="Palatino Linotype"/>
        </w:rPr>
      </w:pPr>
    </w:p>
    <w:p w:rsidR="00B84DF1" w:rsidRPr="0021195C" w:rsidRDefault="00B84DF1" w:rsidP="00EC2856">
      <w:pPr>
        <w:spacing w:line="360" w:lineRule="auto"/>
        <w:ind w:right="49"/>
        <w:rPr>
          <w:rFonts w:ascii="Palatino Linotype" w:eastAsia="Palatino Linotype" w:hAnsi="Palatino Linotype" w:cs="Palatino Linotype"/>
        </w:rPr>
      </w:pPr>
    </w:p>
    <w:p w:rsidR="00B84DF1" w:rsidRPr="0021195C" w:rsidRDefault="009D3673" w:rsidP="00EC2856">
      <w:pPr>
        <w:tabs>
          <w:tab w:val="left" w:pos="3374"/>
        </w:tabs>
        <w:spacing w:line="360" w:lineRule="auto"/>
        <w:ind w:right="49"/>
        <w:rPr>
          <w:rFonts w:ascii="Palatino Linotype" w:eastAsia="Palatino Linotype" w:hAnsi="Palatino Linotype" w:cs="Palatino Linotype"/>
        </w:rPr>
      </w:pPr>
      <w:r w:rsidRPr="0021195C">
        <w:rPr>
          <w:rFonts w:ascii="Palatino Linotype" w:eastAsia="Palatino Linotype" w:hAnsi="Palatino Linotype" w:cs="Palatino Linotype"/>
        </w:rPr>
        <w:tab/>
      </w:r>
    </w:p>
    <w:p w:rsidR="00B84DF1" w:rsidRPr="0021195C" w:rsidRDefault="00B84DF1" w:rsidP="00EC2856">
      <w:pPr>
        <w:tabs>
          <w:tab w:val="left" w:pos="3374"/>
        </w:tabs>
        <w:spacing w:line="360" w:lineRule="auto"/>
        <w:ind w:right="49"/>
        <w:rPr>
          <w:rFonts w:ascii="Palatino Linotype" w:eastAsia="Palatino Linotype" w:hAnsi="Palatino Linotype" w:cs="Palatino Linotype"/>
        </w:rPr>
      </w:pPr>
    </w:p>
    <w:p w:rsidR="00B84DF1" w:rsidRPr="0021195C" w:rsidRDefault="00B84DF1" w:rsidP="00EC2856">
      <w:pPr>
        <w:tabs>
          <w:tab w:val="left" w:pos="3374"/>
        </w:tabs>
        <w:spacing w:line="360" w:lineRule="auto"/>
        <w:ind w:right="49"/>
        <w:rPr>
          <w:rFonts w:ascii="Palatino Linotype" w:eastAsia="Palatino Linotype" w:hAnsi="Palatino Linotype" w:cs="Palatino Linotype"/>
        </w:rPr>
      </w:pPr>
    </w:p>
    <w:p w:rsidR="00B84DF1" w:rsidRPr="0021195C" w:rsidRDefault="00B84DF1" w:rsidP="00EC2856">
      <w:pPr>
        <w:tabs>
          <w:tab w:val="left" w:pos="3374"/>
        </w:tabs>
        <w:spacing w:line="360" w:lineRule="auto"/>
        <w:ind w:right="49"/>
        <w:rPr>
          <w:rFonts w:ascii="Palatino Linotype" w:eastAsia="Palatino Linotype" w:hAnsi="Palatino Linotype" w:cs="Palatino Linotype"/>
        </w:rPr>
      </w:pPr>
    </w:p>
    <w:p w:rsidR="00B84DF1" w:rsidRPr="0021195C" w:rsidRDefault="00B84DF1" w:rsidP="00EC2856">
      <w:pPr>
        <w:tabs>
          <w:tab w:val="left" w:pos="3374"/>
        </w:tabs>
        <w:spacing w:line="360" w:lineRule="auto"/>
        <w:ind w:right="49"/>
        <w:rPr>
          <w:rFonts w:ascii="Palatino Linotype" w:eastAsia="Palatino Linotype" w:hAnsi="Palatino Linotype" w:cs="Palatino Linotype"/>
        </w:rPr>
      </w:pPr>
    </w:p>
    <w:p w:rsidR="00B84DF1" w:rsidRPr="0021195C" w:rsidRDefault="00B84DF1" w:rsidP="00EC2856">
      <w:pPr>
        <w:tabs>
          <w:tab w:val="left" w:pos="3374"/>
        </w:tabs>
        <w:spacing w:line="360" w:lineRule="auto"/>
        <w:ind w:right="49"/>
        <w:rPr>
          <w:rFonts w:ascii="Palatino Linotype" w:eastAsia="Palatino Linotype" w:hAnsi="Palatino Linotype" w:cs="Palatino Linotype"/>
        </w:rPr>
      </w:pPr>
    </w:p>
    <w:p w:rsidR="00B84DF1" w:rsidRPr="0021195C" w:rsidRDefault="00B84DF1" w:rsidP="00EC2856">
      <w:pPr>
        <w:tabs>
          <w:tab w:val="left" w:pos="3374"/>
        </w:tabs>
        <w:spacing w:line="360" w:lineRule="auto"/>
        <w:ind w:right="49"/>
        <w:rPr>
          <w:rFonts w:ascii="Palatino Linotype" w:eastAsia="Palatino Linotype" w:hAnsi="Palatino Linotype" w:cs="Palatino Linotype"/>
        </w:rPr>
      </w:pPr>
    </w:p>
    <w:p w:rsidR="00B84DF1" w:rsidRPr="0021195C" w:rsidRDefault="00B84DF1" w:rsidP="00EC2856">
      <w:pPr>
        <w:tabs>
          <w:tab w:val="left" w:pos="3374"/>
        </w:tabs>
        <w:spacing w:line="360" w:lineRule="auto"/>
        <w:ind w:right="49"/>
        <w:rPr>
          <w:rFonts w:ascii="Palatino Linotype" w:eastAsia="Palatino Linotype" w:hAnsi="Palatino Linotype" w:cs="Palatino Linotype"/>
        </w:rPr>
      </w:pPr>
    </w:p>
    <w:p w:rsidR="00B84DF1" w:rsidRPr="0021195C" w:rsidRDefault="00B84DF1" w:rsidP="00EC2856">
      <w:pPr>
        <w:tabs>
          <w:tab w:val="left" w:pos="3374"/>
        </w:tabs>
        <w:spacing w:line="360" w:lineRule="auto"/>
        <w:ind w:right="49"/>
        <w:rPr>
          <w:rFonts w:ascii="Palatino Linotype" w:eastAsia="Palatino Linotype" w:hAnsi="Palatino Linotype" w:cs="Palatino Linotype"/>
        </w:rPr>
      </w:pPr>
    </w:p>
    <w:p w:rsidR="00B84DF1" w:rsidRPr="0021195C" w:rsidRDefault="00B84DF1" w:rsidP="00EC2856">
      <w:pPr>
        <w:spacing w:line="360" w:lineRule="auto"/>
        <w:ind w:right="49"/>
        <w:rPr>
          <w:rFonts w:ascii="Palatino Linotype" w:eastAsia="Palatino Linotype" w:hAnsi="Palatino Linotype" w:cs="Palatino Linotype"/>
        </w:rPr>
      </w:pPr>
    </w:p>
    <w:sectPr w:rsidR="00B84DF1" w:rsidRPr="0021195C" w:rsidSect="0021195C">
      <w:headerReference w:type="even" r:id="rId15"/>
      <w:headerReference w:type="default" r:id="rId16"/>
      <w:footerReference w:type="default" r:id="rId17"/>
      <w:headerReference w:type="first" r:id="rId18"/>
      <w:footerReference w:type="first" r:id="rId19"/>
      <w:pgSz w:w="12240" w:h="15840"/>
      <w:pgMar w:top="2268"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4A8" w:rsidRDefault="00D644A8">
      <w:r>
        <w:separator/>
      </w:r>
    </w:p>
  </w:endnote>
  <w:endnote w:type="continuationSeparator" w:id="0">
    <w:p w:rsidR="00D644A8" w:rsidRDefault="00D6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7AB" w:rsidRDefault="007137A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26B88">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26B88">
      <w:rPr>
        <w:rFonts w:ascii="Palatino Linotype" w:eastAsia="Palatino Linotype" w:hAnsi="Palatino Linotype" w:cs="Palatino Linotype"/>
        <w:noProof/>
        <w:color w:val="000000"/>
        <w:sz w:val="20"/>
        <w:szCs w:val="20"/>
      </w:rPr>
      <w:t>45</w:t>
    </w:r>
    <w:r>
      <w:rPr>
        <w:rFonts w:ascii="Palatino Linotype" w:eastAsia="Palatino Linotype" w:hAnsi="Palatino Linotype" w:cs="Palatino Linotype"/>
        <w:color w:val="000000"/>
        <w:sz w:val="20"/>
        <w:szCs w:val="20"/>
      </w:rPr>
      <w:fldChar w:fldCharType="end"/>
    </w:r>
  </w:p>
  <w:p w:rsidR="007137AB" w:rsidRDefault="007137A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7AB" w:rsidRDefault="007137A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26B8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26B88">
      <w:rPr>
        <w:rFonts w:ascii="Palatino Linotype" w:eastAsia="Palatino Linotype" w:hAnsi="Palatino Linotype" w:cs="Palatino Linotype"/>
        <w:noProof/>
        <w:color w:val="000000"/>
        <w:sz w:val="20"/>
        <w:szCs w:val="20"/>
      </w:rPr>
      <w:t>45</w:t>
    </w:r>
    <w:r>
      <w:rPr>
        <w:rFonts w:ascii="Palatino Linotype" w:eastAsia="Palatino Linotype" w:hAnsi="Palatino Linotype" w:cs="Palatino Linotype"/>
        <w:color w:val="000000"/>
        <w:sz w:val="20"/>
        <w:szCs w:val="20"/>
      </w:rPr>
      <w:fldChar w:fldCharType="end"/>
    </w:r>
  </w:p>
  <w:p w:rsidR="007137AB" w:rsidRDefault="007137A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4A8" w:rsidRDefault="00D644A8">
      <w:r>
        <w:separator/>
      </w:r>
    </w:p>
  </w:footnote>
  <w:footnote w:type="continuationSeparator" w:id="0">
    <w:p w:rsidR="00D644A8" w:rsidRDefault="00D644A8">
      <w:r>
        <w:continuationSeparator/>
      </w:r>
    </w:p>
  </w:footnote>
  <w:footnote w:id="1">
    <w:p w:rsidR="007137AB" w:rsidRDefault="007137AB" w:rsidP="0019454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7137AB" w:rsidRDefault="007137AB" w:rsidP="0019454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7137AB" w:rsidRDefault="007137AB" w:rsidP="0019454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7137AB" w:rsidRDefault="007137AB" w:rsidP="0019454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7137AB" w:rsidRDefault="007137AB" w:rsidP="00194544">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7137AB" w:rsidRDefault="007137AB" w:rsidP="0019454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7137AB" w:rsidRDefault="007137AB" w:rsidP="00194544">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7137AB" w:rsidRDefault="007137AB" w:rsidP="00194544">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7AB" w:rsidRDefault="00D644A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229" w:type="dxa"/>
      <w:tblInd w:w="2694" w:type="dxa"/>
      <w:tblLayout w:type="fixed"/>
      <w:tblLook w:val="0400" w:firstRow="0" w:lastRow="0" w:firstColumn="0" w:lastColumn="0" w:noHBand="0" w:noVBand="1"/>
    </w:tblPr>
    <w:tblGrid>
      <w:gridCol w:w="2976"/>
      <w:gridCol w:w="4253"/>
    </w:tblGrid>
    <w:tr w:rsidR="007137AB" w:rsidTr="0021195C">
      <w:trPr>
        <w:trHeight w:val="227"/>
      </w:trPr>
      <w:tc>
        <w:tcPr>
          <w:tcW w:w="2976" w:type="dxa"/>
          <w:vAlign w:val="center"/>
        </w:tcPr>
        <w:p w:rsidR="007137AB" w:rsidRPr="0021195C" w:rsidRDefault="007137AB">
          <w:pPr>
            <w:ind w:right="34"/>
            <w:jc w:val="right"/>
            <w:rPr>
              <w:rFonts w:ascii="Palatino Linotype" w:eastAsia="Palatino Linotype" w:hAnsi="Palatino Linotype" w:cs="Palatino Linotype"/>
              <w:b/>
              <w:szCs w:val="22"/>
            </w:rPr>
          </w:pPr>
          <w:r w:rsidRPr="0021195C">
            <w:rPr>
              <w:rFonts w:ascii="Palatino Linotype" w:eastAsia="Palatino Linotype" w:hAnsi="Palatino Linotype" w:cs="Palatino Linotype"/>
              <w:b/>
              <w:szCs w:val="22"/>
            </w:rPr>
            <w:t>Recurso de Revisión:</w:t>
          </w:r>
        </w:p>
      </w:tc>
      <w:tc>
        <w:tcPr>
          <w:tcW w:w="4253" w:type="dxa"/>
          <w:vAlign w:val="center"/>
        </w:tcPr>
        <w:p w:rsidR="007137AB" w:rsidRPr="0021195C" w:rsidRDefault="007137AB" w:rsidP="0021195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21195C">
            <w:rPr>
              <w:rFonts w:ascii="Palatino Linotype" w:eastAsia="Palatino Linotype" w:hAnsi="Palatino Linotype" w:cs="Palatino Linotype"/>
              <w:color w:val="000000"/>
              <w:szCs w:val="22"/>
            </w:rPr>
            <w:t>03143/INFOEM/IP/RR/2025</w:t>
          </w:r>
        </w:p>
      </w:tc>
    </w:tr>
    <w:tr w:rsidR="007137AB" w:rsidTr="0021195C">
      <w:trPr>
        <w:trHeight w:val="242"/>
      </w:trPr>
      <w:tc>
        <w:tcPr>
          <w:tcW w:w="2976" w:type="dxa"/>
          <w:vAlign w:val="center"/>
        </w:tcPr>
        <w:p w:rsidR="007137AB" w:rsidRPr="0021195C" w:rsidRDefault="007137AB">
          <w:pPr>
            <w:ind w:right="34"/>
            <w:jc w:val="right"/>
            <w:rPr>
              <w:rFonts w:ascii="Palatino Linotype" w:eastAsia="Palatino Linotype" w:hAnsi="Palatino Linotype" w:cs="Palatino Linotype"/>
              <w:b/>
              <w:szCs w:val="22"/>
            </w:rPr>
          </w:pPr>
          <w:r w:rsidRPr="0021195C">
            <w:rPr>
              <w:rFonts w:ascii="Palatino Linotype" w:eastAsia="Palatino Linotype" w:hAnsi="Palatino Linotype" w:cs="Palatino Linotype"/>
              <w:b/>
              <w:szCs w:val="22"/>
            </w:rPr>
            <w:t>Sujeto Obligado:</w:t>
          </w:r>
        </w:p>
      </w:tc>
      <w:tc>
        <w:tcPr>
          <w:tcW w:w="4253" w:type="dxa"/>
          <w:vAlign w:val="center"/>
        </w:tcPr>
        <w:p w:rsidR="007137AB" w:rsidRPr="0021195C" w:rsidRDefault="007137AB" w:rsidP="0021195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21195C">
            <w:rPr>
              <w:rFonts w:ascii="Palatino Linotype" w:eastAsia="Palatino Linotype" w:hAnsi="Palatino Linotype" w:cs="Palatino Linotype"/>
              <w:color w:val="000000"/>
              <w:szCs w:val="22"/>
            </w:rPr>
            <w:t>Ayuntamiento de Cuautitlán Izcalli</w:t>
          </w:r>
        </w:p>
      </w:tc>
    </w:tr>
    <w:tr w:rsidR="007137AB" w:rsidTr="0021195C">
      <w:trPr>
        <w:trHeight w:val="342"/>
      </w:trPr>
      <w:tc>
        <w:tcPr>
          <w:tcW w:w="2976" w:type="dxa"/>
          <w:vAlign w:val="center"/>
        </w:tcPr>
        <w:p w:rsidR="007137AB" w:rsidRPr="0021195C" w:rsidRDefault="007137AB">
          <w:pPr>
            <w:ind w:right="34"/>
            <w:jc w:val="right"/>
            <w:rPr>
              <w:rFonts w:ascii="Palatino Linotype" w:eastAsia="Palatino Linotype" w:hAnsi="Palatino Linotype" w:cs="Palatino Linotype"/>
              <w:b/>
              <w:szCs w:val="22"/>
            </w:rPr>
          </w:pPr>
          <w:r w:rsidRPr="0021195C">
            <w:rPr>
              <w:rFonts w:ascii="Palatino Linotype" w:eastAsia="Palatino Linotype" w:hAnsi="Palatino Linotype" w:cs="Palatino Linotype"/>
              <w:b/>
              <w:szCs w:val="22"/>
            </w:rPr>
            <w:t>Comisionada Ponente:</w:t>
          </w:r>
        </w:p>
      </w:tc>
      <w:tc>
        <w:tcPr>
          <w:tcW w:w="4253" w:type="dxa"/>
          <w:vAlign w:val="center"/>
        </w:tcPr>
        <w:p w:rsidR="007137AB" w:rsidRPr="0021195C" w:rsidRDefault="007137AB" w:rsidP="0021195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21195C">
            <w:rPr>
              <w:rFonts w:ascii="Palatino Linotype" w:eastAsia="Palatino Linotype" w:hAnsi="Palatino Linotype" w:cs="Palatino Linotype"/>
              <w:color w:val="000000"/>
              <w:szCs w:val="22"/>
            </w:rPr>
            <w:t>María del Rosario Mejía Ayala</w:t>
          </w:r>
        </w:p>
      </w:tc>
    </w:tr>
  </w:tbl>
  <w:p w:rsidR="007137AB" w:rsidRDefault="00D644A8">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087" w:type="dxa"/>
      <w:tblInd w:w="2835" w:type="dxa"/>
      <w:tblLayout w:type="fixed"/>
      <w:tblLook w:val="0400" w:firstRow="0" w:lastRow="0" w:firstColumn="0" w:lastColumn="0" w:noHBand="0" w:noVBand="1"/>
    </w:tblPr>
    <w:tblGrid>
      <w:gridCol w:w="2977"/>
      <w:gridCol w:w="4110"/>
    </w:tblGrid>
    <w:tr w:rsidR="007137AB" w:rsidTr="0021195C">
      <w:trPr>
        <w:trHeight w:val="227"/>
      </w:trPr>
      <w:tc>
        <w:tcPr>
          <w:tcW w:w="2977" w:type="dxa"/>
          <w:vAlign w:val="center"/>
        </w:tcPr>
        <w:p w:rsidR="007137AB" w:rsidRPr="0021195C" w:rsidRDefault="007137AB">
          <w:pPr>
            <w:jc w:val="right"/>
            <w:rPr>
              <w:rFonts w:ascii="Palatino Linotype" w:eastAsia="Palatino Linotype" w:hAnsi="Palatino Linotype" w:cs="Palatino Linotype"/>
              <w:b/>
              <w:szCs w:val="22"/>
            </w:rPr>
          </w:pPr>
          <w:r w:rsidRPr="0021195C">
            <w:rPr>
              <w:rFonts w:ascii="Palatino Linotype" w:eastAsia="Palatino Linotype" w:hAnsi="Palatino Linotype" w:cs="Palatino Linotype"/>
              <w:b/>
              <w:szCs w:val="22"/>
            </w:rPr>
            <w:t>Recurso de Revisión:</w:t>
          </w:r>
        </w:p>
      </w:tc>
      <w:tc>
        <w:tcPr>
          <w:tcW w:w="4110" w:type="dxa"/>
          <w:vAlign w:val="center"/>
        </w:tcPr>
        <w:p w:rsidR="007137AB" w:rsidRPr="0021195C" w:rsidRDefault="007137AB" w:rsidP="00D1187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21195C">
            <w:rPr>
              <w:rFonts w:ascii="Palatino Linotype" w:eastAsia="Palatino Linotype" w:hAnsi="Palatino Linotype" w:cs="Palatino Linotype"/>
              <w:color w:val="000000"/>
              <w:szCs w:val="22"/>
            </w:rPr>
            <w:t>03143/INFOEM/IP/RR/2025</w:t>
          </w:r>
        </w:p>
      </w:tc>
    </w:tr>
    <w:tr w:rsidR="007137AB" w:rsidTr="0021195C">
      <w:trPr>
        <w:trHeight w:val="242"/>
      </w:trPr>
      <w:tc>
        <w:tcPr>
          <w:tcW w:w="2977" w:type="dxa"/>
          <w:vAlign w:val="center"/>
        </w:tcPr>
        <w:p w:rsidR="007137AB" w:rsidRPr="0021195C" w:rsidRDefault="007137AB">
          <w:pPr>
            <w:jc w:val="right"/>
            <w:rPr>
              <w:rFonts w:ascii="Palatino Linotype" w:eastAsia="Palatino Linotype" w:hAnsi="Palatino Linotype" w:cs="Palatino Linotype"/>
              <w:b/>
              <w:szCs w:val="22"/>
            </w:rPr>
          </w:pPr>
          <w:r w:rsidRPr="0021195C">
            <w:rPr>
              <w:rFonts w:ascii="Palatino Linotype" w:eastAsia="Palatino Linotype" w:hAnsi="Palatino Linotype" w:cs="Palatino Linotype"/>
              <w:b/>
              <w:szCs w:val="22"/>
            </w:rPr>
            <w:t>Recurrente:</w:t>
          </w:r>
        </w:p>
      </w:tc>
      <w:tc>
        <w:tcPr>
          <w:tcW w:w="4110" w:type="dxa"/>
        </w:tcPr>
        <w:p w:rsidR="007137AB" w:rsidRPr="0021195C" w:rsidRDefault="00264072">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Cs w:val="22"/>
              <w:highlight w:val="green"/>
            </w:rPr>
          </w:pPr>
          <w:r>
            <w:rPr>
              <w:rFonts w:ascii="Palatino Linotype" w:eastAsia="Palatino Linotype" w:hAnsi="Palatino Linotype" w:cs="Palatino Linotype"/>
              <w:color w:val="000000"/>
              <w:szCs w:val="22"/>
            </w:rPr>
            <w:t>XXXX</w:t>
          </w:r>
        </w:p>
      </w:tc>
    </w:tr>
    <w:tr w:rsidR="007137AB" w:rsidTr="0021195C">
      <w:trPr>
        <w:trHeight w:val="342"/>
      </w:trPr>
      <w:tc>
        <w:tcPr>
          <w:tcW w:w="2977" w:type="dxa"/>
          <w:vAlign w:val="center"/>
        </w:tcPr>
        <w:p w:rsidR="007137AB" w:rsidRPr="0021195C" w:rsidRDefault="007137AB">
          <w:pPr>
            <w:jc w:val="right"/>
            <w:rPr>
              <w:rFonts w:ascii="Palatino Linotype" w:eastAsia="Palatino Linotype" w:hAnsi="Palatino Linotype" w:cs="Palatino Linotype"/>
              <w:b/>
              <w:szCs w:val="22"/>
            </w:rPr>
          </w:pPr>
          <w:r w:rsidRPr="0021195C">
            <w:rPr>
              <w:rFonts w:ascii="Palatino Linotype" w:eastAsia="Palatino Linotype" w:hAnsi="Palatino Linotype" w:cs="Palatino Linotype"/>
              <w:b/>
              <w:szCs w:val="22"/>
            </w:rPr>
            <w:t>Sujeto Obligado:</w:t>
          </w:r>
        </w:p>
      </w:tc>
      <w:tc>
        <w:tcPr>
          <w:tcW w:w="4110" w:type="dxa"/>
          <w:vAlign w:val="center"/>
        </w:tcPr>
        <w:p w:rsidR="007137AB" w:rsidRPr="0021195C" w:rsidRDefault="007137A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21195C">
            <w:rPr>
              <w:rFonts w:ascii="Palatino Linotype" w:eastAsia="Palatino Linotype" w:hAnsi="Palatino Linotype" w:cs="Palatino Linotype"/>
              <w:color w:val="000000"/>
              <w:szCs w:val="22"/>
            </w:rPr>
            <w:t>Ayuntamiento de Cuautitlán Izcalli</w:t>
          </w:r>
        </w:p>
      </w:tc>
    </w:tr>
    <w:tr w:rsidR="007137AB" w:rsidTr="0021195C">
      <w:trPr>
        <w:trHeight w:val="342"/>
      </w:trPr>
      <w:tc>
        <w:tcPr>
          <w:tcW w:w="2977" w:type="dxa"/>
          <w:vAlign w:val="center"/>
        </w:tcPr>
        <w:p w:rsidR="007137AB" w:rsidRPr="0021195C" w:rsidRDefault="007137AB">
          <w:pPr>
            <w:jc w:val="right"/>
            <w:rPr>
              <w:rFonts w:ascii="Palatino Linotype" w:eastAsia="Palatino Linotype" w:hAnsi="Palatino Linotype" w:cs="Palatino Linotype"/>
              <w:b/>
              <w:szCs w:val="22"/>
            </w:rPr>
          </w:pPr>
          <w:r w:rsidRPr="0021195C">
            <w:rPr>
              <w:rFonts w:ascii="Palatino Linotype" w:eastAsia="Palatino Linotype" w:hAnsi="Palatino Linotype" w:cs="Palatino Linotype"/>
              <w:b/>
              <w:szCs w:val="22"/>
            </w:rPr>
            <w:t>Comisionada Ponente:</w:t>
          </w:r>
        </w:p>
      </w:tc>
      <w:tc>
        <w:tcPr>
          <w:tcW w:w="4110" w:type="dxa"/>
          <w:vAlign w:val="center"/>
        </w:tcPr>
        <w:p w:rsidR="007137AB" w:rsidRPr="0021195C" w:rsidRDefault="007137A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21195C">
            <w:rPr>
              <w:rFonts w:ascii="Palatino Linotype" w:eastAsia="Palatino Linotype" w:hAnsi="Palatino Linotype" w:cs="Palatino Linotype"/>
              <w:color w:val="000000"/>
              <w:szCs w:val="22"/>
            </w:rPr>
            <w:t>María del Rosario Mejía Ayala</w:t>
          </w:r>
        </w:p>
      </w:tc>
    </w:tr>
  </w:tbl>
  <w:p w:rsidR="007137AB" w:rsidRDefault="00D644A8">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0A10F9"/>
    <w:multiLevelType w:val="hybridMultilevel"/>
    <w:tmpl w:val="A4E20040"/>
    <w:lvl w:ilvl="0" w:tplc="8DA468A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F9189B"/>
    <w:multiLevelType w:val="hybridMultilevel"/>
    <w:tmpl w:val="3EACB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670094"/>
    <w:multiLevelType w:val="multilevel"/>
    <w:tmpl w:val="9932B572"/>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962B1F"/>
    <w:multiLevelType w:val="hybridMultilevel"/>
    <w:tmpl w:val="6540B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FA4E07"/>
    <w:multiLevelType w:val="multilevel"/>
    <w:tmpl w:val="3DF6786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2EE82D25"/>
    <w:multiLevelType w:val="multilevel"/>
    <w:tmpl w:val="1C6CA7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331E40FB"/>
    <w:multiLevelType w:val="hybridMultilevel"/>
    <w:tmpl w:val="48287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F44905"/>
    <w:multiLevelType w:val="multilevel"/>
    <w:tmpl w:val="221A92C6"/>
    <w:lvl w:ilvl="0">
      <w:start w:val="1"/>
      <w:numFmt w:val="decimal"/>
      <w:lvlText w:val="%1."/>
      <w:lvlJc w:val="left"/>
      <w:pPr>
        <w:ind w:left="784" w:hanging="357"/>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734587"/>
    <w:multiLevelType w:val="multilevel"/>
    <w:tmpl w:val="366630E2"/>
    <w:lvl w:ilvl="0">
      <w:start w:val="1"/>
      <w:numFmt w:val="decimal"/>
      <w:lvlText w:val="%1."/>
      <w:lvlJc w:val="left"/>
      <w:pPr>
        <w:ind w:left="502"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7291810"/>
    <w:multiLevelType w:val="multilevel"/>
    <w:tmpl w:val="C186AC7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5A177B67"/>
    <w:multiLevelType w:val="multilevel"/>
    <w:tmpl w:val="D236FA1A"/>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6FCF1743"/>
    <w:multiLevelType w:val="multilevel"/>
    <w:tmpl w:val="2938D5EC"/>
    <w:lvl w:ilvl="0">
      <w:start w:val="1"/>
      <w:numFmt w:val="bullet"/>
      <w:lvlText w:val="●"/>
      <w:lvlJc w:val="left"/>
      <w:pPr>
        <w:ind w:left="709" w:hanging="358"/>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7" w15:restartNumberingAfterBreak="0">
    <w:nsid w:val="72380D6D"/>
    <w:multiLevelType w:val="multilevel"/>
    <w:tmpl w:val="8B74789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7A914D4F"/>
    <w:multiLevelType w:val="hybridMultilevel"/>
    <w:tmpl w:val="7072356C"/>
    <w:lvl w:ilvl="0" w:tplc="D53629EC">
      <w:start w:val="1"/>
      <w:numFmt w:val="lowerLetter"/>
      <w:lvlText w:val="%1)"/>
      <w:lvlJc w:val="left"/>
      <w:pPr>
        <w:ind w:left="1713" w:hanging="360"/>
      </w:pPr>
      <w:rPr>
        <w:b/>
        <w:i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0" w15:restartNumberingAfterBreak="0">
    <w:nsid w:val="7D5D25CD"/>
    <w:multiLevelType w:val="multilevel"/>
    <w:tmpl w:val="4EA0A93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6"/>
  </w:num>
  <w:num w:numId="3">
    <w:abstractNumId w:val="13"/>
  </w:num>
  <w:num w:numId="4">
    <w:abstractNumId w:val="17"/>
  </w:num>
  <w:num w:numId="5">
    <w:abstractNumId w:val="16"/>
  </w:num>
  <w:num w:numId="6">
    <w:abstractNumId w:val="2"/>
  </w:num>
  <w:num w:numId="7">
    <w:abstractNumId w:val="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0"/>
    <w:lvlOverride w:ilvl="0">
      <w:lvl w:ilvl="0">
        <w:numFmt w:val="decimal"/>
        <w:lvlText w:val="%1."/>
        <w:lvlJc w:val="left"/>
        <w:rPr>
          <w:b/>
        </w:rPr>
      </w:lvl>
    </w:lvlOverride>
  </w:num>
  <w:num w:numId="11">
    <w:abstractNumId w:val="8"/>
  </w:num>
  <w:num w:numId="12">
    <w:abstractNumId w:val="10"/>
  </w:num>
  <w:num w:numId="13">
    <w:abstractNumId w:val="4"/>
  </w:num>
  <w:num w:numId="14">
    <w:abstractNumId w:val="19"/>
  </w:num>
  <w:num w:numId="15">
    <w:abstractNumId w:val="11"/>
  </w:num>
  <w:num w:numId="16">
    <w:abstractNumId w:val="7"/>
  </w:num>
  <w:num w:numId="17">
    <w:abstractNumId w:val="0"/>
  </w:num>
  <w:num w:numId="18">
    <w:abstractNumId w:val="3"/>
  </w:num>
  <w:num w:numId="19">
    <w:abstractNumId w:val="15"/>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F1"/>
    <w:rsid w:val="0000677B"/>
    <w:rsid w:val="00015CA6"/>
    <w:rsid w:val="00041443"/>
    <w:rsid w:val="000444BD"/>
    <w:rsid w:val="00053809"/>
    <w:rsid w:val="00071823"/>
    <w:rsid w:val="000A6833"/>
    <w:rsid w:val="000B554D"/>
    <w:rsid w:val="000C7A68"/>
    <w:rsid w:val="000E5750"/>
    <w:rsid w:val="000E7F59"/>
    <w:rsid w:val="000F1E77"/>
    <w:rsid w:val="00120600"/>
    <w:rsid w:val="001268E9"/>
    <w:rsid w:val="00134848"/>
    <w:rsid w:val="00137E3A"/>
    <w:rsid w:val="00194544"/>
    <w:rsid w:val="001C3453"/>
    <w:rsid w:val="00203017"/>
    <w:rsid w:val="0021003A"/>
    <w:rsid w:val="0021195C"/>
    <w:rsid w:val="00212FD8"/>
    <w:rsid w:val="0023609E"/>
    <w:rsid w:val="00256C47"/>
    <w:rsid w:val="00260274"/>
    <w:rsid w:val="00264072"/>
    <w:rsid w:val="0026452F"/>
    <w:rsid w:val="00267DE2"/>
    <w:rsid w:val="0029404D"/>
    <w:rsid w:val="002B1760"/>
    <w:rsid w:val="002E0DF4"/>
    <w:rsid w:val="002E5220"/>
    <w:rsid w:val="0032619C"/>
    <w:rsid w:val="0039350F"/>
    <w:rsid w:val="003A10C2"/>
    <w:rsid w:val="003B54B3"/>
    <w:rsid w:val="003B6629"/>
    <w:rsid w:val="003D2130"/>
    <w:rsid w:val="003D7E7B"/>
    <w:rsid w:val="003E15C4"/>
    <w:rsid w:val="004204F5"/>
    <w:rsid w:val="00425628"/>
    <w:rsid w:val="00435EA5"/>
    <w:rsid w:val="00454DEC"/>
    <w:rsid w:val="00456AC6"/>
    <w:rsid w:val="004656BC"/>
    <w:rsid w:val="004A0C6B"/>
    <w:rsid w:val="004D47CA"/>
    <w:rsid w:val="004E4B9F"/>
    <w:rsid w:val="005531B6"/>
    <w:rsid w:val="00561B00"/>
    <w:rsid w:val="006027C3"/>
    <w:rsid w:val="006261B6"/>
    <w:rsid w:val="00626B88"/>
    <w:rsid w:val="006535A3"/>
    <w:rsid w:val="00654047"/>
    <w:rsid w:val="00655B77"/>
    <w:rsid w:val="006759AE"/>
    <w:rsid w:val="00681C04"/>
    <w:rsid w:val="006B7977"/>
    <w:rsid w:val="006E7948"/>
    <w:rsid w:val="00704604"/>
    <w:rsid w:val="00712FE0"/>
    <w:rsid w:val="007137AB"/>
    <w:rsid w:val="00714C89"/>
    <w:rsid w:val="00725BBA"/>
    <w:rsid w:val="00792763"/>
    <w:rsid w:val="007A402E"/>
    <w:rsid w:val="007D4A48"/>
    <w:rsid w:val="007F745B"/>
    <w:rsid w:val="0081462E"/>
    <w:rsid w:val="00825F36"/>
    <w:rsid w:val="008311D3"/>
    <w:rsid w:val="0083179B"/>
    <w:rsid w:val="00831F7B"/>
    <w:rsid w:val="008330D2"/>
    <w:rsid w:val="008704F4"/>
    <w:rsid w:val="00885F80"/>
    <w:rsid w:val="00961CA6"/>
    <w:rsid w:val="00972164"/>
    <w:rsid w:val="009D3673"/>
    <w:rsid w:val="009F12B3"/>
    <w:rsid w:val="009F7C6A"/>
    <w:rsid w:val="00A1164D"/>
    <w:rsid w:val="00A227E2"/>
    <w:rsid w:val="00A36A65"/>
    <w:rsid w:val="00A502B5"/>
    <w:rsid w:val="00AC01CA"/>
    <w:rsid w:val="00AD2D90"/>
    <w:rsid w:val="00AD30C0"/>
    <w:rsid w:val="00AD753F"/>
    <w:rsid w:val="00B01467"/>
    <w:rsid w:val="00B02063"/>
    <w:rsid w:val="00B11C54"/>
    <w:rsid w:val="00B21ADF"/>
    <w:rsid w:val="00B33052"/>
    <w:rsid w:val="00B3387E"/>
    <w:rsid w:val="00B36DB4"/>
    <w:rsid w:val="00B41162"/>
    <w:rsid w:val="00B44995"/>
    <w:rsid w:val="00B60BC1"/>
    <w:rsid w:val="00B62425"/>
    <w:rsid w:val="00B84DF1"/>
    <w:rsid w:val="00B91685"/>
    <w:rsid w:val="00BD7237"/>
    <w:rsid w:val="00BE415E"/>
    <w:rsid w:val="00C273BD"/>
    <w:rsid w:val="00C449F2"/>
    <w:rsid w:val="00C766BF"/>
    <w:rsid w:val="00CB4A28"/>
    <w:rsid w:val="00CC616B"/>
    <w:rsid w:val="00CC78CD"/>
    <w:rsid w:val="00CD27D3"/>
    <w:rsid w:val="00CF59FB"/>
    <w:rsid w:val="00CF698F"/>
    <w:rsid w:val="00D11877"/>
    <w:rsid w:val="00D27044"/>
    <w:rsid w:val="00D644A8"/>
    <w:rsid w:val="00D77568"/>
    <w:rsid w:val="00D82D8C"/>
    <w:rsid w:val="00DB20B2"/>
    <w:rsid w:val="00DC2BB2"/>
    <w:rsid w:val="00DC7C5B"/>
    <w:rsid w:val="00DD370B"/>
    <w:rsid w:val="00DF2FE0"/>
    <w:rsid w:val="00DF36EF"/>
    <w:rsid w:val="00E30F92"/>
    <w:rsid w:val="00E845E2"/>
    <w:rsid w:val="00E96581"/>
    <w:rsid w:val="00EC2856"/>
    <w:rsid w:val="00F15452"/>
    <w:rsid w:val="00F167E6"/>
    <w:rsid w:val="00F321D3"/>
    <w:rsid w:val="00F916D5"/>
    <w:rsid w:val="00F97F2C"/>
    <w:rsid w:val="00FF18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83B1D0-BBD8-44E9-8C8E-DA36B95F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eastAsia="es-MX"/>
    </w:r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17"/>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8DCR661JXnLG5bgLMe5znzAKQ==">CgMxLjAyCGguZ2pkZ3hzMgloLjMwajB6bGwyCWguMWZvYjl0ZTIOaC5jNGEwNjRzOHA3czkyCWguM3pueXNoNzIJaC4yZXQ5MnAwMghoLnR5amN3dDIJaC4zZHk2dmttMgloLjRkMzRvZzgyCWguMXQzaDVzZjIJaC4zNW5rdW4yOAByITF5b2VuQ3NQcW1KQ1RmVTY4UFVNaFA3b2lsOTZDWlk4bQ==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7E6787-474F-4A83-95DF-937870BD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45</Pages>
  <Words>9776</Words>
  <Characters>53772</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21</cp:revision>
  <cp:lastPrinted>2025-07-17T17:40:00Z</cp:lastPrinted>
  <dcterms:created xsi:type="dcterms:W3CDTF">2025-07-09T01:49:00Z</dcterms:created>
  <dcterms:modified xsi:type="dcterms:W3CDTF">2025-08-07T23:24:00Z</dcterms:modified>
</cp:coreProperties>
</file>