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Visto el expediente relativo al recurso de revisión </w:t>
      </w:r>
      <w:r w:rsidRPr="00115491">
        <w:rPr>
          <w:rFonts w:ascii="Palatino Linotype" w:eastAsia="Palatino Linotype" w:hAnsi="Palatino Linotype" w:cs="Palatino Linotype"/>
          <w:b/>
        </w:rPr>
        <w:t>06649/INFOEM/IP/RR/2025</w:t>
      </w:r>
      <w:r w:rsidRPr="00115491">
        <w:rPr>
          <w:rFonts w:ascii="Palatino Linotype" w:eastAsia="Palatino Linotype" w:hAnsi="Palatino Linotype" w:cs="Palatino Linotype"/>
        </w:rPr>
        <w:t xml:space="preserve">, interpuesto por </w:t>
      </w:r>
      <w:r w:rsidRPr="00115491">
        <w:rPr>
          <w:rFonts w:ascii="Palatino Linotype" w:eastAsia="Palatino Linotype" w:hAnsi="Palatino Linotype" w:cs="Palatino Linotype"/>
          <w:b/>
        </w:rPr>
        <w:t>una persona usuaria del Sistema de Acceso a la Información Mexiquense</w:t>
      </w:r>
      <w:r w:rsidRPr="00115491">
        <w:rPr>
          <w:rFonts w:ascii="Palatino Linotype" w:eastAsia="Palatino Linotype" w:hAnsi="Palatino Linotype" w:cs="Palatino Linotype"/>
        </w:rPr>
        <w:t xml:space="preserve"> al cual en lo sucesivo se le denominará la parte </w:t>
      </w:r>
      <w:r w:rsidRPr="00115491">
        <w:rPr>
          <w:rFonts w:ascii="Palatino Linotype" w:eastAsia="Palatino Linotype" w:hAnsi="Palatino Linotype" w:cs="Palatino Linotype"/>
          <w:b/>
        </w:rPr>
        <w:t>RECURRENTE</w:t>
      </w:r>
      <w:r w:rsidRPr="00115491">
        <w:rPr>
          <w:rFonts w:ascii="Palatino Linotype" w:eastAsia="Palatino Linotype" w:hAnsi="Palatino Linotype" w:cs="Palatino Linotype"/>
        </w:rPr>
        <w:t xml:space="preserve">, en contra la respuesta a su solicitud de información identificada con número de folio </w:t>
      </w:r>
      <w:r w:rsidRPr="00115491">
        <w:rPr>
          <w:rFonts w:ascii="Palatino Linotype" w:eastAsia="Palatino Linotype" w:hAnsi="Palatino Linotype" w:cs="Palatino Linotype"/>
          <w:b/>
        </w:rPr>
        <w:t>00115/SEIEM/IP/2025</w:t>
      </w:r>
      <w:r w:rsidRPr="00115491">
        <w:rPr>
          <w:rFonts w:ascii="Palatino Linotype" w:eastAsia="Palatino Linotype" w:hAnsi="Palatino Linotype" w:cs="Palatino Linotype"/>
        </w:rPr>
        <w:t xml:space="preserve"> proporcionada por parte de Servicios Educativos Integrados al Estado de México en lo sucesivo el </w:t>
      </w:r>
      <w:r w:rsidRPr="00115491">
        <w:rPr>
          <w:rFonts w:ascii="Palatino Linotype" w:eastAsia="Palatino Linotype" w:hAnsi="Palatino Linotype" w:cs="Palatino Linotype"/>
          <w:b/>
        </w:rPr>
        <w:t>SUJETO OBLIGADO</w:t>
      </w:r>
      <w:r w:rsidRPr="00115491">
        <w:rPr>
          <w:rFonts w:ascii="Palatino Linotype" w:eastAsia="Palatino Linotype" w:hAnsi="Palatino Linotype" w:cs="Palatino Linotype"/>
        </w:rPr>
        <w:t>; se procede a dictar la presente resolución, con base en los siguientes:</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center"/>
        <w:rPr>
          <w:rFonts w:ascii="Palatino Linotype" w:eastAsia="Palatino Linotype" w:hAnsi="Palatino Linotype" w:cs="Palatino Linotype"/>
          <w:b/>
        </w:rPr>
      </w:pPr>
      <w:r w:rsidRPr="00115491">
        <w:rPr>
          <w:rFonts w:ascii="Palatino Linotype" w:eastAsia="Palatino Linotype" w:hAnsi="Palatino Linotype" w:cs="Palatino Linotype"/>
          <w:b/>
        </w:rPr>
        <w:t>I.</w:t>
      </w:r>
      <w:r w:rsidRPr="00115491">
        <w:rPr>
          <w:rFonts w:ascii="Palatino Linotype" w:eastAsia="Palatino Linotype" w:hAnsi="Palatino Linotype" w:cs="Palatino Linotype"/>
          <w:b/>
        </w:rPr>
        <w:tab/>
        <w:t>A N T E C E D E N T E S</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Solicitud de acceso a la información.</w:t>
      </w:r>
      <w:r w:rsidRPr="00115491">
        <w:rPr>
          <w:rFonts w:ascii="Palatino Linotype" w:eastAsia="Palatino Linotype" w:hAnsi="Palatino Linotype" w:cs="Palatino Linotype"/>
        </w:rPr>
        <w:t xml:space="preserve"> Con fecha </w:t>
      </w:r>
      <w:r w:rsidRPr="00115491">
        <w:rPr>
          <w:rFonts w:ascii="Palatino Linotype" w:eastAsia="Palatino Linotype" w:hAnsi="Palatino Linotype" w:cs="Palatino Linotype"/>
          <w:b/>
        </w:rPr>
        <w:t>veinticinco de abril de dos mil veinticinco</w:t>
      </w:r>
      <w:r w:rsidRPr="00115491">
        <w:rPr>
          <w:rFonts w:ascii="Palatino Linotype" w:eastAsia="Palatino Linotype" w:hAnsi="Palatino Linotype" w:cs="Palatino Linotype"/>
        </w:rPr>
        <w:t xml:space="preserve">, la parte </w:t>
      </w:r>
      <w:r w:rsidRPr="00115491">
        <w:rPr>
          <w:rFonts w:ascii="Palatino Linotype" w:eastAsia="Palatino Linotype" w:hAnsi="Palatino Linotype" w:cs="Palatino Linotype"/>
          <w:b/>
        </w:rPr>
        <w:t>RECURRENTE</w:t>
      </w:r>
      <w:r w:rsidRPr="00115491">
        <w:rPr>
          <w:rFonts w:ascii="Palatino Linotype" w:eastAsia="Palatino Linotype" w:hAnsi="Palatino Linotype" w:cs="Palatino Linotype"/>
        </w:rPr>
        <w:t xml:space="preserve"> formuló solicitud de acceso a información pública al</w:t>
      </w:r>
      <w:r w:rsidRPr="00115491">
        <w:rPr>
          <w:rFonts w:ascii="Palatino Linotype" w:eastAsia="Palatino Linotype" w:hAnsi="Palatino Linotype" w:cs="Palatino Linotype"/>
          <w:b/>
        </w:rPr>
        <w:t xml:space="preserve"> SUJETO OBLIGADO</w:t>
      </w:r>
      <w:r w:rsidRPr="00115491">
        <w:rPr>
          <w:rFonts w:ascii="Palatino Linotype" w:eastAsia="Palatino Linotype" w:hAnsi="Palatino Linotype" w:cs="Palatino Linotype"/>
        </w:rPr>
        <w:t xml:space="preserve"> a través del Sistema de Acceso a la Información Mexiquense, en adelante SAIMEX, en la que requirió lo siguiente: </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276" w:lineRule="auto"/>
        <w:ind w:left="567" w:right="560"/>
        <w:jc w:val="both"/>
        <w:rPr>
          <w:rFonts w:ascii="Palatino Linotype" w:eastAsia="Palatino Linotype" w:hAnsi="Palatino Linotype" w:cs="Palatino Linotype"/>
          <w:i/>
        </w:rPr>
      </w:pPr>
      <w:bookmarkStart w:id="0" w:name="_heading=h.6vfkzu7tweko" w:colFirst="0" w:colLast="0"/>
      <w:bookmarkEnd w:id="0"/>
      <w:r w:rsidRPr="00115491">
        <w:rPr>
          <w:rFonts w:ascii="Palatino Linotype" w:eastAsia="Palatino Linotype" w:hAnsi="Palatino Linotype" w:cs="Palatino Linotype"/>
          <w:i/>
        </w:rPr>
        <w:t xml:space="preserve">“buenos dias a traves de esta solictud pido al area que compete sea tan amable de proporcionarnos de la maestra Erika Cruz quine hace unos meses estaba encargada de las escuelas ´particulares de los SEIEM”. </w:t>
      </w:r>
    </w:p>
    <w:p w:rsidR="00436575" w:rsidRPr="00115491" w:rsidRDefault="00436575">
      <w:pPr>
        <w:spacing w:after="0" w:line="276" w:lineRule="auto"/>
        <w:ind w:left="567" w:right="560"/>
        <w:jc w:val="both"/>
        <w:rPr>
          <w:rFonts w:ascii="Palatino Linotype" w:eastAsia="Palatino Linotype" w:hAnsi="Palatino Linotype" w:cs="Palatino Linotype"/>
          <w:i/>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b/>
        </w:rPr>
        <w:t>Modalidad elegida para la entrega de la información:</w:t>
      </w:r>
      <w:r w:rsidRPr="00115491">
        <w:rPr>
          <w:rFonts w:ascii="Palatino Linotype" w:eastAsia="Palatino Linotype" w:hAnsi="Palatino Linotype" w:cs="Palatino Linotype"/>
        </w:rPr>
        <w:t xml:space="preserve"> a través del Sistema de Acceso a la Información Mexiquense (SAIMEX). </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lastRenderedPageBreak/>
        <w:t xml:space="preserve">Solicitud de Aclaración. </w:t>
      </w:r>
      <w:r w:rsidRPr="00115491">
        <w:rPr>
          <w:rFonts w:ascii="Palatino Linotype" w:eastAsia="Palatino Linotype" w:hAnsi="Palatino Linotype" w:cs="Palatino Linotype"/>
        </w:rPr>
        <w:t xml:space="preserve">Con fecha </w:t>
      </w:r>
      <w:r w:rsidRPr="00115491">
        <w:rPr>
          <w:rFonts w:ascii="Palatino Linotype" w:eastAsia="Palatino Linotype" w:hAnsi="Palatino Linotype" w:cs="Palatino Linotype"/>
          <w:b/>
        </w:rPr>
        <w:t xml:space="preserve">veintiocho de abril de dos mil veinticinco, </w:t>
      </w:r>
      <w:r w:rsidRPr="00115491">
        <w:rPr>
          <w:rFonts w:ascii="Palatino Linotype" w:eastAsia="Palatino Linotype" w:hAnsi="Palatino Linotype" w:cs="Palatino Linotype"/>
        </w:rPr>
        <w:t xml:space="preserve">el </w:t>
      </w:r>
      <w:r w:rsidRPr="00115491">
        <w:rPr>
          <w:rFonts w:ascii="Palatino Linotype" w:eastAsia="Palatino Linotype" w:hAnsi="Palatino Linotype" w:cs="Palatino Linotype"/>
          <w:b/>
        </w:rPr>
        <w:t xml:space="preserve">SUJETO OBLIGADO </w:t>
      </w:r>
      <w:r w:rsidRPr="00115491">
        <w:rPr>
          <w:rFonts w:ascii="Palatino Linotype" w:eastAsia="Palatino Linotype" w:hAnsi="Palatino Linotype" w:cs="Palatino Linotype"/>
        </w:rPr>
        <w:t xml:space="preserve">solicitó aclaración al tenor de lo siguiente: </w:t>
      </w:r>
    </w:p>
    <w:p w:rsidR="00436575" w:rsidRPr="00115491" w:rsidRDefault="00436575">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rsidR="00436575" w:rsidRPr="00115491" w:rsidRDefault="007F1831">
      <w:pPr>
        <w:pBdr>
          <w:top w:val="nil"/>
          <w:left w:val="nil"/>
          <w:bottom w:val="nil"/>
          <w:right w:val="nil"/>
          <w:between w:val="nil"/>
        </w:pBdr>
        <w:tabs>
          <w:tab w:val="left" w:pos="284"/>
        </w:tabs>
        <w:spacing w:after="0" w:line="276" w:lineRule="auto"/>
        <w:ind w:left="567" w:right="843"/>
        <w:jc w:val="both"/>
        <w:rPr>
          <w:rFonts w:ascii="Palatino Linotype" w:eastAsia="Palatino Linotype" w:hAnsi="Palatino Linotype" w:cs="Palatino Linotype"/>
          <w:i/>
        </w:rPr>
      </w:pPr>
      <w:r w:rsidRPr="00115491">
        <w:rPr>
          <w:rFonts w:ascii="Palatino Linotype" w:eastAsia="Palatino Linotype" w:hAnsi="Palatino Linotype" w:cs="Palatino Linotype"/>
          <w:i/>
        </w:rPr>
        <w:t>Por lo anterior, con fundamento en los artículos 53 fracciones Il y VI y 159 de la Ley de Transparencia y Acceso a la Información Pública del Estado de México y Municipios, atentamente le solicito se sirva ampliar su requerimiento d e forma clara y precisa a efecto de especificar la información pública que requiere de la C. Erika Cruz, o algún otro dato que facilite su búsqueda.</w:t>
      </w:r>
    </w:p>
    <w:p w:rsidR="00436575" w:rsidRPr="00115491" w:rsidRDefault="00436575">
      <w:pPr>
        <w:pBdr>
          <w:top w:val="nil"/>
          <w:left w:val="nil"/>
          <w:bottom w:val="nil"/>
          <w:right w:val="nil"/>
          <w:between w:val="nil"/>
        </w:pBdr>
        <w:tabs>
          <w:tab w:val="left" w:pos="284"/>
        </w:tabs>
        <w:spacing w:after="0" w:line="276" w:lineRule="auto"/>
        <w:ind w:left="567" w:right="843"/>
        <w:jc w:val="both"/>
        <w:rPr>
          <w:rFonts w:ascii="Palatino Linotype" w:eastAsia="Palatino Linotype" w:hAnsi="Palatino Linotype" w:cs="Palatino Linotype"/>
          <w:i/>
        </w:rPr>
      </w:pPr>
    </w:p>
    <w:p w:rsidR="00436575" w:rsidRPr="00115491" w:rsidRDefault="007F1831">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Aclaración. </w:t>
      </w:r>
      <w:r w:rsidRPr="00115491">
        <w:rPr>
          <w:rFonts w:ascii="Palatino Linotype" w:eastAsia="Palatino Linotype" w:hAnsi="Palatino Linotype" w:cs="Palatino Linotype"/>
        </w:rPr>
        <w:t xml:space="preserve">Con fecha </w:t>
      </w:r>
      <w:r w:rsidRPr="00115491">
        <w:rPr>
          <w:rFonts w:ascii="Palatino Linotype" w:eastAsia="Palatino Linotype" w:hAnsi="Palatino Linotype" w:cs="Palatino Linotype"/>
          <w:b/>
        </w:rPr>
        <w:t>diecisiete de mayo de dos mil veinticinco</w:t>
      </w:r>
      <w:r w:rsidRPr="00115491">
        <w:rPr>
          <w:rFonts w:ascii="Palatino Linotype" w:eastAsia="Palatino Linotype" w:hAnsi="Palatino Linotype" w:cs="Palatino Linotype"/>
        </w:rPr>
        <w:t xml:space="preserve"> el </w:t>
      </w:r>
      <w:r w:rsidRPr="00115491">
        <w:rPr>
          <w:rFonts w:ascii="Palatino Linotype" w:eastAsia="Palatino Linotype" w:hAnsi="Palatino Linotype" w:cs="Palatino Linotype"/>
          <w:b/>
        </w:rPr>
        <w:t xml:space="preserve">PARTICULAR </w:t>
      </w:r>
      <w:r w:rsidRPr="00115491">
        <w:rPr>
          <w:rFonts w:ascii="Palatino Linotype" w:eastAsia="Palatino Linotype" w:hAnsi="Palatino Linotype" w:cs="Palatino Linotype"/>
        </w:rPr>
        <w:t>desahogó la aclaración, al tenor de lo siguiente:</w:t>
      </w:r>
    </w:p>
    <w:p w:rsidR="00436575" w:rsidRPr="00115491" w:rsidRDefault="00436575">
      <w:pPr>
        <w:tabs>
          <w:tab w:val="left" w:pos="284"/>
        </w:tabs>
        <w:spacing w:after="0" w:line="360" w:lineRule="auto"/>
        <w:ind w:right="49"/>
        <w:jc w:val="both"/>
        <w:rPr>
          <w:rFonts w:ascii="Palatino Linotype" w:eastAsia="Palatino Linotype" w:hAnsi="Palatino Linotype" w:cs="Palatino Linotype"/>
        </w:rPr>
      </w:pPr>
    </w:p>
    <w:p w:rsidR="00436575" w:rsidRPr="00115491" w:rsidRDefault="007F1831">
      <w:pPr>
        <w:tabs>
          <w:tab w:val="left" w:pos="284"/>
        </w:tabs>
        <w:spacing w:after="0" w:line="276" w:lineRule="auto"/>
        <w:ind w:left="567" w:right="843"/>
        <w:jc w:val="both"/>
        <w:rPr>
          <w:rFonts w:ascii="Palatino Linotype" w:eastAsia="Palatino Linotype" w:hAnsi="Palatino Linotype" w:cs="Palatino Linotype"/>
          <w:i/>
        </w:rPr>
      </w:pPr>
      <w:r w:rsidRPr="00115491">
        <w:rPr>
          <w:rFonts w:ascii="Palatino Linotype" w:eastAsia="Palatino Linotype" w:hAnsi="Palatino Linotype" w:cs="Palatino Linotype"/>
          <w:i/>
        </w:rPr>
        <w:t>Se requiere el nombre completo de la servidora pública mencionada en la solicitud y que se encuentra adscrita en la Unidad de asuntos jurídicos de los SEIEM, y que alguna vez, estuvo de encargada en escuelas particulares</w:t>
      </w:r>
    </w:p>
    <w:p w:rsidR="00436575" w:rsidRPr="00115491" w:rsidRDefault="00436575">
      <w:pPr>
        <w:tabs>
          <w:tab w:val="left" w:pos="284"/>
        </w:tabs>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Respuesta.</w:t>
      </w:r>
      <w:r w:rsidRPr="00115491">
        <w:rPr>
          <w:rFonts w:ascii="Palatino Linotype" w:eastAsia="Palatino Linotype" w:hAnsi="Palatino Linotype" w:cs="Palatino Linotype"/>
        </w:rPr>
        <w:t xml:space="preserve"> Con fecha </w:t>
      </w:r>
      <w:r w:rsidRPr="00115491">
        <w:rPr>
          <w:rFonts w:ascii="Palatino Linotype" w:eastAsia="Palatino Linotype" w:hAnsi="Palatino Linotype" w:cs="Palatino Linotype"/>
          <w:b/>
        </w:rPr>
        <w:t>veintinueve de mayo de dos mil veinticinco</w:t>
      </w:r>
      <w:r w:rsidRPr="00115491">
        <w:rPr>
          <w:rFonts w:ascii="Palatino Linotype" w:eastAsia="Palatino Linotype" w:hAnsi="Palatino Linotype" w:cs="Palatino Linotype"/>
        </w:rPr>
        <w:t xml:space="preserve"> el </w:t>
      </w:r>
      <w:r w:rsidRPr="00115491">
        <w:rPr>
          <w:rFonts w:ascii="Palatino Linotype" w:eastAsia="Palatino Linotype" w:hAnsi="Palatino Linotype" w:cs="Palatino Linotype"/>
          <w:b/>
        </w:rPr>
        <w:t>SUJETO OBLIGADO</w:t>
      </w:r>
      <w:r w:rsidRPr="00115491">
        <w:rPr>
          <w:rFonts w:ascii="Palatino Linotype" w:eastAsia="Palatino Linotype" w:hAnsi="Palatino Linotype" w:cs="Palatino Linotype"/>
        </w:rPr>
        <w:t xml:space="preserve"> envió su respuesta a la solicitud de acceso a la información a través del SAIMEX, la cual fue previamente del conocimiento de las partes. </w:t>
      </w:r>
    </w:p>
    <w:p w:rsidR="00436575" w:rsidRPr="00115491" w:rsidRDefault="00436575">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Interposición del Recurso de Revisión</w:t>
      </w:r>
      <w:r w:rsidRPr="00115491">
        <w:rPr>
          <w:rFonts w:ascii="Palatino Linotype" w:eastAsia="Palatino Linotype" w:hAnsi="Palatino Linotype" w:cs="Palatino Linotype"/>
        </w:rPr>
        <w:t xml:space="preserve">. La parte Solicitante, derivado de la respuesta del </w:t>
      </w:r>
      <w:r w:rsidRPr="00115491">
        <w:rPr>
          <w:rFonts w:ascii="Palatino Linotype" w:eastAsia="Palatino Linotype" w:hAnsi="Palatino Linotype" w:cs="Palatino Linotype"/>
          <w:b/>
        </w:rPr>
        <w:t>SUJETO OBLIGADO</w:t>
      </w:r>
      <w:r w:rsidRPr="00115491">
        <w:rPr>
          <w:rFonts w:ascii="Palatino Linotype" w:eastAsia="Palatino Linotype" w:hAnsi="Palatino Linotype" w:cs="Palatino Linotype"/>
        </w:rPr>
        <w:t xml:space="preserve"> interpuso Recurso de Revisión a través del </w:t>
      </w:r>
      <w:r w:rsidRPr="00115491">
        <w:rPr>
          <w:rFonts w:ascii="Palatino Linotype" w:eastAsia="Palatino Linotype" w:hAnsi="Palatino Linotype" w:cs="Palatino Linotype"/>
          <w:b/>
        </w:rPr>
        <w:t>SAIMEX</w:t>
      </w:r>
      <w:r w:rsidRPr="00115491">
        <w:rPr>
          <w:rFonts w:ascii="Palatino Linotype" w:eastAsia="Palatino Linotype" w:hAnsi="Palatino Linotype" w:cs="Palatino Linotype"/>
        </w:rPr>
        <w:t xml:space="preserve"> en fecha </w:t>
      </w:r>
      <w:r w:rsidRPr="00115491">
        <w:rPr>
          <w:rFonts w:ascii="Palatino Linotype" w:eastAsia="Palatino Linotype" w:hAnsi="Palatino Linotype" w:cs="Palatino Linotype"/>
          <w:b/>
        </w:rPr>
        <w:t>seis de junio de dos mil veinticinco</w:t>
      </w:r>
      <w:r w:rsidRPr="00115491">
        <w:rPr>
          <w:rFonts w:ascii="Palatino Linotype" w:eastAsia="Palatino Linotype" w:hAnsi="Palatino Linotype" w:cs="Palatino Linotype"/>
        </w:rPr>
        <w:t>, a través del cual expresó lo siguiente:</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ind w:left="567"/>
        <w:jc w:val="both"/>
        <w:rPr>
          <w:rFonts w:ascii="Times New Roman" w:eastAsia="Times New Roman" w:hAnsi="Times New Roman" w:cs="Times New Roman"/>
          <w:sz w:val="24"/>
          <w:szCs w:val="24"/>
        </w:rPr>
      </w:pPr>
      <w:r w:rsidRPr="00115491">
        <w:rPr>
          <w:rFonts w:ascii="Palatino Linotype" w:eastAsia="Palatino Linotype" w:hAnsi="Palatino Linotype" w:cs="Palatino Linotype"/>
          <w:b/>
        </w:rPr>
        <w:t xml:space="preserve">Acto impugnado. </w:t>
      </w:r>
      <w:r w:rsidRPr="00115491">
        <w:rPr>
          <w:rFonts w:ascii="Palatino Linotype" w:eastAsia="Palatino Linotype" w:hAnsi="Palatino Linotype" w:cs="Palatino Linotype"/>
        </w:rPr>
        <w:t>“</w:t>
      </w:r>
      <w:r w:rsidRPr="00115491">
        <w:rPr>
          <w:rFonts w:ascii="Palatino Linotype" w:eastAsia="Palatino Linotype" w:hAnsi="Palatino Linotype" w:cs="Palatino Linotype"/>
          <w:i/>
        </w:rPr>
        <w:t xml:space="preserve">la falta de respueta”. </w:t>
      </w:r>
    </w:p>
    <w:p w:rsidR="00436575" w:rsidRPr="00115491" w:rsidRDefault="007F1831">
      <w:pPr>
        <w:pBdr>
          <w:top w:val="nil"/>
          <w:left w:val="nil"/>
          <w:bottom w:val="nil"/>
          <w:right w:val="nil"/>
          <w:between w:val="nil"/>
        </w:pBdr>
        <w:tabs>
          <w:tab w:val="left" w:pos="1276"/>
        </w:tabs>
        <w:spacing w:after="0" w:line="276" w:lineRule="auto"/>
        <w:ind w:left="567"/>
        <w:jc w:val="both"/>
        <w:rPr>
          <w:rFonts w:ascii="Palatino Linotype" w:eastAsia="Palatino Linotype" w:hAnsi="Palatino Linotype" w:cs="Palatino Linotype"/>
          <w:b/>
          <w:i/>
        </w:rPr>
      </w:pPr>
      <w:r w:rsidRPr="00115491">
        <w:rPr>
          <w:rFonts w:ascii="Palatino Linotype" w:eastAsia="Palatino Linotype" w:hAnsi="Palatino Linotype" w:cs="Palatino Linotype"/>
          <w:b/>
        </w:rPr>
        <w:t xml:space="preserve">Razones o motivos de la inconformidad: </w:t>
      </w:r>
      <w:r w:rsidRPr="00115491">
        <w:rPr>
          <w:rFonts w:ascii="Palatino Linotype" w:eastAsia="Palatino Linotype" w:hAnsi="Palatino Linotype" w:cs="Palatino Linotype"/>
          <w:i/>
        </w:rPr>
        <w:t xml:space="preserve">“No se dio la respuesta pedida”. </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115491">
        <w:rPr>
          <w:rFonts w:ascii="Palatino Linotype" w:eastAsia="Palatino Linotype" w:hAnsi="Palatino Linotype" w:cs="Palatino Linotype"/>
          <w:b/>
        </w:rPr>
        <w:lastRenderedPageBreak/>
        <w:t>Turno.</w:t>
      </w:r>
      <w:r w:rsidRPr="00115491">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115491">
        <w:rPr>
          <w:rFonts w:ascii="Palatino Linotype" w:eastAsia="Palatino Linotype" w:hAnsi="Palatino Linotype" w:cs="Palatino Linotype"/>
          <w:b/>
        </w:rPr>
        <w:t>06649/INFOEM/IP/RR/2025</w:t>
      </w:r>
      <w:r w:rsidRPr="00115491">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Admisión del recurso de revisión</w:t>
      </w:r>
      <w:r w:rsidRPr="00115491">
        <w:rPr>
          <w:rFonts w:ascii="Palatino Linotype" w:eastAsia="Palatino Linotype" w:hAnsi="Palatino Linotype" w:cs="Palatino Linotype"/>
        </w:rPr>
        <w:t xml:space="preserve">: En fecha </w:t>
      </w:r>
      <w:r w:rsidRPr="00115491">
        <w:rPr>
          <w:rFonts w:ascii="Palatino Linotype" w:eastAsia="Palatino Linotype" w:hAnsi="Palatino Linotype" w:cs="Palatino Linotype"/>
          <w:b/>
        </w:rPr>
        <w:t>once de junio de dos mil veinticinco</w:t>
      </w:r>
      <w:r w:rsidRPr="0011549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Manifestaciones. </w:t>
      </w:r>
      <w:r w:rsidRPr="00115491">
        <w:rPr>
          <w:rFonts w:ascii="Palatino Linotype" w:eastAsia="Palatino Linotype" w:hAnsi="Palatino Linotype" w:cs="Palatino Linotype"/>
        </w:rPr>
        <w:t xml:space="preserve">En fecha </w:t>
      </w:r>
      <w:r w:rsidRPr="00115491">
        <w:rPr>
          <w:rFonts w:ascii="Palatino Linotype" w:eastAsia="Palatino Linotype" w:hAnsi="Palatino Linotype" w:cs="Palatino Linotype"/>
          <w:b/>
        </w:rPr>
        <w:t>diecinueve de junio de dos mil veinticinco</w:t>
      </w:r>
      <w:r w:rsidRPr="00115491">
        <w:rPr>
          <w:rFonts w:ascii="Palatino Linotype" w:eastAsia="Palatino Linotype" w:hAnsi="Palatino Linotype" w:cs="Palatino Linotype"/>
        </w:rPr>
        <w:t>, el Sujeto Obligado rindió su informe justificado, a través del cual ratificó su respuesta inicial.</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115491">
        <w:rPr>
          <w:rFonts w:ascii="Palatino Linotype" w:eastAsia="Palatino Linotype" w:hAnsi="Palatino Linotype" w:cs="Palatino Linotype"/>
        </w:rPr>
        <w:t xml:space="preserve">Documento que se hizo del conocimiento de la parte Recurrente en fecha </w:t>
      </w:r>
      <w:r w:rsidRPr="00115491">
        <w:rPr>
          <w:rFonts w:ascii="Palatino Linotype" w:eastAsia="Palatino Linotype" w:hAnsi="Palatino Linotype" w:cs="Palatino Linotype"/>
          <w:b/>
        </w:rPr>
        <w:t xml:space="preserve">dos de octubre de dos mil veinticinco. </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rsidR="00436575" w:rsidRPr="00115491" w:rsidRDefault="007F183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La parte Recurrente fue omisa en realizar manifestaciones. </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Ampliación de plazo. </w:t>
      </w:r>
      <w:r w:rsidRPr="00115491">
        <w:rPr>
          <w:rFonts w:ascii="Palatino Linotype" w:eastAsia="Palatino Linotype" w:hAnsi="Palatino Linotype" w:cs="Palatino Linotype"/>
        </w:rPr>
        <w:t xml:space="preserve">El </w:t>
      </w:r>
      <w:r w:rsidRPr="00115491">
        <w:rPr>
          <w:rFonts w:ascii="Palatino Linotype" w:eastAsia="Palatino Linotype" w:hAnsi="Palatino Linotype" w:cs="Palatino Linotype"/>
          <w:b/>
        </w:rPr>
        <w:t>dos de octubre de dos mil veinticinco</w:t>
      </w:r>
      <w:r w:rsidRPr="00115491">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 </w:t>
      </w: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tabs>
          <w:tab w:val="left" w:pos="709"/>
        </w:tabs>
        <w:spacing w:after="0" w:line="360" w:lineRule="auto"/>
        <w:ind w:left="567" w:right="560"/>
        <w:jc w:val="both"/>
        <w:rPr>
          <w:rFonts w:ascii="Palatino Linotype" w:eastAsia="Palatino Linotype" w:hAnsi="Palatino Linotype" w:cs="Palatino Linotype"/>
        </w:rPr>
      </w:pPr>
      <w:r w:rsidRPr="00115491">
        <w:rPr>
          <w:rFonts w:ascii="Palatino Linotype" w:eastAsia="Palatino Linotype" w:hAnsi="Palatino Linotype" w:cs="Palatino Linotype"/>
          <w:b/>
        </w:rPr>
        <w:t>a)    Complejidad del asunto:</w:t>
      </w:r>
      <w:r w:rsidRPr="00115491">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436575" w:rsidRPr="00115491" w:rsidRDefault="007F1831">
      <w:pPr>
        <w:tabs>
          <w:tab w:val="left" w:pos="709"/>
        </w:tabs>
        <w:spacing w:after="0" w:line="360" w:lineRule="auto"/>
        <w:ind w:left="567" w:right="560"/>
        <w:jc w:val="both"/>
        <w:rPr>
          <w:rFonts w:ascii="Palatino Linotype" w:eastAsia="Palatino Linotype" w:hAnsi="Palatino Linotype" w:cs="Palatino Linotype"/>
        </w:rPr>
      </w:pPr>
      <w:r w:rsidRPr="00115491">
        <w:rPr>
          <w:rFonts w:ascii="Palatino Linotype" w:eastAsia="Palatino Linotype" w:hAnsi="Palatino Linotype" w:cs="Palatino Linotype"/>
          <w:b/>
        </w:rPr>
        <w:t>b)   Actividad Procesal del interesado</w:t>
      </w:r>
      <w:r w:rsidRPr="00115491">
        <w:rPr>
          <w:rFonts w:ascii="Palatino Linotype" w:eastAsia="Palatino Linotype" w:hAnsi="Palatino Linotype" w:cs="Palatino Linotype"/>
        </w:rPr>
        <w:t>: Acciones u omisiones del interesado.</w:t>
      </w:r>
    </w:p>
    <w:p w:rsidR="00436575" w:rsidRPr="00115491" w:rsidRDefault="007F1831">
      <w:pPr>
        <w:tabs>
          <w:tab w:val="left" w:pos="851"/>
        </w:tabs>
        <w:spacing w:after="0" w:line="360" w:lineRule="auto"/>
        <w:ind w:left="567" w:right="560"/>
        <w:jc w:val="both"/>
        <w:rPr>
          <w:rFonts w:ascii="Palatino Linotype" w:eastAsia="Palatino Linotype" w:hAnsi="Palatino Linotype" w:cs="Palatino Linotype"/>
        </w:rPr>
      </w:pPr>
      <w:r w:rsidRPr="00115491">
        <w:rPr>
          <w:rFonts w:ascii="Palatino Linotype" w:eastAsia="Palatino Linotype" w:hAnsi="Palatino Linotype" w:cs="Palatino Linotype"/>
          <w:b/>
        </w:rPr>
        <w:t>c)  Conducta de la Autoridad:</w:t>
      </w:r>
      <w:r w:rsidRPr="00115491">
        <w:rPr>
          <w:rFonts w:ascii="Palatino Linotype" w:eastAsia="Palatino Linotype" w:hAnsi="Palatino Linotype" w:cs="Palatino Linotype"/>
        </w:rPr>
        <w:t xml:space="preserve"> Las Acciones u omisiones realizadas en el procedimiento. Así como si la autoridad actuó con la debida diligencia.</w:t>
      </w:r>
    </w:p>
    <w:p w:rsidR="00436575" w:rsidRPr="00115491" w:rsidRDefault="007F1831">
      <w:pPr>
        <w:tabs>
          <w:tab w:val="left" w:pos="851"/>
        </w:tabs>
        <w:spacing w:after="0" w:line="360" w:lineRule="auto"/>
        <w:ind w:left="567" w:right="560"/>
        <w:jc w:val="both"/>
        <w:rPr>
          <w:rFonts w:ascii="Palatino Linotype" w:eastAsia="Palatino Linotype" w:hAnsi="Palatino Linotype" w:cs="Palatino Linotype"/>
        </w:rPr>
      </w:pPr>
      <w:r w:rsidRPr="00115491">
        <w:rPr>
          <w:rFonts w:ascii="Palatino Linotype" w:eastAsia="Palatino Linotype" w:hAnsi="Palatino Linotype" w:cs="Palatino Linotype"/>
          <w:b/>
        </w:rPr>
        <w:t>d) La afectación generada en la situación jurídica de la persona involucrada en el proceso:</w:t>
      </w:r>
      <w:r w:rsidRPr="00115491">
        <w:rPr>
          <w:rFonts w:ascii="Palatino Linotype" w:eastAsia="Palatino Linotype" w:hAnsi="Palatino Linotype" w:cs="Palatino Linotype"/>
        </w:rPr>
        <w:t xml:space="preserve"> Violación a sus derechos humanos.</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Argumento que encuentra sustento en la jurisprudencia P./J. 32/92 emitida por el Pleno de la Suprema Corte de Justicia de la Nación de rubro “</w:t>
      </w:r>
      <w:r w:rsidRPr="00115491">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115491">
        <w:rPr>
          <w:rFonts w:ascii="Palatino Linotype" w:eastAsia="Palatino Linotype" w:hAnsi="Palatino Linotype" w:cs="Palatino Linotype"/>
        </w:rPr>
        <w:t>, visible en la Gaceta del Seminario Judicial de la Federación con el registro digital 205635.</w:t>
      </w: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 </w:t>
      </w: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left="567" w:right="560"/>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 “PLAZO RAZONABLE PARA RESOLVER. DIMENSIÓN Y EFECTOS DE ESTE CONCEPTO CUANDO SE ADUCE EXCESIVA CARGA DE TRABAJO.”</w:t>
      </w:r>
      <w:r w:rsidRPr="00115491">
        <w:rPr>
          <w:rFonts w:ascii="Palatino Linotype" w:eastAsia="Palatino Linotype" w:hAnsi="Palatino Linotype" w:cs="Palatino Linotype"/>
        </w:rPr>
        <w:t xml:space="preserve"> consultable en el Seminario Judicial de la Federación y su gaceta, con el registro digital 2002351.</w:t>
      </w:r>
    </w:p>
    <w:p w:rsidR="00436575" w:rsidRPr="00115491" w:rsidRDefault="007F1831">
      <w:pPr>
        <w:spacing w:after="0" w:line="360" w:lineRule="auto"/>
        <w:ind w:left="567" w:right="560"/>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 </w:t>
      </w:r>
    </w:p>
    <w:p w:rsidR="00436575" w:rsidRPr="00115491" w:rsidRDefault="007F1831">
      <w:pPr>
        <w:spacing w:after="0" w:line="360" w:lineRule="auto"/>
        <w:ind w:left="567" w:right="560"/>
        <w:jc w:val="both"/>
        <w:rPr>
          <w:rFonts w:ascii="Palatino Linotype" w:eastAsia="Palatino Linotype" w:hAnsi="Palatino Linotype" w:cs="Palatino Linotype"/>
        </w:rPr>
      </w:pPr>
      <w:r w:rsidRPr="00115491">
        <w:rPr>
          <w:rFonts w:ascii="Palatino Linotype" w:eastAsia="Palatino Linotype" w:hAnsi="Palatino Linotype" w:cs="Palatino Linotype"/>
          <w:b/>
        </w:rPr>
        <w:t>“PLAZO RAZONABLE PARA RESOLVER. CONCEPTO Y ELEMENTOS QUE LO INTEGRAN A LA LUZ DEL DERECHO INTERNACIONAL DE LOS DERECHOS HUMANOS.”,</w:t>
      </w:r>
      <w:r w:rsidRPr="00115491">
        <w:rPr>
          <w:rFonts w:ascii="Palatino Linotype" w:eastAsia="Palatino Linotype" w:hAnsi="Palatino Linotype" w:cs="Palatino Linotype"/>
        </w:rPr>
        <w:t xml:space="preserve"> visible en el Seminario Judicial de la Federación y su gaceta, con el registro digital 2002350.</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szCs w:val="18"/>
        </w:rPr>
      </w:pPr>
      <w:r w:rsidRPr="0011549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115491">
        <w:rPr>
          <w:rFonts w:ascii="Palatino Linotype" w:eastAsia="Palatino Linotype" w:hAnsi="Palatino Linotype" w:cs="Palatino Linotype"/>
          <w:sz w:val="18"/>
          <w:szCs w:val="18"/>
        </w:rPr>
        <w:t xml:space="preserve"> </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15491">
        <w:rPr>
          <w:rFonts w:ascii="Palatino Linotype" w:eastAsia="Palatino Linotype" w:hAnsi="Palatino Linotype" w:cs="Palatino Linotype"/>
          <w:b/>
        </w:rPr>
        <w:t>Cierre de instrucción</w:t>
      </w:r>
      <w:r w:rsidRPr="00115491">
        <w:rPr>
          <w:rFonts w:ascii="Palatino Linotype" w:eastAsia="Palatino Linotype" w:hAnsi="Palatino Linotype" w:cs="Palatino Linotype"/>
        </w:rPr>
        <w:t xml:space="preserve">. En fecha </w:t>
      </w:r>
      <w:r w:rsidRPr="00115491">
        <w:rPr>
          <w:rFonts w:ascii="Palatino Linotype" w:eastAsia="Palatino Linotype" w:hAnsi="Palatino Linotype" w:cs="Palatino Linotype"/>
          <w:b/>
        </w:rPr>
        <w:t>ocho de octubre de dos mil veinticinco</w:t>
      </w:r>
      <w:r w:rsidRPr="0011549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36575" w:rsidRPr="00115491" w:rsidRDefault="0043657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center"/>
        <w:rPr>
          <w:rFonts w:ascii="Palatino Linotype" w:eastAsia="Palatino Linotype" w:hAnsi="Palatino Linotype" w:cs="Palatino Linotype"/>
          <w:b/>
        </w:rPr>
      </w:pPr>
      <w:r w:rsidRPr="00115491">
        <w:rPr>
          <w:rFonts w:ascii="Palatino Linotype" w:eastAsia="Palatino Linotype" w:hAnsi="Palatino Linotype" w:cs="Palatino Linotype"/>
          <w:b/>
        </w:rPr>
        <w:t>II.</w:t>
      </w:r>
      <w:r w:rsidRPr="00115491">
        <w:rPr>
          <w:rFonts w:ascii="Palatino Linotype" w:eastAsia="Palatino Linotype" w:hAnsi="Palatino Linotype" w:cs="Palatino Linotype"/>
          <w:b/>
        </w:rPr>
        <w:tab/>
        <w:t>C O N S I D E R A N D O:</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Primero. Competencia.</w:t>
      </w:r>
      <w:r w:rsidRPr="0011549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Segundo. Oportunidad y Procedibilidad del Recurso de Revisión</w:t>
      </w:r>
      <w:r w:rsidRPr="0011549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bookmarkStart w:id="1" w:name="_heading=h.3znysh7" w:colFirst="0" w:colLast="0"/>
      <w:bookmarkEnd w:id="1"/>
      <w:r w:rsidRPr="0011549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15491">
        <w:rPr>
          <w:rFonts w:ascii="Palatino Linotype" w:eastAsia="Palatino Linotype" w:hAnsi="Palatino Linotype" w:cs="Palatino Linotype"/>
          <w:b/>
        </w:rPr>
        <w:t>SUJETO OBLIGADO</w:t>
      </w:r>
      <w:r w:rsidRPr="00115491">
        <w:rPr>
          <w:rFonts w:ascii="Palatino Linotype" w:eastAsia="Palatino Linotype" w:hAnsi="Palatino Linotype" w:cs="Palatino Linotype"/>
        </w:rPr>
        <w:t xml:space="preserve"> remitió respuesta el </w:t>
      </w:r>
      <w:r w:rsidRPr="00115491">
        <w:rPr>
          <w:rFonts w:ascii="Palatino Linotype" w:eastAsia="Palatino Linotype" w:hAnsi="Palatino Linotype" w:cs="Palatino Linotype"/>
          <w:b/>
        </w:rPr>
        <w:t>veintinueve de mayo de dos mil veinticinco</w:t>
      </w:r>
      <w:r w:rsidRPr="00115491">
        <w:rPr>
          <w:rFonts w:ascii="Palatino Linotype" w:eastAsia="Palatino Linotype" w:hAnsi="Palatino Linotype" w:cs="Palatino Linotype"/>
        </w:rPr>
        <w:t>,</w:t>
      </w:r>
      <w:r w:rsidRPr="00115491">
        <w:rPr>
          <w:rFonts w:ascii="Palatino Linotype" w:eastAsia="Palatino Linotype" w:hAnsi="Palatino Linotype" w:cs="Palatino Linotype"/>
          <w:b/>
        </w:rPr>
        <w:t xml:space="preserve"> </w:t>
      </w:r>
      <w:r w:rsidRPr="00115491">
        <w:rPr>
          <w:rFonts w:ascii="Palatino Linotype" w:eastAsia="Palatino Linotype" w:hAnsi="Palatino Linotype" w:cs="Palatino Linotype"/>
        </w:rPr>
        <w:t xml:space="preserve">mientras que el recurso de revisión interpuesto por </w:t>
      </w:r>
      <w:r w:rsidRPr="00115491">
        <w:rPr>
          <w:rFonts w:ascii="Palatino Linotype" w:eastAsia="Palatino Linotype" w:hAnsi="Palatino Linotype" w:cs="Palatino Linotype"/>
          <w:b/>
        </w:rPr>
        <w:t>la parte</w:t>
      </w:r>
      <w:r w:rsidRPr="00115491">
        <w:rPr>
          <w:rFonts w:ascii="Palatino Linotype" w:eastAsia="Palatino Linotype" w:hAnsi="Palatino Linotype" w:cs="Palatino Linotype"/>
        </w:rPr>
        <w:t xml:space="preserve"> </w:t>
      </w:r>
      <w:r w:rsidRPr="00115491">
        <w:rPr>
          <w:rFonts w:ascii="Palatino Linotype" w:eastAsia="Palatino Linotype" w:hAnsi="Palatino Linotype" w:cs="Palatino Linotype"/>
          <w:b/>
        </w:rPr>
        <w:t>RECURRENTE</w:t>
      </w:r>
      <w:r w:rsidRPr="00115491">
        <w:rPr>
          <w:rFonts w:ascii="Palatino Linotype" w:eastAsia="Palatino Linotype" w:hAnsi="Palatino Linotype" w:cs="Palatino Linotype"/>
        </w:rPr>
        <w:t>, se tuvo por presentado el</w:t>
      </w:r>
      <w:r w:rsidRPr="00115491">
        <w:rPr>
          <w:rFonts w:ascii="Palatino Linotype" w:eastAsia="Palatino Linotype" w:hAnsi="Palatino Linotype" w:cs="Palatino Linotype"/>
          <w:b/>
        </w:rPr>
        <w:t xml:space="preserve"> seis de junio de dos mil veinticinco</w:t>
      </w:r>
      <w:r w:rsidRPr="00115491">
        <w:rPr>
          <w:rFonts w:ascii="Palatino Linotype" w:eastAsia="Palatino Linotype" w:hAnsi="Palatino Linotype" w:cs="Palatino Linotype"/>
        </w:rPr>
        <w:t xml:space="preserve">, esto es al sexto día en que se tuvo conocimiento de la respuesta. </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b/>
        </w:rPr>
      </w:pPr>
      <w:r w:rsidRPr="00115491">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115491">
        <w:rPr>
          <w:rFonts w:ascii="Palatino Linotype" w:eastAsia="Palatino Linotype" w:hAnsi="Palatino Linotype" w:cs="Palatino Linotype"/>
          <w:b/>
        </w:rPr>
        <w:t>SAIMEX.</w:t>
      </w:r>
    </w:p>
    <w:p w:rsidR="00436575" w:rsidRPr="00115491" w:rsidRDefault="00436575">
      <w:pPr>
        <w:spacing w:after="0" w:line="360" w:lineRule="auto"/>
        <w:jc w:val="both"/>
        <w:rPr>
          <w:rFonts w:ascii="Palatino Linotype" w:eastAsia="Palatino Linotype" w:hAnsi="Palatino Linotype" w:cs="Palatino Linotype"/>
          <w:b/>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 del ordenamiento legal citado, que a la letra dice: </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276" w:lineRule="auto"/>
        <w:ind w:left="567" w:right="902"/>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Artículo 179.</w:t>
      </w:r>
      <w:r w:rsidRPr="0011549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436575" w:rsidRPr="00115491" w:rsidRDefault="007F183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7F183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115491">
        <w:rPr>
          <w:rFonts w:ascii="Palatino Linotype" w:eastAsia="Palatino Linotype" w:hAnsi="Palatino Linotype" w:cs="Palatino Linotype"/>
          <w:i/>
        </w:rPr>
        <w:t>I. La negativa de entrega de la informació;</w:t>
      </w:r>
    </w:p>
    <w:p w:rsidR="00436575" w:rsidRPr="00115491" w:rsidRDefault="007F183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43657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Tercero. Materia de Revisión</w:t>
      </w:r>
      <w:r w:rsidRPr="00115491">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Cuarto. Estudio de fondo del asunto. </w:t>
      </w:r>
      <w:r w:rsidRPr="00115491">
        <w:rPr>
          <w:rFonts w:ascii="Palatino Linotype" w:eastAsia="Palatino Linotype" w:hAnsi="Palatino Linotype" w:cs="Palatino Linotype"/>
        </w:rPr>
        <w:t>Es conveniente analizar si la respuesta del Sujeto Obligado</w:t>
      </w:r>
      <w:r w:rsidRPr="00115491">
        <w:rPr>
          <w:rFonts w:ascii="Palatino Linotype" w:eastAsia="Palatino Linotype" w:hAnsi="Palatino Linotype" w:cs="Palatino Linotype"/>
          <w:b/>
        </w:rPr>
        <w:t xml:space="preserve"> </w:t>
      </w:r>
      <w:r w:rsidRPr="00115491">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tabs>
          <w:tab w:val="left" w:pos="851"/>
        </w:tabs>
        <w:spacing w:after="0" w:line="276" w:lineRule="auto"/>
        <w:ind w:left="567" w:right="616"/>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Artículo 4</w:t>
      </w:r>
      <w:r w:rsidRPr="0011549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36575" w:rsidRPr="00115491" w:rsidRDefault="007F1831">
      <w:pPr>
        <w:tabs>
          <w:tab w:val="left" w:pos="851"/>
        </w:tabs>
        <w:spacing w:after="0" w:line="276" w:lineRule="auto"/>
        <w:ind w:left="567" w:right="616"/>
        <w:jc w:val="both"/>
        <w:rPr>
          <w:rFonts w:ascii="Palatino Linotype" w:eastAsia="Palatino Linotype" w:hAnsi="Palatino Linotype" w:cs="Palatino Linotype"/>
          <w:i/>
        </w:rPr>
      </w:pPr>
      <w:r w:rsidRPr="0011549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1549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36575" w:rsidRPr="00115491" w:rsidRDefault="007F1831">
      <w:pPr>
        <w:tabs>
          <w:tab w:val="left" w:pos="851"/>
        </w:tabs>
        <w:spacing w:after="0" w:line="276" w:lineRule="auto"/>
        <w:ind w:left="567" w:right="616"/>
        <w:jc w:val="both"/>
        <w:rPr>
          <w:rFonts w:ascii="Palatino Linotype" w:eastAsia="Palatino Linotype" w:hAnsi="Palatino Linotype" w:cs="Palatino Linotype"/>
          <w:i/>
        </w:rPr>
      </w:pPr>
      <w:r w:rsidRPr="0011549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15491">
        <w:rPr>
          <w:rFonts w:ascii="Palatino Linotype" w:eastAsia="Palatino Linotype" w:hAnsi="Palatino Linotype" w:cs="Palatino Linotype"/>
          <w:i/>
        </w:rPr>
        <w:t>.”</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436575" w:rsidRPr="00115491" w:rsidRDefault="00436575">
      <w:pPr>
        <w:spacing w:after="0" w:line="360" w:lineRule="auto"/>
        <w:ind w:right="616"/>
        <w:jc w:val="both"/>
        <w:rPr>
          <w:rFonts w:ascii="Palatino Linotype" w:eastAsia="Palatino Linotype" w:hAnsi="Palatino Linotype" w:cs="Palatino Linotype"/>
        </w:rPr>
      </w:pPr>
    </w:p>
    <w:p w:rsidR="00436575" w:rsidRPr="00115491" w:rsidRDefault="007F1831">
      <w:pPr>
        <w:tabs>
          <w:tab w:val="left" w:pos="6804"/>
        </w:tabs>
        <w:spacing w:after="0" w:line="276" w:lineRule="auto"/>
        <w:ind w:left="567" w:right="616"/>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Artículo 12.-</w:t>
      </w:r>
      <w:r w:rsidRPr="0011549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436575" w:rsidRPr="00115491" w:rsidRDefault="007F1831">
      <w:pPr>
        <w:spacing w:after="0" w:line="276" w:lineRule="auto"/>
        <w:ind w:left="567" w:right="616"/>
        <w:jc w:val="both"/>
        <w:rPr>
          <w:rFonts w:ascii="Palatino Linotype" w:eastAsia="Palatino Linotype" w:hAnsi="Palatino Linotype" w:cs="Palatino Linotype"/>
          <w:i/>
        </w:rPr>
      </w:pPr>
      <w:r w:rsidRPr="0011549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15491">
        <w:rPr>
          <w:rFonts w:ascii="Palatino Linotype" w:eastAsia="Palatino Linotype" w:hAnsi="Palatino Linotype" w:cs="Palatino Linotype"/>
          <w:i/>
        </w:rPr>
        <w:t xml:space="preserve">. </w:t>
      </w:r>
      <w:r w:rsidRPr="0011549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115491">
        <w:rPr>
          <w:rFonts w:ascii="Palatino Linotype" w:eastAsia="Palatino Linotype" w:hAnsi="Palatino Linotype" w:cs="Palatino Linotype"/>
          <w:i/>
        </w:rPr>
        <w:t xml:space="preserve">.” </w:t>
      </w:r>
    </w:p>
    <w:p w:rsidR="00436575" w:rsidRPr="00115491" w:rsidRDefault="00436575">
      <w:pPr>
        <w:spacing w:after="0" w:line="360" w:lineRule="auto"/>
        <w:ind w:right="-93"/>
        <w:jc w:val="both"/>
        <w:rPr>
          <w:rFonts w:ascii="Palatino Linotype" w:eastAsia="Palatino Linotype" w:hAnsi="Palatino Linotype" w:cs="Palatino Linotype"/>
        </w:rPr>
      </w:pPr>
    </w:p>
    <w:p w:rsidR="00436575" w:rsidRPr="00115491" w:rsidRDefault="007F1831">
      <w:pPr>
        <w:spacing w:after="0" w:line="360" w:lineRule="auto"/>
        <w:ind w:right="-93"/>
        <w:jc w:val="both"/>
        <w:rPr>
          <w:rFonts w:ascii="Palatino Linotype" w:eastAsia="Palatino Linotype" w:hAnsi="Palatino Linotype" w:cs="Palatino Linotype"/>
        </w:rPr>
      </w:pPr>
      <w:r w:rsidRPr="0011549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436575" w:rsidRPr="00115491" w:rsidRDefault="00436575">
      <w:pPr>
        <w:spacing w:after="0" w:line="360" w:lineRule="auto"/>
        <w:ind w:right="-93"/>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b/>
        </w:rPr>
      </w:pPr>
      <w:r w:rsidRPr="00115491">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115491">
        <w:rPr>
          <w:rFonts w:ascii="Palatino Linotype" w:eastAsia="Palatino Linotype" w:hAnsi="Palatino Linotype" w:cs="Palatino Linotype"/>
          <w:b/>
        </w:rPr>
        <w:t xml:space="preserve"> </w:t>
      </w:r>
    </w:p>
    <w:p w:rsidR="00436575" w:rsidRPr="00115491" w:rsidRDefault="00436575">
      <w:pPr>
        <w:spacing w:after="0" w:line="276" w:lineRule="auto"/>
        <w:ind w:right="850"/>
        <w:jc w:val="both"/>
        <w:rPr>
          <w:rFonts w:ascii="Palatino Linotype" w:eastAsia="Palatino Linotype" w:hAnsi="Palatino Linotype" w:cs="Palatino Linotype"/>
        </w:rPr>
      </w:pPr>
    </w:p>
    <w:p w:rsidR="00436575" w:rsidRPr="00115491" w:rsidRDefault="007F1831">
      <w:pPr>
        <w:spacing w:after="0" w:line="276" w:lineRule="auto"/>
        <w:ind w:left="567" w:right="616"/>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No existe obligación de elaborar documentos ad hoc para atender las solicitudes de acceso a la información.</w:t>
      </w:r>
      <w:r w:rsidRPr="0011549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36575" w:rsidRPr="00115491" w:rsidRDefault="00436575">
      <w:pPr>
        <w:spacing w:after="0" w:line="276" w:lineRule="auto"/>
        <w:ind w:right="616"/>
        <w:jc w:val="both"/>
        <w:rPr>
          <w:rFonts w:ascii="Palatino Linotype" w:eastAsia="Palatino Linotype" w:hAnsi="Palatino Linotype" w:cs="Palatino Linotype"/>
          <w:i/>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276" w:lineRule="auto"/>
        <w:ind w:left="567" w:right="899"/>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 xml:space="preserve">Artículo 3. </w:t>
      </w:r>
      <w:r w:rsidRPr="00115491">
        <w:rPr>
          <w:rFonts w:ascii="Palatino Linotype" w:eastAsia="Palatino Linotype" w:hAnsi="Palatino Linotype" w:cs="Palatino Linotype"/>
          <w:i/>
        </w:rPr>
        <w:t>Para los efectos de la presente Ley se entenderá por:</w:t>
      </w:r>
    </w:p>
    <w:p w:rsidR="00436575" w:rsidRPr="00115491" w:rsidRDefault="007F1831">
      <w:pPr>
        <w:spacing w:after="0" w:line="276" w:lineRule="auto"/>
        <w:ind w:left="567" w:right="899"/>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7F1831">
      <w:pPr>
        <w:spacing w:after="0" w:line="276" w:lineRule="auto"/>
        <w:ind w:left="567" w:right="899"/>
        <w:jc w:val="both"/>
        <w:rPr>
          <w:rFonts w:ascii="Palatino Linotype" w:eastAsia="Palatino Linotype" w:hAnsi="Palatino Linotype" w:cs="Palatino Linotype"/>
          <w:i/>
        </w:rPr>
      </w:pPr>
      <w:r w:rsidRPr="00115491">
        <w:rPr>
          <w:rFonts w:ascii="Palatino Linotype" w:eastAsia="Palatino Linotype" w:hAnsi="Palatino Linotype" w:cs="Palatino Linotype"/>
          <w:b/>
          <w:i/>
        </w:rPr>
        <w:t>XI. Documento:</w:t>
      </w:r>
      <w:r w:rsidRPr="00115491">
        <w:rPr>
          <w:rFonts w:ascii="Palatino Linotype" w:eastAsia="Palatino Linotype" w:hAnsi="Palatino Linotype" w:cs="Palatino Linotype"/>
          <w:i/>
        </w:rPr>
        <w:t xml:space="preserve"> Los expedientes, reportes, estudios, actas</w:t>
      </w:r>
      <w:r w:rsidRPr="00115491">
        <w:rPr>
          <w:rFonts w:ascii="Palatino Linotype" w:eastAsia="Palatino Linotype" w:hAnsi="Palatino Linotype" w:cs="Palatino Linotype"/>
          <w:b/>
          <w:i/>
        </w:rPr>
        <w:t>,</w:t>
      </w:r>
      <w:r w:rsidRPr="0011549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436575" w:rsidRPr="00115491" w:rsidRDefault="00436575">
      <w:pPr>
        <w:spacing w:after="0" w:line="360" w:lineRule="auto"/>
        <w:ind w:right="899"/>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36575" w:rsidRPr="00115491" w:rsidRDefault="00436575">
      <w:pPr>
        <w:spacing w:after="0" w:line="360" w:lineRule="auto"/>
        <w:ind w:right="899"/>
        <w:jc w:val="both"/>
        <w:rPr>
          <w:rFonts w:ascii="Palatino Linotype" w:eastAsia="Palatino Linotype" w:hAnsi="Palatino Linotype" w:cs="Palatino Linotype"/>
        </w:rPr>
      </w:pPr>
    </w:p>
    <w:p w:rsidR="00436575" w:rsidRPr="00115491" w:rsidRDefault="007F1831">
      <w:pPr>
        <w:spacing w:after="0" w:line="276" w:lineRule="auto"/>
        <w:ind w:left="567" w:right="899"/>
        <w:jc w:val="both"/>
        <w:rPr>
          <w:rFonts w:ascii="Palatino Linotype" w:eastAsia="Palatino Linotype" w:hAnsi="Palatino Linotype" w:cs="Palatino Linotype"/>
          <w:b/>
          <w:i/>
        </w:rPr>
      </w:pPr>
      <w:r w:rsidRPr="00115491">
        <w:rPr>
          <w:rFonts w:ascii="Palatino Linotype" w:eastAsia="Palatino Linotype" w:hAnsi="Palatino Linotype" w:cs="Palatino Linotype"/>
          <w:b/>
        </w:rPr>
        <w:t>“</w:t>
      </w:r>
      <w:r w:rsidRPr="0011549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1549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36575" w:rsidRPr="00115491" w:rsidRDefault="007F1831">
      <w:pPr>
        <w:spacing w:after="0" w:line="276" w:lineRule="auto"/>
        <w:ind w:left="567" w:right="899"/>
        <w:jc w:val="both"/>
        <w:rPr>
          <w:rFonts w:ascii="Palatino Linotype" w:eastAsia="Palatino Linotype" w:hAnsi="Palatino Linotype" w:cs="Palatino Linotype"/>
          <w:i/>
        </w:rPr>
      </w:pPr>
      <w:r w:rsidRPr="00115491">
        <w:rPr>
          <w:rFonts w:ascii="Palatino Linotype" w:eastAsia="Palatino Linotype" w:hAnsi="Palatino Linotype" w:cs="Palatino Linotype"/>
          <w:i/>
        </w:rPr>
        <w:t>En consecuencia el acceso a la información se refiere a que se cumplan cualquiera de los siguientes tres supuestos:</w:t>
      </w:r>
    </w:p>
    <w:p w:rsidR="00436575" w:rsidRPr="00115491" w:rsidRDefault="007F1831">
      <w:pPr>
        <w:spacing w:after="0" w:line="276" w:lineRule="auto"/>
        <w:ind w:left="567" w:right="899"/>
        <w:jc w:val="both"/>
        <w:rPr>
          <w:rFonts w:ascii="Palatino Linotype" w:eastAsia="Palatino Linotype" w:hAnsi="Palatino Linotype" w:cs="Palatino Linotype"/>
          <w:i/>
        </w:rPr>
      </w:pPr>
      <w:r w:rsidRPr="0011549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436575" w:rsidRPr="00115491" w:rsidRDefault="007F1831">
      <w:pPr>
        <w:spacing w:after="0" w:line="276" w:lineRule="auto"/>
        <w:ind w:left="567" w:right="899"/>
        <w:jc w:val="both"/>
        <w:rPr>
          <w:rFonts w:ascii="Palatino Linotype" w:eastAsia="Palatino Linotype" w:hAnsi="Palatino Linotype" w:cs="Palatino Linotype"/>
          <w:b/>
          <w:i/>
        </w:rPr>
      </w:pPr>
      <w:r w:rsidRPr="00115491">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rsidR="00436575" w:rsidRPr="00115491" w:rsidRDefault="007F1831">
      <w:pPr>
        <w:spacing w:after="0" w:line="276" w:lineRule="auto"/>
        <w:ind w:left="567" w:right="899"/>
        <w:jc w:val="both"/>
        <w:rPr>
          <w:rFonts w:ascii="Palatino Linotype" w:eastAsia="Palatino Linotype" w:hAnsi="Palatino Linotype" w:cs="Palatino Linotype"/>
          <w:b/>
          <w:i/>
        </w:rPr>
      </w:pPr>
      <w:r w:rsidRPr="00115491">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rsidR="00436575" w:rsidRPr="00115491" w:rsidRDefault="00436575">
      <w:pPr>
        <w:spacing w:after="0" w:line="360" w:lineRule="auto"/>
        <w:ind w:left="567"/>
        <w:jc w:val="both"/>
        <w:rPr>
          <w:rFonts w:ascii="Palatino Linotype" w:eastAsia="Palatino Linotype" w:hAnsi="Palatino Linotype" w:cs="Palatino Linotype"/>
        </w:rPr>
      </w:pPr>
    </w:p>
    <w:p w:rsidR="00436575" w:rsidRPr="00115491" w:rsidRDefault="007F1831">
      <w:pPr>
        <w:spacing w:after="0" w:line="360" w:lineRule="auto"/>
        <w:ind w:right="12"/>
        <w:jc w:val="both"/>
        <w:rPr>
          <w:rFonts w:ascii="Palatino Linotype" w:eastAsia="Palatino Linotype" w:hAnsi="Palatino Linotype" w:cs="Palatino Linotype"/>
          <w:b/>
        </w:rPr>
      </w:pPr>
      <w:r w:rsidRPr="00115491">
        <w:rPr>
          <w:rFonts w:ascii="Palatino Linotype" w:eastAsia="Palatino Linotype" w:hAnsi="Palatino Linotype" w:cs="Palatino Linotype"/>
        </w:rPr>
        <w:t xml:space="preserve">Dicho lo anterior, resulta necesario recordar que la pretensión de la parte Recurrente es obtener </w:t>
      </w:r>
      <w:r w:rsidRPr="00115491">
        <w:rPr>
          <w:rFonts w:ascii="Palatino Linotype" w:eastAsia="Palatino Linotype" w:hAnsi="Palatino Linotype" w:cs="Palatino Linotype"/>
          <w:b/>
        </w:rPr>
        <w:t xml:space="preserve">el nombre completo de la servidora pública referida en la solicitud de información, quien se encuentra adscrita a la Unidad de Asuntos Jurídicos y, que alguna vez estuvo encargada en escuelas particulares. </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En respuesta, la Unidad de Asuntos Jurídicos, señaló que, en virtud de que la información que </w:t>
      </w:r>
      <w:r w:rsidRPr="00115491">
        <w:rPr>
          <w:rFonts w:ascii="Palatino Linotype" w:eastAsia="Palatino Linotype" w:hAnsi="Palatino Linotype" w:cs="Palatino Linotype"/>
          <w:b/>
        </w:rPr>
        <w:t>se solicita es un Dato Personal que hace identificable a una persona</w:t>
      </w:r>
      <w:r w:rsidRPr="00115491">
        <w:rPr>
          <w:rFonts w:ascii="Palatino Linotype" w:eastAsia="Palatino Linotype" w:hAnsi="Palatino Linotype" w:cs="Palatino Linotype"/>
        </w:rPr>
        <w:t xml:space="preserve"> y no forma parte de la información pública de oficio que este Sujeto Obligado debe poner a disposición del público de manera permanente y actualizada, </w:t>
      </w:r>
      <w:r w:rsidRPr="00115491">
        <w:rPr>
          <w:rFonts w:ascii="Palatino Linotype" w:eastAsia="Palatino Linotype" w:hAnsi="Palatino Linotype" w:cs="Palatino Linotype"/>
          <w:b/>
        </w:rPr>
        <w:t>no es posible atender favorablemente su petición.</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Derivado de ello, la parte Recurrente, se inconformó arguyendo que, no se le había dado respuesta a la información solicitada. </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En atención a ello, el Sujeto Obligado ratificó su respuesta inicial.</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Dicho lo anterior, se procede a contextualizar la información requerida por el ahora Recurrente, la cual versa en obtener el nombre completo de una persona servidora pública. </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tabs>
          <w:tab w:val="left" w:pos="993"/>
        </w:tabs>
        <w:spacing w:after="0" w:line="360" w:lineRule="auto"/>
        <w:ind w:right="-28"/>
        <w:jc w:val="both"/>
        <w:rPr>
          <w:rFonts w:ascii="Palatino Linotype" w:eastAsia="Palatino Linotype" w:hAnsi="Palatino Linotype" w:cs="Palatino Linotype"/>
        </w:rPr>
      </w:pPr>
      <w:r w:rsidRPr="00115491">
        <w:rPr>
          <w:rFonts w:ascii="Palatino Linotype" w:eastAsia="Palatino Linotype" w:hAnsi="Palatino Linotype" w:cs="Palatino Linotype"/>
        </w:rPr>
        <w:t>Por lo anterior, es de señalar que los nombres de los servidores públicos, por regla general, es información de naturaleza pública, esto de acuerdo con lo que establecen la fracción VII, del artículo 92 de la Ley de Transparencia y Acceso a la Información Pública del Estado de México y Municipios, y las diversas VI del artículo 65 de la Ley General de Transparencia y Acceso a la Información Pública, tal como se aprecia a continuación:</w:t>
      </w:r>
    </w:p>
    <w:p w:rsidR="00436575" w:rsidRPr="00115491" w:rsidRDefault="00436575">
      <w:pPr>
        <w:tabs>
          <w:tab w:val="left" w:pos="993"/>
        </w:tabs>
        <w:spacing w:after="0" w:line="360" w:lineRule="auto"/>
        <w:ind w:right="-28"/>
        <w:jc w:val="both"/>
        <w:rPr>
          <w:rFonts w:ascii="Palatino Linotype" w:eastAsia="Palatino Linotype" w:hAnsi="Palatino Linotype" w:cs="Palatino Linotype"/>
        </w:rPr>
      </w:pPr>
    </w:p>
    <w:p w:rsidR="00436575" w:rsidRPr="00115491" w:rsidRDefault="007F1831">
      <w:pPr>
        <w:tabs>
          <w:tab w:val="left" w:pos="993"/>
        </w:tabs>
        <w:spacing w:after="0"/>
        <w:ind w:left="567" w:right="560"/>
        <w:jc w:val="both"/>
        <w:rPr>
          <w:rFonts w:ascii="Palatino Linotype" w:eastAsia="Palatino Linotype" w:hAnsi="Palatino Linotype" w:cs="Palatino Linotype"/>
          <w:i/>
        </w:rPr>
      </w:pPr>
      <w:r w:rsidRPr="00115491">
        <w:rPr>
          <w:rFonts w:ascii="Palatino Linotype" w:eastAsia="Palatino Linotype" w:hAnsi="Palatino Linotype" w:cs="Palatino Linotype"/>
          <w:b/>
          <w:i/>
        </w:rPr>
        <w:t>Artículo 92.</w:t>
      </w:r>
      <w:r w:rsidRPr="00115491">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15491">
        <w:rPr>
          <w:rFonts w:ascii="Palatino Linotype" w:eastAsia="Palatino Linotype" w:hAnsi="Palatino Linotype" w:cs="Palatino Linotype"/>
          <w:i/>
        </w:rPr>
        <w:br/>
        <w:t>…</w:t>
      </w:r>
    </w:p>
    <w:p w:rsidR="00436575" w:rsidRPr="00115491" w:rsidRDefault="007F1831">
      <w:pPr>
        <w:tabs>
          <w:tab w:val="left" w:pos="993"/>
        </w:tabs>
        <w:spacing w:after="0"/>
        <w:ind w:left="567" w:right="560"/>
        <w:jc w:val="both"/>
        <w:rPr>
          <w:rFonts w:ascii="Palatino Linotype" w:eastAsia="Palatino Linotype" w:hAnsi="Palatino Linotype" w:cs="Palatino Linotype"/>
          <w:i/>
        </w:rPr>
      </w:pPr>
      <w:r w:rsidRPr="00115491">
        <w:rPr>
          <w:rFonts w:ascii="Palatino Linotype" w:eastAsia="Palatino Linotype" w:hAnsi="Palatino Linotype" w:cs="Palatino Linotype"/>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436575" w:rsidRPr="00115491" w:rsidRDefault="007F1831">
      <w:pPr>
        <w:tabs>
          <w:tab w:val="left" w:pos="993"/>
        </w:tabs>
        <w:spacing w:after="0"/>
        <w:ind w:left="567" w:right="560"/>
        <w:jc w:val="both"/>
        <w:rPr>
          <w:rFonts w:ascii="Palatino Linotype" w:eastAsia="Palatino Linotype" w:hAnsi="Palatino Linotype" w:cs="Palatino Linotype"/>
          <w:i/>
        </w:rPr>
      </w:pPr>
      <w:r w:rsidRPr="00115491">
        <w:t>…</w:t>
      </w:r>
    </w:p>
    <w:p w:rsidR="00436575" w:rsidRPr="00115491" w:rsidRDefault="007F1831">
      <w:pPr>
        <w:tabs>
          <w:tab w:val="left" w:pos="993"/>
        </w:tabs>
        <w:spacing w:after="0"/>
        <w:ind w:left="567" w:right="560"/>
        <w:jc w:val="both"/>
        <w:rPr>
          <w:rFonts w:ascii="Palatino Linotype" w:eastAsia="Palatino Linotype" w:hAnsi="Palatino Linotype" w:cs="Palatino Linotype"/>
          <w:i/>
        </w:rPr>
      </w:pPr>
      <w:r w:rsidRPr="00115491">
        <w:rPr>
          <w:rFonts w:ascii="Palatino Linotype" w:eastAsia="Palatino Linotype" w:hAnsi="Palatino Linotype" w:cs="Palatino Linotype"/>
          <w:b/>
          <w:i/>
        </w:rPr>
        <w:t>Artículo 65.</w:t>
      </w:r>
      <w:r w:rsidRPr="00115491">
        <w:rPr>
          <w:rFonts w:ascii="Palatino Linotype" w:eastAsia="Palatino Linotype" w:hAnsi="Palatino Linotype" w:cs="Palatino Linotype"/>
          <w:i/>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rsidR="00436575" w:rsidRPr="00115491" w:rsidRDefault="007F1831">
      <w:pPr>
        <w:tabs>
          <w:tab w:val="left" w:pos="993"/>
        </w:tabs>
        <w:spacing w:after="0"/>
        <w:ind w:left="567" w:right="56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7F1831">
      <w:pPr>
        <w:tabs>
          <w:tab w:val="left" w:pos="993"/>
        </w:tabs>
        <w:spacing w:after="0"/>
        <w:ind w:left="567" w:right="560"/>
        <w:jc w:val="both"/>
        <w:rPr>
          <w:rFonts w:ascii="Palatino Linotype" w:eastAsia="Palatino Linotype" w:hAnsi="Palatino Linotype" w:cs="Palatino Linotype"/>
          <w:i/>
        </w:rPr>
      </w:pPr>
      <w:r w:rsidRPr="00115491">
        <w:rPr>
          <w:rFonts w:ascii="Palatino Linotype" w:eastAsia="Palatino Linotype" w:hAnsi="Palatino Linotype" w:cs="Palatino Linotype"/>
          <w:i/>
        </w:rPr>
        <w:t>VI. 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rsidR="00436575" w:rsidRPr="00115491" w:rsidRDefault="007F1831">
      <w:pPr>
        <w:tabs>
          <w:tab w:val="left" w:pos="993"/>
        </w:tabs>
        <w:spacing w:after="0" w:line="360" w:lineRule="auto"/>
        <w:ind w:right="-28"/>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En ese sentido, se colige que, esta información al corresponder a obligaciones de transparencia, su publicidad y entrega es obligatoria para los sujetos obligados, pues versa en información susceptible de ser transparentada, al ser de naturaleza e interés público. </w:t>
      </w:r>
    </w:p>
    <w:p w:rsidR="00436575" w:rsidRPr="00115491" w:rsidRDefault="00436575">
      <w:pPr>
        <w:tabs>
          <w:tab w:val="left" w:pos="993"/>
        </w:tabs>
        <w:spacing w:after="0" w:line="360" w:lineRule="auto"/>
        <w:ind w:right="-28"/>
        <w:jc w:val="both"/>
        <w:rPr>
          <w:rFonts w:ascii="Palatino Linotype" w:eastAsia="Palatino Linotype" w:hAnsi="Palatino Linotype" w:cs="Palatino Linotype"/>
        </w:rPr>
      </w:pPr>
    </w:p>
    <w:p w:rsidR="00436575" w:rsidRPr="00115491" w:rsidRDefault="007F1831">
      <w:pPr>
        <w:tabs>
          <w:tab w:val="left" w:pos="993"/>
        </w:tabs>
        <w:spacing w:after="0" w:line="360" w:lineRule="auto"/>
        <w:ind w:right="-28"/>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En lo que respecta al presente asunto, de la búsqueda realizada, se encontraron diversas notas como la Becas para el acumulado de escuelas particulares del SEIEM, en las que hacen referencia a una persona que coincide con la señalada en la solicitud de información, quien era la responsable del Sistema de Incorporación de Escuelas Particulares, unidad  dependiente de la Unidad de Asuntos Jurídicos e Igualdad de Género de Servicios Educativos Integrados al Estado de México. </w:t>
      </w:r>
    </w:p>
    <w:p w:rsidR="00436575" w:rsidRPr="00115491" w:rsidRDefault="00436575">
      <w:pPr>
        <w:tabs>
          <w:tab w:val="left" w:pos="993"/>
        </w:tabs>
        <w:spacing w:after="0" w:line="360" w:lineRule="auto"/>
        <w:ind w:right="-28"/>
        <w:jc w:val="both"/>
        <w:rPr>
          <w:rFonts w:ascii="Palatino Linotype" w:eastAsia="Palatino Linotype" w:hAnsi="Palatino Linotype" w:cs="Palatino Linotype"/>
        </w:rPr>
      </w:pPr>
    </w:p>
    <w:p w:rsidR="00436575" w:rsidRPr="00115491" w:rsidRDefault="007F1831">
      <w:pPr>
        <w:tabs>
          <w:tab w:val="left" w:pos="993"/>
        </w:tabs>
        <w:spacing w:after="0" w:line="360" w:lineRule="auto"/>
        <w:ind w:right="-28"/>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Ahora bien, en atención a los motivos de inconformidad hechos valer por la parte Recurrente, se tiene que, la Unidad de Asuntos Jurídicos, no negó la existencia de la  información solicitada, toda vez que, en su respuesta refirió que, la información que se requería se trataba de un dato personal y que no era posible atender a la petición debido a que, este dato no formaba parte de la información pública de oficio. </w:t>
      </w:r>
    </w:p>
    <w:p w:rsidR="00436575" w:rsidRPr="00115491" w:rsidRDefault="00436575">
      <w:pPr>
        <w:tabs>
          <w:tab w:val="left" w:pos="993"/>
        </w:tabs>
        <w:spacing w:after="0" w:line="360" w:lineRule="auto"/>
        <w:ind w:right="-28"/>
        <w:jc w:val="both"/>
        <w:rPr>
          <w:rFonts w:ascii="Palatino Linotype" w:eastAsia="Palatino Linotype" w:hAnsi="Palatino Linotype" w:cs="Palatino Linotype"/>
        </w:rPr>
      </w:pPr>
    </w:p>
    <w:p w:rsidR="00436575" w:rsidRPr="00115491" w:rsidRDefault="007F1831">
      <w:pPr>
        <w:tabs>
          <w:tab w:val="left" w:pos="993"/>
        </w:tabs>
        <w:spacing w:after="0" w:line="360" w:lineRule="auto"/>
        <w:ind w:right="-28"/>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Por ello, es me referir que, contrario a lo que sostiene la Unidad de Asuntos Jurídicos y como se previó anteriormente, el nombre de los servidores públicos es información que se relaciona con las obligaciones de transparencia común que los sujetos obligados deben de poner a disposiciones de los particulares de manera permanente. </w:t>
      </w:r>
    </w:p>
    <w:p w:rsidR="00436575" w:rsidRPr="00115491" w:rsidRDefault="00436575">
      <w:pPr>
        <w:tabs>
          <w:tab w:val="left" w:pos="993"/>
        </w:tabs>
        <w:spacing w:after="0" w:line="360" w:lineRule="auto"/>
        <w:ind w:right="-28"/>
        <w:jc w:val="both"/>
        <w:rPr>
          <w:rFonts w:ascii="Palatino Linotype" w:eastAsia="Palatino Linotype" w:hAnsi="Palatino Linotype" w:cs="Palatino Linotype"/>
        </w:rPr>
      </w:pPr>
    </w:p>
    <w:p w:rsidR="00436575" w:rsidRPr="00115491" w:rsidRDefault="007F1831">
      <w:pPr>
        <w:tabs>
          <w:tab w:val="left" w:pos="993"/>
        </w:tabs>
        <w:spacing w:after="0" w:line="360" w:lineRule="auto"/>
        <w:ind w:right="-28"/>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Por lo que, se considera que, el pronunciamiento de la Unidad de Asuntos Jurídicos, no es válido. </w:t>
      </w:r>
    </w:p>
    <w:p w:rsidR="00436575" w:rsidRPr="00115491" w:rsidRDefault="00436575">
      <w:pPr>
        <w:tabs>
          <w:tab w:val="left" w:pos="993"/>
        </w:tabs>
        <w:spacing w:after="0" w:line="360" w:lineRule="auto"/>
        <w:ind w:right="-28"/>
        <w:jc w:val="both"/>
        <w:rPr>
          <w:rFonts w:ascii="Palatino Linotype" w:eastAsia="Palatino Linotype" w:hAnsi="Palatino Linotype" w:cs="Palatino Linotype"/>
        </w:rPr>
      </w:pPr>
    </w:p>
    <w:p w:rsidR="00436575" w:rsidRPr="00115491" w:rsidRDefault="007F1831">
      <w:pPr>
        <w:tabs>
          <w:tab w:val="left" w:pos="993"/>
        </w:tabs>
        <w:spacing w:after="0" w:line="360" w:lineRule="auto"/>
        <w:ind w:right="-28"/>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Por otro lado, no pasa desapercibido mencionar que, para la atención de las solicitudes de acceso a la información, debe privilegiarse el </w:t>
      </w:r>
      <w:r w:rsidRPr="00115491">
        <w:rPr>
          <w:rFonts w:ascii="Palatino Linotype" w:eastAsia="Palatino Linotype" w:hAnsi="Palatino Linotype" w:cs="Palatino Linotype"/>
          <w:b/>
        </w:rPr>
        <w:t>principio de máxima publicidad</w:t>
      </w:r>
      <w:r w:rsidRPr="00115491">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numPr>
          <w:ilvl w:val="0"/>
          <w:numId w:val="1"/>
        </w:num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436575" w:rsidRPr="00115491" w:rsidRDefault="007F1831">
      <w:pPr>
        <w:numPr>
          <w:ilvl w:val="0"/>
          <w:numId w:val="1"/>
        </w:num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436575" w:rsidRPr="00115491" w:rsidRDefault="007F1831">
      <w:pPr>
        <w:numPr>
          <w:ilvl w:val="0"/>
          <w:numId w:val="1"/>
        </w:num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115491">
        <w:rPr>
          <w:rFonts w:ascii="Palatino Linotype" w:eastAsia="Palatino Linotype" w:hAnsi="Palatino Linotype" w:cs="Palatino Linotype"/>
          <w:b/>
        </w:rPr>
        <w:t>quince días, contados a partir del día siguiente a la presentación de ésta.</w:t>
      </w:r>
      <w:r w:rsidRPr="00115491">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rsidR="00436575" w:rsidRPr="00115491" w:rsidRDefault="007F1831">
      <w:pPr>
        <w:numPr>
          <w:ilvl w:val="0"/>
          <w:numId w:val="1"/>
        </w:numPr>
        <w:spacing w:after="0" w:line="360" w:lineRule="auto"/>
        <w:jc w:val="both"/>
        <w:rPr>
          <w:rFonts w:ascii="Palatino Linotype" w:eastAsia="Palatino Linotype" w:hAnsi="Palatino Linotype" w:cs="Palatino Linotype"/>
          <w:b/>
          <w:u w:val="single"/>
        </w:rPr>
      </w:pPr>
      <w:r w:rsidRPr="00115491">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436575" w:rsidRPr="00115491" w:rsidRDefault="007F1831">
      <w:pPr>
        <w:numPr>
          <w:ilvl w:val="0"/>
          <w:numId w:val="1"/>
        </w:numPr>
        <w:spacing w:after="0" w:line="360" w:lineRule="auto"/>
        <w:jc w:val="both"/>
        <w:rPr>
          <w:rFonts w:ascii="Palatino Linotype" w:eastAsia="Palatino Linotype" w:hAnsi="Palatino Linotype" w:cs="Palatino Linotype"/>
          <w:b/>
        </w:rPr>
      </w:pPr>
      <w:r w:rsidRPr="00115491">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436575" w:rsidRPr="00115491" w:rsidRDefault="007F1831">
      <w:pPr>
        <w:numPr>
          <w:ilvl w:val="0"/>
          <w:numId w:val="1"/>
        </w:numPr>
        <w:spacing w:after="0" w:line="360" w:lineRule="auto"/>
        <w:jc w:val="both"/>
        <w:rPr>
          <w:rFonts w:ascii="Palatino Linotype" w:eastAsia="Palatino Linotype" w:hAnsi="Palatino Linotype" w:cs="Palatino Linotype"/>
          <w:b/>
        </w:rPr>
      </w:pPr>
      <w:r w:rsidRPr="00115491">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436575" w:rsidRPr="00115491" w:rsidRDefault="00436575">
      <w:pPr>
        <w:spacing w:after="0" w:line="360" w:lineRule="auto"/>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115491">
        <w:rPr>
          <w:rFonts w:ascii="Palatino Linotype" w:eastAsia="Palatino Linotype" w:hAnsi="Palatino Linotype" w:cs="Palatino Linotype"/>
          <w:b/>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115491">
        <w:rPr>
          <w:rFonts w:ascii="Palatino Linotype" w:eastAsia="Palatino Linotype" w:hAnsi="Palatino Linotype" w:cs="Palatino Linotype"/>
        </w:rPr>
        <w:t xml:space="preserve">, como lo es, de manera enunciativa más no limitativa, la Dirección de Administración y Desarrollo de Personal, la cual de acuerdo con el Manual de Organización del Sujeto Obligado tiene como objetivo, asesorar, apoyar y verificar las acciones en materia de administración y desarrollo de personal, atención a problemas de pago y conciliación de nómina, que realizan las Subdirecciones de Servicios Regionales, conforme a las disposiciones jurídicas aplicables y procedimientos establecidos. </w:t>
      </w:r>
    </w:p>
    <w:p w:rsidR="00436575" w:rsidRPr="00115491" w:rsidRDefault="00436575">
      <w:pPr>
        <w:tabs>
          <w:tab w:val="left" w:pos="993"/>
        </w:tabs>
        <w:spacing w:after="0" w:line="360" w:lineRule="auto"/>
        <w:ind w:right="-28"/>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De lo anterior, se considera que, el Sujeto Obligado no llevó a cabo la búsqueda exhaustiva y razonable de la información solicitada y, fue restrictivo en su respuesta, al negarse a entregarla argumentando que se trataban de datos personales que no se relacionaban con información pública de oficio.</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xml:space="preserve">Por lo que, se considera que los agravios hechos valer por la parte Recurrente, devienen </w:t>
      </w:r>
      <w:r w:rsidRPr="00115491">
        <w:rPr>
          <w:rFonts w:ascii="Palatino Linotype" w:eastAsia="Palatino Linotype" w:hAnsi="Palatino Linotype" w:cs="Palatino Linotype"/>
          <w:b/>
        </w:rPr>
        <w:t xml:space="preserve">FUNDADOS </w:t>
      </w:r>
      <w:r w:rsidRPr="00115491">
        <w:rPr>
          <w:rFonts w:ascii="Palatino Linotype" w:eastAsia="Palatino Linotype" w:hAnsi="Palatino Linotype" w:cs="Palatino Linotype"/>
        </w:rPr>
        <w:t>y, por consiguiente, se determina ordenar la entrega de ser el caso, en versión pública, del documento donde conste el nombre completo de la persona referida a la solicitud de información adscrita a la Unidad de Asuntos Jurídicos e Igualdad de Género.</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Quinto. Versión Pública. </w:t>
      </w:r>
      <w:r w:rsidRPr="00115491">
        <w:rPr>
          <w:rFonts w:ascii="Palatino Linotype" w:eastAsia="Palatino Linotype" w:hAnsi="Palatino Linotype" w:cs="Palatino Linotype"/>
        </w:rPr>
        <w:t>Finalmente, para la entrega de la información que se determina ordenar, el Sujeto Obligado deberá realizar un análisis con la finalidad de advertir si esta contiene datos que deben ser clasificados en los términos que la misma Ley en la materia señala. </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rsidR="00436575" w:rsidRPr="00115491" w:rsidRDefault="007F1831">
      <w:pPr>
        <w:pBdr>
          <w:top w:val="nil"/>
          <w:left w:val="nil"/>
          <w:bottom w:val="nil"/>
          <w:right w:val="nil"/>
          <w:between w:val="nil"/>
        </w:pBdr>
        <w:spacing w:after="0" w:line="360" w:lineRule="auto"/>
        <w:ind w:right="30"/>
        <w:jc w:val="both"/>
        <w:rPr>
          <w:rFonts w:ascii="Palatino Linotype" w:eastAsia="Palatino Linotype" w:hAnsi="Palatino Linotype" w:cs="Palatino Linotype"/>
        </w:rPr>
      </w:pPr>
      <w:r w:rsidRPr="00115491">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436575" w:rsidRPr="00115491" w:rsidRDefault="007F1831">
      <w:pPr>
        <w:pBdr>
          <w:top w:val="nil"/>
          <w:left w:val="nil"/>
          <w:bottom w:val="nil"/>
          <w:right w:val="nil"/>
          <w:between w:val="nil"/>
        </w:pBdr>
        <w:spacing w:after="0" w:line="360" w:lineRule="auto"/>
        <w:ind w:right="30"/>
        <w:jc w:val="both"/>
        <w:rPr>
          <w:rFonts w:ascii="Palatino Linotype" w:eastAsia="Palatino Linotype" w:hAnsi="Palatino Linotype" w:cs="Palatino Linotype"/>
        </w:rPr>
      </w:pP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Artículo 3.</w:t>
      </w:r>
      <w:r w:rsidRPr="00115491">
        <w:rPr>
          <w:rFonts w:ascii="Palatino Linotype" w:eastAsia="Palatino Linotype" w:hAnsi="Palatino Linotype" w:cs="Palatino Linotype"/>
          <w:i/>
        </w:rPr>
        <w:t> Para los efectos de la presente Ley se entenderá por:</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IX. Datos personales: La información concerniente a una persona, identificada o identificable según lo dispuesto por la Ley de Protección de Datos Personales del Estado de México;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XX. Información clasificada: Aquella considerada por la presente Ley como reservada o confidencial;</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b/>
          <w:i/>
        </w:rPr>
        <w:t>Artículo 91.</w:t>
      </w:r>
      <w:r w:rsidRPr="00115491">
        <w:rPr>
          <w:rFonts w:ascii="Palatino Linotype" w:eastAsia="Palatino Linotype" w:hAnsi="Palatino Linotype" w:cs="Palatino Linotype"/>
          <w:i/>
        </w:rPr>
        <w:t> El acceso a la información pública será restringido excepcionalmente, cuando ésta sea clasificada como reservada o confidencial.</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b/>
          <w:i/>
        </w:rPr>
        <w:t>Artículo 132.</w:t>
      </w:r>
      <w:r w:rsidRPr="00115491">
        <w:rPr>
          <w:rFonts w:ascii="Palatino Linotype" w:eastAsia="Palatino Linotype" w:hAnsi="Palatino Linotype" w:cs="Palatino Linotype"/>
          <w:i/>
        </w:rPr>
        <w:t> La clasificación de la información se llevará a cabo en el momento en que:</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 Se reciba una solicitud de acceso a la información;</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 Se determine mediante resolución de autoridad competente; o</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III. Se generen versiones públicas para dar cumplimiento a las obligaciones de transparencia previstas en esta Ley.</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b/>
          <w:i/>
        </w:rPr>
        <w:t>Artículo 143</w:t>
      </w:r>
      <w:r w:rsidRPr="00115491">
        <w:rPr>
          <w:rFonts w:ascii="Palatino Linotype" w:eastAsia="Palatino Linotype" w:hAnsi="Palatino Linotype" w:cs="Palatino Linotype"/>
          <w:i/>
        </w:rPr>
        <w:t>. Para los efectos de esta Ley se considera información confidencial, la clasificada como tal, de manera permanente, por su naturaleza, cuando:</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III. La que presenten los particulares a los sujetos obligados, de conformidad con lo dispuesto por las leyes o los tratados internacionales.</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436575" w:rsidRPr="00115491" w:rsidRDefault="007F1831">
      <w:pPr>
        <w:pBdr>
          <w:top w:val="nil"/>
          <w:left w:val="nil"/>
          <w:bottom w:val="nil"/>
          <w:right w:val="nil"/>
          <w:between w:val="nil"/>
        </w:pBdr>
        <w:spacing w:after="0" w:line="360"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 </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Quincuagésimo</w:t>
      </w:r>
      <w:r w:rsidRPr="00115491">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b/>
          <w:i/>
        </w:rPr>
        <w:t>Quincuagésimo primero.</w:t>
      </w:r>
      <w:r w:rsidRPr="00115491">
        <w:rPr>
          <w:rFonts w:ascii="Palatino Linotype" w:eastAsia="Palatino Linotype" w:hAnsi="Palatino Linotype" w:cs="Palatino Linotype"/>
          <w:i/>
        </w:rPr>
        <w:t> Toda acta del Comité de Transparencia deberá contener: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 El número de sesión y fecha;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 El nombre del área que solicitó la clasificación de información;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III. La fundamentación legal y motivación correspondiente;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IV. La resolución o resoluciones aprobadas; y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V. La rúbrica o firma digital de cada integrante del Comité de Transparencia.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 Los motivos y razonamientos que sustenten la confirmación o modificación de la prueba de daño;</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 Descripción de las partes o secciones reservadas, en caso de clasificación parcial;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III. El periodo por el que mantendrá su clasificación y fecha de expiración; y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IV. El nombre del titular y área encargada de realizar la versión pública del documento, en su caso.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En los casos en que se clasifique la información como reservada siempre se entregará o anexará la prueba de daño con la respuesta al solicitante.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b/>
          <w:i/>
        </w:rPr>
        <w:t>Quincuagésimo segundo.</w:t>
      </w:r>
      <w:r w:rsidRPr="00115491">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 Fijar la fecha en que se elaboró la versión pública y la fecha en la cual el Comité de Transparencia confirmó dicha versión;</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III. Señalar las personas o instancias autorizadas a acceder a la información clasificada.</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r w:rsidRPr="00115491">
        <w:rPr>
          <w:rFonts w:ascii="Palatino Linotype" w:eastAsia="Palatino Linotype" w:hAnsi="Palatino Linotype" w:cs="Palatino Linotype"/>
          <w:b/>
          <w:i/>
        </w:rPr>
        <w:t>Quincuagésimo cuarto.</w:t>
      </w:r>
      <w:r w:rsidRPr="00115491">
        <w:rPr>
          <w:rFonts w:ascii="Palatino Linotype" w:eastAsia="Palatino Linotype" w:hAnsi="Palatino Linotype" w:cs="Palatino Linotype"/>
          <w:i/>
        </w:rPr>
        <w:t>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b/>
          <w:i/>
        </w:rPr>
        <w:t>Quincuagésimo quinto.</w:t>
      </w:r>
      <w:r w:rsidRPr="00115491">
        <w:rPr>
          <w:rFonts w:ascii="Palatino Linotype" w:eastAsia="Palatino Linotype" w:hAnsi="Palatino Linotype" w:cs="Palatino Linotype"/>
          <w:i/>
        </w:rPr>
        <w:t>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b/>
          <w:i/>
        </w:rPr>
        <w:t>Quincuagésimo séptimo.</w:t>
      </w:r>
      <w:r w:rsidRPr="00115491">
        <w:rPr>
          <w:rFonts w:ascii="Palatino Linotype" w:eastAsia="Palatino Linotype" w:hAnsi="Palatino Linotype" w:cs="Palatino Linotype"/>
          <w:i/>
        </w:rPr>
        <w:t> Se considera, en principio, como información pública y no podrá omitirse de las versiones públicas la siguiente: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 La relativa a las Obligaciones de Transparencia que contempla el Título V de la Ley General y las demás disposiciones legales aplicables;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Lo anterior, siempre y cuando no se acredite alguna causal de clasificación, prevista en las leyes o en los tratados internacionales suscritas por el Estado mexicano.  </w:t>
      </w:r>
    </w:p>
    <w:p w:rsidR="00436575" w:rsidRPr="00115491" w:rsidRDefault="007F1831">
      <w:pPr>
        <w:pBdr>
          <w:top w:val="nil"/>
          <w:left w:val="nil"/>
          <w:bottom w:val="nil"/>
          <w:right w:val="nil"/>
          <w:between w:val="nil"/>
        </w:pBdr>
        <w:spacing w:after="0" w:line="276" w:lineRule="auto"/>
        <w:ind w:left="420" w:right="450"/>
        <w:jc w:val="both"/>
        <w:rPr>
          <w:rFonts w:ascii="Palatino Linotype" w:eastAsia="Palatino Linotype" w:hAnsi="Palatino Linotype" w:cs="Palatino Linotype"/>
          <w:i/>
        </w:rPr>
      </w:pPr>
      <w:r w:rsidRPr="00115491">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rsidR="00436575" w:rsidRPr="00115491" w:rsidRDefault="00436575">
      <w:pPr>
        <w:pBdr>
          <w:top w:val="nil"/>
          <w:left w:val="nil"/>
          <w:bottom w:val="nil"/>
          <w:right w:val="nil"/>
          <w:between w:val="nil"/>
        </w:pBdr>
        <w:spacing w:after="0" w:line="360" w:lineRule="auto"/>
        <w:jc w:val="both"/>
        <w:rPr>
          <w:rFonts w:ascii="Palatino Linotype" w:eastAsia="Palatino Linotype" w:hAnsi="Palatino Linotype" w:cs="Palatino Linotype"/>
        </w:rPr>
      </w:pP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436575" w:rsidRPr="00115491" w:rsidRDefault="007F1831">
      <w:pPr>
        <w:pBdr>
          <w:top w:val="nil"/>
          <w:left w:val="nil"/>
          <w:bottom w:val="nil"/>
          <w:right w:val="nil"/>
          <w:between w:val="nil"/>
        </w:pBdr>
        <w:spacing w:after="0" w:line="360" w:lineRule="auto"/>
        <w:ind w:right="30"/>
        <w:jc w:val="both"/>
        <w:rPr>
          <w:rFonts w:ascii="Palatino Linotype" w:eastAsia="Palatino Linotype" w:hAnsi="Palatino Linotype" w:cs="Palatino Linotype"/>
        </w:rPr>
      </w:pP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360" w:lineRule="auto"/>
        <w:ind w:right="30"/>
        <w:jc w:val="both"/>
        <w:rPr>
          <w:rFonts w:ascii="Palatino Linotype" w:eastAsia="Palatino Linotype" w:hAnsi="Palatino Linotype" w:cs="Palatino Linotype"/>
        </w:rPr>
      </w:pPr>
      <w:r w:rsidRPr="00115491">
        <w:rPr>
          <w:rFonts w:ascii="Palatino Linotype" w:eastAsia="Palatino Linotype" w:hAnsi="Palatino Linotype" w:cs="Palatino Linotype"/>
        </w:rPr>
        <w:t>Es así como, en mérito de lo expuesto en líneas anteriores, resultan fundadas las razones o motivos de inconformidad hechos valer por la parte Recurrente dentro del recurso de revisión 0</w:t>
      </w:r>
      <w:r w:rsidRPr="00115491">
        <w:rPr>
          <w:rFonts w:ascii="Palatino Linotype" w:eastAsia="Palatino Linotype" w:hAnsi="Palatino Linotype" w:cs="Palatino Linotype"/>
          <w:b/>
        </w:rPr>
        <w:t>6649/INFOEM/IP/RR/2025</w:t>
      </w:r>
      <w:r w:rsidRPr="00115491">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 </w:t>
      </w:r>
      <w:r w:rsidRPr="00115491">
        <w:rPr>
          <w:rFonts w:ascii="Palatino Linotype" w:eastAsia="Palatino Linotype" w:hAnsi="Palatino Linotype" w:cs="Palatino Linotype"/>
          <w:b/>
        </w:rPr>
        <w:t>REVOCA </w:t>
      </w:r>
      <w:r w:rsidRPr="00115491">
        <w:rPr>
          <w:rFonts w:ascii="Palatino Linotype" w:eastAsia="Palatino Linotype" w:hAnsi="Palatino Linotype" w:cs="Palatino Linotype"/>
        </w:rPr>
        <w:t>la respuesta a la solicitud de información número</w:t>
      </w:r>
      <w:r w:rsidRPr="00115491">
        <w:rPr>
          <w:rFonts w:ascii="Palatino Linotype" w:eastAsia="Palatino Linotype" w:hAnsi="Palatino Linotype" w:cs="Palatino Linotype"/>
          <w:b/>
        </w:rPr>
        <w:t> 00115/SEIEM/IP/2025</w:t>
      </w:r>
      <w:r w:rsidRPr="00115491">
        <w:rPr>
          <w:rFonts w:ascii="Palatino Linotype" w:eastAsia="Palatino Linotype" w:hAnsi="Palatino Linotype" w:cs="Palatino Linotype"/>
        </w:rPr>
        <w:t>. </w:t>
      </w:r>
    </w:p>
    <w:p w:rsidR="00436575" w:rsidRPr="00115491" w:rsidRDefault="007F1831">
      <w:pPr>
        <w:pBdr>
          <w:top w:val="nil"/>
          <w:left w:val="nil"/>
          <w:bottom w:val="nil"/>
          <w:right w:val="nil"/>
          <w:between w:val="nil"/>
        </w:pBdr>
        <w:spacing w:after="0" w:line="360" w:lineRule="auto"/>
        <w:ind w:right="30"/>
        <w:jc w:val="both"/>
        <w:rPr>
          <w:rFonts w:ascii="Palatino Linotype" w:eastAsia="Palatino Linotype" w:hAnsi="Palatino Linotype" w:cs="Palatino Linotype"/>
          <w:b/>
        </w:rPr>
      </w:pPr>
      <w:r w:rsidRPr="00115491">
        <w:rPr>
          <w:rFonts w:ascii="Palatino Linotype" w:eastAsia="Palatino Linotype" w:hAnsi="Palatino Linotype" w:cs="Palatino Linotype"/>
          <w:b/>
        </w:rPr>
        <w:t> </w:t>
      </w: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36575" w:rsidRPr="00115491" w:rsidRDefault="007F1831">
      <w:pPr>
        <w:spacing w:after="0" w:line="360" w:lineRule="auto"/>
        <w:ind w:right="49"/>
        <w:jc w:val="center"/>
        <w:rPr>
          <w:rFonts w:ascii="Palatino Linotype" w:eastAsia="Palatino Linotype" w:hAnsi="Palatino Linotype" w:cs="Palatino Linotype"/>
          <w:b/>
        </w:rPr>
      </w:pPr>
      <w:r w:rsidRPr="00115491">
        <w:rPr>
          <w:rFonts w:ascii="Palatino Linotype" w:eastAsia="Palatino Linotype" w:hAnsi="Palatino Linotype" w:cs="Palatino Linotype"/>
          <w:b/>
        </w:rPr>
        <w:t>III.</w:t>
      </w:r>
      <w:r w:rsidRPr="00115491">
        <w:rPr>
          <w:rFonts w:ascii="Palatino Linotype" w:eastAsia="Palatino Linotype" w:hAnsi="Palatino Linotype" w:cs="Palatino Linotype"/>
          <w:b/>
        </w:rPr>
        <w:tab/>
        <w:t>R E S U E L V E:</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ind w:right="49"/>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PRIMERO. </w:t>
      </w:r>
      <w:r w:rsidRPr="00115491">
        <w:rPr>
          <w:rFonts w:ascii="Palatino Linotype" w:eastAsia="Palatino Linotype" w:hAnsi="Palatino Linotype" w:cs="Palatino Linotype"/>
        </w:rPr>
        <w:t>Se</w:t>
      </w:r>
      <w:r w:rsidRPr="00115491">
        <w:rPr>
          <w:rFonts w:ascii="Palatino Linotype" w:eastAsia="Palatino Linotype" w:hAnsi="Palatino Linotype" w:cs="Palatino Linotype"/>
          <w:b/>
        </w:rPr>
        <w:t xml:space="preserve"> REVOCA </w:t>
      </w:r>
      <w:r w:rsidRPr="00115491">
        <w:rPr>
          <w:rFonts w:ascii="Palatino Linotype" w:eastAsia="Palatino Linotype" w:hAnsi="Palatino Linotype" w:cs="Palatino Linotype"/>
        </w:rPr>
        <w:t xml:space="preserve">la respuesta entregada por </w:t>
      </w:r>
      <w:r w:rsidRPr="00115491">
        <w:rPr>
          <w:rFonts w:ascii="Palatino Linotype" w:eastAsia="Palatino Linotype" w:hAnsi="Palatino Linotype" w:cs="Palatino Linotype"/>
          <w:b/>
        </w:rPr>
        <w:t xml:space="preserve">EL SUJETO OBLIGADO </w:t>
      </w:r>
      <w:r w:rsidRPr="00115491">
        <w:rPr>
          <w:rFonts w:ascii="Palatino Linotype" w:eastAsia="Palatino Linotype" w:hAnsi="Palatino Linotype" w:cs="Palatino Linotype"/>
        </w:rPr>
        <w:t xml:space="preserve">a la solicitud de información </w:t>
      </w:r>
      <w:r w:rsidRPr="00115491">
        <w:rPr>
          <w:rFonts w:ascii="Palatino Linotype" w:eastAsia="Palatino Linotype" w:hAnsi="Palatino Linotype" w:cs="Palatino Linotype"/>
          <w:b/>
        </w:rPr>
        <w:t xml:space="preserve">00115/SEIEM/IP/2025, </w:t>
      </w:r>
      <w:r w:rsidRPr="00115491">
        <w:rPr>
          <w:rFonts w:ascii="Palatino Linotype" w:eastAsia="Palatino Linotype" w:hAnsi="Palatino Linotype" w:cs="Palatino Linotype"/>
        </w:rPr>
        <w:t xml:space="preserve">por resultar parcialmente fundadas las razones o motivos de inconformidad hechos valer por la parte </w:t>
      </w:r>
      <w:r w:rsidRPr="00115491">
        <w:rPr>
          <w:rFonts w:ascii="Palatino Linotype" w:eastAsia="Palatino Linotype" w:hAnsi="Palatino Linotype" w:cs="Palatino Linotype"/>
          <w:b/>
        </w:rPr>
        <w:t xml:space="preserve">RECURRENTE, </w:t>
      </w:r>
      <w:r w:rsidRPr="00115491">
        <w:rPr>
          <w:rFonts w:ascii="Palatino Linotype" w:eastAsia="Palatino Linotype" w:hAnsi="Palatino Linotype" w:cs="Palatino Linotype"/>
        </w:rPr>
        <w:t xml:space="preserve">en el Recurso de Revisión </w:t>
      </w:r>
      <w:r w:rsidRPr="00115491">
        <w:rPr>
          <w:rFonts w:ascii="Palatino Linotype" w:eastAsia="Palatino Linotype" w:hAnsi="Palatino Linotype" w:cs="Palatino Linotype"/>
          <w:b/>
        </w:rPr>
        <w:t>06649/INFOEM/IP/RR/2025,</w:t>
      </w:r>
      <w:r w:rsidRPr="00115491">
        <w:rPr>
          <w:rFonts w:ascii="Palatino Linotype" w:eastAsia="Palatino Linotype" w:hAnsi="Palatino Linotype" w:cs="Palatino Linotype"/>
        </w:rPr>
        <w:t xml:space="preserve"> en términos del considerando </w:t>
      </w:r>
      <w:r w:rsidRPr="00115491">
        <w:rPr>
          <w:rFonts w:ascii="Palatino Linotype" w:eastAsia="Palatino Linotype" w:hAnsi="Palatino Linotype" w:cs="Palatino Linotype"/>
          <w:b/>
        </w:rPr>
        <w:t>Cuarto</w:t>
      </w:r>
      <w:r w:rsidRPr="00115491">
        <w:rPr>
          <w:rFonts w:ascii="Palatino Linotype" w:eastAsia="Palatino Linotype" w:hAnsi="Palatino Linotype" w:cs="Palatino Linotype"/>
        </w:rPr>
        <w:t xml:space="preserve"> de la presente Resolución.</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SEGUNDO. </w:t>
      </w:r>
      <w:r w:rsidRPr="00115491">
        <w:rPr>
          <w:rFonts w:ascii="Palatino Linotype" w:eastAsia="Palatino Linotype" w:hAnsi="Palatino Linotype" w:cs="Palatino Linotype"/>
        </w:rPr>
        <w:t>Se</w:t>
      </w:r>
      <w:r w:rsidRPr="00115491">
        <w:rPr>
          <w:rFonts w:ascii="Palatino Linotype" w:eastAsia="Palatino Linotype" w:hAnsi="Palatino Linotype" w:cs="Palatino Linotype"/>
          <w:b/>
        </w:rPr>
        <w:t xml:space="preserve"> ORDENA </w:t>
      </w:r>
      <w:r w:rsidRPr="00115491">
        <w:rPr>
          <w:rFonts w:ascii="Palatino Linotype" w:eastAsia="Palatino Linotype" w:hAnsi="Palatino Linotype" w:cs="Palatino Linotype"/>
        </w:rPr>
        <w:t xml:space="preserve">al </w:t>
      </w:r>
      <w:r w:rsidRPr="00115491">
        <w:rPr>
          <w:rFonts w:ascii="Palatino Linotype" w:eastAsia="Palatino Linotype" w:hAnsi="Palatino Linotype" w:cs="Palatino Linotype"/>
          <w:b/>
        </w:rPr>
        <w:t>SUJETO OBLIGADO</w:t>
      </w:r>
      <w:r w:rsidRPr="00115491">
        <w:rPr>
          <w:rFonts w:ascii="Palatino Linotype" w:eastAsia="Palatino Linotype" w:hAnsi="Palatino Linotype" w:cs="Palatino Linotype"/>
        </w:rPr>
        <w:t xml:space="preserve"> a que,</w:t>
      </w:r>
      <w:r w:rsidRPr="00115491">
        <w:rPr>
          <w:rFonts w:ascii="Palatino Linotype" w:eastAsia="Palatino Linotype" w:hAnsi="Palatino Linotype" w:cs="Palatino Linotype"/>
          <w:b/>
        </w:rPr>
        <w:t xml:space="preserve"> </w:t>
      </w:r>
      <w:r w:rsidRPr="00115491">
        <w:rPr>
          <w:rFonts w:ascii="Palatino Linotype" w:eastAsia="Palatino Linotype" w:hAnsi="Palatino Linotype" w:cs="Palatino Linotype"/>
        </w:rPr>
        <w:t xml:space="preserve">en términos del Considerando Cuarto, haga entrega, vía Sistema de Acceso a la Información Mexiquense (SAIMEX), de lo siguiente: </w:t>
      </w:r>
    </w:p>
    <w:p w:rsidR="00436575" w:rsidRPr="00115491" w:rsidRDefault="00436575">
      <w:pPr>
        <w:pBdr>
          <w:top w:val="nil"/>
          <w:left w:val="nil"/>
          <w:bottom w:val="nil"/>
          <w:right w:val="nil"/>
          <w:between w:val="nil"/>
        </w:pBdr>
        <w:spacing w:after="0" w:line="360" w:lineRule="auto"/>
        <w:jc w:val="both"/>
        <w:rPr>
          <w:rFonts w:ascii="Palatino Linotype" w:eastAsia="Palatino Linotype" w:hAnsi="Palatino Linotype" w:cs="Palatino Linotype"/>
        </w:rPr>
      </w:pPr>
    </w:p>
    <w:p w:rsidR="00436575" w:rsidRPr="00115491" w:rsidRDefault="007F1831">
      <w:pPr>
        <w:numPr>
          <w:ilvl w:val="0"/>
          <w:numId w:val="2"/>
        </w:numPr>
        <w:pBdr>
          <w:top w:val="nil"/>
          <w:left w:val="nil"/>
          <w:bottom w:val="nil"/>
          <w:right w:val="nil"/>
          <w:between w:val="nil"/>
        </w:pBdr>
        <w:tabs>
          <w:tab w:val="left" w:pos="4962"/>
        </w:tabs>
        <w:spacing w:after="0" w:line="360" w:lineRule="auto"/>
        <w:ind w:right="616"/>
        <w:jc w:val="both"/>
        <w:rPr>
          <w:rFonts w:ascii="Palatino Linotype" w:eastAsia="Palatino Linotype" w:hAnsi="Palatino Linotype" w:cs="Palatino Linotype"/>
        </w:rPr>
      </w:pPr>
      <w:r w:rsidRPr="00115491">
        <w:rPr>
          <w:rFonts w:ascii="Palatino Linotype" w:eastAsia="Palatino Linotype" w:hAnsi="Palatino Linotype" w:cs="Palatino Linotype"/>
        </w:rPr>
        <w:t>Documento donde conste el nombre completo de la persona referida a la solicitud de información adscrita a la Unidad de Asuntos Jurídicos e Igualdad de Género.</w:t>
      </w:r>
    </w:p>
    <w:p w:rsidR="00436575" w:rsidRPr="00115491" w:rsidRDefault="00436575">
      <w:pPr>
        <w:pBdr>
          <w:top w:val="nil"/>
          <w:left w:val="nil"/>
          <w:bottom w:val="nil"/>
          <w:right w:val="nil"/>
          <w:between w:val="nil"/>
        </w:pBdr>
        <w:tabs>
          <w:tab w:val="left" w:pos="4962"/>
        </w:tabs>
        <w:spacing w:after="0" w:line="360" w:lineRule="auto"/>
        <w:ind w:left="720" w:right="616"/>
        <w:jc w:val="both"/>
        <w:rPr>
          <w:rFonts w:ascii="Palatino Linotype" w:eastAsia="Palatino Linotype" w:hAnsi="Palatino Linotype" w:cs="Palatino Linotype"/>
        </w:rPr>
      </w:pPr>
    </w:p>
    <w:p w:rsidR="00436575" w:rsidRPr="00115491" w:rsidRDefault="007F1831">
      <w:pPr>
        <w:spacing w:after="0" w:line="276" w:lineRule="auto"/>
        <w:ind w:left="567" w:right="560"/>
        <w:jc w:val="both"/>
        <w:rPr>
          <w:rFonts w:ascii="Palatino Linotype" w:eastAsia="Palatino Linotype" w:hAnsi="Palatino Linotype" w:cs="Palatino Linotype"/>
          <w:i/>
        </w:rPr>
      </w:pPr>
      <w:r w:rsidRPr="00115491">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436575" w:rsidRPr="00115491" w:rsidRDefault="00436575">
      <w:pPr>
        <w:pBdr>
          <w:top w:val="nil"/>
          <w:left w:val="nil"/>
          <w:bottom w:val="nil"/>
          <w:right w:val="nil"/>
          <w:between w:val="nil"/>
        </w:pBdr>
        <w:tabs>
          <w:tab w:val="left" w:pos="4962"/>
        </w:tabs>
        <w:spacing w:after="0" w:line="360" w:lineRule="auto"/>
        <w:ind w:left="720" w:right="616"/>
        <w:jc w:val="both"/>
        <w:rPr>
          <w:rFonts w:ascii="Palatino Linotype" w:eastAsia="Palatino Linotype" w:hAnsi="Palatino Linotype" w:cs="Palatino Linotype"/>
        </w:rPr>
      </w:pPr>
    </w:p>
    <w:p w:rsidR="00436575" w:rsidRPr="00115491" w:rsidRDefault="007F1831">
      <w:pPr>
        <w:pBdr>
          <w:top w:val="nil"/>
          <w:left w:val="nil"/>
          <w:bottom w:val="nil"/>
          <w:right w:val="nil"/>
          <w:between w:val="nil"/>
        </w:pBdr>
        <w:spacing w:after="0" w:line="360" w:lineRule="auto"/>
        <w:ind w:right="30"/>
        <w:jc w:val="both"/>
        <w:rPr>
          <w:rFonts w:ascii="Palatino Linotype" w:eastAsia="Palatino Linotype" w:hAnsi="Palatino Linotype" w:cs="Palatino Linotype"/>
        </w:rPr>
      </w:pPr>
      <w:r w:rsidRPr="00115491">
        <w:rPr>
          <w:rFonts w:ascii="Palatino Linotype" w:eastAsia="Palatino Linotype" w:hAnsi="Palatino Linotype" w:cs="Palatino Linotype"/>
          <w:b/>
        </w:rPr>
        <w:t>Tercero.</w:t>
      </w:r>
      <w:r w:rsidRPr="00115491">
        <w:rPr>
          <w:rFonts w:ascii="Palatino Linotype" w:eastAsia="Palatino Linotype" w:hAnsi="Palatino Linotype" w:cs="Palatino Linotype"/>
        </w:rPr>
        <w:t> </w:t>
      </w:r>
      <w:r w:rsidRPr="00115491">
        <w:rPr>
          <w:rFonts w:ascii="Palatino Linotype" w:eastAsia="Palatino Linotype" w:hAnsi="Palatino Linotype" w:cs="Palatino Linotype"/>
          <w:b/>
        </w:rPr>
        <w:t>Notifíquese vía SAIMEX </w:t>
      </w:r>
      <w:r w:rsidRPr="00115491">
        <w:rPr>
          <w:rFonts w:ascii="Palatino Linotype" w:eastAsia="Palatino Linotype" w:hAnsi="Palatino Linotype" w:cs="Palatino Linotype"/>
        </w:rPr>
        <w:t>la presente resolución al T</w:t>
      </w:r>
      <w:r w:rsidRPr="00115491">
        <w:rPr>
          <w:rFonts w:ascii="Palatino Linotype" w:eastAsia="Palatino Linotype" w:hAnsi="Palatino Linotype" w:cs="Palatino Linotype"/>
          <w:b/>
        </w:rPr>
        <w:t>itular de la Unidad de Transparencia </w:t>
      </w:r>
      <w:r w:rsidRPr="00115491">
        <w:rPr>
          <w:rFonts w:ascii="Palatino Linotype" w:eastAsia="Palatino Linotype" w:hAnsi="Palatino Linotype" w:cs="Palatino Linotype"/>
        </w:rPr>
        <w:t>del </w:t>
      </w:r>
      <w:r w:rsidRPr="00115491">
        <w:rPr>
          <w:rFonts w:ascii="Palatino Linotype" w:eastAsia="Palatino Linotype" w:hAnsi="Palatino Linotype" w:cs="Palatino Linotype"/>
          <w:b/>
        </w:rPr>
        <w:t>Sujeto Obligado</w:t>
      </w:r>
      <w:r w:rsidRPr="0011549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rsidR="00436575" w:rsidRPr="00115491" w:rsidRDefault="007F1831">
      <w:pPr>
        <w:pBdr>
          <w:top w:val="nil"/>
          <w:left w:val="nil"/>
          <w:bottom w:val="nil"/>
          <w:right w:val="nil"/>
          <w:between w:val="nil"/>
        </w:pBdr>
        <w:spacing w:after="0" w:line="240" w:lineRule="auto"/>
        <w:ind w:right="30"/>
        <w:jc w:val="both"/>
        <w:rPr>
          <w:rFonts w:ascii="Palatino Linotype" w:eastAsia="Palatino Linotype" w:hAnsi="Palatino Linotype" w:cs="Palatino Linotype"/>
          <w:sz w:val="18"/>
          <w:szCs w:val="18"/>
        </w:rPr>
      </w:pPr>
      <w:r w:rsidRPr="00115491">
        <w:rPr>
          <w:rFonts w:ascii="Palatino Linotype" w:eastAsia="Palatino Linotype" w:hAnsi="Palatino Linotype" w:cs="Palatino Linotype"/>
          <w:sz w:val="18"/>
          <w:szCs w:val="18"/>
        </w:rPr>
        <w:t> </w:t>
      </w:r>
    </w:p>
    <w:p w:rsidR="00436575" w:rsidRPr="00115491" w:rsidRDefault="00436575">
      <w:pPr>
        <w:spacing w:after="0" w:line="360" w:lineRule="auto"/>
        <w:ind w:right="49"/>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Cuarto. Notifíquese vía SAIMEX, </w:t>
      </w:r>
      <w:r w:rsidRPr="00115491">
        <w:rPr>
          <w:rFonts w:ascii="Palatino Linotype" w:eastAsia="Palatino Linotype" w:hAnsi="Palatino Linotype" w:cs="Palatino Linotype"/>
        </w:rPr>
        <w:t xml:space="preserve">a la parte </w:t>
      </w:r>
      <w:r w:rsidRPr="00115491">
        <w:rPr>
          <w:rFonts w:ascii="Palatino Linotype" w:eastAsia="Palatino Linotype" w:hAnsi="Palatino Linotype" w:cs="Palatino Linotype"/>
          <w:b/>
        </w:rPr>
        <w:t xml:space="preserve">Recurrente </w:t>
      </w:r>
      <w:r w:rsidRPr="0011549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36575" w:rsidRPr="00115491" w:rsidRDefault="00436575">
      <w:pPr>
        <w:spacing w:after="0" w:line="360" w:lineRule="auto"/>
        <w:jc w:val="both"/>
        <w:rPr>
          <w:rFonts w:ascii="Palatino Linotype" w:eastAsia="Palatino Linotype" w:hAnsi="Palatino Linotype" w:cs="Palatino Linotype"/>
        </w:rPr>
      </w:pPr>
    </w:p>
    <w:p w:rsidR="00436575" w:rsidRPr="00115491" w:rsidRDefault="007F1831">
      <w:pPr>
        <w:spacing w:after="0" w:line="360" w:lineRule="auto"/>
        <w:jc w:val="both"/>
        <w:rPr>
          <w:rFonts w:ascii="Palatino Linotype" w:eastAsia="Palatino Linotype" w:hAnsi="Palatino Linotype" w:cs="Palatino Linotype"/>
        </w:rPr>
      </w:pPr>
      <w:r w:rsidRPr="00115491">
        <w:rPr>
          <w:rFonts w:ascii="Palatino Linotype" w:eastAsia="Palatino Linotype" w:hAnsi="Palatino Linotype" w:cs="Palatino Linotype"/>
          <w:b/>
        </w:rPr>
        <w:t xml:space="preserve">Quinto. Notifíquese vía SAIMEX </w:t>
      </w:r>
      <w:r w:rsidRPr="00115491">
        <w:rPr>
          <w:rFonts w:ascii="Palatino Linotype" w:eastAsia="Palatino Linotype" w:hAnsi="Palatino Linotype" w:cs="Palatino Linotype"/>
        </w:rPr>
        <w:t>la presente resolución al T</w:t>
      </w:r>
      <w:r w:rsidRPr="00115491">
        <w:rPr>
          <w:rFonts w:ascii="Palatino Linotype" w:eastAsia="Palatino Linotype" w:hAnsi="Palatino Linotype" w:cs="Palatino Linotype"/>
          <w:b/>
        </w:rPr>
        <w:t xml:space="preserve">itular de la Unidad de Transparencia </w:t>
      </w:r>
      <w:r w:rsidRPr="00115491">
        <w:rPr>
          <w:rFonts w:ascii="Palatino Linotype" w:eastAsia="Palatino Linotype" w:hAnsi="Palatino Linotype" w:cs="Palatino Linotype"/>
        </w:rPr>
        <w:t xml:space="preserve">del </w:t>
      </w:r>
      <w:r w:rsidRPr="00115491">
        <w:rPr>
          <w:rFonts w:ascii="Palatino Linotype" w:eastAsia="Palatino Linotype" w:hAnsi="Palatino Linotype" w:cs="Palatino Linotype"/>
          <w:b/>
        </w:rPr>
        <w:t xml:space="preserve">SUJETO OBLIGADO </w:t>
      </w:r>
      <w:r w:rsidRPr="00115491">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436575" w:rsidRPr="00115491" w:rsidRDefault="00436575">
      <w:pPr>
        <w:spacing w:after="0" w:line="360" w:lineRule="auto"/>
        <w:ind w:right="49"/>
        <w:jc w:val="both"/>
        <w:rPr>
          <w:rFonts w:ascii="Palatino Linotype" w:eastAsia="Palatino Linotype" w:hAnsi="Palatino Linotype" w:cs="Palatino Linotype"/>
        </w:rPr>
      </w:pPr>
    </w:p>
    <w:p w:rsidR="00115491" w:rsidRDefault="007F1831">
      <w:pPr>
        <w:spacing w:after="0" w:line="360" w:lineRule="auto"/>
        <w:ind w:right="-93"/>
        <w:jc w:val="both"/>
        <w:rPr>
          <w:rFonts w:ascii="Palatino Linotype" w:eastAsia="Palatino Linotype" w:hAnsi="Palatino Linotype" w:cs="Palatino Linotype"/>
        </w:rPr>
      </w:pPr>
      <w:bookmarkStart w:id="2" w:name="_heading=h.vwp640olbyv8" w:colFirst="0" w:colLast="0"/>
      <w:bookmarkEnd w:id="2"/>
      <w:r w:rsidRPr="0011549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rsidR="00115491" w:rsidRDefault="00115491">
      <w:pPr>
        <w:spacing w:after="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br w:type="page"/>
      </w:r>
    </w:p>
    <w:p w:rsidR="00436575" w:rsidRDefault="007F1831">
      <w:pPr>
        <w:spacing w:after="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436575" w:rsidRDefault="00436575">
      <w:pPr>
        <w:spacing w:after="0" w:line="360" w:lineRule="auto"/>
        <w:ind w:right="-93"/>
        <w:jc w:val="both"/>
        <w:rPr>
          <w:rFonts w:ascii="Palatino Linotype" w:eastAsia="Palatino Linotype" w:hAnsi="Palatino Linotype" w:cs="Palatino Linotype"/>
        </w:rPr>
      </w:pPr>
      <w:bookmarkStart w:id="3" w:name="_heading=h.fpi8jcm33xp" w:colFirst="0" w:colLast="0"/>
      <w:bookmarkEnd w:id="3"/>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p>
    <w:p w:rsidR="00436575" w:rsidRDefault="00436575">
      <w:pPr>
        <w:spacing w:after="0" w:line="360" w:lineRule="auto"/>
        <w:ind w:right="49"/>
        <w:jc w:val="both"/>
        <w:rPr>
          <w:rFonts w:ascii="Palatino Linotype" w:eastAsia="Palatino Linotype" w:hAnsi="Palatino Linotype" w:cs="Palatino Linotype"/>
        </w:rPr>
      </w:pPr>
      <w:bookmarkStart w:id="4" w:name="_GoBack"/>
      <w:bookmarkEnd w:id="4"/>
    </w:p>
    <w:sectPr w:rsidR="00436575">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B22" w:rsidRDefault="00E92B22">
      <w:pPr>
        <w:spacing w:after="0" w:line="240" w:lineRule="auto"/>
      </w:pPr>
      <w:r>
        <w:separator/>
      </w:r>
    </w:p>
  </w:endnote>
  <w:endnote w:type="continuationSeparator" w:id="0">
    <w:p w:rsidR="00E92B22" w:rsidRDefault="00E9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75" w:rsidRDefault="007F183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4961">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4961">
      <w:rPr>
        <w:b/>
        <w:noProof/>
        <w:color w:val="000000"/>
        <w:sz w:val="24"/>
        <w:szCs w:val="24"/>
      </w:rPr>
      <w:t>27</w:t>
    </w:r>
    <w:r>
      <w:rPr>
        <w:b/>
        <w:color w:val="000000"/>
        <w:sz w:val="24"/>
        <w:szCs w:val="24"/>
      </w:rPr>
      <w:fldChar w:fldCharType="end"/>
    </w:r>
  </w:p>
  <w:p w:rsidR="00436575" w:rsidRDefault="0043657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75" w:rsidRDefault="007F183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496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4961">
      <w:rPr>
        <w:b/>
        <w:noProof/>
        <w:color w:val="000000"/>
        <w:sz w:val="24"/>
        <w:szCs w:val="24"/>
      </w:rPr>
      <w:t>27</w:t>
    </w:r>
    <w:r>
      <w:rPr>
        <w:b/>
        <w:color w:val="000000"/>
        <w:sz w:val="24"/>
        <w:szCs w:val="24"/>
      </w:rPr>
      <w:fldChar w:fldCharType="end"/>
    </w:r>
  </w:p>
  <w:p w:rsidR="00436575" w:rsidRDefault="0043657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B22" w:rsidRDefault="00E92B22">
      <w:pPr>
        <w:spacing w:after="0" w:line="240" w:lineRule="auto"/>
      </w:pPr>
      <w:r>
        <w:separator/>
      </w:r>
    </w:p>
  </w:footnote>
  <w:footnote w:type="continuationSeparator" w:id="0">
    <w:p w:rsidR="00E92B22" w:rsidRDefault="00E9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75" w:rsidRDefault="007F183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-717547</wp:posOffset>
          </wp:positionH>
          <wp:positionV relativeFrom="paragraph">
            <wp:posOffset>-402586</wp:posOffset>
          </wp:positionV>
          <wp:extent cx="7809876" cy="10165823"/>
          <wp:effectExtent l="0" t="0" r="0" b="0"/>
          <wp:wrapNone/>
          <wp:docPr id="1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436575">
      <w:tc>
        <w:tcPr>
          <w:tcW w:w="2551"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06649/INFOEM/IP/RR/2025</w:t>
          </w:r>
        </w:p>
      </w:tc>
    </w:tr>
    <w:tr w:rsidR="00436575">
      <w:trPr>
        <w:trHeight w:val="228"/>
      </w:trPr>
      <w:tc>
        <w:tcPr>
          <w:tcW w:w="2551"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436575" w:rsidRDefault="0043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rsidR="00436575" w:rsidRDefault="0043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436575" w:rsidRDefault="007F183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Servicios Educativos Integrados al Estado de México</w:t>
          </w:r>
        </w:p>
      </w:tc>
    </w:tr>
    <w:tr w:rsidR="00436575">
      <w:tc>
        <w:tcPr>
          <w:tcW w:w="2551"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436575" w:rsidRDefault="0043657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75" w:rsidRDefault="007F183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-761289</wp:posOffset>
          </wp:positionH>
          <wp:positionV relativeFrom="paragraph">
            <wp:posOffset>-183512</wp:posOffset>
          </wp:positionV>
          <wp:extent cx="7809876" cy="10165823"/>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436575">
      <w:tc>
        <w:tcPr>
          <w:tcW w:w="2551"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436575" w:rsidRDefault="007F1831">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06649/INFOEM/IP/RR/2025</w:t>
          </w:r>
        </w:p>
      </w:tc>
    </w:tr>
    <w:tr w:rsidR="00436575">
      <w:tc>
        <w:tcPr>
          <w:tcW w:w="2551"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436575" w:rsidRDefault="0043657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436575">
      <w:trPr>
        <w:trHeight w:val="228"/>
      </w:trPr>
      <w:tc>
        <w:tcPr>
          <w:tcW w:w="2551"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436575" w:rsidRDefault="0043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rsidR="00436575" w:rsidRDefault="0043657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436575" w:rsidRDefault="007F183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Servicios Educativos Integrados al Estado de México</w:t>
          </w:r>
        </w:p>
      </w:tc>
    </w:tr>
    <w:tr w:rsidR="00436575">
      <w:tc>
        <w:tcPr>
          <w:tcW w:w="2551"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436575" w:rsidRDefault="007F183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436575" w:rsidRDefault="007F183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463ED"/>
    <w:multiLevelType w:val="multilevel"/>
    <w:tmpl w:val="9F1EC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59429E"/>
    <w:multiLevelType w:val="multilevel"/>
    <w:tmpl w:val="E93661CA"/>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3E3782"/>
    <w:multiLevelType w:val="multilevel"/>
    <w:tmpl w:val="77EC0E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75"/>
    <w:rsid w:val="00115491"/>
    <w:rsid w:val="00436575"/>
    <w:rsid w:val="00564961"/>
    <w:rsid w:val="00782EA9"/>
    <w:rsid w:val="007F1831"/>
    <w:rsid w:val="00E92B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960C7-BD32-4442-B6FF-1F37318B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167A3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167A3B"/>
    <w:rPr>
      <w:rFonts w:ascii="Times New Roman" w:eastAsia="Times New Roman" w:hAnsi="Times New Roman" w:cs="Times New Roman"/>
      <w:sz w:val="24"/>
      <w:szCs w:val="24"/>
      <w:lang w:val="es-ES" w:eastAsia="es-ES"/>
    </w:r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customStyle="1" w:styleId="s38">
    <w:name w:val="s38"/>
    <w:basedOn w:val="Normal"/>
    <w:rsid w:val="005A0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Fuentedeprrafopredeter"/>
    <w:rsid w:val="005A0949"/>
  </w:style>
  <w:style w:type="character" w:customStyle="1" w:styleId="apple-converted-space">
    <w:name w:val="apple-converted-space"/>
    <w:basedOn w:val="Fuentedeprrafopredeter"/>
    <w:rsid w:val="005A0949"/>
  </w:style>
  <w:style w:type="character" w:customStyle="1" w:styleId="s14">
    <w:name w:val="s14"/>
    <w:basedOn w:val="Fuentedeprrafopredeter"/>
    <w:rsid w:val="005A0949"/>
  </w:style>
  <w:style w:type="paragraph" w:customStyle="1" w:styleId="s15">
    <w:name w:val="s15"/>
    <w:basedOn w:val="Normal"/>
    <w:rsid w:val="005A0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2">
    <w:name w:val="s42"/>
    <w:basedOn w:val="Normal"/>
    <w:rsid w:val="005A0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
    <w:name w:val="s21"/>
    <w:basedOn w:val="Fuentedeprrafopredeter"/>
    <w:rsid w:val="005A0949"/>
  </w:style>
  <w:style w:type="character" w:customStyle="1" w:styleId="s41">
    <w:name w:val="s41"/>
    <w:basedOn w:val="Fuentedeprrafopredeter"/>
    <w:rsid w:val="005A0949"/>
  </w:style>
  <w:style w:type="paragraph" w:customStyle="1" w:styleId="s99">
    <w:name w:val="s99"/>
    <w:basedOn w:val="Normal"/>
    <w:rsid w:val="005A0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0">
    <w:name w:val="s100"/>
    <w:basedOn w:val="Normal"/>
    <w:rsid w:val="005A0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1">
    <w:name w:val="s101"/>
    <w:basedOn w:val="Normal"/>
    <w:rsid w:val="005A094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w8hE4ZiwmT44Q0lM3nOOphnsQ==">CgMxLjAyDmguNnZma3p1N3R3ZWtvMgloLjN6bnlzaDcyDmgudndwNjQwb2xieXY4Mg1oLmZwaThqY20zM3hwOAByITFPQ1ZJekFiVlVfbEp2MVpRNmZpdWpuLUFhSl9oamdlZQ==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6836</Words>
  <Characters>37602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2025-10-17T00:38:00Z</cp:lastPrinted>
  <dcterms:created xsi:type="dcterms:W3CDTF">2025-11-13T19:48:00Z</dcterms:created>
  <dcterms:modified xsi:type="dcterms:W3CDTF">2025-11-13T19:48:00Z</dcterms:modified>
</cp:coreProperties>
</file>