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doce de marzo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00904/INFOEM/IP/RR/2025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 XXXXX XXXX XXXXX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00077/TEOLOYU/IP/2025</w:t>
      </w:r>
      <w:r w:rsidDel="00000000" w:rsidR="00000000" w:rsidRPr="00000000">
        <w:rPr>
          <w:rFonts w:ascii="Palatino Linotype" w:cs="Palatino Linotype" w:eastAsia="Palatino Linotype" w:hAnsi="Palatino Linotype"/>
          <w:rtl w:val="0"/>
        </w:rPr>
        <w:t xml:space="preserve"> proporcionada por parte del </w:t>
      </w:r>
      <w:r w:rsidDel="00000000" w:rsidR="00000000" w:rsidRPr="00000000">
        <w:rPr>
          <w:rFonts w:ascii="Palatino Linotype" w:cs="Palatino Linotype" w:eastAsia="Palatino Linotype" w:hAnsi="Palatino Linotype"/>
          <w:b w:val="1"/>
          <w:rtl w:val="0"/>
        </w:rPr>
        <w:t xml:space="preserve">Ayuntamiento de Teoloyucan</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veintinueve de enero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“De conformidad a la respuesta a la solicitud de información con número de folio 00004/TEOLOYU/IP/2025. 1.- Si hubo una indemnización por la perdida total de sus mercancías a los comerciantes del Bazar Navideño. 2.- Si el Ayuntamiento de Teoloyucan absorberá totalmente la reparación de la plaza Álvaro Obregón., al carecer de una póliza de seguro. Dado que es un monumento histórico.”.</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Adjuntó a su solicitud de información el archivo electrónico denominado </w:t>
      </w:r>
      <w:r w:rsidDel="00000000" w:rsidR="00000000" w:rsidRPr="00000000">
        <w:rPr>
          <w:rFonts w:ascii="Palatino Linotype" w:cs="Palatino Linotype" w:eastAsia="Palatino Linotype" w:hAnsi="Palatino Linotype"/>
          <w:b w:val="1"/>
          <w:i w:val="1"/>
          <w:rtl w:val="0"/>
        </w:rPr>
        <w:t xml:space="preserve">“respuesta D. Economico sol.4.pdf”</w:t>
      </w:r>
      <w:r w:rsidDel="00000000" w:rsidR="00000000" w:rsidRPr="00000000">
        <w:rPr>
          <w:rFonts w:ascii="Palatino Linotype" w:cs="Palatino Linotype" w:eastAsia="Palatino Linotype" w:hAnsi="Palatino Linotype"/>
          <w:rtl w:val="0"/>
        </w:rPr>
        <w:t xml:space="preserve"> el cual contiene el oficio número DDE/010-01/2025 de fecha trece de enero de dos mil veinticinco, signado por el Director de Desarrollo Económico, en el que da atención a la solicitud de información número 00004/TEOLOYU/IP/2025, informando que no cuenta con la documentación del seguro, toda vez que no le fue entregada por parte del director saliente.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siete de febrero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 la solicitud de información, al tenor de lo siguiente: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anexa oficio del área correspondiente</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Ana Beatriz Romero Oceguera.”</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el archivo electrónico denominado </w:t>
      </w:r>
      <w:r w:rsidDel="00000000" w:rsidR="00000000" w:rsidRPr="00000000">
        <w:rPr>
          <w:rFonts w:ascii="Palatino Linotype" w:cs="Palatino Linotype" w:eastAsia="Palatino Linotype" w:hAnsi="Palatino Linotype"/>
          <w:b w:val="1"/>
          <w:i w:val="1"/>
          <w:rtl w:val="0"/>
        </w:rPr>
        <w:t xml:space="preserve">“sol. 77.pdf”</w:t>
      </w:r>
      <w:r w:rsidDel="00000000" w:rsidR="00000000" w:rsidRPr="00000000">
        <w:rPr>
          <w:rFonts w:ascii="Palatino Linotype" w:cs="Palatino Linotype" w:eastAsia="Palatino Linotype" w:hAnsi="Palatino Linotype"/>
          <w:rtl w:val="0"/>
        </w:rPr>
        <w:t xml:space="preserve">, el cual contiene el oficio número DDE/085-02/2025 de fecha siete de febrero de dos mil veinticinco, signado por el Director de Desarrollo Económico, en el que informó: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Respecto a lo solicitado le comento esta Dirección no tiene conocimiento oficial de alguna indemnización por la pérdida total de la mercancía de los comerciantes, de algún bazar navideño.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2.- En esta dirección en sus registros no cuenta con la información relativa.”</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diez de febrero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el que expresó lo siguiente:</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“La respuesta del sujeto obligado.”.</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“No hizo entrega de la información solicitada.”.</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00904/INFOEM/IP/RR/2025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trece de febrero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presentará su informe justificado. </w:t>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dieciocho de febrero de dos mil veinticinco, rindió su informe justificado, a través de los archivos electrónicos denominados “</w:t>
      </w:r>
      <w:r w:rsidDel="00000000" w:rsidR="00000000" w:rsidRPr="00000000">
        <w:rPr>
          <w:rFonts w:ascii="Palatino Linotype" w:cs="Palatino Linotype" w:eastAsia="Palatino Linotype" w:hAnsi="Palatino Linotype"/>
          <w:b w:val="1"/>
          <w:i w:val="1"/>
          <w:rtl w:val="0"/>
        </w:rPr>
        <w:t xml:space="preserve">respuesta sol. 77.pdf y acta 9.pdf</w:t>
      </w:r>
      <w:r w:rsidDel="00000000" w:rsidR="00000000" w:rsidRPr="00000000">
        <w:rPr>
          <w:rFonts w:ascii="Palatino Linotype" w:cs="Palatino Linotype" w:eastAsia="Palatino Linotype" w:hAnsi="Palatino Linotype"/>
          <w:rtl w:val="0"/>
        </w:rPr>
        <w:t xml:space="preserve">”, los cuales contienen: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respuesta sol. 77.pdf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DDE/122-02/2025 de fecha catorce de febrero de dos mil veinticinco, signado por el Director de Desarrollo Económico, en el que informó que el motivo de inconformidad resulta infundado, toda vez que como se expuso en la contestación a la solicitud de información, en dicha dirección no se encuentran archivos relativos a alguna indemnización por perdida total de mercancías; así como tampoco se tiene conocimiento si el Ayuntamiento absorberá la reparación de alguna plaza denominada Álvaro Obregón, cuenta habida que el artículo 12 de la Ley de la materia establece que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sujetos obligados solo proporcionaran la información pública que se les requiera y que obren en sus archivos y en el estado que se encuentre”,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reiterando que no se cuenta en sus archivos la información que pide el solicitante, de ahí que sea infundada la aseveración de que no se hizo entrega de la misma. </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acta 9.pdf: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 la Novena Sesión Extraordinaria del Comité de transparencia del Ayuntamiento de Teoloyucan, de fecha diecisiete de febrero de dos mil veinticinco, mediante el cual se acuerda favorable la propuesta para declarar la inexistencia de información para atender las solicitudes de información con número de folio 00077/TEOLOYU/IP/2025, relacionada con el recurso de revisión 00904/INFOEM/IP/RR/2025 y 00072/TEOLOYU/IP/2025, en los siguientes términos: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Pr>
        <w:drawing>
          <wp:inline distB="0" distT="0" distL="0" distR="0">
            <wp:extent cx="3367173" cy="2826718"/>
            <wp:effectExtent b="0" l="0" r="0" t="0"/>
            <wp:docPr descr="Texto, Carta&#10;&#10;El contenido generado por IA puede ser incorrecto." id="1263981906" name="image8.png"/>
            <a:graphic>
              <a:graphicData uri="http://schemas.openxmlformats.org/drawingml/2006/picture">
                <pic:pic>
                  <pic:nvPicPr>
                    <pic:cNvPr descr="Texto, Carta&#10;&#10;El contenido generado por IA puede ser incorrecto." id="0" name="image8.png"/>
                    <pic:cNvPicPr preferRelativeResize="0"/>
                  </pic:nvPicPr>
                  <pic:blipFill>
                    <a:blip r:embed="rId7"/>
                    <a:srcRect b="0" l="0" r="0" t="0"/>
                    <a:stretch>
                      <a:fillRect/>
                    </a:stretch>
                  </pic:blipFill>
                  <pic:spPr>
                    <a:xfrm>
                      <a:off x="0" y="0"/>
                      <a:ext cx="3367173" cy="282671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once de marzo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siete de febrero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diez de febrero de dos mil veinticinco</w:t>
      </w:r>
      <w:r w:rsidDel="00000000" w:rsidR="00000000" w:rsidRPr="00000000">
        <w:rPr>
          <w:rFonts w:ascii="Palatino Linotype" w:cs="Palatino Linotype" w:eastAsia="Palatino Linotype" w:hAnsi="Palatino Linotype"/>
          <w:rtl w:val="0"/>
        </w:rPr>
        <w:t xml:space="preserve">, esto es al primer día hábil en que se tuvo conocimiento de la respuesta.</w:t>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 la hipótesis de procedencia prevista en el artículo 179, fracción I de la Ley de la materia, que a la letra dice:</w:t>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Negativa de entrega de la información</w:t>
      </w:r>
    </w:p>
    <w:p w:rsidR="00000000" w:rsidDel="00000000" w:rsidP="00000000" w:rsidRDefault="00000000" w:rsidRPr="00000000" w14:paraId="0000003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E">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 del artículo 179 de la Ley en la materia. </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2">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4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7">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4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4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w:t>
      </w:r>
    </w:p>
    <w:p w:rsidR="00000000" w:rsidDel="00000000" w:rsidP="00000000" w:rsidRDefault="00000000" w:rsidRPr="00000000" w14:paraId="0000004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4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VII. La inobservancia a las disposiciones en materia de acceso a la información pública será sancionada en los términos que dispongan las leyes. [...]</w:t>
      </w:r>
    </w:p>
    <w:p w:rsidR="00000000" w:rsidDel="00000000" w:rsidP="00000000" w:rsidRDefault="00000000" w:rsidRPr="00000000" w14:paraId="00000051">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57">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5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6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61">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6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6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7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el Recurrente, relativos a la negativa de entrega de la información, lo que actualiza la causal de procedencia prevista en la fracción I del artículo 179 de la Ley de Transparencia y Acceso a la Información Pública del Estado de México y Municipios.</w:t>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 principio resulta recordar que la pretensión de la ahora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 obtener la siguiente información: </w:t>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tabs>
          <w:tab w:val="left" w:leader="none" w:pos="993"/>
        </w:tabs>
        <w:spacing w:after="0" w:line="360" w:lineRule="auto"/>
        <w:ind w:left="567"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la respuesta derivada de la solicitud de información con número de folio 00004/TEOLOYU/IP/2025, conocer: </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Si hubo una indemnización por la pérdida total de sus mercancías a los comerciantes del Bazar Navideño.</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Si el Ayuntamiento de Teoloyucan absorberá totalmente la reparación de la plaza Álvaro Obregón., al carecer de una póliza de seguro. Dado que es un monumento histórico. </w:t>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993"/>
        </w:tabs>
        <w:spacing w:after="0" w:line="360" w:lineRule="auto"/>
        <w:ind w:left="567"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Dirección de Desarrollo Económico, señaló que respecto a lo solicitado en el punto numeró 1, no tiene conocimiento oficial de alguna indemnización por la pérdida total de la mercancía de los comerciantes, de algún bazar navideño; mientras que para el punto número 2, refirió que en sus registros no cuenta con la información relativa. </w:t>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por la falta de entrega de la información solicitada.</w:t>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a través de la Dirección de Desarrollo Económico, en el que medularmente ratificó su respuesta inicial. </w:t>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hizo entrega del acta de la Novena Sesión Extraordinaria del Comité de transparencia del Ayuntamiento de Teoloyucan, de fecha diecisiete de febrero de dos mil veinticinco, mediante el cual se acuerda favorable la propuesta para declarar la inexistencia de información para atender las solicitudes de información con número de folio 00077/TEOLOYU/IP/2025, relacionada con el recurso de revisión 00904/INFOEM/IP/RR/2025 y 00072/TEOLOYU/IP/2025.</w:t>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se procede a contextualizar la información solicitada, para ello es de mencionar que el particular desea conocer información que se encuentra relacionada con la solicitud de información número 00004/TEOLOYU/IP/2025, que guarda relación con una </w:t>
      </w:r>
      <w:r w:rsidDel="00000000" w:rsidR="00000000" w:rsidRPr="00000000">
        <w:rPr>
          <w:rFonts w:ascii="Palatino Linotype" w:cs="Palatino Linotype" w:eastAsia="Palatino Linotype" w:hAnsi="Palatino Linotype"/>
          <w:i w:val="1"/>
          <w:rtl w:val="0"/>
        </w:rPr>
        <w:t xml:space="preserve">póliza de seguro del bazar navideño 2024</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conviene señalar que el artículo 108 del Bando Municipal de Teoloyucan refiere que el Ayuntamiento promoverá la competitividad económica del Municipio, fomentando una cultura emprendedora entre los agentes económicos y de manera enunciativa, tendrá como objetivos básicos la promoción de la inversión interna y externa, la generación de empleos, la autosuficiencia económica y procurar el mejoramiento del nivel de vida de los ciudadanos de Teoloyucan.</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el Ayuntamiento emitirá los reglamentos y disposiciones legales que regulen el registro, ejercicio, funcionamiento y empadronamiento de cualquier unidad económica dentro del territorio municipal; y podrá suscribir convenios en esta materia con los Gobiernos Federal y Estatal.</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el artículo 109 establece que la Dirección de Desarrollo Económico es la encargada de vigilar que las actividades comerciales, industriales y de prestación de servicios que se desarrollen en el territorio municipal, ya sea por personas físicas o morales, cumplan con la normatividad vigente aplicable, quedando facultado para aplicar las medidas de seguridad y sanciones que en derecho procedan.</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artículo 110 refiere que, en materia de Desarrollo Económico, el Ayuntamiento, por conducto de la dependencia competente, tendrá dentro de sus atribuciones, el promover, gestionar y, en su caso, organizar ferias, exposiciones y otros eventos similares que fomenten el desarrollo económico del Municipio.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se advierte que la información solicitada se relaciona con las actividades comerciales y de prestación de servicios que se desarrollen en el territorio municipal de Teoloyucan. Ahora bien, en atención a que el particular desea conocer información referente a la indemnización por la pérdida total de sus mercancías a los comerciantes del Bazar Navideño 2024, este Organismo Garante encontró una nota periodística (consultable en: https://www.jornada.com.mx/noticia/2024/12/23/estados/se-incendia-bazar-navideno-en-teoloyucan-edomex-1658) en la que se advierte que, en diciembre 2024 sucedió un incendio que consumió los más de 500 metros cuadrados del Bazar Navideño ubicado en la Plaza de la Constitucionalidad, también conocida como Tratados de Teoloyucan, espacio que la dirección de Desarrollo Económico municipal promovió en apoyo a emprendedores locales, ubicado en calle Nicolás Romero y avenida Hidalgo, barrio Tlatilco, tal y como se muestra a continuación: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332105"/>
            <wp:effectExtent b="0" l="0" r="0" t="0"/>
            <wp:docPr id="126398190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56275" cy="33210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43457" cy="4076639"/>
            <wp:effectExtent b="0" l="0" r="0" t="0"/>
            <wp:docPr descr="Texto&#10;&#10;El contenido generado por IA puede ser incorrecto." id="1263981907" name="image4.png"/>
            <a:graphic>
              <a:graphicData uri="http://schemas.openxmlformats.org/drawingml/2006/picture">
                <pic:pic>
                  <pic:nvPicPr>
                    <pic:cNvPr descr="Texto&#10;&#10;El contenido generado por IA puede ser incorrecto." id="0" name="image4.png"/>
                    <pic:cNvPicPr preferRelativeResize="0"/>
                  </pic:nvPicPr>
                  <pic:blipFill>
                    <a:blip r:embed="rId9"/>
                    <a:srcRect b="0" l="0" r="0" t="0"/>
                    <a:stretch>
                      <a:fillRect/>
                    </a:stretch>
                  </pic:blipFill>
                  <pic:spPr>
                    <a:xfrm>
                      <a:off x="0" y="0"/>
                      <a:ext cx="3243457" cy="4076639"/>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68608" cy="2423061"/>
            <wp:effectExtent b="0" l="0" r="0" t="0"/>
            <wp:docPr descr="Escala de tiempo&#10;&#10;El contenido generado por IA puede ser incorrecto." id="1263981910" name="image5.png"/>
            <a:graphic>
              <a:graphicData uri="http://schemas.openxmlformats.org/drawingml/2006/picture">
                <pic:pic>
                  <pic:nvPicPr>
                    <pic:cNvPr descr="Escala de tiempo&#10;&#10;El contenido generado por IA puede ser incorrecto." id="0" name="image5.png"/>
                    <pic:cNvPicPr preferRelativeResize="0"/>
                  </pic:nvPicPr>
                  <pic:blipFill>
                    <a:blip r:embed="rId10"/>
                    <a:srcRect b="0" l="0" r="0" t="0"/>
                    <a:stretch>
                      <a:fillRect/>
                    </a:stretch>
                  </pic:blipFill>
                  <pic:spPr>
                    <a:xfrm>
                      <a:off x="0" y="0"/>
                      <a:ext cx="3268608" cy="2423061"/>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particular desea conocer si existe alguna indemnización por la pérdida total de mercancías a favor de los comerciantes, en atención al incendio suscitado en el Bazar Navideño 2024, que se tenía programado del 1 de diciembre de 2024 al 6 de enero de 2025, en la Plaza Nacional del Constitucionalismo, Teoloyucan; sin embargo, cabe recordar que si bien es cierto, la Dirección de Desarrollo Económico refirió que no tiene conocimiento oficial de alguna indemnización por la pérdida total de la mercancía de los comerciantes, al ser la dirección que promovió la invitación al Bazar Navideño, lo cierto es que, en términos del artículo 21 fracción es II y IX del Bando Municipal de Teoloyucan, la administración pública contará con una Tesorería Municipal y una Dirección jurídica, para el despacho, estudio y planeación de los diversos asuntos de la Administración Pública Municipal.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el Reglamento Interior de la Administración Pública Municipal de Teoloyucan, Estado De México, establece en su artículo 90 que la Dirección Jurídica es la Dependencia Administrativa encargada de otorgar apoyo técnico-contencioso, asesoría, representación y asistencia jurídica al Presidente Municipal, al Ayuntamiento y a las dependencias que integran la Administración Pública Municipal tratándose de asuntos legales propios de sus atribuciones, así como de otorgar asesoría jurídica gratuita y permanente a las ciudadanas y los ciudadanos que la requieran;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Tesorería Municipal es el órgano encargado de la recaudación de los ingresos municipales y responsable de realizar las erogaciones que haga el Ayuntamiento; así como de llevar los registros contables, financieros y administrativos de los ingresos, egresos e inventarios; esto en términos de los artículos 50 y 52 del Reglamento Interior de la Administración Pública Municipal de Teoloyucan.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lo anteriormente expuesto, que el Ayuntamiento de Teoloyucan puede contar con facultades, atribuciones y competencias, para generar, administrar y poseer la información requerida, referente a la indemnización por la pérdida total de su mercancía a los comerciantes del Bazar Navideño, como lo es la Dirección Jurídica, que es la encargada de representar jurídicamente al Ayuntamiento y a las dependencias que integran la Administración Pública Municipal tratándose de asuntos legales propios de sus atribuciones, mientras que la Tesorería Municipal, es la encargada de los registros contables de los egresos del ayuntamiento.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la información consistente en la reparación de la Plaza Álvaro Obregón, la Dirección de Desarrollo Económico únicamente se limitó a señalar que no cuenta con la información, para ello, resulta conveniente señalar que el Ayuntamiento se auxiliará de una Dirección de Obras Públicas, quien de conformidad con el artículo 77 del Reglamento Interior de la Administración Pública Municipal de Teoloyucan, contará con las siguientes atribuciones:</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77</w:t>
      </w:r>
      <w:r w:rsidDel="00000000" w:rsidR="00000000" w:rsidRPr="00000000">
        <w:rPr>
          <w:rFonts w:ascii="Palatino Linotype" w:cs="Palatino Linotype" w:eastAsia="Palatino Linotype" w:hAnsi="Palatino Linotype"/>
          <w:i w:val="1"/>
          <w:rtl w:val="0"/>
        </w:rPr>
        <w:t xml:space="preserve">. La Dirección de Obras Públicas tendrá un titular que se denominará director de Obras Públicas, quien contará con las atribuciones señaladas en el artículo 96 bis de la Ley Orgánica, además de lo dispuesto en el Libro Décimo Segundo del Código Administrativo del Estado de México, así como lo establecido en su reglamento y las siguientes:</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Cumplir con las atribuciones que materia de obra pública le confieren las disposiciones legales y reglamentarias aplicables;</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Proyectar, elaborar, proponer y ejecutar el Programa Anual de Obra Pública, en tiempo y forma;</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Mantener permanentemente actualizado el Catálogo de Contratistas de Obra Pública Municipal;</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Integrar en tiempo y forma el expediente técnico único de las obras públicas;</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Formular las bases y expedir la convocatoria para la contratación de obras públicas Municipales, en los medios de difusión que la Ley establezca;</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Suscribir los contratos de obra pública, vigilar su cumplimiento e iniciar, sustanciar y resolver los procedimientos que se inicien para la terminación, rescisión o suspensión de dichos contratos,</w:t>
      </w:r>
      <w:r w:rsidDel="00000000" w:rsidR="00000000" w:rsidRPr="00000000">
        <w:rPr>
          <w:rFonts w:ascii="Palatino Linotype" w:cs="Palatino Linotype" w:eastAsia="Palatino Linotype" w:hAnsi="Palatino Linotype"/>
          <w:i w:val="1"/>
          <w:rtl w:val="0"/>
        </w:rPr>
        <w:t xml:space="preserve"> bajo las directrices que establezca la Dirección Jurídica Consultiva;</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 Solicitar, en tiempo y forma a la Tesorería Municipal el pago de los anticipos, estimaciones y finiquitos derivados de la contratación de obra pública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VIII. Realizar las acciones necesarias para hacer exigibles las garantías derivadas de los contratos de obra pública en coordinación con la Dirección Jurídica Consultiva;</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Dar seguimiento y notificar a las dependencias de los avances en la construcción de las obras, con cargo a recursos del gobierno estatal, federal o municipal;</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Integrar y autorizar, la documentación que, en materia de obra pública, deba presentarse al Órgano Superior de Fiscalización del Estado de México y a la Auditoria Superior de la Federación;</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Dar seguimiento y notificar a las empresas correspondientes, los atrasos en la construcción de las obras con ellas signadas, con cargo a recursos del gobierno estatal, federal o municipal; y</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XII. Las demás que les señalen las disposiciones aplicables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tabs>
          <w:tab w:val="left" w:leader="none" w:pos="2552"/>
        </w:tabs>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conviene traer a contexto lo previsto por el Manual para la Planeación, Programación y Presupuestación Municipal para el Ejercicio Fiscal 2025, el cual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en tal sentido, se insertan las siguientes impresiones de pantalla para efecto de dilucidar lo anteriormente expuesto:</w:t>
      </w:r>
    </w:p>
    <w:p w:rsidR="00000000" w:rsidDel="00000000" w:rsidP="00000000" w:rsidRDefault="00000000" w:rsidRPr="00000000" w14:paraId="000000AE">
      <w:pPr>
        <w:tabs>
          <w:tab w:val="left" w:leader="none" w:pos="2552"/>
        </w:tabs>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44773" cy="376167"/>
            <wp:effectExtent b="0" l="0" r="0" t="0"/>
            <wp:docPr id="126398190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344773" cy="376167"/>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tabs>
          <w:tab w:val="left" w:leader="none" w:pos="2552"/>
        </w:tabs>
        <w:spacing w:after="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43008" cy="4438092"/>
            <wp:effectExtent b="0" l="0" r="0" t="0"/>
            <wp:docPr id="12639819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343008" cy="44380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3162300</wp:posOffset>
                </wp:positionV>
                <wp:extent cx="2924175" cy="542925"/>
                <wp:effectExtent b="0" l="0" r="0" t="0"/>
                <wp:wrapNone/>
                <wp:docPr id="1263981900" name=""/>
                <a:graphic>
                  <a:graphicData uri="http://schemas.microsoft.com/office/word/2010/wordprocessingShape">
                    <wps:wsp>
                      <wps:cNvSpPr/>
                      <wps:cNvPr id="2" name="Shape 2"/>
                      <wps:spPr>
                        <a:xfrm>
                          <a:off x="3893438" y="3518063"/>
                          <a:ext cx="2905125" cy="52387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3162300</wp:posOffset>
                </wp:positionV>
                <wp:extent cx="2924175" cy="542925"/>
                <wp:effectExtent b="0" l="0" r="0" t="0"/>
                <wp:wrapNone/>
                <wp:docPr id="1263981900"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2924175" cy="542925"/>
                        </a:xfrm>
                        <a:prstGeom prst="rect"/>
                        <a:ln/>
                      </pic:spPr>
                    </pic:pic>
                  </a:graphicData>
                </a:graphic>
              </wp:anchor>
            </w:drawing>
          </mc:Fallback>
        </mc:AlternateContent>
      </w:r>
    </w:p>
    <w:p w:rsidR="00000000" w:rsidDel="00000000" w:rsidP="00000000" w:rsidRDefault="00000000" w:rsidRPr="00000000" w14:paraId="000000B0">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113" cy="3811950"/>
            <wp:effectExtent b="0" l="0" r="0" t="0"/>
            <wp:docPr id="126398191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400113" cy="38119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1816100</wp:posOffset>
                </wp:positionV>
                <wp:extent cx="5295900" cy="561975"/>
                <wp:effectExtent b="0" l="0" r="0" t="0"/>
                <wp:wrapNone/>
                <wp:docPr id="1263981902" name=""/>
                <a:graphic>
                  <a:graphicData uri="http://schemas.microsoft.com/office/word/2010/wordprocessingShape">
                    <wps:wsp>
                      <wps:cNvSpPr/>
                      <wps:cNvPr id="4" name="Shape 4"/>
                      <wps:spPr>
                        <a:xfrm>
                          <a:off x="2707575" y="3508538"/>
                          <a:ext cx="5276850" cy="54292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1816100</wp:posOffset>
                </wp:positionV>
                <wp:extent cx="5295900" cy="561975"/>
                <wp:effectExtent b="0" l="0" r="0" t="0"/>
                <wp:wrapNone/>
                <wp:docPr id="1263981902"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295900" cy="561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2781300</wp:posOffset>
                </wp:positionV>
                <wp:extent cx="5162550" cy="238125"/>
                <wp:effectExtent b="0" l="0" r="0" t="0"/>
                <wp:wrapNone/>
                <wp:docPr id="1263981903" name=""/>
                <a:graphic>
                  <a:graphicData uri="http://schemas.microsoft.com/office/word/2010/wordprocessingShape">
                    <wps:wsp>
                      <wps:cNvSpPr/>
                      <wps:cNvPr id="5" name="Shape 5"/>
                      <wps:spPr>
                        <a:xfrm>
                          <a:off x="2774250" y="3670463"/>
                          <a:ext cx="5143500" cy="21907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2781300</wp:posOffset>
                </wp:positionV>
                <wp:extent cx="5162550" cy="238125"/>
                <wp:effectExtent b="0" l="0" r="0" t="0"/>
                <wp:wrapNone/>
                <wp:docPr id="1263981903"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162550" cy="238125"/>
                        </a:xfrm>
                        <a:prstGeom prst="rect"/>
                        <a:ln/>
                      </pic:spPr>
                    </pic:pic>
                  </a:graphicData>
                </a:graphic>
              </wp:anchor>
            </w:drawing>
          </mc:Fallback>
        </mc:AlternateContent>
      </w:r>
    </w:p>
    <w:p w:rsidR="00000000" w:rsidDel="00000000" w:rsidP="00000000" w:rsidRDefault="00000000" w:rsidRPr="00000000" w14:paraId="000000B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10579" cy="3080419"/>
            <wp:effectExtent b="0" l="0" r="0" t="0"/>
            <wp:docPr id="1263981913"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410579" cy="308041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1892300</wp:posOffset>
                </wp:positionV>
                <wp:extent cx="3657600" cy="504825"/>
                <wp:effectExtent b="0" l="0" r="0" t="0"/>
                <wp:wrapNone/>
                <wp:docPr id="1263981901" name=""/>
                <a:graphic>
                  <a:graphicData uri="http://schemas.microsoft.com/office/word/2010/wordprocessingShape">
                    <wps:wsp>
                      <wps:cNvSpPr/>
                      <wps:cNvPr id="3" name="Shape 3"/>
                      <wps:spPr>
                        <a:xfrm>
                          <a:off x="3526725" y="3537113"/>
                          <a:ext cx="3638550" cy="48577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1892300</wp:posOffset>
                </wp:positionV>
                <wp:extent cx="3657600" cy="504825"/>
                <wp:effectExtent b="0" l="0" r="0" t="0"/>
                <wp:wrapNone/>
                <wp:docPr id="126398190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657600" cy="504825"/>
                        </a:xfrm>
                        <a:prstGeom prst="rect"/>
                        <a:ln/>
                      </pic:spPr>
                    </pic:pic>
                  </a:graphicData>
                </a:graphic>
              </wp:anchor>
            </w:drawing>
          </mc:Fallback>
        </mc:AlternateContent>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Continuando con el estudio, resulta importante mencionar que el Programa Anual de Obras, se encuentra vinculado con el Presupuesto de Egresos Municipal; para argumentar lo anterior, es indispensable citar lo ordenado por el artículo 125 de la Constitución Política del Estado Libre y Soberano de México, que en su penúltimo párrafo establece que 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Presidente Municipal, promulgará y publicará el Presupuesto de Egresos Municipal, a más tardar el día 25 de febrero de cada año, debiendo enviarlo al Órgano Superior de Fiscalización en la misma fecha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de lo cual se colige que deberá presentar la propuesta correspondiente, a fin de que el día veinticinco de febrero de cada año pueda llevarse a cabo su promulgación y publicación e informar al Órgano Superior de Fiscalización del Estado de México, por lo tanto, a la fecha de la solicitud, es decir, al veintinueve de enero de dos mil veinticinco, se tiene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encontraba en tiempo para la formulación del Programa Anual de Obras, mismo en el que de manera enunciativa más no limitativa puede advertirse si se contempla una reparación a la plaza Álvaro Obregón que es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dado que la unidad administrativa competente no emitió algún pronunciamiento al respecto, esto es la Dirección de Obras Públicas, ya que se encarga de proyectar, elaborar, proponer y ejecutar el Programa Anual de Obra Pública, en tiempo y forma; así como, suscribir los contratos de obra pública, vigilar su cumplimiento e iniciar, sustanciar y resolver los procedimientos que se inicien para la terminación, rescisión o suspensión de dichos contratos, bajo las directrices que establezca la Dirección Jurídica Consultiva. </w:t>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puede contar con facultades, atribuciones y competencias, para generar, administrar y poseer la información requerida, debido a que se constituye por unidades administrativas cuyas funciones se relacionan con la información solicitada, a saber, la Dirección de jurídica, Tesorería Municipal y Dirección de Obras Públicas. </w:t>
      </w:r>
    </w:p>
    <w:p w:rsidR="00000000" w:rsidDel="00000000" w:rsidP="00000000" w:rsidRDefault="00000000" w:rsidRPr="00000000" w14:paraId="000000B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al agravio hecho valer por la parte Recurrente relativo a la falta entrega de la información solicitada,  es menester señalar que para la atención de las solicitudes de acceso a la información, debe privilegiarse el </w:t>
      </w:r>
      <w:r w:rsidDel="00000000" w:rsidR="00000000" w:rsidRPr="00000000">
        <w:rPr>
          <w:rFonts w:ascii="Palatino Linotype" w:cs="Palatino Linotype" w:eastAsia="Palatino Linotype" w:hAnsi="Palatino Linotype"/>
          <w:b w:val="1"/>
          <w:rtl w:val="0"/>
        </w:rPr>
        <w:t xml:space="preserve">principio de máxima publicidad</w:t>
      </w:r>
      <w:r w:rsidDel="00000000" w:rsidR="00000000" w:rsidRPr="00000000">
        <w:rPr>
          <w:rFonts w:ascii="Palatino Linotype" w:cs="Palatino Linotype" w:eastAsia="Palatino Linotype" w:hAnsi="Palatino Linotype"/>
          <w:rtl w:val="0"/>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000000" w:rsidDel="00000000" w:rsidP="00000000" w:rsidRDefault="00000000" w:rsidRPr="00000000" w14:paraId="000000B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000000" w:rsidDel="00000000" w:rsidP="00000000" w:rsidRDefault="00000000" w:rsidRPr="00000000" w14:paraId="000000B9">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numPr>
          <w:ilvl w:val="0"/>
          <w:numId w:val="2"/>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0BB">
      <w:pPr>
        <w:numPr>
          <w:ilvl w:val="0"/>
          <w:numId w:val="2"/>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0BC">
      <w:pPr>
        <w:numPr>
          <w:ilvl w:val="0"/>
          <w:numId w:val="2"/>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0BD">
      <w:pPr>
        <w:numPr>
          <w:ilvl w:val="0"/>
          <w:numId w:val="2"/>
        </w:numPr>
        <w:spacing w:after="0" w:line="360" w:lineRule="auto"/>
        <w:ind w:left="72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0BE">
      <w:pPr>
        <w:numPr>
          <w:ilvl w:val="0"/>
          <w:numId w:val="2"/>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0BF">
      <w:pPr>
        <w:numPr>
          <w:ilvl w:val="0"/>
          <w:numId w:val="2"/>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0C0">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De tal manera que, la Unidad de Transparencia debió de haber seguido un determinado procedimiento para atender la solicitud que ahora nos ocupa, entre este, </w:t>
      </w:r>
      <w:r w:rsidDel="00000000" w:rsidR="00000000" w:rsidRPr="00000000">
        <w:rPr>
          <w:rFonts w:ascii="Palatino Linotype" w:cs="Palatino Linotype" w:eastAsia="Palatino Linotype" w:hAnsi="Palatino Linotype"/>
          <w:b w:val="1"/>
          <w:u w:val="single"/>
          <w:rtl w:val="0"/>
        </w:rPr>
        <w:t xml:space="preserve">haber turnado la solicitud de información a todas las áreas competentes que pueden contar con la información o deban tenerla de acuerdo con sus facultades, funciones y atribuciones, para que realicen una búsqueda exhaustiva y razonable de la documentación solicitada</w:t>
      </w:r>
      <w:r w:rsidDel="00000000" w:rsidR="00000000" w:rsidRPr="00000000">
        <w:rPr>
          <w:rFonts w:ascii="Palatino Linotype" w:cs="Palatino Linotype" w:eastAsia="Palatino Linotype" w:hAnsi="Palatino Linotype"/>
          <w:u w:val="single"/>
          <w:rtl w:val="0"/>
        </w:rPr>
        <w:t xml:space="preserve">. </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forma que, en el caso que ahora nos ocupa, se advierte que, la solicitud de información no fue atendida por las unidades administrativas que por sus competencias, facultades y atribuciones pudieran poseer o administrar la información solicitada, de manera enunciativa más no limitativa, la Dirección de jurídica, Tesorería Municipal y Dirección de Obras Públicas, es decir, no se advierte que el Sujeto Obligado haya realizado una búsqueda exhaustiva y razonable de la información requerida, situación por la que resulta necesario ordenar la búsqueda de la información solicitada, no obstante, se tiene que, para el caso 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posea o administre la misma, bastará con que este hecho se lo haga del conocimiento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lo que, debido 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siguió el procedimiento de búsqueda exhaustiva y razonable de la información, se colige que los agravios hechos valer por la parte Recurrente son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y, por ende, este Organismo Garante determina </w:t>
      </w:r>
      <w:r w:rsidDel="00000000" w:rsidR="00000000" w:rsidRPr="00000000">
        <w:rPr>
          <w:rFonts w:ascii="Palatino Linotype" w:cs="Palatino Linotype" w:eastAsia="Palatino Linotype" w:hAnsi="Palatino Linotype"/>
          <w:b w:val="1"/>
          <w:rtl w:val="0"/>
        </w:rPr>
        <w:t xml:space="preserve">Modificar </w:t>
      </w:r>
      <w:r w:rsidDel="00000000" w:rsidR="00000000" w:rsidRPr="00000000">
        <w:rPr>
          <w:rFonts w:ascii="Palatino Linotype" w:cs="Palatino Linotype" w:eastAsia="Palatino Linotype" w:hAnsi="Palatino Linotype"/>
          <w:rtl w:val="0"/>
        </w:rPr>
        <w:t xml:space="preserve">la respuesta del Sujeto Obligado y;</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ordenar, previa búsqueda exhaustiva y razonable, </w:t>
      </w:r>
      <w:r w:rsidDel="00000000" w:rsidR="00000000" w:rsidRPr="00000000">
        <w:rPr>
          <w:rFonts w:ascii="Palatino Linotype" w:cs="Palatino Linotype" w:eastAsia="Palatino Linotype" w:hAnsi="Palatino Linotype"/>
          <w:b w:val="1"/>
          <w:rtl w:val="0"/>
        </w:rPr>
        <w:t xml:space="preserve">de ser el caso, en versión pública,</w:t>
      </w:r>
      <w:r w:rsidDel="00000000" w:rsidR="00000000" w:rsidRPr="00000000">
        <w:rPr>
          <w:rFonts w:ascii="Palatino Linotype" w:cs="Palatino Linotype" w:eastAsia="Palatino Linotype" w:hAnsi="Palatino Linotype"/>
          <w:rtl w:val="0"/>
        </w:rPr>
        <w:t xml:space="preserve"> lo siguiente:</w:t>
      </w:r>
    </w:p>
    <w:p w:rsidR="00000000" w:rsidDel="00000000" w:rsidP="00000000" w:rsidRDefault="00000000" w:rsidRPr="00000000" w14:paraId="000000C6">
      <w:pPr>
        <w:spacing w:after="0" w:line="360" w:lineRule="auto"/>
        <w:ind w:right="56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7">
      <w:pPr>
        <w:numPr>
          <w:ilvl w:val="0"/>
          <w:numId w:val="1"/>
        </w:numPr>
        <w:pBdr>
          <w:top w:space="0" w:sz="0" w:val="nil"/>
          <w:left w:space="0" w:sz="0" w:val="nil"/>
          <w:bottom w:space="0" w:sz="0" w:val="nil"/>
          <w:right w:space="0" w:sz="0" w:val="nil"/>
          <w:between w:space="0" w:sz="0" w:val="nil"/>
        </w:pBdr>
        <w:spacing w:after="0" w:line="360" w:lineRule="auto"/>
        <w:ind w:left="720" w:right="5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documento que dé cuenta del pago de indemnizaciones por la pérdida total de mercancía, a favor de los comerciantes del Bazar Navideño 2024. </w:t>
      </w:r>
    </w:p>
    <w:p w:rsidR="00000000" w:rsidDel="00000000" w:rsidP="00000000" w:rsidRDefault="00000000" w:rsidRPr="00000000" w14:paraId="000000C8">
      <w:pPr>
        <w:numPr>
          <w:ilvl w:val="0"/>
          <w:numId w:val="1"/>
        </w:numPr>
        <w:pBdr>
          <w:top w:space="0" w:sz="0" w:val="nil"/>
          <w:left w:space="0" w:sz="0" w:val="nil"/>
          <w:bottom w:space="0" w:sz="0" w:val="nil"/>
          <w:right w:space="0" w:sz="0" w:val="nil"/>
          <w:between w:space="0" w:sz="0" w:val="nil"/>
        </w:pBdr>
        <w:spacing w:after="0" w:line="360" w:lineRule="auto"/>
        <w:ind w:left="720" w:right="5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documento que dé cuenta de programación y presupuestación de la reparación de la plaza Álvaro Obregón por parte del ayuntamiento derivado del incendio del Bazar Navideño, generada al veintinueve de enero de dos mil veinticinco.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360" w:lineRule="auto"/>
        <w:ind w:left="720" w:right="56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567"/>
          <w:tab w:val="left" w:leader="none" w:pos="993"/>
        </w:tabs>
        <w:spacing w:after="0" w:line="360" w:lineRule="auto"/>
        <w:ind w:right="-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Para el caso de que la información que se ordena no obre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no haberse generado, este deberá hacerlo del conocimiento del Particular en términos del artículo 19, párrafo segundo, de la Ley de Transparencia y Acceso a la Información Pública del Estado de México y Municipios, para tenerse por colmado dicho requerimiento. </w:t>
      </w:r>
      <w:r w:rsidDel="00000000" w:rsidR="00000000" w:rsidRPr="00000000">
        <w:rPr>
          <w:rtl w:val="0"/>
        </w:rPr>
      </w:r>
    </w:p>
    <w:p w:rsidR="00000000" w:rsidDel="00000000" w:rsidP="00000000" w:rsidRDefault="00000000" w:rsidRPr="00000000" w14:paraId="000000C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0C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0CF">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D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D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0D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D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D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D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0D9">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0DA">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0DB">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0D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D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0D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E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0E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E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E3">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E5">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0E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F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F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0F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0F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0F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0F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FC">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0F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0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0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0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0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0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0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0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08">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00904/INFOEM/IP/RR/2025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00077/TEOLOYU/IP/2025</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0C">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0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1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00904/INFOEM/IP/RR/2025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spacing w:after="0" w:line="360" w:lineRule="auto"/>
        <w:ind w:right="49"/>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haga entrega previa búsqueda exhaustiva y razonable, vía Sistema de Acceso a la Información Mexiquense, de ser el caso, en versión pública, de la siguiente información:</w:t>
      </w:r>
    </w:p>
    <w:p w:rsidR="00000000" w:rsidDel="00000000" w:rsidP="00000000" w:rsidRDefault="00000000" w:rsidRPr="00000000" w14:paraId="0000011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5">
      <w:pPr>
        <w:numPr>
          <w:ilvl w:val="0"/>
          <w:numId w:val="1"/>
        </w:numPr>
        <w:pBdr>
          <w:top w:space="0" w:sz="0" w:val="nil"/>
          <w:left w:space="0" w:sz="0" w:val="nil"/>
          <w:bottom w:space="0" w:sz="0" w:val="nil"/>
          <w:right w:space="0" w:sz="0" w:val="nil"/>
          <w:between w:space="0" w:sz="0" w:val="nil"/>
        </w:pBdr>
        <w:spacing w:after="0" w:line="360" w:lineRule="auto"/>
        <w:ind w:left="720" w:right="5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documento que dé cuenta del pago de indemnizaciones por la pérdida total de mercancía, a favor de los comerciantes del Bazar Navideño 2024, generada al veintinueve de enero de dos mil veinticinco. </w:t>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spacing w:after="0" w:line="360" w:lineRule="auto"/>
        <w:ind w:left="720" w:right="5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documento que dé cuenta de programación y presupuestación de la reparación de la plaza Álvaro Obregón por parte del ayuntamiento derivado del incendio del Bazar Navideño, generada al veintinueve de enero de dos mil veinticinco.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360" w:lineRule="auto"/>
        <w:ind w:left="720" w:right="56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8">
      <w:pPr>
        <w:ind w:left="567" w:right="61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rtl w:val="0"/>
        </w:rPr>
        <w:t xml:space="preserve">Recurrent</w:t>
      </w:r>
      <w:r w:rsidDel="00000000" w:rsidR="00000000" w:rsidRPr="00000000">
        <w:rPr>
          <w:rFonts w:ascii="Palatino Linotype" w:cs="Palatino Linotype" w:eastAsia="Palatino Linotype" w:hAnsi="Palatino Linotype"/>
          <w:i w:val="1"/>
          <w:rtl w:val="0"/>
        </w:rPr>
        <w:t xml:space="preserve">e, mismo que igualmente hará de su conocimiento.</w:t>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left" w:leader="none" w:pos="567"/>
          <w:tab w:val="left" w:leader="none" w:pos="993"/>
        </w:tabs>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Para el caso de que la información que se ordena no obre en los archivos del </w:t>
      </w:r>
      <w:r w:rsidDel="00000000" w:rsidR="00000000" w:rsidRPr="00000000">
        <w:rPr>
          <w:rFonts w:ascii="Palatino Linotype" w:cs="Palatino Linotype" w:eastAsia="Palatino Linotype" w:hAnsi="Palatino Linotype"/>
          <w:b w:val="1"/>
          <w:i w:val="1"/>
          <w:rtl w:val="0"/>
        </w:rPr>
        <w:t xml:space="preserve">Sujeto Obligado</w:t>
      </w:r>
      <w:r w:rsidDel="00000000" w:rsidR="00000000" w:rsidRPr="00000000">
        <w:rPr>
          <w:rFonts w:ascii="Palatino Linotype" w:cs="Palatino Linotype" w:eastAsia="Palatino Linotype" w:hAnsi="Palatino Linotype"/>
          <w:i w:val="1"/>
          <w:rtl w:val="0"/>
        </w:rPr>
        <w:t xml:space="preserve">, por no haberse generado, este deberá hacerlo del conocimiento del Particular en términos del artículo 19, párrafo segundo, de la Ley de Transparencia y Acceso a la Información Pública del Estado de México y Municipios, para tenerse por colmado dicho requerimiento. </w:t>
      </w:r>
      <w:r w:rsidDel="00000000" w:rsidR="00000000" w:rsidRPr="00000000">
        <w:rPr>
          <w:rtl w:val="0"/>
        </w:rPr>
      </w:r>
    </w:p>
    <w:p w:rsidR="00000000" w:rsidDel="00000000" w:rsidP="00000000" w:rsidRDefault="00000000" w:rsidRPr="00000000" w14:paraId="0000011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1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1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E">
      <w:pPr>
        <w:spacing w:after="0" w:line="360" w:lineRule="auto"/>
        <w:ind w:right="49"/>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DOCE DE MARZO DE DOS MIL VEINTICINCO, ANTE EL SECRETARIO TÉCNICO DEL PLENO ALEXIS TAPIA RAMÍREZ. </w:t>
      </w:r>
    </w:p>
    <w:p w:rsidR="00000000" w:rsidDel="00000000" w:rsidP="00000000" w:rsidRDefault="00000000" w:rsidRPr="00000000" w14:paraId="0000011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-717548</wp:posOffset>
          </wp:positionH>
          <wp:positionV relativeFrom="paragraph">
            <wp:posOffset>-250188</wp:posOffset>
          </wp:positionV>
          <wp:extent cx="7809876" cy="10165823"/>
          <wp:effectExtent b="0" l="0" r="0" t="0"/>
          <wp:wrapNone/>
          <wp:docPr id="126398190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00904/INFOEM/IP/RR/2025</w:t>
          </w:r>
        </w:p>
      </w:tc>
    </w:tr>
    <w:tr>
      <w:trPr>
        <w:cantSplit w:val="0"/>
        <w:trHeight w:val="217" w:hRule="atLeast"/>
        <w:tblHeader w:val="0"/>
      </w:trPr>
      <w:tc>
        <w:tcPr>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Teoloyucan</w:t>
          </w:r>
        </w:p>
      </w:tc>
    </w:tr>
    <w:tr>
      <w:trPr>
        <w:cantSplit w:val="0"/>
        <w:tblHeader w:val="0"/>
      </w:trPr>
      <w:tc>
        <w:tcPr>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-725803</wp:posOffset>
          </wp:positionH>
          <wp:positionV relativeFrom="paragraph">
            <wp:posOffset>-29841</wp:posOffset>
          </wp:positionV>
          <wp:extent cx="7809865" cy="10165715"/>
          <wp:effectExtent b="0" l="0" r="0" t="0"/>
          <wp:wrapNone/>
          <wp:docPr id="126398190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00904/INFOEM/IP/RR/2025</w:t>
          </w:r>
        </w:p>
      </w:tc>
    </w:tr>
    <w:tr>
      <w:trPr>
        <w:cantSplit w:val="0"/>
        <w:tblHeader w:val="0"/>
      </w:trPr>
      <w:tc>
        <w:tcPr>
          <w:vAlign w:val="center"/>
        </w:tcPr>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 XXXXX XXXX XXXXX </w:t>
          </w:r>
        </w:p>
      </w:tc>
    </w:tr>
    <w:tr>
      <w:trPr>
        <w:cantSplit w:val="0"/>
        <w:trHeight w:val="152" w:hRule="atLeast"/>
        <w:tblHeader w:val="0"/>
      </w:trPr>
      <w:tc>
        <w:tcPr>
          <w:vAlign w:val="center"/>
        </w:tcPr>
        <w:p w:rsidR="00000000" w:rsidDel="00000000" w:rsidP="00000000" w:rsidRDefault="00000000" w:rsidRPr="00000000" w14:paraId="0000013D">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3E">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Teoloyucan</w:t>
          </w:r>
        </w:p>
      </w:tc>
    </w:tr>
    <w:tr>
      <w:trPr>
        <w:cantSplit w:val="0"/>
        <w:tblHeader w:val="0"/>
      </w:trPr>
      <w:tc>
        <w:tcPr>
          <w:vAlign w:val="center"/>
        </w:tcPr>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15.0" w:type="dxa"/>
        <w:bottom w:w="15.0" w:type="dxa"/>
        <w:right w:w="115.0" w:type="dxa"/>
      </w:tblCellMar>
    </w:tblPr>
  </w:style>
  <w:style w:type="table" w:styleId="a1" w:customStyle="1">
    <w:basedOn w:val="TableNormal"/>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8D175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175B"/>
  </w:style>
  <w:style w:type="paragraph" w:styleId="Piedepgina">
    <w:name w:val="footer"/>
    <w:basedOn w:val="Normal"/>
    <w:link w:val="PiedepginaCar"/>
    <w:uiPriority w:val="99"/>
    <w:unhideWhenUsed w:val="1"/>
    <w:rsid w:val="008D175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175B"/>
  </w:style>
  <w:style w:type="paragraph" w:styleId="Prrafodelista">
    <w:name w:val="List Paragraph"/>
    <w:basedOn w:val="Normal"/>
    <w:uiPriority w:val="34"/>
    <w:qFormat w:val="1"/>
    <w:rsid w:val="00AA52E0"/>
    <w:pPr>
      <w:ind w:left="720"/>
      <w:contextualSpacing w:val="1"/>
    </w:pPr>
  </w:style>
  <w:style w:type="character" w:styleId="Hipervnculo">
    <w:name w:val="Hyperlink"/>
    <w:basedOn w:val="Fuentedeprrafopredeter"/>
    <w:uiPriority w:val="99"/>
    <w:unhideWhenUsed w:val="1"/>
    <w:rsid w:val="009D3057"/>
    <w:rPr>
      <w:color w:val="0000ff" w:themeColor="hyperlink"/>
      <w:u w:val="single"/>
    </w:rPr>
  </w:style>
  <w:style w:type="character" w:styleId="Mencinsinresolver1" w:customStyle="1">
    <w:name w:val="Mención sin resolver1"/>
    <w:basedOn w:val="Fuentedeprrafopredeter"/>
    <w:uiPriority w:val="99"/>
    <w:semiHidden w:val="1"/>
    <w:unhideWhenUsed w:val="1"/>
    <w:rsid w:val="009D305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m1GBeZ/8Kolu3FaHlJNpDN+3g==">CgMxLjAyCWguMzBqMHpsbDIJaC4xZm9iOXRlMghoLmdqZGd4czgAciExOFY2ZFRzaWNjWHBybHlwZkQ1ajVfeDRJTnFqZDZ5MlI=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2025-04-01T18:55:00Z</dcterms:created>
  <dc:creator>USUARIO</dc:creator>
</cp:coreProperties>
</file>