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00800" w14:textId="77777777" w:rsidR="00EF29F6" w:rsidRPr="002B3D93" w:rsidRDefault="00D73DFE">
      <w:pPr>
        <w:spacing w:after="0" w:line="360" w:lineRule="auto"/>
        <w:ind w:right="49"/>
        <w:jc w:val="both"/>
        <w:rPr>
          <w:rFonts w:ascii="Palatino Linotype" w:eastAsia="Palatino Linotype" w:hAnsi="Palatino Linotype" w:cs="Palatino Linotype"/>
        </w:rPr>
      </w:pPr>
      <w:bookmarkStart w:id="0" w:name="_GoBack"/>
      <w:bookmarkEnd w:id="0"/>
      <w:r w:rsidRPr="002B3D9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336F9EA0" w14:textId="77777777" w:rsidR="00EF29F6" w:rsidRPr="002B3D93" w:rsidRDefault="00EF29F6">
      <w:pPr>
        <w:spacing w:after="0" w:line="360" w:lineRule="auto"/>
        <w:ind w:right="49"/>
        <w:jc w:val="center"/>
        <w:rPr>
          <w:rFonts w:ascii="Palatino Linotype" w:eastAsia="Palatino Linotype" w:hAnsi="Palatino Linotype" w:cs="Palatino Linotype"/>
        </w:rPr>
      </w:pPr>
    </w:p>
    <w:p w14:paraId="5C25238F"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Visto el expediente relativo al recurso de revisión </w:t>
      </w:r>
      <w:r w:rsidRPr="002B3D93">
        <w:rPr>
          <w:rFonts w:ascii="Palatino Linotype" w:eastAsia="Palatino Linotype" w:hAnsi="Palatino Linotype" w:cs="Palatino Linotype"/>
          <w:b/>
        </w:rPr>
        <w:t>08839/INFOEM/IP/RR/2025</w:t>
      </w:r>
      <w:r w:rsidRPr="002B3D93">
        <w:rPr>
          <w:rFonts w:ascii="Palatino Linotype" w:eastAsia="Palatino Linotype" w:hAnsi="Palatino Linotype" w:cs="Palatino Linotype"/>
        </w:rPr>
        <w:t xml:space="preserve">, interpuesto por </w:t>
      </w:r>
      <w:r w:rsidRPr="002B3D93">
        <w:rPr>
          <w:rFonts w:ascii="Palatino Linotype" w:eastAsia="Palatino Linotype" w:hAnsi="Palatino Linotype" w:cs="Palatino Linotype"/>
          <w:b/>
        </w:rPr>
        <w:t>una persona usuaria del Sistema de Acceso a la Información Mexiquense</w:t>
      </w:r>
      <w:r w:rsidRPr="002B3D93">
        <w:rPr>
          <w:rFonts w:ascii="Palatino Linotype" w:eastAsia="Palatino Linotype" w:hAnsi="Palatino Linotype" w:cs="Palatino Linotype"/>
        </w:rPr>
        <w:t xml:space="preserve">, al cual en lo sucesivo se le denominará la parte </w:t>
      </w:r>
      <w:r w:rsidRPr="002B3D93">
        <w:rPr>
          <w:rFonts w:ascii="Palatino Linotype" w:eastAsia="Palatino Linotype" w:hAnsi="Palatino Linotype" w:cs="Palatino Linotype"/>
          <w:b/>
        </w:rPr>
        <w:t>RECURRENTE</w:t>
      </w:r>
      <w:r w:rsidRPr="002B3D93">
        <w:rPr>
          <w:rFonts w:ascii="Palatino Linotype" w:eastAsia="Palatino Linotype" w:hAnsi="Palatino Linotype" w:cs="Palatino Linotype"/>
        </w:rPr>
        <w:t xml:space="preserve">, en contra de la respuesta a su solicitud de información identificada con número de folio </w:t>
      </w:r>
      <w:r w:rsidRPr="002B3D93">
        <w:rPr>
          <w:rFonts w:ascii="Palatino Linotype" w:eastAsia="Palatino Linotype" w:hAnsi="Palatino Linotype" w:cs="Palatino Linotype"/>
          <w:b/>
        </w:rPr>
        <w:t xml:space="preserve">00109/TMASCALT/IP/2025 </w:t>
      </w:r>
      <w:r w:rsidRPr="002B3D93">
        <w:rPr>
          <w:rFonts w:ascii="Palatino Linotype" w:eastAsia="Palatino Linotype" w:hAnsi="Palatino Linotype" w:cs="Palatino Linotype"/>
        </w:rPr>
        <w:t xml:space="preserve">proporcionada por parte del </w:t>
      </w:r>
      <w:r w:rsidRPr="002B3D93">
        <w:rPr>
          <w:rFonts w:ascii="Palatino Linotype" w:eastAsia="Palatino Linotype" w:hAnsi="Palatino Linotype" w:cs="Palatino Linotype"/>
          <w:b/>
        </w:rPr>
        <w:t>Ayuntamiento de Temascaltepec</w:t>
      </w:r>
      <w:r w:rsidRPr="002B3D93">
        <w:rPr>
          <w:rFonts w:ascii="Palatino Linotype" w:eastAsia="Palatino Linotype" w:hAnsi="Palatino Linotype" w:cs="Palatino Linotype"/>
        </w:rPr>
        <w:t xml:space="preserve"> en lo sucesivo el </w:t>
      </w:r>
      <w:r w:rsidRPr="002B3D93">
        <w:rPr>
          <w:rFonts w:ascii="Palatino Linotype" w:eastAsia="Palatino Linotype" w:hAnsi="Palatino Linotype" w:cs="Palatino Linotype"/>
          <w:b/>
        </w:rPr>
        <w:t>SUJETO OBLIGADO</w:t>
      </w:r>
      <w:r w:rsidRPr="002B3D93">
        <w:rPr>
          <w:rFonts w:ascii="Palatino Linotype" w:eastAsia="Palatino Linotype" w:hAnsi="Palatino Linotype" w:cs="Palatino Linotype"/>
        </w:rPr>
        <w:t>; se procede a dictar la presente resolución, con base en los siguientes:</w:t>
      </w:r>
    </w:p>
    <w:p w14:paraId="17D21113" w14:textId="77777777" w:rsidR="00EF29F6" w:rsidRPr="002B3D93" w:rsidRDefault="00EF29F6">
      <w:pPr>
        <w:spacing w:after="0" w:line="360" w:lineRule="auto"/>
        <w:ind w:right="49"/>
        <w:jc w:val="both"/>
        <w:rPr>
          <w:rFonts w:ascii="Palatino Linotype" w:eastAsia="Palatino Linotype" w:hAnsi="Palatino Linotype" w:cs="Palatino Linotype"/>
        </w:rPr>
      </w:pPr>
    </w:p>
    <w:p w14:paraId="70E5BD7F" w14:textId="77777777" w:rsidR="00EF29F6" w:rsidRPr="002B3D93" w:rsidRDefault="00D73DFE">
      <w:pPr>
        <w:spacing w:after="0" w:line="360" w:lineRule="auto"/>
        <w:ind w:right="49"/>
        <w:jc w:val="center"/>
        <w:rPr>
          <w:rFonts w:ascii="Palatino Linotype" w:eastAsia="Palatino Linotype" w:hAnsi="Palatino Linotype" w:cs="Palatino Linotype"/>
          <w:b/>
        </w:rPr>
      </w:pPr>
      <w:r w:rsidRPr="002B3D93">
        <w:rPr>
          <w:rFonts w:ascii="Palatino Linotype" w:eastAsia="Palatino Linotype" w:hAnsi="Palatino Linotype" w:cs="Palatino Linotype"/>
          <w:b/>
        </w:rPr>
        <w:t>I.</w:t>
      </w:r>
      <w:r w:rsidRPr="002B3D93">
        <w:rPr>
          <w:rFonts w:ascii="Palatino Linotype" w:eastAsia="Palatino Linotype" w:hAnsi="Palatino Linotype" w:cs="Palatino Linotype"/>
          <w:b/>
        </w:rPr>
        <w:tab/>
        <w:t>A N T E C E D E N T E S</w:t>
      </w:r>
    </w:p>
    <w:p w14:paraId="38A3A8CC" w14:textId="77777777" w:rsidR="00EF29F6" w:rsidRPr="002B3D93" w:rsidRDefault="00EF29F6">
      <w:pPr>
        <w:spacing w:after="0" w:line="360" w:lineRule="auto"/>
        <w:ind w:right="49"/>
        <w:jc w:val="both"/>
        <w:rPr>
          <w:rFonts w:ascii="Palatino Linotype" w:eastAsia="Palatino Linotype" w:hAnsi="Palatino Linotype" w:cs="Palatino Linotype"/>
        </w:rPr>
      </w:pPr>
    </w:p>
    <w:p w14:paraId="798F7718" w14:textId="77777777" w:rsidR="00EF29F6" w:rsidRPr="002B3D93" w:rsidRDefault="00D73DFE">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B3D93">
        <w:rPr>
          <w:rFonts w:ascii="Palatino Linotype" w:eastAsia="Palatino Linotype" w:hAnsi="Palatino Linotype" w:cs="Palatino Linotype"/>
          <w:b/>
        </w:rPr>
        <w:t>Solicitud de acceso a la información.</w:t>
      </w:r>
      <w:r w:rsidRPr="002B3D93">
        <w:rPr>
          <w:rFonts w:ascii="Palatino Linotype" w:eastAsia="Palatino Linotype" w:hAnsi="Palatino Linotype" w:cs="Palatino Linotype"/>
        </w:rPr>
        <w:t xml:space="preserve"> Con fecha </w:t>
      </w:r>
      <w:r w:rsidRPr="002B3D93">
        <w:rPr>
          <w:rFonts w:ascii="Palatino Linotype" w:eastAsia="Palatino Linotype" w:hAnsi="Palatino Linotype" w:cs="Palatino Linotype"/>
          <w:b/>
        </w:rPr>
        <w:t>veinticuatro de junio de dos mil veinticinco</w:t>
      </w:r>
      <w:r w:rsidRPr="002B3D93">
        <w:rPr>
          <w:rFonts w:ascii="Palatino Linotype" w:eastAsia="Palatino Linotype" w:hAnsi="Palatino Linotype" w:cs="Palatino Linotype"/>
        </w:rPr>
        <w:t xml:space="preserve">, la parte </w:t>
      </w:r>
      <w:r w:rsidRPr="002B3D93">
        <w:rPr>
          <w:rFonts w:ascii="Palatino Linotype" w:eastAsia="Palatino Linotype" w:hAnsi="Palatino Linotype" w:cs="Palatino Linotype"/>
          <w:b/>
        </w:rPr>
        <w:t>RECURRENTE</w:t>
      </w:r>
      <w:r w:rsidRPr="002B3D93">
        <w:rPr>
          <w:rFonts w:ascii="Palatino Linotype" w:eastAsia="Palatino Linotype" w:hAnsi="Palatino Linotype" w:cs="Palatino Linotype"/>
        </w:rPr>
        <w:t xml:space="preserve"> formuló solicitud de acceso a información pública al</w:t>
      </w:r>
      <w:r w:rsidRPr="002B3D93">
        <w:rPr>
          <w:rFonts w:ascii="Palatino Linotype" w:eastAsia="Palatino Linotype" w:hAnsi="Palatino Linotype" w:cs="Palatino Linotype"/>
          <w:b/>
        </w:rPr>
        <w:t xml:space="preserve"> SUJETO OBLIGADO</w:t>
      </w:r>
      <w:r w:rsidRPr="002B3D93">
        <w:rPr>
          <w:rFonts w:ascii="Palatino Linotype" w:eastAsia="Palatino Linotype" w:hAnsi="Palatino Linotype" w:cs="Palatino Linotype"/>
        </w:rPr>
        <w:t xml:space="preserve"> a través del Sistema de Acceso a la Información Mexiquense, en adelante SAIMEX, en la que requirió lo siguiente: </w:t>
      </w:r>
    </w:p>
    <w:p w14:paraId="0FD8BD85" w14:textId="77777777" w:rsidR="00EF29F6" w:rsidRPr="002B3D93" w:rsidRDefault="00D73DFE">
      <w:pPr>
        <w:tabs>
          <w:tab w:val="left" w:pos="1530"/>
        </w:tabs>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ab/>
      </w:r>
    </w:p>
    <w:p w14:paraId="08EB5D14" w14:textId="77777777" w:rsidR="00EF29F6" w:rsidRPr="002B3D93" w:rsidRDefault="00D73DFE">
      <w:pPr>
        <w:spacing w:after="0" w:line="240" w:lineRule="auto"/>
        <w:ind w:left="567" w:right="560"/>
        <w:jc w:val="both"/>
        <w:rPr>
          <w:rFonts w:ascii="Palatino Linotype" w:eastAsia="Palatino Linotype" w:hAnsi="Palatino Linotype" w:cs="Palatino Linotype"/>
          <w:i/>
        </w:rPr>
      </w:pPr>
      <w:bookmarkStart w:id="1" w:name="_heading=h.30j0zll" w:colFirst="0" w:colLast="0"/>
      <w:bookmarkEnd w:id="1"/>
      <w:r w:rsidRPr="002B3D93">
        <w:rPr>
          <w:rFonts w:ascii="Palatino Linotype" w:eastAsia="Palatino Linotype" w:hAnsi="Palatino Linotype" w:cs="Palatino Linotype"/>
          <w:i/>
        </w:rPr>
        <w:t xml:space="preserve">“Solicito el acta del comité de bienes muebles e inmuebles 2025 todas” </w:t>
      </w:r>
    </w:p>
    <w:p w14:paraId="485E7FDD" w14:textId="77777777" w:rsidR="00EF29F6" w:rsidRPr="002B3D93" w:rsidRDefault="00D73DFE">
      <w:pPr>
        <w:spacing w:after="0"/>
        <w:ind w:left="567" w:right="560"/>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 </w:t>
      </w:r>
    </w:p>
    <w:p w14:paraId="6C5C1294"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Modalidad elegida para la entrega de la información:</w:t>
      </w:r>
      <w:r w:rsidRPr="002B3D93">
        <w:rPr>
          <w:rFonts w:ascii="Palatino Linotype" w:eastAsia="Palatino Linotype" w:hAnsi="Palatino Linotype" w:cs="Palatino Linotype"/>
        </w:rPr>
        <w:t xml:space="preserve"> a través del Sistema de Acceso a la Información Mexiquense (SAIMEX). </w:t>
      </w:r>
    </w:p>
    <w:p w14:paraId="2341BB0B" w14:textId="77777777" w:rsidR="00EF29F6" w:rsidRPr="002B3D93" w:rsidRDefault="00EF29F6">
      <w:pPr>
        <w:spacing w:after="0" w:line="360" w:lineRule="auto"/>
        <w:ind w:right="49"/>
        <w:jc w:val="both"/>
        <w:rPr>
          <w:rFonts w:ascii="Palatino Linotype" w:eastAsia="Palatino Linotype" w:hAnsi="Palatino Linotype" w:cs="Palatino Linotype"/>
        </w:rPr>
      </w:pPr>
    </w:p>
    <w:p w14:paraId="2BB15177" w14:textId="77777777" w:rsidR="00EF29F6" w:rsidRPr="002B3D93" w:rsidRDefault="00D73DFE">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B3D93">
        <w:rPr>
          <w:rFonts w:ascii="Palatino Linotype" w:eastAsia="Palatino Linotype" w:hAnsi="Palatino Linotype" w:cs="Palatino Linotype"/>
          <w:b/>
        </w:rPr>
        <w:t xml:space="preserve">Respuesta. </w:t>
      </w:r>
      <w:r w:rsidRPr="002B3D93">
        <w:rPr>
          <w:rFonts w:ascii="Palatino Linotype" w:eastAsia="Palatino Linotype" w:hAnsi="Palatino Linotype" w:cs="Palatino Linotype"/>
        </w:rPr>
        <w:t xml:space="preserve">En </w:t>
      </w:r>
      <w:r w:rsidRPr="002B3D93">
        <w:rPr>
          <w:rFonts w:ascii="Palatino Linotype" w:eastAsia="Palatino Linotype" w:hAnsi="Palatino Linotype" w:cs="Palatino Linotype"/>
          <w:b/>
        </w:rPr>
        <w:t>quince de julio de dos mil veinticinco</w:t>
      </w:r>
      <w:r w:rsidRPr="002B3D93">
        <w:rPr>
          <w:rFonts w:ascii="Palatino Linotype" w:eastAsia="Palatino Linotype" w:hAnsi="Palatino Linotype" w:cs="Palatino Linotype"/>
        </w:rPr>
        <w:t xml:space="preserve">, el </w:t>
      </w:r>
      <w:r w:rsidRPr="002B3D93">
        <w:rPr>
          <w:rFonts w:ascii="Palatino Linotype" w:eastAsia="Palatino Linotype" w:hAnsi="Palatino Linotype" w:cs="Palatino Linotype"/>
          <w:b/>
        </w:rPr>
        <w:t xml:space="preserve">SUJETO OBLIGADO </w:t>
      </w:r>
      <w:r w:rsidRPr="002B3D93">
        <w:rPr>
          <w:rFonts w:ascii="Palatino Linotype" w:eastAsia="Palatino Linotype" w:hAnsi="Palatino Linotype" w:cs="Palatino Linotype"/>
        </w:rPr>
        <w:t xml:space="preserve">proporcionó respuesta a la solicitud de información, la cual fue previamente del conocimiento de la parte Recurrente. </w:t>
      </w:r>
    </w:p>
    <w:p w14:paraId="4C8F0C1C" w14:textId="77777777" w:rsidR="00EF29F6" w:rsidRPr="002B3D93" w:rsidRDefault="00D73DFE">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B3D93">
        <w:rPr>
          <w:rFonts w:ascii="Palatino Linotype" w:eastAsia="Palatino Linotype" w:hAnsi="Palatino Linotype" w:cs="Palatino Linotype"/>
          <w:b/>
        </w:rPr>
        <w:lastRenderedPageBreak/>
        <w:t xml:space="preserve">Recurso de Revisión. </w:t>
      </w:r>
      <w:r w:rsidRPr="002B3D93">
        <w:rPr>
          <w:rFonts w:ascii="Palatino Linotype" w:eastAsia="Palatino Linotype" w:hAnsi="Palatino Linotype" w:cs="Palatino Linotype"/>
        </w:rPr>
        <w:t xml:space="preserve">En fecha </w:t>
      </w:r>
      <w:r w:rsidRPr="002B3D93">
        <w:rPr>
          <w:rFonts w:ascii="Palatino Linotype" w:eastAsia="Palatino Linotype" w:hAnsi="Palatino Linotype" w:cs="Palatino Linotype"/>
          <w:b/>
        </w:rPr>
        <w:t>veinte de julio de dos mil veinticinco</w:t>
      </w:r>
      <w:r w:rsidRPr="002B3D93">
        <w:rPr>
          <w:rFonts w:ascii="Palatino Linotype" w:eastAsia="Palatino Linotype" w:hAnsi="Palatino Linotype" w:cs="Palatino Linotype"/>
        </w:rPr>
        <w:t xml:space="preserve"> la persona Solicitante interpuso Recurso de Revisión a través del </w:t>
      </w:r>
      <w:r w:rsidRPr="002B3D93">
        <w:rPr>
          <w:rFonts w:ascii="Palatino Linotype" w:eastAsia="Palatino Linotype" w:hAnsi="Palatino Linotype" w:cs="Palatino Linotype"/>
          <w:b/>
        </w:rPr>
        <w:t>SAIMEX</w:t>
      </w:r>
      <w:r w:rsidRPr="002B3D93">
        <w:rPr>
          <w:rFonts w:ascii="Palatino Linotype" w:eastAsia="Palatino Linotype" w:hAnsi="Palatino Linotype" w:cs="Palatino Linotype"/>
        </w:rPr>
        <w:t xml:space="preserve">, lo cual por corresponder a un día inhábil, se tuvo por presentado el </w:t>
      </w:r>
      <w:r w:rsidRPr="002B3D93">
        <w:rPr>
          <w:rFonts w:ascii="Palatino Linotype" w:eastAsia="Palatino Linotype" w:hAnsi="Palatino Linotype" w:cs="Palatino Linotype"/>
          <w:b/>
        </w:rPr>
        <w:t xml:space="preserve">cuatro de agosto de dos mil veinticinco, </w:t>
      </w:r>
      <w:r w:rsidRPr="002B3D93">
        <w:rPr>
          <w:rFonts w:ascii="Palatino Linotype" w:eastAsia="Palatino Linotype" w:hAnsi="Palatino Linotype" w:cs="Palatino Linotype"/>
        </w:rPr>
        <w:t>a través del cual expresó lo siguiente:</w:t>
      </w:r>
    </w:p>
    <w:p w14:paraId="26D06BC2"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4C2C64C" w14:textId="77777777" w:rsidR="00EF29F6" w:rsidRPr="002B3D93" w:rsidRDefault="00D73DF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2B3D93">
        <w:rPr>
          <w:rFonts w:ascii="Palatino Linotype" w:eastAsia="Palatino Linotype" w:hAnsi="Palatino Linotype" w:cs="Palatino Linotype"/>
          <w:b/>
        </w:rPr>
        <w:t>Acto impugnado</w:t>
      </w:r>
      <w:r w:rsidRPr="002B3D93">
        <w:rPr>
          <w:rFonts w:ascii="Palatino Linotype" w:eastAsia="Palatino Linotype" w:hAnsi="Palatino Linotype" w:cs="Palatino Linotype"/>
          <w:b/>
          <w:i/>
        </w:rPr>
        <w:t xml:space="preserve">. </w:t>
      </w:r>
      <w:r w:rsidRPr="002B3D93">
        <w:rPr>
          <w:rFonts w:ascii="Palatino Linotype" w:eastAsia="Palatino Linotype" w:hAnsi="Palatino Linotype" w:cs="Palatino Linotype"/>
          <w:i/>
        </w:rPr>
        <w:t xml:space="preserve">“Respuesta”. </w:t>
      </w:r>
    </w:p>
    <w:p w14:paraId="5F3E1CC3" w14:textId="77777777" w:rsidR="00EF29F6" w:rsidRPr="002B3D93" w:rsidRDefault="00EF29F6">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6CE245CB" w14:textId="77777777" w:rsidR="00EF29F6" w:rsidRPr="002B3D93" w:rsidRDefault="00D73DF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2B3D93">
        <w:rPr>
          <w:rFonts w:ascii="Palatino Linotype" w:eastAsia="Palatino Linotype" w:hAnsi="Palatino Linotype" w:cs="Palatino Linotype"/>
          <w:b/>
        </w:rPr>
        <w:t xml:space="preserve">Razones o motivos de la inconformidad: </w:t>
      </w:r>
      <w:r w:rsidRPr="002B3D93">
        <w:rPr>
          <w:rFonts w:ascii="Palatino Linotype" w:eastAsia="Palatino Linotype" w:hAnsi="Palatino Linotype" w:cs="Palatino Linotype"/>
          <w:i/>
        </w:rPr>
        <w:t xml:space="preserve">“No remiten lo solicitado y solo divagan con la información”. </w:t>
      </w:r>
    </w:p>
    <w:p w14:paraId="3F9C7E99" w14:textId="77777777" w:rsidR="00EF29F6" w:rsidRPr="002B3D93" w:rsidRDefault="00EF29F6">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71B1852D" w14:textId="77777777" w:rsidR="00EF29F6" w:rsidRPr="002B3D93" w:rsidRDefault="00D73DFE">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B3D93">
        <w:rPr>
          <w:rFonts w:ascii="Palatino Linotype" w:eastAsia="Palatino Linotype" w:hAnsi="Palatino Linotype" w:cs="Palatino Linotype"/>
          <w:b/>
        </w:rPr>
        <w:t>Turno.</w:t>
      </w:r>
      <w:r w:rsidRPr="002B3D9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2B3D93">
        <w:rPr>
          <w:rFonts w:ascii="Palatino Linotype" w:eastAsia="Palatino Linotype" w:hAnsi="Palatino Linotype" w:cs="Palatino Linotype"/>
          <w:b/>
        </w:rPr>
        <w:t>08839/INFOEM/IP/RR/2025</w:t>
      </w:r>
      <w:r w:rsidRPr="002B3D93">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24F0822"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CF7D2B2" w14:textId="77777777" w:rsidR="00EF29F6" w:rsidRPr="002B3D93" w:rsidRDefault="00D73DFE">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B3D93">
        <w:rPr>
          <w:rFonts w:ascii="Palatino Linotype" w:eastAsia="Palatino Linotype" w:hAnsi="Palatino Linotype" w:cs="Palatino Linotype"/>
          <w:b/>
        </w:rPr>
        <w:t>Admisión del recurso de revisión</w:t>
      </w:r>
      <w:r w:rsidRPr="002B3D93">
        <w:rPr>
          <w:rFonts w:ascii="Palatino Linotype" w:eastAsia="Palatino Linotype" w:hAnsi="Palatino Linotype" w:cs="Palatino Linotype"/>
        </w:rPr>
        <w:t>: En fecha</w:t>
      </w:r>
      <w:r w:rsidRPr="002B3D93">
        <w:rPr>
          <w:rFonts w:ascii="Palatino Linotype" w:eastAsia="Palatino Linotype" w:hAnsi="Palatino Linotype" w:cs="Palatino Linotype"/>
          <w:b/>
        </w:rPr>
        <w:t xml:space="preserve"> ocho de agosto de dos mil veinticinco</w:t>
      </w:r>
      <w:r w:rsidRPr="002B3D9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A5AE867"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C92AD6F" w14:textId="77777777" w:rsidR="00EF29F6" w:rsidRPr="002B3D93" w:rsidRDefault="00D73DFE">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B3D93">
        <w:rPr>
          <w:rFonts w:ascii="Palatino Linotype" w:eastAsia="Palatino Linotype" w:hAnsi="Palatino Linotype" w:cs="Palatino Linotype"/>
          <w:b/>
        </w:rPr>
        <w:t xml:space="preserve">Manifestaciones: </w:t>
      </w:r>
      <w:r w:rsidRPr="002B3D93">
        <w:rPr>
          <w:rFonts w:ascii="Palatino Linotype" w:eastAsia="Palatino Linotype" w:hAnsi="Palatino Linotype" w:cs="Palatino Linotype"/>
        </w:rPr>
        <w:t xml:space="preserve">En fecha </w:t>
      </w:r>
      <w:r w:rsidRPr="002B3D93">
        <w:rPr>
          <w:rFonts w:ascii="Palatino Linotype" w:eastAsia="Palatino Linotype" w:hAnsi="Palatino Linotype" w:cs="Palatino Linotype"/>
          <w:b/>
        </w:rPr>
        <w:t>diez de agosto de dos mil veinticinco</w:t>
      </w:r>
      <w:r w:rsidRPr="002B3D93">
        <w:rPr>
          <w:rFonts w:ascii="Palatino Linotype" w:eastAsia="Palatino Linotype" w:hAnsi="Palatino Linotype" w:cs="Palatino Linotype"/>
        </w:rPr>
        <w:t xml:space="preserve">, el </w:t>
      </w:r>
      <w:r w:rsidRPr="002B3D93">
        <w:rPr>
          <w:rFonts w:ascii="Palatino Linotype" w:eastAsia="Palatino Linotype" w:hAnsi="Palatino Linotype" w:cs="Palatino Linotype"/>
          <w:b/>
        </w:rPr>
        <w:t xml:space="preserve">SUJETO OBLIGADO </w:t>
      </w:r>
      <w:r w:rsidRPr="002B3D93">
        <w:rPr>
          <w:rFonts w:ascii="Palatino Linotype" w:eastAsia="Palatino Linotype" w:hAnsi="Palatino Linotype" w:cs="Palatino Linotype"/>
        </w:rPr>
        <w:t xml:space="preserve">rindió su informe justificado, mediante el cual ratificó su respuesta inicial. </w:t>
      </w:r>
    </w:p>
    <w:p w14:paraId="72143218"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0BD2BA75" w14:textId="77777777" w:rsidR="00EF29F6" w:rsidRPr="002B3D93" w:rsidRDefault="00D73DF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B3D93">
        <w:rPr>
          <w:rFonts w:ascii="Palatino Linotype" w:eastAsia="Palatino Linotype" w:hAnsi="Palatino Linotype" w:cs="Palatino Linotype"/>
        </w:rPr>
        <w:lastRenderedPageBreak/>
        <w:t xml:space="preserve">El documento se hizo del conocimiento de la parte Recurrente el </w:t>
      </w:r>
      <w:r w:rsidRPr="002B3D93">
        <w:rPr>
          <w:rFonts w:ascii="Palatino Linotype" w:eastAsia="Palatino Linotype" w:hAnsi="Palatino Linotype" w:cs="Palatino Linotype"/>
          <w:b/>
        </w:rPr>
        <w:t xml:space="preserve">diez de septiembre de dos mil veinticinco. </w:t>
      </w:r>
    </w:p>
    <w:p w14:paraId="2E47D82C"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3CD645" w14:textId="77777777" w:rsidR="00EF29F6" w:rsidRPr="002B3D93" w:rsidRDefault="00D73D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La parte Recurrente fue omisa en realizar manifestaciones. </w:t>
      </w:r>
    </w:p>
    <w:p w14:paraId="59F4D714"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0EBF515" w14:textId="77777777" w:rsidR="00EF29F6" w:rsidRPr="002B3D93" w:rsidRDefault="00D73D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7. Cierre de instrucción</w:t>
      </w:r>
      <w:r w:rsidRPr="002B3D93">
        <w:rPr>
          <w:rFonts w:ascii="Palatino Linotype" w:eastAsia="Palatino Linotype" w:hAnsi="Palatino Linotype" w:cs="Palatino Linotype"/>
        </w:rPr>
        <w:t xml:space="preserve">. En fecha </w:t>
      </w:r>
      <w:r w:rsidRPr="002B3D93">
        <w:rPr>
          <w:rFonts w:ascii="Palatino Linotype" w:eastAsia="Palatino Linotype" w:hAnsi="Palatino Linotype" w:cs="Palatino Linotype"/>
          <w:b/>
        </w:rPr>
        <w:t>dieciocho de septiembre de dos mil veinticinco</w:t>
      </w:r>
      <w:r w:rsidRPr="002B3D9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725DFCD"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30785A7"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8.</w:t>
      </w:r>
      <w:r w:rsidRPr="002B3D93">
        <w:rPr>
          <w:rFonts w:ascii="Palatino Linotype" w:eastAsia="Palatino Linotype" w:hAnsi="Palatino Linotype" w:cs="Palatino Linotype"/>
        </w:rPr>
        <w:t xml:space="preserve"> </w:t>
      </w:r>
      <w:r w:rsidRPr="002B3D93">
        <w:rPr>
          <w:rFonts w:ascii="Palatino Linotype" w:eastAsia="Palatino Linotype" w:hAnsi="Palatino Linotype" w:cs="Palatino Linotype"/>
          <w:b/>
        </w:rPr>
        <w:t>Ampliación de plazo:</w:t>
      </w:r>
      <w:r w:rsidRPr="002B3D93">
        <w:rPr>
          <w:rFonts w:ascii="Palatino Linotype" w:eastAsia="Palatino Linotype" w:hAnsi="Palatino Linotype" w:cs="Palatino Linotype"/>
        </w:rPr>
        <w:t xml:space="preserve"> El </w:t>
      </w:r>
      <w:r w:rsidRPr="002B3D93">
        <w:rPr>
          <w:rFonts w:ascii="Palatino Linotype" w:eastAsia="Palatino Linotype" w:hAnsi="Palatino Linotype" w:cs="Palatino Linotype"/>
          <w:b/>
        </w:rPr>
        <w:t>veinticinco de septiembre de dos mil veinticinco</w:t>
      </w:r>
      <w:r w:rsidRPr="002B3D9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29F2AC3" w14:textId="77777777" w:rsidR="00EF29F6" w:rsidRPr="002B3D93" w:rsidRDefault="00EF29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386589"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19C2BCA" w14:textId="77777777" w:rsidR="00EF29F6" w:rsidRPr="002B3D93" w:rsidRDefault="00EF29F6">
      <w:pPr>
        <w:spacing w:after="0" w:line="360" w:lineRule="auto"/>
        <w:ind w:right="49"/>
        <w:jc w:val="both"/>
        <w:rPr>
          <w:rFonts w:ascii="Palatino Linotype" w:eastAsia="Palatino Linotype" w:hAnsi="Palatino Linotype" w:cs="Palatino Linotype"/>
        </w:rPr>
      </w:pPr>
    </w:p>
    <w:p w14:paraId="2F4890E4" w14:textId="77777777" w:rsidR="00EF29F6" w:rsidRPr="002B3D93" w:rsidRDefault="00D73DFE">
      <w:pPr>
        <w:spacing w:after="0" w:line="360" w:lineRule="auto"/>
        <w:ind w:right="49"/>
        <w:jc w:val="center"/>
        <w:rPr>
          <w:rFonts w:ascii="Palatino Linotype" w:eastAsia="Palatino Linotype" w:hAnsi="Palatino Linotype" w:cs="Palatino Linotype"/>
          <w:b/>
        </w:rPr>
      </w:pPr>
      <w:r w:rsidRPr="002B3D93">
        <w:rPr>
          <w:rFonts w:ascii="Palatino Linotype" w:eastAsia="Palatino Linotype" w:hAnsi="Palatino Linotype" w:cs="Palatino Linotype"/>
          <w:b/>
        </w:rPr>
        <w:t>II.</w:t>
      </w:r>
      <w:r w:rsidRPr="002B3D93">
        <w:rPr>
          <w:rFonts w:ascii="Palatino Linotype" w:eastAsia="Palatino Linotype" w:hAnsi="Palatino Linotype" w:cs="Palatino Linotype"/>
          <w:b/>
        </w:rPr>
        <w:tab/>
        <w:t>C O N S I D E R A N D O:</w:t>
      </w:r>
    </w:p>
    <w:p w14:paraId="0DEB50A0" w14:textId="77777777" w:rsidR="00EF29F6" w:rsidRPr="002B3D93" w:rsidRDefault="00EF29F6">
      <w:pPr>
        <w:spacing w:after="0" w:line="360" w:lineRule="auto"/>
        <w:ind w:right="49"/>
        <w:jc w:val="both"/>
        <w:rPr>
          <w:rFonts w:ascii="Palatino Linotype" w:eastAsia="Palatino Linotype" w:hAnsi="Palatino Linotype" w:cs="Palatino Linotype"/>
        </w:rPr>
      </w:pPr>
    </w:p>
    <w:p w14:paraId="1780BCC8"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Primero. Competencia.</w:t>
      </w:r>
      <w:r w:rsidRPr="002B3D9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D6F00A" w14:textId="77777777" w:rsidR="00EF29F6" w:rsidRPr="002B3D93" w:rsidRDefault="00EF29F6">
      <w:pPr>
        <w:spacing w:after="0" w:line="360" w:lineRule="auto"/>
        <w:ind w:right="49"/>
        <w:jc w:val="both"/>
        <w:rPr>
          <w:rFonts w:ascii="Palatino Linotype" w:eastAsia="Palatino Linotype" w:hAnsi="Palatino Linotype" w:cs="Palatino Linotype"/>
        </w:rPr>
      </w:pPr>
    </w:p>
    <w:p w14:paraId="10C38FFE"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Segundo. Oportunidad y Procedibilidad del Recurso de Revisión.</w:t>
      </w:r>
      <w:r w:rsidRPr="002B3D93">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977CD61" w14:textId="77777777" w:rsidR="00EF29F6" w:rsidRPr="002B3D93" w:rsidRDefault="00EF29F6">
      <w:pPr>
        <w:spacing w:after="0" w:line="360" w:lineRule="auto"/>
        <w:ind w:right="49"/>
        <w:jc w:val="both"/>
        <w:rPr>
          <w:rFonts w:ascii="Palatino Linotype" w:eastAsia="Palatino Linotype" w:hAnsi="Palatino Linotype" w:cs="Palatino Linotype"/>
        </w:rPr>
      </w:pPr>
    </w:p>
    <w:p w14:paraId="440ECE5E"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2B3D93">
        <w:rPr>
          <w:rFonts w:ascii="Palatino Linotype" w:eastAsia="Palatino Linotype" w:hAnsi="Palatino Linotype" w:cs="Palatino Linotype"/>
          <w:b/>
        </w:rPr>
        <w:t>SUJETO OBLIGADO</w:t>
      </w:r>
      <w:r w:rsidRPr="002B3D93">
        <w:rPr>
          <w:rFonts w:ascii="Palatino Linotype" w:eastAsia="Palatino Linotype" w:hAnsi="Palatino Linotype" w:cs="Palatino Linotype"/>
        </w:rPr>
        <w:t xml:space="preserve"> remitió la respuesta a la solicitud de información del </w:t>
      </w:r>
      <w:r w:rsidRPr="002B3D93">
        <w:rPr>
          <w:rFonts w:ascii="Palatino Linotype" w:eastAsia="Palatino Linotype" w:hAnsi="Palatino Linotype" w:cs="Palatino Linotype"/>
          <w:b/>
        </w:rPr>
        <w:t>quince de julio de dos mil veinticinco</w:t>
      </w:r>
      <w:r w:rsidRPr="002B3D93">
        <w:rPr>
          <w:rFonts w:ascii="Palatino Linotype" w:eastAsia="Palatino Linotype" w:hAnsi="Palatino Linotype" w:cs="Palatino Linotype"/>
        </w:rPr>
        <w:t xml:space="preserve">, mientras que el recurso de revisión interpuesto por la parte </w:t>
      </w:r>
      <w:r w:rsidRPr="002B3D93">
        <w:rPr>
          <w:rFonts w:ascii="Palatino Linotype" w:eastAsia="Palatino Linotype" w:hAnsi="Palatino Linotype" w:cs="Palatino Linotype"/>
          <w:b/>
        </w:rPr>
        <w:t xml:space="preserve">RECURRENTE </w:t>
      </w:r>
      <w:r w:rsidRPr="002B3D93">
        <w:rPr>
          <w:rFonts w:ascii="Palatino Linotype" w:eastAsia="Palatino Linotype" w:hAnsi="Palatino Linotype" w:cs="Palatino Linotype"/>
        </w:rPr>
        <w:t xml:space="preserve">se tuvo por presentado </w:t>
      </w:r>
      <w:r w:rsidRPr="002B3D93">
        <w:rPr>
          <w:rFonts w:ascii="Palatino Linotype" w:eastAsia="Palatino Linotype" w:hAnsi="Palatino Linotype" w:cs="Palatino Linotype"/>
          <w:b/>
        </w:rPr>
        <w:t>veinte de julio</w:t>
      </w:r>
      <w:r w:rsidRPr="002B3D93">
        <w:rPr>
          <w:rFonts w:ascii="Palatino Linotype" w:eastAsia="Palatino Linotype" w:hAnsi="Palatino Linotype" w:cs="Palatino Linotype"/>
        </w:rPr>
        <w:t xml:space="preserve"> </w:t>
      </w:r>
      <w:r w:rsidRPr="002B3D93">
        <w:rPr>
          <w:rFonts w:ascii="Palatino Linotype" w:eastAsia="Palatino Linotype" w:hAnsi="Palatino Linotype" w:cs="Palatino Linotype"/>
          <w:b/>
        </w:rPr>
        <w:t>de dos mil veinticinco</w:t>
      </w:r>
      <w:r w:rsidRPr="002B3D93">
        <w:rPr>
          <w:rFonts w:ascii="Palatino Linotype" w:eastAsia="Palatino Linotype" w:hAnsi="Palatino Linotype" w:cs="Palatino Linotype"/>
        </w:rPr>
        <w:t xml:space="preserve">, no obstante, por corresponder a día inhábil se tuvo por presentado el </w:t>
      </w:r>
      <w:r w:rsidRPr="002B3D93">
        <w:rPr>
          <w:rFonts w:ascii="Palatino Linotype" w:eastAsia="Palatino Linotype" w:hAnsi="Palatino Linotype" w:cs="Palatino Linotype"/>
          <w:b/>
        </w:rPr>
        <w:t xml:space="preserve">cuatro de agosto de dos mil veinticinco </w:t>
      </w:r>
      <w:r w:rsidRPr="002B3D93">
        <w:rPr>
          <w:rFonts w:ascii="Palatino Linotype" w:eastAsia="Palatino Linotype" w:hAnsi="Palatino Linotype" w:cs="Palatino Linotype"/>
        </w:rPr>
        <w:t>esto es al cuarto día hábil en que se tuvo conocimiento de la respuesta.</w:t>
      </w:r>
    </w:p>
    <w:p w14:paraId="070FB49C" w14:textId="77777777" w:rsidR="00EF29F6" w:rsidRPr="002B3D93" w:rsidRDefault="00EF29F6">
      <w:pPr>
        <w:spacing w:after="0" w:line="360" w:lineRule="auto"/>
        <w:ind w:right="49"/>
        <w:jc w:val="both"/>
        <w:rPr>
          <w:rFonts w:ascii="Palatino Linotype" w:eastAsia="Palatino Linotype" w:hAnsi="Palatino Linotype" w:cs="Palatino Linotype"/>
        </w:rPr>
      </w:pPr>
    </w:p>
    <w:p w14:paraId="00906A97" w14:textId="77777777" w:rsidR="00EF29F6" w:rsidRPr="002B3D93" w:rsidRDefault="00D73DFE">
      <w:pPr>
        <w:spacing w:after="0" w:line="360" w:lineRule="auto"/>
        <w:jc w:val="both"/>
        <w:rPr>
          <w:rFonts w:ascii="Palatino Linotype" w:eastAsia="Palatino Linotype" w:hAnsi="Palatino Linotype" w:cs="Palatino Linotype"/>
        </w:rPr>
      </w:pPr>
      <w:bookmarkStart w:id="2" w:name="_heading=h.oxu5egrlzwul" w:colFirst="0" w:colLast="0"/>
      <w:bookmarkEnd w:id="2"/>
      <w:r w:rsidRPr="002B3D93">
        <w:rPr>
          <w:rFonts w:ascii="Palatino Linotype" w:eastAsia="Palatino Linotype" w:hAnsi="Palatino Linotype" w:cs="Palatino Linotype"/>
        </w:rPr>
        <w:t xml:space="preserve">A efecto de sustentar lo anterior, es de suma importancia mencionar que si bien la persona solicitante </w:t>
      </w:r>
      <w:r w:rsidRPr="002B3D93">
        <w:rPr>
          <w:rFonts w:ascii="Palatino Linotype" w:eastAsia="Palatino Linotype" w:hAnsi="Palatino Linotype" w:cs="Palatino Linotype"/>
          <w:b/>
        </w:rPr>
        <w:t xml:space="preserve">no proporcionó un nombre, </w:t>
      </w:r>
      <w:r w:rsidRPr="002B3D93">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55D2E3" w14:textId="77777777" w:rsidR="00EF29F6" w:rsidRPr="002B3D93" w:rsidRDefault="00EF29F6">
      <w:pPr>
        <w:spacing w:after="0" w:line="360" w:lineRule="auto"/>
        <w:jc w:val="both"/>
        <w:rPr>
          <w:rFonts w:ascii="Palatino Linotype" w:eastAsia="Palatino Linotype" w:hAnsi="Palatino Linotype" w:cs="Palatino Linotype"/>
        </w:rPr>
      </w:pPr>
      <w:bookmarkStart w:id="3" w:name="_heading=h.iqoe2vuxgjpb" w:colFirst="0" w:colLast="0"/>
      <w:bookmarkEnd w:id="3"/>
    </w:p>
    <w:p w14:paraId="5A881280" w14:textId="77777777" w:rsidR="00EF29F6" w:rsidRPr="002B3D93" w:rsidRDefault="00D73DFE">
      <w:pPr>
        <w:spacing w:after="0"/>
        <w:ind w:left="851" w:right="902"/>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Las solicitudes anónimas,</w:t>
      </w:r>
      <w:r w:rsidRPr="002B3D93">
        <w:rPr>
          <w:rFonts w:ascii="Palatino Linotype" w:eastAsia="Palatino Linotype" w:hAnsi="Palatino Linotype" w:cs="Palatino Linotype"/>
          <w:i/>
        </w:rPr>
        <w:t xml:space="preserve"> con nombre incompleto o seudónimo</w:t>
      </w:r>
      <w:r w:rsidRPr="002B3D93">
        <w:rPr>
          <w:rFonts w:ascii="Palatino Linotype" w:eastAsia="Palatino Linotype" w:hAnsi="Palatino Linotype" w:cs="Palatino Linotype"/>
          <w:b/>
          <w:i/>
        </w:rPr>
        <w:t xml:space="preserve"> serán procedentes para su trámite por parte del sujeto obligado ante quien se presente</w:t>
      </w:r>
      <w:r w:rsidRPr="002B3D93">
        <w:rPr>
          <w:rFonts w:ascii="Palatino Linotype" w:eastAsia="Palatino Linotype" w:hAnsi="Palatino Linotype" w:cs="Palatino Linotype"/>
          <w:i/>
        </w:rPr>
        <w:t>. No podrá requerirse información adicional con motivo del nombre proporcionado por el solicitante."</w:t>
      </w:r>
    </w:p>
    <w:p w14:paraId="313A9B1B" w14:textId="77777777" w:rsidR="00EF29F6" w:rsidRPr="002B3D93" w:rsidRDefault="00EF29F6">
      <w:pPr>
        <w:spacing w:after="0"/>
        <w:ind w:left="851" w:right="902"/>
        <w:jc w:val="both"/>
        <w:rPr>
          <w:rFonts w:ascii="Palatino Linotype" w:eastAsia="Palatino Linotype" w:hAnsi="Palatino Linotype" w:cs="Palatino Linotype"/>
          <w:i/>
        </w:rPr>
      </w:pPr>
    </w:p>
    <w:p w14:paraId="305D3626"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B3D93">
        <w:rPr>
          <w:rFonts w:ascii="Palatino Linotype" w:eastAsia="Palatino Linotype" w:hAnsi="Palatino Linotype" w:cs="Palatino Linotype"/>
          <w:b/>
        </w:rPr>
        <w:t>SAIMEX</w:t>
      </w:r>
      <w:r w:rsidRPr="002B3D93">
        <w:rPr>
          <w:rFonts w:ascii="Palatino Linotype" w:eastAsia="Palatino Linotype" w:hAnsi="Palatino Linotype" w:cs="Palatino Linotype"/>
        </w:rPr>
        <w:t xml:space="preserve">.  </w:t>
      </w:r>
    </w:p>
    <w:p w14:paraId="02F31365" w14:textId="77777777" w:rsidR="00EF29F6" w:rsidRPr="002B3D93" w:rsidRDefault="00EF29F6">
      <w:pPr>
        <w:spacing w:after="0" w:line="360" w:lineRule="auto"/>
        <w:ind w:right="49"/>
        <w:jc w:val="both"/>
        <w:rPr>
          <w:rFonts w:ascii="Palatino Linotype" w:eastAsia="Palatino Linotype" w:hAnsi="Palatino Linotype" w:cs="Palatino Linotype"/>
        </w:rPr>
      </w:pPr>
    </w:p>
    <w:p w14:paraId="423BB706"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Finalmente, resulta procedente la interposición del recurso de revisión al rubro anotado, toda vez que se actualizan las hipótesis de procedencia previstas en el artículo 179 fracción  VI  de la Ley de la materia, que a la letra dice:</w:t>
      </w:r>
    </w:p>
    <w:p w14:paraId="07E936E7" w14:textId="77777777" w:rsidR="00EF29F6" w:rsidRPr="002B3D93" w:rsidRDefault="00EF29F6">
      <w:pPr>
        <w:spacing w:after="0" w:line="360" w:lineRule="auto"/>
        <w:ind w:right="49"/>
        <w:jc w:val="both"/>
        <w:rPr>
          <w:rFonts w:ascii="Palatino Linotype" w:eastAsia="Palatino Linotype" w:hAnsi="Palatino Linotype" w:cs="Palatino Linotype"/>
        </w:rPr>
      </w:pPr>
    </w:p>
    <w:p w14:paraId="18EBFE9B" w14:textId="77777777" w:rsidR="00EF29F6" w:rsidRPr="002B3D93" w:rsidRDefault="00D73DFE">
      <w:pPr>
        <w:spacing w:after="0"/>
        <w:ind w:left="567" w:right="560"/>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Artículo 179.</w:t>
      </w:r>
      <w:r w:rsidRPr="002B3D9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0934D1D" w14:textId="77777777" w:rsidR="00EF29F6" w:rsidRPr="002B3D93" w:rsidRDefault="00D73DFE">
      <w:pPr>
        <w:spacing w:after="0"/>
        <w:ind w:left="567" w:right="560"/>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1E020BFB" w14:textId="77777777" w:rsidR="00EF29F6" w:rsidRPr="002B3D93" w:rsidRDefault="00D73DFE">
      <w:pPr>
        <w:spacing w:after="0"/>
        <w:ind w:left="567" w:right="560"/>
        <w:jc w:val="both"/>
        <w:rPr>
          <w:rFonts w:ascii="Palatino Linotype" w:eastAsia="Palatino Linotype" w:hAnsi="Palatino Linotype" w:cs="Palatino Linotype"/>
          <w:i/>
        </w:rPr>
      </w:pPr>
      <w:r w:rsidRPr="002B3D93">
        <w:rPr>
          <w:rFonts w:ascii="Palatino Linotype" w:eastAsia="Palatino Linotype" w:hAnsi="Palatino Linotype" w:cs="Palatino Linotype"/>
          <w:i/>
        </w:rPr>
        <w:t>VI. La entrega de información que no corresponda con lo solicitado;</w:t>
      </w:r>
    </w:p>
    <w:p w14:paraId="4F9269BC" w14:textId="77777777" w:rsidR="00EF29F6" w:rsidRPr="002B3D93" w:rsidRDefault="00D73DFE">
      <w:pPr>
        <w:spacing w:after="0"/>
        <w:ind w:left="567" w:right="560"/>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3EEF2B10" w14:textId="77777777" w:rsidR="00EF29F6" w:rsidRPr="002B3D93" w:rsidRDefault="00EF29F6">
      <w:pPr>
        <w:spacing w:after="0" w:line="360" w:lineRule="auto"/>
        <w:ind w:right="49"/>
        <w:jc w:val="both"/>
        <w:rPr>
          <w:rFonts w:ascii="Palatino Linotype" w:eastAsia="Palatino Linotype" w:hAnsi="Palatino Linotype" w:cs="Palatino Linotype"/>
          <w:b/>
        </w:rPr>
      </w:pPr>
    </w:p>
    <w:p w14:paraId="7853CF83"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Tercero. Materia de la revisión</w:t>
      </w:r>
      <w:r w:rsidRPr="002B3D93">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VI del artículo 179 de la Ley en la materia. </w:t>
      </w:r>
    </w:p>
    <w:p w14:paraId="424CD877" w14:textId="77777777" w:rsidR="00EF29F6" w:rsidRPr="002B3D93" w:rsidRDefault="00EF29F6">
      <w:pPr>
        <w:spacing w:after="0" w:line="360" w:lineRule="auto"/>
        <w:ind w:right="49"/>
        <w:jc w:val="both"/>
        <w:rPr>
          <w:rFonts w:ascii="Palatino Linotype" w:eastAsia="Palatino Linotype" w:hAnsi="Palatino Linotype" w:cs="Palatino Linotype"/>
        </w:rPr>
      </w:pPr>
    </w:p>
    <w:p w14:paraId="19191B15"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Cuarto.</w:t>
      </w:r>
      <w:r w:rsidRPr="002B3D93">
        <w:rPr>
          <w:rFonts w:ascii="Palatino Linotype" w:eastAsia="Palatino Linotype" w:hAnsi="Palatino Linotype" w:cs="Palatino Linotype"/>
        </w:rPr>
        <w:t xml:space="preserve"> </w:t>
      </w:r>
      <w:r w:rsidRPr="002B3D93">
        <w:rPr>
          <w:rFonts w:ascii="Palatino Linotype" w:eastAsia="Palatino Linotype" w:hAnsi="Palatino Linotype" w:cs="Palatino Linotype"/>
          <w:b/>
        </w:rPr>
        <w:t>Estudio de fondo del asunto.</w:t>
      </w:r>
      <w:r w:rsidRPr="002B3D93">
        <w:rPr>
          <w:rFonts w:ascii="Palatino Linotype" w:eastAsia="Palatino Linotype" w:hAnsi="Palatino Linotype" w:cs="Palatino Linotype"/>
        </w:rPr>
        <w:t xml:space="preserve">  Es conveniente analizar si la respuesta del Sujeto Obligado</w:t>
      </w:r>
      <w:r w:rsidRPr="002B3D93">
        <w:rPr>
          <w:rFonts w:ascii="Palatino Linotype" w:eastAsia="Palatino Linotype" w:hAnsi="Palatino Linotype" w:cs="Palatino Linotype"/>
          <w:b/>
        </w:rPr>
        <w:t xml:space="preserve"> </w:t>
      </w:r>
      <w:r w:rsidRPr="002B3D9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330C3E6" w14:textId="77777777" w:rsidR="00EF29F6" w:rsidRPr="002B3D93" w:rsidRDefault="00EF29F6">
      <w:pPr>
        <w:spacing w:after="0" w:line="360" w:lineRule="auto"/>
        <w:ind w:right="49"/>
        <w:jc w:val="both"/>
        <w:rPr>
          <w:rFonts w:ascii="Palatino Linotype" w:eastAsia="Palatino Linotype" w:hAnsi="Palatino Linotype" w:cs="Palatino Linotype"/>
        </w:rPr>
      </w:pPr>
    </w:p>
    <w:p w14:paraId="30D85580" w14:textId="77777777" w:rsidR="00EF29F6" w:rsidRPr="002B3D93" w:rsidRDefault="00D73DFE">
      <w:pPr>
        <w:tabs>
          <w:tab w:val="left" w:pos="851"/>
        </w:tabs>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Artículo 4</w:t>
      </w:r>
      <w:r w:rsidRPr="002B3D9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654EE95" w14:textId="77777777" w:rsidR="00EF29F6" w:rsidRPr="002B3D93" w:rsidRDefault="00D73DFE">
      <w:pPr>
        <w:tabs>
          <w:tab w:val="left" w:pos="851"/>
        </w:tabs>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B3D9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351B73A" w14:textId="77777777" w:rsidR="00EF29F6" w:rsidRPr="002B3D93" w:rsidRDefault="00D73DFE">
      <w:pPr>
        <w:tabs>
          <w:tab w:val="left" w:pos="851"/>
        </w:tabs>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B3D93">
        <w:rPr>
          <w:rFonts w:ascii="Palatino Linotype" w:eastAsia="Palatino Linotype" w:hAnsi="Palatino Linotype" w:cs="Palatino Linotype"/>
          <w:i/>
        </w:rPr>
        <w:t>.”</w:t>
      </w:r>
    </w:p>
    <w:p w14:paraId="60EEF187" w14:textId="77777777" w:rsidR="00EF29F6" w:rsidRPr="002B3D93" w:rsidRDefault="00EF29F6">
      <w:pPr>
        <w:spacing w:after="0" w:line="360" w:lineRule="auto"/>
        <w:ind w:right="49"/>
        <w:jc w:val="both"/>
        <w:rPr>
          <w:rFonts w:ascii="Palatino Linotype" w:eastAsia="Palatino Linotype" w:hAnsi="Palatino Linotype" w:cs="Palatino Linotype"/>
        </w:rPr>
      </w:pPr>
    </w:p>
    <w:p w14:paraId="49B4B07E"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3E3B38E" w14:textId="77777777" w:rsidR="00EF29F6" w:rsidRPr="002B3D93" w:rsidRDefault="00EF29F6">
      <w:pPr>
        <w:spacing w:after="0" w:line="360" w:lineRule="auto"/>
        <w:ind w:right="49"/>
        <w:jc w:val="both"/>
        <w:rPr>
          <w:rFonts w:ascii="Palatino Linotype" w:eastAsia="Palatino Linotype" w:hAnsi="Palatino Linotype" w:cs="Palatino Linotype"/>
        </w:rPr>
      </w:pPr>
    </w:p>
    <w:p w14:paraId="416C2A00" w14:textId="77777777" w:rsidR="00EF29F6" w:rsidRPr="002B3D93" w:rsidRDefault="00D73DFE">
      <w:pPr>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Artículo 12.-</w:t>
      </w:r>
      <w:r w:rsidRPr="002B3D9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D940C8D" w14:textId="77777777" w:rsidR="00EF29F6" w:rsidRPr="002B3D93" w:rsidRDefault="00D73DFE">
      <w:pPr>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B3D93">
        <w:rPr>
          <w:rFonts w:ascii="Palatino Linotype" w:eastAsia="Palatino Linotype" w:hAnsi="Palatino Linotype" w:cs="Palatino Linotype"/>
          <w:i/>
        </w:rPr>
        <w:t xml:space="preserve">. </w:t>
      </w:r>
      <w:r w:rsidRPr="002B3D9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2B3D93">
        <w:rPr>
          <w:rFonts w:ascii="Palatino Linotype" w:eastAsia="Palatino Linotype" w:hAnsi="Palatino Linotype" w:cs="Palatino Linotype"/>
          <w:i/>
        </w:rPr>
        <w:t xml:space="preserve">.” </w:t>
      </w:r>
    </w:p>
    <w:p w14:paraId="63B27328" w14:textId="77777777" w:rsidR="00EF29F6" w:rsidRPr="002B3D93" w:rsidRDefault="00EF29F6">
      <w:pPr>
        <w:spacing w:after="0"/>
        <w:ind w:left="567" w:right="49"/>
        <w:jc w:val="both"/>
        <w:rPr>
          <w:rFonts w:ascii="Palatino Linotype" w:eastAsia="Palatino Linotype" w:hAnsi="Palatino Linotype" w:cs="Palatino Linotype"/>
          <w:i/>
        </w:rPr>
      </w:pPr>
    </w:p>
    <w:p w14:paraId="4FF8C223"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53C952E" w14:textId="77777777" w:rsidR="00EF29F6" w:rsidRPr="002B3D93" w:rsidRDefault="00EF29F6">
      <w:pPr>
        <w:spacing w:after="0" w:line="360" w:lineRule="auto"/>
        <w:ind w:right="49"/>
        <w:jc w:val="both"/>
        <w:rPr>
          <w:rFonts w:ascii="Palatino Linotype" w:eastAsia="Palatino Linotype" w:hAnsi="Palatino Linotype" w:cs="Palatino Linotype"/>
        </w:rPr>
      </w:pPr>
    </w:p>
    <w:p w14:paraId="5033BEBB" w14:textId="77777777" w:rsidR="00EF29F6" w:rsidRPr="002B3D93" w:rsidRDefault="00D73DFE">
      <w:pPr>
        <w:spacing w:after="0" w:line="360" w:lineRule="auto"/>
        <w:ind w:right="49"/>
        <w:jc w:val="both"/>
        <w:rPr>
          <w:rFonts w:ascii="Palatino Linotype" w:eastAsia="Palatino Linotype" w:hAnsi="Palatino Linotype" w:cs="Palatino Linotype"/>
          <w:b/>
        </w:rPr>
      </w:pPr>
      <w:r w:rsidRPr="002B3D93">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2B3D93">
        <w:rPr>
          <w:rFonts w:ascii="Palatino Linotype" w:eastAsia="Palatino Linotype" w:hAnsi="Palatino Linotype" w:cs="Palatino Linotype"/>
          <w:b/>
        </w:rPr>
        <w:t xml:space="preserve"> </w:t>
      </w:r>
    </w:p>
    <w:p w14:paraId="6C28EE89" w14:textId="77777777" w:rsidR="00EF29F6" w:rsidRPr="002B3D93" w:rsidRDefault="00EF29F6">
      <w:pPr>
        <w:spacing w:after="0"/>
        <w:ind w:left="851" w:right="49"/>
        <w:jc w:val="both"/>
        <w:rPr>
          <w:rFonts w:ascii="Palatino Linotype" w:eastAsia="Palatino Linotype" w:hAnsi="Palatino Linotype" w:cs="Palatino Linotype"/>
        </w:rPr>
      </w:pPr>
    </w:p>
    <w:p w14:paraId="7953FF78" w14:textId="77777777" w:rsidR="00EF29F6" w:rsidRPr="002B3D93" w:rsidRDefault="00D73DFE">
      <w:pPr>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No existe obligación de elaborar documentos ad hoc para atender las solicitudes de acceso a la información.</w:t>
      </w:r>
      <w:r w:rsidRPr="002B3D93">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7C889F" w14:textId="77777777" w:rsidR="00EF29F6" w:rsidRPr="002B3D93" w:rsidRDefault="00EF29F6">
      <w:pPr>
        <w:spacing w:after="0"/>
        <w:ind w:left="567" w:right="49"/>
        <w:jc w:val="both"/>
        <w:rPr>
          <w:rFonts w:ascii="Palatino Linotype" w:eastAsia="Palatino Linotype" w:hAnsi="Palatino Linotype" w:cs="Palatino Linotype"/>
          <w:i/>
        </w:rPr>
      </w:pPr>
    </w:p>
    <w:p w14:paraId="1291F024"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B64749" w14:textId="77777777" w:rsidR="00EF29F6" w:rsidRPr="002B3D93" w:rsidRDefault="00EF29F6">
      <w:pPr>
        <w:spacing w:after="0" w:line="360" w:lineRule="auto"/>
        <w:ind w:right="49"/>
        <w:jc w:val="both"/>
        <w:rPr>
          <w:rFonts w:ascii="Palatino Linotype" w:eastAsia="Palatino Linotype" w:hAnsi="Palatino Linotype" w:cs="Palatino Linotype"/>
        </w:rPr>
      </w:pPr>
    </w:p>
    <w:p w14:paraId="02D96376"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8C95239" w14:textId="77777777" w:rsidR="00EF29F6" w:rsidRPr="002B3D93" w:rsidRDefault="00EF29F6">
      <w:pPr>
        <w:spacing w:after="0" w:line="360" w:lineRule="auto"/>
        <w:ind w:right="49"/>
        <w:jc w:val="both"/>
        <w:rPr>
          <w:rFonts w:ascii="Palatino Linotype" w:eastAsia="Palatino Linotype" w:hAnsi="Palatino Linotype" w:cs="Palatino Linotype"/>
        </w:rPr>
      </w:pPr>
    </w:p>
    <w:p w14:paraId="0E6442EF"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768765C" w14:textId="77777777" w:rsidR="00EF29F6" w:rsidRPr="002B3D93" w:rsidRDefault="00EF29F6">
      <w:pPr>
        <w:spacing w:after="0" w:line="360" w:lineRule="auto"/>
        <w:ind w:right="49"/>
        <w:jc w:val="both"/>
        <w:rPr>
          <w:rFonts w:ascii="Palatino Linotype" w:eastAsia="Palatino Linotype" w:hAnsi="Palatino Linotype" w:cs="Palatino Linotype"/>
        </w:rPr>
      </w:pPr>
    </w:p>
    <w:p w14:paraId="3D916F5A" w14:textId="77777777" w:rsidR="00EF29F6" w:rsidRPr="002B3D93" w:rsidRDefault="00D73DFE">
      <w:pPr>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 xml:space="preserve">Artículo 3. </w:t>
      </w:r>
      <w:r w:rsidRPr="002B3D93">
        <w:rPr>
          <w:rFonts w:ascii="Palatino Linotype" w:eastAsia="Palatino Linotype" w:hAnsi="Palatino Linotype" w:cs="Palatino Linotype"/>
          <w:i/>
        </w:rPr>
        <w:t>Para los efectos de la presente Ley se entenderá por:</w:t>
      </w:r>
    </w:p>
    <w:p w14:paraId="0F69B7ED" w14:textId="77777777" w:rsidR="00EF29F6" w:rsidRPr="002B3D93" w:rsidRDefault="00D73DFE">
      <w:pPr>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65C1A59C" w14:textId="77777777" w:rsidR="00EF29F6" w:rsidRPr="002B3D93" w:rsidRDefault="00D73DFE">
      <w:pPr>
        <w:spacing w:after="0"/>
        <w:ind w:left="567" w:right="49"/>
        <w:jc w:val="both"/>
        <w:rPr>
          <w:rFonts w:ascii="Palatino Linotype" w:eastAsia="Palatino Linotype" w:hAnsi="Palatino Linotype" w:cs="Palatino Linotype"/>
          <w:i/>
        </w:rPr>
      </w:pPr>
      <w:r w:rsidRPr="002B3D93">
        <w:rPr>
          <w:rFonts w:ascii="Palatino Linotype" w:eastAsia="Palatino Linotype" w:hAnsi="Palatino Linotype" w:cs="Palatino Linotype"/>
          <w:b/>
          <w:i/>
        </w:rPr>
        <w:t>XI. Documento:</w:t>
      </w:r>
      <w:r w:rsidRPr="002B3D93">
        <w:rPr>
          <w:rFonts w:ascii="Palatino Linotype" w:eastAsia="Palatino Linotype" w:hAnsi="Palatino Linotype" w:cs="Palatino Linotype"/>
          <w:i/>
        </w:rPr>
        <w:t xml:space="preserve"> Los expedientes, reportes, estudios, actas</w:t>
      </w:r>
      <w:r w:rsidRPr="002B3D93">
        <w:rPr>
          <w:rFonts w:ascii="Palatino Linotype" w:eastAsia="Palatino Linotype" w:hAnsi="Palatino Linotype" w:cs="Palatino Linotype"/>
          <w:b/>
          <w:i/>
        </w:rPr>
        <w:t>,</w:t>
      </w:r>
      <w:r w:rsidRPr="002B3D9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0FB3972" w14:textId="77777777" w:rsidR="00EF29F6" w:rsidRPr="002B3D93" w:rsidRDefault="00EF29F6">
      <w:pPr>
        <w:spacing w:after="0" w:line="360" w:lineRule="auto"/>
        <w:ind w:left="851" w:right="49"/>
        <w:jc w:val="both"/>
        <w:rPr>
          <w:rFonts w:ascii="Palatino Linotype" w:eastAsia="Palatino Linotype" w:hAnsi="Palatino Linotype" w:cs="Palatino Linotype"/>
        </w:rPr>
      </w:pPr>
    </w:p>
    <w:p w14:paraId="50D7BA35"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0F5D64" w14:textId="77777777" w:rsidR="00EF29F6" w:rsidRPr="002B3D93" w:rsidRDefault="00EF29F6">
      <w:pPr>
        <w:spacing w:after="0" w:line="360" w:lineRule="auto"/>
        <w:ind w:right="49"/>
        <w:jc w:val="both"/>
        <w:rPr>
          <w:rFonts w:ascii="Palatino Linotype" w:eastAsia="Palatino Linotype" w:hAnsi="Palatino Linotype" w:cs="Palatino Linotype"/>
        </w:rPr>
      </w:pPr>
    </w:p>
    <w:p w14:paraId="0B7EB2E0" w14:textId="77777777" w:rsidR="00EF29F6" w:rsidRPr="002B3D93" w:rsidRDefault="00D73DFE">
      <w:pPr>
        <w:tabs>
          <w:tab w:val="left" w:pos="7797"/>
        </w:tabs>
        <w:spacing w:after="0"/>
        <w:ind w:left="709" w:right="49"/>
        <w:jc w:val="both"/>
        <w:rPr>
          <w:rFonts w:ascii="Palatino Linotype" w:eastAsia="Palatino Linotype" w:hAnsi="Palatino Linotype" w:cs="Palatino Linotype"/>
          <w:b/>
          <w:i/>
        </w:rPr>
      </w:pPr>
      <w:r w:rsidRPr="002B3D93">
        <w:rPr>
          <w:rFonts w:ascii="Palatino Linotype" w:eastAsia="Palatino Linotype" w:hAnsi="Palatino Linotype" w:cs="Palatino Linotype"/>
          <w:b/>
        </w:rPr>
        <w:t>“</w:t>
      </w:r>
      <w:r w:rsidRPr="002B3D9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2B3D9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A1046F" w14:textId="77777777" w:rsidR="00EF29F6" w:rsidRPr="002B3D93" w:rsidRDefault="00D73DFE">
      <w:pPr>
        <w:tabs>
          <w:tab w:val="left" w:pos="7797"/>
        </w:tabs>
        <w:spacing w:after="0"/>
        <w:ind w:left="709"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En consecuencia el acceso a la información se refiere a que se cumplan cualquiera de los siguientes tres supuestos:</w:t>
      </w:r>
    </w:p>
    <w:p w14:paraId="3A33CD9F" w14:textId="77777777" w:rsidR="00EF29F6" w:rsidRPr="002B3D93" w:rsidRDefault="00D73DFE">
      <w:pPr>
        <w:tabs>
          <w:tab w:val="left" w:pos="7797"/>
        </w:tabs>
        <w:spacing w:after="0"/>
        <w:ind w:left="709" w:right="49"/>
        <w:jc w:val="both"/>
        <w:rPr>
          <w:rFonts w:ascii="Palatino Linotype" w:eastAsia="Palatino Linotype" w:hAnsi="Palatino Linotype" w:cs="Palatino Linotype"/>
          <w:i/>
        </w:rPr>
      </w:pPr>
      <w:r w:rsidRPr="002B3D9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064288C" w14:textId="77777777" w:rsidR="00EF29F6" w:rsidRPr="002B3D93" w:rsidRDefault="00D73DFE">
      <w:pPr>
        <w:tabs>
          <w:tab w:val="left" w:pos="7797"/>
        </w:tabs>
        <w:spacing w:after="0"/>
        <w:ind w:left="709" w:right="49"/>
        <w:jc w:val="both"/>
        <w:rPr>
          <w:rFonts w:ascii="Palatino Linotype" w:eastAsia="Palatino Linotype" w:hAnsi="Palatino Linotype" w:cs="Palatino Linotype"/>
          <w:b/>
          <w:i/>
        </w:rPr>
      </w:pPr>
      <w:r w:rsidRPr="002B3D93">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D747041" w14:textId="77777777" w:rsidR="00EF29F6" w:rsidRPr="002B3D93" w:rsidRDefault="00D73DFE">
      <w:pPr>
        <w:tabs>
          <w:tab w:val="left" w:pos="7797"/>
        </w:tabs>
        <w:spacing w:after="0"/>
        <w:ind w:left="709" w:right="49"/>
        <w:jc w:val="both"/>
        <w:rPr>
          <w:rFonts w:ascii="Palatino Linotype" w:eastAsia="Palatino Linotype" w:hAnsi="Palatino Linotype" w:cs="Palatino Linotype"/>
          <w:b/>
          <w:i/>
        </w:rPr>
      </w:pPr>
      <w:r w:rsidRPr="002B3D93">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07034EF3" w14:textId="77777777" w:rsidR="00EF29F6" w:rsidRPr="002B3D93" w:rsidRDefault="00EF29F6">
      <w:pPr>
        <w:spacing w:after="0" w:line="360" w:lineRule="auto"/>
        <w:ind w:right="49"/>
        <w:jc w:val="both"/>
        <w:rPr>
          <w:rFonts w:ascii="Palatino Linotype" w:eastAsia="Palatino Linotype" w:hAnsi="Palatino Linotype" w:cs="Palatino Linotype"/>
        </w:rPr>
      </w:pPr>
    </w:p>
    <w:p w14:paraId="24F871E2"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Dicho lo anterior, es de recordar que la parte Solicitante requirió todas las actas del </w:t>
      </w:r>
      <w:r w:rsidRPr="002B3D93">
        <w:rPr>
          <w:rFonts w:ascii="Palatino Linotype" w:eastAsia="Palatino Linotype" w:hAnsi="Palatino Linotype" w:cs="Palatino Linotype"/>
          <w:b/>
          <w:u w:val="single"/>
        </w:rPr>
        <w:t xml:space="preserve">Comité de Bienes Muebles e Inmuebles </w:t>
      </w:r>
      <w:r w:rsidRPr="002B3D93">
        <w:rPr>
          <w:rFonts w:ascii="Palatino Linotype" w:eastAsia="Palatino Linotype" w:hAnsi="Palatino Linotype" w:cs="Palatino Linotype"/>
        </w:rPr>
        <w:t xml:space="preserve">del año dos mil veinticinco. </w:t>
      </w:r>
    </w:p>
    <w:p w14:paraId="6A35A804" w14:textId="77777777" w:rsidR="00EF29F6" w:rsidRPr="002B3D93" w:rsidRDefault="00EF29F6">
      <w:pPr>
        <w:spacing w:after="0" w:line="360" w:lineRule="auto"/>
        <w:ind w:right="49"/>
        <w:jc w:val="both"/>
        <w:rPr>
          <w:rFonts w:ascii="Palatino Linotype" w:eastAsia="Palatino Linotype" w:hAnsi="Palatino Linotype" w:cs="Palatino Linotype"/>
        </w:rPr>
      </w:pPr>
    </w:p>
    <w:p w14:paraId="277B9525"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En respuesta, el Sujeto Obligado proporcionó la siguiente información:</w:t>
      </w:r>
    </w:p>
    <w:p w14:paraId="4B15714D" w14:textId="77777777" w:rsidR="00EF29F6" w:rsidRPr="002B3D93" w:rsidRDefault="00EF29F6">
      <w:pPr>
        <w:spacing w:after="0" w:line="360" w:lineRule="auto"/>
        <w:ind w:right="49"/>
        <w:jc w:val="both"/>
        <w:rPr>
          <w:rFonts w:ascii="Palatino Linotype" w:eastAsia="Palatino Linotype" w:hAnsi="Palatino Linotype" w:cs="Palatino Linotype"/>
        </w:rPr>
      </w:pPr>
    </w:p>
    <w:p w14:paraId="10A86E0B" w14:textId="77777777" w:rsidR="00EF29F6" w:rsidRPr="002B3D93" w:rsidRDefault="00D73DF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Oficio de fecha quince de julio de dos mil veinticinco, signado por la Coordinadora de Patrimonio Municipal, mediante el cual informa que, se adjunta la información solicitada. </w:t>
      </w:r>
    </w:p>
    <w:p w14:paraId="28925205" w14:textId="77777777" w:rsidR="00EF29F6" w:rsidRPr="002B3D93" w:rsidRDefault="00D73DF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Acta de instalación y primera sesión ordinaria del Comité de Bienes Muebles e Inmuebles del Ayuntamiento de Temascaltepec de fecha veinticuatro de febrero de dos mil veinticinco. </w:t>
      </w:r>
    </w:p>
    <w:p w14:paraId="1061623C" w14:textId="77777777" w:rsidR="00EF29F6" w:rsidRPr="002B3D93" w:rsidRDefault="00D73DF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Acta de la segunda sesión ordinaria del Comité de Bienes Muebles e Inmuebles del Ayuntamiento de Temascaltepec de fecha veintiuno de abril de dos mil veinticinco. </w:t>
      </w:r>
    </w:p>
    <w:p w14:paraId="0302582A" w14:textId="77777777" w:rsidR="00EF29F6" w:rsidRPr="002B3D93" w:rsidRDefault="00EF29F6">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BFCF7DC"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Derivado de ello, la parte Recurrente se inconformó señalando que, no se había remitido lo solicitado y se divagaba con la información.  </w:t>
      </w:r>
    </w:p>
    <w:p w14:paraId="02BD7A09" w14:textId="77777777" w:rsidR="00EF29F6" w:rsidRPr="002B3D93" w:rsidRDefault="00EF29F6">
      <w:pPr>
        <w:spacing w:after="0" w:line="360" w:lineRule="auto"/>
        <w:ind w:right="49"/>
        <w:jc w:val="both"/>
        <w:rPr>
          <w:rFonts w:ascii="Palatino Linotype" w:eastAsia="Palatino Linotype" w:hAnsi="Palatino Linotype" w:cs="Palatino Linotype"/>
        </w:rPr>
      </w:pPr>
    </w:p>
    <w:p w14:paraId="39FF5DD6"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En atención a ello, el Sujeto Obligado mediante informe justificado, ratificó su respuesta inicial y, la parte Recurrente fue omisa en rendir manifestaciones. </w:t>
      </w:r>
    </w:p>
    <w:p w14:paraId="14BFBCA2" w14:textId="77777777" w:rsidR="00EF29F6" w:rsidRPr="002B3D93" w:rsidRDefault="00EF29F6">
      <w:pPr>
        <w:widowControl w:val="0"/>
        <w:spacing w:after="0" w:line="360" w:lineRule="auto"/>
        <w:jc w:val="both"/>
        <w:rPr>
          <w:rFonts w:ascii="Palatino Linotype" w:eastAsia="Palatino Linotype" w:hAnsi="Palatino Linotype" w:cs="Palatino Linotype"/>
        </w:rPr>
      </w:pPr>
    </w:p>
    <w:p w14:paraId="1AB446EE" w14:textId="77777777" w:rsidR="00EF29F6" w:rsidRPr="002B3D93" w:rsidRDefault="00D73DFE">
      <w:pPr>
        <w:widowControl w:val="0"/>
        <w:spacing w:after="0" w:line="360" w:lineRule="auto"/>
        <w:jc w:val="both"/>
        <w:rPr>
          <w:rFonts w:ascii="Palatino Linotype" w:eastAsia="Palatino Linotype" w:hAnsi="Palatino Linotype" w:cs="Palatino Linotype"/>
        </w:rPr>
      </w:pPr>
      <w:bookmarkStart w:id="4" w:name="_heading=h.ia5cybgntt61" w:colFirst="0" w:colLast="0"/>
      <w:bookmarkEnd w:id="4"/>
      <w:r w:rsidRPr="002B3D93">
        <w:rPr>
          <w:rFonts w:ascii="Palatino Linotype" w:eastAsia="Palatino Linotype" w:hAnsi="Palatino Linotype" w:cs="Palatino Linotype"/>
        </w:rPr>
        <w:t>Dicho lo anterior, se procede a contextualizar la información solicitada, para ello, resulta oportuno remitirnos a lo establecido en los artículos 53, 97 y 105, de Ley Orgánica Municipal del Estado de México, conforme a lo siguiente:</w:t>
      </w:r>
    </w:p>
    <w:p w14:paraId="1111D528" w14:textId="77777777" w:rsidR="00EF29F6" w:rsidRPr="002B3D93" w:rsidRDefault="00EF29F6">
      <w:pPr>
        <w:spacing w:after="0" w:line="360" w:lineRule="auto"/>
        <w:rPr>
          <w:rFonts w:ascii="Times New Roman" w:eastAsia="Times New Roman" w:hAnsi="Times New Roman" w:cs="Times New Roman"/>
          <w:sz w:val="24"/>
          <w:szCs w:val="24"/>
        </w:rPr>
      </w:pPr>
    </w:p>
    <w:p w14:paraId="742B17F3"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 xml:space="preserve">Artículo 53.- </w:t>
      </w:r>
      <w:r w:rsidRPr="002B3D93">
        <w:rPr>
          <w:rFonts w:ascii="Palatino Linotype" w:eastAsia="Palatino Linotype" w:hAnsi="Palatino Linotype" w:cs="Palatino Linotype"/>
          <w:i/>
        </w:rPr>
        <w:t>Los síndicos tendrán las siguientes atribuciones:</w:t>
      </w:r>
    </w:p>
    <w:p w14:paraId="3442BCDD"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7F544039"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5E30D805" w14:textId="77777777" w:rsidR="00EF29F6" w:rsidRPr="002B3D93" w:rsidRDefault="00EF29F6">
      <w:pPr>
        <w:spacing w:after="0"/>
        <w:ind w:left="567" w:right="708"/>
        <w:jc w:val="both"/>
        <w:rPr>
          <w:rFonts w:ascii="Palatino Linotype" w:eastAsia="Palatino Linotype" w:hAnsi="Palatino Linotype" w:cs="Palatino Linotype"/>
          <w:i/>
        </w:rPr>
      </w:pPr>
    </w:p>
    <w:p w14:paraId="12DC27D6"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VIII. Regularizar la propiedad de los bienes inmuebles municipales, para ello tendrán un plazo de ciento veinte días hábiles, contados a partir de la adquisición; </w:t>
      </w:r>
    </w:p>
    <w:p w14:paraId="22F1056D" w14:textId="77777777" w:rsidR="00EF29F6" w:rsidRPr="002B3D93" w:rsidRDefault="00EF29F6">
      <w:pPr>
        <w:spacing w:after="0"/>
        <w:ind w:left="567" w:right="708"/>
        <w:jc w:val="both"/>
        <w:rPr>
          <w:rFonts w:ascii="Palatino Linotype" w:eastAsia="Palatino Linotype" w:hAnsi="Palatino Linotype" w:cs="Palatino Linotype"/>
          <w:i/>
        </w:rPr>
      </w:pPr>
    </w:p>
    <w:p w14:paraId="1369E16B"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5FF98FE6"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04125615" w14:textId="77777777" w:rsidR="00EF29F6" w:rsidRPr="002B3D93" w:rsidRDefault="00EF29F6">
      <w:pPr>
        <w:spacing w:after="0"/>
        <w:ind w:left="567" w:right="708"/>
        <w:jc w:val="both"/>
        <w:rPr>
          <w:rFonts w:ascii="Palatino Linotype" w:eastAsia="Palatino Linotype" w:hAnsi="Palatino Linotype" w:cs="Palatino Linotype"/>
          <w:i/>
        </w:rPr>
      </w:pPr>
    </w:p>
    <w:p w14:paraId="4E7D09D7"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97.-</w:t>
      </w:r>
      <w:r w:rsidRPr="002B3D93">
        <w:rPr>
          <w:rFonts w:ascii="Palatino Linotype" w:eastAsia="Palatino Linotype" w:hAnsi="Palatino Linotype" w:cs="Palatino Linotype"/>
          <w:i/>
        </w:rPr>
        <w:t xml:space="preserve"> La hacienda pública municipal se integra por: </w:t>
      </w:r>
    </w:p>
    <w:p w14:paraId="2DEF6F5F" w14:textId="77777777" w:rsidR="00EF29F6" w:rsidRPr="002B3D93" w:rsidRDefault="00EF29F6">
      <w:pPr>
        <w:spacing w:after="0"/>
        <w:ind w:left="567" w:right="708"/>
        <w:jc w:val="both"/>
        <w:rPr>
          <w:rFonts w:ascii="Palatino Linotype" w:eastAsia="Palatino Linotype" w:hAnsi="Palatino Linotype" w:cs="Palatino Linotype"/>
          <w:i/>
        </w:rPr>
      </w:pPr>
    </w:p>
    <w:p w14:paraId="5590696D"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I. Los bienes muebles e inmuebles propiedad del municipio;</w:t>
      </w:r>
    </w:p>
    <w:p w14:paraId="2029533D"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6C6B206D" w14:textId="77777777" w:rsidR="00EF29F6" w:rsidRPr="002B3D93" w:rsidRDefault="00EF29F6">
      <w:pPr>
        <w:spacing w:after="0"/>
        <w:ind w:left="567" w:right="708"/>
        <w:jc w:val="both"/>
        <w:rPr>
          <w:rFonts w:ascii="Palatino Linotype" w:eastAsia="Palatino Linotype" w:hAnsi="Palatino Linotype" w:cs="Palatino Linotype"/>
          <w:i/>
        </w:rPr>
      </w:pPr>
    </w:p>
    <w:p w14:paraId="64C7EA8F"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105.-</w:t>
      </w:r>
      <w:r w:rsidRPr="002B3D93">
        <w:rPr>
          <w:rFonts w:ascii="Palatino Linotype" w:eastAsia="Palatino Linotype" w:hAnsi="Palatino Linotype" w:cs="Palatino Linotype"/>
          <w:i/>
        </w:rPr>
        <w:t xml:space="preserve"> Los bienes del dominio público municipal son de uso común o destinados a un servicio público, de conformidad con lo que establece la Ley de Bienes del Estado de México y de sus Municipios, en los términos siguientes: </w:t>
      </w:r>
    </w:p>
    <w:p w14:paraId="647E5E9E" w14:textId="77777777" w:rsidR="00EF29F6" w:rsidRPr="002B3D93" w:rsidRDefault="00EF29F6">
      <w:pPr>
        <w:spacing w:after="0"/>
        <w:ind w:left="567" w:right="708"/>
        <w:jc w:val="both"/>
        <w:rPr>
          <w:rFonts w:ascii="Palatino Linotype" w:eastAsia="Palatino Linotype" w:hAnsi="Palatino Linotype" w:cs="Palatino Linotype"/>
          <w:i/>
        </w:rPr>
      </w:pPr>
    </w:p>
    <w:p w14:paraId="5F00B81A"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 Son bienes de uso común los que pueden ser aprovechados por los habitantes del municipio, sin más limitaciones y restricciones que las establecidas en las leyes y reglamentos administrativos; y </w:t>
      </w:r>
    </w:p>
    <w:p w14:paraId="39A39C15" w14:textId="77777777" w:rsidR="00EF29F6" w:rsidRPr="002B3D93" w:rsidRDefault="00EF29F6">
      <w:pPr>
        <w:spacing w:after="0"/>
        <w:ind w:left="567" w:right="708"/>
        <w:jc w:val="both"/>
        <w:rPr>
          <w:rFonts w:ascii="Palatino Linotype" w:eastAsia="Palatino Linotype" w:hAnsi="Palatino Linotype" w:cs="Palatino Linotype"/>
          <w:i/>
        </w:rPr>
      </w:pPr>
    </w:p>
    <w:p w14:paraId="54A794EA"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II. Son bienes destinados a un servicio público, aquellos que utilice el municipio para el desarrollo de sus actividades o los que de hecho se utilizan para la prestación de servicios o actividades equiparables a ellos.</w:t>
      </w:r>
    </w:p>
    <w:p w14:paraId="3C08B331" w14:textId="77777777" w:rsidR="00EF29F6" w:rsidRPr="002B3D93" w:rsidRDefault="00D73DFE">
      <w:pPr>
        <w:spacing w:after="0"/>
        <w:ind w:left="567" w:right="708"/>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34CF4501" w14:textId="77777777" w:rsidR="00EF29F6" w:rsidRPr="002B3D93" w:rsidRDefault="00EF29F6">
      <w:pPr>
        <w:spacing w:after="0" w:line="360" w:lineRule="auto"/>
        <w:ind w:left="851" w:right="708"/>
        <w:jc w:val="right"/>
        <w:rPr>
          <w:rFonts w:ascii="Palatino Linotype" w:eastAsia="Palatino Linotype" w:hAnsi="Palatino Linotype" w:cs="Palatino Linotype"/>
          <w:i/>
          <w:sz w:val="20"/>
          <w:szCs w:val="20"/>
        </w:rPr>
      </w:pPr>
    </w:p>
    <w:p w14:paraId="0E9707EA" w14:textId="77777777" w:rsidR="00EF29F6" w:rsidRPr="002B3D93" w:rsidRDefault="00EF29F6">
      <w:pPr>
        <w:spacing w:after="0" w:line="360" w:lineRule="auto"/>
        <w:ind w:left="851" w:right="708"/>
        <w:jc w:val="both"/>
        <w:rPr>
          <w:rFonts w:ascii="Palatino Linotype" w:eastAsia="Palatino Linotype" w:hAnsi="Palatino Linotype" w:cs="Palatino Linotype"/>
          <w:sz w:val="16"/>
          <w:szCs w:val="16"/>
        </w:rPr>
      </w:pPr>
    </w:p>
    <w:p w14:paraId="53175999" w14:textId="77777777" w:rsidR="00EF29F6" w:rsidRPr="002B3D93" w:rsidRDefault="00D73DFE">
      <w:pPr>
        <w:spacing w:after="0" w:line="360" w:lineRule="auto"/>
        <w:jc w:val="both"/>
        <w:rPr>
          <w:rFonts w:ascii="Palatino Linotype" w:eastAsia="Palatino Linotype" w:hAnsi="Palatino Linotype" w:cs="Palatino Linotype"/>
          <w:sz w:val="24"/>
          <w:szCs w:val="24"/>
        </w:rPr>
      </w:pPr>
      <w:r w:rsidRPr="002B3D93">
        <w:rPr>
          <w:rFonts w:ascii="Palatino Linotype" w:eastAsia="Palatino Linotype" w:hAnsi="Palatino Linotype" w:cs="Palatino Linotype"/>
          <w:sz w:val="24"/>
          <w:szCs w:val="24"/>
        </w:rPr>
        <w:t xml:space="preserve">Por su parte la Ley de Bienes de Estado de México y Municipios establece lo que a continuación se inserta: </w:t>
      </w:r>
    </w:p>
    <w:p w14:paraId="41D52843" w14:textId="77777777" w:rsidR="00EF29F6" w:rsidRPr="002B3D93" w:rsidRDefault="00EF29F6">
      <w:pPr>
        <w:spacing w:after="0" w:line="360" w:lineRule="auto"/>
        <w:jc w:val="both"/>
        <w:rPr>
          <w:rFonts w:ascii="Palatino Linotype" w:eastAsia="Palatino Linotype" w:hAnsi="Palatino Linotype" w:cs="Palatino Linotype"/>
          <w:sz w:val="24"/>
          <w:szCs w:val="24"/>
        </w:rPr>
      </w:pPr>
    </w:p>
    <w:p w14:paraId="29765879" w14:textId="77777777" w:rsidR="00EF29F6" w:rsidRPr="002B3D93" w:rsidRDefault="00D73DFE">
      <w:pPr>
        <w:spacing w:after="0"/>
        <w:ind w:left="567" w:right="851"/>
        <w:jc w:val="both"/>
        <w:rPr>
          <w:rFonts w:ascii="Palatino Linotype" w:eastAsia="Palatino Linotype" w:hAnsi="Palatino Linotype" w:cs="Palatino Linotype"/>
          <w:b/>
          <w:i/>
        </w:rPr>
      </w:pPr>
      <w:r w:rsidRPr="002B3D93">
        <w:rPr>
          <w:rFonts w:ascii="Palatino Linotype" w:eastAsia="Palatino Linotype" w:hAnsi="Palatino Linotype" w:cs="Palatino Linotype"/>
          <w:b/>
          <w:i/>
        </w:rPr>
        <w:t xml:space="preserve">Artículo 5.- </w:t>
      </w:r>
      <w:r w:rsidRPr="002B3D93">
        <w:rPr>
          <w:rFonts w:ascii="Palatino Linotype" w:eastAsia="Palatino Linotype" w:hAnsi="Palatino Linotype" w:cs="Palatino Linotype"/>
          <w:i/>
        </w:rPr>
        <w:t>Corresponde al Ejecutivo del Estado por conducto de la Secretaría de Finanzas y a los ayuntamientos</w:t>
      </w:r>
      <w:r w:rsidRPr="002B3D93">
        <w:rPr>
          <w:rFonts w:ascii="Palatino Linotype" w:eastAsia="Palatino Linotype" w:hAnsi="Palatino Linotype" w:cs="Palatino Linotype"/>
          <w:b/>
          <w:i/>
        </w:rPr>
        <w:t>:</w:t>
      </w:r>
    </w:p>
    <w:p w14:paraId="3C2CF465" w14:textId="77777777" w:rsidR="00EF29F6" w:rsidRPr="002B3D93" w:rsidRDefault="00D73DFE">
      <w:pPr>
        <w:spacing w:after="0"/>
        <w:ind w:left="567" w:right="851"/>
        <w:jc w:val="both"/>
        <w:rPr>
          <w:rFonts w:ascii="Palatino Linotype" w:eastAsia="Palatino Linotype" w:hAnsi="Palatino Linotype" w:cs="Palatino Linotype"/>
          <w:b/>
          <w:i/>
        </w:rPr>
      </w:pPr>
      <w:r w:rsidRPr="002B3D93">
        <w:rPr>
          <w:rFonts w:ascii="Palatino Linotype" w:eastAsia="Palatino Linotype" w:hAnsi="Palatino Linotype" w:cs="Palatino Linotype"/>
          <w:b/>
          <w:i/>
        </w:rPr>
        <w:t>(…)</w:t>
      </w:r>
    </w:p>
    <w:p w14:paraId="23A8A9C0" w14:textId="77777777" w:rsidR="00EF29F6" w:rsidRPr="002B3D93" w:rsidRDefault="00D73DFE">
      <w:pPr>
        <w:spacing w:after="0"/>
        <w:ind w:left="567" w:right="851"/>
        <w:jc w:val="both"/>
        <w:rPr>
          <w:rFonts w:ascii="Palatino Linotype" w:eastAsia="Palatino Linotype" w:hAnsi="Palatino Linotype" w:cs="Palatino Linotype"/>
          <w:b/>
          <w:i/>
        </w:rPr>
      </w:pPr>
      <w:r w:rsidRPr="002B3D93">
        <w:rPr>
          <w:rFonts w:ascii="Palatino Linotype" w:eastAsia="Palatino Linotype" w:hAnsi="Palatino Linotype" w:cs="Palatino Linotype"/>
          <w:b/>
          <w:i/>
        </w:rPr>
        <w:t>XIII. Llevar el Registro Administrativo de la Propiedad Pública Estatal o Municipal, respectivamente;</w:t>
      </w:r>
    </w:p>
    <w:p w14:paraId="1884E32C" w14:textId="77777777" w:rsidR="00EF29F6" w:rsidRPr="002B3D93" w:rsidRDefault="00EF29F6">
      <w:pPr>
        <w:spacing w:after="0"/>
        <w:ind w:left="567" w:right="851"/>
        <w:jc w:val="both"/>
        <w:rPr>
          <w:rFonts w:ascii="Palatino Linotype" w:eastAsia="Palatino Linotype" w:hAnsi="Palatino Linotype" w:cs="Palatino Linotype"/>
          <w:b/>
          <w:i/>
        </w:rPr>
      </w:pPr>
    </w:p>
    <w:p w14:paraId="3D0BE035" w14:textId="77777777" w:rsidR="00EF29F6" w:rsidRPr="002B3D93" w:rsidRDefault="00D73DFE">
      <w:pPr>
        <w:spacing w:after="0"/>
        <w:ind w:left="567" w:right="851"/>
        <w:jc w:val="center"/>
        <w:rPr>
          <w:rFonts w:ascii="Palatino Linotype" w:eastAsia="Palatino Linotype" w:hAnsi="Palatino Linotype" w:cs="Palatino Linotype"/>
          <w:b/>
          <w:i/>
        </w:rPr>
      </w:pPr>
      <w:r w:rsidRPr="002B3D93">
        <w:rPr>
          <w:rFonts w:ascii="Palatino Linotype" w:eastAsia="Palatino Linotype" w:hAnsi="Palatino Linotype" w:cs="Palatino Linotype"/>
          <w:b/>
          <w:i/>
        </w:rPr>
        <w:t>DEL REGISTRO ADMINISTRATIVO DE BIENES DEL DOMINIO PÚBLICO Y PRIVADO.</w:t>
      </w:r>
    </w:p>
    <w:p w14:paraId="0BA52733" w14:textId="77777777" w:rsidR="00EF29F6" w:rsidRPr="002B3D93" w:rsidRDefault="00EF29F6">
      <w:pPr>
        <w:spacing w:after="0"/>
        <w:ind w:left="567" w:right="851"/>
        <w:jc w:val="both"/>
        <w:rPr>
          <w:rFonts w:ascii="Palatino Linotype" w:eastAsia="Palatino Linotype" w:hAnsi="Palatino Linotype" w:cs="Palatino Linotype"/>
          <w:b/>
          <w:i/>
        </w:rPr>
      </w:pPr>
    </w:p>
    <w:p w14:paraId="59DD901D" w14:textId="77777777" w:rsidR="00EF29F6" w:rsidRPr="002B3D93" w:rsidRDefault="00D73DFE">
      <w:pPr>
        <w:spacing w:after="0"/>
        <w:ind w:left="567" w:right="851"/>
        <w:jc w:val="both"/>
        <w:rPr>
          <w:rFonts w:ascii="Palatino Linotype" w:eastAsia="Palatino Linotype" w:hAnsi="Palatino Linotype" w:cs="Palatino Linotype"/>
          <w:i/>
        </w:rPr>
      </w:pPr>
      <w:bookmarkStart w:id="5" w:name="_heading=h.kpx4b9uflj71" w:colFirst="0" w:colLast="0"/>
      <w:bookmarkEnd w:id="5"/>
      <w:r w:rsidRPr="002B3D93">
        <w:rPr>
          <w:rFonts w:ascii="Palatino Linotype" w:eastAsia="Palatino Linotype" w:hAnsi="Palatino Linotype" w:cs="Palatino Linotype"/>
          <w:b/>
          <w:i/>
        </w:rPr>
        <w:t>Artículo 62.-</w:t>
      </w:r>
      <w:r w:rsidRPr="002B3D93">
        <w:rPr>
          <w:rFonts w:ascii="Palatino Linotype" w:eastAsia="Palatino Linotype" w:hAnsi="Palatino Linotype" w:cs="Palatino Linotype"/>
          <w:i/>
        </w:rPr>
        <w:t xml:space="preserve"> El Ejecutivo del Estado por conducto de la Secretaría de Finanzas y los ayuntamientos, llevarán un registro de la propiedad de bienes del dominio público y del dominio privado que se denominará Registro Administrativo de la propiedad Pública Estatal o Municipal según corresponda. </w:t>
      </w:r>
    </w:p>
    <w:p w14:paraId="23EE9868" w14:textId="77777777" w:rsidR="00EF29F6" w:rsidRPr="002B3D93" w:rsidRDefault="00EF29F6">
      <w:pPr>
        <w:spacing w:after="0"/>
        <w:ind w:left="567" w:right="851"/>
        <w:jc w:val="both"/>
        <w:rPr>
          <w:rFonts w:ascii="Palatino Linotype" w:eastAsia="Palatino Linotype" w:hAnsi="Palatino Linotype" w:cs="Palatino Linotype"/>
          <w:i/>
        </w:rPr>
      </w:pPr>
    </w:p>
    <w:p w14:paraId="13598887"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63.-</w:t>
      </w:r>
      <w:r w:rsidRPr="002B3D93">
        <w:rPr>
          <w:rFonts w:ascii="Palatino Linotype" w:eastAsia="Palatino Linotype" w:hAnsi="Palatino Linotype" w:cs="Palatino Linotype"/>
          <w:i/>
        </w:rPr>
        <w:t xml:space="preserve"> En el Registro Administrativo de la Propiedad Pública Estatal o Municipal, según corresponda, se inscribirán: </w:t>
      </w:r>
    </w:p>
    <w:p w14:paraId="6CD7661A" w14:textId="77777777" w:rsidR="00EF29F6" w:rsidRPr="002B3D93" w:rsidRDefault="00D73DFE">
      <w:pPr>
        <w:spacing w:after="0"/>
        <w:ind w:left="567" w:right="851"/>
        <w:jc w:val="both"/>
        <w:rPr>
          <w:rFonts w:ascii="Palatino Linotype" w:eastAsia="Palatino Linotype" w:hAnsi="Palatino Linotype" w:cs="Palatino Linotype"/>
          <w:i/>
        </w:rPr>
      </w:pPr>
      <w:bookmarkStart w:id="6" w:name="_heading=h.v0wmpz4108ji" w:colFirst="0" w:colLast="0"/>
      <w:bookmarkEnd w:id="6"/>
      <w:r w:rsidRPr="002B3D93">
        <w:rPr>
          <w:rFonts w:ascii="Palatino Linotype" w:eastAsia="Palatino Linotype" w:hAnsi="Palatino Linotype" w:cs="Palatino Linotype"/>
          <w:i/>
        </w:rPr>
        <w:t xml:space="preserve">I. Los títulos y documentos por los cuales se adquiera, transmita, grave, modifique, afecte o extinga el dominio o la posesión y los demás derechos reales sobe los bienes inmuebles del Estado o de los municipios; </w:t>
      </w:r>
    </w:p>
    <w:p w14:paraId="1E74E317"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 Los decretos por los que se determine la expropiación de bienes cuando éstos se incorporen al dominio público del Estado o de los municipios; </w:t>
      </w:r>
    </w:p>
    <w:p w14:paraId="0538B5B6"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III. Las adjudicaciones a favor del Estado o de los Municipios dictadas en procedimientos administrativos de ejecución; </w:t>
      </w:r>
    </w:p>
    <w:p w14:paraId="6B9FBE1D"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IV. Los decomisos decretados por la autoridad judicial; </w:t>
      </w:r>
    </w:p>
    <w:p w14:paraId="6A4D44CF"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 Las concesiones, autorizaciones, permisos o licencias sobre inmuebles de propiedad estatal o municipal; </w:t>
      </w:r>
    </w:p>
    <w:p w14:paraId="3155B728"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VI. Las resoluciones o sentencias que pronuncien las autoridades jurisdiccionales relacionados con inmuebles del Estado o de los municipios; </w:t>
      </w:r>
    </w:p>
    <w:p w14:paraId="406039F8"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VII. Los convenios administrativos que produzcan alguno de los efectos mencionados en la fracción I de este artículo; </w:t>
      </w:r>
    </w:p>
    <w:p w14:paraId="469CC106"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VIII. Los decretos y acuerdos que incorporen o desincorporen del dominio público bienes inmuebles; </w:t>
      </w:r>
    </w:p>
    <w:p w14:paraId="06A5EC88"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IX. Los acuerdos por los que se cambie la afectación o se sustituya a los usuarios de los bienes del dominio público; y </w:t>
      </w:r>
    </w:p>
    <w:p w14:paraId="266FDFB8" w14:textId="77777777" w:rsidR="00EF29F6" w:rsidRPr="002B3D93" w:rsidRDefault="00D73DFE">
      <w:pPr>
        <w:spacing w:after="0"/>
        <w:ind w:left="567" w:right="851"/>
        <w:jc w:val="both"/>
        <w:rPr>
          <w:rFonts w:ascii="Palatino Linotype" w:eastAsia="Palatino Linotype" w:hAnsi="Palatino Linotype" w:cs="Palatino Linotype"/>
          <w:i/>
        </w:rPr>
      </w:pPr>
      <w:r w:rsidRPr="002B3D93">
        <w:rPr>
          <w:rFonts w:ascii="Palatino Linotype" w:eastAsia="Palatino Linotype" w:hAnsi="Palatino Linotype" w:cs="Palatino Linotype"/>
          <w:i/>
        </w:rPr>
        <w:t>X. Los demás actos que conforme a esta ley deban ser registrados.</w:t>
      </w:r>
    </w:p>
    <w:p w14:paraId="2CE6662B" w14:textId="77777777" w:rsidR="00EF29F6" w:rsidRPr="002B3D93" w:rsidRDefault="00EF29F6">
      <w:pPr>
        <w:spacing w:after="0"/>
        <w:ind w:left="567" w:right="851"/>
        <w:jc w:val="both"/>
        <w:rPr>
          <w:rFonts w:ascii="Palatino Linotype" w:eastAsia="Palatino Linotype" w:hAnsi="Palatino Linotype" w:cs="Palatino Linotype"/>
          <w:i/>
        </w:rPr>
      </w:pPr>
    </w:p>
    <w:p w14:paraId="1DEA4EAC" w14:textId="77777777" w:rsidR="00EF29F6" w:rsidRPr="002B3D93" w:rsidRDefault="00D73DFE">
      <w:pPr>
        <w:widowControl w:val="0"/>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Por su parte, el Bando Municipal de Temascaltepec 2025, refiere en su artículo 32 Bis, lo siguiente:</w:t>
      </w:r>
    </w:p>
    <w:p w14:paraId="40D8E82A" w14:textId="77777777" w:rsidR="00EF29F6" w:rsidRPr="002B3D93" w:rsidRDefault="00EF29F6">
      <w:pPr>
        <w:widowControl w:val="0"/>
        <w:spacing w:after="0" w:line="360" w:lineRule="auto"/>
        <w:jc w:val="both"/>
        <w:rPr>
          <w:rFonts w:ascii="Palatino Linotype" w:eastAsia="Palatino Linotype" w:hAnsi="Palatino Linotype" w:cs="Palatino Linotype"/>
        </w:rPr>
      </w:pPr>
    </w:p>
    <w:p w14:paraId="5C4F5844" w14:textId="77777777" w:rsidR="00EF29F6" w:rsidRPr="002B3D93" w:rsidRDefault="00D73DFE">
      <w:pPr>
        <w:widowControl w:val="0"/>
        <w:spacing w:after="0"/>
        <w:ind w:left="567" w:right="709"/>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32.-</w:t>
      </w:r>
      <w:r w:rsidRPr="002B3D93">
        <w:rPr>
          <w:rFonts w:ascii="Palatino Linotype" w:eastAsia="Palatino Linotype" w:hAnsi="Palatino Linotype" w:cs="Palatino Linotype"/>
          <w:i/>
        </w:rPr>
        <w:t xml:space="preserve"> Bis El Municipio contará con una </w:t>
      </w:r>
      <w:r w:rsidRPr="002B3D93">
        <w:rPr>
          <w:rFonts w:ascii="Palatino Linotype" w:eastAsia="Palatino Linotype" w:hAnsi="Palatino Linotype" w:cs="Palatino Linotype"/>
          <w:b/>
          <w:i/>
          <w:u w:val="single"/>
        </w:rPr>
        <w:t>Coordinación de Patrimonio Municipal</w:t>
      </w:r>
      <w:r w:rsidRPr="002B3D93">
        <w:rPr>
          <w:rFonts w:ascii="Palatino Linotype" w:eastAsia="Palatino Linotype" w:hAnsi="Palatino Linotype" w:cs="Palatino Linotype"/>
          <w:i/>
        </w:rPr>
        <w:t xml:space="preserve"> que comprende: La regulación de los bienes muebles e inmuebles de su propiedad; con el cual se promoverá la adopción de los criterios para llevar a cabo los procedimientos conducentes a altas, recuperación y baja de los bienes propiedad del Municipio. </w:t>
      </w:r>
    </w:p>
    <w:p w14:paraId="6AFA0DB4" w14:textId="77777777" w:rsidR="00EF29F6" w:rsidRPr="002B3D93" w:rsidRDefault="00D73DFE">
      <w:pPr>
        <w:widowControl w:val="0"/>
        <w:spacing w:after="0"/>
        <w:ind w:left="567" w:right="709"/>
        <w:jc w:val="both"/>
        <w:rPr>
          <w:rFonts w:ascii="Palatino Linotype" w:eastAsia="Palatino Linotype" w:hAnsi="Palatino Linotype" w:cs="Palatino Linotype"/>
          <w:i/>
        </w:rPr>
      </w:pPr>
      <w:r w:rsidRPr="002B3D93">
        <w:rPr>
          <w:rFonts w:ascii="Palatino Linotype" w:eastAsia="Palatino Linotype" w:hAnsi="Palatino Linotype" w:cs="Palatino Linotype"/>
          <w:b/>
          <w:i/>
        </w:rPr>
        <w:t>I.</w:t>
      </w:r>
      <w:r w:rsidRPr="002B3D93">
        <w:rPr>
          <w:rFonts w:ascii="Palatino Linotype" w:eastAsia="Palatino Linotype" w:hAnsi="Palatino Linotype" w:cs="Palatino Linotype"/>
          <w:i/>
        </w:rPr>
        <w:t xml:space="preserve"> Los capitales y créditos a favor del municipio, así como los intereses y productos que generen los mismos; </w:t>
      </w:r>
    </w:p>
    <w:p w14:paraId="15ECACE7" w14:textId="77777777" w:rsidR="00EF29F6" w:rsidRPr="002B3D93" w:rsidRDefault="00D73DFE">
      <w:pPr>
        <w:widowControl w:val="0"/>
        <w:spacing w:after="0"/>
        <w:ind w:left="567" w:right="709"/>
        <w:jc w:val="both"/>
        <w:rPr>
          <w:rFonts w:ascii="Palatino Linotype" w:eastAsia="Palatino Linotype" w:hAnsi="Palatino Linotype" w:cs="Palatino Linotype"/>
          <w:i/>
        </w:rPr>
      </w:pPr>
      <w:r w:rsidRPr="002B3D93">
        <w:rPr>
          <w:rFonts w:ascii="Palatino Linotype" w:eastAsia="Palatino Linotype" w:hAnsi="Palatino Linotype" w:cs="Palatino Linotype"/>
          <w:b/>
          <w:i/>
        </w:rPr>
        <w:t>II</w:t>
      </w:r>
      <w:r w:rsidRPr="002B3D93">
        <w:rPr>
          <w:rFonts w:ascii="Palatino Linotype" w:eastAsia="Palatino Linotype" w:hAnsi="Palatino Linotype" w:cs="Palatino Linotype"/>
          <w:i/>
        </w:rPr>
        <w:t xml:space="preserve">. Las rentas y productos de todos los bienes municipales; </w:t>
      </w:r>
    </w:p>
    <w:p w14:paraId="33B1CCCC" w14:textId="77777777" w:rsidR="00EF29F6" w:rsidRPr="002B3D93" w:rsidRDefault="00D73DFE">
      <w:pPr>
        <w:widowControl w:val="0"/>
        <w:spacing w:after="0"/>
        <w:ind w:left="567" w:right="709"/>
        <w:jc w:val="both"/>
        <w:rPr>
          <w:rFonts w:ascii="Palatino Linotype" w:eastAsia="Palatino Linotype" w:hAnsi="Palatino Linotype" w:cs="Palatino Linotype"/>
          <w:i/>
        </w:rPr>
      </w:pPr>
      <w:r w:rsidRPr="002B3D93">
        <w:rPr>
          <w:rFonts w:ascii="Palatino Linotype" w:eastAsia="Palatino Linotype" w:hAnsi="Palatino Linotype" w:cs="Palatino Linotype"/>
          <w:b/>
          <w:i/>
        </w:rPr>
        <w:t>III</w:t>
      </w:r>
      <w:r w:rsidRPr="002B3D93">
        <w:rPr>
          <w:rFonts w:ascii="Palatino Linotype" w:eastAsia="Palatino Linotype" w:hAnsi="Palatino Linotype" w:cs="Palatino Linotype"/>
          <w:i/>
        </w:rPr>
        <w:t xml:space="preserve">. Las contribuciones y demás ingresos determinados en la Ley de Ingresos de los Municipios, los que decrete la Legislatura y otros que por cualquier título legal reciba, y; </w:t>
      </w:r>
    </w:p>
    <w:p w14:paraId="470A6E66" w14:textId="77777777" w:rsidR="00EF29F6" w:rsidRPr="002B3D93" w:rsidRDefault="00D73DFE">
      <w:pPr>
        <w:widowControl w:val="0"/>
        <w:spacing w:after="0"/>
        <w:ind w:left="567" w:right="709"/>
        <w:jc w:val="both"/>
        <w:rPr>
          <w:rFonts w:ascii="Palatino Linotype" w:eastAsia="Palatino Linotype" w:hAnsi="Palatino Linotype" w:cs="Palatino Linotype"/>
          <w:i/>
        </w:rPr>
      </w:pPr>
      <w:r w:rsidRPr="002B3D93">
        <w:rPr>
          <w:rFonts w:ascii="Palatino Linotype" w:eastAsia="Palatino Linotype" w:hAnsi="Palatino Linotype" w:cs="Palatino Linotype"/>
          <w:b/>
          <w:i/>
        </w:rPr>
        <w:t>IV</w:t>
      </w:r>
      <w:r w:rsidRPr="002B3D93">
        <w:rPr>
          <w:rFonts w:ascii="Palatino Linotype" w:eastAsia="Palatino Linotype" w:hAnsi="Palatino Linotype" w:cs="Palatino Linotype"/>
          <w:i/>
        </w:rPr>
        <w:t xml:space="preserve">. Las donaciones, herencias y legados que reciba. </w:t>
      </w:r>
    </w:p>
    <w:p w14:paraId="763A130C" w14:textId="77777777" w:rsidR="00EF29F6" w:rsidRPr="002B3D93" w:rsidRDefault="00D73DFE">
      <w:pPr>
        <w:widowControl w:val="0"/>
        <w:spacing w:after="0"/>
        <w:ind w:left="567" w:right="709"/>
        <w:jc w:val="both"/>
        <w:rPr>
          <w:rFonts w:ascii="Palatino Linotype" w:eastAsia="Palatino Linotype" w:hAnsi="Palatino Linotype" w:cs="Palatino Linotype"/>
          <w:i/>
        </w:rPr>
      </w:pPr>
      <w:r w:rsidRPr="002B3D93">
        <w:rPr>
          <w:rFonts w:ascii="Palatino Linotype" w:eastAsia="Palatino Linotype" w:hAnsi="Palatino Linotype" w:cs="Palatino Linotype"/>
          <w:i/>
        </w:rPr>
        <w:t>El inventario y registro general de los bienes muebles e inmuebles propiedad del Municipio se deberá realizar y actualizar una vez por semestre, por la Secretaría del Ayuntamiento, con la intervención de Tesorería municipal, Contraloría Interna Municipal, Sindicatura, Coordinación de Patrimonio Municipal, Departamento de recursos materiales y adquisiciones y Dirección de catastro.</w:t>
      </w:r>
    </w:p>
    <w:p w14:paraId="2CF9A4F4" w14:textId="77777777" w:rsidR="00EF29F6" w:rsidRPr="002B3D93" w:rsidRDefault="00EF29F6">
      <w:pPr>
        <w:widowControl w:val="0"/>
        <w:spacing w:after="0" w:line="360" w:lineRule="auto"/>
        <w:ind w:right="709"/>
        <w:jc w:val="both"/>
        <w:rPr>
          <w:rFonts w:ascii="Palatino Linotype" w:eastAsia="Palatino Linotype" w:hAnsi="Palatino Linotype" w:cs="Palatino Linotype"/>
          <w:i/>
        </w:rPr>
      </w:pPr>
    </w:p>
    <w:p w14:paraId="0039E635" w14:textId="77777777" w:rsidR="00EF29F6" w:rsidRPr="002B3D93" w:rsidRDefault="00D73DFE">
      <w:pPr>
        <w:widowControl w:val="0"/>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De lo anterior, se advierte que, el Sujeto Obligado cuenta con una unidad administrativa que conoce, genera y administra información relacionada con los bienes muebles e inmuebles propiedad del Municipio. </w:t>
      </w:r>
    </w:p>
    <w:p w14:paraId="48413042" w14:textId="77777777" w:rsidR="00EF29F6" w:rsidRPr="002B3D93" w:rsidRDefault="00EF29F6">
      <w:pPr>
        <w:widowControl w:val="0"/>
        <w:spacing w:after="0" w:line="360" w:lineRule="auto"/>
        <w:jc w:val="both"/>
        <w:rPr>
          <w:rFonts w:ascii="Palatino Linotype" w:eastAsia="Palatino Linotype" w:hAnsi="Palatino Linotype" w:cs="Palatino Linotype"/>
        </w:rPr>
      </w:pPr>
    </w:p>
    <w:p w14:paraId="07E525E1" w14:textId="77777777" w:rsidR="00EF29F6" w:rsidRPr="002B3D93" w:rsidRDefault="00D73DFE">
      <w:pPr>
        <w:spacing w:after="0" w:line="360" w:lineRule="auto"/>
        <w:ind w:right="-93"/>
        <w:jc w:val="both"/>
        <w:rPr>
          <w:rFonts w:ascii="Palatino Linotype" w:eastAsia="Palatino Linotype" w:hAnsi="Palatino Linotype" w:cs="Palatino Linotype"/>
        </w:rPr>
      </w:pPr>
      <w:r w:rsidRPr="002B3D93">
        <w:rPr>
          <w:rFonts w:ascii="Palatino Linotype" w:eastAsia="Palatino Linotype" w:hAnsi="Palatino Linotype" w:cs="Palatino Linotype"/>
        </w:rPr>
        <w:t>Correlativo a lo anterior, es necesario precisar que de las constancias que obran en el expediente se logra vislumbrar que el Sujeto Obligado, turnó la solicitud de información a la Coordinadora de Patrimonio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CEAD8B0" w14:textId="77777777" w:rsidR="00EF29F6" w:rsidRPr="002B3D93" w:rsidRDefault="00EF29F6">
      <w:pPr>
        <w:spacing w:after="0" w:line="360" w:lineRule="auto"/>
        <w:ind w:right="-93"/>
        <w:jc w:val="both"/>
        <w:rPr>
          <w:rFonts w:ascii="Palatino Linotype" w:eastAsia="Palatino Linotype" w:hAnsi="Palatino Linotype" w:cs="Palatino Linotype"/>
        </w:rPr>
      </w:pPr>
    </w:p>
    <w:p w14:paraId="5887E1BB" w14:textId="77777777" w:rsidR="00EF29F6" w:rsidRPr="002B3D93" w:rsidRDefault="00D73DFE">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2B3D93">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y</w:t>
      </w:r>
    </w:p>
    <w:p w14:paraId="6FEB9E45" w14:textId="77777777" w:rsidR="00EF29F6" w:rsidRPr="002B3D93" w:rsidRDefault="00EF29F6">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14:paraId="3D23A704" w14:textId="77777777" w:rsidR="00EF29F6" w:rsidRPr="002B3D93" w:rsidRDefault="00D73DFE">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2B3D93">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BCB184D" w14:textId="77777777" w:rsidR="00EF29F6" w:rsidRPr="002B3D93" w:rsidRDefault="00EF29F6">
      <w:pPr>
        <w:spacing w:after="0" w:line="360" w:lineRule="auto"/>
        <w:ind w:right="49"/>
        <w:jc w:val="both"/>
        <w:rPr>
          <w:rFonts w:ascii="Palatino Linotype" w:eastAsia="Palatino Linotype" w:hAnsi="Palatino Linotype" w:cs="Palatino Linotype"/>
        </w:rPr>
      </w:pPr>
    </w:p>
    <w:p w14:paraId="596FFF43" w14:textId="77777777" w:rsidR="00EF29F6" w:rsidRPr="002B3D93" w:rsidRDefault="00D73DFE">
      <w:pPr>
        <w:spacing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Así y conforme a lo establecido en párrafos anteriores, el Sujeto Obligado cumplió cabalmente con el procedimiento de búsqueda establecido en el artículo 162 de la Ley de Transparencia y Acceso a la Información Pública del Estado de México y Municipios. </w:t>
      </w:r>
    </w:p>
    <w:p w14:paraId="38A09D82" w14:textId="77777777" w:rsidR="00EF29F6" w:rsidRPr="002B3D93" w:rsidRDefault="00EF29F6">
      <w:pPr>
        <w:widowControl w:val="0"/>
        <w:spacing w:after="0"/>
        <w:ind w:right="709"/>
        <w:jc w:val="both"/>
        <w:rPr>
          <w:rFonts w:ascii="Palatino Linotype" w:eastAsia="Palatino Linotype" w:hAnsi="Palatino Linotype" w:cs="Palatino Linotype"/>
          <w:i/>
        </w:rPr>
      </w:pPr>
    </w:p>
    <w:p w14:paraId="04C75AD9" w14:textId="77777777" w:rsidR="00EF29F6" w:rsidRPr="002B3D93" w:rsidRDefault="00D73DF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Ahora bien, en lo que respecta a los agravios hechos valer por la parte Recurrente, es menester precisar que del análisis a los documentos proporcionados por el Sujeto Obligado, se tiene lo siguiente: </w:t>
      </w:r>
    </w:p>
    <w:p w14:paraId="6EF4E968"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4AB2BEC" w14:textId="77777777" w:rsidR="00EF29F6" w:rsidRPr="002B3D93" w:rsidRDefault="00D73DFE">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Los documentos enviados corresponden a las actas celebrados por el Comité de Bienes Muebles e Inmuebles de la temporalidad requerida. </w:t>
      </w:r>
    </w:p>
    <w:p w14:paraId="75C0E15C" w14:textId="77777777" w:rsidR="00EF29F6" w:rsidRPr="002B3D93" w:rsidRDefault="00D73DFE">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Las actas enviadas son incompletas, en razón de que el Sujeto Obligado omitió proporcionar el Acta de la Tercera Sesión Ordinaria de fecha veintitrés de junio de dos mil veinticinco. </w:t>
      </w:r>
    </w:p>
    <w:p w14:paraId="03928475"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6F01DB3" w14:textId="77777777" w:rsidR="00EF29F6" w:rsidRPr="002B3D93" w:rsidRDefault="00D73DF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Lo anterior, en razón de que, de conformidad con el contenido en el Acta de Instalación y Primera Sesión Ordinaria del Comité de Bienes Muebles e Inmuebles, se desprende que, en el año dos mil veinticinco, se llevarán a cabo seis sesiones ordinarias, tal como se puede apreciar a continuación: </w:t>
      </w:r>
    </w:p>
    <w:p w14:paraId="64B02169" w14:textId="77777777" w:rsidR="00EF29F6" w:rsidRPr="002B3D93" w:rsidRDefault="00EF29F6">
      <w:pPr>
        <w:pBdr>
          <w:top w:val="nil"/>
          <w:left w:val="nil"/>
          <w:bottom w:val="nil"/>
          <w:right w:val="nil"/>
          <w:between w:val="nil"/>
        </w:pBdr>
        <w:spacing w:after="0" w:line="360" w:lineRule="auto"/>
        <w:ind w:right="-7"/>
        <w:jc w:val="center"/>
        <w:rPr>
          <w:rFonts w:ascii="Palatino Linotype" w:eastAsia="Palatino Linotype" w:hAnsi="Palatino Linotype" w:cs="Palatino Linotype"/>
        </w:rPr>
      </w:pPr>
    </w:p>
    <w:p w14:paraId="53FE9AA0" w14:textId="77777777" w:rsidR="00EF29F6" w:rsidRPr="002B3D93" w:rsidRDefault="00D73DFE">
      <w:pPr>
        <w:pBdr>
          <w:top w:val="nil"/>
          <w:left w:val="nil"/>
          <w:bottom w:val="nil"/>
          <w:right w:val="nil"/>
          <w:between w:val="nil"/>
        </w:pBdr>
        <w:spacing w:after="0" w:line="360" w:lineRule="auto"/>
        <w:ind w:right="-7"/>
        <w:jc w:val="center"/>
        <w:rPr>
          <w:rFonts w:ascii="Palatino Linotype" w:eastAsia="Palatino Linotype" w:hAnsi="Palatino Linotype" w:cs="Palatino Linotype"/>
        </w:rPr>
      </w:pPr>
      <w:r w:rsidRPr="002B3D93">
        <w:rPr>
          <w:rFonts w:ascii="Palatino Linotype" w:eastAsia="Palatino Linotype" w:hAnsi="Palatino Linotype" w:cs="Palatino Linotype"/>
          <w:noProof/>
        </w:rPr>
        <w:drawing>
          <wp:inline distT="0" distB="0" distL="0" distR="0" wp14:anchorId="61A5EBD7" wp14:editId="35558AA5">
            <wp:extent cx="5020390" cy="990741"/>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20390" cy="990741"/>
                    </a:xfrm>
                    <a:prstGeom prst="rect">
                      <a:avLst/>
                    </a:prstGeom>
                    <a:ln/>
                  </pic:spPr>
                </pic:pic>
              </a:graphicData>
            </a:graphic>
          </wp:inline>
        </w:drawing>
      </w:r>
    </w:p>
    <w:p w14:paraId="697ED206" w14:textId="77777777" w:rsidR="00EF29F6" w:rsidRPr="002B3D93" w:rsidRDefault="00D73DFE">
      <w:pPr>
        <w:pBdr>
          <w:top w:val="nil"/>
          <w:left w:val="nil"/>
          <w:bottom w:val="nil"/>
          <w:right w:val="nil"/>
          <w:between w:val="nil"/>
        </w:pBdr>
        <w:spacing w:after="0" w:line="360" w:lineRule="auto"/>
        <w:ind w:right="-7"/>
        <w:jc w:val="center"/>
        <w:rPr>
          <w:rFonts w:ascii="Palatino Linotype" w:eastAsia="Palatino Linotype" w:hAnsi="Palatino Linotype" w:cs="Palatino Linotype"/>
        </w:rPr>
      </w:pPr>
      <w:r w:rsidRPr="002B3D93">
        <w:rPr>
          <w:rFonts w:ascii="Palatino Linotype" w:eastAsia="Palatino Linotype" w:hAnsi="Palatino Linotype" w:cs="Palatino Linotype"/>
        </w:rPr>
        <w:t xml:space="preserve"> </w:t>
      </w:r>
      <w:r w:rsidRPr="002B3D93">
        <w:rPr>
          <w:rFonts w:ascii="Palatino Linotype" w:eastAsia="Palatino Linotype" w:hAnsi="Palatino Linotype" w:cs="Palatino Linotype"/>
          <w:noProof/>
        </w:rPr>
        <w:drawing>
          <wp:inline distT="0" distB="0" distL="0" distR="0" wp14:anchorId="2DB4B93B" wp14:editId="0932C562">
            <wp:extent cx="5048955" cy="1209844"/>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8955" cy="1209844"/>
                    </a:xfrm>
                    <a:prstGeom prst="rect">
                      <a:avLst/>
                    </a:prstGeom>
                    <a:ln/>
                  </pic:spPr>
                </pic:pic>
              </a:graphicData>
            </a:graphic>
          </wp:inline>
        </w:drawing>
      </w:r>
    </w:p>
    <w:p w14:paraId="414C3195"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316EF35" w14:textId="77777777" w:rsidR="00EF29F6" w:rsidRPr="002B3D93" w:rsidRDefault="00D73DFE">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2B3D93">
        <w:rPr>
          <w:rFonts w:ascii="Palatino Linotype" w:eastAsia="Palatino Linotype" w:hAnsi="Palatino Linotype" w:cs="Palatino Linotype"/>
        </w:rPr>
        <w:t xml:space="preserve">En ese sentido, se tiene que, el Sujeto Obligado únicamente hizo entrega del Acta de la Primera Sesión Ordinaria del Comité de fecha veinticuatro de febrero de dos mil veinticinco y del Acta de la Segunda Sesión Ordinaria de fecha veintiuno de abril de dos mil veinticinco, no obstante, la solicitud de información fue presentada el veinticuatro de junio de dos mil veinticinco –posterior a la celebración de la Tercera Sesión Ordinaria del Comité de Bienes Muebles e Inmuebles- y el acta de la Tercera Sesión Ordinaria de fecha veintitrés de junio de dos mil veinticinco, </w:t>
      </w:r>
      <w:r w:rsidRPr="002B3D93">
        <w:rPr>
          <w:rFonts w:ascii="Palatino Linotype" w:eastAsia="Palatino Linotype" w:hAnsi="Palatino Linotype" w:cs="Palatino Linotype"/>
          <w:b/>
        </w:rPr>
        <w:t xml:space="preserve">no fue proporcionada. </w:t>
      </w:r>
    </w:p>
    <w:p w14:paraId="41E38212"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001C0C2" w14:textId="77777777" w:rsidR="00EF29F6" w:rsidRPr="002B3D93" w:rsidRDefault="00D73DFE">
      <w:pPr>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Asimismo, cabe mencionar que, el Particular solicitó todas las actas del Comité de Bienes Muebles e Inmuebles, sin embargo, se advierte que no se pronunció sobre las actas de sesiones extraordinarias, por lo que, es necesario traer a colación lo que señala el Criterio orientador 02/17 emitido por el entonces Instituto Nacional de Transparencia, Acceso a la Información y Protección de Datos Personales el cual establece lo siguiente:</w:t>
      </w:r>
    </w:p>
    <w:p w14:paraId="6E4CB29B" w14:textId="77777777" w:rsidR="00EF29F6" w:rsidRPr="002B3D93" w:rsidRDefault="00EF29F6">
      <w:pPr>
        <w:pBdr>
          <w:top w:val="nil"/>
          <w:left w:val="nil"/>
          <w:bottom w:val="nil"/>
          <w:right w:val="nil"/>
          <w:between w:val="nil"/>
        </w:pBdr>
        <w:spacing w:after="0"/>
        <w:ind w:left="567" w:right="701"/>
        <w:jc w:val="both"/>
        <w:rPr>
          <w:rFonts w:ascii="Palatino Linotype" w:eastAsia="Palatino Linotype" w:hAnsi="Palatino Linotype" w:cs="Palatino Linotype"/>
          <w:i/>
        </w:rPr>
      </w:pPr>
    </w:p>
    <w:p w14:paraId="0F6CE63D" w14:textId="77777777" w:rsidR="00EF29F6" w:rsidRPr="002B3D93" w:rsidRDefault="00D73DFE">
      <w:pPr>
        <w:pBdr>
          <w:top w:val="nil"/>
          <w:left w:val="nil"/>
          <w:bottom w:val="nil"/>
          <w:right w:val="nil"/>
          <w:between w:val="nil"/>
        </w:pBdr>
        <w:spacing w:after="0"/>
        <w:ind w:left="567" w:right="701"/>
        <w:jc w:val="both"/>
        <w:rPr>
          <w:rFonts w:ascii="Palatino Linotype" w:eastAsia="Palatino Linotype" w:hAnsi="Palatino Linotype" w:cs="Palatino Linotype"/>
          <w:i/>
        </w:rPr>
      </w:pPr>
      <w:r w:rsidRPr="002B3D93">
        <w:rPr>
          <w:rFonts w:ascii="Palatino Linotype" w:eastAsia="Palatino Linotype" w:hAnsi="Palatino Linotype" w:cs="Palatino Linotype"/>
          <w:b/>
          <w:i/>
        </w:rPr>
        <w:t>Congruencia y exhaustividad. Sus alcances para garantizar el derecho de acceso a la información.</w:t>
      </w:r>
      <w:r w:rsidRPr="002B3D93">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FC9646F"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C1EF1F5" w14:textId="77777777" w:rsidR="00EF29F6" w:rsidRPr="002B3D93" w:rsidRDefault="00D73DFE">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2B3D93">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w:t>
      </w:r>
      <w:r w:rsidRPr="002B3D93">
        <w:rPr>
          <w:rFonts w:ascii="Palatino Linotype" w:eastAsia="Palatino Linotype" w:hAnsi="Palatino Linotype" w:cs="Palatino Linotype"/>
          <w:b/>
        </w:rPr>
        <w:t>implica que exista concordancia entre el requerimiento formulado por el particular y la respuesta proporcionada por el sujeto obligado</w:t>
      </w:r>
      <w:r w:rsidRPr="002B3D93">
        <w:rPr>
          <w:rFonts w:ascii="Palatino Linotype" w:eastAsia="Palatino Linotype" w:hAnsi="Palatino Linotype" w:cs="Palatino Linotype"/>
        </w:rPr>
        <w:t xml:space="preserve">, mientras que la exhaustividad establece que el sujeto obligado </w:t>
      </w:r>
      <w:r w:rsidRPr="002B3D93">
        <w:rPr>
          <w:rFonts w:ascii="Palatino Linotype" w:eastAsia="Palatino Linotype" w:hAnsi="Palatino Linotype" w:cs="Palatino Linotype"/>
          <w:b/>
        </w:rPr>
        <w:t>deberá atender de manera expresa cada uno de los puntos solicitados</w:t>
      </w:r>
      <w:r w:rsidRPr="002B3D93">
        <w:rPr>
          <w:rFonts w:ascii="Palatino Linotype" w:eastAsia="Palatino Linotype" w:hAnsi="Palatino Linotype" w:cs="Palatino Linotype"/>
        </w:rPr>
        <w:t xml:space="preserve">, situación que en el presente caso </w:t>
      </w:r>
      <w:r w:rsidRPr="002B3D93">
        <w:rPr>
          <w:rFonts w:ascii="Palatino Linotype" w:eastAsia="Palatino Linotype" w:hAnsi="Palatino Linotype" w:cs="Palatino Linotype"/>
          <w:b/>
        </w:rPr>
        <w:t xml:space="preserve">no aconteció, pues el Sujeto Obligado fue omiso en pronunciarse respecto de las actas de sesiones extraordinarias. </w:t>
      </w:r>
    </w:p>
    <w:p w14:paraId="5A35129A" w14:textId="77777777" w:rsidR="00EF29F6" w:rsidRPr="002B3D93" w:rsidRDefault="00EF29F6">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41178C8A" w14:textId="77777777" w:rsidR="00EF29F6" w:rsidRPr="002B3D93" w:rsidRDefault="00D73DF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Por lo anterior, se considera que, los agravios hechos valer por la parte Recurrente devienen </w:t>
      </w:r>
      <w:r w:rsidRPr="002B3D93">
        <w:rPr>
          <w:rFonts w:ascii="Palatino Linotype" w:eastAsia="Palatino Linotype" w:hAnsi="Palatino Linotype" w:cs="Palatino Linotype"/>
          <w:b/>
        </w:rPr>
        <w:t>PARCIALMENTE FUNDADOS</w:t>
      </w:r>
      <w:r w:rsidRPr="002B3D93">
        <w:rPr>
          <w:rFonts w:ascii="Palatino Linotype" w:eastAsia="Palatino Linotype" w:hAnsi="Palatino Linotype" w:cs="Palatino Linotype"/>
        </w:rPr>
        <w:t xml:space="preserve">, al haberse entregado la información solicitada, de manera incompleta. </w:t>
      </w:r>
    </w:p>
    <w:p w14:paraId="3F7767DE"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2D89267" w14:textId="77777777" w:rsidR="00EF29F6" w:rsidRPr="002B3D93" w:rsidRDefault="00D73DFE">
      <w:pPr>
        <w:pBdr>
          <w:top w:val="nil"/>
          <w:left w:val="nil"/>
          <w:bottom w:val="nil"/>
          <w:right w:val="nil"/>
          <w:between w:val="nil"/>
        </w:pBdr>
        <w:spacing w:after="0" w:line="360" w:lineRule="auto"/>
        <w:ind w:right="-7"/>
        <w:jc w:val="both"/>
        <w:rPr>
          <w:rFonts w:ascii="Palatino Linotype" w:eastAsia="Palatino Linotype" w:hAnsi="Palatino Linotype" w:cs="Palatino Linotype"/>
          <w:strike/>
        </w:rPr>
      </w:pPr>
      <w:r w:rsidRPr="002B3D93">
        <w:rPr>
          <w:rFonts w:ascii="Palatino Linotype" w:eastAsia="Palatino Linotype" w:hAnsi="Palatino Linotype" w:cs="Palatino Linotype"/>
        </w:rPr>
        <w:t xml:space="preserve">Por consiguiente, se determina ordenar, de ser el caso, en versión pública del Acta de la Tercera Sesión Ordinaria del Comité de Bienes Muebles e Inmuebles del año dos mil veinticinco y, las actas de las sesiones extraordinarias celebradas en del primero de enero al  </w:t>
      </w:r>
      <w:r w:rsidRPr="002B3D93">
        <w:rPr>
          <w:rFonts w:ascii="Palatino Linotype" w:eastAsia="Palatino Linotype" w:hAnsi="Palatino Linotype" w:cs="Palatino Linotype"/>
          <w:b/>
        </w:rPr>
        <w:t xml:space="preserve">veinticuatro de junio de dos mil veinticinco </w:t>
      </w:r>
      <w:r w:rsidRPr="002B3D93">
        <w:rPr>
          <w:rFonts w:ascii="Palatino Linotype" w:eastAsia="Palatino Linotype" w:hAnsi="Palatino Linotype" w:cs="Palatino Linotype"/>
        </w:rPr>
        <w:t xml:space="preserve">por este comité, siendo que para el caso de que, no se hayan celebrado sesiones extraordinarias, bastará con que el Sujeto Obligado lo haga del conocimiento en términos del párrafo segundo del artículo 19 de la Ley en la materia. </w:t>
      </w:r>
    </w:p>
    <w:p w14:paraId="297562B2"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7580203" w14:textId="77777777" w:rsidR="00EF29F6" w:rsidRPr="002B3D93" w:rsidRDefault="00D73DFE">
      <w:pPr>
        <w:tabs>
          <w:tab w:val="left" w:pos="709"/>
        </w:tabs>
        <w:spacing w:after="0" w:line="360" w:lineRule="auto"/>
        <w:jc w:val="both"/>
        <w:rPr>
          <w:rFonts w:ascii="Palatino Linotype" w:eastAsia="Palatino Linotype" w:hAnsi="Palatino Linotype" w:cs="Palatino Linotype"/>
          <w:b/>
        </w:rPr>
      </w:pPr>
      <w:r w:rsidRPr="002B3D93">
        <w:rPr>
          <w:rFonts w:ascii="Palatino Linotype" w:eastAsia="Palatino Linotype" w:hAnsi="Palatino Linotype" w:cs="Palatino Linotype"/>
          <w:b/>
        </w:rPr>
        <w:t xml:space="preserve">Quinto. Versión Pública. </w:t>
      </w:r>
      <w:r w:rsidRPr="002B3D93">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651DB2C" w14:textId="77777777" w:rsidR="00EF29F6" w:rsidRPr="002B3D93" w:rsidRDefault="00EF29F6">
      <w:pPr>
        <w:spacing w:after="0" w:line="360" w:lineRule="auto"/>
        <w:jc w:val="both"/>
        <w:rPr>
          <w:rFonts w:ascii="Palatino Linotype" w:eastAsia="Palatino Linotype" w:hAnsi="Palatino Linotype" w:cs="Palatino Linotype"/>
        </w:rPr>
      </w:pPr>
    </w:p>
    <w:p w14:paraId="2D51F5A9" w14:textId="77777777" w:rsidR="00EF29F6" w:rsidRPr="002B3D93" w:rsidRDefault="00D73DFE">
      <w:pPr>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3C4A2398" w14:textId="77777777" w:rsidR="00EF29F6" w:rsidRPr="002B3D93" w:rsidRDefault="00EF29F6">
      <w:pPr>
        <w:spacing w:after="0" w:line="360" w:lineRule="auto"/>
        <w:ind w:right="902"/>
        <w:jc w:val="both"/>
        <w:rPr>
          <w:rFonts w:ascii="Palatino Linotype" w:eastAsia="Palatino Linotype" w:hAnsi="Palatino Linotype" w:cs="Palatino Linotype"/>
          <w:i/>
        </w:rPr>
      </w:pPr>
    </w:p>
    <w:p w14:paraId="034457D6" w14:textId="77777777" w:rsidR="00EF29F6" w:rsidRPr="002B3D93" w:rsidRDefault="00D73DFE">
      <w:pPr>
        <w:spacing w:after="0" w:line="360" w:lineRule="auto"/>
        <w:ind w:right="50"/>
        <w:jc w:val="both"/>
        <w:rPr>
          <w:rFonts w:ascii="Palatino Linotype" w:eastAsia="Palatino Linotype" w:hAnsi="Palatino Linotype" w:cs="Palatino Linotype"/>
        </w:rPr>
      </w:pPr>
      <w:r w:rsidRPr="002B3D93">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FEA6982" w14:textId="77777777" w:rsidR="00EF29F6" w:rsidRPr="002B3D93" w:rsidRDefault="00EF29F6">
      <w:pPr>
        <w:spacing w:after="0" w:line="360" w:lineRule="auto"/>
        <w:ind w:right="50"/>
        <w:jc w:val="both"/>
        <w:rPr>
          <w:rFonts w:ascii="Palatino Linotype" w:eastAsia="Palatino Linotype" w:hAnsi="Palatino Linotype" w:cs="Palatino Linotype"/>
        </w:rPr>
      </w:pPr>
    </w:p>
    <w:p w14:paraId="0EDE85FC"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Artículo 3.</w:t>
      </w:r>
      <w:r w:rsidRPr="002B3D93">
        <w:rPr>
          <w:rFonts w:ascii="Palatino Linotype" w:eastAsia="Palatino Linotype" w:hAnsi="Palatino Linotype" w:cs="Palatino Linotype"/>
          <w:i/>
        </w:rPr>
        <w:t xml:space="preserve"> Para los efectos de la presente Ley se entenderá por:</w:t>
      </w:r>
    </w:p>
    <w:p w14:paraId="09C6D25E"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2B810E02"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1031C80"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XX. Información clasificada: Aquella considerada por la presente Ley como reservada o confidencial;</w:t>
      </w:r>
    </w:p>
    <w:p w14:paraId="3F690FB3"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8C1E85"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67B9BA5"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2F0F0626"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91.</w:t>
      </w:r>
      <w:r w:rsidRPr="002B3D9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E6BA749"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132.</w:t>
      </w:r>
      <w:r w:rsidRPr="002B3D93">
        <w:rPr>
          <w:rFonts w:ascii="Palatino Linotype" w:eastAsia="Palatino Linotype" w:hAnsi="Palatino Linotype" w:cs="Palatino Linotype"/>
          <w:i/>
        </w:rPr>
        <w:t xml:space="preserve"> La clasificación de la información se llevará a cabo en el momento en que:</w:t>
      </w:r>
    </w:p>
    <w:p w14:paraId="32FD804D" w14:textId="77777777" w:rsidR="00EF29F6" w:rsidRPr="002B3D93" w:rsidRDefault="00D73DFE">
      <w:pPr>
        <w:tabs>
          <w:tab w:val="left" w:pos="1134"/>
        </w:tabs>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 Se reciba una solicitud de acceso a la información;</w:t>
      </w:r>
    </w:p>
    <w:p w14:paraId="422FC94A" w14:textId="77777777" w:rsidR="00EF29F6" w:rsidRPr="002B3D93" w:rsidRDefault="00D73DFE">
      <w:pPr>
        <w:tabs>
          <w:tab w:val="left" w:pos="1134"/>
        </w:tabs>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 Se determine mediante resolución de autoridad competente; o</w:t>
      </w:r>
    </w:p>
    <w:p w14:paraId="3E49E204" w14:textId="77777777" w:rsidR="00EF29F6" w:rsidRPr="002B3D93" w:rsidRDefault="00D73DFE">
      <w:pPr>
        <w:tabs>
          <w:tab w:val="left" w:pos="1134"/>
        </w:tabs>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III. Se generen versiones públicas para dar cumplimiento a las obligaciones de transparencia previstas en esta Ley.</w:t>
      </w:r>
    </w:p>
    <w:p w14:paraId="33708DE5"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000046E3"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Artículo 143</w:t>
      </w:r>
      <w:r w:rsidRPr="002B3D9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5AC2AE3"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8F617B0"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3F79EAA"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D8ED6E4"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BD6E1D6"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DA2B612" w14:textId="77777777" w:rsidR="00EF29F6" w:rsidRPr="002B3D93" w:rsidRDefault="00EF29F6">
      <w:pPr>
        <w:spacing w:after="0"/>
        <w:ind w:left="567" w:right="616"/>
        <w:jc w:val="both"/>
        <w:rPr>
          <w:rFonts w:ascii="Palatino Linotype" w:eastAsia="Palatino Linotype" w:hAnsi="Palatino Linotype" w:cs="Palatino Linotype"/>
          <w:i/>
        </w:rPr>
      </w:pPr>
    </w:p>
    <w:p w14:paraId="562F9699" w14:textId="77777777" w:rsidR="00EF29F6" w:rsidRPr="002B3D93" w:rsidRDefault="00D73DFE">
      <w:pPr>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AB13F0D" w14:textId="77777777" w:rsidR="00EF29F6" w:rsidRPr="002B3D93" w:rsidRDefault="00EF29F6">
      <w:pPr>
        <w:spacing w:after="0"/>
        <w:jc w:val="both"/>
        <w:rPr>
          <w:rFonts w:ascii="Palatino Linotype" w:eastAsia="Palatino Linotype" w:hAnsi="Palatino Linotype" w:cs="Palatino Linotype"/>
        </w:rPr>
      </w:pPr>
    </w:p>
    <w:p w14:paraId="7CCCBCE5" w14:textId="77777777" w:rsidR="00EF29F6" w:rsidRPr="002B3D93" w:rsidRDefault="00D73DFE">
      <w:pPr>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577A20A" w14:textId="77777777" w:rsidR="00EF29F6" w:rsidRPr="002B3D93" w:rsidRDefault="00EF29F6">
      <w:pPr>
        <w:spacing w:after="0" w:line="360" w:lineRule="auto"/>
        <w:jc w:val="both"/>
        <w:rPr>
          <w:rFonts w:ascii="Palatino Linotype" w:eastAsia="Palatino Linotype" w:hAnsi="Palatino Linotype" w:cs="Palatino Linotype"/>
        </w:rPr>
      </w:pPr>
    </w:p>
    <w:p w14:paraId="6990356B"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 “</w:t>
      </w:r>
      <w:r w:rsidRPr="002B3D93">
        <w:rPr>
          <w:rFonts w:ascii="Palatino Linotype" w:eastAsia="Palatino Linotype" w:hAnsi="Palatino Linotype" w:cs="Palatino Linotype"/>
          <w:b/>
          <w:i/>
        </w:rPr>
        <w:t>Quincuagésimo</w:t>
      </w:r>
      <w:r w:rsidRPr="002B3D93">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C5E3744"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Quincuagésimo primero.</w:t>
      </w:r>
      <w:r w:rsidRPr="002B3D93">
        <w:rPr>
          <w:rFonts w:ascii="Palatino Linotype" w:eastAsia="Palatino Linotype" w:hAnsi="Palatino Linotype" w:cs="Palatino Linotype"/>
          <w:i/>
        </w:rPr>
        <w:t xml:space="preserve"> Toda acta del Comité de Transparencia deberá contener: </w:t>
      </w:r>
    </w:p>
    <w:p w14:paraId="257B0D09"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 El número de sesión y fecha; </w:t>
      </w:r>
    </w:p>
    <w:p w14:paraId="7CAFEA3B"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 El nombre del área que solicitó la clasificación de información; </w:t>
      </w:r>
    </w:p>
    <w:p w14:paraId="03B9E315"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III. La fundamentación legal y motivación correspondiente; </w:t>
      </w:r>
    </w:p>
    <w:p w14:paraId="0D4943AC"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IV. La resolución o resoluciones aprobadas; y </w:t>
      </w:r>
    </w:p>
    <w:p w14:paraId="4EB5C2F3"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V. La rúbrica o firma digital de cada integrante del Comité de Transparencia. </w:t>
      </w:r>
    </w:p>
    <w:p w14:paraId="2E04B739"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5F5E279"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 Los motivos y razonamientos que sustenten la confirmación o modificación de la prueba de daño;</w:t>
      </w:r>
    </w:p>
    <w:p w14:paraId="44FDEA7D"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 Descripción de las partes o secciones reservadas, en caso de clasificación parcial; </w:t>
      </w:r>
    </w:p>
    <w:p w14:paraId="5C198F88"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III. El periodo por el que mantendrá su clasificación y fecha de expiración; y </w:t>
      </w:r>
    </w:p>
    <w:p w14:paraId="5BA4313E"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IV. El nombre del titular y área encargada de realizar la versión pública del documento, en su caso. </w:t>
      </w:r>
    </w:p>
    <w:p w14:paraId="4501F363"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6E2EAF6"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A5CE2F0"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Quincuagésimo segundo.</w:t>
      </w:r>
      <w:r w:rsidRPr="002B3D93">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87B0FE4"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041D7DAA"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 Fijar la fecha en que se elaboró la versión pública y la fecha en la cual el Comité de Transparencia confirmó dicha versión;</w:t>
      </w:r>
    </w:p>
    <w:p w14:paraId="7A6AA272"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7E6D863"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III. Señalar las personas o instancias autorizadas a acceder a la información clasificada.</w:t>
      </w:r>
    </w:p>
    <w:p w14:paraId="1E083A3D"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CAEFBB2" w14:textId="77777777" w:rsidR="00EF29F6" w:rsidRPr="002B3D93" w:rsidRDefault="00EF29F6">
      <w:pPr>
        <w:spacing w:after="0" w:line="360" w:lineRule="auto"/>
        <w:jc w:val="both"/>
        <w:rPr>
          <w:rFonts w:ascii="Palatino Linotype" w:eastAsia="Palatino Linotype" w:hAnsi="Palatino Linotype" w:cs="Palatino Linotype"/>
        </w:rPr>
      </w:pPr>
    </w:p>
    <w:p w14:paraId="1FFAA4B9" w14:textId="77777777" w:rsidR="00EF29F6" w:rsidRPr="002B3D93" w:rsidRDefault="00D73DFE">
      <w:pPr>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D8E0480" w14:textId="77777777" w:rsidR="00EF29F6" w:rsidRPr="002B3D93" w:rsidRDefault="00EF29F6">
      <w:pPr>
        <w:spacing w:after="0" w:line="360" w:lineRule="auto"/>
        <w:jc w:val="both"/>
        <w:rPr>
          <w:rFonts w:ascii="Palatino Linotype" w:eastAsia="Palatino Linotype" w:hAnsi="Palatino Linotype" w:cs="Palatino Linotype"/>
        </w:rPr>
      </w:pPr>
    </w:p>
    <w:p w14:paraId="7C4FA4A6" w14:textId="77777777" w:rsidR="00EF29F6" w:rsidRPr="002B3D93" w:rsidRDefault="00D73D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r w:rsidRPr="002B3D93">
        <w:rPr>
          <w:rFonts w:ascii="Palatino Linotype" w:eastAsia="Palatino Linotype" w:hAnsi="Palatino Linotype" w:cs="Palatino Linotype"/>
          <w:b/>
          <w:i/>
        </w:rPr>
        <w:t>Quincuagésimo cuarto.</w:t>
      </w:r>
      <w:r w:rsidRPr="002B3D93">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66C61C7"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Quincuagésimo quinto.</w:t>
      </w:r>
      <w:r w:rsidRPr="002B3D93">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6EFD14E"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w:t>
      </w:r>
    </w:p>
    <w:p w14:paraId="493D7826"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b/>
          <w:i/>
        </w:rPr>
        <w:t>Quincuagésimo séptimo.</w:t>
      </w:r>
      <w:r w:rsidRPr="002B3D93">
        <w:rPr>
          <w:rFonts w:ascii="Palatino Linotype" w:eastAsia="Palatino Linotype" w:hAnsi="Palatino Linotype" w:cs="Palatino Linotype"/>
          <w:i/>
        </w:rPr>
        <w:t xml:space="preserve"> Se considera, en principio, como información pública y no podrá omitirse de las versiones públicas la siguiente: </w:t>
      </w:r>
    </w:p>
    <w:p w14:paraId="56372956"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D39B8C9"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A72CA1D"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C0A53C"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98FBB72" w14:textId="77777777" w:rsidR="00EF29F6" w:rsidRPr="002B3D93" w:rsidRDefault="00D73DFE">
      <w:pPr>
        <w:spacing w:after="0"/>
        <w:ind w:left="567" w:right="616"/>
        <w:jc w:val="both"/>
        <w:rPr>
          <w:rFonts w:ascii="Palatino Linotype" w:eastAsia="Palatino Linotype" w:hAnsi="Palatino Linotype" w:cs="Palatino Linotype"/>
          <w:i/>
        </w:rPr>
      </w:pPr>
      <w:r w:rsidRPr="002B3D93">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A16FDA6" w14:textId="77777777" w:rsidR="00EF29F6" w:rsidRPr="002B3D93" w:rsidRDefault="00EF29F6">
      <w:pPr>
        <w:spacing w:after="0" w:line="360" w:lineRule="auto"/>
        <w:jc w:val="both"/>
        <w:rPr>
          <w:rFonts w:ascii="Palatino Linotype" w:eastAsia="Palatino Linotype" w:hAnsi="Palatino Linotype" w:cs="Palatino Linotype"/>
        </w:rPr>
      </w:pPr>
    </w:p>
    <w:p w14:paraId="6F0D9F18" w14:textId="77777777" w:rsidR="00EF29F6" w:rsidRPr="002B3D93" w:rsidRDefault="00D73DFE">
      <w:pPr>
        <w:spacing w:after="0" w:line="360" w:lineRule="auto"/>
        <w:jc w:val="both"/>
        <w:rPr>
          <w:rFonts w:ascii="Palatino Linotype" w:eastAsia="Palatino Linotype" w:hAnsi="Palatino Linotype" w:cs="Palatino Linotype"/>
        </w:rPr>
      </w:pPr>
      <w:r w:rsidRPr="002B3D93">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89D5B18" w14:textId="77777777" w:rsidR="00EF29F6" w:rsidRPr="002B3D93" w:rsidRDefault="00EF29F6">
      <w:pPr>
        <w:spacing w:after="0" w:line="360" w:lineRule="auto"/>
        <w:jc w:val="both"/>
        <w:rPr>
          <w:rFonts w:ascii="Palatino Linotype" w:eastAsia="Palatino Linotype" w:hAnsi="Palatino Linotype" w:cs="Palatino Linotype"/>
        </w:rPr>
      </w:pPr>
    </w:p>
    <w:p w14:paraId="47BC9FD4" w14:textId="77777777" w:rsidR="00EF29F6" w:rsidRPr="002B3D93" w:rsidRDefault="00D73DFE">
      <w:pPr>
        <w:spacing w:after="0" w:line="360" w:lineRule="auto"/>
        <w:ind w:right="49"/>
        <w:jc w:val="both"/>
        <w:rPr>
          <w:rFonts w:ascii="Palatino Linotype" w:eastAsia="Palatino Linotype" w:hAnsi="Palatino Linotype" w:cs="Palatino Linotype"/>
          <w:b/>
        </w:rPr>
      </w:pPr>
      <w:r w:rsidRPr="002B3D93">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2B3D93">
        <w:rPr>
          <w:rFonts w:ascii="Palatino Linotype" w:eastAsia="Palatino Linotype" w:hAnsi="Palatino Linotype" w:cs="Palatino Linotype"/>
          <w:b/>
        </w:rPr>
        <w:t>RECURRENTE</w:t>
      </w:r>
      <w:r w:rsidRPr="002B3D93">
        <w:rPr>
          <w:rFonts w:ascii="Palatino Linotype" w:eastAsia="Palatino Linotype" w:hAnsi="Palatino Linotype" w:cs="Palatino Linotype"/>
        </w:rPr>
        <w:t xml:space="preserve"> dentro del recurso de revisión </w:t>
      </w:r>
      <w:r w:rsidRPr="002B3D93">
        <w:rPr>
          <w:rFonts w:ascii="Palatino Linotype" w:eastAsia="Palatino Linotype" w:hAnsi="Palatino Linotype" w:cs="Palatino Linotype"/>
          <w:b/>
        </w:rPr>
        <w:t>08839/INFOEM/IP/RR/2025</w:t>
      </w:r>
      <w:r w:rsidRPr="002B3D93">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2B3D93">
        <w:rPr>
          <w:rFonts w:ascii="Palatino Linotype" w:eastAsia="Palatino Linotype" w:hAnsi="Palatino Linotype" w:cs="Palatino Linotype"/>
          <w:b/>
        </w:rPr>
        <w:t xml:space="preserve">MODIFICA </w:t>
      </w:r>
      <w:r w:rsidRPr="002B3D93">
        <w:rPr>
          <w:rFonts w:ascii="Palatino Linotype" w:eastAsia="Palatino Linotype" w:hAnsi="Palatino Linotype" w:cs="Palatino Linotype"/>
        </w:rPr>
        <w:t xml:space="preserve">la respuesta del </w:t>
      </w:r>
      <w:r w:rsidRPr="002B3D93">
        <w:rPr>
          <w:rFonts w:ascii="Palatino Linotype" w:eastAsia="Palatino Linotype" w:hAnsi="Palatino Linotype" w:cs="Palatino Linotype"/>
          <w:b/>
        </w:rPr>
        <w:t xml:space="preserve">SUJETO OBLIGADO </w:t>
      </w:r>
      <w:r w:rsidRPr="002B3D93">
        <w:rPr>
          <w:rFonts w:ascii="Palatino Linotype" w:eastAsia="Palatino Linotype" w:hAnsi="Palatino Linotype" w:cs="Palatino Linotype"/>
        </w:rPr>
        <w:t xml:space="preserve">a la solicitud de información </w:t>
      </w:r>
      <w:r w:rsidRPr="002B3D93">
        <w:rPr>
          <w:rFonts w:ascii="Palatino Linotype" w:eastAsia="Palatino Linotype" w:hAnsi="Palatino Linotype" w:cs="Palatino Linotype"/>
          <w:b/>
        </w:rPr>
        <w:t>00109/TEMASCALT/IP/2025</w:t>
      </w:r>
      <w:r w:rsidRPr="002B3D93">
        <w:rPr>
          <w:rFonts w:ascii="Palatino Linotype" w:eastAsia="Palatino Linotype" w:hAnsi="Palatino Linotype" w:cs="Palatino Linotype"/>
        </w:rPr>
        <w:t xml:space="preserve">.  </w:t>
      </w:r>
    </w:p>
    <w:p w14:paraId="2A4C6873" w14:textId="77777777" w:rsidR="00EF29F6" w:rsidRPr="002B3D93" w:rsidRDefault="00EF29F6">
      <w:pPr>
        <w:spacing w:after="0" w:line="360" w:lineRule="auto"/>
        <w:ind w:right="49"/>
        <w:jc w:val="both"/>
        <w:rPr>
          <w:rFonts w:ascii="Palatino Linotype" w:eastAsia="Palatino Linotype" w:hAnsi="Palatino Linotype" w:cs="Palatino Linotype"/>
          <w:b/>
        </w:rPr>
      </w:pPr>
    </w:p>
    <w:p w14:paraId="504FD4D9"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1A57734" w14:textId="77777777" w:rsidR="00EF29F6" w:rsidRPr="002B3D93" w:rsidRDefault="00EF29F6">
      <w:pPr>
        <w:spacing w:after="0" w:line="360" w:lineRule="auto"/>
        <w:ind w:right="49"/>
        <w:rPr>
          <w:rFonts w:ascii="Palatino Linotype" w:eastAsia="Palatino Linotype" w:hAnsi="Palatino Linotype" w:cs="Palatino Linotype"/>
          <w:b/>
        </w:rPr>
      </w:pPr>
    </w:p>
    <w:p w14:paraId="63DACEB8" w14:textId="77777777" w:rsidR="00EF29F6" w:rsidRPr="002B3D93" w:rsidRDefault="00D73DFE">
      <w:pPr>
        <w:spacing w:after="0" w:line="360" w:lineRule="auto"/>
        <w:ind w:right="49"/>
        <w:jc w:val="center"/>
        <w:rPr>
          <w:rFonts w:ascii="Palatino Linotype" w:eastAsia="Palatino Linotype" w:hAnsi="Palatino Linotype" w:cs="Palatino Linotype"/>
          <w:b/>
        </w:rPr>
      </w:pPr>
      <w:r w:rsidRPr="002B3D93">
        <w:rPr>
          <w:rFonts w:ascii="Palatino Linotype" w:eastAsia="Palatino Linotype" w:hAnsi="Palatino Linotype" w:cs="Palatino Linotype"/>
          <w:b/>
        </w:rPr>
        <w:t>III.</w:t>
      </w:r>
      <w:r w:rsidRPr="002B3D93">
        <w:rPr>
          <w:rFonts w:ascii="Palatino Linotype" w:eastAsia="Palatino Linotype" w:hAnsi="Palatino Linotype" w:cs="Palatino Linotype"/>
          <w:b/>
        </w:rPr>
        <w:tab/>
        <w:t>R E S U E L V E:</w:t>
      </w:r>
    </w:p>
    <w:p w14:paraId="5C3957F6" w14:textId="77777777" w:rsidR="00EF29F6" w:rsidRPr="002B3D93" w:rsidRDefault="00EF29F6">
      <w:pPr>
        <w:spacing w:after="0" w:line="360" w:lineRule="auto"/>
        <w:ind w:right="49"/>
        <w:jc w:val="both"/>
        <w:rPr>
          <w:rFonts w:ascii="Palatino Linotype" w:eastAsia="Palatino Linotype" w:hAnsi="Palatino Linotype" w:cs="Palatino Linotype"/>
        </w:rPr>
      </w:pPr>
    </w:p>
    <w:p w14:paraId="1EF06085" w14:textId="77777777" w:rsidR="00EF29F6" w:rsidRPr="002B3D93" w:rsidRDefault="00D73DFE">
      <w:pPr>
        <w:spacing w:after="0" w:line="360" w:lineRule="auto"/>
        <w:ind w:right="49"/>
        <w:jc w:val="both"/>
        <w:rPr>
          <w:rFonts w:ascii="Palatino Linotype" w:eastAsia="Palatino Linotype" w:hAnsi="Palatino Linotype" w:cs="Palatino Linotype"/>
        </w:rPr>
      </w:pPr>
      <w:r w:rsidRPr="002B3D93">
        <w:rPr>
          <w:rFonts w:ascii="Palatino Linotype" w:eastAsia="Palatino Linotype" w:hAnsi="Palatino Linotype" w:cs="Palatino Linotype"/>
          <w:b/>
        </w:rPr>
        <w:t>Primero.</w:t>
      </w:r>
      <w:r w:rsidRPr="002B3D93">
        <w:rPr>
          <w:rFonts w:ascii="Palatino Linotype" w:eastAsia="Palatino Linotype" w:hAnsi="Palatino Linotype" w:cs="Palatino Linotype"/>
        </w:rPr>
        <w:t xml:space="preserve"> Resultan</w:t>
      </w:r>
      <w:r w:rsidRPr="002B3D93">
        <w:rPr>
          <w:rFonts w:ascii="Palatino Linotype" w:eastAsia="Palatino Linotype" w:hAnsi="Palatino Linotype" w:cs="Palatino Linotype"/>
          <w:b/>
        </w:rPr>
        <w:t xml:space="preserve"> FUNDADOS</w:t>
      </w:r>
      <w:r w:rsidRPr="002B3D93">
        <w:rPr>
          <w:rFonts w:ascii="Palatino Linotype" w:eastAsia="Palatino Linotype" w:hAnsi="Palatino Linotype" w:cs="Palatino Linotype"/>
        </w:rPr>
        <w:t xml:space="preserve"> los motivos de inconformidad hechos valer por la parte </w:t>
      </w:r>
      <w:r w:rsidRPr="002B3D93">
        <w:rPr>
          <w:rFonts w:ascii="Palatino Linotype" w:eastAsia="Palatino Linotype" w:hAnsi="Palatino Linotype" w:cs="Palatino Linotype"/>
          <w:b/>
        </w:rPr>
        <w:t>Recurrente</w:t>
      </w:r>
      <w:r w:rsidRPr="002B3D93">
        <w:rPr>
          <w:rFonts w:ascii="Palatino Linotype" w:eastAsia="Palatino Linotype" w:hAnsi="Palatino Linotype" w:cs="Palatino Linotype"/>
        </w:rPr>
        <w:t xml:space="preserve"> en el Recurso de Revisión </w:t>
      </w:r>
      <w:r w:rsidRPr="002B3D93">
        <w:rPr>
          <w:rFonts w:ascii="Palatino Linotype" w:eastAsia="Palatino Linotype" w:hAnsi="Palatino Linotype" w:cs="Palatino Linotype"/>
          <w:b/>
        </w:rPr>
        <w:t>08839/INFOEM/IP/RR/2025</w:t>
      </w:r>
      <w:r w:rsidRPr="002B3D93">
        <w:rPr>
          <w:rFonts w:ascii="Palatino Linotype" w:eastAsia="Palatino Linotype" w:hAnsi="Palatino Linotype" w:cs="Palatino Linotype"/>
        </w:rPr>
        <w:t xml:space="preserve">, por lo que, en términos del </w:t>
      </w:r>
      <w:r w:rsidRPr="002B3D93">
        <w:rPr>
          <w:rFonts w:ascii="Palatino Linotype" w:eastAsia="Palatino Linotype" w:hAnsi="Palatino Linotype" w:cs="Palatino Linotype"/>
          <w:b/>
        </w:rPr>
        <w:t>Considerando Cuarto</w:t>
      </w:r>
      <w:r w:rsidRPr="002B3D93">
        <w:rPr>
          <w:rFonts w:ascii="Palatino Linotype" w:eastAsia="Palatino Linotype" w:hAnsi="Palatino Linotype" w:cs="Palatino Linotype"/>
        </w:rPr>
        <w:t xml:space="preserve"> de esta resolución, se </w:t>
      </w:r>
      <w:r w:rsidRPr="002B3D93">
        <w:rPr>
          <w:rFonts w:ascii="Palatino Linotype" w:eastAsia="Palatino Linotype" w:hAnsi="Palatino Linotype" w:cs="Palatino Linotype"/>
          <w:b/>
        </w:rPr>
        <w:t>MODIFICA</w:t>
      </w:r>
      <w:r w:rsidRPr="002B3D93">
        <w:rPr>
          <w:rFonts w:ascii="Palatino Linotype" w:eastAsia="Palatino Linotype" w:hAnsi="Palatino Linotype" w:cs="Palatino Linotype"/>
        </w:rPr>
        <w:t xml:space="preserve"> la respuesta emitida por el </w:t>
      </w:r>
      <w:r w:rsidRPr="002B3D93">
        <w:rPr>
          <w:rFonts w:ascii="Palatino Linotype" w:eastAsia="Palatino Linotype" w:hAnsi="Palatino Linotype" w:cs="Palatino Linotype"/>
          <w:b/>
        </w:rPr>
        <w:t>Sujeto Obligado</w:t>
      </w:r>
      <w:r w:rsidRPr="002B3D93">
        <w:rPr>
          <w:rFonts w:ascii="Palatino Linotype" w:eastAsia="Palatino Linotype" w:hAnsi="Palatino Linotype" w:cs="Palatino Linotype"/>
        </w:rPr>
        <w:t>.</w:t>
      </w:r>
    </w:p>
    <w:p w14:paraId="06B3943A" w14:textId="77777777" w:rsidR="00EF29F6" w:rsidRPr="002B3D93" w:rsidRDefault="00EF29F6">
      <w:pPr>
        <w:spacing w:after="0" w:line="360" w:lineRule="auto"/>
        <w:ind w:right="49"/>
        <w:jc w:val="both"/>
        <w:rPr>
          <w:rFonts w:ascii="Palatino Linotype" w:eastAsia="Palatino Linotype" w:hAnsi="Palatino Linotype" w:cs="Palatino Linotype"/>
        </w:rPr>
      </w:pPr>
    </w:p>
    <w:p w14:paraId="324A3A9B" w14:textId="77777777" w:rsidR="00EF29F6" w:rsidRPr="002B3D93" w:rsidRDefault="00D73DFE">
      <w:pPr>
        <w:spacing w:after="0" w:line="360" w:lineRule="auto"/>
        <w:jc w:val="both"/>
        <w:rPr>
          <w:rFonts w:ascii="Palatino Linotype" w:eastAsia="Palatino Linotype" w:hAnsi="Palatino Linotype" w:cs="Palatino Linotype"/>
        </w:rPr>
      </w:pPr>
      <w:bookmarkStart w:id="7" w:name="_heading=h.1fob9te" w:colFirst="0" w:colLast="0"/>
      <w:bookmarkEnd w:id="7"/>
      <w:r w:rsidRPr="002B3D93">
        <w:rPr>
          <w:rFonts w:ascii="Palatino Linotype" w:eastAsia="Palatino Linotype" w:hAnsi="Palatino Linotype" w:cs="Palatino Linotype"/>
          <w:b/>
        </w:rPr>
        <w:t>Segundo</w:t>
      </w:r>
      <w:r w:rsidRPr="002B3D93">
        <w:rPr>
          <w:rFonts w:ascii="Palatino Linotype" w:eastAsia="Palatino Linotype" w:hAnsi="Palatino Linotype" w:cs="Palatino Linotype"/>
        </w:rPr>
        <w:t xml:space="preserve">. Se </w:t>
      </w:r>
      <w:r w:rsidRPr="002B3D93">
        <w:rPr>
          <w:rFonts w:ascii="Palatino Linotype" w:eastAsia="Palatino Linotype" w:hAnsi="Palatino Linotype" w:cs="Palatino Linotype"/>
          <w:b/>
        </w:rPr>
        <w:t>ORDENA</w:t>
      </w:r>
      <w:r w:rsidRPr="002B3D93">
        <w:rPr>
          <w:rFonts w:ascii="Palatino Linotype" w:eastAsia="Palatino Linotype" w:hAnsi="Palatino Linotype" w:cs="Palatino Linotype"/>
        </w:rPr>
        <w:t xml:space="preserve"> al </w:t>
      </w:r>
      <w:r w:rsidRPr="002B3D93">
        <w:rPr>
          <w:rFonts w:ascii="Palatino Linotype" w:eastAsia="Palatino Linotype" w:hAnsi="Palatino Linotype" w:cs="Palatino Linotype"/>
          <w:b/>
        </w:rPr>
        <w:t>Sujeto Obligado</w:t>
      </w:r>
      <w:r w:rsidRPr="002B3D93">
        <w:rPr>
          <w:rFonts w:ascii="Palatino Linotype" w:eastAsia="Palatino Linotype" w:hAnsi="Palatino Linotype" w:cs="Palatino Linotype"/>
        </w:rPr>
        <w:t xml:space="preserve"> a que, en términos del Considerando </w:t>
      </w:r>
      <w:r w:rsidRPr="002B3D93">
        <w:rPr>
          <w:rFonts w:ascii="Palatino Linotype" w:eastAsia="Palatino Linotype" w:hAnsi="Palatino Linotype" w:cs="Palatino Linotype"/>
          <w:b/>
        </w:rPr>
        <w:t>Cuarto y Quinto</w:t>
      </w:r>
      <w:r w:rsidRPr="002B3D93">
        <w:rPr>
          <w:rFonts w:ascii="Palatino Linotype" w:eastAsia="Palatino Linotype" w:hAnsi="Palatino Linotype" w:cs="Palatino Linotype"/>
        </w:rPr>
        <w:t>, haga entrega, vía Sistema de Acceso a la Información Mexiquense (</w:t>
      </w:r>
      <w:r w:rsidRPr="002B3D93">
        <w:rPr>
          <w:rFonts w:ascii="Palatino Linotype" w:eastAsia="Palatino Linotype" w:hAnsi="Palatino Linotype" w:cs="Palatino Linotype"/>
          <w:b/>
        </w:rPr>
        <w:t>SAIMEX</w:t>
      </w:r>
      <w:r w:rsidRPr="002B3D93">
        <w:rPr>
          <w:rFonts w:ascii="Palatino Linotype" w:eastAsia="Palatino Linotype" w:hAnsi="Palatino Linotype" w:cs="Palatino Linotype"/>
        </w:rPr>
        <w:t xml:space="preserve">), de ser el caso, en versión pública, de la siguiente información: </w:t>
      </w:r>
    </w:p>
    <w:p w14:paraId="64B7155D" w14:textId="77777777" w:rsidR="00EF29F6" w:rsidRPr="002B3D93" w:rsidRDefault="00D73DFE">
      <w:pPr>
        <w:numPr>
          <w:ilvl w:val="0"/>
          <w:numId w:val="4"/>
        </w:numPr>
        <w:pBdr>
          <w:top w:val="nil"/>
          <w:left w:val="nil"/>
          <w:bottom w:val="nil"/>
          <w:right w:val="nil"/>
          <w:between w:val="nil"/>
        </w:pBdr>
        <w:tabs>
          <w:tab w:val="left" w:pos="851"/>
        </w:tabs>
        <w:spacing w:after="0" w:line="360" w:lineRule="auto"/>
        <w:ind w:right="426"/>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Acta de la Tercera Sesión Ordinaria del Comité de Bienes Muebles e Inmuebles del año dos mil veinticinco. </w:t>
      </w:r>
    </w:p>
    <w:p w14:paraId="5EBB6E72" w14:textId="77777777" w:rsidR="00EF29F6" w:rsidRPr="002B3D93" w:rsidRDefault="00D73DFE">
      <w:pPr>
        <w:numPr>
          <w:ilvl w:val="0"/>
          <w:numId w:val="4"/>
        </w:numPr>
        <w:pBdr>
          <w:top w:val="nil"/>
          <w:left w:val="nil"/>
          <w:bottom w:val="nil"/>
          <w:right w:val="nil"/>
          <w:between w:val="nil"/>
        </w:pBdr>
        <w:tabs>
          <w:tab w:val="left" w:pos="851"/>
        </w:tabs>
        <w:spacing w:after="0" w:line="360" w:lineRule="auto"/>
        <w:ind w:right="426"/>
        <w:jc w:val="both"/>
        <w:rPr>
          <w:rFonts w:ascii="Palatino Linotype" w:eastAsia="Palatino Linotype" w:hAnsi="Palatino Linotype" w:cs="Palatino Linotype"/>
        </w:rPr>
      </w:pPr>
      <w:r w:rsidRPr="002B3D93">
        <w:rPr>
          <w:rFonts w:ascii="Palatino Linotype" w:eastAsia="Palatino Linotype" w:hAnsi="Palatino Linotype" w:cs="Palatino Linotype"/>
        </w:rPr>
        <w:t xml:space="preserve">Actas de Sesiones Extraordinarias del Comité de Bienes Muebles e Inmuebles celebradas del uno de enero al veinticuatro de junio de dos mil veinticinco. </w:t>
      </w:r>
    </w:p>
    <w:p w14:paraId="5788E733" w14:textId="77777777" w:rsidR="00EF29F6" w:rsidRPr="002B3D93" w:rsidRDefault="00EF29F6">
      <w:pPr>
        <w:pBdr>
          <w:top w:val="nil"/>
          <w:left w:val="nil"/>
          <w:bottom w:val="nil"/>
          <w:right w:val="nil"/>
          <w:between w:val="nil"/>
        </w:pBdr>
        <w:tabs>
          <w:tab w:val="left" w:pos="851"/>
        </w:tabs>
        <w:spacing w:after="0" w:line="360" w:lineRule="auto"/>
        <w:ind w:left="567" w:right="426"/>
        <w:jc w:val="both"/>
        <w:rPr>
          <w:rFonts w:ascii="Palatino Linotype" w:eastAsia="Palatino Linotype" w:hAnsi="Palatino Linotype" w:cs="Palatino Linotype"/>
        </w:rPr>
      </w:pPr>
    </w:p>
    <w:p w14:paraId="3A1A7CEC" w14:textId="77777777" w:rsidR="00EF29F6" w:rsidRPr="002B3D93" w:rsidRDefault="00D73DFE">
      <w:pPr>
        <w:spacing w:after="0"/>
        <w:ind w:left="567" w:right="426"/>
        <w:jc w:val="both"/>
        <w:rPr>
          <w:rFonts w:ascii="Palatino Linotype" w:eastAsia="Palatino Linotype" w:hAnsi="Palatino Linotype" w:cs="Palatino Linotype"/>
          <w:i/>
        </w:rPr>
      </w:pPr>
      <w:r w:rsidRPr="002B3D93">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5374B11" w14:textId="77777777" w:rsidR="00EF29F6" w:rsidRPr="002B3D93" w:rsidRDefault="00EF29F6">
      <w:pPr>
        <w:spacing w:after="0"/>
        <w:ind w:left="567" w:right="426"/>
        <w:jc w:val="both"/>
        <w:rPr>
          <w:rFonts w:ascii="Palatino Linotype" w:eastAsia="Palatino Linotype" w:hAnsi="Palatino Linotype" w:cs="Palatino Linotype"/>
          <w:i/>
        </w:rPr>
      </w:pPr>
    </w:p>
    <w:p w14:paraId="5547A324" w14:textId="77777777" w:rsidR="00EF29F6" w:rsidRPr="002B3D93" w:rsidRDefault="00D73DFE">
      <w:pPr>
        <w:pBdr>
          <w:top w:val="nil"/>
          <w:left w:val="nil"/>
          <w:bottom w:val="nil"/>
          <w:right w:val="nil"/>
          <w:between w:val="nil"/>
        </w:pBdr>
        <w:tabs>
          <w:tab w:val="left" w:pos="567"/>
          <w:tab w:val="left" w:pos="993"/>
        </w:tabs>
        <w:ind w:left="567" w:right="560"/>
        <w:jc w:val="both"/>
        <w:rPr>
          <w:rFonts w:ascii="Palatino Linotype" w:eastAsia="Palatino Linotype" w:hAnsi="Palatino Linotype" w:cs="Palatino Linotype"/>
          <w:i/>
        </w:rPr>
      </w:pPr>
      <w:bookmarkStart w:id="8" w:name="_heading=h.hgh6vig2t5b3" w:colFirst="0" w:colLast="0"/>
      <w:bookmarkEnd w:id="8"/>
      <w:r w:rsidRPr="002B3D93">
        <w:rPr>
          <w:rFonts w:ascii="Palatino Linotype" w:eastAsia="Palatino Linotype" w:hAnsi="Palatino Linotype" w:cs="Palatino Linotype"/>
          <w:i/>
        </w:rPr>
        <w:t xml:space="preserve">Para el caso de que la información que se ordena entregar en el inciso b) no obre en los archivos del Sujeto Obligado, por no haberse celebrado sesiones extraordinarias, este deberá hacerlo del conocimiento del Particular en términos del artículo 19, párrafo segundo, de la Ley de Transparencia y Acceso a la Información Pública del Estado de México y Municipios, para tenerse por colmado dicho requerimiento. </w:t>
      </w:r>
    </w:p>
    <w:p w14:paraId="384A7F5C" w14:textId="77777777" w:rsidR="00EF29F6" w:rsidRPr="002B3D93" w:rsidRDefault="00EF29F6">
      <w:pPr>
        <w:spacing w:after="0"/>
        <w:ind w:left="567" w:right="615"/>
        <w:jc w:val="both"/>
        <w:rPr>
          <w:rFonts w:ascii="Palatino Linotype" w:eastAsia="Palatino Linotype" w:hAnsi="Palatino Linotype" w:cs="Palatino Linotype"/>
          <w:i/>
        </w:rPr>
      </w:pPr>
    </w:p>
    <w:p w14:paraId="1D04B9C0" w14:textId="77777777" w:rsidR="00EF29F6" w:rsidRPr="002B3D93" w:rsidRDefault="00D73DFE">
      <w:pPr>
        <w:spacing w:after="0" w:line="360" w:lineRule="auto"/>
        <w:ind w:right="40"/>
        <w:jc w:val="both"/>
        <w:rPr>
          <w:rFonts w:ascii="Palatino Linotype" w:eastAsia="Palatino Linotype" w:hAnsi="Palatino Linotype" w:cs="Palatino Linotype"/>
        </w:rPr>
      </w:pPr>
      <w:r w:rsidRPr="002B3D93">
        <w:rPr>
          <w:rFonts w:ascii="Palatino Linotype" w:eastAsia="Palatino Linotype" w:hAnsi="Palatino Linotype" w:cs="Palatino Linotype"/>
          <w:b/>
        </w:rPr>
        <w:t>Tercero.</w:t>
      </w:r>
      <w:r w:rsidRPr="002B3D93">
        <w:rPr>
          <w:rFonts w:ascii="Palatino Linotype" w:eastAsia="Palatino Linotype" w:hAnsi="Palatino Linotype" w:cs="Palatino Linotype"/>
        </w:rPr>
        <w:t xml:space="preserve"> </w:t>
      </w:r>
      <w:r w:rsidRPr="002B3D93">
        <w:rPr>
          <w:rFonts w:ascii="Palatino Linotype" w:eastAsia="Palatino Linotype" w:hAnsi="Palatino Linotype" w:cs="Palatino Linotype"/>
          <w:b/>
        </w:rPr>
        <w:t xml:space="preserve">Notifíquese vía SAIMEX </w:t>
      </w:r>
      <w:r w:rsidRPr="002B3D93">
        <w:rPr>
          <w:rFonts w:ascii="Palatino Linotype" w:eastAsia="Palatino Linotype" w:hAnsi="Palatino Linotype" w:cs="Palatino Linotype"/>
        </w:rPr>
        <w:t>la presente resolución al T</w:t>
      </w:r>
      <w:r w:rsidRPr="002B3D93">
        <w:rPr>
          <w:rFonts w:ascii="Palatino Linotype" w:eastAsia="Palatino Linotype" w:hAnsi="Palatino Linotype" w:cs="Palatino Linotype"/>
          <w:b/>
        </w:rPr>
        <w:t xml:space="preserve">itular de la Unidad de Transparencia </w:t>
      </w:r>
      <w:r w:rsidRPr="002B3D93">
        <w:rPr>
          <w:rFonts w:ascii="Palatino Linotype" w:eastAsia="Palatino Linotype" w:hAnsi="Palatino Linotype" w:cs="Palatino Linotype"/>
        </w:rPr>
        <w:t xml:space="preserve">del </w:t>
      </w:r>
      <w:r w:rsidRPr="002B3D93">
        <w:rPr>
          <w:rFonts w:ascii="Palatino Linotype" w:eastAsia="Palatino Linotype" w:hAnsi="Palatino Linotype" w:cs="Palatino Linotype"/>
          <w:b/>
        </w:rPr>
        <w:t>SUJETO OBLIGADO</w:t>
      </w:r>
      <w:r w:rsidRPr="002B3D9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56BF9C" w14:textId="77777777" w:rsidR="00EF29F6" w:rsidRPr="002B3D93" w:rsidRDefault="00EF29F6">
      <w:pPr>
        <w:spacing w:after="0" w:line="360" w:lineRule="auto"/>
        <w:ind w:right="40"/>
        <w:jc w:val="both"/>
        <w:rPr>
          <w:rFonts w:ascii="Palatino Linotype" w:eastAsia="Palatino Linotype" w:hAnsi="Palatino Linotype" w:cs="Palatino Linotype"/>
        </w:rPr>
      </w:pPr>
    </w:p>
    <w:p w14:paraId="70019ABC" w14:textId="77777777" w:rsidR="00EF29F6" w:rsidRPr="002B3D93" w:rsidRDefault="00D73DFE">
      <w:pPr>
        <w:spacing w:after="0" w:line="360" w:lineRule="auto"/>
        <w:ind w:right="40"/>
        <w:jc w:val="both"/>
        <w:rPr>
          <w:rFonts w:ascii="Palatino Linotype" w:eastAsia="Palatino Linotype" w:hAnsi="Palatino Linotype" w:cs="Palatino Linotype"/>
        </w:rPr>
      </w:pPr>
      <w:r w:rsidRPr="002B3D93">
        <w:rPr>
          <w:rFonts w:ascii="Palatino Linotype" w:eastAsia="Palatino Linotype" w:hAnsi="Palatino Linotype" w:cs="Palatino Linotype"/>
          <w:b/>
        </w:rPr>
        <w:t xml:space="preserve">Cuarto. Notifíquese vía SAIMEX </w:t>
      </w:r>
      <w:r w:rsidRPr="002B3D93">
        <w:rPr>
          <w:rFonts w:ascii="Palatino Linotype" w:eastAsia="Palatino Linotype" w:hAnsi="Palatino Linotype" w:cs="Palatino Linotype"/>
        </w:rPr>
        <w:t xml:space="preserve">a la parte </w:t>
      </w:r>
      <w:r w:rsidRPr="002B3D93">
        <w:rPr>
          <w:rFonts w:ascii="Palatino Linotype" w:eastAsia="Palatino Linotype" w:hAnsi="Palatino Linotype" w:cs="Palatino Linotype"/>
          <w:b/>
        </w:rPr>
        <w:t xml:space="preserve">Recurrente </w:t>
      </w:r>
      <w:r w:rsidRPr="002B3D9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89A210D" w14:textId="77777777" w:rsidR="00EF29F6" w:rsidRPr="002B3D93" w:rsidRDefault="00EF29F6">
      <w:pPr>
        <w:spacing w:after="0" w:line="360" w:lineRule="auto"/>
        <w:ind w:right="40"/>
        <w:jc w:val="both"/>
        <w:rPr>
          <w:rFonts w:ascii="Palatino Linotype" w:eastAsia="Palatino Linotype" w:hAnsi="Palatino Linotype" w:cs="Palatino Linotype"/>
        </w:rPr>
      </w:pPr>
    </w:p>
    <w:p w14:paraId="1BF2A1DA" w14:textId="77777777" w:rsidR="00EF29F6" w:rsidRPr="002B3D93" w:rsidRDefault="00D73DFE">
      <w:pPr>
        <w:spacing w:after="0" w:line="360" w:lineRule="auto"/>
        <w:ind w:right="49"/>
        <w:jc w:val="both"/>
        <w:rPr>
          <w:rFonts w:ascii="Palatino Linotype" w:eastAsia="Palatino Linotype" w:hAnsi="Palatino Linotype" w:cs="Palatino Linotype"/>
          <w:b/>
        </w:rPr>
      </w:pPr>
      <w:r w:rsidRPr="002B3D93">
        <w:rPr>
          <w:rFonts w:ascii="Palatino Linotype" w:eastAsia="Palatino Linotype" w:hAnsi="Palatino Linotype" w:cs="Palatino Linotype"/>
          <w:b/>
        </w:rPr>
        <w:t>Quinto.</w:t>
      </w:r>
      <w:r w:rsidRPr="002B3D93">
        <w:rPr>
          <w:rFonts w:ascii="Palatino Linotype" w:eastAsia="Palatino Linotype" w:hAnsi="Palatino Linotype" w:cs="Palatino Linotype"/>
        </w:rPr>
        <w:t xml:space="preserve"> </w:t>
      </w:r>
      <w:r w:rsidRPr="002B3D93">
        <w:rPr>
          <w:rFonts w:ascii="Palatino Linotype" w:eastAsia="Palatino Linotype" w:hAnsi="Palatino Linotype" w:cs="Palatino Linotype"/>
          <w:b/>
        </w:rPr>
        <w:t xml:space="preserve">Notifíquese vía SAIMEX </w:t>
      </w:r>
      <w:r w:rsidRPr="002B3D93">
        <w:rPr>
          <w:rFonts w:ascii="Palatino Linotype" w:eastAsia="Palatino Linotype" w:hAnsi="Palatino Linotype" w:cs="Palatino Linotype"/>
        </w:rPr>
        <w:t>la presente resolución al T</w:t>
      </w:r>
      <w:r w:rsidRPr="002B3D93">
        <w:rPr>
          <w:rFonts w:ascii="Palatino Linotype" w:eastAsia="Palatino Linotype" w:hAnsi="Palatino Linotype" w:cs="Palatino Linotype"/>
          <w:b/>
        </w:rPr>
        <w:t xml:space="preserve">itular de la Unidad de Transparencia </w:t>
      </w:r>
      <w:r w:rsidRPr="002B3D93">
        <w:rPr>
          <w:rFonts w:ascii="Palatino Linotype" w:eastAsia="Palatino Linotype" w:hAnsi="Palatino Linotype" w:cs="Palatino Linotype"/>
        </w:rPr>
        <w:t xml:space="preserve">del </w:t>
      </w:r>
      <w:r w:rsidRPr="002B3D93">
        <w:rPr>
          <w:rFonts w:ascii="Palatino Linotype" w:eastAsia="Palatino Linotype" w:hAnsi="Palatino Linotype" w:cs="Palatino Linotype"/>
          <w:b/>
        </w:rPr>
        <w:t xml:space="preserve">SUJETO OBLIGADO </w:t>
      </w:r>
      <w:r w:rsidRPr="002B3D93">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637EF87" w14:textId="77777777" w:rsidR="00EF29F6" w:rsidRPr="002B3D93" w:rsidRDefault="00EF29F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AECE4E2" w14:textId="77777777" w:rsidR="00EF29F6" w:rsidRPr="00964E6F" w:rsidRDefault="00D73DFE">
      <w:pPr>
        <w:spacing w:after="0" w:line="360" w:lineRule="auto"/>
        <w:ind w:right="49"/>
        <w:jc w:val="both"/>
        <w:rPr>
          <w:rFonts w:ascii="Palatino Linotype" w:eastAsia="Palatino Linotype" w:hAnsi="Palatino Linotype" w:cs="Palatino Linotype"/>
        </w:rPr>
      </w:pPr>
      <w:bookmarkStart w:id="9" w:name="_heading=h.gjdgxs" w:colFirst="0" w:colLast="0"/>
      <w:bookmarkEnd w:id="9"/>
      <w:r w:rsidRPr="002B3D9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r w:rsidRPr="00964E6F">
        <w:rPr>
          <w:rFonts w:ascii="Palatino Linotype" w:eastAsia="Palatino Linotype" w:hAnsi="Palatino Linotype" w:cs="Palatino Linotype"/>
        </w:rPr>
        <w:t xml:space="preserve"> </w:t>
      </w:r>
    </w:p>
    <w:p w14:paraId="1D159FF3" w14:textId="0242B4C7" w:rsidR="00EF29F6" w:rsidRDefault="00EF29F6"/>
    <w:p w14:paraId="541DDC0E" w14:textId="188FF3E9" w:rsidR="0050037A" w:rsidRDefault="0050037A"/>
    <w:p w14:paraId="658CEE8F" w14:textId="6AA8D7A3" w:rsidR="0050037A" w:rsidRDefault="0050037A"/>
    <w:p w14:paraId="6A65736F" w14:textId="510A66C1" w:rsidR="0050037A" w:rsidRDefault="0050037A"/>
    <w:p w14:paraId="1714D681" w14:textId="1575C4EB" w:rsidR="0050037A" w:rsidRDefault="0050037A"/>
    <w:p w14:paraId="62102BBC" w14:textId="216AA643" w:rsidR="0050037A" w:rsidRDefault="0050037A"/>
    <w:p w14:paraId="13791F73" w14:textId="28B840B7" w:rsidR="0050037A" w:rsidRDefault="0050037A"/>
    <w:p w14:paraId="3F978053" w14:textId="3222D3CF" w:rsidR="0050037A" w:rsidRDefault="0050037A"/>
    <w:p w14:paraId="7D247600" w14:textId="7ACFDAFA" w:rsidR="0050037A" w:rsidRDefault="0050037A"/>
    <w:p w14:paraId="1310A820" w14:textId="010E9E7C" w:rsidR="0050037A" w:rsidRDefault="0050037A"/>
    <w:p w14:paraId="28E299C5" w14:textId="1831E02E" w:rsidR="0050037A" w:rsidRDefault="0050037A"/>
    <w:p w14:paraId="4C71F9DF" w14:textId="4B8BC833" w:rsidR="0050037A" w:rsidRDefault="0050037A"/>
    <w:p w14:paraId="4C8C2923" w14:textId="38131109" w:rsidR="0050037A" w:rsidRDefault="0050037A"/>
    <w:p w14:paraId="4E8160A2" w14:textId="546502F0" w:rsidR="0050037A" w:rsidRDefault="0050037A"/>
    <w:p w14:paraId="422E9418" w14:textId="0FF42D92" w:rsidR="0050037A" w:rsidRDefault="0050037A"/>
    <w:p w14:paraId="2584ED24" w14:textId="778A5345" w:rsidR="0050037A" w:rsidRDefault="0050037A"/>
    <w:p w14:paraId="10A96C10" w14:textId="4EA36E2A" w:rsidR="0050037A" w:rsidRDefault="0050037A"/>
    <w:p w14:paraId="6EC61E9E" w14:textId="419179AD" w:rsidR="0050037A" w:rsidRDefault="0050037A"/>
    <w:p w14:paraId="04F5B971" w14:textId="61D7E47D" w:rsidR="0050037A" w:rsidRDefault="0050037A"/>
    <w:p w14:paraId="32657158" w14:textId="78B9FFF4" w:rsidR="0050037A" w:rsidRDefault="0050037A"/>
    <w:p w14:paraId="129D1C52" w14:textId="30541FD3" w:rsidR="0050037A" w:rsidRDefault="0050037A"/>
    <w:p w14:paraId="2655B7AC" w14:textId="4174090B" w:rsidR="0050037A" w:rsidRDefault="0050037A"/>
    <w:p w14:paraId="1B8BB062" w14:textId="77777777" w:rsidR="0050037A" w:rsidRPr="00964E6F" w:rsidRDefault="0050037A"/>
    <w:sectPr w:rsidR="0050037A" w:rsidRPr="00964E6F">
      <w:headerReference w:type="default" r:id="rId10"/>
      <w:footerReference w:type="default" r:id="rId11"/>
      <w:headerReference w:type="first" r:id="rId12"/>
      <w:footerReference w:type="first" r:id="rId13"/>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7493" w14:textId="77777777" w:rsidR="009E0FA7" w:rsidRDefault="009E0FA7">
      <w:pPr>
        <w:spacing w:after="0" w:line="240" w:lineRule="auto"/>
      </w:pPr>
      <w:r>
        <w:separator/>
      </w:r>
    </w:p>
  </w:endnote>
  <w:endnote w:type="continuationSeparator" w:id="0">
    <w:p w14:paraId="616F6EA2" w14:textId="77777777" w:rsidR="009E0FA7" w:rsidRDefault="009E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3AF5" w14:textId="5E11E410" w:rsidR="00EF29F6" w:rsidRDefault="00D73DF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055B">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055B">
      <w:rPr>
        <w:b/>
        <w:noProof/>
        <w:color w:val="000000"/>
        <w:sz w:val="24"/>
        <w:szCs w:val="24"/>
      </w:rPr>
      <w:t>26</w:t>
    </w:r>
    <w:r>
      <w:rPr>
        <w:b/>
        <w:color w:val="000000"/>
        <w:sz w:val="24"/>
        <w:szCs w:val="24"/>
      </w:rPr>
      <w:fldChar w:fldCharType="end"/>
    </w:r>
  </w:p>
  <w:p w14:paraId="4E7ABDBE" w14:textId="77777777" w:rsidR="00EF29F6" w:rsidRDefault="00EF29F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5B32" w14:textId="1582F45E" w:rsidR="00EF29F6" w:rsidRDefault="00D73DF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055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055B">
      <w:rPr>
        <w:b/>
        <w:noProof/>
        <w:color w:val="000000"/>
        <w:sz w:val="24"/>
        <w:szCs w:val="24"/>
      </w:rPr>
      <w:t>26</w:t>
    </w:r>
    <w:r>
      <w:rPr>
        <w:b/>
        <w:color w:val="000000"/>
        <w:sz w:val="24"/>
        <w:szCs w:val="24"/>
      </w:rPr>
      <w:fldChar w:fldCharType="end"/>
    </w:r>
  </w:p>
  <w:p w14:paraId="7548924F" w14:textId="77777777" w:rsidR="00EF29F6" w:rsidRDefault="00EF29F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B8B79" w14:textId="77777777" w:rsidR="009E0FA7" w:rsidRDefault="009E0FA7">
      <w:pPr>
        <w:spacing w:after="0" w:line="240" w:lineRule="auto"/>
      </w:pPr>
      <w:r>
        <w:separator/>
      </w:r>
    </w:p>
  </w:footnote>
  <w:footnote w:type="continuationSeparator" w:id="0">
    <w:p w14:paraId="5B4F927D" w14:textId="77777777" w:rsidR="009E0FA7" w:rsidRDefault="009E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309D" w14:textId="77777777" w:rsidR="00EF29F6" w:rsidRDefault="00D73DFE">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37965A9" wp14:editId="633DAAC2">
          <wp:simplePos x="0" y="0"/>
          <wp:positionH relativeFrom="column">
            <wp:posOffset>-744853</wp:posOffset>
          </wp:positionH>
          <wp:positionV relativeFrom="paragraph">
            <wp:posOffset>-315593</wp:posOffset>
          </wp:positionV>
          <wp:extent cx="7809876" cy="10165823"/>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EF29F6" w14:paraId="63F0991A" w14:textId="77777777">
      <w:tc>
        <w:tcPr>
          <w:tcW w:w="2551" w:type="dxa"/>
          <w:vAlign w:val="center"/>
        </w:tcPr>
        <w:p w14:paraId="13BFA784"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A8A3A6F"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08839/INFOEM/IP/RR/202</w:t>
          </w:r>
          <w:r>
            <w:rPr>
              <w:rFonts w:ascii="Palatino Linotype" w:eastAsia="Palatino Linotype" w:hAnsi="Palatino Linotype" w:cs="Palatino Linotype"/>
              <w:b/>
              <w:sz w:val="20"/>
              <w:szCs w:val="20"/>
            </w:rPr>
            <w:t>5</w:t>
          </w:r>
        </w:p>
      </w:tc>
    </w:tr>
    <w:tr w:rsidR="00EF29F6" w14:paraId="12E618DD" w14:textId="77777777">
      <w:trPr>
        <w:trHeight w:val="217"/>
      </w:trPr>
      <w:tc>
        <w:tcPr>
          <w:tcW w:w="2551" w:type="dxa"/>
          <w:vAlign w:val="center"/>
        </w:tcPr>
        <w:p w14:paraId="202E600D"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E2791E3" w14:textId="77777777" w:rsidR="00EF29F6" w:rsidRDefault="00EF29F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F149006" w14:textId="77777777" w:rsidR="00EF29F6" w:rsidRDefault="00D73DFE">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Temascaltepec</w:t>
          </w:r>
        </w:p>
      </w:tc>
    </w:tr>
    <w:tr w:rsidR="00EF29F6" w14:paraId="667B6B9F" w14:textId="77777777">
      <w:tc>
        <w:tcPr>
          <w:tcW w:w="2551" w:type="dxa"/>
          <w:vAlign w:val="center"/>
        </w:tcPr>
        <w:p w14:paraId="2054923B"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77AA0E5"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7DCAB53" w14:textId="77777777" w:rsidR="00EF29F6" w:rsidRDefault="00EF29F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1EF5" w14:textId="77777777" w:rsidR="00EF29F6" w:rsidRDefault="00D73DFE">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FCCAE51" wp14:editId="7A482B18">
          <wp:simplePos x="0" y="0"/>
          <wp:positionH relativeFrom="column">
            <wp:posOffset>-712466</wp:posOffset>
          </wp:positionH>
          <wp:positionV relativeFrom="paragraph">
            <wp:posOffset>-117472</wp:posOffset>
          </wp:positionV>
          <wp:extent cx="7809865" cy="1016571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595" w:type="dxa"/>
      <w:tblInd w:w="3611" w:type="dxa"/>
      <w:tblLayout w:type="fixed"/>
      <w:tblLook w:val="0400" w:firstRow="0" w:lastRow="0" w:firstColumn="0" w:lastColumn="0" w:noHBand="0" w:noVBand="1"/>
    </w:tblPr>
    <w:tblGrid>
      <w:gridCol w:w="2565"/>
      <w:gridCol w:w="3030"/>
    </w:tblGrid>
    <w:tr w:rsidR="00EF29F6" w14:paraId="2FF4D921" w14:textId="77777777">
      <w:tc>
        <w:tcPr>
          <w:tcW w:w="2565" w:type="dxa"/>
          <w:vAlign w:val="center"/>
        </w:tcPr>
        <w:p w14:paraId="02647666"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631ECEEA"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08839/INFOEM/IP/RR/2025</w:t>
          </w:r>
        </w:p>
      </w:tc>
    </w:tr>
    <w:tr w:rsidR="00EF29F6" w14:paraId="068005F9" w14:textId="77777777">
      <w:tc>
        <w:tcPr>
          <w:tcW w:w="2565" w:type="dxa"/>
          <w:vAlign w:val="center"/>
        </w:tcPr>
        <w:p w14:paraId="5F3A839B"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62D7A91F" w14:textId="77777777" w:rsidR="00EF29F6" w:rsidRDefault="00EF29F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EF29F6" w14:paraId="17C32095" w14:textId="77777777">
      <w:trPr>
        <w:trHeight w:val="152"/>
      </w:trPr>
      <w:tc>
        <w:tcPr>
          <w:tcW w:w="2565" w:type="dxa"/>
          <w:vAlign w:val="center"/>
        </w:tcPr>
        <w:p w14:paraId="7871D0A9" w14:textId="77777777" w:rsidR="00EF29F6" w:rsidRDefault="00D73DFE">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15ECDDE" w14:textId="77777777" w:rsidR="00EF29F6" w:rsidRDefault="00EF29F6">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6D0C9BD5" w14:textId="77777777" w:rsidR="00EF29F6" w:rsidRDefault="00D73DFE">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Temascaltepec</w:t>
          </w:r>
        </w:p>
      </w:tc>
    </w:tr>
    <w:tr w:rsidR="00EF29F6" w14:paraId="1F201227" w14:textId="77777777">
      <w:tc>
        <w:tcPr>
          <w:tcW w:w="2565" w:type="dxa"/>
          <w:vAlign w:val="center"/>
        </w:tcPr>
        <w:p w14:paraId="33C5C4AE"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451704CD" w14:textId="77777777" w:rsidR="00EF29F6" w:rsidRDefault="00D73D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C65284D" w14:textId="77777777" w:rsidR="00EF29F6" w:rsidRDefault="00D73DF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75E0"/>
    <w:multiLevelType w:val="multilevel"/>
    <w:tmpl w:val="E6A85DF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05700"/>
    <w:multiLevelType w:val="multilevel"/>
    <w:tmpl w:val="D9EA68C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864AC9"/>
    <w:multiLevelType w:val="multilevel"/>
    <w:tmpl w:val="A35A5A4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435314"/>
    <w:multiLevelType w:val="multilevel"/>
    <w:tmpl w:val="F1E8D91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972539"/>
    <w:multiLevelType w:val="multilevel"/>
    <w:tmpl w:val="64A4688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F6"/>
    <w:rsid w:val="002B3D93"/>
    <w:rsid w:val="0050037A"/>
    <w:rsid w:val="00964E6F"/>
    <w:rsid w:val="009E0FA7"/>
    <w:rsid w:val="00D73DFE"/>
    <w:rsid w:val="00E7055B"/>
    <w:rsid w:val="00EF29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EB42"/>
  <w15:docId w15:val="{2A1DE2C1-6310-4D51-B6FD-E261C85C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067EB"/>
    <w:pPr>
      <w:spacing w:before="100" w:beforeAutospacing="1" w:after="100" w:afterAutospacing="1" w:line="240" w:lineRule="auto"/>
    </w:pPr>
    <w:rPr>
      <w:rFonts w:ascii="Times New Roman" w:hAnsi="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sRsfU5ZTAvrH65Q7NkhcxadRg==">CgMxLjAyCWguMzBqMHpsbDIOaC5veHU1ZWdybHp3dWwyDmguaXFvZTJ2dXhnanBiMg5oLmlhNWN5YmdudHQ2MTIOaC5rcHg0Yjl1ZmxqNzEyDmgudjB3bXB6NDEwOGppMgloLjFmb2I5dGUyDmguaGdoNnZpZzJ0NWIzMghoLmdqZGd4czgAciExTmwxTk90YmpFV0lXb29wNWVLYVB3eUI2Vmc3bmZIYmI=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6594</Words>
  <Characters>36269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2025-10-03T19:58:00Z</cp:lastPrinted>
  <dcterms:created xsi:type="dcterms:W3CDTF">2025-11-11T23:36:00Z</dcterms:created>
  <dcterms:modified xsi:type="dcterms:W3CDTF">2025-11-11T23:36:00Z</dcterms:modified>
</cp:coreProperties>
</file>