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DDC1"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5B57D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dos de abril de dos mil veinticinco. </w:t>
      </w:r>
    </w:p>
    <w:p w14:paraId="4E6DF1BB" w14:textId="77777777" w:rsidR="00B1455F" w:rsidRPr="005B57DB" w:rsidRDefault="006A158B">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5B57DB">
        <w:rPr>
          <w:rFonts w:ascii="Palatino Linotype" w:eastAsia="Palatino Linotype" w:hAnsi="Palatino Linotype" w:cs="Palatino Linotype"/>
          <w:b/>
        </w:rPr>
        <w:t>VISTO</w:t>
      </w:r>
      <w:r w:rsidRPr="005B57DB">
        <w:rPr>
          <w:rFonts w:ascii="Palatino Linotype" w:eastAsia="Palatino Linotype" w:hAnsi="Palatino Linotype" w:cs="Palatino Linotype"/>
        </w:rPr>
        <w:t xml:space="preserve"> el expediente formado con motivo del recurso de revisión </w:t>
      </w:r>
      <w:r w:rsidRPr="005B57DB">
        <w:rPr>
          <w:rFonts w:ascii="Palatino Linotype" w:eastAsia="Palatino Linotype" w:hAnsi="Palatino Linotype" w:cs="Palatino Linotype"/>
          <w:b/>
        </w:rPr>
        <w:t>01784/INFOEM/IP/RR/2025</w:t>
      </w:r>
      <w:r w:rsidRPr="005B57DB">
        <w:rPr>
          <w:rFonts w:ascii="Palatino Linotype" w:eastAsia="Palatino Linotype" w:hAnsi="Palatino Linotype" w:cs="Palatino Linotype"/>
        </w:rPr>
        <w:t>, interpuesto por</w:t>
      </w:r>
      <w:r w:rsidRPr="005B57DB">
        <w:rPr>
          <w:rFonts w:ascii="Palatino Linotype" w:eastAsia="Palatino Linotype" w:hAnsi="Palatino Linotype" w:cs="Palatino Linotype"/>
          <w:b/>
        </w:rPr>
        <w:t xml:space="preserve"> una persona que no proporcionó nombre o seudónimo,</w:t>
      </w:r>
      <w:r w:rsidRPr="005B57DB">
        <w:rPr>
          <w:rFonts w:ascii="Palatino Linotype" w:eastAsia="Palatino Linotype" w:hAnsi="Palatino Linotype" w:cs="Palatino Linotype"/>
        </w:rPr>
        <w:t xml:space="preserve"> en lo sucesivo</w:t>
      </w:r>
      <w:r w:rsidRPr="005B57DB">
        <w:rPr>
          <w:rFonts w:ascii="Palatino Linotype" w:eastAsia="Palatino Linotype" w:hAnsi="Palatino Linotype" w:cs="Palatino Linotype"/>
          <w:b/>
        </w:rPr>
        <w:t xml:space="preserve"> </w:t>
      </w:r>
      <w:r w:rsidRPr="005B57DB">
        <w:rPr>
          <w:rFonts w:ascii="Palatino Linotype" w:eastAsia="Palatino Linotype" w:hAnsi="Palatino Linotype" w:cs="Palatino Linotype"/>
        </w:rPr>
        <w:t xml:space="preserve">la parte </w:t>
      </w:r>
      <w:r w:rsidRPr="005B57DB">
        <w:rPr>
          <w:rFonts w:ascii="Palatino Linotype" w:eastAsia="Palatino Linotype" w:hAnsi="Palatino Linotype" w:cs="Palatino Linotype"/>
          <w:b/>
        </w:rPr>
        <w:t>Recurrente,</w:t>
      </w:r>
      <w:r w:rsidRPr="005B57DB">
        <w:rPr>
          <w:rFonts w:ascii="Palatino Linotype" w:eastAsia="Palatino Linotype" w:hAnsi="Palatino Linotype" w:cs="Palatino Linotype"/>
        </w:rPr>
        <w:t xml:space="preserve"> en contra de la respuesta a la solicitud de información con número de folio</w:t>
      </w:r>
      <w:r w:rsidRPr="005B57DB">
        <w:rPr>
          <w:rFonts w:ascii="Palatino Linotype" w:eastAsia="Palatino Linotype" w:hAnsi="Palatino Linotype" w:cs="Palatino Linotype"/>
          <w:b/>
        </w:rPr>
        <w:t xml:space="preserve"> 00045/ATLACOM/IP/2025, </w:t>
      </w:r>
      <w:r w:rsidRPr="005B57DB">
        <w:rPr>
          <w:rFonts w:ascii="Palatino Linotype" w:eastAsia="Palatino Linotype" w:hAnsi="Palatino Linotype" w:cs="Palatino Linotype"/>
        </w:rPr>
        <w:t xml:space="preserve">por parte del </w:t>
      </w:r>
      <w:r w:rsidRPr="005B57DB">
        <w:rPr>
          <w:rFonts w:ascii="Palatino Linotype" w:eastAsia="Palatino Linotype" w:hAnsi="Palatino Linotype" w:cs="Palatino Linotype"/>
          <w:b/>
        </w:rPr>
        <w:t xml:space="preserve">Ayuntamiento de Atlacomulco, </w:t>
      </w:r>
      <w:r w:rsidRPr="005B57DB">
        <w:rPr>
          <w:rFonts w:ascii="Palatino Linotype" w:eastAsia="Palatino Linotype" w:hAnsi="Palatino Linotype" w:cs="Palatino Linotype"/>
        </w:rPr>
        <w:t xml:space="preserve">en lo sucesivo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 xml:space="preserve">se procede a dictar la presente resolución con base en los siguientes: </w:t>
      </w:r>
    </w:p>
    <w:p w14:paraId="6ADF6ABF" w14:textId="77777777" w:rsidR="00B1455F" w:rsidRPr="005B57DB" w:rsidRDefault="006A158B">
      <w:pPr>
        <w:spacing w:before="240" w:after="240" w:line="360" w:lineRule="auto"/>
        <w:jc w:val="center"/>
        <w:rPr>
          <w:rFonts w:ascii="Palatino Linotype" w:eastAsia="Palatino Linotype" w:hAnsi="Palatino Linotype" w:cs="Palatino Linotype"/>
          <w:b/>
        </w:rPr>
      </w:pPr>
      <w:r w:rsidRPr="005B57DB">
        <w:rPr>
          <w:rFonts w:ascii="Palatino Linotype" w:eastAsia="Palatino Linotype" w:hAnsi="Palatino Linotype" w:cs="Palatino Linotype"/>
          <w:b/>
        </w:rPr>
        <w:t>I. A N T E C E D E N T E S</w:t>
      </w:r>
    </w:p>
    <w:p w14:paraId="180F1D19" w14:textId="77777777" w:rsidR="00B1455F" w:rsidRPr="005B57DB" w:rsidRDefault="006A158B">
      <w:pPr>
        <w:tabs>
          <w:tab w:val="left" w:pos="5071"/>
        </w:tabs>
        <w:spacing w:before="240" w:after="240" w:line="360" w:lineRule="auto"/>
        <w:jc w:val="both"/>
        <w:rPr>
          <w:rFonts w:ascii="Palatino Linotype" w:eastAsia="Palatino Linotype" w:hAnsi="Palatino Linotype" w:cs="Palatino Linotype"/>
        </w:rPr>
      </w:pPr>
      <w:bookmarkStart w:id="2" w:name="_heading=h.gjdgxs" w:colFirst="0" w:colLast="0"/>
      <w:bookmarkEnd w:id="2"/>
      <w:r w:rsidRPr="005B57DB">
        <w:rPr>
          <w:rFonts w:ascii="Palatino Linotype" w:eastAsia="Palatino Linotype" w:hAnsi="Palatino Linotype" w:cs="Palatino Linotype"/>
          <w:b/>
        </w:rPr>
        <w:t xml:space="preserve">1. Solicitud de acceso a la información. </w:t>
      </w:r>
      <w:r w:rsidRPr="005B57DB">
        <w:rPr>
          <w:rFonts w:ascii="Palatino Linotype" w:eastAsia="Palatino Linotype" w:hAnsi="Palatino Linotype" w:cs="Palatino Linotype"/>
        </w:rPr>
        <w:t xml:space="preserve">El </w:t>
      </w:r>
      <w:r w:rsidRPr="005B57DB">
        <w:rPr>
          <w:rFonts w:ascii="Palatino Linotype" w:eastAsia="Palatino Linotype" w:hAnsi="Palatino Linotype" w:cs="Palatino Linotype"/>
          <w:b/>
        </w:rPr>
        <w:t>dieciséis de enero de dos mil veinticinco,</w:t>
      </w:r>
      <w:r w:rsidRPr="005B57DB">
        <w:rPr>
          <w:rFonts w:ascii="Palatino Linotype" w:eastAsia="Palatino Linotype" w:hAnsi="Palatino Linotype" w:cs="Palatino Linotype"/>
        </w:rPr>
        <w:t xml:space="preserve"> parte </w:t>
      </w:r>
      <w:r w:rsidRPr="005B57DB">
        <w:rPr>
          <w:rFonts w:ascii="Palatino Linotype" w:eastAsia="Palatino Linotype" w:hAnsi="Palatino Linotype" w:cs="Palatino Linotype"/>
          <w:b/>
        </w:rPr>
        <w:t xml:space="preserve">Recurrente </w:t>
      </w:r>
      <w:r w:rsidRPr="005B57DB">
        <w:rPr>
          <w:rFonts w:ascii="Palatino Linotype" w:eastAsia="Palatino Linotype" w:hAnsi="Palatino Linotype" w:cs="Palatino Linotype"/>
        </w:rPr>
        <w:t xml:space="preserve">presentó la solicitud de acceso a la información pública ante el </w:t>
      </w:r>
      <w:r w:rsidRPr="005B57DB">
        <w:rPr>
          <w:rFonts w:ascii="Palatino Linotype" w:eastAsia="Palatino Linotype" w:hAnsi="Palatino Linotype" w:cs="Palatino Linotype"/>
          <w:b/>
        </w:rPr>
        <w:t>Sujeto Obligado</w:t>
      </w:r>
      <w:r w:rsidRPr="005B57DB">
        <w:rPr>
          <w:rFonts w:ascii="Palatino Linotype" w:eastAsia="Palatino Linotype" w:hAnsi="Palatino Linotype" w:cs="Palatino Linotype"/>
        </w:rPr>
        <w:t xml:space="preserve">, a través del Sistema de Acceso a la Información Mexiquense, en lo subsecuente el </w:t>
      </w:r>
      <w:r w:rsidRPr="005B57DB">
        <w:rPr>
          <w:rFonts w:ascii="Palatino Linotype" w:eastAsia="Palatino Linotype" w:hAnsi="Palatino Linotype" w:cs="Palatino Linotype"/>
          <w:b/>
        </w:rPr>
        <w:t>SAIMEX,</w:t>
      </w:r>
      <w:r w:rsidRPr="005B57DB">
        <w:rPr>
          <w:rFonts w:ascii="Palatino Linotype" w:eastAsia="Palatino Linotype" w:hAnsi="Palatino Linotype" w:cs="Palatino Linotype"/>
        </w:rPr>
        <w:t xml:space="preserve"> mediante la cual requirió lo siguiente:</w:t>
      </w:r>
    </w:p>
    <w:p w14:paraId="16DBF75D" w14:textId="77777777" w:rsidR="00B1455F" w:rsidRPr="005B57DB" w:rsidRDefault="006A158B">
      <w:pPr>
        <w:spacing w:before="120" w:after="120"/>
        <w:ind w:left="851" w:right="902"/>
        <w:jc w:val="both"/>
        <w:rPr>
          <w:rFonts w:ascii="Palatino Linotype" w:eastAsia="Palatino Linotype" w:hAnsi="Palatino Linotype" w:cs="Palatino Linotype"/>
          <w:b/>
          <w:i/>
          <w:sz w:val="22"/>
          <w:szCs w:val="22"/>
        </w:rPr>
      </w:pPr>
      <w:r w:rsidRPr="005B57DB">
        <w:rPr>
          <w:rFonts w:ascii="Palatino Linotype" w:eastAsia="Palatino Linotype" w:hAnsi="Palatino Linotype" w:cs="Palatino Linotype"/>
          <w:i/>
          <w:sz w:val="22"/>
          <w:szCs w:val="22"/>
        </w:rPr>
        <w:t>“</w:t>
      </w:r>
      <w:proofErr w:type="spellStart"/>
      <w:r w:rsidRPr="005B57DB">
        <w:rPr>
          <w:rFonts w:ascii="Palatino Linotype" w:eastAsia="Palatino Linotype" w:hAnsi="Palatino Linotype" w:cs="Palatino Linotype"/>
          <w:i/>
          <w:sz w:val="22"/>
          <w:szCs w:val="22"/>
        </w:rPr>
        <w:t>Consiliacion</w:t>
      </w:r>
      <w:proofErr w:type="spellEnd"/>
      <w:r w:rsidRPr="005B57DB">
        <w:rPr>
          <w:rFonts w:ascii="Palatino Linotype" w:eastAsia="Palatino Linotype" w:hAnsi="Palatino Linotype" w:cs="Palatino Linotype"/>
          <w:i/>
          <w:sz w:val="22"/>
          <w:szCs w:val="22"/>
        </w:rPr>
        <w:t xml:space="preserve"> de nómina diciembre y enero</w:t>
      </w:r>
      <w:r w:rsidRPr="005B57DB">
        <w:rPr>
          <w:rFonts w:ascii="Palatino Linotype" w:eastAsia="Palatino Linotype" w:hAnsi="Palatino Linotype" w:cs="Palatino Linotype"/>
          <w:b/>
          <w:i/>
          <w:sz w:val="22"/>
          <w:szCs w:val="22"/>
        </w:rPr>
        <w:t>”</w:t>
      </w:r>
      <w:r w:rsidRPr="005B57DB">
        <w:rPr>
          <w:rFonts w:ascii="Palatino Linotype" w:eastAsia="Palatino Linotype" w:hAnsi="Palatino Linotype" w:cs="Palatino Linotype"/>
          <w:i/>
          <w:sz w:val="22"/>
          <w:szCs w:val="22"/>
        </w:rPr>
        <w:t xml:space="preserve"> (sic) </w:t>
      </w:r>
    </w:p>
    <w:p w14:paraId="0FAD75DE"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5B57DB">
        <w:rPr>
          <w:rFonts w:ascii="Palatino Linotype" w:eastAsia="Palatino Linotype" w:hAnsi="Palatino Linotype" w:cs="Palatino Linotype"/>
          <w:b/>
        </w:rPr>
        <w:t>Modalidad de Entrega:</w:t>
      </w:r>
      <w:r w:rsidRPr="005B57DB">
        <w:rPr>
          <w:rFonts w:ascii="Palatino Linotype" w:eastAsia="Palatino Linotype" w:hAnsi="Palatino Linotype" w:cs="Palatino Linotype"/>
        </w:rPr>
        <w:t xml:space="preserve"> a través del</w:t>
      </w:r>
      <w:r w:rsidRPr="005B57DB">
        <w:rPr>
          <w:rFonts w:ascii="Palatino Linotype" w:eastAsia="Palatino Linotype" w:hAnsi="Palatino Linotype" w:cs="Palatino Linotype"/>
          <w:b/>
        </w:rPr>
        <w:t xml:space="preserve"> SAIMEX.</w:t>
      </w:r>
    </w:p>
    <w:p w14:paraId="0C8F7947"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b/>
        </w:rPr>
        <w:t xml:space="preserve">2. Prorroga. </w:t>
      </w:r>
      <w:r w:rsidRPr="005B57DB">
        <w:rPr>
          <w:rFonts w:ascii="Palatino Linotype" w:eastAsia="Palatino Linotype" w:hAnsi="Palatino Linotype" w:cs="Palatino Linotype"/>
        </w:rPr>
        <w:t xml:space="preserve">El </w:t>
      </w:r>
      <w:r w:rsidRPr="005B57DB">
        <w:rPr>
          <w:rFonts w:ascii="Palatino Linotype" w:eastAsia="Palatino Linotype" w:hAnsi="Palatino Linotype" w:cs="Palatino Linotype"/>
          <w:b/>
        </w:rPr>
        <w:t xml:space="preserve">siete de febrero de dos mil veinticinco, </w:t>
      </w:r>
      <w:r w:rsidRPr="005B57DB">
        <w:rPr>
          <w:rFonts w:ascii="Palatino Linotype" w:eastAsia="Palatino Linotype" w:hAnsi="Palatino Linotype" w:cs="Palatino Linotype"/>
        </w:rPr>
        <w:t xml:space="preserve">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notificó a la persona solicitante la prórroga para dar respuesta a la solicitud</w:t>
      </w:r>
      <w:r w:rsidRPr="005B57DB">
        <w:rPr>
          <w:rFonts w:ascii="Palatino Linotype" w:eastAsia="Palatino Linotype" w:hAnsi="Palatino Linotype" w:cs="Palatino Linotype"/>
          <w:b/>
        </w:rPr>
        <w:t>,</w:t>
      </w:r>
      <w:r w:rsidRPr="005B57DB">
        <w:rPr>
          <w:rFonts w:ascii="Palatino Linotype" w:eastAsia="Palatino Linotype" w:hAnsi="Palatino Linotype" w:cs="Palatino Linotype"/>
        </w:rPr>
        <w:t xml:space="preserve"> medularmente en los siguientes términos:</w:t>
      </w:r>
    </w:p>
    <w:p w14:paraId="772C5209" w14:textId="77777777" w:rsidR="00B1455F" w:rsidRPr="005B57DB" w:rsidRDefault="006A158B">
      <w:pPr>
        <w:spacing w:before="240" w:after="240"/>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“Con fundamento en el artículo 163 de la Ley de Transparencia y Acceso a la Información Pública del Estado de México y Municipios, se le hace de su </w:t>
      </w:r>
      <w:r w:rsidRPr="005B57DB">
        <w:rPr>
          <w:rFonts w:ascii="Palatino Linotype" w:eastAsia="Palatino Linotype" w:hAnsi="Palatino Linotype" w:cs="Palatino Linotype"/>
          <w:i/>
          <w:sz w:val="22"/>
          <w:szCs w:val="22"/>
        </w:rPr>
        <w:lastRenderedPageBreak/>
        <w:t>conocimiento que el plazo de 15 días hábiles para atender su solicitud de información ha sido prorrogado por 7 días en virtud de las siguientes razones:</w:t>
      </w:r>
    </w:p>
    <w:p w14:paraId="7A541AC7" w14:textId="77777777" w:rsidR="00B1455F" w:rsidRPr="005B57DB" w:rsidRDefault="006A158B">
      <w:pPr>
        <w:spacing w:before="240" w:after="240"/>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SE APROBO PRORROGA EN LA QUINTA SESION EXTRAORDINARIA DEL COMITE DE TRANSPOARENCIA” (sic)</w:t>
      </w:r>
    </w:p>
    <w:p w14:paraId="079439B6" w14:textId="77777777" w:rsidR="00B1455F" w:rsidRPr="005B57DB" w:rsidRDefault="006A158B">
      <w:pPr>
        <w:spacing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Como refiere el </w:t>
      </w:r>
      <w:r w:rsidRPr="005B57DB">
        <w:rPr>
          <w:rFonts w:ascii="Palatino Linotype" w:eastAsia="Palatino Linotype" w:hAnsi="Palatino Linotype" w:cs="Palatino Linotype"/>
          <w:b/>
        </w:rPr>
        <w:t>Sujeto Obligado</w:t>
      </w:r>
      <w:r w:rsidRPr="005B57DB">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5C76A081"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b/>
        </w:rPr>
        <w:t xml:space="preserve">3. Respuesta. </w:t>
      </w:r>
      <w:r w:rsidRPr="005B57DB">
        <w:rPr>
          <w:rFonts w:ascii="Palatino Linotype" w:eastAsia="Palatino Linotype" w:hAnsi="Palatino Linotype" w:cs="Palatino Linotype"/>
        </w:rPr>
        <w:t xml:space="preserve">El </w:t>
      </w:r>
      <w:r w:rsidRPr="005B57DB">
        <w:rPr>
          <w:rFonts w:ascii="Palatino Linotype" w:eastAsia="Palatino Linotype" w:hAnsi="Palatino Linotype" w:cs="Palatino Linotype"/>
          <w:b/>
        </w:rPr>
        <w:t>dieciocho de febrero de dos mil veinticinco,</w:t>
      </w:r>
      <w:r w:rsidRPr="005B57DB">
        <w:rPr>
          <w:rFonts w:ascii="Palatino Linotype" w:eastAsia="Palatino Linotype" w:hAnsi="Palatino Linotype" w:cs="Palatino Linotype"/>
        </w:rPr>
        <w:t xml:space="preserve">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DF86734" w14:textId="77777777" w:rsidR="00B1455F" w:rsidRPr="005B57DB" w:rsidRDefault="006A158B">
      <w:pPr>
        <w:spacing w:before="240" w:after="24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“…Se atiende solicitud de información....” (sic)</w:t>
      </w:r>
    </w:p>
    <w:p w14:paraId="4D9C16C6" w14:textId="77777777" w:rsidR="00B1455F" w:rsidRPr="005B57DB" w:rsidRDefault="006A158B">
      <w:pPr>
        <w:spacing w:before="240" w:after="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adjuntó lo siguiente:</w:t>
      </w:r>
    </w:p>
    <w:p w14:paraId="78227E72" w14:textId="77777777" w:rsidR="00B1455F" w:rsidRPr="005B57DB" w:rsidRDefault="006A158B">
      <w:pPr>
        <w:spacing w:before="240" w:after="240" w:line="360" w:lineRule="auto"/>
        <w:ind w:left="284" w:right="49"/>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 Oficio número PM/UT/073/2025, del dieciocho de febrero de dos mil veinticinco, mediante el cual, el titular de la Unidad de Transparencia notificó a la persona solicitante la respuesta a la solicitud,  manifestando que la misma se anexaba en versión pública, así como el acta de la Sexta Sesión Extraordinaria del Comité de </w:t>
      </w:r>
      <w:r w:rsidRPr="005B57DB">
        <w:rPr>
          <w:rFonts w:ascii="Palatino Linotype" w:eastAsia="Palatino Linotype" w:hAnsi="Palatino Linotype" w:cs="Palatino Linotype"/>
        </w:rPr>
        <w:lastRenderedPageBreak/>
        <w:t>Transparencia mediante el cual se confirmó la clasificación parcial de la información como confidencial y reservada, la cual no se advierte en el expediente electrónico.</w:t>
      </w:r>
    </w:p>
    <w:p w14:paraId="5E59D76B" w14:textId="77777777" w:rsidR="00B1455F" w:rsidRPr="005B57DB" w:rsidRDefault="006A158B">
      <w:pPr>
        <w:spacing w:before="240" w:after="240" w:line="360" w:lineRule="auto"/>
        <w:ind w:left="284" w:right="49"/>
        <w:jc w:val="both"/>
        <w:rPr>
          <w:rFonts w:ascii="Palatino Linotype" w:eastAsia="Palatino Linotype" w:hAnsi="Palatino Linotype" w:cs="Palatino Linotype"/>
        </w:rPr>
      </w:pPr>
      <w:r w:rsidRPr="005B57DB">
        <w:rPr>
          <w:rFonts w:ascii="Palatino Linotype" w:eastAsia="Palatino Linotype" w:hAnsi="Palatino Linotype" w:cs="Palatino Linotype"/>
        </w:rPr>
        <w:t>- Oficio número TMA/STE/181/02/2025, del catorce de febrero de dos mil veinticinco, mediante el cual la Tesorera Municipal, manifestó adjuntar en formato PDF,  la versión pública de las conciliaciones de nómina del Ayuntamiento de Atlacomulco correspondientes a la primera y segunda quincena del mes de diciembre de 2024, cuya clasificación como información confidencial y reservada fue aprobada en la Sexta Sesión Extraordinaria del Comité de Transparencia llevada a cabo el día 14 de febrero de 2025, mediante el acuerdo número ACT/ATLACOMULCO/EXT/CT/6/ACU-NOVENO/2025, la cual no fue anexada a la respuesta.</w:t>
      </w:r>
    </w:p>
    <w:p w14:paraId="37AA1563" w14:textId="77777777" w:rsidR="00B1455F" w:rsidRPr="005B57DB" w:rsidRDefault="006A158B">
      <w:pPr>
        <w:spacing w:before="240" w:after="240" w:line="360" w:lineRule="auto"/>
        <w:ind w:left="284" w:right="49"/>
        <w:jc w:val="both"/>
        <w:rPr>
          <w:rFonts w:ascii="Palatino Linotype" w:eastAsia="Palatino Linotype" w:hAnsi="Palatino Linotype" w:cs="Palatino Linotype"/>
        </w:rPr>
      </w:pPr>
      <w:r w:rsidRPr="005B57DB">
        <w:rPr>
          <w:rFonts w:ascii="Palatino Linotype" w:eastAsia="Palatino Linotype" w:hAnsi="Palatino Linotype" w:cs="Palatino Linotype"/>
        </w:rPr>
        <w:t>En lo referente a la conciliación de nómina del mes de enero de 2025, manifestó que a la fecha de la solicitud se encontraba en proceso de integración, toda vez que se genera de forma mensual para ser entregada en el Primer Trimestre de 2025.</w:t>
      </w:r>
    </w:p>
    <w:p w14:paraId="130357ED" w14:textId="77777777" w:rsidR="00B1455F" w:rsidRPr="005B57DB" w:rsidRDefault="006A158B">
      <w:pPr>
        <w:spacing w:before="240" w:after="240" w:line="360" w:lineRule="auto"/>
        <w:ind w:left="284" w:right="49"/>
        <w:jc w:val="both"/>
        <w:rPr>
          <w:rFonts w:ascii="Palatino Linotype" w:eastAsia="Palatino Linotype" w:hAnsi="Palatino Linotype" w:cs="Palatino Linotype"/>
        </w:rPr>
      </w:pPr>
      <w:r w:rsidRPr="005B57DB">
        <w:rPr>
          <w:rFonts w:ascii="Palatino Linotype" w:eastAsia="Palatino Linotype" w:hAnsi="Palatino Linotype" w:cs="Palatino Linotype"/>
        </w:rPr>
        <w:t>- Cuadros de clasificación de la información como confidencial y reservada, de la solicitud 00045/ATLACOM/IP/2025.</w:t>
      </w:r>
    </w:p>
    <w:p w14:paraId="0250D43A" w14:textId="77777777" w:rsidR="00B1455F" w:rsidRPr="005B57DB" w:rsidRDefault="006A158B">
      <w:pPr>
        <w:spacing w:before="240" w:after="240" w:line="360" w:lineRule="auto"/>
        <w:ind w:left="284" w:right="49"/>
        <w:jc w:val="both"/>
        <w:rPr>
          <w:rFonts w:ascii="Palatino Linotype" w:eastAsia="Palatino Linotype" w:hAnsi="Palatino Linotype" w:cs="Palatino Linotype"/>
        </w:rPr>
      </w:pPr>
      <w:r w:rsidRPr="005B57DB">
        <w:rPr>
          <w:rFonts w:ascii="Palatino Linotype" w:eastAsia="Palatino Linotype" w:hAnsi="Palatino Linotype" w:cs="Palatino Linotype"/>
        </w:rPr>
        <w:t>- Conciliación de nómina de la primera y segunda quincena de diciembre de dos mil veinticuatro, de 843 servidores públicos, testada.</w:t>
      </w:r>
    </w:p>
    <w:p w14:paraId="71EA603A" w14:textId="77777777" w:rsidR="00B1455F" w:rsidRPr="005B57DB" w:rsidRDefault="006A158B">
      <w:pPr>
        <w:spacing w:before="240" w:after="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b/>
        </w:rPr>
        <w:t xml:space="preserve">4. Interposición del recurso de revisión. </w:t>
      </w:r>
      <w:r w:rsidRPr="005B57DB">
        <w:rPr>
          <w:rFonts w:ascii="Palatino Linotype" w:eastAsia="Palatino Linotype" w:hAnsi="Palatino Linotype" w:cs="Palatino Linotype"/>
        </w:rPr>
        <w:t xml:space="preserve">Inconforme con los términos de la respuesta emitida por parte del </w:t>
      </w:r>
      <w:r w:rsidRPr="005B57DB">
        <w:rPr>
          <w:rFonts w:ascii="Palatino Linotype" w:eastAsia="Palatino Linotype" w:hAnsi="Palatino Linotype" w:cs="Palatino Linotype"/>
          <w:b/>
        </w:rPr>
        <w:t>Sujeto Obligado</w:t>
      </w:r>
      <w:r w:rsidRPr="005B57DB">
        <w:rPr>
          <w:rFonts w:ascii="Palatino Linotype" w:eastAsia="Palatino Linotype" w:hAnsi="Palatino Linotype" w:cs="Palatino Linotype"/>
        </w:rPr>
        <w:t xml:space="preserve">, el </w:t>
      </w:r>
      <w:r w:rsidRPr="005B57DB">
        <w:rPr>
          <w:rFonts w:ascii="Palatino Linotype" w:eastAsia="Palatino Linotype" w:hAnsi="Palatino Linotype" w:cs="Palatino Linotype"/>
          <w:b/>
        </w:rPr>
        <w:t xml:space="preserve">veintiuno de febrero de dos </w:t>
      </w:r>
      <w:r w:rsidRPr="005B57DB">
        <w:rPr>
          <w:rFonts w:ascii="Palatino Linotype" w:eastAsia="Palatino Linotype" w:hAnsi="Palatino Linotype" w:cs="Palatino Linotype"/>
          <w:b/>
        </w:rPr>
        <w:lastRenderedPageBreak/>
        <w:t>mil veinticinco,</w:t>
      </w:r>
      <w:r w:rsidRPr="005B57DB">
        <w:rPr>
          <w:rFonts w:ascii="Palatino Linotype" w:eastAsia="Palatino Linotype" w:hAnsi="Palatino Linotype" w:cs="Palatino Linotype"/>
        </w:rPr>
        <w:t xml:space="preserve"> la parte </w:t>
      </w:r>
      <w:r w:rsidRPr="005B57DB">
        <w:rPr>
          <w:rFonts w:ascii="Palatino Linotype" w:eastAsia="Palatino Linotype" w:hAnsi="Palatino Linotype" w:cs="Palatino Linotype"/>
          <w:b/>
        </w:rPr>
        <w:t>Recurrente</w:t>
      </w:r>
      <w:r w:rsidRPr="005B57DB">
        <w:rPr>
          <w:rFonts w:ascii="Palatino Linotype" w:eastAsia="Palatino Linotype" w:hAnsi="Palatino Linotype" w:cs="Palatino Linotype"/>
        </w:rPr>
        <w:t xml:space="preserve"> interpuso el recurso de revisión a través de </w:t>
      </w:r>
      <w:r w:rsidRPr="005B57DB">
        <w:rPr>
          <w:rFonts w:ascii="Palatino Linotype" w:eastAsia="Palatino Linotype" w:hAnsi="Palatino Linotype" w:cs="Palatino Linotype"/>
          <w:b/>
        </w:rPr>
        <w:t xml:space="preserve">SAIMEX, </w:t>
      </w:r>
      <w:r w:rsidRPr="005B57DB">
        <w:rPr>
          <w:rFonts w:ascii="Palatino Linotype" w:eastAsia="Palatino Linotype" w:hAnsi="Palatino Linotype" w:cs="Palatino Linotype"/>
        </w:rPr>
        <w:t>en donde se manifestó de la siguiente manera:</w:t>
      </w:r>
    </w:p>
    <w:p w14:paraId="477A82E3" w14:textId="77777777" w:rsidR="00B1455F" w:rsidRPr="005B57DB" w:rsidRDefault="006A158B">
      <w:pPr>
        <w:spacing w:before="240" w:after="240" w:line="360" w:lineRule="auto"/>
        <w:ind w:right="49"/>
        <w:jc w:val="both"/>
        <w:rPr>
          <w:rFonts w:ascii="Palatino Linotype" w:eastAsia="Palatino Linotype" w:hAnsi="Palatino Linotype" w:cs="Palatino Linotype"/>
          <w:b/>
        </w:rPr>
      </w:pPr>
      <w:r w:rsidRPr="005B57DB">
        <w:rPr>
          <w:rFonts w:ascii="Palatino Linotype" w:eastAsia="Palatino Linotype" w:hAnsi="Palatino Linotype" w:cs="Palatino Linotype"/>
          <w:b/>
        </w:rPr>
        <w:t xml:space="preserve">Acto impugnado: </w:t>
      </w:r>
    </w:p>
    <w:p w14:paraId="41FC2BEF" w14:textId="77777777" w:rsidR="00B1455F" w:rsidRPr="005B57DB" w:rsidRDefault="006A158B">
      <w:pPr>
        <w:tabs>
          <w:tab w:val="left" w:pos="2745"/>
        </w:tabs>
        <w:spacing w:before="240" w:after="240"/>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proofErr w:type="spellStart"/>
      <w:r w:rsidRPr="005B57DB">
        <w:rPr>
          <w:rFonts w:ascii="Palatino Linotype" w:eastAsia="Palatino Linotype" w:hAnsi="Palatino Linotype" w:cs="Palatino Linotype"/>
          <w:i/>
          <w:sz w:val="22"/>
          <w:szCs w:val="22"/>
        </w:rPr>
        <w:t>informacion</w:t>
      </w:r>
      <w:proofErr w:type="spellEnd"/>
      <w:r w:rsidRPr="005B57DB">
        <w:rPr>
          <w:rFonts w:ascii="Palatino Linotype" w:eastAsia="Palatino Linotype" w:hAnsi="Palatino Linotype" w:cs="Palatino Linotype"/>
          <w:i/>
          <w:sz w:val="22"/>
          <w:szCs w:val="22"/>
        </w:rPr>
        <w:t xml:space="preserve"> incompleta” (sic)</w:t>
      </w:r>
    </w:p>
    <w:p w14:paraId="022E5821" w14:textId="77777777" w:rsidR="00B1455F" w:rsidRPr="005B57DB" w:rsidRDefault="006A158B">
      <w:pPr>
        <w:spacing w:line="360" w:lineRule="auto"/>
        <w:jc w:val="both"/>
        <w:rPr>
          <w:rFonts w:ascii="Palatino Linotype" w:eastAsia="Palatino Linotype" w:hAnsi="Palatino Linotype" w:cs="Palatino Linotype"/>
        </w:rPr>
      </w:pPr>
      <w:bookmarkStart w:id="4" w:name="_heading=h.30j0zll" w:colFirst="0" w:colLast="0"/>
      <w:bookmarkEnd w:id="4"/>
      <w:r w:rsidRPr="005B57DB">
        <w:rPr>
          <w:rFonts w:ascii="Palatino Linotype" w:eastAsia="Palatino Linotype" w:hAnsi="Palatino Linotype" w:cs="Palatino Linotype"/>
          <w:b/>
        </w:rPr>
        <w:t>Y, Razones o motivos de inconformidad</w:t>
      </w:r>
      <w:r w:rsidRPr="005B57DB">
        <w:rPr>
          <w:rFonts w:ascii="Palatino Linotype" w:eastAsia="Palatino Linotype" w:hAnsi="Palatino Linotype" w:cs="Palatino Linotype"/>
        </w:rPr>
        <w:t>:</w:t>
      </w:r>
    </w:p>
    <w:p w14:paraId="46F79778" w14:textId="77777777" w:rsidR="00B1455F" w:rsidRPr="005B57DB" w:rsidRDefault="006A158B">
      <w:pPr>
        <w:tabs>
          <w:tab w:val="left" w:pos="2745"/>
        </w:tabs>
        <w:spacing w:before="240" w:after="240"/>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proofErr w:type="spellStart"/>
      <w:r w:rsidRPr="005B57DB">
        <w:rPr>
          <w:rFonts w:ascii="Palatino Linotype" w:eastAsia="Palatino Linotype" w:hAnsi="Palatino Linotype" w:cs="Palatino Linotype"/>
          <w:i/>
          <w:sz w:val="22"/>
          <w:szCs w:val="22"/>
        </w:rPr>
        <w:t>informacion</w:t>
      </w:r>
      <w:proofErr w:type="spellEnd"/>
      <w:r w:rsidRPr="005B57DB">
        <w:rPr>
          <w:rFonts w:ascii="Palatino Linotype" w:eastAsia="Palatino Linotype" w:hAnsi="Palatino Linotype" w:cs="Palatino Linotype"/>
          <w:i/>
          <w:sz w:val="22"/>
          <w:szCs w:val="22"/>
        </w:rPr>
        <w:t xml:space="preserve"> incompleta” (sic)</w:t>
      </w:r>
    </w:p>
    <w:p w14:paraId="237ABA41" w14:textId="77777777" w:rsidR="00B1455F" w:rsidRPr="005B57DB" w:rsidRDefault="006A158B">
      <w:pPr>
        <w:spacing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b/>
        </w:rPr>
        <w:t xml:space="preserve">5. Turno. </w:t>
      </w:r>
      <w:r w:rsidRPr="005B57D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5B57DB">
        <w:rPr>
          <w:rFonts w:ascii="Palatino Linotype" w:eastAsia="Palatino Linotype" w:hAnsi="Palatino Linotype" w:cs="Palatino Linotype"/>
          <w:b/>
        </w:rPr>
        <w:t xml:space="preserve">Guadalupe Ramírez Peña, </w:t>
      </w:r>
      <w:r w:rsidRPr="005B57DB">
        <w:rPr>
          <w:rFonts w:ascii="Palatino Linotype" w:eastAsia="Palatino Linotype" w:hAnsi="Palatino Linotype" w:cs="Palatino Linotype"/>
        </w:rPr>
        <w:t>a efecto de que analizara sobre su admisión o su desechamiento.</w:t>
      </w:r>
    </w:p>
    <w:p w14:paraId="36480A0F" w14:textId="77777777" w:rsidR="00B1455F" w:rsidRPr="005B57DB" w:rsidRDefault="006A158B">
      <w:pPr>
        <w:spacing w:before="240" w:after="240" w:line="360" w:lineRule="auto"/>
        <w:jc w:val="both"/>
        <w:rPr>
          <w:rFonts w:ascii="Palatino Linotype" w:eastAsia="Palatino Linotype" w:hAnsi="Palatino Linotype" w:cs="Palatino Linotype"/>
          <w:b/>
        </w:rPr>
      </w:pPr>
      <w:r w:rsidRPr="005B57DB">
        <w:rPr>
          <w:rFonts w:ascii="Palatino Linotype" w:eastAsia="Palatino Linotype" w:hAnsi="Palatino Linotype" w:cs="Palatino Linotype"/>
          <w:b/>
        </w:rPr>
        <w:t>6. Admisión del Recurso de revisión.</w:t>
      </w:r>
      <w:r w:rsidRPr="005B57DB">
        <w:rPr>
          <w:rFonts w:ascii="Palatino Linotype" w:eastAsia="Palatino Linotype" w:hAnsi="Palatino Linotype" w:cs="Palatino Linotype"/>
        </w:rPr>
        <w:t xml:space="preserve"> El</w:t>
      </w:r>
      <w:r w:rsidRPr="005B57DB">
        <w:rPr>
          <w:rFonts w:ascii="Palatino Linotype" w:eastAsia="Palatino Linotype" w:hAnsi="Palatino Linotype" w:cs="Palatino Linotype"/>
          <w:b/>
        </w:rPr>
        <w:t xml:space="preserve"> veintiséis de febrero de dos mil veinticinco, </w:t>
      </w:r>
      <w:r w:rsidRPr="005B57D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presentara su informe justificado.</w:t>
      </w:r>
    </w:p>
    <w:p w14:paraId="04B6AF01"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5B57DB">
        <w:rPr>
          <w:rFonts w:ascii="Palatino Linotype" w:eastAsia="Palatino Linotype" w:hAnsi="Palatino Linotype" w:cs="Palatino Linotype"/>
          <w:b/>
        </w:rPr>
        <w:t>7. Manifestaciones</w:t>
      </w:r>
      <w:r w:rsidRPr="005B57DB">
        <w:rPr>
          <w:rFonts w:ascii="Palatino Linotype" w:eastAsia="Palatino Linotype" w:hAnsi="Palatino Linotype" w:cs="Palatino Linotype"/>
        </w:rPr>
        <w:t xml:space="preserve">. El </w:t>
      </w:r>
      <w:r w:rsidRPr="005B57DB">
        <w:rPr>
          <w:rFonts w:ascii="Palatino Linotype" w:eastAsia="Palatino Linotype" w:hAnsi="Palatino Linotype" w:cs="Palatino Linotype"/>
          <w:b/>
        </w:rPr>
        <w:t>diez de marzo de dos mil veinticinco</w:t>
      </w:r>
      <w:r w:rsidRPr="005B57DB">
        <w:rPr>
          <w:rFonts w:ascii="Palatino Linotype" w:eastAsia="Palatino Linotype" w:hAnsi="Palatino Linotype" w:cs="Palatino Linotype"/>
        </w:rPr>
        <w:t xml:space="preserve">, el </w:t>
      </w:r>
      <w:r w:rsidRPr="005B57DB">
        <w:rPr>
          <w:rFonts w:ascii="Palatino Linotype" w:eastAsia="Palatino Linotype" w:hAnsi="Palatino Linotype" w:cs="Palatino Linotype"/>
          <w:b/>
        </w:rPr>
        <w:t>Sujeto Obligado</w:t>
      </w:r>
      <w:r w:rsidRPr="005B57DB">
        <w:rPr>
          <w:rFonts w:ascii="Palatino Linotype" w:eastAsia="Palatino Linotype" w:hAnsi="Palatino Linotype" w:cs="Palatino Linotype"/>
        </w:rPr>
        <w:t xml:space="preserve"> remitió, a través de SAIMEX, lo siguiente:</w:t>
      </w:r>
    </w:p>
    <w:p w14:paraId="6F646CC3" w14:textId="77777777" w:rsidR="00B1455F" w:rsidRPr="005B57DB" w:rsidRDefault="006A158B">
      <w:pPr>
        <w:spacing w:before="240" w:after="240" w:line="360" w:lineRule="auto"/>
        <w:ind w:left="284"/>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 xml:space="preserve">- Oficio número PM/UT/RR/054/2025, mediante el cual la titular de la Unidad de Transparencia, con relación a los motivos de inconformidad alegados por la parte </w:t>
      </w:r>
      <w:r w:rsidRPr="005B57DB">
        <w:rPr>
          <w:rFonts w:ascii="Palatino Linotype" w:eastAsia="Palatino Linotype" w:hAnsi="Palatino Linotype" w:cs="Palatino Linotype"/>
          <w:b/>
        </w:rPr>
        <w:t xml:space="preserve">Recurrente, </w:t>
      </w:r>
      <w:r w:rsidRPr="005B57DB">
        <w:rPr>
          <w:rFonts w:ascii="Palatino Linotype" w:eastAsia="Palatino Linotype" w:hAnsi="Palatino Linotype" w:cs="Palatino Linotype"/>
        </w:rPr>
        <w:t>manifestó que la Tesorería Municipal ratificó la respuesta proporcionada en primera instancia.</w:t>
      </w:r>
    </w:p>
    <w:p w14:paraId="7AAD65E7"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Una vez analizada la información, se determinó hacerla del conocimiento de la parte </w:t>
      </w:r>
      <w:r w:rsidRPr="005B57DB">
        <w:rPr>
          <w:rFonts w:ascii="Palatino Linotype" w:eastAsia="Palatino Linotype" w:hAnsi="Palatino Linotype" w:cs="Palatino Linotype"/>
          <w:b/>
        </w:rPr>
        <w:t>Recurrente,</w:t>
      </w:r>
      <w:r w:rsidRPr="005B57DB">
        <w:rPr>
          <w:rFonts w:ascii="Palatino Linotype" w:eastAsia="Palatino Linotype" w:hAnsi="Palatino Linotype" w:cs="Palatino Linotype"/>
        </w:rPr>
        <w:t xml:space="preserve"> con la finalidad de que manifestara lo que a su derecho estimara conveniente, sin embargo, fue omisa en ejercer dicha prerrogativa.</w:t>
      </w:r>
    </w:p>
    <w:p w14:paraId="692B52DD"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b/>
        </w:rPr>
        <w:t xml:space="preserve">8. Cierre de instrucción. </w:t>
      </w:r>
      <w:r w:rsidRPr="005B57DB">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5B57DB">
        <w:rPr>
          <w:rFonts w:ascii="Palatino Linotype" w:eastAsia="Palatino Linotype" w:hAnsi="Palatino Linotype" w:cs="Palatino Linotype"/>
          <w:b/>
        </w:rPr>
        <w:t>catorce de marzo de dos mil veinticinco</w:t>
      </w:r>
      <w:r w:rsidRPr="005B57D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E16E38B"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F241D9F" w14:textId="77777777" w:rsidR="00B1455F" w:rsidRPr="005B57DB" w:rsidRDefault="006A158B">
      <w:pPr>
        <w:widowControl w:val="0"/>
        <w:spacing w:before="240" w:after="240" w:line="360" w:lineRule="auto"/>
        <w:jc w:val="center"/>
        <w:rPr>
          <w:rFonts w:ascii="Palatino Linotype" w:eastAsia="Palatino Linotype" w:hAnsi="Palatino Linotype" w:cs="Palatino Linotype"/>
          <w:b/>
        </w:rPr>
      </w:pPr>
      <w:r w:rsidRPr="005B57DB">
        <w:rPr>
          <w:rFonts w:ascii="Palatino Linotype" w:eastAsia="Palatino Linotype" w:hAnsi="Palatino Linotype" w:cs="Palatino Linotype"/>
          <w:b/>
        </w:rPr>
        <w:t>II. C O N S I D E R A N D O S</w:t>
      </w:r>
    </w:p>
    <w:p w14:paraId="7791133B"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b/>
        </w:rPr>
        <w:t>Primero. Competencia.</w:t>
      </w:r>
      <w:r w:rsidRPr="005B57D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w:t>
      </w:r>
      <w:r w:rsidRPr="005B57DB">
        <w:rPr>
          <w:rFonts w:ascii="Palatino Linotype" w:eastAsia="Palatino Linotype" w:hAnsi="Palatino Linotype" w:cs="Palatino Linotype"/>
        </w:rPr>
        <w:lastRenderedPageBreak/>
        <w:t>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39BC0A9"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5B57DB">
        <w:rPr>
          <w:rFonts w:ascii="Palatino Linotype" w:eastAsia="Palatino Linotype" w:hAnsi="Palatino Linotype" w:cs="Palatino Linotype"/>
          <w:b/>
        </w:rPr>
        <w:t>Segundo. Oportunidad y Procedibilidad del Recurso de Revisión</w:t>
      </w:r>
      <w:r w:rsidRPr="005B57DB">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93AE18B"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 xml:space="preserve">remitió la respuesta a la solicitud de información el día </w:t>
      </w:r>
      <w:r w:rsidRPr="005B57DB">
        <w:rPr>
          <w:rFonts w:ascii="Palatino Linotype" w:eastAsia="Palatino Linotype" w:hAnsi="Palatino Linotype" w:cs="Palatino Linotype"/>
          <w:b/>
        </w:rPr>
        <w:t xml:space="preserve">dieciocho de febrero de dos mil veinticinco, </w:t>
      </w:r>
      <w:r w:rsidRPr="005B57DB">
        <w:rPr>
          <w:rFonts w:ascii="Palatino Linotype" w:eastAsia="Palatino Linotype" w:hAnsi="Palatino Linotype" w:cs="Palatino Linotype"/>
        </w:rPr>
        <w:t xml:space="preserve">mientras que el recurso de revisión interpuesto por la parte </w:t>
      </w:r>
      <w:r w:rsidRPr="005B57DB">
        <w:rPr>
          <w:rFonts w:ascii="Palatino Linotype" w:eastAsia="Palatino Linotype" w:hAnsi="Palatino Linotype" w:cs="Palatino Linotype"/>
          <w:b/>
        </w:rPr>
        <w:t xml:space="preserve">Recurrente, </w:t>
      </w:r>
      <w:r w:rsidRPr="005B57DB">
        <w:rPr>
          <w:rFonts w:ascii="Palatino Linotype" w:eastAsia="Palatino Linotype" w:hAnsi="Palatino Linotype" w:cs="Palatino Linotype"/>
        </w:rPr>
        <w:t>se tuvo por presentado el día</w:t>
      </w:r>
      <w:r w:rsidRPr="005B57DB">
        <w:rPr>
          <w:rFonts w:ascii="Palatino Linotype" w:eastAsia="Palatino Linotype" w:hAnsi="Palatino Linotype" w:cs="Palatino Linotype"/>
          <w:b/>
        </w:rPr>
        <w:t xml:space="preserve"> veintiuno de febrero de dos mil veinticinco, </w:t>
      </w:r>
      <w:r w:rsidRPr="005B57DB">
        <w:rPr>
          <w:rFonts w:ascii="Palatino Linotype" w:eastAsia="Palatino Linotype" w:hAnsi="Palatino Linotype" w:cs="Palatino Linotype"/>
        </w:rPr>
        <w:t>esto es, al tercer día hábil posterior a aquel en el que tuvo conocimiento de la respuesta impugnada. En este sentido, se concluye que el presente recurso de revisión se encuentra dentro de los márgenes temporales previstos en las disposiciones legales referidas.</w:t>
      </w:r>
    </w:p>
    <w:p w14:paraId="42EB7CA5"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Además, por cuanto hace a la procedibilidad del recurso de revisión, es de suma importancia señalar que la parte</w:t>
      </w:r>
      <w:r w:rsidRPr="005B57DB">
        <w:rPr>
          <w:rFonts w:ascii="Palatino Linotype" w:eastAsia="Palatino Linotype" w:hAnsi="Palatino Linotype" w:cs="Palatino Linotype"/>
          <w:b/>
        </w:rPr>
        <w:t xml:space="preserve"> Recurrente</w:t>
      </w:r>
      <w:r w:rsidRPr="005B57DB">
        <w:rPr>
          <w:rFonts w:ascii="Palatino Linotype" w:eastAsia="Palatino Linotype" w:hAnsi="Palatino Linotype" w:cs="Palatino Linotype"/>
        </w:rPr>
        <w:t xml:space="preserve">, no señaló un </w:t>
      </w:r>
      <w:r w:rsidRPr="005B57DB">
        <w:rPr>
          <w:rFonts w:ascii="Palatino Linotype" w:eastAsia="Palatino Linotype" w:hAnsi="Palatino Linotype" w:cs="Palatino Linotype"/>
          <w:b/>
        </w:rPr>
        <w:t>nombre</w:t>
      </w:r>
      <w:r w:rsidRPr="005B57DB">
        <w:rPr>
          <w:rFonts w:ascii="Palatino Linotype" w:eastAsia="Palatino Linotype" w:hAnsi="Palatino Linotype" w:cs="Palatino Linotype"/>
        </w:rPr>
        <w:t xml:space="preserve"> con el cual desea ser identificado, como se advierte en el detalle de seguimiento del SAIMEX, no </w:t>
      </w:r>
      <w:r w:rsidRPr="005B57DB">
        <w:rPr>
          <w:rFonts w:ascii="Palatino Linotype" w:eastAsia="Palatino Linotype" w:hAnsi="Palatino Linotype" w:cs="Palatino Linotype"/>
        </w:rPr>
        <w:lastRenderedPageBreak/>
        <w:t>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F19960A"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r w:rsidRPr="005B57DB">
        <w:rPr>
          <w:rFonts w:ascii="Palatino Linotype" w:eastAsia="Palatino Linotype" w:hAnsi="Palatino Linotype" w:cs="Palatino Linotype"/>
          <w:b/>
          <w:i/>
          <w:sz w:val="22"/>
          <w:szCs w:val="22"/>
        </w:rPr>
        <w:t>Las solicitudes anónimas</w:t>
      </w:r>
      <w:r w:rsidRPr="005B57DB">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739DDE23" w14:textId="77777777" w:rsidR="00B1455F" w:rsidRPr="005B57DB" w:rsidRDefault="006A158B">
      <w:pPr>
        <w:spacing w:before="240" w:after="240" w:line="360" w:lineRule="auto"/>
        <w:jc w:val="both"/>
        <w:rPr>
          <w:rFonts w:ascii="Palatino Linotype" w:eastAsia="Palatino Linotype" w:hAnsi="Palatino Linotype" w:cs="Palatino Linotype"/>
          <w:b/>
        </w:rPr>
      </w:pPr>
      <w:r w:rsidRPr="005B57DB">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5B57DB">
        <w:rPr>
          <w:rFonts w:ascii="Palatino Linotype" w:eastAsia="Palatino Linotype" w:hAnsi="Palatino Linotype" w:cs="Palatino Linotype"/>
          <w:b/>
        </w:rPr>
        <w:t xml:space="preserve"> SAIMEX.</w:t>
      </w:r>
    </w:p>
    <w:p w14:paraId="0A5FE31F"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5B57DB">
        <w:rPr>
          <w:rFonts w:ascii="Palatino Linotype" w:eastAsia="Palatino Linotype" w:hAnsi="Palatino Linotype" w:cs="Palatino Linotype"/>
        </w:rPr>
        <w:t xml:space="preserve">Finalmente, se advierte que resulta procedente la interposición del recurso, según lo manifestado por la parte </w:t>
      </w:r>
      <w:r w:rsidRPr="005B57DB">
        <w:rPr>
          <w:rFonts w:ascii="Palatino Linotype" w:eastAsia="Palatino Linotype" w:hAnsi="Palatino Linotype" w:cs="Palatino Linotype"/>
          <w:b/>
        </w:rPr>
        <w:t>Recurrente</w:t>
      </w:r>
      <w:r w:rsidRPr="005B57DB">
        <w:rPr>
          <w:rFonts w:ascii="Palatino Linotype" w:eastAsia="Palatino Linotype" w:hAnsi="Palatino Linotype" w:cs="Palatino Linotype"/>
        </w:rPr>
        <w:t xml:space="preserve"> en sus motivos de inconformidad, de acuerdo al artículo 179, fracción V del ordenamiento legal citado, que a la letra dice: </w:t>
      </w:r>
    </w:p>
    <w:p w14:paraId="1B98E039" w14:textId="77777777" w:rsidR="00B1455F" w:rsidRPr="005B57DB" w:rsidRDefault="006A158B">
      <w:pPr>
        <w:tabs>
          <w:tab w:val="left" w:pos="7938"/>
        </w:tabs>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r w:rsidRPr="005B57DB">
        <w:rPr>
          <w:rFonts w:ascii="Palatino Linotype" w:eastAsia="Palatino Linotype" w:hAnsi="Palatino Linotype" w:cs="Palatino Linotype"/>
          <w:b/>
          <w:i/>
          <w:sz w:val="22"/>
          <w:szCs w:val="22"/>
        </w:rPr>
        <w:t>Artículo 179.</w:t>
      </w:r>
      <w:r w:rsidRPr="005B57D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2DEBAE1" w14:textId="77777777" w:rsidR="00B1455F" w:rsidRPr="005B57DB" w:rsidRDefault="006A158B">
      <w:pPr>
        <w:tabs>
          <w:tab w:val="left" w:pos="7938"/>
        </w:tabs>
        <w:spacing w:before="120" w:after="120"/>
        <w:ind w:left="1134"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p>
    <w:p w14:paraId="45B43137" w14:textId="77777777" w:rsidR="00B1455F" w:rsidRPr="005B57DB" w:rsidRDefault="006A158B">
      <w:pPr>
        <w:tabs>
          <w:tab w:val="left" w:pos="7938"/>
        </w:tabs>
        <w:spacing w:before="120" w:after="120"/>
        <w:ind w:left="1134"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 xml:space="preserve">V. </w:t>
      </w:r>
      <w:r w:rsidRPr="005B57DB">
        <w:rPr>
          <w:rFonts w:ascii="Palatino Linotype" w:eastAsia="Palatino Linotype" w:hAnsi="Palatino Linotype" w:cs="Palatino Linotype"/>
          <w:i/>
          <w:sz w:val="22"/>
          <w:szCs w:val="22"/>
        </w:rPr>
        <w:t>La entrega de información incompleta;</w:t>
      </w:r>
    </w:p>
    <w:p w14:paraId="2CD0DEE7" w14:textId="77777777" w:rsidR="00B1455F" w:rsidRPr="005B57DB" w:rsidRDefault="006A158B">
      <w:pPr>
        <w:spacing w:before="240" w:after="240" w:line="360" w:lineRule="auto"/>
        <w:jc w:val="both"/>
        <w:rPr>
          <w:rFonts w:ascii="Palatino Linotype" w:eastAsia="Palatino Linotype" w:hAnsi="Palatino Linotype" w:cs="Palatino Linotype"/>
          <w:b/>
        </w:rPr>
      </w:pPr>
      <w:r w:rsidRPr="005B57DB">
        <w:rPr>
          <w:rFonts w:ascii="Palatino Linotype" w:eastAsia="Palatino Linotype" w:hAnsi="Palatino Linotype" w:cs="Palatino Linotype"/>
          <w:b/>
        </w:rPr>
        <w:t xml:space="preserve">Tercero. Materia de la revisión. </w:t>
      </w:r>
      <w:r w:rsidRPr="005B57DB">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5B57DB">
        <w:rPr>
          <w:rFonts w:ascii="Palatino Linotype" w:eastAsia="Palatino Linotype" w:hAnsi="Palatino Linotype" w:cs="Palatino Linotype"/>
          <w:b/>
        </w:rPr>
        <w:t xml:space="preserve">verificar si la información proporcionada por el Sujeto Obligado es adecuada y </w:t>
      </w:r>
      <w:r w:rsidRPr="005B57DB">
        <w:rPr>
          <w:rFonts w:ascii="Palatino Linotype" w:eastAsia="Palatino Linotype" w:hAnsi="Palatino Linotype" w:cs="Palatino Linotype"/>
          <w:b/>
        </w:rPr>
        <w:lastRenderedPageBreak/>
        <w:t xml:space="preserve">suficiente para satisfacer el derecho de acceso a la información pública </w:t>
      </w:r>
      <w:r w:rsidRPr="005B57DB">
        <w:rPr>
          <w:rFonts w:ascii="Palatino Linotype" w:eastAsia="Palatino Linotype" w:hAnsi="Palatino Linotype" w:cs="Palatino Linotype"/>
        </w:rPr>
        <w:t xml:space="preserve">de la parte </w:t>
      </w:r>
      <w:r w:rsidRPr="005B57DB">
        <w:rPr>
          <w:rFonts w:ascii="Palatino Linotype" w:eastAsia="Palatino Linotype" w:hAnsi="Palatino Linotype" w:cs="Palatino Linotype"/>
          <w:b/>
        </w:rPr>
        <w:t>Recurrente</w:t>
      </w:r>
      <w:r w:rsidRPr="005B57DB">
        <w:rPr>
          <w:rFonts w:ascii="Palatino Linotype" w:eastAsia="Palatino Linotype" w:hAnsi="Palatino Linotype" w:cs="Palatino Linotype"/>
        </w:rPr>
        <w:t>, o en su defecto, en caso de ser procedente, ordenar la entrega de información.</w:t>
      </w:r>
    </w:p>
    <w:p w14:paraId="6404082D"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5B57DB">
        <w:rPr>
          <w:rFonts w:ascii="Palatino Linotype" w:eastAsia="Palatino Linotype" w:hAnsi="Palatino Linotype" w:cs="Palatino Linotype"/>
          <w:b/>
        </w:rPr>
        <w:t xml:space="preserve">Cuarto. Estudio del asunto. </w:t>
      </w:r>
      <w:r w:rsidRPr="005B57DB">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9BA9266"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r w:rsidRPr="005B57DB">
        <w:rPr>
          <w:rFonts w:ascii="Palatino Linotype" w:eastAsia="Palatino Linotype" w:hAnsi="Palatino Linotype" w:cs="Palatino Linotype"/>
          <w:b/>
          <w:i/>
          <w:sz w:val="22"/>
          <w:szCs w:val="22"/>
        </w:rPr>
        <w:t>Artículo 4</w:t>
      </w:r>
      <w:r w:rsidRPr="005B57D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58F03AF"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B57D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A8D25FD"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B57DB">
        <w:rPr>
          <w:rFonts w:ascii="Palatino Linotype" w:eastAsia="Palatino Linotype" w:hAnsi="Palatino Linotype" w:cs="Palatino Linotype"/>
          <w:i/>
          <w:sz w:val="22"/>
          <w:szCs w:val="22"/>
        </w:rPr>
        <w:t>.”</w:t>
      </w:r>
    </w:p>
    <w:p w14:paraId="43F75DCF"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w:t>
      </w:r>
      <w:r w:rsidRPr="005B57DB">
        <w:rPr>
          <w:rFonts w:ascii="Palatino Linotype" w:eastAsia="Palatino Linotype" w:hAnsi="Palatino Linotype" w:cs="Palatino Linotype"/>
        </w:rPr>
        <w:lastRenderedPageBreak/>
        <w:t>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3D6B48E"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“Artículo 12.-</w:t>
      </w:r>
      <w:r w:rsidRPr="005B57D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ED963B5"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B57DB">
        <w:rPr>
          <w:rFonts w:ascii="Palatino Linotype" w:eastAsia="Palatino Linotype" w:hAnsi="Palatino Linotype" w:cs="Palatino Linotype"/>
          <w:i/>
          <w:sz w:val="22"/>
          <w:szCs w:val="22"/>
        </w:rPr>
        <w:t xml:space="preserve">. </w:t>
      </w:r>
      <w:r w:rsidRPr="005B57D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54D2F277" w14:textId="77777777" w:rsidR="00B1455F" w:rsidRPr="005B57DB" w:rsidRDefault="006A158B">
      <w:pPr>
        <w:spacing w:before="240" w:after="240" w:line="360" w:lineRule="auto"/>
        <w:ind w:right="-93"/>
        <w:jc w:val="both"/>
        <w:rPr>
          <w:rFonts w:ascii="Palatino Linotype" w:eastAsia="Palatino Linotype" w:hAnsi="Palatino Linotype" w:cs="Palatino Linotype"/>
        </w:rPr>
      </w:pPr>
      <w:r w:rsidRPr="005B57DB">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BACA5A8" w14:textId="77777777" w:rsidR="00B1455F" w:rsidRPr="005B57DB" w:rsidRDefault="006A158B">
      <w:pPr>
        <w:spacing w:before="240" w:after="240" w:line="360" w:lineRule="auto"/>
        <w:jc w:val="both"/>
        <w:rPr>
          <w:rFonts w:ascii="Palatino Linotype" w:eastAsia="Palatino Linotype" w:hAnsi="Palatino Linotype" w:cs="Palatino Linotype"/>
          <w:b/>
        </w:rPr>
      </w:pPr>
      <w:r w:rsidRPr="005B57DB">
        <w:rPr>
          <w:rFonts w:ascii="Palatino Linotype" w:eastAsia="Palatino Linotype" w:hAnsi="Palatino Linotype" w:cs="Palatino Linotype"/>
        </w:rPr>
        <w:t>Sirve de apoyo a lo anterior, el criterio orientador con clave de control SO/003/2017, emitido por el entonces Instituto Nacional de Transparencia, Acceso a la Información y Protección de Datos Personales, que por rubro y texto, dispone lo siguiente:</w:t>
      </w:r>
      <w:r w:rsidRPr="005B57DB">
        <w:rPr>
          <w:rFonts w:ascii="Palatino Linotype" w:eastAsia="Palatino Linotype" w:hAnsi="Palatino Linotype" w:cs="Palatino Linotype"/>
          <w:b/>
        </w:rPr>
        <w:t xml:space="preserve"> </w:t>
      </w:r>
    </w:p>
    <w:p w14:paraId="695C037B"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lastRenderedPageBreak/>
        <w:t>“</w:t>
      </w:r>
      <w:r w:rsidRPr="005B57DB">
        <w:rPr>
          <w:rFonts w:ascii="Palatino Linotype" w:eastAsia="Palatino Linotype" w:hAnsi="Palatino Linotype" w:cs="Palatino Linotype"/>
          <w:b/>
          <w:i/>
          <w:sz w:val="22"/>
          <w:szCs w:val="22"/>
        </w:rPr>
        <w:t>No existe obligación de elaborar documentos ad hoc para atender las solicitudes de acceso a la información.</w:t>
      </w:r>
      <w:r w:rsidRPr="005B57D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9FE83A4"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40CEB05" w14:textId="77777777" w:rsidR="00B1455F" w:rsidRPr="005B57DB" w:rsidRDefault="006A158B">
      <w:pPr>
        <w:spacing w:before="120" w:after="12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A0DA62"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r w:rsidRPr="005B57DB">
        <w:rPr>
          <w:rFonts w:ascii="Palatino Linotype" w:eastAsia="Palatino Linotype" w:hAnsi="Palatino Linotype" w:cs="Palatino Linotype"/>
          <w:b/>
          <w:i/>
          <w:sz w:val="22"/>
          <w:szCs w:val="22"/>
        </w:rPr>
        <w:t xml:space="preserve">Artículo 3. </w:t>
      </w:r>
      <w:r w:rsidRPr="005B57DB">
        <w:rPr>
          <w:rFonts w:ascii="Palatino Linotype" w:eastAsia="Palatino Linotype" w:hAnsi="Palatino Linotype" w:cs="Palatino Linotype"/>
          <w:i/>
          <w:sz w:val="22"/>
          <w:szCs w:val="22"/>
        </w:rPr>
        <w:t>Para los efectos de la presente Ley se entenderá por:</w:t>
      </w:r>
    </w:p>
    <w:p w14:paraId="7BE6CAF3"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lastRenderedPageBreak/>
        <w:t>…</w:t>
      </w:r>
    </w:p>
    <w:p w14:paraId="6004B51A"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XI. Documento:</w:t>
      </w:r>
      <w:r w:rsidRPr="005B57DB">
        <w:rPr>
          <w:rFonts w:ascii="Palatino Linotype" w:eastAsia="Palatino Linotype" w:hAnsi="Palatino Linotype" w:cs="Palatino Linotype"/>
          <w:i/>
          <w:sz w:val="22"/>
          <w:szCs w:val="22"/>
        </w:rPr>
        <w:t xml:space="preserve"> Los expedientes, reportes, estudios, actas</w:t>
      </w:r>
      <w:r w:rsidRPr="005B57DB">
        <w:rPr>
          <w:rFonts w:ascii="Palatino Linotype" w:eastAsia="Palatino Linotype" w:hAnsi="Palatino Linotype" w:cs="Palatino Linotype"/>
          <w:b/>
          <w:i/>
          <w:sz w:val="22"/>
          <w:szCs w:val="22"/>
        </w:rPr>
        <w:t>,</w:t>
      </w:r>
      <w:r w:rsidRPr="005B57D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FA484C8"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586BA6E"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sz w:val="22"/>
          <w:szCs w:val="22"/>
        </w:rPr>
        <w:t>“</w:t>
      </w:r>
      <w:r w:rsidRPr="005B57D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B57D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AAFCA2"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6AA9131"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890E36F"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97202F8"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25E8E8A5" w14:textId="77777777" w:rsidR="00B1455F" w:rsidRPr="005B57DB" w:rsidRDefault="006A158B">
      <w:pPr>
        <w:spacing w:before="240" w:after="240" w:line="360" w:lineRule="auto"/>
        <w:ind w:right="51"/>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331C1DA"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6E6C613" w14:textId="77777777" w:rsidR="00B1455F" w:rsidRPr="005B57DB" w:rsidRDefault="006A158B">
      <w:pPr>
        <w:spacing w:before="240" w:after="240" w:line="360" w:lineRule="auto"/>
        <w:ind w:right="51"/>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5B57DB">
        <w:rPr>
          <w:rFonts w:ascii="Palatino Linotype" w:eastAsia="Palatino Linotype" w:hAnsi="Palatino Linotype" w:cs="Palatino Linotype"/>
          <w:b/>
        </w:rPr>
        <w:t>Recurrente</w:t>
      </w:r>
      <w:r w:rsidRPr="005B57DB">
        <w:rPr>
          <w:rFonts w:ascii="Palatino Linotype" w:eastAsia="Palatino Linotype" w:hAnsi="Palatino Linotype" w:cs="Palatino Linotype"/>
        </w:rPr>
        <w:t xml:space="preserve"> requirió al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le proporcione, información consistente en lo siguiente:</w:t>
      </w:r>
    </w:p>
    <w:p w14:paraId="6E49A6BC" w14:textId="77777777" w:rsidR="00B1455F" w:rsidRPr="005B57DB" w:rsidRDefault="006A158B">
      <w:pPr>
        <w:spacing w:before="240" w:after="240" w:line="360" w:lineRule="auto"/>
        <w:ind w:left="426" w:right="51"/>
        <w:jc w:val="both"/>
        <w:rPr>
          <w:rFonts w:ascii="Palatino Linotype" w:eastAsia="Palatino Linotype" w:hAnsi="Palatino Linotype" w:cs="Palatino Linotype"/>
        </w:rPr>
      </w:pPr>
      <w:r w:rsidRPr="005B57DB">
        <w:rPr>
          <w:rFonts w:ascii="Palatino Linotype" w:eastAsia="Palatino Linotype" w:hAnsi="Palatino Linotype" w:cs="Palatino Linotype"/>
        </w:rPr>
        <w:t>1. Conciliación de nómina diciembre de 2024 y enero de 2025.</w:t>
      </w:r>
    </w:p>
    <w:p w14:paraId="1A8E605A" w14:textId="77777777" w:rsidR="00B1455F" w:rsidRPr="005B57DB" w:rsidRDefault="006A158B">
      <w:pPr>
        <w:spacing w:before="240" w:after="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 xml:space="preserve">El </w:t>
      </w:r>
      <w:r w:rsidRPr="005B57DB">
        <w:rPr>
          <w:rFonts w:ascii="Palatino Linotype" w:eastAsia="Palatino Linotype" w:hAnsi="Palatino Linotype" w:cs="Palatino Linotype"/>
          <w:b/>
        </w:rPr>
        <w:t>Sujeto Obligado</w:t>
      </w:r>
      <w:r w:rsidRPr="005B57DB">
        <w:rPr>
          <w:rFonts w:ascii="Palatino Linotype" w:eastAsia="Palatino Linotype" w:hAnsi="Palatino Linotype" w:cs="Palatino Linotype"/>
        </w:rPr>
        <w:t xml:space="preserve"> proporcionó respuesta a la solicitud por conducto de la Tesorera Municipal quien proporcionó la conciliación de la primera y segunda quincena del mes de diciembre de 2024, de 843 servidores públicos, testada, manifestando que la clasificación parcial como información confidencial y reservada fue aprobada en la Sexta Sesión Extraordinaria del Comité de Transparencia celebrada el 14 de febrero de 2025, mediante el acuerdo número ACT/ATLACOMULCO/EXT/CT/6/ACU-NOVENO/2025, sin embargo, la misma no obra en el expediente electrónico.</w:t>
      </w:r>
    </w:p>
    <w:p w14:paraId="63131F74" w14:textId="77777777" w:rsidR="00B1455F" w:rsidRPr="005B57DB" w:rsidRDefault="006A158B">
      <w:pPr>
        <w:spacing w:before="240" w:after="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t>Y, por lo que se refiere a la conciliación de nómina del mes de enero de 2025, manifestó que a la fecha de la solicitud se encontraba en proceso de integración, toda vez que se genera de forma mensual para ser entregada en el Primer Trimestre de 2025.</w:t>
      </w:r>
    </w:p>
    <w:p w14:paraId="6FAA9F45" w14:textId="77777777" w:rsidR="00B1455F" w:rsidRPr="005B57DB" w:rsidRDefault="006A158B">
      <w:pPr>
        <w:spacing w:before="240" w:after="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Derivado de lo anterior, la parte </w:t>
      </w:r>
      <w:r w:rsidRPr="005B57DB">
        <w:rPr>
          <w:rFonts w:ascii="Palatino Linotype" w:eastAsia="Palatino Linotype" w:hAnsi="Palatino Linotype" w:cs="Palatino Linotype"/>
          <w:b/>
        </w:rPr>
        <w:t xml:space="preserve">Recurrente </w:t>
      </w:r>
      <w:r w:rsidRPr="005B57DB">
        <w:rPr>
          <w:rFonts w:ascii="Palatino Linotype" w:eastAsia="Palatino Linotype" w:hAnsi="Palatino Linotype" w:cs="Palatino Linotype"/>
        </w:rPr>
        <w:t>presentó el recurso de revisión que se resuelve, donde se inconformó por la entrega de información incompleta.</w:t>
      </w:r>
    </w:p>
    <w:p w14:paraId="7FAD1D1D"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Durante el periodo de manifestaciones por conducto de la Tesorera Municipal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 xml:space="preserve">ratificó en lo sustancial la respuesta proporcionada en primera instancia, sin embargo, dicha información se hizo del conocimiento de la parte </w:t>
      </w:r>
      <w:r w:rsidRPr="005B57DB">
        <w:rPr>
          <w:rFonts w:ascii="Palatino Linotype" w:eastAsia="Palatino Linotype" w:hAnsi="Palatino Linotype" w:cs="Palatino Linotype"/>
          <w:b/>
        </w:rPr>
        <w:t xml:space="preserve">Recurrente </w:t>
      </w:r>
      <w:r w:rsidRPr="005B57DB">
        <w:rPr>
          <w:rFonts w:ascii="Palatino Linotype" w:eastAsia="Palatino Linotype" w:hAnsi="Palatino Linotype" w:cs="Palatino Linotype"/>
        </w:rPr>
        <w:t>con la finalidad de que manifestara lo que a su derecho estimara conveniente, sin embargo, fue omisa en ejercer dicha prerrogativa.</w:t>
      </w:r>
    </w:p>
    <w:p w14:paraId="2F42D5E6" w14:textId="77777777" w:rsidR="00B1455F" w:rsidRPr="005B57DB" w:rsidRDefault="006A158B">
      <w:pPr>
        <w:spacing w:before="280" w:after="28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 xml:space="preserve">en contraposición con el motivo de inconformidad alegado por la </w:t>
      </w:r>
      <w:r w:rsidRPr="005B57DB">
        <w:rPr>
          <w:rFonts w:ascii="Palatino Linotype" w:eastAsia="Palatino Linotype" w:hAnsi="Palatino Linotype" w:cs="Palatino Linotype"/>
        </w:rPr>
        <w:lastRenderedPageBreak/>
        <w:t xml:space="preserve">parte </w:t>
      </w:r>
      <w:r w:rsidRPr="005B57DB">
        <w:rPr>
          <w:rFonts w:ascii="Palatino Linotype" w:eastAsia="Palatino Linotype" w:hAnsi="Palatino Linotype" w:cs="Palatino Linotype"/>
          <w:b/>
        </w:rPr>
        <w:t xml:space="preserve">Recurrente, </w:t>
      </w:r>
      <w:r w:rsidRPr="005B57DB">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3214B5D7" w14:textId="77777777" w:rsidR="00B1455F" w:rsidRPr="005B57DB" w:rsidRDefault="006A158B">
      <w:pPr>
        <w:spacing w:before="240" w:after="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5F90D86A"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52CB3625" w14:textId="77777777" w:rsidR="00B1455F" w:rsidRPr="005B57DB" w:rsidRDefault="006A158B">
      <w:pPr>
        <w:spacing w:before="240" w:after="240" w:line="360" w:lineRule="auto"/>
        <w:ind w:right="51"/>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w:t>
      </w:r>
      <w:r w:rsidRPr="005B57DB">
        <w:rPr>
          <w:rFonts w:ascii="Palatino Linotype" w:eastAsia="Palatino Linotype" w:hAnsi="Palatino Linotype" w:cs="Palatino Linotype"/>
        </w:rPr>
        <w:lastRenderedPageBreak/>
        <w:t>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58E908E6"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7F074920" w14:textId="77777777" w:rsidR="00B1455F" w:rsidRPr="005B57DB" w:rsidRDefault="006A158B">
      <w:pPr>
        <w:spacing w:before="240" w:after="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t>Al respecto, es de suma importancia mencionar que, derivado del análisis de las constancias que obran en el expediente electrónico en el que se actúa, se advirtió que la Unidad de Transparencia, turnó la solicitud de información a la Tesorería Municipal como la dependencia competente para conocer de la información que es del interés de la persona solicitante.</w:t>
      </w:r>
    </w:p>
    <w:p w14:paraId="558D4E34" w14:textId="77777777" w:rsidR="00B1455F" w:rsidRPr="005B57DB" w:rsidRDefault="006A158B">
      <w:pPr>
        <w:spacing w:before="240" w:after="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Al respecto, es oportuno mencionar que de conformidad con los artículos 93 y 95, fracciones I y IV de la Ley Orgánica Municipal del Estado de México, la Tesorería Municipal el órgano encargado de la recaudación de los ingresos municipales y </w:t>
      </w:r>
      <w:r w:rsidRPr="005B57DB">
        <w:rPr>
          <w:rFonts w:ascii="Palatino Linotype" w:eastAsia="Palatino Linotype" w:hAnsi="Palatino Linotype" w:cs="Palatino Linotype"/>
          <w:b/>
        </w:rPr>
        <w:t>responsable de realizar las erogaciones</w:t>
      </w:r>
      <w:r w:rsidRPr="005B57DB">
        <w:rPr>
          <w:rFonts w:ascii="Palatino Linotype" w:eastAsia="Palatino Linotype" w:hAnsi="Palatino Linotype" w:cs="Palatino Linotype"/>
        </w:rPr>
        <w:t xml:space="preserve"> que haga el ayuntamiento, así como de </w:t>
      </w:r>
      <w:r w:rsidRPr="005B57DB">
        <w:rPr>
          <w:rFonts w:ascii="Palatino Linotype" w:eastAsia="Palatino Linotype" w:hAnsi="Palatino Linotype" w:cs="Palatino Linotype"/>
        </w:rPr>
        <w:lastRenderedPageBreak/>
        <w:t>administrar la hacienda pública municipal, y llevar los registros contables, financieros y administrativos de los ingresos, egresos, e inventarios.</w:t>
      </w:r>
    </w:p>
    <w:p w14:paraId="28FE0B37"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Por su parte el Bando Municipal de Atlacomulco vigente, establece que la Tesorería Municipal se auxilia de diversas áreas para el desempeño de sus atribuciones, entre las que se encuentra la Coordinación de Nómina, adscrita a la </w:t>
      </w:r>
      <w:proofErr w:type="spellStart"/>
      <w:r w:rsidRPr="005B57DB">
        <w:rPr>
          <w:rFonts w:ascii="Palatino Linotype" w:eastAsia="Palatino Linotype" w:hAnsi="Palatino Linotype" w:cs="Palatino Linotype"/>
        </w:rPr>
        <w:t>Subtesorería</w:t>
      </w:r>
      <w:proofErr w:type="spellEnd"/>
      <w:r w:rsidRPr="005B57DB">
        <w:rPr>
          <w:rFonts w:ascii="Palatino Linotype" w:eastAsia="Palatino Linotype" w:hAnsi="Palatino Linotype" w:cs="Palatino Linotype"/>
        </w:rPr>
        <w:t xml:space="preserve"> de Egresos, Presupuesto, Contabilidad y Cuenta Pública, la cual, de conformidad con el Manual de Organización de la Tesorería Municipal, es responsable de elaborar la nómina quincenal del personal administrativo, operativo, mandos medios y superiores del ayuntamiento, entre cuyas atribuciones se encuentran las siguientes en su parte conducente:</w:t>
      </w:r>
    </w:p>
    <w:p w14:paraId="35010D28" w14:textId="77777777" w:rsidR="00B1455F" w:rsidRPr="005B57DB" w:rsidRDefault="006A158B">
      <w:pPr>
        <w:spacing w:before="240" w:after="240" w:line="360" w:lineRule="auto"/>
        <w:ind w:left="426"/>
        <w:jc w:val="both"/>
        <w:rPr>
          <w:rFonts w:ascii="Palatino Linotype" w:eastAsia="Palatino Linotype" w:hAnsi="Palatino Linotype" w:cs="Palatino Linotype"/>
        </w:rPr>
      </w:pPr>
      <w:r w:rsidRPr="005B57DB">
        <w:rPr>
          <w:rFonts w:ascii="Palatino Linotype" w:eastAsia="Palatino Linotype" w:hAnsi="Palatino Linotype" w:cs="Palatino Linotype"/>
        </w:rPr>
        <w:t>- Aplicar quincenalmente las percepciones a que tenga derecho el personal del ayuntamiento como son: sueldos, gratificaciones, compensaciones, quinquenios, aguinaldo, prima vacacional, primas dominicales, retroactivos, becas y prestaciones sindicales.</w:t>
      </w:r>
    </w:p>
    <w:p w14:paraId="046278A6" w14:textId="77777777" w:rsidR="00B1455F" w:rsidRPr="005B57DB" w:rsidRDefault="006A158B">
      <w:pPr>
        <w:spacing w:before="240" w:after="240" w:line="360" w:lineRule="auto"/>
        <w:ind w:left="426"/>
        <w:jc w:val="both"/>
        <w:rPr>
          <w:rFonts w:ascii="Palatino Linotype" w:eastAsia="Palatino Linotype" w:hAnsi="Palatino Linotype" w:cs="Palatino Linotype"/>
        </w:rPr>
      </w:pPr>
      <w:r w:rsidRPr="005B57DB">
        <w:rPr>
          <w:rFonts w:ascii="Palatino Linotype" w:eastAsia="Palatino Linotype" w:hAnsi="Palatino Linotype" w:cs="Palatino Linotype"/>
        </w:rPr>
        <w:t>- Aplicar quincenalmente las deducciones fiscales y de seguridad social, así como los descuentos del SUTEYM, ISSEMYM, seguros, pensiones alimenticias, y en general descuentos por créditos con las instituciones de crédito y/o consumo con las que se tengan celebrados convenios.</w:t>
      </w:r>
    </w:p>
    <w:p w14:paraId="50BB25DC" w14:textId="77777777" w:rsidR="00B1455F" w:rsidRPr="005B57DB" w:rsidRDefault="006A158B">
      <w:pPr>
        <w:spacing w:before="240" w:after="240" w:line="360" w:lineRule="auto"/>
        <w:ind w:left="426"/>
        <w:jc w:val="both"/>
        <w:rPr>
          <w:rFonts w:ascii="Palatino Linotype" w:eastAsia="Palatino Linotype" w:hAnsi="Palatino Linotype" w:cs="Palatino Linotype"/>
        </w:rPr>
      </w:pPr>
      <w:r w:rsidRPr="005B57DB">
        <w:rPr>
          <w:rFonts w:ascii="Palatino Linotype" w:eastAsia="Palatino Linotype" w:hAnsi="Palatino Linotype" w:cs="Palatino Linotype"/>
        </w:rPr>
        <w:t>- Aplicar las incidencias de nómina que sean remitidas a la Tesorería por la Dirección de Administración mediante oficio para determinar el monto de la nómina quincenal a pagar.</w:t>
      </w:r>
    </w:p>
    <w:p w14:paraId="36A8538C" w14:textId="77777777" w:rsidR="00B1455F" w:rsidRPr="005B57DB" w:rsidRDefault="006A158B">
      <w:pPr>
        <w:spacing w:before="240" w:after="240" w:line="360" w:lineRule="auto"/>
        <w:ind w:left="426"/>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 Realizar el timbrado de nómina, así como el envío de recibos de pago a los correos electrónicos de los trabajadores.</w:t>
      </w:r>
    </w:p>
    <w:p w14:paraId="7299E78A"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En esta línea de pensamiento, se estima que en el presente asunto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w:t>
      </w:r>
    </w:p>
    <w:p w14:paraId="1554967E"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Ahora bien, por lo que se refiere a la materia de la solicitud, es decir, la </w:t>
      </w:r>
      <w:r w:rsidRPr="005B57DB">
        <w:rPr>
          <w:rFonts w:ascii="Palatino Linotype" w:eastAsia="Palatino Linotype" w:hAnsi="Palatino Linotype" w:cs="Palatino Linotype"/>
          <w:i/>
        </w:rPr>
        <w:t>conciliación de nómina</w:t>
      </w:r>
      <w:r w:rsidRPr="005B57DB">
        <w:rPr>
          <w:rFonts w:ascii="Palatino Linotype" w:eastAsia="Palatino Linotype" w:hAnsi="Palatino Linotype" w:cs="Palatino Linotype"/>
        </w:rPr>
        <w:t xml:space="preserve">, debe decirse que es parte de los informes trimestrales que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se encuentra constreñido a entregar al Órgano Superior de Fiscalización del Estado de México, de conformidad con los Lineamientos para la integración, presentación y envío de los informes trimestrales municipales, los cuales establecen el formato mediante el cual debe presentarse la información que integra dichos informes y los instructivos de llenado correspondientes.</w:t>
      </w:r>
    </w:p>
    <w:p w14:paraId="691E0EE7"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En este tenor, de conformidad con los Lineamientos del ejercicio 2024, la información que generan los entes fiscalizables de carácter municipal con motivo de la nómina, se encuentra contenida en el Módulo 4 Información administrativa, Submódulo Nómina (Plataforma Digital), como se muestra a continuación:</w:t>
      </w:r>
    </w:p>
    <w:p w14:paraId="412E976C"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noProof/>
        </w:rPr>
        <w:lastRenderedPageBreak/>
        <w:drawing>
          <wp:inline distT="0" distB="0" distL="0" distR="0" wp14:anchorId="45D5DBE8" wp14:editId="38623B5C">
            <wp:extent cx="5040000" cy="2542242"/>
            <wp:effectExtent l="0" t="0" r="0" b="0"/>
            <wp:docPr id="21401318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040000" cy="2542242"/>
                    </a:xfrm>
                    <a:prstGeom prst="rect">
                      <a:avLst/>
                    </a:prstGeom>
                    <a:ln/>
                  </pic:spPr>
                </pic:pic>
              </a:graphicData>
            </a:graphic>
          </wp:inline>
        </w:drawing>
      </w:r>
    </w:p>
    <w:p w14:paraId="3373EC77"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noProof/>
        </w:rPr>
        <w:drawing>
          <wp:inline distT="0" distB="0" distL="0" distR="0" wp14:anchorId="2B8BF75D" wp14:editId="339D7471">
            <wp:extent cx="5612130" cy="2945130"/>
            <wp:effectExtent l="0" t="0" r="0" b="0"/>
            <wp:docPr id="21401318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b="24051"/>
                    <a:stretch>
                      <a:fillRect/>
                    </a:stretch>
                  </pic:blipFill>
                  <pic:spPr>
                    <a:xfrm>
                      <a:off x="0" y="0"/>
                      <a:ext cx="5612130" cy="2945130"/>
                    </a:xfrm>
                    <a:prstGeom prst="rect">
                      <a:avLst/>
                    </a:prstGeom>
                    <a:ln/>
                  </pic:spPr>
                </pic:pic>
              </a:graphicData>
            </a:graphic>
          </wp:inline>
        </w:drawing>
      </w:r>
      <w:r w:rsidRPr="005B57DB">
        <w:rPr>
          <w:noProof/>
        </w:rPr>
        <mc:AlternateContent>
          <mc:Choice Requires="wpg">
            <w:drawing>
              <wp:anchor distT="0" distB="0" distL="114300" distR="114300" simplePos="0" relativeHeight="251658240" behindDoc="0" locked="0" layoutInCell="1" hidden="0" allowOverlap="1" wp14:anchorId="3A88DBBB" wp14:editId="2F62761E">
                <wp:simplePos x="0" y="0"/>
                <wp:positionH relativeFrom="column">
                  <wp:posOffset>762000</wp:posOffset>
                </wp:positionH>
                <wp:positionV relativeFrom="paragraph">
                  <wp:posOffset>2260600</wp:posOffset>
                </wp:positionV>
                <wp:extent cx="4849368" cy="493644"/>
                <wp:effectExtent l="0" t="0" r="0" b="0"/>
                <wp:wrapNone/>
                <wp:docPr id="2140131839" name="Rectángulo 2140131839"/>
                <wp:cNvGraphicFramePr/>
                <a:graphic xmlns:a="http://schemas.openxmlformats.org/drawingml/2006/main">
                  <a:graphicData uri="http://schemas.microsoft.com/office/word/2010/wordprocessingShape">
                    <wps:wsp>
                      <wps:cNvSpPr/>
                      <wps:spPr>
                        <a:xfrm>
                          <a:off x="2940366" y="3552228"/>
                          <a:ext cx="4811268" cy="455544"/>
                        </a:xfrm>
                        <a:prstGeom prst="rect">
                          <a:avLst/>
                        </a:prstGeom>
                        <a:noFill/>
                        <a:ln w="38100" cap="flat" cmpd="sng">
                          <a:solidFill>
                            <a:srgbClr val="C00000"/>
                          </a:solidFill>
                          <a:prstDash val="solid"/>
                          <a:miter lim="800000"/>
                          <a:headEnd type="none" w="sm" len="sm"/>
                          <a:tailEnd type="none" w="sm" len="sm"/>
                        </a:ln>
                      </wps:spPr>
                      <wps:txbx>
                        <w:txbxContent>
                          <w:p w14:paraId="3730EFE6" w14:textId="77777777" w:rsidR="00B1455F" w:rsidRDefault="00B1455F">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wp:posOffset>
                </wp:positionH>
                <wp:positionV relativeFrom="paragraph">
                  <wp:posOffset>2260600</wp:posOffset>
                </wp:positionV>
                <wp:extent cx="4849368" cy="493644"/>
                <wp:effectExtent b="0" l="0" r="0" t="0"/>
                <wp:wrapNone/>
                <wp:docPr id="2140131839"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849368" cy="493644"/>
                        </a:xfrm>
                        <a:prstGeom prst="rect"/>
                        <a:ln/>
                      </pic:spPr>
                    </pic:pic>
                  </a:graphicData>
                </a:graphic>
              </wp:anchor>
            </w:drawing>
          </mc:Fallback>
        </mc:AlternateContent>
      </w:r>
    </w:p>
    <w:p w14:paraId="01437018" w14:textId="77777777" w:rsidR="00B1455F" w:rsidRPr="005B57DB" w:rsidRDefault="006A158B">
      <w:pPr>
        <w:spacing w:before="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t>La finalidad de la conciliación de nómina consiste en presentar el concentrado mensual, de manera quincenal, de las cifras derivadas de todas las erogaciones realizadas por concepto de remuneraciones al trabajo, registradas en la nómina; las cuales deben de coincidir con las contenidas en los registros contables, por concepto de remuneraciones al trabajo personal.</w:t>
      </w:r>
    </w:p>
    <w:p w14:paraId="132FFA8D" w14:textId="77777777" w:rsidR="00B1455F" w:rsidRPr="005B57DB" w:rsidRDefault="006A158B">
      <w:pPr>
        <w:spacing w:before="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Y, debe presentarse a través de los formatos XLSX y TXT, siendo el primero el siguiente:</w:t>
      </w:r>
    </w:p>
    <w:p w14:paraId="32AB9EAF" w14:textId="77777777" w:rsidR="00B1455F" w:rsidRPr="005B57DB" w:rsidRDefault="006A158B">
      <w:pPr>
        <w:spacing w:before="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noProof/>
        </w:rPr>
        <w:drawing>
          <wp:inline distT="0" distB="0" distL="0" distR="0" wp14:anchorId="6F5A26ED" wp14:editId="70943D9E">
            <wp:extent cx="5612130" cy="6686672"/>
            <wp:effectExtent l="0" t="0" r="0" b="0"/>
            <wp:docPr id="21401318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b="320"/>
                    <a:stretch>
                      <a:fillRect/>
                    </a:stretch>
                  </pic:blipFill>
                  <pic:spPr>
                    <a:xfrm>
                      <a:off x="0" y="0"/>
                      <a:ext cx="5612130" cy="6686672"/>
                    </a:xfrm>
                    <a:prstGeom prst="rect">
                      <a:avLst/>
                    </a:prstGeom>
                    <a:ln/>
                  </pic:spPr>
                </pic:pic>
              </a:graphicData>
            </a:graphic>
          </wp:inline>
        </w:drawing>
      </w:r>
    </w:p>
    <w:p w14:paraId="7CF36C09" w14:textId="77777777" w:rsidR="00B1455F" w:rsidRPr="005B57DB" w:rsidRDefault="006A158B">
      <w:pPr>
        <w:spacing w:before="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Para el llenado de dicho formato se deben observar las siguientes consideraciones:</w:t>
      </w:r>
    </w:p>
    <w:p w14:paraId="21849044" w14:textId="77777777" w:rsidR="00B1455F" w:rsidRPr="005B57DB" w:rsidRDefault="006A158B">
      <w:pPr>
        <w:spacing w:before="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noProof/>
        </w:rPr>
        <w:drawing>
          <wp:inline distT="0" distB="0" distL="0" distR="0" wp14:anchorId="020CC96B" wp14:editId="3F97BA74">
            <wp:extent cx="5612130" cy="1139190"/>
            <wp:effectExtent l="0" t="0" r="0" b="0"/>
            <wp:docPr id="21401318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1139190"/>
                    </a:xfrm>
                    <a:prstGeom prst="rect">
                      <a:avLst/>
                    </a:prstGeom>
                    <a:ln/>
                  </pic:spPr>
                </pic:pic>
              </a:graphicData>
            </a:graphic>
          </wp:inline>
        </w:drawing>
      </w:r>
      <w:r w:rsidRPr="005B57DB">
        <w:rPr>
          <w:rFonts w:ascii="Palatino Linotype" w:eastAsia="Palatino Linotype" w:hAnsi="Palatino Linotype" w:cs="Palatino Linotype"/>
          <w:noProof/>
        </w:rPr>
        <w:drawing>
          <wp:inline distT="0" distB="0" distL="0" distR="0" wp14:anchorId="3AD8D0E8" wp14:editId="2AD319D1">
            <wp:extent cx="5612130" cy="5439272"/>
            <wp:effectExtent l="0" t="0" r="0" b="0"/>
            <wp:docPr id="21401318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b="24830"/>
                    <a:stretch>
                      <a:fillRect/>
                    </a:stretch>
                  </pic:blipFill>
                  <pic:spPr>
                    <a:xfrm>
                      <a:off x="0" y="0"/>
                      <a:ext cx="5612130" cy="5439272"/>
                    </a:xfrm>
                    <a:prstGeom prst="rect">
                      <a:avLst/>
                    </a:prstGeom>
                    <a:ln/>
                  </pic:spPr>
                </pic:pic>
              </a:graphicData>
            </a:graphic>
          </wp:inline>
        </w:drawing>
      </w:r>
    </w:p>
    <w:p w14:paraId="759F4DA7"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noProof/>
        </w:rPr>
        <w:lastRenderedPageBreak/>
        <w:drawing>
          <wp:inline distT="0" distB="0" distL="0" distR="0" wp14:anchorId="7F922FFA" wp14:editId="26478DD9">
            <wp:extent cx="5612130" cy="1725284"/>
            <wp:effectExtent l="0" t="0" r="0" b="0"/>
            <wp:docPr id="21401318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t="76028" b="127"/>
                    <a:stretch>
                      <a:fillRect/>
                    </a:stretch>
                  </pic:blipFill>
                  <pic:spPr>
                    <a:xfrm>
                      <a:off x="0" y="0"/>
                      <a:ext cx="5612130" cy="1725284"/>
                    </a:xfrm>
                    <a:prstGeom prst="rect">
                      <a:avLst/>
                    </a:prstGeom>
                    <a:ln/>
                  </pic:spPr>
                </pic:pic>
              </a:graphicData>
            </a:graphic>
          </wp:inline>
        </w:drawing>
      </w:r>
      <w:r w:rsidRPr="005B57DB">
        <w:rPr>
          <w:rFonts w:ascii="Palatino Linotype" w:eastAsia="Palatino Linotype" w:hAnsi="Palatino Linotype" w:cs="Palatino Linotype"/>
          <w:noProof/>
        </w:rPr>
        <w:drawing>
          <wp:inline distT="0" distB="0" distL="0" distR="0" wp14:anchorId="22197368" wp14:editId="456D31C0">
            <wp:extent cx="5612130" cy="1405255"/>
            <wp:effectExtent l="0" t="0" r="0" b="0"/>
            <wp:docPr id="21401318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612130" cy="1405255"/>
                    </a:xfrm>
                    <a:prstGeom prst="rect">
                      <a:avLst/>
                    </a:prstGeom>
                    <a:ln/>
                  </pic:spPr>
                </pic:pic>
              </a:graphicData>
            </a:graphic>
          </wp:inline>
        </w:drawing>
      </w:r>
      <w:r w:rsidRPr="005B57DB">
        <w:rPr>
          <w:rFonts w:ascii="Palatino Linotype" w:eastAsia="Palatino Linotype" w:hAnsi="Palatino Linotype" w:cs="Palatino Linotype"/>
        </w:rPr>
        <w:t xml:space="preserve">Ahora bien, por lo que se refiere al presente asunto, es de mencionar que el documento proporcionado por la Tesorera Municipal, corresponde con el formato de conciliación de nómina que es remitido por los entes fiscalizables municipales al Órgano Superior de Fiscalización del Estado de México, como parte de los informes trimestrales para dar cumplimiento a sus obligaciones fiscales, lo anterior se afirma a sí toda vez que del análisis realizado por este Organismo Garante, se advirtió que contiene los rubros que se detallan el formato y el instructivo de llenado de los Lineamientos previamente estudiados, siendo estos: Número Progresivo, Número de quincena, Número de empleado, R.F.C, CURP, Número de seguridad social (ISSEMYM), Nombre completo: Apellido Paterno, Apellido Materno, Nombre (s), Fecha de alta, Fecha de baja, Puesto funcional, Nivel y/o rango, No. de horas laboradas, Adscripción, Categoría: Confianza, Sindicalizado o Eventual; Percepciones ordinarias (de acuerdo al tabulador): Dietas, Sueldo base, Sueldo base para personal eventual, Compensación, Gratificación, Otras Percepciones, </w:t>
      </w:r>
      <w:r w:rsidRPr="005B57DB">
        <w:rPr>
          <w:rFonts w:ascii="Palatino Linotype" w:eastAsia="Palatino Linotype" w:hAnsi="Palatino Linotype" w:cs="Palatino Linotype"/>
        </w:rPr>
        <w:lastRenderedPageBreak/>
        <w:t>Aguinaldo, Aguinaldo de eventuales, Prima vacacional; Percepciones extraordinarias (otras percepciones, todas): Liquidaciones e Indemnizaciones (28), Otros pagos por separación/ finiquitos, Otras percepciones extraordinarias, Total de percepciones brutas; Deducciones (todas); I.S.R, Seguridad social, Préstamos, Otras deducciones, Total de deducciones, Total neto, Días pagados, Nombre de la fuente de financiamiento, Póliza: Tipo, número, Concepto, Importe Pagado, y Medio de pago: Nombre de la institución bancaria, No. de cuenta bancaria, Transferencia/ cheque/efectivo, número de cheque y/o número de referencia, e importe, como se ilustra a continuación para mejor referencia:</w:t>
      </w:r>
    </w:p>
    <w:p w14:paraId="7B72EE69"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noProof/>
        </w:rPr>
        <w:drawing>
          <wp:inline distT="0" distB="0" distL="0" distR="0" wp14:anchorId="091A6BD8" wp14:editId="55A7EFD2">
            <wp:extent cx="5612130" cy="496570"/>
            <wp:effectExtent l="0" t="0" r="0" b="0"/>
            <wp:docPr id="214013185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5612130" cy="496570"/>
                    </a:xfrm>
                    <a:prstGeom prst="rect">
                      <a:avLst/>
                    </a:prstGeom>
                    <a:ln/>
                  </pic:spPr>
                </pic:pic>
              </a:graphicData>
            </a:graphic>
          </wp:inline>
        </w:drawing>
      </w:r>
      <w:r w:rsidRPr="005B57DB">
        <w:rPr>
          <w:rFonts w:ascii="Palatino Linotype" w:eastAsia="Palatino Linotype" w:hAnsi="Palatino Linotype" w:cs="Palatino Linotype"/>
        </w:rPr>
        <w:t xml:space="preserve"> </w:t>
      </w:r>
    </w:p>
    <w:p w14:paraId="03311DF8"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noProof/>
        </w:rPr>
        <w:drawing>
          <wp:inline distT="0" distB="0" distL="0" distR="0" wp14:anchorId="26A82787" wp14:editId="1C013086">
            <wp:extent cx="5612130" cy="500380"/>
            <wp:effectExtent l="0" t="0" r="0" b="0"/>
            <wp:docPr id="214013185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612130" cy="500380"/>
                    </a:xfrm>
                    <a:prstGeom prst="rect">
                      <a:avLst/>
                    </a:prstGeom>
                    <a:ln/>
                  </pic:spPr>
                </pic:pic>
              </a:graphicData>
            </a:graphic>
          </wp:inline>
        </w:drawing>
      </w:r>
    </w:p>
    <w:p w14:paraId="0E577542"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noProof/>
        </w:rPr>
        <w:drawing>
          <wp:inline distT="0" distB="0" distL="0" distR="0" wp14:anchorId="74AF4D48" wp14:editId="0434C3BD">
            <wp:extent cx="5612130" cy="558165"/>
            <wp:effectExtent l="0" t="0" r="0" b="0"/>
            <wp:docPr id="214013185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5612130" cy="558165"/>
                    </a:xfrm>
                    <a:prstGeom prst="rect">
                      <a:avLst/>
                    </a:prstGeom>
                    <a:ln/>
                  </pic:spPr>
                </pic:pic>
              </a:graphicData>
            </a:graphic>
          </wp:inline>
        </w:drawing>
      </w:r>
    </w:p>
    <w:p w14:paraId="4C3A275D" w14:textId="77777777" w:rsidR="00B1455F" w:rsidRPr="005B57DB" w:rsidRDefault="006A158B">
      <w:pPr>
        <w:spacing w:before="240" w:after="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Asimismo, es imprescindible mencionar que </w:t>
      </w:r>
      <w:r w:rsidRPr="005B57DB">
        <w:rPr>
          <w:rFonts w:ascii="Palatino Linotype" w:eastAsia="Palatino Linotype" w:hAnsi="Palatino Linotype" w:cs="Palatino Linotype"/>
          <w:b/>
        </w:rPr>
        <w:t xml:space="preserve">la conciliación de nómina remitida, da cuenta de las percepciones y deducciones </w:t>
      </w:r>
      <w:r w:rsidRPr="005B57DB">
        <w:rPr>
          <w:rFonts w:ascii="Palatino Linotype" w:eastAsia="Palatino Linotype" w:hAnsi="Palatino Linotype" w:cs="Palatino Linotype"/>
          <w:b/>
          <w:u w:val="single"/>
        </w:rPr>
        <w:t>de 874 servidores públicos</w:t>
      </w:r>
      <w:r w:rsidRPr="005B57DB">
        <w:rPr>
          <w:rFonts w:ascii="Palatino Linotype" w:eastAsia="Palatino Linotype" w:hAnsi="Palatino Linotype" w:cs="Palatino Linotype"/>
          <w:b/>
        </w:rPr>
        <w:t xml:space="preserve"> adscritos al Sujeto Obligado, </w:t>
      </w:r>
      <w:r w:rsidRPr="005B57DB">
        <w:rPr>
          <w:rFonts w:ascii="Palatino Linotype" w:eastAsia="Palatino Linotype" w:hAnsi="Palatino Linotype" w:cs="Palatino Linotype"/>
        </w:rPr>
        <w:t xml:space="preserve">sin embargo, si bien corresponde con la información solicitada respecto al mes de diciembre de 2024, debe puntualizarse que en dicho documento se testo el R.F.C, CURP, Número de seguridad social (ISSEMYM), Préstamos, Otras deducciones, número de cuenta bancaria, número de cheque y/o número de referencia, así como el nombre completo, puesto funcional así como el nivel y/o </w:t>
      </w:r>
      <w:r w:rsidRPr="005B57DB">
        <w:rPr>
          <w:rFonts w:ascii="Palatino Linotype" w:eastAsia="Palatino Linotype" w:hAnsi="Palatino Linotype" w:cs="Palatino Linotype"/>
        </w:rPr>
        <w:lastRenderedPageBreak/>
        <w:t>rango de los servidores públicos adscritos al área de Comisaria y Tránsito Municipal que desempeñan funciones operativas, cuya clasificación como información confidencial y como información reservada, respectivamente, se aprobó, de acuerdo con lo señalado por el área competente, en la Sexta Sesión Extraordinaria del Comité de Transparencia celebrada el día 14 de febrero de 2025, mediante el acuerdo número ACT/ATLACOMULCO/EXT/CT/6/ACU-NOVENO/2025, no obstante, dicha acta no se localizó dentro de las constancias que obran en expediente electrónico en el que se actúa, por lo que la eliminación de dichos datos no se encuentra debidamente fundada y motivada.</w:t>
      </w:r>
    </w:p>
    <w:p w14:paraId="6E050914"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Al respecto debe decirse que por regla general, toda la información que generen, administren y/o posean los Sujetos Obligados, es considerada información pública, pues al ser entes que ejercen recursos públicos tienen la obligación de rendir cuentas y asumir responsabilidades ante los ciudadanos derivado del ejercicio de sus atribuciones, garantizando así el Derecho humano de acceso a la información pública, sin embargo, dicho derecho puede ser restringido de manera excepcional por razones de interés público, en los términos de las causas legítimas y estrictamente necesarias previstas por la Ley, como se desprende del artículo 91 de la Ley de Transparencia y Acceso a la Información Pública del Estado de México y Municipios, que es del tenor literal siguiente:</w:t>
      </w:r>
    </w:p>
    <w:p w14:paraId="523A2C7D" w14:textId="77777777" w:rsidR="00B1455F" w:rsidRPr="005B57DB" w:rsidRDefault="006A158B">
      <w:pPr>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 xml:space="preserve">“Artículo 91. </w:t>
      </w:r>
      <w:r w:rsidRPr="005B57D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CC9AABA"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Es importante mencionar que la restricción al derecho de acceso a la información implica necesariamente una clasificación la cual debe entenderse como el proceso mediante el cual el Sujeto Obligado determina que la información en su poder, </w:t>
      </w:r>
      <w:r w:rsidRPr="005B57DB">
        <w:rPr>
          <w:rFonts w:ascii="Palatino Linotype" w:eastAsia="Palatino Linotype" w:hAnsi="Palatino Linotype" w:cs="Palatino Linotype"/>
        </w:rPr>
        <w:lastRenderedPageBreak/>
        <w:t>actualiza alguno de los supuestos de reserva o confidencialidad, de conformidad con las normas aplicables.</w:t>
      </w:r>
    </w:p>
    <w:p w14:paraId="7FA769F3" w14:textId="77777777" w:rsidR="00B1455F" w:rsidRPr="005B57DB" w:rsidRDefault="006A158B">
      <w:pPr>
        <w:spacing w:before="240" w:after="240" w:line="360" w:lineRule="auto"/>
        <w:jc w:val="both"/>
        <w:rPr>
          <w:rFonts w:ascii="Palatino Linotype" w:eastAsia="Palatino Linotype" w:hAnsi="Palatino Linotype" w:cs="Palatino Linotype"/>
          <w:sz w:val="18"/>
          <w:szCs w:val="18"/>
        </w:rPr>
      </w:pPr>
      <w:r w:rsidRPr="005B57DB">
        <w:rPr>
          <w:rFonts w:ascii="Palatino Linotype" w:eastAsia="Palatino Linotype" w:hAnsi="Palatino Linotype" w:cs="Palatino Linotype"/>
        </w:rPr>
        <w:t xml:space="preserve">Debe decirse que la Ley de Transparencia y Acceso a la Información Pública del Estado de México y Municipios, define como </w:t>
      </w:r>
      <w:r w:rsidRPr="005B57DB">
        <w:rPr>
          <w:rFonts w:ascii="Palatino Linotype" w:eastAsia="Palatino Linotype" w:hAnsi="Palatino Linotype" w:cs="Palatino Linotype"/>
          <w:b/>
        </w:rPr>
        <w:t xml:space="preserve">información reservada </w:t>
      </w:r>
      <w:r w:rsidRPr="005B57DB">
        <w:rPr>
          <w:rFonts w:ascii="Palatino Linotype" w:eastAsia="Palatino Linotype" w:hAnsi="Palatino Linotype" w:cs="Palatino Linotype"/>
        </w:rPr>
        <w:t xml:space="preserve">a la información pública clasificada con este carácter de manera temporal por las disposiciones de la Ley de la Materia, cuya divulgación puede causar daños a las  seguridad pública, y como </w:t>
      </w:r>
      <w:r w:rsidRPr="005B57DB">
        <w:rPr>
          <w:rFonts w:ascii="Palatino Linotype" w:eastAsia="Palatino Linotype" w:hAnsi="Palatino Linotype" w:cs="Palatino Linotype"/>
          <w:b/>
        </w:rPr>
        <w:t>información confidencial</w:t>
      </w:r>
      <w:r w:rsidRPr="005B57DB">
        <w:rPr>
          <w:rFonts w:ascii="Palatino Linotype" w:eastAsia="Palatino Linotype" w:hAnsi="Palatino Linotype" w:cs="Palatino Linotype"/>
        </w:rPr>
        <w:t>, la relacionada con los secretos bancario, fiduciario, industrial, comercial, fiscal, bursátil y postal, cuya titularidad corresponda a particulares, sujetos de derecho internacional o sujetos obligados cuando no involucren el ejercicio de recursos públicos, así como la información privada contenida en documentos públicos o privados que refiera a la vida privada y/o los datos personales, que no son de acceso público</w:t>
      </w:r>
      <w:r w:rsidRPr="005B57DB">
        <w:rPr>
          <w:rFonts w:ascii="Palatino Linotype" w:eastAsia="Palatino Linotype" w:hAnsi="Palatino Linotype" w:cs="Palatino Linotype"/>
          <w:sz w:val="18"/>
          <w:szCs w:val="18"/>
        </w:rPr>
        <w:t xml:space="preserve">. </w:t>
      </w:r>
    </w:p>
    <w:p w14:paraId="54987AF3"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Por lo que se refiere a la información clasificada como reservada, para que el acceso a la información pública pueda ser restringido, se deben actualizar los supuestos establecidos en el artículo 140 de la Ley de Transparencia y Acceso a la Información Pública del Estado de México y Municipios, que a la letra señala lo siguiente:</w:t>
      </w:r>
    </w:p>
    <w:p w14:paraId="78B196DD" w14:textId="77777777" w:rsidR="00B1455F" w:rsidRPr="005B57DB" w:rsidRDefault="006A158B">
      <w:pPr>
        <w:spacing w:before="120" w:after="120"/>
        <w:ind w:left="851"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Artículo 140</w:t>
      </w:r>
      <w:r w:rsidRPr="005B57DB">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4FF58D47"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w:t>
      </w:r>
      <w:r w:rsidRPr="005B57DB">
        <w:rPr>
          <w:rFonts w:ascii="Palatino Linotype" w:eastAsia="Palatino Linotype" w:hAnsi="Palatino Linotype" w:cs="Palatino Linotype"/>
          <w:i/>
          <w:sz w:val="22"/>
          <w:szCs w:val="22"/>
        </w:rPr>
        <w:t xml:space="preserve">. Comprometa la seguridad pública y cuente con un propósito genuino y un efecto demostrable; </w:t>
      </w:r>
    </w:p>
    <w:p w14:paraId="1A39B356"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w:t>
      </w:r>
      <w:r w:rsidRPr="005B57DB">
        <w:rPr>
          <w:rFonts w:ascii="Palatino Linotype" w:eastAsia="Palatino Linotype" w:hAnsi="Palatino Linotype" w:cs="Palatino Linotype"/>
          <w:i/>
          <w:sz w:val="22"/>
          <w:szCs w:val="22"/>
        </w:rPr>
        <w:t xml:space="preserve"> Pueda menoscabar la conducción de las negociaciones y relaciones internacionales; </w:t>
      </w:r>
    </w:p>
    <w:p w14:paraId="32A1BC37"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III.</w:t>
      </w:r>
      <w:r w:rsidRPr="005B57DB">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w:t>
      </w:r>
      <w:r w:rsidRPr="005B57DB">
        <w:rPr>
          <w:rFonts w:ascii="Palatino Linotype" w:eastAsia="Palatino Linotype" w:hAnsi="Palatino Linotype" w:cs="Palatino Linotype"/>
          <w:i/>
          <w:sz w:val="22"/>
          <w:szCs w:val="22"/>
        </w:rPr>
        <w:lastRenderedPageBreak/>
        <w:t xml:space="preserve">cuando se trate de violaciones graves de derechos humanos o delitos de lesa humanidad de conformidad con el derecho internacional; </w:t>
      </w:r>
    </w:p>
    <w:p w14:paraId="01BE58E2"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IV.</w:t>
      </w:r>
      <w:r w:rsidRPr="005B57DB">
        <w:rPr>
          <w:rFonts w:ascii="Palatino Linotype" w:eastAsia="Palatino Linotype" w:hAnsi="Palatino Linotype" w:cs="Palatino Linotype"/>
          <w:i/>
          <w:sz w:val="22"/>
          <w:szCs w:val="22"/>
        </w:rPr>
        <w:t xml:space="preserve"> Ponga en riesgo la vida, la seguridad o la salud de una persona física; </w:t>
      </w:r>
    </w:p>
    <w:p w14:paraId="7E6493D7"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V</w:t>
      </w:r>
      <w:r w:rsidRPr="005B57DB">
        <w:rPr>
          <w:rFonts w:ascii="Palatino Linotype" w:eastAsia="Palatino Linotype" w:hAnsi="Palatino Linotype" w:cs="Palatino Linotype"/>
          <w:i/>
          <w:sz w:val="22"/>
          <w:szCs w:val="22"/>
        </w:rPr>
        <w:t xml:space="preserve">. Aquella cuya divulgación obstruya o pueda causar un serio perjuicio a: </w:t>
      </w:r>
    </w:p>
    <w:p w14:paraId="738892B8" w14:textId="77777777" w:rsidR="00B1455F" w:rsidRPr="005B57DB" w:rsidRDefault="006A158B">
      <w:pPr>
        <w:spacing w:before="120" w:after="120"/>
        <w:ind w:left="1418"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1. Las actividades de fiscalización, verificación, inspección, comprobación y auditoría sobre el cumplimiento de las Leyes; o </w:t>
      </w:r>
    </w:p>
    <w:p w14:paraId="59719819" w14:textId="77777777" w:rsidR="00B1455F" w:rsidRPr="005B57DB" w:rsidRDefault="006A158B">
      <w:pPr>
        <w:spacing w:before="120" w:after="120"/>
        <w:ind w:left="1418"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2. La recaudación de las contribuciones. </w:t>
      </w:r>
    </w:p>
    <w:p w14:paraId="75E4EFA4"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VI</w:t>
      </w:r>
      <w:r w:rsidRPr="005B57DB">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6ACA4A61"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VII.</w:t>
      </w:r>
      <w:r w:rsidRPr="005B57DB">
        <w:rPr>
          <w:rFonts w:ascii="Palatino Linotype" w:eastAsia="Palatino Linotype" w:hAnsi="Palatino Linotype" w:cs="Palatino Linotype"/>
          <w:i/>
          <w:sz w:val="22"/>
          <w:szCs w:val="22"/>
        </w:rPr>
        <w:t xml:space="preserve"> La que contengan las opiniones, recomendaciones o puntos de vista que formen parte del proceso deliberativo de los servidores públicos, hasta en tanto sea adoptada la decisión definitiva, la cual deberá estar documentada; </w:t>
      </w:r>
    </w:p>
    <w:p w14:paraId="6D946957"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VIII.</w:t>
      </w:r>
      <w:r w:rsidRPr="005B57DB">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quedado firmes; </w:t>
      </w:r>
    </w:p>
    <w:p w14:paraId="719A236A"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IX</w:t>
      </w:r>
      <w:r w:rsidRPr="005B57DB">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414DA09B"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X.</w:t>
      </w:r>
      <w:r w:rsidRPr="005B57DB">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5A1720F7"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44588896" w14:textId="77777777" w:rsidR="00B1455F" w:rsidRPr="005B57DB" w:rsidRDefault="006A158B">
      <w:pPr>
        <w:spacing w:before="120" w:after="120"/>
        <w:ind w:left="1134" w:right="851"/>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XI.</w:t>
      </w:r>
      <w:r w:rsidRPr="005B57DB">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137CA8B4"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Y, en lo que concierne a la información clasificada como confidencial, para que el acceso a la información pública pueda ser restringido, se deben actualizar los supuestos establecidos en el artículo143 de la Ley de Transparencia y Acceso a la Información Pública del Estado de México y Municipios, que a la letra señala lo siguiente:</w:t>
      </w:r>
    </w:p>
    <w:p w14:paraId="3060BC6F"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r w:rsidRPr="005B57DB">
        <w:rPr>
          <w:rFonts w:ascii="Palatino Linotype" w:eastAsia="Palatino Linotype" w:hAnsi="Palatino Linotype" w:cs="Palatino Linotype"/>
          <w:b/>
          <w:i/>
          <w:sz w:val="22"/>
          <w:szCs w:val="22"/>
        </w:rPr>
        <w:t>Artículo 143.</w:t>
      </w:r>
      <w:r w:rsidRPr="005B57DB">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 </w:t>
      </w:r>
    </w:p>
    <w:p w14:paraId="0A29CD43"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w:t>
      </w:r>
      <w:r w:rsidRPr="005B57DB">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 </w:t>
      </w:r>
    </w:p>
    <w:p w14:paraId="00B43C24"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w:t>
      </w:r>
      <w:r w:rsidRPr="005B57DB">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1D73D86B"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III.</w:t>
      </w:r>
      <w:r w:rsidRPr="005B57DB">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 </w:t>
      </w:r>
    </w:p>
    <w:p w14:paraId="00424237"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La información confidencial no estará sujeta a temporalidad alguna y sólo podrán tener acceso a ella los titulares de la misma, sus representantes y los servidores públicos facultados para ello. </w:t>
      </w:r>
    </w:p>
    <w:p w14:paraId="08F2DF95"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8781DAC" w14:textId="77777777" w:rsidR="00B1455F" w:rsidRPr="005B57DB" w:rsidRDefault="006A158B">
      <w:pPr>
        <w:spacing w:before="280" w:after="28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3174B71" w14:textId="77777777" w:rsidR="00B1455F" w:rsidRPr="005B57DB" w:rsidRDefault="006A158B">
      <w:pPr>
        <w:numPr>
          <w:ilvl w:val="0"/>
          <w:numId w:val="6"/>
        </w:numPr>
        <w:tabs>
          <w:tab w:val="left" w:pos="851"/>
        </w:tabs>
        <w:spacing w:before="280" w:line="360" w:lineRule="auto"/>
        <w:ind w:left="567" w:firstLine="0"/>
        <w:jc w:val="both"/>
        <w:rPr>
          <w:rFonts w:ascii="Palatino Linotype" w:eastAsia="Palatino Linotype" w:hAnsi="Palatino Linotype" w:cs="Palatino Linotype"/>
        </w:rPr>
      </w:pPr>
      <w:r w:rsidRPr="005B57DB">
        <w:rPr>
          <w:rFonts w:ascii="Palatino Linotype" w:eastAsia="Palatino Linotype" w:hAnsi="Palatino Linotype" w:cs="Palatino Linotype"/>
        </w:rPr>
        <w:t>Se reciba una solicitud de acceso a la información;</w:t>
      </w:r>
    </w:p>
    <w:p w14:paraId="0FB61FF2" w14:textId="77777777" w:rsidR="00B1455F" w:rsidRPr="005B57DB" w:rsidRDefault="006A158B">
      <w:pPr>
        <w:numPr>
          <w:ilvl w:val="0"/>
          <w:numId w:val="6"/>
        </w:numPr>
        <w:tabs>
          <w:tab w:val="left" w:pos="851"/>
        </w:tabs>
        <w:spacing w:line="360" w:lineRule="auto"/>
        <w:ind w:left="567" w:firstLine="0"/>
        <w:jc w:val="both"/>
        <w:rPr>
          <w:rFonts w:ascii="Palatino Linotype" w:eastAsia="Palatino Linotype" w:hAnsi="Palatino Linotype" w:cs="Palatino Linotype"/>
        </w:rPr>
      </w:pPr>
      <w:r w:rsidRPr="005B57DB">
        <w:rPr>
          <w:rFonts w:ascii="Palatino Linotype" w:eastAsia="Palatino Linotype" w:hAnsi="Palatino Linotype" w:cs="Palatino Linotype"/>
        </w:rPr>
        <w:t>Se determine mediante resolución de autoridad competente; y/o</w:t>
      </w:r>
    </w:p>
    <w:p w14:paraId="58F43DFC" w14:textId="77777777" w:rsidR="00B1455F" w:rsidRPr="005B57DB" w:rsidRDefault="006A158B">
      <w:pPr>
        <w:numPr>
          <w:ilvl w:val="0"/>
          <w:numId w:val="6"/>
        </w:numPr>
        <w:tabs>
          <w:tab w:val="left" w:pos="851"/>
        </w:tabs>
        <w:spacing w:after="280" w:line="360" w:lineRule="auto"/>
        <w:ind w:left="567" w:firstLine="0"/>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Se generen versiones públicas para dar cumplimiento a las obligaciones de transparencia previstas en la Ley.</w:t>
      </w:r>
    </w:p>
    <w:p w14:paraId="2CFAD9CB" w14:textId="77777777" w:rsidR="00B1455F" w:rsidRPr="005B57DB" w:rsidRDefault="006A158B">
      <w:pPr>
        <w:spacing w:before="280" w:after="280" w:line="360" w:lineRule="auto"/>
        <w:ind w:right="51"/>
        <w:jc w:val="both"/>
        <w:rPr>
          <w:rFonts w:ascii="Palatino Linotype" w:eastAsia="Palatino Linotype" w:hAnsi="Palatino Linotype" w:cs="Palatino Linotype"/>
        </w:rPr>
      </w:pPr>
      <w:r w:rsidRPr="005B57DB">
        <w:rPr>
          <w:rFonts w:ascii="Palatino Linotype" w:eastAsia="Palatino Linotype" w:hAnsi="Palatino Linotype" w:cs="Palatino Linotype"/>
        </w:rPr>
        <w:t>En ese sentido, es de precisar que la clasificación de la información no se da por el simple mandato de la Ley, sino que es necesario que los Sujetos Obligados, cuando clasifiquen algún documento o información, ya sea todo o en parte, atiendan lo dispuesto por la Ley de la materia, siendo que dicha clasificación es un trabajo en conjunto tanto de los Servidores Públicos Habilitados, de las Unidades de Transparencia y del Comité de Transparencia de los Sujetos Obligados,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2E821425"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Respecto a la  elaboración de versiones públicas de documentos que contengan datos susceptibles de ser clasificados, los Sujetos Obligados deben observar, además, lo dispuesto en los Lineamientos Generales en Materia de Clasificación y Desclasificación de la Información, así como para la elaboración de Versiones Públicas, vigentes a la fecha de la solicitud, que tienen por objeto establecer los criterios con base en los cuales los sujetos obligados clasificarán como reservada o confidencial la información que posean, desclasificarán y generarán, en su caso, </w:t>
      </w:r>
      <w:r w:rsidRPr="005B57DB">
        <w:rPr>
          <w:rFonts w:ascii="Palatino Linotype" w:eastAsia="Palatino Linotype" w:hAnsi="Palatino Linotype" w:cs="Palatino Linotype"/>
        </w:rPr>
        <w:lastRenderedPageBreak/>
        <w:t>versiones públicas de expedientes o documentos que contengan partes o secciones clasificadas.</w:t>
      </w:r>
    </w:p>
    <w:p w14:paraId="4F4B8949" w14:textId="77777777" w:rsidR="00B1455F" w:rsidRPr="005B57DB" w:rsidRDefault="006A158B">
      <w:pPr>
        <w:spacing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En este tenor, los Lineamientos Quincuagésimo, Quincuagésimo primero, Quincuagésimo segundo, de los Lineamientos Generales en Materia de Clasificación y Desclasificación señalan las formalidades que deberá llevar el acuerdo de clasificación, siendo estas las siguientes:</w:t>
      </w:r>
    </w:p>
    <w:p w14:paraId="1FDE980D"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 xml:space="preserve"> “Quincuagésimo. </w:t>
      </w:r>
      <w:r w:rsidRPr="005B57DB">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97BFF18" w14:textId="77777777" w:rsidR="00B1455F" w:rsidRPr="005B57DB" w:rsidRDefault="006A15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 xml:space="preserve">Quincuagésimo primero. </w:t>
      </w:r>
      <w:r w:rsidRPr="005B57DB">
        <w:rPr>
          <w:rFonts w:ascii="Palatino Linotype" w:eastAsia="Palatino Linotype" w:hAnsi="Palatino Linotype" w:cs="Palatino Linotype"/>
          <w:i/>
          <w:sz w:val="22"/>
          <w:szCs w:val="22"/>
        </w:rPr>
        <w:t xml:space="preserve">Toda acta del Comité de Transparencia deberá contener: </w:t>
      </w:r>
    </w:p>
    <w:p w14:paraId="64F6036C" w14:textId="77777777" w:rsidR="00B1455F" w:rsidRPr="005B57DB" w:rsidRDefault="006A15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w:t>
      </w:r>
      <w:r w:rsidRPr="005B57DB">
        <w:rPr>
          <w:rFonts w:ascii="Palatino Linotype" w:eastAsia="Palatino Linotype" w:hAnsi="Palatino Linotype" w:cs="Palatino Linotype"/>
          <w:i/>
          <w:sz w:val="22"/>
          <w:szCs w:val="22"/>
        </w:rPr>
        <w:t xml:space="preserve"> El número de sesión y fecha; </w:t>
      </w:r>
    </w:p>
    <w:p w14:paraId="4CEE3FEB" w14:textId="77777777" w:rsidR="00B1455F" w:rsidRPr="005B57DB" w:rsidRDefault="006A15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w:t>
      </w:r>
      <w:r w:rsidRPr="005B57DB">
        <w:rPr>
          <w:rFonts w:ascii="Palatino Linotype" w:eastAsia="Palatino Linotype" w:hAnsi="Palatino Linotype" w:cs="Palatino Linotype"/>
          <w:i/>
          <w:sz w:val="22"/>
          <w:szCs w:val="22"/>
        </w:rPr>
        <w:t xml:space="preserve">. El nombre del área que solicitó la clasificación de información; </w:t>
      </w:r>
    </w:p>
    <w:p w14:paraId="6B16F39C" w14:textId="77777777" w:rsidR="00B1455F" w:rsidRPr="005B57DB" w:rsidRDefault="006A15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III</w:t>
      </w:r>
      <w:r w:rsidRPr="005B57DB">
        <w:rPr>
          <w:rFonts w:ascii="Palatino Linotype" w:eastAsia="Palatino Linotype" w:hAnsi="Palatino Linotype" w:cs="Palatino Linotype"/>
          <w:i/>
          <w:sz w:val="22"/>
          <w:szCs w:val="22"/>
        </w:rPr>
        <w:t xml:space="preserve">. La fundamentación legal y motivación correspondiente; </w:t>
      </w:r>
    </w:p>
    <w:p w14:paraId="6A8C8E52" w14:textId="77777777" w:rsidR="00B1455F" w:rsidRPr="005B57DB" w:rsidRDefault="006A15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IV</w:t>
      </w:r>
      <w:r w:rsidRPr="005B57DB">
        <w:rPr>
          <w:rFonts w:ascii="Palatino Linotype" w:eastAsia="Palatino Linotype" w:hAnsi="Palatino Linotype" w:cs="Palatino Linotype"/>
          <w:i/>
          <w:sz w:val="22"/>
          <w:szCs w:val="22"/>
        </w:rPr>
        <w:t xml:space="preserve">. La resolución o resoluciones aprobadas; y </w:t>
      </w:r>
    </w:p>
    <w:p w14:paraId="2D3CDA4C" w14:textId="77777777" w:rsidR="00B1455F" w:rsidRPr="005B57DB" w:rsidRDefault="006A15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V</w:t>
      </w:r>
      <w:r w:rsidRPr="005B57DB">
        <w:rPr>
          <w:rFonts w:ascii="Palatino Linotype" w:eastAsia="Palatino Linotype" w:hAnsi="Palatino Linotype" w:cs="Palatino Linotype"/>
          <w:i/>
          <w:sz w:val="22"/>
          <w:szCs w:val="22"/>
        </w:rPr>
        <w:t xml:space="preserve">. La rúbrica o firma digital de cada integrante del Comité de Transparencia. </w:t>
      </w:r>
    </w:p>
    <w:p w14:paraId="128F6EC7" w14:textId="77777777" w:rsidR="00B1455F" w:rsidRPr="005B57DB" w:rsidRDefault="006A15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399819D" w14:textId="77777777" w:rsidR="00B1455F" w:rsidRPr="005B57DB" w:rsidRDefault="006A15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w:t>
      </w:r>
      <w:r w:rsidRPr="005B57DB">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30E3C26" w14:textId="77777777" w:rsidR="00B1455F" w:rsidRPr="005B57DB" w:rsidRDefault="006A158B">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5B57DB">
        <w:rPr>
          <w:rFonts w:ascii="Palatino Linotype" w:eastAsia="Palatino Linotype" w:hAnsi="Palatino Linotype" w:cs="Palatino Linotype"/>
          <w:b/>
          <w:i/>
          <w:sz w:val="22"/>
          <w:szCs w:val="22"/>
        </w:rPr>
        <w:t>II</w:t>
      </w:r>
      <w:r w:rsidRPr="005B57DB">
        <w:rPr>
          <w:rFonts w:ascii="Palatino Linotype" w:eastAsia="Palatino Linotype" w:hAnsi="Palatino Linotype" w:cs="Palatino Linotype"/>
          <w:i/>
          <w:sz w:val="22"/>
          <w:szCs w:val="22"/>
        </w:rPr>
        <w:t>. Descripción de las partes o secciones reservadas, en caso de clasificación parcial</w:t>
      </w:r>
      <w:r w:rsidRPr="005B57DB">
        <w:rPr>
          <w:rFonts w:ascii="Palatino Linotype" w:eastAsia="Palatino Linotype" w:hAnsi="Palatino Linotype" w:cs="Palatino Linotype"/>
          <w:b/>
          <w:i/>
          <w:sz w:val="22"/>
          <w:szCs w:val="22"/>
        </w:rPr>
        <w:t xml:space="preserve">; </w:t>
      </w:r>
    </w:p>
    <w:p w14:paraId="64266F05" w14:textId="77777777" w:rsidR="00B1455F" w:rsidRPr="005B57DB" w:rsidRDefault="006A15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III.</w:t>
      </w:r>
      <w:r w:rsidRPr="005B57DB">
        <w:rPr>
          <w:rFonts w:ascii="Palatino Linotype" w:eastAsia="Palatino Linotype" w:hAnsi="Palatino Linotype" w:cs="Palatino Linotype"/>
          <w:i/>
          <w:sz w:val="22"/>
          <w:szCs w:val="22"/>
        </w:rPr>
        <w:t xml:space="preserve"> El periodo por el que mantendrá su clasificación y fecha de expiración; y </w:t>
      </w:r>
    </w:p>
    <w:p w14:paraId="317DFE44" w14:textId="77777777" w:rsidR="00B1455F" w:rsidRPr="005B57DB" w:rsidRDefault="006A158B">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IV.</w:t>
      </w:r>
      <w:r w:rsidRPr="005B57DB">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49903C50" w14:textId="77777777" w:rsidR="00B1455F" w:rsidRPr="005B57DB" w:rsidRDefault="006A15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D669916" w14:textId="77777777" w:rsidR="00B1455F" w:rsidRPr="005B57DB" w:rsidRDefault="006A158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240BBA89" w14:textId="77777777" w:rsidR="00B1455F" w:rsidRPr="005B57DB" w:rsidRDefault="006A158B">
      <w:pPr>
        <w:spacing w:before="120" w:after="120"/>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Quincuagésimo segundo</w:t>
      </w:r>
      <w:r w:rsidRPr="005B57DB">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0FFCF91" w14:textId="77777777" w:rsidR="00B1455F" w:rsidRPr="005B57DB" w:rsidRDefault="006A158B">
      <w:pPr>
        <w:spacing w:before="120" w:after="120"/>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En el caso </w:t>
      </w:r>
      <w:proofErr w:type="spellStart"/>
      <w:r w:rsidRPr="005B57DB">
        <w:rPr>
          <w:rFonts w:ascii="Palatino Linotype" w:eastAsia="Palatino Linotype" w:hAnsi="Palatino Linotype" w:cs="Palatino Linotype"/>
          <w:i/>
          <w:sz w:val="22"/>
          <w:szCs w:val="22"/>
        </w:rPr>
        <w:t>especifico</w:t>
      </w:r>
      <w:proofErr w:type="spellEnd"/>
      <w:r w:rsidRPr="005B57DB">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20CAD78D" w14:textId="77777777" w:rsidR="00B1455F" w:rsidRPr="005B57DB" w:rsidRDefault="006A158B">
      <w:pPr>
        <w:spacing w:before="120" w:after="120"/>
        <w:ind w:left="1134"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w:t>
      </w:r>
      <w:r w:rsidRPr="005B57DB">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0BC0907" w14:textId="77777777" w:rsidR="00B1455F" w:rsidRPr="005B57DB" w:rsidRDefault="006A158B">
      <w:pPr>
        <w:spacing w:before="120" w:after="120"/>
        <w:ind w:left="1134"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w:t>
      </w:r>
      <w:r w:rsidRPr="005B57DB">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68B30BFC" w14:textId="77777777" w:rsidR="00B1455F" w:rsidRPr="005B57DB" w:rsidRDefault="006A158B">
      <w:pPr>
        <w:spacing w:before="120" w:after="120"/>
        <w:ind w:left="1134"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III.</w:t>
      </w:r>
      <w:r w:rsidRPr="005B57DB">
        <w:rPr>
          <w:rFonts w:ascii="Palatino Linotype" w:eastAsia="Palatino Linotype" w:hAnsi="Palatino Linotype" w:cs="Palatino Linotype"/>
          <w:i/>
          <w:sz w:val="22"/>
          <w:szCs w:val="22"/>
        </w:rPr>
        <w:t xml:space="preserve"> Señalar las personas o instancias autorizadas a acceder a la información clasificada.</w:t>
      </w:r>
    </w:p>
    <w:p w14:paraId="37DFB676" w14:textId="77777777" w:rsidR="00B1455F" w:rsidRPr="005B57DB" w:rsidRDefault="006A158B">
      <w:pPr>
        <w:spacing w:before="120" w:after="120"/>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C67A6A2"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Asimismo, los Lineamientos Quincuagésimo cuarto, Quincuagésimo quinto, Quincuagésimo sexto, Quincuagésimo séptimo y Quincuagésimo octavo, de los Lineamientos Generales en Materia de Clasificación y Desclasificación, establecen lo siguiente:</w:t>
      </w:r>
    </w:p>
    <w:p w14:paraId="4F705F8E" w14:textId="77777777" w:rsidR="00B1455F" w:rsidRPr="005B57DB" w:rsidRDefault="006A158B">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5B57DB">
        <w:rPr>
          <w:rFonts w:ascii="Palatino Linotype" w:eastAsia="Palatino Linotype" w:hAnsi="Palatino Linotype" w:cs="Palatino Linotype"/>
          <w:i/>
          <w:sz w:val="22"/>
          <w:szCs w:val="22"/>
        </w:rPr>
        <w:t>“</w:t>
      </w:r>
      <w:r w:rsidRPr="005B57DB">
        <w:rPr>
          <w:rFonts w:ascii="Palatino Linotype" w:eastAsia="Palatino Linotype" w:hAnsi="Palatino Linotype" w:cs="Palatino Linotype"/>
          <w:b/>
          <w:i/>
          <w:sz w:val="22"/>
          <w:szCs w:val="22"/>
        </w:rPr>
        <w:t xml:space="preserve">Quincuagésimo cuarto. </w:t>
      </w:r>
      <w:r w:rsidRPr="005B57DB">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5B57DB">
        <w:rPr>
          <w:rFonts w:ascii="Palatino Linotype" w:eastAsia="Palatino Linotype" w:hAnsi="Palatino Linotype" w:cs="Palatino Linotype"/>
          <w:b/>
          <w:i/>
          <w:sz w:val="22"/>
          <w:szCs w:val="22"/>
        </w:rPr>
        <w:t xml:space="preserve"> </w:t>
      </w:r>
    </w:p>
    <w:p w14:paraId="250EA819"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lastRenderedPageBreak/>
        <w:t xml:space="preserve">Quincuagésimo quinto. </w:t>
      </w:r>
      <w:r w:rsidRPr="005B57DB">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5B57DB">
        <w:rPr>
          <w:rFonts w:ascii="Palatino Linotype" w:eastAsia="Palatino Linotype" w:hAnsi="Palatino Linotype" w:cs="Palatino Linotype"/>
          <w:i/>
          <w:sz w:val="22"/>
          <w:szCs w:val="22"/>
        </w:rPr>
        <w:t>testado</w:t>
      </w:r>
      <w:proofErr w:type="spellEnd"/>
      <w:r w:rsidRPr="005B57DB">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E5394EF" w14:textId="77777777" w:rsidR="00B1455F" w:rsidRPr="005B57DB" w:rsidRDefault="006A158B">
      <w:pPr>
        <w:spacing w:before="120" w:after="120"/>
        <w:ind w:left="851" w:right="902"/>
        <w:jc w:val="both"/>
        <w:rPr>
          <w:rFonts w:ascii="Palatino Linotype" w:eastAsia="Palatino Linotype" w:hAnsi="Palatino Linotype" w:cs="Palatino Linotype"/>
          <w:b/>
          <w:i/>
          <w:sz w:val="22"/>
          <w:szCs w:val="22"/>
        </w:rPr>
      </w:pPr>
      <w:r w:rsidRPr="005B57DB">
        <w:rPr>
          <w:rFonts w:ascii="Palatino Linotype" w:eastAsia="Palatino Linotype" w:hAnsi="Palatino Linotype" w:cs="Palatino Linotype"/>
          <w:b/>
          <w:i/>
          <w:sz w:val="22"/>
          <w:szCs w:val="22"/>
        </w:rPr>
        <w:t>...</w:t>
      </w:r>
    </w:p>
    <w:p w14:paraId="2785641A"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Quincuagésimo séptimo</w:t>
      </w:r>
      <w:r w:rsidRPr="005B57DB">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35DF3AA"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w:t>
      </w:r>
      <w:r w:rsidRPr="005B57DB">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6599FC5"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w:t>
      </w:r>
      <w:r w:rsidRPr="005B57DB">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7530855"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III</w:t>
      </w:r>
      <w:r w:rsidRPr="005B57DB">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7736E76"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2616694"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Quincuagésimo octavo</w:t>
      </w:r>
      <w:r w:rsidRPr="005B57DB">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1DA92112"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Por lo tanto, la entrega de documentos en su versión pública </w:t>
      </w:r>
      <w:r w:rsidRPr="005B57DB">
        <w:rPr>
          <w:rFonts w:ascii="Palatino Linotype" w:eastAsia="Palatino Linotype" w:hAnsi="Palatino Linotype" w:cs="Palatino Linotype"/>
          <w:b/>
          <w:u w:val="single"/>
        </w:rPr>
        <w:t>debe acompañarse necesariamente del Acuerdo del Comité de Transparencia</w:t>
      </w:r>
      <w:r w:rsidRPr="005B57DB">
        <w:rPr>
          <w:rFonts w:ascii="Palatino Linotype" w:eastAsia="Palatino Linotype" w:hAnsi="Palatino Linotype" w:cs="Palatino Linotype"/>
        </w:rPr>
        <w:t xml:space="preserve">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w:t>
      </w:r>
      <w:r w:rsidRPr="005B57DB">
        <w:rPr>
          <w:rFonts w:ascii="Palatino Linotype" w:eastAsia="Palatino Linotype" w:hAnsi="Palatino Linotype" w:cs="Palatino Linotype"/>
        </w:rPr>
        <w:lastRenderedPageBreak/>
        <w:t>las causas o motivos por las que no se aprecian determinados datos -ya sea porque se testan o suprimen- deja al solicitante en estado de incertidumbre, al no conocer o comprender porque no aparecen en la documentación respectiva.</w:t>
      </w:r>
    </w:p>
    <w:p w14:paraId="7C667931"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En el caso que se analiza, es imprescindible mencionar que se coincide con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respecto de la clasificación de los datos personales de los servidores públicos, contenidos en la conciliación de nómina, como información confidencial, ya que derivado de su naturaleza estos inciden en su esfera más íntima de privacidad, por lo que actualizan el supuesto previsto en el artículo 143, fracción I de la Ley de Transparencia y Acceso a la Información Pública del Estado de México y Municipios, a saber:</w:t>
      </w:r>
    </w:p>
    <w:p w14:paraId="02443BD9"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rPr>
        <w:t>“</w:t>
      </w:r>
      <w:r w:rsidRPr="005B57DB">
        <w:rPr>
          <w:rFonts w:ascii="Palatino Linotype" w:eastAsia="Palatino Linotype" w:hAnsi="Palatino Linotype" w:cs="Palatino Linotype"/>
          <w:b/>
          <w:i/>
          <w:sz w:val="22"/>
          <w:szCs w:val="22"/>
        </w:rPr>
        <w:t>Artículo 143.</w:t>
      </w:r>
      <w:r w:rsidRPr="005B57DB">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0EB8AECE"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w:t>
      </w:r>
      <w:r w:rsidRPr="005B57DB">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E16C670"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Para esclarecer lo anterior, es preciso recordar  que en el presente asunto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 xml:space="preserve">testó, al momento de la elaboración de la versión pública de  la conciliación de nómina, el </w:t>
      </w:r>
      <w:r w:rsidRPr="005B57DB">
        <w:rPr>
          <w:rFonts w:ascii="Palatino Linotype" w:eastAsia="Palatino Linotype" w:hAnsi="Palatino Linotype" w:cs="Palatino Linotype"/>
          <w:b/>
        </w:rPr>
        <w:t xml:space="preserve">Registro Federal de Contribuyentes, </w:t>
      </w:r>
      <w:r w:rsidRPr="005B57DB">
        <w:rPr>
          <w:rFonts w:ascii="Palatino Linotype" w:eastAsia="Palatino Linotype" w:hAnsi="Palatino Linotype" w:cs="Palatino Linotype"/>
        </w:rPr>
        <w:t xml:space="preserve">RFC, la </w:t>
      </w:r>
      <w:r w:rsidRPr="005B57DB">
        <w:rPr>
          <w:rFonts w:ascii="Palatino Linotype" w:eastAsia="Palatino Linotype" w:hAnsi="Palatino Linotype" w:cs="Palatino Linotype"/>
          <w:b/>
        </w:rPr>
        <w:t xml:space="preserve">Clave Única de Registro de Población, </w:t>
      </w:r>
      <w:r w:rsidRPr="005B57DB">
        <w:rPr>
          <w:rFonts w:ascii="Palatino Linotype" w:eastAsia="Palatino Linotype" w:hAnsi="Palatino Linotype" w:cs="Palatino Linotype"/>
        </w:rPr>
        <w:t xml:space="preserve">CURP, la </w:t>
      </w:r>
      <w:r w:rsidRPr="005B57DB">
        <w:rPr>
          <w:rFonts w:ascii="Palatino Linotype" w:eastAsia="Palatino Linotype" w:hAnsi="Palatino Linotype" w:cs="Palatino Linotype"/>
          <w:b/>
        </w:rPr>
        <w:t>Clave de seguridad social</w:t>
      </w:r>
      <w:r w:rsidRPr="005B57DB">
        <w:rPr>
          <w:rFonts w:ascii="Palatino Linotype" w:eastAsia="Palatino Linotype" w:hAnsi="Palatino Linotype" w:cs="Palatino Linotype"/>
        </w:rPr>
        <w:t xml:space="preserve">, ISSEMYM, los </w:t>
      </w:r>
      <w:r w:rsidRPr="005B57DB">
        <w:rPr>
          <w:rFonts w:ascii="Palatino Linotype" w:eastAsia="Palatino Linotype" w:hAnsi="Palatino Linotype" w:cs="Palatino Linotype"/>
          <w:b/>
        </w:rPr>
        <w:t>números de cuentas bancarias</w:t>
      </w:r>
      <w:r w:rsidRPr="005B57DB">
        <w:rPr>
          <w:rFonts w:ascii="Palatino Linotype" w:eastAsia="Palatino Linotype" w:hAnsi="Palatino Linotype" w:cs="Palatino Linotype"/>
        </w:rPr>
        <w:t xml:space="preserve">, y los </w:t>
      </w:r>
      <w:r w:rsidRPr="005B57DB">
        <w:rPr>
          <w:rFonts w:ascii="Palatino Linotype" w:eastAsia="Palatino Linotype" w:hAnsi="Palatino Linotype" w:cs="Palatino Linotype"/>
          <w:b/>
        </w:rPr>
        <w:t>préstamos o descuentos</w:t>
      </w:r>
      <w:r w:rsidRPr="005B57DB">
        <w:rPr>
          <w:rFonts w:ascii="Palatino Linotype" w:eastAsia="Palatino Linotype" w:hAnsi="Palatino Linotype" w:cs="Palatino Linotype"/>
        </w:rPr>
        <w:t xml:space="preserve"> que se le hagan a la persona y que no tengan relación con los impuestos o la cuota por seguridad social.</w:t>
      </w:r>
    </w:p>
    <w:p w14:paraId="2AC7B0F9"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Por cuanto hace al </w:t>
      </w:r>
      <w:r w:rsidRPr="005B57DB">
        <w:rPr>
          <w:rFonts w:ascii="Palatino Linotype" w:eastAsia="Palatino Linotype" w:hAnsi="Palatino Linotype" w:cs="Palatino Linotype"/>
          <w:b/>
        </w:rPr>
        <w:t>Registro Federal de Contribuyentes, RFC,</w:t>
      </w:r>
      <w:r w:rsidRPr="005B57DB">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5B57DB">
        <w:rPr>
          <w:rFonts w:ascii="Palatino Linotype" w:eastAsia="Palatino Linotype" w:hAnsi="Palatino Linotype" w:cs="Palatino Linotype"/>
        </w:rPr>
        <w:t>homoclave</w:t>
      </w:r>
      <w:proofErr w:type="spellEnd"/>
      <w:r w:rsidRPr="005B57DB">
        <w:rPr>
          <w:rFonts w:ascii="Palatino Linotype" w:eastAsia="Palatino Linotype" w:hAnsi="Palatino Linotype" w:cs="Palatino Linotype"/>
        </w:rPr>
        <w:t xml:space="preserve">, </w:t>
      </w:r>
      <w:r w:rsidRPr="005B57DB">
        <w:rPr>
          <w:rFonts w:ascii="Palatino Linotype" w:eastAsia="Palatino Linotype" w:hAnsi="Palatino Linotype" w:cs="Palatino Linotype"/>
        </w:rPr>
        <w:lastRenderedPageBreak/>
        <w:t>por lo que para su obtención es necesario acreditar ante la autoridad fiscal previamente la identidad de la persona, su fecha de nacimiento, entre otros aspectos.</w:t>
      </w:r>
    </w:p>
    <w:p w14:paraId="49DD04B7"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F0ACC87"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9" w:name="_heading=h.26in1rg" w:colFirst="0" w:colLast="0"/>
      <w:bookmarkEnd w:id="9"/>
      <w:r w:rsidRPr="005B57DB">
        <w:rPr>
          <w:rFonts w:ascii="Palatino Linotype" w:eastAsia="Palatino Linotype" w:hAnsi="Palatino Linotype" w:cs="Palatino Linotype"/>
        </w:rPr>
        <w:t>Lo anterior se apoya del criterio orientador con clave de control SO/019/2017, emitido por el entonces Instituto Nacional de Transparencia, Acceso a la Información y Protección de Datos Personales, INAI, el cual es del tenor literal siguiente:</w:t>
      </w:r>
    </w:p>
    <w:p w14:paraId="1C552E0A"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 xml:space="preserve"> “Registro Federal de Contribuyentes (RFC) de personas físicas</w:t>
      </w:r>
      <w:r w:rsidRPr="005B57DB">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0AD3E4B1"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5B57DB">
        <w:rPr>
          <w:rFonts w:ascii="Palatino Linotype" w:eastAsia="Palatino Linotype" w:hAnsi="Palatino Linotype" w:cs="Palatino Linotype"/>
        </w:rPr>
        <w:t>homoclave</w:t>
      </w:r>
      <w:proofErr w:type="spellEnd"/>
      <w:r w:rsidRPr="005B57DB">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7DF91078"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De igual manera la </w:t>
      </w:r>
      <w:r w:rsidRPr="005B57DB">
        <w:rPr>
          <w:rFonts w:ascii="Palatino Linotype" w:eastAsia="Palatino Linotype" w:hAnsi="Palatino Linotype" w:cs="Palatino Linotype"/>
          <w:b/>
        </w:rPr>
        <w:t>Clave Única de Registro de Población</w:t>
      </w:r>
      <w:r w:rsidRPr="005B57DB">
        <w:rPr>
          <w:rFonts w:ascii="Palatino Linotype" w:eastAsia="Palatino Linotype" w:hAnsi="Palatino Linotype" w:cs="Palatino Linotype"/>
        </w:rPr>
        <w:t xml:space="preserve">, </w:t>
      </w:r>
      <w:r w:rsidRPr="005B57DB">
        <w:rPr>
          <w:rFonts w:ascii="Palatino Linotype" w:eastAsia="Palatino Linotype" w:hAnsi="Palatino Linotype" w:cs="Palatino Linotype"/>
          <w:b/>
        </w:rPr>
        <w:t>CURP,</w:t>
      </w:r>
      <w:r w:rsidRPr="005B57DB">
        <w:rPr>
          <w:rFonts w:ascii="Palatino Linotype" w:eastAsia="Palatino Linotype" w:hAnsi="Palatino Linotype" w:cs="Palatino Linotype"/>
        </w:rPr>
        <w:t xml:space="preserve"> constituye un dato personal, ya que tiene como finalidad registrar a cada una de las personas que </w:t>
      </w:r>
      <w:r w:rsidRPr="005B57DB">
        <w:rPr>
          <w:rFonts w:ascii="Palatino Linotype" w:eastAsia="Palatino Linotype" w:hAnsi="Palatino Linotype" w:cs="Palatino Linotype"/>
        </w:rPr>
        <w:lastRenderedPageBreak/>
        <w:t>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56F9D84F"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Argumento que se apoya del criterio orientador con Clave de control SO/018/2017, emitido por el entonces Instituto Nacional de Transparencia, Acceso a la Información y Protección de Datos Personales, INAI, el cual refiere:</w:t>
      </w:r>
    </w:p>
    <w:p w14:paraId="49EC2D55" w14:textId="77777777" w:rsidR="00B1455F" w:rsidRPr="005B57DB" w:rsidRDefault="006A158B">
      <w:pPr>
        <w:spacing w:before="120" w:after="120"/>
        <w:ind w:left="851" w:right="902"/>
        <w:jc w:val="both"/>
        <w:rPr>
          <w:rFonts w:ascii="Palatino Linotype" w:eastAsia="Palatino Linotype" w:hAnsi="Palatino Linotype" w:cs="Palatino Linotype"/>
          <w:i/>
        </w:rPr>
      </w:pPr>
      <w:r w:rsidRPr="005B57DB">
        <w:rPr>
          <w:rFonts w:ascii="Palatino Linotype" w:eastAsia="Palatino Linotype" w:hAnsi="Palatino Linotype" w:cs="Palatino Linotype"/>
          <w:b/>
          <w:i/>
        </w:rPr>
        <w:t xml:space="preserve"> </w:t>
      </w:r>
      <w:r w:rsidRPr="005B57DB">
        <w:rPr>
          <w:rFonts w:ascii="Palatino Linotype" w:eastAsia="Palatino Linotype" w:hAnsi="Palatino Linotype" w:cs="Palatino Linotype"/>
          <w:b/>
          <w:i/>
          <w:sz w:val="22"/>
          <w:szCs w:val="22"/>
        </w:rPr>
        <w:t xml:space="preserve">“Clave Única de Registro de Población (CURP). </w:t>
      </w:r>
      <w:r w:rsidRPr="005B57DB">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493FF88"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Por lo que respecta a la </w:t>
      </w:r>
      <w:r w:rsidRPr="005B57DB">
        <w:rPr>
          <w:rFonts w:ascii="Palatino Linotype" w:eastAsia="Palatino Linotype" w:hAnsi="Palatino Linotype" w:cs="Palatino Linotype"/>
          <w:b/>
        </w:rPr>
        <w:t>clave de seguridad social</w:t>
      </w:r>
      <w:r w:rsidRPr="005B57DB">
        <w:rPr>
          <w:rFonts w:ascii="Palatino Linotype" w:eastAsia="Palatino Linotype" w:hAnsi="Palatino Linotype" w:cs="Palatino Linotype"/>
        </w:rPr>
        <w:t>, en virtud de que su divulgación no aporta a la transparencia o a la rendición de cuentas y sí provoca una transgresión a la vida privada e intimidad de la persona, esta información también resulta ser de carácter confidencial.</w:t>
      </w:r>
    </w:p>
    <w:p w14:paraId="3CBEBC3A"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Respecto de los </w:t>
      </w:r>
      <w:r w:rsidRPr="005B57DB">
        <w:rPr>
          <w:rFonts w:ascii="Palatino Linotype" w:eastAsia="Palatino Linotype" w:hAnsi="Palatino Linotype" w:cs="Palatino Linotype"/>
          <w:b/>
        </w:rPr>
        <w:t>números de cuentas bancari</w:t>
      </w:r>
      <w:r w:rsidRPr="005B57DB">
        <w:rPr>
          <w:rFonts w:ascii="Palatino Linotype" w:eastAsia="Palatino Linotype" w:hAnsi="Palatino Linotype" w:cs="Palatino Linotype"/>
        </w:rPr>
        <w:t xml:space="preserve">as, </w:t>
      </w:r>
      <w:r w:rsidRPr="005B57DB">
        <w:rPr>
          <w:rFonts w:ascii="Palatino Linotype" w:eastAsia="Palatino Linotype" w:hAnsi="Palatino Linotype" w:cs="Palatino Linotype"/>
          <w:b/>
        </w:rPr>
        <w:t>claves estandarizadas –interbancarias- (CLABES) y de tarjetas</w:t>
      </w:r>
      <w:r w:rsidRPr="005B57DB">
        <w:rPr>
          <w:rFonts w:ascii="Palatino Linotype" w:eastAsia="Palatino Linotype" w:hAnsi="Palatino Linotype" w:cs="Palatino Linotype"/>
        </w:rPr>
        <w:t>, el Pleno de este Instituto ha determinado que esa información debe clasificarse como confidencial, y elaborarse una versión pública en la que se teste la misma.</w:t>
      </w:r>
    </w:p>
    <w:p w14:paraId="7C47E345"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6CE6C4FA"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6C1F8ED9"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11B8078E"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5C069BA4"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Lo argumentado se apoya de los criterios orientadores con claves de control SO/010/2017 y SO/011/2017, emitidos por el entonces Instituto Nacional de Transparencia, Acceso a la Información y Protección de Datos Personales, INAI, que llevan por rubro y texto los siguientes:</w:t>
      </w:r>
    </w:p>
    <w:p w14:paraId="048DC03E"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r w:rsidRPr="005B57DB">
        <w:rPr>
          <w:rFonts w:ascii="Palatino Linotype" w:eastAsia="Palatino Linotype" w:hAnsi="Palatino Linotype" w:cs="Palatino Linotype"/>
          <w:b/>
          <w:i/>
          <w:sz w:val="22"/>
          <w:szCs w:val="22"/>
        </w:rPr>
        <w:t>Cuentas bancarias y/o CLABE interbancaria de personas físicas y morales privadas.</w:t>
      </w:r>
      <w:r w:rsidRPr="005B57DB">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w:t>
      </w:r>
      <w:r w:rsidRPr="005B57DB">
        <w:rPr>
          <w:rFonts w:ascii="Palatino Linotype" w:eastAsia="Palatino Linotype" w:hAnsi="Palatino Linotype" w:cs="Palatino Linotype"/>
          <w:i/>
          <w:sz w:val="22"/>
          <w:szCs w:val="22"/>
        </w:rPr>
        <w:lastRenderedPageBreak/>
        <w:t>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D14BFF2"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5B57DB">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30149450"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10" w:name="_heading=h.35nkun2" w:colFirst="0" w:colLast="0"/>
      <w:bookmarkEnd w:id="10"/>
      <w:r w:rsidRPr="005B57DB">
        <w:rPr>
          <w:rFonts w:ascii="Palatino Linotype" w:eastAsia="Palatino Linotype" w:hAnsi="Palatino Linotype" w:cs="Palatino Linotype"/>
        </w:rPr>
        <w:t xml:space="preserve">Por cuanto hace a los </w:t>
      </w:r>
      <w:r w:rsidRPr="005B57DB">
        <w:rPr>
          <w:rFonts w:ascii="Palatino Linotype" w:eastAsia="Palatino Linotype" w:hAnsi="Palatino Linotype" w:cs="Palatino Linotype"/>
          <w:b/>
        </w:rPr>
        <w:t>préstamos o descuentos de carácter personal</w:t>
      </w:r>
      <w:r w:rsidRPr="005B57DB">
        <w:rPr>
          <w:rFonts w:ascii="Palatino Linotype" w:eastAsia="Palatino Linotype" w:hAnsi="Palatino Linotype" w:cs="Palatino Linotype"/>
        </w:rPr>
        <w:t>, en virtud de no tener relación con la prestación del servicio y al no involucrar instituciones públicas, se consideran datos confidenciales.</w:t>
      </w:r>
    </w:p>
    <w:p w14:paraId="208A7C09"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Para entender los límites y alcances de esta restricción, es oportuno recurrir al artículo 84 de la Ley del Trabajo de los Servidores Públicos del Estado y Municipios:</w:t>
      </w:r>
    </w:p>
    <w:p w14:paraId="7BC516DE" w14:textId="77777777" w:rsidR="00B1455F" w:rsidRPr="005B57DB" w:rsidRDefault="006A158B">
      <w:pPr>
        <w:spacing w:before="120" w:after="120"/>
        <w:ind w:left="851" w:right="902"/>
        <w:jc w:val="both"/>
        <w:rPr>
          <w:rFonts w:ascii="Palatino Linotype" w:eastAsia="Palatino Linotype" w:hAnsi="Palatino Linotype" w:cs="Palatino Linotype"/>
          <w:b/>
          <w:i/>
          <w:sz w:val="22"/>
          <w:szCs w:val="22"/>
        </w:rPr>
      </w:pPr>
      <w:bookmarkStart w:id="11" w:name="_heading=h.1ksv4uv" w:colFirst="0" w:colLast="0"/>
      <w:bookmarkEnd w:id="11"/>
      <w:r w:rsidRPr="005B57DB">
        <w:rPr>
          <w:rFonts w:ascii="Palatino Linotype" w:eastAsia="Palatino Linotype" w:hAnsi="Palatino Linotype" w:cs="Palatino Linotype"/>
          <w:b/>
          <w:i/>
          <w:sz w:val="22"/>
          <w:szCs w:val="22"/>
        </w:rPr>
        <w:t xml:space="preserve">“ARTÍCULO 84. </w:t>
      </w:r>
      <w:r w:rsidRPr="005B57DB">
        <w:rPr>
          <w:rFonts w:ascii="Palatino Linotype" w:eastAsia="Palatino Linotype" w:hAnsi="Palatino Linotype" w:cs="Palatino Linotype"/>
          <w:i/>
          <w:sz w:val="22"/>
          <w:szCs w:val="22"/>
        </w:rPr>
        <w:t>Sólo podrán hacerse retenciones, descuentos o deducciones al sueldo de los servidores públicos por concepto de:</w:t>
      </w:r>
    </w:p>
    <w:p w14:paraId="530B4C4A"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w:t>
      </w:r>
      <w:r w:rsidRPr="005B57DB">
        <w:rPr>
          <w:rFonts w:ascii="Palatino Linotype" w:eastAsia="Palatino Linotype" w:hAnsi="Palatino Linotype" w:cs="Palatino Linotype"/>
          <w:i/>
          <w:sz w:val="22"/>
          <w:szCs w:val="22"/>
        </w:rPr>
        <w:t xml:space="preserve"> Gravámenes fiscales relacionados con el sueldo;</w:t>
      </w:r>
    </w:p>
    <w:p w14:paraId="737AA6A5"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w:t>
      </w:r>
      <w:r w:rsidRPr="005B57DB">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w:t>
      </w:r>
    </w:p>
    <w:p w14:paraId="4357FA22"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III.</w:t>
      </w:r>
      <w:r w:rsidRPr="005B57DB">
        <w:rPr>
          <w:rFonts w:ascii="Palatino Linotype" w:eastAsia="Palatino Linotype" w:hAnsi="Palatino Linotype" w:cs="Palatino Linotype"/>
          <w:i/>
          <w:sz w:val="22"/>
          <w:szCs w:val="22"/>
        </w:rPr>
        <w:t xml:space="preserve"> </w:t>
      </w:r>
      <w:r w:rsidRPr="005B57DB">
        <w:rPr>
          <w:rFonts w:ascii="Palatino Linotype" w:eastAsia="Palatino Linotype" w:hAnsi="Palatino Linotype" w:cs="Palatino Linotype"/>
          <w:b/>
          <w:i/>
          <w:sz w:val="22"/>
          <w:szCs w:val="22"/>
        </w:rPr>
        <w:t>Cuotas sindicales</w:t>
      </w:r>
      <w:r w:rsidRPr="005B57DB">
        <w:rPr>
          <w:rFonts w:ascii="Palatino Linotype" w:eastAsia="Palatino Linotype" w:hAnsi="Palatino Linotype" w:cs="Palatino Linotype"/>
          <w:i/>
          <w:sz w:val="22"/>
          <w:szCs w:val="22"/>
        </w:rPr>
        <w:t>;</w:t>
      </w:r>
    </w:p>
    <w:p w14:paraId="2123BD4D"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IV.</w:t>
      </w:r>
      <w:r w:rsidRPr="005B57DB">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w:t>
      </w:r>
    </w:p>
    <w:p w14:paraId="7321E95E"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V.</w:t>
      </w:r>
      <w:r w:rsidRPr="005B57DB">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w:t>
      </w:r>
    </w:p>
    <w:p w14:paraId="7702B667"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VI.</w:t>
      </w:r>
      <w:r w:rsidRPr="005B57DB">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w:t>
      </w:r>
    </w:p>
    <w:p w14:paraId="3E1C85FA"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lastRenderedPageBreak/>
        <w:t>VII.</w:t>
      </w:r>
      <w:r w:rsidRPr="005B57DB">
        <w:rPr>
          <w:rFonts w:ascii="Palatino Linotype" w:eastAsia="Palatino Linotype" w:hAnsi="Palatino Linotype" w:cs="Palatino Linotype"/>
          <w:i/>
          <w:sz w:val="22"/>
          <w:szCs w:val="22"/>
        </w:rPr>
        <w:t xml:space="preserve"> Faltas de puntualidad o de asistencia injustificadas;</w:t>
      </w:r>
    </w:p>
    <w:p w14:paraId="674CABB3" w14:textId="77777777" w:rsidR="00B1455F" w:rsidRPr="005B57DB" w:rsidRDefault="006A158B">
      <w:pPr>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VIII. Pensiones alimenticias ordenadas por la autoridad judicial;</w:t>
      </w:r>
      <w:r w:rsidRPr="005B57DB">
        <w:rPr>
          <w:rFonts w:ascii="Palatino Linotype" w:eastAsia="Palatino Linotype" w:hAnsi="Palatino Linotype" w:cs="Palatino Linotype"/>
          <w:i/>
          <w:sz w:val="22"/>
          <w:szCs w:val="22"/>
        </w:rPr>
        <w:t xml:space="preserve"> o</w:t>
      </w:r>
    </w:p>
    <w:p w14:paraId="0363D0BE" w14:textId="77777777" w:rsidR="00B1455F" w:rsidRPr="005B57DB" w:rsidRDefault="006A158B">
      <w:pPr>
        <w:spacing w:before="120" w:after="120"/>
        <w:ind w:left="1134" w:right="902"/>
        <w:jc w:val="both"/>
        <w:rPr>
          <w:rFonts w:ascii="Palatino Linotype" w:eastAsia="Palatino Linotype" w:hAnsi="Palatino Linotype" w:cs="Palatino Linotype"/>
          <w:b/>
          <w:i/>
          <w:sz w:val="22"/>
          <w:szCs w:val="22"/>
        </w:rPr>
      </w:pPr>
      <w:r w:rsidRPr="005B57DB">
        <w:rPr>
          <w:rFonts w:ascii="Palatino Linotype" w:eastAsia="Palatino Linotype" w:hAnsi="Palatino Linotype" w:cs="Palatino Linotype"/>
          <w:b/>
          <w:i/>
          <w:sz w:val="22"/>
          <w:szCs w:val="22"/>
        </w:rPr>
        <w:t>IX. Cualquier otro convenido con instituciones de servicios y aceptado por el servidor público.</w:t>
      </w:r>
    </w:p>
    <w:p w14:paraId="274BACEA"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1D356713"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24C0041E"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De este modo, los </w:t>
      </w:r>
      <w:r w:rsidRPr="005B57DB">
        <w:rPr>
          <w:rFonts w:ascii="Palatino Linotype" w:eastAsia="Palatino Linotype" w:hAnsi="Palatino Linotype" w:cs="Palatino Linotype"/>
          <w:b/>
        </w:rPr>
        <w:t>descuentos o deducciones por cuotas sindicales</w:t>
      </w:r>
      <w:r w:rsidRPr="005B57DB">
        <w:rPr>
          <w:rFonts w:ascii="Palatino Linotype" w:eastAsia="Palatino Linotype" w:hAnsi="Palatino Linotype" w:cs="Palatino Linotype"/>
        </w:rPr>
        <w:t xml:space="preserve">, </w:t>
      </w:r>
      <w:r w:rsidRPr="005B57DB">
        <w:rPr>
          <w:rFonts w:ascii="Palatino Linotype" w:eastAsia="Palatino Linotype" w:hAnsi="Palatino Linotype" w:cs="Palatino Linotype"/>
          <w:b/>
        </w:rPr>
        <w:t>pensiones alimenticias</w:t>
      </w:r>
      <w:r w:rsidRPr="005B57DB">
        <w:rPr>
          <w:rFonts w:ascii="Palatino Linotype" w:eastAsia="Palatino Linotype" w:hAnsi="Palatino Linotype" w:cs="Palatino Linotype"/>
        </w:rPr>
        <w:t xml:space="preserve"> o </w:t>
      </w:r>
      <w:r w:rsidRPr="005B57DB">
        <w:rPr>
          <w:rFonts w:ascii="Palatino Linotype" w:eastAsia="Palatino Linotype" w:hAnsi="Palatino Linotype" w:cs="Palatino Linotype"/>
          <w:b/>
        </w:rPr>
        <w:t>créditos adquiridos con instituciones privadas</w:t>
      </w:r>
      <w:r w:rsidRPr="005B57DB">
        <w:rPr>
          <w:rFonts w:ascii="Palatino Linotype" w:eastAsia="Palatino Linotype" w:hAnsi="Palatino Linotype" w:cs="Palatino Linotype"/>
        </w:rPr>
        <w:t xml:space="preserve">, entre otros que no se relacionen con el gasto público, al revelar parte de las decisiones que adopta una persona respecto del uso y destino de su remuneración salarial, lo cual incide en la manera en que se integra su patrimonio, </w:t>
      </w:r>
      <w:r w:rsidRPr="005B57DB">
        <w:rPr>
          <w:rFonts w:ascii="Palatino Linotype" w:eastAsia="Palatino Linotype" w:hAnsi="Palatino Linotype" w:cs="Palatino Linotype"/>
          <w:b/>
        </w:rPr>
        <w:t>es información que no es de carácter público, sino que constituye información confidencial</w:t>
      </w:r>
      <w:r w:rsidRPr="005B57DB">
        <w:rPr>
          <w:rFonts w:ascii="Palatino Linotype" w:eastAsia="Palatino Linotype" w:hAnsi="Palatino Linotype" w:cs="Palatino Linotype"/>
        </w:rPr>
        <w:t xml:space="preserve"> en virtud de que corresponde con decisiones personales, y por tanto, se debe clasificar.</w:t>
      </w:r>
    </w:p>
    <w:p w14:paraId="756ABFEC"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Las claves y conceptos de los descuentos personales guardan también la misma naturaleza que los importes, ya que, al hacerse públicas, es posible inferir que cierto servidor público tiene determinada deducción personal, misma que se relaciona con su esfera más íntima de privacidad, asimismo, en aquellos casos en los que sólo se </w:t>
      </w:r>
      <w:r w:rsidRPr="005B57DB">
        <w:rPr>
          <w:rFonts w:ascii="Palatino Linotype" w:eastAsia="Palatino Linotype" w:hAnsi="Palatino Linotype" w:cs="Palatino Linotype"/>
        </w:rPr>
        <w:lastRenderedPageBreak/>
        <w:t>tenga una deducción, inclusive es posible deducir el importe de la misma, derivado de los cálculos que se hagan respecto al sueldo bruto y sueldo neto.</w:t>
      </w:r>
    </w:p>
    <w:p w14:paraId="1B51B673"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En conclusión, la información relacionada con los préstamos o descuentos de carácter personal, en virtud de no tener relación con la prestación del servicio y al no involucrar instituciones públicas, se consideran datos confidenciales.</w:t>
      </w:r>
    </w:p>
    <w:p w14:paraId="28D11B0B"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De igual forma, se coincide con la clasificación del </w:t>
      </w:r>
      <w:r w:rsidRPr="005B57DB">
        <w:rPr>
          <w:rFonts w:ascii="Palatino Linotype" w:eastAsia="Palatino Linotype" w:hAnsi="Palatino Linotype" w:cs="Palatino Linotype"/>
          <w:b/>
        </w:rPr>
        <w:t>nombre completo de los servidores públicos adscritos a la Comisaria y Tránsito Municipal que</w:t>
      </w:r>
      <w:r w:rsidRPr="005B57DB">
        <w:rPr>
          <w:rFonts w:ascii="Palatino Linotype" w:eastAsia="Palatino Linotype" w:hAnsi="Palatino Linotype" w:cs="Palatino Linotype"/>
        </w:rPr>
        <w:t xml:space="preserve"> </w:t>
      </w:r>
      <w:r w:rsidRPr="005B57DB">
        <w:rPr>
          <w:rFonts w:ascii="Palatino Linotype" w:eastAsia="Palatino Linotype" w:hAnsi="Palatino Linotype" w:cs="Palatino Linotype"/>
          <w:b/>
          <w:u w:val="single"/>
        </w:rPr>
        <w:t>desempeñan funciones operativas,</w:t>
      </w:r>
      <w:r w:rsidRPr="005B57DB">
        <w:rPr>
          <w:rFonts w:ascii="Palatino Linotype" w:eastAsia="Palatino Linotype" w:hAnsi="Palatino Linotype" w:cs="Palatino Linotype"/>
        </w:rPr>
        <w:t xml:space="preserve"> como información reservada, en el entendido de que la difusión de dicha información pudiera poner en riesgo su vida, salud y seguridad, derivado de las funciones que les son encomendadas en términos del artículo 21 párrafo noveno de la Constitución Política de los Estados Unidos Mexicanos, las cuales comprenden, la prevención de los delitos, investigación y persecución, entre otras, encuadrando dicha información en el supuesto de clasificación previsto en el artículo 140, fracción IV de la Ley de Transparencia Local, sin embargo, no debe perderse de vista que en el presente asunto se testó también, el </w:t>
      </w:r>
      <w:r w:rsidRPr="005B57DB">
        <w:rPr>
          <w:rFonts w:ascii="Palatino Linotype" w:eastAsia="Palatino Linotype" w:hAnsi="Palatino Linotype" w:cs="Palatino Linotype"/>
          <w:b/>
          <w:u w:val="single"/>
        </w:rPr>
        <w:t>puesto funcional y el nivel y/o rango</w:t>
      </w:r>
      <w:r w:rsidRPr="005B57DB">
        <w:rPr>
          <w:rFonts w:ascii="Palatino Linotype" w:eastAsia="Palatino Linotype" w:hAnsi="Palatino Linotype" w:cs="Palatino Linotype"/>
        </w:rPr>
        <w:t xml:space="preserve"> de dichos servidores públicos, </w:t>
      </w:r>
      <w:r w:rsidRPr="005B57DB">
        <w:rPr>
          <w:rFonts w:ascii="Palatino Linotype" w:eastAsia="Palatino Linotype" w:hAnsi="Palatino Linotype" w:cs="Palatino Linotype"/>
          <w:b/>
          <w:u w:val="single"/>
        </w:rPr>
        <w:t xml:space="preserve">sin que dicha información actualice alguno de los supuestos de clasificación previstos en la norma. </w:t>
      </w:r>
    </w:p>
    <w:p w14:paraId="7907307C" w14:textId="77777777" w:rsidR="00B1455F" w:rsidRPr="005B57DB" w:rsidRDefault="006A158B">
      <w:pPr>
        <w:spacing w:before="240" w:after="240" w:line="360" w:lineRule="auto"/>
        <w:jc w:val="both"/>
        <w:rPr>
          <w:rFonts w:ascii="Palatino Linotype" w:eastAsia="Palatino Linotype" w:hAnsi="Palatino Linotype" w:cs="Palatino Linotype"/>
          <w:b/>
        </w:rPr>
      </w:pPr>
      <w:r w:rsidRPr="005B57DB">
        <w:rPr>
          <w:rFonts w:ascii="Palatino Linotype" w:eastAsia="Palatino Linotype" w:hAnsi="Palatino Linotype" w:cs="Palatino Linotype"/>
        </w:rPr>
        <w:t xml:space="preserve">Como sustento de lo anterior, es preciso mencionar que el </w:t>
      </w:r>
      <w:r w:rsidRPr="005B57DB">
        <w:rPr>
          <w:rFonts w:ascii="Palatino Linotype" w:eastAsia="Palatino Linotype" w:hAnsi="Palatino Linotype" w:cs="Palatino Linotype"/>
          <w:b/>
        </w:rPr>
        <w:t xml:space="preserve">actual Pleno de este Instituto ha sostenido el criterio de no dar a conocer los nombres de aquellos servidores públicos que realizan funciones operativas en materia de seguridad pública, </w:t>
      </w:r>
      <w:r w:rsidRPr="005B57DB">
        <w:rPr>
          <w:rFonts w:ascii="Palatino Linotype" w:eastAsia="Palatino Linotype" w:hAnsi="Palatino Linotype" w:cs="Palatino Linotype"/>
        </w:rPr>
        <w:t xml:space="preserve">pues los vuelve identificables y posiblemente reconocibles para grupos delictivos, que pudieran relacionarlos directamente con actividades u operativos </w:t>
      </w:r>
      <w:r w:rsidRPr="005B57DB">
        <w:rPr>
          <w:rFonts w:ascii="Palatino Linotype" w:eastAsia="Palatino Linotype" w:hAnsi="Palatino Linotype" w:cs="Palatino Linotype"/>
        </w:rPr>
        <w:lastRenderedPageBreak/>
        <w:t xml:space="preserve">pasados, presentes o ubicarlos simplemente por el hecho de pertenecer a una organización que lleva a cabo actividades de prevención y salvaguarda de la integridad de las personas en el combate a la delincuencia; así, dicha información puede ser utilizada para </w:t>
      </w:r>
      <w:r w:rsidRPr="005B57DB">
        <w:rPr>
          <w:rFonts w:ascii="Palatino Linotype" w:eastAsia="Palatino Linotype" w:hAnsi="Palatino Linotype" w:cs="Palatino Linotype"/>
          <w:b/>
        </w:rPr>
        <w:t xml:space="preserve">vulnerar la vida, seguridad o salud de dichos elementos, incluso la de sus familias o entorno social. </w:t>
      </w:r>
    </w:p>
    <w:p w14:paraId="23DC0DCB"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En ese orden de ideas, el</w:t>
      </w:r>
      <w:r w:rsidRPr="005B57DB">
        <w:rPr>
          <w:rFonts w:ascii="Palatino Linotype" w:eastAsia="Palatino Linotype" w:hAnsi="Palatino Linotype" w:cs="Palatino Linotype"/>
          <w:b/>
        </w:rPr>
        <w:t xml:space="preserve"> </w:t>
      </w:r>
      <w:r w:rsidRPr="005B57DB">
        <w:rPr>
          <w:rFonts w:ascii="Palatino Linotype" w:eastAsia="Palatino Linotype" w:hAnsi="Palatino Linotype" w:cs="Palatino Linotype"/>
        </w:rPr>
        <w:t>artículo 140, fracción IV, de la Ley de Transparencia y Acceso a la Información Pública del Estado de México y Municipios prevé lo siguiente:</w:t>
      </w:r>
    </w:p>
    <w:p w14:paraId="4C09EB41" w14:textId="77777777" w:rsidR="00B1455F" w:rsidRPr="005B57DB" w:rsidRDefault="006A158B">
      <w:pPr>
        <w:tabs>
          <w:tab w:val="left" w:pos="4962"/>
        </w:tabs>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r w:rsidRPr="005B57DB">
        <w:rPr>
          <w:rFonts w:ascii="Palatino Linotype" w:eastAsia="Palatino Linotype" w:hAnsi="Palatino Linotype" w:cs="Palatino Linotype"/>
          <w:b/>
          <w:i/>
          <w:sz w:val="22"/>
          <w:szCs w:val="22"/>
        </w:rPr>
        <w:t>Artículo 140.</w:t>
      </w:r>
      <w:r w:rsidRPr="005B57DB">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3392F388" w14:textId="77777777" w:rsidR="00B1455F" w:rsidRPr="005B57DB" w:rsidRDefault="006A158B">
      <w:pPr>
        <w:tabs>
          <w:tab w:val="left" w:pos="4962"/>
        </w:tabs>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p>
    <w:p w14:paraId="279576DC" w14:textId="77777777" w:rsidR="00B1455F" w:rsidRPr="005B57DB" w:rsidRDefault="006A158B">
      <w:pPr>
        <w:tabs>
          <w:tab w:val="left" w:pos="4962"/>
        </w:tabs>
        <w:spacing w:before="120" w:after="120"/>
        <w:ind w:left="1134"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IV.</w:t>
      </w:r>
      <w:r w:rsidRPr="005B57DB">
        <w:rPr>
          <w:rFonts w:ascii="Palatino Linotype" w:eastAsia="Palatino Linotype" w:hAnsi="Palatino Linotype" w:cs="Palatino Linotype"/>
          <w:i/>
          <w:sz w:val="22"/>
          <w:szCs w:val="22"/>
        </w:rPr>
        <w:t xml:space="preserve"> Ponga en riesgo la vida, la seguridad o la salud de una persona física;</w:t>
      </w:r>
    </w:p>
    <w:p w14:paraId="2BFD9038" w14:textId="77777777" w:rsidR="00B1455F" w:rsidRPr="005B57DB" w:rsidRDefault="006A158B">
      <w:pPr>
        <w:tabs>
          <w:tab w:val="left" w:pos="4962"/>
        </w:tabs>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 xml:space="preserve">…” </w:t>
      </w:r>
    </w:p>
    <w:p w14:paraId="399273F5"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Del precepto legal citado se desprende que como información reservada podrá clasificarse aquella cuya publicación </w:t>
      </w:r>
      <w:r w:rsidRPr="005B57DB">
        <w:rPr>
          <w:rFonts w:ascii="Palatino Linotype" w:eastAsia="Palatino Linotype" w:hAnsi="Palatino Linotype" w:cs="Palatino Linotype"/>
          <w:b/>
        </w:rPr>
        <w:t xml:space="preserve">pueda poner en riesgo la vida, seguridad o salud de una persona física. </w:t>
      </w:r>
      <w:r w:rsidRPr="005B57DB">
        <w:rPr>
          <w:rFonts w:ascii="Palatino Linotype" w:eastAsia="Palatino Linotype" w:hAnsi="Palatino Linotype" w:cs="Palatino Linotype"/>
        </w:rPr>
        <w:t>En concatenación con lo anterior, los Lineamientos Generales en Materia de Clasificación y Desclasificación de la Información, así como para la Elaboración de Versiones Públicas, vigentes a la fecha de la solicitud, establecen lo siguiente:</w:t>
      </w:r>
    </w:p>
    <w:p w14:paraId="42776003" w14:textId="77777777" w:rsidR="00B1455F" w:rsidRPr="005B57DB" w:rsidRDefault="006A158B">
      <w:pPr>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 xml:space="preserve">“Vigésimo tercero. </w:t>
      </w:r>
      <w:r w:rsidRPr="005B57DB">
        <w:rPr>
          <w:rFonts w:ascii="Palatino Linotype" w:eastAsia="Palatino Linotype" w:hAnsi="Palatino Linotype" w:cs="Palatino Linotype"/>
          <w:i/>
          <w:sz w:val="22"/>
          <w:szCs w:val="22"/>
        </w:rPr>
        <w:t>Para clasificar la información como reservada, de conformidad con el artículo 113, fracción V de la Ley General, será necesario acreditar un vínculo, entre la persona física y la información que pueda poner en riesgo su vida, seguridad o salud.”</w:t>
      </w:r>
    </w:p>
    <w:p w14:paraId="78AB1D0A"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 xml:space="preserve">Del Lineamiento referido, se desprende que para clasificar la información como reservada, será necesario </w:t>
      </w:r>
      <w:r w:rsidRPr="005B57DB">
        <w:rPr>
          <w:rFonts w:ascii="Palatino Linotype" w:eastAsia="Palatino Linotype" w:hAnsi="Palatino Linotype" w:cs="Palatino Linotype"/>
          <w:b/>
        </w:rPr>
        <w:t>acreditar un vínculo, entre la persona física y la información que pueda poner en riesgo su vida, seguridad o salud</w:t>
      </w:r>
      <w:r w:rsidRPr="005B57DB">
        <w:rPr>
          <w:rFonts w:ascii="Palatino Linotype" w:eastAsia="Palatino Linotype" w:hAnsi="Palatino Linotype" w:cs="Palatino Linotype"/>
        </w:rPr>
        <w:t>.</w:t>
      </w:r>
    </w:p>
    <w:p w14:paraId="5786138C" w14:textId="77777777" w:rsidR="00B1455F" w:rsidRPr="005B57DB" w:rsidRDefault="006A158B">
      <w:pPr>
        <w:spacing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Además, el artículo 81, fracción III, de la Ley de Seguridad del Estado de México, establece lo siguiente:</w:t>
      </w:r>
    </w:p>
    <w:p w14:paraId="4DA8D912" w14:textId="77777777" w:rsidR="00B1455F" w:rsidRPr="005B57DB" w:rsidRDefault="006A158B">
      <w:pPr>
        <w:spacing w:before="120" w:after="120"/>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“Artículo 81.-</w:t>
      </w:r>
      <w:r w:rsidRPr="005B57DB">
        <w:rPr>
          <w:rFonts w:ascii="Palatino Linotype" w:eastAsia="Palatino Linotype" w:hAnsi="Palatino Linotype" w:cs="Palatino Linotype"/>
          <w:i/>
          <w:sz w:val="22"/>
          <w:szCs w:val="22"/>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619C6100" w14:textId="77777777" w:rsidR="00B1455F" w:rsidRPr="005B57DB" w:rsidRDefault="006A158B">
      <w:pPr>
        <w:spacing w:before="120" w:after="120"/>
        <w:ind w:left="1134"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p>
    <w:p w14:paraId="4742388E" w14:textId="77777777" w:rsidR="00B1455F" w:rsidRPr="005B57DB" w:rsidRDefault="006A158B">
      <w:pPr>
        <w:spacing w:before="120" w:after="120"/>
        <w:ind w:left="1134"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III.</w:t>
      </w:r>
      <w:r w:rsidRPr="005B57DB">
        <w:rPr>
          <w:rFonts w:ascii="Palatino Linotype" w:eastAsia="Palatino Linotype" w:hAnsi="Palatino Linotype" w:cs="Palatino Linotype"/>
          <w:i/>
          <w:sz w:val="22"/>
          <w:szCs w:val="22"/>
        </w:rPr>
        <w:t xml:space="preserve"> La relativa a los servidores públicos integrantes de las instituciones de seguridad pública, </w:t>
      </w:r>
      <w:r w:rsidRPr="005B57DB">
        <w:rPr>
          <w:rFonts w:ascii="Palatino Linotype" w:eastAsia="Palatino Linotype" w:hAnsi="Palatino Linotype" w:cs="Palatino Linotype"/>
          <w:b/>
          <w:i/>
          <w:sz w:val="22"/>
          <w:szCs w:val="22"/>
        </w:rPr>
        <w:t>cuya revelación pueda poner en riesgo su vida e integridad física con motivo de sus funciones;</w:t>
      </w:r>
    </w:p>
    <w:p w14:paraId="52808D94" w14:textId="77777777" w:rsidR="00B1455F" w:rsidRPr="005B57DB" w:rsidRDefault="006A158B">
      <w:pPr>
        <w:spacing w:before="120" w:after="120"/>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i/>
          <w:sz w:val="22"/>
          <w:szCs w:val="22"/>
        </w:rPr>
        <w:t>…”</w:t>
      </w:r>
    </w:p>
    <w:p w14:paraId="28C4597C" w14:textId="77777777" w:rsidR="00B1455F" w:rsidRPr="005B57DB" w:rsidRDefault="006A158B">
      <w:pPr>
        <w:spacing w:before="240" w:after="240" w:line="360" w:lineRule="auto"/>
        <w:jc w:val="both"/>
        <w:rPr>
          <w:rFonts w:ascii="Palatino Linotype" w:eastAsia="Palatino Linotype" w:hAnsi="Palatino Linotype" w:cs="Palatino Linotype"/>
          <w:b/>
        </w:rPr>
      </w:pPr>
      <w:r w:rsidRPr="005B57DB">
        <w:rPr>
          <w:rFonts w:ascii="Palatino Linotype" w:eastAsia="Palatino Linotype" w:hAnsi="Palatino Linotype" w:cs="Palatino Linotype"/>
        </w:rPr>
        <w:t xml:space="preserve">Así, se desprende que es reservada toda aquella información de los servidores públicos integrantes de las instituciones de seguridad pública, cuya revelación </w:t>
      </w:r>
      <w:r w:rsidRPr="005B57DB">
        <w:rPr>
          <w:rFonts w:ascii="Palatino Linotype" w:eastAsia="Palatino Linotype" w:hAnsi="Palatino Linotype" w:cs="Palatino Linotype"/>
          <w:b/>
        </w:rPr>
        <w:t>pueda poner en riesgo su vida e integridad física con motivo de sus funciones.</w:t>
      </w:r>
    </w:p>
    <w:p w14:paraId="0FA9A10C"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12" w:name="_heading=h.954ebho154zx" w:colFirst="0" w:colLast="0"/>
      <w:bookmarkEnd w:id="12"/>
      <w:r w:rsidRPr="005B57DB">
        <w:rPr>
          <w:rFonts w:ascii="Palatino Linotype" w:eastAsia="Palatino Linotype" w:hAnsi="Palatino Linotype" w:cs="Palatino Linotype"/>
        </w:rPr>
        <w:t>Atento a lo anterior, resulta necesario traer por analogía, el criterio orientador con clave de control SO/006/2009, emitido por el entonces Instituto Federal de Acceso a la Información y Protección de Datos, que establece lo siguiente:</w:t>
      </w:r>
    </w:p>
    <w:p w14:paraId="79940945" w14:textId="77777777" w:rsidR="00B1455F" w:rsidRPr="005B57DB" w:rsidRDefault="006A158B">
      <w:pPr>
        <w:tabs>
          <w:tab w:val="left" w:pos="4962"/>
        </w:tabs>
        <w:spacing w:before="120" w:after="120"/>
        <w:ind w:left="851" w:right="902"/>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5B57DB">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w:t>
      </w:r>
      <w:r w:rsidRPr="005B57DB">
        <w:rPr>
          <w:rFonts w:ascii="Palatino Linotype" w:eastAsia="Palatino Linotype" w:hAnsi="Palatino Linotype" w:cs="Palatino Linotype"/>
          <w:i/>
          <w:sz w:val="22"/>
          <w:szCs w:val="22"/>
        </w:rPr>
        <w:lastRenderedPageBreak/>
        <w:t>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3F3499F2" w14:textId="77777777" w:rsidR="00B1455F" w:rsidRPr="005B57DB" w:rsidRDefault="006A158B">
      <w:pPr>
        <w:spacing w:before="240" w:after="240" w:line="360" w:lineRule="auto"/>
        <w:jc w:val="both"/>
        <w:rPr>
          <w:rFonts w:ascii="Palatino Linotype" w:eastAsia="Palatino Linotype" w:hAnsi="Palatino Linotype" w:cs="Palatino Linotype"/>
          <w:b/>
        </w:rPr>
      </w:pPr>
      <w:r w:rsidRPr="005B57DB">
        <w:rPr>
          <w:rFonts w:ascii="Palatino Linotype" w:eastAsia="Palatino Linotype" w:hAnsi="Palatino Linotype" w:cs="Palatino Linotype"/>
        </w:rPr>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5B57DB">
        <w:rPr>
          <w:rFonts w:ascii="Palatino Linotype" w:eastAsia="Palatino Linotype" w:hAnsi="Palatino Linotype" w:cs="Palatino Linotype"/>
          <w:b/>
        </w:rPr>
        <w:t>funciones de carácter operativo.</w:t>
      </w:r>
    </w:p>
    <w:p w14:paraId="6002B8BF"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En ese orden de ideas, si bien por regla general el nombre de los servidores públicos es información de naturaleza pública, siendo obligación de los entes públicos poner a disposición de los particulares, de manera permanente y actualizada, dicha información, existe una excepción relativa a </w:t>
      </w:r>
      <w:r w:rsidRPr="005B57DB">
        <w:rPr>
          <w:rFonts w:ascii="Palatino Linotype" w:eastAsia="Palatino Linotype" w:hAnsi="Palatino Linotype" w:cs="Palatino Linotype"/>
          <w:b/>
        </w:rPr>
        <w:t>aquellos que realicen actividades operativas en materia de seguridad,</w:t>
      </w:r>
      <w:r w:rsidRPr="005B57DB">
        <w:rPr>
          <w:rFonts w:ascii="Palatino Linotype" w:eastAsia="Palatino Linotype" w:hAnsi="Palatino Linotype" w:cs="Palatino Linotype"/>
        </w:rPr>
        <w:t xml:space="preserve"> como es el caso de los elementos operativos.</w:t>
      </w:r>
    </w:p>
    <w:p w14:paraId="63765D70"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4EEB7AA9"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En ese contexto, el artículo 6, fracciones XI y XII de dicho ordenamiento jurídico, establece los siguientes conceptos:</w:t>
      </w:r>
    </w:p>
    <w:p w14:paraId="3ACD9197" w14:textId="77777777" w:rsidR="00B1455F" w:rsidRPr="005B57DB" w:rsidRDefault="006A158B">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5B57DB">
        <w:rPr>
          <w:rFonts w:ascii="Palatino Linotype" w:eastAsia="Palatino Linotype" w:hAnsi="Palatino Linotype" w:cs="Palatino Linotype"/>
          <w:b/>
        </w:rPr>
        <w:t xml:space="preserve">Instituciones Policiales: </w:t>
      </w:r>
      <w:r w:rsidRPr="005B57DB">
        <w:rPr>
          <w:rFonts w:ascii="Palatino Linotype" w:eastAsia="Palatino Linotype" w:hAnsi="Palatino Linotype" w:cs="Palatino Linotype"/>
        </w:rPr>
        <w:t xml:space="preserve">Son los cuerpos de policía, de vigilancia y custodia de los establecimientos penitenciarios, detención preventiva, centros de arraigo y en general, </w:t>
      </w:r>
      <w:r w:rsidRPr="005B57DB">
        <w:rPr>
          <w:rFonts w:ascii="Palatino Linotype" w:eastAsia="Palatino Linotype" w:hAnsi="Palatino Linotype" w:cs="Palatino Linotype"/>
          <w:b/>
        </w:rPr>
        <w:t>todas las dependencias encargadas de la seguridad pública a nivel</w:t>
      </w:r>
      <w:r w:rsidRPr="005B57DB">
        <w:rPr>
          <w:rFonts w:ascii="Palatino Linotype" w:eastAsia="Palatino Linotype" w:hAnsi="Palatino Linotype" w:cs="Palatino Linotype"/>
        </w:rPr>
        <w:t xml:space="preserve"> estatal y </w:t>
      </w:r>
      <w:r w:rsidRPr="005B57DB">
        <w:rPr>
          <w:rFonts w:ascii="Palatino Linotype" w:eastAsia="Palatino Linotype" w:hAnsi="Palatino Linotype" w:cs="Palatino Linotype"/>
          <w:b/>
        </w:rPr>
        <w:t>municipal.</w:t>
      </w:r>
    </w:p>
    <w:p w14:paraId="7B5732C8" w14:textId="77777777" w:rsidR="00B1455F" w:rsidRPr="005B57DB" w:rsidRDefault="006A158B">
      <w:pPr>
        <w:numPr>
          <w:ilvl w:val="0"/>
          <w:numId w:val="5"/>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5B57DB">
        <w:rPr>
          <w:rFonts w:ascii="Palatino Linotype" w:eastAsia="Palatino Linotype" w:hAnsi="Palatino Linotype" w:cs="Palatino Linotype"/>
          <w:b/>
        </w:rPr>
        <w:t xml:space="preserve">Instituciones de Seguridad Pública: </w:t>
      </w:r>
      <w:r w:rsidRPr="005B57DB">
        <w:rPr>
          <w:rFonts w:ascii="Palatino Linotype" w:eastAsia="Palatino Linotype" w:hAnsi="Palatino Linotype" w:cs="Palatino Linotype"/>
        </w:rPr>
        <w:t xml:space="preserve">Instituciones Policiales, Procuración de Justicia, Sistema Penitenciario y </w:t>
      </w:r>
      <w:r w:rsidRPr="005B57DB">
        <w:rPr>
          <w:rFonts w:ascii="Palatino Linotype" w:eastAsia="Palatino Linotype" w:hAnsi="Palatino Linotype" w:cs="Palatino Linotype"/>
          <w:b/>
        </w:rPr>
        <w:t xml:space="preserve">dependencias encargadas de la seguridad pública a nivel </w:t>
      </w:r>
      <w:r w:rsidRPr="005B57DB">
        <w:rPr>
          <w:rFonts w:ascii="Palatino Linotype" w:eastAsia="Palatino Linotype" w:hAnsi="Palatino Linotype" w:cs="Palatino Linotype"/>
        </w:rPr>
        <w:t xml:space="preserve">estatal y </w:t>
      </w:r>
      <w:r w:rsidRPr="005B57DB">
        <w:rPr>
          <w:rFonts w:ascii="Palatino Linotype" w:eastAsia="Palatino Linotype" w:hAnsi="Palatino Linotype" w:cs="Palatino Linotype"/>
          <w:b/>
        </w:rPr>
        <w:t>municipal.</w:t>
      </w:r>
    </w:p>
    <w:p w14:paraId="5B441632"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Conforme a lo anterior, se puede deducir que la Comisaría Municipal es una institución de seguridad pública, pues tiene como atribución principal resguardar el orden público y la paz social, la prevención de delitos y la inhibición de manifestaciones de conductas antisociales.</w:t>
      </w:r>
    </w:p>
    <w:p w14:paraId="5E145999" w14:textId="77777777" w:rsidR="00B1455F" w:rsidRPr="005B57DB" w:rsidRDefault="006A158B">
      <w:pPr>
        <w:tabs>
          <w:tab w:val="left" w:pos="4962"/>
        </w:tabs>
        <w:spacing w:before="240" w:after="240" w:line="360" w:lineRule="auto"/>
        <w:ind w:right="-28"/>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Además, el Instructivo de llenado del Formato “Personal de Seguridad Pública”, del Secretariado Ejecutivo del Sistema Nacional de Seguridad Pública (consultado en la </w:t>
      </w:r>
      <w:r w:rsidRPr="005B57DB">
        <w:rPr>
          <w:rFonts w:ascii="Palatino Linotype" w:eastAsia="Palatino Linotype" w:hAnsi="Palatino Linotype" w:cs="Palatino Linotype"/>
        </w:rPr>
        <w:lastRenderedPageBreak/>
        <w:t xml:space="preserve">liga electrónica </w:t>
      </w:r>
      <w:hyperlink r:id="rId18">
        <w:r w:rsidRPr="005B57DB">
          <w:rPr>
            <w:rFonts w:ascii="Palatino Linotype" w:eastAsia="Palatino Linotype" w:hAnsi="Palatino Linotype" w:cs="Palatino Linotype"/>
            <w:u w:val="single"/>
          </w:rPr>
          <w:t>http://secretariadoejecutivo.gob.mx/work/models/SecretariadoEjecutivo/Resource/328/1/images/instructivo_final_edo_fuerza(1).pdf</w:t>
        </w:r>
      </w:hyperlink>
      <w:r w:rsidRPr="005B57DB">
        <w:rPr>
          <w:rFonts w:ascii="Palatino Linotype" w:eastAsia="Palatino Linotype" w:hAnsi="Palatino Linotype" w:cs="Palatino Linotype"/>
        </w:rPr>
        <w:t xml:space="preserve">), establece que los elementos operativos de seguridad pública, son aquellos que desempeñan funciones de campo (policiacas, especializadas o equivalentes y que no </w:t>
      </w:r>
      <w:r w:rsidRPr="005B57DB">
        <w:rPr>
          <w:rFonts w:ascii="Palatino Linotype" w:eastAsia="Palatino Linotype" w:hAnsi="Palatino Linotype" w:cs="Palatino Linotype"/>
          <w:b/>
        </w:rPr>
        <w:t>desempeña funciones de mando</w:t>
      </w:r>
      <w:r w:rsidRPr="005B57DB">
        <w:rPr>
          <w:rFonts w:ascii="Palatino Linotype" w:eastAsia="Palatino Linotype" w:hAnsi="Palatino Linotype" w:cs="Palatino Linotype"/>
        </w:rPr>
        <w:t xml:space="preserve">), entre los cuales, se encuentra </w:t>
      </w:r>
      <w:r w:rsidRPr="005B57DB">
        <w:rPr>
          <w:rFonts w:ascii="Palatino Linotype" w:eastAsia="Palatino Linotype" w:hAnsi="Palatino Linotype" w:cs="Palatino Linotype"/>
          <w:b/>
        </w:rPr>
        <w:t>la Policía Municipal</w:t>
      </w:r>
      <w:r w:rsidRPr="005B57DB">
        <w:rPr>
          <w:rFonts w:ascii="Palatino Linotype" w:eastAsia="Palatino Linotype" w:hAnsi="Palatino Linotype" w:cs="Palatino Linotype"/>
        </w:rPr>
        <w:t>.</w:t>
      </w:r>
    </w:p>
    <w:p w14:paraId="4DBE2FD4" w14:textId="77777777" w:rsidR="00B1455F" w:rsidRPr="005B57DB" w:rsidRDefault="006A158B">
      <w:pPr>
        <w:tabs>
          <w:tab w:val="left" w:pos="4962"/>
        </w:tabs>
        <w:spacing w:before="240" w:after="240" w:line="360" w:lineRule="auto"/>
        <w:ind w:right="-28"/>
        <w:jc w:val="both"/>
        <w:rPr>
          <w:rFonts w:ascii="Palatino Linotype" w:eastAsia="Palatino Linotype" w:hAnsi="Palatino Linotype" w:cs="Palatino Linotype"/>
        </w:rPr>
      </w:pPr>
      <w:r w:rsidRPr="005B57DB">
        <w:rPr>
          <w:rFonts w:ascii="Palatino Linotype" w:eastAsia="Palatino Linotype" w:hAnsi="Palatino Linotype" w:cs="Palatino Linotype"/>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 De tales circunstancias, se puede observar que la Comisaria Municipal, tiene dos clases de servidores públicos, por una parte, los operativos (policía municipal) y por otra, los administrativos, de apoyo y personal de mando, los cuales no realizan funciones operativas.</w:t>
      </w:r>
    </w:p>
    <w:p w14:paraId="143DAB6A"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Así, dar a conocer el nombre completo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w:t>
      </w:r>
      <w:r w:rsidRPr="005B57DB">
        <w:rPr>
          <w:rFonts w:ascii="Palatino Linotype" w:eastAsia="Palatino Linotype" w:hAnsi="Palatino Linotype" w:cs="Palatino Linotype"/>
        </w:rPr>
        <w:lastRenderedPageBreak/>
        <w:t>institucionales que persigue dicha área, intenten realizar actos tendientes a inhibir o entrometerse en las funciones de los policías municipales, lo cual causaría una vulneración a la seguridad municipal.</w:t>
      </w:r>
    </w:p>
    <w:p w14:paraId="1CE5BB5B"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De tal situación, se considera que dar a conocer el nombre completo de los elementos operativos, que incluye a los policías municipales, puede poner en riesgo la vida, seguridad y salud de estos, de sus familias e incluso su entorno social, pues al hacerlos identificables, los hace blanco de los agentes delincuenciales o inclusive a la delincuencia organizada, los cuales podrían amenazar o causarles algún daño, con el fin de entorpecer o disminuir la seguridad pública y aumentar la comisión de actos ilícitos.</w:t>
      </w:r>
    </w:p>
    <w:p w14:paraId="34514E3A" w14:textId="77777777" w:rsidR="00B1455F" w:rsidRPr="005B57DB" w:rsidRDefault="006A158B">
      <w:pPr>
        <w:tabs>
          <w:tab w:val="left" w:pos="4962"/>
        </w:tabs>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2E32DB71" w14:textId="77777777" w:rsidR="00B1455F" w:rsidRPr="005B57DB" w:rsidRDefault="006A158B">
      <w:pPr>
        <w:tabs>
          <w:tab w:val="left" w:pos="4962"/>
        </w:tabs>
        <w:spacing w:before="240" w:after="240" w:line="360" w:lineRule="auto"/>
        <w:ind w:left="284"/>
        <w:jc w:val="both"/>
        <w:rPr>
          <w:rFonts w:ascii="Palatino Linotype" w:eastAsia="Palatino Linotype" w:hAnsi="Palatino Linotype" w:cs="Palatino Linotype"/>
        </w:rPr>
      </w:pPr>
      <w:r w:rsidRPr="005B57DB">
        <w:rPr>
          <w:rFonts w:ascii="Palatino Linotype" w:eastAsia="Palatino Linotype" w:hAnsi="Palatino Linotype" w:cs="Palatino Linotype"/>
        </w:rPr>
        <w:t>I. La divulgación de la información representa un riesgo real, demostrable e identificable de perjuicio significativo al interés público o a la seguridad nacional.</w:t>
      </w:r>
    </w:p>
    <w:p w14:paraId="701945C1" w14:textId="77777777" w:rsidR="00B1455F" w:rsidRPr="005B57DB" w:rsidRDefault="006A158B">
      <w:pPr>
        <w:tabs>
          <w:tab w:val="left" w:pos="4962"/>
        </w:tabs>
        <w:spacing w:before="240" w:after="240" w:line="360" w:lineRule="auto"/>
        <w:ind w:left="284"/>
        <w:jc w:val="both"/>
        <w:rPr>
          <w:rFonts w:ascii="Palatino Linotype" w:eastAsia="Palatino Linotype" w:hAnsi="Palatino Linotype" w:cs="Palatino Linotype"/>
        </w:rPr>
      </w:pPr>
      <w:r w:rsidRPr="005B57DB">
        <w:rPr>
          <w:rFonts w:ascii="Palatino Linotype" w:eastAsia="Palatino Linotype" w:hAnsi="Palatino Linotype" w:cs="Palatino Linotype"/>
        </w:rPr>
        <w:t>II. El riesgo de perjuicio supera el interés público general de que se difunda.</w:t>
      </w:r>
    </w:p>
    <w:p w14:paraId="1495F6CD" w14:textId="77777777" w:rsidR="00B1455F" w:rsidRPr="005B57DB" w:rsidRDefault="006A158B">
      <w:pPr>
        <w:tabs>
          <w:tab w:val="left" w:pos="4962"/>
        </w:tabs>
        <w:spacing w:before="240" w:after="240" w:line="360" w:lineRule="auto"/>
        <w:ind w:left="284"/>
        <w:jc w:val="both"/>
        <w:rPr>
          <w:rFonts w:ascii="Palatino Linotype" w:eastAsia="Palatino Linotype" w:hAnsi="Palatino Linotype" w:cs="Palatino Linotype"/>
        </w:rPr>
      </w:pPr>
      <w:r w:rsidRPr="005B57DB">
        <w:rPr>
          <w:rFonts w:ascii="Palatino Linotype" w:eastAsia="Palatino Linotype" w:hAnsi="Palatino Linotype" w:cs="Palatino Linotype"/>
        </w:rPr>
        <w:t>III. Que la limitación se adecua al principio de proporcionalidad y representa el medio menos restrictivo disponible para evitar el perjuicio.</w:t>
      </w:r>
    </w:p>
    <w:p w14:paraId="5829C959" w14:textId="77777777" w:rsidR="00B1455F" w:rsidRPr="005B57DB" w:rsidRDefault="006A158B">
      <w:pPr>
        <w:spacing w:before="240" w:after="240" w:line="360" w:lineRule="auto"/>
        <w:jc w:val="both"/>
        <w:rPr>
          <w:rFonts w:ascii="Palatino Linotype" w:eastAsia="Palatino Linotype" w:hAnsi="Palatino Linotype" w:cs="Palatino Linotype"/>
          <w:b/>
        </w:rPr>
      </w:pPr>
      <w:r w:rsidRPr="005B57DB">
        <w:rPr>
          <w:rFonts w:ascii="Palatino Linotype" w:eastAsia="Palatino Linotype" w:hAnsi="Palatino Linotype" w:cs="Palatino Linotype"/>
        </w:rPr>
        <w:t xml:space="preserve">Por tales consideraciones, </w:t>
      </w:r>
      <w:r w:rsidRPr="005B57DB">
        <w:rPr>
          <w:rFonts w:ascii="Palatino Linotype" w:eastAsia="Palatino Linotype" w:hAnsi="Palatino Linotype" w:cs="Palatino Linotype"/>
          <w:b/>
        </w:rPr>
        <w:t xml:space="preserve">resulta procedente la reserva del nombre completo de los elementos operativos, en términos del artículo 140, fracción IV, de la Ley de </w:t>
      </w:r>
      <w:r w:rsidRPr="005B57DB">
        <w:rPr>
          <w:rFonts w:ascii="Palatino Linotype" w:eastAsia="Palatino Linotype" w:hAnsi="Palatino Linotype" w:cs="Palatino Linotype"/>
          <w:b/>
        </w:rPr>
        <w:lastRenderedPageBreak/>
        <w:t>Transparencia y Acceso a la Información Pública del Estado de México y Municipios previamente citado.</w:t>
      </w:r>
    </w:p>
    <w:p w14:paraId="561E41FC"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Respecto al plazo de reserva,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en materia de seguridad, y proporcionar sus remuneraciones, junto con su respectivo acuerdo de Clasificación.</w:t>
      </w:r>
    </w:p>
    <w:p w14:paraId="61D6348A"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Por otro lado, </w:t>
      </w:r>
      <w:r w:rsidRPr="005B57DB">
        <w:rPr>
          <w:rFonts w:ascii="Palatino Linotype" w:eastAsia="Palatino Linotype" w:hAnsi="Palatino Linotype" w:cs="Palatino Linotype"/>
          <w:b/>
        </w:rPr>
        <w:t>respecto del puesto funcional y, el nivel y/o rango</w:t>
      </w:r>
      <w:r w:rsidRPr="005B57DB">
        <w:rPr>
          <w:rFonts w:ascii="Palatino Linotype" w:eastAsia="Palatino Linotype" w:hAnsi="Palatino Linotype" w:cs="Palatino Linotype"/>
        </w:rPr>
        <w:t xml:space="preserve"> es de mencionar que los artículos 142 y 143 de la Ley de Seguridad del Estado de México, establecen la organización jerárquica de las instituciones policiales de la Entidad Federativa y sus municipios, la cual es la siguiente:</w:t>
      </w:r>
    </w:p>
    <w:p w14:paraId="71AA83B9" w14:textId="77777777" w:rsidR="00B1455F" w:rsidRPr="005B57DB" w:rsidRDefault="006A158B">
      <w:pPr>
        <w:numPr>
          <w:ilvl w:val="0"/>
          <w:numId w:val="7"/>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Comisarios:</w:t>
      </w:r>
    </w:p>
    <w:p w14:paraId="358C3822" w14:textId="77777777" w:rsidR="00B1455F" w:rsidRPr="005B57DB" w:rsidRDefault="006A158B">
      <w:pPr>
        <w:numPr>
          <w:ilvl w:val="0"/>
          <w:numId w:val="8"/>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Comisario General;</w:t>
      </w:r>
    </w:p>
    <w:p w14:paraId="5F5247CB" w14:textId="77777777" w:rsidR="00B1455F" w:rsidRPr="005B57DB" w:rsidRDefault="006A158B">
      <w:pPr>
        <w:numPr>
          <w:ilvl w:val="0"/>
          <w:numId w:val="8"/>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Comisario Jefe, y</w:t>
      </w:r>
    </w:p>
    <w:p w14:paraId="72990F9C" w14:textId="77777777" w:rsidR="00B1455F" w:rsidRPr="005B57DB" w:rsidRDefault="006A158B">
      <w:pPr>
        <w:numPr>
          <w:ilvl w:val="0"/>
          <w:numId w:val="8"/>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Comisario.</w:t>
      </w:r>
    </w:p>
    <w:p w14:paraId="74F8BDD8" w14:textId="77777777" w:rsidR="00B1455F" w:rsidRPr="005B57DB" w:rsidRDefault="006A158B">
      <w:pPr>
        <w:numPr>
          <w:ilvl w:val="0"/>
          <w:numId w:val="7"/>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Inspectores:</w:t>
      </w:r>
    </w:p>
    <w:p w14:paraId="0597F026" w14:textId="77777777" w:rsidR="00B1455F" w:rsidRPr="005B57DB" w:rsidRDefault="006A158B">
      <w:pPr>
        <w:numPr>
          <w:ilvl w:val="0"/>
          <w:numId w:val="1"/>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Inspector General;</w:t>
      </w:r>
    </w:p>
    <w:p w14:paraId="30E48BD7" w14:textId="77777777" w:rsidR="00B1455F" w:rsidRPr="005B57DB" w:rsidRDefault="006A158B">
      <w:pPr>
        <w:numPr>
          <w:ilvl w:val="0"/>
          <w:numId w:val="1"/>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Inspector Jefe, y</w:t>
      </w:r>
    </w:p>
    <w:p w14:paraId="4AD58D1F" w14:textId="77777777" w:rsidR="00B1455F" w:rsidRPr="005B57DB" w:rsidRDefault="006A158B">
      <w:pPr>
        <w:numPr>
          <w:ilvl w:val="0"/>
          <w:numId w:val="1"/>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Inspector.</w:t>
      </w:r>
    </w:p>
    <w:p w14:paraId="7D93CC2E" w14:textId="77777777" w:rsidR="00B1455F" w:rsidRPr="005B57DB" w:rsidRDefault="006A158B">
      <w:pPr>
        <w:numPr>
          <w:ilvl w:val="0"/>
          <w:numId w:val="7"/>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Oficiales:</w:t>
      </w:r>
    </w:p>
    <w:p w14:paraId="2A0CEC76" w14:textId="77777777" w:rsidR="00B1455F" w:rsidRPr="005B57DB" w:rsidRDefault="006A158B">
      <w:pPr>
        <w:numPr>
          <w:ilvl w:val="0"/>
          <w:numId w:val="2"/>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Subinspector;</w:t>
      </w:r>
    </w:p>
    <w:p w14:paraId="4CD82623" w14:textId="77777777" w:rsidR="00B1455F" w:rsidRPr="005B57DB" w:rsidRDefault="006A158B">
      <w:pPr>
        <w:numPr>
          <w:ilvl w:val="0"/>
          <w:numId w:val="2"/>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Oficial, y</w:t>
      </w:r>
    </w:p>
    <w:p w14:paraId="1B3BDA31" w14:textId="77777777" w:rsidR="00B1455F" w:rsidRPr="005B57DB" w:rsidRDefault="006A158B">
      <w:pPr>
        <w:numPr>
          <w:ilvl w:val="0"/>
          <w:numId w:val="2"/>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Suboficial.</w:t>
      </w:r>
    </w:p>
    <w:p w14:paraId="622E5C98" w14:textId="77777777" w:rsidR="00B1455F" w:rsidRPr="005B57DB" w:rsidRDefault="006A158B">
      <w:pPr>
        <w:numPr>
          <w:ilvl w:val="0"/>
          <w:numId w:val="7"/>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Escala Básica:</w:t>
      </w:r>
    </w:p>
    <w:p w14:paraId="27A32869" w14:textId="77777777" w:rsidR="00B1455F" w:rsidRPr="005B57DB" w:rsidRDefault="006A158B">
      <w:pPr>
        <w:numPr>
          <w:ilvl w:val="0"/>
          <w:numId w:val="3"/>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Policía Primero;</w:t>
      </w:r>
    </w:p>
    <w:p w14:paraId="3951FAEB" w14:textId="77777777" w:rsidR="00B1455F" w:rsidRPr="005B57DB" w:rsidRDefault="006A158B">
      <w:pPr>
        <w:numPr>
          <w:ilvl w:val="0"/>
          <w:numId w:val="3"/>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Policía Segundo; </w:t>
      </w:r>
    </w:p>
    <w:p w14:paraId="1913DABF" w14:textId="77777777" w:rsidR="00B1455F" w:rsidRPr="005B57DB" w:rsidRDefault="006A158B">
      <w:pPr>
        <w:numPr>
          <w:ilvl w:val="0"/>
          <w:numId w:val="3"/>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Policía Tercero, y</w:t>
      </w:r>
    </w:p>
    <w:p w14:paraId="29BB8EE8" w14:textId="77777777" w:rsidR="00B1455F" w:rsidRPr="005B57DB" w:rsidRDefault="006A158B">
      <w:pPr>
        <w:numPr>
          <w:ilvl w:val="0"/>
          <w:numId w:val="3"/>
        </w:numPr>
        <w:spacing w:before="120" w:after="120"/>
        <w:ind w:hanging="357"/>
        <w:jc w:val="both"/>
        <w:rPr>
          <w:rFonts w:ascii="Palatino Linotype" w:eastAsia="Palatino Linotype" w:hAnsi="Palatino Linotype" w:cs="Palatino Linotype"/>
        </w:rPr>
      </w:pPr>
      <w:r w:rsidRPr="005B57DB">
        <w:rPr>
          <w:rFonts w:ascii="Palatino Linotype" w:eastAsia="Palatino Linotype" w:hAnsi="Palatino Linotype" w:cs="Palatino Linotype"/>
        </w:rPr>
        <w:t>Policía.</w:t>
      </w:r>
    </w:p>
    <w:p w14:paraId="1B6612A1"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Además, el Modelo Óptimo de la Función Policial, emitido por la Secretaría de Gobernación “Diagnostico Nacional sobre las Policías Preventivas de las Entidades Federativas”, establece que el estado de fuerza se refiere al número de elementos operativos en activo, excluyendo al personal administrativo.</w:t>
      </w:r>
    </w:p>
    <w:p w14:paraId="35E574BE"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Lo cual, se fortalece con el Anexo 1 del Acuerdo 05/XLVI/20, denominado Modelo Nacional de Policía y Justicia Cívica, que precisa que el estado de fuerza se conforma de los elementos operativos en materia de seguridad, excluyendo al personal administrativo; sin embargo, de dicho documento se logra vislumbrar que el Estado de Fuerza real de una Institución de Seguridad, no debe basarse únicamente en el total de servidores públicos operativos, sino que se debe ceñir a otros factores, como el turno, las necesidades y actividades operativas.</w:t>
      </w:r>
    </w:p>
    <w:p w14:paraId="3EBC7716"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Así, el estado de fuerza corresponde al número de elementos operativos en total con los que cuenta el Sujeto Obligado en materia de seguridad pública y el estado de fuerza real corresponde al número de policías con los que cuenta el Ayuntamiento, en un determinado turno, para atender las necesidades y tareas de seguridad.</w:t>
      </w:r>
    </w:p>
    <w:p w14:paraId="5F316D91"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En ese orden de ideas, cabe precisar que si bien proporcionar el cargo de los elementos operativos, podría dar cuenta del estado de fuerza del municipio, también lo es que desde la perspectiva de este Instituto no se advierte de qué forma dicha información comprometa la seguridad pública del Municipio, por las siguientes consideraciones:</w:t>
      </w:r>
    </w:p>
    <w:p w14:paraId="06454712"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Dar a conocer los documentos donde conste el cargo de los elementos operativos, desvinculado de su nombre (por ejemplo, Policía Primero; Policía Segundo y/o Policía Tercero):</w:t>
      </w:r>
    </w:p>
    <w:p w14:paraId="2AC42687" w14:textId="77777777" w:rsidR="00B1455F" w:rsidRPr="005B57DB" w:rsidRDefault="006A158B">
      <w:pPr>
        <w:numPr>
          <w:ilvl w:val="0"/>
          <w:numId w:val="4"/>
        </w:num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No entorpece los sistemas de coordinación interinstitucional en materia de seguridad pública, pues únicamente se establecería el número de policías total con los que cuenta, a través de la entrega de la denominación del cargo en específico.</w:t>
      </w:r>
    </w:p>
    <w:p w14:paraId="4206CA3B" w14:textId="77777777" w:rsidR="00B1455F" w:rsidRPr="005B57DB" w:rsidRDefault="006A158B">
      <w:pPr>
        <w:numPr>
          <w:ilvl w:val="0"/>
          <w:numId w:val="4"/>
        </w:num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Tampoco dificulta o menoscaba las estrategias contra la evasión de reos o la capacidad de disuadir, prevenir disturbios sociales, o bien, la capacidad de reacción, planes, estrategias, tecnologías, información o sistemas de comunicaciones, pues no se está dando a conocer información concerniente a vehículos, armamento, chalecos o radios de comunicación; sino únicamente al personal que se encarga de la seguridad pública del Municipio, </w:t>
      </w:r>
      <w:r w:rsidRPr="005B57DB">
        <w:rPr>
          <w:rFonts w:ascii="Palatino Linotype" w:eastAsia="Palatino Linotype" w:hAnsi="Palatino Linotype" w:cs="Palatino Linotype"/>
          <w:b/>
        </w:rPr>
        <w:t>sin dar a conocer el estado de fuerza real.</w:t>
      </w:r>
    </w:p>
    <w:p w14:paraId="19891453" w14:textId="77777777" w:rsidR="00B1455F" w:rsidRPr="005B57DB" w:rsidRDefault="006A158B">
      <w:pPr>
        <w:numPr>
          <w:ilvl w:val="0"/>
          <w:numId w:val="4"/>
        </w:num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La información requerida, no es producto de la intervención de comunicaciones privadas, ni se encuentra contenida en averiguaciones previas, carpetas de investigación, expedientes y archivos de investigación o prevención de delitos.</w:t>
      </w:r>
    </w:p>
    <w:p w14:paraId="3ADD744B" w14:textId="77777777" w:rsidR="00B1455F" w:rsidRPr="005B57DB" w:rsidRDefault="006A158B">
      <w:pPr>
        <w:numPr>
          <w:ilvl w:val="0"/>
          <w:numId w:val="4"/>
        </w:num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El cargo, de ninguna forma da cuenta, de normas, procedimientos, métodos, fuentes, especificaciones técnicas, sistemas, tecnologías o equipos útiles a la generación de inteligencia en materia de seguridad pública o en combate a la delincuencia, pues como se precisó solamente da a conocer el estado de fuerza municipal y no la forma de actuación, estrategias y equipo con la que opera el Área de Seguridad.</w:t>
      </w:r>
    </w:p>
    <w:p w14:paraId="5CC3274D"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Conforme a lo anterior, no se logra desprender la forma en que el cargo o puesto funcional, y </w:t>
      </w:r>
      <w:r w:rsidRPr="005B57DB">
        <w:rPr>
          <w:rFonts w:ascii="Palatino Linotype" w:eastAsia="Palatino Linotype" w:hAnsi="Palatino Linotype" w:cs="Palatino Linotype"/>
          <w:b/>
        </w:rPr>
        <w:t>el nivel y/o rango</w:t>
      </w:r>
      <w:r w:rsidRPr="005B57DB">
        <w:rPr>
          <w:rFonts w:ascii="Palatino Linotype" w:eastAsia="Palatino Linotype" w:hAnsi="Palatino Linotype" w:cs="Palatino Linotype"/>
        </w:rPr>
        <w:t xml:space="preserve"> de los cuerpos policiacos, puedan afectar la seguridad pública del Municipio; además, que no se advierte un riesgo real, demostrable e identificable que supere al interés público o bien perjudique la seguridad pública, pues como se precisó en párrafos anteriores, la información requerida no da cuenta de la forma de actuación, estrategia s o equipo con el que cuenta el área de Seguridad Pública, tampoco precisa la capacidad de reacción o la forma de organización para prevenir delitos, ni de actuaciones en averiguaciones previas, carpetas de investigación o bien, la intervención de comunicaciones privadas; aunado a que tampoco revela el estado de fuerza real con el que funciona el Ayuntamiento, por consiguiente NO es susceptible de ser clasificada como reservada.</w:t>
      </w:r>
    </w:p>
    <w:p w14:paraId="45C7AECE" w14:textId="77777777" w:rsidR="00B1455F" w:rsidRPr="005B57DB" w:rsidRDefault="006A158B">
      <w:pPr>
        <w:tabs>
          <w:tab w:val="left" w:pos="1418"/>
        </w:tabs>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De lo hasta aquí expuesto, es evidente que no puede tenerse por válida la información entregada, dado que el </w:t>
      </w:r>
      <w:r w:rsidRPr="005B57DB">
        <w:rPr>
          <w:rFonts w:ascii="Palatino Linotype" w:eastAsia="Palatino Linotype" w:hAnsi="Palatino Linotype" w:cs="Palatino Linotype"/>
          <w:b/>
        </w:rPr>
        <w:t>Sujeto Obligado</w:t>
      </w:r>
      <w:r w:rsidRPr="005B57DB">
        <w:rPr>
          <w:rFonts w:ascii="Palatino Linotype" w:eastAsia="Palatino Linotype" w:hAnsi="Palatino Linotype" w:cs="Palatino Linotype"/>
        </w:rPr>
        <w:t xml:space="preserve"> </w:t>
      </w:r>
      <w:r w:rsidRPr="005B57DB">
        <w:rPr>
          <w:rFonts w:ascii="Palatino Linotype" w:eastAsia="Palatino Linotype" w:hAnsi="Palatino Linotype" w:cs="Palatino Linotype"/>
          <w:b/>
          <w:u w:val="single"/>
        </w:rPr>
        <w:t xml:space="preserve">omitió remitir el acuerdo del </w:t>
      </w:r>
      <w:r w:rsidRPr="005B57DB">
        <w:rPr>
          <w:rFonts w:ascii="Palatino Linotype" w:eastAsia="Palatino Linotype" w:hAnsi="Palatino Linotype" w:cs="Palatino Linotype"/>
          <w:b/>
          <w:u w:val="single"/>
        </w:rPr>
        <w:lastRenderedPageBreak/>
        <w:t>Comité de Transparencia que sustente de manera fundada y motivada la versión pública respectiva</w:t>
      </w:r>
      <w:r w:rsidRPr="005B57DB">
        <w:rPr>
          <w:rFonts w:ascii="Palatino Linotype" w:eastAsia="Palatino Linotype" w:hAnsi="Palatino Linotype" w:cs="Palatino Linotype"/>
          <w:b/>
        </w:rPr>
        <w:t xml:space="preserve">, </w:t>
      </w:r>
      <w:r w:rsidRPr="005B57DB">
        <w:rPr>
          <w:rFonts w:ascii="Palatino Linotype" w:eastAsia="Palatino Linotype" w:hAnsi="Palatino Linotype" w:cs="Palatino Linotype"/>
        </w:rPr>
        <w:t xml:space="preserve">además de que testó el </w:t>
      </w:r>
      <w:r w:rsidRPr="005B57DB">
        <w:rPr>
          <w:rFonts w:ascii="Palatino Linotype" w:eastAsia="Palatino Linotype" w:hAnsi="Palatino Linotype" w:cs="Palatino Linotype"/>
          <w:b/>
          <w:u w:val="single"/>
        </w:rPr>
        <w:t>puesto funcional y el nivel y/o rango</w:t>
      </w:r>
      <w:r w:rsidRPr="005B57DB">
        <w:rPr>
          <w:rFonts w:ascii="Palatino Linotype" w:eastAsia="Palatino Linotype" w:hAnsi="Palatino Linotype" w:cs="Palatino Linotype"/>
        </w:rPr>
        <w:t xml:space="preserve"> de los servidores públicos adscritos a la Comisaría y Tránsito Municipal que desempeñan funciones operativas, sin que dicha información </w:t>
      </w:r>
      <w:r w:rsidRPr="005B57DB">
        <w:rPr>
          <w:rFonts w:ascii="Palatino Linotype" w:eastAsia="Palatino Linotype" w:hAnsi="Palatino Linotype" w:cs="Palatino Linotype"/>
          <w:b/>
          <w:u w:val="single"/>
        </w:rPr>
        <w:t>actualice alguno de los supuestos de clasificación previstos en la norma como ha sido expuesto,</w:t>
      </w:r>
      <w:r w:rsidRPr="005B57DB">
        <w:rPr>
          <w:rFonts w:ascii="Palatino Linotype" w:eastAsia="Palatino Linotype" w:hAnsi="Palatino Linotype" w:cs="Palatino Linotype"/>
        </w:rPr>
        <w:t xml:space="preserve"> por consiguiente, se estima necesario que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 xml:space="preserve"> </w:t>
      </w:r>
      <w:r w:rsidRPr="005B57DB">
        <w:rPr>
          <w:rFonts w:ascii="Palatino Linotype" w:eastAsia="Palatino Linotype" w:hAnsi="Palatino Linotype" w:cs="Palatino Linotype"/>
          <w:b/>
        </w:rPr>
        <w:t xml:space="preserve">haga entrega nuevamente de la conciliación de nómina de las dos quincenas del mes de diciembre de 2024 que fue proporcionada en respuesta, en una versión pública correcta, en la que se deje visible el puesto funcional y el nivel y/o rango de los elementos operativos adscritos a la Comisaría Municipal, </w:t>
      </w:r>
      <w:r w:rsidRPr="005B57DB">
        <w:rPr>
          <w:rFonts w:ascii="Palatino Linotype" w:eastAsia="Palatino Linotype" w:hAnsi="Palatino Linotype" w:cs="Palatino Linotype"/>
        </w:rPr>
        <w:t xml:space="preserve"> la cual debe ser acompañada del acuerdo de clasificación en el cual se sustente la eliminación del </w:t>
      </w:r>
      <w:r w:rsidRPr="005B57DB">
        <w:rPr>
          <w:rFonts w:ascii="Palatino Linotype" w:eastAsia="Palatino Linotype" w:hAnsi="Palatino Linotype" w:cs="Palatino Linotype"/>
          <w:b/>
        </w:rPr>
        <w:t>RFC, CURP, Número de seguridad social (ISSEMYM), préstamos y otras deducciones personales, el número de cuenta bancaria y el número de cheque y/o número de referencia</w:t>
      </w:r>
      <w:r w:rsidRPr="005B57DB">
        <w:rPr>
          <w:rFonts w:ascii="Palatino Linotype" w:eastAsia="Palatino Linotype" w:hAnsi="Palatino Linotype" w:cs="Palatino Linotype"/>
        </w:rPr>
        <w:t xml:space="preserve">, por tratarse de información confidencial; así como el </w:t>
      </w:r>
      <w:r w:rsidRPr="005B57DB">
        <w:rPr>
          <w:rFonts w:ascii="Palatino Linotype" w:eastAsia="Palatino Linotype" w:hAnsi="Palatino Linotype" w:cs="Palatino Linotype"/>
          <w:b/>
        </w:rPr>
        <w:t xml:space="preserve">nombre completo </w:t>
      </w:r>
      <w:r w:rsidRPr="005B57DB">
        <w:rPr>
          <w:rFonts w:ascii="Palatino Linotype" w:eastAsia="Palatino Linotype" w:hAnsi="Palatino Linotype" w:cs="Palatino Linotype"/>
          <w:b/>
          <w:u w:val="single"/>
        </w:rPr>
        <w:t>de los elementos operativos</w:t>
      </w:r>
      <w:r w:rsidRPr="005B57DB">
        <w:rPr>
          <w:rFonts w:ascii="Palatino Linotype" w:eastAsia="Palatino Linotype" w:hAnsi="Palatino Linotype" w:cs="Palatino Linotype"/>
          <w:b/>
        </w:rPr>
        <w:t xml:space="preserve"> adscritos a la Comisaria y Tránsito Municipal,</w:t>
      </w:r>
      <w:r w:rsidRPr="005B57DB">
        <w:rPr>
          <w:rFonts w:ascii="Palatino Linotype" w:eastAsia="Palatino Linotype" w:hAnsi="Palatino Linotype" w:cs="Palatino Linotype"/>
        </w:rPr>
        <w:t xml:space="preserve"> por tratarse de información reservada, ello conforme a los argumentos manifestados en presente estudio. </w:t>
      </w:r>
    </w:p>
    <w:p w14:paraId="1889FC04" w14:textId="77777777" w:rsidR="00B1455F" w:rsidRPr="005B57DB" w:rsidRDefault="006A158B">
      <w:pPr>
        <w:tabs>
          <w:tab w:val="left" w:pos="1418"/>
        </w:tabs>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Finalmente, por lo que se refiere a la </w:t>
      </w:r>
      <w:r w:rsidRPr="005B57DB">
        <w:rPr>
          <w:rFonts w:ascii="Palatino Linotype" w:eastAsia="Palatino Linotype" w:hAnsi="Palatino Linotype" w:cs="Palatino Linotype"/>
          <w:b/>
        </w:rPr>
        <w:t>conciliación de nómina del mes de enero de dos mil veinticinco,</w:t>
      </w:r>
      <w:r w:rsidRPr="005B57DB">
        <w:rPr>
          <w:rFonts w:ascii="Palatino Linotype" w:eastAsia="Palatino Linotype" w:hAnsi="Palatino Linotype" w:cs="Palatino Linotype"/>
        </w:rPr>
        <w:t xml:space="preserve"> debe puntualizarse en primer lugar, que la solicitud se tuvo por presentada el dieciséis de enero de dos mil veinticinco, por lo que es ineludible señalar que la información sobre hechos que aún no se han generado debido a la temporalidad, son hechos futuros e inciertos, los cuales no se pueden determinar ya que están supeditados a la conclusión de los mismos; por lo que no es procedente que los Sujetos Obligados proporcionen dicha información.</w:t>
      </w:r>
    </w:p>
    <w:p w14:paraId="0095DD81" w14:textId="77777777" w:rsidR="00B1455F" w:rsidRPr="005B57DB" w:rsidRDefault="006A158B">
      <w:pPr>
        <w:spacing w:before="240" w:after="240" w:line="360" w:lineRule="auto"/>
        <w:ind w:right="-93"/>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Lo anterior se robustece con la Tesis Aislada con número de registro 209001</w:t>
      </w:r>
      <w:r w:rsidRPr="005B57DB">
        <w:rPr>
          <w:rFonts w:ascii="Palatino Linotype" w:eastAsia="Palatino Linotype" w:hAnsi="Palatino Linotype" w:cs="Palatino Linotype"/>
          <w:vertAlign w:val="superscript"/>
        </w:rPr>
        <w:footnoteReference w:id="1"/>
      </w:r>
      <w:r w:rsidRPr="005B57DB">
        <w:rPr>
          <w:rFonts w:ascii="Palatino Linotype" w:eastAsia="Palatino Linotype" w:hAnsi="Palatino Linotype" w:cs="Palatino Linotype"/>
        </w:rPr>
        <w:t>, de la Suprema Corte de Justicia de la Nación, emitida por los Tribunales Colegiados de Circuito,  que a la letra señala:</w:t>
      </w:r>
    </w:p>
    <w:p w14:paraId="105F4C3F" w14:textId="77777777" w:rsidR="00B1455F" w:rsidRPr="005B57DB" w:rsidRDefault="006A158B">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5B57DB">
        <w:rPr>
          <w:rFonts w:ascii="Palatino Linotype" w:eastAsia="Palatino Linotype" w:hAnsi="Palatino Linotype" w:cs="Palatino Linotype"/>
          <w:b/>
          <w:i/>
          <w:sz w:val="22"/>
          <w:szCs w:val="22"/>
        </w:rPr>
        <w:t xml:space="preserve">“ACTOS FUTUROS DE REALIZACION INCIERTA. NO PROCEDE EL JUICIO DE AMPARO CONTRA LOS. </w:t>
      </w:r>
      <w:r w:rsidRPr="005B57DB">
        <w:rPr>
          <w:rFonts w:ascii="Palatino Linotype" w:eastAsia="Palatino Linotype" w:hAnsi="Palatino Linotype" w:cs="Palatino Linotype"/>
          <w:i/>
          <w:sz w:val="22"/>
          <w:szCs w:val="22"/>
        </w:rPr>
        <w:t>Contra actos futuros de realización incierta no procede el juicio de garantías.”</w:t>
      </w:r>
    </w:p>
    <w:p w14:paraId="32FCD113" w14:textId="77777777" w:rsidR="00B1455F" w:rsidRPr="005B57DB" w:rsidRDefault="006A158B">
      <w:pPr>
        <w:spacing w:before="240" w:after="240" w:line="360" w:lineRule="auto"/>
        <w:ind w:right="51"/>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En ese sentido, no es procedente la exigencia de la parte </w:t>
      </w:r>
      <w:r w:rsidRPr="005B57DB">
        <w:rPr>
          <w:rFonts w:ascii="Palatino Linotype" w:eastAsia="Palatino Linotype" w:hAnsi="Palatino Linotype" w:cs="Palatino Linotype"/>
          <w:b/>
        </w:rPr>
        <w:t>Recurrente</w:t>
      </w:r>
      <w:r w:rsidRPr="005B57DB">
        <w:rPr>
          <w:rFonts w:ascii="Palatino Linotype" w:eastAsia="Palatino Linotype" w:hAnsi="Palatino Linotype" w:cs="Palatino Linotype"/>
        </w:rPr>
        <w:t xml:space="preserve"> de que el </w:t>
      </w:r>
      <w:r w:rsidRPr="005B57DB">
        <w:rPr>
          <w:rFonts w:ascii="Palatino Linotype" w:eastAsia="Palatino Linotype" w:hAnsi="Palatino Linotype" w:cs="Palatino Linotype"/>
          <w:b/>
        </w:rPr>
        <w:t>Sujeto Obligado</w:t>
      </w:r>
      <w:r w:rsidRPr="005B57DB">
        <w:rPr>
          <w:rFonts w:ascii="Palatino Linotype" w:eastAsia="Palatino Linotype" w:hAnsi="Palatino Linotype" w:cs="Palatino Linotype"/>
        </w:rPr>
        <w:t xml:space="preserve"> atienda su solicitud en los términos solicitados, es decir, al día treinta y uno de enero de dos mil veinticinco, pues dicha autoridad únicamente está constreñida a proporcionar la información pública que genere en uso de sus atribuciones de derecho público con anterioridad a la fecha de la solicitud de información, esto es al dieciséis de enero de dos mil veinticinco.</w:t>
      </w:r>
    </w:p>
    <w:p w14:paraId="27ED901F" w14:textId="77777777" w:rsidR="00B1455F" w:rsidRPr="005B57DB" w:rsidRDefault="006A158B">
      <w:pPr>
        <w:tabs>
          <w:tab w:val="left" w:pos="1418"/>
        </w:tabs>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En segundo lugar, si bien es cierto que la conciliación de nómina se entrega al Órgano Superior de Fiscalización del Estado de México, como parte de los informes trimestrales que deben rendir las entidades fiscalizables, no menos cierto es que dicha información, de conformidad con los Lineamientos para la integración, presentación y envío de los informes trimestrales municipales, se debe generar de manera quincenal. Sirve para mayor referencia la siguiente ilustración:</w:t>
      </w:r>
    </w:p>
    <w:p w14:paraId="5FBEB8A8" w14:textId="77777777" w:rsidR="00B1455F" w:rsidRPr="005B57DB" w:rsidRDefault="006A158B">
      <w:pPr>
        <w:tabs>
          <w:tab w:val="left" w:pos="1418"/>
        </w:tabs>
        <w:spacing w:before="240" w:after="240" w:line="360" w:lineRule="auto"/>
        <w:rPr>
          <w:rFonts w:ascii="Palatino Linotype" w:eastAsia="Palatino Linotype" w:hAnsi="Palatino Linotype" w:cs="Palatino Linotype"/>
        </w:rPr>
      </w:pPr>
      <w:r w:rsidRPr="005B57DB">
        <w:rPr>
          <w:rFonts w:ascii="Palatino Linotype" w:eastAsia="Palatino Linotype" w:hAnsi="Palatino Linotype" w:cs="Palatino Linotype"/>
          <w:noProof/>
        </w:rPr>
        <w:lastRenderedPageBreak/>
        <w:drawing>
          <wp:inline distT="0" distB="0" distL="0" distR="0" wp14:anchorId="7745D172" wp14:editId="4C80ED90">
            <wp:extent cx="5612130" cy="2945130"/>
            <wp:effectExtent l="0" t="0" r="0" b="0"/>
            <wp:docPr id="21401318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b="24051"/>
                    <a:stretch>
                      <a:fillRect/>
                    </a:stretch>
                  </pic:blipFill>
                  <pic:spPr>
                    <a:xfrm>
                      <a:off x="0" y="0"/>
                      <a:ext cx="5612130" cy="2945130"/>
                    </a:xfrm>
                    <a:prstGeom prst="rect">
                      <a:avLst/>
                    </a:prstGeom>
                    <a:ln/>
                  </pic:spPr>
                </pic:pic>
              </a:graphicData>
            </a:graphic>
          </wp:inline>
        </w:drawing>
      </w:r>
      <w:r w:rsidRPr="005B57DB">
        <w:rPr>
          <w:noProof/>
        </w:rPr>
        <mc:AlternateContent>
          <mc:Choice Requires="wpg">
            <w:drawing>
              <wp:anchor distT="0" distB="0" distL="114300" distR="114300" simplePos="0" relativeHeight="251659264" behindDoc="0" locked="0" layoutInCell="1" hidden="0" allowOverlap="1" wp14:anchorId="09267D90" wp14:editId="24ABC565">
                <wp:simplePos x="0" y="0"/>
                <wp:positionH relativeFrom="column">
                  <wp:posOffset>774700</wp:posOffset>
                </wp:positionH>
                <wp:positionV relativeFrom="paragraph">
                  <wp:posOffset>2286000</wp:posOffset>
                </wp:positionV>
                <wp:extent cx="4849368" cy="493644"/>
                <wp:effectExtent l="0" t="0" r="0" b="0"/>
                <wp:wrapNone/>
                <wp:docPr id="2140131840" name="Rectángulo 2140131840"/>
                <wp:cNvGraphicFramePr/>
                <a:graphic xmlns:a="http://schemas.openxmlformats.org/drawingml/2006/main">
                  <a:graphicData uri="http://schemas.microsoft.com/office/word/2010/wordprocessingShape">
                    <wps:wsp>
                      <wps:cNvSpPr/>
                      <wps:spPr>
                        <a:xfrm>
                          <a:off x="2940366" y="3552228"/>
                          <a:ext cx="4811268" cy="455544"/>
                        </a:xfrm>
                        <a:prstGeom prst="rect">
                          <a:avLst/>
                        </a:prstGeom>
                        <a:noFill/>
                        <a:ln w="38100" cap="flat" cmpd="sng">
                          <a:solidFill>
                            <a:srgbClr val="C00000"/>
                          </a:solidFill>
                          <a:prstDash val="solid"/>
                          <a:miter lim="800000"/>
                          <a:headEnd type="none" w="sm" len="sm"/>
                          <a:tailEnd type="none" w="sm" len="sm"/>
                        </a:ln>
                      </wps:spPr>
                      <wps:txbx>
                        <w:txbxContent>
                          <w:p w14:paraId="49210D9A" w14:textId="77777777" w:rsidR="00B1455F" w:rsidRDefault="00B1455F">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2286000</wp:posOffset>
                </wp:positionV>
                <wp:extent cx="4849368" cy="493644"/>
                <wp:effectExtent b="0" l="0" r="0" t="0"/>
                <wp:wrapNone/>
                <wp:docPr id="2140131840"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4849368" cy="493644"/>
                        </a:xfrm>
                        <a:prstGeom prst="rect"/>
                        <a:ln/>
                      </pic:spPr>
                    </pic:pic>
                  </a:graphicData>
                </a:graphic>
              </wp:anchor>
            </w:drawing>
          </mc:Fallback>
        </mc:AlternateContent>
      </w:r>
    </w:p>
    <w:p w14:paraId="32BF00DA"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En este tenor, dado que la solicitud de información, como ya ha sido precisado, se tuvo por presentada el día dieciséis de enero de dos mil veinticinco, se estima que la entrega de información debió acotarse a la que el </w:t>
      </w:r>
      <w:r w:rsidRPr="005B57DB">
        <w:rPr>
          <w:rFonts w:ascii="Palatino Linotype" w:eastAsia="Palatino Linotype" w:hAnsi="Palatino Linotype" w:cs="Palatino Linotype"/>
          <w:b/>
        </w:rPr>
        <w:t>Sujeto Obligado</w:t>
      </w:r>
      <w:r w:rsidRPr="005B57DB">
        <w:rPr>
          <w:rFonts w:ascii="Palatino Linotype" w:eastAsia="Palatino Linotype" w:hAnsi="Palatino Linotype" w:cs="Palatino Linotype"/>
        </w:rPr>
        <w:t xml:space="preserve"> hubiera generado o administrado a dicha fecha, siendo esta la correspondiente a la conciliación de nómina de la primera quincena de enero de dos mil veinticinco, por consiguiente, para tener por satisfecho el derecho de acceso de la parte </w:t>
      </w:r>
      <w:r w:rsidRPr="005B57DB">
        <w:rPr>
          <w:rFonts w:ascii="Palatino Linotype" w:eastAsia="Palatino Linotype" w:hAnsi="Palatino Linotype" w:cs="Palatino Linotype"/>
          <w:b/>
        </w:rPr>
        <w:t xml:space="preserve">Recurrente, </w:t>
      </w:r>
      <w:r w:rsidRPr="005B57DB">
        <w:rPr>
          <w:rFonts w:ascii="Palatino Linotype" w:eastAsia="Palatino Linotype" w:hAnsi="Palatino Linotype" w:cs="Palatino Linotype"/>
        </w:rPr>
        <w:t xml:space="preserve">se estima dable ordenar la entrega de dicha información en versión pública conforme a los argumentos previamente señalados. </w:t>
      </w:r>
    </w:p>
    <w:p w14:paraId="64907812" w14:textId="77777777" w:rsidR="00B1455F" w:rsidRPr="005B57DB" w:rsidRDefault="006A158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De lo hasta aquí expuesto, se concluye que los motivos de inconformidad de la parte </w:t>
      </w:r>
      <w:r w:rsidRPr="005B57DB">
        <w:rPr>
          <w:rFonts w:ascii="Palatino Linotype" w:eastAsia="Palatino Linotype" w:hAnsi="Palatino Linotype" w:cs="Palatino Linotype"/>
          <w:b/>
        </w:rPr>
        <w:t xml:space="preserve">Recurrente </w:t>
      </w:r>
      <w:r w:rsidRPr="005B57DB">
        <w:rPr>
          <w:rFonts w:ascii="Palatino Linotype" w:eastAsia="Palatino Linotype" w:hAnsi="Palatino Linotype" w:cs="Palatino Linotype"/>
        </w:rPr>
        <w:t xml:space="preserve">devienen fundados, siendo procedente </w:t>
      </w:r>
      <w:r w:rsidRPr="005B57DB">
        <w:rPr>
          <w:rFonts w:ascii="Palatino Linotype" w:eastAsia="Palatino Linotype" w:hAnsi="Palatino Linotype" w:cs="Palatino Linotype"/>
          <w:i/>
        </w:rPr>
        <w:t xml:space="preserve">Modificar </w:t>
      </w:r>
      <w:r w:rsidRPr="005B57DB">
        <w:rPr>
          <w:rFonts w:ascii="Palatino Linotype" w:eastAsia="Palatino Linotype" w:hAnsi="Palatino Linotype" w:cs="Palatino Linotype"/>
        </w:rPr>
        <w:t xml:space="preserve">la respuesta proporcionada por el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155B3251"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lastRenderedPageBreak/>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66A616DA" w14:textId="77777777" w:rsidR="00B1455F" w:rsidRPr="005B57DB" w:rsidRDefault="006A158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5B57DB">
        <w:rPr>
          <w:rFonts w:ascii="Palatino Linotype" w:eastAsia="Palatino Linotype" w:hAnsi="Palatino Linotype" w:cs="Palatino Linotype"/>
          <w:b/>
        </w:rPr>
        <w:t>III. R E S U E L V E</w:t>
      </w:r>
    </w:p>
    <w:p w14:paraId="0CC7A9B3"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13" w:name="_heading=h.1t3h5sf" w:colFirst="0" w:colLast="0"/>
      <w:bookmarkEnd w:id="13"/>
      <w:r w:rsidRPr="005B57DB">
        <w:rPr>
          <w:rFonts w:ascii="Palatino Linotype" w:eastAsia="Palatino Linotype" w:hAnsi="Palatino Linotype" w:cs="Palatino Linotype"/>
          <w:b/>
        </w:rPr>
        <w:t xml:space="preserve">Primero. </w:t>
      </w:r>
      <w:r w:rsidRPr="005B57DB">
        <w:rPr>
          <w:rFonts w:ascii="Palatino Linotype" w:eastAsia="Palatino Linotype" w:hAnsi="Palatino Linotype" w:cs="Palatino Linotype"/>
        </w:rPr>
        <w:t>Resultan</w:t>
      </w:r>
      <w:r w:rsidRPr="005B57DB">
        <w:rPr>
          <w:rFonts w:ascii="Palatino Linotype" w:eastAsia="Palatino Linotype" w:hAnsi="Palatino Linotype" w:cs="Palatino Linotype"/>
          <w:b/>
        </w:rPr>
        <w:t xml:space="preserve"> fundadas</w:t>
      </w:r>
      <w:r w:rsidRPr="005B57DB">
        <w:rPr>
          <w:rFonts w:ascii="Palatino Linotype" w:eastAsia="Palatino Linotype" w:hAnsi="Palatino Linotype" w:cs="Palatino Linotype"/>
        </w:rPr>
        <w:t xml:space="preserve"> las razones o motivos de inconformidad hechos valer por la parte</w:t>
      </w:r>
      <w:r w:rsidRPr="005B57DB">
        <w:rPr>
          <w:rFonts w:ascii="Palatino Linotype" w:eastAsia="Palatino Linotype" w:hAnsi="Palatino Linotype" w:cs="Palatino Linotype"/>
          <w:b/>
        </w:rPr>
        <w:t xml:space="preserve"> Recurrente</w:t>
      </w:r>
      <w:r w:rsidRPr="005B57DB">
        <w:rPr>
          <w:rFonts w:ascii="Palatino Linotype" w:eastAsia="Palatino Linotype" w:hAnsi="Palatino Linotype" w:cs="Palatino Linotype"/>
        </w:rPr>
        <w:t xml:space="preserve"> en el recurso de revisión </w:t>
      </w:r>
      <w:r w:rsidRPr="005B57DB">
        <w:rPr>
          <w:rFonts w:ascii="Palatino Linotype" w:eastAsia="Palatino Linotype" w:hAnsi="Palatino Linotype" w:cs="Palatino Linotype"/>
          <w:b/>
        </w:rPr>
        <w:t>01784/INFOEM/IP/RR/2025</w:t>
      </w:r>
      <w:r w:rsidRPr="005B57DB">
        <w:rPr>
          <w:rFonts w:ascii="Palatino Linotype" w:eastAsia="Palatino Linotype" w:hAnsi="Palatino Linotype" w:cs="Palatino Linotype"/>
        </w:rPr>
        <w:t xml:space="preserve">; por lo que, en términos del </w:t>
      </w:r>
      <w:r w:rsidRPr="005B57DB">
        <w:rPr>
          <w:rFonts w:ascii="Palatino Linotype" w:eastAsia="Palatino Linotype" w:hAnsi="Palatino Linotype" w:cs="Palatino Linotype"/>
          <w:b/>
        </w:rPr>
        <w:t>Considerando</w:t>
      </w:r>
      <w:r w:rsidRPr="005B57DB">
        <w:rPr>
          <w:rFonts w:ascii="Palatino Linotype" w:eastAsia="Palatino Linotype" w:hAnsi="Palatino Linotype" w:cs="Palatino Linotype"/>
        </w:rPr>
        <w:t xml:space="preserve"> </w:t>
      </w:r>
      <w:r w:rsidRPr="005B57DB">
        <w:rPr>
          <w:rFonts w:ascii="Palatino Linotype" w:eastAsia="Palatino Linotype" w:hAnsi="Palatino Linotype" w:cs="Palatino Linotype"/>
          <w:b/>
        </w:rPr>
        <w:t xml:space="preserve">Cuarto </w:t>
      </w:r>
      <w:r w:rsidRPr="005B57DB">
        <w:rPr>
          <w:rFonts w:ascii="Palatino Linotype" w:eastAsia="Palatino Linotype" w:hAnsi="Palatino Linotype" w:cs="Palatino Linotype"/>
        </w:rPr>
        <w:t xml:space="preserve">de esta resolución, se </w:t>
      </w:r>
      <w:r w:rsidRPr="005B57DB">
        <w:rPr>
          <w:rFonts w:ascii="Palatino Linotype" w:eastAsia="Palatino Linotype" w:hAnsi="Palatino Linotype" w:cs="Palatino Linotype"/>
          <w:b/>
        </w:rPr>
        <w:t>Modifica</w:t>
      </w:r>
      <w:r w:rsidRPr="005B57DB">
        <w:rPr>
          <w:rFonts w:ascii="Palatino Linotype" w:eastAsia="Palatino Linotype" w:hAnsi="Palatino Linotype" w:cs="Palatino Linotype"/>
        </w:rPr>
        <w:t xml:space="preserve"> la respuesta emitida por el </w:t>
      </w:r>
      <w:r w:rsidRPr="005B57DB">
        <w:rPr>
          <w:rFonts w:ascii="Palatino Linotype" w:eastAsia="Palatino Linotype" w:hAnsi="Palatino Linotype" w:cs="Palatino Linotype"/>
          <w:b/>
        </w:rPr>
        <w:t xml:space="preserve">Sujeto Obligado. </w:t>
      </w:r>
    </w:p>
    <w:p w14:paraId="62C5FF35" w14:textId="77777777" w:rsidR="00B1455F" w:rsidRPr="005B57DB" w:rsidRDefault="006A158B">
      <w:pPr>
        <w:spacing w:before="240" w:after="240" w:line="360" w:lineRule="auto"/>
        <w:ind w:right="49"/>
        <w:jc w:val="both"/>
        <w:rPr>
          <w:rFonts w:ascii="Palatino Linotype" w:eastAsia="Palatino Linotype" w:hAnsi="Palatino Linotype" w:cs="Palatino Linotype"/>
        </w:rPr>
      </w:pPr>
      <w:r w:rsidRPr="005B57DB">
        <w:rPr>
          <w:rFonts w:ascii="Palatino Linotype" w:eastAsia="Palatino Linotype" w:hAnsi="Palatino Linotype" w:cs="Palatino Linotype"/>
          <w:b/>
        </w:rPr>
        <w:t xml:space="preserve">Segundo. </w:t>
      </w:r>
      <w:r w:rsidRPr="005B57DB">
        <w:rPr>
          <w:rFonts w:ascii="Palatino Linotype" w:eastAsia="Palatino Linotype" w:hAnsi="Palatino Linotype" w:cs="Palatino Linotype"/>
        </w:rPr>
        <w:t xml:space="preserve">Se </w:t>
      </w:r>
      <w:r w:rsidRPr="005B57DB">
        <w:rPr>
          <w:rFonts w:ascii="Palatino Linotype" w:eastAsia="Palatino Linotype" w:hAnsi="Palatino Linotype" w:cs="Palatino Linotype"/>
          <w:b/>
        </w:rPr>
        <w:t xml:space="preserve">Ordena </w:t>
      </w:r>
      <w:r w:rsidRPr="005B57DB">
        <w:rPr>
          <w:rFonts w:ascii="Palatino Linotype" w:eastAsia="Palatino Linotype" w:hAnsi="Palatino Linotype" w:cs="Palatino Linotype"/>
        </w:rPr>
        <w:t xml:space="preserve">al </w:t>
      </w:r>
      <w:r w:rsidRPr="005B57DB">
        <w:rPr>
          <w:rFonts w:ascii="Palatino Linotype" w:eastAsia="Palatino Linotype" w:hAnsi="Palatino Linotype" w:cs="Palatino Linotype"/>
          <w:b/>
        </w:rPr>
        <w:t xml:space="preserve">Sujeto Obligado, </w:t>
      </w:r>
      <w:r w:rsidRPr="005B57DB">
        <w:rPr>
          <w:rFonts w:ascii="Palatino Linotype" w:eastAsia="Palatino Linotype" w:hAnsi="Palatino Linotype" w:cs="Palatino Linotype"/>
        </w:rPr>
        <w:t xml:space="preserve">en términos del </w:t>
      </w:r>
      <w:r w:rsidRPr="005B57DB">
        <w:rPr>
          <w:rFonts w:ascii="Palatino Linotype" w:eastAsia="Palatino Linotype" w:hAnsi="Palatino Linotype" w:cs="Palatino Linotype"/>
          <w:b/>
        </w:rPr>
        <w:t xml:space="preserve">Considerando Cuarto </w:t>
      </w:r>
      <w:r w:rsidRPr="005B57DB">
        <w:rPr>
          <w:rFonts w:ascii="Palatino Linotype" w:eastAsia="Palatino Linotype" w:hAnsi="Palatino Linotype" w:cs="Palatino Linotype"/>
        </w:rPr>
        <w:t xml:space="preserve">de esta resolución, haga entrega, vía </w:t>
      </w:r>
      <w:r w:rsidRPr="005B57DB">
        <w:rPr>
          <w:rFonts w:ascii="Palatino Linotype" w:eastAsia="Palatino Linotype" w:hAnsi="Palatino Linotype" w:cs="Palatino Linotype"/>
          <w:b/>
        </w:rPr>
        <w:t>SAIMEX</w:t>
      </w:r>
      <w:r w:rsidRPr="005B57DB">
        <w:rPr>
          <w:rFonts w:ascii="Palatino Linotype" w:eastAsia="Palatino Linotype" w:hAnsi="Palatino Linotype" w:cs="Palatino Linotype"/>
        </w:rPr>
        <w:t>, en versión pública de lo siguiente:</w:t>
      </w:r>
    </w:p>
    <w:p w14:paraId="60DC8385" w14:textId="77777777" w:rsidR="00B1455F" w:rsidRPr="005B57DB" w:rsidRDefault="006A158B">
      <w:pPr>
        <w:spacing w:before="240" w:after="240" w:line="360" w:lineRule="auto"/>
        <w:ind w:left="426"/>
        <w:jc w:val="both"/>
        <w:rPr>
          <w:rFonts w:ascii="Palatino Linotype" w:eastAsia="Palatino Linotype" w:hAnsi="Palatino Linotype" w:cs="Palatino Linotype"/>
        </w:rPr>
      </w:pPr>
      <w:bookmarkStart w:id="14" w:name="_heading=h.1fob9te" w:colFirst="0" w:colLast="0"/>
      <w:bookmarkEnd w:id="14"/>
      <w:r w:rsidRPr="005B57DB">
        <w:rPr>
          <w:rFonts w:ascii="Palatino Linotype" w:eastAsia="Palatino Linotype" w:hAnsi="Palatino Linotype" w:cs="Palatino Linotype"/>
        </w:rPr>
        <w:t>1. La conciliación de nómina de la primera y segunda quincena de diciembre de dos mil veinticuatro remitida en respuesta, en versión pública correcta.</w:t>
      </w:r>
    </w:p>
    <w:p w14:paraId="06AE7B68" w14:textId="77777777" w:rsidR="00B1455F" w:rsidRPr="005B57DB" w:rsidRDefault="006A158B">
      <w:pPr>
        <w:spacing w:before="240" w:after="240" w:line="360" w:lineRule="auto"/>
        <w:ind w:left="426"/>
        <w:jc w:val="both"/>
        <w:rPr>
          <w:rFonts w:ascii="Palatino Linotype" w:eastAsia="Palatino Linotype" w:hAnsi="Palatino Linotype" w:cs="Palatino Linotype"/>
          <w:b/>
        </w:rPr>
      </w:pPr>
      <w:r w:rsidRPr="005B57DB">
        <w:rPr>
          <w:rFonts w:ascii="Palatino Linotype" w:eastAsia="Palatino Linotype" w:hAnsi="Palatino Linotype" w:cs="Palatino Linotype"/>
        </w:rPr>
        <w:t>2. La conciliación de nómina de la primera quincena de enero de dos mil veinticinco.</w:t>
      </w:r>
    </w:p>
    <w:p w14:paraId="6EC10272" w14:textId="77777777" w:rsidR="00B1455F" w:rsidRPr="005B57DB" w:rsidRDefault="006A158B">
      <w:pPr>
        <w:pBdr>
          <w:top w:val="nil"/>
          <w:left w:val="nil"/>
          <w:bottom w:val="nil"/>
          <w:right w:val="nil"/>
          <w:between w:val="nil"/>
        </w:pBdr>
        <w:ind w:left="426"/>
        <w:jc w:val="both"/>
        <w:rPr>
          <w:rFonts w:ascii="Palatino Linotype" w:eastAsia="Palatino Linotype" w:hAnsi="Palatino Linotype" w:cs="Palatino Linotype"/>
          <w:i/>
          <w:sz w:val="20"/>
          <w:szCs w:val="20"/>
        </w:rPr>
      </w:pPr>
      <w:r w:rsidRPr="005B57DB">
        <w:rPr>
          <w:rFonts w:ascii="Palatino Linotype" w:eastAsia="Palatino Linotype" w:hAnsi="Palatino Linotype" w:cs="Palatino Linotype"/>
          <w:i/>
          <w:sz w:val="20"/>
          <w:szCs w:val="20"/>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la parte </w:t>
      </w:r>
      <w:r w:rsidRPr="005B57DB">
        <w:rPr>
          <w:rFonts w:ascii="Palatino Linotype" w:eastAsia="Palatino Linotype" w:hAnsi="Palatino Linotype" w:cs="Palatino Linotype"/>
          <w:b/>
          <w:i/>
          <w:sz w:val="20"/>
          <w:szCs w:val="20"/>
        </w:rPr>
        <w:t>Recurrente</w:t>
      </w:r>
      <w:r w:rsidRPr="005B57DB">
        <w:rPr>
          <w:rFonts w:ascii="Palatino Linotype" w:eastAsia="Palatino Linotype" w:hAnsi="Palatino Linotype" w:cs="Palatino Linotype"/>
          <w:i/>
          <w:sz w:val="20"/>
          <w:szCs w:val="20"/>
        </w:rPr>
        <w:t>, mismo que igualmente hará de su conocimiento.</w:t>
      </w:r>
    </w:p>
    <w:p w14:paraId="7D87BC0F"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b/>
        </w:rPr>
        <w:t xml:space="preserve">Tercero. Notifíquese, </w:t>
      </w:r>
      <w:r w:rsidRPr="005B57DB">
        <w:rPr>
          <w:rFonts w:ascii="Palatino Linotype" w:eastAsia="Palatino Linotype" w:hAnsi="Palatino Linotype" w:cs="Palatino Linotype"/>
        </w:rPr>
        <w:t xml:space="preserve">vía </w:t>
      </w:r>
      <w:r w:rsidRPr="005B57DB">
        <w:rPr>
          <w:rFonts w:ascii="Palatino Linotype" w:eastAsia="Palatino Linotype" w:hAnsi="Palatino Linotype" w:cs="Palatino Linotype"/>
          <w:b/>
        </w:rPr>
        <w:t>SAIMEX</w:t>
      </w:r>
      <w:r w:rsidRPr="005B57DB">
        <w:rPr>
          <w:rFonts w:ascii="Palatino Linotype" w:eastAsia="Palatino Linotype" w:hAnsi="Palatino Linotype" w:cs="Palatino Linotype"/>
        </w:rPr>
        <w:t xml:space="preserve">, al Titular de la Unidad de Transparencia del </w:t>
      </w:r>
      <w:r w:rsidRPr="005B57DB">
        <w:rPr>
          <w:rFonts w:ascii="Palatino Linotype" w:eastAsia="Palatino Linotype" w:hAnsi="Palatino Linotype" w:cs="Palatino Linotype"/>
          <w:b/>
        </w:rPr>
        <w:t>Sujeto Obligado,</w:t>
      </w:r>
      <w:r w:rsidRPr="005B57DB">
        <w:rPr>
          <w:rFonts w:ascii="Palatino Linotype" w:eastAsia="Palatino Linotype" w:hAnsi="Palatino Linotype" w:cs="Palatino Linotype"/>
        </w:rPr>
        <w:t xml:space="preserve"> la presente resolución para que conforme a los artículos 186, </w:t>
      </w:r>
      <w:r w:rsidRPr="005B57DB">
        <w:rPr>
          <w:rFonts w:ascii="Palatino Linotype" w:eastAsia="Palatino Linotype" w:hAnsi="Palatino Linotype" w:cs="Palatino Linotype"/>
        </w:rPr>
        <w:lastRenderedPageBreak/>
        <w:t>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4673F9" w14:textId="77777777" w:rsidR="00B1455F" w:rsidRPr="005B57DB" w:rsidRDefault="006A158B">
      <w:pPr>
        <w:spacing w:before="240" w:after="240" w:line="360" w:lineRule="auto"/>
        <w:jc w:val="both"/>
        <w:rPr>
          <w:rFonts w:ascii="Palatino Linotype" w:eastAsia="Palatino Linotype" w:hAnsi="Palatino Linotype" w:cs="Palatino Linotype"/>
        </w:rPr>
      </w:pPr>
      <w:r w:rsidRPr="005B57DB">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5B57DB">
        <w:rPr>
          <w:rFonts w:ascii="Palatino Linotype" w:eastAsia="Palatino Linotype" w:hAnsi="Palatino Linotype" w:cs="Palatino Linotype"/>
          <w:b/>
        </w:rPr>
        <w:t>Sujeto Obligado</w:t>
      </w:r>
      <w:r w:rsidRPr="005B57DB">
        <w:rPr>
          <w:rFonts w:ascii="Palatino Linotype" w:eastAsia="Palatino Linotype" w:hAnsi="Palatino Linotype" w:cs="Palatino Linotype"/>
        </w:rPr>
        <w:t xml:space="preserve"> de manera fundada y motivada, podrá solicitar una ampliación de plazo para el cumplimiento de la presente resolución.</w:t>
      </w:r>
    </w:p>
    <w:p w14:paraId="38DC0048" w14:textId="77777777" w:rsidR="00B1455F" w:rsidRPr="005B57DB" w:rsidRDefault="006A158B">
      <w:pPr>
        <w:spacing w:before="240" w:after="240" w:line="360" w:lineRule="auto"/>
        <w:jc w:val="both"/>
        <w:rPr>
          <w:rFonts w:ascii="Palatino Linotype" w:eastAsia="Palatino Linotype" w:hAnsi="Palatino Linotype" w:cs="Palatino Linotype"/>
        </w:rPr>
      </w:pPr>
      <w:bookmarkStart w:id="15" w:name="_heading=h.ot3qq6vxa08f" w:colFirst="0" w:colLast="0"/>
      <w:bookmarkEnd w:id="15"/>
      <w:r w:rsidRPr="005B57DB">
        <w:rPr>
          <w:rFonts w:ascii="Palatino Linotype" w:eastAsia="Palatino Linotype" w:hAnsi="Palatino Linotype" w:cs="Palatino Linotype"/>
          <w:b/>
        </w:rPr>
        <w:t xml:space="preserve">Cuarto.  Notifíquese, </w:t>
      </w:r>
      <w:r w:rsidRPr="005B57DB">
        <w:rPr>
          <w:rFonts w:ascii="Palatino Linotype" w:eastAsia="Palatino Linotype" w:hAnsi="Palatino Linotype" w:cs="Palatino Linotype"/>
        </w:rPr>
        <w:t xml:space="preserve">vía </w:t>
      </w:r>
      <w:r w:rsidRPr="005B57DB">
        <w:rPr>
          <w:rFonts w:ascii="Palatino Linotype" w:eastAsia="Palatino Linotype" w:hAnsi="Palatino Linotype" w:cs="Palatino Linotype"/>
          <w:b/>
        </w:rPr>
        <w:t>SAIMEX</w:t>
      </w:r>
      <w:r w:rsidRPr="005B57DB">
        <w:rPr>
          <w:rFonts w:ascii="Palatino Linotype" w:eastAsia="Palatino Linotype" w:hAnsi="Palatino Linotype" w:cs="Palatino Linotype"/>
        </w:rPr>
        <w:t xml:space="preserve"> a la parte </w:t>
      </w:r>
      <w:r w:rsidRPr="005B57DB">
        <w:rPr>
          <w:rFonts w:ascii="Palatino Linotype" w:eastAsia="Palatino Linotype" w:hAnsi="Palatino Linotype" w:cs="Palatino Linotype"/>
          <w:b/>
        </w:rPr>
        <w:t>Recurrente</w:t>
      </w:r>
      <w:r w:rsidRPr="005B57DB">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6B03A86A" w14:textId="77777777" w:rsidR="00B1455F" w:rsidRDefault="006A158B">
      <w:pPr>
        <w:tabs>
          <w:tab w:val="left" w:pos="8647"/>
        </w:tabs>
        <w:spacing w:before="240" w:after="240" w:line="360" w:lineRule="auto"/>
        <w:ind w:right="51"/>
        <w:jc w:val="both"/>
        <w:rPr>
          <w:rFonts w:ascii="Palatino Linotype" w:eastAsia="Palatino Linotype" w:hAnsi="Palatino Linotype" w:cs="Palatino Linotype"/>
        </w:rPr>
      </w:pPr>
      <w:bookmarkStart w:id="16" w:name="_heading=h.lnxbz9" w:colFirst="0" w:colLast="0"/>
      <w:bookmarkEnd w:id="16"/>
      <w:r w:rsidRPr="005B57D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w:t>
      </w:r>
      <w:r w:rsidR="007F428D" w:rsidRPr="005B57DB">
        <w:rPr>
          <w:rFonts w:ascii="Palatino Linotype" w:eastAsia="Palatino Linotype" w:hAnsi="Palatino Linotype" w:cs="Palatino Linotype"/>
        </w:rPr>
        <w:t>NEZ, LUIS GUSTAVO PARRA NORIEGA</w:t>
      </w:r>
      <w:r w:rsidRPr="005B57DB">
        <w:rPr>
          <w:rFonts w:ascii="Palatino Linotype" w:eastAsia="Palatino Linotype" w:hAnsi="Palatino Linotype" w:cs="Palatino Linotype"/>
        </w:rPr>
        <w:t xml:space="preserve"> </w:t>
      </w:r>
      <w:r w:rsidR="007F428D" w:rsidRPr="005B57DB">
        <w:rPr>
          <w:rFonts w:ascii="Palatino Linotype" w:eastAsia="Palatino Linotype" w:hAnsi="Palatino Linotype" w:cs="Palatino Linotype"/>
        </w:rPr>
        <w:t>(EMITIENDO VOTO PARTICULAR) Y GUADALUPE RAMÍREZ PEÑA</w:t>
      </w:r>
      <w:r w:rsidRPr="005B57DB">
        <w:rPr>
          <w:rFonts w:ascii="Palatino Linotype" w:eastAsia="Palatino Linotype" w:hAnsi="Palatino Linotype" w:cs="Palatino Linotype"/>
        </w:rPr>
        <w:t xml:space="preserve"> </w:t>
      </w:r>
      <w:r w:rsidR="007F428D" w:rsidRPr="005B57DB">
        <w:rPr>
          <w:rFonts w:ascii="Palatino Linotype" w:eastAsia="Palatino Linotype" w:hAnsi="Palatino Linotype" w:cs="Palatino Linotype"/>
        </w:rPr>
        <w:t>(</w:t>
      </w:r>
      <w:r w:rsidRPr="005B57DB">
        <w:rPr>
          <w:rFonts w:ascii="Palatino Linotype" w:eastAsia="Palatino Linotype" w:hAnsi="Palatino Linotype" w:cs="Palatino Linotype"/>
        </w:rPr>
        <w:t xml:space="preserve">EMITIENDO VOTO </w:t>
      </w:r>
      <w:r w:rsidR="007F428D" w:rsidRPr="005B57DB">
        <w:rPr>
          <w:rFonts w:ascii="Palatino Linotype" w:eastAsia="Palatino Linotype" w:hAnsi="Palatino Linotype" w:cs="Palatino Linotype"/>
        </w:rPr>
        <w:lastRenderedPageBreak/>
        <w:t>PARTICULAR)</w:t>
      </w:r>
      <w:r w:rsidRPr="005B57DB">
        <w:rPr>
          <w:rFonts w:ascii="Palatino Linotype" w:eastAsia="Palatino Linotype" w:hAnsi="Palatino Linotype" w:cs="Palatino Linotype"/>
        </w:rPr>
        <w:t xml:space="preserve"> EN LA DÉCIMA SEGUNDA SESIÓN ORDINARIA CELEBRADA EL DOS DE ABRIL DE DOS MIL VEINTICINCO, ANTE EL SECRETARIO TÉCNICO DEL PLENO ALEXIS TAPIA RAMÍREZ.</w:t>
      </w:r>
    </w:p>
    <w:p w14:paraId="0660D7AF"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4C3EFAB6"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2725036B"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5200D78B"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0559C7C4"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60515CA1"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2C5B6FB2"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4AD8C605"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79319D28"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7F670495"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2E27CE7A"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4828EC05"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64F36384"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683DA7C7"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205A5B8E"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45771D65" w14:textId="77777777" w:rsidR="007F428D" w:rsidRDefault="007F428D">
      <w:pPr>
        <w:tabs>
          <w:tab w:val="left" w:pos="8647"/>
        </w:tabs>
        <w:spacing w:before="240" w:after="240" w:line="360" w:lineRule="auto"/>
        <w:ind w:right="51"/>
        <w:jc w:val="both"/>
        <w:rPr>
          <w:rFonts w:ascii="Palatino Linotype" w:eastAsia="Palatino Linotype" w:hAnsi="Palatino Linotype" w:cs="Palatino Linotype"/>
        </w:rPr>
      </w:pPr>
    </w:p>
    <w:p w14:paraId="05AF781F" w14:textId="77777777" w:rsidR="00B1455F" w:rsidRDefault="00B1455F">
      <w:pPr>
        <w:spacing w:line="360" w:lineRule="auto"/>
        <w:jc w:val="both"/>
        <w:rPr>
          <w:rFonts w:ascii="Palatino Linotype" w:eastAsia="Palatino Linotype" w:hAnsi="Palatino Linotype" w:cs="Palatino Linotype"/>
        </w:rPr>
      </w:pPr>
    </w:p>
    <w:p w14:paraId="379FFB3A" w14:textId="77777777" w:rsidR="00B1455F" w:rsidRDefault="00B1455F">
      <w:pPr>
        <w:spacing w:line="360" w:lineRule="auto"/>
        <w:jc w:val="center"/>
        <w:rPr>
          <w:rFonts w:ascii="Palatino Linotype" w:eastAsia="Palatino Linotype" w:hAnsi="Palatino Linotype" w:cs="Palatino Linotype"/>
        </w:rPr>
      </w:pPr>
    </w:p>
    <w:p w14:paraId="0F75C23B" w14:textId="77777777" w:rsidR="00B1455F" w:rsidRDefault="00B1455F">
      <w:pPr>
        <w:spacing w:line="360" w:lineRule="auto"/>
        <w:jc w:val="both"/>
        <w:rPr>
          <w:rFonts w:ascii="Palatino Linotype" w:eastAsia="Palatino Linotype" w:hAnsi="Palatino Linotype" w:cs="Palatino Linotype"/>
        </w:rPr>
      </w:pPr>
    </w:p>
    <w:p w14:paraId="33A902F6" w14:textId="77777777" w:rsidR="00B1455F" w:rsidRDefault="00B1455F">
      <w:pPr>
        <w:spacing w:line="360" w:lineRule="auto"/>
        <w:jc w:val="both"/>
        <w:rPr>
          <w:rFonts w:ascii="Palatino Linotype" w:eastAsia="Palatino Linotype" w:hAnsi="Palatino Linotype" w:cs="Palatino Linotype"/>
        </w:rPr>
      </w:pPr>
    </w:p>
    <w:p w14:paraId="75E373AD" w14:textId="77777777" w:rsidR="00B1455F" w:rsidRDefault="00B1455F">
      <w:pPr>
        <w:spacing w:line="360" w:lineRule="auto"/>
        <w:jc w:val="both"/>
        <w:rPr>
          <w:rFonts w:ascii="Palatino Linotype" w:eastAsia="Palatino Linotype" w:hAnsi="Palatino Linotype" w:cs="Palatino Linotype"/>
        </w:rPr>
      </w:pPr>
    </w:p>
    <w:p w14:paraId="31D9ABA9" w14:textId="77777777" w:rsidR="00B1455F" w:rsidRDefault="00B1455F">
      <w:pPr>
        <w:spacing w:line="360" w:lineRule="auto"/>
        <w:jc w:val="both"/>
        <w:rPr>
          <w:rFonts w:ascii="Palatino Linotype" w:eastAsia="Palatino Linotype" w:hAnsi="Palatino Linotype" w:cs="Palatino Linotype"/>
        </w:rPr>
      </w:pPr>
    </w:p>
    <w:p w14:paraId="069B36F5" w14:textId="77777777" w:rsidR="00B1455F" w:rsidRDefault="00B1455F">
      <w:pPr>
        <w:spacing w:line="360" w:lineRule="auto"/>
        <w:jc w:val="both"/>
        <w:rPr>
          <w:rFonts w:ascii="Palatino Linotype" w:eastAsia="Palatino Linotype" w:hAnsi="Palatino Linotype" w:cs="Palatino Linotype"/>
        </w:rPr>
      </w:pPr>
    </w:p>
    <w:p w14:paraId="0B981033" w14:textId="77777777" w:rsidR="00B1455F" w:rsidRDefault="00B1455F">
      <w:pPr>
        <w:spacing w:line="360" w:lineRule="auto"/>
        <w:jc w:val="both"/>
        <w:rPr>
          <w:rFonts w:ascii="Palatino Linotype" w:eastAsia="Palatino Linotype" w:hAnsi="Palatino Linotype" w:cs="Palatino Linotype"/>
        </w:rPr>
      </w:pPr>
    </w:p>
    <w:p w14:paraId="63B23B08" w14:textId="77777777" w:rsidR="00B1455F" w:rsidRDefault="00B1455F">
      <w:pPr>
        <w:spacing w:line="360" w:lineRule="auto"/>
        <w:jc w:val="both"/>
        <w:rPr>
          <w:rFonts w:ascii="Palatino Linotype" w:eastAsia="Palatino Linotype" w:hAnsi="Palatino Linotype" w:cs="Palatino Linotype"/>
        </w:rPr>
      </w:pPr>
    </w:p>
    <w:p w14:paraId="478F9F30" w14:textId="77777777" w:rsidR="00B1455F" w:rsidRDefault="00B1455F">
      <w:pPr>
        <w:spacing w:line="360" w:lineRule="auto"/>
        <w:jc w:val="both"/>
        <w:rPr>
          <w:rFonts w:ascii="Palatino Linotype" w:eastAsia="Palatino Linotype" w:hAnsi="Palatino Linotype" w:cs="Palatino Linotype"/>
        </w:rPr>
      </w:pPr>
    </w:p>
    <w:p w14:paraId="6BDAC2E3" w14:textId="77777777" w:rsidR="00B1455F" w:rsidRDefault="00B1455F">
      <w:pPr>
        <w:spacing w:line="360" w:lineRule="auto"/>
        <w:jc w:val="both"/>
        <w:rPr>
          <w:rFonts w:ascii="Palatino Linotype" w:eastAsia="Palatino Linotype" w:hAnsi="Palatino Linotype" w:cs="Palatino Linotype"/>
        </w:rPr>
      </w:pPr>
    </w:p>
    <w:p w14:paraId="42735F1F" w14:textId="77777777" w:rsidR="00B1455F" w:rsidRDefault="00B1455F">
      <w:pPr>
        <w:spacing w:line="360" w:lineRule="auto"/>
        <w:jc w:val="both"/>
        <w:rPr>
          <w:rFonts w:ascii="Palatino Linotype" w:eastAsia="Palatino Linotype" w:hAnsi="Palatino Linotype" w:cs="Palatino Linotype"/>
        </w:rPr>
      </w:pPr>
    </w:p>
    <w:p w14:paraId="5F150E63" w14:textId="77777777" w:rsidR="00B1455F" w:rsidRDefault="00B1455F">
      <w:pPr>
        <w:spacing w:line="360" w:lineRule="auto"/>
        <w:jc w:val="both"/>
        <w:rPr>
          <w:rFonts w:ascii="Palatino Linotype" w:eastAsia="Palatino Linotype" w:hAnsi="Palatino Linotype" w:cs="Palatino Linotype"/>
        </w:rPr>
      </w:pPr>
    </w:p>
    <w:sectPr w:rsidR="00B1455F">
      <w:headerReference w:type="default" r:id="rId19"/>
      <w:footerReference w:type="default" r:id="rId20"/>
      <w:headerReference w:type="first" r:id="rId21"/>
      <w:footerReference w:type="first" r:id="rId2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D749" w14:textId="77777777" w:rsidR="00942486" w:rsidRDefault="00942486">
      <w:r>
        <w:separator/>
      </w:r>
    </w:p>
  </w:endnote>
  <w:endnote w:type="continuationSeparator" w:id="0">
    <w:p w14:paraId="386AC5D5" w14:textId="77777777" w:rsidR="00942486" w:rsidRDefault="0094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53A7" w14:textId="77777777" w:rsidR="00B1455F" w:rsidRDefault="006A158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B57DB">
      <w:rPr>
        <w:rFonts w:ascii="Palatino Linotype" w:eastAsia="Palatino Linotype" w:hAnsi="Palatino Linotype" w:cs="Palatino Linotype"/>
        <w:b/>
        <w:noProof/>
        <w:color w:val="000000"/>
        <w:sz w:val="20"/>
        <w:szCs w:val="20"/>
      </w:rPr>
      <w:t>52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B57DB">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46A72D32" w14:textId="77777777" w:rsidR="00B1455F" w:rsidRDefault="00B1455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B74A" w14:textId="77777777" w:rsidR="00B1455F" w:rsidRDefault="006A158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B57D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B57DB">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7BC44EDF" w14:textId="77777777" w:rsidR="00B1455F" w:rsidRDefault="00B1455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0837D" w14:textId="77777777" w:rsidR="00942486" w:rsidRDefault="00942486">
      <w:r>
        <w:separator/>
      </w:r>
    </w:p>
  </w:footnote>
  <w:footnote w:type="continuationSeparator" w:id="0">
    <w:p w14:paraId="691DA74E" w14:textId="77777777" w:rsidR="00942486" w:rsidRDefault="00942486">
      <w:r>
        <w:continuationSeparator/>
      </w:r>
    </w:p>
  </w:footnote>
  <w:footnote w:id="1">
    <w:p w14:paraId="019E4E19" w14:textId="77777777" w:rsidR="00B1455F" w:rsidRDefault="006A158B">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XX.308 K, </w:t>
      </w:r>
      <w:r>
        <w:rPr>
          <w:rFonts w:ascii="Palatino Linotype" w:eastAsia="Palatino Linotype" w:hAnsi="Palatino Linotype" w:cs="Palatino Linotype"/>
          <w:i/>
          <w:color w:val="000000"/>
          <w:sz w:val="16"/>
          <w:szCs w:val="16"/>
        </w:rPr>
        <w:t>Semanario Judicial de la Federación</w:t>
      </w:r>
      <w:r>
        <w:rPr>
          <w:rFonts w:ascii="Palatino Linotype" w:eastAsia="Palatino Linotype" w:hAnsi="Palatino Linotype" w:cs="Palatino Linotype"/>
          <w:color w:val="000000"/>
          <w:sz w:val="16"/>
          <w:szCs w:val="16"/>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3E0C" w14:textId="77777777" w:rsidR="00B1455F" w:rsidRDefault="006A158B">
    <w:pPr>
      <w:rPr>
        <w:rFonts w:ascii="Cambria" w:eastAsia="Cambria" w:hAnsi="Cambria" w:cs="Cambria"/>
        <w:color w:val="000000"/>
      </w:rPr>
    </w:pPr>
    <w:r>
      <w:rPr>
        <w:noProof/>
      </w:rPr>
      <w:drawing>
        <wp:anchor distT="0" distB="0" distL="0" distR="0" simplePos="0" relativeHeight="251658240" behindDoc="1" locked="0" layoutInCell="1" hidden="0" allowOverlap="1" wp14:anchorId="34E52005" wp14:editId="550A348F">
          <wp:simplePos x="0" y="0"/>
          <wp:positionH relativeFrom="column">
            <wp:posOffset>-1080094</wp:posOffset>
          </wp:positionH>
          <wp:positionV relativeFrom="paragraph">
            <wp:posOffset>-488266</wp:posOffset>
          </wp:positionV>
          <wp:extent cx="7809865" cy="10165715"/>
          <wp:effectExtent l="0" t="0" r="0" b="0"/>
          <wp:wrapNone/>
          <wp:docPr id="214013184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4"/>
      <w:tblW w:w="5953" w:type="dxa"/>
      <w:tblInd w:w="3261" w:type="dxa"/>
      <w:tblLayout w:type="fixed"/>
      <w:tblLook w:val="0400" w:firstRow="0" w:lastRow="0" w:firstColumn="0" w:lastColumn="0" w:noHBand="0" w:noVBand="1"/>
    </w:tblPr>
    <w:tblGrid>
      <w:gridCol w:w="2489"/>
      <w:gridCol w:w="3464"/>
    </w:tblGrid>
    <w:tr w:rsidR="00B1455F" w14:paraId="63D43962" w14:textId="77777777">
      <w:tc>
        <w:tcPr>
          <w:tcW w:w="2489" w:type="dxa"/>
          <w:shd w:val="clear" w:color="auto" w:fill="auto"/>
        </w:tcPr>
        <w:p w14:paraId="59F72873" w14:textId="77777777" w:rsidR="00B1455F" w:rsidRDefault="006A15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9D7B8AA" w14:textId="77777777" w:rsidR="00B1455F" w:rsidRDefault="006A158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01784/INFOEM/IP/RR/2025</w:t>
          </w:r>
        </w:p>
      </w:tc>
    </w:tr>
    <w:tr w:rsidR="00B1455F" w14:paraId="739CACC9" w14:textId="77777777">
      <w:trPr>
        <w:trHeight w:val="228"/>
      </w:trPr>
      <w:tc>
        <w:tcPr>
          <w:tcW w:w="2489" w:type="dxa"/>
          <w:shd w:val="clear" w:color="auto" w:fill="auto"/>
          <w:vAlign w:val="center"/>
        </w:tcPr>
        <w:p w14:paraId="5FAA4688" w14:textId="77777777" w:rsidR="00B1455F" w:rsidRDefault="006A15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260B8C2" w14:textId="77777777" w:rsidR="00B1455F" w:rsidRDefault="006A158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Atlacomulco</w:t>
          </w:r>
        </w:p>
      </w:tc>
    </w:tr>
    <w:tr w:rsidR="00B1455F" w14:paraId="20C4F984" w14:textId="77777777">
      <w:tc>
        <w:tcPr>
          <w:tcW w:w="2489" w:type="dxa"/>
          <w:shd w:val="clear" w:color="auto" w:fill="auto"/>
          <w:vAlign w:val="center"/>
        </w:tcPr>
        <w:p w14:paraId="5C9D91B4" w14:textId="77777777" w:rsidR="00B1455F" w:rsidRDefault="006A158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3EB9BCE" w14:textId="77777777" w:rsidR="00B1455F" w:rsidRDefault="006A158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FA501F6" w14:textId="77777777" w:rsidR="00B1455F" w:rsidRDefault="006A158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7AF2" w14:textId="77777777" w:rsidR="00B1455F" w:rsidRDefault="006A158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38F3C80" wp14:editId="2910B937">
          <wp:simplePos x="0" y="0"/>
          <wp:positionH relativeFrom="column">
            <wp:posOffset>-1080120</wp:posOffset>
          </wp:positionH>
          <wp:positionV relativeFrom="paragraph">
            <wp:posOffset>-369895</wp:posOffset>
          </wp:positionV>
          <wp:extent cx="7809865" cy="10165715"/>
          <wp:effectExtent l="0" t="0" r="0" b="0"/>
          <wp:wrapNone/>
          <wp:docPr id="21401318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5953" w:type="dxa"/>
      <w:tblInd w:w="3261" w:type="dxa"/>
      <w:tblLayout w:type="fixed"/>
      <w:tblLook w:val="0400" w:firstRow="0" w:lastRow="0" w:firstColumn="0" w:lastColumn="0" w:noHBand="0" w:noVBand="1"/>
    </w:tblPr>
    <w:tblGrid>
      <w:gridCol w:w="2489"/>
      <w:gridCol w:w="3464"/>
    </w:tblGrid>
    <w:tr w:rsidR="00B1455F" w14:paraId="4CCDB63E" w14:textId="77777777">
      <w:tc>
        <w:tcPr>
          <w:tcW w:w="2489" w:type="dxa"/>
          <w:shd w:val="clear" w:color="auto" w:fill="auto"/>
        </w:tcPr>
        <w:p w14:paraId="78658721" w14:textId="77777777" w:rsidR="00B1455F" w:rsidRDefault="006A15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9FDE882" w14:textId="77777777" w:rsidR="00B1455F" w:rsidRDefault="006A158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01784/INFOEM/IP/RR/2025</w:t>
          </w:r>
        </w:p>
      </w:tc>
    </w:tr>
    <w:tr w:rsidR="00B1455F" w14:paraId="0E12D911" w14:textId="77777777">
      <w:tc>
        <w:tcPr>
          <w:tcW w:w="2489" w:type="dxa"/>
          <w:shd w:val="clear" w:color="auto" w:fill="auto"/>
        </w:tcPr>
        <w:p w14:paraId="0AD53B66" w14:textId="77777777" w:rsidR="00B1455F" w:rsidRDefault="006A15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3154677C" w14:textId="77777777" w:rsidR="00B1455F" w:rsidRDefault="00B1455F">
          <w:pPr>
            <w:ind w:right="175"/>
            <w:jc w:val="both"/>
            <w:rPr>
              <w:rFonts w:ascii="Palatino Linotype" w:eastAsia="Palatino Linotype" w:hAnsi="Palatino Linotype" w:cs="Palatino Linotype"/>
              <w:b/>
              <w:sz w:val="22"/>
              <w:szCs w:val="22"/>
            </w:rPr>
          </w:pPr>
        </w:p>
      </w:tc>
    </w:tr>
    <w:tr w:rsidR="00B1455F" w14:paraId="6C9662CD" w14:textId="77777777">
      <w:trPr>
        <w:trHeight w:val="228"/>
      </w:trPr>
      <w:tc>
        <w:tcPr>
          <w:tcW w:w="2489" w:type="dxa"/>
          <w:shd w:val="clear" w:color="auto" w:fill="auto"/>
          <w:vAlign w:val="center"/>
        </w:tcPr>
        <w:p w14:paraId="041E0C90" w14:textId="77777777" w:rsidR="00B1455F" w:rsidRDefault="006A15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FD4AA4F" w14:textId="77777777" w:rsidR="00B1455F" w:rsidRDefault="006A158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Atlacomulco</w:t>
          </w:r>
        </w:p>
      </w:tc>
    </w:tr>
    <w:tr w:rsidR="00B1455F" w14:paraId="29BD7DB7" w14:textId="77777777">
      <w:tc>
        <w:tcPr>
          <w:tcW w:w="2489" w:type="dxa"/>
          <w:shd w:val="clear" w:color="auto" w:fill="auto"/>
          <w:vAlign w:val="center"/>
        </w:tcPr>
        <w:p w14:paraId="605944F6" w14:textId="77777777" w:rsidR="00B1455F" w:rsidRDefault="006A158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BB7802F" w14:textId="77777777" w:rsidR="00B1455F" w:rsidRDefault="006A158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58CABDF" w14:textId="77777777" w:rsidR="00B1455F" w:rsidRDefault="00B145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2C"/>
    <w:multiLevelType w:val="multilevel"/>
    <w:tmpl w:val="66345DC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C471EF3"/>
    <w:multiLevelType w:val="multilevel"/>
    <w:tmpl w:val="2A126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45490E"/>
    <w:multiLevelType w:val="multilevel"/>
    <w:tmpl w:val="A06A7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205951"/>
    <w:multiLevelType w:val="multilevel"/>
    <w:tmpl w:val="974A7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6C3143"/>
    <w:multiLevelType w:val="multilevel"/>
    <w:tmpl w:val="2A6A7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6C1D86"/>
    <w:multiLevelType w:val="multilevel"/>
    <w:tmpl w:val="A59009F0"/>
    <w:lvl w:ilvl="0">
      <w:start w:val="1"/>
      <w:numFmt w:val="lowerRoman"/>
      <w:pStyle w:val="Listaconvietas3"/>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CF44D4E"/>
    <w:multiLevelType w:val="multilevel"/>
    <w:tmpl w:val="FBF6D138"/>
    <w:lvl w:ilvl="0">
      <w:start w:val="1"/>
      <w:numFmt w:val="lowerRoman"/>
      <w:pStyle w:val="Listaconvietas"/>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00024DE"/>
    <w:multiLevelType w:val="multilevel"/>
    <w:tmpl w:val="180E496C"/>
    <w:lvl w:ilvl="0">
      <w:start w:val="1"/>
      <w:numFmt w:val="lowerRoman"/>
      <w:pStyle w:val="Listaconvietas2"/>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5F"/>
    <w:rsid w:val="005B57DB"/>
    <w:rsid w:val="006A158B"/>
    <w:rsid w:val="007F428D"/>
    <w:rsid w:val="00942486"/>
    <w:rsid w:val="009F0619"/>
    <w:rsid w:val="00B1455F"/>
    <w:rsid w:val="00ED0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0E2"/>
  <w15:docId w15:val="{AE284E9A-59AE-4A3A-9153-924A997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15" w:type="dxa"/>
        <w:right w:w="115" w:type="dxa"/>
      </w:tblCellMar>
    </w:tblPr>
  </w:style>
  <w:style w:type="table" w:customStyle="1" w:styleId="a0">
    <w:basedOn w:val="TableNormale"/>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c"/>
    <w:tblPr>
      <w:tblStyleRowBandSize w:val="1"/>
      <w:tblStyleColBandSize w:val="1"/>
      <w:tblCellMar>
        <w:left w:w="108" w:type="dxa"/>
        <w:right w:w="108" w:type="dxa"/>
      </w:tblCellMar>
    </w:tblPr>
  </w:style>
  <w:style w:type="table" w:customStyle="1" w:styleId="a6">
    <w:basedOn w:val="TableNormalc"/>
    <w:tblPr>
      <w:tblStyleRowBandSize w:val="1"/>
      <w:tblStyleColBandSize w:val="1"/>
      <w:tblCellMar>
        <w:left w:w="108" w:type="dxa"/>
        <w:right w:w="108" w:type="dxa"/>
      </w:tblCellMar>
    </w:tblPr>
  </w:style>
  <w:style w:type="table" w:customStyle="1" w:styleId="a7">
    <w:basedOn w:val="TableNormalc"/>
    <w:tblPr>
      <w:tblStyleRowBandSize w:val="1"/>
      <w:tblStyleColBandSize w:val="1"/>
      <w:tblCellMar>
        <w:left w:w="108" w:type="dxa"/>
        <w:right w:w="108" w:type="dxa"/>
      </w:tblCellMar>
    </w:tblPr>
  </w:style>
  <w:style w:type="table" w:customStyle="1" w:styleId="a8">
    <w:basedOn w:val="TableNormalc"/>
    <w:tblPr>
      <w:tblStyleRowBandSize w:val="1"/>
      <w:tblStyleColBandSize w:val="1"/>
      <w:tblCellMar>
        <w:left w:w="108" w:type="dxa"/>
        <w:right w:w="108" w:type="dxa"/>
      </w:tblCellMar>
    </w:tblPr>
  </w:style>
  <w:style w:type="table" w:customStyle="1" w:styleId="a9">
    <w:basedOn w:val="TableNormalc"/>
    <w:tblPr>
      <w:tblStyleRowBandSize w:val="1"/>
      <w:tblStyleColBandSize w:val="1"/>
      <w:tblCellMar>
        <w:left w:w="108" w:type="dxa"/>
        <w:right w:w="108"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paragraph" w:styleId="Listaconvietas">
    <w:name w:val="List Bullet"/>
    <w:basedOn w:val="Normal"/>
    <w:uiPriority w:val="99"/>
    <w:unhideWhenUsed/>
    <w:rsid w:val="00E55BB0"/>
    <w:pPr>
      <w:numPr>
        <w:numId w:val="2"/>
      </w:numPr>
      <w:contextualSpacing/>
    </w:pPr>
  </w:style>
  <w:style w:type="paragraph" w:styleId="Listaconvietas2">
    <w:name w:val="List Bullet 2"/>
    <w:basedOn w:val="Normal"/>
    <w:uiPriority w:val="99"/>
    <w:unhideWhenUsed/>
    <w:rsid w:val="00240AD1"/>
    <w:pPr>
      <w:numPr>
        <w:numId w:val="8"/>
      </w:numPr>
      <w:contextualSpacing/>
    </w:p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ecretariadoejecutivo.gob.mx/work/models/SecretariadoEjecutivo/Resource/328/1/images/instructivo_final_edo_fuerza(1).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8.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61txuQYA6ejNgsxL0fY7NdvABw==">CgMxLjAyCWguM3JkY3JqbjIOaC5kYWozajJ4bzZxNjYyCGguZ2pkZ3hzMgloLjNkeTZ2a20yCWguMzBqMHpsbDIJaC4yczhleW8xMghoLnR5amN3dDIJaC4zem55c2g3MgloLjJldDkycDAyCWguMjZpbjFyZzIJaC4zNW5rdW4yMgloLjFrc3Y0dXYyDmguOTU0ZWJobzE1NHp4MgloLjF0M2g1c2YyCWguMWZvYjl0ZTIOaC5vdDNxcTZ2eGEwOGYyCGgubG54Yno5OAByITE3aVY3VFZpSkVSN3dOczAxMHp4QWhNMDg5Z09yNzR4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12892</Words>
  <Characters>70909</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2025-04-04T17:04:00Z</cp:lastPrinted>
  <dcterms:created xsi:type="dcterms:W3CDTF">2025-05-06T19:46:00Z</dcterms:created>
  <dcterms:modified xsi:type="dcterms:W3CDTF">2025-05-06T19:46:00Z</dcterms:modified>
</cp:coreProperties>
</file>