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60B04"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treinta de abril de dos mil veinticinco. </w:t>
      </w:r>
    </w:p>
    <w:p w14:paraId="6AD167A6"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7E824B47"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Visto</w:t>
      </w:r>
      <w:r w:rsidRPr="00C106BE">
        <w:rPr>
          <w:rFonts w:ascii="Palatino Linotype" w:eastAsia="Palatino Linotype" w:hAnsi="Palatino Linotype" w:cs="Palatino Linotype"/>
          <w:sz w:val="22"/>
          <w:szCs w:val="22"/>
        </w:rPr>
        <w:t xml:space="preserve"> el expediente relativo al recurso de revisión </w:t>
      </w:r>
      <w:r w:rsidRPr="00C106BE">
        <w:rPr>
          <w:rFonts w:ascii="Palatino Linotype" w:eastAsia="Palatino Linotype" w:hAnsi="Palatino Linotype" w:cs="Palatino Linotype"/>
          <w:b/>
          <w:sz w:val="22"/>
          <w:szCs w:val="22"/>
        </w:rPr>
        <w:t>02024/INFOEM/IP/RR/2025</w:t>
      </w:r>
      <w:r w:rsidRPr="00C106BE">
        <w:rPr>
          <w:rFonts w:ascii="Palatino Linotype" w:eastAsia="Palatino Linotype" w:hAnsi="Palatino Linotype" w:cs="Palatino Linotype"/>
          <w:sz w:val="22"/>
          <w:szCs w:val="22"/>
        </w:rPr>
        <w:t xml:space="preserve">, interpuesto por </w:t>
      </w:r>
      <w:r w:rsidRPr="00C106BE">
        <w:rPr>
          <w:rFonts w:ascii="Palatino Linotype" w:eastAsia="Palatino Linotype" w:hAnsi="Palatino Linotype" w:cs="Palatino Linotype"/>
          <w:b/>
          <w:sz w:val="22"/>
          <w:szCs w:val="22"/>
        </w:rPr>
        <w:t xml:space="preserve">un particular que no proporcionó nombre o seudónimo para ser identificado, </w:t>
      </w:r>
      <w:r w:rsidRPr="00C106BE">
        <w:rPr>
          <w:rFonts w:ascii="Palatino Linotype" w:eastAsia="Palatino Linotype" w:hAnsi="Palatino Linotype" w:cs="Palatino Linotype"/>
          <w:sz w:val="22"/>
          <w:szCs w:val="22"/>
        </w:rPr>
        <w:t>en lo sucesivo se le denominará la parte</w:t>
      </w:r>
      <w:r w:rsidRPr="00C106BE">
        <w:rPr>
          <w:rFonts w:ascii="Palatino Linotype" w:eastAsia="Palatino Linotype" w:hAnsi="Palatino Linotype" w:cs="Palatino Linotype"/>
          <w:b/>
          <w:sz w:val="22"/>
          <w:szCs w:val="22"/>
        </w:rPr>
        <w:t xml:space="preserve"> Recurrente</w:t>
      </w:r>
      <w:r w:rsidRPr="00C106BE">
        <w:rPr>
          <w:rFonts w:ascii="Palatino Linotype" w:eastAsia="Palatino Linotype" w:hAnsi="Palatino Linotype" w:cs="Palatino Linotype"/>
          <w:sz w:val="22"/>
          <w:szCs w:val="22"/>
        </w:rPr>
        <w:t>, en contra de la respuesta a su solicitud de información con número de folio</w:t>
      </w:r>
      <w:r w:rsidRPr="00C106BE">
        <w:rPr>
          <w:rFonts w:ascii="Palatino Linotype" w:eastAsia="Palatino Linotype" w:hAnsi="Palatino Linotype" w:cs="Palatino Linotype"/>
          <w:b/>
          <w:sz w:val="22"/>
          <w:szCs w:val="22"/>
        </w:rPr>
        <w:t xml:space="preserve"> 00642/TOLUCA/IP/2025</w:t>
      </w:r>
      <w:r w:rsidRPr="00C106BE">
        <w:rPr>
          <w:rFonts w:ascii="Palatino Linotype" w:eastAsia="Palatino Linotype" w:hAnsi="Palatino Linotype" w:cs="Palatino Linotype"/>
          <w:sz w:val="22"/>
          <w:szCs w:val="22"/>
        </w:rPr>
        <w:t xml:space="preserve">, por parte del </w:t>
      </w:r>
      <w:r w:rsidRPr="00C106BE">
        <w:rPr>
          <w:rFonts w:ascii="Palatino Linotype" w:eastAsia="Palatino Linotype" w:hAnsi="Palatino Linotype" w:cs="Palatino Linotype"/>
          <w:b/>
          <w:sz w:val="22"/>
          <w:szCs w:val="22"/>
        </w:rPr>
        <w:t xml:space="preserve">Ayuntamiento de Toluca </w:t>
      </w:r>
      <w:r w:rsidRPr="00C106BE">
        <w:rPr>
          <w:rFonts w:ascii="Palatino Linotype" w:eastAsia="Palatino Linotype" w:hAnsi="Palatino Linotype" w:cs="Palatino Linotype"/>
          <w:sz w:val="22"/>
          <w:szCs w:val="22"/>
        </w:rPr>
        <w:t xml:space="preserve">en lo sucesivo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w:t>
      </w:r>
      <w:r w:rsidRPr="00C106BE">
        <w:rPr>
          <w:rFonts w:ascii="Palatino Linotype" w:eastAsia="Palatino Linotype" w:hAnsi="Palatino Linotype" w:cs="Palatino Linotype"/>
          <w:b/>
          <w:sz w:val="22"/>
          <w:szCs w:val="22"/>
        </w:rPr>
        <w:t xml:space="preserve"> </w:t>
      </w:r>
      <w:r w:rsidRPr="00C106BE">
        <w:rPr>
          <w:rFonts w:ascii="Palatino Linotype" w:eastAsia="Palatino Linotype" w:hAnsi="Palatino Linotype" w:cs="Palatino Linotype"/>
          <w:sz w:val="22"/>
          <w:szCs w:val="22"/>
        </w:rPr>
        <w:t>se procede a dictar la presente resolución, con base en los siguientes:</w:t>
      </w:r>
    </w:p>
    <w:p w14:paraId="678EEC49"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710B9258" w14:textId="77777777" w:rsidR="00E80A74" w:rsidRPr="00C106BE" w:rsidRDefault="005878FD">
      <w:pPr>
        <w:numPr>
          <w:ilvl w:val="0"/>
          <w:numId w:val="8"/>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C106BE">
        <w:rPr>
          <w:rFonts w:ascii="Palatino Linotype" w:eastAsia="Palatino Linotype" w:hAnsi="Palatino Linotype" w:cs="Palatino Linotype"/>
          <w:b/>
          <w:color w:val="000000"/>
          <w:sz w:val="22"/>
          <w:szCs w:val="22"/>
        </w:rPr>
        <w:t>A N T E C E D E N T E S:</w:t>
      </w:r>
    </w:p>
    <w:p w14:paraId="0DCE3F6D" w14:textId="3067AF7F" w:rsidR="006F1091" w:rsidRPr="00C106BE" w:rsidRDefault="005878FD" w:rsidP="006F1091">
      <w:pPr>
        <w:numPr>
          <w:ilvl w:val="1"/>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b/>
          <w:sz w:val="22"/>
          <w:szCs w:val="22"/>
        </w:rPr>
      </w:pPr>
      <w:r w:rsidRPr="00C106BE">
        <w:rPr>
          <w:rFonts w:ascii="Palatino Linotype" w:eastAsia="Palatino Linotype" w:hAnsi="Palatino Linotype" w:cs="Palatino Linotype"/>
          <w:b/>
          <w:color w:val="000000"/>
          <w:sz w:val="22"/>
          <w:szCs w:val="22"/>
        </w:rPr>
        <w:t xml:space="preserve">Solicitud de acceso a la información. </w:t>
      </w:r>
      <w:r w:rsidR="006F1091" w:rsidRPr="00C106BE">
        <w:rPr>
          <w:rFonts w:ascii="Palatino Linotype" w:eastAsia="Palatino Linotype" w:hAnsi="Palatino Linotype" w:cs="Palatino Linotype"/>
          <w:sz w:val="22"/>
          <w:szCs w:val="22"/>
        </w:rPr>
        <w:t xml:space="preserve">El </w:t>
      </w:r>
      <w:r w:rsidR="006F1091" w:rsidRPr="00C106BE">
        <w:rPr>
          <w:rFonts w:ascii="Palatino Linotype" w:eastAsia="Palatino Linotype" w:hAnsi="Palatino Linotype" w:cs="Palatino Linotype"/>
          <w:b/>
          <w:sz w:val="22"/>
          <w:szCs w:val="22"/>
        </w:rPr>
        <w:t>tres de febrero del dos mil veinticinco,</w:t>
      </w:r>
      <w:r w:rsidR="006F1091" w:rsidRPr="00C106BE">
        <w:rPr>
          <w:rFonts w:ascii="Palatino Linotype" w:eastAsia="Palatino Linotype" w:hAnsi="Palatino Linotype" w:cs="Palatino Linotype"/>
          <w:sz w:val="22"/>
          <w:szCs w:val="22"/>
        </w:rPr>
        <w:t xml:space="preserve"> la parte </w:t>
      </w:r>
      <w:r w:rsidR="006F1091" w:rsidRPr="00C106BE">
        <w:rPr>
          <w:rFonts w:ascii="Palatino Linotype" w:eastAsia="Palatino Linotype" w:hAnsi="Palatino Linotype" w:cs="Palatino Linotype"/>
          <w:b/>
          <w:sz w:val="22"/>
          <w:szCs w:val="22"/>
        </w:rPr>
        <w:t xml:space="preserve">Recurrente </w:t>
      </w:r>
      <w:r w:rsidR="006F1091" w:rsidRPr="00C106BE">
        <w:rPr>
          <w:rFonts w:ascii="Palatino Linotype" w:eastAsia="Palatino Linotype" w:hAnsi="Palatino Linotype" w:cs="Palatino Linotype"/>
          <w:sz w:val="22"/>
          <w:szCs w:val="22"/>
        </w:rPr>
        <w:t xml:space="preserve">presentó su solicitud de acceso a la información ante el </w:t>
      </w:r>
      <w:r w:rsidR="006F1091" w:rsidRPr="00C106BE">
        <w:rPr>
          <w:rFonts w:ascii="Palatino Linotype" w:eastAsia="Palatino Linotype" w:hAnsi="Palatino Linotype" w:cs="Palatino Linotype"/>
          <w:b/>
          <w:sz w:val="22"/>
          <w:szCs w:val="22"/>
        </w:rPr>
        <w:t>Sujeto Obligado</w:t>
      </w:r>
      <w:r w:rsidR="006F1091" w:rsidRPr="00C106BE">
        <w:rPr>
          <w:rFonts w:ascii="Palatino Linotype" w:eastAsia="Palatino Linotype" w:hAnsi="Palatino Linotype" w:cs="Palatino Linotype"/>
          <w:sz w:val="22"/>
          <w:szCs w:val="22"/>
        </w:rPr>
        <w:t xml:space="preserve">, a través del Sistema de Acceso a la Información Mexiquense, en lo subsecuente el </w:t>
      </w:r>
      <w:r w:rsidR="006F1091" w:rsidRPr="00C106BE">
        <w:rPr>
          <w:rFonts w:ascii="Palatino Linotype" w:eastAsia="Palatino Linotype" w:hAnsi="Palatino Linotype" w:cs="Palatino Linotype"/>
          <w:b/>
          <w:sz w:val="22"/>
          <w:szCs w:val="22"/>
        </w:rPr>
        <w:t>SAIMEX,</w:t>
      </w:r>
      <w:r w:rsidR="006F1091" w:rsidRPr="00C106BE">
        <w:rPr>
          <w:rFonts w:ascii="Palatino Linotype" w:eastAsia="Palatino Linotype" w:hAnsi="Palatino Linotype" w:cs="Palatino Linotype"/>
          <w:sz w:val="22"/>
          <w:szCs w:val="22"/>
        </w:rPr>
        <w:t xml:space="preserve"> sin embargo, al corresponder a un día inhábil se tuvo por presentada el día </w:t>
      </w:r>
      <w:r w:rsidR="006F1091" w:rsidRPr="00C106BE">
        <w:rPr>
          <w:rFonts w:ascii="Palatino Linotype" w:eastAsia="Palatino Linotype" w:hAnsi="Palatino Linotype" w:cs="Palatino Linotype"/>
          <w:b/>
          <w:sz w:val="22"/>
          <w:szCs w:val="22"/>
        </w:rPr>
        <w:t>cuatro de febrero de dos mil veinticinco;</w:t>
      </w:r>
      <w:r w:rsidR="006F1091" w:rsidRPr="00C106BE">
        <w:rPr>
          <w:rFonts w:ascii="Palatino Linotype" w:eastAsia="Palatino Linotype" w:hAnsi="Palatino Linotype" w:cs="Palatino Linotype"/>
          <w:sz w:val="22"/>
          <w:szCs w:val="22"/>
        </w:rPr>
        <w:t xml:space="preserve"> mediante la cual requirió lo siguiente:</w:t>
      </w:r>
    </w:p>
    <w:p w14:paraId="285F72A1"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“El programa de obras de su administración el estatus de cada obra y la ficha técnica de </w:t>
      </w:r>
      <w:proofErr w:type="gramStart"/>
      <w:r w:rsidRPr="00C106BE">
        <w:rPr>
          <w:rFonts w:ascii="Palatino Linotype" w:eastAsia="Palatino Linotype" w:hAnsi="Palatino Linotype" w:cs="Palatino Linotype"/>
          <w:i/>
          <w:sz w:val="22"/>
          <w:szCs w:val="22"/>
        </w:rPr>
        <w:t>la especificaciones</w:t>
      </w:r>
      <w:proofErr w:type="gramEnd"/>
      <w:r w:rsidRPr="00C106BE">
        <w:rPr>
          <w:rFonts w:ascii="Palatino Linotype" w:eastAsia="Palatino Linotype" w:hAnsi="Palatino Linotype" w:cs="Palatino Linotype"/>
          <w:i/>
          <w:sz w:val="22"/>
          <w:szCs w:val="22"/>
        </w:rPr>
        <w:t xml:space="preserve"> de cada obra y </w:t>
      </w:r>
      <w:proofErr w:type="spellStart"/>
      <w:r w:rsidRPr="00C106BE">
        <w:rPr>
          <w:rFonts w:ascii="Palatino Linotype" w:eastAsia="Palatino Linotype" w:hAnsi="Palatino Linotype" w:cs="Palatino Linotype"/>
          <w:i/>
          <w:sz w:val="22"/>
          <w:szCs w:val="22"/>
        </w:rPr>
        <w:t>cuanto</w:t>
      </w:r>
      <w:proofErr w:type="spellEnd"/>
      <w:r w:rsidRPr="00C106BE">
        <w:rPr>
          <w:rFonts w:ascii="Palatino Linotype" w:eastAsia="Palatino Linotype" w:hAnsi="Palatino Linotype" w:cs="Palatino Linotype"/>
          <w:i/>
          <w:sz w:val="22"/>
          <w:szCs w:val="22"/>
        </w:rPr>
        <w:t xml:space="preserve"> cuesta cada obra?”</w:t>
      </w:r>
    </w:p>
    <w:p w14:paraId="70BD599C" w14:textId="77777777" w:rsidR="00E80A74" w:rsidRPr="00C106BE" w:rsidRDefault="00E80A74">
      <w:pPr>
        <w:spacing w:line="360" w:lineRule="auto"/>
        <w:ind w:left="709" w:right="900"/>
        <w:jc w:val="both"/>
        <w:rPr>
          <w:rFonts w:ascii="Palatino Linotype" w:eastAsia="Palatino Linotype" w:hAnsi="Palatino Linotype" w:cs="Palatino Linotype"/>
          <w:b/>
          <w:i/>
          <w:sz w:val="22"/>
          <w:szCs w:val="22"/>
        </w:rPr>
      </w:pPr>
    </w:p>
    <w:p w14:paraId="2B23AEAF"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 xml:space="preserve">Modalidad elegida para la entrega de la información: </w:t>
      </w:r>
      <w:r w:rsidRPr="00C106BE">
        <w:rPr>
          <w:rFonts w:ascii="Palatino Linotype" w:eastAsia="Palatino Linotype" w:hAnsi="Palatino Linotype" w:cs="Palatino Linotype"/>
          <w:sz w:val="22"/>
          <w:szCs w:val="22"/>
        </w:rPr>
        <w:t xml:space="preserve">a través del Sistema de Acceso a la Información Mexiquense. </w:t>
      </w:r>
    </w:p>
    <w:p w14:paraId="12F1308A" w14:textId="77777777" w:rsidR="00E80A74" w:rsidRPr="00C106BE" w:rsidRDefault="00E80A7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9DFE41E" w14:textId="77777777" w:rsidR="00E80A74" w:rsidRPr="00C106BE" w:rsidRDefault="005878F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lastRenderedPageBreak/>
        <w:t xml:space="preserve">Respuesta. </w:t>
      </w:r>
      <w:r w:rsidRPr="00C106BE">
        <w:rPr>
          <w:rFonts w:ascii="Palatino Linotype" w:eastAsia="Palatino Linotype" w:hAnsi="Palatino Linotype" w:cs="Palatino Linotype"/>
          <w:color w:val="000000"/>
          <w:sz w:val="22"/>
          <w:szCs w:val="22"/>
        </w:rPr>
        <w:t xml:space="preserve">Con fecha </w:t>
      </w:r>
      <w:r w:rsidRPr="00C106BE">
        <w:rPr>
          <w:rFonts w:ascii="Palatino Linotype" w:eastAsia="Palatino Linotype" w:hAnsi="Palatino Linotype" w:cs="Palatino Linotype"/>
          <w:b/>
          <w:color w:val="000000"/>
          <w:sz w:val="22"/>
          <w:szCs w:val="22"/>
        </w:rPr>
        <w:t>veinticinco de febrero de dos mil veinticinco</w:t>
      </w:r>
      <w:r w:rsidRPr="00C106BE">
        <w:rPr>
          <w:rFonts w:ascii="Palatino Linotype" w:eastAsia="Palatino Linotype" w:hAnsi="Palatino Linotype" w:cs="Palatino Linotype"/>
          <w:color w:val="000000"/>
          <w:sz w:val="22"/>
          <w:szCs w:val="22"/>
        </w:rPr>
        <w:t xml:space="preserve">, el </w:t>
      </w:r>
      <w:r w:rsidRPr="00C106BE">
        <w:rPr>
          <w:rFonts w:ascii="Palatino Linotype" w:eastAsia="Palatino Linotype" w:hAnsi="Palatino Linotype" w:cs="Palatino Linotype"/>
          <w:b/>
          <w:color w:val="000000"/>
          <w:sz w:val="22"/>
          <w:szCs w:val="22"/>
        </w:rPr>
        <w:t>Sujeto Obligado</w:t>
      </w:r>
      <w:r w:rsidRPr="00C106BE">
        <w:rPr>
          <w:rFonts w:ascii="Palatino Linotype" w:eastAsia="Palatino Linotype" w:hAnsi="Palatino Linotype" w:cs="Palatino Linotype"/>
          <w:color w:val="000000"/>
          <w:sz w:val="22"/>
          <w:szCs w:val="22"/>
        </w:rPr>
        <w:t xml:space="preserve"> envió su respuesta a la solicitud de acceso a la información a través del SAIMEX, la cual versa como sigue: </w:t>
      </w:r>
    </w:p>
    <w:p w14:paraId="2D3F1F67" w14:textId="77777777" w:rsidR="00E80A74" w:rsidRPr="00C106BE" w:rsidRDefault="00E80A74">
      <w:pPr>
        <w:tabs>
          <w:tab w:val="left" w:pos="7371"/>
        </w:tabs>
        <w:spacing w:line="276" w:lineRule="auto"/>
        <w:ind w:left="851" w:right="616"/>
        <w:jc w:val="both"/>
        <w:rPr>
          <w:rFonts w:ascii="Palatino Linotype" w:eastAsia="Palatino Linotype" w:hAnsi="Palatino Linotype" w:cs="Palatino Linotype"/>
          <w:i/>
          <w:sz w:val="22"/>
          <w:szCs w:val="22"/>
        </w:rPr>
      </w:pPr>
      <w:bookmarkStart w:id="0" w:name="_heading=h.3znysh7" w:colFirst="0" w:colLast="0"/>
      <w:bookmarkEnd w:id="0"/>
    </w:p>
    <w:p w14:paraId="69A4775A"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8395BA"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En atención a la solicitud con folio 0642/TOLUCA/IP/2025, me permito adjuntar al presente la respuesta correspondiente. Sin más por el momento, reciba un saludo.</w:t>
      </w:r>
    </w:p>
    <w:p w14:paraId="0413FF34"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ATENTAMENTE</w:t>
      </w:r>
    </w:p>
    <w:p w14:paraId="0E322052"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Dr. Nahum Miguel Mendoza Morales” (Sic)</w:t>
      </w:r>
    </w:p>
    <w:p w14:paraId="340EA6A2" w14:textId="77777777" w:rsidR="00E80A74" w:rsidRPr="00C106BE" w:rsidRDefault="00E80A74">
      <w:pPr>
        <w:spacing w:line="360" w:lineRule="auto"/>
        <w:ind w:right="49"/>
        <w:jc w:val="both"/>
        <w:rPr>
          <w:rFonts w:ascii="Palatino Linotype" w:eastAsia="Palatino Linotype" w:hAnsi="Palatino Linotype" w:cs="Palatino Linotype"/>
          <w:color w:val="000000"/>
          <w:sz w:val="22"/>
          <w:szCs w:val="22"/>
        </w:rPr>
      </w:pPr>
    </w:p>
    <w:p w14:paraId="311B5B36" w14:textId="77777777" w:rsidR="00E80A74" w:rsidRPr="00C106BE" w:rsidRDefault="005878FD">
      <w:pPr>
        <w:spacing w:line="360" w:lineRule="auto"/>
        <w:ind w:right="49"/>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t xml:space="preserve">Del mismo modo, el </w:t>
      </w:r>
      <w:r w:rsidRPr="00C106BE">
        <w:rPr>
          <w:rFonts w:ascii="Palatino Linotype" w:eastAsia="Palatino Linotype" w:hAnsi="Palatino Linotype" w:cs="Palatino Linotype"/>
          <w:b/>
          <w:color w:val="000000"/>
          <w:sz w:val="22"/>
          <w:szCs w:val="22"/>
        </w:rPr>
        <w:t>Sujeto Obligado</w:t>
      </w:r>
      <w:r w:rsidRPr="00C106BE">
        <w:rPr>
          <w:rFonts w:ascii="Palatino Linotype" w:eastAsia="Palatino Linotype" w:hAnsi="Palatino Linotype" w:cs="Palatino Linotype"/>
          <w:color w:val="000000"/>
          <w:sz w:val="22"/>
          <w:szCs w:val="22"/>
        </w:rPr>
        <w:t xml:space="preserve"> adjuntó a su respuesta el archivo electrónico denominado </w:t>
      </w:r>
      <w:r w:rsidRPr="00C106BE">
        <w:rPr>
          <w:rFonts w:ascii="Palatino Linotype" w:eastAsia="Palatino Linotype" w:hAnsi="Palatino Linotype" w:cs="Palatino Linotype"/>
          <w:i/>
          <w:color w:val="000000"/>
          <w:sz w:val="22"/>
          <w:szCs w:val="22"/>
        </w:rPr>
        <w:t>“</w:t>
      </w:r>
      <w:r w:rsidRPr="00C106BE">
        <w:rPr>
          <w:rFonts w:ascii="Palatino Linotype" w:eastAsia="Palatino Linotype" w:hAnsi="Palatino Linotype" w:cs="Palatino Linotype"/>
          <w:b/>
          <w:i/>
          <w:color w:val="000000"/>
          <w:sz w:val="22"/>
          <w:szCs w:val="22"/>
        </w:rPr>
        <w:t>RESPUESTA 642. 2025.pdf</w:t>
      </w:r>
      <w:r w:rsidRPr="00C106BE">
        <w:rPr>
          <w:rFonts w:ascii="Palatino Linotype" w:eastAsia="Palatino Linotype" w:hAnsi="Palatino Linotype" w:cs="Palatino Linotype"/>
          <w:i/>
          <w:color w:val="000000"/>
          <w:sz w:val="22"/>
          <w:szCs w:val="22"/>
        </w:rPr>
        <w:t>”</w:t>
      </w:r>
      <w:r w:rsidRPr="00C106BE">
        <w:rPr>
          <w:rFonts w:ascii="Palatino Linotype" w:eastAsia="Palatino Linotype" w:hAnsi="Palatino Linotype" w:cs="Palatino Linotype"/>
          <w:color w:val="000000"/>
          <w:sz w:val="22"/>
          <w:szCs w:val="22"/>
        </w:rPr>
        <w:t xml:space="preserve">, el cual contiene lo siguiente: </w:t>
      </w:r>
    </w:p>
    <w:p w14:paraId="0186EF9A" w14:textId="77777777" w:rsidR="00E80A74" w:rsidRPr="00C106BE" w:rsidRDefault="00E80A74">
      <w:pPr>
        <w:spacing w:line="360" w:lineRule="auto"/>
        <w:ind w:right="49"/>
        <w:jc w:val="both"/>
        <w:rPr>
          <w:rFonts w:ascii="Palatino Linotype" w:eastAsia="Palatino Linotype" w:hAnsi="Palatino Linotype" w:cs="Palatino Linotype"/>
          <w:color w:val="000000"/>
          <w:sz w:val="22"/>
          <w:szCs w:val="22"/>
        </w:rPr>
      </w:pPr>
    </w:p>
    <w:p w14:paraId="30A29746" w14:textId="77777777" w:rsidR="00E80A74" w:rsidRPr="00C106BE" w:rsidRDefault="005878FD">
      <w:pPr>
        <w:numPr>
          <w:ilvl w:val="0"/>
          <w:numId w:val="3"/>
        </w:num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sidRPr="00C106BE">
        <w:rPr>
          <w:rFonts w:ascii="Palatino Linotype" w:eastAsia="Palatino Linotype" w:hAnsi="Palatino Linotype" w:cs="Palatino Linotype"/>
          <w:color w:val="000000"/>
          <w:sz w:val="22"/>
          <w:szCs w:val="22"/>
        </w:rPr>
        <w:t xml:space="preserve">Oficio de fecha veinticinco de febrero de dos mil veinticinco, signado la Titular de la Unidad de Transparencia, mediante el cual informó que la Dirección General de Obras Públicas hizo del conocimiento que realizó una búsqueda exhaustiva y razonable de la información, en la que se concluyó que a la fecha de la solicitud, no se han generado los documentos objeto de la solicitud. </w:t>
      </w:r>
    </w:p>
    <w:p w14:paraId="68923856" w14:textId="77777777" w:rsidR="00E80A74" w:rsidRPr="00C106BE" w:rsidRDefault="00E80A74">
      <w:pPr>
        <w:pBdr>
          <w:top w:val="nil"/>
          <w:left w:val="nil"/>
          <w:bottom w:val="nil"/>
          <w:right w:val="nil"/>
          <w:between w:val="nil"/>
        </w:pBdr>
        <w:spacing w:line="360" w:lineRule="auto"/>
        <w:ind w:left="851" w:right="616"/>
        <w:jc w:val="both"/>
        <w:rPr>
          <w:rFonts w:ascii="Palatino Linotype" w:eastAsia="Palatino Linotype" w:hAnsi="Palatino Linotype" w:cs="Palatino Linotype"/>
          <w:color w:val="000000"/>
          <w:sz w:val="22"/>
          <w:szCs w:val="22"/>
        </w:rPr>
      </w:pPr>
    </w:p>
    <w:p w14:paraId="4C8833C4" w14:textId="77777777" w:rsidR="00E80A74" w:rsidRPr="00C106BE" w:rsidRDefault="005878FD">
      <w:pPr>
        <w:pBdr>
          <w:top w:val="nil"/>
          <w:left w:val="nil"/>
          <w:bottom w:val="nil"/>
          <w:right w:val="nil"/>
          <w:between w:val="nil"/>
        </w:pBdr>
        <w:spacing w:line="360" w:lineRule="auto"/>
        <w:ind w:left="851" w:right="616"/>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t xml:space="preserve">Asimismo, señaló que el Programa Anual de Obra 2025, se encuentra en el periodo de integración y autorización, atendiendo a lo establecido en el artículo 3.4 del Manual para la Planeación, Programación y Presupuesto de Egresos Municipal para el ejercicio fiscal 2025. </w:t>
      </w:r>
    </w:p>
    <w:p w14:paraId="2036B362" w14:textId="77777777" w:rsidR="00E80A74" w:rsidRPr="00C106BE" w:rsidRDefault="00E80A74">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p>
    <w:p w14:paraId="6D8C6D86" w14:textId="77777777" w:rsidR="00E80A74" w:rsidRPr="00C106BE" w:rsidRDefault="005878FD">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lastRenderedPageBreak/>
        <w:t xml:space="preserve">Interposición del recurso de revisión. </w:t>
      </w:r>
      <w:r w:rsidRPr="00C106BE">
        <w:rPr>
          <w:rFonts w:ascii="Palatino Linotype" w:eastAsia="Palatino Linotype" w:hAnsi="Palatino Linotype" w:cs="Palatino Linotype"/>
          <w:color w:val="000000"/>
          <w:sz w:val="22"/>
          <w:szCs w:val="22"/>
        </w:rPr>
        <w:t xml:space="preserve">Inconforme con la respuesta del </w:t>
      </w:r>
      <w:r w:rsidRPr="00C106BE">
        <w:rPr>
          <w:rFonts w:ascii="Palatino Linotype" w:eastAsia="Palatino Linotype" w:hAnsi="Palatino Linotype" w:cs="Palatino Linotype"/>
          <w:b/>
          <w:color w:val="000000"/>
          <w:sz w:val="22"/>
          <w:szCs w:val="22"/>
        </w:rPr>
        <w:t xml:space="preserve">Sujeto Obligado, </w:t>
      </w:r>
      <w:r w:rsidRPr="00C106BE">
        <w:rPr>
          <w:rFonts w:ascii="Palatino Linotype" w:eastAsia="Palatino Linotype" w:hAnsi="Palatino Linotype" w:cs="Palatino Linotype"/>
          <w:color w:val="000000"/>
          <w:sz w:val="22"/>
          <w:szCs w:val="22"/>
        </w:rPr>
        <w:t>la parte</w:t>
      </w:r>
      <w:r w:rsidRPr="00C106BE">
        <w:rPr>
          <w:rFonts w:ascii="Palatino Linotype" w:eastAsia="Palatino Linotype" w:hAnsi="Palatino Linotype" w:cs="Palatino Linotype"/>
          <w:b/>
          <w:color w:val="000000"/>
          <w:sz w:val="22"/>
          <w:szCs w:val="22"/>
        </w:rPr>
        <w:t xml:space="preserve"> Recurrente</w:t>
      </w:r>
      <w:r w:rsidRPr="00C106BE">
        <w:rPr>
          <w:rFonts w:ascii="Palatino Linotype" w:eastAsia="Palatino Linotype" w:hAnsi="Palatino Linotype" w:cs="Palatino Linotype"/>
          <w:color w:val="000000"/>
          <w:sz w:val="22"/>
          <w:szCs w:val="22"/>
        </w:rPr>
        <w:t xml:space="preserve"> interpuso recurso de revisión a través del SAIMEX en fecha </w:t>
      </w:r>
      <w:r w:rsidRPr="00C106BE">
        <w:rPr>
          <w:rFonts w:ascii="Palatino Linotype" w:eastAsia="Palatino Linotype" w:hAnsi="Palatino Linotype" w:cs="Palatino Linotype"/>
          <w:b/>
          <w:color w:val="000000"/>
          <w:sz w:val="22"/>
          <w:szCs w:val="22"/>
        </w:rPr>
        <w:t>veinticinco de febrero de dos mil veinticinco</w:t>
      </w:r>
      <w:r w:rsidRPr="00C106BE">
        <w:rPr>
          <w:rFonts w:ascii="Palatino Linotype" w:eastAsia="Palatino Linotype" w:hAnsi="Palatino Linotype" w:cs="Palatino Linotype"/>
          <w:color w:val="000000"/>
          <w:sz w:val="22"/>
          <w:szCs w:val="22"/>
        </w:rPr>
        <w:t>, a través del cual expresó lo siguiente:</w:t>
      </w:r>
    </w:p>
    <w:p w14:paraId="3F528CFD" w14:textId="77777777" w:rsidR="00E80A74" w:rsidRPr="00C106BE" w:rsidRDefault="00E80A74">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14:paraId="5CF7A18C" w14:textId="77777777" w:rsidR="00E80A74" w:rsidRPr="00C106BE" w:rsidRDefault="005878FD">
      <w:pPr>
        <w:spacing w:line="360" w:lineRule="auto"/>
        <w:ind w:left="851" w:right="616"/>
        <w:jc w:val="both"/>
        <w:rPr>
          <w:rFonts w:ascii="Palatino Linotype" w:eastAsia="Palatino Linotype" w:hAnsi="Palatino Linotype" w:cs="Palatino Linotype"/>
          <w:b/>
          <w:color w:val="000000"/>
          <w:sz w:val="22"/>
          <w:szCs w:val="22"/>
        </w:rPr>
      </w:pPr>
      <w:r w:rsidRPr="00C106BE">
        <w:rPr>
          <w:rFonts w:ascii="Palatino Linotype" w:eastAsia="Palatino Linotype" w:hAnsi="Palatino Linotype" w:cs="Palatino Linotype"/>
          <w:b/>
          <w:color w:val="000000"/>
          <w:sz w:val="22"/>
          <w:szCs w:val="22"/>
        </w:rPr>
        <w:t xml:space="preserve">Acto impugnado. </w:t>
      </w:r>
    </w:p>
    <w:p w14:paraId="22FD5752" w14:textId="77777777" w:rsidR="00E80A74" w:rsidRPr="00C106BE" w:rsidRDefault="005878FD">
      <w:pPr>
        <w:spacing w:line="360" w:lineRule="auto"/>
        <w:ind w:left="851" w:right="616"/>
        <w:jc w:val="both"/>
        <w:rPr>
          <w:rFonts w:ascii="Palatino Linotype" w:eastAsia="Palatino Linotype" w:hAnsi="Palatino Linotype" w:cs="Palatino Linotype"/>
          <w:i/>
          <w:color w:val="000000"/>
          <w:sz w:val="22"/>
          <w:szCs w:val="22"/>
        </w:rPr>
      </w:pPr>
      <w:r w:rsidRPr="00C106BE">
        <w:rPr>
          <w:rFonts w:ascii="Palatino Linotype" w:eastAsia="Palatino Linotype" w:hAnsi="Palatino Linotype" w:cs="Palatino Linotype"/>
          <w:i/>
          <w:color w:val="000000"/>
          <w:sz w:val="22"/>
          <w:szCs w:val="22"/>
        </w:rPr>
        <w:t xml:space="preserve">“Negativa de la información cuando existe por obligación” </w:t>
      </w:r>
    </w:p>
    <w:p w14:paraId="6C0BA7FF" w14:textId="77777777" w:rsidR="00E80A74" w:rsidRPr="00C106BE" w:rsidRDefault="00E80A74">
      <w:pPr>
        <w:spacing w:line="276" w:lineRule="auto"/>
        <w:ind w:left="851" w:right="616"/>
        <w:rPr>
          <w:rFonts w:ascii="Palatino Linotype" w:eastAsia="Palatino Linotype" w:hAnsi="Palatino Linotype" w:cs="Palatino Linotype"/>
          <w:sz w:val="22"/>
          <w:szCs w:val="22"/>
        </w:rPr>
      </w:pPr>
    </w:p>
    <w:p w14:paraId="1638DF38" w14:textId="77777777" w:rsidR="00E80A74" w:rsidRPr="00C106BE" w:rsidRDefault="005878FD">
      <w:pPr>
        <w:pBdr>
          <w:top w:val="nil"/>
          <w:left w:val="nil"/>
          <w:bottom w:val="nil"/>
          <w:right w:val="nil"/>
          <w:between w:val="nil"/>
        </w:pBdr>
        <w:spacing w:line="360" w:lineRule="auto"/>
        <w:ind w:left="851" w:right="616"/>
        <w:jc w:val="both"/>
        <w:rPr>
          <w:rFonts w:ascii="Palatino Linotype" w:eastAsia="Palatino Linotype" w:hAnsi="Palatino Linotype" w:cs="Palatino Linotype"/>
          <w:b/>
          <w:color w:val="000000"/>
          <w:sz w:val="22"/>
          <w:szCs w:val="22"/>
        </w:rPr>
      </w:pPr>
      <w:r w:rsidRPr="00C106BE">
        <w:rPr>
          <w:rFonts w:ascii="Palatino Linotype" w:eastAsia="Palatino Linotype" w:hAnsi="Palatino Linotype" w:cs="Palatino Linotype"/>
          <w:b/>
          <w:color w:val="000000"/>
          <w:sz w:val="22"/>
          <w:szCs w:val="22"/>
        </w:rPr>
        <w:t xml:space="preserve">Motivos de inconformidad. </w:t>
      </w:r>
    </w:p>
    <w:p w14:paraId="1ED82B4E" w14:textId="77777777" w:rsidR="00E80A74" w:rsidRPr="00C106BE" w:rsidRDefault="005878FD">
      <w:pPr>
        <w:pBdr>
          <w:top w:val="nil"/>
          <w:left w:val="nil"/>
          <w:bottom w:val="nil"/>
          <w:right w:val="nil"/>
          <w:between w:val="nil"/>
        </w:pBdr>
        <w:spacing w:line="360" w:lineRule="auto"/>
        <w:ind w:left="851" w:right="616"/>
        <w:jc w:val="both"/>
        <w:rPr>
          <w:rFonts w:ascii="Palatino Linotype" w:eastAsia="Palatino Linotype" w:hAnsi="Palatino Linotype" w:cs="Palatino Linotype"/>
          <w:b/>
          <w:i/>
          <w:color w:val="000000"/>
          <w:sz w:val="22"/>
          <w:szCs w:val="22"/>
          <w:u w:val="single"/>
        </w:rPr>
      </w:pPr>
      <w:r w:rsidRPr="00C106BE">
        <w:rPr>
          <w:rFonts w:ascii="Palatino Linotype" w:eastAsia="Palatino Linotype" w:hAnsi="Palatino Linotype" w:cs="Palatino Linotype"/>
          <w:color w:val="000000"/>
          <w:sz w:val="22"/>
          <w:szCs w:val="22"/>
        </w:rPr>
        <w:t>“</w:t>
      </w:r>
      <w:r w:rsidRPr="00C106BE">
        <w:rPr>
          <w:rFonts w:ascii="Palatino Linotype" w:eastAsia="Palatino Linotype" w:hAnsi="Palatino Linotype" w:cs="Palatino Linotype"/>
          <w:i/>
          <w:color w:val="000000"/>
          <w:sz w:val="22"/>
          <w:szCs w:val="22"/>
        </w:rPr>
        <w:t>Negativa de la información que si existen”</w:t>
      </w:r>
    </w:p>
    <w:p w14:paraId="66021F82" w14:textId="77777777" w:rsidR="00E80A74" w:rsidRPr="00C106BE" w:rsidRDefault="00E80A74">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7A7FA5B3" w14:textId="77777777" w:rsidR="00E80A74" w:rsidRPr="00C106BE" w:rsidRDefault="005878F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t xml:space="preserve">Turno. </w:t>
      </w:r>
      <w:r w:rsidRPr="00C106BE">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Pr="00C106BE">
        <w:rPr>
          <w:rFonts w:ascii="Palatino Linotype" w:eastAsia="Palatino Linotype" w:hAnsi="Palatino Linotype" w:cs="Palatino Linotype"/>
          <w:b/>
          <w:color w:val="000000"/>
          <w:sz w:val="22"/>
          <w:szCs w:val="22"/>
        </w:rPr>
        <w:t>02024/INFOEM/IP/RR/2024</w:t>
      </w:r>
      <w:r w:rsidRPr="00C106BE">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C106BE">
        <w:rPr>
          <w:rFonts w:ascii="Palatino Linotype" w:eastAsia="Palatino Linotype" w:hAnsi="Palatino Linotype" w:cs="Palatino Linotype"/>
          <w:b/>
          <w:color w:val="000000"/>
          <w:sz w:val="22"/>
          <w:szCs w:val="22"/>
        </w:rPr>
        <w:t>Guadalupe Ramírez Peña</w:t>
      </w:r>
      <w:r w:rsidRPr="00C106BE">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0E04BE50" w14:textId="77777777" w:rsidR="00E80A74" w:rsidRPr="00C106BE" w:rsidRDefault="00E80A7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6705C752" w14:textId="77777777" w:rsidR="00E80A74" w:rsidRPr="00C106BE" w:rsidRDefault="005878F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1" w:name="_heading=h.gjdgxs" w:colFirst="0" w:colLast="0"/>
      <w:bookmarkEnd w:id="1"/>
      <w:r w:rsidRPr="00C106BE">
        <w:rPr>
          <w:rFonts w:ascii="Palatino Linotype" w:eastAsia="Palatino Linotype" w:hAnsi="Palatino Linotype" w:cs="Palatino Linotype"/>
          <w:b/>
          <w:color w:val="000000"/>
          <w:sz w:val="22"/>
          <w:szCs w:val="22"/>
        </w:rPr>
        <w:t xml:space="preserve">Admisión del recurso de revisión: </w:t>
      </w:r>
      <w:r w:rsidRPr="00C106BE">
        <w:rPr>
          <w:rFonts w:ascii="Palatino Linotype" w:eastAsia="Palatino Linotype" w:hAnsi="Palatino Linotype" w:cs="Palatino Linotype"/>
          <w:color w:val="000000"/>
          <w:sz w:val="22"/>
          <w:szCs w:val="22"/>
        </w:rPr>
        <w:t xml:space="preserve">En fecha </w:t>
      </w:r>
      <w:r w:rsidRPr="00C106BE">
        <w:rPr>
          <w:rFonts w:ascii="Palatino Linotype" w:eastAsia="Palatino Linotype" w:hAnsi="Palatino Linotype" w:cs="Palatino Linotype"/>
          <w:b/>
          <w:color w:val="000000"/>
          <w:sz w:val="22"/>
          <w:szCs w:val="22"/>
        </w:rPr>
        <w:t>veintisiete de febrero de dos mil veinticinco</w:t>
      </w:r>
      <w:r w:rsidRPr="00C106BE">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C106BE">
        <w:rPr>
          <w:rFonts w:ascii="Palatino Linotype" w:eastAsia="Palatino Linotype" w:hAnsi="Palatino Linotype" w:cs="Palatino Linotype"/>
          <w:b/>
          <w:color w:val="000000"/>
          <w:sz w:val="22"/>
          <w:szCs w:val="22"/>
        </w:rPr>
        <w:t>Sujeto Obligado</w:t>
      </w:r>
      <w:r w:rsidRPr="00C106BE">
        <w:rPr>
          <w:rFonts w:ascii="Palatino Linotype" w:eastAsia="Palatino Linotype" w:hAnsi="Palatino Linotype" w:cs="Palatino Linotype"/>
          <w:color w:val="000000"/>
          <w:sz w:val="22"/>
          <w:szCs w:val="22"/>
        </w:rPr>
        <w:t xml:space="preserve"> presentara su informe justificado.</w:t>
      </w:r>
    </w:p>
    <w:p w14:paraId="63BC80D5" w14:textId="77777777" w:rsidR="00E80A74" w:rsidRPr="00C106BE" w:rsidRDefault="00E80A7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51A768BC" w14:textId="77777777" w:rsidR="00E80A74" w:rsidRPr="00C106BE" w:rsidRDefault="005878FD">
      <w:pPr>
        <w:numPr>
          <w:ilvl w:val="0"/>
          <w:numId w:val="1"/>
        </w:numPr>
        <w:pBdr>
          <w:top w:val="nil"/>
          <w:left w:val="nil"/>
          <w:bottom w:val="nil"/>
          <w:right w:val="nil"/>
          <w:between w:val="nil"/>
        </w:pBdr>
        <w:tabs>
          <w:tab w:val="left" w:pos="284"/>
        </w:tabs>
        <w:spacing w:before="160" w:line="360" w:lineRule="auto"/>
        <w:ind w:left="0" w:right="49" w:firstLine="0"/>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t>Manifestaciones</w:t>
      </w:r>
      <w:r w:rsidRPr="00C106BE">
        <w:rPr>
          <w:rFonts w:ascii="Palatino Linotype" w:eastAsia="Palatino Linotype" w:hAnsi="Palatino Linotype" w:cs="Palatino Linotype"/>
          <w:color w:val="000000"/>
          <w:sz w:val="22"/>
          <w:szCs w:val="22"/>
        </w:rPr>
        <w:t xml:space="preserve">: </w:t>
      </w:r>
      <w:r w:rsidRPr="00C106BE">
        <w:rPr>
          <w:rFonts w:ascii="Palatino Linotype" w:eastAsia="Palatino Linotype" w:hAnsi="Palatino Linotype" w:cs="Palatino Linotype"/>
          <w:sz w:val="22"/>
          <w:szCs w:val="22"/>
        </w:rPr>
        <w:t>D</w:t>
      </w:r>
      <w:r w:rsidRPr="00C106BE">
        <w:rPr>
          <w:rFonts w:ascii="Palatino Linotype" w:eastAsia="Palatino Linotype" w:hAnsi="Palatino Linotype" w:cs="Palatino Linotype"/>
          <w:color w:val="000000"/>
          <w:sz w:val="22"/>
          <w:szCs w:val="22"/>
        </w:rPr>
        <w:t xml:space="preserve">e las constancias que obran en el expediente electrónico del SAIMEX se desprende que el </w:t>
      </w:r>
      <w:r w:rsidRPr="00C106BE">
        <w:rPr>
          <w:rFonts w:ascii="Palatino Linotype" w:eastAsia="Palatino Linotype" w:hAnsi="Palatino Linotype" w:cs="Palatino Linotype"/>
          <w:b/>
          <w:color w:val="000000"/>
          <w:sz w:val="22"/>
          <w:szCs w:val="22"/>
        </w:rPr>
        <w:t>Sujeto Obligado</w:t>
      </w:r>
      <w:r w:rsidRPr="00C106BE">
        <w:rPr>
          <w:rFonts w:ascii="Palatino Linotype" w:eastAsia="Palatino Linotype" w:hAnsi="Palatino Linotype" w:cs="Palatino Linotype"/>
          <w:color w:val="000000"/>
          <w:sz w:val="22"/>
          <w:szCs w:val="22"/>
        </w:rPr>
        <w:t xml:space="preserve"> rindió su informe justificado, en fecha </w:t>
      </w:r>
      <w:r w:rsidRPr="00C106BE">
        <w:rPr>
          <w:rFonts w:ascii="Palatino Linotype" w:eastAsia="Palatino Linotype" w:hAnsi="Palatino Linotype" w:cs="Palatino Linotype"/>
          <w:b/>
          <w:color w:val="000000"/>
          <w:sz w:val="22"/>
          <w:szCs w:val="22"/>
        </w:rPr>
        <w:t xml:space="preserve">once de marzo </w:t>
      </w:r>
      <w:r w:rsidRPr="00C106BE">
        <w:rPr>
          <w:rFonts w:ascii="Palatino Linotype" w:eastAsia="Palatino Linotype" w:hAnsi="Palatino Linotype" w:cs="Palatino Linotype"/>
          <w:b/>
          <w:color w:val="000000"/>
          <w:sz w:val="22"/>
          <w:szCs w:val="22"/>
        </w:rPr>
        <w:lastRenderedPageBreak/>
        <w:t xml:space="preserve">de dos mil veinticinco, </w:t>
      </w:r>
      <w:r w:rsidRPr="00C106BE">
        <w:rPr>
          <w:rFonts w:ascii="Palatino Linotype" w:eastAsia="Palatino Linotype" w:hAnsi="Palatino Linotype" w:cs="Palatino Linotype"/>
          <w:color w:val="000000"/>
          <w:sz w:val="22"/>
          <w:szCs w:val="22"/>
        </w:rPr>
        <w:t>a través del archivo electrónico denominado</w:t>
      </w:r>
      <w:r w:rsidRPr="00C106BE">
        <w:rPr>
          <w:rFonts w:ascii="Palatino Linotype" w:eastAsia="Palatino Linotype" w:hAnsi="Palatino Linotype" w:cs="Palatino Linotype"/>
          <w:b/>
          <w:color w:val="000000"/>
          <w:sz w:val="22"/>
          <w:szCs w:val="22"/>
        </w:rPr>
        <w:t xml:space="preserve"> </w:t>
      </w:r>
      <w:r w:rsidRPr="00C106BE">
        <w:rPr>
          <w:rFonts w:ascii="Palatino Linotype" w:eastAsia="Palatino Linotype" w:hAnsi="Palatino Linotype" w:cs="Palatino Linotype"/>
          <w:b/>
          <w:i/>
          <w:color w:val="000000"/>
          <w:sz w:val="22"/>
          <w:szCs w:val="22"/>
        </w:rPr>
        <w:t xml:space="preserve">“RR-2024-2025.pdf” </w:t>
      </w:r>
      <w:r w:rsidRPr="00C106BE">
        <w:rPr>
          <w:rFonts w:ascii="Palatino Linotype" w:eastAsia="Palatino Linotype" w:hAnsi="Palatino Linotype" w:cs="Palatino Linotype"/>
          <w:color w:val="000000"/>
          <w:sz w:val="22"/>
          <w:szCs w:val="22"/>
        </w:rPr>
        <w:t xml:space="preserve">mediante el cual ratifico en todas y cada y una de sus partes su respuesta de inicio. </w:t>
      </w:r>
    </w:p>
    <w:p w14:paraId="1E69C9B8" w14:textId="77777777" w:rsidR="00E80A74" w:rsidRPr="00C106BE" w:rsidRDefault="00E80A7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5B6C4E04" w14:textId="77777777" w:rsidR="00E80A74" w:rsidRPr="00C106BE" w:rsidRDefault="005878F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t xml:space="preserve">Es de precisar que esta documentación se puso a disposición del particular mediante acuerdo signado por la Comisionada Ponente el </w:t>
      </w:r>
      <w:r w:rsidRPr="00C106BE">
        <w:rPr>
          <w:rFonts w:ascii="Palatino Linotype" w:eastAsia="Palatino Linotype" w:hAnsi="Palatino Linotype" w:cs="Palatino Linotype"/>
          <w:b/>
          <w:color w:val="000000"/>
          <w:sz w:val="22"/>
          <w:szCs w:val="22"/>
        </w:rPr>
        <w:t>veintiuno de abril de dos mil veinticinco</w:t>
      </w:r>
      <w:r w:rsidRPr="00C106BE">
        <w:rPr>
          <w:rFonts w:ascii="Palatino Linotype" w:eastAsia="Palatino Linotype" w:hAnsi="Palatino Linotype" w:cs="Palatino Linotype"/>
          <w:color w:val="000000"/>
          <w:sz w:val="22"/>
          <w:szCs w:val="22"/>
        </w:rPr>
        <w:t xml:space="preserve">, asimismo por cuanto hace a la parte </w:t>
      </w:r>
      <w:r w:rsidRPr="00C106BE">
        <w:rPr>
          <w:rFonts w:ascii="Palatino Linotype" w:eastAsia="Palatino Linotype" w:hAnsi="Palatino Linotype" w:cs="Palatino Linotype"/>
          <w:b/>
          <w:color w:val="000000"/>
          <w:sz w:val="22"/>
          <w:szCs w:val="22"/>
        </w:rPr>
        <w:t>Recurrente</w:t>
      </w:r>
      <w:r w:rsidRPr="00C106BE">
        <w:rPr>
          <w:rFonts w:ascii="Palatino Linotype" w:eastAsia="Palatino Linotype" w:hAnsi="Palatino Linotype" w:cs="Palatino Linotype"/>
          <w:color w:val="000000"/>
          <w:sz w:val="22"/>
          <w:szCs w:val="22"/>
        </w:rPr>
        <w:t xml:space="preserve"> se tiene que fue omisa en emitir sus alegatos o cualquier manifestación que a su derecho conviniera, por lo que se tiene por precluido su derecho para tal efecto. </w:t>
      </w:r>
    </w:p>
    <w:p w14:paraId="64F9D5CE" w14:textId="77777777" w:rsidR="00E80A74" w:rsidRPr="00C106BE" w:rsidRDefault="00E80A7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5F8C1E52" w14:textId="77777777" w:rsidR="00E80A74" w:rsidRPr="00C106BE" w:rsidRDefault="005878FD">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C106BE">
        <w:rPr>
          <w:rFonts w:ascii="Palatino Linotype" w:eastAsia="Palatino Linotype" w:hAnsi="Palatino Linotype" w:cs="Palatino Linotype"/>
          <w:b/>
          <w:color w:val="000000"/>
          <w:sz w:val="22"/>
          <w:szCs w:val="22"/>
        </w:rPr>
        <w:t xml:space="preserve">Ampliación de plazo: </w:t>
      </w:r>
      <w:r w:rsidRPr="00C106BE">
        <w:rPr>
          <w:rFonts w:ascii="Palatino Linotype" w:eastAsia="Palatino Linotype" w:hAnsi="Palatino Linotype" w:cs="Palatino Linotype"/>
          <w:color w:val="000000"/>
          <w:sz w:val="22"/>
          <w:szCs w:val="22"/>
        </w:rPr>
        <w:t>El</w:t>
      </w:r>
      <w:r w:rsidRPr="00C106BE">
        <w:rPr>
          <w:rFonts w:ascii="Palatino Linotype" w:eastAsia="Palatino Linotype" w:hAnsi="Palatino Linotype" w:cs="Palatino Linotype"/>
          <w:b/>
          <w:color w:val="000000"/>
          <w:sz w:val="22"/>
          <w:szCs w:val="22"/>
        </w:rPr>
        <w:t xml:space="preserve"> veintiuno de abril de dos mil veinticinco, </w:t>
      </w:r>
      <w:r w:rsidRPr="00C106BE">
        <w:rPr>
          <w:rFonts w:ascii="Palatino Linotype" w:eastAsia="Palatino Linotype" w:hAnsi="Palatino Linotype" w:cs="Palatino Linotype"/>
          <w:color w:val="000000"/>
          <w:sz w:val="22"/>
          <w:szCs w:val="22"/>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D740B81" w14:textId="77777777" w:rsidR="00E80A74" w:rsidRPr="00C106BE" w:rsidRDefault="00E80A7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07EA13EE" w14:textId="259FDB17" w:rsidR="00E80A74" w:rsidRPr="00C106BE" w:rsidRDefault="005878FD">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t xml:space="preserve">Cierre de instrucción. </w:t>
      </w:r>
      <w:r w:rsidRPr="00C106BE">
        <w:rPr>
          <w:rFonts w:ascii="Palatino Linotype" w:eastAsia="Palatino Linotype" w:hAnsi="Palatino Linotype" w:cs="Palatino Linotype"/>
          <w:color w:val="000000"/>
          <w:sz w:val="22"/>
          <w:szCs w:val="22"/>
        </w:rPr>
        <w:t xml:space="preserve">El </w:t>
      </w:r>
      <w:r w:rsidRPr="00C106BE">
        <w:rPr>
          <w:rFonts w:ascii="Palatino Linotype" w:eastAsia="Palatino Linotype" w:hAnsi="Palatino Linotype" w:cs="Palatino Linotype"/>
          <w:b/>
          <w:color w:val="000000"/>
          <w:sz w:val="22"/>
          <w:szCs w:val="22"/>
        </w:rPr>
        <w:t>veinti</w:t>
      </w:r>
      <w:r w:rsidR="00D33D57" w:rsidRPr="00C106BE">
        <w:rPr>
          <w:rFonts w:ascii="Palatino Linotype" w:eastAsia="Palatino Linotype" w:hAnsi="Palatino Linotype" w:cs="Palatino Linotype"/>
          <w:b/>
          <w:color w:val="000000"/>
          <w:sz w:val="22"/>
          <w:szCs w:val="22"/>
        </w:rPr>
        <w:t xml:space="preserve">ocho </w:t>
      </w:r>
      <w:r w:rsidRPr="00C106BE">
        <w:rPr>
          <w:rFonts w:ascii="Palatino Linotype" w:eastAsia="Palatino Linotype" w:hAnsi="Palatino Linotype" w:cs="Palatino Linotype"/>
          <w:b/>
          <w:color w:val="000000"/>
          <w:sz w:val="22"/>
          <w:szCs w:val="22"/>
        </w:rPr>
        <w:t>de abril de dos mil veinticinco</w:t>
      </w:r>
      <w:r w:rsidRPr="00C106BE">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14:paraId="3A0B508D" w14:textId="77777777" w:rsidR="00E80A74" w:rsidRPr="00C106BE" w:rsidRDefault="00E80A7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5F1E08D0"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E44FA5E" w14:textId="77777777" w:rsidR="00E80A74" w:rsidRPr="00C106BE" w:rsidRDefault="005878FD">
      <w:pPr>
        <w:numPr>
          <w:ilvl w:val="0"/>
          <w:numId w:val="8"/>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2" w:name="_heading=h.30j0zll" w:colFirst="0" w:colLast="0"/>
      <w:bookmarkEnd w:id="2"/>
      <w:r w:rsidRPr="00C106BE">
        <w:rPr>
          <w:rFonts w:ascii="Palatino Linotype" w:eastAsia="Palatino Linotype" w:hAnsi="Palatino Linotype" w:cs="Palatino Linotype"/>
          <w:b/>
          <w:color w:val="000000"/>
          <w:sz w:val="22"/>
          <w:szCs w:val="22"/>
        </w:rPr>
        <w:t>C O N S I D E R A N D O:</w:t>
      </w:r>
    </w:p>
    <w:p w14:paraId="5745A3B7" w14:textId="77777777" w:rsidR="00E80A74" w:rsidRPr="00C106BE" w:rsidRDefault="00E80A74">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25A68CD5"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 xml:space="preserve">Primero. Competencia. </w:t>
      </w:r>
      <w:r w:rsidRPr="00C106BE">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w:t>
      </w:r>
      <w:r w:rsidRPr="00C106BE">
        <w:rPr>
          <w:rFonts w:ascii="Palatino Linotype" w:eastAsia="Palatino Linotype" w:hAnsi="Palatino Linotype" w:cs="Palatino Linotype"/>
          <w:sz w:val="22"/>
          <w:szCs w:val="22"/>
        </w:rPr>
        <w:lastRenderedPageBreak/>
        <w:t>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17589B2" w14:textId="77777777" w:rsidR="00E80A74" w:rsidRPr="00C106BE" w:rsidRDefault="00E80A74">
      <w:pPr>
        <w:spacing w:line="360" w:lineRule="auto"/>
        <w:jc w:val="both"/>
        <w:rPr>
          <w:rFonts w:ascii="Palatino Linotype" w:eastAsia="Palatino Linotype" w:hAnsi="Palatino Linotype" w:cs="Palatino Linotype"/>
          <w:b/>
          <w:sz w:val="22"/>
          <w:szCs w:val="22"/>
        </w:rPr>
      </w:pPr>
    </w:p>
    <w:p w14:paraId="15301BA0"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Segundo. Oportunidad y Procedibilidad del Recurso de Revisión</w:t>
      </w:r>
      <w:r w:rsidRPr="00C106B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A0982C"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38FACD87" w14:textId="77777777" w:rsidR="00E80A74" w:rsidRPr="00C106BE" w:rsidRDefault="005878FD">
      <w:pPr>
        <w:spacing w:line="360" w:lineRule="auto"/>
        <w:ind w:right="49"/>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proporcionó su respuesta a la solicitud de información el </w:t>
      </w:r>
      <w:r w:rsidRPr="00C106BE">
        <w:rPr>
          <w:rFonts w:ascii="Palatino Linotype" w:eastAsia="Palatino Linotype" w:hAnsi="Palatino Linotype" w:cs="Palatino Linotype"/>
          <w:b/>
          <w:sz w:val="22"/>
          <w:szCs w:val="22"/>
        </w:rPr>
        <w:t>veinticinco de febrero de dos mil veinticinco</w:t>
      </w:r>
      <w:r w:rsidRPr="00C106BE">
        <w:rPr>
          <w:rFonts w:ascii="Palatino Linotype" w:eastAsia="Palatino Linotype" w:hAnsi="Palatino Linotype" w:cs="Palatino Linotype"/>
          <w:sz w:val="22"/>
          <w:szCs w:val="22"/>
        </w:rPr>
        <w:t xml:space="preserve">, y la parte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xml:space="preserve"> presentó su recurso de revisión el </w:t>
      </w:r>
      <w:r w:rsidRPr="00C106BE">
        <w:rPr>
          <w:rFonts w:ascii="Palatino Linotype" w:eastAsia="Palatino Linotype" w:hAnsi="Palatino Linotype" w:cs="Palatino Linotype"/>
          <w:b/>
          <w:sz w:val="22"/>
          <w:szCs w:val="22"/>
        </w:rPr>
        <w:t>veinticinco de febrero de dos mil veinticinco</w:t>
      </w:r>
      <w:r w:rsidRPr="00C106BE">
        <w:rPr>
          <w:rFonts w:ascii="Palatino Linotype" w:eastAsia="Palatino Linotype" w:hAnsi="Palatino Linotype" w:cs="Palatino Linotype"/>
          <w:sz w:val="22"/>
          <w:szCs w:val="22"/>
        </w:rPr>
        <w:t>;</w:t>
      </w:r>
      <w:r w:rsidRPr="00C106BE">
        <w:rPr>
          <w:rFonts w:ascii="Palatino Linotype" w:eastAsia="Palatino Linotype" w:hAnsi="Palatino Linotype" w:cs="Palatino Linotype"/>
          <w:b/>
          <w:sz w:val="22"/>
          <w:szCs w:val="22"/>
        </w:rPr>
        <w:t xml:space="preserve"> </w:t>
      </w:r>
      <w:r w:rsidRPr="00C106BE">
        <w:rPr>
          <w:rFonts w:ascii="Palatino Linotype" w:eastAsia="Palatino Linotype" w:hAnsi="Palatino Linotype" w:cs="Palatino Linotype"/>
          <w:sz w:val="22"/>
          <w:szCs w:val="22"/>
        </w:rPr>
        <w:t xml:space="preserve">esto es el mismo día hábil en que tuvo conocimiento de la respuesta. </w:t>
      </w:r>
    </w:p>
    <w:p w14:paraId="08AB87BE" w14:textId="77777777" w:rsidR="00E80A74" w:rsidRPr="00C106BE" w:rsidRDefault="00E80A74">
      <w:pPr>
        <w:spacing w:line="360" w:lineRule="auto"/>
        <w:ind w:right="49"/>
        <w:jc w:val="both"/>
        <w:rPr>
          <w:rFonts w:ascii="Palatino Linotype" w:eastAsia="Palatino Linotype" w:hAnsi="Palatino Linotype" w:cs="Palatino Linotype"/>
          <w:sz w:val="22"/>
          <w:szCs w:val="22"/>
        </w:rPr>
      </w:pPr>
    </w:p>
    <w:p w14:paraId="37833361"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3F56E249" w14:textId="77777777" w:rsidR="00E80A74" w:rsidRPr="00C106BE" w:rsidRDefault="005878FD">
      <w:pPr>
        <w:spacing w:before="240" w:after="24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Sin que contraríe a lo anterior, el artículo 178 en análisis, refiere que el plazo de quince días hábiles se contará a partir del día siguiente de la fecha en que el afectado tuvo conocimiento </w:t>
      </w:r>
      <w:r w:rsidRPr="00C106BE">
        <w:rPr>
          <w:rFonts w:ascii="Palatino Linotype" w:eastAsia="Palatino Linotype" w:hAnsi="Palatino Linotype" w:cs="Palatino Linotype"/>
          <w:sz w:val="22"/>
          <w:szCs w:val="22"/>
        </w:rPr>
        <w:lastRenderedPageBreak/>
        <w:t>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333E064" w14:textId="77777777" w:rsidR="00E80A74" w:rsidRPr="00C106BE" w:rsidRDefault="005878FD">
      <w:pPr>
        <w:spacing w:before="120" w:after="120"/>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C106BE">
        <w:rPr>
          <w:rFonts w:ascii="Palatino Linotype" w:eastAsia="Palatino Linotype" w:hAnsi="Palatino Linotype" w:cs="Palatino Linotype"/>
          <w:i/>
          <w:sz w:val="22"/>
          <w:szCs w:val="22"/>
        </w:rPr>
        <w:t>.</w:t>
      </w:r>
    </w:p>
    <w:p w14:paraId="783415F2" w14:textId="77777777" w:rsidR="00E80A74" w:rsidRPr="00C106BE" w:rsidRDefault="005878FD">
      <w:pPr>
        <w:spacing w:before="120" w:after="120"/>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013AD8E9" w14:textId="77777777" w:rsidR="00E80A74" w:rsidRPr="00C106BE" w:rsidRDefault="005878FD">
      <w:pPr>
        <w:spacing w:before="240" w:after="240" w:line="360" w:lineRule="auto"/>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t>Asimismo, por cuanto hace a la procedibilidad de</w:t>
      </w:r>
      <w:r w:rsidRPr="00C106BE">
        <w:rPr>
          <w:rFonts w:ascii="Palatino Linotype" w:eastAsia="Palatino Linotype" w:hAnsi="Palatino Linotype" w:cs="Palatino Linotype"/>
          <w:sz w:val="22"/>
          <w:szCs w:val="22"/>
        </w:rPr>
        <w:t>l</w:t>
      </w:r>
      <w:r w:rsidRPr="00C106BE">
        <w:rPr>
          <w:rFonts w:ascii="Palatino Linotype" w:eastAsia="Palatino Linotype" w:hAnsi="Palatino Linotype" w:cs="Palatino Linotype"/>
          <w:color w:val="000000"/>
          <w:sz w:val="22"/>
          <w:szCs w:val="22"/>
        </w:rPr>
        <w:t xml:space="preserve"> recurso de </w:t>
      </w:r>
      <w:r w:rsidRPr="00C106BE">
        <w:rPr>
          <w:rFonts w:ascii="Palatino Linotype" w:eastAsia="Palatino Linotype" w:hAnsi="Palatino Linotype" w:cs="Palatino Linotype"/>
          <w:sz w:val="22"/>
          <w:szCs w:val="22"/>
        </w:rPr>
        <w:t>revisión</w:t>
      </w:r>
      <w:r w:rsidRPr="00C106BE">
        <w:rPr>
          <w:rFonts w:ascii="Palatino Linotype" w:eastAsia="Palatino Linotype" w:hAnsi="Palatino Linotype" w:cs="Palatino Linotype"/>
          <w:color w:val="000000"/>
          <w:sz w:val="22"/>
          <w:szCs w:val="22"/>
        </w:rPr>
        <w:t>, es de suma importancia señalar que la parte</w:t>
      </w:r>
      <w:r w:rsidRPr="00C106BE">
        <w:rPr>
          <w:rFonts w:ascii="Palatino Linotype" w:eastAsia="Palatino Linotype" w:hAnsi="Palatino Linotype" w:cs="Palatino Linotype"/>
          <w:b/>
          <w:color w:val="000000"/>
          <w:sz w:val="22"/>
          <w:szCs w:val="22"/>
        </w:rPr>
        <w:t xml:space="preserve"> Recurrente</w:t>
      </w:r>
      <w:r w:rsidRPr="00C106BE">
        <w:rPr>
          <w:rFonts w:ascii="Palatino Linotype" w:eastAsia="Palatino Linotype" w:hAnsi="Palatino Linotype" w:cs="Palatino Linotype"/>
          <w:color w:val="000000"/>
          <w:sz w:val="22"/>
          <w:szCs w:val="22"/>
        </w:rPr>
        <w:t>,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9A00DBA" w14:textId="77777777" w:rsidR="00E80A74" w:rsidRPr="00C106BE" w:rsidRDefault="005878FD">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C106BE">
        <w:rPr>
          <w:rFonts w:ascii="Palatino Linotype" w:eastAsia="Palatino Linotype" w:hAnsi="Palatino Linotype" w:cs="Palatino Linotype"/>
          <w:i/>
          <w:color w:val="000000"/>
          <w:sz w:val="22"/>
          <w:szCs w:val="22"/>
        </w:rPr>
        <w:t xml:space="preserve">"Las </w:t>
      </w:r>
      <w:r w:rsidRPr="00C106BE">
        <w:rPr>
          <w:rFonts w:ascii="Palatino Linotype" w:eastAsia="Palatino Linotype" w:hAnsi="Palatino Linotype" w:cs="Palatino Linotype"/>
          <w:b/>
          <w:i/>
          <w:color w:val="000000"/>
          <w:sz w:val="22"/>
          <w:szCs w:val="22"/>
        </w:rPr>
        <w:t>solicitudes anónimas</w:t>
      </w:r>
      <w:r w:rsidRPr="00C106BE">
        <w:rPr>
          <w:rFonts w:ascii="Palatino Linotype" w:eastAsia="Palatino Linotype" w:hAnsi="Palatino Linotype" w:cs="Palatino Linotype"/>
          <w:i/>
          <w:color w:val="000000"/>
          <w:sz w:val="22"/>
          <w:szCs w:val="22"/>
        </w:rPr>
        <w:t>, con nombre incompleto o seudónimo serán procedentes para su trámite por parte del sujeto obligado ante quien se presente. No podrá requerirse información adicional con motivo del nombre proporcionado por el solicitante."</w:t>
      </w:r>
    </w:p>
    <w:p w14:paraId="1C3B836C" w14:textId="77777777" w:rsidR="00E80A74" w:rsidRPr="00C106BE" w:rsidRDefault="005878FD">
      <w:pPr>
        <w:spacing w:line="360" w:lineRule="auto"/>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22D85ED" w14:textId="77777777" w:rsidR="00E80A74" w:rsidRPr="00C106BE" w:rsidRDefault="00E80A74">
      <w:pPr>
        <w:spacing w:line="360" w:lineRule="auto"/>
        <w:jc w:val="both"/>
        <w:rPr>
          <w:rFonts w:ascii="Palatino Linotype" w:eastAsia="Palatino Linotype" w:hAnsi="Palatino Linotype" w:cs="Palatino Linotype"/>
          <w:color w:val="000000"/>
          <w:sz w:val="22"/>
          <w:szCs w:val="22"/>
        </w:rPr>
      </w:pPr>
    </w:p>
    <w:p w14:paraId="177797B6"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6203E6F3"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4ABFDD35"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 xml:space="preserve">Artículo 179. </w:t>
      </w:r>
      <w:r w:rsidRPr="00C106B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D96076E"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p>
    <w:p w14:paraId="3FA7E43F"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 La negativa a la información solicitada;</w:t>
      </w:r>
      <w:r w:rsidRPr="00C106BE">
        <w:rPr>
          <w:rFonts w:ascii="Palatino Linotype" w:eastAsia="Palatino Linotype" w:hAnsi="Palatino Linotype" w:cs="Palatino Linotype"/>
          <w:i/>
          <w:sz w:val="22"/>
          <w:szCs w:val="22"/>
        </w:rPr>
        <w:br/>
        <w:t xml:space="preserve">…” </w:t>
      </w:r>
    </w:p>
    <w:p w14:paraId="26EC2433" w14:textId="77777777" w:rsidR="00E80A74" w:rsidRPr="00C106BE" w:rsidRDefault="00E80A74">
      <w:pPr>
        <w:spacing w:line="360" w:lineRule="auto"/>
        <w:ind w:left="567" w:right="616"/>
        <w:jc w:val="both"/>
        <w:rPr>
          <w:rFonts w:ascii="Palatino Linotype" w:eastAsia="Palatino Linotype" w:hAnsi="Palatino Linotype" w:cs="Palatino Linotype"/>
          <w:i/>
          <w:sz w:val="22"/>
          <w:szCs w:val="22"/>
        </w:rPr>
      </w:pPr>
    </w:p>
    <w:p w14:paraId="4C356DCD"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color w:val="000000"/>
          <w:sz w:val="22"/>
          <w:szCs w:val="22"/>
        </w:rPr>
        <w:t>Tercero. Materia de Revisión</w:t>
      </w:r>
      <w:r w:rsidRPr="00C106BE">
        <w:rPr>
          <w:rFonts w:ascii="Palatino Linotype" w:eastAsia="Palatino Linotype" w:hAnsi="Palatino Linotype" w:cs="Palatino Linotype"/>
          <w:color w:val="000000"/>
          <w:sz w:val="22"/>
          <w:szCs w:val="22"/>
        </w:rPr>
        <w:t xml:space="preserve">: </w:t>
      </w:r>
      <w:r w:rsidRPr="00C106BE">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38C230EF"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0CDC040A"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 xml:space="preserve">Cuarto. Estudio de fondo del asunto. </w:t>
      </w:r>
      <w:r w:rsidRPr="00C106BE">
        <w:rPr>
          <w:rFonts w:ascii="Palatino Linotype" w:eastAsia="Palatino Linotype" w:hAnsi="Palatino Linotype" w:cs="Palatino Linotype"/>
          <w:sz w:val="22"/>
          <w:szCs w:val="22"/>
        </w:rPr>
        <w:t xml:space="preserve">Es conveniente analizar si la respuesta e informe justificado rendido por el </w:t>
      </w:r>
      <w:r w:rsidRPr="00C106BE">
        <w:rPr>
          <w:rFonts w:ascii="Palatino Linotype" w:eastAsia="Palatino Linotype" w:hAnsi="Palatino Linotype" w:cs="Palatino Linotype"/>
          <w:b/>
          <w:sz w:val="22"/>
          <w:szCs w:val="22"/>
        </w:rPr>
        <w:t xml:space="preserve">Sujeto Obligado </w:t>
      </w:r>
      <w:r w:rsidRPr="00C106BE">
        <w:rPr>
          <w:rFonts w:ascii="Palatino Linotype" w:eastAsia="Palatino Linotype" w:hAnsi="Palatino Linotype" w:cs="Palatino Linotype"/>
          <w:sz w:val="22"/>
          <w:szCs w:val="22"/>
        </w:rPr>
        <w:t xml:space="preserve">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w:t>
      </w:r>
      <w:r w:rsidRPr="00C106BE">
        <w:rPr>
          <w:rFonts w:ascii="Palatino Linotype" w:eastAsia="Palatino Linotype" w:hAnsi="Palatino Linotype" w:cs="Palatino Linotype"/>
          <w:sz w:val="22"/>
          <w:szCs w:val="22"/>
        </w:rPr>
        <w:lastRenderedPageBreak/>
        <w:t>cualquier persona, privilegiando el principio de máxima publicidad, como así lo establece dicha determinación, que a continuación se transcribe para un mejor entendimiento:</w:t>
      </w:r>
    </w:p>
    <w:p w14:paraId="6F93A47C"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0E1A1360" w14:textId="77777777" w:rsidR="00E80A74" w:rsidRPr="00C106BE" w:rsidRDefault="005878FD">
      <w:pPr>
        <w:tabs>
          <w:tab w:val="left" w:pos="85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Artículo 4</w:t>
      </w:r>
      <w:r w:rsidRPr="00C106B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965F3C3" w14:textId="77777777" w:rsidR="00E80A74" w:rsidRPr="00C106BE" w:rsidRDefault="005878FD">
      <w:pPr>
        <w:tabs>
          <w:tab w:val="left" w:pos="85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106B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74547EB" w14:textId="77777777" w:rsidR="00E80A74" w:rsidRPr="00C106BE" w:rsidRDefault="005878FD">
      <w:pPr>
        <w:tabs>
          <w:tab w:val="left" w:pos="85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106BE">
        <w:rPr>
          <w:rFonts w:ascii="Palatino Linotype" w:eastAsia="Palatino Linotype" w:hAnsi="Palatino Linotype" w:cs="Palatino Linotype"/>
          <w:i/>
          <w:sz w:val="22"/>
          <w:szCs w:val="22"/>
        </w:rPr>
        <w:t>.”(Sic)</w:t>
      </w:r>
    </w:p>
    <w:p w14:paraId="37E4F889"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661F647A"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D5E8BD0" w14:textId="77777777" w:rsidR="00E80A74" w:rsidRPr="00C106BE" w:rsidRDefault="00E80A74">
      <w:pPr>
        <w:spacing w:line="276" w:lineRule="auto"/>
        <w:ind w:left="567" w:right="616"/>
        <w:jc w:val="both"/>
        <w:rPr>
          <w:rFonts w:ascii="Palatino Linotype" w:eastAsia="Palatino Linotype" w:hAnsi="Palatino Linotype" w:cs="Palatino Linotype"/>
          <w:sz w:val="22"/>
          <w:szCs w:val="22"/>
        </w:rPr>
      </w:pPr>
    </w:p>
    <w:p w14:paraId="0F268F32"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Artículo 12.-</w:t>
      </w:r>
      <w:r w:rsidRPr="00C106B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5502277" w14:textId="77777777" w:rsidR="00E80A74" w:rsidRPr="00C106BE" w:rsidRDefault="00E80A74">
      <w:pPr>
        <w:spacing w:line="276" w:lineRule="auto"/>
        <w:ind w:left="851" w:right="616"/>
        <w:jc w:val="both"/>
        <w:rPr>
          <w:rFonts w:ascii="Palatino Linotype" w:eastAsia="Palatino Linotype" w:hAnsi="Palatino Linotype" w:cs="Palatino Linotype"/>
          <w:i/>
          <w:sz w:val="22"/>
          <w:szCs w:val="22"/>
        </w:rPr>
      </w:pPr>
    </w:p>
    <w:p w14:paraId="7E471CFF"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C106BE">
        <w:rPr>
          <w:rFonts w:ascii="Palatino Linotype" w:eastAsia="Palatino Linotype" w:hAnsi="Palatino Linotype" w:cs="Palatino Linotype"/>
          <w:i/>
          <w:sz w:val="22"/>
          <w:szCs w:val="22"/>
        </w:rPr>
        <w:t xml:space="preserve">.” </w:t>
      </w:r>
    </w:p>
    <w:p w14:paraId="093066D0" w14:textId="77777777" w:rsidR="00E80A74" w:rsidRPr="00C106BE" w:rsidRDefault="00E80A74">
      <w:pPr>
        <w:spacing w:line="360" w:lineRule="auto"/>
        <w:ind w:right="-93"/>
        <w:jc w:val="both"/>
        <w:rPr>
          <w:rFonts w:ascii="Palatino Linotype" w:eastAsia="Palatino Linotype" w:hAnsi="Palatino Linotype" w:cs="Palatino Linotype"/>
          <w:color w:val="000000"/>
          <w:sz w:val="22"/>
          <w:szCs w:val="22"/>
        </w:rPr>
      </w:pPr>
    </w:p>
    <w:p w14:paraId="20E4FCED" w14:textId="77777777" w:rsidR="00E80A74" w:rsidRPr="00C106BE" w:rsidRDefault="005878FD">
      <w:pPr>
        <w:spacing w:line="360" w:lineRule="auto"/>
        <w:ind w:right="-93"/>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C106BE">
        <w:rPr>
          <w:rFonts w:ascii="Palatino Linotype" w:eastAsia="Palatino Linotype" w:hAnsi="Palatino Linotype" w:cs="Palatino Linotype"/>
          <w:sz w:val="22"/>
          <w:szCs w:val="22"/>
        </w:rPr>
        <w:t>sólo</w:t>
      </w:r>
      <w:r w:rsidRPr="00C106BE">
        <w:rPr>
          <w:rFonts w:ascii="Palatino Linotype" w:eastAsia="Palatino Linotype" w:hAnsi="Palatino Linotype" w:cs="Palatino Linotype"/>
          <w:color w:val="000000"/>
          <w:sz w:val="22"/>
          <w:szCs w:val="22"/>
        </w:rPr>
        <w:t xml:space="preserve"> se </w:t>
      </w:r>
      <w:r w:rsidRPr="00C106BE">
        <w:rPr>
          <w:rFonts w:ascii="Palatino Linotype" w:eastAsia="Palatino Linotype" w:hAnsi="Palatino Linotype" w:cs="Palatino Linotype"/>
          <w:sz w:val="22"/>
          <w:szCs w:val="22"/>
        </w:rPr>
        <w:t>concretarán</w:t>
      </w:r>
      <w:r w:rsidRPr="00C106BE">
        <w:rPr>
          <w:rFonts w:ascii="Palatino Linotype" w:eastAsia="Palatino Linotype" w:hAnsi="Palatino Linotype" w:cs="Palatino Linotype"/>
          <w:color w:val="000000"/>
          <w:sz w:val="22"/>
          <w:szCs w:val="22"/>
        </w:rPr>
        <w:t xml:space="preserve"> a proporcionar la información solicitada que tengan en su poder en el estado que se encuentran, sin necesidad de concretarse al interés o términos específicos del solicitante.</w:t>
      </w:r>
    </w:p>
    <w:p w14:paraId="0BC7CEE4" w14:textId="77777777" w:rsidR="00E80A74" w:rsidRPr="00C106BE" w:rsidRDefault="00E80A74">
      <w:pPr>
        <w:spacing w:line="360" w:lineRule="auto"/>
        <w:ind w:right="-93"/>
        <w:jc w:val="both"/>
        <w:rPr>
          <w:rFonts w:ascii="Palatino Linotype" w:eastAsia="Palatino Linotype" w:hAnsi="Palatino Linotype" w:cs="Palatino Linotype"/>
          <w:color w:val="000000"/>
          <w:sz w:val="22"/>
          <w:szCs w:val="22"/>
        </w:rPr>
      </w:pPr>
    </w:p>
    <w:p w14:paraId="0B58BC8D" w14:textId="77777777" w:rsidR="00E80A74" w:rsidRPr="00C106BE" w:rsidRDefault="005878FD">
      <w:pPr>
        <w:spacing w:line="360" w:lineRule="auto"/>
        <w:jc w:val="both"/>
        <w:rPr>
          <w:rFonts w:ascii="Palatino Linotype" w:eastAsia="Palatino Linotype" w:hAnsi="Palatino Linotype" w:cs="Palatino Linotype"/>
          <w:b/>
          <w:color w:val="000000"/>
          <w:sz w:val="22"/>
          <w:szCs w:val="22"/>
        </w:rPr>
      </w:pPr>
      <w:r w:rsidRPr="00C106BE">
        <w:rPr>
          <w:rFonts w:ascii="Palatino Linotype" w:eastAsia="Palatino Linotype" w:hAnsi="Palatino Linotype" w:cs="Palatino Linotype"/>
          <w:color w:val="000000"/>
          <w:sz w:val="22"/>
          <w:szCs w:val="22"/>
        </w:rPr>
        <w:t>Sirve de apoyo a lo anterior, el criterio orientador 03-17, expuesto por el entonces Instituto Nacional de Transparencia, Acceso a la Información y Protección de Datos Personales, que dice:</w:t>
      </w:r>
      <w:r w:rsidRPr="00C106BE">
        <w:rPr>
          <w:rFonts w:ascii="Palatino Linotype" w:eastAsia="Palatino Linotype" w:hAnsi="Palatino Linotype" w:cs="Palatino Linotype"/>
          <w:b/>
          <w:color w:val="000000"/>
          <w:sz w:val="22"/>
          <w:szCs w:val="22"/>
        </w:rPr>
        <w:t xml:space="preserve"> </w:t>
      </w:r>
    </w:p>
    <w:p w14:paraId="664617C8" w14:textId="77777777" w:rsidR="00E80A74" w:rsidRPr="00C106BE" w:rsidRDefault="005878FD">
      <w:pPr>
        <w:spacing w:line="276" w:lineRule="auto"/>
        <w:ind w:left="851" w:right="616"/>
        <w:jc w:val="both"/>
        <w:rPr>
          <w:rFonts w:ascii="Palatino Linotype" w:eastAsia="Palatino Linotype" w:hAnsi="Palatino Linotype" w:cs="Palatino Linotype"/>
          <w:i/>
          <w:color w:val="000000"/>
          <w:sz w:val="22"/>
          <w:szCs w:val="22"/>
        </w:rPr>
      </w:pPr>
      <w:r w:rsidRPr="00C106BE">
        <w:rPr>
          <w:rFonts w:ascii="Palatino Linotype" w:eastAsia="Palatino Linotype" w:hAnsi="Palatino Linotype" w:cs="Palatino Linotype"/>
          <w:i/>
          <w:color w:val="000000"/>
          <w:sz w:val="22"/>
          <w:szCs w:val="22"/>
        </w:rPr>
        <w:t>“</w:t>
      </w:r>
      <w:r w:rsidRPr="00C106B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C106BE">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A0B3417" w14:textId="77777777" w:rsidR="00E80A74" w:rsidRPr="00C106BE" w:rsidRDefault="00E80A74">
      <w:pPr>
        <w:spacing w:line="276" w:lineRule="auto"/>
        <w:ind w:left="567" w:right="616"/>
        <w:jc w:val="both"/>
        <w:rPr>
          <w:rFonts w:ascii="Palatino Linotype" w:eastAsia="Palatino Linotype" w:hAnsi="Palatino Linotype" w:cs="Palatino Linotype"/>
          <w:i/>
          <w:color w:val="000000"/>
          <w:sz w:val="22"/>
          <w:szCs w:val="22"/>
        </w:rPr>
      </w:pPr>
    </w:p>
    <w:p w14:paraId="0ADA276E" w14:textId="77777777" w:rsidR="00E80A74" w:rsidRPr="00C106BE" w:rsidRDefault="005878FD">
      <w:pPr>
        <w:spacing w:line="360" w:lineRule="auto"/>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sz w:val="22"/>
          <w:szCs w:val="22"/>
        </w:rPr>
        <w:lastRenderedPageBreak/>
        <w:t xml:space="preserve">En esa tesitura, el artículo 24 en su último párrafo de la Ley de la Materia, dispone que los Sujetos Obligados </w:t>
      </w:r>
      <w:r w:rsidRPr="00C106BE">
        <w:rPr>
          <w:rFonts w:ascii="Palatino Linotype" w:eastAsia="Palatino Linotype" w:hAnsi="Palatino Linotype" w:cs="Palatino Linotype"/>
          <w:color w:val="000000"/>
          <w:sz w:val="22"/>
          <w:szCs w:val="22"/>
        </w:rPr>
        <w:t xml:space="preserve">sólo proporcionarán la información pública que </w:t>
      </w:r>
      <w:r w:rsidRPr="00C106BE">
        <w:rPr>
          <w:rFonts w:ascii="Palatino Linotype" w:eastAsia="Palatino Linotype" w:hAnsi="Palatino Linotype" w:cs="Palatino Linotype"/>
          <w:sz w:val="22"/>
          <w:szCs w:val="22"/>
        </w:rPr>
        <w:t>generen</w:t>
      </w:r>
      <w:r w:rsidRPr="00C106BE">
        <w:rPr>
          <w:rFonts w:ascii="Palatino Linotype" w:eastAsia="Palatino Linotype" w:hAnsi="Palatino Linotype" w:cs="Palatino Linotype"/>
          <w:color w:val="000000"/>
          <w:sz w:val="22"/>
          <w:szCs w:val="22"/>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E276EF7" w14:textId="77777777" w:rsidR="00E80A74" w:rsidRPr="00C106BE" w:rsidRDefault="00E80A74">
      <w:pPr>
        <w:spacing w:line="360" w:lineRule="auto"/>
        <w:jc w:val="both"/>
        <w:rPr>
          <w:rFonts w:ascii="Palatino Linotype" w:eastAsia="Palatino Linotype" w:hAnsi="Palatino Linotype" w:cs="Palatino Linotype"/>
          <w:color w:val="000000"/>
          <w:sz w:val="22"/>
          <w:szCs w:val="22"/>
        </w:rPr>
      </w:pPr>
    </w:p>
    <w:p w14:paraId="79D8E8EC"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16C94DB"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0D97576D"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 xml:space="preserve">Artículo 3. </w:t>
      </w:r>
      <w:r w:rsidRPr="00C106BE">
        <w:rPr>
          <w:rFonts w:ascii="Palatino Linotype" w:eastAsia="Palatino Linotype" w:hAnsi="Palatino Linotype" w:cs="Palatino Linotype"/>
          <w:i/>
          <w:sz w:val="22"/>
          <w:szCs w:val="22"/>
        </w:rPr>
        <w:t>Para los efectos de la presente Ley se entenderá por:</w:t>
      </w:r>
    </w:p>
    <w:p w14:paraId="0201971D"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p>
    <w:p w14:paraId="120EF4F3" w14:textId="77777777" w:rsidR="00E80A74" w:rsidRPr="00C106BE" w:rsidRDefault="005878FD">
      <w:pPr>
        <w:spacing w:line="276" w:lineRule="auto"/>
        <w:ind w:left="851" w:right="616"/>
        <w:jc w:val="both"/>
        <w:rPr>
          <w:rFonts w:ascii="Palatino Linotype" w:eastAsia="Palatino Linotype" w:hAnsi="Palatino Linotype" w:cs="Palatino Linotype"/>
          <w:i/>
          <w:color w:val="000000"/>
          <w:sz w:val="22"/>
          <w:szCs w:val="22"/>
        </w:rPr>
      </w:pPr>
      <w:r w:rsidRPr="00C106BE">
        <w:rPr>
          <w:rFonts w:ascii="Palatino Linotype" w:eastAsia="Palatino Linotype" w:hAnsi="Palatino Linotype" w:cs="Palatino Linotype"/>
          <w:b/>
          <w:i/>
          <w:color w:val="000000"/>
          <w:sz w:val="22"/>
          <w:szCs w:val="22"/>
        </w:rPr>
        <w:t>XI. Documento:</w:t>
      </w:r>
      <w:r w:rsidRPr="00C106BE">
        <w:rPr>
          <w:rFonts w:ascii="Palatino Linotype" w:eastAsia="Palatino Linotype" w:hAnsi="Palatino Linotype" w:cs="Palatino Linotype"/>
          <w:i/>
          <w:color w:val="000000"/>
          <w:sz w:val="22"/>
          <w:szCs w:val="22"/>
        </w:rPr>
        <w:t xml:space="preserve"> Los expedientes, reportes, estudios, actas</w:t>
      </w:r>
      <w:r w:rsidRPr="00C106BE">
        <w:rPr>
          <w:rFonts w:ascii="Palatino Linotype" w:eastAsia="Palatino Linotype" w:hAnsi="Palatino Linotype" w:cs="Palatino Linotype"/>
          <w:b/>
          <w:i/>
          <w:color w:val="000000"/>
          <w:sz w:val="22"/>
          <w:szCs w:val="22"/>
        </w:rPr>
        <w:t>,</w:t>
      </w:r>
      <w:r w:rsidRPr="00C106BE">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2D7D7B5" w14:textId="77777777" w:rsidR="00E80A74" w:rsidRPr="00C106BE" w:rsidRDefault="00E80A74">
      <w:pPr>
        <w:spacing w:line="360" w:lineRule="auto"/>
        <w:ind w:left="851" w:right="899"/>
        <w:jc w:val="both"/>
        <w:rPr>
          <w:rFonts w:ascii="Palatino Linotype" w:eastAsia="Palatino Linotype" w:hAnsi="Palatino Linotype" w:cs="Palatino Linotype"/>
          <w:sz w:val="22"/>
          <w:szCs w:val="22"/>
        </w:rPr>
      </w:pPr>
    </w:p>
    <w:p w14:paraId="0D7B2BE6"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C106BE">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494FD4AC" w14:textId="77777777" w:rsidR="00E80A74" w:rsidRPr="00C106BE" w:rsidRDefault="00E80A74">
      <w:pPr>
        <w:spacing w:line="360" w:lineRule="auto"/>
        <w:ind w:left="851" w:right="899"/>
        <w:jc w:val="both"/>
        <w:rPr>
          <w:rFonts w:ascii="Palatino Linotype" w:eastAsia="Palatino Linotype" w:hAnsi="Palatino Linotype" w:cs="Palatino Linotype"/>
          <w:sz w:val="22"/>
          <w:szCs w:val="22"/>
        </w:rPr>
      </w:pPr>
    </w:p>
    <w:p w14:paraId="169E9437" w14:textId="77777777" w:rsidR="00E80A74" w:rsidRPr="00C106BE" w:rsidRDefault="005878FD">
      <w:pPr>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sz w:val="22"/>
          <w:szCs w:val="22"/>
        </w:rPr>
        <w:t>“</w:t>
      </w:r>
      <w:r w:rsidRPr="00C106B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106B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8D1A1"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37EEA8C"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6F8EDA0" w14:textId="77777777" w:rsidR="00E80A74" w:rsidRPr="00C106BE" w:rsidRDefault="005878FD">
      <w:pPr>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6C0FB20" w14:textId="77777777" w:rsidR="00E80A74" w:rsidRPr="00C106BE" w:rsidRDefault="005878FD">
      <w:pPr>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446ED8F6"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6B862324" w14:textId="77777777" w:rsidR="00E80A74" w:rsidRPr="00C106BE" w:rsidRDefault="005878FD">
      <w:pPr>
        <w:spacing w:line="360" w:lineRule="auto"/>
        <w:ind w:right="49"/>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FF0AC0"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3A4C262A"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660FEDD" w14:textId="1B360409" w:rsidR="00E80A74" w:rsidRPr="00C106BE" w:rsidRDefault="005878FD">
      <w:pPr>
        <w:spacing w:before="240" w:after="240"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xml:space="preserve"> requirió al </w:t>
      </w:r>
      <w:r w:rsidRPr="00C106BE">
        <w:rPr>
          <w:rFonts w:ascii="Palatino Linotype" w:eastAsia="Palatino Linotype" w:hAnsi="Palatino Linotype" w:cs="Palatino Linotype"/>
          <w:b/>
          <w:sz w:val="22"/>
          <w:szCs w:val="22"/>
        </w:rPr>
        <w:t>Sujeto Obligado</w:t>
      </w:r>
      <w:r w:rsidR="00117BD3" w:rsidRPr="00C106BE">
        <w:rPr>
          <w:rFonts w:ascii="Palatino Linotype" w:eastAsia="Palatino Linotype" w:hAnsi="Palatino Linotype" w:cs="Palatino Linotype"/>
          <w:b/>
          <w:sz w:val="22"/>
          <w:szCs w:val="22"/>
        </w:rPr>
        <w:t>, de la administración actual</w:t>
      </w:r>
      <w:r w:rsidRPr="00C106BE">
        <w:rPr>
          <w:rFonts w:ascii="Palatino Linotype" w:eastAsia="Palatino Linotype" w:hAnsi="Palatino Linotype" w:cs="Palatino Linotype"/>
          <w:sz w:val="22"/>
          <w:szCs w:val="22"/>
        </w:rPr>
        <w:t xml:space="preserve">: </w:t>
      </w:r>
    </w:p>
    <w:p w14:paraId="221E2374" w14:textId="02459AD3" w:rsidR="00E80A74" w:rsidRPr="00C106BE" w:rsidRDefault="005878FD">
      <w:pPr>
        <w:numPr>
          <w:ilvl w:val="0"/>
          <w:numId w:val="2"/>
        </w:numPr>
        <w:pBdr>
          <w:top w:val="nil"/>
          <w:left w:val="nil"/>
          <w:bottom w:val="nil"/>
          <w:right w:val="nil"/>
          <w:between w:val="nil"/>
        </w:pBdr>
        <w:spacing w:before="240" w:after="240" w:line="360" w:lineRule="auto"/>
        <w:ind w:right="616"/>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t xml:space="preserve">El programa de obras </w:t>
      </w:r>
    </w:p>
    <w:p w14:paraId="7942D155" w14:textId="77777777" w:rsidR="00E80A74" w:rsidRPr="00C106BE" w:rsidRDefault="005878FD">
      <w:pPr>
        <w:numPr>
          <w:ilvl w:val="0"/>
          <w:numId w:val="2"/>
        </w:numPr>
        <w:pBdr>
          <w:top w:val="nil"/>
          <w:left w:val="nil"/>
          <w:bottom w:val="nil"/>
          <w:right w:val="nil"/>
          <w:between w:val="nil"/>
        </w:pBdr>
        <w:spacing w:before="240" w:after="240" w:line="360" w:lineRule="auto"/>
        <w:ind w:right="616"/>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t>Estatus, ficha técnica y costo de cada obra</w:t>
      </w:r>
    </w:p>
    <w:p w14:paraId="1365B2ED" w14:textId="77777777" w:rsidR="00E80A74" w:rsidRPr="00C106BE" w:rsidRDefault="005878FD">
      <w:pPr>
        <w:pBdr>
          <w:top w:val="nil"/>
          <w:left w:val="nil"/>
          <w:bottom w:val="nil"/>
          <w:right w:val="nil"/>
          <w:between w:val="nil"/>
        </w:pBdr>
        <w:spacing w:before="280" w:after="280" w:line="360" w:lineRule="auto"/>
        <w:ind w:right="34"/>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En tal sentido, el </w:t>
      </w:r>
      <w:r w:rsidRPr="00C106BE">
        <w:rPr>
          <w:rFonts w:ascii="Palatino Linotype" w:eastAsia="Palatino Linotype" w:hAnsi="Palatino Linotype" w:cs="Palatino Linotype"/>
          <w:b/>
          <w:sz w:val="22"/>
          <w:szCs w:val="22"/>
        </w:rPr>
        <w:t xml:space="preserve">Sujeto Obligado </w:t>
      </w:r>
      <w:r w:rsidRPr="00C106BE">
        <w:rPr>
          <w:rFonts w:ascii="Palatino Linotype" w:eastAsia="Palatino Linotype" w:hAnsi="Palatino Linotype" w:cs="Palatino Linotype"/>
          <w:sz w:val="22"/>
          <w:szCs w:val="22"/>
        </w:rPr>
        <w:t>a través de la Dirección General de Obras Públicas informó que realizó una búsqueda exhaustiva y razonable de la información, en la que se concluyó que a la fecha de la solicitud, no se han generado los documentos objeto de la solicitud; asimismo, señaló que el Programa Anual de Obra 2025, se encuentra en el periodo de integración y autorización, atendiendo a lo establecido en el artículo 3.4 del Manual para la Planeación, Programación y Presupuesto de Egresos Municipal para el ejercicio fiscal 2025.</w:t>
      </w:r>
    </w:p>
    <w:p w14:paraId="3F8DEA1E"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lastRenderedPageBreak/>
        <w:t>Conocida la respuesta por el particular y al no estar conforme con los términos de la misma, presentó el recurso de revisión que nos ocupa, mediante el cual se inconformo medularmente por la negativa a la información.</w:t>
      </w:r>
    </w:p>
    <w:p w14:paraId="425B4755" w14:textId="77777777" w:rsidR="00E80A74" w:rsidRPr="00C106BE" w:rsidRDefault="00E80A74">
      <w:pPr>
        <w:spacing w:line="360" w:lineRule="auto"/>
        <w:ind w:right="49"/>
        <w:jc w:val="both"/>
        <w:rPr>
          <w:rFonts w:ascii="Palatino Linotype" w:eastAsia="Palatino Linotype" w:hAnsi="Palatino Linotype" w:cs="Palatino Linotype"/>
          <w:sz w:val="22"/>
          <w:szCs w:val="22"/>
        </w:rPr>
      </w:pPr>
    </w:p>
    <w:p w14:paraId="42CC57D4" w14:textId="77777777" w:rsidR="00E80A74" w:rsidRPr="00C106BE" w:rsidRDefault="005878FD">
      <w:pPr>
        <w:spacing w:line="360" w:lineRule="auto"/>
        <w:ind w:right="49"/>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sz w:val="22"/>
          <w:szCs w:val="22"/>
        </w:rPr>
        <w:t xml:space="preserve">Es así que, el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xml:space="preserve"> no realizó manifestaciones, alegatos o pruebas que a su derecho convinieran y por su parte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b/>
          <w:color w:val="000000"/>
          <w:sz w:val="22"/>
          <w:szCs w:val="22"/>
        </w:rPr>
        <w:t xml:space="preserve"> </w:t>
      </w:r>
      <w:r w:rsidRPr="00C106BE">
        <w:rPr>
          <w:rFonts w:ascii="Palatino Linotype" w:eastAsia="Palatino Linotype" w:hAnsi="Palatino Linotype" w:cs="Palatino Linotype"/>
          <w:sz w:val="22"/>
          <w:szCs w:val="22"/>
        </w:rPr>
        <w:t>rindió su informe justificado en el que ratifico su respuesta inicial</w:t>
      </w:r>
      <w:r w:rsidRPr="00C106BE">
        <w:rPr>
          <w:rFonts w:ascii="Palatino Linotype" w:eastAsia="Palatino Linotype" w:hAnsi="Palatino Linotype" w:cs="Palatino Linotype"/>
          <w:color w:val="000000"/>
          <w:sz w:val="22"/>
          <w:szCs w:val="22"/>
        </w:rPr>
        <w:t xml:space="preserve">. </w:t>
      </w:r>
    </w:p>
    <w:p w14:paraId="34523296" w14:textId="77777777" w:rsidR="00E80A74" w:rsidRPr="00C106BE" w:rsidRDefault="00E80A74">
      <w:pPr>
        <w:spacing w:line="360" w:lineRule="auto"/>
        <w:jc w:val="both"/>
        <w:rPr>
          <w:rFonts w:ascii="Palatino Linotype" w:eastAsia="Palatino Linotype" w:hAnsi="Palatino Linotype" w:cs="Palatino Linotype"/>
          <w:color w:val="000000"/>
          <w:sz w:val="22"/>
          <w:szCs w:val="22"/>
        </w:rPr>
      </w:pPr>
    </w:p>
    <w:p w14:paraId="506B84C6" w14:textId="77777777" w:rsidR="00E80A74" w:rsidRPr="00C106BE" w:rsidRDefault="005878F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Derivado de esto, es de señalar que la controversia a dirimir en el presente asunto, se encuentra centrada en la negativa a la información declarada por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respecto a los requerimientos de información realizados por la persona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xml:space="preserve">, en ese sentido, a efecto de garantizar el efectivo ejercicio del derecho de acceso a la información pública que asiste al particular, resulta conveniente entrar al estudio de las siguientes consideraciones de hecho y derecho: </w:t>
      </w:r>
    </w:p>
    <w:p w14:paraId="47D1896E" w14:textId="77777777" w:rsidR="00E80A74" w:rsidRPr="00C106BE" w:rsidRDefault="005878FD">
      <w:pPr>
        <w:numPr>
          <w:ilvl w:val="0"/>
          <w:numId w:val="2"/>
        </w:numPr>
        <w:pBdr>
          <w:top w:val="nil"/>
          <w:left w:val="nil"/>
          <w:bottom w:val="nil"/>
          <w:right w:val="nil"/>
          <w:between w:val="nil"/>
        </w:pBdr>
        <w:spacing w:before="240" w:after="240" w:line="360" w:lineRule="auto"/>
        <w:ind w:right="616"/>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t xml:space="preserve">Programa de obras </w:t>
      </w:r>
    </w:p>
    <w:p w14:paraId="4C921135" w14:textId="77777777" w:rsidR="00E80A74" w:rsidRPr="00C106BE" w:rsidRDefault="005878FD">
      <w:pPr>
        <w:spacing w:before="240" w:after="24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Referente a este punto, conviene traer a colación lo previsto por los artículos 31, fracción XXI; 87, fracción III y 96 bis, fracción II de la Ley Orgánica Municipal del Estado de México, así como el artículo 3.55 del Código Reglamentario Municipal de Toluca vigente, los cuales son del tenor literal siguiente:</w:t>
      </w:r>
    </w:p>
    <w:p w14:paraId="1AAB0CB3" w14:textId="77777777" w:rsidR="00E80A74" w:rsidRPr="00C106BE" w:rsidRDefault="005878FD">
      <w:pPr>
        <w:tabs>
          <w:tab w:val="left" w:pos="7371"/>
        </w:tabs>
        <w:spacing w:line="276" w:lineRule="auto"/>
        <w:ind w:left="851" w:right="616"/>
        <w:jc w:val="center"/>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Ley Orgánica Municipal</w:t>
      </w:r>
    </w:p>
    <w:p w14:paraId="2F12FED4"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Artículo 31.-</w:t>
      </w:r>
      <w:r w:rsidRPr="00C106BE">
        <w:rPr>
          <w:rFonts w:ascii="Palatino Linotype" w:eastAsia="Palatino Linotype" w:hAnsi="Palatino Linotype" w:cs="Palatino Linotype"/>
          <w:i/>
          <w:sz w:val="22"/>
          <w:szCs w:val="22"/>
        </w:rPr>
        <w:t xml:space="preserve"> Son </w:t>
      </w:r>
      <w:r w:rsidRPr="00C106BE">
        <w:rPr>
          <w:rFonts w:ascii="Palatino Linotype" w:eastAsia="Palatino Linotype" w:hAnsi="Palatino Linotype" w:cs="Palatino Linotype"/>
          <w:b/>
          <w:i/>
          <w:sz w:val="22"/>
          <w:szCs w:val="22"/>
        </w:rPr>
        <w:t>atribuciones de los ayuntamientos</w:t>
      </w:r>
      <w:r w:rsidRPr="00C106BE">
        <w:rPr>
          <w:rFonts w:ascii="Palatino Linotype" w:eastAsia="Palatino Linotype" w:hAnsi="Palatino Linotype" w:cs="Palatino Linotype"/>
          <w:i/>
          <w:sz w:val="22"/>
          <w:szCs w:val="22"/>
        </w:rPr>
        <w:t>:</w:t>
      </w:r>
    </w:p>
    <w:p w14:paraId="7D44320F" w14:textId="77777777" w:rsidR="006F1091" w:rsidRPr="00C106BE" w:rsidRDefault="006F1091" w:rsidP="006F1091">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p>
    <w:p w14:paraId="35E92D1F" w14:textId="77777777" w:rsidR="006F1091" w:rsidRPr="00C106BE" w:rsidRDefault="006F1091" w:rsidP="006F1091">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XXI. Formular, aprobar y ejecutar los planes de desarrollo municipal y los Programas correspondientes;</w:t>
      </w:r>
    </w:p>
    <w:p w14:paraId="1FAC97CB" w14:textId="4D74CA17" w:rsidR="00117BD3" w:rsidRPr="00C106BE" w:rsidRDefault="006F1091" w:rsidP="006F1091">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w:t>
      </w:r>
    </w:p>
    <w:p w14:paraId="1D81DCC5" w14:textId="4351440E" w:rsidR="00E80A74" w:rsidRPr="00C106BE" w:rsidRDefault="005878F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lastRenderedPageBreak/>
        <w:t>Artículo 87.-</w:t>
      </w:r>
      <w:r w:rsidRPr="00C106BE">
        <w:rPr>
          <w:rFonts w:ascii="Palatino Linotype" w:eastAsia="Palatino Linotype" w:hAnsi="Palatino Linotype" w:cs="Palatino Linotype"/>
          <w:i/>
          <w:sz w:val="22"/>
          <w:szCs w:val="22"/>
        </w:rPr>
        <w:t xml:space="preserve"> Para el despacho, estudio y planeación de los diversos asuntos de la administración municipal, </w:t>
      </w:r>
      <w:r w:rsidRPr="00C106BE">
        <w:rPr>
          <w:rFonts w:ascii="Palatino Linotype" w:eastAsia="Palatino Linotype" w:hAnsi="Palatino Linotype" w:cs="Palatino Linotype"/>
          <w:b/>
          <w:i/>
          <w:sz w:val="22"/>
          <w:szCs w:val="22"/>
        </w:rPr>
        <w:t>el ayuntamiento contará</w:t>
      </w:r>
      <w:r w:rsidRPr="00C106BE">
        <w:rPr>
          <w:rFonts w:ascii="Palatino Linotype" w:eastAsia="Palatino Linotype" w:hAnsi="Palatino Linotype" w:cs="Palatino Linotype"/>
          <w:i/>
          <w:sz w:val="22"/>
          <w:szCs w:val="22"/>
        </w:rPr>
        <w:t xml:space="preserve"> por lo menos </w:t>
      </w:r>
      <w:r w:rsidRPr="00C106BE">
        <w:rPr>
          <w:rFonts w:ascii="Palatino Linotype" w:eastAsia="Palatino Linotype" w:hAnsi="Palatino Linotype" w:cs="Palatino Linotype"/>
          <w:b/>
          <w:i/>
          <w:sz w:val="22"/>
          <w:szCs w:val="22"/>
        </w:rPr>
        <w:t>con</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las siguientes Dependencias</w:t>
      </w:r>
      <w:r w:rsidRPr="00C106BE">
        <w:rPr>
          <w:rFonts w:ascii="Palatino Linotype" w:eastAsia="Palatino Linotype" w:hAnsi="Palatino Linotype" w:cs="Palatino Linotype"/>
          <w:i/>
          <w:sz w:val="22"/>
          <w:szCs w:val="22"/>
        </w:rPr>
        <w:t>: (…)</w:t>
      </w:r>
    </w:p>
    <w:p w14:paraId="19FF227F" w14:textId="77777777" w:rsidR="00E80A74" w:rsidRPr="00C106BE" w:rsidRDefault="005878F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i/>
          <w:sz w:val="22"/>
          <w:szCs w:val="22"/>
        </w:rPr>
        <w:t xml:space="preserve">III. </w:t>
      </w:r>
      <w:r w:rsidRPr="00C106BE">
        <w:rPr>
          <w:rFonts w:ascii="Palatino Linotype" w:eastAsia="Palatino Linotype" w:hAnsi="Palatino Linotype" w:cs="Palatino Linotype"/>
          <w:b/>
          <w:i/>
          <w:sz w:val="22"/>
          <w:szCs w:val="22"/>
        </w:rPr>
        <w:t>La Dirección de Obras Públicas o equivalente.</w:t>
      </w:r>
    </w:p>
    <w:p w14:paraId="6BDB2D10" w14:textId="77777777" w:rsidR="00E80A74" w:rsidRPr="00C106BE" w:rsidRDefault="005878F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p>
    <w:p w14:paraId="525CB13A" w14:textId="77777777" w:rsidR="00E80A74" w:rsidRPr="00C106BE" w:rsidRDefault="005878F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96. Bis</w:t>
      </w:r>
      <w:r w:rsidRPr="00C106BE">
        <w:rPr>
          <w:rFonts w:ascii="Palatino Linotype" w:eastAsia="Palatino Linotype" w:hAnsi="Palatino Linotype" w:cs="Palatino Linotype"/>
          <w:i/>
          <w:sz w:val="22"/>
          <w:szCs w:val="22"/>
        </w:rPr>
        <w:t xml:space="preserve">.- El </w:t>
      </w:r>
      <w:r w:rsidRPr="00C106BE">
        <w:rPr>
          <w:rFonts w:ascii="Palatino Linotype" w:eastAsia="Palatino Linotype" w:hAnsi="Palatino Linotype" w:cs="Palatino Linotype"/>
          <w:b/>
          <w:i/>
          <w:sz w:val="22"/>
          <w:szCs w:val="22"/>
        </w:rPr>
        <w:t>Director de Obras Públicas</w:t>
      </w:r>
      <w:r w:rsidRPr="00C106BE">
        <w:rPr>
          <w:rFonts w:ascii="Palatino Linotype" w:eastAsia="Palatino Linotype" w:hAnsi="Palatino Linotype" w:cs="Palatino Linotype"/>
          <w:i/>
          <w:sz w:val="22"/>
          <w:szCs w:val="22"/>
        </w:rPr>
        <w:t xml:space="preserve"> o el Titular de la Unidad Administrativa equivalente, </w:t>
      </w:r>
      <w:r w:rsidRPr="00C106BE">
        <w:rPr>
          <w:rFonts w:ascii="Palatino Linotype" w:eastAsia="Palatino Linotype" w:hAnsi="Palatino Linotype" w:cs="Palatino Linotype"/>
          <w:b/>
          <w:i/>
          <w:sz w:val="22"/>
          <w:szCs w:val="22"/>
        </w:rPr>
        <w:t>tiene las siguientes</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atribuciones</w:t>
      </w:r>
      <w:r w:rsidRPr="00C106BE">
        <w:rPr>
          <w:rFonts w:ascii="Palatino Linotype" w:eastAsia="Palatino Linotype" w:hAnsi="Palatino Linotype" w:cs="Palatino Linotype"/>
          <w:i/>
          <w:sz w:val="22"/>
          <w:szCs w:val="22"/>
        </w:rPr>
        <w:t xml:space="preserve">: </w:t>
      </w:r>
    </w:p>
    <w:p w14:paraId="4907E5FF" w14:textId="77777777" w:rsidR="00E80A74" w:rsidRPr="00C106BE" w:rsidRDefault="005878F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I. </w:t>
      </w:r>
      <w:r w:rsidRPr="00C106BE">
        <w:rPr>
          <w:rFonts w:ascii="Palatino Linotype" w:eastAsia="Palatino Linotype" w:hAnsi="Palatino Linotype" w:cs="Palatino Linotype"/>
          <w:b/>
          <w:i/>
          <w:sz w:val="22"/>
          <w:szCs w:val="22"/>
        </w:rPr>
        <w:t>Realizar la programación y ejecución de las obras públicas y servicios relacionados</w:t>
      </w:r>
      <w:r w:rsidRPr="00C106BE">
        <w:rPr>
          <w:rFonts w:ascii="Palatino Linotype" w:eastAsia="Palatino Linotype" w:hAnsi="Palatino Linotype" w:cs="Palatino Linotype"/>
          <w:i/>
          <w:sz w:val="22"/>
          <w:szCs w:val="22"/>
        </w:rPr>
        <w:t xml:space="preserve">, que por orden expresa del Ayuntamiento requieran prioridad </w:t>
      </w:r>
    </w:p>
    <w:p w14:paraId="4F0F3F01" w14:textId="77777777" w:rsidR="00E80A74" w:rsidRPr="00C106BE" w:rsidRDefault="005878F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II. </w:t>
      </w:r>
      <w:r w:rsidRPr="00C106BE">
        <w:rPr>
          <w:rFonts w:ascii="Palatino Linotype" w:eastAsia="Palatino Linotype" w:hAnsi="Palatino Linotype" w:cs="Palatino Linotype"/>
          <w:b/>
          <w:i/>
          <w:sz w:val="22"/>
          <w:szCs w:val="22"/>
        </w:rPr>
        <w:t xml:space="preserve">Planear y coordinar los </w:t>
      </w:r>
      <w:r w:rsidRPr="00C106BE">
        <w:rPr>
          <w:rFonts w:ascii="Palatino Linotype" w:eastAsia="Palatino Linotype" w:hAnsi="Palatino Linotype" w:cs="Palatino Linotype"/>
          <w:b/>
          <w:i/>
          <w:sz w:val="22"/>
          <w:szCs w:val="22"/>
          <w:u w:val="single"/>
        </w:rPr>
        <w:t>proyectos</w:t>
      </w:r>
      <w:r w:rsidRPr="00C106BE">
        <w:rPr>
          <w:rFonts w:ascii="Palatino Linotype" w:eastAsia="Palatino Linotype" w:hAnsi="Palatino Linotype" w:cs="Palatino Linotype"/>
          <w:b/>
          <w:i/>
          <w:sz w:val="22"/>
          <w:szCs w:val="22"/>
        </w:rPr>
        <w:t xml:space="preserve"> de obras públicas y servicios relacionados con las mismas</w:t>
      </w:r>
      <w:r w:rsidRPr="00C106BE">
        <w:rPr>
          <w:rFonts w:ascii="Palatino Linotype" w:eastAsia="Palatino Linotype" w:hAnsi="Palatino Linotype" w:cs="Palatino Linotype"/>
          <w:i/>
          <w:sz w:val="22"/>
          <w:szCs w:val="22"/>
        </w:rPr>
        <w:t xml:space="preserve"> que autorice el Ayuntamiento, una vez que se cumplan los requisitos de licitación y otros que determine la ley de la materia;</w:t>
      </w:r>
    </w:p>
    <w:p w14:paraId="16F0DB43" w14:textId="77777777" w:rsidR="00E80A74" w:rsidRPr="00C106BE" w:rsidRDefault="005878F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p>
    <w:p w14:paraId="31186146" w14:textId="77777777" w:rsidR="00E80A74" w:rsidRPr="00C106BE" w:rsidRDefault="005878F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XV. </w:t>
      </w:r>
      <w:r w:rsidRPr="00C106BE">
        <w:rPr>
          <w:rFonts w:ascii="Palatino Linotype" w:eastAsia="Palatino Linotype" w:hAnsi="Palatino Linotype" w:cs="Palatino Linotype"/>
          <w:b/>
          <w:i/>
          <w:sz w:val="22"/>
          <w:szCs w:val="22"/>
          <w:u w:val="single"/>
        </w:rPr>
        <w:t>Proyectar, formular y proponer al Presidente Municipal, el Programa General de Obras Públicas</w:t>
      </w:r>
      <w:r w:rsidRPr="00C106BE">
        <w:rPr>
          <w:rFonts w:ascii="Palatino Linotype" w:eastAsia="Palatino Linotype" w:hAnsi="Palatino Linotype" w:cs="Palatino Linotype"/>
          <w:i/>
          <w:sz w:val="22"/>
          <w:szCs w:val="22"/>
        </w:rPr>
        <w:t>, para la construcción y mejoramiento de las mismas, de acuerdo a la normatividad aplicable y en congruencia con el Plan de Desarrollo Municipal y con la política, objetivos y prioridades del Municipio y vigilar su ejecución;…”</w:t>
      </w:r>
    </w:p>
    <w:p w14:paraId="0F587C4C" w14:textId="77777777" w:rsidR="00E80A74" w:rsidRPr="00C106BE" w:rsidRDefault="005878FD">
      <w:pPr>
        <w:tabs>
          <w:tab w:val="left" w:pos="7371"/>
        </w:tabs>
        <w:spacing w:line="276" w:lineRule="auto"/>
        <w:ind w:left="851" w:right="616"/>
        <w:jc w:val="center"/>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Código Reglamentario Municipal de Toluca</w:t>
      </w:r>
    </w:p>
    <w:p w14:paraId="50A5161F"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3.55</w:t>
      </w:r>
      <w:r w:rsidRPr="00C106BE">
        <w:rPr>
          <w:rFonts w:ascii="Palatino Linotype" w:eastAsia="Palatino Linotype" w:hAnsi="Palatino Linotype" w:cs="Palatino Linotype"/>
          <w:i/>
          <w:sz w:val="22"/>
          <w:szCs w:val="22"/>
        </w:rPr>
        <w:t xml:space="preserve">. La o el titular de </w:t>
      </w:r>
      <w:r w:rsidRPr="00C106BE">
        <w:rPr>
          <w:rFonts w:ascii="Palatino Linotype" w:eastAsia="Palatino Linotype" w:hAnsi="Palatino Linotype" w:cs="Palatino Linotype"/>
          <w:b/>
          <w:i/>
          <w:sz w:val="22"/>
          <w:szCs w:val="22"/>
        </w:rPr>
        <w:t>la Dirección de Obras Públicas</w:t>
      </w:r>
      <w:r w:rsidRPr="00C106BE">
        <w:rPr>
          <w:rFonts w:ascii="Palatino Linotype" w:eastAsia="Palatino Linotype" w:hAnsi="Palatino Linotype" w:cs="Palatino Linotype"/>
          <w:i/>
          <w:sz w:val="22"/>
          <w:szCs w:val="22"/>
        </w:rPr>
        <w:t>, tendrá las siguientes atribuciones:</w:t>
      </w:r>
    </w:p>
    <w:p w14:paraId="684E8B09"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 xml:space="preserve">I. Desarrollar, proponer y ejecutar el Programa Anual de Obra en los términos establecidos por la normatividad aplicable, </w:t>
      </w:r>
      <w:r w:rsidRPr="00C106BE">
        <w:rPr>
          <w:rFonts w:ascii="Palatino Linotype" w:eastAsia="Palatino Linotype" w:hAnsi="Palatino Linotype" w:cs="Palatino Linotype"/>
          <w:i/>
          <w:sz w:val="22"/>
          <w:szCs w:val="22"/>
        </w:rPr>
        <w:t>así como proponer y solicitar las modificaciones y reconducciones necesarias al mismo;</w:t>
      </w:r>
    </w:p>
    <w:p w14:paraId="2838C810"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II. Coordinar actos relativos a la planeación, programación, presupuestación, adjudicación y contratación de la obra pública</w:t>
      </w:r>
      <w:r w:rsidRPr="00C106BE">
        <w:rPr>
          <w:rFonts w:ascii="Palatino Linotype" w:eastAsia="Palatino Linotype" w:hAnsi="Palatino Linotype" w:cs="Palatino Linotype"/>
          <w:i/>
          <w:sz w:val="22"/>
          <w:szCs w:val="22"/>
        </w:rPr>
        <w:t>, cuidando que los mismos se proyecten con perspectiva de género; así como los servicios relacionados con las mismas;</w:t>
      </w:r>
    </w:p>
    <w:p w14:paraId="255FE7F4"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III. Proyectar las obras públicas y servicios relacionados,</w:t>
      </w:r>
      <w:r w:rsidRPr="00C106BE">
        <w:rPr>
          <w:rFonts w:ascii="Palatino Linotype" w:eastAsia="Palatino Linotype" w:hAnsi="Palatino Linotype" w:cs="Palatino Linotype"/>
          <w:i/>
          <w:sz w:val="22"/>
          <w:szCs w:val="22"/>
        </w:rPr>
        <w:t xml:space="preserve"> incluyendo la construcción de edificios públicos, monumentos y bienes de uso común;</w:t>
      </w:r>
    </w:p>
    <w:p w14:paraId="6B5242D2"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IV. Planear, dirigir, organizar y ejecutar, en coordinación con las autoridades estatales competentes, programas de construcción y mantenimiento a las vialidades del municipio de Toluca;</w:t>
      </w:r>
    </w:p>
    <w:p w14:paraId="4DDA618F"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lastRenderedPageBreak/>
        <w:t>V. Programar, coadyuvar y ejecutar la construcción de edificios, monumentos, bienes de uso común, avenidas, calles, caminos y todo tipo de vialidades e infraestructura urbana de jurisdicción municipal;</w:t>
      </w:r>
    </w:p>
    <w:p w14:paraId="4DDD7ABF"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VI. Vigilar la construcción de las obras por contrato que hayan sido adjudicadas en términos de la legislación de la materia;</w:t>
      </w:r>
    </w:p>
    <w:p w14:paraId="44BADC62"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VII. Supervisar y vigilar la ejecución de obras por cooperación, así como la construcción y mejoramiento de obras de infraestructura y equipamiento urbano;</w:t>
      </w:r>
    </w:p>
    <w:p w14:paraId="4FA58420"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VIII. Coadyuvar con la Contraloría Municipal la integración de los Comités Ciudadanos de Control y Vigilancia, encargados de supervisar la obra pública municipal;</w:t>
      </w:r>
    </w:p>
    <w:p w14:paraId="1BCAA861"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IX. Designar a los residentes y supervisores de obras en los términos establecidos por la normatividad aplicable;</w:t>
      </w:r>
    </w:p>
    <w:p w14:paraId="48AA422B"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 xml:space="preserve">X. Integrar y verificar que se elaboren de manera correcta y completa las bitácoras y/o expedientes abiertos con motivo de la obra pública y servicios relacionados con la misma, </w:t>
      </w:r>
      <w:r w:rsidRPr="00C106BE">
        <w:rPr>
          <w:rFonts w:ascii="Palatino Linotype" w:eastAsia="Palatino Linotype" w:hAnsi="Palatino Linotype" w:cs="Palatino Linotype"/>
          <w:i/>
          <w:sz w:val="22"/>
          <w:szCs w:val="22"/>
        </w:rPr>
        <w:t>conforme a la normatividad aplicable;</w:t>
      </w:r>
    </w:p>
    <w:p w14:paraId="46B9368D"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XI. Revisar y autorizar para su pago, previa validación del avance y calidad de las obras, los presupuestos y estimaciones de las obras públicas municipales</w:t>
      </w:r>
      <w:r w:rsidRPr="00C106BE">
        <w:rPr>
          <w:rFonts w:ascii="Palatino Linotype" w:eastAsia="Palatino Linotype" w:hAnsi="Palatino Linotype" w:cs="Palatino Linotype"/>
          <w:i/>
          <w:sz w:val="22"/>
          <w:szCs w:val="22"/>
        </w:rPr>
        <w:t>;</w:t>
      </w:r>
    </w:p>
    <w:p w14:paraId="4A6E8B46"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XII. Integrar y autorizar con su firma, la documentación que, en materia de obra pública, deba presentarse al Órgano Superior de Fiscalización del Estado de México;</w:t>
      </w:r>
    </w:p>
    <w:p w14:paraId="0DE1E449"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XIII. Integrar, coordinar, supervisar y dar seguimiento al adecuado funcionamiento del Comité Interno de Obra Pública en los términos dispuestos por la normatividad aplicable en la materia;</w:t>
      </w:r>
    </w:p>
    <w:p w14:paraId="2DFF6E8E"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XIV. Atender lo enmarcado en el Artículo 92 de la Ley de Transparencia y Acceso a la Información Pública del Estado de México y Municipios, de acuerdo a la información generada por el área; y</w:t>
      </w:r>
    </w:p>
    <w:p w14:paraId="3B41139B"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XV. Las demás que le asignen otros ordenamientos, el presidente municipal y la o el Director General de Desarrollo Urbano, Ordenamiento Territorial y Obras Públicas.”</w:t>
      </w:r>
    </w:p>
    <w:p w14:paraId="4A99E8DD" w14:textId="77777777" w:rsidR="00E80A74" w:rsidRPr="00C106BE" w:rsidRDefault="005878FD">
      <w:pPr>
        <w:tabs>
          <w:tab w:val="left" w:pos="7371"/>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(Énfasis Añadido)</w:t>
      </w:r>
    </w:p>
    <w:p w14:paraId="0D875209" w14:textId="3B4814E6" w:rsidR="00E80A74" w:rsidRPr="00C106BE" w:rsidRDefault="005878FD">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De los preceptos anteriores se desprende que dentro de las dependencias con las que cuentan los Ayuntamientos para la realización de las atribuciones que las leyes les confieren, tienen a la </w:t>
      </w:r>
      <w:r w:rsidRPr="00C106BE">
        <w:rPr>
          <w:rFonts w:ascii="Palatino Linotype" w:eastAsia="Palatino Linotype" w:hAnsi="Palatino Linotype" w:cs="Palatino Linotype"/>
          <w:b/>
          <w:sz w:val="22"/>
          <w:szCs w:val="22"/>
        </w:rPr>
        <w:t>Dirección de Obras Públicas</w:t>
      </w:r>
      <w:r w:rsidRPr="00C106BE">
        <w:rPr>
          <w:rFonts w:ascii="Palatino Linotype" w:eastAsia="Palatino Linotype" w:hAnsi="Palatino Linotype" w:cs="Palatino Linotype"/>
          <w:sz w:val="22"/>
          <w:szCs w:val="22"/>
        </w:rPr>
        <w:t xml:space="preserve"> a quien dentro del Ayuntamiento, le corresponde </w:t>
      </w:r>
      <w:r w:rsidRPr="00C106BE">
        <w:rPr>
          <w:rFonts w:ascii="Palatino Linotype" w:eastAsia="Palatino Linotype" w:hAnsi="Palatino Linotype" w:cs="Palatino Linotype"/>
          <w:sz w:val="22"/>
          <w:szCs w:val="22"/>
        </w:rPr>
        <w:lastRenderedPageBreak/>
        <w:t>entre otras cosas, realizar la programación de obras públicas; licitar, concursar o asignar en su caso, servicios de obra y las obras públicas aprobadas en el programa anual, elaborar los contratos de obra pública y gestionar el pago de anticipos, así como los servicios que se encuentren relacionados con las mismas.</w:t>
      </w:r>
    </w:p>
    <w:p w14:paraId="0C98E32E" w14:textId="5EE97CDC" w:rsidR="00E80A74" w:rsidRPr="00C106BE" w:rsidRDefault="00117BD3">
      <w:pPr>
        <w:spacing w:after="24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Asimismo,</w:t>
      </w:r>
      <w:r w:rsidR="005878FD" w:rsidRPr="00C106BE">
        <w:rPr>
          <w:rFonts w:ascii="Palatino Linotype" w:eastAsia="Palatino Linotype" w:hAnsi="Palatino Linotype" w:cs="Palatino Linotype"/>
          <w:sz w:val="22"/>
          <w:szCs w:val="22"/>
        </w:rPr>
        <w:t xml:space="preserve"> la Ley Orgánica Municipal del Estado de México </w:t>
      </w:r>
      <w:r w:rsidRPr="00C106BE">
        <w:rPr>
          <w:rFonts w:ascii="Palatino Linotype" w:eastAsia="Palatino Linotype" w:hAnsi="Palatino Linotype" w:cs="Palatino Linotype"/>
          <w:sz w:val="22"/>
          <w:szCs w:val="22"/>
        </w:rPr>
        <w:t>señala en</w:t>
      </w:r>
      <w:r w:rsidR="005878FD" w:rsidRPr="00C106BE">
        <w:rPr>
          <w:rFonts w:ascii="Palatino Linotype" w:eastAsia="Palatino Linotype" w:hAnsi="Palatino Linotype" w:cs="Palatino Linotype"/>
          <w:sz w:val="22"/>
          <w:szCs w:val="22"/>
        </w:rPr>
        <w:t xml:space="preserve"> sus artículos 31, fracción XIX, 100 y 101, a saber:</w:t>
      </w:r>
    </w:p>
    <w:p w14:paraId="60501E52"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sz w:val="22"/>
          <w:szCs w:val="22"/>
        </w:rPr>
        <w:t>“</w:t>
      </w:r>
      <w:r w:rsidRPr="00C106BE">
        <w:rPr>
          <w:rFonts w:ascii="Palatino Linotype" w:eastAsia="Palatino Linotype" w:hAnsi="Palatino Linotype" w:cs="Palatino Linotype"/>
          <w:b/>
          <w:i/>
          <w:sz w:val="22"/>
          <w:szCs w:val="22"/>
        </w:rPr>
        <w:t>Artículo 31</w:t>
      </w:r>
      <w:r w:rsidRPr="00C106BE">
        <w:rPr>
          <w:rFonts w:ascii="Palatino Linotype" w:eastAsia="Palatino Linotype" w:hAnsi="Palatino Linotype" w:cs="Palatino Linotype"/>
          <w:i/>
          <w:sz w:val="22"/>
          <w:szCs w:val="22"/>
        </w:rPr>
        <w:t>.- Son atribuciones de los ayuntamientos:</w:t>
      </w:r>
    </w:p>
    <w:p w14:paraId="7CA81BFB"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p>
    <w:p w14:paraId="58467779"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XIX. </w:t>
      </w:r>
      <w:r w:rsidRPr="00C106BE">
        <w:rPr>
          <w:rFonts w:ascii="Palatino Linotype" w:eastAsia="Palatino Linotype" w:hAnsi="Palatino Linotype" w:cs="Palatino Linotype"/>
          <w:b/>
          <w:i/>
          <w:sz w:val="22"/>
          <w:szCs w:val="22"/>
        </w:rPr>
        <w:t>A</w:t>
      </w:r>
      <w:r w:rsidRPr="00C106BE">
        <w:rPr>
          <w:rFonts w:ascii="Palatino Linotype" w:eastAsia="Palatino Linotype" w:hAnsi="Palatino Linotype" w:cs="Palatino Linotype"/>
          <w:b/>
          <w:i/>
          <w:sz w:val="22"/>
          <w:szCs w:val="22"/>
          <w:u w:val="single"/>
        </w:rPr>
        <w:t>probar anualmente a más tardar el 20 de diciembre, su Presupuesto de Egresos, en base a los ingresos presupuestados para el ejercicio que corresponda</w:t>
      </w:r>
      <w:r w:rsidRPr="00C106BE">
        <w:rPr>
          <w:rFonts w:ascii="Palatino Linotype" w:eastAsia="Palatino Linotype" w:hAnsi="Palatino Linotype" w:cs="Palatino Linotype"/>
          <w:i/>
          <w:sz w:val="22"/>
          <w:szCs w:val="22"/>
          <w:u w:val="single"/>
        </w:rPr>
        <w:t>,</w:t>
      </w:r>
      <w:r w:rsidRPr="00C106BE">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22625093"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p>
    <w:p w14:paraId="30B9D54B"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100.-</w:t>
      </w:r>
      <w:r w:rsidRPr="00C106BE">
        <w:rPr>
          <w:rFonts w:ascii="Palatino Linotype" w:eastAsia="Palatino Linotype" w:hAnsi="Palatino Linotype" w:cs="Palatino Linotype"/>
          <w:i/>
          <w:sz w:val="22"/>
          <w:szCs w:val="22"/>
        </w:rPr>
        <w:t xml:space="preserve"> El presupuesto de egresos deberá contener las previsiones de gasto público que habrán de realizar los municipios.” </w:t>
      </w:r>
    </w:p>
    <w:p w14:paraId="6438796F"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Artículo 101.</w:t>
      </w:r>
      <w:r w:rsidRPr="00C106BE">
        <w:rPr>
          <w:rFonts w:ascii="Palatino Linotype" w:eastAsia="Palatino Linotype" w:hAnsi="Palatino Linotype" w:cs="Palatino Linotype"/>
          <w:i/>
          <w:sz w:val="22"/>
          <w:szCs w:val="22"/>
        </w:rPr>
        <w:t>- El proyecto del presupuesto de egresos se integrará básicamente con:</w:t>
      </w:r>
    </w:p>
    <w:p w14:paraId="65977356"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u w:val="single"/>
        </w:rPr>
        <w:t>Los programas en que se señalen objetivos, metas y unidades responsables para su ejecución</w:t>
      </w:r>
      <w:r w:rsidRPr="00C106BE">
        <w:rPr>
          <w:rFonts w:ascii="Palatino Linotype" w:eastAsia="Palatino Linotype" w:hAnsi="Palatino Linotype" w:cs="Palatino Linotype"/>
          <w:b/>
          <w:i/>
          <w:sz w:val="22"/>
          <w:szCs w:val="22"/>
        </w:rPr>
        <w:t>, así como la valuación estimada del programa</w:t>
      </w:r>
      <w:r w:rsidRPr="00C106BE">
        <w:rPr>
          <w:rFonts w:ascii="Palatino Linotype" w:eastAsia="Palatino Linotype" w:hAnsi="Palatino Linotype" w:cs="Palatino Linotype"/>
          <w:i/>
          <w:sz w:val="22"/>
          <w:szCs w:val="22"/>
        </w:rPr>
        <w:t>;</w:t>
      </w:r>
    </w:p>
    <w:p w14:paraId="7E30862D"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 Estimación de los ingresos y gastos del ejercicio fiscal calendarizados;</w:t>
      </w:r>
    </w:p>
    <w:p w14:paraId="269867AE"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III. Situación de deuda pública.</w:t>
      </w:r>
    </w:p>
    <w:p w14:paraId="3FCE5773" w14:textId="77777777" w:rsidR="00E80A74" w:rsidRPr="00C106BE" w:rsidRDefault="005878FD">
      <w:pPr>
        <w:tabs>
          <w:tab w:val="left" w:pos="7513"/>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sidRPr="00C106BE">
        <w:rPr>
          <w:rFonts w:ascii="Palatino Linotype" w:eastAsia="Palatino Linotype" w:hAnsi="Palatino Linotype" w:cs="Palatino Linotype"/>
          <w:i/>
          <w:sz w:val="22"/>
          <w:szCs w:val="22"/>
        </w:rPr>
        <w:t>.”</w:t>
      </w:r>
    </w:p>
    <w:p w14:paraId="69FDBD6D"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4658F8F5"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En relación a este punto, el Código Administrativo del Estado de México señala en el mismo sentido que los artículos antes citados, específicamente en su artículo 12.15, que corresponde a los Ayuntamientos formular los programas de obra pública o de servicios relacionados </w:t>
      </w:r>
      <w:r w:rsidRPr="00C106BE">
        <w:rPr>
          <w:rFonts w:ascii="Palatino Linotype" w:eastAsia="Palatino Linotype" w:hAnsi="Palatino Linotype" w:cs="Palatino Linotype"/>
          <w:sz w:val="22"/>
          <w:szCs w:val="22"/>
        </w:rPr>
        <w:lastRenderedPageBreak/>
        <w:t>con la misma, con base en las políticas, objetivos y prioridades de la planeación del desarrollo del Municipio</w:t>
      </w:r>
      <w:r w:rsidRPr="00C106BE">
        <w:rPr>
          <w:rFonts w:ascii="Palatino Linotype" w:eastAsia="Palatino Linotype" w:hAnsi="Palatino Linotype" w:cs="Palatino Linotype"/>
          <w:sz w:val="22"/>
          <w:szCs w:val="22"/>
          <w:vertAlign w:val="superscript"/>
        </w:rPr>
        <w:footnoteReference w:id="1"/>
      </w:r>
      <w:r w:rsidRPr="00C106BE">
        <w:rPr>
          <w:rFonts w:ascii="Palatino Linotype" w:eastAsia="Palatino Linotype" w:hAnsi="Palatino Linotype" w:cs="Palatino Linotype"/>
          <w:sz w:val="22"/>
          <w:szCs w:val="22"/>
        </w:rPr>
        <w:t xml:space="preserve">. </w:t>
      </w:r>
    </w:p>
    <w:p w14:paraId="5E539A3B" w14:textId="77777777" w:rsidR="00E80A74" w:rsidRPr="00C106BE" w:rsidRDefault="00E80A74">
      <w:pPr>
        <w:jc w:val="both"/>
        <w:rPr>
          <w:rFonts w:ascii="Palatino Linotype" w:eastAsia="Palatino Linotype" w:hAnsi="Palatino Linotype" w:cs="Palatino Linotype"/>
          <w:sz w:val="22"/>
          <w:szCs w:val="22"/>
        </w:rPr>
      </w:pPr>
    </w:p>
    <w:p w14:paraId="4850B15C" w14:textId="77777777" w:rsidR="00E80A74" w:rsidRPr="00C106BE" w:rsidRDefault="005878FD">
      <w:pPr>
        <w:tabs>
          <w:tab w:val="left" w:pos="2552"/>
        </w:tabs>
        <w:spacing w:after="24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Aunado a lo anterior, el Manual para la Planeación, Programación y Presupuesto de Egresos Municipal para el Ejercicio Fiscal 2025,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5AB0EDC9" w14:textId="77777777" w:rsidR="00E80A74" w:rsidRPr="00C106BE" w:rsidRDefault="005878FD">
      <w:pPr>
        <w:tabs>
          <w:tab w:val="left" w:pos="2552"/>
        </w:tabs>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noProof/>
          <w:sz w:val="22"/>
          <w:szCs w:val="22"/>
          <w:lang w:val="es-MX" w:eastAsia="es-MX"/>
        </w:rPr>
        <w:drawing>
          <wp:inline distT="0" distB="0" distL="0" distR="0" wp14:anchorId="77FC6180" wp14:editId="2835761E">
            <wp:extent cx="5951654" cy="3825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51654" cy="382500"/>
                    </a:xfrm>
                    <a:prstGeom prst="rect">
                      <a:avLst/>
                    </a:prstGeom>
                    <a:ln/>
                  </pic:spPr>
                </pic:pic>
              </a:graphicData>
            </a:graphic>
          </wp:inline>
        </w:drawing>
      </w:r>
    </w:p>
    <w:p w14:paraId="509F3047" w14:textId="04E67A40" w:rsidR="00E80A74" w:rsidRPr="00C106BE" w:rsidRDefault="0062081F">
      <w:pPr>
        <w:tabs>
          <w:tab w:val="left" w:pos="2552"/>
        </w:tabs>
        <w:spacing w:line="360" w:lineRule="auto"/>
        <w:jc w:val="both"/>
        <w:rPr>
          <w:rFonts w:ascii="Palatino Linotype" w:eastAsia="Palatino Linotype" w:hAnsi="Palatino Linotype" w:cs="Palatino Linotype"/>
          <w:sz w:val="22"/>
          <w:szCs w:val="22"/>
        </w:rPr>
      </w:pPr>
      <w:r w:rsidRPr="00C106BE">
        <w:rPr>
          <w:rFonts w:ascii="Palatino Linotype" w:hAnsi="Palatino Linotype"/>
          <w:noProof/>
          <w:sz w:val="22"/>
          <w:szCs w:val="22"/>
          <w:lang w:val="es-MX" w:eastAsia="es-MX"/>
        </w:rPr>
        <mc:AlternateContent>
          <mc:Choice Requires="wps">
            <w:drawing>
              <wp:anchor distT="0" distB="0" distL="114300" distR="114300" simplePos="0" relativeHeight="251658240" behindDoc="0" locked="0" layoutInCell="1" hidden="0" allowOverlap="1" wp14:anchorId="37B55615" wp14:editId="2EC2B754">
                <wp:simplePos x="0" y="0"/>
                <wp:positionH relativeFrom="column">
                  <wp:posOffset>171450</wp:posOffset>
                </wp:positionH>
                <wp:positionV relativeFrom="paragraph">
                  <wp:posOffset>2511425</wp:posOffset>
                </wp:positionV>
                <wp:extent cx="2362200" cy="247650"/>
                <wp:effectExtent l="0" t="0" r="0" b="0"/>
                <wp:wrapNone/>
                <wp:docPr id="39" name="Rectángulo 39"/>
                <wp:cNvGraphicFramePr/>
                <a:graphic xmlns:a="http://schemas.openxmlformats.org/drawingml/2006/main">
                  <a:graphicData uri="http://schemas.microsoft.com/office/word/2010/wordprocessingShape">
                    <wps:wsp>
                      <wps:cNvSpPr/>
                      <wps:spPr>
                        <a:xfrm>
                          <a:off x="0" y="0"/>
                          <a:ext cx="2362200" cy="247650"/>
                        </a:xfrm>
                        <a:prstGeom prst="rect">
                          <a:avLst/>
                        </a:prstGeom>
                        <a:noFill/>
                        <a:ln w="28575" cap="flat" cmpd="sng">
                          <a:solidFill>
                            <a:srgbClr val="FF0000"/>
                          </a:solidFill>
                          <a:prstDash val="solid"/>
                          <a:round/>
                          <a:headEnd type="none" w="sm" len="sm"/>
                          <a:tailEnd type="none" w="sm" len="sm"/>
                        </a:ln>
                      </wps:spPr>
                      <wps:txbx>
                        <w:txbxContent>
                          <w:p w14:paraId="35A1F031" w14:textId="77777777" w:rsidR="00E80A74" w:rsidRDefault="00E80A74">
                            <w:pPr>
                              <w:textDirection w:val="btLr"/>
                            </w:pPr>
                          </w:p>
                        </w:txbxContent>
                      </wps:txbx>
                      <wps:bodyPr spcFirstLastPara="1" wrap="square" lIns="91425" tIns="91425" rIns="91425" bIns="91425" anchor="ctr" anchorCtr="0">
                        <a:noAutofit/>
                      </wps:bodyPr>
                    </wps:wsp>
                  </a:graphicData>
                </a:graphic>
              </wp:anchor>
            </w:drawing>
          </mc:Choice>
          <mc:Fallback>
            <w:pict>
              <v:rect w14:anchorId="37B55615" id="Rectángulo 39" o:spid="_x0000_s1026" style="position:absolute;left:0;text-align:left;margin-left:13.5pt;margin-top:197.75pt;width:186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" filled="f" strokecolor="red" strokeweight="2.25pt">
                <v:stroke startarrowwidth="narrow" startarrowlength="short" endarrowwidth="narrow" endarrowlength="short" joinstyle="round"/>
                <v:textbox inset="2.53958mm,2.53958mm,2.53958mm,2.53958mm">
                  <w:txbxContent>
                    <w:p w14:paraId="35A1F031" w14:textId="77777777" w:rsidR="00E80A74" w:rsidRDefault="00E80A74">
                      <w:pPr>
                        <w:textDirection w:val="btLr"/>
                      </w:pPr>
                    </w:p>
                  </w:txbxContent>
                </v:textbox>
              </v:rect>
            </w:pict>
          </mc:Fallback>
        </mc:AlternateContent>
      </w:r>
      <w:r w:rsidR="005878FD" w:rsidRPr="00C106BE">
        <w:rPr>
          <w:rFonts w:ascii="Palatino Linotype" w:eastAsia="Palatino Linotype" w:hAnsi="Palatino Linotype" w:cs="Palatino Linotype"/>
          <w:noProof/>
          <w:sz w:val="22"/>
          <w:szCs w:val="22"/>
          <w:lang w:val="es-MX" w:eastAsia="es-MX"/>
        </w:rPr>
        <w:drawing>
          <wp:inline distT="0" distB="0" distL="0" distR="0" wp14:anchorId="2601383D" wp14:editId="18ECA977">
            <wp:extent cx="5826672" cy="2996249"/>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26672" cy="2996249"/>
                    </a:xfrm>
                    <a:prstGeom prst="rect">
                      <a:avLst/>
                    </a:prstGeom>
                    <a:ln/>
                  </pic:spPr>
                </pic:pic>
              </a:graphicData>
            </a:graphic>
          </wp:inline>
        </w:drawing>
      </w:r>
    </w:p>
    <w:p w14:paraId="060C0217" w14:textId="77777777" w:rsidR="00E80A74" w:rsidRPr="00C106BE" w:rsidRDefault="005878FD">
      <w:pPr>
        <w:tabs>
          <w:tab w:val="left" w:pos="2552"/>
        </w:tabs>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lastRenderedPageBreak/>
        <w:t>Mismo que se maneja con el formato siguiente:</w:t>
      </w:r>
    </w:p>
    <w:p w14:paraId="15B8EE38" w14:textId="77777777" w:rsidR="00E80A74" w:rsidRPr="00C106BE" w:rsidRDefault="005878FD">
      <w:pPr>
        <w:spacing w:line="360" w:lineRule="auto"/>
        <w:ind w:right="49"/>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noProof/>
          <w:sz w:val="22"/>
          <w:szCs w:val="22"/>
          <w:lang w:val="es-MX" w:eastAsia="es-MX"/>
        </w:rPr>
        <w:drawing>
          <wp:inline distT="0" distB="0" distL="0" distR="0" wp14:anchorId="1708DD62" wp14:editId="4A21A81B">
            <wp:extent cx="5878140" cy="3825456"/>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878140" cy="3825456"/>
                    </a:xfrm>
                    <a:prstGeom prst="rect">
                      <a:avLst/>
                    </a:prstGeom>
                    <a:ln/>
                  </pic:spPr>
                </pic:pic>
              </a:graphicData>
            </a:graphic>
          </wp:inline>
        </w:drawing>
      </w:r>
    </w:p>
    <w:p w14:paraId="7297A738"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3EF6F71F"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antepenúltimo párrafo establece que el</w:t>
      </w:r>
      <w:r w:rsidRPr="00C106BE">
        <w:rPr>
          <w:rFonts w:ascii="Palatino Linotype" w:eastAsia="Palatino Linotype" w:hAnsi="Palatino Linotype" w:cs="Palatino Linotype"/>
          <w:b/>
          <w:i/>
          <w:sz w:val="22"/>
          <w:szCs w:val="22"/>
        </w:rPr>
        <w:t xml:space="preserve"> </w:t>
      </w:r>
      <w:r w:rsidRPr="00C106BE">
        <w:rPr>
          <w:rFonts w:ascii="Palatino Linotype" w:eastAsia="Palatino Linotype" w:hAnsi="Palatino Linotype" w:cs="Palatino Linotype"/>
          <w:sz w:val="22"/>
          <w:szCs w:val="22"/>
        </w:rPr>
        <w:t>Presidente Municipal, promulgará y publicará el Presupuesto de Egresos Municipal, a más tardar el día 25 de febrero de cada año debiendo enviarlo al Órgano Superior de Fiscalización en la misma fecha</w:t>
      </w: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 xml:space="preserve"> </w:t>
      </w:r>
      <w:r w:rsidRPr="00C106BE">
        <w:rPr>
          <w:rFonts w:ascii="Palatino Linotype" w:eastAsia="Palatino Linotype" w:hAnsi="Palatino Linotype" w:cs="Palatino Linotype"/>
          <w:sz w:val="22"/>
          <w:szCs w:val="22"/>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237329C5"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14162550"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lastRenderedPageBreak/>
        <w:t xml:space="preserve">En atención a ello, conviene recordar que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a través de la Dirección de Obras Públicas manifestó que aún no contaba con la información solicitada, ya que se estaba en proceso de integración, atendiendo a lo establecido en el artículo 3.4 del Manual para la Planeación, Programación y Presupuesto de Egresos Municipal para el ejercicio fiscal 2025, lo cual guarda relación con lo manifestado con anterioridad, puesto que tal y como lo refiere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del Manual para la Planeación, Programación y Presupuesto de Egresos Municipal para el ejercicio fiscal 2025, se desprende que los Sujetos Obligados promulgarán y publicarán el Presupuesto de Egresos Municipal, a más tardar el 25 de febrero de cada año, tal y como se advierte a continuación: </w:t>
      </w:r>
    </w:p>
    <w:p w14:paraId="30A23120"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594361E7"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3.4. Tercera Etapa: Presupuesto de Egresos Municipal.</w:t>
      </w:r>
    </w:p>
    <w:p w14:paraId="090FCD7D" w14:textId="77777777" w:rsidR="00E80A74" w:rsidRPr="00C106BE" w:rsidRDefault="005878FD">
      <w:pP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C106BE">
        <w:rPr>
          <w:rFonts w:ascii="Palatino Linotype" w:eastAsia="Palatino Linotype" w:hAnsi="Palatino Linotype" w:cs="Palatino Linotype"/>
          <w:b/>
          <w:i/>
          <w:sz w:val="22"/>
          <w:szCs w:val="22"/>
        </w:rPr>
        <w:t>El Presidente Municipal, promulgará y publicará el Presupuesto de Egresos Municipal, a más tardar el día 25 de febrero de cada año</w:t>
      </w:r>
      <w:r w:rsidRPr="00C106BE">
        <w:rPr>
          <w:rFonts w:ascii="Palatino Linotype" w:eastAsia="Palatino Linotype" w:hAnsi="Palatino Linotype" w:cs="Palatino Linotype"/>
          <w:i/>
          <w:sz w:val="22"/>
          <w:szCs w:val="22"/>
        </w:rPr>
        <w:t xml:space="preserve"> debiendo enviarlo al Órgano Superior de Fiscalización en la misma fecha, observando asimismo lo dispuesto en el artículo 47 de la Ley de Fiscalización Superior del Estado de México vigente.”</w:t>
      </w:r>
    </w:p>
    <w:p w14:paraId="3E4ADD79"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591F331D" w14:textId="77777777" w:rsidR="00E80A74" w:rsidRPr="00C106BE" w:rsidRDefault="005878FD">
      <w:pPr>
        <w:spacing w:line="360" w:lineRule="auto"/>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sz w:val="22"/>
          <w:szCs w:val="22"/>
        </w:rPr>
        <w:t xml:space="preserve">Por lo anteriormente expuesto, resulta claro que al momento de ingresar la solicitud, esto es en fecha cuatro de febrero de dos mil veinticinco,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aún se encontraba en plazo para la entrega del referido Presupuesto de Egresos Municipal, lo cual tomo sentido con la respuesta emitida por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en donde manifiesta que el Programa Anual de Obra 2025, se encuentra en el periodo de integración y autorización, atendiendo a lo establecido en el artículo 3.4 del Manual para la Planeación, Programación y Presupuesto de Egresos Municipal para el ejercicio fiscal 2025; por lo que esto se traduce como un </w:t>
      </w:r>
      <w:r w:rsidRPr="00C106BE">
        <w:rPr>
          <w:rFonts w:ascii="Palatino Linotype" w:eastAsia="Palatino Linotype" w:hAnsi="Palatino Linotype" w:cs="Palatino Linotype"/>
          <w:sz w:val="22"/>
          <w:szCs w:val="22"/>
        </w:rPr>
        <w:lastRenderedPageBreak/>
        <w:t>pronunciamiento en sentido negativo; es decir, implica que no se generó, poseyó o administró la información solicitada correspondiente al cuatro de febrero de dos mil veinticinco</w:t>
      </w:r>
      <w:r w:rsidRPr="00C106BE">
        <w:rPr>
          <w:rFonts w:ascii="Palatino Linotype" w:eastAsia="Palatino Linotype" w:hAnsi="Palatino Linotype" w:cs="Palatino Linotype"/>
          <w:color w:val="000000"/>
          <w:sz w:val="22"/>
          <w:szCs w:val="22"/>
        </w:rPr>
        <w:t>.</w:t>
      </w:r>
    </w:p>
    <w:p w14:paraId="1CF8B64E" w14:textId="77777777" w:rsidR="00E80A74" w:rsidRPr="00C106BE" w:rsidRDefault="00E80A74">
      <w:pPr>
        <w:spacing w:line="360" w:lineRule="auto"/>
        <w:jc w:val="both"/>
        <w:rPr>
          <w:rFonts w:ascii="Palatino Linotype" w:eastAsia="Palatino Linotype" w:hAnsi="Palatino Linotype" w:cs="Palatino Linotype"/>
          <w:color w:val="000000"/>
          <w:sz w:val="22"/>
          <w:szCs w:val="22"/>
        </w:rPr>
      </w:pPr>
    </w:p>
    <w:p w14:paraId="0C768EDA"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3B5303BB" w14:textId="77777777" w:rsidR="00E80A74" w:rsidRPr="00C106BE" w:rsidRDefault="00E80A74">
      <w:pPr>
        <w:jc w:val="both"/>
        <w:rPr>
          <w:rFonts w:ascii="Palatino Linotype" w:eastAsia="Palatino Linotype" w:hAnsi="Palatino Linotype" w:cs="Palatino Linotype"/>
          <w:sz w:val="22"/>
          <w:szCs w:val="22"/>
        </w:rPr>
      </w:pPr>
    </w:p>
    <w:p w14:paraId="7AC30229" w14:textId="77777777" w:rsidR="00E80A74" w:rsidRPr="00C106BE" w:rsidRDefault="005878FD">
      <w:pPr>
        <w:pBdr>
          <w:top w:val="nil"/>
          <w:left w:val="nil"/>
          <w:bottom w:val="nil"/>
          <w:right w:val="nil"/>
          <w:between w:val="nil"/>
        </w:pBdr>
        <w:spacing w:line="276" w:lineRule="auto"/>
        <w:ind w:left="851" w:right="567"/>
        <w:jc w:val="both"/>
        <w:rPr>
          <w:rFonts w:ascii="Palatino Linotype" w:eastAsia="Palatino Linotype" w:hAnsi="Palatino Linotype" w:cs="Palatino Linotype"/>
          <w:b/>
          <w:i/>
          <w:color w:val="000000"/>
          <w:sz w:val="22"/>
          <w:szCs w:val="22"/>
        </w:rPr>
      </w:pPr>
      <w:r w:rsidRPr="00C106BE">
        <w:rPr>
          <w:rFonts w:ascii="Palatino Linotype" w:eastAsia="Palatino Linotype" w:hAnsi="Palatino Linotype" w:cs="Palatino Linotype"/>
          <w:i/>
          <w:color w:val="000000"/>
          <w:sz w:val="22"/>
          <w:szCs w:val="22"/>
        </w:rPr>
        <w:t>“</w:t>
      </w:r>
      <w:r w:rsidRPr="00C106BE">
        <w:rPr>
          <w:rFonts w:ascii="Palatino Linotype" w:eastAsia="Palatino Linotype" w:hAnsi="Palatino Linotype" w:cs="Palatino Linotype"/>
          <w:b/>
          <w:i/>
          <w:color w:val="000000"/>
          <w:sz w:val="22"/>
          <w:szCs w:val="22"/>
        </w:rPr>
        <w:t xml:space="preserve">HECHOS NEGATIVOS, NO SON SUSCEPTIBLES DE DEMOSTRACIÓN. </w:t>
      </w:r>
    </w:p>
    <w:p w14:paraId="2636C7F2" w14:textId="77777777" w:rsidR="00E80A74" w:rsidRPr="00C106BE" w:rsidRDefault="005878FD">
      <w:pPr>
        <w:pBdr>
          <w:top w:val="nil"/>
          <w:left w:val="nil"/>
          <w:bottom w:val="nil"/>
          <w:right w:val="nil"/>
          <w:between w:val="nil"/>
        </w:pBdr>
        <w:spacing w:line="276" w:lineRule="auto"/>
        <w:ind w:left="851" w:right="567"/>
        <w:jc w:val="both"/>
        <w:rPr>
          <w:rFonts w:ascii="Palatino Linotype" w:eastAsia="Palatino Linotype" w:hAnsi="Palatino Linotype" w:cs="Palatino Linotype"/>
          <w:i/>
          <w:color w:val="000000"/>
          <w:sz w:val="22"/>
          <w:szCs w:val="22"/>
        </w:rPr>
      </w:pPr>
      <w:r w:rsidRPr="00C106BE">
        <w:rPr>
          <w:rFonts w:ascii="Palatino Linotype" w:eastAsia="Palatino Linotype" w:hAnsi="Palatino Linotype" w:cs="Palatino Linotype"/>
          <w:i/>
          <w:color w:val="000000"/>
          <w:sz w:val="22"/>
          <w:szCs w:val="22"/>
        </w:rPr>
        <w:t>Tratándose de un hecho negativo, el Juez no tiene por qué invocar prueba alguna de la que se desprenda, ya que es bien sabido que esta clase de hechos no son susceptibles de demostración.”</w:t>
      </w:r>
    </w:p>
    <w:p w14:paraId="1EA15BDE" w14:textId="77777777" w:rsidR="00E80A74" w:rsidRPr="00C106BE" w:rsidRDefault="00E80A74">
      <w:pPr>
        <w:jc w:val="both"/>
        <w:rPr>
          <w:rFonts w:ascii="Palatino Linotype" w:eastAsia="Palatino Linotype" w:hAnsi="Palatino Linotype" w:cs="Palatino Linotype"/>
          <w:sz w:val="22"/>
          <w:szCs w:val="22"/>
        </w:rPr>
      </w:pPr>
    </w:p>
    <w:p w14:paraId="2F4E1C08" w14:textId="77777777" w:rsidR="00E80A74" w:rsidRPr="00C106BE" w:rsidRDefault="005878FD">
      <w:pPr>
        <w:spacing w:line="360" w:lineRule="auto"/>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sz w:val="22"/>
          <w:szCs w:val="22"/>
        </w:rPr>
        <w:t xml:space="preserve">Además, de conformidad con lo establecido en el artículo 12 de la Ley de la materia, el </w:t>
      </w:r>
      <w:r w:rsidRPr="00C106BE">
        <w:rPr>
          <w:rFonts w:ascii="Palatino Linotype" w:eastAsia="Palatino Linotype" w:hAnsi="Palatino Linotype" w:cs="Palatino Linotype"/>
          <w:b/>
          <w:sz w:val="22"/>
          <w:szCs w:val="22"/>
        </w:rPr>
        <w:t>Sujeto Obligado s</w:t>
      </w:r>
      <w:r w:rsidRPr="00C106BE">
        <w:rPr>
          <w:rFonts w:ascii="Palatino Linotype" w:eastAsia="Palatino Linotype" w:hAnsi="Palatino Linotype" w:cs="Palatino Linotype"/>
          <w:sz w:val="22"/>
          <w:szCs w:val="22"/>
        </w:rPr>
        <w:t xml:space="preserve">ólo proporcionará la información que obra en sus archivos, lo que </w:t>
      </w:r>
      <w:r w:rsidRPr="00C106BE">
        <w:rPr>
          <w:rFonts w:ascii="Palatino Linotype" w:eastAsia="Palatino Linotype" w:hAnsi="Palatino Linotype" w:cs="Palatino Linotype"/>
          <w:i/>
          <w:sz w:val="22"/>
          <w:szCs w:val="22"/>
        </w:rPr>
        <w:t>a contrario sensu</w:t>
      </w:r>
      <w:r w:rsidRPr="00C106BE">
        <w:rPr>
          <w:rFonts w:ascii="Palatino Linotype" w:eastAsia="Palatino Linotype" w:hAnsi="Palatino Linotype" w:cs="Palatino Linotype"/>
          <w:sz w:val="22"/>
          <w:szCs w:val="22"/>
        </w:rPr>
        <w:t xml:space="preserve"> significa que no está obligado a proporcionar lo que no obre en sus archivos; por lo que, </w:t>
      </w:r>
      <w:r w:rsidRPr="00C106BE">
        <w:rPr>
          <w:rFonts w:ascii="Palatino Linotype" w:eastAsia="Palatino Linotype" w:hAnsi="Palatino Linotype" w:cs="Palatino Linotype"/>
          <w:color w:val="000000"/>
          <w:sz w:val="22"/>
          <w:szCs w:val="22"/>
        </w:rPr>
        <w:t xml:space="preserve">este Instituto estima que el </w:t>
      </w:r>
      <w:r w:rsidRPr="00C106BE">
        <w:rPr>
          <w:rFonts w:ascii="Palatino Linotype" w:eastAsia="Palatino Linotype" w:hAnsi="Palatino Linotype" w:cs="Palatino Linotype"/>
          <w:b/>
          <w:color w:val="000000"/>
          <w:sz w:val="22"/>
          <w:szCs w:val="22"/>
        </w:rPr>
        <w:t>Sujeto Obligado</w:t>
      </w:r>
      <w:r w:rsidRPr="00C106BE">
        <w:rPr>
          <w:rFonts w:ascii="Palatino Linotype" w:eastAsia="Palatino Linotype" w:hAnsi="Palatino Linotype" w:cs="Palatino Linotype"/>
          <w:color w:val="000000"/>
          <w:sz w:val="22"/>
          <w:szCs w:val="22"/>
        </w:rPr>
        <w:t xml:space="preserve"> colmó el presente punto de análisis al hacer de su conocimiento que la información relativa al Programa Anual de Obra del dos mil veinticinco no había sido generada, poseída o administrada, dado que a la fecha de ingreso de la solicitud este se encontraba en periodo de integración y autorización y, por tanto, los motivos de inconformidad planteados por el particular devienen infundados; por lo que es procedente colmar el presente punto de análisis.</w:t>
      </w:r>
    </w:p>
    <w:p w14:paraId="62962437" w14:textId="77777777" w:rsidR="00E80A74" w:rsidRPr="00C106BE" w:rsidRDefault="005878FD">
      <w:pPr>
        <w:numPr>
          <w:ilvl w:val="0"/>
          <w:numId w:val="2"/>
        </w:numPr>
        <w:pBdr>
          <w:top w:val="nil"/>
          <w:left w:val="nil"/>
          <w:bottom w:val="nil"/>
          <w:right w:val="nil"/>
          <w:between w:val="nil"/>
        </w:pBdr>
        <w:spacing w:before="240" w:after="240" w:line="360" w:lineRule="auto"/>
        <w:ind w:right="616"/>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b/>
          <w:color w:val="000000"/>
          <w:sz w:val="22"/>
          <w:szCs w:val="22"/>
        </w:rPr>
        <w:t xml:space="preserve">Estatus, ficha técnica y costo de cada obra. </w:t>
      </w:r>
    </w:p>
    <w:p w14:paraId="34F82C7F" w14:textId="6682576D"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Respecto a este punto,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a través de la Dirección de Obras Públicas informó que realizó una búsqueda exhaustiva y razonable de la información, en la que se concluyó </w:t>
      </w:r>
      <w:r w:rsidR="00117BD3" w:rsidRPr="00C106BE">
        <w:rPr>
          <w:rFonts w:ascii="Palatino Linotype" w:eastAsia="Palatino Linotype" w:hAnsi="Palatino Linotype" w:cs="Palatino Linotype"/>
          <w:sz w:val="22"/>
          <w:szCs w:val="22"/>
        </w:rPr>
        <w:t>que,</w:t>
      </w:r>
      <w:r w:rsidRPr="00C106BE">
        <w:rPr>
          <w:rFonts w:ascii="Palatino Linotype" w:eastAsia="Palatino Linotype" w:hAnsi="Palatino Linotype" w:cs="Palatino Linotype"/>
          <w:sz w:val="22"/>
          <w:szCs w:val="22"/>
        </w:rPr>
        <w:t xml:space="preserve"> a la fecha de la solicitud, no se han generado dichos documentos; sin </w:t>
      </w:r>
      <w:r w:rsidRPr="00C106BE">
        <w:rPr>
          <w:rFonts w:ascii="Palatino Linotype" w:eastAsia="Palatino Linotype" w:hAnsi="Palatino Linotype" w:cs="Palatino Linotype"/>
          <w:sz w:val="22"/>
          <w:szCs w:val="22"/>
        </w:rPr>
        <w:lastRenderedPageBreak/>
        <w:t xml:space="preserve">embargo, este Organismo Garante localizó dentro de la página del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que el Ayuntamiento de Toluca</w:t>
      </w:r>
      <w:r w:rsidRPr="00C106BE">
        <w:rPr>
          <w:rFonts w:ascii="Palatino Linotype" w:eastAsia="Palatino Linotype" w:hAnsi="Palatino Linotype" w:cs="Palatino Linotype"/>
          <w:sz w:val="22"/>
          <w:szCs w:val="22"/>
          <w:vertAlign w:val="superscript"/>
        </w:rPr>
        <w:footnoteReference w:id="2"/>
      </w:r>
      <w:r w:rsidRPr="00C106BE">
        <w:rPr>
          <w:rFonts w:ascii="Palatino Linotype" w:eastAsia="Palatino Linotype" w:hAnsi="Palatino Linotype" w:cs="Palatino Linotype"/>
          <w:sz w:val="22"/>
          <w:szCs w:val="22"/>
        </w:rPr>
        <w:t xml:space="preserve"> realizó obras públicas en el municipio antes de la fecha de la solicitud de información, tal y como se muestra a continuación: </w:t>
      </w:r>
    </w:p>
    <w:p w14:paraId="2FCFC7CC" w14:textId="77777777" w:rsidR="00E80A74" w:rsidRPr="00C106BE" w:rsidRDefault="005878FD">
      <w:pPr>
        <w:spacing w:line="360" w:lineRule="auto"/>
        <w:jc w:val="center"/>
        <w:rPr>
          <w:rFonts w:ascii="Palatino Linotype" w:eastAsia="Palatino Linotype" w:hAnsi="Palatino Linotype" w:cs="Palatino Linotype"/>
          <w:sz w:val="22"/>
          <w:szCs w:val="22"/>
        </w:rPr>
      </w:pPr>
      <w:r w:rsidRPr="00C106BE">
        <w:rPr>
          <w:rFonts w:ascii="Palatino Linotype" w:eastAsia="Palatino Linotype" w:hAnsi="Palatino Linotype" w:cs="Palatino Linotype"/>
          <w:noProof/>
          <w:sz w:val="22"/>
          <w:szCs w:val="22"/>
          <w:lang w:val="es-MX" w:eastAsia="es-MX"/>
        </w:rPr>
        <w:drawing>
          <wp:inline distT="0" distB="0" distL="0" distR="0" wp14:anchorId="083AF3CC" wp14:editId="6F8BB949">
            <wp:extent cx="3990975" cy="1809750"/>
            <wp:effectExtent l="0" t="0" r="9525"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10296"/>
                    <a:stretch>
                      <a:fillRect/>
                    </a:stretch>
                  </pic:blipFill>
                  <pic:spPr>
                    <a:xfrm>
                      <a:off x="0" y="0"/>
                      <a:ext cx="3992084" cy="1810253"/>
                    </a:xfrm>
                    <a:prstGeom prst="rect">
                      <a:avLst/>
                    </a:prstGeom>
                    <a:ln/>
                  </pic:spPr>
                </pic:pic>
              </a:graphicData>
            </a:graphic>
          </wp:inline>
        </w:drawing>
      </w:r>
    </w:p>
    <w:p w14:paraId="5130B7C6" w14:textId="77777777" w:rsidR="00E80A74" w:rsidRPr="00C106BE" w:rsidRDefault="005878FD">
      <w:pPr>
        <w:spacing w:line="360" w:lineRule="auto"/>
        <w:jc w:val="center"/>
        <w:rPr>
          <w:rFonts w:ascii="Palatino Linotype" w:eastAsia="Palatino Linotype" w:hAnsi="Palatino Linotype" w:cs="Palatino Linotype"/>
          <w:sz w:val="22"/>
          <w:szCs w:val="22"/>
        </w:rPr>
      </w:pPr>
      <w:r w:rsidRPr="00C106BE">
        <w:rPr>
          <w:rFonts w:ascii="Palatino Linotype" w:eastAsia="Palatino Linotype" w:hAnsi="Palatino Linotype" w:cs="Palatino Linotype"/>
          <w:noProof/>
          <w:sz w:val="22"/>
          <w:szCs w:val="22"/>
          <w:lang w:val="es-MX" w:eastAsia="es-MX"/>
        </w:rPr>
        <w:drawing>
          <wp:inline distT="0" distB="0" distL="0" distR="0" wp14:anchorId="2CF49D3F" wp14:editId="5E0D83CE">
            <wp:extent cx="4200525" cy="3724275"/>
            <wp:effectExtent l="0" t="0" r="9525" b="9525"/>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200845" cy="3724559"/>
                    </a:xfrm>
                    <a:prstGeom prst="rect">
                      <a:avLst/>
                    </a:prstGeom>
                    <a:ln/>
                  </pic:spPr>
                </pic:pic>
              </a:graphicData>
            </a:graphic>
          </wp:inline>
        </w:drawing>
      </w:r>
    </w:p>
    <w:p w14:paraId="5506F887"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07792578" w14:textId="77777777" w:rsidR="00E80A74" w:rsidRPr="00C106BE" w:rsidRDefault="005878F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C106BE">
        <w:rPr>
          <w:rFonts w:ascii="Palatino Linotype" w:eastAsia="Palatino Linotype" w:hAnsi="Palatino Linotype" w:cs="Palatino Linotype"/>
          <w:noProof/>
          <w:sz w:val="22"/>
          <w:szCs w:val="22"/>
          <w:lang w:val="es-MX" w:eastAsia="es-MX"/>
        </w:rPr>
        <w:drawing>
          <wp:inline distT="0" distB="0" distL="0" distR="0" wp14:anchorId="4553197B" wp14:editId="20054E04">
            <wp:extent cx="3995503" cy="2928137"/>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995503" cy="2928137"/>
                    </a:xfrm>
                    <a:prstGeom prst="rect">
                      <a:avLst/>
                    </a:prstGeom>
                    <a:ln/>
                  </pic:spPr>
                </pic:pic>
              </a:graphicData>
            </a:graphic>
          </wp:inline>
        </w:drawing>
      </w:r>
    </w:p>
    <w:p w14:paraId="4D9F1893" w14:textId="77777777" w:rsidR="00E80A74" w:rsidRPr="00C106BE" w:rsidRDefault="005878F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C106BE">
        <w:rPr>
          <w:rFonts w:ascii="Palatino Linotype" w:eastAsia="Palatino Linotype" w:hAnsi="Palatino Linotype" w:cs="Palatino Linotype"/>
          <w:noProof/>
          <w:sz w:val="22"/>
          <w:szCs w:val="22"/>
          <w:lang w:val="es-MX" w:eastAsia="es-MX"/>
        </w:rPr>
        <w:drawing>
          <wp:inline distT="0" distB="0" distL="0" distR="0" wp14:anchorId="068EAA20" wp14:editId="2A2149B8">
            <wp:extent cx="5545838" cy="3950108"/>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545838" cy="3950108"/>
                    </a:xfrm>
                    <a:prstGeom prst="rect">
                      <a:avLst/>
                    </a:prstGeom>
                    <a:ln/>
                  </pic:spPr>
                </pic:pic>
              </a:graphicData>
            </a:graphic>
          </wp:inline>
        </w:drawing>
      </w:r>
    </w:p>
    <w:p w14:paraId="6B7EB124" w14:textId="77777777" w:rsidR="00E80A74" w:rsidRPr="00C106BE" w:rsidRDefault="00E80A7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765EA7F0" w14:textId="77777777" w:rsidR="00E80A74" w:rsidRPr="00C106BE" w:rsidRDefault="005878F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lastRenderedPageBreak/>
        <w:t xml:space="preserve">Es por lo anteriormente expuesto que,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realizó obras públicas durante el mes de enero de dos mil veinticinco, por lo que debe contar con la información que es del interés del particular. </w:t>
      </w:r>
    </w:p>
    <w:p w14:paraId="285D97C0"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29937A71"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De este modo, procedemos al análisis de la naturaleza de la información, para ello debemos observar lo dispuesto por la Ley de Contratación Pública del Estado de México y Municipios, la cual tiene por objeto regular los actos relativos a la </w:t>
      </w:r>
      <w:r w:rsidRPr="00C106BE">
        <w:rPr>
          <w:rFonts w:ascii="Palatino Linotype" w:eastAsia="Palatino Linotype" w:hAnsi="Palatino Linotype" w:cs="Palatino Linotype"/>
          <w:b/>
          <w:sz w:val="22"/>
          <w:szCs w:val="22"/>
          <w:u w:val="single"/>
        </w:rPr>
        <w:t>planeación, programación, presupuestación</w:t>
      </w:r>
      <w:r w:rsidRPr="00C106BE">
        <w:rPr>
          <w:rFonts w:ascii="Palatino Linotype" w:eastAsia="Palatino Linotype" w:hAnsi="Palatino Linotype" w:cs="Palatino Linotype"/>
          <w:sz w:val="22"/>
          <w:szCs w:val="22"/>
        </w:rPr>
        <w:t xml:space="preserve">, ejecución y control de la </w:t>
      </w:r>
      <w:r w:rsidRPr="00C106BE">
        <w:rPr>
          <w:rFonts w:ascii="Palatino Linotype" w:eastAsia="Palatino Linotype" w:hAnsi="Palatino Linotype" w:cs="Palatino Linotype"/>
          <w:b/>
          <w:sz w:val="22"/>
          <w:szCs w:val="22"/>
          <w:u w:val="single"/>
        </w:rPr>
        <w:t>adquisición</w:t>
      </w:r>
      <w:r w:rsidRPr="00C106BE">
        <w:rPr>
          <w:rFonts w:ascii="Palatino Linotype" w:eastAsia="Palatino Linotype" w:hAnsi="Palatino Linotype" w:cs="Palatino Linotype"/>
          <w:sz w:val="22"/>
          <w:szCs w:val="22"/>
        </w:rPr>
        <w:t xml:space="preserve">, enajenación y arrendamiento </w:t>
      </w:r>
      <w:r w:rsidRPr="00C106BE">
        <w:rPr>
          <w:rFonts w:ascii="Palatino Linotype" w:eastAsia="Palatino Linotype" w:hAnsi="Palatino Linotype" w:cs="Palatino Linotype"/>
          <w:sz w:val="22"/>
          <w:szCs w:val="22"/>
          <w:u w:val="single"/>
        </w:rPr>
        <w:t>de bienes</w:t>
      </w:r>
      <w:r w:rsidRPr="00C106BE">
        <w:rPr>
          <w:rFonts w:ascii="Palatino Linotype" w:eastAsia="Palatino Linotype" w:hAnsi="Palatino Linotype" w:cs="Palatino Linotype"/>
          <w:sz w:val="22"/>
          <w:szCs w:val="22"/>
        </w:rPr>
        <w:t xml:space="preserve">, y la </w:t>
      </w:r>
      <w:r w:rsidRPr="00C106BE">
        <w:rPr>
          <w:rFonts w:ascii="Palatino Linotype" w:eastAsia="Palatino Linotype" w:hAnsi="Palatino Linotype" w:cs="Palatino Linotype"/>
          <w:b/>
          <w:sz w:val="22"/>
          <w:szCs w:val="22"/>
          <w:u w:val="single"/>
        </w:rPr>
        <w:t>contratación de servicios de cualquier naturaleza, que realicen los Ayuntamientos del Estado</w:t>
      </w:r>
      <w:r w:rsidRPr="00C106BE">
        <w:rPr>
          <w:rFonts w:ascii="Palatino Linotype" w:eastAsia="Palatino Linotype" w:hAnsi="Palatino Linotype" w:cs="Palatino Linotype"/>
          <w:sz w:val="22"/>
          <w:szCs w:val="22"/>
        </w:rPr>
        <w:t xml:space="preserve">; entre ellos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los cuales se adjudicarán a través de licitación pública, invitación restringida o adjudicación directa, tal y como lo establecen los artículos 4, 26 y 27 de dicha Ley, los cuales son del tenor siguiente:</w:t>
      </w:r>
    </w:p>
    <w:p w14:paraId="19CD04CA"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693D74A6"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4.-</w:t>
      </w:r>
      <w:r w:rsidRPr="00C106BE">
        <w:rPr>
          <w:rFonts w:ascii="Palatino Linotype" w:eastAsia="Palatino Linotype" w:hAnsi="Palatino Linotype" w:cs="Palatino Linotype"/>
          <w:i/>
          <w:sz w:val="22"/>
          <w:szCs w:val="22"/>
        </w:rPr>
        <w:t xml:space="preserve"> Para los efectos de esta Ley, </w:t>
      </w:r>
      <w:r w:rsidRPr="00C106BE">
        <w:rPr>
          <w:rFonts w:ascii="Palatino Linotype" w:eastAsia="Palatino Linotype" w:hAnsi="Palatino Linotype" w:cs="Palatino Linotype"/>
          <w:b/>
          <w:i/>
          <w:sz w:val="22"/>
          <w:szCs w:val="22"/>
        </w:rPr>
        <w:t>en las adquisiciones, enajenaciones, arrendamientos y servicios, quedan comprendidos</w:t>
      </w:r>
      <w:r w:rsidRPr="00C106BE">
        <w:rPr>
          <w:rFonts w:ascii="Palatino Linotype" w:eastAsia="Palatino Linotype" w:hAnsi="Palatino Linotype" w:cs="Palatino Linotype"/>
          <w:i/>
          <w:sz w:val="22"/>
          <w:szCs w:val="22"/>
        </w:rPr>
        <w:t>:</w:t>
      </w:r>
    </w:p>
    <w:p w14:paraId="75B0F824"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w:t>
      </w:r>
      <w:r w:rsidRPr="00C106BE">
        <w:rPr>
          <w:rFonts w:ascii="Palatino Linotype" w:eastAsia="Palatino Linotype" w:hAnsi="Palatino Linotype" w:cs="Palatino Linotype"/>
          <w:i/>
          <w:sz w:val="22"/>
          <w:szCs w:val="22"/>
        </w:rPr>
        <w:t xml:space="preserve"> La adquisición de bienes muebles.</w:t>
      </w:r>
    </w:p>
    <w:p w14:paraId="212C763D"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II</w:t>
      </w:r>
      <w:r w:rsidRPr="00C106BE">
        <w:rPr>
          <w:rFonts w:ascii="Palatino Linotype" w:eastAsia="Palatino Linotype" w:hAnsi="Palatino Linotype" w:cs="Palatino Linotype"/>
          <w:i/>
          <w:sz w:val="22"/>
          <w:szCs w:val="22"/>
        </w:rPr>
        <w:t>. La adquisición de bienes inmuebles, a través de compraventa.</w:t>
      </w:r>
    </w:p>
    <w:p w14:paraId="41C0D10F"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III.</w:t>
      </w:r>
      <w:r w:rsidRPr="00C106BE">
        <w:rPr>
          <w:rFonts w:ascii="Palatino Linotype" w:eastAsia="Palatino Linotype" w:hAnsi="Palatino Linotype" w:cs="Palatino Linotype"/>
          <w:i/>
          <w:sz w:val="22"/>
          <w:szCs w:val="22"/>
        </w:rPr>
        <w:t xml:space="preserve"> La enajenación de bienes muebles e inmuebles.</w:t>
      </w:r>
    </w:p>
    <w:p w14:paraId="1D21108E"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IV.</w:t>
      </w:r>
      <w:r w:rsidRPr="00C106BE">
        <w:rPr>
          <w:rFonts w:ascii="Palatino Linotype" w:eastAsia="Palatino Linotype" w:hAnsi="Palatino Linotype" w:cs="Palatino Linotype"/>
          <w:i/>
          <w:sz w:val="22"/>
          <w:szCs w:val="22"/>
        </w:rPr>
        <w:t xml:space="preserve"> El arrendamiento de bienes muebles e inmuebles. </w:t>
      </w:r>
    </w:p>
    <w:p w14:paraId="1884E4D7"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V</w:t>
      </w:r>
      <w:r w:rsidRPr="00C106BE">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3D4BC9FF"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VI.</w:t>
      </w:r>
      <w:r w:rsidRPr="00C106BE">
        <w:rPr>
          <w:rFonts w:ascii="Palatino Linotype" w:eastAsia="Palatino Linotype" w:hAnsi="Palatino Linotype" w:cs="Palatino Linotype"/>
          <w:i/>
          <w:sz w:val="22"/>
          <w:szCs w:val="22"/>
        </w:rPr>
        <w:t xml:space="preserve"> La contratación de los servicios de reconstrucción y mantenimiento de bienes muebles. </w:t>
      </w:r>
    </w:p>
    <w:p w14:paraId="1F9116D4"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VII.</w:t>
      </w:r>
      <w:r w:rsidRPr="00C106BE">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1C2578AB"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VIII.</w:t>
      </w:r>
      <w:r w:rsidRPr="00C106BE">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6492EDB1"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En general, otros actos que impliquen la contratación de servicios de cualquier naturaleza</w:t>
      </w:r>
    </w:p>
    <w:p w14:paraId="73B59AA1"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lastRenderedPageBreak/>
        <w:t>Artículo 26.-</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Las adquisiciones, arrendamientos y servicios se adjudicarán a través de licitaciones públicas</w:t>
      </w:r>
      <w:r w:rsidRPr="00C106BE">
        <w:rPr>
          <w:rFonts w:ascii="Palatino Linotype" w:eastAsia="Palatino Linotype" w:hAnsi="Palatino Linotype" w:cs="Palatino Linotype"/>
          <w:i/>
          <w:sz w:val="22"/>
          <w:szCs w:val="22"/>
        </w:rPr>
        <w:t xml:space="preserve">, mediante convocatoria pública. </w:t>
      </w:r>
    </w:p>
    <w:p w14:paraId="18FA11F2"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27.</w:t>
      </w:r>
      <w:r w:rsidRPr="00C106BE">
        <w:rPr>
          <w:rFonts w:ascii="Palatino Linotype" w:eastAsia="Palatino Linotype" w:hAnsi="Palatino Linotype" w:cs="Palatino Linotype"/>
          <w:i/>
          <w:sz w:val="22"/>
          <w:szCs w:val="22"/>
        </w:rPr>
        <w:t xml:space="preserve">- La Secretaría, las entidades, los tribunales administrativos y los ayuntamientos podrán </w:t>
      </w:r>
      <w:r w:rsidRPr="00C106BE">
        <w:rPr>
          <w:rFonts w:ascii="Palatino Linotype" w:eastAsia="Palatino Linotype" w:hAnsi="Palatino Linotype" w:cs="Palatino Linotype"/>
          <w:b/>
          <w:i/>
          <w:sz w:val="22"/>
          <w:szCs w:val="22"/>
        </w:rPr>
        <w:t>adjudicar adquisiciones, arrendamientos y servicios, mediante las excepciones al procedimiento de licitación</w:t>
      </w:r>
      <w:r w:rsidRPr="00C106BE">
        <w:rPr>
          <w:rFonts w:ascii="Palatino Linotype" w:eastAsia="Palatino Linotype" w:hAnsi="Palatino Linotype" w:cs="Palatino Linotype"/>
          <w:i/>
          <w:sz w:val="22"/>
          <w:szCs w:val="22"/>
        </w:rPr>
        <w:t xml:space="preserve"> que a continuación se señalan:</w:t>
      </w:r>
    </w:p>
    <w:p w14:paraId="4C8F2357"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w:t>
      </w:r>
      <w:r w:rsidRPr="00C106BE">
        <w:rPr>
          <w:rFonts w:ascii="Palatino Linotype" w:eastAsia="Palatino Linotype" w:hAnsi="Palatino Linotype" w:cs="Palatino Linotype"/>
          <w:i/>
          <w:sz w:val="22"/>
          <w:szCs w:val="22"/>
        </w:rPr>
        <w:t>. Invitación restringida.</w:t>
      </w:r>
    </w:p>
    <w:p w14:paraId="2A4BA3D0"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II.</w:t>
      </w:r>
      <w:r w:rsidRPr="00C106BE">
        <w:rPr>
          <w:rFonts w:ascii="Palatino Linotype" w:eastAsia="Palatino Linotype" w:hAnsi="Palatino Linotype" w:cs="Palatino Linotype"/>
          <w:i/>
          <w:sz w:val="22"/>
          <w:szCs w:val="22"/>
        </w:rPr>
        <w:t xml:space="preserve"> Adjudicación directa.”</w:t>
      </w:r>
    </w:p>
    <w:p w14:paraId="32D828EC" w14:textId="77777777" w:rsidR="00E80A74" w:rsidRPr="00C106BE" w:rsidRDefault="00E80A74">
      <w:pPr>
        <w:spacing w:line="276" w:lineRule="auto"/>
        <w:ind w:left="1134" w:right="902"/>
        <w:jc w:val="both"/>
        <w:rPr>
          <w:rFonts w:ascii="Palatino Linotype" w:eastAsia="Palatino Linotype" w:hAnsi="Palatino Linotype" w:cs="Palatino Linotype"/>
          <w:i/>
          <w:sz w:val="22"/>
          <w:szCs w:val="22"/>
        </w:rPr>
      </w:pPr>
    </w:p>
    <w:p w14:paraId="29A6AEB7"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Con base en los preceptos citados se advierte que, por regla general, las adquisiciones, que celebren los entes públicos, deben adjudicarse mediante licitación pública, sin embargo, también se contemplan como excepciones a dicho proceso, la invitación restringida y la adjudicación directa, procedimientos que son materia de la solicitud presentada por el particular.</w:t>
      </w:r>
    </w:p>
    <w:p w14:paraId="7A89792B"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06FA6CE5"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Al respecto,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14:paraId="503053D9"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690D90AF"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 </w:t>
      </w:r>
    </w:p>
    <w:p w14:paraId="48747625"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36E54AD9"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En ese contexto, se localizó el Acuerdo del Secretario de Infraestructura por el que se establece el Índice de Expediente Único de Obra Pública e Instructivos de llenado en las modalidades de adjudicación directa, invitación restringida y licitación pública el cual establece los Índices de Expedientes Únicos de Obra e instructivos de llenado para la integración de dichos legajos, que deberán integrar entre otros, los Ayuntamientos.</w:t>
      </w:r>
    </w:p>
    <w:p w14:paraId="157545C5"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4F024F5D"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Además, precisa que el Expediente Único de Obra, debe contener el Expediente Técnico (Ficha Técnica), que es el documento que contiene la </w:t>
      </w:r>
      <w:r w:rsidRPr="00C106BE">
        <w:rPr>
          <w:rFonts w:ascii="Palatino Linotype" w:eastAsia="Palatino Linotype" w:hAnsi="Palatino Linotype" w:cs="Palatino Linotype"/>
          <w:b/>
          <w:sz w:val="22"/>
          <w:szCs w:val="22"/>
        </w:rPr>
        <w:t>información financiera</w:t>
      </w:r>
      <w:r w:rsidRPr="00C106BE">
        <w:rPr>
          <w:rFonts w:ascii="Palatino Linotype" w:eastAsia="Palatino Linotype" w:hAnsi="Palatino Linotype" w:cs="Palatino Linotype"/>
          <w:sz w:val="22"/>
          <w:szCs w:val="22"/>
        </w:rPr>
        <w:t xml:space="preserve">, metas, beneficiarios, descripción de la obra o servicio, croquis de localización, </w:t>
      </w:r>
      <w:r w:rsidRPr="00C106BE">
        <w:rPr>
          <w:rFonts w:ascii="Palatino Linotype" w:eastAsia="Palatino Linotype" w:hAnsi="Palatino Linotype" w:cs="Palatino Linotype"/>
          <w:b/>
          <w:sz w:val="22"/>
          <w:szCs w:val="22"/>
        </w:rPr>
        <w:t>avances físicos y financieros programados</w:t>
      </w:r>
      <w:r w:rsidRPr="00C106BE">
        <w:rPr>
          <w:rFonts w:ascii="Palatino Linotype" w:eastAsia="Palatino Linotype" w:hAnsi="Palatino Linotype" w:cs="Palatino Linotype"/>
          <w:sz w:val="22"/>
          <w:szCs w:val="22"/>
        </w:rPr>
        <w:t>.</w:t>
      </w:r>
    </w:p>
    <w:p w14:paraId="26AB707D"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1A072CC0"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Ahora bien,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y deberán contener por lo menos lo siguiente: </w:t>
      </w:r>
    </w:p>
    <w:p w14:paraId="204C8437"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3278E9E1"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Artículo 92</w:t>
      </w:r>
      <w:r w:rsidRPr="00C106B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B1238B"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p>
    <w:p w14:paraId="1DAD7E4A"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XXIX.</w:t>
      </w:r>
      <w:r w:rsidRPr="00C106BE">
        <w:rPr>
          <w:rFonts w:ascii="Palatino Linotype" w:eastAsia="Palatino Linotype" w:hAnsi="Palatino Linotype" w:cs="Palatino Linotype"/>
          <w:i/>
          <w:sz w:val="22"/>
          <w:szCs w:val="22"/>
        </w:rPr>
        <w:t xml:space="preserve"> La </w:t>
      </w:r>
      <w:r w:rsidRPr="00C106BE">
        <w:rPr>
          <w:rFonts w:ascii="Palatino Linotype" w:eastAsia="Palatino Linotype" w:hAnsi="Palatino Linotype" w:cs="Palatino Linotype"/>
          <w:b/>
          <w:i/>
          <w:sz w:val="22"/>
          <w:szCs w:val="22"/>
        </w:rPr>
        <w:t xml:space="preserve">información sobre los procesos y resultados </w:t>
      </w:r>
      <w:r w:rsidRPr="00C106BE">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C106BE">
        <w:rPr>
          <w:rFonts w:ascii="Palatino Linotype" w:eastAsia="Palatino Linotype" w:hAnsi="Palatino Linotype" w:cs="Palatino Linotype"/>
          <w:i/>
          <w:sz w:val="22"/>
          <w:szCs w:val="22"/>
          <w:u w:val="single"/>
        </w:rPr>
        <w:t xml:space="preserve">, </w:t>
      </w:r>
      <w:r w:rsidRPr="00C106BE">
        <w:rPr>
          <w:rFonts w:ascii="Palatino Linotype" w:eastAsia="Palatino Linotype" w:hAnsi="Palatino Linotype" w:cs="Palatino Linotype"/>
          <w:b/>
          <w:i/>
          <w:sz w:val="22"/>
          <w:szCs w:val="22"/>
        </w:rPr>
        <w:t>incluyendo la versión pública</w:t>
      </w:r>
      <w:r w:rsidRPr="00C106BE">
        <w:rPr>
          <w:rFonts w:ascii="Palatino Linotype" w:eastAsia="Palatino Linotype" w:hAnsi="Palatino Linotype" w:cs="Palatino Linotype"/>
          <w:i/>
          <w:sz w:val="22"/>
          <w:szCs w:val="22"/>
        </w:rPr>
        <w:t xml:space="preserve"> del expediente respectivo y </w:t>
      </w:r>
      <w:r w:rsidRPr="00C106BE">
        <w:rPr>
          <w:rFonts w:ascii="Palatino Linotype" w:eastAsia="Palatino Linotype" w:hAnsi="Palatino Linotype" w:cs="Palatino Linotype"/>
          <w:b/>
          <w:i/>
          <w:sz w:val="22"/>
          <w:szCs w:val="22"/>
        </w:rPr>
        <w:t>de los contratos celebrados</w:t>
      </w:r>
      <w:r w:rsidRPr="00C106BE">
        <w:rPr>
          <w:rFonts w:ascii="Palatino Linotype" w:eastAsia="Palatino Linotype" w:hAnsi="Palatino Linotype" w:cs="Palatino Linotype"/>
          <w:i/>
          <w:sz w:val="22"/>
          <w:szCs w:val="22"/>
        </w:rPr>
        <w:t>, que deberán contener, por los menos, lo siguiente:</w:t>
      </w:r>
    </w:p>
    <w:p w14:paraId="23D29ADA"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lastRenderedPageBreak/>
        <w:t>a) De licitaciones públicas o procedimientos de invitación restringida:</w:t>
      </w:r>
    </w:p>
    <w:p w14:paraId="618B58FD"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1)</w:t>
      </w:r>
      <w:r w:rsidRPr="00C106BE">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39E1B9CD"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2)</w:t>
      </w:r>
      <w:r w:rsidRPr="00C106BE">
        <w:rPr>
          <w:rFonts w:ascii="Palatino Linotype" w:eastAsia="Palatino Linotype" w:hAnsi="Palatino Linotype" w:cs="Palatino Linotype"/>
          <w:i/>
          <w:sz w:val="22"/>
          <w:szCs w:val="22"/>
        </w:rPr>
        <w:t xml:space="preserve"> Los nombres de los participantes o invitados;</w:t>
      </w:r>
    </w:p>
    <w:p w14:paraId="23A1C9C9"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3)</w:t>
      </w:r>
      <w:r w:rsidRPr="00C106BE">
        <w:rPr>
          <w:rFonts w:ascii="Palatino Linotype" w:eastAsia="Palatino Linotype" w:hAnsi="Palatino Linotype" w:cs="Palatino Linotype"/>
          <w:i/>
          <w:sz w:val="22"/>
          <w:szCs w:val="22"/>
        </w:rPr>
        <w:t xml:space="preserve"> El nombre del ganador y las razones que lo justifican;</w:t>
      </w:r>
    </w:p>
    <w:p w14:paraId="10C6F578"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4)</w:t>
      </w:r>
      <w:r w:rsidRPr="00C106BE">
        <w:rPr>
          <w:rFonts w:ascii="Palatino Linotype" w:eastAsia="Palatino Linotype" w:hAnsi="Palatino Linotype" w:cs="Palatino Linotype"/>
          <w:i/>
          <w:sz w:val="22"/>
          <w:szCs w:val="22"/>
        </w:rPr>
        <w:t xml:space="preserve"> El área solicitante y la responsable de su ejecución;</w:t>
      </w:r>
    </w:p>
    <w:p w14:paraId="3BC3C114"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5)</w:t>
      </w:r>
      <w:r w:rsidRPr="00C106BE">
        <w:rPr>
          <w:rFonts w:ascii="Palatino Linotype" w:eastAsia="Palatino Linotype" w:hAnsi="Palatino Linotype" w:cs="Palatino Linotype"/>
          <w:i/>
          <w:sz w:val="22"/>
          <w:szCs w:val="22"/>
        </w:rPr>
        <w:t xml:space="preserve"> Las convocatorias e invitaciones emitidas; </w:t>
      </w:r>
    </w:p>
    <w:p w14:paraId="5FD2F6DA"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6) Los dictámenes y fallo de adjudicación;</w:t>
      </w:r>
    </w:p>
    <w:p w14:paraId="3B54FA30"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 xml:space="preserve">7) El contrato y, en su caso, sus anexos; </w:t>
      </w:r>
    </w:p>
    <w:p w14:paraId="460ED9FB"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8)</w:t>
      </w:r>
      <w:r w:rsidRPr="00C106B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42CD4428"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9)</w:t>
      </w:r>
      <w:r w:rsidRPr="00C106BE">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57BC816E"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10)</w:t>
      </w:r>
      <w:r w:rsidRPr="00C106BE">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75BE3D10"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11)</w:t>
      </w:r>
      <w:r w:rsidRPr="00C106BE">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1E39826E"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 xml:space="preserve">12) Los informes de avance físico y financiero sobre las obras o servicios contratados; </w:t>
      </w:r>
    </w:p>
    <w:p w14:paraId="1F4D73EE"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13) El convenio de terminación; </w:t>
      </w:r>
    </w:p>
    <w:p w14:paraId="79652D40"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14)</w:t>
      </w:r>
      <w:r w:rsidRPr="00C106BE">
        <w:rPr>
          <w:rFonts w:ascii="Palatino Linotype" w:eastAsia="Palatino Linotype" w:hAnsi="Palatino Linotype" w:cs="Palatino Linotype"/>
          <w:i/>
          <w:sz w:val="22"/>
          <w:szCs w:val="22"/>
        </w:rPr>
        <w:t xml:space="preserve"> El finiquito.</w:t>
      </w:r>
    </w:p>
    <w:p w14:paraId="3985EE81"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 xml:space="preserve">b) De las adjudicaciones directas: </w:t>
      </w:r>
    </w:p>
    <w:p w14:paraId="621BA740"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1)</w:t>
      </w:r>
      <w:r w:rsidRPr="00C106BE">
        <w:rPr>
          <w:rFonts w:ascii="Palatino Linotype" w:eastAsia="Palatino Linotype" w:hAnsi="Palatino Linotype" w:cs="Palatino Linotype"/>
          <w:i/>
          <w:sz w:val="22"/>
          <w:szCs w:val="22"/>
        </w:rPr>
        <w:t xml:space="preserve"> La propuesta enviada por el participante; </w:t>
      </w:r>
    </w:p>
    <w:p w14:paraId="59EC1AAA"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2)</w:t>
      </w:r>
      <w:r w:rsidRPr="00C106BE">
        <w:rPr>
          <w:rFonts w:ascii="Palatino Linotype" w:eastAsia="Palatino Linotype" w:hAnsi="Palatino Linotype" w:cs="Palatino Linotype"/>
          <w:i/>
          <w:sz w:val="22"/>
          <w:szCs w:val="22"/>
        </w:rPr>
        <w:t xml:space="preserve"> Los motivos y fundamentos legales aplicados para llevarla a cabo;</w:t>
      </w:r>
    </w:p>
    <w:p w14:paraId="51C7D27C"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3)</w:t>
      </w:r>
      <w:r w:rsidRPr="00C106BE">
        <w:rPr>
          <w:rFonts w:ascii="Palatino Linotype" w:eastAsia="Palatino Linotype" w:hAnsi="Palatino Linotype" w:cs="Palatino Linotype"/>
          <w:i/>
          <w:sz w:val="22"/>
          <w:szCs w:val="22"/>
        </w:rPr>
        <w:t xml:space="preserve"> La autorización del ejercicio de la opción; </w:t>
      </w:r>
    </w:p>
    <w:p w14:paraId="79E2BA02"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 xml:space="preserve">4) </w:t>
      </w:r>
      <w:r w:rsidRPr="00C106BE">
        <w:rPr>
          <w:rFonts w:ascii="Palatino Linotype" w:eastAsia="Palatino Linotype" w:hAnsi="Palatino Linotype" w:cs="Palatino Linotype"/>
          <w:i/>
          <w:sz w:val="22"/>
          <w:szCs w:val="22"/>
        </w:rPr>
        <w:t>En su caso, las cotizaciones consideradas, especificando los nombres de los proveedores y sus montos;</w:t>
      </w:r>
      <w:r w:rsidRPr="00C106BE">
        <w:rPr>
          <w:rFonts w:ascii="Palatino Linotype" w:eastAsia="Palatino Linotype" w:hAnsi="Palatino Linotype" w:cs="Palatino Linotype"/>
          <w:b/>
          <w:i/>
          <w:sz w:val="22"/>
          <w:szCs w:val="22"/>
        </w:rPr>
        <w:t xml:space="preserve"> </w:t>
      </w:r>
    </w:p>
    <w:p w14:paraId="0A06CC33"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5)</w:t>
      </w:r>
      <w:r w:rsidRPr="00C106BE">
        <w:rPr>
          <w:rFonts w:ascii="Palatino Linotype" w:eastAsia="Palatino Linotype" w:hAnsi="Palatino Linotype" w:cs="Palatino Linotype"/>
          <w:i/>
          <w:sz w:val="22"/>
          <w:szCs w:val="22"/>
        </w:rPr>
        <w:t xml:space="preserve"> El nombre de la persona física o jurídica colectiva adjudicada; </w:t>
      </w:r>
    </w:p>
    <w:p w14:paraId="41D4828A"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6)</w:t>
      </w:r>
      <w:r w:rsidRPr="00C106BE">
        <w:rPr>
          <w:rFonts w:ascii="Palatino Linotype" w:eastAsia="Palatino Linotype" w:hAnsi="Palatino Linotype" w:cs="Palatino Linotype"/>
          <w:i/>
          <w:sz w:val="22"/>
          <w:szCs w:val="22"/>
        </w:rPr>
        <w:t xml:space="preserve"> La unidad administrativa solicitante y la responsable de su ejecución; </w:t>
      </w:r>
    </w:p>
    <w:p w14:paraId="10A0C2F3"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7</w:t>
      </w:r>
      <w:r w:rsidRPr="00C106BE">
        <w:rPr>
          <w:rFonts w:ascii="Palatino Linotype" w:eastAsia="Palatino Linotype" w:hAnsi="Palatino Linotype" w:cs="Palatino Linotype"/>
          <w:i/>
          <w:sz w:val="22"/>
          <w:szCs w:val="22"/>
        </w:rPr>
        <w:t>) El número, fecha</w:t>
      </w:r>
      <w:r w:rsidRPr="00C106BE">
        <w:rPr>
          <w:rFonts w:ascii="Palatino Linotype" w:eastAsia="Palatino Linotype" w:hAnsi="Palatino Linotype" w:cs="Palatino Linotype"/>
          <w:b/>
          <w:i/>
          <w:sz w:val="22"/>
          <w:szCs w:val="22"/>
        </w:rPr>
        <w:t>, el monto del contrato</w:t>
      </w:r>
      <w:r w:rsidRPr="00C106BE">
        <w:rPr>
          <w:rFonts w:ascii="Palatino Linotype" w:eastAsia="Palatino Linotype" w:hAnsi="Palatino Linotype" w:cs="Palatino Linotype"/>
          <w:i/>
          <w:sz w:val="22"/>
          <w:szCs w:val="22"/>
        </w:rPr>
        <w:t xml:space="preserve"> y el plazo de entrega o de ejecución de los servicios u obra; </w:t>
      </w:r>
    </w:p>
    <w:p w14:paraId="02639D74"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8)</w:t>
      </w:r>
      <w:r w:rsidRPr="00C106B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429C0EF5"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9)</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Los informes de avance sobre las obras o servicios contratados</w:t>
      </w:r>
      <w:r w:rsidRPr="00C106BE">
        <w:rPr>
          <w:rFonts w:ascii="Palatino Linotype" w:eastAsia="Palatino Linotype" w:hAnsi="Palatino Linotype" w:cs="Palatino Linotype"/>
          <w:i/>
          <w:sz w:val="22"/>
          <w:szCs w:val="22"/>
        </w:rPr>
        <w:t xml:space="preserve">; </w:t>
      </w:r>
    </w:p>
    <w:p w14:paraId="77F6A019"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10) El convenio de terminación; y </w:t>
      </w:r>
    </w:p>
    <w:p w14:paraId="4B68E0C8"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lastRenderedPageBreak/>
        <w:t>11)</w:t>
      </w:r>
      <w:r w:rsidRPr="00C106BE">
        <w:rPr>
          <w:rFonts w:ascii="Palatino Linotype" w:eastAsia="Palatino Linotype" w:hAnsi="Palatino Linotype" w:cs="Palatino Linotype"/>
          <w:i/>
          <w:sz w:val="22"/>
          <w:szCs w:val="22"/>
        </w:rPr>
        <w:t xml:space="preserve"> El finiquito;”</w:t>
      </w:r>
    </w:p>
    <w:p w14:paraId="118442AF" w14:textId="77777777" w:rsidR="00E80A74" w:rsidRPr="00C106BE" w:rsidRDefault="005878FD">
      <w:pPr>
        <w:tabs>
          <w:tab w:val="left" w:pos="426"/>
        </w:tabs>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(Énfasis Añadido)</w:t>
      </w:r>
    </w:p>
    <w:p w14:paraId="19FEE7E0" w14:textId="77777777" w:rsidR="00E80A74" w:rsidRPr="00C106BE" w:rsidRDefault="00E80A7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3124DF8"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En ese contexto, la Ley Orgánica Municipal del Estado de México, dentro de sus artículos 31 y 87, reconoce que los ayuntamientos tendrán entre sus atribuciones el convenir, contratar o concesionar, en términos de ley, </w:t>
      </w:r>
      <w:r w:rsidRPr="00C106BE">
        <w:rPr>
          <w:rFonts w:ascii="Palatino Linotype" w:eastAsia="Palatino Linotype" w:hAnsi="Palatino Linotype" w:cs="Palatino Linotype"/>
          <w:b/>
          <w:sz w:val="22"/>
          <w:szCs w:val="22"/>
        </w:rPr>
        <w:t>la ejecución de obras</w:t>
      </w:r>
      <w:r w:rsidRPr="00C106BE">
        <w:rPr>
          <w:rFonts w:ascii="Palatino Linotype" w:eastAsia="Palatino Linotype" w:hAnsi="Palatino Linotype" w:cs="Palatino Linotype"/>
          <w:sz w:val="22"/>
          <w:szCs w:val="22"/>
        </w:rPr>
        <w:t xml:space="preserve"> y la prestación de servicios públicos, con el Estado, con otros municipios de la entidad o con particulares, recabando, cuando proceda, la autorización de la Legislatura del Estado; y, concluir las obras iniciadas por administraciones anteriores y dar mantenimiento a la infraestructura e instalaciones de los servicios públicos municipales; lo anterior, por medio de la </w:t>
      </w:r>
      <w:r w:rsidRPr="00C106BE">
        <w:rPr>
          <w:rFonts w:ascii="Palatino Linotype" w:eastAsia="Palatino Linotype" w:hAnsi="Palatino Linotype" w:cs="Palatino Linotype"/>
          <w:b/>
          <w:sz w:val="22"/>
          <w:szCs w:val="22"/>
        </w:rPr>
        <w:t>Dirección de Obras Públicas</w:t>
      </w:r>
      <w:r w:rsidRPr="00C106BE">
        <w:rPr>
          <w:rFonts w:ascii="Palatino Linotype" w:eastAsia="Palatino Linotype" w:hAnsi="Palatino Linotype" w:cs="Palatino Linotype"/>
          <w:sz w:val="22"/>
          <w:szCs w:val="22"/>
        </w:rPr>
        <w:t>.</w:t>
      </w:r>
    </w:p>
    <w:p w14:paraId="50461BE1"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2CA85916"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De este modo, se advierte que dentro de la información que debe ponerse a disposición del público de manera permanente y actualizada, de forma sencilla, precisa y entendible, en los respectivos medios electrónicos, es la información relativa a las licitaciones públicas, dentro de los cuales deberá contener los </w:t>
      </w:r>
      <w:r w:rsidRPr="00C106BE">
        <w:rPr>
          <w:rFonts w:ascii="Palatino Linotype" w:eastAsia="Palatino Linotype" w:hAnsi="Palatino Linotype" w:cs="Palatino Linotype"/>
          <w:b/>
          <w:sz w:val="22"/>
          <w:szCs w:val="22"/>
        </w:rPr>
        <w:t>informes de avance físico y financiero sobre las obras</w:t>
      </w:r>
      <w:r w:rsidRPr="00C106BE">
        <w:rPr>
          <w:rFonts w:ascii="Palatino Linotype" w:eastAsia="Palatino Linotype" w:hAnsi="Palatino Linotype" w:cs="Palatino Linotype"/>
          <w:sz w:val="22"/>
          <w:szCs w:val="22"/>
        </w:rPr>
        <w:t xml:space="preserve"> o servicios contratados; por lo que, se advierte que de manera enunciativa más no limitativa, el documento que pudiera dar cuenta del estatus en el que se encuentra cada una de las obras pueden ser precisamente dichos informes.</w:t>
      </w:r>
    </w:p>
    <w:p w14:paraId="516E6C5F"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14404803"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Ahora bien, cabe recordar que, el hoy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xml:space="preserve"> también solicitó conocer el </w:t>
      </w:r>
      <w:r w:rsidRPr="00C106BE">
        <w:rPr>
          <w:rFonts w:ascii="Palatino Linotype" w:eastAsia="Palatino Linotype" w:hAnsi="Palatino Linotype" w:cs="Palatino Linotype"/>
          <w:b/>
          <w:sz w:val="22"/>
          <w:szCs w:val="22"/>
        </w:rPr>
        <w:t>costo de cada obra</w:t>
      </w:r>
      <w:r w:rsidRPr="00C106BE">
        <w:rPr>
          <w:rFonts w:ascii="Palatino Linotype" w:eastAsia="Palatino Linotype" w:hAnsi="Palatino Linotype" w:cs="Palatino Linotype"/>
          <w:sz w:val="22"/>
          <w:szCs w:val="22"/>
        </w:rPr>
        <w:t xml:space="preserve">, información que de manera enunciativa más no limitativa, se puede advertir del mismo contrato, toda vez que por cuanto hace a los contratos que emanan de los procedimientos expuestos que regula la legislación en materia de contratación pública estatal, el Reglamento de la Ley de Contratación Pública del Estado de México y Municipios establece que los instrumentos jurídicos vinculantes deberán reunir los siguientes elementos: </w:t>
      </w:r>
    </w:p>
    <w:p w14:paraId="01176A38" w14:textId="77777777" w:rsidR="00E80A74" w:rsidRPr="00C106BE" w:rsidRDefault="005878FD">
      <w:pPr>
        <w:spacing w:line="276" w:lineRule="auto"/>
        <w:ind w:left="851" w:right="616"/>
        <w:jc w:val="center"/>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lastRenderedPageBreak/>
        <w:t>“DE LOS CONTRATOS</w:t>
      </w:r>
    </w:p>
    <w:p w14:paraId="7A5292A0" w14:textId="77777777" w:rsidR="00E80A74" w:rsidRPr="00C106BE" w:rsidRDefault="005878FD">
      <w:pPr>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 xml:space="preserve">Artículo 120.- </w:t>
      </w:r>
      <w:r w:rsidRPr="00C106BE">
        <w:rPr>
          <w:rFonts w:ascii="Palatino Linotype" w:eastAsia="Palatino Linotype" w:hAnsi="Palatino Linotype" w:cs="Palatino Linotype"/>
          <w:b/>
          <w:i/>
          <w:sz w:val="22"/>
          <w:szCs w:val="22"/>
          <w:u w:val="single"/>
        </w:rPr>
        <w:t xml:space="preserve">Los contratos </w:t>
      </w:r>
      <w:r w:rsidRPr="00C106BE">
        <w:rPr>
          <w:rFonts w:ascii="Palatino Linotype" w:eastAsia="Palatino Linotype" w:hAnsi="Palatino Linotype" w:cs="Palatino Linotype"/>
          <w:b/>
          <w:i/>
          <w:sz w:val="22"/>
          <w:szCs w:val="22"/>
        </w:rPr>
        <w:t xml:space="preserve">relacionados con las materias reguladas por la Ley referirán, como mínimo, lo siguiente: </w:t>
      </w:r>
    </w:p>
    <w:p w14:paraId="4CCFEB60"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w:t>
      </w:r>
      <w:r w:rsidRPr="00C106BE">
        <w:rPr>
          <w:rFonts w:ascii="Palatino Linotype" w:eastAsia="Palatino Linotype" w:hAnsi="Palatino Linotype" w:cs="Palatino Linotype"/>
          <w:i/>
          <w:sz w:val="22"/>
          <w:szCs w:val="22"/>
        </w:rPr>
        <w:t xml:space="preserve">. Objeto; </w:t>
      </w:r>
    </w:p>
    <w:p w14:paraId="5F85B2CA"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II. Fecha de suministro de los bienes o período de prestación del servicio; </w:t>
      </w:r>
    </w:p>
    <w:p w14:paraId="2728E552"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III. Datos del procedimiento que dio origen al contrato; </w:t>
      </w:r>
    </w:p>
    <w:p w14:paraId="66F250E1" w14:textId="77777777" w:rsidR="00E80A74" w:rsidRPr="00C106BE" w:rsidRDefault="005878FD">
      <w:pPr>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 xml:space="preserve">IV. Importe total; </w:t>
      </w:r>
    </w:p>
    <w:p w14:paraId="7915BCA0" w14:textId="77777777" w:rsidR="00E80A74" w:rsidRPr="00C106BE" w:rsidRDefault="005878FD">
      <w:pPr>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 xml:space="preserve">V. Porcentajes, número y fechas de las exhibiciones y amortización de los anticipos que se otorguen; </w:t>
      </w:r>
    </w:p>
    <w:p w14:paraId="51F22DC0"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VI. Formalidades para el otorgamiento y cobro de garantías; </w:t>
      </w:r>
    </w:p>
    <w:p w14:paraId="52D200AE"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14:paraId="5D70FC8F"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VIII. Términos en que el proveedor o prestador del servicio, en su caso, reintegrará las cantidades que, en cualquier forma, hubiere recibido en exceso por la contratación; </w:t>
      </w:r>
    </w:p>
    <w:p w14:paraId="5295E2A0"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IX. Causales por las que la Secretaría, organismos auxiliares, tribunales administrativos o municipios podrán dar por rescindido el contrato y sus efectos; </w:t>
      </w:r>
    </w:p>
    <w:p w14:paraId="5B23E472"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X. Las consecuencias de la cancelación o terminación anticipada por causas imputables al proveedor o prestador del servicio; </w:t>
      </w:r>
    </w:p>
    <w:p w14:paraId="0AFFDED5"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XI. Señalamiento del domicilio de las partes, ubicado en el territorio del Estado, o bien, domicilio para oír y recibir notificaciones; y </w:t>
      </w:r>
    </w:p>
    <w:p w14:paraId="151436B2"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XII. Renuncia expresa al fuero que les pudiera corresponder en función de su domicilio o vecindad presente o futuro. “</w:t>
      </w:r>
    </w:p>
    <w:p w14:paraId="43830FAC"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(Énfasis añadido)</w:t>
      </w:r>
    </w:p>
    <w:p w14:paraId="15FD1E7E"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2A87758E" w14:textId="6DC3A87F" w:rsidR="00E80A74" w:rsidRPr="00C106BE" w:rsidRDefault="005878F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Conforme a lo anterior, se logra vislumbrar que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cuenta con atribuciones para generar, poseer y administrar la información que desea conocer la parte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puesto que como ya se señaló anteriormente, el Ayuntamiento de Toluca llev</w:t>
      </w:r>
      <w:r w:rsidR="00117BD3" w:rsidRPr="00C106BE">
        <w:rPr>
          <w:rFonts w:ascii="Palatino Linotype" w:eastAsia="Palatino Linotype" w:hAnsi="Palatino Linotype" w:cs="Palatino Linotype"/>
          <w:sz w:val="22"/>
          <w:szCs w:val="22"/>
        </w:rPr>
        <w:t>ó</w:t>
      </w:r>
      <w:r w:rsidRPr="00C106BE">
        <w:rPr>
          <w:rFonts w:ascii="Palatino Linotype" w:eastAsia="Palatino Linotype" w:hAnsi="Palatino Linotype" w:cs="Palatino Linotype"/>
          <w:sz w:val="22"/>
          <w:szCs w:val="22"/>
        </w:rPr>
        <w:t xml:space="preserve"> a cabo obras públicas desde el inicio de su administración, es decir a partir del mes enero del año en curso; por lo que cuenta con la información solicitada; de modo que resulta válido instruir </w:t>
      </w:r>
      <w:r w:rsidRPr="00C106BE">
        <w:rPr>
          <w:rFonts w:ascii="Palatino Linotype" w:eastAsia="Palatino Linotype" w:hAnsi="Palatino Linotype" w:cs="Palatino Linotype"/>
          <w:sz w:val="22"/>
          <w:szCs w:val="22"/>
        </w:rPr>
        <w:lastRenderedPageBreak/>
        <w:t xml:space="preserve">al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realizar una nueva búsqueda exhaustiva y razonable en sus archivos a fin de entregar al particular, en versión pública de ser procedente, el o los documentos que den cuenta del estatus, la ficha técnica y costo de cada obra realizada del primero de enero al cuatro de febrero de dos mil veinticinco. </w:t>
      </w:r>
    </w:p>
    <w:p w14:paraId="29B5A1C1" w14:textId="77777777" w:rsidR="00E80A74" w:rsidRPr="00C106BE" w:rsidRDefault="00E80A7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380B226F"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 xml:space="preserve">Quinto. Versión Pública. </w:t>
      </w:r>
      <w:r w:rsidRPr="00C106BE">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xml:space="preserve"> sin menoscabar el derecho a la protección de los datos personales de terceros.</w:t>
      </w:r>
    </w:p>
    <w:p w14:paraId="1E34D471"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6BC6BDE7"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4270325E" w14:textId="77777777" w:rsidR="00E80A74" w:rsidRPr="00C106BE" w:rsidRDefault="00E80A74">
      <w:pPr>
        <w:spacing w:line="276" w:lineRule="auto"/>
        <w:ind w:right="51"/>
        <w:jc w:val="both"/>
        <w:rPr>
          <w:rFonts w:ascii="Palatino Linotype" w:eastAsia="Palatino Linotype" w:hAnsi="Palatino Linotype" w:cs="Palatino Linotype"/>
          <w:sz w:val="22"/>
          <w:szCs w:val="22"/>
        </w:rPr>
      </w:pPr>
    </w:p>
    <w:p w14:paraId="654905E8" w14:textId="7EFFE223" w:rsidR="00E80A74" w:rsidRPr="00C106BE" w:rsidRDefault="005878FD">
      <w:pPr>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“Artículo 3. Para los efectos de la presente Ley se entenderá por:</w:t>
      </w:r>
    </w:p>
    <w:p w14:paraId="3D74733E"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IX. Datos personales:</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La información concerniente a una persona, identificada o identificable</w:t>
      </w:r>
      <w:r w:rsidRPr="00C106BE">
        <w:rPr>
          <w:rFonts w:ascii="Palatino Linotype" w:eastAsia="Palatino Linotype" w:hAnsi="Palatino Linotype" w:cs="Palatino Linotype"/>
          <w:i/>
          <w:sz w:val="22"/>
          <w:szCs w:val="22"/>
        </w:rPr>
        <w:t xml:space="preserve"> según lo dispuesto por la Ley de Protección de Datos Personales del Estado de México;</w:t>
      </w:r>
    </w:p>
    <w:p w14:paraId="3775E2D2"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XX. Información clasificada:</w:t>
      </w:r>
      <w:r w:rsidRPr="00C106BE">
        <w:rPr>
          <w:rFonts w:ascii="Palatino Linotype" w:eastAsia="Palatino Linotype" w:hAnsi="Palatino Linotype" w:cs="Palatino Linotype"/>
          <w:i/>
          <w:sz w:val="22"/>
          <w:szCs w:val="22"/>
        </w:rPr>
        <w:t xml:space="preserve"> Aquella considerada por la presente Ley como reservada o confidencial;</w:t>
      </w:r>
    </w:p>
    <w:p w14:paraId="408B6F33"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XXXII. Protección de Datos Personales:</w:t>
      </w:r>
      <w:r w:rsidRPr="00C106B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035DA5C"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XLV. Versión pública</w:t>
      </w:r>
      <w:r w:rsidRPr="00C106B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D06C54C" w14:textId="77777777" w:rsidR="00E80A74" w:rsidRPr="00C106BE" w:rsidRDefault="00E80A74">
      <w:pPr>
        <w:spacing w:line="276" w:lineRule="auto"/>
        <w:ind w:left="851" w:right="616"/>
        <w:jc w:val="both"/>
        <w:rPr>
          <w:rFonts w:ascii="Palatino Linotype" w:eastAsia="Palatino Linotype" w:hAnsi="Palatino Linotype" w:cs="Palatino Linotype"/>
          <w:i/>
          <w:sz w:val="22"/>
          <w:szCs w:val="22"/>
        </w:rPr>
      </w:pPr>
    </w:p>
    <w:p w14:paraId="37CBF88F"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6.</w:t>
      </w:r>
      <w:r w:rsidRPr="00C106B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70B5AD8" w14:textId="77777777" w:rsidR="00E80A74" w:rsidRPr="00C106BE" w:rsidRDefault="005878FD">
      <w:pPr>
        <w:spacing w:line="276" w:lineRule="auto"/>
        <w:ind w:left="851" w:right="616"/>
        <w:jc w:val="both"/>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“Artículo 137.</w:t>
      </w:r>
      <w:r w:rsidRPr="00C106B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9A8E296"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143</w:t>
      </w:r>
      <w:r w:rsidRPr="00C106B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F0997B1"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w:t>
      </w:r>
      <w:r w:rsidRPr="00C106B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E0D3D3E"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CF32221" w14:textId="77777777" w:rsidR="00E80A74" w:rsidRPr="00C106BE" w:rsidRDefault="005878FD">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06712515" w14:textId="77777777" w:rsidR="00E80A74" w:rsidRPr="00C106BE" w:rsidRDefault="00E80A74">
      <w:pPr>
        <w:ind w:left="993" w:right="1041"/>
        <w:jc w:val="both"/>
        <w:rPr>
          <w:rFonts w:ascii="Palatino Linotype" w:eastAsia="Palatino Linotype" w:hAnsi="Palatino Linotype" w:cs="Palatino Linotype"/>
          <w:i/>
          <w:sz w:val="22"/>
          <w:szCs w:val="22"/>
        </w:rPr>
      </w:pPr>
    </w:p>
    <w:p w14:paraId="3DA848FB"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la parte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w:t>
      </w:r>
      <w:r w:rsidRPr="00C106BE">
        <w:rPr>
          <w:rFonts w:ascii="Palatino Linotype" w:eastAsia="Palatino Linotype" w:hAnsi="Palatino Linotype" w:cs="Palatino Linotype"/>
          <w:sz w:val="22"/>
          <w:szCs w:val="22"/>
        </w:rPr>
        <w:lastRenderedPageBreak/>
        <w:t>conlleven un riesgo grave para aquel de acuerdo a lo que señala la fracción XII del artículo 4 de la Ley de Protección de Datos Personales en Posesión de Sujetos Obligados del Estado de México.</w:t>
      </w:r>
    </w:p>
    <w:p w14:paraId="7C04A16B"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58B176B6" w14:textId="77777777" w:rsidR="00E80A74" w:rsidRPr="00C106BE" w:rsidRDefault="005878FD">
      <w:pPr>
        <w:spacing w:line="360" w:lineRule="auto"/>
        <w:ind w:right="5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B24133D" w14:textId="77777777" w:rsidR="00E80A74" w:rsidRPr="00C106BE" w:rsidRDefault="00E80A74">
      <w:pPr>
        <w:spacing w:line="360" w:lineRule="auto"/>
        <w:ind w:right="50"/>
        <w:jc w:val="both"/>
        <w:rPr>
          <w:rFonts w:ascii="Palatino Linotype" w:eastAsia="Palatino Linotype" w:hAnsi="Palatino Linotype" w:cs="Palatino Linotype"/>
          <w:sz w:val="22"/>
          <w:szCs w:val="22"/>
        </w:rPr>
      </w:pPr>
    </w:p>
    <w:p w14:paraId="2202CCF3"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607D4C2F"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41E092F9"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49.</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Los Comités de Transparencia</w:t>
      </w:r>
      <w:r w:rsidRPr="00C106BE">
        <w:rPr>
          <w:rFonts w:ascii="Palatino Linotype" w:eastAsia="Palatino Linotype" w:hAnsi="Palatino Linotype" w:cs="Palatino Linotype"/>
          <w:i/>
          <w:sz w:val="22"/>
          <w:szCs w:val="22"/>
        </w:rPr>
        <w:t xml:space="preserve"> tendrán las siguientes atribuciones:</w:t>
      </w:r>
    </w:p>
    <w:p w14:paraId="5F732383"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VIII. Aprobar, modificar o revocar la clasificación de la información</w:t>
      </w:r>
      <w:r w:rsidRPr="00C106BE">
        <w:rPr>
          <w:rFonts w:ascii="Palatino Linotype" w:eastAsia="Palatino Linotype" w:hAnsi="Palatino Linotype" w:cs="Palatino Linotype"/>
          <w:i/>
          <w:sz w:val="22"/>
          <w:szCs w:val="22"/>
        </w:rPr>
        <w:t>…”</w:t>
      </w:r>
    </w:p>
    <w:p w14:paraId="5F263640"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Artículo 53.</w:t>
      </w:r>
      <w:r w:rsidRPr="00C106BE">
        <w:rPr>
          <w:rFonts w:ascii="Palatino Linotype" w:eastAsia="Palatino Linotype" w:hAnsi="Palatino Linotype" w:cs="Palatino Linotype"/>
          <w:i/>
          <w:sz w:val="22"/>
          <w:szCs w:val="22"/>
        </w:rPr>
        <w:t xml:space="preserve"> Las </w:t>
      </w:r>
      <w:r w:rsidRPr="00C106BE">
        <w:rPr>
          <w:rFonts w:ascii="Palatino Linotype" w:eastAsia="Palatino Linotype" w:hAnsi="Palatino Linotype" w:cs="Palatino Linotype"/>
          <w:b/>
          <w:i/>
          <w:sz w:val="22"/>
          <w:szCs w:val="22"/>
        </w:rPr>
        <w:t>Unidades de Transparencia</w:t>
      </w:r>
      <w:r w:rsidRPr="00C106BE">
        <w:rPr>
          <w:rFonts w:ascii="Palatino Linotype" w:eastAsia="Palatino Linotype" w:hAnsi="Palatino Linotype" w:cs="Palatino Linotype"/>
          <w:i/>
          <w:sz w:val="22"/>
          <w:szCs w:val="22"/>
        </w:rPr>
        <w:t xml:space="preserve"> tendrán las siguientes </w:t>
      </w:r>
      <w:r w:rsidRPr="00C106BE">
        <w:rPr>
          <w:rFonts w:ascii="Palatino Linotype" w:eastAsia="Palatino Linotype" w:hAnsi="Palatino Linotype" w:cs="Palatino Linotype"/>
          <w:b/>
          <w:i/>
          <w:sz w:val="22"/>
          <w:szCs w:val="22"/>
        </w:rPr>
        <w:t>funciones</w:t>
      </w:r>
      <w:r w:rsidRPr="00C106BE">
        <w:rPr>
          <w:rFonts w:ascii="Palatino Linotype" w:eastAsia="Palatino Linotype" w:hAnsi="Palatino Linotype" w:cs="Palatino Linotype"/>
          <w:i/>
          <w:sz w:val="22"/>
          <w:szCs w:val="22"/>
        </w:rPr>
        <w:t>:</w:t>
      </w:r>
    </w:p>
    <w:p w14:paraId="57FC1109"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X. Presentar ante el Comité, el proyecto de clasificación de información</w:t>
      </w:r>
      <w:r w:rsidRPr="00C106BE">
        <w:rPr>
          <w:rFonts w:ascii="Palatino Linotype" w:eastAsia="Palatino Linotype" w:hAnsi="Palatino Linotype" w:cs="Palatino Linotype"/>
          <w:i/>
          <w:sz w:val="22"/>
          <w:szCs w:val="22"/>
        </w:rPr>
        <w:t xml:space="preserve">…” </w:t>
      </w:r>
    </w:p>
    <w:p w14:paraId="7C2673A9"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“Artículo 59.</w:t>
      </w:r>
      <w:r w:rsidRPr="00C106BE">
        <w:rPr>
          <w:rFonts w:ascii="Palatino Linotype" w:eastAsia="Palatino Linotype" w:hAnsi="Palatino Linotype" w:cs="Palatino Linotype"/>
          <w:i/>
          <w:sz w:val="22"/>
          <w:szCs w:val="22"/>
        </w:rPr>
        <w:t xml:space="preserve"> Los </w:t>
      </w:r>
      <w:r w:rsidRPr="00C106BE">
        <w:rPr>
          <w:rFonts w:ascii="Palatino Linotype" w:eastAsia="Palatino Linotype" w:hAnsi="Palatino Linotype" w:cs="Palatino Linotype"/>
          <w:b/>
          <w:i/>
          <w:sz w:val="22"/>
          <w:szCs w:val="22"/>
        </w:rPr>
        <w:t>servidores públicos habilitados</w:t>
      </w:r>
      <w:r w:rsidRPr="00C106BE">
        <w:rPr>
          <w:rFonts w:ascii="Palatino Linotype" w:eastAsia="Palatino Linotype" w:hAnsi="Palatino Linotype" w:cs="Palatino Linotype"/>
          <w:i/>
          <w:sz w:val="22"/>
          <w:szCs w:val="22"/>
        </w:rPr>
        <w:t xml:space="preserve"> tendrán las </w:t>
      </w:r>
      <w:r w:rsidRPr="00C106BE">
        <w:rPr>
          <w:rFonts w:ascii="Palatino Linotype" w:eastAsia="Palatino Linotype" w:hAnsi="Palatino Linotype" w:cs="Palatino Linotype"/>
          <w:b/>
          <w:i/>
          <w:sz w:val="22"/>
          <w:szCs w:val="22"/>
        </w:rPr>
        <w:t>funciones</w:t>
      </w:r>
      <w:r w:rsidRPr="00C106BE">
        <w:rPr>
          <w:rFonts w:ascii="Palatino Linotype" w:eastAsia="Palatino Linotype" w:hAnsi="Palatino Linotype" w:cs="Palatino Linotype"/>
          <w:i/>
          <w:sz w:val="22"/>
          <w:szCs w:val="22"/>
        </w:rPr>
        <w:t xml:space="preserve"> siguientes:</w:t>
      </w:r>
    </w:p>
    <w:p w14:paraId="6A302216"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106BE">
        <w:rPr>
          <w:rFonts w:ascii="Palatino Linotype" w:eastAsia="Palatino Linotype" w:hAnsi="Palatino Linotype" w:cs="Palatino Linotype"/>
          <w:i/>
          <w:sz w:val="22"/>
          <w:szCs w:val="22"/>
        </w:rPr>
        <w:t xml:space="preserve">, la cual tendrá los fundamentos y argumentos en que se basa dicha propuesta…” </w:t>
      </w:r>
    </w:p>
    <w:p w14:paraId="5398A465" w14:textId="77777777" w:rsidR="00E80A74" w:rsidRPr="00C106BE" w:rsidRDefault="00E80A74">
      <w:pPr>
        <w:spacing w:line="276" w:lineRule="auto"/>
        <w:ind w:left="992" w:right="1043"/>
        <w:jc w:val="both"/>
        <w:rPr>
          <w:rFonts w:ascii="Palatino Linotype" w:eastAsia="Palatino Linotype" w:hAnsi="Palatino Linotype" w:cs="Palatino Linotype"/>
          <w:i/>
          <w:sz w:val="22"/>
          <w:szCs w:val="22"/>
        </w:rPr>
      </w:pPr>
    </w:p>
    <w:p w14:paraId="21E7A0F1"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w:t>
      </w:r>
      <w:r w:rsidRPr="00C106BE">
        <w:rPr>
          <w:rFonts w:ascii="Palatino Linotype" w:eastAsia="Palatino Linotype" w:hAnsi="Palatino Linotype" w:cs="Palatino Linotype"/>
          <w:sz w:val="22"/>
          <w:szCs w:val="22"/>
        </w:rPr>
        <w:lastRenderedPageBreak/>
        <w:t>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E1606C1"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3E0E05B6"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AFDEAAA"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3A20438A"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Artículo 149.</w:t>
      </w:r>
      <w:r w:rsidRPr="00C106BE">
        <w:rPr>
          <w:rFonts w:ascii="Palatino Linotype" w:eastAsia="Palatino Linotype" w:hAnsi="Palatino Linotype" w:cs="Palatino Linotype"/>
          <w:i/>
          <w:sz w:val="22"/>
          <w:szCs w:val="22"/>
        </w:rPr>
        <w:t xml:space="preserve"> El </w:t>
      </w:r>
      <w:r w:rsidRPr="00C106BE">
        <w:rPr>
          <w:rFonts w:ascii="Palatino Linotype" w:eastAsia="Palatino Linotype" w:hAnsi="Palatino Linotype" w:cs="Palatino Linotype"/>
          <w:b/>
          <w:i/>
          <w:sz w:val="22"/>
          <w:szCs w:val="22"/>
        </w:rPr>
        <w:t>acuerdo que clasifique la información como confidencial</w:t>
      </w:r>
      <w:r w:rsidRPr="00C106B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02CBDF6D"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6247075A"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Es decir, el</w:t>
      </w:r>
      <w:r w:rsidRPr="00C106BE">
        <w:rPr>
          <w:rFonts w:ascii="Palatino Linotype" w:eastAsia="Palatino Linotype" w:hAnsi="Palatino Linotype" w:cs="Palatino Linotype"/>
          <w:b/>
          <w:sz w:val="22"/>
          <w:szCs w:val="22"/>
        </w:rPr>
        <w:t xml:space="preserve"> Sujeto Obligado</w:t>
      </w:r>
      <w:r w:rsidRPr="00C106BE">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9F1EEB9"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316016AF"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Cabe mencionar que el</w:t>
      </w:r>
      <w:r w:rsidRPr="00C106BE">
        <w:rPr>
          <w:rFonts w:ascii="Palatino Linotype" w:eastAsia="Palatino Linotype" w:hAnsi="Palatino Linotype" w:cs="Palatino Linotype"/>
          <w:b/>
          <w:sz w:val="22"/>
          <w:szCs w:val="22"/>
        </w:rPr>
        <w:t xml:space="preserve"> Sujeto Obligado </w:t>
      </w:r>
      <w:r w:rsidRPr="00C106BE">
        <w:rPr>
          <w:rFonts w:ascii="Palatino Linotype" w:eastAsia="Palatino Linotype" w:hAnsi="Palatino Linotype" w:cs="Palatino Linotype"/>
          <w:sz w:val="22"/>
          <w:szCs w:val="22"/>
        </w:rPr>
        <w:t>pretende clasificar como confidencial, el nombre, firma y domicilio para tal efecto, se debe establecer lo siguiente:</w:t>
      </w:r>
    </w:p>
    <w:p w14:paraId="4E530B7E" w14:textId="77777777" w:rsidR="00E80A74" w:rsidRPr="00C106BE" w:rsidRDefault="00E80A7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62ECCB65" w14:textId="77777777" w:rsidR="00E80A74" w:rsidRPr="00C106BE" w:rsidRDefault="005878FD">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Respecto del </w:t>
      </w:r>
      <w:r w:rsidRPr="00C106BE">
        <w:rPr>
          <w:rFonts w:ascii="Palatino Linotype" w:eastAsia="Palatino Linotype" w:hAnsi="Palatino Linotype" w:cs="Palatino Linotype"/>
          <w:b/>
          <w:sz w:val="22"/>
          <w:szCs w:val="22"/>
        </w:rPr>
        <w:t>nombre de las personas físicas</w:t>
      </w:r>
      <w:r w:rsidRPr="00C106BE">
        <w:rPr>
          <w:rFonts w:ascii="Palatino Linotype" w:eastAsia="Palatino Linotype" w:hAnsi="Palatino Linotype" w:cs="Palatino Linotype"/>
          <w:sz w:val="22"/>
          <w:szCs w:val="22"/>
        </w:rPr>
        <w:t xml:space="preserve"> o los </w:t>
      </w:r>
      <w:r w:rsidRPr="00C106BE">
        <w:rPr>
          <w:rFonts w:ascii="Palatino Linotype" w:eastAsia="Palatino Linotype" w:hAnsi="Palatino Linotype" w:cs="Palatino Linotype"/>
          <w:b/>
          <w:sz w:val="22"/>
          <w:szCs w:val="22"/>
        </w:rPr>
        <w:t>representantes legales de las personas morales</w:t>
      </w:r>
      <w:r w:rsidRPr="00C106BE">
        <w:rPr>
          <w:rFonts w:ascii="Palatino Linotype" w:eastAsia="Palatino Linotype" w:hAnsi="Palatino Linotype" w:cs="Palatino Linotype"/>
          <w:sz w:val="22"/>
          <w:szCs w:val="22"/>
        </w:rPr>
        <w:t xml:space="preserve">, </w:t>
      </w:r>
      <w:r w:rsidRPr="00C106BE">
        <w:rPr>
          <w:rFonts w:ascii="Palatino Linotype" w:eastAsia="Palatino Linotype" w:hAnsi="Palatino Linotype" w:cs="Palatino Linotype"/>
          <w:b/>
          <w:sz w:val="22"/>
          <w:szCs w:val="22"/>
        </w:rPr>
        <w:t>en su calidad de proveedores, contratistas o prestadores de servicios, y la firma y rúbrica de estos</w:t>
      </w:r>
      <w:r w:rsidRPr="00C106BE">
        <w:rPr>
          <w:rFonts w:ascii="Palatino Linotype" w:eastAsia="Palatino Linotype" w:hAnsi="Palatino Linotype" w:cs="Palatino Linotype"/>
          <w:sz w:val="22"/>
          <w:szCs w:val="22"/>
        </w:rPr>
        <w:t xml:space="preserve">, que participen en algún  proceso de adjudicación en cualquiera de sus </w:t>
      </w:r>
      <w:r w:rsidRPr="00C106BE">
        <w:rPr>
          <w:rFonts w:ascii="Palatino Linotype" w:eastAsia="Palatino Linotype" w:hAnsi="Palatino Linotype" w:cs="Palatino Linotype"/>
          <w:sz w:val="22"/>
          <w:szCs w:val="22"/>
        </w:rPr>
        <w:lastRenderedPageBreak/>
        <w:t>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143CDBD" w14:textId="77777777" w:rsidR="00E80A74" w:rsidRPr="00C106BE" w:rsidRDefault="00E80A7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1138A2A8" w14:textId="77777777" w:rsidR="00E80A74" w:rsidRPr="00C106BE" w:rsidRDefault="005878FD">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7F370719" w14:textId="77777777" w:rsidR="0062081F" w:rsidRPr="00C106BE" w:rsidRDefault="0062081F">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p>
    <w:p w14:paraId="498A4687"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Artículo 23.</w:t>
      </w:r>
      <w:r w:rsidRPr="00C106BE">
        <w:rPr>
          <w:rFonts w:ascii="Palatino Linotype" w:eastAsia="Palatino Linotype" w:hAnsi="Palatino Linotype" w:cs="Palatino Linotype"/>
          <w:i/>
          <w:sz w:val="22"/>
          <w:szCs w:val="22"/>
        </w:rPr>
        <w:t xml:space="preserve"> (…)</w:t>
      </w:r>
    </w:p>
    <w:p w14:paraId="58C08F65"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E49F42C" w14:textId="77777777" w:rsidR="00E80A74" w:rsidRPr="00C106BE" w:rsidRDefault="00E80A74">
      <w:pPr>
        <w:pBdr>
          <w:top w:val="nil"/>
          <w:left w:val="nil"/>
          <w:bottom w:val="nil"/>
          <w:right w:val="nil"/>
          <w:between w:val="nil"/>
        </w:pBdr>
        <w:spacing w:line="360" w:lineRule="auto"/>
        <w:ind w:left="851" w:right="902"/>
        <w:jc w:val="both"/>
        <w:rPr>
          <w:rFonts w:ascii="Palatino Linotype" w:eastAsia="Palatino Linotype" w:hAnsi="Palatino Linotype" w:cs="Palatino Linotype"/>
          <w:sz w:val="22"/>
          <w:szCs w:val="22"/>
        </w:rPr>
      </w:pPr>
    </w:p>
    <w:p w14:paraId="26293E10" w14:textId="77777777" w:rsidR="00E80A74" w:rsidRPr="00C106BE" w:rsidRDefault="005878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6B0DC73A" w14:textId="77777777" w:rsidR="0062081F" w:rsidRPr="00C106BE" w:rsidRDefault="0062081F"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5A5495D4"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“Datos de identificación del representante o apoderado legal.</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 xml:space="preserve">Naturaleza jurídica. El nombre, la </w:t>
      </w:r>
      <w:r w:rsidRPr="00C106BE">
        <w:rPr>
          <w:rFonts w:ascii="Palatino Linotype" w:eastAsia="Palatino Linotype" w:hAnsi="Palatino Linotype" w:cs="Palatino Linotype"/>
          <w:b/>
          <w:i/>
          <w:sz w:val="22"/>
          <w:szCs w:val="22"/>
          <w:u w:val="single"/>
        </w:rPr>
        <w:t>firma y la rúbrica</w:t>
      </w:r>
      <w:r w:rsidRPr="00C106BE">
        <w:rPr>
          <w:rFonts w:ascii="Palatino Linotype" w:eastAsia="Palatino Linotype" w:hAnsi="Palatino Linotype" w:cs="Palatino Linotype"/>
          <w:i/>
          <w:sz w:val="22"/>
          <w:szCs w:val="22"/>
        </w:rPr>
        <w:t xml:space="preserve"> de una persona física, que actúe como representante o apoderado legal de un tercero que haya celebrado un acto jurídico, con algún sujeto obligado, </w:t>
      </w:r>
      <w:r w:rsidRPr="00C106BE">
        <w:rPr>
          <w:rFonts w:ascii="Palatino Linotype" w:eastAsia="Palatino Linotype" w:hAnsi="Palatino Linotype" w:cs="Palatino Linotype"/>
          <w:b/>
          <w:i/>
          <w:sz w:val="22"/>
          <w:szCs w:val="22"/>
          <w:u w:val="single"/>
        </w:rPr>
        <w:t>es información pública</w:t>
      </w:r>
      <w:r w:rsidRPr="00C106BE">
        <w:rPr>
          <w:rFonts w:ascii="Palatino Linotype" w:eastAsia="Palatino Linotype" w:hAnsi="Palatino Linotype" w:cs="Palatino Linotype"/>
          <w:b/>
          <w:i/>
          <w:sz w:val="22"/>
          <w:szCs w:val="22"/>
        </w:rPr>
        <w:t>, en razón de que tales datos fueron proporcionados con el objeto de expresar el consentimiento obligacional del tercero y otorgar validez a dicho instrumento jurídico</w:t>
      </w:r>
      <w:r w:rsidRPr="00C106BE">
        <w:rPr>
          <w:rFonts w:ascii="Palatino Linotype" w:eastAsia="Palatino Linotype" w:hAnsi="Palatino Linotype" w:cs="Palatino Linotype"/>
          <w:i/>
          <w:sz w:val="22"/>
          <w:szCs w:val="22"/>
        </w:rPr>
        <w:t>.”</w:t>
      </w:r>
    </w:p>
    <w:p w14:paraId="7A04BD9B"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22EACA1D" w14:textId="77777777" w:rsidR="00E80A74" w:rsidRPr="00C106BE" w:rsidRDefault="005878FD">
      <w:pPr>
        <w:spacing w:line="360" w:lineRule="auto"/>
        <w:ind w:right="5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Sobre el </w:t>
      </w:r>
      <w:r w:rsidRPr="00C106BE">
        <w:rPr>
          <w:rFonts w:ascii="Palatino Linotype" w:eastAsia="Palatino Linotype" w:hAnsi="Palatino Linotype" w:cs="Palatino Linotype"/>
          <w:b/>
          <w:sz w:val="22"/>
          <w:szCs w:val="22"/>
        </w:rPr>
        <w:t>RFC</w:t>
      </w:r>
      <w:r w:rsidRPr="00C106BE">
        <w:rPr>
          <w:rFonts w:ascii="Palatino Linotype" w:eastAsia="Palatino Linotype" w:hAnsi="Palatino Linotype" w:cs="Palatino Linotype"/>
          <w:sz w:val="22"/>
          <w:szCs w:val="22"/>
        </w:rPr>
        <w:t xml:space="preserve">, dada la naturaleza de la información que se ordena, es importante resaltar que, si bien este Instituto ha sostenido que el RFC y domicilio de las personas físicas debe </w:t>
      </w:r>
      <w:r w:rsidRPr="00C106BE">
        <w:rPr>
          <w:rFonts w:ascii="Palatino Linotype" w:eastAsia="Palatino Linotype" w:hAnsi="Palatino Linotype" w:cs="Palatino Linotype"/>
          <w:sz w:val="22"/>
          <w:szCs w:val="22"/>
        </w:rPr>
        <w:lastRenderedPageBreak/>
        <w:t>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2458761B" w14:textId="77777777" w:rsidR="00E80A74" w:rsidRPr="00C106BE" w:rsidRDefault="00E80A74">
      <w:pPr>
        <w:spacing w:line="360" w:lineRule="auto"/>
        <w:ind w:right="50"/>
        <w:jc w:val="both"/>
        <w:rPr>
          <w:rFonts w:ascii="Palatino Linotype" w:eastAsia="Palatino Linotype" w:hAnsi="Palatino Linotype" w:cs="Palatino Linotype"/>
          <w:sz w:val="22"/>
          <w:szCs w:val="22"/>
        </w:rPr>
      </w:pPr>
    </w:p>
    <w:p w14:paraId="70B7ACCB" w14:textId="77777777" w:rsidR="00E80A74" w:rsidRPr="00C106BE" w:rsidRDefault="005878FD">
      <w:pPr>
        <w:spacing w:line="360" w:lineRule="auto"/>
        <w:ind w:right="5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16CD06C" w14:textId="77777777" w:rsidR="00E80A74" w:rsidRPr="00C106BE" w:rsidRDefault="00E80A74">
      <w:pPr>
        <w:spacing w:line="360" w:lineRule="auto"/>
        <w:ind w:right="50"/>
        <w:jc w:val="both"/>
        <w:rPr>
          <w:rFonts w:ascii="Palatino Linotype" w:eastAsia="Palatino Linotype" w:hAnsi="Palatino Linotype" w:cs="Palatino Linotype"/>
          <w:sz w:val="22"/>
          <w:szCs w:val="22"/>
        </w:rPr>
      </w:pPr>
    </w:p>
    <w:p w14:paraId="56848FA2" w14:textId="77777777" w:rsidR="00E80A74" w:rsidRPr="00C106BE" w:rsidRDefault="005878FD">
      <w:pPr>
        <w:spacing w:line="360" w:lineRule="auto"/>
        <w:ind w:right="5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36870FDF"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7678A591"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0D74976D" w14:textId="77777777" w:rsidR="00E80A74" w:rsidRPr="00C106BE" w:rsidRDefault="00E80A74">
      <w:pPr>
        <w:spacing w:line="360" w:lineRule="auto"/>
        <w:ind w:right="50"/>
        <w:jc w:val="both"/>
        <w:rPr>
          <w:rFonts w:ascii="Palatino Linotype" w:eastAsia="Palatino Linotype" w:hAnsi="Palatino Linotype" w:cs="Palatino Linotype"/>
          <w:sz w:val="22"/>
          <w:szCs w:val="22"/>
        </w:rPr>
      </w:pPr>
    </w:p>
    <w:p w14:paraId="4CE1EBDE" w14:textId="77777777" w:rsidR="00E80A74" w:rsidRPr="00C106BE" w:rsidRDefault="005878FD">
      <w:pPr>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w:t>
      </w:r>
      <w:r w:rsidRPr="00C106BE">
        <w:rPr>
          <w:rFonts w:ascii="Palatino Linotype" w:eastAsia="Palatino Linotype" w:hAnsi="Palatino Linotype" w:cs="Palatino Linotype"/>
          <w:sz w:val="22"/>
          <w:szCs w:val="22"/>
        </w:rPr>
        <w:lastRenderedPageBreak/>
        <w:t xml:space="preserve">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2227121" w14:textId="77777777" w:rsidR="00E80A74" w:rsidRPr="00C106BE" w:rsidRDefault="00E80A74">
      <w:pPr>
        <w:spacing w:line="360" w:lineRule="auto"/>
        <w:ind w:right="51"/>
        <w:jc w:val="both"/>
        <w:rPr>
          <w:rFonts w:ascii="Palatino Linotype" w:eastAsia="Palatino Linotype" w:hAnsi="Palatino Linotype" w:cs="Palatino Linotype"/>
          <w:sz w:val="22"/>
          <w:szCs w:val="22"/>
        </w:rPr>
      </w:pPr>
    </w:p>
    <w:p w14:paraId="4E5AAB6C" w14:textId="77777777" w:rsidR="00E80A74" w:rsidRPr="00C106BE" w:rsidRDefault="005878FD">
      <w:pPr>
        <w:spacing w:line="360" w:lineRule="auto"/>
        <w:ind w:right="5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Lo anterior encuentra sustento en el criterio orientador 10/17 emitido por el entonces Instituto Nacional de Transparencia y Acceso a la Información Pública del Estado de México y Municipios, que a la letra dicen:</w:t>
      </w:r>
    </w:p>
    <w:p w14:paraId="0AA0EF50" w14:textId="77777777" w:rsidR="0062081F" w:rsidRPr="00C106BE" w:rsidRDefault="0062081F">
      <w:pPr>
        <w:spacing w:line="276" w:lineRule="auto"/>
        <w:ind w:left="851" w:right="1134"/>
        <w:jc w:val="both"/>
        <w:rPr>
          <w:rFonts w:ascii="Palatino Linotype" w:eastAsia="Palatino Linotype" w:hAnsi="Palatino Linotype" w:cs="Palatino Linotype"/>
          <w:b/>
          <w:i/>
          <w:sz w:val="22"/>
          <w:szCs w:val="22"/>
        </w:rPr>
      </w:pPr>
    </w:p>
    <w:p w14:paraId="4CBAA596"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“Cuentas bancarias y/o CLABE interbancaria de personas físicas y morales privadas.</w:t>
      </w:r>
      <w:r w:rsidRPr="00C106BE">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F6F3CDE" w14:textId="77777777" w:rsidR="00E80A74" w:rsidRPr="00C106BE" w:rsidRDefault="00E80A74">
      <w:pPr>
        <w:ind w:left="851" w:right="899"/>
        <w:jc w:val="both"/>
        <w:rPr>
          <w:rFonts w:ascii="Palatino Linotype" w:eastAsia="Palatino Linotype" w:hAnsi="Palatino Linotype" w:cs="Palatino Linotype"/>
          <w:sz w:val="22"/>
          <w:szCs w:val="22"/>
        </w:rPr>
      </w:pPr>
    </w:p>
    <w:p w14:paraId="597ECE2A" w14:textId="77777777" w:rsidR="00E80A74" w:rsidRPr="00C106BE" w:rsidRDefault="005878FD">
      <w:pPr>
        <w:spacing w:line="360" w:lineRule="auto"/>
        <w:ind w:right="5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orientador 11/17, emitido por el entonces Instituto Nacional de Transparencia y Acceso a la Información Pública del Estado de México y Municipios, el cual para mayor referencia se inserta a continuación:</w:t>
      </w:r>
    </w:p>
    <w:p w14:paraId="70B7FFF7" w14:textId="77777777" w:rsidR="00E80A74" w:rsidRPr="00C106BE" w:rsidRDefault="00E80A74">
      <w:pPr>
        <w:spacing w:line="360" w:lineRule="auto"/>
        <w:ind w:right="50"/>
        <w:jc w:val="both"/>
        <w:rPr>
          <w:rFonts w:ascii="Palatino Linotype" w:eastAsia="Palatino Linotype" w:hAnsi="Palatino Linotype" w:cs="Palatino Linotype"/>
          <w:sz w:val="22"/>
          <w:szCs w:val="22"/>
        </w:rPr>
      </w:pPr>
    </w:p>
    <w:p w14:paraId="5DE39759" w14:textId="77777777" w:rsidR="00E80A74" w:rsidRPr="00C106BE" w:rsidRDefault="005878FD" w:rsidP="0062081F">
      <w:pP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C106BE">
        <w:rPr>
          <w:rFonts w:ascii="Palatino Linotype" w:eastAsia="Palatino Linotype" w:hAnsi="Palatino Linotype" w:cs="Palatino Linotype"/>
          <w:i/>
          <w:sz w:val="22"/>
          <w:szCs w:val="22"/>
        </w:rPr>
        <w:t xml:space="preserve"> La difusión de las cuentas bancarias y claves interbancarias pertenecientes a un sujeto </w:t>
      </w:r>
      <w:r w:rsidRPr="00C106BE">
        <w:rPr>
          <w:rFonts w:ascii="Palatino Linotype" w:eastAsia="Palatino Linotype" w:hAnsi="Palatino Linotype" w:cs="Palatino Linotype"/>
          <w:i/>
          <w:sz w:val="22"/>
          <w:szCs w:val="22"/>
        </w:rPr>
        <w:lastRenderedPageBreak/>
        <w:t>obligado favorece la rendición de cuentas al transparentar la forma en que se administran los recursos públicos, razón por la cual no pueden considerarse como información clasificada. “</w:t>
      </w:r>
    </w:p>
    <w:p w14:paraId="7F320B78" w14:textId="77777777" w:rsidR="00E80A74" w:rsidRPr="00C106BE" w:rsidRDefault="00E80A74">
      <w:pPr>
        <w:spacing w:line="360" w:lineRule="auto"/>
        <w:ind w:left="851" w:right="1134"/>
        <w:jc w:val="both"/>
        <w:rPr>
          <w:rFonts w:ascii="Palatino Linotype" w:eastAsia="Palatino Linotype" w:hAnsi="Palatino Linotype" w:cs="Palatino Linotype"/>
          <w:sz w:val="22"/>
          <w:szCs w:val="22"/>
        </w:rPr>
      </w:pPr>
    </w:p>
    <w:p w14:paraId="3DEEE824"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Al respecto, se destaca que la versión pública que elabore el</w:t>
      </w:r>
      <w:r w:rsidRPr="00C106BE">
        <w:rPr>
          <w:rFonts w:ascii="Palatino Linotype" w:eastAsia="Palatino Linotype" w:hAnsi="Palatino Linotype" w:cs="Palatino Linotype"/>
          <w:b/>
          <w:sz w:val="22"/>
          <w:szCs w:val="22"/>
        </w:rPr>
        <w:t xml:space="preserve"> Sujeto Obligado</w:t>
      </w:r>
      <w:r w:rsidRPr="00C106BE">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C106BE">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C106BE">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14C7623" w14:textId="77777777" w:rsidR="00E80A74" w:rsidRPr="00C106BE" w:rsidRDefault="00E80A74">
      <w:pPr>
        <w:ind w:left="709" w:right="709"/>
        <w:jc w:val="both"/>
        <w:rPr>
          <w:rFonts w:ascii="Palatino Linotype" w:eastAsia="Palatino Linotype" w:hAnsi="Palatino Linotype" w:cs="Palatino Linotype"/>
          <w:b/>
          <w:i/>
          <w:sz w:val="22"/>
          <w:szCs w:val="22"/>
        </w:rPr>
      </w:pPr>
    </w:p>
    <w:p w14:paraId="3D5CD403"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D3E52E1"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w:t>
      </w:r>
      <w:r w:rsidRPr="00C106BE">
        <w:rPr>
          <w:rFonts w:ascii="Palatino Linotype" w:eastAsia="Palatino Linotype" w:hAnsi="Palatino Linotype" w:cs="Palatino Linotype"/>
          <w:b/>
          <w:i/>
          <w:sz w:val="22"/>
          <w:szCs w:val="22"/>
        </w:rPr>
        <w:t>Segundo.-</w:t>
      </w:r>
      <w:r w:rsidRPr="00C106BE">
        <w:rPr>
          <w:rFonts w:ascii="Palatino Linotype" w:eastAsia="Palatino Linotype" w:hAnsi="Palatino Linotype" w:cs="Palatino Linotype"/>
          <w:i/>
          <w:sz w:val="22"/>
          <w:szCs w:val="22"/>
        </w:rPr>
        <w:t xml:space="preserve"> Para efectos de los presentes Lineamientos Generales, se entenderá por:</w:t>
      </w:r>
    </w:p>
    <w:p w14:paraId="4AFE48C5"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XVIII.</w:t>
      </w:r>
      <w:r w:rsidRPr="00C106BE">
        <w:rPr>
          <w:rFonts w:ascii="Palatino Linotype" w:eastAsia="Palatino Linotype" w:hAnsi="Palatino Linotype" w:cs="Palatino Linotype"/>
          <w:i/>
          <w:sz w:val="22"/>
          <w:szCs w:val="22"/>
        </w:rPr>
        <w:t xml:space="preserve"> </w:t>
      </w:r>
      <w:r w:rsidRPr="00C106BE">
        <w:rPr>
          <w:rFonts w:ascii="Palatino Linotype" w:eastAsia="Palatino Linotype" w:hAnsi="Palatino Linotype" w:cs="Palatino Linotype"/>
          <w:b/>
          <w:i/>
          <w:sz w:val="22"/>
          <w:szCs w:val="22"/>
        </w:rPr>
        <w:t>Versión pública:</w:t>
      </w:r>
      <w:r w:rsidRPr="00C106B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106BE">
        <w:rPr>
          <w:rFonts w:ascii="Palatino Linotype" w:eastAsia="Palatino Linotype" w:hAnsi="Palatino Linotype" w:cs="Palatino Linotype"/>
          <w:b/>
          <w:i/>
          <w:sz w:val="22"/>
          <w:szCs w:val="22"/>
          <w:u w:val="single"/>
        </w:rPr>
        <w:t>fundando y motivando la</w:t>
      </w:r>
      <w:r w:rsidRPr="00C106BE">
        <w:rPr>
          <w:rFonts w:ascii="Palatino Linotype" w:eastAsia="Palatino Linotype" w:hAnsi="Palatino Linotype" w:cs="Palatino Linotype"/>
          <w:i/>
          <w:sz w:val="22"/>
          <w:szCs w:val="22"/>
        </w:rPr>
        <w:t xml:space="preserve"> reserva o </w:t>
      </w:r>
      <w:r w:rsidRPr="00C106BE">
        <w:rPr>
          <w:rFonts w:ascii="Palatino Linotype" w:eastAsia="Palatino Linotype" w:hAnsi="Palatino Linotype" w:cs="Palatino Linotype"/>
          <w:b/>
          <w:i/>
          <w:sz w:val="22"/>
          <w:szCs w:val="22"/>
          <w:u w:val="single"/>
        </w:rPr>
        <w:t>confidencialidad</w:t>
      </w:r>
      <w:r w:rsidRPr="00C106BE">
        <w:rPr>
          <w:rFonts w:ascii="Palatino Linotype" w:eastAsia="Palatino Linotype" w:hAnsi="Palatino Linotype" w:cs="Palatino Linotype"/>
          <w:i/>
          <w:sz w:val="22"/>
          <w:szCs w:val="22"/>
        </w:rPr>
        <w:t>, a través de la resolución que para tal efecto emita el Comité de Transparencia.</w:t>
      </w:r>
    </w:p>
    <w:p w14:paraId="183A8EE7"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Cuarto.</w:t>
      </w:r>
      <w:r w:rsidRPr="00C106B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88E586"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14:paraId="33DA0299"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Quinto.</w:t>
      </w:r>
      <w:r w:rsidRPr="00C106B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A274E8"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w:t>
      </w:r>
    </w:p>
    <w:p w14:paraId="6C6BD380"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Séptimo.</w:t>
      </w:r>
      <w:r w:rsidRPr="00C106BE">
        <w:rPr>
          <w:rFonts w:ascii="Palatino Linotype" w:eastAsia="Palatino Linotype" w:hAnsi="Palatino Linotype" w:cs="Palatino Linotype"/>
          <w:i/>
          <w:sz w:val="22"/>
          <w:szCs w:val="22"/>
        </w:rPr>
        <w:t xml:space="preserve"> La clasificación de la información se llevará a cabo en el momento en que:</w:t>
      </w:r>
    </w:p>
    <w:p w14:paraId="7F9DD2ED"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I.</w:t>
      </w:r>
      <w:r w:rsidRPr="00C106BE">
        <w:rPr>
          <w:rFonts w:ascii="Palatino Linotype" w:eastAsia="Palatino Linotype" w:hAnsi="Palatino Linotype" w:cs="Palatino Linotype"/>
          <w:i/>
          <w:sz w:val="22"/>
          <w:szCs w:val="22"/>
        </w:rPr>
        <w:t xml:space="preserve"> Se reciba una solicitud de acceso a la información;</w:t>
      </w:r>
    </w:p>
    <w:p w14:paraId="64B1D0FF"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II.</w:t>
      </w:r>
      <w:r w:rsidRPr="00C106BE">
        <w:rPr>
          <w:rFonts w:ascii="Palatino Linotype" w:eastAsia="Palatino Linotype" w:hAnsi="Palatino Linotype" w:cs="Palatino Linotype"/>
          <w:i/>
          <w:sz w:val="22"/>
          <w:szCs w:val="22"/>
        </w:rPr>
        <w:t xml:space="preserve"> Se  determine mediante resolución del Comité de Transparencia, el órgano garante </w:t>
      </w:r>
    </w:p>
    <w:p w14:paraId="14ABAD11"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competente, o en cumplimiento a una sentencia del Poder Judicial; o</w:t>
      </w:r>
    </w:p>
    <w:p w14:paraId="191B2445"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III.</w:t>
      </w:r>
      <w:r w:rsidRPr="00C106B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14B1C4B"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989500B"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Octavo.</w:t>
      </w:r>
      <w:r w:rsidRPr="00C106B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D0BE4B"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A21064F"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FFBCDFA"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Noveno.</w:t>
      </w:r>
      <w:r w:rsidRPr="00C106B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C106BE">
        <w:rPr>
          <w:rFonts w:ascii="Palatino Linotype" w:eastAsia="Palatino Linotype" w:hAnsi="Palatino Linotype" w:cs="Palatino Linotype"/>
          <w:i/>
          <w:sz w:val="22"/>
          <w:szCs w:val="22"/>
        </w:rPr>
        <w:lastRenderedPageBreak/>
        <w:t>siguiendo los procedimientos establecidos en el Capítulo IX de los presentes lineamientos.</w:t>
      </w:r>
    </w:p>
    <w:p w14:paraId="7A19E262"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Décimo.</w:t>
      </w:r>
      <w:r w:rsidRPr="00C106B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E0EBF77"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6D4076E"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Décimo primero.</w:t>
      </w:r>
      <w:r w:rsidRPr="00C106B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F2DE094" w14:textId="77777777" w:rsidR="00E80A74" w:rsidRPr="00C106BE" w:rsidRDefault="00E80A74"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0E0D4A89"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w:t>
      </w:r>
    </w:p>
    <w:p w14:paraId="2EF12929" w14:textId="77777777" w:rsidR="00E80A74" w:rsidRPr="00C106BE" w:rsidRDefault="005878FD" w:rsidP="0062081F">
      <w:pPr>
        <w:pBdr>
          <w:top w:val="nil"/>
          <w:left w:val="nil"/>
          <w:bottom w:val="nil"/>
          <w:right w:val="nil"/>
          <w:between w:val="nil"/>
        </w:pBdr>
        <w:spacing w:line="276" w:lineRule="auto"/>
        <w:ind w:left="851" w:right="616"/>
        <w:jc w:val="center"/>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CAPÍTULO VIII</w:t>
      </w:r>
    </w:p>
    <w:p w14:paraId="74C4D6FE" w14:textId="77777777" w:rsidR="00E80A74" w:rsidRPr="00C106BE" w:rsidRDefault="005878FD" w:rsidP="0062081F">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C106BE">
        <w:rPr>
          <w:rFonts w:ascii="Palatino Linotype" w:eastAsia="Palatino Linotype" w:hAnsi="Palatino Linotype" w:cs="Palatino Linotype"/>
          <w:b/>
          <w:i/>
          <w:sz w:val="22"/>
          <w:szCs w:val="22"/>
        </w:rPr>
        <w:t>DE LOS ELEMENTOS PARA LA CLASIFICACIÓN</w:t>
      </w:r>
    </w:p>
    <w:p w14:paraId="3E78CAF4"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Quincuagésimo</w:t>
      </w:r>
      <w:r w:rsidRPr="00C106B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B0ED612"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Quincuagésimo primero</w:t>
      </w:r>
      <w:r w:rsidRPr="00C106BE">
        <w:rPr>
          <w:rFonts w:ascii="Palatino Linotype" w:eastAsia="Palatino Linotype" w:hAnsi="Palatino Linotype" w:cs="Palatino Linotype"/>
          <w:i/>
          <w:sz w:val="22"/>
          <w:szCs w:val="22"/>
        </w:rPr>
        <w:t>. Toda acta del Comité de Transparencia deberá contener:</w:t>
      </w:r>
    </w:p>
    <w:p w14:paraId="43374BCD"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I. El número de sesión y fecha; </w:t>
      </w:r>
    </w:p>
    <w:p w14:paraId="3B63DA74"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 El nombre del área que solicitó la clasificación de información;</w:t>
      </w:r>
    </w:p>
    <w:p w14:paraId="00C06BF6"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III. La fundamentación legal y motivación correspondiente;</w:t>
      </w:r>
    </w:p>
    <w:p w14:paraId="70FA6B58"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IV. La resolución o resoluciones aprobadas; y</w:t>
      </w:r>
    </w:p>
    <w:p w14:paraId="51F50AE7"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V. La rúbrica o firma digital de cada integrante del Comité de Transparencia. </w:t>
      </w:r>
    </w:p>
    <w:p w14:paraId="40B00F91"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3D520ABD"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 Los motivos y razonamientos que sustenten la confirmación o modificación de la prueba de daño;</w:t>
      </w:r>
    </w:p>
    <w:p w14:paraId="0F72BF11"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 Descripción de las partes o secciones reservadas, en caso de clasificación parcial;</w:t>
      </w:r>
    </w:p>
    <w:p w14:paraId="4018B0D0"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III. El periodo por el que mantendrá su clasificación y fecha de expiración; y</w:t>
      </w:r>
    </w:p>
    <w:p w14:paraId="0E43F9E7"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lastRenderedPageBreak/>
        <w:t>IV. El nombre del titular y área encargada de realizar la versión pública del documento, en su caso.</w:t>
      </w:r>
    </w:p>
    <w:p w14:paraId="60D6BA54"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8B71730"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3014AC8"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b/>
          <w:i/>
          <w:sz w:val="22"/>
          <w:szCs w:val="22"/>
        </w:rPr>
        <w:t>Quincuagésimo segundo</w:t>
      </w:r>
      <w:r w:rsidRPr="00C106B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39E92EE"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657777BF"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339B893"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86A9F3E"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III. Señalar las personas o instancias autorizadas a acceder a la información clasificada.</w:t>
      </w:r>
    </w:p>
    <w:p w14:paraId="3D6BDE12"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E333C7E"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i/>
          <w:sz w:val="22"/>
          <w:szCs w:val="22"/>
        </w:rPr>
        <w:t>…</w:t>
      </w:r>
    </w:p>
    <w:p w14:paraId="3EA49374"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AB98F59" w14:textId="77777777" w:rsidR="00E80A74" w:rsidRPr="00C106BE" w:rsidRDefault="005878FD" w:rsidP="0062081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C106BE">
        <w:rPr>
          <w:rFonts w:ascii="Palatino Linotype" w:eastAsia="Palatino Linotype" w:hAnsi="Palatino Linotype" w:cs="Palatino Linotype"/>
          <w:i/>
          <w:sz w:val="22"/>
          <w:szCs w:val="22"/>
        </w:rPr>
        <w:t>testado</w:t>
      </w:r>
      <w:proofErr w:type="spellEnd"/>
      <w:r w:rsidRPr="00C106BE">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C106BE">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w:t>
      </w:r>
    </w:p>
    <w:p w14:paraId="4BBD2ABD" w14:textId="77777777" w:rsidR="00E80A74" w:rsidRPr="00C106BE" w:rsidRDefault="00E80A74">
      <w:pPr>
        <w:jc w:val="both"/>
        <w:rPr>
          <w:rFonts w:ascii="Palatino Linotype" w:eastAsia="Palatino Linotype" w:hAnsi="Palatino Linotype" w:cs="Palatino Linotype"/>
          <w:sz w:val="22"/>
          <w:szCs w:val="22"/>
        </w:rPr>
      </w:pPr>
    </w:p>
    <w:p w14:paraId="331D7398"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0BE86D62"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6EB8EFF0" w14:textId="77777777" w:rsidR="00E80A74" w:rsidRPr="00C106BE" w:rsidRDefault="005878FD">
      <w:pPr>
        <w:shd w:val="clear" w:color="auto" w:fill="FFFFFF"/>
        <w:spacing w:line="360" w:lineRule="auto"/>
        <w:ind w:right="51"/>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w:t>
      </w:r>
    </w:p>
    <w:p w14:paraId="47D9B1E3" w14:textId="77777777" w:rsidR="00E80A74" w:rsidRPr="00C106BE" w:rsidRDefault="00E80A74">
      <w:pPr>
        <w:spacing w:line="360" w:lineRule="auto"/>
        <w:jc w:val="both"/>
        <w:rPr>
          <w:rFonts w:ascii="Palatino Linotype" w:eastAsia="Palatino Linotype" w:hAnsi="Palatino Linotype" w:cs="Palatino Linotype"/>
          <w:sz w:val="22"/>
          <w:szCs w:val="22"/>
        </w:rPr>
      </w:pPr>
    </w:p>
    <w:p w14:paraId="058A3A4B" w14:textId="77777777" w:rsidR="00E80A74" w:rsidRPr="00C106BE" w:rsidRDefault="005878FD">
      <w:pPr>
        <w:spacing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Así, con fundamento en lo prescrito en los artículos 5 </w:t>
      </w:r>
      <w:r w:rsidRPr="00C106BE">
        <w:rPr>
          <w:rFonts w:ascii="Palatino Linotype" w:eastAsia="Palatino Linotype" w:hAnsi="Palatino Linotype" w:cs="Palatino Linotype"/>
          <w:color w:val="000000"/>
          <w:sz w:val="22"/>
          <w:szCs w:val="22"/>
        </w:rPr>
        <w:t xml:space="preserve">párrafos trigésimo séptimo, trigésimo octavo y trigésimo noveno, </w:t>
      </w:r>
      <w:r w:rsidRPr="00C106BE">
        <w:rPr>
          <w:rFonts w:ascii="Palatino Linotype" w:eastAsia="Palatino Linotype" w:hAnsi="Palatino Linotype" w:cs="Palatino Linotype"/>
          <w:sz w:val="22"/>
          <w:szCs w:val="22"/>
        </w:rPr>
        <w:t>fracciones IV y V de la Constitución Política del Estado Libre y Soberano de México; 2, fracción II; 29, 36 fracciones I y II; 176, 178, 181, 185 de la Ley de Transparencia y Acceso a la Información Pública del Estado de México y Municipios, este Pleno:</w:t>
      </w:r>
    </w:p>
    <w:p w14:paraId="22EB0725" w14:textId="77777777" w:rsidR="00E80A74" w:rsidRPr="00C106BE" w:rsidRDefault="005878FD">
      <w:pPr>
        <w:numPr>
          <w:ilvl w:val="0"/>
          <w:numId w:val="5"/>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sz w:val="22"/>
          <w:szCs w:val="22"/>
        </w:rPr>
      </w:pPr>
      <w:r w:rsidRPr="00C106BE">
        <w:rPr>
          <w:rFonts w:ascii="Palatino Linotype" w:eastAsia="Palatino Linotype" w:hAnsi="Palatino Linotype" w:cs="Palatino Linotype"/>
          <w:b/>
          <w:sz w:val="22"/>
          <w:szCs w:val="22"/>
        </w:rPr>
        <w:t>R E S U E L V E:</w:t>
      </w:r>
    </w:p>
    <w:p w14:paraId="2D7DDD40" w14:textId="77777777" w:rsidR="00E80A74" w:rsidRPr="00C106BE" w:rsidRDefault="005878FD">
      <w:pPr>
        <w:spacing w:before="240" w:after="24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 xml:space="preserve">Primero. </w:t>
      </w:r>
      <w:r w:rsidRPr="00C106BE">
        <w:rPr>
          <w:rFonts w:ascii="Palatino Linotype" w:eastAsia="Palatino Linotype" w:hAnsi="Palatino Linotype" w:cs="Palatino Linotype"/>
          <w:sz w:val="22"/>
          <w:szCs w:val="22"/>
        </w:rPr>
        <w:t xml:space="preserve">Resultan </w:t>
      </w:r>
      <w:r w:rsidRPr="00C106BE">
        <w:rPr>
          <w:rFonts w:ascii="Palatino Linotype" w:eastAsia="Palatino Linotype" w:hAnsi="Palatino Linotype" w:cs="Palatino Linotype"/>
          <w:b/>
          <w:sz w:val="22"/>
          <w:szCs w:val="22"/>
        </w:rPr>
        <w:t>parcialmente</w:t>
      </w:r>
      <w:r w:rsidRPr="00C106BE">
        <w:rPr>
          <w:rFonts w:ascii="Palatino Linotype" w:eastAsia="Palatino Linotype" w:hAnsi="Palatino Linotype" w:cs="Palatino Linotype"/>
          <w:sz w:val="22"/>
          <w:szCs w:val="22"/>
        </w:rPr>
        <w:t xml:space="preserve"> </w:t>
      </w:r>
      <w:r w:rsidRPr="00C106BE">
        <w:rPr>
          <w:rFonts w:ascii="Palatino Linotype" w:eastAsia="Palatino Linotype" w:hAnsi="Palatino Linotype" w:cs="Palatino Linotype"/>
          <w:b/>
          <w:sz w:val="22"/>
          <w:szCs w:val="22"/>
        </w:rPr>
        <w:t>fundadas</w:t>
      </w:r>
      <w:r w:rsidRPr="00C106BE">
        <w:rPr>
          <w:rFonts w:ascii="Palatino Linotype" w:eastAsia="Palatino Linotype" w:hAnsi="Palatino Linotype" w:cs="Palatino Linotype"/>
          <w:sz w:val="22"/>
          <w:szCs w:val="22"/>
        </w:rPr>
        <w:t xml:space="preserve"> las razones o motivos de inconformidad hechos valer por la parte</w:t>
      </w:r>
      <w:r w:rsidRPr="00C106BE">
        <w:rPr>
          <w:rFonts w:ascii="Palatino Linotype" w:eastAsia="Palatino Linotype" w:hAnsi="Palatino Linotype" w:cs="Palatino Linotype"/>
          <w:b/>
          <w:sz w:val="22"/>
          <w:szCs w:val="22"/>
        </w:rPr>
        <w:t xml:space="preserve"> Recurrente</w:t>
      </w:r>
      <w:r w:rsidRPr="00C106BE">
        <w:rPr>
          <w:rFonts w:ascii="Palatino Linotype" w:eastAsia="Palatino Linotype" w:hAnsi="Palatino Linotype" w:cs="Palatino Linotype"/>
          <w:sz w:val="22"/>
          <w:szCs w:val="22"/>
        </w:rPr>
        <w:t xml:space="preserve"> en el recurso de revisión </w:t>
      </w:r>
      <w:r w:rsidRPr="00C106BE">
        <w:rPr>
          <w:rFonts w:ascii="Palatino Linotype" w:eastAsia="Palatino Linotype" w:hAnsi="Palatino Linotype" w:cs="Palatino Linotype"/>
          <w:b/>
          <w:sz w:val="22"/>
          <w:szCs w:val="22"/>
        </w:rPr>
        <w:t>02024/INFOEM/IP/RR/2025</w:t>
      </w:r>
      <w:r w:rsidRPr="00C106BE">
        <w:rPr>
          <w:rFonts w:ascii="Palatino Linotype" w:eastAsia="Palatino Linotype" w:hAnsi="Palatino Linotype" w:cs="Palatino Linotype"/>
          <w:sz w:val="22"/>
          <w:szCs w:val="22"/>
        </w:rPr>
        <w:t xml:space="preserve">; por lo </w:t>
      </w:r>
      <w:r w:rsidRPr="00C106BE">
        <w:rPr>
          <w:rFonts w:ascii="Palatino Linotype" w:eastAsia="Palatino Linotype" w:hAnsi="Palatino Linotype" w:cs="Palatino Linotype"/>
          <w:sz w:val="22"/>
          <w:szCs w:val="22"/>
        </w:rPr>
        <w:lastRenderedPageBreak/>
        <w:t xml:space="preserve">que, en términos del </w:t>
      </w:r>
      <w:r w:rsidRPr="00C106BE">
        <w:rPr>
          <w:rFonts w:ascii="Palatino Linotype" w:eastAsia="Palatino Linotype" w:hAnsi="Palatino Linotype" w:cs="Palatino Linotype"/>
          <w:b/>
          <w:sz w:val="22"/>
          <w:szCs w:val="22"/>
        </w:rPr>
        <w:t>Considerando</w:t>
      </w:r>
      <w:r w:rsidRPr="00C106BE">
        <w:rPr>
          <w:rFonts w:ascii="Palatino Linotype" w:eastAsia="Palatino Linotype" w:hAnsi="Palatino Linotype" w:cs="Palatino Linotype"/>
          <w:sz w:val="22"/>
          <w:szCs w:val="22"/>
        </w:rPr>
        <w:t xml:space="preserve"> </w:t>
      </w:r>
      <w:r w:rsidRPr="00C106BE">
        <w:rPr>
          <w:rFonts w:ascii="Palatino Linotype" w:eastAsia="Palatino Linotype" w:hAnsi="Palatino Linotype" w:cs="Palatino Linotype"/>
          <w:b/>
          <w:sz w:val="22"/>
          <w:szCs w:val="22"/>
        </w:rPr>
        <w:t xml:space="preserve">Cuarto </w:t>
      </w:r>
      <w:r w:rsidRPr="00C106BE">
        <w:rPr>
          <w:rFonts w:ascii="Palatino Linotype" w:eastAsia="Palatino Linotype" w:hAnsi="Palatino Linotype" w:cs="Palatino Linotype"/>
          <w:sz w:val="22"/>
          <w:szCs w:val="22"/>
        </w:rPr>
        <w:t xml:space="preserve">de esta resolución, se </w:t>
      </w:r>
      <w:r w:rsidRPr="00C106BE">
        <w:rPr>
          <w:rFonts w:ascii="Palatino Linotype" w:eastAsia="Palatino Linotype" w:hAnsi="Palatino Linotype" w:cs="Palatino Linotype"/>
          <w:b/>
          <w:sz w:val="22"/>
          <w:szCs w:val="22"/>
        </w:rPr>
        <w:t xml:space="preserve">Modifica </w:t>
      </w:r>
      <w:r w:rsidRPr="00C106BE">
        <w:rPr>
          <w:rFonts w:ascii="Palatino Linotype" w:eastAsia="Palatino Linotype" w:hAnsi="Palatino Linotype" w:cs="Palatino Linotype"/>
          <w:sz w:val="22"/>
          <w:szCs w:val="22"/>
        </w:rPr>
        <w:t xml:space="preserve">la respuesta emitida por el </w:t>
      </w:r>
      <w:r w:rsidRPr="00C106BE">
        <w:rPr>
          <w:rFonts w:ascii="Palatino Linotype" w:eastAsia="Palatino Linotype" w:hAnsi="Palatino Linotype" w:cs="Palatino Linotype"/>
          <w:b/>
          <w:sz w:val="22"/>
          <w:szCs w:val="22"/>
        </w:rPr>
        <w:t>Sujeto Obligado.</w:t>
      </w:r>
    </w:p>
    <w:p w14:paraId="509DACAD" w14:textId="77777777" w:rsidR="00E80A74" w:rsidRPr="00C106BE" w:rsidRDefault="005878FD">
      <w:pPr>
        <w:spacing w:before="240" w:after="240" w:line="360" w:lineRule="auto"/>
        <w:ind w:right="49"/>
        <w:jc w:val="both"/>
        <w:rPr>
          <w:rFonts w:ascii="Palatino Linotype" w:eastAsia="Palatino Linotype" w:hAnsi="Palatino Linotype" w:cs="Palatino Linotype"/>
          <w:i/>
          <w:sz w:val="22"/>
          <w:szCs w:val="22"/>
        </w:rPr>
      </w:pPr>
      <w:bookmarkStart w:id="3" w:name="_heading=h.1fob9te" w:colFirst="0" w:colLast="0"/>
      <w:bookmarkEnd w:id="3"/>
      <w:r w:rsidRPr="00C106BE">
        <w:rPr>
          <w:rFonts w:ascii="Palatino Linotype" w:eastAsia="Palatino Linotype" w:hAnsi="Palatino Linotype" w:cs="Palatino Linotype"/>
          <w:b/>
          <w:sz w:val="22"/>
          <w:szCs w:val="22"/>
        </w:rPr>
        <w:t xml:space="preserve">Segundo. </w:t>
      </w:r>
      <w:r w:rsidRPr="00C106BE">
        <w:rPr>
          <w:rFonts w:ascii="Palatino Linotype" w:eastAsia="Palatino Linotype" w:hAnsi="Palatino Linotype" w:cs="Palatino Linotype"/>
          <w:sz w:val="22"/>
          <w:szCs w:val="22"/>
        </w:rPr>
        <w:t xml:space="preserve">Se </w:t>
      </w:r>
      <w:r w:rsidRPr="00C106BE">
        <w:rPr>
          <w:rFonts w:ascii="Palatino Linotype" w:eastAsia="Palatino Linotype" w:hAnsi="Palatino Linotype" w:cs="Palatino Linotype"/>
          <w:b/>
          <w:sz w:val="22"/>
          <w:szCs w:val="22"/>
        </w:rPr>
        <w:t xml:space="preserve">ordena </w:t>
      </w:r>
      <w:r w:rsidRPr="00C106BE">
        <w:rPr>
          <w:rFonts w:ascii="Palatino Linotype" w:eastAsia="Palatino Linotype" w:hAnsi="Palatino Linotype" w:cs="Palatino Linotype"/>
          <w:sz w:val="22"/>
          <w:szCs w:val="22"/>
        </w:rPr>
        <w:t xml:space="preserve">al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xml:space="preserve"> entregue, a</w:t>
      </w:r>
      <w:r w:rsidRPr="00C106BE">
        <w:rPr>
          <w:rFonts w:ascii="Palatino Linotype" w:eastAsia="Palatino Linotype" w:hAnsi="Palatino Linotype" w:cs="Palatino Linotype"/>
          <w:b/>
          <w:sz w:val="22"/>
          <w:szCs w:val="22"/>
        </w:rPr>
        <w:t xml:space="preserve"> </w:t>
      </w:r>
      <w:r w:rsidRPr="00C106BE">
        <w:rPr>
          <w:rFonts w:ascii="Palatino Linotype" w:eastAsia="Palatino Linotype" w:hAnsi="Palatino Linotype" w:cs="Palatino Linotype"/>
          <w:sz w:val="22"/>
          <w:szCs w:val="22"/>
        </w:rPr>
        <w:t xml:space="preserve">la parte </w:t>
      </w:r>
      <w:r w:rsidRPr="00C106BE">
        <w:rPr>
          <w:rFonts w:ascii="Palatino Linotype" w:eastAsia="Palatino Linotype" w:hAnsi="Palatino Linotype" w:cs="Palatino Linotype"/>
          <w:b/>
          <w:sz w:val="22"/>
          <w:szCs w:val="22"/>
        </w:rPr>
        <w:t>Recurrente</w:t>
      </w:r>
      <w:r w:rsidRPr="00C106BE">
        <w:rPr>
          <w:rFonts w:ascii="Palatino Linotype" w:eastAsia="Palatino Linotype" w:hAnsi="Palatino Linotype" w:cs="Palatino Linotype"/>
          <w:sz w:val="22"/>
          <w:szCs w:val="22"/>
        </w:rPr>
        <w:t xml:space="preserve">, </w:t>
      </w:r>
      <w:r w:rsidRPr="00C106BE">
        <w:rPr>
          <w:rFonts w:ascii="Palatino Linotype" w:eastAsia="Palatino Linotype" w:hAnsi="Palatino Linotype" w:cs="Palatino Linotype"/>
          <w:b/>
          <w:sz w:val="22"/>
          <w:szCs w:val="22"/>
        </w:rPr>
        <w:t xml:space="preserve">vía SAIMEX, </w:t>
      </w:r>
      <w:r w:rsidRPr="00C106BE">
        <w:rPr>
          <w:rFonts w:ascii="Palatino Linotype" w:eastAsia="Palatino Linotype" w:hAnsi="Palatino Linotype" w:cs="Palatino Linotype"/>
          <w:sz w:val="22"/>
          <w:szCs w:val="22"/>
        </w:rPr>
        <w:t>en términos de</w:t>
      </w:r>
      <w:r w:rsidRPr="00C106BE">
        <w:rPr>
          <w:rFonts w:ascii="Palatino Linotype" w:eastAsia="Palatino Linotype" w:hAnsi="Palatino Linotype" w:cs="Palatino Linotype"/>
          <w:b/>
          <w:sz w:val="22"/>
          <w:szCs w:val="22"/>
        </w:rPr>
        <w:t>l Considerando</w:t>
      </w:r>
      <w:r w:rsidRPr="00C106BE">
        <w:rPr>
          <w:rFonts w:ascii="Palatino Linotype" w:eastAsia="Palatino Linotype" w:hAnsi="Palatino Linotype" w:cs="Palatino Linotype"/>
          <w:sz w:val="22"/>
          <w:szCs w:val="22"/>
        </w:rPr>
        <w:t xml:space="preserve"> </w:t>
      </w:r>
      <w:r w:rsidRPr="00C106BE">
        <w:rPr>
          <w:rFonts w:ascii="Palatino Linotype" w:eastAsia="Palatino Linotype" w:hAnsi="Palatino Linotype" w:cs="Palatino Linotype"/>
          <w:b/>
          <w:sz w:val="22"/>
          <w:szCs w:val="22"/>
        </w:rPr>
        <w:t>Cuarto y Quinto</w:t>
      </w:r>
      <w:r w:rsidRPr="00C106BE">
        <w:rPr>
          <w:rFonts w:ascii="Palatino Linotype" w:eastAsia="Palatino Linotype" w:hAnsi="Palatino Linotype" w:cs="Palatino Linotype"/>
          <w:sz w:val="22"/>
          <w:szCs w:val="22"/>
        </w:rPr>
        <w:t>, previa búsqueda exhaustiva y razonable, de ser procedente en versión pública, de lo siguiente:</w:t>
      </w:r>
    </w:p>
    <w:p w14:paraId="4BF64D2D" w14:textId="77777777" w:rsidR="00E80A74" w:rsidRPr="00C106BE" w:rsidRDefault="005878FD" w:rsidP="006F1091">
      <w:pPr>
        <w:numPr>
          <w:ilvl w:val="0"/>
          <w:numId w:val="4"/>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sz w:val="22"/>
          <w:szCs w:val="22"/>
        </w:rPr>
        <w:t xml:space="preserve">De las obras públicas realizadas del primero de enero al cuatro de febrero de dos mil veinticinco, el o los documentos que den cuenta de lo siguiente: </w:t>
      </w:r>
    </w:p>
    <w:p w14:paraId="42FB9981" w14:textId="77777777" w:rsidR="00E80A74" w:rsidRPr="00C106BE" w:rsidRDefault="005878FD" w:rsidP="006F1091">
      <w:pPr>
        <w:numPr>
          <w:ilvl w:val="0"/>
          <w:numId w:val="10"/>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t xml:space="preserve">Estatus, </w:t>
      </w:r>
    </w:p>
    <w:p w14:paraId="493CC1C1" w14:textId="77777777" w:rsidR="00E80A74" w:rsidRPr="00C106BE" w:rsidRDefault="005878FD" w:rsidP="006F1091">
      <w:pPr>
        <w:numPr>
          <w:ilvl w:val="0"/>
          <w:numId w:val="10"/>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t>Ficha técnica; y,</w:t>
      </w:r>
    </w:p>
    <w:p w14:paraId="3AE1E56D" w14:textId="77777777" w:rsidR="00E80A74" w:rsidRPr="00C106BE" w:rsidRDefault="005878FD" w:rsidP="006F1091">
      <w:pPr>
        <w:numPr>
          <w:ilvl w:val="0"/>
          <w:numId w:val="10"/>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color w:val="000000"/>
          <w:sz w:val="22"/>
          <w:szCs w:val="22"/>
        </w:rPr>
      </w:pPr>
      <w:r w:rsidRPr="00C106BE">
        <w:rPr>
          <w:rFonts w:ascii="Palatino Linotype" w:eastAsia="Palatino Linotype" w:hAnsi="Palatino Linotype" w:cs="Palatino Linotype"/>
          <w:color w:val="000000"/>
          <w:sz w:val="22"/>
          <w:szCs w:val="22"/>
        </w:rPr>
        <w:t>Costo.</w:t>
      </w:r>
    </w:p>
    <w:p w14:paraId="072B580C" w14:textId="77777777" w:rsidR="00E80A74" w:rsidRPr="00C106BE" w:rsidRDefault="00E80A74">
      <w:pPr>
        <w:pBdr>
          <w:top w:val="nil"/>
          <w:left w:val="nil"/>
          <w:bottom w:val="nil"/>
          <w:right w:val="nil"/>
          <w:between w:val="nil"/>
        </w:pBdr>
        <w:tabs>
          <w:tab w:val="left" w:pos="851"/>
        </w:tabs>
        <w:ind w:left="851" w:right="616"/>
        <w:jc w:val="both"/>
        <w:rPr>
          <w:rFonts w:ascii="Palatino Linotype" w:eastAsia="Palatino Linotype" w:hAnsi="Palatino Linotype" w:cs="Palatino Linotype"/>
          <w:i/>
          <w:sz w:val="22"/>
          <w:szCs w:val="22"/>
        </w:rPr>
      </w:pPr>
    </w:p>
    <w:p w14:paraId="24DD88D9" w14:textId="77777777" w:rsidR="00E80A74" w:rsidRPr="00C106BE" w:rsidRDefault="005878FD">
      <w:pPr>
        <w:pBdr>
          <w:top w:val="nil"/>
          <w:left w:val="nil"/>
          <w:bottom w:val="nil"/>
          <w:right w:val="nil"/>
          <w:between w:val="nil"/>
        </w:pBdr>
        <w:tabs>
          <w:tab w:val="left" w:pos="851"/>
        </w:tabs>
        <w:ind w:left="851" w:right="616"/>
        <w:jc w:val="both"/>
        <w:rPr>
          <w:rFonts w:ascii="Palatino Linotype" w:eastAsia="Palatino Linotype" w:hAnsi="Palatino Linotype" w:cs="Palatino Linotype"/>
          <w:i/>
          <w:sz w:val="22"/>
          <w:szCs w:val="22"/>
        </w:rPr>
      </w:pPr>
      <w:r w:rsidRPr="00C106BE">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C106BE">
        <w:rPr>
          <w:rFonts w:ascii="Palatino Linotype" w:eastAsia="Palatino Linotype" w:hAnsi="Palatino Linotype" w:cs="Palatino Linotype"/>
          <w:b/>
          <w:i/>
          <w:sz w:val="22"/>
          <w:szCs w:val="22"/>
        </w:rPr>
        <w:t>Recurrente</w:t>
      </w:r>
      <w:r w:rsidRPr="00C106BE">
        <w:rPr>
          <w:rFonts w:ascii="Palatino Linotype" w:eastAsia="Palatino Linotype" w:hAnsi="Palatino Linotype" w:cs="Palatino Linotype"/>
          <w:i/>
          <w:sz w:val="22"/>
          <w:szCs w:val="22"/>
        </w:rPr>
        <w:t>.</w:t>
      </w:r>
    </w:p>
    <w:p w14:paraId="61D7A10E" w14:textId="77777777" w:rsidR="00E80A74" w:rsidRPr="00C106BE" w:rsidRDefault="00E80A74">
      <w:pPr>
        <w:pBdr>
          <w:top w:val="nil"/>
          <w:left w:val="nil"/>
          <w:bottom w:val="nil"/>
          <w:right w:val="nil"/>
          <w:between w:val="nil"/>
        </w:pBdr>
        <w:tabs>
          <w:tab w:val="left" w:pos="851"/>
        </w:tabs>
        <w:ind w:left="851" w:right="616"/>
        <w:jc w:val="both"/>
        <w:rPr>
          <w:rFonts w:ascii="Palatino Linotype" w:eastAsia="Palatino Linotype" w:hAnsi="Palatino Linotype" w:cs="Palatino Linotype"/>
          <w:i/>
          <w:sz w:val="22"/>
          <w:szCs w:val="22"/>
        </w:rPr>
      </w:pPr>
    </w:p>
    <w:p w14:paraId="284A8714" w14:textId="77777777" w:rsidR="00E80A74" w:rsidRPr="00C106BE" w:rsidRDefault="005878FD">
      <w:pPr>
        <w:spacing w:before="240" w:after="24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 xml:space="preserve">Tercero. Notifíquese </w:t>
      </w:r>
      <w:r w:rsidRPr="00C106BE">
        <w:rPr>
          <w:rFonts w:ascii="Palatino Linotype" w:eastAsia="Palatino Linotype" w:hAnsi="Palatino Linotype" w:cs="Palatino Linotype"/>
          <w:sz w:val="22"/>
          <w:szCs w:val="22"/>
        </w:rPr>
        <w:t>vía</w:t>
      </w:r>
      <w:r w:rsidRPr="00C106BE">
        <w:rPr>
          <w:rFonts w:ascii="Palatino Linotype" w:eastAsia="Palatino Linotype" w:hAnsi="Palatino Linotype" w:cs="Palatino Linotype"/>
          <w:b/>
          <w:sz w:val="22"/>
          <w:szCs w:val="22"/>
        </w:rPr>
        <w:t xml:space="preserve"> SAIMEX, </w:t>
      </w:r>
      <w:r w:rsidRPr="00C106BE">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2CE0CF" w14:textId="77777777" w:rsidR="00E80A74" w:rsidRPr="00C106BE" w:rsidRDefault="005878FD">
      <w:pPr>
        <w:spacing w:before="240" w:after="24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lastRenderedPageBreak/>
        <w:t xml:space="preserve">Cuarto. </w:t>
      </w:r>
      <w:r w:rsidRPr="00C106BE">
        <w:rPr>
          <w:rFonts w:ascii="Palatino Linotype" w:eastAsia="Palatino Linotype" w:hAnsi="Palatino Linotype" w:cs="Palatino Linotype"/>
          <w:sz w:val="22"/>
          <w:szCs w:val="22"/>
        </w:rPr>
        <w:t xml:space="preserve">Notifíquese vía </w:t>
      </w:r>
      <w:r w:rsidRPr="00C106BE">
        <w:rPr>
          <w:rFonts w:ascii="Palatino Linotype" w:eastAsia="Palatino Linotype" w:hAnsi="Palatino Linotype" w:cs="Palatino Linotype"/>
          <w:b/>
          <w:sz w:val="22"/>
          <w:szCs w:val="22"/>
        </w:rPr>
        <w:t>SAIMEX</w:t>
      </w:r>
      <w:r w:rsidRPr="00C106BE">
        <w:rPr>
          <w:rFonts w:ascii="Palatino Linotype" w:eastAsia="Palatino Linotype" w:hAnsi="Palatino Linotype" w:cs="Palatino Linotype"/>
          <w:sz w:val="22"/>
          <w:szCs w:val="22"/>
        </w:rPr>
        <w:t xml:space="preserve">, al Titular de la Unidad de Transparencia del </w:t>
      </w:r>
      <w:r w:rsidRPr="00C106BE">
        <w:rPr>
          <w:rFonts w:ascii="Palatino Linotype" w:eastAsia="Palatino Linotype" w:hAnsi="Palatino Linotype" w:cs="Palatino Linotype"/>
          <w:b/>
          <w:sz w:val="22"/>
          <w:szCs w:val="22"/>
        </w:rPr>
        <w:t>Sujeto Obligado</w:t>
      </w:r>
      <w:r w:rsidRPr="00C106BE">
        <w:rPr>
          <w:rFonts w:ascii="Palatino Linotype" w:eastAsia="Palatino Linotype" w:hAnsi="Palatino Linotype" w:cs="Palatino Linotype"/>
          <w:sz w:val="22"/>
          <w:szCs w:val="22"/>
        </w:rPr>
        <w:t>,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2AB9372C" w14:textId="77777777" w:rsidR="00E80A74" w:rsidRPr="00C106BE" w:rsidRDefault="005878FD">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C106BE">
        <w:rPr>
          <w:rFonts w:ascii="Palatino Linotype" w:eastAsia="Palatino Linotype" w:hAnsi="Palatino Linotype" w:cs="Palatino Linotype"/>
          <w:b/>
          <w:sz w:val="22"/>
          <w:szCs w:val="22"/>
        </w:rPr>
        <w:t xml:space="preserve">Quinto. Notifíquese, </w:t>
      </w:r>
      <w:r w:rsidRPr="00C106BE">
        <w:rPr>
          <w:rFonts w:ascii="Palatino Linotype" w:eastAsia="Palatino Linotype" w:hAnsi="Palatino Linotype" w:cs="Palatino Linotype"/>
          <w:sz w:val="22"/>
          <w:szCs w:val="22"/>
        </w:rPr>
        <w:t xml:space="preserve">vía </w:t>
      </w:r>
      <w:r w:rsidRPr="00C106BE">
        <w:rPr>
          <w:rFonts w:ascii="Palatino Linotype" w:eastAsia="Palatino Linotype" w:hAnsi="Palatino Linotype" w:cs="Palatino Linotype"/>
          <w:b/>
          <w:sz w:val="22"/>
          <w:szCs w:val="22"/>
        </w:rPr>
        <w:t>SAIMEX</w:t>
      </w:r>
      <w:r w:rsidRPr="00C106BE">
        <w:rPr>
          <w:rFonts w:ascii="Palatino Linotype" w:eastAsia="Palatino Linotype" w:hAnsi="Palatino Linotype" w:cs="Palatino Linotype"/>
          <w:sz w:val="22"/>
          <w:szCs w:val="22"/>
        </w:rPr>
        <w:t>, a la parte</w:t>
      </w:r>
      <w:r w:rsidRPr="00C106BE">
        <w:rPr>
          <w:rFonts w:ascii="Palatino Linotype" w:eastAsia="Palatino Linotype" w:hAnsi="Palatino Linotype" w:cs="Palatino Linotype"/>
          <w:b/>
          <w:sz w:val="22"/>
          <w:szCs w:val="22"/>
        </w:rPr>
        <w:t xml:space="preserve"> Recurrente</w:t>
      </w:r>
      <w:r w:rsidRPr="00C106BE">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E8661E3" w14:textId="77777777" w:rsidR="00E80A74" w:rsidRPr="00AA2C7B" w:rsidRDefault="005878FD">
      <w:pPr>
        <w:spacing w:line="360" w:lineRule="auto"/>
        <w:jc w:val="both"/>
        <w:rPr>
          <w:rFonts w:ascii="Palatino Linotype" w:eastAsia="Palatino Linotype" w:hAnsi="Palatino Linotype" w:cs="Palatino Linotype"/>
          <w:sz w:val="22"/>
          <w:szCs w:val="22"/>
        </w:rPr>
        <w:sectPr w:rsidR="00E80A74" w:rsidRPr="00AA2C7B">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r w:rsidRPr="00C106BE">
        <w:rPr>
          <w:rFonts w:ascii="Palatino Linotype" w:eastAsia="Palatino Linotype" w:hAnsi="Palatino Linotype" w:cs="Palatino Linotype"/>
          <w:color w:val="222222"/>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w:t>
      </w:r>
      <w:r w:rsidRPr="00C106BE">
        <w:rPr>
          <w:rFonts w:ascii="Palatino Linotype" w:eastAsia="Palatino Linotype" w:hAnsi="Palatino Linotype" w:cs="Palatino Linotype"/>
          <w:sz w:val="22"/>
          <w:szCs w:val="22"/>
        </w:rPr>
        <w:t>.</w:t>
      </w:r>
      <w:r w:rsidRPr="00AA2C7B">
        <w:rPr>
          <w:rFonts w:ascii="Palatino Linotype" w:eastAsia="Palatino Linotype" w:hAnsi="Palatino Linotype" w:cs="Palatino Linotype"/>
          <w:sz w:val="22"/>
          <w:szCs w:val="22"/>
        </w:rPr>
        <w:t xml:space="preserve">                              </w:t>
      </w:r>
    </w:p>
    <w:p w14:paraId="2465FF35" w14:textId="77777777" w:rsidR="00E80A74" w:rsidRPr="00AA2C7B" w:rsidRDefault="00E80A74">
      <w:pPr>
        <w:spacing w:line="360" w:lineRule="auto"/>
        <w:jc w:val="both"/>
        <w:rPr>
          <w:rFonts w:ascii="Palatino Linotype" w:eastAsia="Palatino Linotype" w:hAnsi="Palatino Linotype" w:cs="Palatino Linotype"/>
          <w:sz w:val="22"/>
          <w:szCs w:val="22"/>
        </w:rPr>
      </w:pPr>
    </w:p>
    <w:sectPr w:rsidR="00E80A74" w:rsidRPr="00AA2C7B">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B97D7" w14:textId="77777777" w:rsidR="00471D16" w:rsidRDefault="00471D16">
      <w:r>
        <w:separator/>
      </w:r>
    </w:p>
  </w:endnote>
  <w:endnote w:type="continuationSeparator" w:id="0">
    <w:p w14:paraId="43F63A84" w14:textId="77777777" w:rsidR="00471D16" w:rsidRDefault="00471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0DAD" w14:textId="77777777" w:rsidR="00E80A74" w:rsidRDefault="005878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922DA">
      <w:rPr>
        <w:rFonts w:ascii="Arial" w:eastAsia="Arial" w:hAnsi="Arial" w:cs="Arial"/>
        <w:b/>
        <w:noProof/>
        <w:color w:val="000000"/>
        <w:sz w:val="20"/>
        <w:szCs w:val="20"/>
      </w:rPr>
      <w:t>41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922DA">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3C1C8ED3" w14:textId="77777777" w:rsidR="00E80A74" w:rsidRDefault="00E80A74">
    <w:pPr>
      <w:pBdr>
        <w:top w:val="nil"/>
        <w:left w:val="nil"/>
        <w:bottom w:val="nil"/>
        <w:right w:val="nil"/>
        <w:between w:val="nil"/>
      </w:pBdr>
      <w:tabs>
        <w:tab w:val="center" w:pos="4252"/>
        <w:tab w:val="right" w:pos="8504"/>
      </w:tabs>
      <w:rPr>
        <w:color w:val="000000"/>
      </w:rPr>
    </w:pPr>
  </w:p>
  <w:p w14:paraId="2E9FFA7D" w14:textId="77777777" w:rsidR="00E80A74" w:rsidRDefault="00E80A7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B581" w14:textId="77777777" w:rsidR="00E80A74" w:rsidRDefault="005878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922DA">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922DA">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6C582353" w14:textId="77777777" w:rsidR="00E80A74" w:rsidRDefault="00E80A7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F192C" w14:textId="77777777" w:rsidR="00471D16" w:rsidRDefault="00471D16">
      <w:r>
        <w:separator/>
      </w:r>
    </w:p>
  </w:footnote>
  <w:footnote w:type="continuationSeparator" w:id="0">
    <w:p w14:paraId="77B59BAE" w14:textId="77777777" w:rsidR="00471D16" w:rsidRDefault="00471D16">
      <w:r>
        <w:continuationSeparator/>
      </w:r>
    </w:p>
  </w:footnote>
  <w:footnote w:id="1">
    <w:p w14:paraId="611719BD" w14:textId="77777777" w:rsidR="00E80A74" w:rsidRDefault="005878FD">
      <w:pPr>
        <w:pBdr>
          <w:top w:val="nil"/>
          <w:left w:val="nil"/>
          <w:bottom w:val="nil"/>
          <w:right w:val="nil"/>
          <w:between w:val="nil"/>
        </w:pBdr>
        <w:tabs>
          <w:tab w:val="left" w:pos="7371"/>
        </w:tabs>
        <w:ind w:right="-93"/>
        <w:jc w:val="both"/>
        <w:rPr>
          <w:rFonts w:ascii="Palatino Linotype" w:eastAsia="Palatino Linotype" w:hAnsi="Palatino Linotype" w:cs="Palatino Linotype"/>
          <w:color w:val="000000"/>
          <w:sz w:val="19"/>
          <w:szCs w:val="19"/>
        </w:rPr>
      </w:pPr>
      <w:r>
        <w:rPr>
          <w:vertAlign w:val="superscript"/>
        </w:rPr>
        <w:footnoteRef/>
      </w:r>
      <w:r>
        <w:rPr>
          <w:color w:val="000000"/>
        </w:rPr>
        <w:t xml:space="preserve"> </w:t>
      </w:r>
      <w:r>
        <w:rPr>
          <w:rFonts w:ascii="Palatino Linotype" w:eastAsia="Palatino Linotype" w:hAnsi="Palatino Linotype" w:cs="Palatino Linotype"/>
          <w:color w:val="000000"/>
          <w:sz w:val="18"/>
          <w:szCs w:val="18"/>
        </w:rPr>
        <w:t xml:space="preserve">“Artículo 12.15.- Las dependencias, entidades y </w:t>
      </w:r>
      <w:r>
        <w:rPr>
          <w:rFonts w:ascii="Palatino Linotype" w:eastAsia="Palatino Linotype" w:hAnsi="Palatino Linotype" w:cs="Palatino Linotype"/>
          <w:b/>
          <w:color w:val="000000"/>
          <w:sz w:val="18"/>
          <w:szCs w:val="18"/>
        </w:rPr>
        <w:t>ayuntamientos</w:t>
      </w:r>
      <w:r>
        <w:rPr>
          <w:rFonts w:ascii="Palatino Linotype" w:eastAsia="Palatino Linotype" w:hAnsi="Palatino Linotype" w:cs="Palatino Linotype"/>
          <w:color w:val="000000"/>
          <w:sz w:val="18"/>
          <w:szCs w:val="18"/>
        </w:rPr>
        <w:t xml:space="preserve">, según las características, complejidad y magnitud de los trabajos, </w:t>
      </w:r>
      <w:r>
        <w:rPr>
          <w:rFonts w:ascii="Palatino Linotype" w:eastAsia="Palatino Linotype" w:hAnsi="Palatino Linotype" w:cs="Palatino Linotype"/>
          <w:b/>
          <w:color w:val="000000"/>
          <w:sz w:val="18"/>
          <w:szCs w:val="18"/>
        </w:rPr>
        <w:t>formularán los programas de obra pública</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o de servicios relacionados con la misma</w:t>
      </w:r>
      <w:r>
        <w:rPr>
          <w:rFonts w:ascii="Palatino Linotype" w:eastAsia="Palatino Linotype" w:hAnsi="Palatino Linotype" w:cs="Palatino Linotype"/>
          <w:color w:val="000000"/>
          <w:sz w:val="18"/>
          <w:szCs w:val="18"/>
        </w:rPr>
        <w:t xml:space="preserve">, así como sus respectivos presupuestos, con base en las políticas, objetivos y prioridades de la planeación del desarrollo del Estado y municipios, </w:t>
      </w:r>
      <w:r>
        <w:rPr>
          <w:rFonts w:ascii="Palatino Linotype" w:eastAsia="Palatino Linotype" w:hAnsi="Palatino Linotype" w:cs="Palatino Linotype"/>
          <w:b/>
          <w:color w:val="000000"/>
          <w:sz w:val="18"/>
          <w:szCs w:val="18"/>
        </w:rPr>
        <w:t>considerando</w:t>
      </w:r>
      <w:r>
        <w:rPr>
          <w:rFonts w:ascii="Palatino Linotype" w:eastAsia="Palatino Linotype" w:hAnsi="Palatino Linotype" w:cs="Palatino Linotype"/>
          <w:color w:val="000000"/>
          <w:sz w:val="18"/>
          <w:szCs w:val="18"/>
        </w:rPr>
        <w:t>: (…)</w:t>
      </w:r>
    </w:p>
    <w:p w14:paraId="4E435C19" w14:textId="77777777" w:rsidR="00E80A74" w:rsidRDefault="00E80A74">
      <w:pPr>
        <w:pBdr>
          <w:top w:val="nil"/>
          <w:left w:val="nil"/>
          <w:bottom w:val="nil"/>
          <w:right w:val="nil"/>
          <w:between w:val="nil"/>
        </w:pBdr>
        <w:rPr>
          <w:rFonts w:ascii="Cambria" w:eastAsia="Cambria" w:hAnsi="Cambria" w:cs="Cambria"/>
          <w:color w:val="000000"/>
          <w:sz w:val="20"/>
          <w:szCs w:val="20"/>
        </w:rPr>
      </w:pPr>
    </w:p>
  </w:footnote>
  <w:footnote w:id="2">
    <w:p w14:paraId="09310F44" w14:textId="77777777" w:rsidR="00E80A74" w:rsidRDefault="005878FD">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 xml:space="preserve">Consultable en: </w:t>
      </w:r>
      <w:hyperlink r:id="rId1">
        <w:r>
          <w:rPr>
            <w:rFonts w:ascii="Palatino Linotype" w:eastAsia="Palatino Linotype" w:hAnsi="Palatino Linotype" w:cs="Palatino Linotype"/>
            <w:color w:val="0563C1"/>
            <w:sz w:val="20"/>
            <w:szCs w:val="20"/>
            <w:u w:val="single"/>
          </w:rPr>
          <w:t>https://www2.toluca.gob.mx/toluca-se-pone-a-la-vanguardia-con-nueva-tecnologia-para-rehabilitar-calles/</w:t>
        </w:r>
      </w:hyperlink>
    </w:p>
    <w:p w14:paraId="3A23518F" w14:textId="77777777" w:rsidR="00E80A74" w:rsidRDefault="00CB601F">
      <w:pPr>
        <w:rPr>
          <w:rFonts w:ascii="Palatino Linotype" w:eastAsia="Palatino Linotype" w:hAnsi="Palatino Linotype" w:cs="Palatino Linotype"/>
        </w:rPr>
      </w:pPr>
      <w:hyperlink r:id="rId2">
        <w:r w:rsidR="005878FD">
          <w:rPr>
            <w:rFonts w:ascii="Palatino Linotype" w:eastAsia="Palatino Linotype" w:hAnsi="Palatino Linotype" w:cs="Palatino Linotype"/>
            <w:color w:val="0563C1"/>
            <w:sz w:val="20"/>
            <w:szCs w:val="20"/>
            <w:u w:val="single"/>
          </w:rPr>
          <w:t>https://www2.toluca.gob.mx/lleva-ricardo-moreno-la-transformacion-a-las-colonias-olvidadas-de-toluca/</w:t>
        </w:r>
      </w:hyperlink>
      <w:r w:rsidR="005878FD">
        <w:rPr>
          <w:rFonts w:ascii="Palatino Linotype" w:eastAsia="Palatino Linotype" w:hAnsi="Palatino Linotype" w:cs="Palatino Linotype"/>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95F6" w14:textId="77777777" w:rsidR="00E80A74" w:rsidRDefault="005878FD">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1B6868B" wp14:editId="62546E3E">
          <wp:simplePos x="0" y="0"/>
          <wp:positionH relativeFrom="column">
            <wp:posOffset>-638174</wp:posOffset>
          </wp:positionH>
          <wp:positionV relativeFrom="paragraph">
            <wp:posOffset>-450214</wp:posOffset>
          </wp:positionV>
          <wp:extent cx="7809876" cy="10165823"/>
          <wp:effectExtent l="0" t="0" r="0" b="0"/>
          <wp:wrapNone/>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5528" w:type="dxa"/>
      <w:tblInd w:w="3261" w:type="dxa"/>
      <w:tblLayout w:type="fixed"/>
      <w:tblLook w:val="0400" w:firstRow="0" w:lastRow="0" w:firstColumn="0" w:lastColumn="0" w:noHBand="0" w:noVBand="1"/>
    </w:tblPr>
    <w:tblGrid>
      <w:gridCol w:w="2551"/>
      <w:gridCol w:w="2977"/>
    </w:tblGrid>
    <w:tr w:rsidR="00E80A74" w14:paraId="1247E3DD" w14:textId="77777777">
      <w:tc>
        <w:tcPr>
          <w:tcW w:w="2551" w:type="dxa"/>
          <w:vAlign w:val="center"/>
        </w:tcPr>
        <w:p w14:paraId="59A0D535" w14:textId="77777777" w:rsidR="00E80A74" w:rsidRDefault="005878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A20401A" w14:textId="77777777" w:rsidR="00E80A74" w:rsidRDefault="005878F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02024/INFOEM/IP/RR/2025</w:t>
          </w:r>
        </w:p>
      </w:tc>
    </w:tr>
    <w:tr w:rsidR="00E80A74" w14:paraId="0F1695E4" w14:textId="77777777">
      <w:trPr>
        <w:trHeight w:val="228"/>
      </w:trPr>
      <w:tc>
        <w:tcPr>
          <w:tcW w:w="2551" w:type="dxa"/>
          <w:vAlign w:val="center"/>
        </w:tcPr>
        <w:p w14:paraId="6AFD5486" w14:textId="77777777" w:rsidR="00E80A74" w:rsidRDefault="005878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3A07E36" w14:textId="77777777" w:rsidR="00E80A74" w:rsidRDefault="005878F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E80A74" w14:paraId="4CD4DE1F" w14:textId="77777777">
      <w:tc>
        <w:tcPr>
          <w:tcW w:w="2551" w:type="dxa"/>
          <w:vAlign w:val="center"/>
        </w:tcPr>
        <w:p w14:paraId="70810F1C" w14:textId="77777777" w:rsidR="00E80A74" w:rsidRDefault="005878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22DA9B9" w14:textId="77777777" w:rsidR="00E80A74" w:rsidRDefault="005878F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D5A22C8" w14:textId="77777777" w:rsidR="00E80A74" w:rsidRDefault="005878F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82FF" w14:textId="77777777" w:rsidR="00E80A74" w:rsidRDefault="005878F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C162201" wp14:editId="58236644">
          <wp:simplePos x="0" y="0"/>
          <wp:positionH relativeFrom="column">
            <wp:posOffset>-798193</wp:posOffset>
          </wp:positionH>
          <wp:positionV relativeFrom="paragraph">
            <wp:posOffset>-399413</wp:posOffset>
          </wp:positionV>
          <wp:extent cx="7809876" cy="10165823"/>
          <wp:effectExtent l="0" t="0" r="0" b="0"/>
          <wp:wrapNone/>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E80A74" w14:paraId="672A1FA2" w14:textId="77777777">
      <w:tc>
        <w:tcPr>
          <w:tcW w:w="2551" w:type="dxa"/>
          <w:vAlign w:val="center"/>
        </w:tcPr>
        <w:p w14:paraId="33E24DEC" w14:textId="77777777" w:rsidR="00E80A74" w:rsidRDefault="005878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BD4360C" w14:textId="77777777" w:rsidR="00E80A74" w:rsidRDefault="005878F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02024/INFOEM/IP/RR/2025</w:t>
          </w:r>
        </w:p>
      </w:tc>
    </w:tr>
    <w:tr w:rsidR="00E80A74" w14:paraId="2FD885A6" w14:textId="77777777">
      <w:tc>
        <w:tcPr>
          <w:tcW w:w="2551" w:type="dxa"/>
          <w:vAlign w:val="center"/>
        </w:tcPr>
        <w:p w14:paraId="560C694F" w14:textId="77777777" w:rsidR="00E80A74" w:rsidRDefault="005878F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530E546" w14:textId="77777777" w:rsidR="00E80A74" w:rsidRDefault="00E80A74">
          <w:pPr>
            <w:ind w:right="-533"/>
            <w:jc w:val="both"/>
            <w:rPr>
              <w:rFonts w:ascii="Palatino Linotype" w:eastAsia="Palatino Linotype" w:hAnsi="Palatino Linotype" w:cs="Palatino Linotype"/>
              <w:b/>
              <w:sz w:val="22"/>
              <w:szCs w:val="22"/>
            </w:rPr>
          </w:pPr>
        </w:p>
      </w:tc>
    </w:tr>
    <w:tr w:rsidR="00E80A74" w14:paraId="094DD5DB" w14:textId="77777777">
      <w:trPr>
        <w:trHeight w:val="228"/>
      </w:trPr>
      <w:tc>
        <w:tcPr>
          <w:tcW w:w="2551" w:type="dxa"/>
          <w:vAlign w:val="center"/>
        </w:tcPr>
        <w:p w14:paraId="208BF544" w14:textId="77777777" w:rsidR="00E80A74" w:rsidRDefault="005878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344D01E1" w14:textId="77777777" w:rsidR="00E80A74" w:rsidRDefault="005878FD">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E80A74" w14:paraId="3AB32194" w14:textId="77777777">
      <w:tc>
        <w:tcPr>
          <w:tcW w:w="2551" w:type="dxa"/>
          <w:vAlign w:val="center"/>
        </w:tcPr>
        <w:p w14:paraId="0A11E01E" w14:textId="77777777" w:rsidR="00E80A74" w:rsidRDefault="005878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ACFA328" w14:textId="77777777" w:rsidR="00E80A74" w:rsidRDefault="005878F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1C01E9" w14:textId="77777777" w:rsidR="00E80A74" w:rsidRDefault="00E80A7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A3F1" w14:textId="77777777" w:rsidR="00E80A74" w:rsidRDefault="00E80A7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8EC45B2" w14:textId="77777777" w:rsidR="00E80A74" w:rsidRDefault="00E80A7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9A4"/>
    <w:multiLevelType w:val="multilevel"/>
    <w:tmpl w:val="BFA475E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103CF2"/>
    <w:multiLevelType w:val="multilevel"/>
    <w:tmpl w:val="B624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8150AD"/>
    <w:multiLevelType w:val="multilevel"/>
    <w:tmpl w:val="6C46240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E82983"/>
    <w:multiLevelType w:val="multilevel"/>
    <w:tmpl w:val="A2BC72C0"/>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573220"/>
    <w:multiLevelType w:val="multilevel"/>
    <w:tmpl w:val="7312D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FB6D99"/>
    <w:multiLevelType w:val="multilevel"/>
    <w:tmpl w:val="C998661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46BF59E0"/>
    <w:multiLevelType w:val="multilevel"/>
    <w:tmpl w:val="61C4FB0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684035D5"/>
    <w:multiLevelType w:val="multilevel"/>
    <w:tmpl w:val="E78A3E6A"/>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74B1021A"/>
    <w:multiLevelType w:val="multilevel"/>
    <w:tmpl w:val="AC12C9EA"/>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9" w15:restartNumberingAfterBreak="0">
    <w:nsid w:val="79AF7F3D"/>
    <w:multiLevelType w:val="multilevel"/>
    <w:tmpl w:val="13DE94CE"/>
    <w:lvl w:ilvl="0">
      <w:start w:val="8"/>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
  </w:num>
  <w:num w:numId="4">
    <w:abstractNumId w:val="6"/>
  </w:num>
  <w:num w:numId="5">
    <w:abstractNumId w:val="3"/>
  </w:num>
  <w:num w:numId="6">
    <w:abstractNumId w:val="2"/>
  </w:num>
  <w:num w:numId="7">
    <w:abstractNumId w:val="9"/>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74"/>
    <w:rsid w:val="0003032C"/>
    <w:rsid w:val="000E370F"/>
    <w:rsid w:val="00117BD3"/>
    <w:rsid w:val="00471D16"/>
    <w:rsid w:val="00585334"/>
    <w:rsid w:val="005878FD"/>
    <w:rsid w:val="0062081F"/>
    <w:rsid w:val="00671230"/>
    <w:rsid w:val="006F1091"/>
    <w:rsid w:val="00AA2C7B"/>
    <w:rsid w:val="00B922DA"/>
    <w:rsid w:val="00C106BE"/>
    <w:rsid w:val="00C60E94"/>
    <w:rsid w:val="00CB601F"/>
    <w:rsid w:val="00D33D57"/>
    <w:rsid w:val="00E80A74"/>
    <w:rsid w:val="00F17507"/>
    <w:rsid w:val="00F528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6408E"/>
  <w15:docId w15:val="{FF9CB291-8147-42AC-AA8E-F82EE37F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Tablaconcuadrcula3">
    <w:name w:val="Tabla con cuadrícula3"/>
    <w:basedOn w:val="Tablanormal"/>
    <w:next w:val="Tablaconcuadrcula"/>
    <w:uiPriority w:val="59"/>
    <w:rsid w:val="002679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2.toluca.gob.mx/lleva-ricardo-moreno-la-transformacion-a-las-colonias-olvidadas-de-toluca/" TargetMode="External"/><Relationship Id="rId1" Type="http://schemas.openxmlformats.org/officeDocument/2006/relationships/hyperlink" Target="https://www2.toluca.gob.mx/toluca-se-pone-a-la-vanguardia-con-nueva-tecnologia-para-rehabilitar-cal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rc3Kyia+kOKv4PVWKKCsVB5zxw==">CgMxLjAyCWguM3pueXNoNzIIaC5namRneHMyCWguMzBqMHpsbDIJaC4xZm9iOXRlOAByITE2czVjczVIbUJJSzU5RE9yZ1JBRGZhQWpyVWIwRFB4dA==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11424</Words>
  <Characters>62835</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2025-05-06T17:04:00Z</cp:lastPrinted>
  <dcterms:created xsi:type="dcterms:W3CDTF">2025-05-08T17:44:00Z</dcterms:created>
  <dcterms:modified xsi:type="dcterms:W3CDTF">2025-05-08T17:44:00Z</dcterms:modified>
</cp:coreProperties>
</file>