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04420" w:rsidRDefault="00AE3DA7" w:rsidP="00141876">
          <w:pPr>
            <w:pStyle w:val="TtuloTDC"/>
            <w:spacing w:before="0" w:line="240" w:lineRule="auto"/>
            <w:rPr>
              <w:rFonts w:ascii="Palatino Linotype" w:hAnsi="Palatino Linotype"/>
              <w:sz w:val="28"/>
              <w:szCs w:val="24"/>
              <w:lang w:val="es-ES"/>
            </w:rPr>
          </w:pPr>
          <w:r w:rsidRPr="00904420">
            <w:rPr>
              <w:rFonts w:ascii="Palatino Linotype" w:hAnsi="Palatino Linotype"/>
              <w:sz w:val="28"/>
              <w:szCs w:val="24"/>
              <w:lang w:val="es-ES"/>
            </w:rPr>
            <w:t>Contenido</w:t>
          </w:r>
        </w:p>
        <w:p w14:paraId="3EB312A7" w14:textId="77777777" w:rsidR="00AA6EA9" w:rsidRPr="001B7797" w:rsidRDefault="00AA6EA9" w:rsidP="00141876">
          <w:pPr>
            <w:spacing w:line="240" w:lineRule="auto"/>
            <w:rPr>
              <w:sz w:val="16"/>
              <w:szCs w:val="16"/>
              <w:lang w:val="es-ES" w:eastAsia="es-MX"/>
            </w:rPr>
          </w:pPr>
        </w:p>
        <w:p w14:paraId="7B8949E2" w14:textId="01E0FFD4" w:rsidR="00904420" w:rsidRDefault="00AE3DA7">
          <w:pPr>
            <w:pStyle w:val="TDC1"/>
            <w:tabs>
              <w:tab w:val="right" w:leader="dot" w:pos="9034"/>
            </w:tabs>
            <w:rPr>
              <w:rFonts w:asciiTheme="minorHAnsi" w:eastAsiaTheme="minorEastAsia" w:hAnsiTheme="minorHAnsi" w:cstheme="minorBidi"/>
              <w:noProof/>
              <w:szCs w:val="22"/>
              <w:lang w:eastAsia="es-MX"/>
            </w:rPr>
          </w:pPr>
          <w:r w:rsidRPr="001B7797">
            <w:rPr>
              <w:sz w:val="16"/>
              <w:szCs w:val="16"/>
            </w:rPr>
            <w:fldChar w:fldCharType="begin"/>
          </w:r>
          <w:r w:rsidRPr="001B7797">
            <w:rPr>
              <w:sz w:val="16"/>
              <w:szCs w:val="16"/>
            </w:rPr>
            <w:instrText xml:space="preserve"> TOC \o "1-3" \h \z \u </w:instrText>
          </w:r>
          <w:r w:rsidRPr="001B7797">
            <w:rPr>
              <w:sz w:val="16"/>
              <w:szCs w:val="16"/>
            </w:rPr>
            <w:fldChar w:fldCharType="separate"/>
          </w:r>
          <w:hyperlink w:anchor="_Toc206616050" w:history="1">
            <w:r w:rsidR="00904420" w:rsidRPr="004843A4">
              <w:rPr>
                <w:rStyle w:val="Hipervnculo"/>
                <w:noProof/>
              </w:rPr>
              <w:t>ANTECEDENTES</w:t>
            </w:r>
            <w:r w:rsidR="00904420">
              <w:rPr>
                <w:noProof/>
                <w:webHidden/>
              </w:rPr>
              <w:tab/>
            </w:r>
            <w:r w:rsidR="00904420">
              <w:rPr>
                <w:noProof/>
                <w:webHidden/>
              </w:rPr>
              <w:fldChar w:fldCharType="begin"/>
            </w:r>
            <w:r w:rsidR="00904420">
              <w:rPr>
                <w:noProof/>
                <w:webHidden/>
              </w:rPr>
              <w:instrText xml:space="preserve"> PAGEREF _Toc206616050 \h </w:instrText>
            </w:r>
            <w:r w:rsidR="00904420">
              <w:rPr>
                <w:noProof/>
                <w:webHidden/>
              </w:rPr>
            </w:r>
            <w:r w:rsidR="00904420">
              <w:rPr>
                <w:noProof/>
                <w:webHidden/>
              </w:rPr>
              <w:fldChar w:fldCharType="separate"/>
            </w:r>
            <w:r w:rsidR="00585E22">
              <w:rPr>
                <w:noProof/>
                <w:webHidden/>
              </w:rPr>
              <w:t>1</w:t>
            </w:r>
            <w:r w:rsidR="00904420">
              <w:rPr>
                <w:noProof/>
                <w:webHidden/>
              </w:rPr>
              <w:fldChar w:fldCharType="end"/>
            </w:r>
          </w:hyperlink>
        </w:p>
        <w:p w14:paraId="5CE46387" w14:textId="335EA0DF" w:rsidR="00904420" w:rsidRDefault="00E22D9B">
          <w:pPr>
            <w:pStyle w:val="TDC2"/>
            <w:rPr>
              <w:rFonts w:asciiTheme="minorHAnsi" w:eastAsiaTheme="minorEastAsia" w:hAnsiTheme="minorHAnsi" w:cstheme="minorBidi"/>
              <w:noProof/>
              <w:szCs w:val="22"/>
              <w:lang w:eastAsia="es-MX"/>
            </w:rPr>
          </w:pPr>
          <w:hyperlink w:anchor="_Toc206616051" w:history="1">
            <w:r w:rsidR="00904420" w:rsidRPr="004843A4">
              <w:rPr>
                <w:rStyle w:val="Hipervnculo"/>
                <w:noProof/>
              </w:rPr>
              <w:t>DE LA SOLICITUD DE INFORMACIÓN</w:t>
            </w:r>
            <w:r w:rsidR="00904420">
              <w:rPr>
                <w:noProof/>
                <w:webHidden/>
              </w:rPr>
              <w:tab/>
            </w:r>
            <w:r w:rsidR="00904420">
              <w:rPr>
                <w:noProof/>
                <w:webHidden/>
              </w:rPr>
              <w:fldChar w:fldCharType="begin"/>
            </w:r>
            <w:r w:rsidR="00904420">
              <w:rPr>
                <w:noProof/>
                <w:webHidden/>
              </w:rPr>
              <w:instrText xml:space="preserve"> PAGEREF _Toc206616051 \h </w:instrText>
            </w:r>
            <w:r w:rsidR="00904420">
              <w:rPr>
                <w:noProof/>
                <w:webHidden/>
              </w:rPr>
            </w:r>
            <w:r w:rsidR="00904420">
              <w:rPr>
                <w:noProof/>
                <w:webHidden/>
              </w:rPr>
              <w:fldChar w:fldCharType="separate"/>
            </w:r>
            <w:r w:rsidR="00585E22">
              <w:rPr>
                <w:noProof/>
                <w:webHidden/>
              </w:rPr>
              <w:t>1</w:t>
            </w:r>
            <w:r w:rsidR="00904420">
              <w:rPr>
                <w:noProof/>
                <w:webHidden/>
              </w:rPr>
              <w:fldChar w:fldCharType="end"/>
            </w:r>
          </w:hyperlink>
        </w:p>
        <w:p w14:paraId="40CB18C5" w14:textId="6411ED84" w:rsidR="00904420" w:rsidRDefault="00E22D9B">
          <w:pPr>
            <w:pStyle w:val="TDC3"/>
            <w:rPr>
              <w:rFonts w:asciiTheme="minorHAnsi" w:eastAsiaTheme="minorEastAsia" w:hAnsiTheme="minorHAnsi" w:cstheme="minorBidi"/>
              <w:noProof/>
              <w:szCs w:val="22"/>
              <w:lang w:eastAsia="es-MX"/>
            </w:rPr>
          </w:pPr>
          <w:hyperlink w:anchor="_Toc206616052" w:history="1">
            <w:r w:rsidR="00904420" w:rsidRPr="004843A4">
              <w:rPr>
                <w:rStyle w:val="Hipervnculo"/>
                <w:noProof/>
              </w:rPr>
              <w:t>a) Solicitud de información</w:t>
            </w:r>
            <w:r w:rsidR="00904420">
              <w:rPr>
                <w:noProof/>
                <w:webHidden/>
              </w:rPr>
              <w:tab/>
            </w:r>
            <w:r w:rsidR="00904420">
              <w:rPr>
                <w:noProof/>
                <w:webHidden/>
              </w:rPr>
              <w:fldChar w:fldCharType="begin"/>
            </w:r>
            <w:r w:rsidR="00904420">
              <w:rPr>
                <w:noProof/>
                <w:webHidden/>
              </w:rPr>
              <w:instrText xml:space="preserve"> PAGEREF _Toc206616052 \h </w:instrText>
            </w:r>
            <w:r w:rsidR="00904420">
              <w:rPr>
                <w:noProof/>
                <w:webHidden/>
              </w:rPr>
            </w:r>
            <w:r w:rsidR="00904420">
              <w:rPr>
                <w:noProof/>
                <w:webHidden/>
              </w:rPr>
              <w:fldChar w:fldCharType="separate"/>
            </w:r>
            <w:r w:rsidR="00585E22">
              <w:rPr>
                <w:noProof/>
                <w:webHidden/>
              </w:rPr>
              <w:t>1</w:t>
            </w:r>
            <w:r w:rsidR="00904420">
              <w:rPr>
                <w:noProof/>
                <w:webHidden/>
              </w:rPr>
              <w:fldChar w:fldCharType="end"/>
            </w:r>
          </w:hyperlink>
        </w:p>
        <w:p w14:paraId="4A821887" w14:textId="5FBB6117" w:rsidR="00904420" w:rsidRDefault="00E22D9B">
          <w:pPr>
            <w:pStyle w:val="TDC3"/>
            <w:rPr>
              <w:rFonts w:asciiTheme="minorHAnsi" w:eastAsiaTheme="minorEastAsia" w:hAnsiTheme="minorHAnsi" w:cstheme="minorBidi"/>
              <w:noProof/>
              <w:szCs w:val="22"/>
              <w:lang w:eastAsia="es-MX"/>
            </w:rPr>
          </w:pPr>
          <w:hyperlink w:anchor="_Toc206616053" w:history="1">
            <w:r w:rsidR="00904420" w:rsidRPr="004843A4">
              <w:rPr>
                <w:rStyle w:val="Hipervnculo"/>
                <w:noProof/>
              </w:rPr>
              <w:t>b) Turno de la solicitud de información</w:t>
            </w:r>
            <w:r w:rsidR="00904420">
              <w:rPr>
                <w:noProof/>
                <w:webHidden/>
              </w:rPr>
              <w:tab/>
            </w:r>
            <w:r w:rsidR="00904420">
              <w:rPr>
                <w:noProof/>
                <w:webHidden/>
              </w:rPr>
              <w:fldChar w:fldCharType="begin"/>
            </w:r>
            <w:r w:rsidR="00904420">
              <w:rPr>
                <w:noProof/>
                <w:webHidden/>
              </w:rPr>
              <w:instrText xml:space="preserve"> PAGEREF _Toc206616053 \h </w:instrText>
            </w:r>
            <w:r w:rsidR="00904420">
              <w:rPr>
                <w:noProof/>
                <w:webHidden/>
              </w:rPr>
            </w:r>
            <w:r w:rsidR="00904420">
              <w:rPr>
                <w:noProof/>
                <w:webHidden/>
              </w:rPr>
              <w:fldChar w:fldCharType="separate"/>
            </w:r>
            <w:r w:rsidR="00585E22">
              <w:rPr>
                <w:noProof/>
                <w:webHidden/>
              </w:rPr>
              <w:t>2</w:t>
            </w:r>
            <w:r w:rsidR="00904420">
              <w:rPr>
                <w:noProof/>
                <w:webHidden/>
              </w:rPr>
              <w:fldChar w:fldCharType="end"/>
            </w:r>
          </w:hyperlink>
        </w:p>
        <w:p w14:paraId="7BF3E083" w14:textId="7336257A" w:rsidR="00904420" w:rsidRDefault="00E22D9B">
          <w:pPr>
            <w:pStyle w:val="TDC3"/>
            <w:rPr>
              <w:rFonts w:asciiTheme="minorHAnsi" w:eastAsiaTheme="minorEastAsia" w:hAnsiTheme="minorHAnsi" w:cstheme="minorBidi"/>
              <w:noProof/>
              <w:szCs w:val="22"/>
              <w:lang w:eastAsia="es-MX"/>
            </w:rPr>
          </w:pPr>
          <w:hyperlink w:anchor="_Toc206616054" w:history="1">
            <w:r w:rsidR="00904420" w:rsidRPr="004843A4">
              <w:rPr>
                <w:rStyle w:val="Hipervnculo"/>
                <w:rFonts w:eastAsia="Calibri"/>
                <w:noProof/>
                <w:lang w:eastAsia="en-US"/>
              </w:rPr>
              <w:t xml:space="preserve">c) </w:t>
            </w:r>
            <w:r w:rsidR="00904420" w:rsidRPr="004843A4">
              <w:rPr>
                <w:rStyle w:val="Hipervnculo"/>
                <w:noProof/>
                <w:lang w:val="es-ES"/>
              </w:rPr>
              <w:t xml:space="preserve">Respuesta </w:t>
            </w:r>
            <w:r w:rsidR="00904420" w:rsidRPr="004843A4">
              <w:rPr>
                <w:rStyle w:val="Hipervnculo"/>
                <w:rFonts w:eastAsia="Calibri"/>
                <w:noProof/>
                <w:lang w:eastAsia="en-US"/>
              </w:rPr>
              <w:t>del Sujeto Obligado</w:t>
            </w:r>
            <w:r w:rsidR="00904420">
              <w:rPr>
                <w:noProof/>
                <w:webHidden/>
              </w:rPr>
              <w:tab/>
            </w:r>
            <w:r w:rsidR="00904420">
              <w:rPr>
                <w:noProof/>
                <w:webHidden/>
              </w:rPr>
              <w:fldChar w:fldCharType="begin"/>
            </w:r>
            <w:r w:rsidR="00904420">
              <w:rPr>
                <w:noProof/>
                <w:webHidden/>
              </w:rPr>
              <w:instrText xml:space="preserve"> PAGEREF _Toc206616054 \h </w:instrText>
            </w:r>
            <w:r w:rsidR="00904420">
              <w:rPr>
                <w:noProof/>
                <w:webHidden/>
              </w:rPr>
            </w:r>
            <w:r w:rsidR="00904420">
              <w:rPr>
                <w:noProof/>
                <w:webHidden/>
              </w:rPr>
              <w:fldChar w:fldCharType="separate"/>
            </w:r>
            <w:r w:rsidR="00585E22">
              <w:rPr>
                <w:noProof/>
                <w:webHidden/>
              </w:rPr>
              <w:t>2</w:t>
            </w:r>
            <w:r w:rsidR="00904420">
              <w:rPr>
                <w:noProof/>
                <w:webHidden/>
              </w:rPr>
              <w:fldChar w:fldCharType="end"/>
            </w:r>
          </w:hyperlink>
        </w:p>
        <w:p w14:paraId="55F8E9E4" w14:textId="12A64D06" w:rsidR="00904420" w:rsidRDefault="00E22D9B">
          <w:pPr>
            <w:pStyle w:val="TDC2"/>
            <w:rPr>
              <w:rFonts w:asciiTheme="minorHAnsi" w:eastAsiaTheme="minorEastAsia" w:hAnsiTheme="minorHAnsi" w:cstheme="minorBidi"/>
              <w:noProof/>
              <w:szCs w:val="22"/>
              <w:lang w:eastAsia="es-MX"/>
            </w:rPr>
          </w:pPr>
          <w:hyperlink w:anchor="_Toc206616055" w:history="1">
            <w:r w:rsidR="00904420" w:rsidRPr="004843A4">
              <w:rPr>
                <w:rStyle w:val="Hipervnculo"/>
                <w:noProof/>
              </w:rPr>
              <w:t>DEL RECURSO DE REVISIÓN</w:t>
            </w:r>
            <w:r w:rsidR="00904420">
              <w:rPr>
                <w:noProof/>
                <w:webHidden/>
              </w:rPr>
              <w:tab/>
            </w:r>
            <w:r w:rsidR="00904420">
              <w:rPr>
                <w:noProof/>
                <w:webHidden/>
              </w:rPr>
              <w:fldChar w:fldCharType="begin"/>
            </w:r>
            <w:r w:rsidR="00904420">
              <w:rPr>
                <w:noProof/>
                <w:webHidden/>
              </w:rPr>
              <w:instrText xml:space="preserve"> PAGEREF _Toc206616055 \h </w:instrText>
            </w:r>
            <w:r w:rsidR="00904420">
              <w:rPr>
                <w:noProof/>
                <w:webHidden/>
              </w:rPr>
            </w:r>
            <w:r w:rsidR="00904420">
              <w:rPr>
                <w:noProof/>
                <w:webHidden/>
              </w:rPr>
              <w:fldChar w:fldCharType="separate"/>
            </w:r>
            <w:r w:rsidR="00585E22">
              <w:rPr>
                <w:noProof/>
                <w:webHidden/>
              </w:rPr>
              <w:t>3</w:t>
            </w:r>
            <w:r w:rsidR="00904420">
              <w:rPr>
                <w:noProof/>
                <w:webHidden/>
              </w:rPr>
              <w:fldChar w:fldCharType="end"/>
            </w:r>
          </w:hyperlink>
        </w:p>
        <w:p w14:paraId="4931A3AC" w14:textId="2790F71B" w:rsidR="00904420" w:rsidRDefault="00E22D9B">
          <w:pPr>
            <w:pStyle w:val="TDC3"/>
            <w:rPr>
              <w:rFonts w:asciiTheme="minorHAnsi" w:eastAsiaTheme="minorEastAsia" w:hAnsiTheme="minorHAnsi" w:cstheme="minorBidi"/>
              <w:noProof/>
              <w:szCs w:val="22"/>
              <w:lang w:eastAsia="es-MX"/>
            </w:rPr>
          </w:pPr>
          <w:hyperlink w:anchor="_Toc206616056" w:history="1">
            <w:r w:rsidR="00904420" w:rsidRPr="004843A4">
              <w:rPr>
                <w:rStyle w:val="Hipervnculo"/>
                <w:noProof/>
              </w:rPr>
              <w:t>a) Interposición del Recurso de Revisión</w:t>
            </w:r>
            <w:r w:rsidR="00904420">
              <w:rPr>
                <w:noProof/>
                <w:webHidden/>
              </w:rPr>
              <w:tab/>
            </w:r>
            <w:r w:rsidR="00904420">
              <w:rPr>
                <w:noProof/>
                <w:webHidden/>
              </w:rPr>
              <w:fldChar w:fldCharType="begin"/>
            </w:r>
            <w:r w:rsidR="00904420">
              <w:rPr>
                <w:noProof/>
                <w:webHidden/>
              </w:rPr>
              <w:instrText xml:space="preserve"> PAGEREF _Toc206616056 \h </w:instrText>
            </w:r>
            <w:r w:rsidR="00904420">
              <w:rPr>
                <w:noProof/>
                <w:webHidden/>
              </w:rPr>
            </w:r>
            <w:r w:rsidR="00904420">
              <w:rPr>
                <w:noProof/>
                <w:webHidden/>
              </w:rPr>
              <w:fldChar w:fldCharType="separate"/>
            </w:r>
            <w:r w:rsidR="00585E22">
              <w:rPr>
                <w:noProof/>
                <w:webHidden/>
              </w:rPr>
              <w:t>3</w:t>
            </w:r>
            <w:r w:rsidR="00904420">
              <w:rPr>
                <w:noProof/>
                <w:webHidden/>
              </w:rPr>
              <w:fldChar w:fldCharType="end"/>
            </w:r>
          </w:hyperlink>
        </w:p>
        <w:p w14:paraId="1060E124" w14:textId="70E036CA" w:rsidR="00904420" w:rsidRDefault="00E22D9B">
          <w:pPr>
            <w:pStyle w:val="TDC3"/>
            <w:rPr>
              <w:rFonts w:asciiTheme="minorHAnsi" w:eastAsiaTheme="minorEastAsia" w:hAnsiTheme="minorHAnsi" w:cstheme="minorBidi"/>
              <w:noProof/>
              <w:szCs w:val="22"/>
              <w:lang w:eastAsia="es-MX"/>
            </w:rPr>
          </w:pPr>
          <w:hyperlink w:anchor="_Toc206616057" w:history="1">
            <w:r w:rsidR="00904420" w:rsidRPr="004843A4">
              <w:rPr>
                <w:rStyle w:val="Hipervnculo"/>
                <w:noProof/>
              </w:rPr>
              <w:t>b) Turno del Recurso de Revisión</w:t>
            </w:r>
            <w:r w:rsidR="00904420">
              <w:rPr>
                <w:noProof/>
                <w:webHidden/>
              </w:rPr>
              <w:tab/>
            </w:r>
            <w:r w:rsidR="00904420">
              <w:rPr>
                <w:noProof/>
                <w:webHidden/>
              </w:rPr>
              <w:fldChar w:fldCharType="begin"/>
            </w:r>
            <w:r w:rsidR="00904420">
              <w:rPr>
                <w:noProof/>
                <w:webHidden/>
              </w:rPr>
              <w:instrText xml:space="preserve"> PAGEREF _Toc206616057 \h </w:instrText>
            </w:r>
            <w:r w:rsidR="00904420">
              <w:rPr>
                <w:noProof/>
                <w:webHidden/>
              </w:rPr>
            </w:r>
            <w:r w:rsidR="00904420">
              <w:rPr>
                <w:noProof/>
                <w:webHidden/>
              </w:rPr>
              <w:fldChar w:fldCharType="separate"/>
            </w:r>
            <w:r w:rsidR="00585E22">
              <w:rPr>
                <w:noProof/>
                <w:webHidden/>
              </w:rPr>
              <w:t>4</w:t>
            </w:r>
            <w:r w:rsidR="00904420">
              <w:rPr>
                <w:noProof/>
                <w:webHidden/>
              </w:rPr>
              <w:fldChar w:fldCharType="end"/>
            </w:r>
          </w:hyperlink>
        </w:p>
        <w:p w14:paraId="6FA9EBE1" w14:textId="1A716A32" w:rsidR="00904420" w:rsidRDefault="00E22D9B">
          <w:pPr>
            <w:pStyle w:val="TDC3"/>
            <w:rPr>
              <w:rFonts w:asciiTheme="minorHAnsi" w:eastAsiaTheme="minorEastAsia" w:hAnsiTheme="minorHAnsi" w:cstheme="minorBidi"/>
              <w:noProof/>
              <w:szCs w:val="22"/>
              <w:lang w:eastAsia="es-MX"/>
            </w:rPr>
          </w:pPr>
          <w:hyperlink w:anchor="_Toc206616058" w:history="1">
            <w:r w:rsidR="00904420" w:rsidRPr="004843A4">
              <w:rPr>
                <w:rStyle w:val="Hipervnculo"/>
                <w:noProof/>
              </w:rPr>
              <w:t>c) Admisión del Recurso de Revisión</w:t>
            </w:r>
            <w:r w:rsidR="00904420">
              <w:rPr>
                <w:noProof/>
                <w:webHidden/>
              </w:rPr>
              <w:tab/>
            </w:r>
            <w:r w:rsidR="00904420">
              <w:rPr>
                <w:noProof/>
                <w:webHidden/>
              </w:rPr>
              <w:fldChar w:fldCharType="begin"/>
            </w:r>
            <w:r w:rsidR="00904420">
              <w:rPr>
                <w:noProof/>
                <w:webHidden/>
              </w:rPr>
              <w:instrText xml:space="preserve"> PAGEREF _Toc206616058 \h </w:instrText>
            </w:r>
            <w:r w:rsidR="00904420">
              <w:rPr>
                <w:noProof/>
                <w:webHidden/>
              </w:rPr>
            </w:r>
            <w:r w:rsidR="00904420">
              <w:rPr>
                <w:noProof/>
                <w:webHidden/>
              </w:rPr>
              <w:fldChar w:fldCharType="separate"/>
            </w:r>
            <w:r w:rsidR="00585E22">
              <w:rPr>
                <w:noProof/>
                <w:webHidden/>
              </w:rPr>
              <w:t>4</w:t>
            </w:r>
            <w:r w:rsidR="00904420">
              <w:rPr>
                <w:noProof/>
                <w:webHidden/>
              </w:rPr>
              <w:fldChar w:fldCharType="end"/>
            </w:r>
          </w:hyperlink>
        </w:p>
        <w:p w14:paraId="64CB13B7" w14:textId="62AB0C04" w:rsidR="00904420" w:rsidRDefault="00E22D9B">
          <w:pPr>
            <w:pStyle w:val="TDC3"/>
            <w:rPr>
              <w:rFonts w:asciiTheme="minorHAnsi" w:eastAsiaTheme="minorEastAsia" w:hAnsiTheme="minorHAnsi" w:cstheme="minorBidi"/>
              <w:noProof/>
              <w:szCs w:val="22"/>
              <w:lang w:eastAsia="es-MX"/>
            </w:rPr>
          </w:pPr>
          <w:hyperlink w:anchor="_Toc206616059" w:history="1">
            <w:r w:rsidR="00904420" w:rsidRPr="004843A4">
              <w:rPr>
                <w:rStyle w:val="Hipervnculo"/>
                <w:noProof/>
              </w:rPr>
              <w:t>d) Informe Justificado del Sujeto Obligado</w:t>
            </w:r>
            <w:r w:rsidR="00904420">
              <w:rPr>
                <w:noProof/>
                <w:webHidden/>
              </w:rPr>
              <w:tab/>
            </w:r>
            <w:r w:rsidR="00904420">
              <w:rPr>
                <w:noProof/>
                <w:webHidden/>
              </w:rPr>
              <w:fldChar w:fldCharType="begin"/>
            </w:r>
            <w:r w:rsidR="00904420">
              <w:rPr>
                <w:noProof/>
                <w:webHidden/>
              </w:rPr>
              <w:instrText xml:space="preserve"> PAGEREF _Toc206616059 \h </w:instrText>
            </w:r>
            <w:r w:rsidR="00904420">
              <w:rPr>
                <w:noProof/>
                <w:webHidden/>
              </w:rPr>
            </w:r>
            <w:r w:rsidR="00904420">
              <w:rPr>
                <w:noProof/>
                <w:webHidden/>
              </w:rPr>
              <w:fldChar w:fldCharType="separate"/>
            </w:r>
            <w:r w:rsidR="00585E22">
              <w:rPr>
                <w:noProof/>
                <w:webHidden/>
              </w:rPr>
              <w:t>4</w:t>
            </w:r>
            <w:r w:rsidR="00904420">
              <w:rPr>
                <w:noProof/>
                <w:webHidden/>
              </w:rPr>
              <w:fldChar w:fldCharType="end"/>
            </w:r>
          </w:hyperlink>
        </w:p>
        <w:p w14:paraId="5DC052C8" w14:textId="63F00175" w:rsidR="00904420" w:rsidRDefault="00E22D9B">
          <w:pPr>
            <w:pStyle w:val="TDC3"/>
            <w:rPr>
              <w:rFonts w:asciiTheme="minorHAnsi" w:eastAsiaTheme="minorEastAsia" w:hAnsiTheme="minorHAnsi" w:cstheme="minorBidi"/>
              <w:noProof/>
              <w:szCs w:val="22"/>
              <w:lang w:eastAsia="es-MX"/>
            </w:rPr>
          </w:pPr>
          <w:hyperlink w:anchor="_Toc206616060" w:history="1">
            <w:r w:rsidR="00904420" w:rsidRPr="004843A4">
              <w:rPr>
                <w:rStyle w:val="Hipervnculo"/>
                <w:rFonts w:eastAsia="Calibri"/>
                <w:bCs/>
                <w:noProof/>
                <w:lang w:eastAsia="en-US"/>
              </w:rPr>
              <w:t>e)</w:t>
            </w:r>
            <w:r w:rsidR="00904420" w:rsidRPr="004843A4">
              <w:rPr>
                <w:rStyle w:val="Hipervnculo"/>
                <w:noProof/>
              </w:rPr>
              <w:t xml:space="preserve"> </w:t>
            </w:r>
            <w:r w:rsidR="00904420" w:rsidRPr="004843A4">
              <w:rPr>
                <w:rStyle w:val="Hipervnculo"/>
                <w:noProof/>
                <w:lang w:val="es-ES"/>
              </w:rPr>
              <w:t>Manifestaciones de la Parte Recurrente</w:t>
            </w:r>
            <w:r w:rsidR="00904420">
              <w:rPr>
                <w:noProof/>
                <w:webHidden/>
              </w:rPr>
              <w:tab/>
            </w:r>
            <w:r w:rsidR="00904420">
              <w:rPr>
                <w:noProof/>
                <w:webHidden/>
              </w:rPr>
              <w:fldChar w:fldCharType="begin"/>
            </w:r>
            <w:r w:rsidR="00904420">
              <w:rPr>
                <w:noProof/>
                <w:webHidden/>
              </w:rPr>
              <w:instrText xml:space="preserve"> PAGEREF _Toc206616060 \h </w:instrText>
            </w:r>
            <w:r w:rsidR="00904420">
              <w:rPr>
                <w:noProof/>
                <w:webHidden/>
              </w:rPr>
            </w:r>
            <w:r w:rsidR="00904420">
              <w:rPr>
                <w:noProof/>
                <w:webHidden/>
              </w:rPr>
              <w:fldChar w:fldCharType="separate"/>
            </w:r>
            <w:r w:rsidR="00585E22">
              <w:rPr>
                <w:noProof/>
                <w:webHidden/>
              </w:rPr>
              <w:t>5</w:t>
            </w:r>
            <w:r w:rsidR="00904420">
              <w:rPr>
                <w:noProof/>
                <w:webHidden/>
              </w:rPr>
              <w:fldChar w:fldCharType="end"/>
            </w:r>
          </w:hyperlink>
        </w:p>
        <w:p w14:paraId="3634B3CD" w14:textId="52292783" w:rsidR="00904420" w:rsidRDefault="00E22D9B">
          <w:pPr>
            <w:pStyle w:val="TDC3"/>
            <w:rPr>
              <w:rFonts w:asciiTheme="minorHAnsi" w:eastAsiaTheme="minorEastAsia" w:hAnsiTheme="minorHAnsi" w:cstheme="minorBidi"/>
              <w:noProof/>
              <w:szCs w:val="22"/>
              <w:lang w:eastAsia="es-MX"/>
            </w:rPr>
          </w:pPr>
          <w:hyperlink w:anchor="_Toc206616061" w:history="1">
            <w:r w:rsidR="00904420" w:rsidRPr="004843A4">
              <w:rPr>
                <w:rStyle w:val="Hipervnculo"/>
                <w:rFonts w:eastAsia="Calibri"/>
                <w:noProof/>
              </w:rPr>
              <w:t>f) Ampliación de Plazo para Resolver</w:t>
            </w:r>
            <w:r w:rsidR="00904420">
              <w:rPr>
                <w:noProof/>
                <w:webHidden/>
              </w:rPr>
              <w:tab/>
            </w:r>
            <w:r w:rsidR="00904420">
              <w:rPr>
                <w:noProof/>
                <w:webHidden/>
              </w:rPr>
              <w:fldChar w:fldCharType="begin"/>
            </w:r>
            <w:r w:rsidR="00904420">
              <w:rPr>
                <w:noProof/>
                <w:webHidden/>
              </w:rPr>
              <w:instrText xml:space="preserve"> PAGEREF _Toc206616061 \h </w:instrText>
            </w:r>
            <w:r w:rsidR="00904420">
              <w:rPr>
                <w:noProof/>
                <w:webHidden/>
              </w:rPr>
            </w:r>
            <w:r w:rsidR="00904420">
              <w:rPr>
                <w:noProof/>
                <w:webHidden/>
              </w:rPr>
              <w:fldChar w:fldCharType="separate"/>
            </w:r>
            <w:r w:rsidR="00585E22">
              <w:rPr>
                <w:noProof/>
                <w:webHidden/>
              </w:rPr>
              <w:t>5</w:t>
            </w:r>
            <w:r w:rsidR="00904420">
              <w:rPr>
                <w:noProof/>
                <w:webHidden/>
              </w:rPr>
              <w:fldChar w:fldCharType="end"/>
            </w:r>
          </w:hyperlink>
        </w:p>
        <w:p w14:paraId="1EE27D97" w14:textId="57A8A19B" w:rsidR="00904420" w:rsidRDefault="00E22D9B">
          <w:pPr>
            <w:pStyle w:val="TDC3"/>
            <w:rPr>
              <w:rFonts w:asciiTheme="minorHAnsi" w:eastAsiaTheme="minorEastAsia" w:hAnsiTheme="minorHAnsi" w:cstheme="minorBidi"/>
              <w:noProof/>
              <w:szCs w:val="22"/>
              <w:lang w:eastAsia="es-MX"/>
            </w:rPr>
          </w:pPr>
          <w:hyperlink w:anchor="_Toc206616062" w:history="1">
            <w:r w:rsidR="00904420" w:rsidRPr="004843A4">
              <w:rPr>
                <w:rStyle w:val="Hipervnculo"/>
                <w:rFonts w:eastAsia="Calibri"/>
                <w:noProof/>
              </w:rPr>
              <w:t xml:space="preserve">g) </w:t>
            </w:r>
            <w:r w:rsidR="00904420" w:rsidRPr="004843A4">
              <w:rPr>
                <w:rStyle w:val="Hipervnculo"/>
                <w:noProof/>
              </w:rPr>
              <w:t>Cierre de instrucción</w:t>
            </w:r>
            <w:r w:rsidR="00904420">
              <w:rPr>
                <w:noProof/>
                <w:webHidden/>
              </w:rPr>
              <w:tab/>
            </w:r>
            <w:r w:rsidR="00904420">
              <w:rPr>
                <w:noProof/>
                <w:webHidden/>
              </w:rPr>
              <w:fldChar w:fldCharType="begin"/>
            </w:r>
            <w:r w:rsidR="00904420">
              <w:rPr>
                <w:noProof/>
                <w:webHidden/>
              </w:rPr>
              <w:instrText xml:space="preserve"> PAGEREF _Toc206616062 \h </w:instrText>
            </w:r>
            <w:r w:rsidR="00904420">
              <w:rPr>
                <w:noProof/>
                <w:webHidden/>
              </w:rPr>
            </w:r>
            <w:r w:rsidR="00904420">
              <w:rPr>
                <w:noProof/>
                <w:webHidden/>
              </w:rPr>
              <w:fldChar w:fldCharType="separate"/>
            </w:r>
            <w:r w:rsidR="00585E22">
              <w:rPr>
                <w:noProof/>
                <w:webHidden/>
              </w:rPr>
              <w:t>5</w:t>
            </w:r>
            <w:r w:rsidR="00904420">
              <w:rPr>
                <w:noProof/>
                <w:webHidden/>
              </w:rPr>
              <w:fldChar w:fldCharType="end"/>
            </w:r>
          </w:hyperlink>
        </w:p>
        <w:p w14:paraId="71F8D395" w14:textId="2F1665C0" w:rsidR="00904420" w:rsidRDefault="00E22D9B">
          <w:pPr>
            <w:pStyle w:val="TDC1"/>
            <w:tabs>
              <w:tab w:val="right" w:leader="dot" w:pos="9034"/>
            </w:tabs>
            <w:rPr>
              <w:rFonts w:asciiTheme="minorHAnsi" w:eastAsiaTheme="minorEastAsia" w:hAnsiTheme="minorHAnsi" w:cstheme="minorBidi"/>
              <w:noProof/>
              <w:szCs w:val="22"/>
              <w:lang w:eastAsia="es-MX"/>
            </w:rPr>
          </w:pPr>
          <w:hyperlink w:anchor="_Toc206616063" w:history="1">
            <w:r w:rsidR="00904420" w:rsidRPr="004843A4">
              <w:rPr>
                <w:rStyle w:val="Hipervnculo"/>
                <w:rFonts w:eastAsiaTheme="minorHAnsi"/>
                <w:noProof/>
                <w:lang w:eastAsia="en-US"/>
              </w:rPr>
              <w:t>CONSIDERANDOS</w:t>
            </w:r>
            <w:r w:rsidR="00904420">
              <w:rPr>
                <w:noProof/>
                <w:webHidden/>
              </w:rPr>
              <w:tab/>
            </w:r>
            <w:r w:rsidR="00904420">
              <w:rPr>
                <w:noProof/>
                <w:webHidden/>
              </w:rPr>
              <w:fldChar w:fldCharType="begin"/>
            </w:r>
            <w:r w:rsidR="00904420">
              <w:rPr>
                <w:noProof/>
                <w:webHidden/>
              </w:rPr>
              <w:instrText xml:space="preserve"> PAGEREF _Toc206616063 \h </w:instrText>
            </w:r>
            <w:r w:rsidR="00904420">
              <w:rPr>
                <w:noProof/>
                <w:webHidden/>
              </w:rPr>
            </w:r>
            <w:r w:rsidR="00904420">
              <w:rPr>
                <w:noProof/>
                <w:webHidden/>
              </w:rPr>
              <w:fldChar w:fldCharType="separate"/>
            </w:r>
            <w:r w:rsidR="00585E22">
              <w:rPr>
                <w:noProof/>
                <w:webHidden/>
              </w:rPr>
              <w:t>6</w:t>
            </w:r>
            <w:r w:rsidR="00904420">
              <w:rPr>
                <w:noProof/>
                <w:webHidden/>
              </w:rPr>
              <w:fldChar w:fldCharType="end"/>
            </w:r>
          </w:hyperlink>
        </w:p>
        <w:p w14:paraId="71D9F123" w14:textId="7658C61A" w:rsidR="00904420" w:rsidRDefault="00E22D9B">
          <w:pPr>
            <w:pStyle w:val="TDC2"/>
            <w:rPr>
              <w:rFonts w:asciiTheme="minorHAnsi" w:eastAsiaTheme="minorEastAsia" w:hAnsiTheme="minorHAnsi" w:cstheme="minorBidi"/>
              <w:noProof/>
              <w:szCs w:val="22"/>
              <w:lang w:eastAsia="es-MX"/>
            </w:rPr>
          </w:pPr>
          <w:hyperlink w:anchor="_Toc206616064" w:history="1">
            <w:r w:rsidR="00904420" w:rsidRPr="004843A4">
              <w:rPr>
                <w:rStyle w:val="Hipervnculo"/>
                <w:rFonts w:eastAsia="Batang"/>
                <w:noProof/>
              </w:rPr>
              <w:t>PRIMERO. Procedibilidad</w:t>
            </w:r>
            <w:r w:rsidR="00904420">
              <w:rPr>
                <w:noProof/>
                <w:webHidden/>
              </w:rPr>
              <w:tab/>
            </w:r>
            <w:r w:rsidR="00904420">
              <w:rPr>
                <w:noProof/>
                <w:webHidden/>
              </w:rPr>
              <w:fldChar w:fldCharType="begin"/>
            </w:r>
            <w:r w:rsidR="00904420">
              <w:rPr>
                <w:noProof/>
                <w:webHidden/>
              </w:rPr>
              <w:instrText xml:space="preserve"> PAGEREF _Toc206616064 \h </w:instrText>
            </w:r>
            <w:r w:rsidR="00904420">
              <w:rPr>
                <w:noProof/>
                <w:webHidden/>
              </w:rPr>
            </w:r>
            <w:r w:rsidR="00904420">
              <w:rPr>
                <w:noProof/>
                <w:webHidden/>
              </w:rPr>
              <w:fldChar w:fldCharType="separate"/>
            </w:r>
            <w:r w:rsidR="00585E22">
              <w:rPr>
                <w:noProof/>
                <w:webHidden/>
              </w:rPr>
              <w:t>6</w:t>
            </w:r>
            <w:r w:rsidR="00904420">
              <w:rPr>
                <w:noProof/>
                <w:webHidden/>
              </w:rPr>
              <w:fldChar w:fldCharType="end"/>
            </w:r>
          </w:hyperlink>
        </w:p>
        <w:p w14:paraId="5104CF37" w14:textId="6AD393A7" w:rsidR="00904420" w:rsidRDefault="00E22D9B">
          <w:pPr>
            <w:pStyle w:val="TDC3"/>
            <w:rPr>
              <w:rFonts w:asciiTheme="minorHAnsi" w:eastAsiaTheme="minorEastAsia" w:hAnsiTheme="minorHAnsi" w:cstheme="minorBidi"/>
              <w:noProof/>
              <w:szCs w:val="22"/>
              <w:lang w:eastAsia="es-MX"/>
            </w:rPr>
          </w:pPr>
          <w:hyperlink w:anchor="_Toc206616065" w:history="1">
            <w:r w:rsidR="00904420" w:rsidRPr="004843A4">
              <w:rPr>
                <w:rStyle w:val="Hipervnculo"/>
                <w:noProof/>
              </w:rPr>
              <w:t>a) Competencia del Instituto</w:t>
            </w:r>
            <w:r w:rsidR="00904420">
              <w:rPr>
                <w:noProof/>
                <w:webHidden/>
              </w:rPr>
              <w:tab/>
            </w:r>
            <w:r w:rsidR="00904420">
              <w:rPr>
                <w:noProof/>
                <w:webHidden/>
              </w:rPr>
              <w:fldChar w:fldCharType="begin"/>
            </w:r>
            <w:r w:rsidR="00904420">
              <w:rPr>
                <w:noProof/>
                <w:webHidden/>
              </w:rPr>
              <w:instrText xml:space="preserve"> PAGEREF _Toc206616065 \h </w:instrText>
            </w:r>
            <w:r w:rsidR="00904420">
              <w:rPr>
                <w:noProof/>
                <w:webHidden/>
              </w:rPr>
            </w:r>
            <w:r w:rsidR="00904420">
              <w:rPr>
                <w:noProof/>
                <w:webHidden/>
              </w:rPr>
              <w:fldChar w:fldCharType="separate"/>
            </w:r>
            <w:r w:rsidR="00585E22">
              <w:rPr>
                <w:noProof/>
                <w:webHidden/>
              </w:rPr>
              <w:t>6</w:t>
            </w:r>
            <w:r w:rsidR="00904420">
              <w:rPr>
                <w:noProof/>
                <w:webHidden/>
              </w:rPr>
              <w:fldChar w:fldCharType="end"/>
            </w:r>
          </w:hyperlink>
        </w:p>
        <w:p w14:paraId="408E426E" w14:textId="3F09DDD9" w:rsidR="00904420" w:rsidRDefault="00E22D9B">
          <w:pPr>
            <w:pStyle w:val="TDC3"/>
            <w:rPr>
              <w:rFonts w:asciiTheme="minorHAnsi" w:eastAsiaTheme="minorEastAsia" w:hAnsiTheme="minorHAnsi" w:cstheme="minorBidi"/>
              <w:noProof/>
              <w:szCs w:val="22"/>
              <w:lang w:eastAsia="es-MX"/>
            </w:rPr>
          </w:pPr>
          <w:hyperlink w:anchor="_Toc206616066" w:history="1">
            <w:r w:rsidR="00904420" w:rsidRPr="004843A4">
              <w:rPr>
                <w:rStyle w:val="Hipervnculo"/>
                <w:noProof/>
              </w:rPr>
              <w:t>b) Legitimidad de la parte recurrente</w:t>
            </w:r>
            <w:r w:rsidR="00904420">
              <w:rPr>
                <w:noProof/>
                <w:webHidden/>
              </w:rPr>
              <w:tab/>
            </w:r>
            <w:r w:rsidR="00904420">
              <w:rPr>
                <w:noProof/>
                <w:webHidden/>
              </w:rPr>
              <w:fldChar w:fldCharType="begin"/>
            </w:r>
            <w:r w:rsidR="00904420">
              <w:rPr>
                <w:noProof/>
                <w:webHidden/>
              </w:rPr>
              <w:instrText xml:space="preserve"> PAGEREF _Toc206616066 \h </w:instrText>
            </w:r>
            <w:r w:rsidR="00904420">
              <w:rPr>
                <w:noProof/>
                <w:webHidden/>
              </w:rPr>
            </w:r>
            <w:r w:rsidR="00904420">
              <w:rPr>
                <w:noProof/>
                <w:webHidden/>
              </w:rPr>
              <w:fldChar w:fldCharType="separate"/>
            </w:r>
            <w:r w:rsidR="00585E22">
              <w:rPr>
                <w:noProof/>
                <w:webHidden/>
              </w:rPr>
              <w:t>6</w:t>
            </w:r>
            <w:r w:rsidR="00904420">
              <w:rPr>
                <w:noProof/>
                <w:webHidden/>
              </w:rPr>
              <w:fldChar w:fldCharType="end"/>
            </w:r>
          </w:hyperlink>
        </w:p>
        <w:p w14:paraId="2C973A72" w14:textId="3412207D" w:rsidR="00904420" w:rsidRDefault="00E22D9B">
          <w:pPr>
            <w:pStyle w:val="TDC3"/>
            <w:rPr>
              <w:rFonts w:asciiTheme="minorHAnsi" w:eastAsiaTheme="minorEastAsia" w:hAnsiTheme="minorHAnsi" w:cstheme="minorBidi"/>
              <w:noProof/>
              <w:szCs w:val="22"/>
              <w:lang w:eastAsia="es-MX"/>
            </w:rPr>
          </w:pPr>
          <w:hyperlink w:anchor="_Toc206616067" w:history="1">
            <w:r w:rsidR="00904420" w:rsidRPr="004843A4">
              <w:rPr>
                <w:rStyle w:val="Hipervnculo"/>
                <w:rFonts w:eastAsia="Calibri"/>
                <w:noProof/>
                <w:lang w:eastAsia="es-ES_tradnl"/>
              </w:rPr>
              <w:t>c) Plazo para interponer el recurso</w:t>
            </w:r>
            <w:r w:rsidR="00904420">
              <w:rPr>
                <w:noProof/>
                <w:webHidden/>
              </w:rPr>
              <w:tab/>
            </w:r>
            <w:r w:rsidR="00904420">
              <w:rPr>
                <w:noProof/>
                <w:webHidden/>
              </w:rPr>
              <w:fldChar w:fldCharType="begin"/>
            </w:r>
            <w:r w:rsidR="00904420">
              <w:rPr>
                <w:noProof/>
                <w:webHidden/>
              </w:rPr>
              <w:instrText xml:space="preserve"> PAGEREF _Toc206616067 \h </w:instrText>
            </w:r>
            <w:r w:rsidR="00904420">
              <w:rPr>
                <w:noProof/>
                <w:webHidden/>
              </w:rPr>
            </w:r>
            <w:r w:rsidR="00904420">
              <w:rPr>
                <w:noProof/>
                <w:webHidden/>
              </w:rPr>
              <w:fldChar w:fldCharType="separate"/>
            </w:r>
            <w:r w:rsidR="00585E22">
              <w:rPr>
                <w:noProof/>
                <w:webHidden/>
              </w:rPr>
              <w:t>6</w:t>
            </w:r>
            <w:r w:rsidR="00904420">
              <w:rPr>
                <w:noProof/>
                <w:webHidden/>
              </w:rPr>
              <w:fldChar w:fldCharType="end"/>
            </w:r>
          </w:hyperlink>
        </w:p>
        <w:p w14:paraId="40AA0201" w14:textId="4D26D013" w:rsidR="00904420" w:rsidRDefault="00E22D9B">
          <w:pPr>
            <w:pStyle w:val="TDC3"/>
            <w:rPr>
              <w:rFonts w:asciiTheme="minorHAnsi" w:eastAsiaTheme="minorEastAsia" w:hAnsiTheme="minorHAnsi" w:cstheme="minorBidi"/>
              <w:noProof/>
              <w:szCs w:val="22"/>
              <w:lang w:eastAsia="es-MX"/>
            </w:rPr>
          </w:pPr>
          <w:hyperlink w:anchor="_Toc206616068" w:history="1">
            <w:r w:rsidR="00904420" w:rsidRPr="004843A4">
              <w:rPr>
                <w:rStyle w:val="Hipervnculo"/>
                <w:rFonts w:eastAsia="Calibri"/>
                <w:noProof/>
                <w:lang w:eastAsia="es-ES_tradnl"/>
              </w:rPr>
              <w:t>d) Causal de procedencia</w:t>
            </w:r>
            <w:r w:rsidR="00904420">
              <w:rPr>
                <w:noProof/>
                <w:webHidden/>
              </w:rPr>
              <w:tab/>
            </w:r>
            <w:r w:rsidR="00904420">
              <w:rPr>
                <w:noProof/>
                <w:webHidden/>
              </w:rPr>
              <w:fldChar w:fldCharType="begin"/>
            </w:r>
            <w:r w:rsidR="00904420">
              <w:rPr>
                <w:noProof/>
                <w:webHidden/>
              </w:rPr>
              <w:instrText xml:space="preserve"> PAGEREF _Toc206616068 \h </w:instrText>
            </w:r>
            <w:r w:rsidR="00904420">
              <w:rPr>
                <w:noProof/>
                <w:webHidden/>
              </w:rPr>
            </w:r>
            <w:r w:rsidR="00904420">
              <w:rPr>
                <w:noProof/>
                <w:webHidden/>
              </w:rPr>
              <w:fldChar w:fldCharType="separate"/>
            </w:r>
            <w:r w:rsidR="00585E22">
              <w:rPr>
                <w:noProof/>
                <w:webHidden/>
              </w:rPr>
              <w:t>7</w:t>
            </w:r>
            <w:r w:rsidR="00904420">
              <w:rPr>
                <w:noProof/>
                <w:webHidden/>
              </w:rPr>
              <w:fldChar w:fldCharType="end"/>
            </w:r>
          </w:hyperlink>
        </w:p>
        <w:p w14:paraId="551BAAFE" w14:textId="0A91BF32" w:rsidR="00904420" w:rsidRDefault="00E22D9B">
          <w:pPr>
            <w:pStyle w:val="TDC3"/>
            <w:rPr>
              <w:rFonts w:asciiTheme="minorHAnsi" w:eastAsiaTheme="minorEastAsia" w:hAnsiTheme="minorHAnsi" w:cstheme="minorBidi"/>
              <w:noProof/>
              <w:szCs w:val="22"/>
              <w:lang w:eastAsia="es-MX"/>
            </w:rPr>
          </w:pPr>
          <w:hyperlink w:anchor="_Toc206616069" w:history="1">
            <w:r w:rsidR="00904420" w:rsidRPr="004843A4">
              <w:rPr>
                <w:rStyle w:val="Hipervnculo"/>
                <w:noProof/>
              </w:rPr>
              <w:t>e) Requisitos formales para la interposición del recurso</w:t>
            </w:r>
            <w:r w:rsidR="00904420">
              <w:rPr>
                <w:noProof/>
                <w:webHidden/>
              </w:rPr>
              <w:tab/>
            </w:r>
            <w:r w:rsidR="00904420">
              <w:rPr>
                <w:noProof/>
                <w:webHidden/>
              </w:rPr>
              <w:fldChar w:fldCharType="begin"/>
            </w:r>
            <w:r w:rsidR="00904420">
              <w:rPr>
                <w:noProof/>
                <w:webHidden/>
              </w:rPr>
              <w:instrText xml:space="preserve"> PAGEREF _Toc206616069 \h </w:instrText>
            </w:r>
            <w:r w:rsidR="00904420">
              <w:rPr>
                <w:noProof/>
                <w:webHidden/>
              </w:rPr>
            </w:r>
            <w:r w:rsidR="00904420">
              <w:rPr>
                <w:noProof/>
                <w:webHidden/>
              </w:rPr>
              <w:fldChar w:fldCharType="separate"/>
            </w:r>
            <w:r w:rsidR="00585E22">
              <w:rPr>
                <w:noProof/>
                <w:webHidden/>
              </w:rPr>
              <w:t>7</w:t>
            </w:r>
            <w:r w:rsidR="00904420">
              <w:rPr>
                <w:noProof/>
                <w:webHidden/>
              </w:rPr>
              <w:fldChar w:fldCharType="end"/>
            </w:r>
          </w:hyperlink>
        </w:p>
        <w:p w14:paraId="217BA8D1" w14:textId="598C580E" w:rsidR="00904420" w:rsidRDefault="00E22D9B">
          <w:pPr>
            <w:pStyle w:val="TDC2"/>
            <w:rPr>
              <w:rFonts w:asciiTheme="minorHAnsi" w:eastAsiaTheme="minorEastAsia" w:hAnsiTheme="minorHAnsi" w:cstheme="minorBidi"/>
              <w:noProof/>
              <w:szCs w:val="22"/>
              <w:lang w:eastAsia="es-MX"/>
            </w:rPr>
          </w:pPr>
          <w:hyperlink w:anchor="_Toc206616070" w:history="1">
            <w:r w:rsidR="00904420" w:rsidRPr="004843A4">
              <w:rPr>
                <w:rStyle w:val="Hipervnculo"/>
                <w:noProof/>
              </w:rPr>
              <w:t>SEGUNDO. Estudio de Fondo</w:t>
            </w:r>
            <w:r w:rsidR="00904420">
              <w:rPr>
                <w:noProof/>
                <w:webHidden/>
              </w:rPr>
              <w:tab/>
            </w:r>
            <w:r w:rsidR="00904420">
              <w:rPr>
                <w:noProof/>
                <w:webHidden/>
              </w:rPr>
              <w:fldChar w:fldCharType="begin"/>
            </w:r>
            <w:r w:rsidR="00904420">
              <w:rPr>
                <w:noProof/>
                <w:webHidden/>
              </w:rPr>
              <w:instrText xml:space="preserve"> PAGEREF _Toc206616070 \h </w:instrText>
            </w:r>
            <w:r w:rsidR="00904420">
              <w:rPr>
                <w:noProof/>
                <w:webHidden/>
              </w:rPr>
            </w:r>
            <w:r w:rsidR="00904420">
              <w:rPr>
                <w:noProof/>
                <w:webHidden/>
              </w:rPr>
              <w:fldChar w:fldCharType="separate"/>
            </w:r>
            <w:r w:rsidR="00585E22">
              <w:rPr>
                <w:noProof/>
                <w:webHidden/>
              </w:rPr>
              <w:t>7</w:t>
            </w:r>
            <w:r w:rsidR="00904420">
              <w:rPr>
                <w:noProof/>
                <w:webHidden/>
              </w:rPr>
              <w:fldChar w:fldCharType="end"/>
            </w:r>
          </w:hyperlink>
        </w:p>
        <w:p w14:paraId="20082BE6" w14:textId="6188146A" w:rsidR="00904420" w:rsidRDefault="00E22D9B">
          <w:pPr>
            <w:pStyle w:val="TDC3"/>
            <w:rPr>
              <w:rFonts w:asciiTheme="minorHAnsi" w:eastAsiaTheme="minorEastAsia" w:hAnsiTheme="minorHAnsi" w:cstheme="minorBidi"/>
              <w:noProof/>
              <w:szCs w:val="22"/>
              <w:lang w:eastAsia="es-MX"/>
            </w:rPr>
          </w:pPr>
          <w:hyperlink w:anchor="_Toc206616071" w:history="1">
            <w:r w:rsidR="00904420" w:rsidRPr="004843A4">
              <w:rPr>
                <w:rStyle w:val="Hipervnculo"/>
                <w:noProof/>
              </w:rPr>
              <w:t>a) Mandato de transparencia y responsabilidad del Sujeto Obligado</w:t>
            </w:r>
            <w:r w:rsidR="00904420">
              <w:rPr>
                <w:noProof/>
                <w:webHidden/>
              </w:rPr>
              <w:tab/>
            </w:r>
            <w:r w:rsidR="00904420">
              <w:rPr>
                <w:noProof/>
                <w:webHidden/>
              </w:rPr>
              <w:fldChar w:fldCharType="begin"/>
            </w:r>
            <w:r w:rsidR="00904420">
              <w:rPr>
                <w:noProof/>
                <w:webHidden/>
              </w:rPr>
              <w:instrText xml:space="preserve"> PAGEREF _Toc206616071 \h </w:instrText>
            </w:r>
            <w:r w:rsidR="00904420">
              <w:rPr>
                <w:noProof/>
                <w:webHidden/>
              </w:rPr>
            </w:r>
            <w:r w:rsidR="00904420">
              <w:rPr>
                <w:noProof/>
                <w:webHidden/>
              </w:rPr>
              <w:fldChar w:fldCharType="separate"/>
            </w:r>
            <w:r w:rsidR="00585E22">
              <w:rPr>
                <w:noProof/>
                <w:webHidden/>
              </w:rPr>
              <w:t>7</w:t>
            </w:r>
            <w:r w:rsidR="00904420">
              <w:rPr>
                <w:noProof/>
                <w:webHidden/>
              </w:rPr>
              <w:fldChar w:fldCharType="end"/>
            </w:r>
          </w:hyperlink>
        </w:p>
        <w:p w14:paraId="7488E574" w14:textId="0238119B" w:rsidR="00904420" w:rsidRDefault="00E22D9B">
          <w:pPr>
            <w:pStyle w:val="TDC3"/>
            <w:rPr>
              <w:rFonts w:asciiTheme="minorHAnsi" w:eastAsiaTheme="minorEastAsia" w:hAnsiTheme="minorHAnsi" w:cstheme="minorBidi"/>
              <w:noProof/>
              <w:szCs w:val="22"/>
              <w:lang w:eastAsia="es-MX"/>
            </w:rPr>
          </w:pPr>
          <w:hyperlink w:anchor="_Toc206616072" w:history="1">
            <w:r w:rsidR="00904420" w:rsidRPr="004843A4">
              <w:rPr>
                <w:rStyle w:val="Hipervnculo"/>
                <w:rFonts w:eastAsia="Calibri"/>
                <w:noProof/>
                <w:lang w:eastAsia="es-ES_tradnl"/>
              </w:rPr>
              <w:t>b) Controversia a resolver</w:t>
            </w:r>
            <w:r w:rsidR="00904420">
              <w:rPr>
                <w:noProof/>
                <w:webHidden/>
              </w:rPr>
              <w:tab/>
            </w:r>
            <w:r w:rsidR="00904420">
              <w:rPr>
                <w:noProof/>
                <w:webHidden/>
              </w:rPr>
              <w:fldChar w:fldCharType="begin"/>
            </w:r>
            <w:r w:rsidR="00904420">
              <w:rPr>
                <w:noProof/>
                <w:webHidden/>
              </w:rPr>
              <w:instrText xml:space="preserve"> PAGEREF _Toc206616072 \h </w:instrText>
            </w:r>
            <w:r w:rsidR="00904420">
              <w:rPr>
                <w:noProof/>
                <w:webHidden/>
              </w:rPr>
            </w:r>
            <w:r w:rsidR="00904420">
              <w:rPr>
                <w:noProof/>
                <w:webHidden/>
              </w:rPr>
              <w:fldChar w:fldCharType="separate"/>
            </w:r>
            <w:r w:rsidR="00585E22">
              <w:rPr>
                <w:noProof/>
                <w:webHidden/>
              </w:rPr>
              <w:t>10</w:t>
            </w:r>
            <w:r w:rsidR="00904420">
              <w:rPr>
                <w:noProof/>
                <w:webHidden/>
              </w:rPr>
              <w:fldChar w:fldCharType="end"/>
            </w:r>
          </w:hyperlink>
        </w:p>
        <w:p w14:paraId="42D7773F" w14:textId="15436D45" w:rsidR="00904420" w:rsidRDefault="00E22D9B">
          <w:pPr>
            <w:pStyle w:val="TDC3"/>
            <w:rPr>
              <w:rFonts w:asciiTheme="minorHAnsi" w:eastAsiaTheme="minorEastAsia" w:hAnsiTheme="minorHAnsi" w:cstheme="minorBidi"/>
              <w:noProof/>
              <w:szCs w:val="22"/>
              <w:lang w:eastAsia="es-MX"/>
            </w:rPr>
          </w:pPr>
          <w:hyperlink w:anchor="_Toc206616073" w:history="1">
            <w:r w:rsidR="00904420" w:rsidRPr="004843A4">
              <w:rPr>
                <w:rStyle w:val="Hipervnculo"/>
                <w:rFonts w:eastAsia="Calibri"/>
                <w:noProof/>
                <w:lang w:eastAsia="es-ES_tradnl"/>
              </w:rPr>
              <w:t>c) Estudio de la controversia</w:t>
            </w:r>
            <w:r w:rsidR="00904420">
              <w:rPr>
                <w:noProof/>
                <w:webHidden/>
              </w:rPr>
              <w:tab/>
            </w:r>
            <w:r w:rsidR="00904420">
              <w:rPr>
                <w:noProof/>
                <w:webHidden/>
              </w:rPr>
              <w:fldChar w:fldCharType="begin"/>
            </w:r>
            <w:r w:rsidR="00904420">
              <w:rPr>
                <w:noProof/>
                <w:webHidden/>
              </w:rPr>
              <w:instrText xml:space="preserve"> PAGEREF _Toc206616073 \h </w:instrText>
            </w:r>
            <w:r w:rsidR="00904420">
              <w:rPr>
                <w:noProof/>
                <w:webHidden/>
              </w:rPr>
            </w:r>
            <w:r w:rsidR="00904420">
              <w:rPr>
                <w:noProof/>
                <w:webHidden/>
              </w:rPr>
              <w:fldChar w:fldCharType="separate"/>
            </w:r>
            <w:r w:rsidR="00585E22">
              <w:rPr>
                <w:noProof/>
                <w:webHidden/>
              </w:rPr>
              <w:t>11</w:t>
            </w:r>
            <w:r w:rsidR="00904420">
              <w:rPr>
                <w:noProof/>
                <w:webHidden/>
              </w:rPr>
              <w:fldChar w:fldCharType="end"/>
            </w:r>
          </w:hyperlink>
        </w:p>
        <w:p w14:paraId="5F067923" w14:textId="2F30970E" w:rsidR="00904420" w:rsidRDefault="00E22D9B">
          <w:pPr>
            <w:pStyle w:val="TDC1"/>
            <w:tabs>
              <w:tab w:val="right" w:leader="dot" w:pos="9034"/>
            </w:tabs>
            <w:rPr>
              <w:rFonts w:asciiTheme="minorHAnsi" w:eastAsiaTheme="minorEastAsia" w:hAnsiTheme="minorHAnsi" w:cstheme="minorBidi"/>
              <w:noProof/>
              <w:szCs w:val="22"/>
              <w:lang w:eastAsia="es-MX"/>
            </w:rPr>
          </w:pPr>
          <w:hyperlink w:anchor="_Toc206616074" w:history="1">
            <w:r w:rsidR="00904420" w:rsidRPr="004843A4">
              <w:rPr>
                <w:rStyle w:val="Hipervnculo"/>
                <w:b/>
                <w:noProof/>
              </w:rPr>
              <w:t>RESUELVE</w:t>
            </w:r>
            <w:r w:rsidR="00904420">
              <w:rPr>
                <w:noProof/>
                <w:webHidden/>
              </w:rPr>
              <w:tab/>
            </w:r>
            <w:r w:rsidR="00904420">
              <w:rPr>
                <w:noProof/>
                <w:webHidden/>
              </w:rPr>
              <w:fldChar w:fldCharType="begin"/>
            </w:r>
            <w:r w:rsidR="00904420">
              <w:rPr>
                <w:noProof/>
                <w:webHidden/>
              </w:rPr>
              <w:instrText xml:space="preserve"> PAGEREF _Toc206616074 \h </w:instrText>
            </w:r>
            <w:r w:rsidR="00904420">
              <w:rPr>
                <w:noProof/>
                <w:webHidden/>
              </w:rPr>
            </w:r>
            <w:r w:rsidR="00904420">
              <w:rPr>
                <w:noProof/>
                <w:webHidden/>
              </w:rPr>
              <w:fldChar w:fldCharType="separate"/>
            </w:r>
            <w:r w:rsidR="00585E22">
              <w:rPr>
                <w:noProof/>
                <w:webHidden/>
              </w:rPr>
              <w:t>17</w:t>
            </w:r>
            <w:r w:rsidR="00904420">
              <w:rPr>
                <w:noProof/>
                <w:webHidden/>
              </w:rPr>
              <w:fldChar w:fldCharType="end"/>
            </w:r>
          </w:hyperlink>
        </w:p>
        <w:p w14:paraId="0C82FD7A" w14:textId="04B7000B" w:rsidR="009B2945" w:rsidRPr="001B7797" w:rsidRDefault="00AE3DA7" w:rsidP="00141876">
          <w:pPr>
            <w:spacing w:line="240" w:lineRule="auto"/>
            <w:rPr>
              <w:b/>
              <w:bCs/>
              <w:lang w:val="es-ES"/>
            </w:rPr>
          </w:pPr>
          <w:r w:rsidRPr="001B7797">
            <w:rPr>
              <w:b/>
              <w:bCs/>
              <w:sz w:val="16"/>
              <w:szCs w:val="16"/>
              <w:lang w:val="es-ES"/>
            </w:rPr>
            <w:fldChar w:fldCharType="end"/>
          </w:r>
        </w:p>
      </w:sdtContent>
    </w:sdt>
    <w:p w14:paraId="603A07E2" w14:textId="77777777" w:rsidR="00646436" w:rsidRPr="001B7797" w:rsidRDefault="00646436" w:rsidP="00664420">
      <w:pPr>
        <w:rPr>
          <w:rFonts w:cs="Tahoma"/>
          <w:szCs w:val="22"/>
        </w:rPr>
        <w:sectPr w:rsidR="00646436" w:rsidRPr="001B779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0304B1E" w:rsidR="00775BFC" w:rsidRPr="001B7797" w:rsidRDefault="00775BFC" w:rsidP="00775BFC">
      <w:r w:rsidRPr="001B7797">
        <w:lastRenderedPageBreak/>
        <w:t>Resolución del Pleno del Instituto de Transparencia, Acceso a la Información Pública y Protección de Datos Personales del Estado de México y Municipios, con domicilio e</w:t>
      </w:r>
      <w:r w:rsidR="004D0573" w:rsidRPr="001B7797">
        <w:t>n Metepec, Estado de México, de</w:t>
      </w:r>
      <w:r w:rsidR="00904420">
        <w:t>l</w:t>
      </w:r>
      <w:r w:rsidR="004D0573" w:rsidRPr="001B7797">
        <w:t xml:space="preserve"> </w:t>
      </w:r>
      <w:r w:rsidR="00652A59" w:rsidRPr="001B7797">
        <w:rPr>
          <w:b/>
        </w:rPr>
        <w:t xml:space="preserve">veinte de agosto </w:t>
      </w:r>
      <w:r w:rsidR="006E7E69" w:rsidRPr="001B7797">
        <w:rPr>
          <w:b/>
        </w:rPr>
        <w:t>de dos mil veinticinco</w:t>
      </w:r>
      <w:r w:rsidRPr="001B7797">
        <w:t>.</w:t>
      </w:r>
    </w:p>
    <w:p w14:paraId="0AF3AAC4" w14:textId="77777777" w:rsidR="00775BFC" w:rsidRPr="001B7797" w:rsidRDefault="00775BFC" w:rsidP="00775BFC"/>
    <w:p w14:paraId="40EAE038" w14:textId="3ACD7005" w:rsidR="00775BFC" w:rsidRPr="001B7797" w:rsidRDefault="00775BFC" w:rsidP="0086345C">
      <w:r w:rsidRPr="001B7797">
        <w:rPr>
          <w:b/>
        </w:rPr>
        <w:t xml:space="preserve">VISTO </w:t>
      </w:r>
      <w:r w:rsidRPr="001B7797">
        <w:t xml:space="preserve">el expediente formado con motivo del Recurso de Revisión </w:t>
      </w:r>
      <w:bookmarkStart w:id="3" w:name="_GoBack"/>
      <w:r w:rsidR="006E7E69" w:rsidRPr="001B7797">
        <w:rPr>
          <w:rFonts w:eastAsia="Calibri"/>
          <w:b/>
          <w:lang w:eastAsia="en-US"/>
        </w:rPr>
        <w:t>0</w:t>
      </w:r>
      <w:r w:rsidR="00AF3D48" w:rsidRPr="001B7797">
        <w:rPr>
          <w:rFonts w:eastAsia="Calibri"/>
          <w:b/>
          <w:lang w:eastAsia="en-US"/>
        </w:rPr>
        <w:t>6702</w:t>
      </w:r>
      <w:r w:rsidR="006E7E69" w:rsidRPr="001B7797">
        <w:rPr>
          <w:rFonts w:eastAsia="Calibri"/>
          <w:b/>
          <w:lang w:eastAsia="en-US"/>
        </w:rPr>
        <w:t>/INFOEM/IP/RR/2025</w:t>
      </w:r>
      <w:r w:rsidRPr="001B7797">
        <w:rPr>
          <w:rFonts w:eastAsia="Calibri"/>
          <w:lang w:eastAsia="en-US"/>
        </w:rPr>
        <w:t xml:space="preserve"> </w:t>
      </w:r>
      <w:bookmarkEnd w:id="3"/>
      <w:r w:rsidRPr="001B7797">
        <w:t xml:space="preserve">interpuesto por </w:t>
      </w:r>
      <w:r w:rsidR="00B14C2A">
        <w:rPr>
          <w:rFonts w:eastAsia="Calibri"/>
          <w:b/>
          <w:bCs/>
          <w:lang w:eastAsia="en-US"/>
        </w:rPr>
        <w:t>XXXX XXXXX XXXXX XXXXX</w:t>
      </w:r>
      <w:r w:rsidRPr="001B7797">
        <w:rPr>
          <w:rFonts w:eastAsia="Calibri"/>
          <w:b/>
          <w:lang w:eastAsia="en-US"/>
        </w:rPr>
        <w:t>,</w:t>
      </w:r>
      <w:r w:rsidRPr="001B7797">
        <w:t xml:space="preserve"> a quien en lo subsecuente se le denominará </w:t>
      </w:r>
      <w:r w:rsidRPr="001B7797">
        <w:rPr>
          <w:b/>
          <w:bCs/>
        </w:rPr>
        <w:t>LA PARTE RECURRENTE</w:t>
      </w:r>
      <w:r w:rsidRPr="001B7797">
        <w:t xml:space="preserve">, en contra de la </w:t>
      </w:r>
      <w:r w:rsidR="00773DD6" w:rsidRPr="001B7797">
        <w:t xml:space="preserve">respuesta </w:t>
      </w:r>
      <w:r w:rsidR="00BA1AB6" w:rsidRPr="001B7797">
        <w:t>de</w:t>
      </w:r>
      <w:r w:rsidR="005A5BF2" w:rsidRPr="001B7797">
        <w:t>l</w:t>
      </w:r>
      <w:r w:rsidR="00773DD6" w:rsidRPr="001B7797">
        <w:t xml:space="preserve"> </w:t>
      </w:r>
      <w:r w:rsidR="00AF3D48" w:rsidRPr="001B7797">
        <w:rPr>
          <w:rFonts w:eastAsia="Calibri"/>
          <w:b/>
          <w:bCs/>
          <w:lang w:eastAsia="en-US"/>
        </w:rPr>
        <w:t>Ayuntamiento de Atlautla</w:t>
      </w:r>
      <w:r w:rsidRPr="001B7797">
        <w:rPr>
          <w:b/>
          <w:bCs/>
        </w:rPr>
        <w:t>,</w:t>
      </w:r>
      <w:r w:rsidRPr="001B7797">
        <w:t xml:space="preserve"> en adelante </w:t>
      </w:r>
      <w:r w:rsidRPr="001B7797">
        <w:rPr>
          <w:b/>
          <w:bCs/>
        </w:rPr>
        <w:t>EL SUJETO OBLIGADO</w:t>
      </w:r>
      <w:r w:rsidRPr="001B7797">
        <w:rPr>
          <w:rFonts w:eastAsia="Calibri"/>
          <w:lang w:eastAsia="en-US"/>
        </w:rPr>
        <w:t xml:space="preserve">, </w:t>
      </w:r>
      <w:r w:rsidRPr="001B7797">
        <w:t>se emite la presente Resolución con base en los Antecedentes y Considerandos que se exponen a continuación:</w:t>
      </w:r>
    </w:p>
    <w:p w14:paraId="2116968C" w14:textId="77777777" w:rsidR="00775BFC" w:rsidRPr="001B7797" w:rsidRDefault="00775BFC" w:rsidP="00775BFC"/>
    <w:p w14:paraId="5A444FB6" w14:textId="639D3567" w:rsidR="00664420" w:rsidRPr="001B7797" w:rsidRDefault="00664420" w:rsidP="00664420">
      <w:pPr>
        <w:pStyle w:val="Ttulo1"/>
      </w:pPr>
      <w:bookmarkStart w:id="4" w:name="_Toc206616050"/>
      <w:r w:rsidRPr="001B7797">
        <w:t>ANTECEDENTES</w:t>
      </w:r>
      <w:bookmarkEnd w:id="4"/>
    </w:p>
    <w:p w14:paraId="5CB5034E" w14:textId="77777777" w:rsidR="00AC2DB8" w:rsidRPr="001B7797" w:rsidRDefault="00AC2DB8" w:rsidP="00E37A3F"/>
    <w:p w14:paraId="09B2D38F" w14:textId="6E49D146" w:rsidR="00664420" w:rsidRPr="001B7797" w:rsidRDefault="00E37A3F" w:rsidP="00C80B14">
      <w:pPr>
        <w:pStyle w:val="Ttulo2"/>
      </w:pPr>
      <w:bookmarkStart w:id="5" w:name="_Toc206616051"/>
      <w:r w:rsidRPr="001B7797">
        <w:t>DE LA SOLICITUD DE INFORMACIÓN</w:t>
      </w:r>
      <w:bookmarkEnd w:id="5"/>
    </w:p>
    <w:p w14:paraId="2C6AD1A5" w14:textId="0405B3CD" w:rsidR="00664420" w:rsidRPr="001B7797" w:rsidRDefault="00E37A3F" w:rsidP="00E37A3F">
      <w:pPr>
        <w:pStyle w:val="Ttulo3"/>
      </w:pPr>
      <w:bookmarkStart w:id="6" w:name="_Toc206616052"/>
      <w:r w:rsidRPr="001B7797">
        <w:t xml:space="preserve">a) </w:t>
      </w:r>
      <w:r w:rsidR="006B10B0" w:rsidRPr="001B7797">
        <w:t>S</w:t>
      </w:r>
      <w:r w:rsidR="00664420" w:rsidRPr="001B7797">
        <w:t xml:space="preserve">olicitud de </w:t>
      </w:r>
      <w:r w:rsidR="006B10B0" w:rsidRPr="001B7797">
        <w:t>i</w:t>
      </w:r>
      <w:r w:rsidR="00664420" w:rsidRPr="001B7797">
        <w:t>nformación</w:t>
      </w:r>
      <w:bookmarkEnd w:id="6"/>
    </w:p>
    <w:p w14:paraId="6F73510B" w14:textId="33330EED" w:rsidR="000F32E8" w:rsidRPr="000858AD" w:rsidRDefault="00B169A2" w:rsidP="000F32E8">
      <w:pPr>
        <w:pStyle w:val="Prrafodelista"/>
        <w:tabs>
          <w:tab w:val="left" w:pos="0"/>
        </w:tabs>
        <w:ind w:left="0"/>
        <w:contextualSpacing w:val="0"/>
        <w:rPr>
          <w:rFonts w:cs="Tahoma"/>
        </w:rPr>
      </w:pPr>
      <w:r w:rsidRPr="00C55281">
        <w:rPr>
          <w:rFonts w:cs="Tahoma"/>
        </w:rPr>
        <w:t xml:space="preserve">El </w:t>
      </w:r>
      <w:r w:rsidR="00AF3D48">
        <w:rPr>
          <w:rFonts w:cs="Tahoma"/>
          <w:b/>
          <w:bCs/>
        </w:rPr>
        <w:t xml:space="preserve">dos de junio </w:t>
      </w:r>
      <w:r w:rsidR="006E7E69" w:rsidRPr="00C55281">
        <w:rPr>
          <w:rFonts w:cs="Tahoma"/>
          <w:b/>
          <w:bCs/>
        </w:rPr>
        <w:t>de dos mil veinticinco</w:t>
      </w:r>
      <w:r w:rsidRPr="00C55281">
        <w:rPr>
          <w:rFonts w:cs="Tahoma"/>
        </w:rPr>
        <w:t xml:space="preserve">, </w:t>
      </w:r>
      <w:r w:rsidRPr="00C55281">
        <w:rPr>
          <w:b/>
          <w:bCs/>
        </w:rPr>
        <w:t>LA PARTE RECURRENTE</w:t>
      </w:r>
      <w:r w:rsidRPr="00C55281">
        <w:rPr>
          <w:rFonts w:cs="Tahoma"/>
        </w:rPr>
        <w:t xml:space="preserve"> presentó una solicitud de acceso a la información pública ante el </w:t>
      </w:r>
      <w:r w:rsidRPr="00C55281">
        <w:rPr>
          <w:rFonts w:cs="Tahoma"/>
          <w:b/>
          <w:bCs/>
        </w:rPr>
        <w:t>SUJETO OBLIGADO</w:t>
      </w:r>
      <w:r w:rsidRPr="00C55281">
        <w:rPr>
          <w:rFonts w:cs="Tahoma"/>
        </w:rPr>
        <w:t xml:space="preserve">, a través </w:t>
      </w:r>
      <w:r w:rsidR="000F32E8" w:rsidRPr="00C55281">
        <w:rPr>
          <w:rFonts w:cs="Tahoma"/>
        </w:rPr>
        <w:t>Sistema de Acceso a la Información Mexiquense (</w:t>
      </w:r>
      <w:r w:rsidR="000F32E8" w:rsidRPr="00C55281">
        <w:rPr>
          <w:rFonts w:cs="Tahoma"/>
          <w:b/>
        </w:rPr>
        <w:t>SAIMEX</w:t>
      </w:r>
      <w:r w:rsidR="000F32E8" w:rsidRPr="00C55281">
        <w:rPr>
          <w:rFonts w:cs="Tahoma"/>
        </w:rPr>
        <w:t xml:space="preserve">). </w:t>
      </w:r>
      <w:r w:rsidRPr="00C55281">
        <w:rPr>
          <w:rFonts w:cs="Tahoma"/>
        </w:rPr>
        <w:t>Dicha solicitud quedó registrada con el número de folio</w:t>
      </w:r>
      <w:r w:rsidRPr="00C55281">
        <w:rPr>
          <w:rFonts w:cs="Tahoma"/>
          <w:b/>
          <w:bCs/>
        </w:rPr>
        <w:t xml:space="preserve"> </w:t>
      </w:r>
      <w:r w:rsidR="00AF3D48" w:rsidRPr="00AF3D48">
        <w:rPr>
          <w:rFonts w:cs="Tahoma"/>
          <w:b/>
          <w:bCs/>
        </w:rPr>
        <w:t xml:space="preserve">00061/ATLAUTLA/IP/2025 </w:t>
      </w:r>
      <w:r w:rsidRPr="00C55281">
        <w:rPr>
          <w:rFonts w:cs="Tahoma"/>
        </w:rPr>
        <w:t>y en ella se requirió la siguiente información:</w:t>
      </w:r>
    </w:p>
    <w:p w14:paraId="0459D6AC" w14:textId="77777777" w:rsidR="00664420" w:rsidRPr="00AE3A48" w:rsidRDefault="00664420" w:rsidP="00AE3A48">
      <w:pPr>
        <w:pStyle w:val="Ttulo"/>
      </w:pPr>
    </w:p>
    <w:p w14:paraId="64B27DE3" w14:textId="481044FA" w:rsidR="00664420" w:rsidRPr="009E4644" w:rsidRDefault="002B1D44" w:rsidP="00B169A2">
      <w:pPr>
        <w:pStyle w:val="Ttulo"/>
      </w:pPr>
      <w:r w:rsidRPr="009E4644">
        <w:t>“</w:t>
      </w:r>
      <w:r w:rsidR="00AF3D48" w:rsidRPr="00AF3D48">
        <w:t>SOLICITO INFORMACION EN COPIA SIMPLE DIGITALIZADA DE LAS FACTURAS CON LOS GASTOS QUE EL AYUNTAMIENTO CONSTITUCIONAL DE ATLAUTLA 2024-2027 REALIZO CON MOTIVO DE SU GREMIO ANUAL QUE CELEBRAN EN CABECERA MUNICIPAL JUNIO 2025</w:t>
      </w:r>
      <w:r w:rsidRPr="009E4644">
        <w:t>”</w:t>
      </w:r>
      <w:r w:rsidR="00BA1AB6" w:rsidRPr="009E4644">
        <w:t xml:space="preserve"> (sic)</w:t>
      </w:r>
    </w:p>
    <w:p w14:paraId="07B1E1B5" w14:textId="77777777" w:rsidR="004D0573" w:rsidRPr="009E4644" w:rsidRDefault="004D0573" w:rsidP="006E7E69">
      <w:pPr>
        <w:pStyle w:val="Ttulo"/>
      </w:pPr>
    </w:p>
    <w:p w14:paraId="0BD6321D" w14:textId="5D8567EA" w:rsidR="00664420" w:rsidRPr="009E4644" w:rsidRDefault="009A2D78" w:rsidP="009A2D78">
      <w:pPr>
        <w:tabs>
          <w:tab w:val="left" w:pos="4667"/>
        </w:tabs>
        <w:ind w:left="567" w:right="567"/>
        <w:rPr>
          <w:rFonts w:cs="Tahoma"/>
          <w:bCs/>
          <w:szCs w:val="22"/>
        </w:rPr>
      </w:pPr>
      <w:r w:rsidRPr="009E4644">
        <w:rPr>
          <w:rFonts w:cs="Tahoma"/>
          <w:b/>
          <w:bCs/>
          <w:szCs w:val="22"/>
        </w:rPr>
        <w:t>Modalidad de entrega</w:t>
      </w:r>
      <w:r w:rsidRPr="009E4644">
        <w:rPr>
          <w:rFonts w:cs="Tahoma"/>
          <w:bCs/>
          <w:szCs w:val="22"/>
        </w:rPr>
        <w:t>: a</w:t>
      </w:r>
      <w:r w:rsidR="00664420" w:rsidRPr="009E4644">
        <w:rPr>
          <w:rFonts w:cs="Tahoma"/>
          <w:bCs/>
          <w:i/>
          <w:szCs w:val="22"/>
        </w:rPr>
        <w:t xml:space="preserve"> través del </w:t>
      </w:r>
      <w:r w:rsidR="00664420" w:rsidRPr="009E4644">
        <w:rPr>
          <w:rFonts w:cs="Tahoma"/>
          <w:b/>
          <w:bCs/>
          <w:i/>
          <w:szCs w:val="22"/>
        </w:rPr>
        <w:t>SAIMEX</w:t>
      </w:r>
      <w:r w:rsidRPr="009E4644">
        <w:rPr>
          <w:rFonts w:cs="Tahoma"/>
          <w:bCs/>
          <w:i/>
          <w:szCs w:val="22"/>
        </w:rPr>
        <w:t>.</w:t>
      </w:r>
    </w:p>
    <w:p w14:paraId="334D2860" w14:textId="77777777" w:rsidR="00664420" w:rsidRDefault="00664420" w:rsidP="00664420">
      <w:pPr>
        <w:autoSpaceDE w:val="0"/>
        <w:autoSpaceDN w:val="0"/>
        <w:adjustRightInd w:val="0"/>
        <w:ind w:right="-28"/>
        <w:rPr>
          <w:rFonts w:cs="Tahoma"/>
          <w:bCs/>
          <w:i/>
          <w:szCs w:val="22"/>
        </w:rPr>
      </w:pPr>
    </w:p>
    <w:p w14:paraId="7A87AD76" w14:textId="77777777" w:rsidR="00C55281" w:rsidRPr="001B7797" w:rsidRDefault="00C55281" w:rsidP="00C55281">
      <w:pPr>
        <w:pStyle w:val="Ttulo3"/>
      </w:pPr>
      <w:bookmarkStart w:id="7" w:name="_Toc195183471"/>
      <w:bookmarkStart w:id="8" w:name="_Toc206616053"/>
      <w:r w:rsidRPr="001B7797">
        <w:lastRenderedPageBreak/>
        <w:t>b) Turno de la solicitud de información</w:t>
      </w:r>
      <w:bookmarkEnd w:id="7"/>
      <w:bookmarkEnd w:id="8"/>
    </w:p>
    <w:p w14:paraId="42168320" w14:textId="03202AC1" w:rsidR="00C55281" w:rsidRDefault="00C55281" w:rsidP="00C55281">
      <w:pPr>
        <w:rPr>
          <w:color w:val="000000" w:themeColor="text1"/>
        </w:rPr>
      </w:pPr>
      <w:r>
        <w:rPr>
          <w:color w:val="000000" w:themeColor="text1"/>
        </w:rPr>
        <w:t xml:space="preserve">En cumplimiento al artículo 162 de la Ley de Transparencia y Acceso a la Información Pública del Estado de México y Municipios, el </w:t>
      </w:r>
      <w:r w:rsidR="00AF3D48">
        <w:rPr>
          <w:rFonts w:eastAsia="Palatino Linotype" w:cs="Palatino Linotype"/>
          <w:b/>
        </w:rPr>
        <w:t>tres</w:t>
      </w:r>
      <w:r w:rsidR="00652A59">
        <w:rPr>
          <w:rFonts w:eastAsia="Palatino Linotype" w:cs="Palatino Linotype"/>
          <w:b/>
        </w:rPr>
        <w:t xml:space="preserve"> de </w:t>
      </w:r>
      <w:r w:rsidR="00AF3D48">
        <w:rPr>
          <w:rFonts w:eastAsia="Palatino Linotype" w:cs="Palatino Linotype"/>
          <w:b/>
        </w:rPr>
        <w:t>junio</w:t>
      </w:r>
      <w:r w:rsidR="00652A59">
        <w:rPr>
          <w:rFonts w:eastAsia="Palatino Linotype" w:cs="Palatino Linotype"/>
          <w:b/>
        </w:rPr>
        <w:t xml:space="preserve"> </w:t>
      </w:r>
      <w:r w:rsidR="004C4BC6">
        <w:rPr>
          <w:rFonts w:eastAsia="Palatino Linotype" w:cs="Palatino Linotype"/>
          <w:b/>
        </w:rPr>
        <w:t>d</w:t>
      </w:r>
      <w:r>
        <w:rPr>
          <w:rFonts w:eastAsia="Palatino Linotype" w:cs="Palatino Linotype"/>
          <w:b/>
        </w:rPr>
        <w:t>e dos mil veinticinco</w:t>
      </w:r>
      <w:r>
        <w:rPr>
          <w:color w:val="000000" w:themeColor="text1"/>
        </w:rPr>
        <w:t xml:space="preserve">, el Titular de la Unidad de Transparencia del </w:t>
      </w:r>
      <w:r>
        <w:rPr>
          <w:b/>
          <w:color w:val="000000" w:themeColor="text1"/>
        </w:rPr>
        <w:t>SUJETO OBLIGADO</w:t>
      </w:r>
      <w:r>
        <w:rPr>
          <w:color w:val="000000" w:themeColor="text1"/>
        </w:rPr>
        <w:t xml:space="preserve"> turnó la solicitud de información al servidor público habilitado que estimó pertinente.</w:t>
      </w:r>
    </w:p>
    <w:p w14:paraId="20423228" w14:textId="77777777" w:rsidR="00C55281" w:rsidRDefault="00C55281" w:rsidP="00664420">
      <w:pPr>
        <w:autoSpaceDE w:val="0"/>
        <w:autoSpaceDN w:val="0"/>
        <w:adjustRightInd w:val="0"/>
        <w:ind w:right="-28"/>
        <w:rPr>
          <w:rFonts w:cs="Tahoma"/>
          <w:bCs/>
          <w:i/>
          <w:szCs w:val="22"/>
        </w:rPr>
      </w:pPr>
    </w:p>
    <w:p w14:paraId="3212BA4D" w14:textId="37D5C744" w:rsidR="00664420" w:rsidRPr="001B7797" w:rsidRDefault="00652A59" w:rsidP="00E37A3F">
      <w:pPr>
        <w:pStyle w:val="Ttulo3"/>
      </w:pPr>
      <w:bookmarkStart w:id="9" w:name="_Toc204692533"/>
      <w:bookmarkStart w:id="10" w:name="_Toc206616054"/>
      <w:r w:rsidRPr="001B7797">
        <w:rPr>
          <w:rFonts w:eastAsia="Calibri"/>
          <w:lang w:eastAsia="en-US"/>
        </w:rPr>
        <w:t xml:space="preserve">c) </w:t>
      </w:r>
      <w:bookmarkEnd w:id="9"/>
      <w:r w:rsidR="00664420" w:rsidRPr="001B7797">
        <w:rPr>
          <w:lang w:val="es-ES"/>
        </w:rPr>
        <w:t xml:space="preserve">Respuesta </w:t>
      </w:r>
      <w:r w:rsidR="00664420" w:rsidRPr="001B7797">
        <w:rPr>
          <w:rFonts w:eastAsia="Calibri"/>
          <w:lang w:eastAsia="en-US"/>
        </w:rPr>
        <w:t>del Sujeto Obligado</w:t>
      </w:r>
      <w:bookmarkEnd w:id="10"/>
    </w:p>
    <w:p w14:paraId="2143017E" w14:textId="5EAA08E7" w:rsidR="00BA1AB6" w:rsidRPr="009E4644" w:rsidRDefault="003B0255" w:rsidP="003B0255">
      <w:pPr>
        <w:rPr>
          <w:lang w:val="es-ES"/>
        </w:rPr>
      </w:pPr>
      <w:r w:rsidRPr="009E4644">
        <w:rPr>
          <w:lang w:val="es-ES"/>
        </w:rPr>
        <w:t xml:space="preserve">El </w:t>
      </w:r>
      <w:r w:rsidR="00AF3D48">
        <w:rPr>
          <w:b/>
          <w:bCs/>
          <w:lang w:val="es-ES"/>
        </w:rPr>
        <w:t>siete de junio d</w:t>
      </w:r>
      <w:r w:rsidRPr="009E4644">
        <w:rPr>
          <w:b/>
          <w:bCs/>
          <w:lang w:val="es-ES"/>
        </w:rPr>
        <w:t>e dos mil veintic</w:t>
      </w:r>
      <w:r w:rsidR="006E7E69">
        <w:rPr>
          <w:b/>
          <w:bCs/>
          <w:lang w:val="es-ES"/>
        </w:rPr>
        <w:t>inco</w:t>
      </w:r>
      <w:r w:rsidRPr="009E4644">
        <w:rPr>
          <w:lang w:val="es-ES"/>
        </w:rPr>
        <w:t xml:space="preserve">, el Titular de la Unidad de Transparencia del </w:t>
      </w:r>
      <w:r w:rsidRPr="009E4644">
        <w:rPr>
          <w:b/>
          <w:lang w:val="es-ES"/>
        </w:rPr>
        <w:t>SUJETO OBLIGADO</w:t>
      </w:r>
      <w:r w:rsidRPr="009E4644">
        <w:rPr>
          <w:lang w:val="es-ES"/>
        </w:rPr>
        <w:t xml:space="preserve"> notificó la siguiente respuesta a través del </w:t>
      </w:r>
      <w:r w:rsidRPr="009E4644">
        <w:rPr>
          <w:b/>
          <w:lang w:val="es-ES"/>
        </w:rPr>
        <w:t>SAIMEX</w:t>
      </w:r>
      <w:r w:rsidRPr="009E4644">
        <w:rPr>
          <w:lang w:val="es-ES"/>
        </w:rPr>
        <w:t>:</w:t>
      </w:r>
    </w:p>
    <w:p w14:paraId="64166B4B" w14:textId="77777777" w:rsidR="003B0255" w:rsidRPr="009E4644" w:rsidRDefault="003B0255" w:rsidP="003B0255"/>
    <w:p w14:paraId="748CAEC0" w14:textId="77777777" w:rsidR="00AF3D48" w:rsidRDefault="003B0255" w:rsidP="00AF3D48">
      <w:pPr>
        <w:pStyle w:val="Ttulo"/>
      </w:pPr>
      <w:r w:rsidRPr="009E4644">
        <w:t>“</w:t>
      </w:r>
      <w:r w:rsidR="00AF3D48">
        <w:t>En respuesta a la solicitud recibida, nos permitimos hacer de su conocimiento que con fundamento en el artículo 53, Fracciones: II, V y VI de la Ley de Transparencia y Acceso a la Información Pública del Estado de México y Municipios, le contestamos que:</w:t>
      </w:r>
    </w:p>
    <w:p w14:paraId="2DAF5F23" w14:textId="77777777" w:rsidR="00AF3D48" w:rsidRPr="00AF3D48" w:rsidRDefault="00AF3D48" w:rsidP="00AF3D48"/>
    <w:p w14:paraId="5418F32F" w14:textId="77777777" w:rsidR="00AF3D48" w:rsidRDefault="00AF3D48" w:rsidP="00AF3D48">
      <w:pPr>
        <w:pStyle w:val="Ttulo"/>
      </w:pPr>
      <w:r>
        <w:t>En atención a su solicitud de información bajo el Número de Folio de la Solicitud 00061/ATLAUTLA/IP/2025 recibida por el Sistema de Acceso a la Información Mexiquense (SAIMEX), donde solicita INFORMACIÓN EN COPIA SIMPLE DIGITALIZADA DE LAS FACTURAS CON LOS GASTOS QUE EL AYUNTAMIENTO DE ATLAUTLA 2024-2027 REALIZO CON MOTIVO DE SU GREMIO ANUAL QUE CELEBRAN EN CABECERA MUNICIPAL JUNIO 2025. En relación a la información solicitada le informo que a la fecha no contamos con ninguna factura realizada por los gastos realizados con motivo del gremio anual celebrada en cabecera municipal junio 2025. Sin más por el momento, quedamos a su disposición para cualquier duda o aclaración adicional.</w:t>
      </w:r>
    </w:p>
    <w:p w14:paraId="550E96D0" w14:textId="77777777" w:rsidR="00AF3D48" w:rsidRPr="00AF3D48" w:rsidRDefault="00AF3D48" w:rsidP="00AF3D48"/>
    <w:p w14:paraId="5C364098" w14:textId="77777777" w:rsidR="00AF3D48" w:rsidRDefault="00AF3D48" w:rsidP="00AF3D48">
      <w:pPr>
        <w:pStyle w:val="Ttulo"/>
      </w:pPr>
      <w:r>
        <w:t>ATENTAMENTE</w:t>
      </w:r>
    </w:p>
    <w:p w14:paraId="7DD56C60" w14:textId="77777777" w:rsidR="00AF3D48" w:rsidRPr="00AF3D48" w:rsidRDefault="00AF3D48" w:rsidP="00AF3D48"/>
    <w:p w14:paraId="4A08B1BE" w14:textId="2858DDFD" w:rsidR="003B0255" w:rsidRPr="00AF3D48" w:rsidRDefault="00AF3D48" w:rsidP="00AF3D48">
      <w:pPr>
        <w:pStyle w:val="Ttulo"/>
        <w:rPr>
          <w:lang w:val="pt-PT"/>
        </w:rPr>
      </w:pPr>
      <w:r w:rsidRPr="00AF3D48">
        <w:rPr>
          <w:lang w:val="pt-PT"/>
        </w:rPr>
        <w:t>LIC. MIGUEL ANGEL AMARO AMARO</w:t>
      </w:r>
      <w:r w:rsidR="003B0255" w:rsidRPr="00AF3D48">
        <w:rPr>
          <w:lang w:val="pt-PT"/>
        </w:rPr>
        <w:t>” (sic)</w:t>
      </w:r>
    </w:p>
    <w:p w14:paraId="4B1F18A0" w14:textId="77777777" w:rsidR="003B0255" w:rsidRPr="00AF3D48" w:rsidRDefault="003B0255" w:rsidP="003B0255">
      <w:pPr>
        <w:rPr>
          <w:lang w:val="pt-PT"/>
        </w:rPr>
      </w:pPr>
    </w:p>
    <w:p w14:paraId="31AC69B1" w14:textId="584CF925" w:rsidR="00AF3D48" w:rsidRDefault="00821A06" w:rsidP="00821A06">
      <w:pPr>
        <w:autoSpaceDE w:val="0"/>
        <w:autoSpaceDN w:val="0"/>
        <w:adjustRightInd w:val="0"/>
        <w:ind w:right="-28"/>
        <w:rPr>
          <w:rFonts w:cs="Tahoma"/>
          <w:szCs w:val="22"/>
        </w:rPr>
      </w:pPr>
      <w:r w:rsidRPr="009E4644">
        <w:rPr>
          <w:rFonts w:cs="Tahoma"/>
          <w:bCs/>
          <w:szCs w:val="22"/>
          <w:lang w:val="es-ES"/>
        </w:rPr>
        <w:lastRenderedPageBreak/>
        <w:t xml:space="preserve">Asimismo, </w:t>
      </w:r>
      <w:r w:rsidRPr="009E4644">
        <w:rPr>
          <w:rFonts w:cs="Tahoma"/>
          <w:b/>
          <w:szCs w:val="22"/>
          <w:lang w:val="es-ES"/>
        </w:rPr>
        <w:t xml:space="preserve">EL SUJETO OBLIGADO </w:t>
      </w:r>
      <w:r w:rsidRPr="009E4644">
        <w:rPr>
          <w:rFonts w:cs="Tahoma"/>
          <w:bCs/>
          <w:szCs w:val="22"/>
          <w:lang w:val="es-ES"/>
        </w:rPr>
        <w:t>adjuntó a su respuesta</w:t>
      </w:r>
      <w:r w:rsidR="000B1439">
        <w:rPr>
          <w:rFonts w:cs="Tahoma"/>
          <w:bCs/>
          <w:szCs w:val="22"/>
          <w:lang w:val="es-ES"/>
        </w:rPr>
        <w:t xml:space="preserve"> </w:t>
      </w:r>
      <w:r w:rsidR="00AF3D48">
        <w:rPr>
          <w:rFonts w:cs="Tahoma"/>
          <w:bCs/>
          <w:szCs w:val="22"/>
          <w:lang w:val="es-ES"/>
        </w:rPr>
        <w:t xml:space="preserve">el </w:t>
      </w:r>
      <w:r>
        <w:rPr>
          <w:rFonts w:cs="Tahoma"/>
          <w:bCs/>
          <w:szCs w:val="22"/>
          <w:lang w:val="es-ES"/>
        </w:rPr>
        <w:t>archivo electrónico</w:t>
      </w:r>
      <w:r w:rsidR="00AF3D48">
        <w:rPr>
          <w:rFonts w:cs="Tahoma"/>
          <w:bCs/>
          <w:szCs w:val="22"/>
          <w:lang w:val="es-ES"/>
        </w:rPr>
        <w:t xml:space="preserve"> denominado </w:t>
      </w:r>
      <w:r w:rsidR="00AF3D48" w:rsidRPr="00AF3D48">
        <w:rPr>
          <w:rFonts w:cs="Tahoma"/>
          <w:b/>
          <w:bCs/>
          <w:i/>
          <w:iCs/>
          <w:szCs w:val="22"/>
        </w:rPr>
        <w:t>Color_PDF0012.pdf</w:t>
      </w:r>
      <w:r w:rsidR="00AF3D48">
        <w:rPr>
          <w:rFonts w:cs="Tahoma"/>
          <w:b/>
          <w:bCs/>
          <w:i/>
          <w:iCs/>
          <w:szCs w:val="22"/>
        </w:rPr>
        <w:t xml:space="preserve">, </w:t>
      </w:r>
      <w:r w:rsidR="00AF3D48">
        <w:rPr>
          <w:rFonts w:cs="Tahoma"/>
          <w:szCs w:val="22"/>
        </w:rPr>
        <w:t xml:space="preserve">el cual contiene oficio número TES/ATL/182/2025 del seis de junio de dos mil veinticinco, por medio del cual el Tesorero Municipal informa que no cuenta con ninguna factura realizada por gastos realizados con motivo del gremio anula celebrada en cabecera municipal junio 2025. </w:t>
      </w:r>
    </w:p>
    <w:p w14:paraId="1A39D724" w14:textId="77777777" w:rsidR="00AF3D48" w:rsidRPr="00AF3D48" w:rsidRDefault="00AF3D48" w:rsidP="00821A06">
      <w:pPr>
        <w:autoSpaceDE w:val="0"/>
        <w:autoSpaceDN w:val="0"/>
        <w:adjustRightInd w:val="0"/>
        <w:ind w:right="-28"/>
        <w:rPr>
          <w:rFonts w:cs="Tahoma"/>
          <w:szCs w:val="22"/>
          <w:lang w:val="es-ES"/>
        </w:rPr>
      </w:pPr>
    </w:p>
    <w:p w14:paraId="0F24A322" w14:textId="7F9E5F9A" w:rsidR="00B137E8" w:rsidRPr="001B7797" w:rsidRDefault="00B137E8" w:rsidP="00B137E8">
      <w:pPr>
        <w:pStyle w:val="Ttulo2"/>
        <w:jc w:val="left"/>
      </w:pPr>
      <w:bookmarkStart w:id="11" w:name="_Toc171527280"/>
      <w:bookmarkStart w:id="12" w:name="_Toc206616055"/>
      <w:r w:rsidRPr="001B7797">
        <w:t>DEL RECURSO DE REVISIÓN</w:t>
      </w:r>
      <w:bookmarkEnd w:id="11"/>
      <w:bookmarkEnd w:id="12"/>
    </w:p>
    <w:p w14:paraId="2B216813" w14:textId="61ADBB2B" w:rsidR="00664420" w:rsidRPr="001B7797" w:rsidRDefault="006E25BC" w:rsidP="006E25BC">
      <w:pPr>
        <w:pStyle w:val="Ttulo3"/>
      </w:pPr>
      <w:bookmarkStart w:id="13" w:name="_Toc206616056"/>
      <w:r w:rsidRPr="001B7797">
        <w:rPr>
          <w:szCs w:val="32"/>
        </w:rPr>
        <w:t>a)</w:t>
      </w:r>
      <w:r w:rsidRPr="001B7797">
        <w:t xml:space="preserve"> </w:t>
      </w:r>
      <w:r w:rsidR="00664420" w:rsidRPr="001B7797">
        <w:t>Interposición del Recurso de Revisión</w:t>
      </w:r>
      <w:bookmarkEnd w:id="13"/>
    </w:p>
    <w:p w14:paraId="6279C622" w14:textId="18FE1976" w:rsidR="00664420" w:rsidRPr="009E4644" w:rsidRDefault="00664420" w:rsidP="00664420">
      <w:pPr>
        <w:autoSpaceDE w:val="0"/>
        <w:autoSpaceDN w:val="0"/>
        <w:adjustRightInd w:val="0"/>
        <w:ind w:right="-28"/>
        <w:rPr>
          <w:rFonts w:cs="Tahoma"/>
          <w:szCs w:val="22"/>
        </w:rPr>
      </w:pPr>
      <w:r w:rsidRPr="009E4644">
        <w:rPr>
          <w:rFonts w:cs="Tahoma"/>
          <w:szCs w:val="22"/>
        </w:rPr>
        <w:t xml:space="preserve">El </w:t>
      </w:r>
      <w:r w:rsidR="006F4DAB">
        <w:rPr>
          <w:rFonts w:cs="Tahoma"/>
          <w:b/>
          <w:bCs/>
          <w:szCs w:val="22"/>
        </w:rPr>
        <w:t xml:space="preserve">nueve de junio </w:t>
      </w:r>
      <w:r w:rsidR="00475FF6">
        <w:rPr>
          <w:rFonts w:cs="Tahoma"/>
          <w:b/>
          <w:bCs/>
          <w:szCs w:val="22"/>
        </w:rPr>
        <w:t xml:space="preserve">de </w:t>
      </w:r>
      <w:r w:rsidRPr="009E4644">
        <w:rPr>
          <w:rFonts w:cs="Tahoma"/>
          <w:b/>
          <w:bCs/>
          <w:szCs w:val="22"/>
        </w:rPr>
        <w:t>dos mil</w:t>
      </w:r>
      <w:r w:rsidR="00F45902" w:rsidRPr="009E4644">
        <w:rPr>
          <w:rFonts w:cs="Tahoma"/>
          <w:b/>
          <w:bCs/>
          <w:szCs w:val="22"/>
        </w:rPr>
        <w:t xml:space="preserve"> veintic</w:t>
      </w:r>
      <w:r w:rsidR="006E7E69">
        <w:rPr>
          <w:rFonts w:cs="Tahoma"/>
          <w:b/>
          <w:bCs/>
          <w:szCs w:val="22"/>
        </w:rPr>
        <w:t>inco</w:t>
      </w:r>
      <w:r w:rsidR="00887577">
        <w:rPr>
          <w:rFonts w:cs="Tahoma"/>
          <w:b/>
          <w:bCs/>
          <w:szCs w:val="22"/>
        </w:rPr>
        <w:t xml:space="preserve"> </w:t>
      </w:r>
      <w:r w:rsidR="00F75D23" w:rsidRPr="009E4644">
        <w:rPr>
          <w:rFonts w:cs="Tahoma"/>
          <w:b/>
          <w:bCs/>
          <w:szCs w:val="22"/>
        </w:rPr>
        <w:t>LA PARTE RECURRENTE</w:t>
      </w:r>
      <w:r w:rsidR="00F75D23" w:rsidRPr="009E4644">
        <w:rPr>
          <w:rFonts w:cs="Tahoma"/>
          <w:szCs w:val="22"/>
        </w:rPr>
        <w:t xml:space="preserve"> interpuso el recurso de revisión en contra de la respuesta emitida por el </w:t>
      </w:r>
      <w:r w:rsidR="00F75D23" w:rsidRPr="009E4644">
        <w:rPr>
          <w:rFonts w:cs="Tahoma"/>
          <w:b/>
          <w:bCs/>
          <w:szCs w:val="22"/>
        </w:rPr>
        <w:t>SUJETO OBLIGADO</w:t>
      </w:r>
      <w:r w:rsidR="00953430" w:rsidRPr="009E4644">
        <w:rPr>
          <w:rFonts w:cs="Tahoma"/>
          <w:szCs w:val="22"/>
        </w:rPr>
        <w:t xml:space="preserve">, mismo que fue registrado en el </w:t>
      </w:r>
      <w:r w:rsidR="00953430" w:rsidRPr="009E4644">
        <w:rPr>
          <w:rFonts w:cs="Tahoma"/>
          <w:b/>
          <w:szCs w:val="22"/>
        </w:rPr>
        <w:t>SAIMEX</w:t>
      </w:r>
      <w:r w:rsidR="00953430" w:rsidRPr="009E4644">
        <w:rPr>
          <w:rFonts w:cs="Tahoma"/>
          <w:szCs w:val="22"/>
        </w:rPr>
        <w:t xml:space="preserve"> con el número de expediente </w:t>
      </w:r>
      <w:r w:rsidR="006E7E69" w:rsidRPr="006E7E69">
        <w:rPr>
          <w:rFonts w:cs="Tahoma"/>
          <w:b/>
          <w:bCs/>
          <w:szCs w:val="22"/>
        </w:rPr>
        <w:t>0</w:t>
      </w:r>
      <w:r w:rsidR="006F4DAB">
        <w:rPr>
          <w:rFonts w:cs="Tahoma"/>
          <w:b/>
          <w:bCs/>
          <w:szCs w:val="22"/>
        </w:rPr>
        <w:t>6702</w:t>
      </w:r>
      <w:r w:rsidR="001A3AF8">
        <w:rPr>
          <w:rFonts w:cs="Tahoma"/>
          <w:b/>
          <w:bCs/>
          <w:szCs w:val="22"/>
        </w:rPr>
        <w:t>/</w:t>
      </w:r>
      <w:r w:rsidR="006E7E69" w:rsidRPr="006E7E69">
        <w:rPr>
          <w:rFonts w:cs="Tahoma"/>
          <w:b/>
          <w:bCs/>
          <w:szCs w:val="22"/>
        </w:rPr>
        <w:t>INFOEM/IP/RR/2025</w:t>
      </w:r>
      <w:r w:rsidR="00953430" w:rsidRPr="009E4644">
        <w:rPr>
          <w:rFonts w:cs="Tahoma"/>
          <w:szCs w:val="22"/>
        </w:rPr>
        <w:t>, y en el cual manifiesta lo siguiente</w:t>
      </w:r>
      <w:r w:rsidRPr="009E4644">
        <w:rPr>
          <w:rFonts w:cs="Tahoma"/>
          <w:szCs w:val="22"/>
        </w:rPr>
        <w:t>:</w:t>
      </w:r>
    </w:p>
    <w:p w14:paraId="74B30008" w14:textId="77777777" w:rsidR="00664420" w:rsidRPr="009E4644" w:rsidRDefault="00664420" w:rsidP="00664420">
      <w:pPr>
        <w:tabs>
          <w:tab w:val="left" w:pos="4667"/>
        </w:tabs>
        <w:ind w:right="539"/>
        <w:rPr>
          <w:rFonts w:cs="Tahoma"/>
          <w:szCs w:val="22"/>
        </w:rPr>
      </w:pPr>
    </w:p>
    <w:p w14:paraId="7DD5D65D" w14:textId="77777777" w:rsidR="00F61982" w:rsidRPr="00AF3D48" w:rsidRDefault="00664420" w:rsidP="00CE3DBD">
      <w:pPr>
        <w:tabs>
          <w:tab w:val="left" w:pos="4667"/>
        </w:tabs>
        <w:ind w:right="539"/>
        <w:rPr>
          <w:rFonts w:cs="Tahoma"/>
          <w:b/>
          <w:iCs/>
        </w:rPr>
      </w:pPr>
      <w:r w:rsidRPr="00AF3D48">
        <w:rPr>
          <w:rFonts w:cs="Tahoma"/>
          <w:b/>
          <w:iCs/>
        </w:rPr>
        <w:t>ACTO IMPUGNADO</w:t>
      </w:r>
      <w:r w:rsidR="00F61982" w:rsidRPr="00AF3D48">
        <w:rPr>
          <w:rFonts w:cs="Tahoma"/>
          <w:b/>
          <w:iCs/>
        </w:rPr>
        <w:t xml:space="preserve">: </w:t>
      </w:r>
    </w:p>
    <w:p w14:paraId="4A91E67C" w14:textId="77777777" w:rsidR="00F61982" w:rsidRPr="00AF3D48" w:rsidRDefault="00F61982" w:rsidP="00CE3DBD">
      <w:pPr>
        <w:tabs>
          <w:tab w:val="left" w:pos="4667"/>
        </w:tabs>
        <w:ind w:right="539"/>
        <w:rPr>
          <w:rFonts w:cs="Tahoma"/>
          <w:b/>
          <w:iCs/>
        </w:rPr>
      </w:pPr>
    </w:p>
    <w:p w14:paraId="3C1C9027" w14:textId="7577712A" w:rsidR="00F61982" w:rsidRPr="00AF3D48" w:rsidRDefault="00F61982" w:rsidP="00F61982">
      <w:pPr>
        <w:pStyle w:val="Ttulo"/>
      </w:pPr>
      <w:r w:rsidRPr="00BA0639">
        <w:t>“</w:t>
      </w:r>
      <w:r w:rsidR="006F4DAB" w:rsidRPr="006F4DAB">
        <w:t>SOLICITO INFORMACIÓN EN COPIA SIMPLE DIGITALIZADA DE LAS FACTURAS CON LOS GASTOS QUE EL AYUNTAMIENTO DE ATLAUTLA 2024-2027 REALIZO CON MOTIVO DE SU GREMIO ANUAL QUE CELEBRAN EN CABECERA MUNICIPAL JUNIO 2025.</w:t>
      </w:r>
      <w:r w:rsidRPr="00BA0639">
        <w:t xml:space="preserve">” </w:t>
      </w:r>
      <w:r w:rsidRPr="00AF3D48">
        <w:t xml:space="preserve">(sic) </w:t>
      </w:r>
    </w:p>
    <w:p w14:paraId="5A440799" w14:textId="77777777" w:rsidR="00F61982" w:rsidRPr="00AF3D48" w:rsidRDefault="00F61982" w:rsidP="000C516E">
      <w:pPr>
        <w:pStyle w:val="Ttulo"/>
      </w:pPr>
    </w:p>
    <w:p w14:paraId="2780191D" w14:textId="5AAE0319" w:rsidR="006415E5" w:rsidRDefault="001A3AF8" w:rsidP="00CE3DBD">
      <w:pPr>
        <w:tabs>
          <w:tab w:val="left" w:pos="4667"/>
        </w:tabs>
        <w:ind w:right="539"/>
        <w:rPr>
          <w:rFonts w:cs="Tahoma"/>
          <w:b/>
          <w:iCs/>
        </w:rPr>
      </w:pPr>
      <w:r>
        <w:rPr>
          <w:rFonts w:cs="Tahoma"/>
          <w:b/>
          <w:iCs/>
        </w:rPr>
        <w:t>RAZONES O MOTIVOS DE INCONFORMIDAD</w:t>
      </w:r>
      <w:r w:rsidR="006415E5">
        <w:rPr>
          <w:rFonts w:cs="Tahoma"/>
          <w:b/>
          <w:iCs/>
        </w:rPr>
        <w:t xml:space="preserve">: </w:t>
      </w:r>
    </w:p>
    <w:p w14:paraId="369BEFEA" w14:textId="77777777" w:rsidR="006415E5" w:rsidRPr="006415E5" w:rsidRDefault="006415E5" w:rsidP="006415E5">
      <w:pPr>
        <w:pStyle w:val="Ttulo"/>
      </w:pPr>
    </w:p>
    <w:p w14:paraId="174FC425" w14:textId="0D665F64" w:rsidR="006415E5" w:rsidRPr="006415E5" w:rsidRDefault="006415E5" w:rsidP="006415E5">
      <w:pPr>
        <w:pStyle w:val="Ttulo"/>
      </w:pPr>
      <w:r w:rsidRPr="006415E5">
        <w:t>“</w:t>
      </w:r>
      <w:r w:rsidR="006F4DAB" w:rsidRPr="006F4DAB">
        <w:t>DECLARA QUE NO EXISTE NINGUNA INFORMACION, APESAR QUE EN LA 18VA SESION ORDINARIA DE CABILDO CELEBRADA EN PALACIO MUNICIPAL DE ATLAUTLA EL 22 DE MAYO DEL PRESENTE AÑO APROBARON UN PRESUPUESTO DE 120 MIL PESOS</w:t>
      </w:r>
      <w:r w:rsidRPr="006415E5">
        <w:t xml:space="preserve">” (sic) </w:t>
      </w:r>
    </w:p>
    <w:p w14:paraId="737EA022" w14:textId="77777777" w:rsidR="006415E5" w:rsidRDefault="006415E5" w:rsidP="006F4DAB">
      <w:pPr>
        <w:pStyle w:val="Ttulo"/>
        <w:ind w:left="0"/>
      </w:pPr>
    </w:p>
    <w:p w14:paraId="1C4ABAF9" w14:textId="5CF561C2" w:rsidR="006F4DAB" w:rsidRDefault="006F4DAB" w:rsidP="006F4DAB">
      <w:pPr>
        <w:rPr>
          <w:b/>
          <w:lang w:val="es-ES"/>
        </w:rPr>
      </w:pPr>
      <w:r w:rsidRPr="006F4DAB">
        <w:rPr>
          <w:bCs/>
          <w:lang w:val="es-ES"/>
        </w:rPr>
        <w:lastRenderedPageBreak/>
        <w:t xml:space="preserve">Asimismo, </w:t>
      </w:r>
      <w:r>
        <w:rPr>
          <w:b/>
          <w:lang w:val="es-ES"/>
        </w:rPr>
        <w:t>LA PARTE RECURRENTE</w:t>
      </w:r>
      <w:r w:rsidRPr="006F4DAB">
        <w:rPr>
          <w:b/>
          <w:lang w:val="es-ES"/>
        </w:rPr>
        <w:t xml:space="preserve"> </w:t>
      </w:r>
      <w:r w:rsidRPr="006F4DAB">
        <w:rPr>
          <w:bCs/>
          <w:lang w:val="es-ES"/>
        </w:rPr>
        <w:t>adjuntó</w:t>
      </w:r>
      <w:r>
        <w:rPr>
          <w:bCs/>
          <w:lang w:val="es-ES"/>
        </w:rPr>
        <w:t xml:space="preserve"> </w:t>
      </w:r>
      <w:r w:rsidRPr="006F4DAB">
        <w:rPr>
          <w:bCs/>
          <w:lang w:val="es-ES"/>
        </w:rPr>
        <w:t xml:space="preserve">a su </w:t>
      </w:r>
      <w:r>
        <w:rPr>
          <w:bCs/>
          <w:lang w:val="es-ES"/>
        </w:rPr>
        <w:t xml:space="preserve">interposición el archivo electrónico denominado </w:t>
      </w:r>
      <w:r w:rsidRPr="006F4DAB">
        <w:rPr>
          <w:b/>
          <w:i/>
          <w:iCs/>
          <w:lang w:val="es-ES"/>
        </w:rPr>
        <w:t>Color_PDF0012.pdf</w:t>
      </w:r>
      <w:r>
        <w:rPr>
          <w:b/>
          <w:i/>
          <w:iCs/>
          <w:lang w:val="es-ES"/>
        </w:rPr>
        <w:t xml:space="preserve">, </w:t>
      </w:r>
      <w:r>
        <w:rPr>
          <w:bCs/>
          <w:lang w:val="es-ES"/>
        </w:rPr>
        <w:t xml:space="preserve">el cual corresponde al </w:t>
      </w:r>
      <w:r>
        <w:rPr>
          <w:rFonts w:cs="Tahoma"/>
          <w:szCs w:val="22"/>
        </w:rPr>
        <w:t xml:space="preserve">oficio número TES/ATL/182/2025 </w:t>
      </w:r>
      <w:r>
        <w:rPr>
          <w:bCs/>
          <w:lang w:val="es-ES"/>
        </w:rPr>
        <w:t>notificado en respuesta</w:t>
      </w:r>
      <w:r>
        <w:rPr>
          <w:b/>
          <w:lang w:val="es-ES"/>
        </w:rPr>
        <w:t xml:space="preserve">. </w:t>
      </w:r>
    </w:p>
    <w:p w14:paraId="14FBF343" w14:textId="77777777" w:rsidR="006F4DAB" w:rsidRDefault="006F4DAB" w:rsidP="006F4DAB">
      <w:pPr>
        <w:rPr>
          <w:b/>
          <w:lang w:val="es-ES"/>
        </w:rPr>
      </w:pPr>
    </w:p>
    <w:p w14:paraId="6804DEF1" w14:textId="1FD3227A" w:rsidR="00664420" w:rsidRPr="001B7797" w:rsidRDefault="006E25BC" w:rsidP="006E25BC">
      <w:pPr>
        <w:pStyle w:val="Ttulo3"/>
      </w:pPr>
      <w:bookmarkStart w:id="14" w:name="_Toc206616057"/>
      <w:r w:rsidRPr="001B7797">
        <w:t>b</w:t>
      </w:r>
      <w:r w:rsidR="00664420" w:rsidRPr="001B7797">
        <w:t>) Turno del Recurso de Revisión</w:t>
      </w:r>
      <w:bookmarkEnd w:id="14"/>
    </w:p>
    <w:p w14:paraId="1173671B" w14:textId="4810407D" w:rsidR="00C72DAA" w:rsidRPr="009E4644" w:rsidRDefault="00C72DAA" w:rsidP="00C72DAA">
      <w:r w:rsidRPr="009E4644">
        <w:t>Con fundamento en el artículo 185, fracción I de la Ley de Transparencia y Acceso a la Información Pública del Estado de México y Municipios, el</w:t>
      </w:r>
      <w:r w:rsidRPr="009E4644">
        <w:rPr>
          <w:b/>
          <w:bCs/>
        </w:rPr>
        <w:t xml:space="preserve"> </w:t>
      </w:r>
      <w:r w:rsidR="006F4DAB">
        <w:rPr>
          <w:rFonts w:eastAsia="Palatino Linotype" w:cs="Palatino Linotype"/>
          <w:b/>
        </w:rPr>
        <w:t xml:space="preserve">ocho de junio </w:t>
      </w:r>
      <w:r w:rsidR="000C516E">
        <w:rPr>
          <w:rFonts w:eastAsia="Palatino Linotype" w:cs="Palatino Linotype"/>
          <w:b/>
        </w:rPr>
        <w:t>d</w:t>
      </w:r>
      <w:r w:rsidR="009A1340">
        <w:rPr>
          <w:rFonts w:eastAsia="Palatino Linotype" w:cs="Palatino Linotype"/>
          <w:b/>
        </w:rPr>
        <w:t xml:space="preserve">e dos mil veinticinco, </w:t>
      </w:r>
      <w:r w:rsidRPr="009E4644">
        <w:t>se turnó el recurso de revisión a través del</w:t>
      </w:r>
      <w:r w:rsidRPr="009E4644">
        <w:rPr>
          <w:rFonts w:eastAsia="Arial Unicode MS"/>
        </w:rPr>
        <w:t xml:space="preserve"> </w:t>
      </w:r>
      <w:r w:rsidRPr="009A1340">
        <w:rPr>
          <w:rFonts w:eastAsia="Arial Unicode MS"/>
          <w:b/>
          <w:bCs/>
        </w:rPr>
        <w:t>SAIMEX</w:t>
      </w:r>
      <w:r w:rsidRPr="009E4644">
        <w:t xml:space="preserve"> a la </w:t>
      </w:r>
      <w:r w:rsidRPr="009E4644">
        <w:rPr>
          <w:b/>
        </w:rPr>
        <w:t>Comisionada Sharon Cristina Morales Martínez</w:t>
      </w:r>
      <w:r w:rsidRPr="009E4644">
        <w:rPr>
          <w:bCs/>
        </w:rPr>
        <w:t xml:space="preserve">, </w:t>
      </w:r>
      <w:r w:rsidRPr="009E4644">
        <w:t xml:space="preserve">a efecto de decretar su admisión o desechamiento. </w:t>
      </w:r>
    </w:p>
    <w:p w14:paraId="18F305CB" w14:textId="77777777" w:rsidR="00664420" w:rsidRPr="009E4644" w:rsidRDefault="00664420" w:rsidP="00664420">
      <w:pPr>
        <w:rPr>
          <w:rFonts w:eastAsia="Batang" w:cs="Tahoma"/>
          <w:bCs/>
          <w:szCs w:val="22"/>
        </w:rPr>
      </w:pPr>
    </w:p>
    <w:p w14:paraId="3E31EC2D" w14:textId="295256A1" w:rsidR="00664420" w:rsidRPr="001B7797" w:rsidRDefault="006E25BC" w:rsidP="006E25BC">
      <w:pPr>
        <w:pStyle w:val="Ttulo3"/>
      </w:pPr>
      <w:bookmarkStart w:id="15" w:name="_Toc206616058"/>
      <w:r w:rsidRPr="001B7797">
        <w:t>c</w:t>
      </w:r>
      <w:r w:rsidR="00664420" w:rsidRPr="001B7797">
        <w:t>) Admisión del Recurso de Revisión</w:t>
      </w:r>
      <w:bookmarkEnd w:id="15"/>
    </w:p>
    <w:p w14:paraId="240447D5" w14:textId="41E7FA32" w:rsidR="000E09C4" w:rsidRPr="009E4644" w:rsidRDefault="000E09C4" w:rsidP="000E09C4">
      <w:pPr>
        <w:rPr>
          <w:rFonts w:cs="Arial"/>
          <w:color w:val="000000" w:themeColor="text1"/>
        </w:rPr>
      </w:pPr>
      <w:r w:rsidRPr="009E4644">
        <w:rPr>
          <w:rFonts w:cs="Arial"/>
          <w:color w:val="000000" w:themeColor="text1"/>
        </w:rPr>
        <w:t xml:space="preserve">El </w:t>
      </w:r>
      <w:r w:rsidR="006F4DAB">
        <w:rPr>
          <w:rFonts w:eastAsia="Palatino Linotype" w:cs="Palatino Linotype"/>
          <w:b/>
        </w:rPr>
        <w:t xml:space="preserve">diez de junio </w:t>
      </w:r>
      <w:r w:rsidR="003A67CC" w:rsidRPr="009E4644">
        <w:rPr>
          <w:rFonts w:eastAsia="Palatino Linotype" w:cs="Palatino Linotype"/>
          <w:b/>
        </w:rPr>
        <w:t>d</w:t>
      </w:r>
      <w:r w:rsidR="00657603" w:rsidRPr="009E4644">
        <w:rPr>
          <w:rFonts w:eastAsia="Palatino Linotype" w:cs="Palatino Linotype"/>
          <w:b/>
        </w:rPr>
        <w:t>e dos mil veintic</w:t>
      </w:r>
      <w:r w:rsidR="009A1340">
        <w:rPr>
          <w:rFonts w:eastAsia="Palatino Linotype" w:cs="Palatino Linotype"/>
          <w:b/>
        </w:rPr>
        <w:t>inco</w:t>
      </w:r>
      <w:r w:rsidRPr="009E4644">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E4644">
        <w:rPr>
          <w:rFonts w:cs="Arial"/>
          <w:color w:val="000000" w:themeColor="text1"/>
        </w:rPr>
        <w:t>, fracción II</w:t>
      </w:r>
      <w:r w:rsidRPr="009E4644">
        <w:rPr>
          <w:rFonts w:cs="Arial"/>
          <w:color w:val="000000" w:themeColor="text1"/>
        </w:rPr>
        <w:t xml:space="preserve"> de la Ley de Transparencia y Acceso a la Información Pública del Estado de México y Municipios.</w:t>
      </w:r>
    </w:p>
    <w:p w14:paraId="34EC3F86" w14:textId="77777777" w:rsidR="00D2790D" w:rsidRPr="009E4644" w:rsidRDefault="00D2790D" w:rsidP="000E09C4">
      <w:pPr>
        <w:rPr>
          <w:rFonts w:cs="Arial"/>
          <w:color w:val="000000" w:themeColor="text1"/>
        </w:rPr>
      </w:pPr>
    </w:p>
    <w:p w14:paraId="3B820F58" w14:textId="503F9071" w:rsidR="00865CF4" w:rsidRPr="001B7797" w:rsidRDefault="0075751F" w:rsidP="006E25BC">
      <w:pPr>
        <w:pStyle w:val="Ttulo3"/>
      </w:pPr>
      <w:bookmarkStart w:id="16" w:name="_Toc206616059"/>
      <w:r w:rsidRPr="001B7797">
        <w:t>d</w:t>
      </w:r>
      <w:r w:rsidR="00664420" w:rsidRPr="001B7797">
        <w:t xml:space="preserve">) </w:t>
      </w:r>
      <w:r w:rsidR="00865CF4" w:rsidRPr="001B7797">
        <w:t>Informe Justificado del Sujeto Obligado</w:t>
      </w:r>
      <w:bookmarkEnd w:id="16"/>
    </w:p>
    <w:p w14:paraId="32E04E54" w14:textId="51C407BD" w:rsidR="000B1439" w:rsidRDefault="00F61982" w:rsidP="000C516E">
      <w:pPr>
        <w:rPr>
          <w:rFonts w:cs="Tahoma"/>
          <w:bCs/>
          <w:szCs w:val="24"/>
        </w:rPr>
      </w:pPr>
      <w:r>
        <w:rPr>
          <w:rFonts w:cs="Tahoma"/>
          <w:bCs/>
          <w:szCs w:val="24"/>
        </w:rPr>
        <w:t xml:space="preserve">El </w:t>
      </w:r>
      <w:r w:rsidR="006F4DAB">
        <w:rPr>
          <w:rFonts w:cs="Tahoma"/>
          <w:b/>
          <w:szCs w:val="24"/>
        </w:rPr>
        <w:t>doce de j</w:t>
      </w:r>
      <w:r w:rsidR="00BA0639">
        <w:rPr>
          <w:rFonts w:cs="Tahoma"/>
          <w:b/>
          <w:szCs w:val="24"/>
        </w:rPr>
        <w:t xml:space="preserve">unio </w:t>
      </w:r>
      <w:r>
        <w:rPr>
          <w:rFonts w:cs="Tahoma"/>
          <w:b/>
          <w:szCs w:val="24"/>
        </w:rPr>
        <w:t>de dos mil veinticinco EL SUJETO OBLIGADO</w:t>
      </w:r>
      <w:r>
        <w:rPr>
          <w:rFonts w:cs="Tahoma"/>
          <w:bCs/>
          <w:szCs w:val="24"/>
        </w:rPr>
        <w:t xml:space="preserve"> rindió su informe justificado a través del </w:t>
      </w:r>
      <w:r>
        <w:rPr>
          <w:rFonts w:cs="Tahoma"/>
          <w:b/>
          <w:bCs/>
          <w:szCs w:val="24"/>
        </w:rPr>
        <w:t>SAIMEX</w:t>
      </w:r>
      <w:r>
        <w:rPr>
          <w:rFonts w:cs="Tahoma"/>
          <w:bCs/>
          <w:szCs w:val="24"/>
        </w:rPr>
        <w:t xml:space="preserve">, </w:t>
      </w:r>
      <w:bookmarkStart w:id="17" w:name="_Hlk165379932"/>
      <w:r>
        <w:rPr>
          <w:rFonts w:cs="Tahoma"/>
          <w:bCs/>
          <w:szCs w:val="24"/>
        </w:rPr>
        <w:t xml:space="preserve">adjuntando para ello </w:t>
      </w:r>
      <w:r w:rsidR="000B1439">
        <w:rPr>
          <w:rFonts w:cs="Tahoma"/>
          <w:bCs/>
          <w:szCs w:val="24"/>
        </w:rPr>
        <w:t xml:space="preserve">los </w:t>
      </w:r>
      <w:r w:rsidR="000C516E">
        <w:rPr>
          <w:rFonts w:cs="Tahoma"/>
          <w:bCs/>
          <w:szCs w:val="24"/>
        </w:rPr>
        <w:t>archivo</w:t>
      </w:r>
      <w:r w:rsidR="000B1439">
        <w:rPr>
          <w:rFonts w:cs="Tahoma"/>
          <w:bCs/>
          <w:szCs w:val="24"/>
        </w:rPr>
        <w:t>s</w:t>
      </w:r>
      <w:r w:rsidR="000C516E">
        <w:rPr>
          <w:rFonts w:cs="Tahoma"/>
          <w:bCs/>
          <w:szCs w:val="24"/>
        </w:rPr>
        <w:t xml:space="preserve"> electrónico</w:t>
      </w:r>
      <w:r w:rsidR="000B1439">
        <w:rPr>
          <w:rFonts w:cs="Tahoma"/>
          <w:bCs/>
          <w:szCs w:val="24"/>
        </w:rPr>
        <w:t xml:space="preserve">s que a continuación se describen: </w:t>
      </w:r>
    </w:p>
    <w:p w14:paraId="7277A5B0" w14:textId="77777777" w:rsidR="00366F72" w:rsidRDefault="00366F72" w:rsidP="000C516E">
      <w:pPr>
        <w:rPr>
          <w:rFonts w:cs="Tahoma"/>
          <w:bCs/>
          <w:szCs w:val="24"/>
        </w:rPr>
      </w:pPr>
    </w:p>
    <w:p w14:paraId="4046B407" w14:textId="0C34A53B" w:rsidR="006F4DAB" w:rsidRPr="006F4DAB" w:rsidRDefault="006F4DAB" w:rsidP="00BA0639">
      <w:pPr>
        <w:pStyle w:val="Prrafodelista"/>
        <w:numPr>
          <w:ilvl w:val="0"/>
          <w:numId w:val="7"/>
        </w:numPr>
        <w:rPr>
          <w:rFonts w:cs="Tahoma"/>
          <w:b/>
          <w:bCs/>
          <w:i/>
          <w:iCs/>
          <w:szCs w:val="24"/>
        </w:rPr>
      </w:pPr>
      <w:r w:rsidRPr="006F4DAB">
        <w:rPr>
          <w:rFonts w:eastAsiaTheme="majorEastAsia"/>
          <w:b/>
          <w:bCs/>
          <w:i/>
          <w:iCs/>
        </w:rPr>
        <w:t>MANIFESTACIONES TES.61.pdf</w:t>
      </w:r>
      <w:r w:rsidR="00BA0639">
        <w:rPr>
          <w:rFonts w:eastAsiaTheme="majorEastAsia"/>
          <w:b/>
          <w:bCs/>
          <w:i/>
          <w:iCs/>
        </w:rPr>
        <w:t xml:space="preserve">, </w:t>
      </w:r>
      <w:r w:rsidR="00BA0639">
        <w:rPr>
          <w:rFonts w:eastAsiaTheme="majorEastAsia"/>
        </w:rPr>
        <w:t xml:space="preserve">el cual contiene oficio </w:t>
      </w:r>
      <w:r>
        <w:rPr>
          <w:rFonts w:eastAsiaTheme="majorEastAsia"/>
        </w:rPr>
        <w:t xml:space="preserve">número TES/ATL/195/2025 del doce de junio de dos mil veinticinco, </w:t>
      </w:r>
      <w:r w:rsidR="006670B6">
        <w:rPr>
          <w:rFonts w:eastAsiaTheme="majorEastAsia"/>
        </w:rPr>
        <w:t xml:space="preserve">por medio del cual el Tesorero Municipal </w:t>
      </w:r>
      <w:r w:rsidR="006670B6">
        <w:rPr>
          <w:rFonts w:eastAsiaTheme="majorEastAsia"/>
        </w:rPr>
        <w:lastRenderedPageBreak/>
        <w:t xml:space="preserve">reitera su respuesta y precisa que la contestación se envió en base a la información con la que se contaba a la fecha de la solicitud. </w:t>
      </w:r>
    </w:p>
    <w:p w14:paraId="790303E0" w14:textId="19FD61D9" w:rsidR="003A0664" w:rsidRPr="003A0664" w:rsidRDefault="003A0664" w:rsidP="003A0664">
      <w:pPr>
        <w:rPr>
          <w:rFonts w:cs="Tahoma"/>
          <w:szCs w:val="24"/>
        </w:rPr>
      </w:pPr>
    </w:p>
    <w:bookmarkEnd w:id="17"/>
    <w:p w14:paraId="0DFD1463" w14:textId="71A828F7" w:rsidR="00F61982" w:rsidRDefault="00F61982" w:rsidP="00F61982">
      <w:pPr>
        <w:rPr>
          <w:rFonts w:cs="Tahoma"/>
          <w:bCs/>
          <w:szCs w:val="24"/>
        </w:rPr>
      </w:pPr>
      <w:r>
        <w:rPr>
          <w:rFonts w:cs="Tahoma"/>
          <w:bCs/>
          <w:szCs w:val="24"/>
        </w:rPr>
        <w:t xml:space="preserve">Esta información fue puesta a la vista de </w:t>
      </w:r>
      <w:r>
        <w:rPr>
          <w:rFonts w:cs="Tahoma"/>
          <w:b/>
          <w:szCs w:val="24"/>
        </w:rPr>
        <w:t xml:space="preserve">LA PARTE RECURRENTE </w:t>
      </w:r>
      <w:r>
        <w:rPr>
          <w:rFonts w:cs="Tahoma"/>
          <w:bCs/>
          <w:szCs w:val="24"/>
        </w:rPr>
        <w:t xml:space="preserve">el </w:t>
      </w:r>
      <w:r w:rsidR="00BA0639">
        <w:rPr>
          <w:rFonts w:cs="Tahoma"/>
          <w:b/>
          <w:szCs w:val="24"/>
        </w:rPr>
        <w:t>trece</w:t>
      </w:r>
      <w:r w:rsidR="000C516E">
        <w:rPr>
          <w:rFonts w:cs="Tahoma"/>
          <w:b/>
          <w:szCs w:val="24"/>
        </w:rPr>
        <w:t xml:space="preserve"> de </w:t>
      </w:r>
      <w:r w:rsidR="00BA0639">
        <w:rPr>
          <w:rFonts w:cs="Tahoma"/>
          <w:b/>
          <w:szCs w:val="24"/>
        </w:rPr>
        <w:t>agosto</w:t>
      </w:r>
      <w:r w:rsidR="000C516E">
        <w:rPr>
          <w:rFonts w:cs="Tahoma"/>
          <w:b/>
          <w:szCs w:val="24"/>
        </w:rPr>
        <w:t xml:space="preserve"> d</w:t>
      </w:r>
      <w:r>
        <w:rPr>
          <w:rFonts w:cs="Tahoma"/>
          <w:b/>
          <w:szCs w:val="24"/>
        </w:rPr>
        <w:t>e dos mil veinticinco</w:t>
      </w:r>
      <w:r>
        <w:rPr>
          <w:rFonts w:cs="Tahoma"/>
          <w:bCs/>
          <w:szCs w:val="24"/>
        </w:rPr>
        <w:t xml:space="preserve"> para que, en un plazo de tres días hábiles, manifestara lo que a su derecho conviniera, de conformidad con lo establecido en el </w:t>
      </w:r>
      <w:r>
        <w:rPr>
          <w:rFonts w:cs="Arial"/>
          <w:color w:val="000000" w:themeColor="text1"/>
        </w:rPr>
        <w:t>artículo 185, fracción III de la Ley de Transparencia y Acceso a la Información Pública del Estado de México y Municipios</w:t>
      </w:r>
      <w:r>
        <w:rPr>
          <w:rFonts w:cs="Tahoma"/>
          <w:bCs/>
          <w:szCs w:val="24"/>
        </w:rPr>
        <w:t>.</w:t>
      </w:r>
    </w:p>
    <w:p w14:paraId="4103CA12" w14:textId="77777777" w:rsidR="00F61982" w:rsidRDefault="00F61982" w:rsidP="00F61982">
      <w:pPr>
        <w:ind w:right="539"/>
        <w:rPr>
          <w:rFonts w:cs="Tahoma"/>
          <w:bCs/>
          <w:szCs w:val="24"/>
        </w:rPr>
      </w:pPr>
    </w:p>
    <w:p w14:paraId="755B7730" w14:textId="3EA3E31D" w:rsidR="00664420" w:rsidRPr="001B7797" w:rsidRDefault="0075751F" w:rsidP="00664420">
      <w:pPr>
        <w:pStyle w:val="Ttulo3"/>
        <w:rPr>
          <w:lang w:val="es-ES"/>
        </w:rPr>
      </w:pPr>
      <w:bookmarkStart w:id="18" w:name="_Toc206616060"/>
      <w:r w:rsidRPr="001B7797">
        <w:rPr>
          <w:rFonts w:eastAsia="Calibri"/>
          <w:bCs/>
          <w:lang w:eastAsia="en-US"/>
        </w:rPr>
        <w:t>e</w:t>
      </w:r>
      <w:r w:rsidR="00664420" w:rsidRPr="001B7797">
        <w:rPr>
          <w:rFonts w:eastAsia="Calibri"/>
          <w:bCs/>
          <w:lang w:eastAsia="en-US"/>
        </w:rPr>
        <w:t>)</w:t>
      </w:r>
      <w:r w:rsidR="00664420" w:rsidRPr="001B7797">
        <w:t xml:space="preserve"> </w:t>
      </w:r>
      <w:r w:rsidR="00865CF4" w:rsidRPr="001B7797">
        <w:rPr>
          <w:lang w:val="es-ES"/>
        </w:rPr>
        <w:t>Manifestaciones de la Parte Recurrente</w:t>
      </w:r>
      <w:bookmarkEnd w:id="18"/>
    </w:p>
    <w:p w14:paraId="763D059A" w14:textId="1AA5BA79" w:rsidR="006670B6" w:rsidRDefault="006670B6" w:rsidP="006670B6">
      <w:pPr>
        <w:rPr>
          <w:b/>
          <w:lang w:val="es-ES"/>
        </w:rPr>
      </w:pPr>
      <w:r>
        <w:rPr>
          <w:rFonts w:cs="Tahoma"/>
          <w:bCs/>
          <w:szCs w:val="24"/>
        </w:rPr>
        <w:t xml:space="preserve">El </w:t>
      </w:r>
      <w:r>
        <w:rPr>
          <w:rFonts w:cs="Tahoma"/>
          <w:b/>
          <w:szCs w:val="24"/>
        </w:rPr>
        <w:t xml:space="preserve">doce de junio de dos mil veinticinco, </w:t>
      </w:r>
      <w:r w:rsidR="0086345C" w:rsidRPr="00D553DD">
        <w:rPr>
          <w:rFonts w:cs="Tahoma"/>
          <w:b/>
          <w:szCs w:val="24"/>
        </w:rPr>
        <w:t xml:space="preserve">LA PARTE RECURRENTE </w:t>
      </w:r>
      <w:r w:rsidRPr="006F4DAB">
        <w:rPr>
          <w:bCs/>
          <w:lang w:val="es-ES"/>
        </w:rPr>
        <w:t>adjuntó</w:t>
      </w:r>
      <w:r>
        <w:rPr>
          <w:bCs/>
          <w:lang w:val="es-ES"/>
        </w:rPr>
        <w:t xml:space="preserve"> el archivo electrónico denominado </w:t>
      </w:r>
      <w:r w:rsidRPr="006F4DAB">
        <w:rPr>
          <w:b/>
          <w:i/>
          <w:iCs/>
          <w:lang w:val="es-ES"/>
        </w:rPr>
        <w:t>Color_PDF0012.pdf</w:t>
      </w:r>
      <w:r>
        <w:rPr>
          <w:b/>
          <w:i/>
          <w:iCs/>
          <w:lang w:val="es-ES"/>
        </w:rPr>
        <w:t xml:space="preserve">, </w:t>
      </w:r>
      <w:r>
        <w:rPr>
          <w:bCs/>
          <w:lang w:val="es-ES"/>
        </w:rPr>
        <w:t xml:space="preserve">el cual corresponde al </w:t>
      </w:r>
      <w:r>
        <w:rPr>
          <w:rFonts w:cs="Tahoma"/>
          <w:szCs w:val="22"/>
        </w:rPr>
        <w:t xml:space="preserve">oficio número TES/ATL/182/2025 </w:t>
      </w:r>
      <w:r>
        <w:rPr>
          <w:bCs/>
          <w:lang w:val="es-ES"/>
        </w:rPr>
        <w:t>notificado en respuesta</w:t>
      </w:r>
      <w:r>
        <w:rPr>
          <w:b/>
          <w:lang w:val="es-ES"/>
        </w:rPr>
        <w:t xml:space="preserve">. </w:t>
      </w:r>
    </w:p>
    <w:p w14:paraId="43289D82" w14:textId="77777777" w:rsidR="00865CF4" w:rsidRDefault="00865CF4" w:rsidP="00865CF4">
      <w:pPr>
        <w:rPr>
          <w:rFonts w:eastAsia="Arial Unicode MS" w:cs="Arial"/>
          <w:color w:val="000000" w:themeColor="text1"/>
        </w:rPr>
      </w:pPr>
    </w:p>
    <w:p w14:paraId="2F39CCCA" w14:textId="77777777" w:rsidR="00BA0639" w:rsidRPr="001B7797" w:rsidRDefault="00BA0639" w:rsidP="00BA0639">
      <w:pPr>
        <w:pStyle w:val="Ttulo3"/>
        <w:rPr>
          <w:rFonts w:eastAsia="Calibri"/>
        </w:rPr>
      </w:pPr>
      <w:bookmarkStart w:id="19" w:name="_Toc172051809"/>
      <w:bookmarkStart w:id="20" w:name="_Toc178101309"/>
      <w:bookmarkStart w:id="21" w:name="_Toc206616061"/>
      <w:r w:rsidRPr="001B7797">
        <w:rPr>
          <w:rFonts w:eastAsia="Calibri"/>
        </w:rPr>
        <w:t>f) Ampliación de Plazo para Resolver</w:t>
      </w:r>
      <w:bookmarkEnd w:id="19"/>
      <w:bookmarkEnd w:id="20"/>
      <w:bookmarkEnd w:id="21"/>
      <w:r w:rsidRPr="001B7797">
        <w:rPr>
          <w:rFonts w:eastAsia="Calibri"/>
        </w:rPr>
        <w:t xml:space="preserve"> </w:t>
      </w:r>
    </w:p>
    <w:p w14:paraId="57722C9C" w14:textId="030319E6" w:rsidR="00BA0639" w:rsidRPr="00BA0639" w:rsidRDefault="00BA0639" w:rsidP="00BA0639">
      <w:pPr>
        <w:rPr>
          <w:rFonts w:eastAsia="Palatino Linotype" w:cs="Palatino Linotype"/>
          <w:color w:val="000000"/>
        </w:rPr>
      </w:pPr>
      <w:r w:rsidRPr="00BA0639">
        <w:rPr>
          <w:rFonts w:eastAsia="Palatino Linotype" w:cs="Palatino Linotype"/>
          <w:color w:val="000000"/>
        </w:rPr>
        <w:t xml:space="preserve">El </w:t>
      </w:r>
      <w:r w:rsidR="006670B6">
        <w:rPr>
          <w:rFonts w:eastAsia="Palatino Linotype" w:cs="Palatino Linotype"/>
          <w:b/>
          <w:color w:val="000000"/>
        </w:rPr>
        <w:t xml:space="preserve">trece de agosto </w:t>
      </w:r>
      <w:r>
        <w:rPr>
          <w:rFonts w:eastAsia="Palatino Linotype" w:cs="Palatino Linotype"/>
          <w:b/>
          <w:color w:val="000000"/>
        </w:rPr>
        <w:t>d</w:t>
      </w:r>
      <w:r w:rsidRPr="00BA0639">
        <w:rPr>
          <w:rFonts w:eastAsia="Palatino Linotype" w:cs="Palatino Linotype"/>
          <w:b/>
          <w:color w:val="000000"/>
        </w:rPr>
        <w:t>e dos mil veinticinco</w:t>
      </w:r>
      <w:r w:rsidRPr="00BA0639">
        <w:rPr>
          <w:rFonts w:eastAsia="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52264499" w14:textId="77777777" w:rsidR="00BA0639" w:rsidRPr="00BA0639" w:rsidRDefault="00BA0639" w:rsidP="00BA0639">
      <w:pPr>
        <w:rPr>
          <w:rFonts w:eastAsia="Palatino Linotype" w:cs="Palatino Linotype"/>
          <w:color w:val="000000"/>
        </w:rPr>
      </w:pPr>
    </w:p>
    <w:p w14:paraId="0E651988" w14:textId="4355798C" w:rsidR="00664420" w:rsidRPr="001B7797" w:rsidRDefault="006670B6" w:rsidP="00664420">
      <w:pPr>
        <w:pStyle w:val="Ttulo3"/>
      </w:pPr>
      <w:bookmarkStart w:id="22" w:name="_Toc206616062"/>
      <w:r w:rsidRPr="001B7797">
        <w:rPr>
          <w:rFonts w:eastAsia="Calibri"/>
        </w:rPr>
        <w:t>g</w:t>
      </w:r>
      <w:r w:rsidR="007517BD" w:rsidRPr="001B7797">
        <w:rPr>
          <w:rFonts w:eastAsia="Calibri"/>
        </w:rPr>
        <w:t xml:space="preserve">) </w:t>
      </w:r>
      <w:r w:rsidR="00664420" w:rsidRPr="001B7797">
        <w:t>Cierre de instrucción</w:t>
      </w:r>
      <w:bookmarkEnd w:id="22"/>
    </w:p>
    <w:p w14:paraId="79AF95DC" w14:textId="0D8C45D6" w:rsidR="00664420" w:rsidRPr="009E4644" w:rsidRDefault="00BF091A" w:rsidP="00664420">
      <w:pPr>
        <w:rPr>
          <w:color w:val="000000" w:themeColor="text1"/>
        </w:rPr>
      </w:pPr>
      <w:r w:rsidRPr="009E4644">
        <w:rPr>
          <w:rFonts w:cs="Tahoma"/>
          <w:szCs w:val="22"/>
        </w:rPr>
        <w:t>Al no existir diligencias pendientes por desahogar</w:t>
      </w:r>
      <w:r w:rsidRPr="009E4644">
        <w:rPr>
          <w:rFonts w:cs="Arial"/>
          <w:color w:val="000000" w:themeColor="text1"/>
        </w:rPr>
        <w:t xml:space="preserve">, el </w:t>
      </w:r>
      <w:bookmarkStart w:id="23" w:name="_Hlk104892386"/>
      <w:r w:rsidR="00787E3B">
        <w:rPr>
          <w:rFonts w:cs="Arial"/>
          <w:b/>
          <w:color w:val="000000" w:themeColor="text1"/>
        </w:rPr>
        <w:t>diecinueve</w:t>
      </w:r>
      <w:r w:rsidR="006670B6">
        <w:rPr>
          <w:rFonts w:cs="Arial"/>
          <w:b/>
          <w:color w:val="000000" w:themeColor="text1"/>
        </w:rPr>
        <w:t xml:space="preserve"> </w:t>
      </w:r>
      <w:r w:rsidR="00BA0639">
        <w:rPr>
          <w:rFonts w:cs="Arial"/>
          <w:b/>
          <w:color w:val="000000" w:themeColor="text1"/>
        </w:rPr>
        <w:t xml:space="preserve">de agosto </w:t>
      </w:r>
      <w:r w:rsidR="009A1340">
        <w:rPr>
          <w:rFonts w:cs="Arial"/>
          <w:b/>
          <w:color w:val="000000" w:themeColor="text1"/>
        </w:rPr>
        <w:t xml:space="preserve">de dos mil veinticinco </w:t>
      </w:r>
      <w:bookmarkEnd w:id="23"/>
      <w:r w:rsidRPr="009E4644">
        <w:rPr>
          <w:rFonts w:cs="Arial"/>
          <w:color w:val="000000" w:themeColor="text1"/>
        </w:rPr>
        <w:t xml:space="preserve">la </w:t>
      </w:r>
      <w:r w:rsidRPr="009E4644">
        <w:rPr>
          <w:rFonts w:cs="Arial"/>
          <w:b/>
          <w:bCs/>
          <w:color w:val="000000" w:themeColor="text1"/>
        </w:rPr>
        <w:t xml:space="preserve">Comisionada </w:t>
      </w:r>
      <w:r w:rsidRPr="009E4644">
        <w:rPr>
          <w:b/>
          <w:color w:val="000000" w:themeColor="text1"/>
        </w:rPr>
        <w:t xml:space="preserve">Sharon Cristina Morales Martínez </w:t>
      </w:r>
      <w:r w:rsidRPr="009E4644">
        <w:rPr>
          <w:rFonts w:cs="Arial"/>
          <w:color w:val="000000" w:themeColor="text1"/>
        </w:rPr>
        <w:t>acordó el cierre de instrucción</w:t>
      </w:r>
      <w:r w:rsidR="0011350D" w:rsidRPr="009E4644">
        <w:rPr>
          <w:rFonts w:cs="Arial"/>
          <w:color w:val="000000" w:themeColor="text1"/>
        </w:rPr>
        <w:t xml:space="preserve"> y</w:t>
      </w:r>
      <w:r w:rsidRPr="009E4644">
        <w:rPr>
          <w:rFonts w:cs="Arial"/>
          <w:color w:val="000000" w:themeColor="text1"/>
        </w:rPr>
        <w:t xml:space="preserve"> </w:t>
      </w:r>
      <w:r w:rsidR="0011350D" w:rsidRPr="009E4644">
        <w:rPr>
          <w:rFonts w:cs="Arial"/>
          <w:color w:val="000000" w:themeColor="text1"/>
        </w:rPr>
        <w:t xml:space="preserve">la </w:t>
      </w:r>
      <w:r w:rsidRPr="009E4644">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9E4644">
        <w:rPr>
          <w:color w:val="000000" w:themeColor="text1"/>
        </w:rPr>
        <w:t>.</w:t>
      </w:r>
      <w:r w:rsidR="0011350D" w:rsidRPr="009E4644">
        <w:rPr>
          <w:color w:val="000000" w:themeColor="text1"/>
        </w:rPr>
        <w:t xml:space="preserve"> Dicho acuerdo </w:t>
      </w:r>
      <w:r w:rsidR="00664420" w:rsidRPr="009E4644">
        <w:rPr>
          <w:rFonts w:cs="Tahoma"/>
          <w:szCs w:val="22"/>
        </w:rPr>
        <w:t xml:space="preserve">fue notificado a las partes el mismo día a través del </w:t>
      </w:r>
      <w:r w:rsidR="00664420" w:rsidRPr="009E4644">
        <w:rPr>
          <w:rFonts w:cs="Tahoma"/>
          <w:szCs w:val="22"/>
          <w:lang w:val="es-ES"/>
        </w:rPr>
        <w:t>SAIMEX</w:t>
      </w:r>
      <w:r w:rsidR="00664420" w:rsidRPr="009E4644">
        <w:rPr>
          <w:rFonts w:cs="Tahoma"/>
          <w:szCs w:val="22"/>
        </w:rPr>
        <w:t>.</w:t>
      </w:r>
    </w:p>
    <w:p w14:paraId="741683E3" w14:textId="77777777" w:rsidR="0011350D" w:rsidRPr="009E4644" w:rsidRDefault="0011350D" w:rsidP="00664420">
      <w:pPr>
        <w:rPr>
          <w:rFonts w:cs="Tahoma"/>
          <w:color w:val="000000"/>
          <w:szCs w:val="22"/>
        </w:rPr>
      </w:pPr>
    </w:p>
    <w:p w14:paraId="7A9629DE" w14:textId="77777777" w:rsidR="00664420" w:rsidRPr="001B7797" w:rsidRDefault="00664420" w:rsidP="00664420">
      <w:pPr>
        <w:pStyle w:val="Ttulo1"/>
        <w:rPr>
          <w:rFonts w:eastAsiaTheme="minorHAnsi"/>
          <w:lang w:eastAsia="en-US"/>
        </w:rPr>
      </w:pPr>
      <w:bookmarkStart w:id="24" w:name="_Toc206616063"/>
      <w:r w:rsidRPr="001B7797">
        <w:rPr>
          <w:rFonts w:eastAsiaTheme="minorHAnsi"/>
          <w:lang w:eastAsia="en-US"/>
        </w:rPr>
        <w:t>CONSIDERANDOS</w:t>
      </w:r>
      <w:bookmarkEnd w:id="24"/>
    </w:p>
    <w:p w14:paraId="6DD1243B" w14:textId="77777777" w:rsidR="00664420" w:rsidRPr="001B7797" w:rsidRDefault="00664420" w:rsidP="00664420">
      <w:pPr>
        <w:contextualSpacing/>
        <w:jc w:val="center"/>
        <w:rPr>
          <w:rFonts w:eastAsiaTheme="minorHAnsi" w:cs="Tahoma"/>
          <w:b/>
          <w:color w:val="000000" w:themeColor="text1"/>
          <w:szCs w:val="22"/>
          <w:lang w:eastAsia="en-US"/>
        </w:rPr>
      </w:pPr>
    </w:p>
    <w:p w14:paraId="0B67CB92" w14:textId="2E307D3B" w:rsidR="00664420" w:rsidRPr="001B7797" w:rsidRDefault="00664420" w:rsidP="00AE3DA7">
      <w:pPr>
        <w:pStyle w:val="Ttulo2"/>
        <w:rPr>
          <w:rFonts w:eastAsia="Batang"/>
        </w:rPr>
      </w:pPr>
      <w:bookmarkStart w:id="25" w:name="_Toc206616064"/>
      <w:r w:rsidRPr="001B7797">
        <w:rPr>
          <w:rFonts w:eastAsia="Batang"/>
        </w:rPr>
        <w:t xml:space="preserve">PRIMERO. </w:t>
      </w:r>
      <w:r w:rsidR="00BA55A8" w:rsidRPr="001B7797">
        <w:rPr>
          <w:rFonts w:eastAsia="Batang"/>
        </w:rPr>
        <w:t>Procedibilidad</w:t>
      </w:r>
      <w:bookmarkEnd w:id="25"/>
    </w:p>
    <w:p w14:paraId="39C52BC1" w14:textId="56FCC20D" w:rsidR="00BA55A8" w:rsidRPr="001B7797" w:rsidRDefault="00BA55A8" w:rsidP="00BA55A8">
      <w:pPr>
        <w:pStyle w:val="Ttulo3"/>
      </w:pPr>
      <w:bookmarkStart w:id="26" w:name="_Toc206616065"/>
      <w:r w:rsidRPr="001B7797">
        <w:t>a) Competencia</w:t>
      </w:r>
      <w:r w:rsidR="00150C49" w:rsidRPr="001B7797">
        <w:t xml:space="preserve"> del Instituto</w:t>
      </w:r>
      <w:bookmarkEnd w:id="26"/>
    </w:p>
    <w:p w14:paraId="56E64942" w14:textId="10B8AF3E" w:rsidR="0011350D" w:rsidRPr="001B7797" w:rsidRDefault="0011350D" w:rsidP="0011350D">
      <w:pPr>
        <w:rPr>
          <w:rFonts w:cs="Arial"/>
          <w:color w:val="000000" w:themeColor="text1"/>
        </w:rPr>
      </w:pPr>
      <w:r w:rsidRPr="001B7797">
        <w:rPr>
          <w:color w:val="000000" w:themeColor="text1"/>
        </w:rPr>
        <w:t xml:space="preserve">Este Instituto de Transparencia, Acceso a la Información Pública y Protección de Datos Personales del Estado de México y Municipios es competente para conocer y resolver </w:t>
      </w:r>
      <w:r w:rsidR="005F65B7" w:rsidRPr="001B7797">
        <w:rPr>
          <w:color w:val="000000" w:themeColor="text1"/>
        </w:rPr>
        <w:t xml:space="preserve">el </w:t>
      </w:r>
      <w:r w:rsidRPr="001B7797">
        <w:rPr>
          <w:color w:val="000000" w:themeColor="text1"/>
        </w:rPr>
        <w:t xml:space="preserve">presente Recurso de Revisión, conforme a lo dispuesto en los artículos 6, Apartado A de la Constitución Política de los Estados Unidos Mexicanos; 5, párrafos trigésimo </w:t>
      </w:r>
      <w:r w:rsidR="000A3BA5" w:rsidRPr="001B7797">
        <w:rPr>
          <w:color w:val="000000" w:themeColor="text1"/>
        </w:rPr>
        <w:t xml:space="preserve">séptimo, trigésimo octavo, </w:t>
      </w:r>
      <w:r w:rsidRPr="001B7797">
        <w:rPr>
          <w:color w:val="000000" w:themeColor="text1"/>
        </w:rPr>
        <w:t xml:space="preserve">trigésimo </w:t>
      </w:r>
      <w:r w:rsidR="000A3BA5" w:rsidRPr="001B7797">
        <w:rPr>
          <w:color w:val="000000" w:themeColor="text1"/>
        </w:rPr>
        <w:t xml:space="preserve">noveno, </w:t>
      </w:r>
      <w:r w:rsidRPr="001B7797">
        <w:rPr>
          <w:color w:val="000000" w:themeColor="text1"/>
        </w:rPr>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B7797">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1B7797" w:rsidRDefault="00DB1C09" w:rsidP="0011350D">
      <w:pPr>
        <w:rPr>
          <w:rFonts w:cs="Arial"/>
          <w:color w:val="000000" w:themeColor="text1"/>
        </w:rPr>
      </w:pPr>
    </w:p>
    <w:p w14:paraId="517A2DD6" w14:textId="4169BE4D" w:rsidR="00664420" w:rsidRPr="001B7797" w:rsidRDefault="00BA55A8" w:rsidP="00BA55A8">
      <w:pPr>
        <w:pStyle w:val="Ttulo3"/>
      </w:pPr>
      <w:bookmarkStart w:id="27" w:name="_Toc206616066"/>
      <w:r w:rsidRPr="001B7797">
        <w:t>b)</w:t>
      </w:r>
      <w:r w:rsidR="00664420" w:rsidRPr="001B7797">
        <w:t xml:space="preserve"> </w:t>
      </w:r>
      <w:r w:rsidR="00D91CB4" w:rsidRPr="001B7797">
        <w:t>Legitimidad</w:t>
      </w:r>
      <w:r w:rsidRPr="001B7797">
        <w:t xml:space="preserve"> de la parte recurrente</w:t>
      </w:r>
      <w:bookmarkEnd w:id="27"/>
    </w:p>
    <w:p w14:paraId="26FEA382" w14:textId="0B06695C" w:rsidR="00D91CB4" w:rsidRPr="001B7797" w:rsidRDefault="00D91CB4" w:rsidP="00D91CB4">
      <w:pPr>
        <w:rPr>
          <w:rFonts w:cs="Arial"/>
          <w:bCs/>
          <w:color w:val="000000" w:themeColor="text1"/>
        </w:rPr>
      </w:pPr>
      <w:r w:rsidRPr="001B7797">
        <w:rPr>
          <w:rFonts w:cs="Arial"/>
          <w:bCs/>
          <w:color w:val="000000" w:themeColor="text1"/>
        </w:rPr>
        <w:t>El recurso de revisión fue interpuesto por parte legítima, ya que se presentó por la misma persona que formuló la solicitud de acceso a la Información Pública,</w:t>
      </w:r>
      <w:r w:rsidRPr="001B7797">
        <w:rPr>
          <w:rFonts w:cs="Arial"/>
          <w:b/>
          <w:bCs/>
          <w:color w:val="000000" w:themeColor="text1"/>
        </w:rPr>
        <w:t xml:space="preserve"> </w:t>
      </w:r>
      <w:r w:rsidRPr="001B7797">
        <w:rPr>
          <w:rFonts w:cs="Arial"/>
          <w:color w:val="000000" w:themeColor="text1"/>
        </w:rPr>
        <w:t>debido a que los datos de acceso</w:t>
      </w:r>
      <w:r w:rsidRPr="001B7797">
        <w:rPr>
          <w:rFonts w:cs="Arial"/>
          <w:b/>
          <w:bCs/>
          <w:color w:val="000000" w:themeColor="text1"/>
        </w:rPr>
        <w:t xml:space="preserve"> </w:t>
      </w:r>
      <w:r w:rsidRPr="001B7797">
        <w:rPr>
          <w:rFonts w:cs="Arial"/>
          <w:b/>
          <w:color w:val="000000" w:themeColor="text1"/>
        </w:rPr>
        <w:t>SAIMEX</w:t>
      </w:r>
      <w:r w:rsidRPr="001B7797">
        <w:rPr>
          <w:rFonts w:eastAsia="Calibri" w:cs="Arial"/>
          <w:color w:val="000000" w:themeColor="text1"/>
          <w:lang w:eastAsia="en-US"/>
        </w:rPr>
        <w:t xml:space="preserve"> son personales e irrepetibles.</w:t>
      </w:r>
    </w:p>
    <w:p w14:paraId="2C367810" w14:textId="77777777" w:rsidR="00D91CB4" w:rsidRPr="001B7797" w:rsidRDefault="00D91CB4" w:rsidP="00D91CB4"/>
    <w:p w14:paraId="5C5FA5A8" w14:textId="77777777" w:rsidR="004565C2" w:rsidRPr="001B7797" w:rsidRDefault="004565C2" w:rsidP="004565C2">
      <w:pPr>
        <w:pStyle w:val="Ttulo3"/>
        <w:rPr>
          <w:rFonts w:eastAsia="Calibri"/>
          <w:lang w:eastAsia="es-ES_tradnl"/>
        </w:rPr>
      </w:pPr>
      <w:bookmarkStart w:id="28" w:name="_Toc170932820"/>
      <w:bookmarkStart w:id="29" w:name="_Toc206616067"/>
      <w:r w:rsidRPr="001B7797">
        <w:rPr>
          <w:rFonts w:eastAsia="Calibri"/>
          <w:lang w:eastAsia="es-ES_tradnl"/>
        </w:rPr>
        <w:t>c) Plazo para interponer el recurso</w:t>
      </w:r>
      <w:bookmarkEnd w:id="28"/>
      <w:bookmarkEnd w:id="29"/>
    </w:p>
    <w:p w14:paraId="5C63152A" w14:textId="67D21C32" w:rsidR="004565C2" w:rsidRPr="001B7797" w:rsidRDefault="004565C2" w:rsidP="004565C2">
      <w:pPr>
        <w:rPr>
          <w:rFonts w:eastAsiaTheme="minorEastAsia" w:cs="Arial"/>
          <w:color w:val="000000" w:themeColor="text1"/>
          <w:lang w:val="es-ES_tradnl"/>
        </w:rPr>
      </w:pPr>
      <w:r w:rsidRPr="001B7797">
        <w:rPr>
          <w:rFonts w:cs="Arial"/>
          <w:b/>
          <w:color w:val="000000" w:themeColor="text1"/>
        </w:rPr>
        <w:t>EL SUJETO OBLIGADO</w:t>
      </w:r>
      <w:r w:rsidRPr="001B7797">
        <w:rPr>
          <w:rFonts w:cs="Arial"/>
          <w:color w:val="000000" w:themeColor="text1"/>
        </w:rPr>
        <w:t xml:space="preserve"> notificó la respuesta a la solicitud de acceso a la Información Pública el </w:t>
      </w:r>
      <w:r w:rsidR="006670B6" w:rsidRPr="001B7797">
        <w:rPr>
          <w:rFonts w:eastAsia="Palatino Linotype" w:cs="Palatino Linotype"/>
          <w:b/>
        </w:rPr>
        <w:t xml:space="preserve">siete de junio </w:t>
      </w:r>
      <w:r w:rsidR="00B373AF" w:rsidRPr="001B7797">
        <w:rPr>
          <w:rFonts w:eastAsia="Palatino Linotype" w:cs="Palatino Linotype"/>
          <w:b/>
        </w:rPr>
        <w:t>d</w:t>
      </w:r>
      <w:r w:rsidR="009A1340" w:rsidRPr="001B7797">
        <w:rPr>
          <w:rFonts w:eastAsia="Palatino Linotype" w:cs="Palatino Linotype"/>
          <w:b/>
        </w:rPr>
        <w:t xml:space="preserve">e dos mil veinticinco </w:t>
      </w:r>
      <w:r w:rsidRPr="001B7797">
        <w:rPr>
          <w:rFonts w:cs="Arial"/>
          <w:color w:val="000000" w:themeColor="text1"/>
        </w:rPr>
        <w:t xml:space="preserve">y el recurso </w:t>
      </w:r>
      <w:r w:rsidRPr="001B7797">
        <w:rPr>
          <w:rFonts w:eastAsia="Palatino Linotype" w:cs="Palatino Linotype"/>
          <w:color w:val="000000" w:themeColor="text1"/>
        </w:rPr>
        <w:t xml:space="preserve">que nos ocupa se </w:t>
      </w:r>
      <w:r w:rsidR="005D5854" w:rsidRPr="001B7797">
        <w:rPr>
          <w:rFonts w:eastAsia="Palatino Linotype" w:cs="Palatino Linotype"/>
          <w:color w:val="000000" w:themeColor="text1"/>
        </w:rPr>
        <w:t xml:space="preserve">tuvo por </w:t>
      </w:r>
      <w:r w:rsidRPr="001B7797">
        <w:rPr>
          <w:rFonts w:eastAsia="Palatino Linotype" w:cs="Palatino Linotype"/>
          <w:color w:val="000000" w:themeColor="text1"/>
        </w:rPr>
        <w:t>interpu</w:t>
      </w:r>
      <w:r w:rsidR="005D5854" w:rsidRPr="001B7797">
        <w:rPr>
          <w:rFonts w:eastAsia="Palatino Linotype" w:cs="Palatino Linotype"/>
          <w:color w:val="000000" w:themeColor="text1"/>
        </w:rPr>
        <w:t>e</w:t>
      </w:r>
      <w:r w:rsidR="00E27023" w:rsidRPr="001B7797">
        <w:rPr>
          <w:rFonts w:eastAsia="Palatino Linotype" w:cs="Palatino Linotype"/>
          <w:color w:val="000000" w:themeColor="text1"/>
        </w:rPr>
        <w:t>s</w:t>
      </w:r>
      <w:r w:rsidR="005D5854" w:rsidRPr="001B7797">
        <w:rPr>
          <w:rFonts w:eastAsia="Palatino Linotype" w:cs="Palatino Linotype"/>
          <w:color w:val="000000" w:themeColor="text1"/>
        </w:rPr>
        <w:t>t</w:t>
      </w:r>
      <w:r w:rsidR="00E27023" w:rsidRPr="001B7797">
        <w:rPr>
          <w:rFonts w:eastAsia="Palatino Linotype" w:cs="Palatino Linotype"/>
          <w:color w:val="000000" w:themeColor="text1"/>
        </w:rPr>
        <w:t>o</w:t>
      </w:r>
      <w:r w:rsidRPr="001B7797">
        <w:rPr>
          <w:rFonts w:eastAsia="Palatino Linotype" w:cs="Palatino Linotype"/>
          <w:color w:val="000000" w:themeColor="text1"/>
        </w:rPr>
        <w:t xml:space="preserve"> el </w:t>
      </w:r>
      <w:r w:rsidR="006670B6" w:rsidRPr="001B7797">
        <w:rPr>
          <w:rFonts w:eastAsia="Palatino Linotype" w:cs="Palatino Linotype"/>
          <w:b/>
          <w:color w:val="000000" w:themeColor="text1"/>
        </w:rPr>
        <w:t xml:space="preserve">ocho de junio </w:t>
      </w:r>
      <w:r w:rsidR="009A1340" w:rsidRPr="001B7797">
        <w:rPr>
          <w:rFonts w:eastAsia="Palatino Linotype" w:cs="Palatino Linotype"/>
          <w:b/>
          <w:color w:val="000000" w:themeColor="text1"/>
        </w:rPr>
        <w:t>de dos mil veinticinco</w:t>
      </w:r>
      <w:r w:rsidRPr="001B7797">
        <w:rPr>
          <w:rFonts w:eastAsia="Palatino Linotype" w:cs="Palatino Linotype"/>
          <w:bCs/>
          <w:color w:val="000000" w:themeColor="text1"/>
        </w:rPr>
        <w:t>;</w:t>
      </w:r>
      <w:r w:rsidRPr="001B7797">
        <w:rPr>
          <w:rFonts w:eastAsia="Palatino Linotype" w:cs="Palatino Linotype"/>
          <w:color w:val="000000" w:themeColor="text1"/>
        </w:rPr>
        <w:t xml:space="preserve"> por lo tanto, éste se encuentra dentro del margen </w:t>
      </w:r>
      <w:r w:rsidRPr="001B7797">
        <w:rPr>
          <w:rFonts w:eastAsia="Palatino Linotype" w:cs="Palatino Linotype"/>
          <w:color w:val="000000" w:themeColor="text1"/>
        </w:rPr>
        <w:lastRenderedPageBreak/>
        <w:t xml:space="preserve">temporal previsto en el artículo 178 de la </w:t>
      </w:r>
      <w:r w:rsidRPr="001B7797">
        <w:rPr>
          <w:rFonts w:cs="Arial"/>
          <w:color w:val="000000" w:themeColor="text1"/>
        </w:rPr>
        <w:t>Ley de Transparencia y Acceso a la Información Pública del Estado de México y Municipios</w:t>
      </w:r>
      <w:r w:rsidRPr="001B7797">
        <w:rPr>
          <w:rFonts w:eastAsiaTheme="minorEastAsia" w:cs="Arial"/>
          <w:color w:val="000000" w:themeColor="text1"/>
          <w:lang w:val="es-ES_tradnl"/>
        </w:rPr>
        <w:t>.</w:t>
      </w:r>
    </w:p>
    <w:p w14:paraId="41262D82" w14:textId="77777777" w:rsidR="00813497" w:rsidRPr="001B7797" w:rsidRDefault="00813497" w:rsidP="00D91CB4"/>
    <w:p w14:paraId="46C0EB3A" w14:textId="5A92AF42" w:rsidR="00A53315" w:rsidRPr="001B7797" w:rsidRDefault="00BA55A8" w:rsidP="00362A11">
      <w:pPr>
        <w:pStyle w:val="Ttulo3"/>
        <w:rPr>
          <w:rFonts w:eastAsia="Calibri"/>
          <w:lang w:eastAsia="es-ES_tradnl"/>
        </w:rPr>
      </w:pPr>
      <w:bookmarkStart w:id="30" w:name="_Toc206616068"/>
      <w:r w:rsidRPr="001B7797">
        <w:rPr>
          <w:rFonts w:eastAsia="Calibri"/>
          <w:lang w:eastAsia="es-ES_tradnl"/>
        </w:rPr>
        <w:t>d)</w:t>
      </w:r>
      <w:r w:rsidR="00D91CB4" w:rsidRPr="001B7797">
        <w:rPr>
          <w:rFonts w:eastAsia="Calibri"/>
          <w:lang w:eastAsia="es-ES_tradnl"/>
        </w:rPr>
        <w:t xml:space="preserve"> </w:t>
      </w:r>
      <w:r w:rsidR="004565C2" w:rsidRPr="001B7797">
        <w:rPr>
          <w:rFonts w:eastAsia="Calibri"/>
          <w:lang w:eastAsia="es-ES_tradnl"/>
        </w:rPr>
        <w:t>Causal de procedencia</w:t>
      </w:r>
      <w:bookmarkEnd w:id="30"/>
    </w:p>
    <w:p w14:paraId="190404A6" w14:textId="73306AA2" w:rsidR="00BA55A8" w:rsidRPr="001B7797" w:rsidRDefault="00BA55A8" w:rsidP="00BA55A8">
      <w:r w:rsidRPr="001B7797">
        <w:rPr>
          <w:rFonts w:cs="Arial"/>
        </w:rPr>
        <w:t xml:space="preserve">Resulta procedente la interposición del recurso de revisión, ya que </w:t>
      </w:r>
      <w:r w:rsidRPr="001B7797">
        <w:rPr>
          <w:rFonts w:eastAsia="Calibri" w:cs="Tahoma"/>
          <w:color w:val="000000"/>
          <w:szCs w:val="22"/>
          <w:lang w:eastAsia="es-MX"/>
        </w:rPr>
        <w:t xml:space="preserve">se actualiza la causal de procedencia señalada en el artículo 179, </w:t>
      </w:r>
      <w:r w:rsidR="007F2E78" w:rsidRPr="001B7797">
        <w:rPr>
          <w:rFonts w:eastAsia="Calibri" w:cs="Tahoma"/>
          <w:color w:val="000000"/>
          <w:szCs w:val="22"/>
          <w:lang w:eastAsia="es-MX"/>
        </w:rPr>
        <w:t xml:space="preserve">fracción </w:t>
      </w:r>
      <w:r w:rsidR="006670B6" w:rsidRPr="001B7797">
        <w:rPr>
          <w:rFonts w:eastAsia="Calibri" w:cs="Tahoma"/>
          <w:color w:val="000000"/>
          <w:szCs w:val="22"/>
          <w:lang w:eastAsia="es-MX"/>
        </w:rPr>
        <w:t>III</w:t>
      </w:r>
      <w:r w:rsidR="005D5854" w:rsidRPr="001B7797">
        <w:rPr>
          <w:rFonts w:eastAsia="Calibri" w:cs="Tahoma"/>
          <w:color w:val="000000"/>
          <w:szCs w:val="22"/>
          <w:lang w:eastAsia="es-MX"/>
        </w:rPr>
        <w:t xml:space="preserve"> </w:t>
      </w:r>
      <w:r w:rsidRPr="001B7797">
        <w:rPr>
          <w:rFonts w:cs="Arial"/>
        </w:rPr>
        <w:t xml:space="preserve">de la </w:t>
      </w:r>
      <w:r w:rsidRPr="001B7797">
        <w:t>Ley de Transparencia y Acceso a la Información Pública del Estado de México y Municipios.</w:t>
      </w:r>
    </w:p>
    <w:p w14:paraId="0EFF7141" w14:textId="77777777" w:rsidR="00362A11" w:rsidRPr="001B7797" w:rsidRDefault="00362A11" w:rsidP="00BA55A8"/>
    <w:p w14:paraId="2284D7EB" w14:textId="3EE1D036" w:rsidR="00BA55A8" w:rsidRPr="001B7797" w:rsidRDefault="00362A11" w:rsidP="00362A11">
      <w:pPr>
        <w:pStyle w:val="Ttulo3"/>
      </w:pPr>
      <w:bookmarkStart w:id="31" w:name="_Toc206616069"/>
      <w:r w:rsidRPr="001B7797">
        <w:t>e) Requisitos formales para la interposición del recurso</w:t>
      </w:r>
      <w:bookmarkEnd w:id="31"/>
    </w:p>
    <w:p w14:paraId="677C7009" w14:textId="77777777" w:rsidR="00185C7C" w:rsidRPr="001B7797" w:rsidRDefault="00185C7C" w:rsidP="00185C7C">
      <w:pPr>
        <w:rPr>
          <w:rFonts w:cs="Arial"/>
        </w:rPr>
      </w:pPr>
      <w:r w:rsidRPr="001B7797">
        <w:rPr>
          <w:rFonts w:cs="Arial"/>
          <w:b/>
          <w:bCs/>
        </w:rPr>
        <w:t xml:space="preserve">LA PARTE RECURRENTE </w:t>
      </w:r>
      <w:r w:rsidRPr="001B7797">
        <w:rPr>
          <w:rFonts w:cs="Arial"/>
        </w:rPr>
        <w:t>acreditó todos y cada uno de los elementos formales exigidos por el artículo 180 de la misma normatividad.</w:t>
      </w:r>
    </w:p>
    <w:p w14:paraId="2BE2EBCD" w14:textId="77777777" w:rsidR="00185C7C" w:rsidRPr="001B7797" w:rsidRDefault="00185C7C" w:rsidP="00185C7C">
      <w:pPr>
        <w:rPr>
          <w:rFonts w:cs="Arial"/>
        </w:rPr>
      </w:pPr>
    </w:p>
    <w:p w14:paraId="457548E9" w14:textId="3F7AF03B" w:rsidR="00C71CEF" w:rsidRPr="001B7797" w:rsidRDefault="00C71CEF" w:rsidP="00C71CEF">
      <w:pPr>
        <w:pStyle w:val="Ttulo2"/>
      </w:pPr>
      <w:bookmarkStart w:id="32" w:name="_Toc206616070"/>
      <w:r w:rsidRPr="001B7797">
        <w:t>SEGUNDO. Estudio de Fondo</w:t>
      </w:r>
      <w:bookmarkEnd w:id="32"/>
    </w:p>
    <w:p w14:paraId="2A308F59" w14:textId="0FF373F0" w:rsidR="00C049E2" w:rsidRPr="001B7797" w:rsidRDefault="00C71CEF" w:rsidP="00A21A20">
      <w:pPr>
        <w:pStyle w:val="Ttulo3"/>
      </w:pPr>
      <w:bookmarkStart w:id="33" w:name="_Toc206616071"/>
      <w:r w:rsidRPr="001B7797">
        <w:t>a</w:t>
      </w:r>
      <w:r w:rsidR="00C049E2" w:rsidRPr="001B7797">
        <w:t>) Mandato de transparencia y responsabilidad del Sujeto Obligado</w:t>
      </w:r>
      <w:bookmarkEnd w:id="33"/>
    </w:p>
    <w:p w14:paraId="6901A889" w14:textId="59EEDAE1" w:rsidR="00C049E2" w:rsidRPr="001B7797" w:rsidRDefault="00C049E2" w:rsidP="00C049E2">
      <w:pPr>
        <w:rPr>
          <w:rFonts w:eastAsia="Palatino Linotype"/>
        </w:rPr>
      </w:pPr>
      <w:r w:rsidRPr="001B7797">
        <w:rPr>
          <w:rFonts w:eastAsia="Palatino Linotype"/>
        </w:rPr>
        <w:t xml:space="preserve">El </w:t>
      </w:r>
      <w:r w:rsidR="00717E59" w:rsidRPr="001B7797">
        <w:rPr>
          <w:rFonts w:eastAsia="Palatino Linotype"/>
        </w:rPr>
        <w:t>d</w:t>
      </w:r>
      <w:r w:rsidRPr="001B7797">
        <w:rPr>
          <w:rFonts w:eastAsia="Palatino Linotype"/>
        </w:rPr>
        <w:t xml:space="preserve">erecho de </w:t>
      </w:r>
      <w:r w:rsidR="00717E59" w:rsidRPr="001B7797">
        <w:rPr>
          <w:rFonts w:eastAsia="Palatino Linotype"/>
        </w:rPr>
        <w:t>a</w:t>
      </w:r>
      <w:r w:rsidRPr="001B7797">
        <w:rPr>
          <w:rFonts w:eastAsia="Palatino Linotype"/>
        </w:rPr>
        <w:t xml:space="preserve">cceso a la </w:t>
      </w:r>
      <w:r w:rsidR="00717E59" w:rsidRPr="001B7797">
        <w:rPr>
          <w:rFonts w:eastAsia="Palatino Linotype"/>
        </w:rPr>
        <w:t>i</w:t>
      </w:r>
      <w:r w:rsidRPr="001B7797">
        <w:rPr>
          <w:rFonts w:eastAsia="Palatino Linotype"/>
        </w:rPr>
        <w:t xml:space="preserve">nformación </w:t>
      </w:r>
      <w:r w:rsidR="00717E59" w:rsidRPr="001B7797">
        <w:rPr>
          <w:rFonts w:eastAsia="Palatino Linotype"/>
        </w:rPr>
        <w:t>p</w:t>
      </w:r>
      <w:r w:rsidRPr="001B779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B7797">
        <w:rPr>
          <w:rFonts w:eastAsia="Palatino Linotype"/>
        </w:rPr>
        <w:t>:</w:t>
      </w:r>
    </w:p>
    <w:p w14:paraId="7FAB8D32" w14:textId="77777777" w:rsidR="00C049E2" w:rsidRPr="001B7797" w:rsidRDefault="00C049E2" w:rsidP="00C049E2">
      <w:pPr>
        <w:rPr>
          <w:rFonts w:eastAsia="Palatino Linotype"/>
        </w:rPr>
      </w:pPr>
    </w:p>
    <w:p w14:paraId="05320813" w14:textId="77777777" w:rsidR="00C049E2" w:rsidRPr="001B7797" w:rsidRDefault="00C049E2" w:rsidP="004C43D3">
      <w:pPr>
        <w:pStyle w:val="Ttulo"/>
        <w:rPr>
          <w:rFonts w:eastAsia="Palatino Linotype"/>
          <w:b/>
        </w:rPr>
      </w:pPr>
      <w:r w:rsidRPr="001B7797">
        <w:rPr>
          <w:rFonts w:eastAsia="Palatino Linotype"/>
          <w:b/>
        </w:rPr>
        <w:t>Constitución Política de los Estados Unidos Mexicanos</w:t>
      </w:r>
    </w:p>
    <w:p w14:paraId="6B6C67B6" w14:textId="77777777" w:rsidR="00C049E2" w:rsidRPr="001B7797" w:rsidRDefault="00C049E2" w:rsidP="004C43D3">
      <w:pPr>
        <w:pStyle w:val="Ttulo"/>
        <w:rPr>
          <w:rFonts w:eastAsia="Palatino Linotype"/>
          <w:b/>
        </w:rPr>
      </w:pPr>
      <w:r w:rsidRPr="001B7797">
        <w:rPr>
          <w:rFonts w:eastAsia="Palatino Linotype"/>
        </w:rPr>
        <w:t>“</w:t>
      </w:r>
      <w:r w:rsidRPr="001B7797">
        <w:rPr>
          <w:rFonts w:eastAsia="Palatino Linotype"/>
          <w:b/>
        </w:rPr>
        <w:t>Artículo 6.</w:t>
      </w:r>
    </w:p>
    <w:p w14:paraId="38D3B4C4" w14:textId="77777777" w:rsidR="00C049E2" w:rsidRPr="001B7797" w:rsidRDefault="00C049E2" w:rsidP="004C43D3">
      <w:pPr>
        <w:pStyle w:val="Ttulo"/>
        <w:rPr>
          <w:rFonts w:eastAsia="Palatino Linotype"/>
        </w:rPr>
      </w:pPr>
      <w:r w:rsidRPr="001B7797">
        <w:rPr>
          <w:rFonts w:eastAsia="Palatino Linotype"/>
        </w:rPr>
        <w:t>(…)</w:t>
      </w:r>
    </w:p>
    <w:p w14:paraId="2CCAA297" w14:textId="6602827B" w:rsidR="00C049E2" w:rsidRPr="001B7797" w:rsidRDefault="00C049E2" w:rsidP="004C43D3">
      <w:pPr>
        <w:pStyle w:val="Ttulo"/>
        <w:rPr>
          <w:rFonts w:eastAsia="Palatino Linotype"/>
        </w:rPr>
      </w:pPr>
      <w:r w:rsidRPr="001B7797">
        <w:rPr>
          <w:rFonts w:eastAsia="Palatino Linotype"/>
        </w:rPr>
        <w:t>Para efectos de lo dispuesto en el presente artículo se observará lo siguiente:</w:t>
      </w:r>
    </w:p>
    <w:p w14:paraId="74CC3718" w14:textId="77777777" w:rsidR="00C049E2" w:rsidRPr="001B7797" w:rsidRDefault="00C049E2" w:rsidP="004C43D3">
      <w:pPr>
        <w:pStyle w:val="Ttulo"/>
        <w:rPr>
          <w:rFonts w:eastAsia="Palatino Linotype"/>
        </w:rPr>
      </w:pPr>
      <w:r w:rsidRPr="001B779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B7797" w:rsidRDefault="00C049E2" w:rsidP="004C43D3">
      <w:pPr>
        <w:pStyle w:val="Ttulo"/>
        <w:rPr>
          <w:rFonts w:eastAsia="Palatino Linotype"/>
        </w:rPr>
      </w:pPr>
      <w:r w:rsidRPr="001B7797">
        <w:rPr>
          <w:rFonts w:eastAsia="Palatino Linotype"/>
        </w:rPr>
        <w:t xml:space="preserve">I. </w:t>
      </w:r>
      <w:r w:rsidRPr="001B7797">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1B7797">
        <w:rPr>
          <w:rFonts w:eastAsia="Palatino Linotype"/>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B7797" w:rsidRDefault="00C049E2" w:rsidP="004C43D3">
      <w:pPr>
        <w:pStyle w:val="Ttulo"/>
        <w:rPr>
          <w:rFonts w:eastAsia="Palatino Linotype"/>
        </w:rPr>
      </w:pPr>
    </w:p>
    <w:p w14:paraId="504F12DB" w14:textId="77777777" w:rsidR="00C049E2" w:rsidRPr="001B7797" w:rsidRDefault="00C049E2" w:rsidP="004C43D3">
      <w:pPr>
        <w:pStyle w:val="Ttulo"/>
        <w:rPr>
          <w:rFonts w:eastAsia="Palatino Linotype"/>
          <w:b/>
        </w:rPr>
      </w:pPr>
      <w:r w:rsidRPr="001B7797">
        <w:rPr>
          <w:rFonts w:eastAsia="Palatino Linotype"/>
          <w:b/>
        </w:rPr>
        <w:t>Constitución Política del Estado Libre y Soberano de México</w:t>
      </w:r>
    </w:p>
    <w:p w14:paraId="04932D29" w14:textId="77777777" w:rsidR="00C049E2" w:rsidRPr="001B7797" w:rsidRDefault="00C049E2" w:rsidP="004C43D3">
      <w:pPr>
        <w:pStyle w:val="Ttulo"/>
        <w:rPr>
          <w:rFonts w:eastAsia="Palatino Linotype"/>
          <w:b/>
        </w:rPr>
      </w:pPr>
      <w:r w:rsidRPr="001B7797">
        <w:rPr>
          <w:rFonts w:eastAsia="Palatino Linotype"/>
        </w:rPr>
        <w:t>“</w:t>
      </w:r>
      <w:r w:rsidRPr="001B7797">
        <w:rPr>
          <w:rFonts w:eastAsia="Palatino Linotype"/>
          <w:b/>
        </w:rPr>
        <w:t xml:space="preserve">Artículo 5.- </w:t>
      </w:r>
    </w:p>
    <w:p w14:paraId="1D3829F4" w14:textId="77777777" w:rsidR="00C049E2" w:rsidRPr="001B7797" w:rsidRDefault="00C049E2" w:rsidP="004C43D3">
      <w:pPr>
        <w:pStyle w:val="Ttulo"/>
        <w:rPr>
          <w:rFonts w:eastAsia="Palatino Linotype"/>
        </w:rPr>
      </w:pPr>
      <w:r w:rsidRPr="001B7797">
        <w:rPr>
          <w:rFonts w:eastAsia="Palatino Linotype"/>
        </w:rPr>
        <w:t>(…)</w:t>
      </w:r>
    </w:p>
    <w:p w14:paraId="0EAE47FD" w14:textId="77777777" w:rsidR="00C049E2" w:rsidRPr="001B7797" w:rsidRDefault="00C049E2" w:rsidP="004C43D3">
      <w:pPr>
        <w:pStyle w:val="Ttulo"/>
        <w:rPr>
          <w:rFonts w:eastAsia="Palatino Linotype"/>
        </w:rPr>
      </w:pPr>
      <w:r w:rsidRPr="001B779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B7797" w:rsidRDefault="00C049E2" w:rsidP="004C43D3">
      <w:pPr>
        <w:pStyle w:val="Ttulo"/>
        <w:rPr>
          <w:rFonts w:eastAsia="Palatino Linotype"/>
        </w:rPr>
      </w:pPr>
      <w:r w:rsidRPr="001B779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B7797" w:rsidRDefault="00C049E2" w:rsidP="004C43D3">
      <w:pPr>
        <w:pStyle w:val="Ttulo"/>
        <w:rPr>
          <w:rFonts w:eastAsia="Palatino Linotype"/>
        </w:rPr>
      </w:pPr>
      <w:r w:rsidRPr="001B7797">
        <w:rPr>
          <w:rFonts w:eastAsia="Palatino Linotype"/>
        </w:rPr>
        <w:t>Este derecho se regirá por los principios y bases siguientes:</w:t>
      </w:r>
    </w:p>
    <w:p w14:paraId="4A3E8CBA" w14:textId="77777777" w:rsidR="00C049E2" w:rsidRPr="001B7797" w:rsidRDefault="00C049E2" w:rsidP="004C43D3">
      <w:pPr>
        <w:pStyle w:val="Ttulo"/>
        <w:rPr>
          <w:rFonts w:eastAsia="Palatino Linotype"/>
        </w:rPr>
      </w:pPr>
      <w:r w:rsidRPr="001B7797">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B7797" w:rsidRDefault="00C049E2" w:rsidP="00C049E2">
      <w:pPr>
        <w:rPr>
          <w:rFonts w:eastAsia="Palatino Linotype"/>
          <w:b/>
          <w:i/>
        </w:rPr>
      </w:pPr>
    </w:p>
    <w:p w14:paraId="6FC1BB3B" w14:textId="3BF4A33D" w:rsidR="00C049E2" w:rsidRPr="001B7797" w:rsidRDefault="00717E59" w:rsidP="00331F35">
      <w:pPr>
        <w:rPr>
          <w:rFonts w:eastAsia="Palatino Linotype"/>
          <w:i/>
        </w:rPr>
      </w:pPr>
      <w:r w:rsidRPr="001B7797">
        <w:rPr>
          <w:rFonts w:eastAsia="Palatino Linotype"/>
        </w:rPr>
        <w:t xml:space="preserve">Asimismo, </w:t>
      </w:r>
      <w:r w:rsidR="00C049E2" w:rsidRPr="001B7797">
        <w:rPr>
          <w:rFonts w:eastAsia="Palatino Linotype"/>
        </w:rPr>
        <w:t>el artículo 150 de la Ley de Transparencia y Acceso a la Información Pública del Estado de México y Municipios</w:t>
      </w:r>
      <w:r w:rsidR="00057B2D" w:rsidRPr="001B7797">
        <w:rPr>
          <w:rFonts w:eastAsia="Palatino Linotype"/>
        </w:rPr>
        <w:t xml:space="preserve"> </w:t>
      </w:r>
      <w:r w:rsidR="00E9335C" w:rsidRPr="001B7797">
        <w:rPr>
          <w:rFonts w:eastAsia="Palatino Linotype"/>
        </w:rPr>
        <w:t xml:space="preserve">indica </w:t>
      </w:r>
      <w:r w:rsidR="00057B2D" w:rsidRPr="001B7797">
        <w:rPr>
          <w:rFonts w:eastAsia="Palatino Linotype"/>
        </w:rPr>
        <w:t>que</w:t>
      </w:r>
      <w:r w:rsidR="00C049E2" w:rsidRPr="001B7797">
        <w:rPr>
          <w:rFonts w:eastAsia="Palatino Linotype"/>
        </w:rPr>
        <w:t xml:space="preserve"> la solicitud es la garantía primaria del Derecho de Acceso a la Información, además, establece que se regirá </w:t>
      </w:r>
      <w:r w:rsidR="00C049E2" w:rsidRPr="001B7797">
        <w:rPr>
          <w:rFonts w:eastAsia="Palatino Linotype"/>
          <w:i/>
        </w:rPr>
        <w:t>por los principios de simplicidad, rapidez</w:t>
      </w:r>
      <w:r w:rsidR="005F65B7" w:rsidRPr="001B7797">
        <w:rPr>
          <w:rFonts w:eastAsia="Palatino Linotype"/>
          <w:i/>
        </w:rPr>
        <w:t>,</w:t>
      </w:r>
      <w:r w:rsidR="00C049E2" w:rsidRPr="001B7797">
        <w:rPr>
          <w:rFonts w:eastAsia="Palatino Linotype"/>
          <w:i/>
        </w:rPr>
        <w:t xml:space="preserve"> gratuidad del procedimiento, auxilio y orientación a los particulare</w:t>
      </w:r>
      <w:r w:rsidR="001A58B3" w:rsidRPr="001B7797">
        <w:rPr>
          <w:rFonts w:eastAsia="Palatino Linotype"/>
          <w:i/>
        </w:rPr>
        <w:t>s.</w:t>
      </w:r>
    </w:p>
    <w:p w14:paraId="033466A6" w14:textId="77777777" w:rsidR="001A58B3" w:rsidRPr="001B7797" w:rsidRDefault="001A58B3" w:rsidP="00331F35">
      <w:pPr>
        <w:rPr>
          <w:rFonts w:eastAsia="Palatino Linotype"/>
          <w:i/>
        </w:rPr>
      </w:pPr>
    </w:p>
    <w:p w14:paraId="04ADA10B" w14:textId="574A944A" w:rsidR="001A58B3" w:rsidRPr="001B7797" w:rsidRDefault="00233F17" w:rsidP="00331F35">
      <w:pPr>
        <w:rPr>
          <w:rFonts w:eastAsia="Palatino Linotype" w:cs="Palatino Linotype"/>
          <w:i/>
          <w:szCs w:val="22"/>
        </w:rPr>
      </w:pPr>
      <w:r w:rsidRPr="001B7797">
        <w:rPr>
          <w:rFonts w:eastAsia="Palatino Linotype" w:cs="Palatino Linotype"/>
        </w:rPr>
        <w:lastRenderedPageBreak/>
        <w:t xml:space="preserve">Por su parte, el artículo 4 de </w:t>
      </w:r>
      <w:r w:rsidR="001A58B3" w:rsidRPr="001B779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B7797">
        <w:rPr>
          <w:rFonts w:eastAsia="Palatino Linotype" w:cs="Palatino Linotype"/>
        </w:rPr>
        <w:t>.</w:t>
      </w:r>
    </w:p>
    <w:p w14:paraId="1407DBB8" w14:textId="77777777" w:rsidR="001A58B3" w:rsidRPr="001B7797" w:rsidRDefault="001A58B3" w:rsidP="00331F35">
      <w:pPr>
        <w:rPr>
          <w:rFonts w:eastAsia="Palatino Linotype" w:cs="Palatino Linotype"/>
        </w:rPr>
      </w:pPr>
    </w:p>
    <w:p w14:paraId="7552AA79" w14:textId="5C52E4A4" w:rsidR="001A58B3" w:rsidRPr="001B7797" w:rsidRDefault="001A58B3" w:rsidP="00331F35">
      <w:pPr>
        <w:rPr>
          <w:rFonts w:eastAsia="Palatino Linotype" w:cs="Palatino Linotype"/>
        </w:rPr>
      </w:pPr>
      <w:r w:rsidRPr="001B7797">
        <w:rPr>
          <w:rFonts w:eastAsia="Palatino Linotype" w:cs="Palatino Linotype"/>
        </w:rPr>
        <w:t xml:space="preserve">Esto es, que los Sujetos Obligados </w:t>
      </w:r>
      <w:r w:rsidR="00FA5957" w:rsidRPr="001B7797">
        <w:rPr>
          <w:rFonts w:eastAsia="Palatino Linotype" w:cs="Palatino Linotype"/>
        </w:rPr>
        <w:t>deben</w:t>
      </w:r>
      <w:r w:rsidRPr="001B7797">
        <w:rPr>
          <w:rFonts w:eastAsia="Palatino Linotype" w:cs="Palatino Linotype"/>
        </w:rPr>
        <w:t xml:space="preserve"> atender las solicitudes de acceso a la información pública que se les </w:t>
      </w:r>
      <w:r w:rsidR="00FA5957" w:rsidRPr="001B7797">
        <w:rPr>
          <w:rFonts w:eastAsia="Palatino Linotype" w:cs="Palatino Linotype"/>
        </w:rPr>
        <w:t>sean realizadas,</w:t>
      </w:r>
      <w:r w:rsidRPr="001B7797">
        <w:rPr>
          <w:rFonts w:eastAsia="Palatino Linotype" w:cs="Palatino Linotype"/>
        </w:rPr>
        <w:t xml:space="preserve"> y proporcionar la información pública que obre en su poder</w:t>
      </w:r>
      <w:r w:rsidR="00FA5957" w:rsidRPr="001B7797">
        <w:rPr>
          <w:rFonts w:eastAsia="Palatino Linotype" w:cs="Palatino Linotype"/>
        </w:rPr>
        <w:t>,</w:t>
      </w:r>
      <w:r w:rsidRPr="001B7797">
        <w:rPr>
          <w:rFonts w:eastAsia="Palatino Linotype" w:cs="Palatino Linotype"/>
        </w:rPr>
        <w:t xml:space="preserve"> conforme </w:t>
      </w:r>
      <w:r w:rsidR="00FA5957" w:rsidRPr="001B7797">
        <w:rPr>
          <w:rFonts w:eastAsia="Palatino Linotype" w:cs="Palatino Linotype"/>
        </w:rPr>
        <w:t>a</w:t>
      </w:r>
      <w:r w:rsidRPr="001B7797">
        <w:rPr>
          <w:rFonts w:eastAsia="Palatino Linotype" w:cs="Palatino Linotype"/>
        </w:rPr>
        <w:t xml:space="preserve">l estado </w:t>
      </w:r>
      <w:r w:rsidR="00FA5957" w:rsidRPr="001B7797">
        <w:rPr>
          <w:rFonts w:eastAsia="Palatino Linotype" w:cs="Palatino Linotype"/>
        </w:rPr>
        <w:t xml:space="preserve">en </w:t>
      </w:r>
      <w:r w:rsidRPr="001B7797">
        <w:rPr>
          <w:rFonts w:eastAsia="Palatino Linotype" w:cs="Palatino Linotype"/>
        </w:rPr>
        <w:t>que se encuentr</w:t>
      </w:r>
      <w:r w:rsidR="00FA5957" w:rsidRPr="001B7797">
        <w:rPr>
          <w:rFonts w:eastAsia="Palatino Linotype" w:cs="Palatino Linotype"/>
        </w:rPr>
        <w:t>e, sin que sea necesario</w:t>
      </w:r>
      <w:r w:rsidRPr="001B7797">
        <w:rPr>
          <w:rFonts w:eastAsia="Palatino Linotype" w:cs="Palatino Linotype"/>
        </w:rPr>
        <w:t xml:space="preserve"> </w:t>
      </w:r>
      <w:r w:rsidR="00FA5957" w:rsidRPr="001B7797">
        <w:rPr>
          <w:rFonts w:eastAsia="Palatino Linotype" w:cs="Palatino Linotype"/>
        </w:rPr>
        <w:t>procesar</w:t>
      </w:r>
      <w:r w:rsidRPr="001B7797">
        <w:rPr>
          <w:rFonts w:eastAsia="Palatino Linotype" w:cs="Palatino Linotype"/>
        </w:rPr>
        <w:t xml:space="preserve"> la misma, ni presentarla conforme al interés del solicitante; </w:t>
      </w:r>
      <w:r w:rsidR="00FA5957" w:rsidRPr="001B7797">
        <w:rPr>
          <w:rFonts w:eastAsia="Palatino Linotype" w:cs="Palatino Linotype"/>
        </w:rPr>
        <w:t>tal y como</w:t>
      </w:r>
      <w:r w:rsidRPr="001B7797">
        <w:rPr>
          <w:rFonts w:eastAsia="Palatino Linotype" w:cs="Palatino Linotype"/>
        </w:rPr>
        <w:t xml:space="preserve"> lo establece el artículo 12 de la Ley de Transparencia y Acceso a la Información Pública del Estado de México y Municipios</w:t>
      </w:r>
      <w:r w:rsidR="00970EB3" w:rsidRPr="001B7797">
        <w:rPr>
          <w:rFonts w:eastAsia="Palatino Linotype" w:cs="Palatino Linotype"/>
        </w:rPr>
        <w:t>.</w:t>
      </w:r>
    </w:p>
    <w:p w14:paraId="73245195" w14:textId="77777777" w:rsidR="00970EB3" w:rsidRPr="001B7797" w:rsidRDefault="00970EB3" w:rsidP="00331F35">
      <w:pPr>
        <w:rPr>
          <w:rFonts w:eastAsia="Palatino Linotype" w:cs="Palatino Linotype"/>
        </w:rPr>
      </w:pPr>
    </w:p>
    <w:p w14:paraId="7F62D4DF" w14:textId="775730E1" w:rsidR="001A58B3" w:rsidRPr="001B7797" w:rsidRDefault="001A58B3" w:rsidP="00331F35">
      <w:pPr>
        <w:rPr>
          <w:rFonts w:eastAsia="Palatino Linotype" w:cs="Palatino Linotype"/>
        </w:rPr>
      </w:pPr>
      <w:r w:rsidRPr="001B7797">
        <w:rPr>
          <w:rFonts w:eastAsia="Palatino Linotype" w:cs="Palatino Linotype"/>
        </w:rPr>
        <w:t>Es decir, que todo sujeto obligado que genere, recopile, administre, procese, archive, posea o conserven, son responsables de la misma</w:t>
      </w:r>
      <w:r w:rsidR="00970EB3" w:rsidRPr="001B7797">
        <w:rPr>
          <w:rFonts w:eastAsia="Palatino Linotype" w:cs="Palatino Linotype"/>
        </w:rPr>
        <w:t>,</w:t>
      </w:r>
      <w:r w:rsidRPr="001B779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B7797">
        <w:rPr>
          <w:rFonts w:eastAsia="Palatino Linotype" w:cs="Palatino Linotype"/>
        </w:rPr>
        <w:t>o</w:t>
      </w:r>
      <w:r w:rsidRPr="001B779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B7797" w:rsidRDefault="001A58B3" w:rsidP="00331F35">
      <w:pPr>
        <w:rPr>
          <w:rFonts w:eastAsia="Palatino Linotype" w:cs="Palatino Linotype"/>
        </w:rPr>
      </w:pPr>
    </w:p>
    <w:p w14:paraId="04E42DFE" w14:textId="573F1198" w:rsidR="001A58B3" w:rsidRPr="001B7797" w:rsidRDefault="001A58B3" w:rsidP="00331F35">
      <w:pPr>
        <w:rPr>
          <w:rFonts w:eastAsia="Palatino Linotype" w:cs="Palatino Linotype"/>
        </w:rPr>
      </w:pPr>
      <w:r w:rsidRPr="001B779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B7797">
        <w:rPr>
          <w:rFonts w:eastAsia="Palatino Linotype" w:cs="Palatino Linotype"/>
        </w:rPr>
        <w:t>, s</w:t>
      </w:r>
      <w:r w:rsidRPr="001B7797">
        <w:rPr>
          <w:rFonts w:eastAsia="Palatino Linotype" w:cs="Palatino Linotype"/>
        </w:rPr>
        <w:t xml:space="preserve">iempre y cuando no se trate de información reservada o </w:t>
      </w:r>
      <w:r w:rsidR="00331F35" w:rsidRPr="001B7797">
        <w:rPr>
          <w:rFonts w:eastAsia="Palatino Linotype" w:cs="Palatino Linotype"/>
        </w:rPr>
        <w:t>confidencial.</w:t>
      </w:r>
    </w:p>
    <w:p w14:paraId="40C5219F" w14:textId="77777777" w:rsidR="001A58B3" w:rsidRPr="001B7797" w:rsidRDefault="001A58B3" w:rsidP="00331F35">
      <w:pPr>
        <w:rPr>
          <w:rFonts w:eastAsia="Palatino Linotype" w:cs="Palatino Linotype"/>
        </w:rPr>
      </w:pPr>
    </w:p>
    <w:p w14:paraId="2E629608" w14:textId="01727E15" w:rsidR="00C049E2" w:rsidRPr="001B7797" w:rsidRDefault="006067C7" w:rsidP="00331F35">
      <w:pPr>
        <w:rPr>
          <w:rFonts w:eastAsia="Palatino Linotype"/>
        </w:rPr>
      </w:pPr>
      <w:bookmarkStart w:id="34" w:name="_heading=h.2s8eyo1" w:colFirst="0" w:colLast="0"/>
      <w:bookmarkEnd w:id="34"/>
      <w:r w:rsidRPr="001B7797">
        <w:rPr>
          <w:rFonts w:eastAsia="Palatino Linotype"/>
        </w:rPr>
        <w:lastRenderedPageBreak/>
        <w:t>Con base en lo anterior</w:t>
      </w:r>
      <w:r w:rsidR="00B22A80" w:rsidRPr="001B7797">
        <w:rPr>
          <w:rFonts w:eastAsia="Palatino Linotype"/>
        </w:rPr>
        <w:t>, se considera que</w:t>
      </w:r>
      <w:r w:rsidR="00C049E2" w:rsidRPr="001B7797">
        <w:rPr>
          <w:rFonts w:eastAsia="Palatino Linotype"/>
        </w:rPr>
        <w:t xml:space="preserve"> </w:t>
      </w:r>
      <w:r w:rsidR="00B22A80" w:rsidRPr="001B7797">
        <w:rPr>
          <w:rFonts w:eastAsia="Palatino Linotype"/>
          <w:b/>
          <w:bCs/>
        </w:rPr>
        <w:t>EL</w:t>
      </w:r>
      <w:r w:rsidR="00C049E2" w:rsidRPr="001B7797">
        <w:rPr>
          <w:rFonts w:eastAsia="Palatino Linotype"/>
        </w:rPr>
        <w:t xml:space="preserve"> </w:t>
      </w:r>
      <w:r w:rsidR="00C049E2" w:rsidRPr="001B7797">
        <w:rPr>
          <w:rFonts w:eastAsia="Palatino Linotype"/>
          <w:b/>
        </w:rPr>
        <w:t>SUJETO OBLIGADO</w:t>
      </w:r>
      <w:r w:rsidR="00C049E2" w:rsidRPr="001B7797">
        <w:rPr>
          <w:rFonts w:eastAsia="Palatino Linotype"/>
        </w:rPr>
        <w:t xml:space="preserve"> </w:t>
      </w:r>
      <w:r w:rsidR="00B22A80" w:rsidRPr="001B7797">
        <w:rPr>
          <w:rFonts w:eastAsia="Palatino Linotype"/>
        </w:rPr>
        <w:t xml:space="preserve">se </w:t>
      </w:r>
      <w:r w:rsidR="00717E59" w:rsidRPr="001B7797">
        <w:rPr>
          <w:rFonts w:eastAsia="Palatino Linotype"/>
        </w:rPr>
        <w:t>encontraba</w:t>
      </w:r>
      <w:r w:rsidR="00B22A80" w:rsidRPr="001B7797">
        <w:rPr>
          <w:rFonts w:eastAsia="Palatino Linotype"/>
        </w:rPr>
        <w:t xml:space="preserve"> compelido a</w:t>
      </w:r>
      <w:r w:rsidR="00C049E2" w:rsidRPr="001B7797">
        <w:rPr>
          <w:rFonts w:eastAsia="Palatino Linotype"/>
        </w:rPr>
        <w:t xml:space="preserve"> atender la solicitud de acceso a la información </w:t>
      </w:r>
      <w:r w:rsidR="00B22A80" w:rsidRPr="001B7797">
        <w:rPr>
          <w:rFonts w:eastAsia="Palatino Linotype"/>
        </w:rPr>
        <w:t xml:space="preserve">realizada por </w:t>
      </w:r>
      <w:r w:rsidR="00B22A80" w:rsidRPr="001B7797">
        <w:rPr>
          <w:rFonts w:eastAsia="Palatino Linotype"/>
          <w:b/>
          <w:bCs/>
        </w:rPr>
        <w:t>LA PARTE RECURRENTE</w:t>
      </w:r>
      <w:r w:rsidR="00331F35" w:rsidRPr="001B7797">
        <w:rPr>
          <w:rFonts w:eastAsia="Palatino Linotype"/>
        </w:rPr>
        <w:t>.</w:t>
      </w:r>
    </w:p>
    <w:p w14:paraId="1611F147" w14:textId="77777777" w:rsidR="00BD5A7C" w:rsidRPr="001B7797" w:rsidRDefault="00BD5A7C" w:rsidP="00331F35">
      <w:pPr>
        <w:rPr>
          <w:rFonts w:eastAsia="Palatino Linotype"/>
        </w:rPr>
      </w:pPr>
    </w:p>
    <w:p w14:paraId="51A0E8B4" w14:textId="676DCA47" w:rsidR="00664420" w:rsidRPr="001B7797" w:rsidRDefault="00C71CEF" w:rsidP="00C71CEF">
      <w:pPr>
        <w:pStyle w:val="Ttulo3"/>
        <w:rPr>
          <w:rFonts w:eastAsia="Calibri"/>
          <w:lang w:eastAsia="es-ES_tradnl"/>
        </w:rPr>
      </w:pPr>
      <w:bookmarkStart w:id="35" w:name="_Toc206616072"/>
      <w:r w:rsidRPr="001B7797">
        <w:rPr>
          <w:rFonts w:eastAsia="Calibri"/>
          <w:lang w:eastAsia="es-ES_tradnl"/>
        </w:rPr>
        <w:t>b)</w:t>
      </w:r>
      <w:r w:rsidR="00A53315" w:rsidRPr="001B7797">
        <w:rPr>
          <w:rFonts w:eastAsia="Calibri"/>
          <w:lang w:eastAsia="es-ES_tradnl"/>
        </w:rPr>
        <w:t xml:space="preserve"> </w:t>
      </w:r>
      <w:r w:rsidR="00A21A20" w:rsidRPr="001B7797">
        <w:rPr>
          <w:rFonts w:eastAsia="Calibri"/>
          <w:lang w:eastAsia="es-ES_tradnl"/>
        </w:rPr>
        <w:t>Controversia a resolver</w:t>
      </w:r>
      <w:bookmarkEnd w:id="35"/>
    </w:p>
    <w:p w14:paraId="43D5C9EA" w14:textId="1BDEF370" w:rsidR="006670B6" w:rsidRPr="001B7797" w:rsidRDefault="007F2E78" w:rsidP="007F2E78">
      <w:pPr>
        <w:rPr>
          <w:rFonts w:eastAsia="Calibri"/>
          <w:lang w:eastAsia="es-ES_tradnl"/>
        </w:rPr>
      </w:pPr>
      <w:r w:rsidRPr="001B779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1B7797">
        <w:rPr>
          <w:rFonts w:eastAsia="Calibri"/>
          <w:b/>
          <w:bCs/>
          <w:lang w:eastAsia="es-ES_tradnl"/>
        </w:rPr>
        <w:t>LA PARTE RECURRENTE</w:t>
      </w:r>
      <w:r w:rsidRPr="001B7797">
        <w:rPr>
          <w:rFonts w:eastAsia="Calibri"/>
          <w:lang w:eastAsia="es-ES_tradnl"/>
        </w:rPr>
        <w:t xml:space="preserve"> solicitó </w:t>
      </w:r>
      <w:r w:rsidR="006670B6" w:rsidRPr="001B7797">
        <w:rPr>
          <w:rFonts w:eastAsia="Calibri"/>
          <w:lang w:eastAsia="es-ES_tradnl"/>
        </w:rPr>
        <w:t xml:space="preserve">las facturas con los gastos que realizo con motivo de su gremio anual que celebran en cabecera municipal junio 2025, del uno de enero al dos de junio de dos mil veinticinco.  </w:t>
      </w:r>
    </w:p>
    <w:p w14:paraId="0B2E05C8" w14:textId="77777777" w:rsidR="006670B6" w:rsidRPr="001B7797" w:rsidRDefault="006670B6" w:rsidP="007F2E78">
      <w:pPr>
        <w:rPr>
          <w:rFonts w:eastAsia="Calibri"/>
          <w:lang w:eastAsia="es-ES_tradnl"/>
        </w:rPr>
      </w:pPr>
    </w:p>
    <w:p w14:paraId="0CB57638" w14:textId="48756335" w:rsidR="006670B6" w:rsidRPr="001B7797" w:rsidRDefault="007F2E78" w:rsidP="006670B6">
      <w:pPr>
        <w:rPr>
          <w:rFonts w:cs="Tahoma"/>
          <w:szCs w:val="22"/>
        </w:rPr>
      </w:pPr>
      <w:r w:rsidRPr="001B7797">
        <w:rPr>
          <w:rFonts w:eastAsia="Calibri"/>
          <w:bCs/>
          <w:iCs/>
          <w:lang w:eastAsia="es-ES_tradnl"/>
        </w:rPr>
        <w:t xml:space="preserve">En respuesta, </w:t>
      </w:r>
      <w:r w:rsidRPr="001B7797">
        <w:rPr>
          <w:rFonts w:eastAsia="Calibri"/>
          <w:b/>
          <w:iCs/>
          <w:lang w:eastAsia="es-ES_tradnl"/>
        </w:rPr>
        <w:t xml:space="preserve">EL SUJETO OBLIGADO </w:t>
      </w:r>
      <w:r w:rsidRPr="001B7797">
        <w:rPr>
          <w:rFonts w:eastAsia="Calibri"/>
          <w:lang w:val="es-ES" w:eastAsia="es-ES_tradnl"/>
        </w:rPr>
        <w:t xml:space="preserve">adjuntó </w:t>
      </w:r>
      <w:r w:rsidR="006670B6" w:rsidRPr="001B7797">
        <w:rPr>
          <w:rFonts w:cs="Tahoma"/>
          <w:szCs w:val="22"/>
        </w:rPr>
        <w:t>oficio por medio del cual el Tesorero Municipal informa que no cuenta con ninguna factura realizada por gastos realizados con motivo del gremio anua</w:t>
      </w:r>
      <w:r w:rsidR="00D90103" w:rsidRPr="001B7797">
        <w:rPr>
          <w:rFonts w:cs="Tahoma"/>
          <w:szCs w:val="22"/>
        </w:rPr>
        <w:t>l</w:t>
      </w:r>
      <w:r w:rsidR="006670B6" w:rsidRPr="001B7797">
        <w:rPr>
          <w:rFonts w:cs="Tahoma"/>
          <w:szCs w:val="22"/>
        </w:rPr>
        <w:t xml:space="preserve"> celebrada en cabecera municipal junio 2025. </w:t>
      </w:r>
    </w:p>
    <w:p w14:paraId="6F96F156" w14:textId="77777777" w:rsidR="006670B6" w:rsidRPr="001B7797" w:rsidRDefault="006670B6" w:rsidP="007F2E78">
      <w:pPr>
        <w:rPr>
          <w:rFonts w:eastAsia="Calibri"/>
          <w:lang w:eastAsia="es-ES_tradnl"/>
        </w:rPr>
      </w:pPr>
    </w:p>
    <w:p w14:paraId="7DE84464" w14:textId="160DE8EB" w:rsidR="007F2E78" w:rsidRPr="001B7797" w:rsidRDefault="007F2E78" w:rsidP="007F2E78">
      <w:pPr>
        <w:rPr>
          <w:rFonts w:eastAsia="Calibri"/>
          <w:bCs/>
          <w:iCs/>
          <w:lang w:eastAsia="es-ES_tradnl"/>
        </w:rPr>
      </w:pPr>
      <w:r w:rsidRPr="001B7797">
        <w:rPr>
          <w:rFonts w:eastAsia="Calibri"/>
          <w:bCs/>
          <w:iCs/>
          <w:lang w:eastAsia="es-ES_tradnl"/>
        </w:rPr>
        <w:t xml:space="preserve">Ahora bien, en la interposición del presente recurso </w:t>
      </w:r>
      <w:r w:rsidRPr="001B7797">
        <w:rPr>
          <w:rFonts w:eastAsia="Calibri"/>
          <w:b/>
          <w:iCs/>
          <w:lang w:eastAsia="es-ES_tradnl"/>
        </w:rPr>
        <w:t>LA PARTE RECURRENTE</w:t>
      </w:r>
      <w:r w:rsidRPr="001B7797">
        <w:rPr>
          <w:rFonts w:eastAsia="Calibri"/>
          <w:bCs/>
          <w:iCs/>
          <w:lang w:eastAsia="es-ES_tradnl"/>
        </w:rPr>
        <w:t xml:space="preserve"> se inconformó medularmente por </w:t>
      </w:r>
      <w:r w:rsidR="006670B6" w:rsidRPr="001B7797">
        <w:rPr>
          <w:rFonts w:eastAsia="Calibri"/>
          <w:bCs/>
          <w:iCs/>
          <w:lang w:eastAsia="es-ES_tradnl"/>
        </w:rPr>
        <w:t xml:space="preserve">la inexistencia de la información aún y cuando fue aprobado presupuesto para tal efecto. </w:t>
      </w:r>
      <w:r w:rsidRPr="001B7797">
        <w:rPr>
          <w:rFonts w:eastAsia="Calibri"/>
          <w:bCs/>
          <w:iCs/>
          <w:lang w:eastAsia="es-ES_tradnl"/>
        </w:rPr>
        <w:t xml:space="preserve"> </w:t>
      </w:r>
    </w:p>
    <w:p w14:paraId="5294A717" w14:textId="77777777" w:rsidR="007F2E78" w:rsidRPr="001B7797" w:rsidRDefault="007F2E78" w:rsidP="007F2E78">
      <w:pPr>
        <w:rPr>
          <w:rFonts w:eastAsia="Calibri"/>
          <w:bCs/>
          <w:iCs/>
          <w:lang w:eastAsia="es-ES_tradnl"/>
        </w:rPr>
      </w:pPr>
    </w:p>
    <w:p w14:paraId="2E9433BD" w14:textId="4E016E88" w:rsidR="007F2E78" w:rsidRPr="001B7797" w:rsidRDefault="007F2E78" w:rsidP="007F2E78">
      <w:pPr>
        <w:rPr>
          <w:rFonts w:eastAsia="Calibri"/>
          <w:lang w:eastAsia="es-ES_tradnl"/>
        </w:rPr>
      </w:pPr>
      <w:r w:rsidRPr="001B7797">
        <w:rPr>
          <w:rFonts w:eastAsia="Calibri"/>
          <w:bCs/>
          <w:iCs/>
          <w:lang w:eastAsia="es-ES_tradnl"/>
        </w:rPr>
        <w:t>Asimismo</w:t>
      </w:r>
      <w:r w:rsidRPr="001B7797">
        <w:rPr>
          <w:rFonts w:eastAsia="Calibri"/>
          <w:lang w:eastAsia="es-ES_tradnl"/>
        </w:rPr>
        <w:t xml:space="preserve">, es importante señalar que </w:t>
      </w:r>
      <w:r w:rsidRPr="001B7797">
        <w:rPr>
          <w:rFonts w:eastAsia="Calibri"/>
          <w:b/>
          <w:lang w:eastAsia="es-ES_tradnl"/>
        </w:rPr>
        <w:t>EL SUJETO OBLIGADO</w:t>
      </w:r>
      <w:r w:rsidRPr="001B7797">
        <w:rPr>
          <w:rFonts w:eastAsia="Calibri"/>
          <w:lang w:eastAsia="es-ES_tradnl"/>
        </w:rPr>
        <w:t xml:space="preserve"> mediante Informe Justificado, </w:t>
      </w:r>
      <w:r w:rsidR="006670B6" w:rsidRPr="001B7797">
        <w:rPr>
          <w:rFonts w:eastAsia="Calibri"/>
          <w:lang w:eastAsia="es-ES_tradnl"/>
        </w:rPr>
        <w:t>reiteró su repuesta</w:t>
      </w:r>
      <w:r w:rsidRPr="001B7797">
        <w:rPr>
          <w:rFonts w:eastAsiaTheme="majorEastAsia"/>
        </w:rPr>
        <w:t>.</w:t>
      </w:r>
    </w:p>
    <w:p w14:paraId="22839B38" w14:textId="77777777" w:rsidR="00B03CEA" w:rsidRPr="001B7797" w:rsidRDefault="00B03CEA" w:rsidP="00B03CEA">
      <w:pPr>
        <w:rPr>
          <w:rFonts w:eastAsia="Calibri"/>
          <w:lang w:eastAsia="es-ES_tradnl"/>
        </w:rPr>
      </w:pPr>
    </w:p>
    <w:p w14:paraId="6E58AEF2" w14:textId="77777777" w:rsidR="007F2E78" w:rsidRPr="001B7797" w:rsidRDefault="007F2E78" w:rsidP="007F2E78">
      <w:pPr>
        <w:rPr>
          <w:rFonts w:eastAsia="Calibri"/>
          <w:bCs/>
          <w:iCs/>
          <w:lang w:eastAsia="es-ES_tradnl"/>
        </w:rPr>
      </w:pPr>
      <w:r w:rsidRPr="001B7797">
        <w:rPr>
          <w:rFonts w:eastAsia="Calibri"/>
          <w:bCs/>
          <w:iCs/>
          <w:lang w:eastAsia="es-ES_tradnl"/>
        </w:rPr>
        <w:t xml:space="preserve">Derivado de lo anterior, el estudio se centrará en determinar si la respuesta otorgada colma el derecho de acceso a la información ejercido por </w:t>
      </w:r>
      <w:r w:rsidRPr="001B7797">
        <w:rPr>
          <w:rFonts w:eastAsia="Calibri"/>
          <w:b/>
          <w:bCs/>
          <w:iCs/>
          <w:lang w:eastAsia="es-ES_tradnl"/>
        </w:rPr>
        <w:t>LA PARTE RECURRENTE</w:t>
      </w:r>
      <w:r w:rsidRPr="001B7797">
        <w:rPr>
          <w:rFonts w:eastAsia="Calibri"/>
          <w:bCs/>
          <w:iCs/>
          <w:lang w:eastAsia="es-ES_tradnl"/>
        </w:rPr>
        <w:t>.</w:t>
      </w:r>
    </w:p>
    <w:p w14:paraId="7FB906A0" w14:textId="2A9F885C" w:rsidR="00B03CEA" w:rsidRPr="001B7797" w:rsidRDefault="00B03CEA" w:rsidP="00B03CEA">
      <w:pPr>
        <w:rPr>
          <w:rFonts w:eastAsia="Calibri"/>
          <w:lang w:eastAsia="es-ES_tradnl"/>
        </w:rPr>
      </w:pPr>
    </w:p>
    <w:p w14:paraId="4FD07A57" w14:textId="1CDA0816" w:rsidR="002A2426" w:rsidRPr="001B7797" w:rsidRDefault="002A2426" w:rsidP="002A2426">
      <w:pPr>
        <w:pStyle w:val="Ttulo3"/>
        <w:rPr>
          <w:rFonts w:eastAsia="Calibri"/>
          <w:lang w:eastAsia="es-ES_tradnl"/>
        </w:rPr>
      </w:pPr>
      <w:bookmarkStart w:id="36" w:name="_Toc176296473"/>
      <w:bookmarkStart w:id="37" w:name="_Toc206616073"/>
      <w:r w:rsidRPr="001B7797">
        <w:rPr>
          <w:rFonts w:eastAsia="Calibri"/>
          <w:lang w:eastAsia="es-ES_tradnl"/>
        </w:rPr>
        <w:lastRenderedPageBreak/>
        <w:t>c) Estudio de la controversia</w:t>
      </w:r>
      <w:bookmarkEnd w:id="36"/>
      <w:bookmarkEnd w:id="37"/>
    </w:p>
    <w:p w14:paraId="69E47102" w14:textId="77777777" w:rsidR="00D90103" w:rsidRPr="001B7797" w:rsidRDefault="00D90103" w:rsidP="00D90103">
      <w:pPr>
        <w:rPr>
          <w:rFonts w:cs="Arial"/>
        </w:rPr>
      </w:pPr>
      <w:r w:rsidRPr="001B7797">
        <w:rPr>
          <w:rFonts w:eastAsia="MS Mincho"/>
        </w:rPr>
        <w:t xml:space="preserve">Primero, se considera necesario traer a contexto </w:t>
      </w:r>
      <w:r w:rsidRPr="001B7797">
        <w:rPr>
          <w:rFonts w:cs="Arial"/>
        </w:rPr>
        <w:t>los artículos 31, fracción XVIII y 95, fracciones I y IV de la Ley Orgánica Municipal del Estado de México, que establecen:</w:t>
      </w:r>
    </w:p>
    <w:p w14:paraId="7BD03EA7" w14:textId="77777777" w:rsidR="00D90103" w:rsidRPr="001B7797" w:rsidRDefault="00D90103" w:rsidP="00D90103">
      <w:pPr>
        <w:ind w:left="851" w:right="901"/>
        <w:rPr>
          <w:rFonts w:cs="Arial"/>
          <w:i/>
          <w:szCs w:val="22"/>
          <w:lang w:eastAsia="es-MX"/>
        </w:rPr>
      </w:pPr>
    </w:p>
    <w:p w14:paraId="7F008034" w14:textId="77777777" w:rsidR="00D90103" w:rsidRPr="001B7797" w:rsidRDefault="00D90103" w:rsidP="00D90103">
      <w:pPr>
        <w:spacing w:line="240" w:lineRule="auto"/>
        <w:ind w:left="567" w:right="567"/>
        <w:contextualSpacing/>
        <w:rPr>
          <w:i/>
          <w:kern w:val="28"/>
          <w:szCs w:val="56"/>
          <w:lang w:eastAsia="es-MX"/>
        </w:rPr>
      </w:pPr>
      <w:r w:rsidRPr="001B7797">
        <w:rPr>
          <w:i/>
          <w:kern w:val="28"/>
          <w:szCs w:val="56"/>
          <w:lang w:eastAsia="es-MX"/>
        </w:rPr>
        <w:t>“</w:t>
      </w:r>
      <w:r w:rsidRPr="001B7797">
        <w:rPr>
          <w:b/>
          <w:i/>
          <w:kern w:val="28"/>
          <w:szCs w:val="56"/>
          <w:lang w:eastAsia="es-MX"/>
        </w:rPr>
        <w:t>Artículo 31.-</w:t>
      </w:r>
      <w:r w:rsidRPr="001B7797">
        <w:rPr>
          <w:i/>
          <w:kern w:val="28"/>
          <w:szCs w:val="56"/>
          <w:lang w:eastAsia="es-MX"/>
        </w:rPr>
        <w:t xml:space="preserve"> Son atribuciones de los ayuntamientos:</w:t>
      </w:r>
    </w:p>
    <w:p w14:paraId="51434EB0" w14:textId="77777777" w:rsidR="00D90103" w:rsidRPr="001B7797" w:rsidRDefault="00D90103" w:rsidP="00D90103">
      <w:pPr>
        <w:spacing w:line="240" w:lineRule="auto"/>
        <w:ind w:left="567" w:right="567"/>
        <w:contextualSpacing/>
        <w:rPr>
          <w:i/>
          <w:kern w:val="28"/>
          <w:szCs w:val="56"/>
          <w:lang w:eastAsia="es-MX"/>
        </w:rPr>
      </w:pPr>
      <w:r w:rsidRPr="001B7797">
        <w:rPr>
          <w:i/>
          <w:kern w:val="28"/>
          <w:szCs w:val="56"/>
          <w:lang w:eastAsia="es-MX"/>
        </w:rPr>
        <w:t>…</w:t>
      </w:r>
    </w:p>
    <w:p w14:paraId="1E2EA343" w14:textId="77777777" w:rsidR="00D90103" w:rsidRPr="001B7797" w:rsidRDefault="00D90103" w:rsidP="00D90103">
      <w:pPr>
        <w:spacing w:line="240" w:lineRule="auto"/>
        <w:ind w:left="567" w:right="567"/>
        <w:contextualSpacing/>
        <w:rPr>
          <w:i/>
          <w:kern w:val="28"/>
          <w:szCs w:val="56"/>
          <w:lang w:eastAsia="es-MX"/>
        </w:rPr>
      </w:pPr>
      <w:r w:rsidRPr="001B7797">
        <w:rPr>
          <w:b/>
          <w:i/>
          <w:kern w:val="28"/>
          <w:szCs w:val="56"/>
          <w:lang w:eastAsia="es-MX"/>
        </w:rPr>
        <w:t>XVIII.</w:t>
      </w:r>
      <w:r w:rsidRPr="001B7797">
        <w:rPr>
          <w:i/>
          <w:kern w:val="28"/>
          <w:szCs w:val="56"/>
          <w:lang w:eastAsia="es-MX"/>
        </w:rPr>
        <w:t xml:space="preserve"> </w:t>
      </w:r>
      <w:r w:rsidRPr="001B7797">
        <w:rPr>
          <w:b/>
          <w:i/>
          <w:kern w:val="28"/>
          <w:szCs w:val="56"/>
          <w:lang w:eastAsia="es-MX"/>
        </w:rPr>
        <w:t>Administrar su hacienda</w:t>
      </w:r>
      <w:r w:rsidRPr="001B7797">
        <w:rPr>
          <w:i/>
          <w:kern w:val="28"/>
          <w:szCs w:val="56"/>
          <w:lang w:eastAsia="es-MX"/>
        </w:rPr>
        <w:t xml:space="preserve"> en términos de ley, y controlar a través del presidente y síndico la aplicación del presupuesto de egresos del municipio;</w:t>
      </w:r>
    </w:p>
    <w:p w14:paraId="7E39F556" w14:textId="77777777" w:rsidR="00D90103" w:rsidRPr="001B7797" w:rsidRDefault="00D90103" w:rsidP="00D90103">
      <w:pPr>
        <w:spacing w:line="240" w:lineRule="auto"/>
        <w:ind w:left="567" w:right="567"/>
        <w:contextualSpacing/>
        <w:rPr>
          <w:i/>
          <w:kern w:val="28"/>
          <w:szCs w:val="56"/>
          <w:lang w:eastAsia="es-MX"/>
        </w:rPr>
      </w:pPr>
      <w:r w:rsidRPr="001B7797">
        <w:rPr>
          <w:i/>
          <w:kern w:val="28"/>
          <w:szCs w:val="56"/>
          <w:lang w:eastAsia="es-MX"/>
        </w:rPr>
        <w:t>…</w:t>
      </w:r>
    </w:p>
    <w:p w14:paraId="1085E6B2" w14:textId="77777777" w:rsidR="00D90103" w:rsidRPr="001B7797" w:rsidRDefault="00D90103" w:rsidP="00D90103">
      <w:pPr>
        <w:spacing w:line="240" w:lineRule="auto"/>
        <w:ind w:left="567" w:right="567"/>
        <w:contextualSpacing/>
        <w:rPr>
          <w:i/>
          <w:kern w:val="28"/>
          <w:szCs w:val="56"/>
          <w:lang w:eastAsia="es-MX"/>
        </w:rPr>
      </w:pPr>
      <w:r w:rsidRPr="001B7797">
        <w:rPr>
          <w:b/>
          <w:i/>
          <w:kern w:val="28"/>
          <w:szCs w:val="56"/>
          <w:lang w:eastAsia="es-MX"/>
        </w:rPr>
        <w:t>Artículo 95.-</w:t>
      </w:r>
      <w:r w:rsidRPr="001B7797">
        <w:rPr>
          <w:i/>
          <w:kern w:val="28"/>
          <w:szCs w:val="56"/>
          <w:lang w:eastAsia="es-MX"/>
        </w:rPr>
        <w:t xml:space="preserve"> Son atribuciones del tesorero municipal:</w:t>
      </w:r>
    </w:p>
    <w:p w14:paraId="7BEFF747" w14:textId="77777777" w:rsidR="00D90103" w:rsidRPr="001B7797" w:rsidRDefault="00D90103" w:rsidP="00D90103">
      <w:pPr>
        <w:spacing w:line="240" w:lineRule="auto"/>
        <w:ind w:left="567" w:right="567"/>
        <w:contextualSpacing/>
        <w:rPr>
          <w:i/>
          <w:kern w:val="28"/>
          <w:szCs w:val="56"/>
          <w:lang w:eastAsia="es-MX"/>
        </w:rPr>
      </w:pPr>
      <w:r w:rsidRPr="001B7797">
        <w:rPr>
          <w:b/>
          <w:i/>
          <w:kern w:val="28"/>
          <w:szCs w:val="56"/>
          <w:lang w:eastAsia="es-MX"/>
        </w:rPr>
        <w:t>I.</w:t>
      </w:r>
      <w:r w:rsidRPr="001B7797">
        <w:rPr>
          <w:i/>
          <w:kern w:val="28"/>
          <w:szCs w:val="56"/>
          <w:lang w:eastAsia="es-MX"/>
        </w:rPr>
        <w:t xml:space="preserve"> </w:t>
      </w:r>
      <w:r w:rsidRPr="001B7797">
        <w:rPr>
          <w:b/>
          <w:i/>
          <w:kern w:val="28"/>
          <w:szCs w:val="56"/>
          <w:lang w:eastAsia="es-MX"/>
        </w:rPr>
        <w:t>Administrar la hacienda pública municipal</w:t>
      </w:r>
      <w:r w:rsidRPr="001B7797">
        <w:rPr>
          <w:i/>
          <w:kern w:val="28"/>
          <w:szCs w:val="56"/>
          <w:lang w:eastAsia="es-MX"/>
        </w:rPr>
        <w:t>, de conformidad con las disposiciones legales aplicables;</w:t>
      </w:r>
    </w:p>
    <w:p w14:paraId="3FEE5CF9" w14:textId="77777777" w:rsidR="00D90103" w:rsidRPr="001B7797" w:rsidRDefault="00D90103" w:rsidP="00D90103">
      <w:pPr>
        <w:spacing w:line="240" w:lineRule="auto"/>
        <w:ind w:left="567" w:right="567"/>
        <w:contextualSpacing/>
        <w:rPr>
          <w:i/>
          <w:kern w:val="28"/>
          <w:szCs w:val="56"/>
          <w:lang w:eastAsia="es-MX"/>
        </w:rPr>
      </w:pPr>
      <w:r w:rsidRPr="001B7797">
        <w:rPr>
          <w:i/>
          <w:kern w:val="28"/>
          <w:szCs w:val="56"/>
          <w:lang w:eastAsia="es-MX"/>
        </w:rPr>
        <w:t>…</w:t>
      </w:r>
    </w:p>
    <w:p w14:paraId="367191CD" w14:textId="77777777" w:rsidR="00D90103" w:rsidRPr="001B7797" w:rsidRDefault="00D90103" w:rsidP="00D90103">
      <w:pPr>
        <w:spacing w:line="240" w:lineRule="auto"/>
        <w:ind w:left="567" w:right="567"/>
        <w:contextualSpacing/>
        <w:rPr>
          <w:i/>
          <w:kern w:val="28"/>
          <w:szCs w:val="56"/>
        </w:rPr>
      </w:pPr>
      <w:r w:rsidRPr="001B7797">
        <w:rPr>
          <w:b/>
          <w:i/>
          <w:kern w:val="28"/>
          <w:szCs w:val="56"/>
          <w:lang w:eastAsia="es-MX"/>
        </w:rPr>
        <w:t>IV.</w:t>
      </w:r>
      <w:r w:rsidRPr="001B7797">
        <w:rPr>
          <w:i/>
          <w:kern w:val="28"/>
          <w:szCs w:val="56"/>
          <w:lang w:eastAsia="es-MX"/>
        </w:rPr>
        <w:t xml:space="preserve"> </w:t>
      </w:r>
      <w:r w:rsidRPr="001B7797">
        <w:rPr>
          <w:b/>
          <w:i/>
          <w:kern w:val="28"/>
          <w:szCs w:val="56"/>
          <w:lang w:eastAsia="es-MX"/>
        </w:rPr>
        <w:t>Llevar los registros contables, financieros y administrativos</w:t>
      </w:r>
      <w:r w:rsidRPr="001B7797">
        <w:rPr>
          <w:i/>
          <w:kern w:val="28"/>
          <w:szCs w:val="56"/>
          <w:lang w:eastAsia="es-MX"/>
        </w:rPr>
        <w:t xml:space="preserve"> de los ingresos, </w:t>
      </w:r>
      <w:r w:rsidRPr="001B7797">
        <w:rPr>
          <w:b/>
          <w:i/>
          <w:kern w:val="28"/>
          <w:szCs w:val="56"/>
          <w:lang w:eastAsia="es-MX"/>
        </w:rPr>
        <w:t>egresos</w:t>
      </w:r>
      <w:r w:rsidRPr="001B7797">
        <w:rPr>
          <w:i/>
          <w:kern w:val="28"/>
          <w:szCs w:val="56"/>
          <w:lang w:eastAsia="es-MX"/>
        </w:rPr>
        <w:t>, e inventarios;</w:t>
      </w:r>
      <w:r w:rsidRPr="001B7797">
        <w:rPr>
          <w:i/>
          <w:kern w:val="28"/>
          <w:szCs w:val="56"/>
        </w:rPr>
        <w:t>”</w:t>
      </w:r>
    </w:p>
    <w:p w14:paraId="3DF33B0B" w14:textId="77777777" w:rsidR="00D90103" w:rsidRPr="001B7797" w:rsidRDefault="00D90103" w:rsidP="00D90103">
      <w:pPr>
        <w:spacing w:line="240" w:lineRule="auto"/>
        <w:ind w:left="567" w:right="567"/>
        <w:contextualSpacing/>
        <w:rPr>
          <w:i/>
          <w:kern w:val="28"/>
          <w:szCs w:val="56"/>
        </w:rPr>
      </w:pPr>
      <w:r w:rsidRPr="001B7797">
        <w:rPr>
          <w:i/>
          <w:kern w:val="28"/>
          <w:szCs w:val="56"/>
        </w:rPr>
        <w:t>(Énfasis añadido)</w:t>
      </w:r>
    </w:p>
    <w:p w14:paraId="372CD91B" w14:textId="77777777" w:rsidR="00D90103" w:rsidRPr="001B7797" w:rsidRDefault="00D90103" w:rsidP="00D90103">
      <w:pPr>
        <w:ind w:left="851" w:right="901"/>
        <w:rPr>
          <w:rFonts w:cs="Arial"/>
          <w:i/>
        </w:rPr>
      </w:pPr>
    </w:p>
    <w:p w14:paraId="4E91BEEB" w14:textId="77777777" w:rsidR="00D90103" w:rsidRPr="001B7797" w:rsidRDefault="00D90103" w:rsidP="00D90103">
      <w:pPr>
        <w:rPr>
          <w:rFonts w:cs="Arial"/>
          <w:color w:val="000000" w:themeColor="text1"/>
          <w:lang w:eastAsia="es-MX"/>
        </w:rPr>
      </w:pPr>
      <w:r w:rsidRPr="001B7797">
        <w:rPr>
          <w:rFonts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48561C9B" w14:textId="77777777" w:rsidR="00D90103" w:rsidRPr="001B7797" w:rsidRDefault="00D90103" w:rsidP="00D90103">
      <w:pPr>
        <w:widowControl w:val="0"/>
        <w:autoSpaceDE w:val="0"/>
        <w:autoSpaceDN w:val="0"/>
        <w:adjustRightInd w:val="0"/>
        <w:contextualSpacing/>
        <w:rPr>
          <w:rFonts w:eastAsia="MS Mincho" w:cs="Tahoma"/>
          <w:color w:val="000000" w:themeColor="text1"/>
        </w:rPr>
      </w:pPr>
    </w:p>
    <w:p w14:paraId="2A943AFB" w14:textId="77777777" w:rsidR="00D90103" w:rsidRPr="001B7797" w:rsidRDefault="00D90103" w:rsidP="00D90103">
      <w:r w:rsidRPr="001B7797">
        <w:rPr>
          <w:rFonts w:cs="Arial"/>
          <w:color w:val="000000" w:themeColor="text1"/>
          <w:lang w:eastAsia="es-MX"/>
        </w:rPr>
        <w:t xml:space="preserve">Asimismo, </w:t>
      </w:r>
      <w:r w:rsidRPr="001B7797">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13A76C67" w14:textId="77777777" w:rsidR="00D90103" w:rsidRPr="001B7797" w:rsidRDefault="00D90103" w:rsidP="00D90103">
      <w:pPr>
        <w:rPr>
          <w:rFonts w:cs="Arial"/>
          <w:color w:val="000000" w:themeColor="text1"/>
        </w:rPr>
      </w:pPr>
    </w:p>
    <w:p w14:paraId="18F66E42" w14:textId="77777777" w:rsidR="00D90103" w:rsidRPr="001B7797" w:rsidRDefault="00D90103" w:rsidP="00D90103">
      <w:pPr>
        <w:spacing w:line="240" w:lineRule="auto"/>
        <w:ind w:left="567" w:right="567"/>
        <w:contextualSpacing/>
        <w:rPr>
          <w:rFonts w:eastAsia="Arial Unicode MS"/>
          <w:i/>
          <w:kern w:val="28"/>
          <w:szCs w:val="56"/>
        </w:rPr>
      </w:pPr>
      <w:r w:rsidRPr="001B7797">
        <w:rPr>
          <w:rFonts w:eastAsia="Arial Unicode MS"/>
          <w:i/>
          <w:kern w:val="28"/>
          <w:szCs w:val="56"/>
        </w:rPr>
        <w:t>“</w:t>
      </w:r>
      <w:r w:rsidRPr="001B7797">
        <w:rPr>
          <w:rFonts w:eastAsia="Arial Unicode MS"/>
          <w:b/>
          <w:i/>
          <w:kern w:val="28"/>
          <w:szCs w:val="56"/>
        </w:rPr>
        <w:t>Artículo 342.-</w:t>
      </w:r>
      <w:r w:rsidRPr="001B7797">
        <w:rPr>
          <w:rFonts w:eastAsia="Arial Unicode MS"/>
          <w:i/>
          <w:kern w:val="28"/>
          <w:szCs w:val="56"/>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0F08E5A" w14:textId="77777777" w:rsidR="00D90103" w:rsidRPr="001B7797" w:rsidRDefault="00D90103" w:rsidP="00D90103">
      <w:pPr>
        <w:spacing w:line="240" w:lineRule="auto"/>
        <w:ind w:left="567" w:right="567"/>
        <w:contextualSpacing/>
        <w:rPr>
          <w:rFonts w:eastAsia="Arial Unicode MS"/>
          <w:b/>
          <w:i/>
          <w:kern w:val="28"/>
          <w:szCs w:val="56"/>
        </w:rPr>
      </w:pPr>
      <w:r w:rsidRPr="001B7797">
        <w:rPr>
          <w:rFonts w:eastAsia="Arial Unicode MS"/>
          <w:b/>
          <w:i/>
          <w:kern w:val="28"/>
          <w:szCs w:val="56"/>
        </w:rPr>
        <w:lastRenderedPageBreak/>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6791EB42" w14:textId="77777777" w:rsidR="00D90103" w:rsidRPr="001B7797" w:rsidRDefault="00D90103" w:rsidP="00D90103">
      <w:pPr>
        <w:ind w:left="851" w:right="901"/>
        <w:rPr>
          <w:rFonts w:eastAsia="Arial Unicode MS" w:cs="Arial"/>
          <w:b/>
          <w:i/>
        </w:rPr>
      </w:pPr>
    </w:p>
    <w:p w14:paraId="63FB37A3" w14:textId="77777777" w:rsidR="00D90103" w:rsidRPr="001B7797" w:rsidRDefault="00D90103" w:rsidP="00D90103">
      <w:pPr>
        <w:spacing w:line="240" w:lineRule="auto"/>
        <w:ind w:left="567" w:right="567"/>
        <w:contextualSpacing/>
        <w:rPr>
          <w:i/>
          <w:kern w:val="28"/>
          <w:szCs w:val="56"/>
        </w:rPr>
      </w:pPr>
      <w:r w:rsidRPr="001B7797">
        <w:rPr>
          <w:b/>
          <w:i/>
          <w:kern w:val="28"/>
          <w:szCs w:val="56"/>
        </w:rPr>
        <w:t>Artículo 343.-</w:t>
      </w:r>
      <w:r w:rsidRPr="001B7797">
        <w:rPr>
          <w:i/>
          <w:kern w:val="28"/>
          <w:szCs w:val="56"/>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792614D" w14:textId="77777777" w:rsidR="00D90103" w:rsidRPr="001B7797" w:rsidRDefault="00D90103" w:rsidP="00D90103">
      <w:pPr>
        <w:spacing w:line="240" w:lineRule="auto"/>
        <w:ind w:left="567" w:right="567"/>
        <w:contextualSpacing/>
        <w:rPr>
          <w:rFonts w:eastAsia="Arial Unicode MS" w:cs="Arial"/>
          <w:b/>
          <w:i/>
          <w:kern w:val="28"/>
          <w:szCs w:val="56"/>
        </w:rPr>
      </w:pPr>
      <w:r w:rsidRPr="001B7797">
        <w:rPr>
          <w:i/>
          <w:kern w:val="28"/>
          <w:szCs w:val="56"/>
        </w:rPr>
        <w:t>El sistema de contabilidad sobre base acumulativa total, se sustentará en las normas emitidas por el Consejo Nacional de Armonización Contable.</w:t>
      </w:r>
    </w:p>
    <w:p w14:paraId="05AB8ED5" w14:textId="77777777" w:rsidR="00D90103" w:rsidRPr="001B7797" w:rsidRDefault="00D90103" w:rsidP="00D90103">
      <w:pPr>
        <w:spacing w:line="240" w:lineRule="auto"/>
        <w:ind w:left="567" w:right="567"/>
        <w:contextualSpacing/>
        <w:rPr>
          <w:b/>
          <w:i/>
          <w:kern w:val="28"/>
          <w:szCs w:val="56"/>
        </w:rPr>
      </w:pPr>
    </w:p>
    <w:p w14:paraId="21933C46" w14:textId="77777777" w:rsidR="00D90103" w:rsidRPr="001B7797" w:rsidRDefault="00D90103" w:rsidP="00D90103">
      <w:pPr>
        <w:spacing w:line="240" w:lineRule="auto"/>
        <w:ind w:left="567" w:right="567"/>
        <w:contextualSpacing/>
        <w:rPr>
          <w:i/>
          <w:kern w:val="28"/>
          <w:szCs w:val="56"/>
        </w:rPr>
      </w:pPr>
      <w:r w:rsidRPr="001B7797">
        <w:rPr>
          <w:b/>
          <w:i/>
          <w:kern w:val="28"/>
          <w:szCs w:val="56"/>
        </w:rPr>
        <w:t>Artículo 344.-</w:t>
      </w:r>
      <w:r w:rsidRPr="001B7797">
        <w:rPr>
          <w:i/>
          <w:kern w:val="28"/>
          <w:szCs w:val="5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87C1A6E" w14:textId="0C3432D7" w:rsidR="00D90103" w:rsidRPr="001B7797" w:rsidRDefault="00D90103" w:rsidP="00D90103">
      <w:pPr>
        <w:spacing w:line="240" w:lineRule="auto"/>
        <w:ind w:left="567" w:right="567"/>
        <w:contextualSpacing/>
        <w:rPr>
          <w:rFonts w:eastAsia="Arial Unicode MS" w:cs="Arial"/>
          <w:i/>
          <w:kern w:val="28"/>
          <w:szCs w:val="56"/>
        </w:rPr>
      </w:pPr>
      <w:r w:rsidRPr="001B7797">
        <w:rPr>
          <w:i/>
          <w:kern w:val="28"/>
          <w:szCs w:val="56"/>
        </w:rPr>
        <w:t xml:space="preserve">En el caso de los Municipios, dicha obligación corresponderá a la </w:t>
      </w:r>
      <w:r w:rsidR="001B7797" w:rsidRPr="001B7797">
        <w:rPr>
          <w:i/>
          <w:kern w:val="28"/>
          <w:szCs w:val="56"/>
        </w:rPr>
        <w:t>Tesorería.</w:t>
      </w:r>
      <w:r w:rsidR="001B7797" w:rsidRPr="001B7797">
        <w:rPr>
          <w:rFonts w:eastAsia="Arial Unicode MS" w:cs="Arial"/>
          <w:i/>
          <w:kern w:val="28"/>
          <w:szCs w:val="56"/>
        </w:rPr>
        <w:t xml:space="preserve"> Tratándose</w:t>
      </w:r>
      <w:r w:rsidRPr="001B7797">
        <w:rPr>
          <w:rFonts w:eastAsia="Arial Unicode MS" w:cs="Arial"/>
          <w:i/>
          <w:kern w:val="28"/>
          <w:szCs w:val="56"/>
        </w:rPr>
        <w:t xml:space="preserve"> de documentos de carácter histórico, se estará a lo dispuesto por la legislación de la materia. </w:t>
      </w:r>
    </w:p>
    <w:p w14:paraId="3C0EAF00" w14:textId="77777777" w:rsidR="00D90103" w:rsidRPr="001B7797" w:rsidRDefault="00D90103" w:rsidP="00D90103">
      <w:pPr>
        <w:ind w:left="851" w:right="901"/>
        <w:rPr>
          <w:rFonts w:eastAsia="Arial Unicode MS" w:cs="Arial"/>
          <w:b/>
          <w:i/>
        </w:rPr>
      </w:pPr>
    </w:p>
    <w:p w14:paraId="1A5C5FF4" w14:textId="77777777" w:rsidR="00D90103" w:rsidRPr="001B7797" w:rsidRDefault="00D90103" w:rsidP="00D90103">
      <w:pPr>
        <w:spacing w:line="240" w:lineRule="auto"/>
        <w:ind w:left="567" w:right="567"/>
        <w:contextualSpacing/>
        <w:rPr>
          <w:i/>
          <w:kern w:val="28"/>
          <w:szCs w:val="56"/>
        </w:rPr>
      </w:pPr>
      <w:r w:rsidRPr="001B7797">
        <w:rPr>
          <w:b/>
          <w:i/>
          <w:kern w:val="28"/>
          <w:szCs w:val="56"/>
        </w:rPr>
        <w:t>Artículo 345.-</w:t>
      </w:r>
      <w:r w:rsidRPr="001B7797">
        <w:rPr>
          <w:i/>
          <w:kern w:val="28"/>
          <w:szCs w:val="56"/>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448F60B" w14:textId="77777777" w:rsidR="00D90103" w:rsidRPr="001B7797" w:rsidRDefault="00D90103" w:rsidP="00D90103">
      <w:pPr>
        <w:spacing w:line="240" w:lineRule="auto"/>
        <w:ind w:left="567" w:right="567"/>
        <w:contextualSpacing/>
        <w:rPr>
          <w:i/>
          <w:kern w:val="28"/>
          <w:szCs w:val="56"/>
        </w:rPr>
      </w:pPr>
    </w:p>
    <w:p w14:paraId="64D9DC05" w14:textId="77777777" w:rsidR="00D90103" w:rsidRPr="001B7797" w:rsidRDefault="00D90103" w:rsidP="00D90103">
      <w:pPr>
        <w:spacing w:line="240" w:lineRule="auto"/>
        <w:ind w:left="567" w:right="567"/>
        <w:contextualSpacing/>
        <w:rPr>
          <w:rFonts w:eastAsia="Arial Unicode MS"/>
          <w:i/>
          <w:kern w:val="28"/>
          <w:szCs w:val="56"/>
        </w:rPr>
      </w:pPr>
      <w:r w:rsidRPr="001B7797">
        <w:rPr>
          <w:i/>
          <w:kern w:val="28"/>
          <w:szCs w:val="56"/>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w:t>
      </w:r>
      <w:r w:rsidRPr="001B7797">
        <w:rPr>
          <w:i/>
          <w:kern w:val="28"/>
          <w:szCs w:val="56"/>
        </w:rPr>
        <w:lastRenderedPageBreak/>
        <w:t>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1B7797">
        <w:rPr>
          <w:rFonts w:eastAsia="Arial Unicode MS"/>
          <w:i/>
          <w:kern w:val="28"/>
          <w:szCs w:val="56"/>
        </w:rPr>
        <w:t xml:space="preserve"> (Énfasis añadido)</w:t>
      </w:r>
    </w:p>
    <w:p w14:paraId="14DA977E" w14:textId="77777777" w:rsidR="00D90103" w:rsidRPr="001B7797" w:rsidRDefault="00D90103" w:rsidP="00D90103">
      <w:pPr>
        <w:ind w:left="709"/>
        <w:rPr>
          <w:rFonts w:eastAsia="Arial Unicode MS" w:cs="Arial"/>
          <w:i/>
        </w:rPr>
      </w:pPr>
    </w:p>
    <w:p w14:paraId="20F270ED" w14:textId="77777777" w:rsidR="00D90103" w:rsidRPr="001B7797" w:rsidRDefault="00D90103" w:rsidP="00D90103">
      <w:pPr>
        <w:rPr>
          <w:rFonts w:cs="Arial"/>
          <w:color w:val="000000" w:themeColor="text1"/>
        </w:rPr>
      </w:pPr>
      <w:r w:rsidRPr="001B7797">
        <w:rPr>
          <w:rFonts w:cs="Arial"/>
          <w:color w:val="000000" w:themeColor="text1"/>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0FE2F7C3" w14:textId="77777777" w:rsidR="00D90103" w:rsidRPr="001B7797" w:rsidRDefault="00D90103" w:rsidP="00D90103">
      <w:pPr>
        <w:rPr>
          <w:rFonts w:cs="Arial"/>
          <w:color w:val="000000" w:themeColor="text1"/>
        </w:rPr>
      </w:pPr>
    </w:p>
    <w:p w14:paraId="1147A825" w14:textId="77777777" w:rsidR="00D90103" w:rsidRPr="001B7797" w:rsidRDefault="00D90103" w:rsidP="00D90103">
      <w:pPr>
        <w:rPr>
          <w:rFonts w:cs="Arial"/>
          <w:color w:val="000000" w:themeColor="text1"/>
        </w:rPr>
      </w:pPr>
      <w:r w:rsidRPr="001B7797">
        <w:rPr>
          <w:rFonts w:cs="Arial"/>
          <w:color w:val="000000" w:themeColor="text1"/>
        </w:rPr>
        <w:t>Asimismo, se establece que el sistema de contabilidad sobre base acumulativa total se sustentará en las normas emitidas por el Consejo Nacional de Armonización Contable.</w:t>
      </w:r>
    </w:p>
    <w:p w14:paraId="050A3EAE" w14:textId="77777777" w:rsidR="00D90103" w:rsidRPr="001B7797" w:rsidRDefault="00D90103" w:rsidP="00D90103">
      <w:pPr>
        <w:rPr>
          <w:rFonts w:cs="Arial"/>
          <w:color w:val="000000" w:themeColor="text1"/>
        </w:rPr>
      </w:pPr>
    </w:p>
    <w:p w14:paraId="75134544" w14:textId="77777777" w:rsidR="00D90103" w:rsidRPr="001B7797" w:rsidRDefault="00D90103" w:rsidP="00D90103">
      <w:pPr>
        <w:rPr>
          <w:rFonts w:cs="Arial"/>
          <w:b/>
          <w:color w:val="000000" w:themeColor="text1"/>
        </w:rPr>
      </w:pPr>
      <w:r w:rsidRPr="001B7797">
        <w:rPr>
          <w:rFonts w:cs="Arial"/>
          <w:color w:val="000000" w:themeColor="text1"/>
        </w:rPr>
        <w:t xml:space="preserve">Igualmente, los preceptos legales citados señalan que en el caso de los Municipios es la </w:t>
      </w:r>
      <w:r w:rsidRPr="001B7797">
        <w:rPr>
          <w:rFonts w:cs="Arial"/>
          <w:b/>
          <w:color w:val="000000" w:themeColor="text1"/>
        </w:rPr>
        <w:t>Tesorería Municipal</w:t>
      </w:r>
      <w:r w:rsidRPr="001B7797">
        <w:rPr>
          <w:rFonts w:cs="Arial"/>
          <w:color w:val="000000" w:themeColor="text1"/>
        </w:rPr>
        <w:t xml:space="preserve"> la unidad administrativa que registra contablemente el efecto patrimonial y presupuestal de las operaciones financieras que realizan, en </w:t>
      </w:r>
      <w:r w:rsidRPr="001B7797">
        <w:rPr>
          <w:rFonts w:cs="Arial"/>
          <w:b/>
          <w:color w:val="000000" w:themeColor="text1"/>
        </w:rPr>
        <w:t>el momento en que ocurran, con base en el sistema y políticas de registro establecidas</w:t>
      </w:r>
      <w:r w:rsidRPr="001B7797">
        <w:rPr>
          <w:rFonts w:cs="Arial"/>
          <w:color w:val="000000" w:themeColor="text1"/>
        </w:rPr>
        <w:t>.</w:t>
      </w:r>
    </w:p>
    <w:p w14:paraId="7F553A69" w14:textId="77777777" w:rsidR="00D90103" w:rsidRPr="001B7797" w:rsidRDefault="00D90103" w:rsidP="00D90103">
      <w:pPr>
        <w:rPr>
          <w:rFonts w:cs="Arial"/>
          <w:color w:val="000000" w:themeColor="text1"/>
        </w:rPr>
      </w:pPr>
    </w:p>
    <w:p w14:paraId="03AEBFF7" w14:textId="77777777" w:rsidR="00D90103" w:rsidRPr="001B7797" w:rsidRDefault="00D90103" w:rsidP="00D90103">
      <w:pPr>
        <w:rPr>
          <w:rFonts w:cs="Arial"/>
          <w:color w:val="000000" w:themeColor="text1"/>
        </w:rPr>
      </w:pPr>
      <w:r w:rsidRPr="001B7797">
        <w:rPr>
          <w:rFonts w:cs="Arial"/>
          <w:color w:val="000000" w:themeColor="text1"/>
        </w:rPr>
        <w:t xml:space="preserve">Cabe destacar, que el ordenamiento legal en cita establece que todo registro contable y presupuestal deberá estar soportado con los </w:t>
      </w:r>
      <w:r w:rsidRPr="001B7797">
        <w:rPr>
          <w:rFonts w:cs="Arial"/>
          <w:b/>
          <w:color w:val="000000" w:themeColor="text1"/>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1B7797">
        <w:rPr>
          <w:rFonts w:cs="Arial"/>
          <w:color w:val="000000" w:themeColor="text1"/>
        </w:rPr>
        <w:t xml:space="preserve">, en el caso de los municipios, y a disposición del Órgano Superior de Fiscalización del Estado de México y de los Órganos de Control Interno, por un término de </w:t>
      </w:r>
      <w:r w:rsidRPr="001B7797">
        <w:rPr>
          <w:rFonts w:cs="Arial"/>
          <w:b/>
          <w:color w:val="000000" w:themeColor="text1"/>
        </w:rPr>
        <w:t>seis años</w:t>
      </w:r>
      <w:r w:rsidRPr="001B7797">
        <w:rPr>
          <w:rFonts w:cs="Arial"/>
          <w:color w:val="000000" w:themeColor="text1"/>
        </w:rPr>
        <w:t xml:space="preserve"> contados a partir del ejercicio presupuestal siguiente al que corresponda.</w:t>
      </w:r>
    </w:p>
    <w:p w14:paraId="620716E8" w14:textId="77777777" w:rsidR="00D90103" w:rsidRPr="001B7797" w:rsidRDefault="00D90103" w:rsidP="00D90103">
      <w:pPr>
        <w:rPr>
          <w:rFonts w:eastAsia="Palatino Linotype"/>
        </w:rPr>
      </w:pPr>
    </w:p>
    <w:p w14:paraId="4506BA9E" w14:textId="281CF1DF" w:rsidR="00D90103" w:rsidRPr="001B7797" w:rsidRDefault="00D90103" w:rsidP="00D90103">
      <w:pPr>
        <w:rPr>
          <w:rFonts w:cs="Tahoma"/>
          <w:b/>
          <w:i/>
          <w:szCs w:val="22"/>
          <w:lang w:val="es-ES"/>
        </w:rPr>
      </w:pPr>
      <w:r w:rsidRPr="001B7797">
        <w:rPr>
          <w:rFonts w:cs="Arial"/>
          <w:color w:val="000000"/>
          <w:sz w:val="24"/>
          <w:szCs w:val="24"/>
          <w:lang w:eastAsia="es-MX"/>
        </w:rPr>
        <w:lastRenderedPageBreak/>
        <w:t xml:space="preserve">Es así, que de la respuesta otorgada por </w:t>
      </w:r>
      <w:r w:rsidRPr="001B7797">
        <w:rPr>
          <w:rFonts w:cs="Arial"/>
          <w:b/>
          <w:color w:val="000000"/>
          <w:sz w:val="24"/>
          <w:szCs w:val="24"/>
          <w:lang w:eastAsia="es-MX"/>
        </w:rPr>
        <w:t xml:space="preserve">EL SUJETO OBLIGADO </w:t>
      </w:r>
      <w:r w:rsidRPr="001B7797">
        <w:rPr>
          <w:rFonts w:cs="Arial"/>
          <w:color w:val="000000"/>
          <w:sz w:val="24"/>
          <w:szCs w:val="24"/>
          <w:lang w:eastAsia="es-MX"/>
        </w:rPr>
        <w:t xml:space="preserve">se advierte que existe pronunciamiento por parte del servidor público habilitado de la </w:t>
      </w:r>
      <w:r w:rsidRPr="001B7797">
        <w:rPr>
          <w:rFonts w:cs="Tahoma"/>
          <w:szCs w:val="22"/>
          <w:lang w:val="es-ES"/>
        </w:rPr>
        <w:t>Tesorería Municipal</w:t>
      </w:r>
      <w:r w:rsidRPr="001B7797">
        <w:rPr>
          <w:rFonts w:cs="Arial"/>
          <w:color w:val="000000"/>
          <w:sz w:val="24"/>
          <w:szCs w:val="24"/>
          <w:lang w:eastAsia="es-MX"/>
        </w:rPr>
        <w:t xml:space="preserve">, quién </w:t>
      </w:r>
      <w:r w:rsidRPr="001B7797">
        <w:rPr>
          <w:rFonts w:cs="Tahoma"/>
          <w:szCs w:val="22"/>
          <w:lang w:val="es-ES"/>
        </w:rPr>
        <w:t xml:space="preserve">informó que a la fecha de respuesta no cuenta con ninguna factura por los gastos realizados con motivo del gremio anual celebrada en la cabecera municipal junio 2025. </w:t>
      </w:r>
    </w:p>
    <w:p w14:paraId="2E320E4D" w14:textId="77777777" w:rsidR="00D90103" w:rsidRPr="001B7797" w:rsidRDefault="00D90103" w:rsidP="00D90103">
      <w:pPr>
        <w:rPr>
          <w:rFonts w:cs="Tahoma"/>
          <w:b/>
          <w:i/>
          <w:szCs w:val="22"/>
          <w:lang w:val="es-ES"/>
        </w:rPr>
      </w:pPr>
    </w:p>
    <w:p w14:paraId="515B5DB6" w14:textId="77777777" w:rsidR="00D90103" w:rsidRPr="001B7797" w:rsidRDefault="00D90103" w:rsidP="00D90103">
      <w:r w:rsidRPr="001B7797">
        <w:t>Derivado de lo anterior, este Órgano Garante advierte que existió el pronunciamiento por parte del servidor público habilitado del área competente</w:t>
      </w:r>
      <w:r w:rsidRPr="001B7797">
        <w:rPr>
          <w:rFonts w:cs="Tahoma"/>
          <w:szCs w:val="22"/>
          <w:lang w:val="es-ES"/>
        </w:rPr>
        <w:t>,</w:t>
      </w:r>
      <w:r w:rsidRPr="001B7797">
        <w:t xml:space="preserve"> agotando así la búsqueda exhaustiva y razonable por parte del </w:t>
      </w:r>
      <w:r w:rsidRPr="001B7797">
        <w:rPr>
          <w:b/>
        </w:rPr>
        <w:t>SUJETO OBLIGADO</w:t>
      </w:r>
      <w:r w:rsidRPr="001B7797">
        <w:t>, que para tal efecto dispone el artículo 162, de la Ley de Transparencia y Acceso a la Información Pública del Estado de México y Municipios, que índica:</w:t>
      </w:r>
    </w:p>
    <w:p w14:paraId="392702BB" w14:textId="77777777" w:rsidR="00D90103" w:rsidRPr="001B7797" w:rsidRDefault="00D90103" w:rsidP="00D90103"/>
    <w:p w14:paraId="28A0A430" w14:textId="77777777" w:rsidR="00D90103" w:rsidRPr="001B7797" w:rsidRDefault="00D90103" w:rsidP="00D90103">
      <w:pPr>
        <w:spacing w:line="240" w:lineRule="auto"/>
        <w:ind w:left="567" w:right="567"/>
        <w:contextualSpacing/>
        <w:rPr>
          <w:i/>
          <w:kern w:val="28"/>
          <w:szCs w:val="56"/>
        </w:rPr>
      </w:pPr>
      <w:r w:rsidRPr="001B7797">
        <w:rPr>
          <w:i/>
          <w:kern w:val="28"/>
          <w:szCs w:val="56"/>
        </w:rPr>
        <w:t>“</w:t>
      </w:r>
      <w:r w:rsidRPr="001B7797">
        <w:rPr>
          <w:b/>
          <w:i/>
          <w:kern w:val="28"/>
          <w:szCs w:val="56"/>
        </w:rPr>
        <w:t xml:space="preserve">Artículo 162. </w:t>
      </w:r>
      <w:r w:rsidRPr="001B7797">
        <w:rPr>
          <w:i/>
          <w:kern w:val="28"/>
          <w:szCs w:val="56"/>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5C7A0A0" w14:textId="77777777" w:rsidR="00D90103" w:rsidRPr="001B7797" w:rsidRDefault="00D90103" w:rsidP="00D90103"/>
    <w:p w14:paraId="4669F623" w14:textId="27FA35AB" w:rsidR="00D90103" w:rsidRPr="001B7797" w:rsidRDefault="00D90103" w:rsidP="00D90103">
      <w:pPr>
        <w:rPr>
          <w:rFonts w:eastAsia="Palatino Linotype" w:cs="Palatino Linotype"/>
          <w:color w:val="000000"/>
          <w:szCs w:val="22"/>
        </w:rPr>
      </w:pPr>
      <w:r w:rsidRPr="001B7797">
        <w:rPr>
          <w:rFonts w:eastAsia="Palatino Linotype" w:cs="Palatino Linotype"/>
          <w:color w:val="000000"/>
          <w:szCs w:val="22"/>
        </w:rPr>
        <w:t>Asimismo, no se omite comentar que tanto en respuesta como informe justificado se precisó que a la fecha de la respuesta no se contaba con ninguna factura</w:t>
      </w:r>
      <w:r w:rsidRPr="001B7797">
        <w:rPr>
          <w:rFonts w:cs="Tahoma"/>
          <w:szCs w:val="22"/>
          <w:lang w:val="es-ES"/>
        </w:rPr>
        <w:t xml:space="preserve">; por lo que, </w:t>
      </w:r>
      <w:r w:rsidRPr="001B7797">
        <w:rPr>
          <w:rFonts w:eastAsia="Palatino Linotype" w:cs="Palatino Linotype"/>
          <w:color w:val="000000"/>
          <w:szCs w:val="22"/>
        </w:rPr>
        <w:t xml:space="preserve">la respuesta proporcionada por </w:t>
      </w:r>
      <w:r w:rsidRPr="001B7797">
        <w:rPr>
          <w:rFonts w:eastAsia="Palatino Linotype" w:cs="Palatino Linotype"/>
          <w:b/>
          <w:color w:val="000000"/>
          <w:szCs w:val="22"/>
        </w:rPr>
        <w:t xml:space="preserve">EL SUJETO OBLIGADO </w:t>
      </w:r>
      <w:r w:rsidRPr="001B7797">
        <w:rPr>
          <w:rFonts w:eastAsia="Palatino Linotype" w:cs="Palatino Linotype"/>
          <w:color w:val="000000"/>
          <w:szCs w:val="22"/>
        </w:rPr>
        <w:t xml:space="preserve">constituye un hecho negativo, por lo que, es evidente que éste no puede fácticamente obrar en los archivos del </w:t>
      </w:r>
      <w:r w:rsidRPr="001B7797">
        <w:rPr>
          <w:rFonts w:eastAsia="Palatino Linotype" w:cs="Palatino Linotype"/>
          <w:b/>
          <w:color w:val="000000"/>
          <w:szCs w:val="22"/>
        </w:rPr>
        <w:t>SUJETO OBLIGADO</w:t>
      </w:r>
      <w:r w:rsidRPr="001B7797">
        <w:rPr>
          <w:rFonts w:eastAsia="Palatino Linotype" w:cs="Palatino Linotype"/>
          <w:color w:val="000000"/>
          <w:szCs w:val="22"/>
        </w:rPr>
        <w:t>, ya que no puede probarse por ser lógica y materialmente imposible.</w:t>
      </w:r>
    </w:p>
    <w:p w14:paraId="6A1478A6" w14:textId="77777777" w:rsidR="00D90103" w:rsidRPr="001B7797" w:rsidRDefault="00D90103" w:rsidP="00D90103"/>
    <w:p w14:paraId="2E6573A3" w14:textId="77777777" w:rsidR="00D90103" w:rsidRPr="001B7797" w:rsidRDefault="00D90103" w:rsidP="00D90103">
      <w:pPr>
        <w:ind w:right="18"/>
      </w:pPr>
      <w:r w:rsidRPr="001B7797">
        <w:t>Por lo que podemos concluir que nos encontramos ante una notoria y evidente inexistencia fáctica de la información solicitada.</w:t>
      </w:r>
    </w:p>
    <w:p w14:paraId="05120D4F" w14:textId="77777777" w:rsidR="00D90103" w:rsidRPr="001B7797" w:rsidRDefault="00D90103" w:rsidP="00D90103">
      <w:pPr>
        <w:ind w:right="18"/>
      </w:pPr>
    </w:p>
    <w:p w14:paraId="2095420E" w14:textId="77777777" w:rsidR="00D90103" w:rsidRPr="001B7797" w:rsidRDefault="00D90103" w:rsidP="00D90103">
      <w:pPr>
        <w:ind w:right="18"/>
      </w:pPr>
      <w:r w:rsidRPr="001B7797">
        <w:t xml:space="preserve">Cabe señalar que, el Pleno de este Órgano Garante, ha sostenido que cuando se está ante la presencia de un acto u hecho negativo, es decir, </w:t>
      </w:r>
      <w:r w:rsidRPr="001B7797">
        <w:rPr>
          <w:b/>
        </w:rPr>
        <w:t>que no se actualiza</w:t>
      </w:r>
      <w:r w:rsidRPr="001B7797">
        <w:t xml:space="preserve"> la circunstancia por la </w:t>
      </w:r>
      <w:r w:rsidRPr="001B7797">
        <w:lastRenderedPageBreak/>
        <w:t xml:space="preserve">cual </w:t>
      </w:r>
      <w:r w:rsidRPr="001B7797">
        <w:rPr>
          <w:b/>
        </w:rPr>
        <w:t>EL SUJETO OBLIGADO</w:t>
      </w:r>
      <w:r w:rsidRPr="001B7797">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913C8F6" w14:textId="77777777" w:rsidR="00D90103" w:rsidRPr="001B7797" w:rsidRDefault="00D90103" w:rsidP="00D90103">
      <w:pPr>
        <w:ind w:right="18"/>
      </w:pPr>
    </w:p>
    <w:p w14:paraId="27114FD9" w14:textId="77777777" w:rsidR="00D90103" w:rsidRPr="001B7797" w:rsidRDefault="00D90103" w:rsidP="00D90103">
      <w:pPr>
        <w:spacing w:line="240" w:lineRule="auto"/>
        <w:ind w:left="567" w:right="567"/>
        <w:contextualSpacing/>
        <w:rPr>
          <w:i/>
          <w:kern w:val="28"/>
          <w:szCs w:val="56"/>
        </w:rPr>
      </w:pPr>
      <w:r w:rsidRPr="001B7797">
        <w:rPr>
          <w:i/>
          <w:kern w:val="28"/>
          <w:szCs w:val="56"/>
        </w:rPr>
        <w:t>“</w:t>
      </w:r>
      <w:r w:rsidRPr="001B7797">
        <w:rPr>
          <w:b/>
          <w:i/>
          <w:kern w:val="28"/>
          <w:szCs w:val="56"/>
        </w:rPr>
        <w:t>INEXISTENCIA DE LA INFORMACIÓN. EL COMITÉ DE ACCESO A LA INFORMACIÓN PUEDE DECLARARLA ANTE SU EVIDENCIA, SIN NECESIDAD DE DICTAR MEDIDAS PARA SU LOCALIZACIÓN.</w:t>
      </w:r>
      <w:r w:rsidRPr="001B7797">
        <w:rPr>
          <w:i/>
          <w:kern w:val="28"/>
          <w:szCs w:val="56"/>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5E310070" w14:textId="77777777" w:rsidR="00D90103" w:rsidRPr="001B7797" w:rsidRDefault="00D90103" w:rsidP="00D90103">
      <w:pPr>
        <w:spacing w:line="240" w:lineRule="auto"/>
        <w:ind w:left="567" w:right="567"/>
        <w:contextualSpacing/>
        <w:rPr>
          <w:b/>
          <w:i/>
          <w:kern w:val="28"/>
          <w:szCs w:val="56"/>
        </w:rPr>
      </w:pPr>
    </w:p>
    <w:p w14:paraId="18EAA2E7" w14:textId="77777777" w:rsidR="00D90103" w:rsidRPr="001B7797" w:rsidRDefault="00D90103" w:rsidP="00D90103">
      <w:pPr>
        <w:spacing w:line="240" w:lineRule="auto"/>
        <w:ind w:left="567" w:right="567"/>
        <w:contextualSpacing/>
        <w:rPr>
          <w:b/>
          <w:i/>
          <w:kern w:val="28"/>
          <w:szCs w:val="56"/>
        </w:rPr>
      </w:pPr>
      <w:r w:rsidRPr="001B7797">
        <w:rPr>
          <w:b/>
          <w:i/>
          <w:kern w:val="28"/>
          <w:szCs w:val="56"/>
        </w:rPr>
        <w:t xml:space="preserve">HECHOS NEGATIVOS, NO SON SUSCEPTIBLES DE DEMOSTRACION. </w:t>
      </w:r>
      <w:r w:rsidRPr="001B7797">
        <w:rPr>
          <w:i/>
          <w:kern w:val="28"/>
          <w:szCs w:val="56"/>
        </w:rPr>
        <w:t>Tratándose de un hecho negativo, el Juez no tiene por qué invocar prueba alguna de la que se desprenda, ya que es bien sabido que esta clase de hechos no son susceptibles de demostración.”</w:t>
      </w:r>
    </w:p>
    <w:p w14:paraId="7C784611" w14:textId="77777777" w:rsidR="00D90103" w:rsidRPr="001B7797" w:rsidRDefault="00D90103" w:rsidP="00D90103">
      <w:pPr>
        <w:rPr>
          <w:rFonts w:cs="Arial"/>
          <w:color w:val="000000"/>
          <w:sz w:val="24"/>
          <w:szCs w:val="24"/>
          <w:lang w:eastAsia="es-MX"/>
        </w:rPr>
      </w:pPr>
    </w:p>
    <w:p w14:paraId="2D24E553" w14:textId="77777777" w:rsidR="00D90103" w:rsidRPr="001B7797" w:rsidRDefault="00D90103" w:rsidP="00D90103">
      <w:r w:rsidRPr="001B7797">
        <w:t xml:space="preserve">Así, de conformidad con lo establecido en el artículo 12 de la Ley de Transparencia y Acceso a la Información Pública del Estado de México y Municipios, </w:t>
      </w:r>
      <w:r w:rsidRPr="001B7797">
        <w:rPr>
          <w:b/>
        </w:rPr>
        <w:t>EL SUJETO OBLIGADO</w:t>
      </w:r>
      <w:r w:rsidRPr="001B7797">
        <w:t xml:space="preserve"> sólo proporcionará la información que obra en sus archivos, lo que a</w:t>
      </w:r>
      <w:r w:rsidRPr="001B7797">
        <w:rPr>
          <w:i/>
        </w:rPr>
        <w:t xml:space="preserve"> contrario sensu</w:t>
      </w:r>
      <w:r w:rsidRPr="001B7797">
        <w:t xml:space="preserve"> significa que no se está obligado a proporcionar lo que no obre en los mismos; ello con relación al artículo 143 de la Constitución Política del Estado Libre y Soberano de México, pues las autoridades </w:t>
      </w:r>
      <w:r w:rsidRPr="001B7797">
        <w:lastRenderedPageBreak/>
        <w:t>sólo están facultadas para realizar lo que expresamente les faculta la Ley u ordenamientos jurídicos.</w:t>
      </w:r>
    </w:p>
    <w:p w14:paraId="7B7E7166" w14:textId="77777777" w:rsidR="00D90103" w:rsidRPr="001B7797" w:rsidRDefault="00D90103" w:rsidP="00D90103"/>
    <w:p w14:paraId="3CD14480" w14:textId="3D91A361" w:rsidR="00D90103" w:rsidRPr="001B7797" w:rsidRDefault="00D90103" w:rsidP="00D90103">
      <w:pPr>
        <w:rPr>
          <w:sz w:val="24"/>
          <w:szCs w:val="24"/>
          <w:lang w:val="es-ES_tradnl" w:eastAsia="es-MX"/>
        </w:rPr>
      </w:pPr>
      <w:r w:rsidRPr="001B7797">
        <w:rPr>
          <w:rFonts w:cs="Arial"/>
          <w:bCs/>
          <w:sz w:val="24"/>
          <w:szCs w:val="24"/>
          <w:lang w:eastAsia="es-MX"/>
        </w:rPr>
        <w:t xml:space="preserve">Ahora bien es importante precisar que, respecto al pronunciamiento realizado por </w:t>
      </w:r>
      <w:r w:rsidRPr="001B7797">
        <w:rPr>
          <w:rFonts w:cs="Arial"/>
          <w:b/>
          <w:bCs/>
          <w:sz w:val="24"/>
          <w:szCs w:val="24"/>
          <w:lang w:eastAsia="es-MX"/>
        </w:rPr>
        <w:t xml:space="preserve">EL SUJETO OBLIGADO </w:t>
      </w:r>
      <w:r w:rsidRPr="001B7797">
        <w:rPr>
          <w:rFonts w:cs="Arial"/>
          <w:bCs/>
          <w:sz w:val="24"/>
          <w:szCs w:val="24"/>
          <w:lang w:eastAsia="es-MX"/>
        </w:rPr>
        <w:t xml:space="preserve">a fin de dar respuesta a la solicitud planteada, este Órgano Garante no </w:t>
      </w:r>
      <w:r w:rsidRPr="001B7797">
        <w:rPr>
          <w:sz w:val="24"/>
          <w:szCs w:val="24"/>
          <w:lang w:val="es-ES_tradnl" w:eastAsia="es-MX"/>
        </w:rPr>
        <w:t xml:space="preserve">está facultado para manifestarse sobre la veracidad de la información proporcionada. </w:t>
      </w:r>
    </w:p>
    <w:p w14:paraId="433DB273" w14:textId="77777777" w:rsidR="00D90103" w:rsidRPr="001B7797" w:rsidRDefault="00D90103" w:rsidP="00D90103">
      <w:pPr>
        <w:rPr>
          <w:sz w:val="24"/>
          <w:szCs w:val="24"/>
          <w:lang w:val="es-ES_tradnl" w:eastAsia="es-MX"/>
        </w:rPr>
      </w:pPr>
    </w:p>
    <w:p w14:paraId="30F3B859" w14:textId="77777777" w:rsidR="00D90103" w:rsidRPr="001B7797" w:rsidRDefault="00D90103" w:rsidP="00D90103">
      <w:pPr>
        <w:rPr>
          <w:rFonts w:cs="Arial"/>
          <w:sz w:val="24"/>
          <w:szCs w:val="24"/>
          <w:lang w:val="es-ES_tradnl" w:eastAsia="es-MX"/>
        </w:rPr>
      </w:pPr>
      <w:r w:rsidRPr="001B7797">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0F40E9E" w14:textId="77777777" w:rsidR="00D90103" w:rsidRPr="001B7797" w:rsidRDefault="00D90103" w:rsidP="00D90103">
      <w:pPr>
        <w:spacing w:line="240" w:lineRule="auto"/>
        <w:rPr>
          <w:rFonts w:cs="Arial"/>
          <w:sz w:val="20"/>
          <w:lang w:val="es-ES_tradnl" w:eastAsia="es-MX"/>
        </w:rPr>
      </w:pPr>
    </w:p>
    <w:p w14:paraId="7DE18688" w14:textId="77777777" w:rsidR="00D90103" w:rsidRPr="001B7797" w:rsidRDefault="00D90103" w:rsidP="00D90103">
      <w:pPr>
        <w:spacing w:line="240" w:lineRule="auto"/>
        <w:ind w:left="709" w:right="899"/>
        <w:rPr>
          <w:rFonts w:cs="Arial"/>
          <w:b/>
          <w:i/>
          <w:lang w:val="es-ES_tradnl" w:eastAsia="es-MX"/>
        </w:rPr>
      </w:pPr>
      <w:r w:rsidRPr="001B7797">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1B7797">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B7797">
        <w:rPr>
          <w:rFonts w:cs="Arial"/>
          <w:b/>
          <w:i/>
          <w:lang w:val="es-ES_tradnl" w:eastAsia="es-MX"/>
        </w:rPr>
        <w:t>”</w:t>
      </w:r>
      <w:r w:rsidRPr="001B7797">
        <w:rPr>
          <w:rFonts w:cs="Arial"/>
          <w:i/>
          <w:lang w:val="es-ES_tradnl" w:eastAsia="es-MX"/>
        </w:rPr>
        <w:t xml:space="preserve"> (sic)</w:t>
      </w:r>
    </w:p>
    <w:p w14:paraId="4FF30604" w14:textId="77777777" w:rsidR="00D90103" w:rsidRPr="001B7797" w:rsidRDefault="00D90103" w:rsidP="00D90103">
      <w:pPr>
        <w:spacing w:line="240" w:lineRule="auto"/>
        <w:rPr>
          <w:rFonts w:eastAsia="Calibri"/>
          <w:sz w:val="24"/>
          <w:szCs w:val="24"/>
          <w:lang w:eastAsia="es-MX"/>
        </w:rPr>
      </w:pPr>
    </w:p>
    <w:p w14:paraId="393AB5F9" w14:textId="77777777" w:rsidR="00D90103" w:rsidRPr="001B7797" w:rsidRDefault="00D90103" w:rsidP="00D90103">
      <w:pPr>
        <w:rPr>
          <w:b/>
          <w:color w:val="000000" w:themeColor="text1"/>
        </w:rPr>
      </w:pPr>
      <w:bookmarkStart w:id="38" w:name="_Toc195007310"/>
      <w:r w:rsidRPr="001B7797">
        <w:rPr>
          <w:b/>
          <w:color w:val="000000" w:themeColor="text1"/>
        </w:rPr>
        <w:t>d) Conclusión</w:t>
      </w:r>
      <w:bookmarkEnd w:id="38"/>
    </w:p>
    <w:p w14:paraId="1C63E83A" w14:textId="77777777" w:rsidR="00D90103" w:rsidRPr="001B7797" w:rsidRDefault="00D90103" w:rsidP="00D90103">
      <w:pPr>
        <w:rPr>
          <w:b/>
          <w:color w:val="000000" w:themeColor="text1"/>
          <w:lang w:val="es-ES"/>
        </w:rPr>
      </w:pPr>
      <w:r w:rsidRPr="001B7797">
        <w:rPr>
          <w:color w:val="000000" w:themeColor="text1"/>
          <w:lang w:val="es-ES"/>
        </w:rPr>
        <w:lastRenderedPageBreak/>
        <w:t xml:space="preserve">Por lo anteriormente expuesto, se considera que las razones o motivos de inconformidad planteadas por </w:t>
      </w:r>
      <w:r w:rsidRPr="001B7797">
        <w:rPr>
          <w:b/>
          <w:color w:val="000000" w:themeColor="text1"/>
          <w:lang w:val="es-ES"/>
        </w:rPr>
        <w:t xml:space="preserve">LA PARTE RECURRENTE, </w:t>
      </w:r>
      <w:r w:rsidRPr="001B7797">
        <w:rPr>
          <w:color w:val="000000" w:themeColor="text1"/>
          <w:lang w:val="es-ES"/>
        </w:rPr>
        <w:t xml:space="preserve">resultan infundadas; en consecuencia, este Órgano Garante determina </w:t>
      </w:r>
      <w:r w:rsidRPr="001B7797">
        <w:rPr>
          <w:b/>
          <w:color w:val="000000" w:themeColor="text1"/>
          <w:lang w:val="es-ES"/>
        </w:rPr>
        <w:t xml:space="preserve">CONFIRMAR </w:t>
      </w:r>
      <w:r w:rsidRPr="001B7797">
        <w:rPr>
          <w:color w:val="000000" w:themeColor="text1"/>
          <w:lang w:val="es-ES"/>
        </w:rPr>
        <w:t xml:space="preserve">la respuesta otorgada por el </w:t>
      </w:r>
      <w:r w:rsidRPr="001B7797">
        <w:rPr>
          <w:b/>
          <w:color w:val="000000" w:themeColor="text1"/>
          <w:lang w:val="es-ES"/>
        </w:rPr>
        <w:t>SUJETO OBLIGADO.</w:t>
      </w:r>
    </w:p>
    <w:p w14:paraId="3FD0B995" w14:textId="77777777" w:rsidR="00D90103" w:rsidRPr="001B7797" w:rsidRDefault="00D90103" w:rsidP="00D90103">
      <w:pPr>
        <w:rPr>
          <w:color w:val="000000" w:themeColor="text1"/>
          <w:lang w:val="es-ES"/>
        </w:rPr>
      </w:pPr>
    </w:p>
    <w:p w14:paraId="456C7207" w14:textId="77777777" w:rsidR="00D90103" w:rsidRPr="001B7797" w:rsidRDefault="00D90103" w:rsidP="00D90103">
      <w:pPr>
        <w:ind w:right="-93"/>
        <w:rPr>
          <w:rFonts w:cs="Tahoma"/>
          <w:bCs/>
          <w:szCs w:val="22"/>
        </w:rPr>
      </w:pPr>
      <w:bookmarkStart w:id="39" w:name="_Hlk165381027"/>
      <w:r w:rsidRPr="001B7797">
        <w:rPr>
          <w:rFonts w:cs="Tahoma"/>
          <w:bCs/>
          <w:szCs w:val="22"/>
        </w:rPr>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9"/>
    <w:p w14:paraId="6C5F5BC5" w14:textId="77777777" w:rsidR="00D90103" w:rsidRPr="001B7797" w:rsidRDefault="00D90103" w:rsidP="00D90103"/>
    <w:p w14:paraId="21507D9E" w14:textId="77777777" w:rsidR="00D90103" w:rsidRPr="001B7797" w:rsidRDefault="00D90103" w:rsidP="00D90103">
      <w:pPr>
        <w:keepNext/>
        <w:keepLines/>
        <w:jc w:val="center"/>
        <w:outlineLvl w:val="0"/>
        <w:rPr>
          <w:b/>
          <w:szCs w:val="40"/>
        </w:rPr>
      </w:pPr>
      <w:bookmarkStart w:id="40" w:name="_Toc200455269"/>
      <w:bookmarkStart w:id="41" w:name="_Toc206616074"/>
      <w:r w:rsidRPr="001B7797">
        <w:rPr>
          <w:b/>
          <w:szCs w:val="40"/>
        </w:rPr>
        <w:t>RESUELVE</w:t>
      </w:r>
      <w:bookmarkEnd w:id="40"/>
      <w:bookmarkEnd w:id="41"/>
    </w:p>
    <w:p w14:paraId="27EFE35A" w14:textId="77777777" w:rsidR="00D90103" w:rsidRPr="001B7797" w:rsidRDefault="00D90103" w:rsidP="00D90103">
      <w:pPr>
        <w:ind w:right="113"/>
        <w:rPr>
          <w:rFonts w:cs="Arial"/>
          <w:b/>
          <w:szCs w:val="22"/>
        </w:rPr>
      </w:pPr>
    </w:p>
    <w:p w14:paraId="38F1BC14" w14:textId="2444AF64" w:rsidR="00D90103" w:rsidRPr="001B7797" w:rsidRDefault="00D90103" w:rsidP="00D90103">
      <w:pPr>
        <w:widowControl w:val="0"/>
        <w:rPr>
          <w:rFonts w:eastAsia="Calibri" w:cs="Tahoma"/>
          <w:bCs/>
          <w:szCs w:val="22"/>
          <w:lang w:eastAsia="en-US"/>
        </w:rPr>
      </w:pPr>
      <w:r w:rsidRPr="001B7797">
        <w:rPr>
          <w:b/>
          <w:bCs/>
        </w:rPr>
        <w:t>PRIMERO.</w:t>
      </w:r>
      <w:r w:rsidRPr="001B7797">
        <w:t xml:space="preserve"> </w:t>
      </w:r>
      <w:r w:rsidRPr="001B7797">
        <w:rPr>
          <w:rFonts w:cs="Tahoma"/>
          <w:szCs w:val="22"/>
        </w:rPr>
        <w:t xml:space="preserve">Se </w:t>
      </w:r>
      <w:r w:rsidRPr="001B7797">
        <w:rPr>
          <w:rFonts w:cs="Tahoma"/>
          <w:b/>
          <w:bCs/>
          <w:szCs w:val="22"/>
        </w:rPr>
        <w:t>CONFIRMA</w:t>
      </w:r>
      <w:r w:rsidRPr="001B7797">
        <w:rPr>
          <w:rFonts w:cs="Tahoma"/>
          <w:szCs w:val="22"/>
        </w:rPr>
        <w:t xml:space="preserve"> la respuesta entregada por el </w:t>
      </w:r>
      <w:r w:rsidRPr="001B7797">
        <w:rPr>
          <w:rFonts w:cs="Tahoma"/>
          <w:b/>
          <w:bCs/>
          <w:szCs w:val="22"/>
        </w:rPr>
        <w:t>SUJETO OBLIGADO</w:t>
      </w:r>
      <w:r w:rsidRPr="001B7797">
        <w:rPr>
          <w:rFonts w:cs="Tahoma"/>
          <w:szCs w:val="22"/>
        </w:rPr>
        <w:t xml:space="preserve"> en la solicitud de información </w:t>
      </w:r>
      <w:r w:rsidRPr="001B7797">
        <w:rPr>
          <w:rFonts w:cs="Tahoma"/>
          <w:b/>
          <w:bCs/>
          <w:szCs w:val="22"/>
        </w:rPr>
        <w:t>00061/ATLAUTLA/IP/2025</w:t>
      </w:r>
      <w:r w:rsidRPr="001B7797">
        <w:rPr>
          <w:rFonts w:cs="Tahoma"/>
          <w:bCs/>
          <w:szCs w:val="22"/>
        </w:rPr>
        <w:t xml:space="preserve">, </w:t>
      </w:r>
      <w:r w:rsidRPr="001B7797">
        <w:rPr>
          <w:rFonts w:eastAsia="Calibri" w:cs="Tahoma"/>
          <w:bCs/>
          <w:szCs w:val="22"/>
          <w:lang w:eastAsia="en-US"/>
        </w:rPr>
        <w:t xml:space="preserve">por resultar </w:t>
      </w:r>
      <w:r w:rsidRPr="001B7797">
        <w:rPr>
          <w:rFonts w:eastAsia="Calibri" w:cs="Tahoma"/>
          <w:b/>
          <w:szCs w:val="22"/>
          <w:lang w:eastAsia="en-US"/>
        </w:rPr>
        <w:t>IN</w:t>
      </w:r>
      <w:r w:rsidRPr="001B7797">
        <w:rPr>
          <w:rFonts w:eastAsia="Calibri" w:cs="Tahoma"/>
          <w:b/>
          <w:bCs/>
          <w:szCs w:val="22"/>
          <w:lang w:eastAsia="en-US"/>
        </w:rPr>
        <w:t>FUNDADAS</w:t>
      </w:r>
      <w:r w:rsidRPr="001B7797">
        <w:rPr>
          <w:rFonts w:eastAsia="Calibri" w:cs="Tahoma"/>
          <w:bCs/>
          <w:szCs w:val="22"/>
          <w:lang w:eastAsia="en-US"/>
        </w:rPr>
        <w:t xml:space="preserve"> las razones o motivos de inconformidad hechos valer por </w:t>
      </w:r>
      <w:r w:rsidRPr="001B7797">
        <w:rPr>
          <w:rFonts w:eastAsia="Calibri" w:cs="Tahoma"/>
          <w:b/>
          <w:szCs w:val="22"/>
          <w:lang w:eastAsia="en-US"/>
        </w:rPr>
        <w:t>LA PARTE RECURRENTE</w:t>
      </w:r>
      <w:r w:rsidRPr="001B7797">
        <w:rPr>
          <w:rFonts w:eastAsia="Calibri" w:cs="Tahoma"/>
          <w:bCs/>
          <w:szCs w:val="22"/>
          <w:lang w:eastAsia="en-US"/>
        </w:rPr>
        <w:t xml:space="preserve"> en el Recurso de Revisión </w:t>
      </w:r>
      <w:r w:rsidRPr="001B7797">
        <w:rPr>
          <w:rFonts w:eastAsia="Calibri" w:cs="Tahoma"/>
          <w:b/>
          <w:szCs w:val="22"/>
          <w:lang w:eastAsia="en-US"/>
        </w:rPr>
        <w:t>06702/INFOEM/IP/RR/2025</w:t>
      </w:r>
      <w:r w:rsidRPr="001B7797">
        <w:rPr>
          <w:rFonts w:eastAsia="Aptos"/>
          <w:color w:val="000000" w:themeColor="text1"/>
          <w:szCs w:val="22"/>
          <w:lang w:eastAsia="en-US"/>
        </w:rPr>
        <w:t>,</w:t>
      </w:r>
      <w:r w:rsidRPr="001B7797">
        <w:rPr>
          <w:rFonts w:cs="Tahoma"/>
          <w:b/>
          <w:color w:val="0D0D0D"/>
          <w:szCs w:val="22"/>
        </w:rPr>
        <w:t xml:space="preserve"> </w:t>
      </w:r>
      <w:r w:rsidRPr="001B7797">
        <w:rPr>
          <w:rFonts w:eastAsia="Calibri" w:cs="Tahoma"/>
          <w:bCs/>
          <w:szCs w:val="22"/>
          <w:lang w:eastAsia="en-US"/>
        </w:rPr>
        <w:t xml:space="preserve">en términos del considerando </w:t>
      </w:r>
      <w:r w:rsidRPr="001B7797">
        <w:rPr>
          <w:rFonts w:eastAsia="Calibri" w:cs="Tahoma"/>
          <w:b/>
          <w:szCs w:val="22"/>
          <w:lang w:eastAsia="en-US"/>
        </w:rPr>
        <w:t>SEGUNDO</w:t>
      </w:r>
      <w:r w:rsidRPr="001B7797">
        <w:rPr>
          <w:rFonts w:eastAsia="Calibri" w:cs="Tahoma"/>
          <w:bCs/>
          <w:szCs w:val="22"/>
          <w:lang w:eastAsia="en-US"/>
        </w:rPr>
        <w:t xml:space="preserve"> de la presente Resolución.</w:t>
      </w:r>
    </w:p>
    <w:p w14:paraId="2CC91093" w14:textId="77777777" w:rsidR="00D90103" w:rsidRPr="001B7797" w:rsidRDefault="00D90103" w:rsidP="00D90103">
      <w:pPr>
        <w:widowControl w:val="0"/>
        <w:rPr>
          <w:rFonts w:eastAsia="Calibri" w:cs="Tahoma"/>
          <w:bCs/>
          <w:szCs w:val="22"/>
          <w:lang w:eastAsia="en-US"/>
        </w:rPr>
      </w:pPr>
    </w:p>
    <w:p w14:paraId="388DB1EB" w14:textId="77777777" w:rsidR="00D90103" w:rsidRPr="001B7797" w:rsidRDefault="00D90103" w:rsidP="00D90103">
      <w:pPr>
        <w:ind w:right="-93"/>
      </w:pPr>
      <w:r w:rsidRPr="001B7797">
        <w:rPr>
          <w:rFonts w:eastAsia="Calibri" w:cs="Tahoma"/>
          <w:b/>
          <w:bCs/>
          <w:szCs w:val="22"/>
          <w:lang w:eastAsia="en-US"/>
        </w:rPr>
        <w:t>SEGUNDO.</w:t>
      </w:r>
      <w:r w:rsidRPr="001B7797">
        <w:rPr>
          <w:rFonts w:eastAsia="Calibri" w:cs="Tahoma"/>
          <w:szCs w:val="22"/>
          <w:lang w:eastAsia="es-MX"/>
        </w:rPr>
        <w:t xml:space="preserve"> </w:t>
      </w:r>
      <w:r w:rsidRPr="001B7797">
        <w:rPr>
          <w:rFonts w:eastAsia="Palatino Linotype" w:cs="Palatino Linotype"/>
          <w:b/>
          <w:color w:val="000000" w:themeColor="text1"/>
          <w:lang w:eastAsia="es-MX"/>
        </w:rPr>
        <w:t xml:space="preserve">Notifíquese </w:t>
      </w:r>
      <w:r w:rsidRPr="001B7797">
        <w:rPr>
          <w:color w:val="000000" w:themeColor="text1"/>
          <w:szCs w:val="17"/>
          <w:lang w:eastAsia="es-ES_tradnl"/>
        </w:rPr>
        <w:t xml:space="preserve">vía </w:t>
      </w:r>
      <w:r w:rsidRPr="001B7797">
        <w:rPr>
          <w:rFonts w:cs="Arial"/>
          <w:color w:val="000000" w:themeColor="text1"/>
        </w:rPr>
        <w:t>Sistema de Acceso a la Información Mexiquense (</w:t>
      </w:r>
      <w:r w:rsidRPr="001B7797">
        <w:rPr>
          <w:rFonts w:cs="Arial"/>
          <w:b/>
          <w:bCs/>
          <w:color w:val="000000" w:themeColor="text1"/>
        </w:rPr>
        <w:t>SAIMEX)</w:t>
      </w:r>
      <w:r w:rsidRPr="001B7797">
        <w:rPr>
          <w:color w:val="000000" w:themeColor="text1"/>
          <w:shd w:val="clear" w:color="auto" w:fill="FFFFFF"/>
        </w:rPr>
        <w:t xml:space="preserve"> la presente resolución al Titular de la Unidad de Transparencia del </w:t>
      </w:r>
      <w:r w:rsidRPr="001B7797">
        <w:rPr>
          <w:b/>
          <w:bCs/>
        </w:rPr>
        <w:t>SUJETO OBLIGADO</w:t>
      </w:r>
      <w:r w:rsidRPr="001B7797">
        <w:t>, para su conocimiento.</w:t>
      </w:r>
    </w:p>
    <w:p w14:paraId="2EEF4808" w14:textId="77777777" w:rsidR="00D90103" w:rsidRPr="001B7797" w:rsidRDefault="00D90103" w:rsidP="00D90103">
      <w:pPr>
        <w:ind w:right="-93"/>
      </w:pPr>
    </w:p>
    <w:p w14:paraId="2CAB3592" w14:textId="77777777" w:rsidR="00D90103" w:rsidRPr="001B7797" w:rsidRDefault="00D90103" w:rsidP="00D90103">
      <w:r w:rsidRPr="001B7797">
        <w:rPr>
          <w:b/>
          <w:bCs/>
        </w:rPr>
        <w:t>TERCERO.</w:t>
      </w:r>
      <w:r w:rsidRPr="001B7797">
        <w:t xml:space="preserve"> Notifíquese a </w:t>
      </w:r>
      <w:r w:rsidRPr="001B7797">
        <w:rPr>
          <w:b/>
          <w:bCs/>
        </w:rPr>
        <w:t>LA PARTE RECURRENTE</w:t>
      </w:r>
      <w:r w:rsidRPr="001B7797">
        <w:t xml:space="preserve"> la presente resolución vía Sistema de Acceso a la Información Mexiquense (</w:t>
      </w:r>
      <w:r w:rsidRPr="001B7797">
        <w:rPr>
          <w:b/>
        </w:rPr>
        <w:t>SAIMEX</w:t>
      </w:r>
      <w:r w:rsidRPr="001B7797">
        <w:t>).</w:t>
      </w:r>
    </w:p>
    <w:p w14:paraId="3F32F3A3" w14:textId="77777777" w:rsidR="00D90103" w:rsidRPr="001B7797" w:rsidRDefault="00D90103" w:rsidP="00D90103"/>
    <w:p w14:paraId="20B986A3" w14:textId="77777777" w:rsidR="00D90103" w:rsidRPr="001B7797" w:rsidRDefault="00D90103" w:rsidP="00D90103">
      <w:r w:rsidRPr="001B7797">
        <w:rPr>
          <w:b/>
          <w:bCs/>
        </w:rPr>
        <w:lastRenderedPageBreak/>
        <w:t>CUARTO</w:t>
      </w:r>
      <w:r w:rsidRPr="001B7797">
        <w:t xml:space="preserve">. Hágase del conocimiento a </w:t>
      </w:r>
      <w:r w:rsidRPr="001B7797">
        <w:rPr>
          <w:b/>
          <w:bCs/>
        </w:rPr>
        <w:t>LA PARTE RECURRENTE</w:t>
      </w:r>
      <w:r w:rsidRPr="001B779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7A57E59" w14:textId="77777777" w:rsidR="00EE7964" w:rsidRPr="001B7797" w:rsidRDefault="00EE7964" w:rsidP="00DF633E">
      <w:pPr>
        <w:rPr>
          <w:rFonts w:cs="Arial"/>
        </w:rPr>
      </w:pPr>
    </w:p>
    <w:p w14:paraId="647EA96F" w14:textId="023E154B" w:rsidR="00A3704E" w:rsidRPr="001B7797" w:rsidRDefault="00BF75AE" w:rsidP="00A3704E">
      <w:pPr>
        <w:ind w:right="-93"/>
      </w:pPr>
      <w:r w:rsidRPr="00BC6311">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BC6311">
        <w:t>, MARÍA DEL ROSARIO MEJÍA AYALA, SHARON CRISTINA MORALES MARTÍN</w:t>
      </w:r>
      <w:r>
        <w:t>EZ, LUIS GUSTAVO PARRA NORIEGA</w:t>
      </w:r>
      <w:r w:rsidRPr="00BC6311">
        <w:t xml:space="preserve"> Y GUADALUPE RAMÍREZ PEÑA, EN LA VIGÉSIMA NOVENA SESIÓN ORDINARIA, CELEBRADA EL VEINTE DE AGOSTO DE DOS MIL VEINTICINCO, ANTE EL SECRETARIO TÉCNICO DEL PLENO, ALEXIS TAPIA RAMÍREZ</w:t>
      </w:r>
      <w:r w:rsidR="00A3704E" w:rsidRPr="001B7797">
        <w:t>.</w:t>
      </w:r>
    </w:p>
    <w:p w14:paraId="64E59AFC" w14:textId="64AEB6B0" w:rsidR="00D85CEA" w:rsidRPr="001B7797" w:rsidRDefault="009C04A8" w:rsidP="009C04A8">
      <w:pPr>
        <w:ind w:right="-93"/>
        <w:rPr>
          <w:rFonts w:eastAsia="Palatino Linotype" w:cs="Palatino Linotype"/>
          <w:color w:val="000000"/>
          <w:sz w:val="20"/>
        </w:rPr>
      </w:pPr>
      <w:r w:rsidRPr="001B7797">
        <w:rPr>
          <w:rFonts w:eastAsia="Palatino Linotype" w:cs="Palatino Linotype"/>
          <w:color w:val="000000"/>
          <w:sz w:val="20"/>
        </w:rPr>
        <w:t>SCMM/AGZ/DEMF/RPG</w:t>
      </w:r>
    </w:p>
    <w:p w14:paraId="1DA361E5" w14:textId="77777777" w:rsidR="00D85CEA" w:rsidRPr="001B7797" w:rsidRDefault="00D85CEA">
      <w:pPr>
        <w:spacing w:after="160" w:line="259" w:lineRule="auto"/>
        <w:jc w:val="left"/>
        <w:rPr>
          <w:rFonts w:eastAsia="Palatino Linotype" w:cs="Palatino Linotype"/>
          <w:color w:val="000000"/>
          <w:sz w:val="20"/>
        </w:rPr>
      </w:pPr>
      <w:r w:rsidRPr="001B7797">
        <w:rPr>
          <w:rFonts w:eastAsia="Palatino Linotype" w:cs="Palatino Linotype"/>
          <w:color w:val="000000"/>
          <w:sz w:val="20"/>
        </w:rPr>
        <w:br w:type="page"/>
      </w:r>
    </w:p>
    <w:p w14:paraId="2D425474" w14:textId="77777777" w:rsidR="009C04A8" w:rsidRPr="001B7797" w:rsidRDefault="009C04A8" w:rsidP="009C04A8">
      <w:pPr>
        <w:ind w:right="-93"/>
        <w:rPr>
          <w:rFonts w:eastAsia="Calibri" w:cs="Tahoma"/>
          <w:szCs w:val="22"/>
          <w:lang w:val="es-ES"/>
        </w:rPr>
      </w:pPr>
    </w:p>
    <w:p w14:paraId="696BC976" w14:textId="77777777" w:rsidR="00664420" w:rsidRPr="001B7797" w:rsidRDefault="00664420" w:rsidP="00664420">
      <w:pPr>
        <w:ind w:right="-93"/>
        <w:rPr>
          <w:rFonts w:eastAsia="Calibri" w:cs="Tahoma"/>
          <w:bCs/>
          <w:szCs w:val="22"/>
          <w:lang w:val="es-ES" w:eastAsia="en-US"/>
        </w:rPr>
      </w:pPr>
    </w:p>
    <w:p w14:paraId="671CB0C5" w14:textId="77777777" w:rsidR="00664420" w:rsidRPr="001B7797" w:rsidRDefault="00664420" w:rsidP="00664420">
      <w:pPr>
        <w:ind w:right="-93"/>
        <w:rPr>
          <w:rFonts w:eastAsia="Calibri" w:cs="Tahoma"/>
          <w:bCs/>
          <w:szCs w:val="22"/>
          <w:lang w:val="es-ES_tradnl" w:eastAsia="en-US"/>
        </w:rPr>
      </w:pPr>
    </w:p>
    <w:p w14:paraId="6FDF3D7E" w14:textId="77777777" w:rsidR="00664420" w:rsidRPr="001B7797" w:rsidRDefault="00664420" w:rsidP="00664420">
      <w:pPr>
        <w:tabs>
          <w:tab w:val="center" w:pos="4568"/>
        </w:tabs>
        <w:ind w:right="-93"/>
        <w:rPr>
          <w:rFonts w:eastAsia="Calibri" w:cs="Tahoma"/>
          <w:bCs/>
          <w:szCs w:val="22"/>
          <w:lang w:eastAsia="en-US"/>
        </w:rPr>
      </w:pPr>
    </w:p>
    <w:p w14:paraId="6246F818" w14:textId="77777777" w:rsidR="00664420" w:rsidRPr="001B7797" w:rsidRDefault="00664420" w:rsidP="00664420">
      <w:pPr>
        <w:tabs>
          <w:tab w:val="center" w:pos="4568"/>
        </w:tabs>
        <w:ind w:right="-93"/>
        <w:rPr>
          <w:rFonts w:eastAsia="Calibri" w:cs="Tahoma"/>
          <w:bCs/>
          <w:szCs w:val="22"/>
          <w:lang w:eastAsia="en-US"/>
        </w:rPr>
      </w:pPr>
    </w:p>
    <w:p w14:paraId="57A88B28" w14:textId="77777777" w:rsidR="00664420" w:rsidRPr="001B7797" w:rsidRDefault="00664420" w:rsidP="00664420">
      <w:pPr>
        <w:tabs>
          <w:tab w:val="center" w:pos="4568"/>
        </w:tabs>
        <w:ind w:right="-93"/>
        <w:rPr>
          <w:rFonts w:eastAsia="Calibri" w:cs="Tahoma"/>
          <w:bCs/>
          <w:szCs w:val="22"/>
          <w:lang w:eastAsia="en-US"/>
        </w:rPr>
      </w:pPr>
    </w:p>
    <w:p w14:paraId="77EF6095" w14:textId="77777777" w:rsidR="00664420" w:rsidRPr="001B7797" w:rsidRDefault="00664420" w:rsidP="00664420">
      <w:pPr>
        <w:tabs>
          <w:tab w:val="center" w:pos="4568"/>
        </w:tabs>
        <w:ind w:right="-93"/>
        <w:rPr>
          <w:rFonts w:eastAsia="Calibri" w:cs="Tahoma"/>
          <w:bCs/>
          <w:szCs w:val="22"/>
          <w:lang w:eastAsia="en-US"/>
        </w:rPr>
      </w:pPr>
    </w:p>
    <w:p w14:paraId="35593947" w14:textId="77777777" w:rsidR="00664420" w:rsidRPr="001B7797" w:rsidRDefault="00664420" w:rsidP="00664420">
      <w:pPr>
        <w:tabs>
          <w:tab w:val="center" w:pos="4568"/>
        </w:tabs>
        <w:ind w:right="-93"/>
        <w:rPr>
          <w:rFonts w:eastAsia="Calibri" w:cs="Tahoma"/>
          <w:bCs/>
          <w:szCs w:val="22"/>
          <w:lang w:eastAsia="en-US"/>
        </w:rPr>
      </w:pPr>
    </w:p>
    <w:p w14:paraId="3AF72A17" w14:textId="77777777" w:rsidR="00664420" w:rsidRPr="001B7797" w:rsidRDefault="00664420" w:rsidP="00664420">
      <w:pPr>
        <w:tabs>
          <w:tab w:val="center" w:pos="4568"/>
        </w:tabs>
        <w:ind w:right="-93"/>
        <w:rPr>
          <w:rFonts w:eastAsia="Calibri" w:cs="Tahoma"/>
          <w:bCs/>
          <w:szCs w:val="22"/>
          <w:lang w:eastAsia="en-US"/>
        </w:rPr>
      </w:pPr>
    </w:p>
    <w:p w14:paraId="37169144" w14:textId="77777777" w:rsidR="00664420" w:rsidRPr="001B7797" w:rsidRDefault="00664420" w:rsidP="00664420">
      <w:pPr>
        <w:tabs>
          <w:tab w:val="center" w:pos="4568"/>
        </w:tabs>
        <w:ind w:right="-93"/>
        <w:rPr>
          <w:rFonts w:eastAsia="Calibri" w:cs="Tahoma"/>
          <w:bCs/>
          <w:szCs w:val="22"/>
          <w:lang w:eastAsia="en-US"/>
        </w:rPr>
      </w:pPr>
    </w:p>
    <w:p w14:paraId="77CFC088" w14:textId="77777777" w:rsidR="00664420" w:rsidRPr="001B7797" w:rsidRDefault="00664420" w:rsidP="00664420">
      <w:pPr>
        <w:tabs>
          <w:tab w:val="center" w:pos="4568"/>
        </w:tabs>
        <w:ind w:right="-93"/>
        <w:rPr>
          <w:rFonts w:eastAsia="Calibri" w:cs="Tahoma"/>
          <w:bCs/>
          <w:szCs w:val="22"/>
          <w:lang w:eastAsia="en-US"/>
        </w:rPr>
      </w:pPr>
    </w:p>
    <w:p w14:paraId="781A11A5" w14:textId="77777777" w:rsidR="00664420" w:rsidRPr="001B7797" w:rsidRDefault="00664420" w:rsidP="00664420">
      <w:pPr>
        <w:tabs>
          <w:tab w:val="center" w:pos="4568"/>
        </w:tabs>
        <w:ind w:right="-93"/>
        <w:rPr>
          <w:rFonts w:eastAsia="Calibri" w:cs="Tahoma"/>
          <w:bCs/>
          <w:szCs w:val="22"/>
          <w:lang w:eastAsia="en-US"/>
        </w:rPr>
      </w:pPr>
    </w:p>
    <w:bookmarkEnd w:id="0"/>
    <w:p w14:paraId="5B4ADFF3" w14:textId="77777777" w:rsidR="00A131AC" w:rsidRPr="001B7797" w:rsidRDefault="00A131AC"/>
    <w:sectPr w:rsidR="00A131AC" w:rsidRPr="001B7797"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9578" w14:textId="77777777" w:rsidR="00E22D9B" w:rsidRDefault="00E22D9B" w:rsidP="00664420">
      <w:pPr>
        <w:spacing w:line="240" w:lineRule="auto"/>
      </w:pPr>
      <w:r>
        <w:separator/>
      </w:r>
    </w:p>
  </w:endnote>
  <w:endnote w:type="continuationSeparator" w:id="0">
    <w:p w14:paraId="42266C61" w14:textId="77777777" w:rsidR="00E22D9B" w:rsidRDefault="00E22D9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Arial"/>
    <w:panose1 w:val="020B0604020202020204"/>
    <w:charset w:val="00"/>
    <w:family w:val="swiss"/>
    <w:pitch w:val="variable"/>
    <w:sig w:usb0="20000287" w:usb1="00000003" w:usb2="00000000" w:usb3="00000000" w:csb0="0000019F" w:csb1="00000000"/>
  </w:font>
  <w:font w:name="Aptos Display">
    <w:altName w:val="Arial"/>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9C5D8A" w:rsidRDefault="009C5D8A">
    <w:pPr>
      <w:tabs>
        <w:tab w:val="center" w:pos="4550"/>
        <w:tab w:val="left" w:pos="5818"/>
      </w:tabs>
      <w:ind w:right="260"/>
      <w:jc w:val="right"/>
      <w:rPr>
        <w:color w:val="071320" w:themeColor="text2" w:themeShade="80"/>
        <w:sz w:val="24"/>
        <w:szCs w:val="24"/>
      </w:rPr>
    </w:pPr>
  </w:p>
  <w:p w14:paraId="1BCA7F23" w14:textId="77777777" w:rsidR="009C5D8A" w:rsidRDefault="009C5D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5C0A215D" w:rsidR="009C5D8A" w:rsidRDefault="009C5D8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85E22" w:rsidRPr="00585E22">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85E22" w:rsidRPr="00585E22">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9C5D8A" w:rsidRDefault="009C5D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49311" w14:textId="77777777" w:rsidR="00E22D9B" w:rsidRDefault="00E22D9B" w:rsidP="00664420">
      <w:pPr>
        <w:spacing w:line="240" w:lineRule="auto"/>
      </w:pPr>
      <w:r>
        <w:separator/>
      </w:r>
    </w:p>
  </w:footnote>
  <w:footnote w:type="continuationSeparator" w:id="0">
    <w:p w14:paraId="44FF14AE" w14:textId="77777777" w:rsidR="00E22D9B" w:rsidRDefault="00E22D9B"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C5D8A" w:rsidRPr="00330DA7" w14:paraId="070A4B18" w14:textId="77777777" w:rsidTr="003F35FD">
      <w:trPr>
        <w:trHeight w:val="144"/>
        <w:jc w:val="right"/>
      </w:trPr>
      <w:tc>
        <w:tcPr>
          <w:tcW w:w="2727" w:type="dxa"/>
        </w:tcPr>
        <w:p w14:paraId="62B7493A"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E3D2F69" w:rsidR="009C5D8A" w:rsidRPr="00A90C72"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AF3D48">
            <w:rPr>
              <w:rFonts w:eastAsia="Calibri" w:cs="Tahoma"/>
              <w:szCs w:val="22"/>
              <w:lang w:eastAsia="en-US"/>
            </w:rPr>
            <w:t>6702</w:t>
          </w:r>
          <w:r>
            <w:rPr>
              <w:rFonts w:eastAsia="Calibri" w:cs="Tahoma"/>
              <w:szCs w:val="22"/>
              <w:lang w:eastAsia="en-US"/>
            </w:rPr>
            <w:t>/</w:t>
          </w:r>
          <w:r w:rsidRPr="006E7E69">
            <w:rPr>
              <w:rFonts w:eastAsia="Calibri" w:cs="Tahoma"/>
              <w:szCs w:val="22"/>
              <w:lang w:eastAsia="en-US"/>
            </w:rPr>
            <w:t>INFOEM/IP/RR/2025</w:t>
          </w:r>
        </w:p>
      </w:tc>
    </w:tr>
    <w:tr w:rsidR="009C5D8A" w:rsidRPr="00330DA7" w14:paraId="4521E058" w14:textId="77777777" w:rsidTr="003F35FD">
      <w:trPr>
        <w:trHeight w:val="283"/>
        <w:jc w:val="right"/>
      </w:trPr>
      <w:tc>
        <w:tcPr>
          <w:tcW w:w="2727" w:type="dxa"/>
        </w:tcPr>
        <w:p w14:paraId="0B68C086"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7B43E04" w:rsidR="009C5D8A" w:rsidRPr="009233A1" w:rsidRDefault="00AF3D48" w:rsidP="00C55281">
          <w:pPr>
            <w:tabs>
              <w:tab w:val="right" w:pos="8838"/>
            </w:tabs>
            <w:spacing w:line="240" w:lineRule="auto"/>
            <w:ind w:left="-74" w:right="-105"/>
            <w:rPr>
              <w:rFonts w:eastAsia="Calibri" w:cs="Tahoma"/>
              <w:szCs w:val="22"/>
              <w:lang w:val="es-MX" w:eastAsia="en-US"/>
            </w:rPr>
          </w:pPr>
          <w:r w:rsidRPr="00AF3D48">
            <w:rPr>
              <w:rFonts w:eastAsia="Calibri" w:cs="Tahoma"/>
              <w:szCs w:val="22"/>
              <w:lang w:eastAsia="en-US"/>
            </w:rPr>
            <w:t>Ayuntamiento de Atlautla</w:t>
          </w:r>
        </w:p>
      </w:tc>
    </w:tr>
    <w:tr w:rsidR="009C5D8A" w:rsidRPr="00330DA7" w14:paraId="6331D9B6" w14:textId="77777777" w:rsidTr="003F35FD">
      <w:trPr>
        <w:trHeight w:val="283"/>
        <w:jc w:val="right"/>
      </w:trPr>
      <w:tc>
        <w:tcPr>
          <w:tcW w:w="2727" w:type="dxa"/>
        </w:tcPr>
        <w:p w14:paraId="3FA86BAE" w14:textId="6568823B"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4E9F68D" w:rsidR="009C5D8A" w:rsidRPr="00443C6B" w:rsidRDefault="009C5D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236B865">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9C5D8A" w:rsidRPr="00330DA7" w14:paraId="29CFF901" w14:textId="77777777" w:rsidTr="004D0573">
      <w:trPr>
        <w:trHeight w:val="1435"/>
      </w:trPr>
      <w:tc>
        <w:tcPr>
          <w:tcW w:w="283" w:type="dxa"/>
        </w:tcPr>
        <w:p w14:paraId="046B9F8F" w14:textId="77777777" w:rsidR="009C5D8A" w:rsidRPr="00330DA7" w:rsidRDefault="009C5D8A"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C5D8A" w:rsidRPr="00330DA7" w14:paraId="04F272D2" w14:textId="77777777" w:rsidTr="00AE3A48">
            <w:trPr>
              <w:trHeight w:val="280"/>
            </w:trPr>
            <w:tc>
              <w:tcPr>
                <w:tcW w:w="2727" w:type="dxa"/>
              </w:tcPr>
              <w:p w14:paraId="2FD4DBF6"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CD8B1F0" w:rsidR="009C5D8A" w:rsidRPr="004D0573"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AF3D48">
                  <w:rPr>
                    <w:rFonts w:eastAsia="Calibri" w:cs="Tahoma"/>
                    <w:szCs w:val="22"/>
                    <w:lang w:eastAsia="en-US"/>
                  </w:rPr>
                  <w:t>6702</w:t>
                </w:r>
                <w:r w:rsidRPr="006E7E69">
                  <w:rPr>
                    <w:rFonts w:eastAsia="Calibri" w:cs="Tahoma"/>
                    <w:szCs w:val="22"/>
                    <w:lang w:eastAsia="en-US"/>
                  </w:rPr>
                  <w:t>/INFOEM/IP/RR/2025</w:t>
                </w:r>
              </w:p>
            </w:tc>
            <w:tc>
              <w:tcPr>
                <w:tcW w:w="3402" w:type="dxa"/>
              </w:tcPr>
              <w:p w14:paraId="71DEA1CF" w14:textId="77777777" w:rsidR="009C5D8A" w:rsidRDefault="009C5D8A" w:rsidP="004D0573">
                <w:pPr>
                  <w:tabs>
                    <w:tab w:val="right" w:pos="8838"/>
                  </w:tabs>
                  <w:spacing w:line="240" w:lineRule="auto"/>
                  <w:ind w:left="-74" w:right="-105"/>
                  <w:rPr>
                    <w:rFonts w:eastAsia="Calibri" w:cs="Tahoma"/>
                    <w:szCs w:val="22"/>
                    <w:lang w:eastAsia="en-US"/>
                  </w:rPr>
                </w:pPr>
              </w:p>
            </w:tc>
          </w:tr>
          <w:tr w:rsidR="009C5D8A" w:rsidRPr="00330DA7" w14:paraId="05C58951" w14:textId="77777777" w:rsidTr="004D0573">
            <w:trPr>
              <w:trHeight w:val="144"/>
            </w:trPr>
            <w:tc>
              <w:tcPr>
                <w:tcW w:w="2727" w:type="dxa"/>
              </w:tcPr>
              <w:p w14:paraId="642B9610"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54C989F" w:rsidR="009C5D8A" w:rsidRPr="004C4BC6" w:rsidRDefault="00B14C2A" w:rsidP="000B1439">
                <w:pPr>
                  <w:tabs>
                    <w:tab w:val="right" w:pos="8838"/>
                  </w:tabs>
                  <w:spacing w:line="240" w:lineRule="auto"/>
                  <w:ind w:left="-74" w:right="-105"/>
                  <w:rPr>
                    <w:rFonts w:eastAsia="Calibri" w:cs="Tahoma"/>
                    <w:szCs w:val="22"/>
                    <w:lang w:eastAsia="en-US"/>
                  </w:rPr>
                </w:pPr>
                <w:r>
                  <w:rPr>
                    <w:rFonts w:eastAsia="Calibri" w:cs="Tahoma"/>
                    <w:szCs w:val="22"/>
                    <w:lang w:eastAsia="en-US"/>
                  </w:rPr>
                  <w:t xml:space="preserve">XXXX XXXXX </w:t>
                </w:r>
                <w:proofErr w:type="spellStart"/>
                <w:r>
                  <w:rPr>
                    <w:rFonts w:eastAsia="Calibri" w:cs="Tahoma"/>
                    <w:szCs w:val="22"/>
                    <w:lang w:eastAsia="en-US"/>
                  </w:rPr>
                  <w:t>XXXXX</w:t>
                </w:r>
                <w:proofErr w:type="spellEnd"/>
                <w:r>
                  <w:rPr>
                    <w:rFonts w:eastAsia="Calibri" w:cs="Tahoma"/>
                    <w:szCs w:val="22"/>
                    <w:lang w:eastAsia="en-US"/>
                  </w:rPr>
                  <w:t xml:space="preserve"> </w:t>
                </w:r>
                <w:proofErr w:type="spellStart"/>
                <w:r>
                  <w:rPr>
                    <w:rFonts w:eastAsia="Calibri" w:cs="Tahoma"/>
                    <w:szCs w:val="22"/>
                    <w:lang w:eastAsia="en-US"/>
                  </w:rPr>
                  <w:t>XXXXX</w:t>
                </w:r>
                <w:proofErr w:type="spellEnd"/>
              </w:p>
            </w:tc>
            <w:tc>
              <w:tcPr>
                <w:tcW w:w="3402" w:type="dxa"/>
              </w:tcPr>
              <w:p w14:paraId="73F47F53" w14:textId="77777777" w:rsidR="009C5D8A" w:rsidRPr="005F19B1" w:rsidRDefault="009C5D8A" w:rsidP="004D0573">
                <w:pPr>
                  <w:tabs>
                    <w:tab w:val="left" w:pos="3122"/>
                    <w:tab w:val="right" w:pos="8838"/>
                  </w:tabs>
                  <w:spacing w:line="240" w:lineRule="auto"/>
                  <w:ind w:left="-105" w:right="-105"/>
                  <w:rPr>
                    <w:rFonts w:eastAsia="Calibri" w:cs="Tahoma"/>
                    <w:szCs w:val="22"/>
                    <w:lang w:eastAsia="en-US"/>
                  </w:rPr>
                </w:pPr>
              </w:p>
            </w:tc>
          </w:tr>
          <w:bookmarkEnd w:id="2"/>
          <w:tr w:rsidR="009C5D8A" w:rsidRPr="00330DA7" w14:paraId="00E6CDC1" w14:textId="77777777" w:rsidTr="004D0573">
            <w:trPr>
              <w:trHeight w:val="283"/>
            </w:trPr>
            <w:tc>
              <w:tcPr>
                <w:tcW w:w="2727" w:type="dxa"/>
              </w:tcPr>
              <w:p w14:paraId="0631AD24"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190BEF7" w:rsidR="009C5D8A" w:rsidRPr="004D0573" w:rsidRDefault="00AF3D48" w:rsidP="000B1439">
                <w:pPr>
                  <w:tabs>
                    <w:tab w:val="right" w:pos="8838"/>
                  </w:tabs>
                  <w:spacing w:line="240" w:lineRule="auto"/>
                  <w:ind w:left="-74" w:right="-105"/>
                  <w:rPr>
                    <w:rFonts w:eastAsia="Calibri" w:cs="Tahoma"/>
                    <w:szCs w:val="22"/>
                    <w:lang w:eastAsia="en-US"/>
                  </w:rPr>
                </w:pPr>
                <w:r w:rsidRPr="00AF3D48">
                  <w:rPr>
                    <w:rFonts w:eastAsia="Calibri" w:cs="Tahoma"/>
                    <w:szCs w:val="22"/>
                    <w:lang w:eastAsia="en-US"/>
                  </w:rPr>
                  <w:t>Ayuntamiento de Atlautla</w:t>
                </w:r>
              </w:p>
            </w:tc>
            <w:tc>
              <w:tcPr>
                <w:tcW w:w="3402" w:type="dxa"/>
              </w:tcPr>
              <w:p w14:paraId="3A7DA319" w14:textId="77777777" w:rsidR="009C5D8A" w:rsidRPr="00A90C72" w:rsidRDefault="009C5D8A" w:rsidP="004D0573">
                <w:pPr>
                  <w:tabs>
                    <w:tab w:val="left" w:pos="2834"/>
                    <w:tab w:val="right" w:pos="8838"/>
                  </w:tabs>
                  <w:spacing w:line="240" w:lineRule="auto"/>
                  <w:ind w:left="-108" w:right="-105"/>
                  <w:rPr>
                    <w:rFonts w:eastAsia="Calibri" w:cs="Tahoma"/>
                    <w:szCs w:val="22"/>
                    <w:lang w:eastAsia="en-US"/>
                  </w:rPr>
                </w:pPr>
              </w:p>
            </w:tc>
          </w:tr>
          <w:tr w:rsidR="009C5D8A" w:rsidRPr="00330DA7" w14:paraId="0F6CD8D2" w14:textId="77777777" w:rsidTr="004D0573">
            <w:trPr>
              <w:trHeight w:val="283"/>
            </w:trPr>
            <w:tc>
              <w:tcPr>
                <w:tcW w:w="2727" w:type="dxa"/>
              </w:tcPr>
              <w:p w14:paraId="31700628" w14:textId="0565A62A"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C5D8A" w:rsidRPr="00330DA7" w:rsidRDefault="009C5D8A" w:rsidP="004D0573">
                <w:pPr>
                  <w:tabs>
                    <w:tab w:val="right" w:pos="8838"/>
                  </w:tabs>
                  <w:spacing w:line="240" w:lineRule="auto"/>
                  <w:ind w:left="-108" w:right="-105"/>
                  <w:rPr>
                    <w:rFonts w:eastAsia="Calibri" w:cs="Tahoma"/>
                    <w:szCs w:val="22"/>
                    <w:lang w:eastAsia="en-US"/>
                  </w:rPr>
                </w:pPr>
              </w:p>
            </w:tc>
          </w:tr>
        </w:tbl>
        <w:p w14:paraId="5DC6AC61" w14:textId="77777777" w:rsidR="009C5D8A" w:rsidRPr="00330DA7" w:rsidRDefault="009C5D8A" w:rsidP="004D0573">
          <w:pPr>
            <w:tabs>
              <w:tab w:val="right" w:pos="8838"/>
            </w:tabs>
            <w:ind w:left="-28"/>
            <w:rPr>
              <w:rFonts w:ascii="Arial" w:eastAsia="Calibri" w:hAnsi="Arial" w:cs="Arial"/>
              <w:b/>
              <w:szCs w:val="22"/>
              <w:lang w:eastAsia="en-US"/>
            </w:rPr>
          </w:pPr>
        </w:p>
      </w:tc>
    </w:tr>
  </w:tbl>
  <w:p w14:paraId="2A906731" w14:textId="77777777" w:rsidR="009C5D8A" w:rsidRPr="00765661" w:rsidRDefault="00E22D9B"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1" w15:restartNumberingAfterBreak="0">
    <w:nsid w:val="0F933757"/>
    <w:multiLevelType w:val="hybridMultilevel"/>
    <w:tmpl w:val="866087F6"/>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E78E9"/>
    <w:multiLevelType w:val="hybridMultilevel"/>
    <w:tmpl w:val="8892C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892B4B"/>
    <w:multiLevelType w:val="hybridMultilevel"/>
    <w:tmpl w:val="5F9C7FF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FC53ED"/>
    <w:multiLevelType w:val="hybridMultilevel"/>
    <w:tmpl w:val="C9868DE8"/>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0613AD"/>
    <w:multiLevelType w:val="hybridMultilevel"/>
    <w:tmpl w:val="35A2F1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181C01"/>
    <w:multiLevelType w:val="hybridMultilevel"/>
    <w:tmpl w:val="25B85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85136F"/>
    <w:multiLevelType w:val="multilevel"/>
    <w:tmpl w:val="590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B2E00"/>
    <w:multiLevelType w:val="hybridMultilevel"/>
    <w:tmpl w:val="D6504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3"/>
  </w:num>
  <w:num w:numId="9">
    <w:abstractNumId w:val="0"/>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07D3"/>
    <w:rsid w:val="0000629A"/>
    <w:rsid w:val="00011232"/>
    <w:rsid w:val="000215FF"/>
    <w:rsid w:val="0002630F"/>
    <w:rsid w:val="000318BC"/>
    <w:rsid w:val="00033156"/>
    <w:rsid w:val="00042FBB"/>
    <w:rsid w:val="00057B2D"/>
    <w:rsid w:val="000611E4"/>
    <w:rsid w:val="00062BCD"/>
    <w:rsid w:val="00065518"/>
    <w:rsid w:val="00075A9A"/>
    <w:rsid w:val="000777E2"/>
    <w:rsid w:val="00080071"/>
    <w:rsid w:val="00084EAB"/>
    <w:rsid w:val="000A03B3"/>
    <w:rsid w:val="000A0798"/>
    <w:rsid w:val="000A3BA5"/>
    <w:rsid w:val="000B1439"/>
    <w:rsid w:val="000C3BBA"/>
    <w:rsid w:val="000C516E"/>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58B3"/>
    <w:rsid w:val="001A6A2C"/>
    <w:rsid w:val="001B7797"/>
    <w:rsid w:val="001C555C"/>
    <w:rsid w:val="001C6BE2"/>
    <w:rsid w:val="001C7688"/>
    <w:rsid w:val="001D0BF3"/>
    <w:rsid w:val="001D2464"/>
    <w:rsid w:val="001D5BAD"/>
    <w:rsid w:val="001E0CFD"/>
    <w:rsid w:val="001E4B5D"/>
    <w:rsid w:val="001F329F"/>
    <w:rsid w:val="001F3515"/>
    <w:rsid w:val="002015AE"/>
    <w:rsid w:val="0020607E"/>
    <w:rsid w:val="00211F42"/>
    <w:rsid w:val="002229CC"/>
    <w:rsid w:val="00233005"/>
    <w:rsid w:val="00233F17"/>
    <w:rsid w:val="0023534F"/>
    <w:rsid w:val="00237120"/>
    <w:rsid w:val="00240234"/>
    <w:rsid w:val="00244D6B"/>
    <w:rsid w:val="00244E7C"/>
    <w:rsid w:val="00245D19"/>
    <w:rsid w:val="002553CD"/>
    <w:rsid w:val="00293D29"/>
    <w:rsid w:val="0029555F"/>
    <w:rsid w:val="002958FA"/>
    <w:rsid w:val="002961A6"/>
    <w:rsid w:val="002961B5"/>
    <w:rsid w:val="0029641C"/>
    <w:rsid w:val="002A2426"/>
    <w:rsid w:val="002A3601"/>
    <w:rsid w:val="002B0D19"/>
    <w:rsid w:val="002B1D44"/>
    <w:rsid w:val="002B4ED6"/>
    <w:rsid w:val="002B7C6F"/>
    <w:rsid w:val="002D111C"/>
    <w:rsid w:val="002E18F0"/>
    <w:rsid w:val="002E247E"/>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66F72"/>
    <w:rsid w:val="00386CD1"/>
    <w:rsid w:val="003872A2"/>
    <w:rsid w:val="00392B32"/>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17D12"/>
    <w:rsid w:val="00522385"/>
    <w:rsid w:val="00523E60"/>
    <w:rsid w:val="00523F48"/>
    <w:rsid w:val="005267CD"/>
    <w:rsid w:val="005365FA"/>
    <w:rsid w:val="00536C50"/>
    <w:rsid w:val="005432B1"/>
    <w:rsid w:val="00550AB5"/>
    <w:rsid w:val="0055624C"/>
    <w:rsid w:val="005723CB"/>
    <w:rsid w:val="00575400"/>
    <w:rsid w:val="00585E22"/>
    <w:rsid w:val="00591A20"/>
    <w:rsid w:val="005A468E"/>
    <w:rsid w:val="005A5BF2"/>
    <w:rsid w:val="005B18AF"/>
    <w:rsid w:val="005B45A1"/>
    <w:rsid w:val="005B7682"/>
    <w:rsid w:val="005C6989"/>
    <w:rsid w:val="005D57B7"/>
    <w:rsid w:val="005D5854"/>
    <w:rsid w:val="005D5A50"/>
    <w:rsid w:val="005E0FE5"/>
    <w:rsid w:val="005F5301"/>
    <w:rsid w:val="005F65B7"/>
    <w:rsid w:val="006024B6"/>
    <w:rsid w:val="006067C7"/>
    <w:rsid w:val="00615195"/>
    <w:rsid w:val="006159AD"/>
    <w:rsid w:val="00622632"/>
    <w:rsid w:val="006415E5"/>
    <w:rsid w:val="00646436"/>
    <w:rsid w:val="00652A59"/>
    <w:rsid w:val="00657603"/>
    <w:rsid w:val="00664420"/>
    <w:rsid w:val="0066480D"/>
    <w:rsid w:val="006670B6"/>
    <w:rsid w:val="00680AC7"/>
    <w:rsid w:val="006820EC"/>
    <w:rsid w:val="006A21FC"/>
    <w:rsid w:val="006A646A"/>
    <w:rsid w:val="006B10B0"/>
    <w:rsid w:val="006C66D0"/>
    <w:rsid w:val="006D3237"/>
    <w:rsid w:val="006E13CF"/>
    <w:rsid w:val="006E25BC"/>
    <w:rsid w:val="006E6BBC"/>
    <w:rsid w:val="006E7E69"/>
    <w:rsid w:val="006F4DAB"/>
    <w:rsid w:val="006F7768"/>
    <w:rsid w:val="00706E95"/>
    <w:rsid w:val="00716504"/>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87E3B"/>
    <w:rsid w:val="00794BA5"/>
    <w:rsid w:val="007A19A3"/>
    <w:rsid w:val="007A2B8D"/>
    <w:rsid w:val="007A3459"/>
    <w:rsid w:val="007B6074"/>
    <w:rsid w:val="007C7C47"/>
    <w:rsid w:val="007D1C55"/>
    <w:rsid w:val="007D1C84"/>
    <w:rsid w:val="007D317F"/>
    <w:rsid w:val="007E069C"/>
    <w:rsid w:val="007E07E1"/>
    <w:rsid w:val="007F2E78"/>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6DBC"/>
    <w:rsid w:val="00887577"/>
    <w:rsid w:val="008950DC"/>
    <w:rsid w:val="008A21E1"/>
    <w:rsid w:val="008A6003"/>
    <w:rsid w:val="008A6F88"/>
    <w:rsid w:val="008B1E16"/>
    <w:rsid w:val="008E1316"/>
    <w:rsid w:val="008E6224"/>
    <w:rsid w:val="00903DBE"/>
    <w:rsid w:val="00904420"/>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C5D8A"/>
    <w:rsid w:val="009E0652"/>
    <w:rsid w:val="009E2DEE"/>
    <w:rsid w:val="009E45F2"/>
    <w:rsid w:val="009E4644"/>
    <w:rsid w:val="009E6A88"/>
    <w:rsid w:val="009F797C"/>
    <w:rsid w:val="00A048C7"/>
    <w:rsid w:val="00A12AFA"/>
    <w:rsid w:val="00A131AC"/>
    <w:rsid w:val="00A16D85"/>
    <w:rsid w:val="00A21A20"/>
    <w:rsid w:val="00A35DA7"/>
    <w:rsid w:val="00A36A99"/>
    <w:rsid w:val="00A3704E"/>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C2DB8"/>
    <w:rsid w:val="00AC3CA0"/>
    <w:rsid w:val="00AD4855"/>
    <w:rsid w:val="00AE3A48"/>
    <w:rsid w:val="00AE3DA7"/>
    <w:rsid w:val="00AE5AEF"/>
    <w:rsid w:val="00AF03C4"/>
    <w:rsid w:val="00AF05FE"/>
    <w:rsid w:val="00AF3D48"/>
    <w:rsid w:val="00B00E0A"/>
    <w:rsid w:val="00B03CC2"/>
    <w:rsid w:val="00B03CEA"/>
    <w:rsid w:val="00B137E8"/>
    <w:rsid w:val="00B14C2A"/>
    <w:rsid w:val="00B169A2"/>
    <w:rsid w:val="00B22A80"/>
    <w:rsid w:val="00B36848"/>
    <w:rsid w:val="00B373AF"/>
    <w:rsid w:val="00B4605D"/>
    <w:rsid w:val="00B61BCE"/>
    <w:rsid w:val="00B65555"/>
    <w:rsid w:val="00B6790E"/>
    <w:rsid w:val="00B71D39"/>
    <w:rsid w:val="00B72BE3"/>
    <w:rsid w:val="00B80A20"/>
    <w:rsid w:val="00B867EF"/>
    <w:rsid w:val="00B92F65"/>
    <w:rsid w:val="00B961B0"/>
    <w:rsid w:val="00BA0639"/>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BF75AE"/>
    <w:rsid w:val="00C00D03"/>
    <w:rsid w:val="00C049E2"/>
    <w:rsid w:val="00C051B8"/>
    <w:rsid w:val="00C10D59"/>
    <w:rsid w:val="00C229BF"/>
    <w:rsid w:val="00C2636E"/>
    <w:rsid w:val="00C30616"/>
    <w:rsid w:val="00C345CB"/>
    <w:rsid w:val="00C351EC"/>
    <w:rsid w:val="00C36795"/>
    <w:rsid w:val="00C42CA7"/>
    <w:rsid w:val="00C42FB8"/>
    <w:rsid w:val="00C461EC"/>
    <w:rsid w:val="00C507D4"/>
    <w:rsid w:val="00C55281"/>
    <w:rsid w:val="00C5764A"/>
    <w:rsid w:val="00C66A25"/>
    <w:rsid w:val="00C71CEF"/>
    <w:rsid w:val="00C72DAA"/>
    <w:rsid w:val="00C73A98"/>
    <w:rsid w:val="00C7571D"/>
    <w:rsid w:val="00C80B14"/>
    <w:rsid w:val="00C93BC8"/>
    <w:rsid w:val="00CA31D5"/>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90103"/>
    <w:rsid w:val="00D91CB4"/>
    <w:rsid w:val="00DA54C1"/>
    <w:rsid w:val="00DB1C09"/>
    <w:rsid w:val="00DC0A5B"/>
    <w:rsid w:val="00DC30FA"/>
    <w:rsid w:val="00DE1133"/>
    <w:rsid w:val="00DE4F05"/>
    <w:rsid w:val="00DE78A1"/>
    <w:rsid w:val="00DF633E"/>
    <w:rsid w:val="00E009CE"/>
    <w:rsid w:val="00E11AA0"/>
    <w:rsid w:val="00E16BF5"/>
    <w:rsid w:val="00E22D9B"/>
    <w:rsid w:val="00E27023"/>
    <w:rsid w:val="00E3193A"/>
    <w:rsid w:val="00E33233"/>
    <w:rsid w:val="00E37496"/>
    <w:rsid w:val="00E37A3F"/>
    <w:rsid w:val="00E37D3C"/>
    <w:rsid w:val="00E47564"/>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14F"/>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7D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Mencinsinresolver3">
    <w:name w:val="Mención sin resolver3"/>
    <w:basedOn w:val="Fuentedeprrafopredeter"/>
    <w:uiPriority w:val="99"/>
    <w:semiHidden/>
    <w:unhideWhenUsed/>
    <w:rsid w:val="000B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66418160">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173762915">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043627830">
      <w:bodyDiv w:val="1"/>
      <w:marLeft w:val="0"/>
      <w:marRight w:val="0"/>
      <w:marTop w:val="0"/>
      <w:marBottom w:val="0"/>
      <w:divBdr>
        <w:top w:val="none" w:sz="0" w:space="0" w:color="auto"/>
        <w:left w:val="none" w:sz="0" w:space="0" w:color="auto"/>
        <w:bottom w:val="none" w:sz="0" w:space="0" w:color="auto"/>
        <w:right w:val="none" w:sz="0" w:space="0" w:color="auto"/>
      </w:divBdr>
    </w:div>
    <w:div w:id="1072118464">
      <w:bodyDiv w:val="1"/>
      <w:marLeft w:val="0"/>
      <w:marRight w:val="0"/>
      <w:marTop w:val="0"/>
      <w:marBottom w:val="0"/>
      <w:divBdr>
        <w:top w:val="none" w:sz="0" w:space="0" w:color="auto"/>
        <w:left w:val="none" w:sz="0" w:space="0" w:color="auto"/>
        <w:bottom w:val="none" w:sz="0" w:space="0" w:color="auto"/>
        <w:right w:val="none" w:sz="0" w:space="0" w:color="auto"/>
      </w:divBdr>
    </w:div>
    <w:div w:id="1080447053">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4483542">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04850128">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35978706">
      <w:bodyDiv w:val="1"/>
      <w:marLeft w:val="0"/>
      <w:marRight w:val="0"/>
      <w:marTop w:val="0"/>
      <w:marBottom w:val="0"/>
      <w:divBdr>
        <w:top w:val="none" w:sz="0" w:space="0" w:color="auto"/>
        <w:left w:val="none" w:sz="0" w:space="0" w:color="auto"/>
        <w:bottom w:val="none" w:sz="0" w:space="0" w:color="auto"/>
        <w:right w:val="none" w:sz="0" w:space="0" w:color="auto"/>
      </w:divBdr>
    </w:div>
    <w:div w:id="1452167280">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556699553">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918606">
      <w:bodyDiv w:val="1"/>
      <w:marLeft w:val="0"/>
      <w:marRight w:val="0"/>
      <w:marTop w:val="0"/>
      <w:marBottom w:val="0"/>
      <w:divBdr>
        <w:top w:val="none" w:sz="0" w:space="0" w:color="auto"/>
        <w:left w:val="none" w:sz="0" w:space="0" w:color="auto"/>
        <w:bottom w:val="none" w:sz="0" w:space="0" w:color="auto"/>
        <w:right w:val="none" w:sz="0" w:space="0" w:color="auto"/>
      </w:divBdr>
    </w:div>
    <w:div w:id="1992714220">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A2EC9-4C38-3D4F-8AF4-A3692CB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5032</Words>
  <Characters>27681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12</cp:revision>
  <cp:lastPrinted>2025-08-21T19:16:00Z</cp:lastPrinted>
  <dcterms:created xsi:type="dcterms:W3CDTF">2025-08-14T06:19:00Z</dcterms:created>
  <dcterms:modified xsi:type="dcterms:W3CDTF">2025-10-17T01:43:00Z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