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0B1598" w14:textId="77777777" w:rsidR="00E74520" w:rsidRDefault="00E74520">
      <w:pPr>
        <w:widowControl w:val="0"/>
        <w:pBdr>
          <w:top w:val="nil"/>
          <w:left w:val="nil"/>
          <w:bottom w:val="nil"/>
          <w:right w:val="nil"/>
          <w:between w:val="nil"/>
        </w:pBdr>
        <w:spacing w:line="276" w:lineRule="auto"/>
      </w:pPr>
    </w:p>
    <w:p w14:paraId="4E0B1599" w14:textId="77777777" w:rsidR="00E74520" w:rsidRPr="00F92461" w:rsidRDefault="000445B4">
      <w:pPr>
        <w:pBdr>
          <w:top w:val="nil"/>
          <w:left w:val="nil"/>
          <w:bottom w:val="nil"/>
          <w:right w:val="nil"/>
          <w:between w:val="nil"/>
        </w:pBdr>
        <w:spacing w:line="360" w:lineRule="auto"/>
        <w:ind w:right="-847"/>
        <w:jc w:val="both"/>
        <w:rPr>
          <w:rFonts w:ascii="Palatino Linotype" w:eastAsia="Palatino Linotype" w:hAnsi="Palatino Linotype" w:cs="Palatino Linotype"/>
          <w:color w:val="000000"/>
        </w:rPr>
      </w:pPr>
      <w:r w:rsidRPr="00F92461">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w:t>
      </w:r>
      <w:r w:rsidRPr="00F92461">
        <w:rPr>
          <w:rFonts w:ascii="Palatino Linotype" w:eastAsia="Palatino Linotype" w:hAnsi="Palatino Linotype" w:cs="Palatino Linotype"/>
        </w:rPr>
        <w:t xml:space="preserve"> fecha </w:t>
      </w:r>
      <w:r w:rsidRPr="00F92461">
        <w:rPr>
          <w:rFonts w:ascii="Palatino Linotype" w:eastAsia="Palatino Linotype" w:hAnsi="Palatino Linotype" w:cs="Palatino Linotype"/>
          <w:color w:val="000000"/>
        </w:rPr>
        <w:t>seis (06) de marzo de dos mil veinticinco.</w:t>
      </w:r>
    </w:p>
    <w:p w14:paraId="4E0B159A" w14:textId="77777777" w:rsidR="00E74520" w:rsidRPr="00F92461" w:rsidRDefault="00E74520">
      <w:pPr>
        <w:pBdr>
          <w:top w:val="nil"/>
          <w:left w:val="nil"/>
          <w:bottom w:val="nil"/>
          <w:right w:val="nil"/>
          <w:between w:val="nil"/>
        </w:pBdr>
        <w:spacing w:line="360" w:lineRule="auto"/>
        <w:ind w:right="-847"/>
        <w:jc w:val="both"/>
        <w:rPr>
          <w:rFonts w:ascii="Palatino Linotype" w:eastAsia="Palatino Linotype" w:hAnsi="Palatino Linotype" w:cs="Palatino Linotype"/>
          <w:color w:val="000000"/>
        </w:rPr>
      </w:pPr>
    </w:p>
    <w:p w14:paraId="4E0B159B" w14:textId="346144CD" w:rsidR="00E74520" w:rsidRPr="00F92461" w:rsidRDefault="000445B4">
      <w:pPr>
        <w:pBdr>
          <w:top w:val="nil"/>
          <w:left w:val="nil"/>
          <w:bottom w:val="nil"/>
          <w:right w:val="nil"/>
          <w:between w:val="nil"/>
        </w:pBdr>
        <w:tabs>
          <w:tab w:val="center" w:pos="4252"/>
          <w:tab w:val="right" w:pos="8504"/>
        </w:tabs>
        <w:spacing w:line="360" w:lineRule="auto"/>
        <w:ind w:right="-847"/>
        <w:jc w:val="both"/>
        <w:rPr>
          <w:rFonts w:ascii="Palatino Linotype" w:eastAsia="Palatino Linotype" w:hAnsi="Palatino Linotype" w:cs="Palatino Linotype"/>
          <w:color w:val="000000"/>
        </w:rPr>
      </w:pPr>
      <w:r w:rsidRPr="00F92461">
        <w:rPr>
          <w:rFonts w:ascii="Palatino Linotype" w:eastAsia="Palatino Linotype" w:hAnsi="Palatino Linotype" w:cs="Palatino Linotype"/>
          <w:b/>
          <w:color w:val="000000"/>
        </w:rPr>
        <w:t>VISTO</w:t>
      </w:r>
      <w:r w:rsidRPr="00F92461">
        <w:rPr>
          <w:rFonts w:ascii="Palatino Linotype" w:eastAsia="Palatino Linotype" w:hAnsi="Palatino Linotype" w:cs="Palatino Linotype"/>
          <w:color w:val="000000"/>
        </w:rPr>
        <w:t xml:space="preserve"> en el expediente electrónico formado con motivo del recurso de revisión número </w:t>
      </w:r>
      <w:r w:rsidRPr="00F92461">
        <w:rPr>
          <w:rFonts w:ascii="Palatino Linotype" w:eastAsia="Palatino Linotype" w:hAnsi="Palatino Linotype" w:cs="Palatino Linotype"/>
          <w:b/>
          <w:color w:val="000000"/>
        </w:rPr>
        <w:t>03333/INFOEM/IP/RR/2024</w:t>
      </w:r>
      <w:r w:rsidRPr="00F92461">
        <w:rPr>
          <w:rFonts w:ascii="Palatino Linotype" w:eastAsia="Palatino Linotype" w:hAnsi="Palatino Linotype" w:cs="Palatino Linotype"/>
          <w:color w:val="000000"/>
        </w:rPr>
        <w:t xml:space="preserve">, promovido por </w:t>
      </w:r>
      <w:r w:rsidR="00671EDB">
        <w:rPr>
          <w:rFonts w:ascii="Palatino Linotype" w:eastAsia="Palatino Linotype" w:hAnsi="Palatino Linotype" w:cs="Palatino Linotype"/>
          <w:b/>
        </w:rPr>
        <w:t>XXXX</w:t>
      </w:r>
      <w:r w:rsidRPr="00F92461">
        <w:rPr>
          <w:rFonts w:ascii="Palatino Linotype" w:eastAsia="Palatino Linotype" w:hAnsi="Palatino Linotype" w:cs="Palatino Linotype"/>
          <w:b/>
          <w:color w:val="000000"/>
        </w:rPr>
        <w:t xml:space="preserve">, </w:t>
      </w:r>
      <w:r w:rsidRPr="00F92461">
        <w:rPr>
          <w:rFonts w:ascii="Palatino Linotype" w:eastAsia="Palatino Linotype" w:hAnsi="Palatino Linotype" w:cs="Palatino Linotype"/>
        </w:rPr>
        <w:t>a quien</w:t>
      </w:r>
      <w:r w:rsidRPr="00F92461">
        <w:rPr>
          <w:rFonts w:ascii="Palatino Linotype" w:eastAsia="Palatino Linotype" w:hAnsi="Palatino Linotype" w:cs="Palatino Linotype"/>
          <w:color w:val="000000"/>
        </w:rPr>
        <w:t xml:space="preserve"> en lo sucesivo denominaremos</w:t>
      </w:r>
      <w:r w:rsidRPr="00F92461">
        <w:rPr>
          <w:rFonts w:ascii="Palatino Linotype" w:eastAsia="Palatino Linotype" w:hAnsi="Palatino Linotype" w:cs="Palatino Linotype"/>
          <w:b/>
          <w:color w:val="000000"/>
        </w:rPr>
        <w:t xml:space="preserve"> RECURRENTE,</w:t>
      </w:r>
      <w:r w:rsidRPr="00F92461">
        <w:rPr>
          <w:rFonts w:ascii="Palatino Linotype" w:eastAsia="Palatino Linotype" w:hAnsi="Palatino Linotype" w:cs="Palatino Linotype"/>
          <w:color w:val="000000"/>
        </w:rPr>
        <w:t xml:space="preserve"> en contra de la respuesta del </w:t>
      </w:r>
      <w:r w:rsidRPr="00F92461">
        <w:rPr>
          <w:rFonts w:ascii="Palatino Linotype" w:eastAsia="Palatino Linotype" w:hAnsi="Palatino Linotype" w:cs="Palatino Linotype"/>
          <w:b/>
          <w:color w:val="000000"/>
        </w:rPr>
        <w:t>Ayuntamiento de Toluca</w:t>
      </w:r>
      <w:r w:rsidRPr="00F92461">
        <w:rPr>
          <w:rFonts w:ascii="Palatino Linotype" w:eastAsia="Palatino Linotype" w:hAnsi="Palatino Linotype" w:cs="Palatino Linotype"/>
          <w:color w:val="000000"/>
        </w:rPr>
        <w:t xml:space="preserve">, en </w:t>
      </w:r>
      <w:r w:rsidRPr="00F92461">
        <w:rPr>
          <w:rFonts w:ascii="Palatino Linotype" w:eastAsia="Palatino Linotype" w:hAnsi="Palatino Linotype" w:cs="Palatino Linotype"/>
        </w:rPr>
        <w:t>adelante</w:t>
      </w:r>
      <w:r w:rsidRPr="00F92461">
        <w:rPr>
          <w:rFonts w:ascii="Palatino Linotype" w:eastAsia="Palatino Linotype" w:hAnsi="Palatino Linotype" w:cs="Palatino Linotype"/>
          <w:color w:val="000000"/>
        </w:rPr>
        <w:t xml:space="preserve"> el</w:t>
      </w:r>
      <w:r w:rsidRPr="00F92461">
        <w:rPr>
          <w:rFonts w:ascii="Palatino Linotype" w:eastAsia="Palatino Linotype" w:hAnsi="Palatino Linotype" w:cs="Palatino Linotype"/>
          <w:b/>
          <w:color w:val="000000"/>
        </w:rPr>
        <w:t xml:space="preserve"> SUJETO OBLIGADO, </w:t>
      </w:r>
      <w:r w:rsidRPr="00F92461">
        <w:rPr>
          <w:rFonts w:ascii="Palatino Linotype" w:eastAsia="Palatino Linotype" w:hAnsi="Palatino Linotype" w:cs="Palatino Linotype"/>
          <w:color w:val="000000"/>
        </w:rPr>
        <w:t>se procede a dictar la presente resolución, con base en los siguientes:</w:t>
      </w:r>
    </w:p>
    <w:p w14:paraId="4E0B159C" w14:textId="77777777" w:rsidR="00E74520" w:rsidRPr="00F92461" w:rsidRDefault="00E74520">
      <w:pPr>
        <w:pBdr>
          <w:top w:val="nil"/>
          <w:left w:val="nil"/>
          <w:bottom w:val="nil"/>
          <w:right w:val="nil"/>
          <w:between w:val="nil"/>
        </w:pBdr>
        <w:tabs>
          <w:tab w:val="center" w:pos="4252"/>
          <w:tab w:val="right" w:pos="8504"/>
        </w:tabs>
        <w:spacing w:line="360" w:lineRule="auto"/>
        <w:ind w:right="-847"/>
        <w:jc w:val="both"/>
        <w:rPr>
          <w:rFonts w:ascii="Palatino Linotype" w:eastAsia="Palatino Linotype" w:hAnsi="Palatino Linotype" w:cs="Palatino Linotype"/>
          <w:b/>
          <w:color w:val="000000"/>
        </w:rPr>
      </w:pPr>
    </w:p>
    <w:p w14:paraId="4E0B159D" w14:textId="77777777" w:rsidR="00E74520" w:rsidRPr="00F92461" w:rsidRDefault="000445B4">
      <w:pPr>
        <w:pStyle w:val="Ttulo2"/>
        <w:spacing w:line="360" w:lineRule="auto"/>
        <w:ind w:right="-847"/>
        <w:jc w:val="center"/>
        <w:rPr>
          <w:rFonts w:ascii="Palatino Linotype" w:eastAsia="Palatino Linotype" w:hAnsi="Palatino Linotype" w:cs="Palatino Linotype"/>
          <w:b/>
          <w:color w:val="000000"/>
          <w:sz w:val="24"/>
          <w:szCs w:val="24"/>
        </w:rPr>
      </w:pPr>
      <w:bookmarkStart w:id="0" w:name="_heading=h.gjdgxs" w:colFirst="0" w:colLast="0"/>
      <w:bookmarkEnd w:id="0"/>
      <w:r w:rsidRPr="00F92461">
        <w:rPr>
          <w:rFonts w:ascii="Palatino Linotype" w:eastAsia="Palatino Linotype" w:hAnsi="Palatino Linotype" w:cs="Palatino Linotype"/>
          <w:b/>
          <w:color w:val="000000"/>
          <w:sz w:val="24"/>
          <w:szCs w:val="24"/>
        </w:rPr>
        <w:t>A N T E C E D E N T E S</w:t>
      </w:r>
    </w:p>
    <w:p w14:paraId="4E0B159E"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El dos de mayo de dos mil veinticuatro, se</w:t>
      </w:r>
      <w:r w:rsidRPr="00F92461">
        <w:rPr>
          <w:rFonts w:ascii="Palatino Linotype" w:eastAsia="Palatino Linotype" w:hAnsi="Palatino Linotype" w:cs="Palatino Linotype"/>
          <w:b/>
          <w:color w:val="000000"/>
        </w:rPr>
        <w:t xml:space="preserve"> </w:t>
      </w:r>
      <w:r w:rsidRPr="00F92461">
        <w:rPr>
          <w:rFonts w:ascii="Palatino Linotype" w:eastAsia="Palatino Linotype" w:hAnsi="Palatino Linotype" w:cs="Palatino Linotype"/>
          <w:color w:val="000000"/>
        </w:rPr>
        <w:t>presentaron</w:t>
      </w:r>
      <w:r w:rsidRPr="00F92461">
        <w:rPr>
          <w:rFonts w:ascii="Palatino Linotype" w:eastAsia="Palatino Linotype" w:hAnsi="Palatino Linotype" w:cs="Palatino Linotype"/>
          <w:b/>
          <w:color w:val="000000"/>
        </w:rPr>
        <w:t xml:space="preserve"> </w:t>
      </w:r>
      <w:r w:rsidRPr="00F92461">
        <w:rPr>
          <w:rFonts w:ascii="Palatino Linotype" w:eastAsia="Palatino Linotype" w:hAnsi="Palatino Linotype" w:cs="Palatino Linotype"/>
          <w:color w:val="000000"/>
        </w:rPr>
        <w:t xml:space="preserve">vía Sistema de Acceso a la Información Mexiquense </w:t>
      </w:r>
      <w:r w:rsidRPr="00F92461">
        <w:rPr>
          <w:rFonts w:ascii="Palatino Linotype" w:eastAsia="Palatino Linotype" w:hAnsi="Palatino Linotype" w:cs="Palatino Linotype"/>
          <w:b/>
          <w:color w:val="000000"/>
        </w:rPr>
        <w:t>(SAIMEX),</w:t>
      </w:r>
      <w:r w:rsidRPr="00F92461">
        <w:rPr>
          <w:rFonts w:ascii="Palatino Linotype" w:eastAsia="Palatino Linotype" w:hAnsi="Palatino Linotype" w:cs="Palatino Linotype"/>
          <w:color w:val="000000"/>
        </w:rPr>
        <w:t xml:space="preserve"> la solicitud de información pública registrada con el número </w:t>
      </w:r>
      <w:r w:rsidRPr="00F92461">
        <w:rPr>
          <w:rFonts w:ascii="Palatino Linotype" w:eastAsia="Palatino Linotype" w:hAnsi="Palatino Linotype" w:cs="Palatino Linotype"/>
          <w:b/>
          <w:color w:val="000000"/>
        </w:rPr>
        <w:t>01042/TOLUCA/IP/2024,</w:t>
      </w:r>
      <w:r w:rsidRPr="00F92461">
        <w:rPr>
          <w:rFonts w:ascii="Palatino Linotype" w:eastAsia="Palatino Linotype" w:hAnsi="Palatino Linotype" w:cs="Palatino Linotype"/>
          <w:color w:val="000000"/>
        </w:rPr>
        <w:t xml:space="preserve"> </w:t>
      </w:r>
      <w:r w:rsidRPr="00F92461">
        <w:rPr>
          <w:rFonts w:ascii="Palatino Linotype" w:eastAsia="Palatino Linotype" w:hAnsi="Palatino Linotype" w:cs="Palatino Linotype"/>
        </w:rPr>
        <w:t xml:space="preserve">en la que </w:t>
      </w:r>
      <w:r w:rsidRPr="00F92461">
        <w:rPr>
          <w:rFonts w:ascii="Palatino Linotype" w:eastAsia="Palatino Linotype" w:hAnsi="Palatino Linotype" w:cs="Palatino Linotype"/>
          <w:color w:val="000000"/>
        </w:rPr>
        <w:t>se requirió lo siguiente:</w:t>
      </w:r>
    </w:p>
    <w:p w14:paraId="4E0B159F" w14:textId="77777777" w:rsidR="00E74520" w:rsidRPr="00F92461" w:rsidRDefault="00E74520">
      <w:pPr>
        <w:ind w:right="-847"/>
        <w:jc w:val="both"/>
        <w:rPr>
          <w:rFonts w:ascii="Palatino Linotype" w:eastAsia="Palatino Linotype" w:hAnsi="Palatino Linotype" w:cs="Palatino Linotype"/>
          <w:i/>
          <w:color w:val="000000"/>
        </w:rPr>
      </w:pPr>
    </w:p>
    <w:p w14:paraId="4E0B15A0" w14:textId="77777777" w:rsidR="00E74520" w:rsidRPr="00F92461" w:rsidRDefault="000445B4">
      <w:pPr>
        <w:pBdr>
          <w:top w:val="nil"/>
          <w:left w:val="nil"/>
          <w:bottom w:val="nil"/>
          <w:right w:val="nil"/>
          <w:between w:val="nil"/>
        </w:pBdr>
        <w:ind w:left="567" w:right="-847"/>
        <w:jc w:val="both"/>
        <w:rPr>
          <w:rFonts w:ascii="Palatino Linotype" w:eastAsia="Palatino Linotype" w:hAnsi="Palatino Linotype" w:cs="Palatino Linotype"/>
          <w:i/>
          <w:color w:val="000000"/>
        </w:rPr>
      </w:pPr>
      <w:r w:rsidRPr="00F92461">
        <w:rPr>
          <w:rFonts w:ascii="Palatino Linotype" w:eastAsia="Palatino Linotype" w:hAnsi="Palatino Linotype" w:cs="Palatino Linotype"/>
          <w:i/>
          <w:color w:val="000000"/>
        </w:rPr>
        <w:t>“la Direccion de Medio Ambiente ha dicho que se han plantado mas de 50 mil àrboles en Toluca, por esa razon quiero saber de donde viene cada uno de esos àrboles que dicen plantaron, el lugar especifico de donde esta cada àrbol, una foto de cada uno, cuantos plantaron realmente y de esos que plantaron cuantos quedan vivos, tambien cual es el mantenimeitno que les dan para que no se mueran.” (Sic)</w:t>
      </w:r>
    </w:p>
    <w:p w14:paraId="4E0B15A1" w14:textId="77777777" w:rsidR="00E74520" w:rsidRPr="00F92461" w:rsidRDefault="00E74520">
      <w:pPr>
        <w:pBdr>
          <w:top w:val="nil"/>
          <w:left w:val="nil"/>
          <w:bottom w:val="nil"/>
          <w:right w:val="nil"/>
          <w:between w:val="nil"/>
        </w:pBdr>
        <w:ind w:right="-847"/>
        <w:rPr>
          <w:rFonts w:ascii="Palatino Linotype" w:eastAsia="Palatino Linotype" w:hAnsi="Palatino Linotype" w:cs="Palatino Linotype"/>
        </w:rPr>
      </w:pPr>
    </w:p>
    <w:p w14:paraId="4E0B15A2" w14:textId="77777777" w:rsidR="00E74520" w:rsidRPr="00F92461" w:rsidRDefault="00E74520">
      <w:pPr>
        <w:pBdr>
          <w:top w:val="nil"/>
          <w:left w:val="nil"/>
          <w:bottom w:val="nil"/>
          <w:right w:val="nil"/>
          <w:between w:val="nil"/>
        </w:pBdr>
        <w:ind w:right="-847"/>
        <w:rPr>
          <w:rFonts w:ascii="Palatino Linotype" w:eastAsia="Palatino Linotype" w:hAnsi="Palatino Linotype" w:cs="Palatino Linotype"/>
        </w:rPr>
      </w:pPr>
    </w:p>
    <w:p w14:paraId="4E0B15A3"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Se señaló como modalidad de entrega de la información: a través de </w:t>
      </w:r>
      <w:r w:rsidRPr="00F92461">
        <w:rPr>
          <w:rFonts w:ascii="Palatino Linotype" w:eastAsia="Palatino Linotype" w:hAnsi="Palatino Linotype" w:cs="Palatino Linotype"/>
          <w:b/>
          <w:color w:val="000000"/>
        </w:rPr>
        <w:t>SAIMEX.</w:t>
      </w:r>
    </w:p>
    <w:p w14:paraId="4E0B15A4"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5A5"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lastRenderedPageBreak/>
        <w:t xml:space="preserve">El veinticuatro de mayo de dos mil veinticuatro, 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emitió respuesta, en los siguientes términos:</w:t>
      </w:r>
    </w:p>
    <w:p w14:paraId="4E0B15A6" w14:textId="77777777" w:rsidR="00E74520" w:rsidRPr="00F92461" w:rsidRDefault="000445B4">
      <w:pPr>
        <w:tabs>
          <w:tab w:val="left" w:pos="851"/>
          <w:tab w:val="left" w:pos="1418"/>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“…En atención a la solicitud con folio 01042/TOLUCA/IP/2024, me permito adjuntar al presente la respuesta correspondiente…” (Sic)</w:t>
      </w:r>
    </w:p>
    <w:p w14:paraId="4E0B15A7" w14:textId="77777777" w:rsidR="00E74520" w:rsidRPr="00F92461" w:rsidRDefault="00E74520">
      <w:pPr>
        <w:pBdr>
          <w:top w:val="nil"/>
          <w:left w:val="nil"/>
          <w:bottom w:val="nil"/>
          <w:right w:val="nil"/>
          <w:between w:val="nil"/>
        </w:pBdr>
        <w:tabs>
          <w:tab w:val="left" w:pos="851"/>
          <w:tab w:val="left" w:pos="1418"/>
        </w:tabs>
        <w:ind w:right="-280"/>
        <w:jc w:val="both"/>
        <w:rPr>
          <w:rFonts w:ascii="Palatino Linotype" w:eastAsia="Palatino Linotype" w:hAnsi="Palatino Linotype" w:cs="Palatino Linotype"/>
          <w:i/>
          <w:color w:val="000000"/>
          <w:sz w:val="22"/>
          <w:szCs w:val="22"/>
        </w:rPr>
      </w:pPr>
    </w:p>
    <w:p w14:paraId="4E0B15A8" w14:textId="77777777" w:rsidR="00E74520" w:rsidRPr="00F92461" w:rsidRDefault="000445B4">
      <w:pPr>
        <w:pBdr>
          <w:top w:val="nil"/>
          <w:left w:val="nil"/>
          <w:bottom w:val="nil"/>
          <w:right w:val="nil"/>
          <w:between w:val="nil"/>
        </w:pBdr>
        <w:tabs>
          <w:tab w:val="left" w:pos="851"/>
          <w:tab w:val="left" w:pos="1418"/>
        </w:tabs>
        <w:ind w:right="-280"/>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 xml:space="preserve">Se </w:t>
      </w:r>
      <w:r w:rsidRPr="00F92461">
        <w:rPr>
          <w:rFonts w:ascii="Palatino Linotype" w:eastAsia="Palatino Linotype" w:hAnsi="Palatino Linotype" w:cs="Palatino Linotype"/>
          <w:sz w:val="22"/>
          <w:szCs w:val="22"/>
        </w:rPr>
        <w:t>adjuntan</w:t>
      </w:r>
      <w:r w:rsidRPr="00F92461">
        <w:rPr>
          <w:rFonts w:ascii="Palatino Linotype" w:eastAsia="Palatino Linotype" w:hAnsi="Palatino Linotype" w:cs="Palatino Linotype"/>
          <w:color w:val="000000"/>
          <w:sz w:val="22"/>
          <w:szCs w:val="22"/>
        </w:rPr>
        <w:t xml:space="preserve"> los siguientes archivos electrónicos:</w:t>
      </w:r>
    </w:p>
    <w:p w14:paraId="4E0B15A9" w14:textId="77777777" w:rsidR="00E74520" w:rsidRPr="00F92461" w:rsidRDefault="00E74520">
      <w:pPr>
        <w:pBdr>
          <w:top w:val="nil"/>
          <w:left w:val="nil"/>
          <w:bottom w:val="nil"/>
          <w:right w:val="nil"/>
          <w:between w:val="nil"/>
        </w:pBdr>
        <w:tabs>
          <w:tab w:val="left" w:pos="851"/>
          <w:tab w:val="left" w:pos="1418"/>
        </w:tabs>
        <w:ind w:right="-280"/>
        <w:jc w:val="both"/>
        <w:rPr>
          <w:rFonts w:ascii="Palatino Linotype" w:eastAsia="Palatino Linotype" w:hAnsi="Palatino Linotype" w:cs="Palatino Linotype"/>
          <w:i/>
          <w:color w:val="000000"/>
          <w:sz w:val="22"/>
          <w:szCs w:val="22"/>
        </w:rPr>
      </w:pPr>
    </w:p>
    <w:p w14:paraId="4E0B15AA" w14:textId="77777777" w:rsidR="00E74520" w:rsidRPr="00F92461" w:rsidRDefault="000445B4">
      <w:pPr>
        <w:pBdr>
          <w:top w:val="nil"/>
          <w:left w:val="nil"/>
          <w:bottom w:val="nil"/>
          <w:right w:val="nil"/>
          <w:between w:val="nil"/>
        </w:pBdr>
        <w:tabs>
          <w:tab w:val="left" w:pos="851"/>
          <w:tab w:val="left" w:pos="1418"/>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color w:val="000000"/>
          <w:sz w:val="22"/>
          <w:szCs w:val="22"/>
        </w:rPr>
        <w:t>“</w:t>
      </w:r>
      <w:hyperlink r:id="rId8">
        <w:r w:rsidRPr="00F92461">
          <w:rPr>
            <w:rFonts w:ascii="Palatino Linotype" w:eastAsia="Palatino Linotype" w:hAnsi="Palatino Linotype" w:cs="Palatino Linotype"/>
            <w:b/>
            <w:color w:val="000000"/>
            <w:sz w:val="22"/>
            <w:szCs w:val="22"/>
          </w:rPr>
          <w:t>ANEXOI</w:t>
        </w:r>
      </w:hyperlink>
      <w:r w:rsidRPr="00F92461">
        <w:rPr>
          <w:rFonts w:ascii="Palatino Linotype" w:eastAsia="Palatino Linotype" w:hAnsi="Palatino Linotype" w:cs="Palatino Linotype"/>
          <w:b/>
          <w:color w:val="000000"/>
          <w:sz w:val="22"/>
          <w:szCs w:val="22"/>
        </w:rPr>
        <w:t xml:space="preserve"> SAIMEX_001042_TOLUCA_IP_2024.pdf</w:t>
      </w:r>
      <w:r w:rsidRPr="00F92461">
        <w:rPr>
          <w:rFonts w:ascii="Palatino Linotype" w:eastAsia="Palatino Linotype" w:hAnsi="Palatino Linotype" w:cs="Palatino Linotype"/>
          <w:color w:val="000000"/>
          <w:sz w:val="22"/>
          <w:szCs w:val="22"/>
        </w:rPr>
        <w:t>”, consistente en 3 páginas, de las cuales se observan imágenes fotográficas a la Reforestación en Áreas Naturales Protegidas del Municipio de Toluca, como en Nevado de Toluca, Parque Sierra Morelos, Alameda 2000 y Presa José Antonio Álzate, así como, la Forestación y Reforestación en zona urbana y suburbana.</w:t>
      </w:r>
    </w:p>
    <w:p w14:paraId="4E0B15AB" w14:textId="77777777" w:rsidR="00E74520" w:rsidRPr="00F92461" w:rsidRDefault="00E74520">
      <w:pPr>
        <w:tabs>
          <w:tab w:val="left" w:pos="851"/>
          <w:tab w:val="left" w:pos="1418"/>
        </w:tabs>
        <w:ind w:left="567" w:right="-280"/>
        <w:jc w:val="both"/>
        <w:rPr>
          <w:rFonts w:ascii="Palatino Linotype" w:eastAsia="Palatino Linotype" w:hAnsi="Palatino Linotype" w:cs="Palatino Linotype"/>
          <w:sz w:val="22"/>
          <w:szCs w:val="22"/>
        </w:rPr>
      </w:pPr>
    </w:p>
    <w:p w14:paraId="4E0B15AC" w14:textId="77777777" w:rsidR="00E74520" w:rsidRPr="00F92461" w:rsidRDefault="000445B4">
      <w:pPr>
        <w:pBdr>
          <w:top w:val="nil"/>
          <w:left w:val="nil"/>
          <w:bottom w:val="nil"/>
          <w:right w:val="nil"/>
          <w:between w:val="nil"/>
        </w:pBdr>
        <w:tabs>
          <w:tab w:val="left" w:pos="851"/>
          <w:tab w:val="left" w:pos="1418"/>
        </w:tabs>
        <w:ind w:left="567" w:right="-280"/>
        <w:jc w:val="both"/>
        <w:rPr>
          <w:rFonts w:ascii="Palatino Linotype" w:eastAsia="Palatino Linotype" w:hAnsi="Palatino Linotype" w:cs="Palatino Linotype"/>
          <w:b/>
          <w:color w:val="000000"/>
          <w:sz w:val="22"/>
          <w:szCs w:val="22"/>
        </w:rPr>
      </w:pPr>
      <w:r w:rsidRPr="00F92461">
        <w:rPr>
          <w:rFonts w:ascii="Palatino Linotype" w:eastAsia="Palatino Linotype" w:hAnsi="Palatino Linotype" w:cs="Palatino Linotype"/>
          <w:color w:val="000000"/>
          <w:sz w:val="22"/>
          <w:szCs w:val="22"/>
        </w:rPr>
        <w:t>“</w:t>
      </w:r>
      <w:r w:rsidRPr="00F92461">
        <w:rPr>
          <w:rFonts w:ascii="Palatino Linotype" w:eastAsia="Palatino Linotype" w:hAnsi="Palatino Linotype" w:cs="Palatino Linotype"/>
          <w:b/>
          <w:color w:val="000000"/>
          <w:sz w:val="22"/>
          <w:szCs w:val="22"/>
        </w:rPr>
        <w:t xml:space="preserve">Respuesta 01042_24.pd”, </w:t>
      </w:r>
      <w:r w:rsidRPr="00F92461">
        <w:rPr>
          <w:rFonts w:ascii="Palatino Linotype" w:eastAsia="Palatino Linotype" w:hAnsi="Palatino Linotype" w:cs="Palatino Linotype"/>
          <w:color w:val="000000"/>
          <w:sz w:val="22"/>
          <w:szCs w:val="22"/>
        </w:rPr>
        <w:t>del que se desprende el oficio 01042/TOLUCA/IP/2024, de fecha 24 de mayo de 2024, signado por el Titular de la Unidad de Transparencia, constante de 3 páginas de la que se desglosa lo siguiente:</w:t>
      </w:r>
    </w:p>
    <w:p w14:paraId="4E0B15AD" w14:textId="77777777" w:rsidR="00E74520" w:rsidRPr="00F92461" w:rsidRDefault="00E74520">
      <w:pPr>
        <w:tabs>
          <w:tab w:val="left" w:pos="851"/>
          <w:tab w:val="left" w:pos="1418"/>
        </w:tabs>
        <w:ind w:left="567" w:right="-280"/>
        <w:jc w:val="both"/>
        <w:rPr>
          <w:rFonts w:ascii="Palatino Linotype" w:eastAsia="Palatino Linotype" w:hAnsi="Palatino Linotype" w:cs="Palatino Linotype"/>
          <w:b/>
          <w:color w:val="000000"/>
          <w:sz w:val="22"/>
          <w:szCs w:val="22"/>
        </w:rPr>
      </w:pPr>
    </w:p>
    <w:p w14:paraId="4E0B15AE" w14:textId="77777777" w:rsidR="00E74520" w:rsidRPr="00F92461" w:rsidRDefault="000445B4">
      <w:pPr>
        <w:pBdr>
          <w:top w:val="nil"/>
          <w:left w:val="nil"/>
          <w:bottom w:val="nil"/>
          <w:right w:val="nil"/>
          <w:between w:val="nil"/>
        </w:pBdr>
        <w:tabs>
          <w:tab w:val="left" w:pos="851"/>
          <w:tab w:val="left" w:pos="1418"/>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b/>
          <w:i/>
          <w:color w:val="000000"/>
          <w:sz w:val="22"/>
          <w:szCs w:val="22"/>
        </w:rPr>
        <w:t xml:space="preserve">“… </w:t>
      </w:r>
      <w:r w:rsidRPr="00F92461">
        <w:rPr>
          <w:rFonts w:ascii="Palatino Linotype" w:eastAsia="Palatino Linotype" w:hAnsi="Palatino Linotype" w:cs="Palatino Linotype"/>
          <w:i/>
          <w:color w:val="000000"/>
          <w:sz w:val="22"/>
          <w:szCs w:val="22"/>
        </w:rPr>
        <w:t>referente a la planta que se utiliza para las reforestaciones, se indica que se obtiene mediante donaciones realizadas al H. Ayuntamiento de Toluca por la Protectora de Bosques (PROBOSQUE), Fundación Grupo México, compensaciones ambientales y adquisición.</w:t>
      </w:r>
    </w:p>
    <w:p w14:paraId="4E0B15AF" w14:textId="77777777" w:rsidR="00E74520" w:rsidRPr="00F92461" w:rsidRDefault="00E74520">
      <w:pPr>
        <w:pBdr>
          <w:top w:val="nil"/>
          <w:left w:val="nil"/>
          <w:bottom w:val="nil"/>
          <w:right w:val="nil"/>
          <w:between w:val="nil"/>
        </w:pBdr>
        <w:tabs>
          <w:tab w:val="left" w:pos="851"/>
          <w:tab w:val="left" w:pos="1418"/>
        </w:tabs>
        <w:ind w:left="567" w:right="-280"/>
        <w:jc w:val="both"/>
        <w:rPr>
          <w:rFonts w:ascii="Palatino Linotype" w:eastAsia="Palatino Linotype" w:hAnsi="Palatino Linotype" w:cs="Palatino Linotype"/>
          <w:b/>
          <w:i/>
          <w:color w:val="000000"/>
          <w:sz w:val="22"/>
          <w:szCs w:val="22"/>
        </w:rPr>
      </w:pPr>
    </w:p>
    <w:p w14:paraId="4E0B15B0" w14:textId="77777777" w:rsidR="00E74520" w:rsidRPr="00F92461" w:rsidRDefault="000445B4">
      <w:pPr>
        <w:pBdr>
          <w:top w:val="nil"/>
          <w:left w:val="nil"/>
          <w:bottom w:val="nil"/>
          <w:right w:val="nil"/>
          <w:between w:val="nil"/>
        </w:pBdr>
        <w:tabs>
          <w:tab w:val="left" w:pos="851"/>
          <w:tab w:val="left" w:pos="1418"/>
        </w:tabs>
        <w:ind w:left="567" w:right="-280"/>
        <w:jc w:val="both"/>
        <w:rPr>
          <w:rFonts w:ascii="Palatino Linotype" w:eastAsia="Palatino Linotype" w:hAnsi="Palatino Linotype" w:cs="Palatino Linotype"/>
          <w:b/>
          <w:i/>
          <w:color w:val="000000"/>
          <w:sz w:val="22"/>
          <w:szCs w:val="22"/>
        </w:rPr>
      </w:pPr>
      <w:r w:rsidRPr="00F92461">
        <w:rPr>
          <w:rFonts w:ascii="Palatino Linotype" w:eastAsia="Palatino Linotype" w:hAnsi="Palatino Linotype" w:cs="Palatino Linotype"/>
          <w:b/>
          <w:i/>
          <w:color w:val="000000"/>
          <w:sz w:val="22"/>
          <w:szCs w:val="22"/>
        </w:rPr>
        <w:t xml:space="preserve">… </w:t>
      </w:r>
      <w:r w:rsidRPr="00F92461">
        <w:rPr>
          <w:rFonts w:ascii="Palatino Linotype" w:eastAsia="Palatino Linotype" w:hAnsi="Palatino Linotype" w:cs="Palatino Linotype"/>
          <w:i/>
          <w:color w:val="000000"/>
          <w:sz w:val="22"/>
          <w:szCs w:val="22"/>
        </w:rPr>
        <w:t>se indica que los árboles que se plantaron durante el año 2023 mediante jornadas de reforestación que realizó la Dirección General de Medio Ambiente en los siguientes lugares</w:t>
      </w:r>
    </w:p>
    <w:p w14:paraId="4E0B15B1" w14:textId="77777777" w:rsidR="00E74520" w:rsidRPr="00F92461" w:rsidRDefault="00E74520">
      <w:pPr>
        <w:pBdr>
          <w:top w:val="nil"/>
          <w:left w:val="nil"/>
          <w:bottom w:val="nil"/>
          <w:right w:val="nil"/>
          <w:between w:val="nil"/>
        </w:pBdr>
        <w:tabs>
          <w:tab w:val="left" w:pos="851"/>
          <w:tab w:val="left" w:pos="1418"/>
        </w:tabs>
        <w:ind w:left="567" w:right="-280"/>
        <w:jc w:val="both"/>
        <w:rPr>
          <w:rFonts w:ascii="Palatino Linotype" w:eastAsia="Palatino Linotype" w:hAnsi="Palatino Linotype" w:cs="Palatino Linotype"/>
          <w:b/>
          <w:color w:val="000000"/>
          <w:sz w:val="22"/>
          <w:szCs w:val="22"/>
        </w:rPr>
      </w:pPr>
    </w:p>
    <w:p w14:paraId="4E0B15B2" w14:textId="77777777" w:rsidR="00E74520" w:rsidRPr="00F92461" w:rsidRDefault="000445B4">
      <w:pPr>
        <w:numPr>
          <w:ilvl w:val="0"/>
          <w:numId w:val="3"/>
        </w:numPr>
        <w:pBdr>
          <w:top w:val="nil"/>
          <w:left w:val="nil"/>
          <w:bottom w:val="nil"/>
          <w:right w:val="nil"/>
          <w:between w:val="nil"/>
        </w:pBdr>
        <w:tabs>
          <w:tab w:val="left" w:pos="851"/>
          <w:tab w:val="left" w:pos="1418"/>
        </w:tabs>
        <w:ind w:left="567" w:right="-280" w:firstLine="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Reforestación Protección de Flora y Fauna Nevado de Toluca; Delgación Santiago Tlacotepec, </w:t>
      </w:r>
    </w:p>
    <w:p w14:paraId="4E0B15B3" w14:textId="77777777" w:rsidR="00E74520" w:rsidRPr="00F92461" w:rsidRDefault="000445B4">
      <w:pPr>
        <w:numPr>
          <w:ilvl w:val="0"/>
          <w:numId w:val="3"/>
        </w:numPr>
        <w:pBdr>
          <w:top w:val="nil"/>
          <w:left w:val="nil"/>
          <w:bottom w:val="nil"/>
          <w:right w:val="nil"/>
          <w:between w:val="nil"/>
        </w:pBdr>
        <w:tabs>
          <w:tab w:val="left" w:pos="851"/>
          <w:tab w:val="left" w:pos="1418"/>
        </w:tabs>
        <w:ind w:left="567" w:right="-280" w:firstLine="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Parque Estatal Sierra Morelos, Deldegación San Mateo Oxtotitlan, Tecaxic, Barrios Tradicionales y santiago Tlaxomulco, </w:t>
      </w:r>
    </w:p>
    <w:p w14:paraId="4E0B15B4" w14:textId="77777777" w:rsidR="00E74520" w:rsidRPr="00F92461" w:rsidRDefault="000445B4">
      <w:pPr>
        <w:numPr>
          <w:ilvl w:val="0"/>
          <w:numId w:val="3"/>
        </w:numPr>
        <w:pBdr>
          <w:top w:val="nil"/>
          <w:left w:val="nil"/>
          <w:bottom w:val="nil"/>
          <w:right w:val="nil"/>
          <w:between w:val="nil"/>
        </w:pBdr>
        <w:tabs>
          <w:tab w:val="left" w:pos="851"/>
          <w:tab w:val="left" w:pos="1418"/>
        </w:tabs>
        <w:ind w:left="567" w:right="-280" w:firstLine="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Parque Estatal Alameda Poniente San Jose la Pila “Alameda 2000”, Delegación San Buenaventura, </w:t>
      </w:r>
    </w:p>
    <w:p w14:paraId="4E0B15B5" w14:textId="77777777" w:rsidR="00E74520" w:rsidRPr="00F92461" w:rsidRDefault="000445B4">
      <w:pPr>
        <w:numPr>
          <w:ilvl w:val="0"/>
          <w:numId w:val="3"/>
        </w:numPr>
        <w:pBdr>
          <w:top w:val="nil"/>
          <w:left w:val="nil"/>
          <w:bottom w:val="nil"/>
          <w:right w:val="nil"/>
          <w:between w:val="nil"/>
        </w:pBdr>
        <w:tabs>
          <w:tab w:val="left" w:pos="851"/>
          <w:tab w:val="left" w:pos="1418"/>
        </w:tabs>
        <w:ind w:left="567" w:right="-280" w:firstLine="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Arboriza T zona Urbana y Suburbana, Delgaciones Sánchez, la Maquinita, Metropolitana, Seminario Conciliar , Santa María Totoltepec, San Pablo autopan, San Pedro Totoltepec, Independencia, San Buenaventura, Sauces, San Mateo Otzacatipan, indepdencia, Felipe Chávez Becerril, Ciudad Universitaria, San Andrés Cuexcontitlán, San Lorenzo Tepaltitlán, San Mateo </w:t>
      </w:r>
      <w:r w:rsidRPr="00F92461">
        <w:rPr>
          <w:rFonts w:ascii="Palatino Linotype" w:eastAsia="Palatino Linotype" w:hAnsi="Palatino Linotype" w:cs="Palatino Linotype"/>
          <w:i/>
          <w:color w:val="000000"/>
          <w:sz w:val="22"/>
          <w:szCs w:val="22"/>
        </w:rPr>
        <w:lastRenderedPageBreak/>
        <w:t>Oxtotitlán, San Antonio Buenavista, Santa Ana Tlapaltitlán, Centro Historico, Santiago Miltepec;</w:t>
      </w:r>
    </w:p>
    <w:p w14:paraId="4E0B15B6" w14:textId="77777777" w:rsidR="00E74520" w:rsidRPr="00F92461" w:rsidRDefault="000445B4">
      <w:pPr>
        <w:numPr>
          <w:ilvl w:val="0"/>
          <w:numId w:val="3"/>
        </w:numPr>
        <w:pBdr>
          <w:top w:val="nil"/>
          <w:left w:val="nil"/>
          <w:bottom w:val="nil"/>
          <w:right w:val="nil"/>
          <w:between w:val="nil"/>
        </w:pBdr>
        <w:tabs>
          <w:tab w:val="left" w:pos="851"/>
          <w:tab w:val="left" w:pos="1418"/>
        </w:tabs>
        <w:ind w:left="567" w:right="-280" w:firstLine="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Bordos y Rios, Delegaciones San Andrés Cuexcontitlán, San Martin Totoltepec, San Cayetano Morelos; </w:t>
      </w:r>
    </w:p>
    <w:p w14:paraId="4E0B15B7" w14:textId="77777777" w:rsidR="00E74520" w:rsidRPr="00F92461" w:rsidRDefault="000445B4">
      <w:pPr>
        <w:numPr>
          <w:ilvl w:val="0"/>
          <w:numId w:val="3"/>
        </w:numPr>
        <w:pBdr>
          <w:top w:val="nil"/>
          <w:left w:val="nil"/>
          <w:bottom w:val="nil"/>
          <w:right w:val="nil"/>
          <w:between w:val="nil"/>
        </w:pBdr>
        <w:tabs>
          <w:tab w:val="left" w:pos="851"/>
          <w:tab w:val="left" w:pos="1418"/>
        </w:tabs>
        <w:ind w:left="567" w:right="-280" w:firstLine="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Calles y Avenidas de la Delegaciones de San Pedro Totltepec, del Parque, Ciudada Universitaria, San Antonio Buenavista, San Felipe Tlalmimilolpan, San Buenaventura, Universidad, Seminario, Independencia, San Pedro Totoltepec, Sauces, la Maquinita, Santa Ana Tlapaltitlan, la Maquinita, Santa Maria Totoltepec, San Pablo Autopan; </w:t>
      </w:r>
    </w:p>
    <w:p w14:paraId="4E0B15B8" w14:textId="77777777" w:rsidR="00E74520" w:rsidRPr="00F92461" w:rsidRDefault="000445B4">
      <w:pPr>
        <w:numPr>
          <w:ilvl w:val="0"/>
          <w:numId w:val="3"/>
        </w:numPr>
        <w:pBdr>
          <w:top w:val="nil"/>
          <w:left w:val="nil"/>
          <w:bottom w:val="nil"/>
          <w:right w:val="nil"/>
          <w:between w:val="nil"/>
        </w:pBdr>
        <w:tabs>
          <w:tab w:val="left" w:pos="851"/>
          <w:tab w:val="left" w:pos="1418"/>
        </w:tabs>
        <w:ind w:left="567" w:right="-280" w:firstLine="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Jardines Polinizadores, Sánchez San Pablo Autopan, Santiago Tlaxomulco, Colón, Moderna de la Cruz, San Andrés Cuexcontitlán, San Mateo Oxtotitlán Santiago Tlacotepec, Seminario Conciliar, San Mateo Otzacatipan; </w:t>
      </w:r>
    </w:p>
    <w:p w14:paraId="4E0B15B9" w14:textId="77777777" w:rsidR="00E74520" w:rsidRPr="00F92461" w:rsidRDefault="000445B4">
      <w:pPr>
        <w:numPr>
          <w:ilvl w:val="0"/>
          <w:numId w:val="3"/>
        </w:numPr>
        <w:pBdr>
          <w:top w:val="nil"/>
          <w:left w:val="nil"/>
          <w:bottom w:val="nil"/>
          <w:right w:val="nil"/>
          <w:between w:val="nil"/>
        </w:pBdr>
        <w:tabs>
          <w:tab w:val="left" w:pos="851"/>
          <w:tab w:val="left" w:pos="1418"/>
        </w:tabs>
        <w:ind w:left="567" w:right="-280" w:firstLine="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Milpas Agroforestales, San Pablo Autopan, Santiago Tlacotepec, Santa Maria Totoltepec,</w:t>
      </w:r>
    </w:p>
    <w:p w14:paraId="4E0B15BA" w14:textId="77777777" w:rsidR="00E74520" w:rsidRPr="00F92461" w:rsidRDefault="000445B4">
      <w:pPr>
        <w:numPr>
          <w:ilvl w:val="0"/>
          <w:numId w:val="3"/>
        </w:numPr>
        <w:pBdr>
          <w:top w:val="nil"/>
          <w:left w:val="nil"/>
          <w:bottom w:val="nil"/>
          <w:right w:val="nil"/>
          <w:between w:val="nil"/>
        </w:pBdr>
        <w:tabs>
          <w:tab w:val="left" w:pos="851"/>
          <w:tab w:val="left" w:pos="1418"/>
        </w:tabs>
        <w:ind w:left="567" w:right="-280" w:firstLine="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Donaciones, San Cristóbla Huichochitlán, San Pablo Autopán, Santa Ana Tlapaltitlán. Ciudad Universitaria, Cacalomacan, Santiago Tlacotepec, Santa María Tototoltepec, San Martín Toltepec, Tlachaloya, san Mateo Oxtotitlán, Independdencia, San Andrés Cuexcontitlán, Centro Historico, San Lorenzo Tepaltitlán, Tecaxic, San Juan Tilapa, Sauces, San Buenaventura, Calixtlahuaca, Barrios Tradicionales, Parques Nacionales, Morelos, Nueva Oxtotilán, Sánchez, Santa María de las Rosas, Capultitlán, San Buenaventura, San Mateo Otzacatipan, San Antonio Buenavista, Ciudad Universitaria. </w:t>
      </w:r>
    </w:p>
    <w:p w14:paraId="4E0B15BB" w14:textId="77777777" w:rsidR="00E74520" w:rsidRPr="00F92461" w:rsidRDefault="00E74520">
      <w:pPr>
        <w:pBdr>
          <w:top w:val="nil"/>
          <w:left w:val="nil"/>
          <w:bottom w:val="nil"/>
          <w:right w:val="nil"/>
          <w:between w:val="nil"/>
        </w:pBdr>
        <w:tabs>
          <w:tab w:val="left" w:pos="851"/>
          <w:tab w:val="left" w:pos="1418"/>
        </w:tabs>
        <w:ind w:left="567" w:right="-280"/>
        <w:jc w:val="both"/>
        <w:rPr>
          <w:rFonts w:ascii="Palatino Linotype" w:eastAsia="Palatino Linotype" w:hAnsi="Palatino Linotype" w:cs="Palatino Linotype"/>
          <w:b/>
          <w:color w:val="000000"/>
          <w:sz w:val="22"/>
          <w:szCs w:val="22"/>
        </w:rPr>
      </w:pPr>
    </w:p>
    <w:p w14:paraId="4E0B15BC" w14:textId="77777777" w:rsidR="00E74520" w:rsidRPr="00F92461" w:rsidRDefault="000445B4">
      <w:pPr>
        <w:ind w:left="567" w:right="-280"/>
        <w:jc w:val="both"/>
        <w:rPr>
          <w:rFonts w:ascii="Palatino Linotype" w:eastAsia="Palatino Linotype" w:hAnsi="Palatino Linotype" w:cs="Palatino Linotype"/>
          <w:i/>
          <w:sz w:val="22"/>
          <w:szCs w:val="22"/>
        </w:rPr>
      </w:pPr>
      <w:r w:rsidRPr="00F92461">
        <w:rPr>
          <w:rFonts w:ascii="Palatino Linotype" w:eastAsia="Palatino Linotype" w:hAnsi="Palatino Linotype" w:cs="Palatino Linotype"/>
          <w:b/>
          <w:i/>
          <w:sz w:val="22"/>
          <w:szCs w:val="22"/>
        </w:rPr>
        <w:t>“</w:t>
      </w:r>
      <w:r w:rsidRPr="00F92461">
        <w:rPr>
          <w:rFonts w:ascii="Palatino Linotype" w:eastAsia="Palatino Linotype" w:hAnsi="Palatino Linotype" w:cs="Palatino Linotype"/>
          <w:i/>
          <w:sz w:val="22"/>
          <w:szCs w:val="22"/>
        </w:rPr>
        <w:t>Referente al tercer punto su solicitud que a la letrea dice “una foto de cada uno”… (Sic). Se informa que no se cuenta con la información solicitada, ya que no existe precepto legal que determine la obligatoriedad de contar con fotos de cada árbol como lo requiere la ahora solicitante, sin embargo, se adjunta únicamente las fotografías con las que cuenta esta área administrativa “Anexo 1”…</w:t>
      </w:r>
    </w:p>
    <w:p w14:paraId="4E0B15BD" w14:textId="77777777" w:rsidR="00E74520" w:rsidRPr="00F92461" w:rsidRDefault="00E74520">
      <w:pPr>
        <w:ind w:left="567" w:right="-280"/>
        <w:jc w:val="both"/>
        <w:rPr>
          <w:rFonts w:ascii="Palatino Linotype" w:eastAsia="Palatino Linotype" w:hAnsi="Palatino Linotype" w:cs="Palatino Linotype"/>
          <w:i/>
          <w:sz w:val="22"/>
          <w:szCs w:val="22"/>
        </w:rPr>
      </w:pPr>
    </w:p>
    <w:p w14:paraId="4E0B15BE" w14:textId="77777777" w:rsidR="00E74520" w:rsidRPr="00F92461" w:rsidRDefault="000445B4">
      <w:pPr>
        <w:ind w:left="567" w:right="-280"/>
        <w:jc w:val="both"/>
        <w:rPr>
          <w:rFonts w:ascii="Palatino Linotype" w:eastAsia="Palatino Linotype" w:hAnsi="Palatino Linotype" w:cs="Palatino Linotype"/>
          <w:i/>
          <w:sz w:val="22"/>
          <w:szCs w:val="22"/>
        </w:rPr>
      </w:pPr>
      <w:r w:rsidRPr="00F92461">
        <w:rPr>
          <w:rFonts w:ascii="Palatino Linotype" w:eastAsia="Palatino Linotype" w:hAnsi="Palatino Linotype" w:cs="Palatino Linotype"/>
          <w:i/>
          <w:sz w:val="22"/>
          <w:szCs w:val="22"/>
        </w:rPr>
        <w:t>Se informa… que durante el año 2023 se plantaron 147,675 árboles, en zona urbana y suburbana se plantaron 89,689 plantas y árboles, la supervivencia de dichos árboles es un promedio de 70%.</w:t>
      </w:r>
    </w:p>
    <w:p w14:paraId="4E0B15BF" w14:textId="77777777" w:rsidR="00E74520" w:rsidRPr="00F92461" w:rsidRDefault="00E74520">
      <w:pPr>
        <w:ind w:left="567" w:right="-280"/>
        <w:jc w:val="both"/>
        <w:rPr>
          <w:rFonts w:ascii="Palatino Linotype" w:eastAsia="Palatino Linotype" w:hAnsi="Palatino Linotype" w:cs="Palatino Linotype"/>
          <w:i/>
          <w:sz w:val="22"/>
          <w:szCs w:val="22"/>
        </w:rPr>
      </w:pPr>
    </w:p>
    <w:p w14:paraId="4E0B15C0" w14:textId="77777777" w:rsidR="00E74520" w:rsidRPr="00F92461" w:rsidRDefault="000445B4">
      <w:pPr>
        <w:ind w:left="567" w:right="-280"/>
        <w:jc w:val="both"/>
        <w:rPr>
          <w:rFonts w:ascii="Palatino Linotype" w:eastAsia="Palatino Linotype" w:hAnsi="Palatino Linotype" w:cs="Palatino Linotype"/>
          <w:i/>
          <w:sz w:val="22"/>
          <w:szCs w:val="22"/>
        </w:rPr>
      </w:pPr>
      <w:r w:rsidRPr="00F92461">
        <w:rPr>
          <w:rFonts w:ascii="Palatino Linotype" w:eastAsia="Palatino Linotype" w:hAnsi="Palatino Linotype" w:cs="Palatino Linotype"/>
          <w:i/>
          <w:sz w:val="22"/>
          <w:szCs w:val="22"/>
        </w:rPr>
        <w:t>(…)</w:t>
      </w:r>
    </w:p>
    <w:p w14:paraId="4E0B15C1" w14:textId="77777777" w:rsidR="00E74520" w:rsidRPr="00F92461" w:rsidRDefault="000445B4">
      <w:pPr>
        <w:ind w:left="567" w:right="-280"/>
        <w:jc w:val="both"/>
        <w:rPr>
          <w:rFonts w:ascii="Palatino Linotype" w:eastAsia="Palatino Linotype" w:hAnsi="Palatino Linotype" w:cs="Palatino Linotype"/>
          <w:i/>
          <w:sz w:val="22"/>
          <w:szCs w:val="22"/>
        </w:rPr>
      </w:pPr>
      <w:r w:rsidRPr="00F92461">
        <w:rPr>
          <w:rFonts w:ascii="Palatino Linotype" w:eastAsia="Palatino Linotype" w:hAnsi="Palatino Linotype" w:cs="Palatino Linotype"/>
          <w:i/>
          <w:sz w:val="22"/>
          <w:szCs w:val="22"/>
        </w:rPr>
        <w:t>se informa que el mantenimiento que se les brinda a los individuos arbóreos para brindarles una mayor sobrevivencia se hace en la función de las siguientes actividades:</w:t>
      </w:r>
    </w:p>
    <w:p w14:paraId="4E0B15C2" w14:textId="77777777" w:rsidR="00E74520" w:rsidRPr="00F92461" w:rsidRDefault="000445B4">
      <w:pPr>
        <w:numPr>
          <w:ilvl w:val="0"/>
          <w:numId w:val="4"/>
        </w:numPr>
        <w:pBdr>
          <w:top w:val="nil"/>
          <w:left w:val="nil"/>
          <w:bottom w:val="nil"/>
          <w:right w:val="nil"/>
          <w:between w:val="nil"/>
        </w:pBdr>
        <w:ind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Riego de Auxilio al arbolado de reciente plantación</w:t>
      </w:r>
    </w:p>
    <w:p w14:paraId="4E0B15C3" w14:textId="77777777" w:rsidR="00E74520" w:rsidRPr="00F92461" w:rsidRDefault="000445B4">
      <w:pPr>
        <w:numPr>
          <w:ilvl w:val="0"/>
          <w:numId w:val="4"/>
        </w:numPr>
        <w:pBdr>
          <w:top w:val="nil"/>
          <w:left w:val="nil"/>
          <w:bottom w:val="nil"/>
          <w:right w:val="nil"/>
          <w:between w:val="nil"/>
        </w:pBdr>
        <w:ind w:left="566" w:right="-280" w:firstLine="425"/>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lastRenderedPageBreak/>
        <w:t>Rehabilitación de cajetes para permitir la infiltración del agua</w:t>
      </w:r>
    </w:p>
    <w:p w14:paraId="4E0B15C4" w14:textId="77777777" w:rsidR="00E74520" w:rsidRPr="00F92461" w:rsidRDefault="000445B4">
      <w:pPr>
        <w:numPr>
          <w:ilvl w:val="0"/>
          <w:numId w:val="4"/>
        </w:numPr>
        <w:pBdr>
          <w:top w:val="nil"/>
          <w:left w:val="nil"/>
          <w:bottom w:val="nil"/>
          <w:right w:val="nil"/>
          <w:between w:val="nil"/>
        </w:pBdr>
        <w:ind w:left="567" w:right="-280" w:firstLine="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Aplicación de composta para fortalecer el arbolado</w:t>
      </w:r>
    </w:p>
    <w:p w14:paraId="4E0B15C5" w14:textId="77777777" w:rsidR="00E74520" w:rsidRPr="00F92461" w:rsidRDefault="000445B4">
      <w:pPr>
        <w:ind w:left="567" w:right="-280"/>
        <w:jc w:val="both"/>
        <w:rPr>
          <w:rFonts w:ascii="Palatino Linotype" w:eastAsia="Palatino Linotype" w:hAnsi="Palatino Linotype" w:cs="Palatino Linotype"/>
          <w:b/>
          <w:i/>
          <w:sz w:val="22"/>
          <w:szCs w:val="22"/>
        </w:rPr>
      </w:pPr>
      <w:r w:rsidRPr="00F92461">
        <w:rPr>
          <w:rFonts w:ascii="Palatino Linotype" w:eastAsia="Palatino Linotype" w:hAnsi="Palatino Linotype" w:cs="Palatino Linotype"/>
          <w:i/>
          <w:sz w:val="22"/>
          <w:szCs w:val="22"/>
        </w:rPr>
        <w:t>…” (Sic)</w:t>
      </w:r>
    </w:p>
    <w:p w14:paraId="4E0B15C6" w14:textId="77777777" w:rsidR="00E74520" w:rsidRPr="00F92461" w:rsidRDefault="00E74520">
      <w:pPr>
        <w:ind w:right="-847"/>
        <w:jc w:val="both"/>
        <w:rPr>
          <w:rFonts w:ascii="Palatino Linotype" w:eastAsia="Palatino Linotype" w:hAnsi="Palatino Linotype" w:cs="Palatino Linotype"/>
          <w:b/>
          <w:i/>
        </w:rPr>
      </w:pPr>
    </w:p>
    <w:p w14:paraId="4E0B15C7"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bookmarkStart w:id="1" w:name="_heading=h.30j0zll" w:colFirst="0" w:colLast="0"/>
      <w:bookmarkEnd w:id="1"/>
      <w:r w:rsidRPr="00F92461">
        <w:rPr>
          <w:rFonts w:ascii="Palatino Linotype" w:eastAsia="Palatino Linotype" w:hAnsi="Palatino Linotype" w:cs="Palatino Linotype"/>
          <w:color w:val="000000"/>
        </w:rPr>
        <w:t>El veintiocho de mayo de dos mil veinticuatro, se interpuso el recurso de revisión, en contra de la respuesta, señalando como:</w:t>
      </w:r>
    </w:p>
    <w:p w14:paraId="4E0B15C8" w14:textId="77777777" w:rsidR="00E74520" w:rsidRPr="00F92461" w:rsidRDefault="000445B4">
      <w:pPr>
        <w:numPr>
          <w:ilvl w:val="0"/>
          <w:numId w:val="9"/>
        </w:numPr>
        <w:pBdr>
          <w:top w:val="nil"/>
          <w:left w:val="nil"/>
          <w:bottom w:val="nil"/>
          <w:right w:val="nil"/>
          <w:between w:val="nil"/>
        </w:pBdr>
        <w:tabs>
          <w:tab w:val="left" w:pos="426"/>
          <w:tab w:val="left" w:pos="567"/>
        </w:tabs>
        <w:ind w:right="-280"/>
        <w:jc w:val="both"/>
        <w:rPr>
          <w:rFonts w:ascii="Palatino Linotype" w:eastAsia="Palatino Linotype" w:hAnsi="Palatino Linotype" w:cs="Palatino Linotype"/>
          <w:b/>
          <w:color w:val="000000"/>
          <w:sz w:val="22"/>
          <w:szCs w:val="22"/>
        </w:rPr>
      </w:pPr>
      <w:r w:rsidRPr="00F92461">
        <w:rPr>
          <w:rFonts w:ascii="Palatino Linotype" w:eastAsia="Palatino Linotype" w:hAnsi="Palatino Linotype" w:cs="Palatino Linotype"/>
          <w:b/>
          <w:color w:val="000000"/>
          <w:sz w:val="22"/>
          <w:szCs w:val="22"/>
        </w:rPr>
        <w:t>Acto Impugnado:</w:t>
      </w:r>
    </w:p>
    <w:p w14:paraId="4E0B15C9" w14:textId="77777777" w:rsidR="00E74520" w:rsidRPr="00F92461" w:rsidRDefault="000445B4">
      <w:pPr>
        <w:pBdr>
          <w:top w:val="nil"/>
          <w:left w:val="nil"/>
          <w:bottom w:val="nil"/>
          <w:right w:val="nil"/>
          <w:between w:val="nil"/>
        </w:pBdr>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“respuesta a mi solicitud de informacion” (Sic)</w:t>
      </w:r>
    </w:p>
    <w:p w14:paraId="4E0B15CA" w14:textId="77777777" w:rsidR="00E74520" w:rsidRPr="00F92461" w:rsidRDefault="000445B4">
      <w:pPr>
        <w:numPr>
          <w:ilvl w:val="0"/>
          <w:numId w:val="1"/>
        </w:numPr>
        <w:pBdr>
          <w:top w:val="nil"/>
          <w:left w:val="nil"/>
          <w:bottom w:val="nil"/>
          <w:right w:val="nil"/>
          <w:between w:val="nil"/>
        </w:pBdr>
        <w:ind w:right="-280"/>
        <w:jc w:val="both"/>
        <w:rPr>
          <w:rFonts w:ascii="Palatino Linotype" w:eastAsia="Palatino Linotype" w:hAnsi="Palatino Linotype" w:cs="Palatino Linotype"/>
          <w:b/>
          <w:color w:val="000000"/>
          <w:sz w:val="22"/>
          <w:szCs w:val="22"/>
        </w:rPr>
      </w:pPr>
      <w:r w:rsidRPr="00F92461">
        <w:rPr>
          <w:rFonts w:ascii="Palatino Linotype" w:eastAsia="Palatino Linotype" w:hAnsi="Palatino Linotype" w:cs="Palatino Linotype"/>
          <w:b/>
          <w:color w:val="000000"/>
          <w:sz w:val="22"/>
          <w:szCs w:val="22"/>
        </w:rPr>
        <w:t>Razones o Motivos de Inconformidad:</w:t>
      </w:r>
    </w:p>
    <w:p w14:paraId="4E0B15CB" w14:textId="77777777" w:rsidR="00E74520" w:rsidRPr="00F92461" w:rsidRDefault="000445B4">
      <w:pPr>
        <w:pBdr>
          <w:top w:val="nil"/>
          <w:left w:val="nil"/>
          <w:bottom w:val="nil"/>
          <w:right w:val="nil"/>
          <w:between w:val="nil"/>
        </w:pBdr>
        <w:ind w:left="567" w:right="-280"/>
        <w:jc w:val="both"/>
        <w:rPr>
          <w:rFonts w:ascii="Palatino Linotype" w:eastAsia="Palatino Linotype" w:hAnsi="Palatino Linotype" w:cs="Palatino Linotype"/>
          <w:i/>
          <w:color w:val="000000"/>
        </w:rPr>
      </w:pPr>
      <w:r w:rsidRPr="00F92461">
        <w:rPr>
          <w:rFonts w:ascii="Palatino Linotype" w:eastAsia="Palatino Linotype" w:hAnsi="Palatino Linotype" w:cs="Palatino Linotype"/>
          <w:i/>
          <w:color w:val="000000"/>
          <w:sz w:val="22"/>
          <w:szCs w:val="22"/>
        </w:rPr>
        <w:t>“presento este recurso por que no me dan la informacion que pedi, primero por que no me dicen completamente y claro de donde viene cada àrbol s</w:t>
      </w:r>
      <w:bookmarkStart w:id="2" w:name="_GoBack"/>
      <w:bookmarkEnd w:id="2"/>
      <w:r w:rsidRPr="00F92461">
        <w:rPr>
          <w:rFonts w:ascii="Palatino Linotype" w:eastAsia="Palatino Linotype" w:hAnsi="Palatino Linotype" w:cs="Palatino Linotype"/>
          <w:i/>
          <w:color w:val="000000"/>
          <w:sz w:val="22"/>
          <w:szCs w:val="22"/>
        </w:rPr>
        <w:t>i no que solo dicen de donde pero no me informan o me dan un listado con lo que pido. en segundo lugar no me dicen donde esta plaantado cada àrbol y solo me dicen los lugares y su manual de organizacion dice que deben tener la ubicacion fisico georeferenciada de cada uno de ellos y tampoco dicen cuantos fueron plantados en cada lugar. en tercerlugar dicen un porcentaje y no la cantidad que pedi. (Sic</w:t>
      </w:r>
      <w:r w:rsidRPr="00F92461">
        <w:rPr>
          <w:rFonts w:ascii="Palatino Linotype" w:eastAsia="Palatino Linotype" w:hAnsi="Palatino Linotype" w:cs="Palatino Linotype"/>
          <w:i/>
          <w:color w:val="000000"/>
        </w:rPr>
        <w:t>)</w:t>
      </w:r>
    </w:p>
    <w:p w14:paraId="4E0B15CC" w14:textId="77777777" w:rsidR="00E74520" w:rsidRPr="00F92461" w:rsidRDefault="00E74520">
      <w:pPr>
        <w:pBdr>
          <w:top w:val="nil"/>
          <w:left w:val="nil"/>
          <w:bottom w:val="nil"/>
          <w:right w:val="nil"/>
          <w:between w:val="nil"/>
        </w:pBdr>
        <w:ind w:right="-847"/>
        <w:rPr>
          <w:rFonts w:ascii="Palatino Linotype" w:eastAsia="Palatino Linotype" w:hAnsi="Palatino Linotype" w:cs="Palatino Linotype"/>
          <w:i/>
          <w:color w:val="000000"/>
        </w:rPr>
      </w:pPr>
    </w:p>
    <w:p w14:paraId="4E0B15CD"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del treinta de mayo de dos mil veinticuatro, puso a disposición de las partes el expediente electrónico vía Sistema de Acceso a la Información Mexiquense </w:t>
      </w:r>
      <w:r w:rsidRPr="00F92461">
        <w:rPr>
          <w:rFonts w:ascii="Palatino Linotype" w:eastAsia="Palatino Linotype" w:hAnsi="Palatino Linotype" w:cs="Palatino Linotype"/>
          <w:b/>
          <w:color w:val="000000"/>
        </w:rPr>
        <w:t xml:space="preserve">SAIMEX, </w:t>
      </w:r>
      <w:r w:rsidRPr="00F92461">
        <w:rPr>
          <w:rFonts w:ascii="Palatino Linotype" w:eastAsia="Palatino Linotype" w:hAnsi="Palatino Linotype" w:cs="Palatino Linotype"/>
          <w:color w:val="000000"/>
        </w:rPr>
        <w:t xml:space="preserve">a efecto de que en un plazo máximo de siete días </w:t>
      </w:r>
      <w:r w:rsidRPr="00F92461">
        <w:rPr>
          <w:rFonts w:ascii="Palatino Linotype" w:eastAsia="Palatino Linotype" w:hAnsi="Palatino Linotype" w:cs="Palatino Linotype"/>
        </w:rPr>
        <w:t>manifestara</w:t>
      </w:r>
      <w:r w:rsidRPr="00F92461">
        <w:rPr>
          <w:rFonts w:ascii="Palatino Linotype" w:eastAsia="Palatino Linotype" w:hAnsi="Palatino Linotype" w:cs="Palatino Linotype"/>
          <w:color w:val="000000"/>
        </w:rPr>
        <w:t xml:space="preserve"> lo que a su derecho conviniera, </w:t>
      </w:r>
      <w:r w:rsidRPr="00F92461">
        <w:rPr>
          <w:rFonts w:ascii="Palatino Linotype" w:eastAsia="Palatino Linotype" w:hAnsi="Palatino Linotype" w:cs="Palatino Linotype"/>
        </w:rPr>
        <w:t>ofreciera</w:t>
      </w:r>
      <w:r w:rsidRPr="00F92461">
        <w:rPr>
          <w:rFonts w:ascii="Palatino Linotype" w:eastAsia="Palatino Linotype" w:hAnsi="Palatino Linotype" w:cs="Palatino Linotype"/>
          <w:color w:val="000000"/>
        </w:rPr>
        <w:t xml:space="preserve"> pruebas y alegatos según corresponda, de esta forma para que 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presentará el Informe Justificado procedente.</w:t>
      </w:r>
    </w:p>
    <w:p w14:paraId="4E0B15CE"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5CF"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r w:rsidRPr="00F92461">
        <w:rPr>
          <w:rFonts w:ascii="Palatino Linotype" w:eastAsia="Palatino Linotype" w:hAnsi="Palatino Linotype" w:cs="Palatino Linotype"/>
          <w:color w:val="000000"/>
        </w:rPr>
        <w:t xml:space="preserve">El diez de junio de dos mil veinticuatro, 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rindió el informe justificado correspondiente, por medio del archivo electrónico denominado </w:t>
      </w:r>
      <w:r w:rsidRPr="00F92461">
        <w:rPr>
          <w:rFonts w:ascii="Palatino Linotype" w:eastAsia="Palatino Linotype" w:hAnsi="Palatino Linotype" w:cs="Palatino Linotype"/>
          <w:b/>
          <w:color w:val="000000"/>
        </w:rPr>
        <w:t xml:space="preserve">“3333.pdf”, </w:t>
      </w:r>
      <w:r w:rsidRPr="00F92461">
        <w:rPr>
          <w:rFonts w:ascii="Palatino Linotype" w:eastAsia="Palatino Linotype" w:hAnsi="Palatino Linotype" w:cs="Palatino Linotype"/>
          <w:color w:val="000000"/>
        </w:rPr>
        <w:lastRenderedPageBreak/>
        <w:t xml:space="preserve">consistente en un oficio suscrito por la Titular de la Unidad de Transparencia; a través de los cuales, </w:t>
      </w:r>
      <w:r w:rsidRPr="00F92461">
        <w:rPr>
          <w:rFonts w:ascii="Palatino Linotype" w:eastAsia="Palatino Linotype" w:hAnsi="Palatino Linotype" w:cs="Palatino Linotype"/>
          <w:b/>
          <w:color w:val="000000"/>
        </w:rPr>
        <w:t>ratificó la respuesta.</w:t>
      </w:r>
    </w:p>
    <w:p w14:paraId="4E0B15D0" w14:textId="77777777" w:rsidR="00E74520" w:rsidRPr="00F92461" w:rsidRDefault="00E74520">
      <w:pPr>
        <w:ind w:right="-847"/>
        <w:rPr>
          <w:rFonts w:ascii="Palatino Linotype" w:eastAsia="Palatino Linotype" w:hAnsi="Palatino Linotype" w:cs="Palatino Linotype"/>
          <w:b/>
          <w:i/>
          <w:color w:val="000000"/>
        </w:rPr>
      </w:pPr>
    </w:p>
    <w:p w14:paraId="4E0B15D1"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r w:rsidRPr="00F92461">
        <w:rPr>
          <w:rFonts w:ascii="Palatino Linotype" w:eastAsia="Palatino Linotype" w:hAnsi="Palatino Linotype" w:cs="Palatino Linotype"/>
          <w:color w:val="000000"/>
        </w:rPr>
        <w:t xml:space="preserve">Por su parte, el </w:t>
      </w:r>
      <w:r w:rsidRPr="00F92461">
        <w:rPr>
          <w:rFonts w:ascii="Palatino Linotype" w:eastAsia="Palatino Linotype" w:hAnsi="Palatino Linotype" w:cs="Palatino Linotype"/>
          <w:b/>
          <w:color w:val="000000"/>
        </w:rPr>
        <w:t>RECURRENTE</w:t>
      </w:r>
      <w:r w:rsidRPr="00F92461">
        <w:rPr>
          <w:rFonts w:ascii="Palatino Linotype" w:eastAsia="Palatino Linotype" w:hAnsi="Palatino Linotype" w:cs="Palatino Linotype"/>
          <w:color w:val="000000"/>
        </w:rPr>
        <w:t xml:space="preserve"> no presentó pruebas o alegatos que a su derecho convinieran.</w:t>
      </w:r>
    </w:p>
    <w:p w14:paraId="4E0B15D2" w14:textId="77777777" w:rsidR="00E74520" w:rsidRPr="00F92461" w:rsidRDefault="00E74520">
      <w:pPr>
        <w:ind w:right="-847"/>
        <w:rPr>
          <w:rFonts w:ascii="Palatino Linotype" w:eastAsia="Palatino Linotype" w:hAnsi="Palatino Linotype" w:cs="Palatino Linotype"/>
        </w:rPr>
      </w:pPr>
    </w:p>
    <w:p w14:paraId="4E0B15D3"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r w:rsidRPr="00F92461">
        <w:rPr>
          <w:rFonts w:ascii="Palatino Linotype" w:eastAsia="Palatino Linotype" w:hAnsi="Palatino Linotype" w:cs="Palatino Linotype"/>
          <w:color w:val="000000"/>
        </w:rPr>
        <w:t>El veinticinco de febrero de dos mil veinticuatro, se notificó el acuerdo mediante el cual se amplió el plazo para emitir resolución por un término de 15 días adicionales.</w:t>
      </w:r>
    </w:p>
    <w:p w14:paraId="4E0B15D4" w14:textId="77777777" w:rsidR="00E74520" w:rsidRPr="00F92461" w:rsidRDefault="00E74520">
      <w:pPr>
        <w:ind w:right="-847"/>
        <w:rPr>
          <w:rFonts w:ascii="Palatino Linotype" w:eastAsia="Palatino Linotype" w:hAnsi="Palatino Linotype" w:cs="Palatino Linotype"/>
        </w:rPr>
      </w:pPr>
    </w:p>
    <w:p w14:paraId="4E0B15D5"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r w:rsidRPr="00F92461">
        <w:rPr>
          <w:rFonts w:ascii="Palatino Linotype" w:eastAsia="Palatino Linotype" w:hAnsi="Palatino Linotype" w:cs="Palatino Linotype"/>
          <w:color w:val="000000"/>
        </w:rPr>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E0B15D6" w14:textId="77777777" w:rsidR="00E74520" w:rsidRPr="00F92461" w:rsidRDefault="00E74520">
      <w:pPr>
        <w:ind w:right="-847"/>
        <w:rPr>
          <w:rFonts w:ascii="Palatino Linotype" w:eastAsia="Palatino Linotype" w:hAnsi="Palatino Linotype" w:cs="Palatino Linotype"/>
        </w:rPr>
      </w:pPr>
    </w:p>
    <w:p w14:paraId="4E0B15D7"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r w:rsidRPr="00F92461">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E0B15D8" w14:textId="77777777" w:rsidR="00E74520" w:rsidRPr="00F92461" w:rsidRDefault="00E74520">
      <w:pPr>
        <w:ind w:right="-847"/>
        <w:rPr>
          <w:rFonts w:ascii="Palatino Linotype" w:eastAsia="Palatino Linotype" w:hAnsi="Palatino Linotype" w:cs="Palatino Linotype"/>
        </w:rPr>
      </w:pPr>
    </w:p>
    <w:p w14:paraId="4E0B15D9"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r w:rsidRPr="00F92461">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E0B15DA" w14:textId="77777777" w:rsidR="00E74520" w:rsidRPr="00F92461" w:rsidRDefault="00E74520">
      <w:pPr>
        <w:ind w:right="-847"/>
        <w:rPr>
          <w:rFonts w:ascii="Palatino Linotype" w:eastAsia="Palatino Linotype" w:hAnsi="Palatino Linotype" w:cs="Palatino Linotype"/>
        </w:rPr>
      </w:pPr>
    </w:p>
    <w:p w14:paraId="4E0B15DB"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r w:rsidRPr="00F92461">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E0B15DC" w14:textId="77777777" w:rsidR="00E74520" w:rsidRPr="00F92461" w:rsidRDefault="00E74520">
      <w:pPr>
        <w:ind w:right="-847"/>
        <w:rPr>
          <w:rFonts w:ascii="Palatino Linotype" w:eastAsia="Palatino Linotype" w:hAnsi="Palatino Linotype" w:cs="Palatino Linotype"/>
        </w:rPr>
      </w:pPr>
    </w:p>
    <w:p w14:paraId="4E0B15DD"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r w:rsidRPr="00F92461">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14:paraId="4E0B15DE" w14:textId="77777777" w:rsidR="00E74520" w:rsidRPr="00F92461" w:rsidRDefault="000445B4">
      <w:pPr>
        <w:pBdr>
          <w:top w:val="nil"/>
          <w:left w:val="nil"/>
          <w:bottom w:val="nil"/>
          <w:right w:val="nil"/>
          <w:between w:val="nil"/>
        </w:pBdr>
        <w:ind w:left="567" w:right="-280"/>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14:paraId="4E0B15DF" w14:textId="77777777" w:rsidR="00E74520" w:rsidRPr="00F92461" w:rsidRDefault="000445B4">
      <w:pPr>
        <w:pBdr>
          <w:top w:val="nil"/>
          <w:left w:val="nil"/>
          <w:bottom w:val="nil"/>
          <w:right w:val="nil"/>
          <w:between w:val="nil"/>
        </w:pBdr>
        <w:ind w:left="567" w:right="-280"/>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b) Actividad Procesal del interesado: Acciones u omisiones del interesado.</w:t>
      </w:r>
    </w:p>
    <w:p w14:paraId="4E0B15E0" w14:textId="77777777" w:rsidR="00E74520" w:rsidRPr="00F92461" w:rsidRDefault="000445B4">
      <w:pPr>
        <w:pBdr>
          <w:top w:val="nil"/>
          <w:left w:val="nil"/>
          <w:bottom w:val="nil"/>
          <w:right w:val="nil"/>
          <w:between w:val="nil"/>
        </w:pBdr>
        <w:ind w:left="567" w:right="-280"/>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14:paraId="4E0B15E1" w14:textId="77777777" w:rsidR="00E74520" w:rsidRPr="00F92461" w:rsidRDefault="000445B4">
      <w:pPr>
        <w:pBdr>
          <w:top w:val="nil"/>
          <w:left w:val="nil"/>
          <w:bottom w:val="nil"/>
          <w:right w:val="nil"/>
          <w:between w:val="nil"/>
        </w:pBdr>
        <w:ind w:left="567" w:right="-280"/>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14:paraId="4E0B15E2"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b/>
          <w:i/>
          <w:color w:val="000000"/>
        </w:rPr>
      </w:pPr>
    </w:p>
    <w:p w14:paraId="4E0B15E3"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r w:rsidRPr="00F92461">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E0B15E4"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b/>
          <w:i/>
          <w:color w:val="000000"/>
        </w:rPr>
      </w:pPr>
    </w:p>
    <w:p w14:paraId="4E0B15E5"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r w:rsidRPr="00F92461">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sidRPr="00F92461">
        <w:rPr>
          <w:rFonts w:ascii="Palatino Linotype" w:eastAsia="Palatino Linotype" w:hAnsi="Palatino Linotype" w:cs="Palatino Linotype"/>
        </w:rPr>
        <w:t>del rubro</w:t>
      </w:r>
      <w:r w:rsidRPr="00F92461">
        <w:rPr>
          <w:rFonts w:ascii="Palatino Linotype" w:eastAsia="Palatino Linotype" w:hAnsi="Palatino Linotype" w:cs="Palatino Linotype"/>
          <w:color w:val="000000"/>
        </w:rPr>
        <w:t xml:space="preserve"> “TÉRMINOS PROCESALES. PARA </w:t>
      </w:r>
      <w:r w:rsidRPr="00F92461">
        <w:rPr>
          <w:rFonts w:ascii="Palatino Linotype" w:eastAsia="Palatino Linotype" w:hAnsi="Palatino Linotype" w:cs="Palatino Linotype"/>
          <w:color w:val="000000"/>
        </w:rPr>
        <w:lastRenderedPageBreak/>
        <w:t xml:space="preserve">DETERMINAR SI UN FUNCIONARIO JUDICIAL ACTUÓ INDEBIDAMENTE POR NO RESPETARLOS SE DEBE ATENDER AL PRESUPUESTO QUE CONSIDERÓ EL LEGISLADOR AL FIJARLOS Y LAS CARACTERÍSTICAS DEL CASO.”, visible en la Gaceta del </w:t>
      </w:r>
      <w:r w:rsidRPr="00F92461">
        <w:rPr>
          <w:rFonts w:ascii="Palatino Linotype" w:eastAsia="Palatino Linotype" w:hAnsi="Palatino Linotype" w:cs="Palatino Linotype"/>
        </w:rPr>
        <w:t>Semanario</w:t>
      </w:r>
      <w:r w:rsidRPr="00F92461">
        <w:rPr>
          <w:rFonts w:ascii="Palatino Linotype" w:eastAsia="Palatino Linotype" w:hAnsi="Palatino Linotype" w:cs="Palatino Linotype"/>
          <w:color w:val="000000"/>
        </w:rPr>
        <w:t xml:space="preserve"> Judicial de la Federación con el registro digital 205635.</w:t>
      </w:r>
    </w:p>
    <w:p w14:paraId="4E0B15E6" w14:textId="77777777" w:rsidR="00E74520" w:rsidRPr="00F92461" w:rsidRDefault="00E74520">
      <w:pPr>
        <w:ind w:right="-847"/>
        <w:rPr>
          <w:rFonts w:ascii="Palatino Linotype" w:eastAsia="Palatino Linotype" w:hAnsi="Palatino Linotype" w:cs="Palatino Linotype"/>
        </w:rPr>
      </w:pPr>
    </w:p>
    <w:p w14:paraId="4E0B15E7"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r w:rsidRPr="00F92461">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E0B15E8" w14:textId="77777777" w:rsidR="00E74520" w:rsidRPr="00F92461" w:rsidRDefault="00E74520">
      <w:pPr>
        <w:ind w:right="-847"/>
        <w:rPr>
          <w:rFonts w:ascii="Palatino Linotype" w:eastAsia="Palatino Linotype" w:hAnsi="Palatino Linotype" w:cs="Palatino Linotype"/>
        </w:rPr>
      </w:pPr>
    </w:p>
    <w:p w14:paraId="4E0B15E9"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r w:rsidRPr="00F92461">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4E0B15EA" w14:textId="77777777" w:rsidR="00E74520" w:rsidRPr="00F92461" w:rsidRDefault="000445B4">
      <w:pPr>
        <w:tabs>
          <w:tab w:val="left" w:pos="8364"/>
        </w:tabs>
        <w:spacing w:before="240" w:after="240"/>
        <w:ind w:left="567" w:right="-280"/>
        <w:jc w:val="both"/>
        <w:rPr>
          <w:rFonts w:ascii="Palatino Linotype" w:eastAsia="Palatino Linotype" w:hAnsi="Palatino Linotype" w:cs="Palatino Linotype"/>
          <w:sz w:val="22"/>
          <w:szCs w:val="22"/>
        </w:rPr>
      </w:pPr>
      <w:r w:rsidRPr="00F92461">
        <w:rPr>
          <w:rFonts w:ascii="Palatino Linotype" w:eastAsia="Palatino Linotype" w:hAnsi="Palatino Linotype" w:cs="Palatino Linotype"/>
          <w:sz w:val="22"/>
          <w:szCs w:val="22"/>
        </w:rPr>
        <w:t>“PLAZO RAZONABLE PARA RESOLVER. DIMENSIÓN Y EFECTOS DE ESTE CONCEPTO CUANDO SE ADUCE EXCESIVA CARGA DE TRABAJO.” consultable en el Seminario Judicial de la Federación y su gaceta, con el registro digital 2002351.</w:t>
      </w:r>
    </w:p>
    <w:p w14:paraId="4E0B15EB" w14:textId="77777777" w:rsidR="00E74520" w:rsidRPr="00F92461" w:rsidRDefault="000445B4">
      <w:pPr>
        <w:pBdr>
          <w:top w:val="nil"/>
          <w:left w:val="nil"/>
          <w:bottom w:val="nil"/>
          <w:right w:val="nil"/>
          <w:between w:val="nil"/>
        </w:pBdr>
        <w:tabs>
          <w:tab w:val="left" w:pos="8364"/>
        </w:tabs>
        <w:spacing w:before="240"/>
        <w:ind w:left="567" w:right="-280"/>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 xml:space="preserve">“PLAZO RAZONABLE PARA RESOLVER. CONCEPTO Y ELEMENTOS QUE LO INTEGRAN A LA LUZ DEL DERECHO INTERNACIONAL DE LOS DERECHOS </w:t>
      </w:r>
      <w:r w:rsidRPr="00F92461">
        <w:rPr>
          <w:rFonts w:ascii="Palatino Linotype" w:eastAsia="Palatino Linotype" w:hAnsi="Palatino Linotype" w:cs="Palatino Linotype"/>
          <w:color w:val="000000"/>
          <w:sz w:val="22"/>
          <w:szCs w:val="22"/>
        </w:rPr>
        <w:lastRenderedPageBreak/>
        <w:t>HUMANOS.”, visible en el Seminario Judicial de la Federación y su gaceta, con el registro digital 2002350.</w:t>
      </w:r>
    </w:p>
    <w:p w14:paraId="4E0B15EC" w14:textId="77777777" w:rsidR="00E74520" w:rsidRPr="00F92461" w:rsidRDefault="000445B4">
      <w:pPr>
        <w:pBdr>
          <w:top w:val="nil"/>
          <w:left w:val="nil"/>
          <w:bottom w:val="nil"/>
          <w:right w:val="nil"/>
          <w:between w:val="nil"/>
        </w:pBdr>
        <w:tabs>
          <w:tab w:val="left" w:pos="8364"/>
        </w:tabs>
        <w:ind w:left="567" w:right="-280"/>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Por ello, este Organismo Garante comprometido con la tutela de los derechos humanos confiados, señala que este exceso del plazo legal para resolver el presente asunto resulta de carácter excepcional.</w:t>
      </w:r>
    </w:p>
    <w:p w14:paraId="4E0B15ED" w14:textId="77777777" w:rsidR="00E74520" w:rsidRPr="00F92461" w:rsidRDefault="00E74520">
      <w:pPr>
        <w:tabs>
          <w:tab w:val="left" w:pos="8364"/>
        </w:tabs>
        <w:ind w:right="-847"/>
        <w:rPr>
          <w:rFonts w:ascii="Palatino Linotype" w:eastAsia="Palatino Linotype" w:hAnsi="Palatino Linotype" w:cs="Palatino Linotype"/>
        </w:rPr>
      </w:pPr>
    </w:p>
    <w:p w14:paraId="4E0B15EE" w14:textId="77777777" w:rsidR="00E74520" w:rsidRPr="00F92461" w:rsidRDefault="00E74520">
      <w:pPr>
        <w:pBdr>
          <w:top w:val="nil"/>
          <w:left w:val="nil"/>
          <w:bottom w:val="nil"/>
          <w:right w:val="nil"/>
          <w:between w:val="nil"/>
        </w:pBdr>
        <w:ind w:left="720" w:right="-847"/>
        <w:rPr>
          <w:rFonts w:ascii="Palatino Linotype" w:eastAsia="Palatino Linotype" w:hAnsi="Palatino Linotype" w:cs="Palatino Linotype"/>
          <w:color w:val="000000"/>
        </w:rPr>
      </w:pPr>
    </w:p>
    <w:p w14:paraId="4E0B15EF"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La Comisionada Ponente decretó el cierre de instrucción mediante acuerdo del cuatro de marzo de dos mil veinticinco; por lo que se ordenó turnar el expediente a resolución, misma que ahora se pronuncia; y -----------------------------------------------------</w:t>
      </w:r>
      <w:r w:rsidRPr="00F92461">
        <w:rPr>
          <w:rFonts w:ascii="Palatino Linotype" w:eastAsia="Palatino Linotype" w:hAnsi="Palatino Linotype" w:cs="Palatino Linotype"/>
        </w:rPr>
        <w:t>-------</w:t>
      </w:r>
    </w:p>
    <w:p w14:paraId="4E0B15F0"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5F1" w14:textId="77777777" w:rsidR="00E74520" w:rsidRPr="00F92461" w:rsidRDefault="000445B4">
      <w:pPr>
        <w:pStyle w:val="Ttulo2"/>
        <w:ind w:right="-847"/>
        <w:jc w:val="center"/>
        <w:rPr>
          <w:rFonts w:ascii="Palatino Linotype" w:eastAsia="Palatino Linotype" w:hAnsi="Palatino Linotype" w:cs="Palatino Linotype"/>
          <w:b/>
          <w:color w:val="000000"/>
          <w:sz w:val="24"/>
          <w:szCs w:val="24"/>
        </w:rPr>
      </w:pPr>
      <w:bookmarkStart w:id="3" w:name="_heading=h.1fob9te" w:colFirst="0" w:colLast="0"/>
      <w:bookmarkEnd w:id="3"/>
      <w:r w:rsidRPr="00F92461">
        <w:rPr>
          <w:rFonts w:ascii="Palatino Linotype" w:eastAsia="Palatino Linotype" w:hAnsi="Palatino Linotype" w:cs="Palatino Linotype"/>
          <w:b/>
          <w:color w:val="000000"/>
          <w:sz w:val="24"/>
          <w:szCs w:val="24"/>
        </w:rPr>
        <w:t>C O N S I D E R A N D O</w:t>
      </w:r>
    </w:p>
    <w:p w14:paraId="4E0B15F2" w14:textId="77777777" w:rsidR="00E74520" w:rsidRPr="00F92461" w:rsidRDefault="00E74520">
      <w:pPr>
        <w:ind w:right="-847"/>
        <w:rPr>
          <w:rFonts w:ascii="Palatino Linotype" w:eastAsia="Palatino Linotype" w:hAnsi="Palatino Linotype" w:cs="Palatino Linotype"/>
        </w:rPr>
      </w:pPr>
    </w:p>
    <w:p w14:paraId="4E0B15F3" w14:textId="77777777" w:rsidR="00E74520" w:rsidRPr="00F92461" w:rsidRDefault="000445B4">
      <w:pPr>
        <w:pStyle w:val="Ttulo2"/>
        <w:tabs>
          <w:tab w:val="left" w:pos="0"/>
        </w:tabs>
        <w:spacing w:before="0" w:line="360" w:lineRule="auto"/>
        <w:ind w:right="-847"/>
        <w:rPr>
          <w:rFonts w:ascii="Palatino Linotype" w:eastAsia="Palatino Linotype" w:hAnsi="Palatino Linotype" w:cs="Palatino Linotype"/>
          <w:b/>
          <w:color w:val="000000"/>
          <w:sz w:val="24"/>
          <w:szCs w:val="24"/>
        </w:rPr>
      </w:pPr>
      <w:bookmarkStart w:id="4" w:name="_heading=h.3znysh7" w:colFirst="0" w:colLast="0"/>
      <w:bookmarkEnd w:id="4"/>
      <w:r w:rsidRPr="00F92461">
        <w:rPr>
          <w:rFonts w:ascii="Palatino Linotype" w:eastAsia="Palatino Linotype" w:hAnsi="Palatino Linotype" w:cs="Palatino Linotype"/>
          <w:b/>
          <w:color w:val="000000"/>
          <w:sz w:val="24"/>
          <w:szCs w:val="24"/>
        </w:rPr>
        <w:t>PRIMERO. De la competencia</w:t>
      </w:r>
    </w:p>
    <w:p w14:paraId="4E0B15F4"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conformidad con el artículo: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E0B15F5"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5F6" w14:textId="77777777" w:rsidR="00E74520" w:rsidRPr="00F92461" w:rsidRDefault="000445B4">
      <w:pPr>
        <w:pStyle w:val="Ttulo2"/>
        <w:tabs>
          <w:tab w:val="left" w:pos="0"/>
        </w:tabs>
        <w:spacing w:before="0" w:line="360" w:lineRule="auto"/>
        <w:ind w:right="-847"/>
        <w:rPr>
          <w:rFonts w:ascii="Palatino Linotype" w:eastAsia="Palatino Linotype" w:hAnsi="Palatino Linotype" w:cs="Palatino Linotype"/>
          <w:b/>
          <w:color w:val="000000"/>
          <w:sz w:val="24"/>
          <w:szCs w:val="24"/>
        </w:rPr>
      </w:pPr>
      <w:bookmarkStart w:id="5" w:name="_heading=h.2et92p0" w:colFirst="0" w:colLast="0"/>
      <w:bookmarkEnd w:id="5"/>
      <w:r w:rsidRPr="00F92461">
        <w:rPr>
          <w:rFonts w:ascii="Palatino Linotype" w:eastAsia="Palatino Linotype" w:hAnsi="Palatino Linotype" w:cs="Palatino Linotype"/>
          <w:b/>
          <w:color w:val="000000"/>
          <w:sz w:val="24"/>
          <w:szCs w:val="24"/>
        </w:rPr>
        <w:lastRenderedPageBreak/>
        <w:t>SEGUNDO. De la oportunidad y procedencia.</w:t>
      </w:r>
    </w:p>
    <w:p w14:paraId="4E0B15F7"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bookmarkStart w:id="6" w:name="_heading=h.tyjcwt" w:colFirst="0" w:colLast="0"/>
      <w:bookmarkEnd w:id="6"/>
      <w:r w:rsidRPr="00F92461">
        <w:rPr>
          <w:rFonts w:ascii="Palatino Linotype" w:eastAsia="Palatino Linotype" w:hAnsi="Palatino Linotype" w:cs="Palatino Linotype"/>
          <w:color w:val="000000"/>
        </w:rPr>
        <w:t xml:space="preserve"> El medio de impugnación fue presentado a través del </w:t>
      </w:r>
      <w:r w:rsidRPr="00F92461">
        <w:rPr>
          <w:rFonts w:ascii="Palatino Linotype" w:eastAsia="Palatino Linotype" w:hAnsi="Palatino Linotype" w:cs="Palatino Linotype"/>
          <w:b/>
          <w:color w:val="000000"/>
        </w:rPr>
        <w:t xml:space="preserve">SAIMEX </w:t>
      </w:r>
      <w:r w:rsidRPr="00F92461">
        <w:rPr>
          <w:rFonts w:ascii="Palatino Linotype" w:eastAsia="Palatino Linotype" w:hAnsi="Palatino Linotype" w:cs="Palatino Linotype"/>
          <w:color w:val="000000"/>
        </w:rPr>
        <w:t xml:space="preserve">en el formato previamente aprobado para tal efecto y dentro del plazo legal de quince días hábiles otorgados; siendo así que 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entregó respuesta el veinticuatro de mayo de dos mil veinticuatro, de tal forma que el plazo para interponer el recurso de revisión transcurrió del veintisiete de mayo al catorce de junio de dos mil veinticuatro, en consecuencia, si la parte </w:t>
      </w:r>
      <w:r w:rsidRPr="00F92461">
        <w:rPr>
          <w:rFonts w:ascii="Palatino Linotype" w:eastAsia="Palatino Linotype" w:hAnsi="Palatino Linotype" w:cs="Palatino Linotype"/>
          <w:b/>
          <w:color w:val="000000"/>
        </w:rPr>
        <w:t xml:space="preserve">RECURRENTE </w:t>
      </w:r>
      <w:r w:rsidRPr="00F92461">
        <w:rPr>
          <w:rFonts w:ascii="Palatino Linotype" w:eastAsia="Palatino Linotype" w:hAnsi="Palatino Linotype" w:cs="Palatino Linotype"/>
          <w:color w:val="000000"/>
        </w:rPr>
        <w:t>presentó su inconformidad el veintiocho de mayo de dos mil veinticuatro, se encuentra dentro de los márgenes temporales previstos en el artículo 178 de la Ley de Transparencia y Acceso a la Información Pública del Estado de México y Municipios.</w:t>
      </w:r>
    </w:p>
    <w:p w14:paraId="4E0B15F8"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5F9"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Consecuencia,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4E0B15FA"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5FB" w14:textId="77777777" w:rsidR="00E74520" w:rsidRPr="00F92461" w:rsidRDefault="000445B4">
      <w:pPr>
        <w:pStyle w:val="Ttulo2"/>
        <w:tabs>
          <w:tab w:val="left" w:pos="0"/>
        </w:tabs>
        <w:spacing w:before="0" w:line="360" w:lineRule="auto"/>
        <w:ind w:right="-847"/>
        <w:rPr>
          <w:rFonts w:ascii="Palatino Linotype" w:eastAsia="Palatino Linotype" w:hAnsi="Palatino Linotype" w:cs="Palatino Linotype"/>
          <w:b/>
          <w:i/>
          <w:color w:val="000000"/>
          <w:sz w:val="24"/>
          <w:szCs w:val="24"/>
        </w:rPr>
      </w:pPr>
      <w:bookmarkStart w:id="7" w:name="_heading=h.3dy6vkm" w:colFirst="0" w:colLast="0"/>
      <w:bookmarkEnd w:id="7"/>
      <w:r w:rsidRPr="00F92461">
        <w:rPr>
          <w:rFonts w:ascii="Palatino Linotype" w:eastAsia="Palatino Linotype" w:hAnsi="Palatino Linotype" w:cs="Palatino Linotype"/>
          <w:b/>
          <w:color w:val="000000"/>
          <w:sz w:val="24"/>
          <w:szCs w:val="24"/>
        </w:rPr>
        <w:t xml:space="preserve">TERCERO. Del planteamiento de la </w:t>
      </w:r>
      <w:r w:rsidRPr="00F92461">
        <w:rPr>
          <w:rFonts w:ascii="Palatino Linotype" w:eastAsia="Palatino Linotype" w:hAnsi="Palatino Linotype" w:cs="Palatino Linotype"/>
          <w:b/>
          <w:i/>
          <w:color w:val="000000"/>
          <w:sz w:val="24"/>
          <w:szCs w:val="24"/>
        </w:rPr>
        <w:t>Litis.</w:t>
      </w:r>
    </w:p>
    <w:p w14:paraId="4E0B15FC"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bookmarkStart w:id="8" w:name="_heading=h.1t3h5sf" w:colFirst="0" w:colLast="0"/>
      <w:bookmarkEnd w:id="8"/>
      <w:r w:rsidRPr="00F92461">
        <w:rPr>
          <w:rFonts w:ascii="Palatino Linotype" w:eastAsia="Palatino Linotype" w:hAnsi="Palatino Linotype" w:cs="Palatino Linotype"/>
          <w:color w:val="000000"/>
        </w:rPr>
        <w:t xml:space="preserve">El </w:t>
      </w:r>
      <w:r w:rsidRPr="00F92461">
        <w:rPr>
          <w:rFonts w:ascii="Palatino Linotype" w:eastAsia="Palatino Linotype" w:hAnsi="Palatino Linotype" w:cs="Palatino Linotype"/>
          <w:b/>
          <w:color w:val="000000"/>
        </w:rPr>
        <w:t>RECURRENTE</w:t>
      </w:r>
      <w:r w:rsidRPr="00F92461">
        <w:rPr>
          <w:rFonts w:ascii="Palatino Linotype" w:eastAsia="Palatino Linotype" w:hAnsi="Palatino Linotype" w:cs="Palatino Linotype"/>
          <w:color w:val="000000"/>
        </w:rPr>
        <w:t xml:space="preserve"> solicitó lo siguiente: </w:t>
      </w:r>
      <w:r w:rsidRPr="00F92461">
        <w:rPr>
          <w:rFonts w:ascii="Palatino Linotype" w:eastAsia="Palatino Linotype" w:hAnsi="Palatino Linotype" w:cs="Palatino Linotype"/>
          <w:b/>
          <w:color w:val="000000"/>
        </w:rPr>
        <w:t xml:space="preserve"> </w:t>
      </w:r>
      <w:r w:rsidRPr="00F92461">
        <w:rPr>
          <w:rFonts w:ascii="Palatino Linotype" w:eastAsia="Palatino Linotype" w:hAnsi="Palatino Linotype" w:cs="Palatino Linotype"/>
          <w:i/>
          <w:color w:val="000000"/>
        </w:rPr>
        <w:t xml:space="preserve">“… la Dirección de Medio Ambiente ha dicho que se han plantado más de </w:t>
      </w:r>
      <w:r w:rsidRPr="00F92461">
        <w:rPr>
          <w:rFonts w:ascii="Palatino Linotype" w:eastAsia="Palatino Linotype" w:hAnsi="Palatino Linotype" w:cs="Palatino Linotype"/>
          <w:b/>
          <w:i/>
          <w:color w:val="000000"/>
        </w:rPr>
        <w:t>50 mil árboles en Toluca</w:t>
      </w:r>
      <w:r w:rsidRPr="00F92461">
        <w:rPr>
          <w:rFonts w:ascii="Palatino Linotype" w:eastAsia="Palatino Linotype" w:hAnsi="Palatino Linotype" w:cs="Palatino Linotype"/>
          <w:i/>
          <w:color w:val="000000"/>
        </w:rPr>
        <w:t xml:space="preserve">, por esa razón quiero saber de </w:t>
      </w:r>
      <w:r w:rsidRPr="00F92461">
        <w:rPr>
          <w:rFonts w:ascii="Palatino Linotype" w:eastAsia="Palatino Linotype" w:hAnsi="Palatino Linotype" w:cs="Palatino Linotype"/>
          <w:b/>
          <w:i/>
          <w:color w:val="000000"/>
        </w:rPr>
        <w:t xml:space="preserve">dónde viene cada uno </w:t>
      </w:r>
      <w:r w:rsidRPr="00F92461">
        <w:rPr>
          <w:rFonts w:ascii="Palatino Linotype" w:eastAsia="Palatino Linotype" w:hAnsi="Palatino Linotype" w:cs="Palatino Linotype"/>
          <w:i/>
          <w:color w:val="000000"/>
        </w:rPr>
        <w:t xml:space="preserve">de esos árboles que dicen plantaron, el </w:t>
      </w:r>
      <w:r w:rsidRPr="00F92461">
        <w:rPr>
          <w:rFonts w:ascii="Palatino Linotype" w:eastAsia="Palatino Linotype" w:hAnsi="Palatino Linotype" w:cs="Palatino Linotype"/>
          <w:b/>
          <w:i/>
          <w:color w:val="000000"/>
        </w:rPr>
        <w:t>lugar específico de donde esta cada árbol</w:t>
      </w:r>
      <w:r w:rsidRPr="00F92461">
        <w:rPr>
          <w:rFonts w:ascii="Palatino Linotype" w:eastAsia="Palatino Linotype" w:hAnsi="Palatino Linotype" w:cs="Palatino Linotype"/>
          <w:i/>
          <w:color w:val="000000"/>
        </w:rPr>
        <w:t xml:space="preserve">, una </w:t>
      </w:r>
      <w:r w:rsidRPr="00F92461">
        <w:rPr>
          <w:rFonts w:ascii="Palatino Linotype" w:eastAsia="Palatino Linotype" w:hAnsi="Palatino Linotype" w:cs="Palatino Linotype"/>
          <w:b/>
          <w:i/>
          <w:color w:val="000000"/>
        </w:rPr>
        <w:t xml:space="preserve">foto </w:t>
      </w:r>
      <w:r w:rsidRPr="00F92461">
        <w:rPr>
          <w:rFonts w:ascii="Palatino Linotype" w:eastAsia="Palatino Linotype" w:hAnsi="Palatino Linotype" w:cs="Palatino Linotype"/>
          <w:b/>
          <w:i/>
          <w:color w:val="000000"/>
        </w:rPr>
        <w:lastRenderedPageBreak/>
        <w:t>de cada uno</w:t>
      </w:r>
      <w:r w:rsidRPr="00F92461">
        <w:rPr>
          <w:rFonts w:ascii="Palatino Linotype" w:eastAsia="Palatino Linotype" w:hAnsi="Palatino Linotype" w:cs="Palatino Linotype"/>
          <w:i/>
          <w:color w:val="000000"/>
        </w:rPr>
        <w:t xml:space="preserve">, </w:t>
      </w:r>
      <w:r w:rsidRPr="00F92461">
        <w:rPr>
          <w:rFonts w:ascii="Palatino Linotype" w:eastAsia="Palatino Linotype" w:hAnsi="Palatino Linotype" w:cs="Palatino Linotype"/>
          <w:b/>
          <w:i/>
          <w:color w:val="000000"/>
        </w:rPr>
        <w:t xml:space="preserve">cuantos plantaron </w:t>
      </w:r>
      <w:r w:rsidRPr="00F92461">
        <w:rPr>
          <w:rFonts w:ascii="Palatino Linotype" w:eastAsia="Palatino Linotype" w:hAnsi="Palatino Linotype" w:cs="Palatino Linotype"/>
          <w:i/>
          <w:color w:val="000000"/>
        </w:rPr>
        <w:t xml:space="preserve">realmente y de esos que plantaron </w:t>
      </w:r>
      <w:r w:rsidRPr="00F92461">
        <w:rPr>
          <w:rFonts w:ascii="Palatino Linotype" w:eastAsia="Palatino Linotype" w:hAnsi="Palatino Linotype" w:cs="Palatino Linotype"/>
          <w:b/>
          <w:i/>
          <w:color w:val="000000"/>
        </w:rPr>
        <w:t>cuantos quedan vivos</w:t>
      </w:r>
      <w:r w:rsidRPr="00F92461">
        <w:rPr>
          <w:rFonts w:ascii="Palatino Linotype" w:eastAsia="Palatino Linotype" w:hAnsi="Palatino Linotype" w:cs="Palatino Linotype"/>
          <w:i/>
          <w:color w:val="000000"/>
        </w:rPr>
        <w:t xml:space="preserve">, también </w:t>
      </w:r>
      <w:r w:rsidRPr="00F92461">
        <w:rPr>
          <w:rFonts w:ascii="Palatino Linotype" w:eastAsia="Palatino Linotype" w:hAnsi="Palatino Linotype" w:cs="Palatino Linotype"/>
          <w:b/>
          <w:i/>
          <w:color w:val="000000"/>
        </w:rPr>
        <w:t>cual es el mantenimiento</w:t>
      </w:r>
      <w:r w:rsidRPr="00F92461">
        <w:rPr>
          <w:rFonts w:ascii="Palatino Linotype" w:eastAsia="Palatino Linotype" w:hAnsi="Palatino Linotype" w:cs="Palatino Linotype"/>
          <w:i/>
          <w:color w:val="000000"/>
        </w:rPr>
        <w:t xml:space="preserve"> que les dan para que no se mueran”</w:t>
      </w:r>
      <w:r w:rsidRPr="00F92461">
        <w:rPr>
          <w:rFonts w:ascii="Palatino Linotype" w:eastAsia="Palatino Linotype" w:hAnsi="Palatino Linotype" w:cs="Palatino Linotype"/>
          <w:b/>
          <w:color w:val="000000"/>
        </w:rPr>
        <w:t xml:space="preserve"> </w:t>
      </w:r>
      <w:r w:rsidRPr="00F92461">
        <w:rPr>
          <w:rFonts w:ascii="Palatino Linotype" w:eastAsia="Palatino Linotype" w:hAnsi="Palatino Linotype" w:cs="Palatino Linotype"/>
          <w:i/>
          <w:color w:val="000000"/>
        </w:rPr>
        <w:t>(Sic)</w:t>
      </w:r>
    </w:p>
    <w:p w14:paraId="4E0B15FD"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b/>
          <w:color w:val="000000"/>
        </w:rPr>
      </w:pPr>
    </w:p>
    <w:p w14:paraId="4E0B15FE"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En respuesta, 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por medio del Servidor Público de la Dirección General de Medio ambiente, informó que los árboles que se utilizan para la reforestación en el municipio de Toluca, se obtienen por medio de donaciones realizadas por la Protectora de Bosques (PROBOSQUE), Fundación Grupo México, por compensaciones ambientales y algunos por la propia adquisición del Ayuntamiento; así mismo, nos refiere la ubicación de cada una de las área de plantación realizadas; con respecto a las imágenes fotográficas que solicita el </w:t>
      </w:r>
      <w:r w:rsidRPr="00F92461">
        <w:rPr>
          <w:rFonts w:ascii="Palatino Linotype" w:eastAsia="Palatino Linotype" w:hAnsi="Palatino Linotype" w:cs="Palatino Linotype"/>
          <w:b/>
          <w:color w:val="000000"/>
        </w:rPr>
        <w:t xml:space="preserve">RECURRENTE, </w:t>
      </w:r>
      <w:r w:rsidRPr="00F92461">
        <w:rPr>
          <w:rFonts w:ascii="Palatino Linotype" w:eastAsia="Palatino Linotype" w:hAnsi="Palatino Linotype" w:cs="Palatino Linotype"/>
          <w:color w:val="000000"/>
        </w:rPr>
        <w:t>refiere no contar con fotografía de cada árbol, toda vez que no existe precepto legal que lo determine; sin embargo adjunta a su informe las placas fotográficas con las que cuenta; no omite mencionar que durante el año 2023 se realizaron 147,675 plantaciones de árboles en zona urbana, mientras que en zona suburbana se plantaron 89,689, teniendo un promedio del 70% de sobrevivencia.</w:t>
      </w:r>
    </w:p>
    <w:p w14:paraId="4E0B15FF"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00"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r w:rsidRPr="00F92461">
        <w:rPr>
          <w:rFonts w:ascii="Palatino Linotype" w:eastAsia="Palatino Linotype" w:hAnsi="Palatino Linotype" w:cs="Palatino Linotype"/>
          <w:color w:val="000000"/>
        </w:rPr>
        <w:t xml:space="preserve">Posteriormente, el </w:t>
      </w:r>
      <w:r w:rsidRPr="00F92461">
        <w:rPr>
          <w:rFonts w:ascii="Palatino Linotype" w:eastAsia="Palatino Linotype" w:hAnsi="Palatino Linotype" w:cs="Palatino Linotype"/>
          <w:b/>
          <w:color w:val="000000"/>
        </w:rPr>
        <w:t xml:space="preserve">RECURRENTE </w:t>
      </w:r>
      <w:r w:rsidRPr="00F92461">
        <w:rPr>
          <w:rFonts w:ascii="Palatino Linotype" w:eastAsia="Palatino Linotype" w:hAnsi="Palatino Linotype" w:cs="Palatino Linotype"/>
          <w:color w:val="000000"/>
        </w:rPr>
        <w:t>interpuso el</w:t>
      </w:r>
      <w:r w:rsidRPr="00F92461">
        <w:rPr>
          <w:rFonts w:ascii="Palatino Linotype" w:eastAsia="Palatino Linotype" w:hAnsi="Palatino Linotype" w:cs="Palatino Linotype"/>
          <w:b/>
          <w:color w:val="000000"/>
        </w:rPr>
        <w:t xml:space="preserve"> </w:t>
      </w:r>
      <w:r w:rsidRPr="00F92461">
        <w:rPr>
          <w:rFonts w:ascii="Palatino Linotype" w:eastAsia="Palatino Linotype" w:hAnsi="Palatino Linotype" w:cs="Palatino Linotype"/>
          <w:color w:val="000000"/>
        </w:rPr>
        <w:t xml:space="preserve">recurso de revisión número </w:t>
      </w:r>
      <w:r w:rsidRPr="00F92461">
        <w:rPr>
          <w:rFonts w:ascii="Palatino Linotype" w:eastAsia="Palatino Linotype" w:hAnsi="Palatino Linotype" w:cs="Palatino Linotype"/>
          <w:b/>
          <w:color w:val="000000"/>
        </w:rPr>
        <w:t>03333/INFOEM/IP/RR/2024</w:t>
      </w:r>
      <w:r w:rsidRPr="00F92461">
        <w:rPr>
          <w:rFonts w:ascii="Palatino Linotype" w:eastAsia="Palatino Linotype" w:hAnsi="Palatino Linotype" w:cs="Palatino Linotype"/>
          <w:color w:val="000000"/>
        </w:rPr>
        <w:t>, donde manifestó como motivos de inconformidad,</w:t>
      </w:r>
      <w:r w:rsidRPr="00F92461">
        <w:rPr>
          <w:rFonts w:ascii="Palatino Linotype" w:eastAsia="Palatino Linotype" w:hAnsi="Palatino Linotype" w:cs="Palatino Linotype"/>
          <w:b/>
          <w:color w:val="000000"/>
        </w:rPr>
        <w:t xml:space="preserve"> la entrega de información incompleta, en los siguientes términos: </w:t>
      </w:r>
      <w:r w:rsidRPr="00F92461">
        <w:rPr>
          <w:rFonts w:ascii="Palatino Linotype" w:eastAsia="Palatino Linotype" w:hAnsi="Palatino Linotype" w:cs="Palatino Linotype"/>
          <w:b/>
          <w:i/>
          <w:color w:val="000000"/>
        </w:rPr>
        <w:t>“</w:t>
      </w:r>
      <w:r w:rsidRPr="00F92461">
        <w:rPr>
          <w:rFonts w:ascii="Palatino Linotype" w:eastAsia="Palatino Linotype" w:hAnsi="Palatino Linotype" w:cs="Palatino Linotype"/>
          <w:i/>
          <w:color w:val="000000"/>
        </w:rPr>
        <w:t xml:space="preserve">este recurso por que no me dan la informacion que pedi, primero por que no me dicen completamente y claro de donde viene cada àrbol si no que solo dicen de donde pero no me informan o me dan un listado con lo que pido. en segundo lugar no me dicen donde esta plaantado cada àrbol y solo me dicen los lugares y su manual de organizacion dice que deben tener la ubicacion fisico georeferenciada de cada uno de ellos y tampoco </w:t>
      </w:r>
      <w:r w:rsidRPr="00F92461">
        <w:rPr>
          <w:rFonts w:ascii="Palatino Linotype" w:eastAsia="Palatino Linotype" w:hAnsi="Palatino Linotype" w:cs="Palatino Linotype"/>
          <w:i/>
          <w:color w:val="000000"/>
        </w:rPr>
        <w:lastRenderedPageBreak/>
        <w:t>dicen cuantos fueron plantados en cada lugar. en tercerlugar dicen un porcentaje y no la cantidad que pedi.” (Sic)</w:t>
      </w:r>
    </w:p>
    <w:p w14:paraId="4E0B1601"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b/>
          <w:color w:val="000000"/>
        </w:rPr>
      </w:pPr>
    </w:p>
    <w:p w14:paraId="4E0B1602"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En dichas condiciones, la </w:t>
      </w:r>
      <w:r w:rsidRPr="00F92461">
        <w:rPr>
          <w:rFonts w:ascii="Palatino Linotype" w:eastAsia="Palatino Linotype" w:hAnsi="Palatino Linotype" w:cs="Palatino Linotype"/>
          <w:i/>
          <w:color w:val="000000"/>
        </w:rPr>
        <w:t>Litis</w:t>
      </w:r>
      <w:r w:rsidRPr="00F92461">
        <w:rPr>
          <w:rFonts w:ascii="Palatino Linotype" w:eastAsia="Palatino Linotype" w:hAnsi="Palatino Linotype" w:cs="Palatino Linotype"/>
          <w:color w:val="000000"/>
        </w:rPr>
        <w:t xml:space="preserve"> a resolver en el presente recurso de revisión se circunscribe a determinar si se actualizan la causal de procedencia prevista en el artículo 179, </w:t>
      </w:r>
      <w:r w:rsidRPr="00F92461">
        <w:rPr>
          <w:rFonts w:ascii="Palatino Linotype" w:eastAsia="Palatino Linotype" w:hAnsi="Palatino Linotype" w:cs="Palatino Linotype"/>
          <w:b/>
          <w:color w:val="000000"/>
        </w:rPr>
        <w:t>fracción I</w:t>
      </w:r>
      <w:r w:rsidRPr="00F92461">
        <w:rPr>
          <w:rFonts w:ascii="Palatino Linotype" w:eastAsia="Palatino Linotype" w:hAnsi="Palatino Linotype" w:cs="Palatino Linotype"/>
          <w:color w:val="000000"/>
        </w:rPr>
        <w:t xml:space="preserve"> de la </w:t>
      </w:r>
      <w:r w:rsidRPr="00F92461">
        <w:rPr>
          <w:rFonts w:ascii="Palatino Linotype" w:eastAsia="Palatino Linotype" w:hAnsi="Palatino Linotype" w:cs="Palatino Linotype"/>
          <w:b/>
          <w:color w:val="000000"/>
        </w:rPr>
        <w:t>Ley de Transparencia y Acceso a la Información Pública del Estado de México y Municipios</w:t>
      </w:r>
      <w:r w:rsidRPr="00F92461">
        <w:rPr>
          <w:rFonts w:ascii="Palatino Linotype" w:eastAsia="Palatino Linotype" w:hAnsi="Palatino Linotype" w:cs="Palatino Linotype"/>
          <w:color w:val="000000"/>
        </w:rPr>
        <w:t xml:space="preserve">. </w:t>
      </w:r>
    </w:p>
    <w:p w14:paraId="4E0B1603"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04" w14:textId="77777777" w:rsidR="00E74520" w:rsidRPr="00F92461" w:rsidRDefault="000445B4">
      <w:pPr>
        <w:pStyle w:val="Ttulo2"/>
        <w:tabs>
          <w:tab w:val="left" w:pos="0"/>
        </w:tabs>
        <w:spacing w:before="0" w:line="360" w:lineRule="auto"/>
        <w:ind w:right="-847"/>
        <w:rPr>
          <w:rFonts w:ascii="Palatino Linotype" w:eastAsia="Palatino Linotype" w:hAnsi="Palatino Linotype" w:cs="Palatino Linotype"/>
          <w:b/>
          <w:color w:val="000000"/>
          <w:sz w:val="24"/>
          <w:szCs w:val="24"/>
        </w:rPr>
      </w:pPr>
      <w:r w:rsidRPr="00F92461">
        <w:rPr>
          <w:rFonts w:ascii="Palatino Linotype" w:eastAsia="Palatino Linotype" w:hAnsi="Palatino Linotype" w:cs="Palatino Linotype"/>
          <w:b/>
          <w:color w:val="000000"/>
          <w:sz w:val="24"/>
          <w:szCs w:val="24"/>
        </w:rPr>
        <w:t>CUARTO. Del estudio y resolución del asunto.</w:t>
      </w:r>
    </w:p>
    <w:p w14:paraId="4E0B1605"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p>
    <w:p w14:paraId="4E0B1606"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07"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Definiendo el Derecho de Acceso a la Información Pública como: </w:t>
      </w:r>
      <w:r w:rsidRPr="00F92461">
        <w:rPr>
          <w:rFonts w:ascii="Palatino Linotype" w:eastAsia="Palatino Linotype" w:hAnsi="Palatino Linotype" w:cs="Palatino Linotype"/>
          <w:i/>
          <w:color w:val="000000"/>
        </w:rPr>
        <w:t xml:space="preserve">La igualdad de </w:t>
      </w:r>
      <w:r w:rsidRPr="00F92461">
        <w:rPr>
          <w:rFonts w:ascii="Palatino Linotype" w:eastAsia="Palatino Linotype" w:hAnsi="Palatino Linotype" w:cs="Palatino Linotype"/>
          <w:color w:val="000000"/>
        </w:rPr>
        <w:t>oportunidades</w:t>
      </w:r>
      <w:r w:rsidRPr="00F92461">
        <w:rPr>
          <w:rFonts w:ascii="Palatino Linotype" w:eastAsia="Palatino Linotype" w:hAnsi="Palatino Linotype" w:cs="Palatino Linotype"/>
          <w:i/>
          <w:color w:val="000000"/>
        </w:rPr>
        <w:t xml:space="preserve"> para recibir, buscar e impartir información</w:t>
      </w:r>
      <w:r w:rsidRPr="00F92461">
        <w:rPr>
          <w:rFonts w:ascii="Palatino Linotype" w:eastAsia="Palatino Linotype" w:hAnsi="Palatino Linotype" w:cs="Palatino Linotype"/>
          <w:i/>
          <w:color w:val="000000"/>
          <w:vertAlign w:val="superscript"/>
        </w:rPr>
        <w:footnoteReference w:id="1"/>
      </w:r>
      <w:r w:rsidRPr="00F92461">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92461">
        <w:rPr>
          <w:rFonts w:ascii="Palatino Linotype" w:eastAsia="Palatino Linotype" w:hAnsi="Palatino Linotype" w:cs="Palatino Linotype"/>
          <w:i/>
          <w:color w:val="000000"/>
          <w:vertAlign w:val="superscript"/>
        </w:rPr>
        <w:footnoteReference w:id="2"/>
      </w:r>
      <w:r w:rsidRPr="00F92461">
        <w:rPr>
          <w:rFonts w:ascii="Palatino Linotype" w:eastAsia="Palatino Linotype" w:hAnsi="Palatino Linotype" w:cs="Palatino Linotype"/>
          <w:color w:val="000000"/>
        </w:rPr>
        <w:t>que se constituye como una herramienta fundamental para ejercer</w:t>
      </w:r>
      <w:r w:rsidRPr="00F92461">
        <w:rPr>
          <w:rFonts w:ascii="Palatino Linotype" w:eastAsia="Palatino Linotype" w:hAnsi="Palatino Linotype" w:cs="Palatino Linotype"/>
          <w:i/>
          <w:color w:val="000000"/>
        </w:rPr>
        <w:t xml:space="preserve"> el control </w:t>
      </w:r>
      <w:r w:rsidRPr="00F92461">
        <w:rPr>
          <w:rFonts w:ascii="Palatino Linotype" w:eastAsia="Palatino Linotype" w:hAnsi="Palatino Linotype" w:cs="Palatino Linotype"/>
          <w:i/>
          <w:color w:val="000000"/>
        </w:rPr>
        <w:lastRenderedPageBreak/>
        <w:t>democrático de las gestiones estatales, de forma tal que puedan cuestionar, indagar y considerar si se está dando un adecuado cumplimiento a las funciones públicas,</w:t>
      </w:r>
      <w:r w:rsidRPr="00F92461">
        <w:rPr>
          <w:rFonts w:ascii="Palatino Linotype" w:eastAsia="Palatino Linotype" w:hAnsi="Palatino Linotype" w:cs="Palatino Linotype"/>
          <w:i/>
          <w:color w:val="000000"/>
          <w:vertAlign w:val="superscript"/>
        </w:rPr>
        <w:footnoteReference w:id="3"/>
      </w:r>
      <w:r w:rsidRPr="00F92461">
        <w:rPr>
          <w:rFonts w:ascii="Palatino Linotype" w:eastAsia="Palatino Linotype" w:hAnsi="Palatino Linotype" w:cs="Palatino Linotype"/>
          <w:color w:val="000000"/>
        </w:rPr>
        <w:t>fomentando</w:t>
      </w:r>
      <w:r w:rsidRPr="00F92461">
        <w:rPr>
          <w:rFonts w:ascii="Palatino Linotype" w:eastAsia="Palatino Linotype" w:hAnsi="Palatino Linotype" w:cs="Palatino Linotype"/>
          <w:i/>
          <w:color w:val="000000"/>
        </w:rPr>
        <w:t xml:space="preserve"> la transparencia de las actividades estatales y </w:t>
      </w:r>
      <w:r w:rsidRPr="00F92461">
        <w:rPr>
          <w:rFonts w:ascii="Palatino Linotype" w:eastAsia="Palatino Linotype" w:hAnsi="Palatino Linotype" w:cs="Palatino Linotype"/>
          <w:color w:val="000000"/>
        </w:rPr>
        <w:t>promoviendo</w:t>
      </w:r>
      <w:r w:rsidRPr="00F92461">
        <w:rPr>
          <w:rFonts w:ascii="Palatino Linotype" w:eastAsia="Palatino Linotype" w:hAnsi="Palatino Linotype" w:cs="Palatino Linotype"/>
          <w:i/>
          <w:color w:val="000000"/>
        </w:rPr>
        <w:t xml:space="preserve"> la responsabilidad de los funcionarios sobre su gestión pública,</w:t>
      </w:r>
      <w:r w:rsidRPr="00F92461">
        <w:rPr>
          <w:rFonts w:ascii="Palatino Linotype" w:eastAsia="Palatino Linotype" w:hAnsi="Palatino Linotype" w:cs="Palatino Linotype"/>
          <w:i/>
          <w:color w:val="000000"/>
          <w:vertAlign w:val="superscript"/>
        </w:rPr>
        <w:footnoteReference w:id="4"/>
      </w:r>
      <w:r w:rsidRPr="00F92461">
        <w:rPr>
          <w:rFonts w:ascii="Palatino Linotype" w:eastAsia="Palatino Linotype" w:hAnsi="Palatino Linotype" w:cs="Palatino Linotype"/>
          <w:color w:val="000000"/>
        </w:rPr>
        <w:t>que permite</w:t>
      </w:r>
      <w:r w:rsidRPr="00F92461">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4E0B1608"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09"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En México, además de los derechos, están reconocidas las garantías para su protección, en ese sentido el párrafo tercero de artículo primero de la Constitución Política de los Estados Unidos Mexicanos, dispone lo siguiente:</w:t>
      </w:r>
    </w:p>
    <w:p w14:paraId="4E0B160A" w14:textId="77777777" w:rsidR="00E74520" w:rsidRPr="00F92461" w:rsidRDefault="000445B4">
      <w:pPr>
        <w:pStyle w:val="Ttulo3"/>
        <w:ind w:left="567" w:right="-280"/>
        <w:jc w:val="both"/>
        <w:rPr>
          <w:rFonts w:ascii="Palatino Linotype" w:eastAsia="Palatino Linotype" w:hAnsi="Palatino Linotype" w:cs="Palatino Linotype"/>
          <w:b/>
          <w:color w:val="000000"/>
          <w:sz w:val="22"/>
          <w:szCs w:val="22"/>
        </w:rPr>
      </w:pPr>
      <w:r w:rsidRPr="00F92461">
        <w:rPr>
          <w:rFonts w:ascii="Palatino Linotype" w:eastAsia="Palatino Linotype" w:hAnsi="Palatino Linotype" w:cs="Palatino Linotype"/>
          <w:b/>
          <w:color w:val="000000"/>
          <w:sz w:val="22"/>
          <w:szCs w:val="22"/>
        </w:rPr>
        <w:t xml:space="preserve">“Artículo 1.- </w:t>
      </w:r>
    </w:p>
    <w:p w14:paraId="4E0B160B" w14:textId="77777777" w:rsidR="00E74520" w:rsidRPr="00F92461" w:rsidRDefault="000445B4">
      <w:pPr>
        <w:ind w:left="567" w:right="-280"/>
        <w:jc w:val="both"/>
        <w:rPr>
          <w:rFonts w:ascii="Palatino Linotype" w:eastAsia="Palatino Linotype" w:hAnsi="Palatino Linotype" w:cs="Palatino Linotype"/>
          <w:b/>
          <w:i/>
          <w:color w:val="000000"/>
          <w:sz w:val="22"/>
          <w:szCs w:val="22"/>
        </w:rPr>
      </w:pPr>
      <w:r w:rsidRPr="00F92461">
        <w:rPr>
          <w:rFonts w:ascii="Palatino Linotype" w:eastAsia="Palatino Linotype" w:hAnsi="Palatino Linotype" w:cs="Palatino Linotype"/>
          <w:b/>
          <w:i/>
          <w:color w:val="000000"/>
          <w:sz w:val="22"/>
          <w:szCs w:val="22"/>
        </w:rPr>
        <w:t>(…)</w:t>
      </w:r>
    </w:p>
    <w:p w14:paraId="4E0B160C" w14:textId="77777777" w:rsidR="00E74520" w:rsidRPr="00F92461" w:rsidRDefault="000445B4">
      <w:pPr>
        <w:pBdr>
          <w:top w:val="nil"/>
          <w:left w:val="nil"/>
          <w:bottom w:val="nil"/>
          <w:right w:val="nil"/>
          <w:between w:val="nil"/>
        </w:pBdr>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E0B160D" w14:textId="77777777" w:rsidR="00E74520" w:rsidRPr="00F92461" w:rsidRDefault="000445B4">
      <w:pPr>
        <w:ind w:left="567" w:right="-280"/>
        <w:jc w:val="both"/>
        <w:rPr>
          <w:rFonts w:ascii="Palatino Linotype" w:eastAsia="Palatino Linotype" w:hAnsi="Palatino Linotype" w:cs="Palatino Linotype"/>
          <w:sz w:val="22"/>
          <w:szCs w:val="22"/>
        </w:rPr>
      </w:pPr>
      <w:r w:rsidRPr="00F92461">
        <w:rPr>
          <w:rFonts w:ascii="Palatino Linotype" w:eastAsia="Palatino Linotype" w:hAnsi="Palatino Linotype" w:cs="Palatino Linotype"/>
          <w:i/>
          <w:sz w:val="22"/>
          <w:szCs w:val="22"/>
        </w:rPr>
        <w:t>(…)</w:t>
      </w:r>
      <w:r w:rsidRPr="00F92461">
        <w:rPr>
          <w:rFonts w:ascii="Palatino Linotype" w:eastAsia="Palatino Linotype" w:hAnsi="Palatino Linotype" w:cs="Palatino Linotype"/>
          <w:sz w:val="22"/>
          <w:szCs w:val="22"/>
        </w:rPr>
        <w:t>”</w:t>
      </w:r>
    </w:p>
    <w:p w14:paraId="4E0B160E" w14:textId="77777777" w:rsidR="00E74520" w:rsidRPr="00F92461" w:rsidRDefault="00E74520">
      <w:pPr>
        <w:ind w:right="-847"/>
        <w:rPr>
          <w:rFonts w:ascii="Palatino Linotype" w:eastAsia="Palatino Linotype" w:hAnsi="Palatino Linotype" w:cs="Palatino Linotype"/>
          <w:color w:val="000000"/>
        </w:rPr>
      </w:pPr>
    </w:p>
    <w:p w14:paraId="4E0B160F"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E0B1610"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4E0B1611" w14:textId="77777777" w:rsidR="00E74520" w:rsidRPr="00F92461" w:rsidRDefault="000445B4">
      <w:pPr>
        <w:pStyle w:val="Ttulo4"/>
        <w:ind w:left="567" w:right="-280"/>
        <w:rPr>
          <w:rFonts w:ascii="Palatino Linotype" w:eastAsia="Palatino Linotype" w:hAnsi="Palatino Linotype" w:cs="Palatino Linotype"/>
          <w:b/>
          <w:color w:val="000000"/>
          <w:sz w:val="22"/>
          <w:szCs w:val="22"/>
        </w:rPr>
      </w:pPr>
      <w:r w:rsidRPr="00F92461">
        <w:rPr>
          <w:rFonts w:ascii="Palatino Linotype" w:eastAsia="Palatino Linotype" w:hAnsi="Palatino Linotype" w:cs="Palatino Linotype"/>
          <w:b/>
          <w:color w:val="000000"/>
          <w:sz w:val="22"/>
          <w:szCs w:val="22"/>
        </w:rPr>
        <w:t>Constitución Política de los Estados Unidos Mexicanos</w:t>
      </w:r>
    </w:p>
    <w:p w14:paraId="4E0B1612" w14:textId="77777777" w:rsidR="00E74520" w:rsidRPr="00F92461" w:rsidRDefault="000445B4">
      <w:pPr>
        <w:pStyle w:val="Ttulo3"/>
        <w:ind w:left="567" w:right="-280"/>
        <w:rPr>
          <w:rFonts w:ascii="Palatino Linotype" w:eastAsia="Palatino Linotype" w:hAnsi="Palatino Linotype" w:cs="Palatino Linotype"/>
          <w:b/>
          <w:color w:val="000000"/>
          <w:sz w:val="22"/>
          <w:szCs w:val="22"/>
        </w:rPr>
      </w:pPr>
      <w:r w:rsidRPr="00F92461">
        <w:rPr>
          <w:rFonts w:ascii="Palatino Linotype" w:eastAsia="Palatino Linotype" w:hAnsi="Palatino Linotype" w:cs="Palatino Linotype"/>
          <w:b/>
          <w:color w:val="000000"/>
          <w:sz w:val="22"/>
          <w:szCs w:val="22"/>
        </w:rPr>
        <w:t>“Artículo 6. …</w:t>
      </w:r>
    </w:p>
    <w:p w14:paraId="4E0B1613" w14:textId="77777777" w:rsidR="00E74520" w:rsidRPr="00F92461" w:rsidRDefault="000445B4">
      <w:pPr>
        <w:ind w:left="567" w:right="-280"/>
        <w:jc w:val="both"/>
        <w:rPr>
          <w:rFonts w:ascii="Palatino Linotype" w:eastAsia="Palatino Linotype" w:hAnsi="Palatino Linotype" w:cs="Palatino Linotype"/>
          <w:b/>
          <w:i/>
          <w:sz w:val="22"/>
          <w:szCs w:val="22"/>
        </w:rPr>
      </w:pPr>
      <w:r w:rsidRPr="00F92461">
        <w:rPr>
          <w:rFonts w:ascii="Palatino Linotype" w:eastAsia="Palatino Linotype" w:hAnsi="Palatino Linotype" w:cs="Palatino Linotype"/>
          <w:b/>
          <w:i/>
          <w:sz w:val="22"/>
          <w:szCs w:val="22"/>
        </w:rPr>
        <w:t>…</w:t>
      </w:r>
    </w:p>
    <w:p w14:paraId="4E0B1614" w14:textId="77777777" w:rsidR="00E74520" w:rsidRPr="00F92461" w:rsidRDefault="000445B4">
      <w:pPr>
        <w:pBdr>
          <w:top w:val="nil"/>
          <w:left w:val="nil"/>
          <w:bottom w:val="nil"/>
          <w:right w:val="nil"/>
          <w:between w:val="nil"/>
        </w:pBdr>
        <w:spacing w:after="120"/>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Para efectos de lo dispuesto en el presente artículo se observará lo siguiente:</w:t>
      </w:r>
    </w:p>
    <w:p w14:paraId="4E0B1615" w14:textId="77777777" w:rsidR="00E74520" w:rsidRPr="00F92461" w:rsidRDefault="000445B4">
      <w:pPr>
        <w:pBdr>
          <w:top w:val="nil"/>
          <w:left w:val="nil"/>
          <w:bottom w:val="nil"/>
          <w:right w:val="nil"/>
          <w:between w:val="nil"/>
        </w:pBdr>
        <w:ind w:left="567" w:right="-280"/>
        <w:jc w:val="both"/>
        <w:rPr>
          <w:rFonts w:ascii="Palatino Linotype" w:eastAsia="Palatino Linotype" w:hAnsi="Palatino Linotype" w:cs="Palatino Linotype"/>
          <w:b/>
          <w:i/>
          <w:color w:val="000000"/>
          <w:sz w:val="22"/>
          <w:szCs w:val="22"/>
        </w:rPr>
      </w:pPr>
      <w:r w:rsidRPr="00F92461">
        <w:rPr>
          <w:rFonts w:ascii="Palatino Linotype" w:eastAsia="Palatino Linotype" w:hAnsi="Palatino Linotype" w:cs="Palatino Linotype"/>
          <w:b/>
          <w:i/>
          <w:color w:val="000000"/>
          <w:sz w:val="22"/>
          <w:szCs w:val="22"/>
        </w:rPr>
        <w:t>A. Para el ejercicio del derecho de acceso a la información, la Federación y las entidades federativas, en el ámbito de sus respectivas competencias, se regirán por los siguientes principios y bases:</w:t>
      </w:r>
    </w:p>
    <w:p w14:paraId="4E0B1616" w14:textId="77777777" w:rsidR="00E74520" w:rsidRPr="00F92461" w:rsidRDefault="000445B4">
      <w:pPr>
        <w:pBdr>
          <w:top w:val="nil"/>
          <w:left w:val="nil"/>
          <w:bottom w:val="nil"/>
          <w:right w:val="nil"/>
          <w:between w:val="nil"/>
        </w:pBdr>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b/>
          <w:i/>
          <w:color w:val="000000"/>
          <w:sz w:val="22"/>
          <w:szCs w:val="22"/>
        </w:rPr>
        <w:t xml:space="preserve">I. </w:t>
      </w:r>
      <w:r w:rsidRPr="00F92461">
        <w:rPr>
          <w:rFonts w:ascii="Palatino Linotype" w:eastAsia="Palatino Linotype" w:hAnsi="Palatino Linotype" w:cs="Palatino Linotype"/>
          <w:b/>
          <w:i/>
          <w:color w:val="000000"/>
          <w:sz w:val="22"/>
          <w:szCs w:val="22"/>
        </w:rPr>
        <w:tab/>
        <w:t>Toda la información en posesión de cualquier</w:t>
      </w:r>
      <w:r w:rsidRPr="00F92461">
        <w:rPr>
          <w:rFonts w:ascii="Palatino Linotype" w:eastAsia="Palatino Linotype" w:hAnsi="Palatino Linotype" w:cs="Palatino Linotype"/>
          <w:i/>
          <w:color w:val="000000"/>
          <w:sz w:val="22"/>
          <w:szCs w:val="22"/>
        </w:rPr>
        <w:t xml:space="preserve"> </w:t>
      </w:r>
      <w:r w:rsidRPr="00F92461">
        <w:rPr>
          <w:rFonts w:ascii="Palatino Linotype" w:eastAsia="Palatino Linotype" w:hAnsi="Palatino Linotype" w:cs="Palatino Linotype"/>
          <w:b/>
          <w:i/>
          <w:color w:val="000000"/>
          <w:sz w:val="22"/>
          <w:szCs w:val="22"/>
        </w:rPr>
        <w:t>autoridad</w:t>
      </w:r>
      <w:r w:rsidRPr="00F92461">
        <w:rPr>
          <w:rFonts w:ascii="Palatino Linotype" w:eastAsia="Palatino Linotype" w:hAnsi="Palatino Linotype" w:cs="Palatino Linotype"/>
          <w:i/>
          <w:color w:val="000000"/>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92461">
        <w:rPr>
          <w:rFonts w:ascii="Palatino Linotype" w:eastAsia="Palatino Linotype" w:hAnsi="Palatino Linotype" w:cs="Palatino Linotype"/>
          <w:b/>
          <w:i/>
          <w:color w:val="000000"/>
          <w:sz w:val="22"/>
          <w:szCs w:val="22"/>
        </w:rPr>
        <w:t>municipal</w:t>
      </w:r>
      <w:r w:rsidRPr="00F92461">
        <w:rPr>
          <w:rFonts w:ascii="Palatino Linotype" w:eastAsia="Palatino Linotype" w:hAnsi="Palatino Linotype" w:cs="Palatino Linotype"/>
          <w:i/>
          <w:color w:val="000000"/>
          <w:sz w:val="22"/>
          <w:szCs w:val="22"/>
        </w:rPr>
        <w:t xml:space="preserve">, </w:t>
      </w:r>
      <w:r w:rsidRPr="00F92461">
        <w:rPr>
          <w:rFonts w:ascii="Palatino Linotype" w:eastAsia="Palatino Linotype" w:hAnsi="Palatino Linotype" w:cs="Palatino Linotype"/>
          <w:b/>
          <w:i/>
          <w:color w:val="000000"/>
          <w:sz w:val="22"/>
          <w:szCs w:val="22"/>
        </w:rPr>
        <w:t>es pública</w:t>
      </w:r>
      <w:r w:rsidRPr="00F92461">
        <w:rPr>
          <w:rFonts w:ascii="Palatino Linotype" w:eastAsia="Palatino Linotype" w:hAnsi="Palatino Linotype" w:cs="Palatino Linotype"/>
          <w:i/>
          <w:color w:val="000000"/>
          <w:sz w:val="22"/>
          <w:szCs w:val="22"/>
        </w:rPr>
        <w:t xml:space="preserve"> y sólo podrá ser reservada temporalmente por razones de interés público y seguridad nacional, en los términos que fijen las leyes. </w:t>
      </w:r>
      <w:r w:rsidRPr="00F92461">
        <w:rPr>
          <w:rFonts w:ascii="Palatino Linotype" w:eastAsia="Palatino Linotype" w:hAnsi="Palatino Linotype" w:cs="Palatino Linotype"/>
          <w:b/>
          <w:i/>
          <w:color w:val="000000"/>
          <w:sz w:val="22"/>
          <w:szCs w:val="22"/>
        </w:rPr>
        <w:t>En la interpretación de este derecho deberá prevalecer el principio de máxima publicidad. Los sujetos obligados deberán documentar todo acto que derive del ejercicio de sus facultades, competencias o funciones</w:t>
      </w:r>
      <w:r w:rsidRPr="00F92461">
        <w:rPr>
          <w:rFonts w:ascii="Palatino Linotype" w:eastAsia="Palatino Linotype" w:hAnsi="Palatino Linotype" w:cs="Palatino Linotype"/>
          <w:i/>
          <w:color w:val="000000"/>
          <w:sz w:val="22"/>
          <w:szCs w:val="22"/>
        </w:rPr>
        <w:t>, la ley determinará los supuestos específicos bajo los cuales procederá la declaración de inexistencia de la información.”</w:t>
      </w:r>
    </w:p>
    <w:p w14:paraId="4E0B1617" w14:textId="77777777" w:rsidR="00E74520" w:rsidRPr="00F92461" w:rsidRDefault="000445B4">
      <w:pPr>
        <w:pStyle w:val="Ttulo4"/>
        <w:ind w:left="567" w:right="-280"/>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Constitución Política del Estado Libre y Soberano de México</w:t>
      </w:r>
    </w:p>
    <w:p w14:paraId="4E0B1618" w14:textId="77777777" w:rsidR="00E74520" w:rsidRPr="00F92461" w:rsidRDefault="000445B4">
      <w:pPr>
        <w:pStyle w:val="Ttulo5"/>
        <w:ind w:left="567" w:right="-280"/>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“Artículo 5.-…</w:t>
      </w:r>
    </w:p>
    <w:p w14:paraId="4E0B1619" w14:textId="77777777" w:rsidR="00E74520" w:rsidRPr="00F92461" w:rsidRDefault="000445B4">
      <w:pPr>
        <w:ind w:left="567" w:right="-280"/>
        <w:jc w:val="both"/>
        <w:rPr>
          <w:rFonts w:ascii="Palatino Linotype" w:eastAsia="Palatino Linotype" w:hAnsi="Palatino Linotype" w:cs="Palatino Linotype"/>
          <w:i/>
          <w:sz w:val="22"/>
          <w:szCs w:val="22"/>
        </w:rPr>
      </w:pPr>
      <w:r w:rsidRPr="00F92461">
        <w:rPr>
          <w:rFonts w:ascii="Palatino Linotype" w:eastAsia="Palatino Linotype" w:hAnsi="Palatino Linotype" w:cs="Palatino Linotype"/>
          <w:i/>
          <w:sz w:val="22"/>
          <w:szCs w:val="22"/>
        </w:rPr>
        <w:t>…</w:t>
      </w:r>
    </w:p>
    <w:p w14:paraId="4E0B161A" w14:textId="77777777" w:rsidR="00E74520" w:rsidRPr="00F92461" w:rsidRDefault="000445B4">
      <w:pPr>
        <w:pBdr>
          <w:top w:val="nil"/>
          <w:left w:val="nil"/>
          <w:bottom w:val="nil"/>
          <w:right w:val="nil"/>
          <w:between w:val="nil"/>
        </w:pBdr>
        <w:ind w:left="567" w:right="-280"/>
        <w:jc w:val="both"/>
        <w:rPr>
          <w:rFonts w:ascii="Palatino Linotype" w:eastAsia="Palatino Linotype" w:hAnsi="Palatino Linotype" w:cs="Palatino Linotype"/>
          <w:b/>
          <w:i/>
          <w:color w:val="000000"/>
          <w:sz w:val="22"/>
          <w:szCs w:val="22"/>
        </w:rPr>
      </w:pPr>
      <w:r w:rsidRPr="00F92461">
        <w:rPr>
          <w:rFonts w:ascii="Palatino Linotype" w:eastAsia="Palatino Linotype" w:hAnsi="Palatino Linotype" w:cs="Palatino Linotype"/>
          <w:b/>
          <w:i/>
          <w:color w:val="000000"/>
          <w:sz w:val="22"/>
          <w:szCs w:val="22"/>
        </w:rPr>
        <w:t>El derecho a la información será garantizado por el Estado. La ley establecerá las previsiones que permitan asegurar la protección, el respeto y la difusión de este derecho.</w:t>
      </w:r>
    </w:p>
    <w:p w14:paraId="4E0B161B" w14:textId="77777777" w:rsidR="00E74520" w:rsidRPr="00F92461" w:rsidRDefault="000445B4">
      <w:pPr>
        <w:pBdr>
          <w:top w:val="nil"/>
          <w:left w:val="nil"/>
          <w:bottom w:val="nil"/>
          <w:right w:val="nil"/>
          <w:between w:val="nil"/>
        </w:pBdr>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E0B161C" w14:textId="77777777" w:rsidR="00E74520" w:rsidRPr="00F92461" w:rsidRDefault="000445B4">
      <w:pPr>
        <w:pStyle w:val="Ttulo3"/>
        <w:ind w:left="567" w:right="-280"/>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lastRenderedPageBreak/>
        <w:t>Este derecho se regirá por los principios y bases siguientes:</w:t>
      </w:r>
    </w:p>
    <w:p w14:paraId="4E0B161D" w14:textId="77777777" w:rsidR="00E74520" w:rsidRPr="00F92461" w:rsidRDefault="000445B4">
      <w:pPr>
        <w:numPr>
          <w:ilvl w:val="0"/>
          <w:numId w:val="5"/>
        </w:numPr>
        <w:pBdr>
          <w:top w:val="nil"/>
          <w:left w:val="nil"/>
          <w:bottom w:val="nil"/>
          <w:right w:val="nil"/>
          <w:between w:val="nil"/>
        </w:pBdr>
        <w:ind w:left="567" w:right="-280" w:firstLine="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b/>
          <w:i/>
          <w:color w:val="000000"/>
          <w:sz w:val="22"/>
          <w:szCs w:val="22"/>
        </w:rPr>
        <w:t>Toda la información en posesión de cualquier autoridad, entidad, órgano y organismos de los</w:t>
      </w:r>
      <w:r w:rsidRPr="00F92461">
        <w:rPr>
          <w:rFonts w:ascii="Palatino Linotype" w:eastAsia="Palatino Linotype" w:hAnsi="Palatino Linotype" w:cs="Palatino Linotype"/>
          <w:i/>
          <w:color w:val="000000"/>
          <w:sz w:val="22"/>
          <w:szCs w:val="22"/>
        </w:rPr>
        <w:t xml:space="preserve"> Poderes Ejecutivo, Legislativo y Judicial, órganos autónomos, partidos políticos, fideicomisos y fondos públicos estatales y </w:t>
      </w:r>
      <w:r w:rsidRPr="00F92461">
        <w:rPr>
          <w:rFonts w:ascii="Palatino Linotype" w:eastAsia="Palatino Linotype" w:hAnsi="Palatino Linotype" w:cs="Palatino Linotype"/>
          <w:b/>
          <w:i/>
          <w:color w:val="000000"/>
          <w:sz w:val="22"/>
          <w:szCs w:val="22"/>
        </w:rPr>
        <w:t>municipales</w:t>
      </w:r>
      <w:r w:rsidRPr="00F92461">
        <w:rPr>
          <w:rFonts w:ascii="Palatino Linotype" w:eastAsia="Palatino Linotype" w:hAnsi="Palatino Linotype" w:cs="Palatino Linotype"/>
          <w:i/>
          <w:color w:val="000000"/>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92461">
        <w:rPr>
          <w:rFonts w:ascii="Palatino Linotype" w:eastAsia="Palatino Linotype" w:hAnsi="Palatino Linotype" w:cs="Palatino Linotype"/>
          <w:b/>
          <w:i/>
          <w:color w:val="000000"/>
          <w:sz w:val="22"/>
          <w:szCs w:val="22"/>
        </w:rPr>
        <w:t>es pública</w:t>
      </w:r>
      <w:r w:rsidRPr="00F92461">
        <w:rPr>
          <w:rFonts w:ascii="Palatino Linotype" w:eastAsia="Palatino Linotype" w:hAnsi="Palatino Linotype" w:cs="Palatino Linotype"/>
          <w:i/>
          <w:color w:val="000000"/>
          <w:sz w:val="22"/>
          <w:szCs w:val="22"/>
        </w:rPr>
        <w:t xml:space="preserve"> y sólo podrá ser reservada temporalmente por razones previstas en la Constitución Política de los Estados Unidos Mexicanos de interés público y seguridad, en los términos que fijen las leyes. </w:t>
      </w:r>
      <w:r w:rsidRPr="00F92461">
        <w:rPr>
          <w:rFonts w:ascii="Palatino Linotype" w:eastAsia="Palatino Linotype" w:hAnsi="Palatino Linotype" w:cs="Palatino Linotype"/>
          <w:b/>
          <w:i/>
          <w:color w:val="000000"/>
          <w:sz w:val="22"/>
          <w:szCs w:val="22"/>
        </w:rPr>
        <w:t>En la interpretación de este derecho deberá prevalecer el principio de máxima publicidad</w:t>
      </w:r>
      <w:r w:rsidRPr="00F92461">
        <w:rPr>
          <w:rFonts w:ascii="Palatino Linotype" w:eastAsia="Palatino Linotype" w:hAnsi="Palatino Linotype" w:cs="Palatino Linotype"/>
          <w:i/>
          <w:color w:val="000000"/>
          <w:sz w:val="22"/>
          <w:szCs w:val="22"/>
        </w:rPr>
        <w:t xml:space="preserve">. </w:t>
      </w:r>
      <w:r w:rsidRPr="00F92461">
        <w:rPr>
          <w:rFonts w:ascii="Palatino Linotype" w:eastAsia="Palatino Linotype" w:hAnsi="Palatino Linotype" w:cs="Palatino Linotype"/>
          <w:b/>
          <w:i/>
          <w:color w:val="000000"/>
          <w:sz w:val="22"/>
          <w:szCs w:val="22"/>
        </w:rPr>
        <w:t>Los sujetos obligados deberán documentar todo acto que derive del ejercicio de sus facultades, competencias o funciones</w:t>
      </w:r>
      <w:r w:rsidRPr="00F92461">
        <w:rPr>
          <w:rFonts w:ascii="Palatino Linotype" w:eastAsia="Palatino Linotype" w:hAnsi="Palatino Linotype" w:cs="Palatino Linotype"/>
          <w:i/>
          <w:color w:val="000000"/>
          <w:sz w:val="22"/>
          <w:szCs w:val="22"/>
        </w:rPr>
        <w:t>, la ley determinará los supuestos específicos bajo los cuales procederá la declaración de inexistencia de la información.”</w:t>
      </w:r>
    </w:p>
    <w:p w14:paraId="4E0B161E" w14:textId="77777777" w:rsidR="00E74520" w:rsidRPr="00F92461" w:rsidRDefault="00E74520">
      <w:pPr>
        <w:pBdr>
          <w:top w:val="nil"/>
          <w:left w:val="nil"/>
          <w:bottom w:val="nil"/>
          <w:right w:val="nil"/>
          <w:between w:val="nil"/>
        </w:pBdr>
        <w:tabs>
          <w:tab w:val="left" w:pos="426"/>
          <w:tab w:val="left" w:pos="567"/>
        </w:tabs>
        <w:spacing w:line="360" w:lineRule="auto"/>
        <w:ind w:left="567" w:right="-847"/>
        <w:jc w:val="both"/>
        <w:rPr>
          <w:rFonts w:ascii="Palatino Linotype" w:eastAsia="Palatino Linotype" w:hAnsi="Palatino Linotype" w:cs="Palatino Linotype"/>
          <w:color w:val="000000"/>
        </w:rPr>
      </w:pPr>
    </w:p>
    <w:p w14:paraId="4E0B161F"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Según el artículo 150 de la Ley de Transparencia del Estado, la solicitud es la garantía primaria del Derecho de Acceso a la Información, además, establece que se regirá </w:t>
      </w:r>
      <w:r w:rsidRPr="00F92461">
        <w:rPr>
          <w:rFonts w:ascii="Palatino Linotype" w:eastAsia="Palatino Linotype" w:hAnsi="Palatino Linotype" w:cs="Palatino Linotype"/>
          <w:i/>
          <w:color w:val="000000"/>
        </w:rPr>
        <w:t>por los principios de simplicidad, rapidez gratuidad del procedimiento, auxilio y orientación a los particulares</w:t>
      </w:r>
      <w:r w:rsidRPr="00F92461">
        <w:rPr>
          <w:rFonts w:ascii="Palatino Linotype" w:eastAsia="Palatino Linotype" w:hAnsi="Palatino Linotype" w:cs="Palatino Linotype"/>
          <w:color w:val="000000"/>
        </w:rPr>
        <w:t>, contemplando el derecho de las personas con discapacidad y hablantes de lengua indígena.</w:t>
      </w:r>
    </w:p>
    <w:p w14:paraId="4E0B1620"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21"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El Derecho de Acceso a la Información se garantiza y respeta oportunamente, y según lo que dispone la Ley, las </w:t>
      </w:r>
      <w:r w:rsidRPr="00F92461">
        <w:rPr>
          <w:rFonts w:ascii="Palatino Linotype" w:eastAsia="Palatino Linotype" w:hAnsi="Palatino Linotype" w:cs="Palatino Linotype"/>
          <w:i/>
          <w:color w:val="000000"/>
        </w:rPr>
        <w:t>solicitudes de acceso a la información</w:t>
      </w:r>
      <w:r w:rsidRPr="00F92461">
        <w:rPr>
          <w:rFonts w:ascii="Palatino Linotype" w:eastAsia="Palatino Linotype" w:hAnsi="Palatino Linotype" w:cs="Palatino Linotype"/>
          <w:color w:val="000000"/>
        </w:rPr>
        <w:t>.</w:t>
      </w:r>
    </w:p>
    <w:p w14:paraId="4E0B1622"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23"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Así entonces, se procede analizar, en primer lugar, si 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al atender la solicitud de acceso a la información, satisfizo la garantía primaria del derecho según lo dispuesto por el artículo 150 de la Ley de Transparencia y Acceso a la Información Pública </w:t>
      </w:r>
      <w:r w:rsidRPr="00F92461">
        <w:rPr>
          <w:rFonts w:ascii="Palatino Linotype" w:eastAsia="Palatino Linotype" w:hAnsi="Palatino Linotype" w:cs="Palatino Linotype"/>
          <w:color w:val="000000"/>
        </w:rPr>
        <w:lastRenderedPageBreak/>
        <w:t xml:space="preserve">del Estado de México y Municipios y en segundo término si cumplió con su deber de respetar y garantizar el derecho, entregando la información solicitada. </w:t>
      </w:r>
    </w:p>
    <w:p w14:paraId="4E0B1624"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25" w14:textId="77777777" w:rsidR="00E74520" w:rsidRPr="00F92461" w:rsidRDefault="000445B4">
      <w:pPr>
        <w:numPr>
          <w:ilvl w:val="1"/>
          <w:numId w:val="6"/>
        </w:numPr>
        <w:pBdr>
          <w:top w:val="nil"/>
          <w:left w:val="nil"/>
          <w:bottom w:val="nil"/>
          <w:right w:val="nil"/>
          <w:between w:val="nil"/>
        </w:pBdr>
        <w:ind w:left="567" w:right="-847" w:hanging="141"/>
        <w:rPr>
          <w:rFonts w:ascii="Palatino Linotype" w:eastAsia="Palatino Linotype" w:hAnsi="Palatino Linotype" w:cs="Palatino Linotype"/>
          <w:b/>
          <w:color w:val="000000"/>
        </w:rPr>
      </w:pPr>
      <w:bookmarkStart w:id="9" w:name="_heading=h.4d34og8" w:colFirst="0" w:colLast="0"/>
      <w:bookmarkEnd w:id="9"/>
      <w:r w:rsidRPr="00F92461">
        <w:rPr>
          <w:rFonts w:ascii="Palatino Linotype" w:eastAsia="Palatino Linotype" w:hAnsi="Palatino Linotype" w:cs="Palatino Linotype"/>
          <w:b/>
          <w:color w:val="000000"/>
        </w:rPr>
        <w:t>De la información solicitada y la respuesta del SUJETO OBLIGADO.</w:t>
      </w:r>
    </w:p>
    <w:p w14:paraId="4E0B1626"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4E0B1627"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28"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Así, debemos recapitular que la </w:t>
      </w:r>
      <w:r w:rsidRPr="00F92461">
        <w:rPr>
          <w:rFonts w:ascii="Palatino Linotype" w:eastAsia="Palatino Linotype" w:hAnsi="Palatino Linotype" w:cs="Palatino Linotype"/>
          <w:b/>
          <w:color w:val="000000"/>
        </w:rPr>
        <w:t>RECURRENTE</w:t>
      </w:r>
      <w:r w:rsidRPr="00F92461">
        <w:rPr>
          <w:rFonts w:ascii="Palatino Linotype" w:eastAsia="Palatino Linotype" w:hAnsi="Palatino Linotype" w:cs="Palatino Linotype"/>
          <w:color w:val="000000"/>
        </w:rPr>
        <w:t xml:space="preserve"> solicitó lo siguiente: </w:t>
      </w:r>
      <w:r w:rsidRPr="00F92461">
        <w:rPr>
          <w:rFonts w:ascii="Palatino Linotype" w:eastAsia="Palatino Linotype" w:hAnsi="Palatino Linotype" w:cs="Palatino Linotype"/>
          <w:i/>
          <w:color w:val="000000"/>
        </w:rPr>
        <w:t xml:space="preserve">“la </w:t>
      </w:r>
      <w:r w:rsidRPr="00F92461">
        <w:rPr>
          <w:rFonts w:ascii="Verdana" w:eastAsia="Verdana" w:hAnsi="Verdana" w:cs="Verdana"/>
          <w:color w:val="000000"/>
        </w:rPr>
        <w:t> </w:t>
      </w:r>
      <w:r w:rsidRPr="00F92461">
        <w:rPr>
          <w:rFonts w:ascii="Palatino Linotype" w:eastAsia="Palatino Linotype" w:hAnsi="Palatino Linotype" w:cs="Palatino Linotype"/>
          <w:i/>
          <w:color w:val="000000"/>
        </w:rPr>
        <w:t xml:space="preserve">Direccion de Medio Ambiente ha dicho que se </w:t>
      </w:r>
      <w:r w:rsidRPr="00F92461">
        <w:rPr>
          <w:rFonts w:ascii="Palatino Linotype" w:eastAsia="Palatino Linotype" w:hAnsi="Palatino Linotype" w:cs="Palatino Linotype"/>
          <w:b/>
          <w:i/>
          <w:color w:val="000000"/>
        </w:rPr>
        <w:t>han plantado mas de 50 mil àrboles en Toluca</w:t>
      </w:r>
      <w:r w:rsidRPr="00F92461">
        <w:rPr>
          <w:rFonts w:ascii="Palatino Linotype" w:eastAsia="Palatino Linotype" w:hAnsi="Palatino Linotype" w:cs="Palatino Linotype"/>
          <w:i/>
          <w:color w:val="000000"/>
        </w:rPr>
        <w:t xml:space="preserve">, por esa razon quiero saber de </w:t>
      </w:r>
      <w:r w:rsidRPr="00F92461">
        <w:rPr>
          <w:rFonts w:ascii="Palatino Linotype" w:eastAsia="Palatino Linotype" w:hAnsi="Palatino Linotype" w:cs="Palatino Linotype"/>
          <w:b/>
          <w:i/>
          <w:color w:val="000000"/>
        </w:rPr>
        <w:t xml:space="preserve">donde viene cada uno </w:t>
      </w:r>
      <w:r w:rsidRPr="00F92461">
        <w:rPr>
          <w:rFonts w:ascii="Palatino Linotype" w:eastAsia="Palatino Linotype" w:hAnsi="Palatino Linotype" w:cs="Palatino Linotype"/>
          <w:i/>
          <w:color w:val="000000"/>
        </w:rPr>
        <w:t xml:space="preserve">de esos àrboles que dicen plantaron, el </w:t>
      </w:r>
      <w:r w:rsidRPr="00F92461">
        <w:rPr>
          <w:rFonts w:ascii="Palatino Linotype" w:eastAsia="Palatino Linotype" w:hAnsi="Palatino Linotype" w:cs="Palatino Linotype"/>
          <w:b/>
          <w:i/>
          <w:color w:val="000000"/>
        </w:rPr>
        <w:t>lugar especifico</w:t>
      </w:r>
      <w:r w:rsidRPr="00F92461">
        <w:rPr>
          <w:rFonts w:ascii="Palatino Linotype" w:eastAsia="Palatino Linotype" w:hAnsi="Palatino Linotype" w:cs="Palatino Linotype"/>
          <w:i/>
          <w:color w:val="000000"/>
        </w:rPr>
        <w:t xml:space="preserve"> </w:t>
      </w:r>
      <w:r w:rsidRPr="00F92461">
        <w:rPr>
          <w:rFonts w:ascii="Palatino Linotype" w:eastAsia="Palatino Linotype" w:hAnsi="Palatino Linotype" w:cs="Palatino Linotype"/>
          <w:b/>
          <w:i/>
          <w:color w:val="000000"/>
        </w:rPr>
        <w:t>de</w:t>
      </w:r>
      <w:r w:rsidRPr="00F92461">
        <w:rPr>
          <w:rFonts w:ascii="Palatino Linotype" w:eastAsia="Palatino Linotype" w:hAnsi="Palatino Linotype" w:cs="Palatino Linotype"/>
          <w:i/>
          <w:color w:val="000000"/>
        </w:rPr>
        <w:t xml:space="preserve"> </w:t>
      </w:r>
      <w:r w:rsidRPr="00F92461">
        <w:rPr>
          <w:rFonts w:ascii="Palatino Linotype" w:eastAsia="Palatino Linotype" w:hAnsi="Palatino Linotype" w:cs="Palatino Linotype"/>
          <w:b/>
          <w:i/>
          <w:color w:val="000000"/>
        </w:rPr>
        <w:t>donde esta cada àrbol</w:t>
      </w:r>
      <w:r w:rsidRPr="00F92461">
        <w:rPr>
          <w:rFonts w:ascii="Palatino Linotype" w:eastAsia="Palatino Linotype" w:hAnsi="Palatino Linotype" w:cs="Palatino Linotype"/>
          <w:i/>
          <w:color w:val="000000"/>
        </w:rPr>
        <w:t xml:space="preserve">, una </w:t>
      </w:r>
      <w:r w:rsidRPr="00F92461">
        <w:rPr>
          <w:rFonts w:ascii="Palatino Linotype" w:eastAsia="Palatino Linotype" w:hAnsi="Palatino Linotype" w:cs="Palatino Linotype"/>
          <w:b/>
          <w:i/>
          <w:color w:val="000000"/>
        </w:rPr>
        <w:t>foto de cada uno</w:t>
      </w:r>
      <w:r w:rsidRPr="00F92461">
        <w:rPr>
          <w:rFonts w:ascii="Palatino Linotype" w:eastAsia="Palatino Linotype" w:hAnsi="Palatino Linotype" w:cs="Palatino Linotype"/>
          <w:i/>
          <w:color w:val="000000"/>
        </w:rPr>
        <w:t xml:space="preserve">, </w:t>
      </w:r>
      <w:r w:rsidRPr="00F92461">
        <w:rPr>
          <w:rFonts w:ascii="Palatino Linotype" w:eastAsia="Palatino Linotype" w:hAnsi="Palatino Linotype" w:cs="Palatino Linotype"/>
          <w:b/>
          <w:i/>
          <w:color w:val="000000"/>
        </w:rPr>
        <w:t>cuantos plantaron</w:t>
      </w:r>
      <w:r w:rsidRPr="00F92461">
        <w:rPr>
          <w:rFonts w:ascii="Palatino Linotype" w:eastAsia="Palatino Linotype" w:hAnsi="Palatino Linotype" w:cs="Palatino Linotype"/>
          <w:i/>
          <w:color w:val="000000"/>
        </w:rPr>
        <w:t xml:space="preserve"> realmente y de esos que plantaron </w:t>
      </w:r>
      <w:r w:rsidRPr="00F92461">
        <w:rPr>
          <w:rFonts w:ascii="Palatino Linotype" w:eastAsia="Palatino Linotype" w:hAnsi="Palatino Linotype" w:cs="Palatino Linotype"/>
          <w:b/>
          <w:i/>
          <w:color w:val="000000"/>
        </w:rPr>
        <w:t>cuantos quedan vivos</w:t>
      </w:r>
      <w:r w:rsidRPr="00F92461">
        <w:rPr>
          <w:rFonts w:ascii="Palatino Linotype" w:eastAsia="Palatino Linotype" w:hAnsi="Palatino Linotype" w:cs="Palatino Linotype"/>
          <w:i/>
          <w:color w:val="000000"/>
        </w:rPr>
        <w:t xml:space="preserve">, tambien </w:t>
      </w:r>
      <w:r w:rsidRPr="00F92461">
        <w:rPr>
          <w:rFonts w:ascii="Palatino Linotype" w:eastAsia="Palatino Linotype" w:hAnsi="Palatino Linotype" w:cs="Palatino Linotype"/>
          <w:b/>
          <w:i/>
          <w:color w:val="000000"/>
        </w:rPr>
        <w:t>cual es el mantenimeitno</w:t>
      </w:r>
      <w:r w:rsidRPr="00F92461">
        <w:rPr>
          <w:rFonts w:ascii="Palatino Linotype" w:eastAsia="Palatino Linotype" w:hAnsi="Palatino Linotype" w:cs="Palatino Linotype"/>
          <w:i/>
          <w:color w:val="000000"/>
        </w:rPr>
        <w:t xml:space="preserve"> que les dan para que no se mueran.” (Sic)</w:t>
      </w:r>
    </w:p>
    <w:p w14:paraId="4E0B1629"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2A"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En respuesta, 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por medio del Servidor Público Habilitado de la Dirección de Gestión Ambiental del Ayuntamiento de Toluca, informó que los árboles plantados en el municipio de Toluca, emanan de donaciones realizadas por la Protectora de Bosques (PROBOSQUE), Fundación Grupo México, compensaciones ambientales y </w:t>
      </w:r>
      <w:r w:rsidRPr="00F92461">
        <w:rPr>
          <w:rFonts w:ascii="Palatino Linotype" w:eastAsia="Palatino Linotype" w:hAnsi="Palatino Linotype" w:cs="Palatino Linotype"/>
          <w:color w:val="000000"/>
        </w:rPr>
        <w:lastRenderedPageBreak/>
        <w:t>adquisición; así mismo, da a conocer las Áreas y lugares de reforestación; sin omitir mencionar que no cuenta con placas fotográficas de cada uno de los árboles plantados, no obstante envía evidencia (placas fotográficas) con las que cuenta esa área administrativa de algunas zonas reforestadas</w:t>
      </w:r>
      <w:r w:rsidRPr="00F92461">
        <w:rPr>
          <w:rFonts w:ascii="Palatino Linotype" w:eastAsia="Palatino Linotype" w:hAnsi="Palatino Linotype" w:cs="Palatino Linotype"/>
          <w:b/>
          <w:color w:val="000000"/>
        </w:rPr>
        <w:t xml:space="preserve">; </w:t>
      </w:r>
      <w:r w:rsidRPr="00F92461">
        <w:rPr>
          <w:rFonts w:ascii="Palatino Linotype" w:eastAsia="Palatino Linotype" w:hAnsi="Palatino Linotype" w:cs="Palatino Linotype"/>
          <w:color w:val="000000"/>
        </w:rPr>
        <w:t xml:space="preserve">así mismo, informa que durante el año 2023 se plantaron 147, 675 árboles en la zona urbana, mientras que en zona suburbana se realizaron 89, 689 plantaciones, a los que les brindan mantenimiento de riego de auxilio, rehabilitación de cajetes y aplicación de composta, con lo que se ha logrado el 70% de supervivencia de dichos árboles. </w:t>
      </w:r>
    </w:p>
    <w:p w14:paraId="4E0B162B" w14:textId="77777777" w:rsidR="00E74520" w:rsidRPr="00F92461" w:rsidRDefault="00E74520">
      <w:pPr>
        <w:pBdr>
          <w:top w:val="nil"/>
          <w:left w:val="nil"/>
          <w:bottom w:val="nil"/>
          <w:right w:val="nil"/>
          <w:between w:val="nil"/>
        </w:pBdr>
        <w:ind w:left="720" w:right="-847"/>
        <w:rPr>
          <w:rFonts w:ascii="Palatino Linotype" w:eastAsia="Palatino Linotype" w:hAnsi="Palatino Linotype" w:cs="Palatino Linotype"/>
          <w:b/>
          <w:color w:val="000000"/>
        </w:rPr>
      </w:pPr>
    </w:p>
    <w:p w14:paraId="4E0B162C"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De los motivos de descontento referidos por la </w:t>
      </w:r>
      <w:r w:rsidRPr="00F92461">
        <w:rPr>
          <w:rFonts w:ascii="Palatino Linotype" w:eastAsia="Palatino Linotype" w:hAnsi="Palatino Linotype" w:cs="Palatino Linotype"/>
          <w:b/>
          <w:color w:val="000000"/>
        </w:rPr>
        <w:t xml:space="preserve">RECURRENTE, </w:t>
      </w:r>
      <w:r w:rsidRPr="00F92461">
        <w:rPr>
          <w:rFonts w:ascii="Palatino Linotype" w:eastAsia="Palatino Linotype" w:hAnsi="Palatino Linotype" w:cs="Palatino Linotype"/>
          <w:color w:val="000000"/>
        </w:rPr>
        <w:t xml:space="preserve">se observa que se inconforma porque </w:t>
      </w:r>
      <w:r w:rsidRPr="00F92461">
        <w:rPr>
          <w:rFonts w:ascii="Palatino Linotype" w:eastAsia="Palatino Linotype" w:hAnsi="Palatino Linotype" w:cs="Palatino Linotype"/>
          <w:b/>
          <w:color w:val="000000"/>
        </w:rPr>
        <w:t>la entrega de la información incompleta,</w:t>
      </w:r>
      <w:r w:rsidRPr="00F92461">
        <w:rPr>
          <w:rFonts w:ascii="Palatino Linotype" w:eastAsia="Palatino Linotype" w:hAnsi="Palatino Linotype" w:cs="Palatino Linotype"/>
          <w:color w:val="000000"/>
        </w:rPr>
        <w:t xml:space="preserve"> en los siguientes términos: </w:t>
      </w:r>
      <w:r w:rsidRPr="00F92461">
        <w:rPr>
          <w:rFonts w:ascii="Palatino Linotype" w:eastAsia="Palatino Linotype" w:hAnsi="Palatino Linotype" w:cs="Palatino Linotype"/>
          <w:i/>
          <w:color w:val="000000"/>
        </w:rPr>
        <w:t xml:space="preserve">“presento este recurso por que no me dan la informacion que pedi, primero por que </w:t>
      </w:r>
      <w:r w:rsidRPr="00F92461">
        <w:rPr>
          <w:rFonts w:ascii="Palatino Linotype" w:eastAsia="Palatino Linotype" w:hAnsi="Palatino Linotype" w:cs="Palatino Linotype"/>
          <w:b/>
          <w:i/>
          <w:color w:val="000000"/>
        </w:rPr>
        <w:t>no me dicen completamente y claro de donde viene cada àrbol</w:t>
      </w:r>
      <w:r w:rsidRPr="00F92461">
        <w:rPr>
          <w:rFonts w:ascii="Palatino Linotype" w:eastAsia="Palatino Linotype" w:hAnsi="Palatino Linotype" w:cs="Palatino Linotype"/>
          <w:i/>
          <w:color w:val="000000"/>
        </w:rPr>
        <w:t xml:space="preserve"> si no que solo dicen de donde pero no me informan o me dan un listado con lo que pido. </w:t>
      </w:r>
      <w:r w:rsidRPr="00F92461">
        <w:rPr>
          <w:rFonts w:ascii="Palatino Linotype" w:eastAsia="Palatino Linotype" w:hAnsi="Palatino Linotype" w:cs="Palatino Linotype"/>
          <w:b/>
          <w:i/>
          <w:color w:val="000000"/>
        </w:rPr>
        <w:t>en segundo lugar no me dicen donde esta plaantado cada àrbol</w:t>
      </w:r>
      <w:r w:rsidRPr="00F92461">
        <w:rPr>
          <w:rFonts w:ascii="Palatino Linotype" w:eastAsia="Palatino Linotype" w:hAnsi="Palatino Linotype" w:cs="Palatino Linotype"/>
          <w:i/>
          <w:color w:val="000000"/>
        </w:rPr>
        <w:t xml:space="preserve"> y solo me dicen los lugares y su manual de organizacion dice que deben tener la ubicacion fisico georeferenciada de cada uno de ellos y </w:t>
      </w:r>
      <w:r w:rsidRPr="00F92461">
        <w:rPr>
          <w:rFonts w:ascii="Palatino Linotype" w:eastAsia="Palatino Linotype" w:hAnsi="Palatino Linotype" w:cs="Palatino Linotype"/>
          <w:b/>
          <w:i/>
          <w:color w:val="000000"/>
        </w:rPr>
        <w:t>tampoco dicen cuantos fueron plantados</w:t>
      </w:r>
      <w:r w:rsidRPr="00F92461">
        <w:rPr>
          <w:rFonts w:ascii="Palatino Linotype" w:eastAsia="Palatino Linotype" w:hAnsi="Palatino Linotype" w:cs="Palatino Linotype"/>
          <w:i/>
          <w:color w:val="000000"/>
        </w:rPr>
        <w:t xml:space="preserve"> </w:t>
      </w:r>
      <w:r w:rsidRPr="00F92461">
        <w:rPr>
          <w:rFonts w:ascii="Palatino Linotype" w:eastAsia="Palatino Linotype" w:hAnsi="Palatino Linotype" w:cs="Palatino Linotype"/>
          <w:b/>
          <w:i/>
          <w:color w:val="000000"/>
        </w:rPr>
        <w:t>en cada lugar</w:t>
      </w:r>
      <w:r w:rsidRPr="00F92461">
        <w:rPr>
          <w:rFonts w:ascii="Palatino Linotype" w:eastAsia="Palatino Linotype" w:hAnsi="Palatino Linotype" w:cs="Palatino Linotype"/>
          <w:i/>
          <w:color w:val="000000"/>
        </w:rPr>
        <w:t xml:space="preserve">. en tercerlugar </w:t>
      </w:r>
      <w:r w:rsidRPr="00F92461">
        <w:rPr>
          <w:rFonts w:ascii="Palatino Linotype" w:eastAsia="Palatino Linotype" w:hAnsi="Palatino Linotype" w:cs="Palatino Linotype"/>
          <w:b/>
          <w:i/>
          <w:color w:val="000000"/>
        </w:rPr>
        <w:t>dicen un porcentaje y no la cantidad que pedi.”</w:t>
      </w:r>
      <w:r w:rsidRPr="00F92461">
        <w:rPr>
          <w:rFonts w:ascii="Palatino Linotype" w:eastAsia="Palatino Linotype" w:hAnsi="Palatino Linotype" w:cs="Palatino Linotype"/>
          <w:i/>
          <w:color w:val="000000"/>
        </w:rPr>
        <w:t xml:space="preserve"> (Sic)</w:t>
      </w:r>
    </w:p>
    <w:p w14:paraId="4E0B162D" w14:textId="77777777" w:rsidR="00E74520" w:rsidRPr="00F92461" w:rsidRDefault="00E74520">
      <w:pPr>
        <w:pBdr>
          <w:top w:val="nil"/>
          <w:left w:val="nil"/>
          <w:bottom w:val="nil"/>
          <w:right w:val="nil"/>
          <w:between w:val="nil"/>
        </w:pBdr>
        <w:ind w:left="720" w:right="-847"/>
        <w:rPr>
          <w:rFonts w:ascii="Palatino Linotype" w:eastAsia="Palatino Linotype" w:hAnsi="Palatino Linotype" w:cs="Palatino Linotype"/>
          <w:color w:val="000000"/>
        </w:rPr>
      </w:pPr>
    </w:p>
    <w:p w14:paraId="4E0B162E"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En consecuencia, se observa que la totalidad de las respuestas en cuanto a su solicitud de información no fueron impugnadas, por lo que deben declararse consentidas, toda vez que al no realizar manifestaciones de inconformidad respecto del resto de las respuestas, no pueden producirse efectos jurídicos tendentes a revocar, confirmar o modificar el acto reclamado, ya que no realizó manifestación alguna al respecto.</w:t>
      </w:r>
    </w:p>
    <w:p w14:paraId="4E0B162F"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lastRenderedPageBreak/>
        <w:t>Sirve de sustento, la tesis jurisprudencial número VI.3o.C. J/60, publicada en el Semanario Judicial de la Federación y su Gaceta bajo el número de registro 176,608 que a la letra dice:</w:t>
      </w:r>
    </w:p>
    <w:p w14:paraId="4E0B1630" w14:textId="77777777" w:rsidR="00E74520" w:rsidRPr="00F92461" w:rsidRDefault="000445B4">
      <w:pPr>
        <w:pBdr>
          <w:top w:val="nil"/>
          <w:left w:val="nil"/>
          <w:bottom w:val="nil"/>
          <w:right w:val="nil"/>
          <w:between w:val="nil"/>
        </w:pBdr>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E0B1631" w14:textId="77777777" w:rsidR="00E74520" w:rsidRPr="00F92461" w:rsidRDefault="00E74520">
      <w:pPr>
        <w:pBdr>
          <w:top w:val="nil"/>
          <w:left w:val="nil"/>
          <w:bottom w:val="nil"/>
          <w:right w:val="nil"/>
          <w:between w:val="nil"/>
        </w:pBdr>
        <w:ind w:left="720" w:right="-847"/>
        <w:rPr>
          <w:rFonts w:ascii="Palatino Linotype" w:eastAsia="Palatino Linotype" w:hAnsi="Palatino Linotype" w:cs="Palatino Linotype"/>
          <w:color w:val="000000"/>
        </w:rPr>
      </w:pPr>
    </w:p>
    <w:p w14:paraId="4E0B1632"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Lo anterior es así, debido a que cuando la </w:t>
      </w:r>
      <w:r w:rsidRPr="00F92461">
        <w:rPr>
          <w:rFonts w:ascii="Palatino Linotype" w:eastAsia="Palatino Linotype" w:hAnsi="Palatino Linotype" w:cs="Palatino Linotype"/>
          <w:b/>
          <w:color w:val="000000"/>
        </w:rPr>
        <w:t xml:space="preserve">PARTICULAR </w:t>
      </w:r>
      <w:r w:rsidRPr="00F92461">
        <w:rPr>
          <w:rFonts w:ascii="Palatino Linotype" w:eastAsia="Palatino Linotype" w:hAnsi="Palatino Linotype" w:cs="Palatino Linotype"/>
          <w:color w:val="000000"/>
        </w:rPr>
        <w:t xml:space="preserve">impugnó la respuesta del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no expresó razón o motivo de inconformidad en contra de la totalidad de la entrega de información, por tanto, estos deben declararse atendidos, pues se entiende que </w:t>
      </w:r>
      <w:r w:rsidRPr="00F92461">
        <w:rPr>
          <w:rFonts w:ascii="Palatino Linotype" w:eastAsia="Palatino Linotype" w:hAnsi="Palatino Linotype" w:cs="Palatino Linotype"/>
          <w:b/>
          <w:color w:val="000000"/>
        </w:rPr>
        <w:t>LA RECURRENTE</w:t>
      </w:r>
      <w:r w:rsidRPr="00F92461">
        <w:rPr>
          <w:rFonts w:ascii="Palatino Linotype" w:eastAsia="Palatino Linotype" w:hAnsi="Palatino Linotype" w:cs="Palatino Linotype"/>
          <w:color w:val="000000"/>
        </w:rPr>
        <w:t xml:space="preserve"> está conforme con la respuesta proporcionada por 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al no contravenir la misma.</w:t>
      </w:r>
    </w:p>
    <w:p w14:paraId="4E0B1633"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34"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Atento a ello, es importante traer a contexto la Tesis Jurisprudencial Número 3ª./J.7/91, Publicada en el Semanario Judicial de la Federación y su Gaceta bajo el número de registro 174,177, que establece lo siguiente:</w:t>
      </w:r>
    </w:p>
    <w:p w14:paraId="4E0B1635" w14:textId="77777777" w:rsidR="00E74520" w:rsidRPr="00F92461" w:rsidRDefault="000445B4">
      <w:pPr>
        <w:pBdr>
          <w:top w:val="nil"/>
          <w:left w:val="nil"/>
          <w:bottom w:val="nil"/>
          <w:right w:val="nil"/>
          <w:between w:val="nil"/>
        </w:pBdr>
        <w:spacing w:after="240"/>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“REVISIÓN EN AMPARO. LOS RESOLUTIVOS NO COMBATIDOS DEBEN DECLARARSE FIRMES.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E0B1636" w14:textId="77777777" w:rsidR="00E74520" w:rsidRPr="00F92461" w:rsidRDefault="00E74520">
      <w:pPr>
        <w:tabs>
          <w:tab w:val="left" w:pos="426"/>
          <w:tab w:val="left" w:pos="567"/>
        </w:tabs>
        <w:spacing w:line="360" w:lineRule="auto"/>
        <w:ind w:right="-847"/>
        <w:jc w:val="both"/>
        <w:rPr>
          <w:rFonts w:ascii="Palatino Linotype" w:eastAsia="Palatino Linotype" w:hAnsi="Palatino Linotype" w:cs="Palatino Linotype"/>
          <w:b/>
          <w:color w:val="000000"/>
        </w:rPr>
      </w:pPr>
    </w:p>
    <w:p w14:paraId="4E0B1637"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bookmarkStart w:id="10" w:name="_heading=h.2s8eyo1" w:colFirst="0" w:colLast="0"/>
      <w:bookmarkEnd w:id="10"/>
      <w:r w:rsidRPr="00F92461">
        <w:rPr>
          <w:rFonts w:ascii="Palatino Linotype" w:eastAsia="Palatino Linotype" w:hAnsi="Palatino Linotype" w:cs="Palatino Linotype"/>
          <w:color w:val="000000"/>
        </w:rPr>
        <w:t>De lo referido y a efecto de garantizar el efectivo ejercicio del derecho de acceso a la información pública que asiste al</w:t>
      </w:r>
      <w:r w:rsidRPr="00F92461">
        <w:rPr>
          <w:rFonts w:ascii="Palatino Linotype" w:eastAsia="Palatino Linotype" w:hAnsi="Palatino Linotype" w:cs="Palatino Linotype"/>
          <w:b/>
          <w:color w:val="000000"/>
        </w:rPr>
        <w:t xml:space="preserve"> RECURRENTE</w:t>
      </w:r>
      <w:r w:rsidRPr="00F92461">
        <w:rPr>
          <w:rFonts w:ascii="Palatino Linotype" w:eastAsia="Palatino Linotype" w:hAnsi="Palatino Linotype" w:cs="Palatino Linotype"/>
          <w:color w:val="000000"/>
        </w:rPr>
        <w:t xml:space="preserve">, resulta conveniente precisar que el presente análisis </w:t>
      </w:r>
      <w:r w:rsidRPr="00F92461">
        <w:rPr>
          <w:rFonts w:ascii="Palatino Linotype" w:eastAsia="Palatino Linotype" w:hAnsi="Palatino Linotype" w:cs="Palatino Linotype"/>
        </w:rPr>
        <w:t>versará</w:t>
      </w:r>
      <w:r w:rsidRPr="00F92461">
        <w:rPr>
          <w:rFonts w:ascii="Palatino Linotype" w:eastAsia="Palatino Linotype" w:hAnsi="Palatino Linotype" w:cs="Palatino Linotype"/>
          <w:color w:val="000000"/>
        </w:rPr>
        <w:t xml:space="preserve"> únicamente </w:t>
      </w:r>
      <w:r w:rsidRPr="00F92461">
        <w:rPr>
          <w:rFonts w:ascii="Palatino Linotype" w:eastAsia="Palatino Linotype" w:hAnsi="Palatino Linotype" w:cs="Palatino Linotype"/>
          <w:b/>
          <w:color w:val="000000"/>
        </w:rPr>
        <w:t xml:space="preserve">sobre la obtención y ubicación de los árboles que son utilizados para reforestación; así como de los lugares </w:t>
      </w:r>
      <w:r w:rsidRPr="00F92461">
        <w:rPr>
          <w:rFonts w:ascii="Palatino Linotype" w:eastAsia="Palatino Linotype" w:hAnsi="Palatino Linotype" w:cs="Palatino Linotype"/>
          <w:b/>
        </w:rPr>
        <w:t>reforestados</w:t>
      </w:r>
      <w:r w:rsidRPr="00F92461">
        <w:rPr>
          <w:rFonts w:ascii="Palatino Linotype" w:eastAsia="Palatino Linotype" w:hAnsi="Palatino Linotype" w:cs="Palatino Linotype"/>
          <w:b/>
          <w:color w:val="000000"/>
        </w:rPr>
        <w:t xml:space="preserve"> y supervivencia de las arboledas. </w:t>
      </w:r>
    </w:p>
    <w:p w14:paraId="4E0B1638"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b/>
          <w:color w:val="000000"/>
        </w:rPr>
      </w:pPr>
    </w:p>
    <w:p w14:paraId="4E0B1639"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r w:rsidRPr="00F92461">
        <w:rPr>
          <w:rFonts w:ascii="Palatino Linotype" w:eastAsia="Palatino Linotype" w:hAnsi="Palatino Linotype" w:cs="Palatino Linotype"/>
          <w:color w:val="000000"/>
        </w:rPr>
        <w:t xml:space="preserve">En consecuencia, 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rindió el informe justificado correspondiente, por medio del archivo electrónico denominado </w:t>
      </w:r>
      <w:r w:rsidRPr="00F92461">
        <w:rPr>
          <w:rFonts w:ascii="Palatino Linotype" w:eastAsia="Palatino Linotype" w:hAnsi="Palatino Linotype" w:cs="Palatino Linotype"/>
          <w:b/>
          <w:color w:val="000000"/>
        </w:rPr>
        <w:t xml:space="preserve">“3333.pdf”, </w:t>
      </w:r>
      <w:r w:rsidRPr="00F92461">
        <w:rPr>
          <w:rFonts w:ascii="Palatino Linotype" w:eastAsia="Palatino Linotype" w:hAnsi="Palatino Linotype" w:cs="Palatino Linotype"/>
          <w:color w:val="000000"/>
        </w:rPr>
        <w:t xml:space="preserve">consistente en el oficio 2010A4000/UT/RR/0355/2024, de fecha 10 de junio de 2024, suscrito por la Titular de la Unidad de Transparencia respectivamente; donde </w:t>
      </w:r>
      <w:r w:rsidRPr="00F92461">
        <w:rPr>
          <w:rFonts w:ascii="Palatino Linotype" w:eastAsia="Palatino Linotype" w:hAnsi="Palatino Linotype" w:cs="Palatino Linotype"/>
          <w:b/>
          <w:color w:val="000000"/>
        </w:rPr>
        <w:t>ratificó la respuesta.</w:t>
      </w:r>
    </w:p>
    <w:p w14:paraId="4E0B163A"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b/>
          <w:color w:val="000000"/>
        </w:rPr>
      </w:pPr>
    </w:p>
    <w:p w14:paraId="4E0B163B"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Precisado lo anterior, se procede al análisis del requerimiento planteado por persona solicitante y la respuesta proporcionada por 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14:paraId="4E0B163C" w14:textId="77777777" w:rsidR="00E74520" w:rsidRPr="00F92461" w:rsidRDefault="00E74520">
      <w:pPr>
        <w:pBdr>
          <w:top w:val="nil"/>
          <w:left w:val="nil"/>
          <w:bottom w:val="nil"/>
          <w:right w:val="nil"/>
          <w:between w:val="nil"/>
        </w:pBdr>
        <w:ind w:left="720" w:right="-847"/>
        <w:rPr>
          <w:rFonts w:ascii="Palatino Linotype" w:eastAsia="Palatino Linotype" w:hAnsi="Palatino Linotype" w:cs="Palatino Linotype"/>
          <w:color w:val="000000"/>
        </w:rPr>
      </w:pPr>
    </w:p>
    <w:p w14:paraId="4E0B163D"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En este sentido se inserta el siguiente cuadro de análisis:</w:t>
      </w:r>
    </w:p>
    <w:p w14:paraId="4E0B163E"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rPr>
      </w:pPr>
    </w:p>
    <w:p w14:paraId="4E0B163F"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rPr>
      </w:pPr>
    </w:p>
    <w:p w14:paraId="4E0B1640"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rPr>
      </w:pPr>
    </w:p>
    <w:tbl>
      <w:tblPr>
        <w:tblStyle w:val="a"/>
        <w:tblW w:w="9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2430"/>
        <w:gridCol w:w="2430"/>
        <w:gridCol w:w="2430"/>
      </w:tblGrid>
      <w:tr w:rsidR="00E74520" w:rsidRPr="00F92461" w14:paraId="4E0B1645" w14:textId="77777777">
        <w:tc>
          <w:tcPr>
            <w:tcW w:w="2430" w:type="dxa"/>
            <w:shd w:val="clear" w:color="auto" w:fill="D9D9D9"/>
          </w:tcPr>
          <w:p w14:paraId="4E0B1641"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b/>
                <w:color w:val="000000"/>
                <w:sz w:val="22"/>
                <w:szCs w:val="22"/>
              </w:rPr>
            </w:pPr>
            <w:r w:rsidRPr="00F92461">
              <w:rPr>
                <w:rFonts w:ascii="Palatino Linotype" w:eastAsia="Palatino Linotype" w:hAnsi="Palatino Linotype" w:cs="Palatino Linotype"/>
                <w:b/>
                <w:color w:val="000000"/>
                <w:sz w:val="22"/>
                <w:szCs w:val="22"/>
              </w:rPr>
              <w:lastRenderedPageBreak/>
              <w:t xml:space="preserve">Información Solicitada </w:t>
            </w:r>
          </w:p>
        </w:tc>
        <w:tc>
          <w:tcPr>
            <w:tcW w:w="2430" w:type="dxa"/>
            <w:shd w:val="clear" w:color="auto" w:fill="D9D9D9"/>
          </w:tcPr>
          <w:p w14:paraId="4E0B1642"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b/>
                <w:color w:val="000000"/>
                <w:sz w:val="22"/>
                <w:szCs w:val="22"/>
              </w:rPr>
            </w:pPr>
            <w:r w:rsidRPr="00F92461">
              <w:rPr>
                <w:rFonts w:ascii="Palatino Linotype" w:eastAsia="Palatino Linotype" w:hAnsi="Palatino Linotype" w:cs="Palatino Linotype"/>
                <w:b/>
                <w:color w:val="000000"/>
                <w:sz w:val="22"/>
                <w:szCs w:val="22"/>
              </w:rPr>
              <w:t xml:space="preserve">Respuesta </w:t>
            </w:r>
          </w:p>
        </w:tc>
        <w:tc>
          <w:tcPr>
            <w:tcW w:w="2430" w:type="dxa"/>
            <w:shd w:val="clear" w:color="auto" w:fill="D9D9D9"/>
          </w:tcPr>
          <w:p w14:paraId="4E0B1643"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b/>
                <w:color w:val="000000"/>
                <w:sz w:val="22"/>
                <w:szCs w:val="22"/>
              </w:rPr>
            </w:pPr>
            <w:r w:rsidRPr="00F92461">
              <w:rPr>
                <w:rFonts w:ascii="Palatino Linotype" w:eastAsia="Palatino Linotype" w:hAnsi="Palatino Linotype" w:cs="Palatino Linotype"/>
                <w:b/>
                <w:color w:val="000000"/>
                <w:sz w:val="22"/>
                <w:szCs w:val="22"/>
              </w:rPr>
              <w:t xml:space="preserve">Informe Justificado </w:t>
            </w:r>
          </w:p>
        </w:tc>
        <w:tc>
          <w:tcPr>
            <w:tcW w:w="2430" w:type="dxa"/>
            <w:shd w:val="clear" w:color="auto" w:fill="D9D9D9"/>
          </w:tcPr>
          <w:p w14:paraId="4E0B1644"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b/>
                <w:color w:val="000000"/>
              </w:rPr>
            </w:pPr>
            <w:r w:rsidRPr="00F92461">
              <w:rPr>
                <w:rFonts w:ascii="Palatino Linotype" w:eastAsia="Palatino Linotype" w:hAnsi="Palatino Linotype" w:cs="Palatino Linotype"/>
                <w:b/>
                <w:color w:val="000000"/>
              </w:rPr>
              <w:t>Comentario</w:t>
            </w:r>
          </w:p>
        </w:tc>
      </w:tr>
      <w:tr w:rsidR="00E74520" w:rsidRPr="00F92461" w14:paraId="4E0B164A" w14:textId="77777777">
        <w:tc>
          <w:tcPr>
            <w:tcW w:w="2430" w:type="dxa"/>
          </w:tcPr>
          <w:p w14:paraId="4E0B1646" w14:textId="77777777" w:rsidR="00E74520" w:rsidRPr="00F92461" w:rsidRDefault="000445B4">
            <w:pPr>
              <w:numPr>
                <w:ilvl w:val="0"/>
                <w:numId w:val="10"/>
              </w:numPr>
              <w:ind w:left="283"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Quiero saber de dónde viene cada uno de esos árboles que dicen que plantaron</w:t>
            </w:r>
          </w:p>
        </w:tc>
        <w:tc>
          <w:tcPr>
            <w:tcW w:w="2430" w:type="dxa"/>
          </w:tcPr>
          <w:p w14:paraId="4E0B1647"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 xml:space="preserve">El Servidor Público Habilitado de la Dirección de Gestión Ambiental, </w:t>
            </w:r>
            <w:r w:rsidRPr="00F92461">
              <w:rPr>
                <w:rFonts w:ascii="Palatino Linotype" w:eastAsia="Palatino Linotype" w:hAnsi="Palatino Linotype" w:cs="Palatino Linotype"/>
                <w:sz w:val="22"/>
                <w:szCs w:val="22"/>
              </w:rPr>
              <w:t>informó</w:t>
            </w:r>
            <w:r w:rsidRPr="00F92461">
              <w:rPr>
                <w:rFonts w:ascii="Palatino Linotype" w:eastAsia="Palatino Linotype" w:hAnsi="Palatino Linotype" w:cs="Palatino Linotype"/>
                <w:color w:val="000000"/>
                <w:sz w:val="22"/>
                <w:szCs w:val="22"/>
              </w:rPr>
              <w:t xml:space="preserve"> que se obtienen mediante donaciones realizadas por la Protectora de Bosques (PROBOSQUE), Fundación Grupo México, compensaciones ambientales y adquisición</w:t>
            </w:r>
          </w:p>
        </w:tc>
        <w:tc>
          <w:tcPr>
            <w:tcW w:w="2430" w:type="dxa"/>
          </w:tcPr>
          <w:p w14:paraId="4E0B1648"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Ratifica respuesta</w:t>
            </w:r>
          </w:p>
        </w:tc>
        <w:tc>
          <w:tcPr>
            <w:tcW w:w="2430" w:type="dxa"/>
          </w:tcPr>
          <w:p w14:paraId="4E0B1649"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rPr>
            </w:pPr>
            <w:r w:rsidRPr="00F92461">
              <w:rPr>
                <w:rFonts w:ascii="Palatino Linotype" w:eastAsia="Palatino Linotype" w:hAnsi="Palatino Linotype" w:cs="Palatino Linotype"/>
                <w:color w:val="000000"/>
              </w:rPr>
              <w:t>El requerimiento fue atendido por medio del Servidor Público Habilitado competente</w:t>
            </w:r>
          </w:p>
        </w:tc>
      </w:tr>
      <w:tr w:rsidR="00E74520" w:rsidRPr="00F92461" w14:paraId="4E0B164F" w14:textId="77777777">
        <w:tc>
          <w:tcPr>
            <w:tcW w:w="2430" w:type="dxa"/>
          </w:tcPr>
          <w:p w14:paraId="4E0B164B"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2.El lugar específico de donde esta cada árbol</w:t>
            </w:r>
          </w:p>
        </w:tc>
        <w:tc>
          <w:tcPr>
            <w:tcW w:w="2430" w:type="dxa"/>
          </w:tcPr>
          <w:p w14:paraId="4E0B164C"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b/>
                <w:color w:val="C00000"/>
                <w:sz w:val="22"/>
                <w:szCs w:val="22"/>
              </w:rPr>
            </w:pPr>
            <w:r w:rsidRPr="00F92461">
              <w:rPr>
                <w:rFonts w:ascii="Palatino Linotype" w:eastAsia="Palatino Linotype" w:hAnsi="Palatino Linotype" w:cs="Palatino Linotype"/>
                <w:color w:val="000000"/>
                <w:sz w:val="22"/>
                <w:szCs w:val="22"/>
              </w:rPr>
              <w:t xml:space="preserve">El Servidor Público Habilitado de la Dirección de Gestión Ambiental, </w:t>
            </w:r>
            <w:r w:rsidRPr="00F92461">
              <w:rPr>
                <w:rFonts w:ascii="Palatino Linotype" w:eastAsia="Palatino Linotype" w:hAnsi="Palatino Linotype" w:cs="Palatino Linotype"/>
                <w:sz w:val="22"/>
                <w:szCs w:val="22"/>
              </w:rPr>
              <w:t>informó</w:t>
            </w:r>
            <w:r w:rsidRPr="00F92461">
              <w:rPr>
                <w:rFonts w:ascii="Palatino Linotype" w:eastAsia="Palatino Linotype" w:hAnsi="Palatino Linotype" w:cs="Palatino Linotype"/>
                <w:color w:val="000000"/>
                <w:sz w:val="22"/>
                <w:szCs w:val="22"/>
              </w:rPr>
              <w:t xml:space="preserve"> que durante el año 2023, se reforestaron nueve áreas de plantación en diversas Delegaciones del municipio de Toluca, destacando la zona y el lugar</w:t>
            </w:r>
            <w:r w:rsidRPr="00F92461">
              <w:rPr>
                <w:rFonts w:ascii="Palatino Linotype" w:eastAsia="Palatino Linotype" w:hAnsi="Palatino Linotype" w:cs="Palatino Linotype"/>
                <w:b/>
                <w:color w:val="C00000"/>
                <w:sz w:val="22"/>
                <w:szCs w:val="22"/>
              </w:rPr>
              <w:t>.</w:t>
            </w:r>
          </w:p>
        </w:tc>
        <w:tc>
          <w:tcPr>
            <w:tcW w:w="2430" w:type="dxa"/>
          </w:tcPr>
          <w:p w14:paraId="4E0B164D"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Ratifica respuesta</w:t>
            </w:r>
          </w:p>
        </w:tc>
        <w:tc>
          <w:tcPr>
            <w:tcW w:w="2430" w:type="dxa"/>
          </w:tcPr>
          <w:p w14:paraId="4E0B164E"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rPr>
            </w:pPr>
            <w:r w:rsidRPr="00F92461">
              <w:rPr>
                <w:rFonts w:ascii="Palatino Linotype" w:eastAsia="Palatino Linotype" w:hAnsi="Palatino Linotype" w:cs="Palatino Linotype"/>
                <w:color w:val="000000"/>
              </w:rPr>
              <w:t>El requerimiento fue atendido por medio del Servidor Público Habilitado competente</w:t>
            </w:r>
          </w:p>
        </w:tc>
      </w:tr>
      <w:tr w:rsidR="00E74520" w:rsidRPr="00F92461" w14:paraId="4E0B1654" w14:textId="77777777">
        <w:tc>
          <w:tcPr>
            <w:tcW w:w="2430" w:type="dxa"/>
          </w:tcPr>
          <w:p w14:paraId="4E0B1650"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3. Una foto de cada uno</w:t>
            </w:r>
          </w:p>
        </w:tc>
        <w:tc>
          <w:tcPr>
            <w:tcW w:w="2430" w:type="dxa"/>
          </w:tcPr>
          <w:p w14:paraId="4E0B1651"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 xml:space="preserve">El Servidor Público Habilitado de la Dirección de Gestión Ambiental, </w:t>
            </w:r>
            <w:r w:rsidRPr="00F92461">
              <w:rPr>
                <w:rFonts w:ascii="Palatino Linotype" w:eastAsia="Palatino Linotype" w:hAnsi="Palatino Linotype" w:cs="Palatino Linotype"/>
                <w:sz w:val="22"/>
                <w:szCs w:val="22"/>
              </w:rPr>
              <w:t>informó</w:t>
            </w:r>
            <w:r w:rsidRPr="00F92461">
              <w:rPr>
                <w:rFonts w:ascii="Palatino Linotype" w:eastAsia="Palatino Linotype" w:hAnsi="Palatino Linotype" w:cs="Palatino Linotype"/>
                <w:color w:val="000000"/>
                <w:sz w:val="22"/>
                <w:szCs w:val="22"/>
              </w:rPr>
              <w:t xml:space="preserve"> que no cuentan con la información solicitada, ya que no existe precepto legal que </w:t>
            </w:r>
            <w:r w:rsidRPr="00F92461">
              <w:rPr>
                <w:rFonts w:ascii="Palatino Linotype" w:eastAsia="Palatino Linotype" w:hAnsi="Palatino Linotype" w:cs="Palatino Linotype"/>
                <w:color w:val="000000"/>
                <w:sz w:val="22"/>
                <w:szCs w:val="22"/>
              </w:rPr>
              <w:lastRenderedPageBreak/>
              <w:t xml:space="preserve">determine la obligatoriedad de contar con fotos de cada árbol </w:t>
            </w:r>
          </w:p>
        </w:tc>
        <w:tc>
          <w:tcPr>
            <w:tcW w:w="2430" w:type="dxa"/>
          </w:tcPr>
          <w:p w14:paraId="4E0B1652"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lastRenderedPageBreak/>
              <w:t xml:space="preserve">No existe norma que obligue a esa autoridad con dicha información, por lo que no se encontró información al respecto, por no haberlo generado, </w:t>
            </w:r>
            <w:r w:rsidRPr="00F92461">
              <w:rPr>
                <w:rFonts w:ascii="Palatino Linotype" w:eastAsia="Palatino Linotype" w:hAnsi="Palatino Linotype" w:cs="Palatino Linotype"/>
                <w:color w:val="000000"/>
                <w:sz w:val="22"/>
                <w:szCs w:val="22"/>
              </w:rPr>
              <w:lastRenderedPageBreak/>
              <w:t xml:space="preserve">poseído o administrado, por lo que se puede traducir que no se tiene documentación respecto de lo que requiere, lo que se traduce en un hecho negativo </w:t>
            </w:r>
          </w:p>
        </w:tc>
        <w:tc>
          <w:tcPr>
            <w:tcW w:w="2430" w:type="dxa"/>
          </w:tcPr>
          <w:p w14:paraId="4E0B1653"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rPr>
            </w:pPr>
            <w:r w:rsidRPr="00F92461">
              <w:rPr>
                <w:rFonts w:ascii="Palatino Linotype" w:eastAsia="Palatino Linotype" w:hAnsi="Palatino Linotype" w:cs="Palatino Linotype"/>
                <w:color w:val="000000"/>
              </w:rPr>
              <w:lastRenderedPageBreak/>
              <w:t xml:space="preserve">El Servidor Público Habilitado competente refirió no contar con la información solicitada ya que no fue generada, no </w:t>
            </w:r>
            <w:r w:rsidRPr="00F92461">
              <w:rPr>
                <w:rFonts w:ascii="Palatino Linotype" w:eastAsia="Palatino Linotype" w:hAnsi="Palatino Linotype" w:cs="Palatino Linotype"/>
                <w:color w:val="000000"/>
              </w:rPr>
              <w:lastRenderedPageBreak/>
              <w:t>obstante, proporcionó evidencia fotográfica con las que cuenta de algunas zonas reforestadas</w:t>
            </w:r>
          </w:p>
        </w:tc>
      </w:tr>
      <w:tr w:rsidR="00E74520" w:rsidRPr="00F92461" w14:paraId="4E0B1659" w14:textId="77777777">
        <w:tc>
          <w:tcPr>
            <w:tcW w:w="2430" w:type="dxa"/>
          </w:tcPr>
          <w:p w14:paraId="4E0B1655"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lastRenderedPageBreak/>
              <w:t>4. Cuantos Plantaron realmente</w:t>
            </w:r>
          </w:p>
        </w:tc>
        <w:tc>
          <w:tcPr>
            <w:tcW w:w="2430" w:type="dxa"/>
          </w:tcPr>
          <w:p w14:paraId="4E0B1656"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 xml:space="preserve">El Servidor Público Habilitado de la Dirección de Gestión Ambiental, </w:t>
            </w:r>
            <w:r w:rsidRPr="00F92461">
              <w:rPr>
                <w:rFonts w:ascii="Palatino Linotype" w:eastAsia="Palatino Linotype" w:hAnsi="Palatino Linotype" w:cs="Palatino Linotype"/>
                <w:sz w:val="22"/>
                <w:szCs w:val="22"/>
              </w:rPr>
              <w:t>informó</w:t>
            </w:r>
            <w:r w:rsidRPr="00F92461">
              <w:rPr>
                <w:rFonts w:ascii="Palatino Linotype" w:eastAsia="Palatino Linotype" w:hAnsi="Palatino Linotype" w:cs="Palatino Linotype"/>
                <w:color w:val="000000"/>
                <w:sz w:val="22"/>
                <w:szCs w:val="22"/>
              </w:rPr>
              <w:t xml:space="preserve"> que durante el año 2023, se plantaron 147,675 árboles, en zona urbana y suburbana se plantaron 89,689 plantas y </w:t>
            </w:r>
            <w:r w:rsidRPr="00F92461">
              <w:rPr>
                <w:rFonts w:ascii="Palatino Linotype" w:eastAsia="Palatino Linotype" w:hAnsi="Palatino Linotype" w:cs="Palatino Linotype"/>
                <w:sz w:val="22"/>
                <w:szCs w:val="22"/>
              </w:rPr>
              <w:t>árboles</w:t>
            </w:r>
          </w:p>
        </w:tc>
        <w:tc>
          <w:tcPr>
            <w:tcW w:w="2430" w:type="dxa"/>
          </w:tcPr>
          <w:p w14:paraId="4E0B1657"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Ratifica respuesta</w:t>
            </w:r>
          </w:p>
        </w:tc>
        <w:tc>
          <w:tcPr>
            <w:tcW w:w="2430" w:type="dxa"/>
          </w:tcPr>
          <w:p w14:paraId="4E0B1658"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rPr>
            </w:pPr>
            <w:r w:rsidRPr="00F92461">
              <w:rPr>
                <w:rFonts w:ascii="Palatino Linotype" w:eastAsia="Palatino Linotype" w:hAnsi="Palatino Linotype" w:cs="Palatino Linotype"/>
                <w:color w:val="000000"/>
              </w:rPr>
              <w:t>El requerimiento fue atendido por medio del Servidor Público Habilitado competente</w:t>
            </w:r>
          </w:p>
        </w:tc>
      </w:tr>
      <w:tr w:rsidR="00E74520" w:rsidRPr="00F92461" w14:paraId="4E0B165E" w14:textId="77777777">
        <w:tc>
          <w:tcPr>
            <w:tcW w:w="2430" w:type="dxa"/>
          </w:tcPr>
          <w:p w14:paraId="4E0B165A"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 xml:space="preserve">5. Cuantos </w:t>
            </w:r>
            <w:r w:rsidRPr="00F92461">
              <w:rPr>
                <w:rFonts w:ascii="Palatino Linotype" w:eastAsia="Palatino Linotype" w:hAnsi="Palatino Linotype" w:cs="Palatino Linotype"/>
                <w:sz w:val="22"/>
                <w:szCs w:val="22"/>
              </w:rPr>
              <w:t>quedan</w:t>
            </w:r>
            <w:r w:rsidRPr="00F92461">
              <w:rPr>
                <w:rFonts w:ascii="Palatino Linotype" w:eastAsia="Palatino Linotype" w:hAnsi="Palatino Linotype" w:cs="Palatino Linotype"/>
                <w:color w:val="000000"/>
                <w:sz w:val="22"/>
                <w:szCs w:val="22"/>
              </w:rPr>
              <w:t xml:space="preserve"> vivos</w:t>
            </w:r>
          </w:p>
        </w:tc>
        <w:tc>
          <w:tcPr>
            <w:tcW w:w="2430" w:type="dxa"/>
          </w:tcPr>
          <w:p w14:paraId="4E0B165B"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 xml:space="preserve">El Servidor Público Habilitado de la Dirección de Gestión Ambiental, </w:t>
            </w:r>
            <w:r w:rsidRPr="00F92461">
              <w:rPr>
                <w:rFonts w:ascii="Palatino Linotype" w:eastAsia="Palatino Linotype" w:hAnsi="Palatino Linotype" w:cs="Palatino Linotype"/>
                <w:sz w:val="22"/>
                <w:szCs w:val="22"/>
              </w:rPr>
              <w:t>informó</w:t>
            </w:r>
            <w:r w:rsidRPr="00F92461">
              <w:rPr>
                <w:rFonts w:ascii="Palatino Linotype" w:eastAsia="Palatino Linotype" w:hAnsi="Palatino Linotype" w:cs="Palatino Linotype"/>
                <w:color w:val="000000"/>
                <w:sz w:val="22"/>
                <w:szCs w:val="22"/>
              </w:rPr>
              <w:t xml:space="preserve"> que la supervivencia de dichos árboles es un promedio de 70%</w:t>
            </w:r>
          </w:p>
        </w:tc>
        <w:tc>
          <w:tcPr>
            <w:tcW w:w="2430" w:type="dxa"/>
          </w:tcPr>
          <w:p w14:paraId="4E0B165C"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Ratifica respuesta</w:t>
            </w:r>
          </w:p>
        </w:tc>
        <w:tc>
          <w:tcPr>
            <w:tcW w:w="2430" w:type="dxa"/>
          </w:tcPr>
          <w:p w14:paraId="4E0B165D"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rPr>
            </w:pPr>
            <w:r w:rsidRPr="00F92461">
              <w:rPr>
                <w:rFonts w:ascii="Palatino Linotype" w:eastAsia="Palatino Linotype" w:hAnsi="Palatino Linotype" w:cs="Palatino Linotype"/>
                <w:color w:val="000000"/>
              </w:rPr>
              <w:t>El requerimiento fue atendido por medio del Servidor Público Habilitado competente</w:t>
            </w:r>
          </w:p>
        </w:tc>
      </w:tr>
      <w:tr w:rsidR="00E74520" w:rsidRPr="00F92461" w14:paraId="4E0B1666" w14:textId="77777777">
        <w:tc>
          <w:tcPr>
            <w:tcW w:w="2430" w:type="dxa"/>
          </w:tcPr>
          <w:p w14:paraId="4E0B165F"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 xml:space="preserve">6. Mantenimiento que les dan para que no se mueran </w:t>
            </w:r>
          </w:p>
        </w:tc>
        <w:tc>
          <w:tcPr>
            <w:tcW w:w="2430" w:type="dxa"/>
          </w:tcPr>
          <w:p w14:paraId="4E0B1660"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 xml:space="preserve">El Servidor Público Habilitado de la Dirección de Gestión Ambiental, </w:t>
            </w:r>
            <w:r w:rsidRPr="00F92461">
              <w:rPr>
                <w:rFonts w:ascii="Palatino Linotype" w:eastAsia="Palatino Linotype" w:hAnsi="Palatino Linotype" w:cs="Palatino Linotype"/>
                <w:sz w:val="22"/>
                <w:szCs w:val="22"/>
              </w:rPr>
              <w:t>informó</w:t>
            </w:r>
            <w:r w:rsidRPr="00F92461">
              <w:rPr>
                <w:rFonts w:ascii="Palatino Linotype" w:eastAsia="Palatino Linotype" w:hAnsi="Palatino Linotype" w:cs="Palatino Linotype"/>
                <w:color w:val="000000"/>
                <w:sz w:val="22"/>
                <w:szCs w:val="22"/>
              </w:rPr>
              <w:t xml:space="preserve"> como acciones de mantenimiento:</w:t>
            </w:r>
          </w:p>
          <w:p w14:paraId="4E0B1661"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 xml:space="preserve">*Riego de auxilio al arbolado de reciente plantación </w:t>
            </w:r>
          </w:p>
          <w:p w14:paraId="4E0B1662"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lastRenderedPageBreak/>
              <w:t>*Rehabilitación de cajetes para permitir la infiltración del agua</w:t>
            </w:r>
          </w:p>
          <w:p w14:paraId="4E0B1663"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*Aplicación de composta para fortalecer el arbolado</w:t>
            </w:r>
          </w:p>
        </w:tc>
        <w:tc>
          <w:tcPr>
            <w:tcW w:w="2430" w:type="dxa"/>
          </w:tcPr>
          <w:p w14:paraId="4E0B1664"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lastRenderedPageBreak/>
              <w:t>Ratifica respuesta</w:t>
            </w:r>
          </w:p>
        </w:tc>
        <w:tc>
          <w:tcPr>
            <w:tcW w:w="2430" w:type="dxa"/>
          </w:tcPr>
          <w:p w14:paraId="4E0B1665" w14:textId="77777777" w:rsidR="00E74520" w:rsidRPr="00F92461" w:rsidRDefault="000445B4">
            <w:pPr>
              <w:pBdr>
                <w:top w:val="nil"/>
                <w:left w:val="nil"/>
                <w:bottom w:val="nil"/>
                <w:right w:val="nil"/>
                <w:between w:val="nil"/>
              </w:pBdr>
              <w:ind w:right="-4"/>
              <w:jc w:val="both"/>
              <w:rPr>
                <w:rFonts w:ascii="Palatino Linotype" w:eastAsia="Palatino Linotype" w:hAnsi="Palatino Linotype" w:cs="Palatino Linotype"/>
                <w:color w:val="000000"/>
              </w:rPr>
            </w:pPr>
            <w:r w:rsidRPr="00F92461">
              <w:rPr>
                <w:rFonts w:ascii="Palatino Linotype" w:eastAsia="Palatino Linotype" w:hAnsi="Palatino Linotype" w:cs="Palatino Linotype"/>
                <w:color w:val="000000"/>
              </w:rPr>
              <w:t>El requerimiento fue atendido por medio del Servidor Público Habilitado competente</w:t>
            </w:r>
          </w:p>
        </w:tc>
      </w:tr>
    </w:tbl>
    <w:p w14:paraId="4E0B1667"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68"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De lo expuesto en el cuadro de análisis, se advierte que 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w:t>
      </w:r>
      <w:r w:rsidRPr="00F92461">
        <w:rPr>
          <w:rFonts w:ascii="Palatino Linotype" w:eastAsia="Palatino Linotype" w:hAnsi="Palatino Linotype" w:cs="Palatino Linotype"/>
        </w:rPr>
        <w:t>como</w:t>
      </w:r>
      <w:r w:rsidRPr="00F92461">
        <w:rPr>
          <w:rFonts w:ascii="Palatino Linotype" w:eastAsia="Palatino Linotype" w:hAnsi="Palatino Linotype" w:cs="Palatino Linotype"/>
          <w:color w:val="000000"/>
        </w:rPr>
        <w:t xml:space="preserve"> los requerimientos del Particular, atendiendo en todo momento </w:t>
      </w:r>
      <w:r w:rsidRPr="00F92461">
        <w:rPr>
          <w:rFonts w:ascii="Palatino Linotype" w:eastAsia="Palatino Linotype" w:hAnsi="Palatino Linotype" w:cs="Palatino Linotype"/>
        </w:rPr>
        <w:t>el derecho</w:t>
      </w:r>
      <w:r w:rsidRPr="00F92461">
        <w:rPr>
          <w:rFonts w:ascii="Palatino Linotype" w:eastAsia="Palatino Linotype" w:hAnsi="Palatino Linotype" w:cs="Palatino Linotype"/>
          <w:color w:val="000000"/>
        </w:rPr>
        <w:t xml:space="preserve"> de acceso a la información pública.</w:t>
      </w:r>
    </w:p>
    <w:p w14:paraId="4E0B1669"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u w:val="single"/>
        </w:rPr>
      </w:pPr>
    </w:p>
    <w:p w14:paraId="4E0B166A"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w:t>
      </w:r>
      <w:r w:rsidRPr="00F92461">
        <w:rPr>
          <w:rFonts w:ascii="Palatino Linotype" w:eastAsia="Palatino Linotype" w:hAnsi="Palatino Linotype" w:cs="Palatino Linotype"/>
        </w:rPr>
        <w:t>resumir</w:t>
      </w:r>
      <w:r w:rsidRPr="00F92461">
        <w:rPr>
          <w:rFonts w:ascii="Palatino Linotype" w:eastAsia="Palatino Linotype" w:hAnsi="Palatino Linotype" w:cs="Palatino Linotype"/>
          <w:color w:val="000000"/>
        </w:rPr>
        <w:t xml:space="preserve">, efectuar cálculos o practicar investigaciones; tal y como se señala a continuación: </w:t>
      </w:r>
    </w:p>
    <w:p w14:paraId="4E0B166B"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w:t>
      </w:r>
      <w:r w:rsidRPr="00F92461">
        <w:rPr>
          <w:rFonts w:ascii="Palatino Linotype" w:eastAsia="Palatino Linotype" w:hAnsi="Palatino Linotype" w:cs="Palatino Linotype"/>
          <w:b/>
          <w:i/>
          <w:color w:val="000000"/>
          <w:sz w:val="22"/>
          <w:szCs w:val="22"/>
        </w:rPr>
        <w:t>Artículo 12.</w:t>
      </w:r>
      <w:r w:rsidRPr="00F92461">
        <w:rPr>
          <w:rFonts w:ascii="Palatino Linotype" w:eastAsia="Palatino Linotype" w:hAnsi="Palatino Linotype" w:cs="Palatino Linotype"/>
          <w:i/>
          <w:color w:val="000000"/>
          <w:sz w:val="22"/>
          <w:szCs w:val="22"/>
        </w:rPr>
        <w:t xml:space="preserve"> Quienes generen, recopilen, administren, manejen, procesen, archiven o conserven información pública serán responsables de la misma en los términos de las disposiciones jurídicas aplicables. </w:t>
      </w:r>
    </w:p>
    <w:p w14:paraId="4E0B166C" w14:textId="77777777" w:rsidR="00E74520" w:rsidRPr="00F92461" w:rsidRDefault="00E74520">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p>
    <w:p w14:paraId="4E0B166D"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E0B166E"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6F"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En síntesis, el derecho de acceso a la información pública se satisface en aquellos casos en que se entregue el soporte documental en que conste la información pública, toda vez </w:t>
      </w:r>
      <w:r w:rsidRPr="00F92461">
        <w:rPr>
          <w:rFonts w:ascii="Palatino Linotype" w:eastAsia="Palatino Linotype" w:hAnsi="Palatino Linotype" w:cs="Palatino Linotype"/>
          <w:color w:val="000000"/>
        </w:rPr>
        <w:lastRenderedPageBreak/>
        <w:t xml:space="preserve">que, los Sujetos Obligados no tienen el deber de generar, poseer o administrar la información pública con el grado de detalle solicitado; esto es, que no tienen el deber de generar un documento ad hoc, para satisfacer el derecho de acceso a la información pública. </w:t>
      </w:r>
    </w:p>
    <w:p w14:paraId="4E0B1670"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71"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Como apoyo a lo anterior, es aplicable el Criterio 03-17, emitido por el Instituto Nacional de Transparencia, Acceso a la Información y Protección de Datos Personales, que dice: </w:t>
      </w:r>
    </w:p>
    <w:p w14:paraId="4E0B1672"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F92461">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0B1673" w14:textId="77777777" w:rsidR="00E74520" w:rsidRPr="00F92461" w:rsidRDefault="00E74520">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p>
    <w:p w14:paraId="4E0B1674"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Resoluciones: </w:t>
      </w:r>
    </w:p>
    <w:p w14:paraId="4E0B1675"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Symbol" w:eastAsia="Symbol" w:hAnsi="Symbol" w:cs="Symbol"/>
          <w:i/>
          <w:color w:val="000000"/>
          <w:sz w:val="22"/>
          <w:szCs w:val="22"/>
        </w:rPr>
        <w:t>∙</w:t>
      </w:r>
      <w:r w:rsidRPr="00F92461">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 </w:t>
      </w:r>
    </w:p>
    <w:p w14:paraId="4E0B1676"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Symbol" w:eastAsia="Symbol" w:hAnsi="Symbol" w:cs="Symbol"/>
          <w:i/>
          <w:color w:val="000000"/>
          <w:sz w:val="22"/>
          <w:szCs w:val="22"/>
        </w:rPr>
        <w:t>∙</w:t>
      </w:r>
      <w:r w:rsidRPr="00F92461">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4E0B1677"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Symbol" w:eastAsia="Symbol" w:hAnsi="Symbol" w:cs="Symbol"/>
          <w:i/>
          <w:color w:val="000000"/>
          <w:sz w:val="22"/>
          <w:szCs w:val="22"/>
        </w:rPr>
        <w:t>∙</w:t>
      </w:r>
      <w:r w:rsidRPr="00F92461">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
    <w:p w14:paraId="4E0B1678"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w:t>
      </w:r>
      <w:r w:rsidRPr="00F92461">
        <w:rPr>
          <w:rFonts w:ascii="Palatino Linotype" w:eastAsia="Palatino Linotype" w:hAnsi="Palatino Linotype" w:cs="Palatino Linotype"/>
          <w:color w:val="000000"/>
        </w:rPr>
        <w:lastRenderedPageBreak/>
        <w:t xml:space="preserve">cualquier persona, lo que implica que es deber de los Sujetos Obligados, garantizar el derecho de acceso a la información pública. </w:t>
      </w:r>
    </w:p>
    <w:p w14:paraId="4E0B1679"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7A"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E0B167B"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b/>
          <w:i/>
          <w:color w:val="000000"/>
          <w:sz w:val="22"/>
          <w:szCs w:val="22"/>
        </w:rPr>
        <w:t>“Artículo 3.</w:t>
      </w:r>
      <w:r w:rsidRPr="00F92461">
        <w:rPr>
          <w:rFonts w:ascii="Palatino Linotype" w:eastAsia="Palatino Linotype" w:hAnsi="Palatino Linotype" w:cs="Palatino Linotype"/>
          <w:i/>
          <w:color w:val="000000"/>
          <w:sz w:val="22"/>
          <w:szCs w:val="22"/>
        </w:rPr>
        <w:t xml:space="preserve"> Para los efectos de la presente Ley se entenderá por: </w:t>
      </w:r>
    </w:p>
    <w:p w14:paraId="4E0B167C"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 </w:t>
      </w:r>
    </w:p>
    <w:p w14:paraId="4E0B167D"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b/>
          <w:i/>
          <w:color w:val="000000"/>
          <w:sz w:val="22"/>
          <w:szCs w:val="22"/>
        </w:rPr>
      </w:pPr>
      <w:r w:rsidRPr="00F92461">
        <w:rPr>
          <w:rFonts w:ascii="Palatino Linotype" w:eastAsia="Palatino Linotype" w:hAnsi="Palatino Linotype" w:cs="Palatino Linotype"/>
          <w:b/>
          <w:i/>
          <w:color w:val="000000"/>
          <w:sz w:val="22"/>
          <w:szCs w:val="22"/>
        </w:rPr>
        <w:t>XI. Documento:</w:t>
      </w:r>
      <w:r w:rsidRPr="00F92461">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F92461">
        <w:rPr>
          <w:rFonts w:ascii="Palatino Linotype" w:eastAsia="Palatino Linotype" w:hAnsi="Palatino Linotype" w:cs="Palatino Linotype"/>
          <w:b/>
          <w:i/>
          <w:color w:val="000000"/>
          <w:sz w:val="22"/>
          <w:szCs w:val="22"/>
        </w:rPr>
        <w:t xml:space="preserve">Los documentos podrán estar en cualquier medio, sea escrito, impreso, sonoro, visual, electrónico, informático u holográfico; </w:t>
      </w:r>
    </w:p>
    <w:p w14:paraId="4E0B167E"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w:t>
      </w:r>
    </w:p>
    <w:p w14:paraId="4E0B167F"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80"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Siendo aplicable el Criterio de interpretación en el orden administrativo número 0002- 11, emitido por Acuerdo del Pleno del Instituto de Transparencia y Acceso a la Información Pública del Estado de México y Municipios; publicado en el Periódico Oficial del Gobierno </w:t>
      </w:r>
      <w:r w:rsidRPr="00F92461">
        <w:rPr>
          <w:rFonts w:ascii="Palatino Linotype" w:eastAsia="Palatino Linotype" w:hAnsi="Palatino Linotype" w:cs="Palatino Linotype"/>
          <w:color w:val="000000"/>
        </w:rPr>
        <w:lastRenderedPageBreak/>
        <w:t>del Estado Libre y Soberano de México “Gaceta del Gobierno”, el diecinueve de octubre de dos mil once, cuyo rubro y texto dispone:</w:t>
      </w:r>
    </w:p>
    <w:p w14:paraId="4E0B1681"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4E0B1682"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u w:val="single"/>
        </w:rPr>
      </w:pPr>
    </w:p>
    <w:p w14:paraId="4E0B1683"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Ahora bien, respecto al requerimiento que realiza en relación a la fotografía </w:t>
      </w:r>
      <w:r w:rsidRPr="00F92461">
        <w:rPr>
          <w:rFonts w:ascii="Palatino Linotype" w:eastAsia="Palatino Linotype" w:hAnsi="Palatino Linotype" w:cs="Palatino Linotype"/>
          <w:b/>
          <w:color w:val="000000"/>
        </w:rPr>
        <w:t xml:space="preserve">de cada uno </w:t>
      </w:r>
      <w:r w:rsidRPr="00F92461">
        <w:rPr>
          <w:rFonts w:ascii="Palatino Linotype" w:eastAsia="Palatino Linotype" w:hAnsi="Palatino Linotype" w:cs="Palatino Linotype"/>
          <w:color w:val="000000"/>
        </w:rPr>
        <w:t xml:space="preserve">de los árboles plantados, el Sujeto Obligado manifestó no contar con la información requerida por el </w:t>
      </w:r>
      <w:r w:rsidRPr="00F92461">
        <w:rPr>
          <w:rFonts w:ascii="Palatino Linotype" w:eastAsia="Palatino Linotype" w:hAnsi="Palatino Linotype" w:cs="Palatino Linotype"/>
          <w:b/>
          <w:color w:val="000000"/>
        </w:rPr>
        <w:t xml:space="preserve">RECURRENTE, </w:t>
      </w:r>
      <w:r w:rsidRPr="00F92461">
        <w:rPr>
          <w:rFonts w:ascii="Palatino Linotype" w:eastAsia="Palatino Linotype" w:hAnsi="Palatino Linotype" w:cs="Palatino Linotype"/>
          <w:color w:val="000000"/>
        </w:rPr>
        <w:t>no obstante proporcionó evidencia fotográfica con las que cuenta de algunas zonas reforestadas, constituye un hecho negativo, ya que no encontró información al respecto por no haberlo generado, poseído o administrado, no obstante proporcionó placas fotográficas de las reforestaciones realizadas.</w:t>
      </w:r>
    </w:p>
    <w:p w14:paraId="4E0B1684"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85"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Asimismo, no se trata de un caso por el cual la negación del hecho implique la afirmación del mismo, simplemente se está ante una notoria y evidente inexistencia fáctica de la información solicitada.</w:t>
      </w:r>
    </w:p>
    <w:p w14:paraId="4E0B1686"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87"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4E0B1688" w14:textId="77777777" w:rsidR="00E74520" w:rsidRPr="00F92461" w:rsidRDefault="000445B4">
      <w:pPr>
        <w:ind w:left="567" w:right="-280"/>
        <w:jc w:val="both"/>
        <w:rPr>
          <w:rFonts w:ascii="Palatino Linotype" w:eastAsia="Palatino Linotype" w:hAnsi="Palatino Linotype" w:cs="Palatino Linotype"/>
          <w:b/>
          <w:i/>
          <w:sz w:val="22"/>
          <w:szCs w:val="22"/>
        </w:rPr>
      </w:pPr>
      <w:r w:rsidRPr="00F92461">
        <w:rPr>
          <w:rFonts w:ascii="Palatino Linotype" w:eastAsia="Palatino Linotype" w:hAnsi="Palatino Linotype" w:cs="Palatino Linotype"/>
          <w:b/>
          <w:i/>
          <w:sz w:val="22"/>
          <w:szCs w:val="22"/>
        </w:rPr>
        <w:t xml:space="preserve">HECHOS NEGATIVOS, NO SON SUSCEPTIBLES DE DEMOSTRACIÓN. </w:t>
      </w:r>
    </w:p>
    <w:p w14:paraId="4E0B1689" w14:textId="77777777" w:rsidR="00E74520" w:rsidRPr="00F92461" w:rsidRDefault="000445B4">
      <w:pPr>
        <w:ind w:left="567" w:right="-280"/>
        <w:jc w:val="both"/>
        <w:rPr>
          <w:rFonts w:ascii="Palatino Linotype" w:eastAsia="Palatino Linotype" w:hAnsi="Palatino Linotype" w:cs="Palatino Linotype"/>
          <w:i/>
          <w:sz w:val="22"/>
          <w:szCs w:val="22"/>
        </w:rPr>
      </w:pPr>
      <w:r w:rsidRPr="00F92461">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4E0B168A" w14:textId="77777777" w:rsidR="00E74520" w:rsidRPr="00F92461" w:rsidRDefault="000445B4">
      <w:pPr>
        <w:ind w:left="567" w:right="-280"/>
        <w:jc w:val="both"/>
        <w:rPr>
          <w:rFonts w:ascii="Palatino Linotype" w:eastAsia="Palatino Linotype" w:hAnsi="Palatino Linotype" w:cs="Palatino Linotype"/>
          <w:b/>
          <w:i/>
          <w:color w:val="C00000"/>
          <w:sz w:val="22"/>
          <w:szCs w:val="22"/>
        </w:rPr>
      </w:pPr>
      <w:r w:rsidRPr="00F92461">
        <w:rPr>
          <w:rFonts w:ascii="Palatino Linotype" w:eastAsia="Palatino Linotype" w:hAnsi="Palatino Linotype" w:cs="Palatino Linotype"/>
          <w:i/>
          <w:sz w:val="22"/>
          <w:szCs w:val="22"/>
        </w:rPr>
        <w:t xml:space="preserve">Amparo en revisión 2022/61. José García Florín (Menor). 9 de octubre de 1961. Cinco votos. Ponente: José Rivera Pérez Campos.” </w:t>
      </w:r>
    </w:p>
    <w:p w14:paraId="4E0B168B" w14:textId="77777777" w:rsidR="00E74520" w:rsidRPr="00F92461" w:rsidRDefault="00E74520">
      <w:pPr>
        <w:spacing w:line="276" w:lineRule="auto"/>
        <w:ind w:left="851" w:right="-847"/>
        <w:jc w:val="both"/>
        <w:rPr>
          <w:rFonts w:ascii="Palatino Linotype" w:eastAsia="Palatino Linotype" w:hAnsi="Palatino Linotype" w:cs="Palatino Linotype"/>
          <w:i/>
        </w:rPr>
      </w:pPr>
    </w:p>
    <w:p w14:paraId="4E0B168C"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Además, y de conformidad con lo establecido en el artículo 12 de la </w:t>
      </w:r>
      <w:r w:rsidRPr="00F92461">
        <w:rPr>
          <w:rFonts w:ascii="Palatino Linotype" w:eastAsia="Palatino Linotype" w:hAnsi="Palatino Linotype" w:cs="Palatino Linotype"/>
          <w:b/>
          <w:color w:val="000000"/>
        </w:rPr>
        <w:t>Ley de Transparencia y Acceso a la Información Pública del Estado de México y Municipios</w:t>
      </w:r>
      <w:r w:rsidRPr="00F92461">
        <w:rPr>
          <w:rFonts w:ascii="Palatino Linotype" w:eastAsia="Palatino Linotype" w:hAnsi="Palatino Linotype" w:cs="Palatino Linotype"/>
          <w:color w:val="000000"/>
        </w:rPr>
        <w:t xml:space="preserve">, anteriormente invocado, 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únicamente proporcionará la información que obra en sus archivos, lo que a</w:t>
      </w:r>
      <w:r w:rsidRPr="00F92461">
        <w:rPr>
          <w:rFonts w:ascii="Palatino Linotype" w:eastAsia="Palatino Linotype" w:hAnsi="Palatino Linotype" w:cs="Palatino Linotype"/>
          <w:i/>
          <w:color w:val="000000"/>
        </w:rPr>
        <w:t xml:space="preserve"> contrario sensu</w:t>
      </w:r>
      <w:r w:rsidRPr="00F92461">
        <w:rPr>
          <w:rFonts w:ascii="Palatino Linotype" w:eastAsia="Palatino Linotype" w:hAnsi="Palatino Linotype" w:cs="Palatino Linotype"/>
          <w:color w:val="000000"/>
        </w:rPr>
        <w:t xml:space="preserve"> significa que no se está obligado a proporcionar lo que no obre en sus archivos.</w:t>
      </w:r>
    </w:p>
    <w:p w14:paraId="4E0B168D"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u w:val="single"/>
        </w:rPr>
      </w:pPr>
    </w:p>
    <w:p w14:paraId="4E0B168E"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En esa tesitura, se observa que el </w:t>
      </w:r>
      <w:r w:rsidRPr="00F92461">
        <w:rPr>
          <w:rFonts w:ascii="Palatino Linotype" w:eastAsia="Palatino Linotype" w:hAnsi="Palatino Linotype" w:cs="Palatino Linotype"/>
          <w:b/>
          <w:color w:val="000000"/>
        </w:rPr>
        <w:t xml:space="preserve">SUJETO OBLIGADO </w:t>
      </w:r>
      <w:r w:rsidRPr="00F92461">
        <w:rPr>
          <w:rFonts w:ascii="Palatino Linotype" w:eastAsia="Palatino Linotype" w:hAnsi="Palatino Linotype" w:cs="Palatino Linotype"/>
          <w:color w:val="000000"/>
        </w:rPr>
        <w:t xml:space="preserve">mediante el informe justificado modificó la respuesta inicial, </w:t>
      </w:r>
      <w:r w:rsidRPr="00F92461">
        <w:rPr>
          <w:rFonts w:ascii="Palatino Linotype" w:eastAsia="Palatino Linotype" w:hAnsi="Palatino Linotype" w:cs="Palatino Linotype"/>
        </w:rPr>
        <w:t>pronunciarse</w:t>
      </w:r>
      <w:r w:rsidRPr="00F92461">
        <w:rPr>
          <w:rFonts w:ascii="Palatino Linotype" w:eastAsia="Palatino Linotype" w:hAnsi="Palatino Linotype" w:cs="Palatino Linotype"/>
          <w:color w:val="000000"/>
        </w:rPr>
        <w:t xml:space="preserve"> respecto de la información faltante como un hecho negativo.</w:t>
      </w:r>
    </w:p>
    <w:p w14:paraId="4E0B168F" w14:textId="77777777" w:rsidR="00E74520" w:rsidRPr="00F92461" w:rsidRDefault="00E74520">
      <w:pPr>
        <w:pBdr>
          <w:top w:val="nil"/>
          <w:left w:val="nil"/>
          <w:bottom w:val="nil"/>
          <w:right w:val="nil"/>
          <w:between w:val="nil"/>
        </w:pBdr>
        <w:ind w:left="720" w:right="-847"/>
        <w:rPr>
          <w:rFonts w:ascii="Palatino Linotype" w:eastAsia="Palatino Linotype" w:hAnsi="Palatino Linotype" w:cs="Palatino Linotype"/>
          <w:color w:val="000000"/>
        </w:rPr>
      </w:pPr>
    </w:p>
    <w:p w14:paraId="4E0B1690"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Así mismo, es necesario señalar que éste Órgano Garante no está facultado para pronunciarse sobre la veracidad de la información que los Sujetos Obligados ponen a </w:t>
      </w:r>
      <w:r w:rsidRPr="00F92461">
        <w:rPr>
          <w:rFonts w:ascii="Palatino Linotype" w:eastAsia="Palatino Linotype" w:hAnsi="Palatino Linotype" w:cs="Palatino Linotype"/>
          <w:color w:val="000000"/>
        </w:rPr>
        <w:lastRenderedPageBreak/>
        <w:t>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4E0B1691" w14:textId="77777777" w:rsidR="00E74520" w:rsidRPr="00F92461" w:rsidRDefault="00E74520">
      <w:pPr>
        <w:pBdr>
          <w:top w:val="nil"/>
          <w:left w:val="nil"/>
          <w:bottom w:val="nil"/>
          <w:right w:val="nil"/>
          <w:between w:val="nil"/>
        </w:pBdr>
        <w:ind w:left="720" w:right="-847"/>
        <w:rPr>
          <w:rFonts w:ascii="Palatino Linotype" w:eastAsia="Palatino Linotype" w:hAnsi="Palatino Linotype" w:cs="Palatino Linotype"/>
          <w:color w:val="000000"/>
        </w:rPr>
      </w:pPr>
    </w:p>
    <w:p w14:paraId="4E0B1692"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Sirviendo de apoyo a lo anterior por analogía, el criterio 31-10 emitido por el ahora Instituto Nacional de Transparencia, Acceso a la Información y Protección de Datos Personales, que a la letra dice:</w:t>
      </w:r>
    </w:p>
    <w:p w14:paraId="4E0B1693" w14:textId="77777777" w:rsidR="00E74520" w:rsidRPr="00F92461" w:rsidRDefault="000445B4">
      <w:pPr>
        <w:pBdr>
          <w:top w:val="nil"/>
          <w:left w:val="nil"/>
          <w:bottom w:val="nil"/>
          <w:right w:val="nil"/>
          <w:between w:val="nil"/>
        </w:pBdr>
        <w:spacing w:before="240" w:after="360"/>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El Instituto Federal de Acceso a la Información y Protección de Datos </w:t>
      </w:r>
      <w:r w:rsidRPr="00F92461">
        <w:rPr>
          <w:rFonts w:ascii="Palatino Linotype" w:eastAsia="Palatino Linotype" w:hAnsi="Palatino Linotype" w:cs="Palatino Linotype"/>
          <w:b/>
          <w:i/>
          <w:color w:val="000000"/>
          <w:sz w:val="22"/>
          <w:szCs w:val="22"/>
        </w:rPr>
        <w:t>no cuenta con facultades para pronunciarse respecto de la veracidad de los documentos proporcionados por los sujetos obligados.</w:t>
      </w:r>
      <w:r w:rsidRPr="00F92461">
        <w:rPr>
          <w:rFonts w:ascii="Palatino Linotype" w:eastAsia="Palatino Linotype" w:hAnsi="Palatino Linotype" w:cs="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4E0B1694"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Así mismo, la </w:t>
      </w:r>
      <w:r w:rsidRPr="00F92461">
        <w:rPr>
          <w:rFonts w:ascii="Palatino Linotype" w:eastAsia="Palatino Linotype" w:hAnsi="Palatino Linotype" w:cs="Palatino Linotype"/>
          <w:b/>
          <w:color w:val="000000"/>
        </w:rPr>
        <w:t>Ley de Transparencia y Acceso a la Información Pública del Estado de México y Municipios</w:t>
      </w:r>
      <w:r w:rsidRPr="00F92461">
        <w:rPr>
          <w:rFonts w:ascii="Palatino Linotype" w:eastAsia="Palatino Linotype" w:hAnsi="Palatino Linotype" w:cs="Palatino Linotype"/>
          <w:color w:val="000000"/>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E0B1695" w14:textId="77777777" w:rsidR="00E74520" w:rsidRPr="00F92461" w:rsidRDefault="000445B4">
      <w:pPr>
        <w:pBdr>
          <w:top w:val="nil"/>
          <w:left w:val="nil"/>
          <w:bottom w:val="nil"/>
          <w:right w:val="nil"/>
          <w:between w:val="nil"/>
        </w:pBdr>
        <w:ind w:left="567" w:right="-280"/>
        <w:jc w:val="both"/>
        <w:rPr>
          <w:rFonts w:ascii="Palatino Linotype" w:eastAsia="Palatino Linotype" w:hAnsi="Palatino Linotype" w:cs="Palatino Linotype"/>
          <w:b/>
          <w:i/>
          <w:color w:val="000000"/>
          <w:sz w:val="22"/>
          <w:szCs w:val="22"/>
        </w:rPr>
      </w:pPr>
      <w:r w:rsidRPr="00F92461">
        <w:rPr>
          <w:rFonts w:ascii="Palatino Linotype" w:eastAsia="Palatino Linotype" w:hAnsi="Palatino Linotype" w:cs="Palatino Linotype"/>
          <w:i/>
          <w:color w:val="000000"/>
          <w:sz w:val="22"/>
          <w:szCs w:val="22"/>
        </w:rPr>
        <w:lastRenderedPageBreak/>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F92461">
        <w:rPr>
          <w:rFonts w:ascii="Palatino Linotype" w:eastAsia="Palatino Linotype" w:hAnsi="Palatino Linotype" w:cs="Palatino Linotype"/>
          <w:b/>
          <w:i/>
          <w:color w:val="000000"/>
          <w:sz w:val="22"/>
          <w:szCs w:val="22"/>
        </w:rPr>
        <w:t xml:space="preserve">Los Sujetos Obligados deben poner en práctica, políticas y programas de acceso a la información que se apeguen a criterios de publicidad, veracidad, oportunidad, precisión y suficiencia en beneficio de los solicitantes. </w:t>
      </w:r>
    </w:p>
    <w:p w14:paraId="4E0B1696" w14:textId="77777777" w:rsidR="00E74520" w:rsidRPr="00F92461" w:rsidRDefault="00E74520">
      <w:pPr>
        <w:tabs>
          <w:tab w:val="left" w:pos="426"/>
          <w:tab w:val="left" w:pos="567"/>
        </w:tabs>
        <w:spacing w:line="360" w:lineRule="auto"/>
        <w:ind w:right="-847"/>
        <w:jc w:val="both"/>
        <w:rPr>
          <w:rFonts w:ascii="Palatino Linotype" w:eastAsia="Palatino Linotype" w:hAnsi="Palatino Linotype" w:cs="Palatino Linotype"/>
          <w:color w:val="000000"/>
          <w:u w:val="single"/>
        </w:rPr>
      </w:pPr>
    </w:p>
    <w:p w14:paraId="4E0B1697"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Numerales que compelen al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a apegarse en todo momento a los criterios ya expuestos, </w:t>
      </w:r>
      <w:r w:rsidRPr="00F92461">
        <w:rPr>
          <w:rFonts w:ascii="Palatino Linotype" w:eastAsia="Palatino Linotype" w:hAnsi="Palatino Linotype" w:cs="Palatino Linotype"/>
        </w:rPr>
        <w:t>impidiendo</w:t>
      </w:r>
      <w:r w:rsidRPr="00F92461">
        <w:rPr>
          <w:rFonts w:ascii="Palatino Linotype" w:eastAsia="Palatino Linotype" w:hAnsi="Palatino Linotype" w:cs="Palatino Linotype"/>
          <w:color w:val="000000"/>
        </w:rPr>
        <w:t xml:space="preserve">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 </w:t>
      </w:r>
    </w:p>
    <w:p w14:paraId="4E0B1698"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u w:val="single"/>
        </w:rPr>
      </w:pPr>
    </w:p>
    <w:p w14:paraId="4E0B1699"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Así las cosas, cabe 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4E0B169A"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9B"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lastRenderedPageBreak/>
        <w:t>En este sentido, para atender las solicitudes de información, los Sujetos Obligados contarán con un área denominada Unidad de Transparencia</w:t>
      </w:r>
      <w:r w:rsidRPr="00F92461">
        <w:rPr>
          <w:rFonts w:ascii="Palatino Linotype" w:eastAsia="Palatino Linotype" w:hAnsi="Palatino Linotype" w:cs="Palatino Linotype"/>
          <w:color w:val="000000"/>
          <w:vertAlign w:val="superscript"/>
        </w:rPr>
        <w:footnoteReference w:id="5"/>
      </w:r>
      <w:r w:rsidRPr="00F92461">
        <w:rPr>
          <w:rFonts w:ascii="Palatino Linotype" w:eastAsia="Palatino Linotype" w:hAnsi="Palatino Linotype" w:cs="Palatino Linotype"/>
          <w:color w:val="000000"/>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F92461">
        <w:rPr>
          <w:rFonts w:ascii="Palatino Linotype" w:eastAsia="Palatino Linotype" w:hAnsi="Palatino Linotype" w:cs="Palatino Linotype"/>
          <w:b/>
          <w:color w:val="000000"/>
        </w:rPr>
        <w:t xml:space="preserve"> </w:t>
      </w:r>
      <w:r w:rsidRPr="00F92461">
        <w:rPr>
          <w:rFonts w:ascii="Palatino Linotype" w:eastAsia="Palatino Linotype" w:hAnsi="Palatino Linotype" w:cs="Palatino Linotype"/>
          <w:color w:val="000000"/>
        </w:rPr>
        <w:t>en los términos de la Ley General y la Ley de Transparencia y Acceso a la Información Pública del Estado de México y Municipios</w:t>
      </w:r>
      <w:r w:rsidRPr="00F92461">
        <w:rPr>
          <w:rFonts w:ascii="Palatino Linotype" w:eastAsia="Palatino Linotype" w:hAnsi="Palatino Linotype" w:cs="Palatino Linotype"/>
          <w:color w:val="000000"/>
          <w:vertAlign w:val="superscript"/>
        </w:rPr>
        <w:footnoteReference w:id="6"/>
      </w:r>
      <w:r w:rsidRPr="00F92461">
        <w:rPr>
          <w:rFonts w:ascii="Palatino Linotype" w:eastAsia="Palatino Linotype" w:hAnsi="Palatino Linotype" w:cs="Palatino Linotype"/>
          <w:color w:val="000000"/>
        </w:rPr>
        <w:t>.</w:t>
      </w:r>
    </w:p>
    <w:p w14:paraId="4E0B169C" w14:textId="77777777" w:rsidR="00E74520" w:rsidRPr="00F92461" w:rsidRDefault="00E74520">
      <w:pPr>
        <w:ind w:right="-847"/>
        <w:rPr>
          <w:rFonts w:ascii="Palatino Linotype" w:eastAsia="Palatino Linotype" w:hAnsi="Palatino Linotype" w:cs="Palatino Linotype"/>
          <w:color w:val="000000"/>
        </w:rPr>
      </w:pPr>
    </w:p>
    <w:p w14:paraId="4E0B169D"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De conformidad con lo dispuesto en la Ley de Transparencia y Acceso a la Información Pública del Estado de México y Municipios, las Unidades de Transparencia tendrán, entre sus atribuciones, las siguientes:</w:t>
      </w:r>
    </w:p>
    <w:p w14:paraId="4E0B169E" w14:textId="77777777" w:rsidR="00E74520" w:rsidRPr="00F92461" w:rsidRDefault="000445B4">
      <w:pPr>
        <w:numPr>
          <w:ilvl w:val="1"/>
          <w:numId w:val="7"/>
        </w:numPr>
        <w:pBdr>
          <w:top w:val="nil"/>
          <w:left w:val="nil"/>
          <w:bottom w:val="nil"/>
          <w:right w:val="nil"/>
          <w:between w:val="nil"/>
        </w:pBdr>
        <w:ind w:left="709" w:right="-280" w:hanging="142"/>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Recibir, tramitar y dar respuesta a las solicitudes de acceso a la información;</w:t>
      </w:r>
    </w:p>
    <w:p w14:paraId="4E0B169F" w14:textId="77777777" w:rsidR="00E74520" w:rsidRPr="00F92461" w:rsidRDefault="000445B4">
      <w:pPr>
        <w:numPr>
          <w:ilvl w:val="1"/>
          <w:numId w:val="7"/>
        </w:numPr>
        <w:pBdr>
          <w:top w:val="nil"/>
          <w:left w:val="nil"/>
          <w:bottom w:val="nil"/>
          <w:right w:val="nil"/>
          <w:between w:val="nil"/>
        </w:pBdr>
        <w:ind w:left="709" w:right="-280" w:hanging="142"/>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 xml:space="preserve">Realizar, con efectividad, los trámites internos necesarios para la atención de las solicitudes de acceso a la información; </w:t>
      </w:r>
    </w:p>
    <w:p w14:paraId="4E0B16A0" w14:textId="77777777" w:rsidR="00E74520" w:rsidRPr="00F92461" w:rsidRDefault="000445B4">
      <w:pPr>
        <w:numPr>
          <w:ilvl w:val="1"/>
          <w:numId w:val="7"/>
        </w:numPr>
        <w:pBdr>
          <w:top w:val="nil"/>
          <w:left w:val="nil"/>
          <w:bottom w:val="nil"/>
          <w:right w:val="nil"/>
          <w:between w:val="nil"/>
        </w:pBdr>
        <w:ind w:left="709" w:right="-280" w:hanging="142"/>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 xml:space="preserve">Entregar, en su caso, a los particulares la información solicitada; y </w:t>
      </w:r>
    </w:p>
    <w:p w14:paraId="4E0B16A1" w14:textId="77777777" w:rsidR="00E74520" w:rsidRPr="00F92461" w:rsidRDefault="000445B4">
      <w:pPr>
        <w:numPr>
          <w:ilvl w:val="1"/>
          <w:numId w:val="7"/>
        </w:numPr>
        <w:pBdr>
          <w:top w:val="nil"/>
          <w:left w:val="nil"/>
          <w:bottom w:val="nil"/>
          <w:right w:val="nil"/>
          <w:between w:val="nil"/>
        </w:pBdr>
        <w:spacing w:after="240"/>
        <w:ind w:left="709" w:right="-280" w:hanging="142"/>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Efectuar las notificaciones a los solicitantes.</w:t>
      </w:r>
    </w:p>
    <w:p w14:paraId="4E0B16A2" w14:textId="77777777" w:rsidR="00E74520" w:rsidRPr="00F92461" w:rsidRDefault="00E74520">
      <w:pPr>
        <w:spacing w:before="240" w:after="240"/>
        <w:ind w:right="-280"/>
        <w:jc w:val="both"/>
        <w:rPr>
          <w:rFonts w:ascii="Palatino Linotype" w:eastAsia="Palatino Linotype" w:hAnsi="Palatino Linotype" w:cs="Palatino Linotype"/>
          <w:color w:val="000000"/>
          <w:sz w:val="22"/>
          <w:szCs w:val="22"/>
        </w:rPr>
      </w:pPr>
    </w:p>
    <w:p w14:paraId="4E0B16A3"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Otros sujetos del proceso de atención a las solicitudes de información son los servidores públicos habilitados, quienes serán designados por el titular del </w:t>
      </w:r>
      <w:r w:rsidRPr="00F92461">
        <w:rPr>
          <w:rFonts w:ascii="Palatino Linotype" w:eastAsia="Palatino Linotype" w:hAnsi="Palatino Linotype" w:cs="Palatino Linotype"/>
          <w:b/>
          <w:color w:val="000000"/>
        </w:rPr>
        <w:t xml:space="preserve">SUJETO OBLIGADO </w:t>
      </w:r>
      <w:r w:rsidRPr="00F92461">
        <w:rPr>
          <w:rFonts w:ascii="Palatino Linotype" w:eastAsia="Palatino Linotype" w:hAnsi="Palatino Linotype" w:cs="Palatino Linotype"/>
          <w:color w:val="000000"/>
        </w:rPr>
        <w:t xml:space="preserve">a </w:t>
      </w:r>
      <w:r w:rsidRPr="00F92461">
        <w:rPr>
          <w:rFonts w:ascii="Palatino Linotype" w:eastAsia="Palatino Linotype" w:hAnsi="Palatino Linotype" w:cs="Palatino Linotype"/>
          <w:color w:val="000000"/>
        </w:rPr>
        <w:lastRenderedPageBreak/>
        <w:t>propuesta del responsable de la Unidad de Transparencia</w:t>
      </w:r>
      <w:r w:rsidRPr="00F92461">
        <w:rPr>
          <w:rFonts w:ascii="Palatino Linotype" w:eastAsia="Palatino Linotype" w:hAnsi="Palatino Linotype" w:cs="Palatino Linotype"/>
          <w:color w:val="000000"/>
          <w:vertAlign w:val="superscript"/>
        </w:rPr>
        <w:footnoteReference w:id="7"/>
      </w:r>
      <w:r w:rsidRPr="00F92461">
        <w:rPr>
          <w:rFonts w:ascii="Palatino Linotype" w:eastAsia="Palatino Linotype" w:hAnsi="Palatino Linotype" w:cs="Palatino Linotype"/>
          <w:color w:val="000000"/>
        </w:rPr>
        <w:t xml:space="preserve"> y tendrán, entre sus atribuciones, las siguientes</w:t>
      </w:r>
      <w:r w:rsidRPr="00F92461">
        <w:rPr>
          <w:rFonts w:ascii="Palatino Linotype" w:eastAsia="Palatino Linotype" w:hAnsi="Palatino Linotype" w:cs="Palatino Linotype"/>
          <w:color w:val="000000"/>
          <w:vertAlign w:val="superscript"/>
        </w:rPr>
        <w:footnoteReference w:id="8"/>
      </w:r>
      <w:r w:rsidRPr="00F92461">
        <w:rPr>
          <w:rFonts w:ascii="Palatino Linotype" w:eastAsia="Palatino Linotype" w:hAnsi="Palatino Linotype" w:cs="Palatino Linotype"/>
          <w:color w:val="000000"/>
        </w:rPr>
        <w:t>:</w:t>
      </w:r>
    </w:p>
    <w:p w14:paraId="4E0B16A4" w14:textId="77777777" w:rsidR="00E74520" w:rsidRPr="00F92461" w:rsidRDefault="000445B4">
      <w:pPr>
        <w:numPr>
          <w:ilvl w:val="1"/>
          <w:numId w:val="8"/>
        </w:numPr>
        <w:pBdr>
          <w:top w:val="nil"/>
          <w:left w:val="nil"/>
          <w:bottom w:val="nil"/>
          <w:right w:val="nil"/>
          <w:between w:val="nil"/>
        </w:pBdr>
        <w:spacing w:before="240"/>
        <w:ind w:left="709" w:right="-280" w:hanging="142"/>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Localizar la información que le solicite la Unidad de Transparencia; y</w:t>
      </w:r>
    </w:p>
    <w:p w14:paraId="4E0B16A5" w14:textId="77777777" w:rsidR="00E74520" w:rsidRPr="00F92461" w:rsidRDefault="000445B4">
      <w:pPr>
        <w:numPr>
          <w:ilvl w:val="1"/>
          <w:numId w:val="8"/>
        </w:numPr>
        <w:pBdr>
          <w:top w:val="nil"/>
          <w:left w:val="nil"/>
          <w:bottom w:val="nil"/>
          <w:right w:val="nil"/>
          <w:between w:val="nil"/>
        </w:pBdr>
        <w:spacing w:after="240"/>
        <w:ind w:left="709" w:right="-280" w:hanging="142"/>
        <w:jc w:val="both"/>
        <w:rPr>
          <w:rFonts w:ascii="Palatino Linotype" w:eastAsia="Palatino Linotype" w:hAnsi="Palatino Linotype" w:cs="Palatino Linotype"/>
          <w:color w:val="000000"/>
          <w:sz w:val="22"/>
          <w:szCs w:val="22"/>
        </w:rPr>
      </w:pPr>
      <w:r w:rsidRPr="00F92461">
        <w:rPr>
          <w:rFonts w:ascii="Palatino Linotype" w:eastAsia="Palatino Linotype" w:hAnsi="Palatino Linotype" w:cs="Palatino Linotype"/>
          <w:color w:val="000000"/>
          <w:sz w:val="22"/>
          <w:szCs w:val="22"/>
        </w:rPr>
        <w:t>Proporcionar la información que obre en los archivos y que le sea solicitada por la Unidad de Transparencia.</w:t>
      </w:r>
    </w:p>
    <w:p w14:paraId="4E0B16A6" w14:textId="77777777" w:rsidR="00E74520" w:rsidRPr="00F92461" w:rsidRDefault="00E74520">
      <w:pPr>
        <w:tabs>
          <w:tab w:val="left" w:pos="426"/>
          <w:tab w:val="left" w:pos="567"/>
        </w:tabs>
        <w:ind w:right="-847"/>
        <w:jc w:val="both"/>
        <w:rPr>
          <w:rFonts w:ascii="Palatino Linotype" w:eastAsia="Palatino Linotype" w:hAnsi="Palatino Linotype" w:cs="Palatino Linotype"/>
          <w:color w:val="000000"/>
        </w:rPr>
      </w:pPr>
    </w:p>
    <w:p w14:paraId="4E0B16A7"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De tal manera que cada una de las áreas administrativas del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4E0B16A8" w14:textId="77777777" w:rsidR="00E74520" w:rsidRPr="00F92461" w:rsidRDefault="00E74520">
      <w:pPr>
        <w:ind w:right="-847"/>
        <w:rPr>
          <w:rFonts w:ascii="Palatino Linotype" w:eastAsia="Palatino Linotype" w:hAnsi="Palatino Linotype" w:cs="Palatino Linotype"/>
          <w:color w:val="000000"/>
        </w:rPr>
      </w:pPr>
    </w:p>
    <w:p w14:paraId="4E0B16A9"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Aunado a lo anterior, la Ley de Transparencia y Acceso a la Información Pública del Estado de México y Municipios, en su artículo 53, establece las funciones correspondientes a esta Unidad; mismas que se inserta a continuación:</w:t>
      </w:r>
    </w:p>
    <w:p w14:paraId="4E0B16AA" w14:textId="77777777" w:rsidR="00E74520" w:rsidRPr="00F92461" w:rsidRDefault="00E74520">
      <w:pPr>
        <w:pBdr>
          <w:top w:val="nil"/>
          <w:left w:val="nil"/>
          <w:bottom w:val="nil"/>
          <w:right w:val="nil"/>
          <w:between w:val="nil"/>
        </w:pBdr>
        <w:tabs>
          <w:tab w:val="left" w:pos="426"/>
        </w:tabs>
        <w:spacing w:line="360" w:lineRule="auto"/>
        <w:ind w:right="-280"/>
        <w:jc w:val="both"/>
        <w:rPr>
          <w:rFonts w:ascii="Palatino Linotype" w:eastAsia="Palatino Linotype" w:hAnsi="Palatino Linotype" w:cs="Palatino Linotype"/>
          <w:color w:val="000000"/>
          <w:sz w:val="22"/>
          <w:szCs w:val="22"/>
        </w:rPr>
      </w:pPr>
    </w:p>
    <w:p w14:paraId="4E0B16AB" w14:textId="77777777" w:rsidR="00E74520" w:rsidRPr="00F92461" w:rsidRDefault="000445B4">
      <w:pPr>
        <w:pBdr>
          <w:top w:val="nil"/>
          <w:left w:val="nil"/>
          <w:bottom w:val="nil"/>
          <w:right w:val="nil"/>
          <w:between w:val="nil"/>
        </w:pBdr>
        <w:tabs>
          <w:tab w:val="left" w:pos="426"/>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b/>
          <w:i/>
          <w:color w:val="000000"/>
          <w:sz w:val="22"/>
          <w:szCs w:val="22"/>
        </w:rPr>
        <w:t>“Artículo 53</w:t>
      </w:r>
      <w:r w:rsidRPr="00F92461">
        <w:rPr>
          <w:rFonts w:ascii="Palatino Linotype" w:eastAsia="Palatino Linotype" w:hAnsi="Palatino Linotype" w:cs="Palatino Linotype"/>
          <w:i/>
          <w:color w:val="000000"/>
          <w:sz w:val="22"/>
          <w:szCs w:val="22"/>
        </w:rPr>
        <w:t xml:space="preserve">. Las Unidades de Transparencia tendrán las siguientes funciones: </w:t>
      </w:r>
    </w:p>
    <w:p w14:paraId="4E0B16AC" w14:textId="77777777" w:rsidR="00E74520" w:rsidRPr="00F92461" w:rsidRDefault="00E74520">
      <w:pPr>
        <w:pBdr>
          <w:top w:val="nil"/>
          <w:left w:val="nil"/>
          <w:bottom w:val="nil"/>
          <w:right w:val="nil"/>
          <w:between w:val="nil"/>
        </w:pBdr>
        <w:tabs>
          <w:tab w:val="left" w:pos="426"/>
        </w:tabs>
        <w:ind w:left="567" w:right="-280"/>
        <w:jc w:val="both"/>
        <w:rPr>
          <w:rFonts w:ascii="Palatino Linotype" w:eastAsia="Palatino Linotype" w:hAnsi="Palatino Linotype" w:cs="Palatino Linotype"/>
          <w:i/>
          <w:color w:val="000000"/>
          <w:sz w:val="22"/>
          <w:szCs w:val="22"/>
        </w:rPr>
      </w:pPr>
    </w:p>
    <w:p w14:paraId="4E0B16AD" w14:textId="77777777" w:rsidR="00E74520" w:rsidRPr="00F92461" w:rsidRDefault="000445B4">
      <w:pPr>
        <w:pBdr>
          <w:top w:val="nil"/>
          <w:left w:val="nil"/>
          <w:bottom w:val="nil"/>
          <w:right w:val="nil"/>
          <w:between w:val="nil"/>
        </w:pBdr>
        <w:tabs>
          <w:tab w:val="left" w:pos="426"/>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E0B16AE" w14:textId="77777777" w:rsidR="00E74520" w:rsidRPr="00F92461" w:rsidRDefault="000445B4">
      <w:pPr>
        <w:pBdr>
          <w:top w:val="nil"/>
          <w:left w:val="nil"/>
          <w:bottom w:val="nil"/>
          <w:right w:val="nil"/>
          <w:between w:val="nil"/>
        </w:pBdr>
        <w:tabs>
          <w:tab w:val="left" w:pos="426"/>
        </w:tabs>
        <w:ind w:left="567" w:right="-280"/>
        <w:jc w:val="both"/>
        <w:rPr>
          <w:rFonts w:ascii="Palatino Linotype" w:eastAsia="Palatino Linotype" w:hAnsi="Palatino Linotype" w:cs="Palatino Linotype"/>
          <w:b/>
          <w:i/>
          <w:color w:val="000000"/>
          <w:sz w:val="22"/>
          <w:szCs w:val="22"/>
        </w:rPr>
      </w:pPr>
      <w:r w:rsidRPr="00F92461">
        <w:rPr>
          <w:rFonts w:ascii="Palatino Linotype" w:eastAsia="Palatino Linotype" w:hAnsi="Palatino Linotype" w:cs="Palatino Linotype"/>
          <w:b/>
          <w:i/>
          <w:color w:val="000000"/>
          <w:sz w:val="22"/>
          <w:szCs w:val="22"/>
        </w:rPr>
        <w:t xml:space="preserve">II. Recibir, tramitar y dar respuesta a las solicitudes de acceso a la información; </w:t>
      </w:r>
    </w:p>
    <w:p w14:paraId="4E0B16AF" w14:textId="77777777" w:rsidR="00E74520" w:rsidRPr="00F92461" w:rsidRDefault="000445B4">
      <w:pPr>
        <w:pBdr>
          <w:top w:val="nil"/>
          <w:left w:val="nil"/>
          <w:bottom w:val="nil"/>
          <w:right w:val="nil"/>
          <w:between w:val="nil"/>
        </w:pBdr>
        <w:tabs>
          <w:tab w:val="left" w:pos="426"/>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lastRenderedPageBreak/>
        <w:t xml:space="preserve">III. Auxiliar a los particulares en la elaboración de solicitudes de acceso a la información y, en su caso, orientarlos sobre los sujetos obligados competentes conforme a la normatividad aplicable; </w:t>
      </w:r>
    </w:p>
    <w:p w14:paraId="4E0B16B0" w14:textId="77777777" w:rsidR="00E74520" w:rsidRPr="00F92461" w:rsidRDefault="000445B4">
      <w:pPr>
        <w:pBdr>
          <w:top w:val="nil"/>
          <w:left w:val="nil"/>
          <w:bottom w:val="nil"/>
          <w:right w:val="nil"/>
          <w:between w:val="nil"/>
        </w:pBdr>
        <w:tabs>
          <w:tab w:val="left" w:pos="426"/>
        </w:tabs>
        <w:ind w:left="567" w:right="-280"/>
        <w:jc w:val="both"/>
        <w:rPr>
          <w:rFonts w:ascii="Palatino Linotype" w:eastAsia="Palatino Linotype" w:hAnsi="Palatino Linotype" w:cs="Palatino Linotype"/>
          <w:b/>
          <w:i/>
          <w:color w:val="000000"/>
          <w:sz w:val="22"/>
          <w:szCs w:val="22"/>
        </w:rPr>
      </w:pPr>
      <w:r w:rsidRPr="00F92461">
        <w:rPr>
          <w:rFonts w:ascii="Palatino Linotype" w:eastAsia="Palatino Linotype" w:hAnsi="Palatino Linotype" w:cs="Palatino Linotype"/>
          <w:b/>
          <w:i/>
          <w:color w:val="000000"/>
          <w:sz w:val="22"/>
          <w:szCs w:val="22"/>
        </w:rPr>
        <w:t xml:space="preserve">IV. Realizar, con efectividad, los trámites internos necesarios para la atención de las solicitudes de acceso a la información; </w:t>
      </w:r>
    </w:p>
    <w:p w14:paraId="4E0B16B1" w14:textId="77777777" w:rsidR="00E74520" w:rsidRPr="00F92461" w:rsidRDefault="000445B4">
      <w:pPr>
        <w:pBdr>
          <w:top w:val="nil"/>
          <w:left w:val="nil"/>
          <w:bottom w:val="nil"/>
          <w:right w:val="nil"/>
          <w:between w:val="nil"/>
        </w:pBdr>
        <w:tabs>
          <w:tab w:val="left" w:pos="426"/>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V. Entregar, en su caso, a los particulares la información solicitada; </w:t>
      </w:r>
    </w:p>
    <w:p w14:paraId="4E0B16B2" w14:textId="77777777" w:rsidR="00E74520" w:rsidRPr="00F92461" w:rsidRDefault="000445B4">
      <w:pPr>
        <w:pBdr>
          <w:top w:val="nil"/>
          <w:left w:val="nil"/>
          <w:bottom w:val="nil"/>
          <w:right w:val="nil"/>
          <w:between w:val="nil"/>
        </w:pBdr>
        <w:tabs>
          <w:tab w:val="left" w:pos="426"/>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VI. Efectuar las notificaciones a los solicitantes; </w:t>
      </w:r>
    </w:p>
    <w:p w14:paraId="4E0B16B3" w14:textId="77777777" w:rsidR="00E74520" w:rsidRPr="00F92461" w:rsidRDefault="000445B4">
      <w:pPr>
        <w:pBdr>
          <w:top w:val="nil"/>
          <w:left w:val="nil"/>
          <w:bottom w:val="nil"/>
          <w:right w:val="nil"/>
          <w:between w:val="nil"/>
        </w:pBdr>
        <w:tabs>
          <w:tab w:val="left" w:pos="426"/>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VII. Proponer al Comité de Transparencia, los procedimientos internos que aseguren la mayor eficiencia en la gestión de las solicitudes de acceso a la información, conforme a la normatividad aplicable; </w:t>
      </w:r>
    </w:p>
    <w:p w14:paraId="4E0B16B4" w14:textId="77777777" w:rsidR="00E74520" w:rsidRPr="00F92461" w:rsidRDefault="000445B4">
      <w:pPr>
        <w:pBdr>
          <w:top w:val="nil"/>
          <w:left w:val="nil"/>
          <w:bottom w:val="nil"/>
          <w:right w:val="nil"/>
          <w:between w:val="nil"/>
        </w:pBdr>
        <w:tabs>
          <w:tab w:val="left" w:pos="426"/>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VIII. Proponer a quien preside el Comité de Transparencia, personal habilitado que sea necesario para recibir y dar trámite a las solicitudes de acceso a la información; </w:t>
      </w:r>
    </w:p>
    <w:p w14:paraId="4E0B16B5" w14:textId="77777777" w:rsidR="00E74520" w:rsidRPr="00F92461" w:rsidRDefault="000445B4">
      <w:pPr>
        <w:pBdr>
          <w:top w:val="nil"/>
          <w:left w:val="nil"/>
          <w:bottom w:val="nil"/>
          <w:right w:val="nil"/>
          <w:between w:val="nil"/>
        </w:pBdr>
        <w:tabs>
          <w:tab w:val="left" w:pos="426"/>
        </w:tabs>
        <w:ind w:left="567" w:right="-280"/>
        <w:jc w:val="both"/>
        <w:rPr>
          <w:rFonts w:ascii="Palatino Linotype" w:eastAsia="Palatino Linotype" w:hAnsi="Palatino Linotype" w:cs="Palatino Linotype"/>
          <w:b/>
          <w:i/>
          <w:color w:val="000000"/>
          <w:sz w:val="22"/>
          <w:szCs w:val="22"/>
        </w:rPr>
      </w:pPr>
      <w:r w:rsidRPr="00F92461">
        <w:rPr>
          <w:rFonts w:ascii="Palatino Linotype" w:eastAsia="Palatino Linotype" w:hAnsi="Palatino Linotype" w:cs="Palatino Linotype"/>
          <w:b/>
          <w:i/>
          <w:color w:val="000000"/>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4E0B16B6" w14:textId="77777777" w:rsidR="00E74520" w:rsidRPr="00F92461" w:rsidRDefault="000445B4">
      <w:pPr>
        <w:pBdr>
          <w:top w:val="nil"/>
          <w:left w:val="nil"/>
          <w:bottom w:val="nil"/>
          <w:right w:val="nil"/>
          <w:between w:val="nil"/>
        </w:pBdr>
        <w:tabs>
          <w:tab w:val="left" w:pos="426"/>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X. Presentar ante el Comité, el proyecto de clasificación de información; </w:t>
      </w:r>
    </w:p>
    <w:p w14:paraId="4E0B16B7" w14:textId="77777777" w:rsidR="00E74520" w:rsidRPr="00F92461" w:rsidRDefault="000445B4">
      <w:pPr>
        <w:pBdr>
          <w:top w:val="nil"/>
          <w:left w:val="nil"/>
          <w:bottom w:val="nil"/>
          <w:right w:val="nil"/>
          <w:between w:val="nil"/>
        </w:pBdr>
        <w:tabs>
          <w:tab w:val="left" w:pos="426"/>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XI. Promover e implementar políticas de transparencia proactiva procurando su accesibilidad; </w:t>
      </w:r>
    </w:p>
    <w:p w14:paraId="4E0B16B8" w14:textId="77777777" w:rsidR="00E74520" w:rsidRPr="00F92461" w:rsidRDefault="000445B4">
      <w:pPr>
        <w:pBdr>
          <w:top w:val="nil"/>
          <w:left w:val="nil"/>
          <w:bottom w:val="nil"/>
          <w:right w:val="nil"/>
          <w:between w:val="nil"/>
        </w:pBdr>
        <w:tabs>
          <w:tab w:val="left" w:pos="426"/>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XII. Fomentar la transparencia y accesibilidad al interior del sujeto obligado; </w:t>
      </w:r>
    </w:p>
    <w:p w14:paraId="4E0B16B9" w14:textId="77777777" w:rsidR="00E74520" w:rsidRPr="00F92461" w:rsidRDefault="000445B4">
      <w:pPr>
        <w:pBdr>
          <w:top w:val="nil"/>
          <w:left w:val="nil"/>
          <w:bottom w:val="nil"/>
          <w:right w:val="nil"/>
          <w:between w:val="nil"/>
        </w:pBdr>
        <w:tabs>
          <w:tab w:val="left" w:pos="426"/>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XIII. Hacer del conocimiento de la instancia competente la probable responsabilidad por el incumplimiento de las obligaciones previstas en la presente Ley; y</w:t>
      </w:r>
    </w:p>
    <w:p w14:paraId="4E0B16BA" w14:textId="77777777" w:rsidR="00E74520" w:rsidRPr="00F92461" w:rsidRDefault="000445B4">
      <w:pPr>
        <w:pBdr>
          <w:top w:val="nil"/>
          <w:left w:val="nil"/>
          <w:bottom w:val="nil"/>
          <w:right w:val="nil"/>
          <w:between w:val="nil"/>
        </w:pBdr>
        <w:tabs>
          <w:tab w:val="left" w:pos="426"/>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XIV. Las demás que resulten necesarias para facilitar el acceso a la información y aquellas que se desprenden de la presente Ley y demás disposiciones jurídicas aplicables. (…)</w:t>
      </w:r>
    </w:p>
    <w:p w14:paraId="4E0B16BB" w14:textId="77777777" w:rsidR="00E74520" w:rsidRPr="00F92461" w:rsidRDefault="000445B4">
      <w:pPr>
        <w:pBdr>
          <w:top w:val="nil"/>
          <w:left w:val="nil"/>
          <w:bottom w:val="nil"/>
          <w:right w:val="nil"/>
          <w:between w:val="nil"/>
        </w:pBdr>
        <w:tabs>
          <w:tab w:val="left" w:pos="426"/>
        </w:tabs>
        <w:spacing w:after="240"/>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14:paraId="4E0B16BC" w14:textId="77777777" w:rsidR="00E74520" w:rsidRPr="00F92461" w:rsidRDefault="00E74520">
      <w:pPr>
        <w:tabs>
          <w:tab w:val="left" w:pos="426"/>
        </w:tabs>
        <w:spacing w:before="240" w:after="240"/>
        <w:ind w:right="-847"/>
        <w:jc w:val="both"/>
        <w:rPr>
          <w:rFonts w:ascii="Palatino Linotype" w:eastAsia="Palatino Linotype" w:hAnsi="Palatino Linotype" w:cs="Palatino Linotype"/>
          <w:i/>
        </w:rPr>
      </w:pPr>
    </w:p>
    <w:p w14:paraId="4E0B16BD"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De lo expuesto y con relación a lo solicitado, se tiene que, la Unidad de Transparencia es la encargada de recibir, tramitar y dar respuesta a las solicitudes de acceso a la información.</w:t>
      </w:r>
    </w:p>
    <w:p w14:paraId="4E0B16BE"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BF"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r w:rsidRPr="00F92461">
        <w:rPr>
          <w:rFonts w:ascii="Palatino Linotype" w:eastAsia="Palatino Linotype" w:hAnsi="Palatino Linotype" w:cs="Palatino Linotype"/>
          <w:color w:val="000000"/>
        </w:rPr>
        <w:t xml:space="preserve">En este sentido, se advierte que, 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cumplió con el procedimiento de búsqueda exhaustiva y razonable, pues gestionó la solicitud de información en la unidad en donde </w:t>
      </w:r>
      <w:r w:rsidRPr="00F92461">
        <w:rPr>
          <w:rFonts w:ascii="Palatino Linotype" w:eastAsia="Palatino Linotype" w:hAnsi="Palatino Linotype" w:cs="Palatino Linotype"/>
          <w:color w:val="000000"/>
          <w:u w:val="single"/>
        </w:rPr>
        <w:t>pudiera</w:t>
      </w:r>
      <w:r w:rsidRPr="00F92461">
        <w:rPr>
          <w:rFonts w:ascii="Palatino Linotype" w:eastAsia="Palatino Linotype" w:hAnsi="Palatino Linotype" w:cs="Palatino Linotype"/>
          <w:color w:val="000000"/>
        </w:rPr>
        <w:t xml:space="preserve"> obrar la citada información, siendo estas: </w:t>
      </w:r>
      <w:r w:rsidRPr="00F92461">
        <w:rPr>
          <w:rFonts w:ascii="Palatino Linotype" w:eastAsia="Palatino Linotype" w:hAnsi="Palatino Linotype" w:cs="Palatino Linotype"/>
          <w:b/>
          <w:color w:val="000000"/>
        </w:rPr>
        <w:t>la Dirección General del Medio Ambiente y Dirección de Gestión Ambiental</w:t>
      </w:r>
      <w:r w:rsidRPr="00F92461">
        <w:rPr>
          <w:rFonts w:ascii="Palatino Linotype" w:eastAsia="Palatino Linotype" w:hAnsi="Palatino Linotype" w:cs="Palatino Linotype"/>
          <w:color w:val="000000"/>
        </w:rPr>
        <w:t xml:space="preserve">; por tal motivo, al informar que se realizó una búsqueda exhaustiva en sus archivos sin localizar la información requerida por no haberse generado, poseído y administrado, se colige que no existe ni ha existido registro de la información antes señalada y por ende no pueden existir los documentos requeridos por el </w:t>
      </w:r>
      <w:r w:rsidRPr="00F92461">
        <w:rPr>
          <w:rFonts w:ascii="Palatino Linotype" w:eastAsia="Palatino Linotype" w:hAnsi="Palatino Linotype" w:cs="Palatino Linotype"/>
          <w:b/>
          <w:color w:val="000000"/>
        </w:rPr>
        <w:t>RECURRENTE.</w:t>
      </w:r>
    </w:p>
    <w:p w14:paraId="4E0B16C0" w14:textId="77777777" w:rsidR="00E74520" w:rsidRPr="00F92461" w:rsidRDefault="00E74520">
      <w:pPr>
        <w:ind w:right="-847"/>
        <w:rPr>
          <w:rFonts w:ascii="Palatino Linotype" w:eastAsia="Palatino Linotype" w:hAnsi="Palatino Linotype" w:cs="Palatino Linotype"/>
          <w:b/>
          <w:color w:val="000000"/>
        </w:rPr>
      </w:pPr>
    </w:p>
    <w:p w14:paraId="4E0B16C1"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Así, resulta conveniente mencionar que, por lo establecido en el Artículo 3.49 del Código Reglamentario Municipal de Toluca, el objeto de la </w:t>
      </w:r>
      <w:r w:rsidRPr="00F92461">
        <w:rPr>
          <w:rFonts w:ascii="Palatino Linotype" w:eastAsia="Palatino Linotype" w:hAnsi="Palatino Linotype" w:cs="Palatino Linotype"/>
          <w:b/>
          <w:color w:val="000000"/>
        </w:rPr>
        <w:t xml:space="preserve">Dirección General del Medio Ambiente, </w:t>
      </w:r>
      <w:r w:rsidRPr="00F92461">
        <w:rPr>
          <w:rFonts w:ascii="Palatino Linotype" w:eastAsia="Palatino Linotype" w:hAnsi="Palatino Linotype" w:cs="Palatino Linotype"/>
          <w:color w:val="000000"/>
        </w:rPr>
        <w:t xml:space="preserve">es instrumentar programas y acciones de conservación, protección y restauración de la calidad de los suelos, subsuelo y atmósfera. </w:t>
      </w:r>
    </w:p>
    <w:p w14:paraId="4E0B16C2" w14:textId="77777777" w:rsidR="00E74520" w:rsidRPr="00F92461" w:rsidRDefault="00E74520">
      <w:pPr>
        <w:ind w:right="-847"/>
        <w:rPr>
          <w:rFonts w:ascii="Palatino Linotype" w:eastAsia="Palatino Linotype" w:hAnsi="Palatino Linotype" w:cs="Palatino Linotype"/>
          <w:color w:val="000000"/>
        </w:rPr>
      </w:pPr>
    </w:p>
    <w:p w14:paraId="4E0B16C3"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Por su parte, el artículo 3.53 del Código Reglamentario Municipal de Toluca, dispone que la </w:t>
      </w:r>
      <w:r w:rsidRPr="00F92461">
        <w:rPr>
          <w:rFonts w:ascii="Palatino Linotype" w:eastAsia="Palatino Linotype" w:hAnsi="Palatino Linotype" w:cs="Palatino Linotype"/>
          <w:b/>
          <w:color w:val="000000"/>
        </w:rPr>
        <w:t>Dirección de Gestión Ambiental</w:t>
      </w:r>
      <w:r w:rsidRPr="00F92461">
        <w:rPr>
          <w:rFonts w:ascii="Palatino Linotype" w:eastAsia="Palatino Linotype" w:hAnsi="Palatino Linotype" w:cs="Palatino Linotype"/>
          <w:color w:val="000000"/>
        </w:rPr>
        <w:t>, cuenta con las siguientes atribuciones:</w:t>
      </w:r>
    </w:p>
    <w:p w14:paraId="4E0B16C4"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b/>
          <w:i/>
          <w:color w:val="000000"/>
          <w:sz w:val="22"/>
          <w:szCs w:val="22"/>
        </w:rPr>
        <w:t>“</w:t>
      </w:r>
      <w:r w:rsidRPr="00F92461">
        <w:rPr>
          <w:rFonts w:ascii="Palatino Linotype" w:eastAsia="Palatino Linotype" w:hAnsi="Palatino Linotype" w:cs="Palatino Linotype"/>
          <w:i/>
          <w:color w:val="000000"/>
          <w:sz w:val="22"/>
          <w:szCs w:val="22"/>
        </w:rPr>
        <w:t>I.</w:t>
      </w:r>
      <w:r w:rsidRPr="00F92461">
        <w:rPr>
          <w:rFonts w:ascii="Palatino Linotype" w:eastAsia="Palatino Linotype" w:hAnsi="Palatino Linotype" w:cs="Palatino Linotype"/>
          <w:b/>
          <w:i/>
          <w:color w:val="000000"/>
          <w:sz w:val="22"/>
          <w:szCs w:val="22"/>
        </w:rPr>
        <w:t xml:space="preserve"> </w:t>
      </w:r>
      <w:r w:rsidRPr="00F92461">
        <w:rPr>
          <w:rFonts w:ascii="Palatino Linotype" w:eastAsia="Palatino Linotype" w:hAnsi="Palatino Linotype" w:cs="Palatino Linotype"/>
          <w:i/>
          <w:color w:val="000000"/>
          <w:sz w:val="22"/>
          <w:szCs w:val="22"/>
        </w:rPr>
        <w:t xml:space="preserve">Derogada; </w:t>
      </w:r>
    </w:p>
    <w:p w14:paraId="4E0B16C5"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II. Derogada; </w:t>
      </w:r>
    </w:p>
    <w:p w14:paraId="4E0B16C6"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III. </w:t>
      </w:r>
      <w:r w:rsidRPr="00F92461">
        <w:rPr>
          <w:rFonts w:ascii="Palatino Linotype" w:eastAsia="Palatino Linotype" w:hAnsi="Palatino Linotype" w:cs="Palatino Linotype"/>
          <w:b/>
          <w:i/>
          <w:color w:val="000000"/>
          <w:sz w:val="22"/>
          <w:szCs w:val="22"/>
        </w:rPr>
        <w:t>Coadyuvar con los sectores social y privado en la realización de actividades tendientes a conservar y proteger la vegetación urbana;</w:t>
      </w:r>
      <w:r w:rsidRPr="00F92461">
        <w:rPr>
          <w:rFonts w:ascii="Palatino Linotype" w:eastAsia="Palatino Linotype" w:hAnsi="Palatino Linotype" w:cs="Palatino Linotype"/>
          <w:i/>
          <w:color w:val="000000"/>
          <w:sz w:val="22"/>
          <w:szCs w:val="22"/>
        </w:rPr>
        <w:t xml:space="preserve"> </w:t>
      </w:r>
    </w:p>
    <w:p w14:paraId="4E0B16C7"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IV. Coadyuvar con la Federación y el Estado en la aplicación de las normas técnicas en materia de conservación de los recursos naturales, así como el manejo y administración de la vegetación urbana; </w:t>
      </w:r>
    </w:p>
    <w:p w14:paraId="4E0B16C8"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b/>
          <w:i/>
          <w:color w:val="000000"/>
          <w:sz w:val="22"/>
          <w:szCs w:val="22"/>
        </w:rPr>
      </w:pPr>
      <w:r w:rsidRPr="00F92461">
        <w:rPr>
          <w:rFonts w:ascii="Palatino Linotype" w:eastAsia="Palatino Linotype" w:hAnsi="Palatino Linotype" w:cs="Palatino Linotype"/>
          <w:b/>
          <w:i/>
          <w:color w:val="000000"/>
          <w:sz w:val="22"/>
          <w:szCs w:val="22"/>
        </w:rPr>
        <w:t xml:space="preserve">V. Desarrollar, implementar, controlar y dar seguimiento a los programas de forestación y reforestación del territorio municipal; </w:t>
      </w:r>
    </w:p>
    <w:p w14:paraId="4E0B16C9"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lastRenderedPageBreak/>
        <w:t xml:space="preserve">VI. Realizar estudios e investigaciones para identificar la vegetación adecuada a las condiciones climáticas del municipio de Toluca, a efecto de fomentar su producción, mantenimiento y conservación; y </w:t>
      </w:r>
    </w:p>
    <w:p w14:paraId="4E0B16CA"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b/>
          <w:i/>
          <w:color w:val="000000"/>
          <w:sz w:val="22"/>
          <w:szCs w:val="22"/>
        </w:rPr>
      </w:pPr>
      <w:r w:rsidRPr="00F92461">
        <w:rPr>
          <w:rFonts w:ascii="Palatino Linotype" w:eastAsia="Palatino Linotype" w:hAnsi="Palatino Linotype" w:cs="Palatino Linotype"/>
          <w:i/>
          <w:color w:val="000000"/>
          <w:sz w:val="22"/>
          <w:szCs w:val="22"/>
        </w:rPr>
        <w:t>VII. Las demás que le asignen otros ordenamientos, el presidente municipal y la o el Director General de Medio Ambiente.”</w:t>
      </w:r>
    </w:p>
    <w:p w14:paraId="4E0B16CB"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b/>
          <w:color w:val="000000"/>
        </w:rPr>
      </w:pPr>
    </w:p>
    <w:p w14:paraId="4E0B16CC"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Finalmente, el Manual General de Organización de la Dirección General del Medio Ambiente del ayuntamiento de Toluca, establece que la </w:t>
      </w:r>
      <w:r w:rsidRPr="00F92461">
        <w:rPr>
          <w:rFonts w:ascii="Palatino Linotype" w:eastAsia="Palatino Linotype" w:hAnsi="Palatino Linotype" w:cs="Palatino Linotype"/>
          <w:b/>
          <w:color w:val="000000"/>
        </w:rPr>
        <w:t>Dirección de Gestión Ambiental</w:t>
      </w:r>
      <w:r w:rsidRPr="00F92461">
        <w:rPr>
          <w:rFonts w:ascii="Palatino Linotype" w:eastAsia="Palatino Linotype" w:hAnsi="Palatino Linotype" w:cs="Palatino Linotype"/>
          <w:color w:val="000000"/>
        </w:rPr>
        <w:t>, tiene por objeto:</w:t>
      </w:r>
    </w:p>
    <w:p w14:paraId="4E0B16CD"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 xml:space="preserve">I. Coadyuvar con los sectores social y privado en la realización de actividades tendientes a conservar y proteger la vegetación urbana; </w:t>
      </w:r>
    </w:p>
    <w:p w14:paraId="4E0B16CE"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II. Coadyuvar con la Federación y el Estado en la aplicación de las normas técnicas en materia de conservación de los recursos naturales, así como el manejo y administración de la vegetación urbana;</w:t>
      </w:r>
    </w:p>
    <w:p w14:paraId="4E0B16CF"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b/>
          <w:i/>
          <w:color w:val="000000"/>
          <w:sz w:val="22"/>
          <w:szCs w:val="22"/>
        </w:rPr>
      </w:pPr>
      <w:r w:rsidRPr="00F92461">
        <w:rPr>
          <w:rFonts w:ascii="Palatino Linotype" w:eastAsia="Palatino Linotype" w:hAnsi="Palatino Linotype" w:cs="Palatino Linotype"/>
          <w:b/>
          <w:i/>
          <w:color w:val="000000"/>
          <w:sz w:val="22"/>
          <w:szCs w:val="22"/>
        </w:rPr>
        <w:t xml:space="preserve">III. Desarrollar, implementar, controlar y dar seguimiento a los programas de forestación y reforestación del territorio municipal; </w:t>
      </w:r>
    </w:p>
    <w:p w14:paraId="4E0B16D0"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b/>
          <w:i/>
          <w:color w:val="000000"/>
          <w:sz w:val="22"/>
          <w:szCs w:val="22"/>
        </w:rPr>
      </w:pPr>
      <w:r w:rsidRPr="00F92461">
        <w:rPr>
          <w:rFonts w:ascii="Palatino Linotype" w:eastAsia="Palatino Linotype" w:hAnsi="Palatino Linotype" w:cs="Palatino Linotype"/>
          <w:b/>
          <w:i/>
          <w:color w:val="000000"/>
          <w:sz w:val="22"/>
          <w:szCs w:val="22"/>
        </w:rPr>
        <w:t xml:space="preserve">IV. Realizar estudios e investigaciones para identificar la vegetación adecuada a las condiciones climáticas del municipio de Toluca, a efecto de fomentar su producción, mantenimiento y conservación; y </w:t>
      </w:r>
    </w:p>
    <w:p w14:paraId="4E0B16D1"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V. Las demás que le asignen otros ordenamientos, el presidente municipal y la o el Director General de Medio Ambiente.</w:t>
      </w:r>
    </w:p>
    <w:p w14:paraId="4E0B16D2" w14:textId="77777777" w:rsidR="00E74520" w:rsidRPr="00F92461" w:rsidRDefault="00E74520">
      <w:pPr>
        <w:tabs>
          <w:tab w:val="left" w:pos="426"/>
          <w:tab w:val="left" w:pos="567"/>
        </w:tabs>
        <w:ind w:right="-847"/>
        <w:jc w:val="both"/>
        <w:rPr>
          <w:rFonts w:ascii="Palatino Linotype" w:eastAsia="Palatino Linotype" w:hAnsi="Palatino Linotype" w:cs="Palatino Linotype"/>
          <w:b/>
          <w:i/>
          <w:color w:val="000000"/>
        </w:rPr>
      </w:pPr>
    </w:p>
    <w:p w14:paraId="4E0B16D3"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b/>
        </w:rPr>
      </w:pPr>
      <w:r w:rsidRPr="00F92461">
        <w:rPr>
          <w:rFonts w:ascii="Palatino Linotype" w:eastAsia="Palatino Linotype" w:hAnsi="Palatino Linotype" w:cs="Palatino Linotype"/>
          <w:color w:val="000000"/>
        </w:rPr>
        <w:t xml:space="preserve">Expuesto lo anterior, con el afán de dar cumplimiento a lo requerido, se reitera que, 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w:t>
      </w:r>
      <w:r w:rsidRPr="00F92461">
        <w:rPr>
          <w:rFonts w:ascii="Palatino Linotype" w:eastAsia="Palatino Linotype" w:hAnsi="Palatino Linotype" w:cs="Palatino Linotype"/>
        </w:rPr>
        <w:t>turna</w:t>
      </w:r>
      <w:r w:rsidRPr="00F92461">
        <w:rPr>
          <w:rFonts w:ascii="Palatino Linotype" w:eastAsia="Palatino Linotype" w:hAnsi="Palatino Linotype" w:cs="Palatino Linotype"/>
          <w:color w:val="000000"/>
        </w:rPr>
        <w:t xml:space="preserve"> la solicitud al área correspondiente y proporcionó la información solicitada el Servidores Públicos Habilitados correspondientes.</w:t>
      </w:r>
    </w:p>
    <w:p w14:paraId="4E0B16D4"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b/>
          <w:color w:val="000000"/>
        </w:rPr>
      </w:pPr>
    </w:p>
    <w:p w14:paraId="4E0B16D5"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Expuesto lo anterior, es dable sostener que, al haber existido un pronunciamiento por parte del </w:t>
      </w:r>
      <w:r w:rsidRPr="00F92461">
        <w:rPr>
          <w:rFonts w:ascii="Palatino Linotype" w:eastAsia="Palatino Linotype" w:hAnsi="Palatino Linotype" w:cs="Palatino Linotype"/>
          <w:b/>
          <w:color w:val="000000"/>
        </w:rPr>
        <w:t xml:space="preserve">SUJETO OBLIGADO, </w:t>
      </w:r>
      <w:r w:rsidRPr="00F92461">
        <w:rPr>
          <w:rFonts w:ascii="Palatino Linotype" w:eastAsia="Palatino Linotype" w:hAnsi="Palatino Linotype" w:cs="Palatino Linotype"/>
          <w:color w:val="000000"/>
        </w:rPr>
        <w:t xml:space="preserve">aún más del Servidor Público Habilitado correspondiente, este Instituto no está facultado para manifestarse sobre la veracidad de este, pues no existe </w:t>
      </w:r>
      <w:r w:rsidRPr="00F92461">
        <w:rPr>
          <w:rFonts w:ascii="Palatino Linotype" w:eastAsia="Palatino Linotype" w:hAnsi="Palatino Linotype" w:cs="Palatino Linotype"/>
          <w:color w:val="000000"/>
        </w:rPr>
        <w:lastRenderedPageBreak/>
        <w:t>precepto legal alguno en la Ley de la materia que lo faculte para que, vía recurso de revisión, pueda pronunciarse al respecto.</w:t>
      </w:r>
    </w:p>
    <w:p w14:paraId="4E0B16D6"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D7"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Ahora bien, es importante señalar que el artículo 4, párrafo segundo de la Ley de Transparencia y Acceso a la Información Pública del Estado de México y Municipios, dispone: </w:t>
      </w:r>
    </w:p>
    <w:p w14:paraId="4E0B16D8"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w:t>
      </w:r>
      <w:r w:rsidRPr="00F92461">
        <w:rPr>
          <w:rFonts w:ascii="Palatino Linotype" w:eastAsia="Palatino Linotype" w:hAnsi="Palatino Linotype" w:cs="Palatino Linotype"/>
          <w:b/>
          <w:i/>
          <w:color w:val="000000"/>
          <w:sz w:val="22"/>
          <w:szCs w:val="22"/>
        </w:rPr>
        <w:t>Artículo 4. …</w:t>
      </w:r>
    </w:p>
    <w:p w14:paraId="4E0B16D9" w14:textId="77777777" w:rsidR="00E74520" w:rsidRPr="00F92461" w:rsidRDefault="000445B4">
      <w:pPr>
        <w:pBdr>
          <w:top w:val="nil"/>
          <w:left w:val="nil"/>
          <w:bottom w:val="nil"/>
          <w:right w:val="nil"/>
          <w:between w:val="nil"/>
        </w:pBdr>
        <w:tabs>
          <w:tab w:val="left" w:pos="426"/>
          <w:tab w:val="left" w:pos="567"/>
        </w:tabs>
        <w:ind w:left="567" w:right="-280"/>
        <w:jc w:val="both"/>
        <w:rPr>
          <w:rFonts w:ascii="Palatino Linotype" w:eastAsia="Palatino Linotype" w:hAnsi="Palatino Linotype" w:cs="Palatino Linotype"/>
          <w:i/>
          <w:color w:val="000000"/>
          <w:sz w:val="22"/>
          <w:szCs w:val="22"/>
        </w:rPr>
      </w:pPr>
      <w:r w:rsidRPr="00F92461">
        <w:rPr>
          <w:rFonts w:ascii="Palatino Linotype" w:eastAsia="Palatino Linotype" w:hAnsi="Palatino Linotype" w:cs="Palatino Linotype"/>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E0B16DA" w14:textId="77777777" w:rsidR="00E74520" w:rsidRPr="00F92461" w:rsidRDefault="00E74520">
      <w:pPr>
        <w:tabs>
          <w:tab w:val="left" w:pos="426"/>
          <w:tab w:val="left" w:pos="567"/>
        </w:tabs>
        <w:spacing w:line="360" w:lineRule="auto"/>
        <w:ind w:right="-847"/>
        <w:jc w:val="both"/>
        <w:rPr>
          <w:rFonts w:ascii="Palatino Linotype" w:eastAsia="Palatino Linotype" w:hAnsi="Palatino Linotype" w:cs="Palatino Linotype"/>
          <w:i/>
          <w:color w:val="000000"/>
        </w:rPr>
      </w:pPr>
    </w:p>
    <w:p w14:paraId="4E0B16DB"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w:t>
      </w:r>
    </w:p>
    <w:p w14:paraId="4E0B16DC" w14:textId="77777777" w:rsidR="00E74520" w:rsidRPr="00F92461" w:rsidRDefault="00E74520">
      <w:pPr>
        <w:spacing w:line="360" w:lineRule="auto"/>
        <w:ind w:right="-847"/>
        <w:rPr>
          <w:rFonts w:ascii="Palatino Linotype" w:eastAsia="Palatino Linotype" w:hAnsi="Palatino Linotype" w:cs="Palatino Linotype"/>
          <w:color w:val="000000"/>
        </w:rPr>
      </w:pPr>
    </w:p>
    <w:p w14:paraId="4E0B16DD" w14:textId="77777777" w:rsidR="00E74520" w:rsidRPr="00F92461" w:rsidRDefault="000445B4">
      <w:pPr>
        <w:numPr>
          <w:ilvl w:val="0"/>
          <w:numId w:val="2"/>
        </w:numPr>
        <w:pBdr>
          <w:top w:val="nil"/>
          <w:left w:val="nil"/>
          <w:bottom w:val="nil"/>
          <w:right w:val="nil"/>
          <w:between w:val="nil"/>
        </w:pBdr>
        <w:tabs>
          <w:tab w:val="left" w:pos="426"/>
          <w:tab w:val="left" w:pos="567"/>
        </w:tabs>
        <w:spacing w:line="360" w:lineRule="auto"/>
        <w:ind w:left="0" w:right="-847" w:firstLine="0"/>
        <w:jc w:val="both"/>
        <w:rPr>
          <w:rFonts w:ascii="Palatino Linotype" w:eastAsia="Palatino Linotype" w:hAnsi="Palatino Linotype" w:cs="Palatino Linotype"/>
        </w:rPr>
      </w:pPr>
      <w:r w:rsidRPr="00F92461">
        <w:rPr>
          <w:rFonts w:ascii="Palatino Linotype" w:eastAsia="Palatino Linotype" w:hAnsi="Palatino Linotype" w:cs="Palatino Linotype"/>
          <w:color w:val="000000"/>
        </w:rPr>
        <w:t xml:space="preserve">Bajo este contexto, se considera que, con el pronunciamiento realizado por parte del </w:t>
      </w:r>
      <w:r w:rsidRPr="00F92461">
        <w:rPr>
          <w:rFonts w:ascii="Palatino Linotype" w:eastAsia="Palatino Linotype" w:hAnsi="Palatino Linotype" w:cs="Palatino Linotype"/>
          <w:b/>
          <w:color w:val="000000"/>
        </w:rPr>
        <w:t>SUJETO OBLIGADO,</w:t>
      </w:r>
      <w:r w:rsidRPr="00F92461">
        <w:rPr>
          <w:rFonts w:ascii="Palatino Linotype" w:eastAsia="Palatino Linotype" w:hAnsi="Palatino Linotype" w:cs="Palatino Linotype"/>
          <w:color w:val="000000"/>
        </w:rPr>
        <w:t xml:space="preserve"> mediante respuesta a la solicitud de información número </w:t>
      </w:r>
      <w:r w:rsidRPr="00F92461">
        <w:rPr>
          <w:rFonts w:ascii="Palatino Linotype" w:eastAsia="Palatino Linotype" w:hAnsi="Palatino Linotype" w:cs="Palatino Linotype"/>
          <w:b/>
          <w:color w:val="000000"/>
        </w:rPr>
        <w:t>01042/TOLUCA/IP/2024</w:t>
      </w:r>
      <w:r w:rsidRPr="00F92461">
        <w:rPr>
          <w:rFonts w:ascii="Palatino Linotype" w:eastAsia="Palatino Linotype" w:hAnsi="Palatino Linotype" w:cs="Palatino Linotype"/>
          <w:color w:val="000000"/>
        </w:rPr>
        <w:t xml:space="preserve">, colma en su totalidad con lo requerido por el </w:t>
      </w:r>
      <w:r w:rsidRPr="00F92461">
        <w:rPr>
          <w:rFonts w:ascii="Palatino Linotype" w:eastAsia="Palatino Linotype" w:hAnsi="Palatino Linotype" w:cs="Palatino Linotype"/>
          <w:b/>
          <w:color w:val="000000"/>
        </w:rPr>
        <w:t>RECURRENTE.</w:t>
      </w:r>
    </w:p>
    <w:p w14:paraId="4E0B16DE"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DF" w14:textId="77777777" w:rsidR="00E74520" w:rsidRPr="00F92461" w:rsidRDefault="000445B4">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r w:rsidRPr="00F92461">
        <w:rPr>
          <w:rFonts w:ascii="Palatino Linotype" w:eastAsia="Palatino Linotype" w:hAnsi="Palatino Linotype" w:cs="Palatino Linotype"/>
          <w:b/>
        </w:rPr>
        <w:lastRenderedPageBreak/>
        <w:t xml:space="preserve">78. </w:t>
      </w:r>
      <w:r w:rsidRPr="00F92461">
        <w:rPr>
          <w:rFonts w:ascii="Palatino Linotype" w:eastAsia="Palatino Linotype" w:hAnsi="Palatino Linotype" w:cs="Palatino Linotype"/>
          <w:color w:val="000000"/>
        </w:rPr>
        <w:t xml:space="preserve">Por lo tanto, este Organismo Garante considera procedente </w:t>
      </w:r>
      <w:r w:rsidRPr="00F92461">
        <w:rPr>
          <w:rFonts w:ascii="Palatino Linotype" w:eastAsia="Palatino Linotype" w:hAnsi="Palatino Linotype" w:cs="Palatino Linotype"/>
          <w:b/>
          <w:color w:val="000000"/>
        </w:rPr>
        <w:t xml:space="preserve">CONFIRMAR </w:t>
      </w:r>
      <w:r w:rsidRPr="00F92461">
        <w:rPr>
          <w:rFonts w:ascii="Palatino Linotype" w:eastAsia="Palatino Linotype" w:hAnsi="Palatino Linotype" w:cs="Palatino Linotype"/>
          <w:color w:val="000000"/>
        </w:rPr>
        <w:t xml:space="preserve">la respuesta otorgada por el </w:t>
      </w:r>
      <w:r w:rsidRPr="00F92461">
        <w:rPr>
          <w:rFonts w:ascii="Palatino Linotype" w:eastAsia="Palatino Linotype" w:hAnsi="Palatino Linotype" w:cs="Palatino Linotype"/>
          <w:b/>
          <w:color w:val="000000"/>
        </w:rPr>
        <w:t xml:space="preserve">Ayuntamiento de Toluca </w:t>
      </w:r>
      <w:r w:rsidRPr="00F92461">
        <w:rPr>
          <w:rFonts w:ascii="Palatino Linotype" w:eastAsia="Palatino Linotype" w:hAnsi="Palatino Linotype" w:cs="Palatino Linotype"/>
          <w:color w:val="000000"/>
        </w:rPr>
        <w:t>a la solicitud de información</w:t>
      </w:r>
      <w:r w:rsidRPr="00F92461">
        <w:rPr>
          <w:rFonts w:ascii="Palatino Linotype" w:eastAsia="Palatino Linotype" w:hAnsi="Palatino Linotype" w:cs="Palatino Linotype"/>
          <w:b/>
          <w:color w:val="000000"/>
        </w:rPr>
        <w:t xml:space="preserve"> 01042/TOLUCA/IP/2024.</w:t>
      </w:r>
    </w:p>
    <w:p w14:paraId="4E0B16E0" w14:textId="77777777" w:rsidR="00E74520" w:rsidRPr="00F92461" w:rsidRDefault="00E74520">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4E0B16E1" w14:textId="77777777" w:rsidR="00E74520" w:rsidRPr="00F92461" w:rsidRDefault="000445B4">
      <w:pPr>
        <w:pStyle w:val="Ttulo2"/>
        <w:tabs>
          <w:tab w:val="left" w:pos="0"/>
        </w:tabs>
        <w:spacing w:before="0" w:line="360" w:lineRule="auto"/>
        <w:ind w:right="-847"/>
        <w:jc w:val="center"/>
        <w:rPr>
          <w:rFonts w:ascii="Palatino Linotype" w:eastAsia="Palatino Linotype" w:hAnsi="Palatino Linotype" w:cs="Palatino Linotype"/>
          <w:b/>
          <w:color w:val="000000"/>
          <w:sz w:val="24"/>
          <w:szCs w:val="24"/>
        </w:rPr>
      </w:pPr>
      <w:bookmarkStart w:id="11" w:name="_heading=h.17dp8vu" w:colFirst="0" w:colLast="0"/>
      <w:bookmarkEnd w:id="11"/>
      <w:r w:rsidRPr="00F92461">
        <w:rPr>
          <w:rFonts w:ascii="Palatino Linotype" w:eastAsia="Palatino Linotype" w:hAnsi="Palatino Linotype" w:cs="Palatino Linotype"/>
          <w:b/>
          <w:color w:val="000000"/>
          <w:sz w:val="24"/>
          <w:szCs w:val="24"/>
        </w:rPr>
        <w:t>R E S O L U T I V O S</w:t>
      </w:r>
    </w:p>
    <w:p w14:paraId="4E0B16E2" w14:textId="77777777" w:rsidR="00E74520" w:rsidRPr="00F92461" w:rsidRDefault="00E74520">
      <w:pPr>
        <w:pBdr>
          <w:top w:val="nil"/>
          <w:left w:val="nil"/>
          <w:bottom w:val="nil"/>
          <w:right w:val="nil"/>
          <w:between w:val="nil"/>
        </w:pBdr>
        <w:spacing w:line="360" w:lineRule="auto"/>
        <w:ind w:right="-847"/>
        <w:jc w:val="both"/>
        <w:rPr>
          <w:rFonts w:ascii="Palatino Linotype" w:eastAsia="Palatino Linotype" w:hAnsi="Palatino Linotype" w:cs="Palatino Linotype"/>
          <w:b/>
          <w:color w:val="000000"/>
        </w:rPr>
      </w:pPr>
    </w:p>
    <w:p w14:paraId="4E0B16E3" w14:textId="77777777" w:rsidR="00E74520" w:rsidRPr="00F92461" w:rsidRDefault="000445B4">
      <w:pPr>
        <w:spacing w:line="360" w:lineRule="auto"/>
        <w:ind w:right="-847"/>
        <w:jc w:val="both"/>
        <w:rPr>
          <w:rFonts w:ascii="Palatino Linotype" w:eastAsia="Palatino Linotype" w:hAnsi="Palatino Linotype" w:cs="Palatino Linotype"/>
        </w:rPr>
      </w:pPr>
      <w:r w:rsidRPr="00F92461">
        <w:rPr>
          <w:rFonts w:ascii="Palatino Linotype" w:eastAsia="Palatino Linotype" w:hAnsi="Palatino Linotype" w:cs="Palatino Linotype"/>
          <w:b/>
        </w:rPr>
        <w:t xml:space="preserve">PRIMERO. </w:t>
      </w:r>
      <w:r w:rsidRPr="00F92461">
        <w:rPr>
          <w:rFonts w:ascii="Palatino Linotype" w:eastAsia="Palatino Linotype" w:hAnsi="Palatino Linotype" w:cs="Palatino Linotype"/>
        </w:rPr>
        <w:t>Resultan infundadas las</w:t>
      </w:r>
      <w:r w:rsidRPr="00F92461">
        <w:rPr>
          <w:rFonts w:ascii="Palatino Linotype" w:eastAsia="Palatino Linotype" w:hAnsi="Palatino Linotype" w:cs="Palatino Linotype"/>
          <w:b/>
        </w:rPr>
        <w:t xml:space="preserve"> </w:t>
      </w:r>
      <w:r w:rsidRPr="00F92461">
        <w:rPr>
          <w:rFonts w:ascii="Palatino Linotype" w:eastAsia="Palatino Linotype" w:hAnsi="Palatino Linotype" w:cs="Palatino Linotype"/>
        </w:rPr>
        <w:t xml:space="preserve">razones o motivos de inconformidad hechos valer en el recurso de revisión </w:t>
      </w:r>
      <w:r w:rsidRPr="00F92461">
        <w:rPr>
          <w:rFonts w:ascii="Palatino Linotype" w:eastAsia="Palatino Linotype" w:hAnsi="Palatino Linotype" w:cs="Palatino Linotype"/>
          <w:b/>
        </w:rPr>
        <w:t xml:space="preserve">03333/INFOEM/IP/RR/2024 </w:t>
      </w:r>
      <w:r w:rsidRPr="00F92461">
        <w:rPr>
          <w:rFonts w:ascii="Palatino Linotype" w:eastAsia="Palatino Linotype" w:hAnsi="Palatino Linotype" w:cs="Palatino Linotype"/>
        </w:rPr>
        <w:t>en términos del</w:t>
      </w:r>
      <w:r w:rsidRPr="00F92461">
        <w:rPr>
          <w:rFonts w:ascii="Palatino Linotype" w:eastAsia="Palatino Linotype" w:hAnsi="Palatino Linotype" w:cs="Palatino Linotype"/>
          <w:b/>
        </w:rPr>
        <w:t xml:space="preserve"> Considerando</w:t>
      </w:r>
      <w:r w:rsidRPr="00F92461">
        <w:rPr>
          <w:rFonts w:ascii="Palatino Linotype" w:eastAsia="Palatino Linotype" w:hAnsi="Palatino Linotype" w:cs="Palatino Linotype"/>
        </w:rPr>
        <w:t xml:space="preserve"> </w:t>
      </w:r>
      <w:r w:rsidRPr="00F92461">
        <w:rPr>
          <w:rFonts w:ascii="Palatino Linotype" w:eastAsia="Palatino Linotype" w:hAnsi="Palatino Linotype" w:cs="Palatino Linotype"/>
          <w:b/>
        </w:rPr>
        <w:t>CUARTO</w:t>
      </w:r>
      <w:r w:rsidRPr="00F92461">
        <w:rPr>
          <w:rFonts w:ascii="Palatino Linotype" w:eastAsia="Palatino Linotype" w:hAnsi="Palatino Linotype" w:cs="Palatino Linotype"/>
        </w:rPr>
        <w:t xml:space="preserve"> de la presente resolución.</w:t>
      </w:r>
    </w:p>
    <w:p w14:paraId="4E0B16E4" w14:textId="77777777" w:rsidR="00E74520" w:rsidRPr="00F92461" w:rsidRDefault="00E74520">
      <w:pPr>
        <w:spacing w:line="360" w:lineRule="auto"/>
        <w:ind w:right="-847"/>
        <w:jc w:val="both"/>
        <w:rPr>
          <w:rFonts w:ascii="Palatino Linotype" w:eastAsia="Palatino Linotype" w:hAnsi="Palatino Linotype" w:cs="Palatino Linotype"/>
        </w:rPr>
      </w:pPr>
    </w:p>
    <w:p w14:paraId="4E0B16E5" w14:textId="77777777" w:rsidR="00E74520" w:rsidRPr="00F92461" w:rsidRDefault="000445B4">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bookmarkStart w:id="12" w:name="_heading=h.3rdcrjn" w:colFirst="0" w:colLast="0"/>
      <w:bookmarkEnd w:id="12"/>
      <w:r w:rsidRPr="00F92461">
        <w:rPr>
          <w:rFonts w:ascii="Palatino Linotype" w:eastAsia="Palatino Linotype" w:hAnsi="Palatino Linotype" w:cs="Palatino Linotype"/>
          <w:b/>
          <w:color w:val="000000"/>
        </w:rPr>
        <w:t xml:space="preserve">SEGUNDO. </w:t>
      </w:r>
      <w:r w:rsidRPr="00F92461">
        <w:rPr>
          <w:rFonts w:ascii="Palatino Linotype" w:eastAsia="Palatino Linotype" w:hAnsi="Palatino Linotype" w:cs="Palatino Linotype"/>
          <w:color w:val="000000"/>
        </w:rPr>
        <w:t xml:space="preserve">Se </w:t>
      </w:r>
      <w:r w:rsidRPr="00F92461">
        <w:rPr>
          <w:rFonts w:ascii="Palatino Linotype" w:eastAsia="Palatino Linotype" w:hAnsi="Palatino Linotype" w:cs="Palatino Linotype"/>
          <w:b/>
          <w:color w:val="000000"/>
        </w:rPr>
        <w:t>CONFIRMA</w:t>
      </w:r>
      <w:r w:rsidRPr="00F92461">
        <w:rPr>
          <w:rFonts w:ascii="Palatino Linotype" w:eastAsia="Palatino Linotype" w:hAnsi="Palatino Linotype" w:cs="Palatino Linotype"/>
          <w:color w:val="000000"/>
        </w:rPr>
        <w:t xml:space="preserve"> la respuesta emitida por el </w:t>
      </w:r>
      <w:r w:rsidRPr="00F92461">
        <w:rPr>
          <w:rFonts w:ascii="Palatino Linotype" w:eastAsia="Palatino Linotype" w:hAnsi="Palatino Linotype" w:cs="Palatino Linotype"/>
          <w:b/>
          <w:color w:val="000000"/>
        </w:rPr>
        <w:t xml:space="preserve">Ayuntamiento de Toluca </w:t>
      </w:r>
      <w:r w:rsidRPr="00F92461">
        <w:rPr>
          <w:rFonts w:ascii="Palatino Linotype" w:eastAsia="Palatino Linotype" w:hAnsi="Palatino Linotype" w:cs="Palatino Linotype"/>
          <w:color w:val="000000"/>
        </w:rPr>
        <w:t xml:space="preserve">a la solicitud </w:t>
      </w:r>
      <w:r w:rsidRPr="00F92461">
        <w:rPr>
          <w:rFonts w:ascii="Palatino Linotype" w:eastAsia="Palatino Linotype" w:hAnsi="Palatino Linotype" w:cs="Palatino Linotype"/>
          <w:b/>
          <w:color w:val="000000"/>
        </w:rPr>
        <w:t>01042/TOLUCA/IP/2024.</w:t>
      </w:r>
    </w:p>
    <w:p w14:paraId="4E0B16E6" w14:textId="77777777" w:rsidR="00E74520" w:rsidRPr="00F92461" w:rsidRDefault="00E74520">
      <w:pPr>
        <w:spacing w:line="360" w:lineRule="auto"/>
        <w:ind w:right="-847"/>
        <w:jc w:val="both"/>
        <w:rPr>
          <w:rFonts w:ascii="Palatino Linotype" w:eastAsia="Palatino Linotype" w:hAnsi="Palatino Linotype" w:cs="Palatino Linotype"/>
          <w:b/>
        </w:rPr>
      </w:pPr>
    </w:p>
    <w:p w14:paraId="4E0B16E7" w14:textId="77777777" w:rsidR="00E74520" w:rsidRPr="00F92461" w:rsidRDefault="000445B4">
      <w:pPr>
        <w:tabs>
          <w:tab w:val="left" w:pos="8080"/>
        </w:tabs>
        <w:spacing w:line="360" w:lineRule="auto"/>
        <w:ind w:right="-847"/>
        <w:jc w:val="both"/>
        <w:rPr>
          <w:rFonts w:ascii="Palatino Linotype" w:eastAsia="Palatino Linotype" w:hAnsi="Palatino Linotype" w:cs="Palatino Linotype"/>
          <w:b/>
        </w:rPr>
      </w:pPr>
      <w:r w:rsidRPr="00F92461">
        <w:rPr>
          <w:rFonts w:ascii="Palatino Linotype" w:eastAsia="Palatino Linotype" w:hAnsi="Palatino Linotype" w:cs="Palatino Linotype"/>
          <w:b/>
          <w:color w:val="000000"/>
        </w:rPr>
        <w:t>TERCERO.</w:t>
      </w:r>
      <w:r w:rsidRPr="00F92461">
        <w:rPr>
          <w:rFonts w:ascii="Palatino Linotype" w:eastAsia="Palatino Linotype" w:hAnsi="Palatino Linotype" w:cs="Palatino Linotype"/>
          <w:color w:val="000000"/>
        </w:rPr>
        <w:t xml:space="preserve"> </w:t>
      </w:r>
      <w:r w:rsidRPr="00F92461">
        <w:rPr>
          <w:rFonts w:ascii="Palatino Linotype" w:eastAsia="Palatino Linotype" w:hAnsi="Palatino Linotype" w:cs="Palatino Linotype"/>
          <w:b/>
        </w:rPr>
        <w:t xml:space="preserve">Notifíquese, </w:t>
      </w:r>
      <w:r w:rsidRPr="00F92461">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F92461">
        <w:rPr>
          <w:rFonts w:ascii="Palatino Linotype" w:eastAsia="Palatino Linotype" w:hAnsi="Palatino Linotype" w:cs="Palatino Linotype"/>
          <w:b/>
        </w:rPr>
        <w:t>SUJETO OBLIGADO.</w:t>
      </w:r>
    </w:p>
    <w:p w14:paraId="4E0B16E8" w14:textId="77777777" w:rsidR="00E74520" w:rsidRPr="00F92461" w:rsidRDefault="00E74520">
      <w:pPr>
        <w:tabs>
          <w:tab w:val="left" w:pos="8080"/>
        </w:tabs>
        <w:spacing w:line="360" w:lineRule="auto"/>
        <w:ind w:right="-847"/>
        <w:jc w:val="both"/>
        <w:rPr>
          <w:rFonts w:ascii="Palatino Linotype" w:eastAsia="Palatino Linotype" w:hAnsi="Palatino Linotype" w:cs="Palatino Linotype"/>
          <w:b/>
        </w:rPr>
      </w:pPr>
    </w:p>
    <w:p w14:paraId="4E0B16E9" w14:textId="77777777" w:rsidR="00E74520" w:rsidRPr="00F92461" w:rsidRDefault="000445B4">
      <w:pPr>
        <w:shd w:val="clear" w:color="auto" w:fill="FFFFFF"/>
        <w:spacing w:line="360" w:lineRule="auto"/>
        <w:ind w:right="-847"/>
        <w:jc w:val="both"/>
        <w:rPr>
          <w:rFonts w:ascii="Palatino Linotype" w:eastAsia="Palatino Linotype" w:hAnsi="Palatino Linotype" w:cs="Palatino Linotype"/>
        </w:rPr>
      </w:pPr>
      <w:r w:rsidRPr="00F92461">
        <w:rPr>
          <w:rFonts w:ascii="Palatino Linotype" w:eastAsia="Palatino Linotype" w:hAnsi="Palatino Linotype" w:cs="Palatino Linotype"/>
          <w:b/>
        </w:rPr>
        <w:t xml:space="preserve">CUARTO. </w:t>
      </w:r>
      <w:r w:rsidRPr="00F92461">
        <w:rPr>
          <w:rFonts w:ascii="Palatino Linotype" w:eastAsia="Palatino Linotype" w:hAnsi="Palatino Linotype" w:cs="Palatino Linotype"/>
          <w:b/>
          <w:color w:val="222222"/>
        </w:rPr>
        <w:t>Notifíquese al</w:t>
      </w:r>
      <w:r w:rsidRPr="00F92461">
        <w:rPr>
          <w:rFonts w:ascii="Palatino Linotype" w:eastAsia="Palatino Linotype" w:hAnsi="Palatino Linotype" w:cs="Palatino Linotype"/>
          <w:b/>
        </w:rPr>
        <w:t xml:space="preserve"> RECURRENTE</w:t>
      </w:r>
      <w:r w:rsidRPr="00F92461">
        <w:rPr>
          <w:rFonts w:ascii="Palatino Linotype" w:eastAsia="Palatino Linotype" w:hAnsi="Palatino Linotype" w:cs="Palatino Linotype"/>
        </w:rPr>
        <w:t xml:space="preserve"> la presente resolución, vía Sistema de Acceso a la Información Mexiquense </w:t>
      </w:r>
      <w:r w:rsidRPr="00F92461">
        <w:rPr>
          <w:rFonts w:ascii="Palatino Linotype" w:eastAsia="Palatino Linotype" w:hAnsi="Palatino Linotype" w:cs="Palatino Linotype"/>
          <w:b/>
        </w:rPr>
        <w:t>(SAIMEX).</w:t>
      </w:r>
    </w:p>
    <w:p w14:paraId="4E0B16EA" w14:textId="77777777" w:rsidR="00E74520" w:rsidRPr="00F92461" w:rsidRDefault="00E74520">
      <w:pPr>
        <w:shd w:val="clear" w:color="auto" w:fill="FFFFFF"/>
        <w:spacing w:line="360" w:lineRule="auto"/>
        <w:ind w:right="-847"/>
        <w:jc w:val="both"/>
        <w:rPr>
          <w:rFonts w:ascii="Palatino Linotype" w:eastAsia="Palatino Linotype" w:hAnsi="Palatino Linotype" w:cs="Palatino Linotype"/>
        </w:rPr>
      </w:pPr>
    </w:p>
    <w:p w14:paraId="4E0B16EB" w14:textId="77777777" w:rsidR="00E74520" w:rsidRPr="00F92461" w:rsidRDefault="000445B4">
      <w:pPr>
        <w:pBdr>
          <w:top w:val="nil"/>
          <w:left w:val="nil"/>
          <w:bottom w:val="nil"/>
          <w:right w:val="nil"/>
          <w:between w:val="nil"/>
        </w:pBdr>
        <w:spacing w:line="360" w:lineRule="auto"/>
        <w:ind w:right="-847"/>
        <w:jc w:val="both"/>
        <w:rPr>
          <w:rFonts w:ascii="Palatino Linotype" w:eastAsia="Palatino Linotype" w:hAnsi="Palatino Linotype" w:cs="Palatino Linotype"/>
          <w:b/>
          <w:color w:val="000000"/>
        </w:rPr>
      </w:pPr>
      <w:r w:rsidRPr="00F92461">
        <w:rPr>
          <w:rFonts w:ascii="Palatino Linotype" w:eastAsia="Palatino Linotype" w:hAnsi="Palatino Linotype" w:cs="Palatino Linotype"/>
          <w:b/>
          <w:color w:val="000000"/>
        </w:rPr>
        <w:t>QUINTO.</w:t>
      </w:r>
      <w:r w:rsidRPr="00F92461">
        <w:rPr>
          <w:rFonts w:ascii="Palatino Linotype" w:eastAsia="Palatino Linotype" w:hAnsi="Palatino Linotype" w:cs="Palatino Linotype"/>
          <w:color w:val="000000"/>
        </w:rPr>
        <w:t xml:space="preserve"> Se hace del conocimiento del </w:t>
      </w:r>
      <w:r w:rsidRPr="00F92461">
        <w:rPr>
          <w:rFonts w:ascii="Palatino Linotype" w:eastAsia="Palatino Linotype" w:hAnsi="Palatino Linotype" w:cs="Palatino Linotype"/>
          <w:b/>
          <w:color w:val="000000"/>
        </w:rPr>
        <w:t>RECURRENTE</w:t>
      </w:r>
      <w:r w:rsidRPr="00F92461">
        <w:rPr>
          <w:rFonts w:ascii="Palatino Linotype" w:eastAsia="Palatino Linotype" w:hAnsi="Palatino Linotype" w:cs="Palatino Linotype"/>
          <w:color w:val="000000"/>
        </w:rPr>
        <w:t xml:space="preserve"> que, de conformidad con lo establecido en el artículo 196 de la Ley de Transparencia y Acceso a la Información Pública </w:t>
      </w:r>
      <w:r w:rsidRPr="00F92461">
        <w:rPr>
          <w:rFonts w:ascii="Palatino Linotype" w:eastAsia="Palatino Linotype" w:hAnsi="Palatino Linotype" w:cs="Palatino Linotype"/>
          <w:color w:val="000000"/>
        </w:rPr>
        <w:lastRenderedPageBreak/>
        <w:t xml:space="preserve">del Estado de México y Municipios, en caso de que considere que la resolución le cause algún perjuicio podrá </w:t>
      </w:r>
      <w:r w:rsidRPr="00F92461">
        <w:rPr>
          <w:rFonts w:ascii="Palatino Linotype" w:eastAsia="Palatino Linotype" w:hAnsi="Palatino Linotype" w:cs="Palatino Linotype"/>
        </w:rPr>
        <w:t>impugnar vía</w:t>
      </w:r>
      <w:r w:rsidRPr="00F92461">
        <w:rPr>
          <w:rFonts w:ascii="Palatino Linotype" w:eastAsia="Palatino Linotype" w:hAnsi="Palatino Linotype" w:cs="Palatino Linotype"/>
          <w:color w:val="000000"/>
        </w:rPr>
        <w:t xml:space="preserve"> juicio de amparo en los términos de las leyes aplicables.</w:t>
      </w:r>
    </w:p>
    <w:p w14:paraId="4E0B16EC" w14:textId="77777777" w:rsidR="00E74520" w:rsidRPr="00F92461" w:rsidRDefault="00E74520">
      <w:pPr>
        <w:pBdr>
          <w:top w:val="nil"/>
          <w:left w:val="nil"/>
          <w:bottom w:val="nil"/>
          <w:right w:val="nil"/>
          <w:between w:val="nil"/>
        </w:pBdr>
        <w:spacing w:line="360" w:lineRule="auto"/>
        <w:ind w:right="-847"/>
        <w:jc w:val="both"/>
        <w:rPr>
          <w:rFonts w:ascii="Palatino Linotype" w:eastAsia="Palatino Linotype" w:hAnsi="Palatino Linotype" w:cs="Palatino Linotype"/>
          <w:b/>
          <w:color w:val="000000"/>
        </w:rPr>
      </w:pPr>
    </w:p>
    <w:p w14:paraId="16FDC853" w14:textId="77777777" w:rsidR="000445B4" w:rsidRPr="008B02EE" w:rsidRDefault="000445B4" w:rsidP="000445B4">
      <w:pPr>
        <w:spacing w:line="360" w:lineRule="auto"/>
        <w:ind w:left="-142" w:right="-595" w:firstLine="1"/>
        <w:jc w:val="both"/>
        <w:rPr>
          <w:rFonts w:ascii="Palatino Linotype" w:hAnsi="Palatino Linotype"/>
        </w:rPr>
      </w:pPr>
      <w:bookmarkStart w:id="13" w:name="_Hlk192106016"/>
      <w:r w:rsidRPr="00F9246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SEIS (06) DE MARZO DE DOS MIL VEINTICINCO, ANTE EL SECRETARIO TÉCNICO DEL PLENO ALEXIS TAPIA RAMÍREZ.</w:t>
      </w:r>
      <w:r w:rsidRPr="008B02EE">
        <w:rPr>
          <w:rFonts w:ascii="Palatino Linotype" w:hAnsi="Palatino Linotype"/>
        </w:rPr>
        <w:t xml:space="preserve"> </w:t>
      </w:r>
    </w:p>
    <w:bookmarkEnd w:id="13"/>
    <w:p w14:paraId="4E0B16EF" w14:textId="77777777" w:rsidR="00E74520" w:rsidRDefault="00E74520">
      <w:pPr>
        <w:spacing w:line="360" w:lineRule="auto"/>
        <w:ind w:right="-847"/>
        <w:jc w:val="both"/>
        <w:rPr>
          <w:rFonts w:ascii="Palatino Linotype" w:eastAsia="Palatino Linotype" w:hAnsi="Palatino Linotype" w:cs="Palatino Linotype"/>
        </w:rPr>
      </w:pPr>
    </w:p>
    <w:p w14:paraId="4E0B16F0" w14:textId="77777777" w:rsidR="00E74520" w:rsidRDefault="00E74520">
      <w:pPr>
        <w:spacing w:line="360" w:lineRule="auto"/>
        <w:ind w:right="-847"/>
        <w:jc w:val="both"/>
        <w:rPr>
          <w:rFonts w:ascii="Palatino Linotype" w:eastAsia="Palatino Linotype" w:hAnsi="Palatino Linotype" w:cs="Palatino Linotype"/>
        </w:rPr>
      </w:pPr>
    </w:p>
    <w:p w14:paraId="4E0B16F1" w14:textId="77777777" w:rsidR="00E74520" w:rsidRDefault="00E74520">
      <w:pPr>
        <w:spacing w:line="360" w:lineRule="auto"/>
        <w:ind w:right="-847"/>
        <w:jc w:val="both"/>
        <w:rPr>
          <w:rFonts w:ascii="Palatino Linotype" w:eastAsia="Palatino Linotype" w:hAnsi="Palatino Linotype" w:cs="Palatino Linotype"/>
        </w:rPr>
      </w:pPr>
    </w:p>
    <w:p w14:paraId="4E0B16F2" w14:textId="77777777" w:rsidR="00E74520" w:rsidRDefault="00E74520">
      <w:pPr>
        <w:spacing w:line="360" w:lineRule="auto"/>
        <w:ind w:right="-847"/>
        <w:jc w:val="both"/>
        <w:rPr>
          <w:rFonts w:ascii="Palatino Linotype" w:eastAsia="Palatino Linotype" w:hAnsi="Palatino Linotype" w:cs="Palatino Linotype"/>
        </w:rPr>
      </w:pPr>
    </w:p>
    <w:p w14:paraId="4E0B16F3" w14:textId="77777777" w:rsidR="00E74520" w:rsidRDefault="00E74520">
      <w:pPr>
        <w:spacing w:line="360" w:lineRule="auto"/>
        <w:ind w:right="-847"/>
        <w:jc w:val="both"/>
        <w:rPr>
          <w:rFonts w:ascii="Palatino Linotype" w:eastAsia="Palatino Linotype" w:hAnsi="Palatino Linotype" w:cs="Palatino Linotype"/>
        </w:rPr>
      </w:pPr>
    </w:p>
    <w:p w14:paraId="4E0B16F4" w14:textId="77777777" w:rsidR="00E74520" w:rsidRDefault="00E74520">
      <w:pPr>
        <w:spacing w:line="360" w:lineRule="auto"/>
        <w:ind w:right="-847"/>
        <w:jc w:val="both"/>
        <w:rPr>
          <w:rFonts w:ascii="Palatino Linotype" w:eastAsia="Palatino Linotype" w:hAnsi="Palatino Linotype" w:cs="Palatino Linotype"/>
        </w:rPr>
      </w:pPr>
    </w:p>
    <w:p w14:paraId="4E0B16F5" w14:textId="77777777" w:rsidR="00E74520" w:rsidRDefault="00E74520">
      <w:pPr>
        <w:spacing w:line="360" w:lineRule="auto"/>
        <w:ind w:right="-847"/>
        <w:jc w:val="both"/>
        <w:rPr>
          <w:rFonts w:ascii="Palatino Linotype" w:eastAsia="Palatino Linotype" w:hAnsi="Palatino Linotype" w:cs="Palatino Linotype"/>
        </w:rPr>
      </w:pPr>
    </w:p>
    <w:p w14:paraId="4E0B16F6" w14:textId="77777777" w:rsidR="00E74520" w:rsidRDefault="00E74520">
      <w:pPr>
        <w:spacing w:line="360" w:lineRule="auto"/>
        <w:ind w:right="-847"/>
        <w:jc w:val="both"/>
        <w:rPr>
          <w:rFonts w:ascii="Palatino Linotype" w:eastAsia="Palatino Linotype" w:hAnsi="Palatino Linotype" w:cs="Palatino Linotype"/>
        </w:rPr>
      </w:pPr>
    </w:p>
    <w:p w14:paraId="4E0B16F7" w14:textId="77777777" w:rsidR="00E74520" w:rsidRDefault="00E74520">
      <w:pPr>
        <w:spacing w:line="360" w:lineRule="auto"/>
        <w:ind w:right="-847"/>
        <w:jc w:val="both"/>
        <w:rPr>
          <w:rFonts w:ascii="Palatino Linotype" w:eastAsia="Palatino Linotype" w:hAnsi="Palatino Linotype" w:cs="Palatino Linotype"/>
        </w:rPr>
      </w:pPr>
    </w:p>
    <w:p w14:paraId="4E0B16F8" w14:textId="77777777" w:rsidR="00E74520" w:rsidRDefault="00E74520">
      <w:pPr>
        <w:spacing w:line="360" w:lineRule="auto"/>
        <w:ind w:right="-847"/>
        <w:jc w:val="both"/>
        <w:rPr>
          <w:rFonts w:ascii="Palatino Linotype" w:eastAsia="Palatino Linotype" w:hAnsi="Palatino Linotype" w:cs="Palatino Linotype"/>
        </w:rPr>
      </w:pPr>
    </w:p>
    <w:p w14:paraId="4E0B16F9" w14:textId="77777777" w:rsidR="00E74520" w:rsidRDefault="00E74520">
      <w:pPr>
        <w:spacing w:line="360" w:lineRule="auto"/>
        <w:ind w:right="-847"/>
        <w:jc w:val="both"/>
        <w:rPr>
          <w:rFonts w:ascii="Palatino Linotype" w:eastAsia="Palatino Linotype" w:hAnsi="Palatino Linotype" w:cs="Palatino Linotype"/>
        </w:rPr>
      </w:pPr>
    </w:p>
    <w:p w14:paraId="4E0B16FA" w14:textId="77777777" w:rsidR="00E74520" w:rsidRDefault="00E74520">
      <w:pPr>
        <w:ind w:right="-847"/>
        <w:rPr>
          <w:rFonts w:ascii="Palatino Linotype" w:eastAsia="Palatino Linotype" w:hAnsi="Palatino Linotype" w:cs="Palatino Linotype"/>
        </w:rPr>
      </w:pPr>
    </w:p>
    <w:sectPr w:rsidR="00E74520">
      <w:headerReference w:type="default" r:id="rId9"/>
      <w:footerReference w:type="default" r:id="rId10"/>
      <w:headerReference w:type="first" r:id="rId11"/>
      <w:footerReference w:type="first" r:id="rId12"/>
      <w:pgSz w:w="12240" w:h="15840"/>
      <w:pgMar w:top="2552" w:right="1752" w:bottom="255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8BB81" w14:textId="77777777" w:rsidR="00D513B7" w:rsidRDefault="00D513B7">
      <w:r>
        <w:separator/>
      </w:r>
    </w:p>
  </w:endnote>
  <w:endnote w:type="continuationSeparator" w:id="0">
    <w:p w14:paraId="05A167B9" w14:textId="77777777" w:rsidR="00D513B7" w:rsidRDefault="00D51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72710ACB-5DBB-4206-B511-1313FCBD1D2B}"/>
    <w:embedBold r:id="rId2" w:fontKey="{F83874BB-00FE-4AE2-B06F-6FEA8C0FC783}"/>
    <w:embedItalic r:id="rId3" w:fontKey="{A6DF663C-AD50-4A28-A390-EA31A3C33818}"/>
    <w:embedBoldItalic r:id="rId4" w:fontKey="{3C00F793-40CA-495C-B656-E91ECF87EAA9}"/>
  </w:font>
  <w:font w:name="Noto Sans Symbols">
    <w:altName w:val="Times New Roman"/>
    <w:charset w:val="00"/>
    <w:family w:val="auto"/>
    <w:pitch w:val="default"/>
    <w:embedRegular r:id="rId5" w:fontKey="{967C31E0-6FD2-4C07-8F48-FCEE46D5227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3FFAB4BE-443C-4DC6-9524-743CE1EF5912}"/>
    <w:embedItalic r:id="rId7" w:fontKey="{A4B00636-58CD-427B-9031-1459A364D995}"/>
  </w:font>
  <w:font w:name="Calibri">
    <w:panose1 w:val="020F0502020204030204"/>
    <w:charset w:val="00"/>
    <w:family w:val="swiss"/>
    <w:pitch w:val="variable"/>
    <w:sig w:usb0="E4002EFF" w:usb1="C200247B" w:usb2="00000009" w:usb3="00000000" w:csb0="000001FF" w:csb1="00000000"/>
    <w:embedRegular r:id="rId8" w:fontKey="{F38101EB-2854-4164-9703-D86FB7B5ABE0}"/>
  </w:font>
  <w:font w:name="Georgia">
    <w:panose1 w:val="02040502050405020303"/>
    <w:charset w:val="00"/>
    <w:family w:val="roman"/>
    <w:pitch w:val="variable"/>
    <w:sig w:usb0="00000287" w:usb1="00000000" w:usb2="00000000" w:usb3="00000000" w:csb0="0000009F" w:csb1="00000000"/>
    <w:embedRegular r:id="rId9" w:fontKey="{51793576-BD33-4D61-95AF-0D51B946B023}"/>
    <w:embedItalic r:id="rId10" w:fontKey="{D8C64849-8245-4E9D-9D52-018228D3DC67}"/>
  </w:font>
  <w:font w:name="Verdana">
    <w:panose1 w:val="020B0604030504040204"/>
    <w:charset w:val="00"/>
    <w:family w:val="swiss"/>
    <w:pitch w:val="variable"/>
    <w:sig w:usb0="A00006FF" w:usb1="4000205B" w:usb2="00000010" w:usb3="00000000" w:csb0="0000019F" w:csb1="00000000"/>
    <w:embedRegular r:id="rId11" w:fontKey="{753E0695-F83D-4A7E-A9BA-C007CE484325}"/>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B1707" w14:textId="472FA4B6" w:rsidR="00E74520" w:rsidRDefault="000445B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671EDB">
      <w:rPr>
        <w:rFonts w:ascii="Palatino Linotype" w:eastAsia="Palatino Linotype" w:hAnsi="Palatino Linotype" w:cs="Palatino Linotype"/>
        <w:b/>
        <w:noProof/>
        <w:color w:val="000000"/>
        <w:sz w:val="22"/>
        <w:szCs w:val="22"/>
      </w:rPr>
      <w:t>21</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671EDB">
      <w:rPr>
        <w:rFonts w:ascii="Palatino Linotype" w:eastAsia="Palatino Linotype" w:hAnsi="Palatino Linotype" w:cs="Palatino Linotype"/>
        <w:b/>
        <w:noProof/>
        <w:color w:val="000000"/>
        <w:sz w:val="22"/>
        <w:szCs w:val="22"/>
      </w:rPr>
      <w:t>36</w:t>
    </w:r>
    <w:r>
      <w:rPr>
        <w:rFonts w:ascii="Palatino Linotype" w:eastAsia="Palatino Linotype" w:hAnsi="Palatino Linotype" w:cs="Palatino Linotype"/>
        <w:b/>
        <w:color w:val="000000"/>
        <w:sz w:val="22"/>
        <w:szCs w:val="22"/>
      </w:rPr>
      <w:fldChar w:fldCharType="end"/>
    </w:r>
  </w:p>
  <w:p w14:paraId="4E0B1708" w14:textId="77777777" w:rsidR="00E74520" w:rsidRDefault="00E7452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B1717" w14:textId="6618DCEB" w:rsidR="00E74520" w:rsidRDefault="000445B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671EDB">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671EDB">
      <w:rPr>
        <w:rFonts w:ascii="Palatino Linotype" w:eastAsia="Palatino Linotype" w:hAnsi="Palatino Linotype" w:cs="Palatino Linotype"/>
        <w:noProof/>
        <w:color w:val="000000"/>
        <w:sz w:val="22"/>
        <w:szCs w:val="22"/>
      </w:rPr>
      <w:t>36</w:t>
    </w:r>
    <w:r>
      <w:rPr>
        <w:rFonts w:ascii="Palatino Linotype" w:eastAsia="Palatino Linotype" w:hAnsi="Palatino Linotype" w:cs="Palatino Linotype"/>
        <w:color w:val="000000"/>
        <w:sz w:val="22"/>
        <w:szCs w:val="22"/>
      </w:rPr>
      <w:fldChar w:fldCharType="end"/>
    </w:r>
  </w:p>
  <w:p w14:paraId="4E0B1718" w14:textId="77777777" w:rsidR="00E74520" w:rsidRDefault="00E74520">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4523D1" w14:textId="77777777" w:rsidR="00D513B7" w:rsidRDefault="00D513B7">
      <w:r>
        <w:separator/>
      </w:r>
    </w:p>
  </w:footnote>
  <w:footnote w:type="continuationSeparator" w:id="0">
    <w:p w14:paraId="3C8016F3" w14:textId="77777777" w:rsidR="00D513B7" w:rsidRDefault="00D513B7">
      <w:r>
        <w:continuationSeparator/>
      </w:r>
    </w:p>
  </w:footnote>
  <w:footnote w:id="1">
    <w:p w14:paraId="4E0B171C" w14:textId="77777777" w:rsidR="00E74520" w:rsidRDefault="000445B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4E0B171D" w14:textId="77777777" w:rsidR="00E74520" w:rsidRDefault="000445B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4E0B171E" w14:textId="77777777" w:rsidR="00E74520" w:rsidRDefault="000445B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4E0B171F" w14:textId="77777777" w:rsidR="00E74520" w:rsidRDefault="000445B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4E0B1720" w14:textId="77777777" w:rsidR="00E74520" w:rsidRDefault="000445B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14:paraId="4E0B1721" w14:textId="77777777" w:rsidR="00E74520" w:rsidRDefault="000445B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14:paraId="4E0B1722" w14:textId="77777777" w:rsidR="00E74520" w:rsidRDefault="000445B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14:paraId="4E0B1723" w14:textId="77777777" w:rsidR="00E74520" w:rsidRDefault="000445B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B16FB" w14:textId="77777777" w:rsidR="00E74520" w:rsidRDefault="000445B4">
    <w:pPr>
      <w:pBdr>
        <w:top w:val="nil"/>
        <w:left w:val="nil"/>
        <w:bottom w:val="nil"/>
        <w:right w:val="nil"/>
        <w:between w:val="nil"/>
      </w:pBdr>
      <w:tabs>
        <w:tab w:val="center" w:pos="4252"/>
        <w:tab w:val="right" w:pos="8504"/>
        <w:tab w:val="left" w:pos="8460"/>
      </w:tabs>
      <w:rPr>
        <w:rFonts w:ascii="Calibri" w:eastAsia="Calibri" w:hAnsi="Calibri" w:cs="Calibri"/>
        <w:color w:val="000000"/>
      </w:rPr>
    </w:pPr>
    <w:r>
      <w:rPr>
        <w:rFonts w:ascii="Calibri" w:eastAsia="Calibri" w:hAnsi="Calibri" w:cs="Calibri"/>
        <w:noProof/>
        <w:color w:val="000000"/>
        <w:lang w:val="es-MX"/>
      </w:rPr>
      <w:drawing>
        <wp:anchor distT="0" distB="0" distL="0" distR="0" simplePos="0" relativeHeight="251657216" behindDoc="1" locked="0" layoutInCell="1" hidden="0" allowOverlap="1" wp14:anchorId="4E0B1719" wp14:editId="4E0B171A">
          <wp:simplePos x="0" y="0"/>
          <wp:positionH relativeFrom="margin">
            <wp:posOffset>-1217294</wp:posOffset>
          </wp:positionH>
          <wp:positionV relativeFrom="margin">
            <wp:posOffset>-1468119</wp:posOffset>
          </wp:positionV>
          <wp:extent cx="7490460" cy="9753600"/>
          <wp:effectExtent l="0" t="0" r="0" b="0"/>
          <wp:wrapNone/>
          <wp:docPr id="2" name="image1.jpg" descr="resolución infoem imagen"/>
          <wp:cNvGraphicFramePr/>
          <a:graphic xmlns:a="http://schemas.openxmlformats.org/drawingml/2006/main">
            <a:graphicData uri="http://schemas.openxmlformats.org/drawingml/2006/picture">
              <pic:pic xmlns:pic="http://schemas.openxmlformats.org/drawingml/2006/picture">
                <pic:nvPicPr>
                  <pic:cNvPr id="0" name="image1.jpg" descr="resolución infoem imagen"/>
                  <pic:cNvPicPr preferRelativeResize="0"/>
                </pic:nvPicPr>
                <pic:blipFill>
                  <a:blip r:embed="rId1"/>
                  <a:srcRect/>
                  <a:stretch>
                    <a:fillRect/>
                  </a:stretch>
                </pic:blipFill>
                <pic:spPr>
                  <a:xfrm>
                    <a:off x="0" y="0"/>
                    <a:ext cx="7490460" cy="9753600"/>
                  </a:xfrm>
                  <a:prstGeom prst="rect">
                    <a:avLst/>
                  </a:prstGeom>
                  <a:ln/>
                </pic:spPr>
              </pic:pic>
            </a:graphicData>
          </a:graphic>
        </wp:anchor>
      </w:drawing>
    </w:r>
    <w:r>
      <w:rPr>
        <w:rFonts w:ascii="Calibri" w:eastAsia="Calibri" w:hAnsi="Calibri" w:cs="Calibri"/>
        <w:color w:val="000000"/>
      </w:rPr>
      <w:tab/>
    </w:r>
  </w:p>
  <w:p w14:paraId="4E0B16FC" w14:textId="77777777" w:rsidR="00E74520" w:rsidRDefault="00E74520">
    <w:pPr>
      <w:pBdr>
        <w:top w:val="nil"/>
        <w:left w:val="nil"/>
        <w:bottom w:val="nil"/>
        <w:right w:val="nil"/>
        <w:between w:val="nil"/>
      </w:pBdr>
      <w:tabs>
        <w:tab w:val="center" w:pos="4252"/>
        <w:tab w:val="right" w:pos="8504"/>
      </w:tabs>
      <w:rPr>
        <w:rFonts w:ascii="Calibri" w:eastAsia="Calibri" w:hAnsi="Calibri" w:cs="Calibri"/>
        <w:color w:val="000000"/>
      </w:rPr>
    </w:pPr>
  </w:p>
  <w:tbl>
    <w:tblPr>
      <w:tblStyle w:val="a0"/>
      <w:tblW w:w="7795" w:type="dxa"/>
      <w:tblInd w:w="1554" w:type="dxa"/>
      <w:tblBorders>
        <w:top w:val="nil"/>
        <w:left w:val="nil"/>
        <w:bottom w:val="nil"/>
        <w:right w:val="nil"/>
        <w:insideH w:val="nil"/>
        <w:insideV w:val="nil"/>
      </w:tblBorders>
      <w:tblLayout w:type="fixed"/>
      <w:tblLook w:val="0400" w:firstRow="0" w:lastRow="0" w:firstColumn="0" w:lastColumn="0" w:noHBand="0" w:noVBand="1"/>
    </w:tblPr>
    <w:tblGrid>
      <w:gridCol w:w="3544"/>
      <w:gridCol w:w="4251"/>
    </w:tblGrid>
    <w:tr w:rsidR="00E74520" w14:paraId="4E0B16FF" w14:textId="77777777">
      <w:trPr>
        <w:trHeight w:val="138"/>
      </w:trPr>
      <w:tc>
        <w:tcPr>
          <w:tcW w:w="3544" w:type="dxa"/>
          <w:vAlign w:val="center"/>
        </w:tcPr>
        <w:p w14:paraId="4E0B16FD" w14:textId="77777777" w:rsidR="00E74520" w:rsidRDefault="000445B4">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2" w:type="dxa"/>
          <w:vAlign w:val="center"/>
        </w:tcPr>
        <w:p w14:paraId="4E0B16FE" w14:textId="77777777" w:rsidR="00E74520" w:rsidRDefault="000445B4">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03333/INFOEM/IP/RR/2024</w:t>
          </w:r>
        </w:p>
      </w:tc>
    </w:tr>
    <w:tr w:rsidR="00E74520" w14:paraId="4E0B1702" w14:textId="77777777">
      <w:trPr>
        <w:trHeight w:val="233"/>
      </w:trPr>
      <w:tc>
        <w:tcPr>
          <w:tcW w:w="3544" w:type="dxa"/>
          <w:vAlign w:val="center"/>
        </w:tcPr>
        <w:p w14:paraId="4E0B1700" w14:textId="77777777" w:rsidR="00E74520" w:rsidRDefault="000445B4">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2" w:type="dxa"/>
          <w:vAlign w:val="center"/>
        </w:tcPr>
        <w:p w14:paraId="4E0B1701" w14:textId="77777777" w:rsidR="00E74520" w:rsidRDefault="000445B4">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3"/>
              <w:szCs w:val="23"/>
            </w:rPr>
            <w:t>Ayuntamiento de Toluca</w:t>
          </w:r>
        </w:p>
      </w:tc>
    </w:tr>
    <w:tr w:rsidR="00E74520" w14:paraId="4E0B1705" w14:textId="77777777">
      <w:trPr>
        <w:trHeight w:val="321"/>
      </w:trPr>
      <w:tc>
        <w:tcPr>
          <w:tcW w:w="3544" w:type="dxa"/>
          <w:vAlign w:val="center"/>
        </w:tcPr>
        <w:p w14:paraId="4E0B1703" w14:textId="77777777" w:rsidR="00E74520" w:rsidRDefault="000445B4">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2" w:type="dxa"/>
          <w:vAlign w:val="center"/>
        </w:tcPr>
        <w:p w14:paraId="4E0B1704" w14:textId="77777777" w:rsidR="00E74520" w:rsidRDefault="000445B4">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4E0B1706" w14:textId="77777777" w:rsidR="00E74520" w:rsidRDefault="000445B4">
    <w:pPr>
      <w:pBdr>
        <w:top w:val="nil"/>
        <w:left w:val="nil"/>
        <w:bottom w:val="nil"/>
        <w:right w:val="nil"/>
        <w:between w:val="nil"/>
      </w:pBdr>
      <w:tabs>
        <w:tab w:val="center" w:pos="4252"/>
        <w:tab w:val="right" w:pos="8504"/>
        <w:tab w:val="left" w:pos="160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B1709" w14:textId="77777777" w:rsidR="00E74520" w:rsidRDefault="00D513B7">
    <w:pPr>
      <w:pBdr>
        <w:top w:val="nil"/>
        <w:left w:val="nil"/>
        <w:bottom w:val="nil"/>
        <w:right w:val="nil"/>
        <w:between w:val="nil"/>
      </w:pBdr>
      <w:tabs>
        <w:tab w:val="center" w:pos="4252"/>
        <w:tab w:val="right" w:pos="8504"/>
        <w:tab w:val="left" w:pos="3103"/>
      </w:tabs>
      <w:rPr>
        <w:rFonts w:ascii="Calibri" w:eastAsia="Calibri" w:hAnsi="Calibri" w:cs="Calibri"/>
        <w:color w:val="000000"/>
      </w:rPr>
    </w:pPr>
    <w:r>
      <w:rPr>
        <w:rFonts w:ascii="Calibri" w:eastAsia="Calibri" w:hAnsi="Calibri" w:cs="Calibri"/>
        <w:color w:val="000000"/>
      </w:rPr>
      <w:pict w14:anchorId="4E0B17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infoem imagen" style="position:absolute;margin-left:-85.35pt;margin-top:-131.95pt;width:589.8pt;height:768pt;z-index:-251658240;mso-position-horizontal:absolute;mso-position-horizontal-relative:margin;mso-position-vertical:absolute;mso-position-vertical-relative:margin">
          <v:imagedata r:id="rId1" o:title="image1"/>
          <w10:wrap anchorx="margin" anchory="margin"/>
        </v:shape>
      </w:pict>
    </w:r>
    <w:r w:rsidR="000445B4">
      <w:rPr>
        <w:rFonts w:ascii="Calibri" w:eastAsia="Calibri" w:hAnsi="Calibri" w:cs="Calibri"/>
        <w:color w:val="000000"/>
      </w:rPr>
      <w:tab/>
    </w:r>
  </w:p>
  <w:tbl>
    <w:tblPr>
      <w:tblStyle w:val="a1"/>
      <w:tblW w:w="7372" w:type="dxa"/>
      <w:tblInd w:w="1899" w:type="dxa"/>
      <w:tblBorders>
        <w:top w:val="nil"/>
        <w:left w:val="nil"/>
        <w:bottom w:val="nil"/>
        <w:right w:val="nil"/>
        <w:insideH w:val="nil"/>
        <w:insideV w:val="nil"/>
      </w:tblBorders>
      <w:tblLayout w:type="fixed"/>
      <w:tblLook w:val="0400" w:firstRow="0" w:lastRow="0" w:firstColumn="0" w:lastColumn="0" w:noHBand="0" w:noVBand="1"/>
    </w:tblPr>
    <w:tblGrid>
      <w:gridCol w:w="3261"/>
      <w:gridCol w:w="4111"/>
    </w:tblGrid>
    <w:tr w:rsidR="00E74520" w14:paraId="4E0B170C" w14:textId="77777777">
      <w:trPr>
        <w:trHeight w:val="138"/>
      </w:trPr>
      <w:tc>
        <w:tcPr>
          <w:tcW w:w="3261" w:type="dxa"/>
          <w:vAlign w:val="center"/>
        </w:tcPr>
        <w:p w14:paraId="4E0B170A" w14:textId="77777777" w:rsidR="00E74520" w:rsidRDefault="000445B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vAlign w:val="center"/>
        </w:tcPr>
        <w:p w14:paraId="4E0B170B" w14:textId="77777777" w:rsidR="00E74520" w:rsidRDefault="000445B4">
          <w:pPr>
            <w:pBdr>
              <w:top w:val="nil"/>
              <w:left w:val="nil"/>
              <w:bottom w:val="nil"/>
              <w:right w:val="nil"/>
              <w:between w:val="nil"/>
            </w:pBdr>
            <w:tabs>
              <w:tab w:val="center" w:pos="4252"/>
              <w:tab w:val="right" w:pos="8504"/>
            </w:tabs>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03333/INFOEM/IP/RR/2024</w:t>
          </w:r>
        </w:p>
      </w:tc>
    </w:tr>
    <w:tr w:rsidR="00E74520" w14:paraId="4E0B170F" w14:textId="77777777">
      <w:trPr>
        <w:trHeight w:val="233"/>
      </w:trPr>
      <w:tc>
        <w:tcPr>
          <w:tcW w:w="3261" w:type="dxa"/>
          <w:vAlign w:val="center"/>
        </w:tcPr>
        <w:p w14:paraId="4E0B170D" w14:textId="77777777" w:rsidR="00E74520" w:rsidRDefault="000445B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tcPr>
        <w:p w14:paraId="4E0B170E" w14:textId="3BB7FFAA" w:rsidR="00E74520" w:rsidRDefault="00671EDB">
          <w:pPr>
            <w:pBdr>
              <w:top w:val="nil"/>
              <w:left w:val="nil"/>
              <w:bottom w:val="nil"/>
              <w:right w:val="nil"/>
              <w:between w:val="nil"/>
            </w:pBdr>
            <w:tabs>
              <w:tab w:val="center" w:pos="4252"/>
              <w:tab w:val="right" w:pos="8504"/>
            </w:tabs>
            <w:ind w:right="2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XXXX</w:t>
          </w:r>
        </w:p>
      </w:tc>
    </w:tr>
    <w:tr w:rsidR="00E74520" w14:paraId="4E0B1712" w14:textId="77777777">
      <w:trPr>
        <w:trHeight w:val="321"/>
      </w:trPr>
      <w:tc>
        <w:tcPr>
          <w:tcW w:w="3261" w:type="dxa"/>
          <w:vAlign w:val="center"/>
        </w:tcPr>
        <w:p w14:paraId="4E0B1710" w14:textId="77777777" w:rsidR="00E74520" w:rsidRDefault="000445B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vAlign w:val="center"/>
        </w:tcPr>
        <w:p w14:paraId="4E0B1711" w14:textId="77777777" w:rsidR="00E74520" w:rsidRDefault="000445B4">
          <w:pPr>
            <w:pBdr>
              <w:top w:val="nil"/>
              <w:left w:val="nil"/>
              <w:bottom w:val="nil"/>
              <w:right w:val="nil"/>
              <w:between w:val="nil"/>
            </w:pBdr>
            <w:tabs>
              <w:tab w:val="center" w:pos="4252"/>
              <w:tab w:val="right" w:pos="8504"/>
            </w:tabs>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Ayuntamiento de Toluca</w:t>
          </w:r>
        </w:p>
      </w:tc>
    </w:tr>
    <w:tr w:rsidR="00E74520" w14:paraId="4E0B1715" w14:textId="77777777">
      <w:trPr>
        <w:trHeight w:val="321"/>
      </w:trPr>
      <w:tc>
        <w:tcPr>
          <w:tcW w:w="3261" w:type="dxa"/>
          <w:vAlign w:val="center"/>
        </w:tcPr>
        <w:p w14:paraId="4E0B1713" w14:textId="77777777" w:rsidR="00E74520" w:rsidRDefault="000445B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vAlign w:val="center"/>
        </w:tcPr>
        <w:p w14:paraId="4E0B1714" w14:textId="77777777" w:rsidR="00E74520" w:rsidRDefault="000445B4">
          <w:pPr>
            <w:pBdr>
              <w:top w:val="nil"/>
              <w:left w:val="nil"/>
              <w:bottom w:val="nil"/>
              <w:right w:val="nil"/>
              <w:between w:val="nil"/>
            </w:pBdr>
            <w:tabs>
              <w:tab w:val="center" w:pos="4252"/>
              <w:tab w:val="right" w:pos="8504"/>
            </w:tabs>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4E0B1716" w14:textId="77777777" w:rsidR="00E74520" w:rsidRDefault="00E74520">
    <w:pPr>
      <w:pBdr>
        <w:top w:val="nil"/>
        <w:left w:val="nil"/>
        <w:bottom w:val="nil"/>
        <w:right w:val="nil"/>
        <w:between w:val="nil"/>
      </w:pBdr>
      <w:tabs>
        <w:tab w:val="center" w:pos="4252"/>
        <w:tab w:val="right" w:pos="8504"/>
        <w:tab w:val="left" w:pos="3103"/>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20BEF"/>
    <w:multiLevelType w:val="multilevel"/>
    <w:tmpl w:val="19424D7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900F19"/>
    <w:multiLevelType w:val="multilevel"/>
    <w:tmpl w:val="B6B26D40"/>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486093"/>
    <w:multiLevelType w:val="multilevel"/>
    <w:tmpl w:val="4D30B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AA6AA4"/>
    <w:multiLevelType w:val="multilevel"/>
    <w:tmpl w:val="C890D0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F8974DE"/>
    <w:multiLevelType w:val="multilevel"/>
    <w:tmpl w:val="78C21C52"/>
    <w:lvl w:ilvl="0">
      <w:start w:val="1"/>
      <w:numFmt w:val="decimal"/>
      <w:lvlText w:val="%1."/>
      <w:lvlJc w:val="left"/>
      <w:pPr>
        <w:ind w:left="2629" w:hanging="360"/>
      </w:pPr>
      <w:rPr>
        <w:rFonts w:ascii="Arial" w:eastAsia="Arial" w:hAnsi="Arial" w:cs="Arial"/>
        <w:b/>
        <w:i w:val="0"/>
        <w:color w:val="000000"/>
        <w:shd w:val="clear" w:color="auto" w:fil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D21E8B"/>
    <w:multiLevelType w:val="multilevel"/>
    <w:tmpl w:val="0972DE5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5F3C48F2"/>
    <w:multiLevelType w:val="multilevel"/>
    <w:tmpl w:val="652E2E5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62231644"/>
    <w:multiLevelType w:val="multilevel"/>
    <w:tmpl w:val="BC4418D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9761EC3"/>
    <w:multiLevelType w:val="multilevel"/>
    <w:tmpl w:val="C040F8E6"/>
    <w:lvl w:ilvl="0">
      <w:start w:val="1"/>
      <w:numFmt w:val="upperRoman"/>
      <w:lvlText w:val="%1."/>
      <w:lvlJc w:val="left"/>
      <w:pPr>
        <w:ind w:left="1287" w:hanging="72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7C744AF8"/>
    <w:multiLevelType w:val="multilevel"/>
    <w:tmpl w:val="9508D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5"/>
  </w:num>
  <w:num w:numId="4">
    <w:abstractNumId w:val="6"/>
  </w:num>
  <w:num w:numId="5">
    <w:abstractNumId w:val="8"/>
  </w:num>
  <w:num w:numId="6">
    <w:abstractNumId w:val="1"/>
  </w:num>
  <w:num w:numId="7">
    <w:abstractNumId w:val="0"/>
  </w:num>
  <w:num w:numId="8">
    <w:abstractNumId w:val="7"/>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520"/>
    <w:rsid w:val="000445B4"/>
    <w:rsid w:val="004E1D4D"/>
    <w:rsid w:val="005E254D"/>
    <w:rsid w:val="00671EDB"/>
    <w:rsid w:val="0074652B"/>
    <w:rsid w:val="00D513B7"/>
    <w:rsid w:val="00E74520"/>
    <w:rsid w:val="00F92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0B1598"/>
  <w15:docId w15:val="{55A09906-8FA2-42D3-BB16-62AB4754A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BA3"/>
    <w:rPr>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735BA3"/>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735BA3"/>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unhideWhenUsed/>
    <w:qFormat/>
    <w:rsid w:val="00735BA3"/>
    <w:pPr>
      <w:keepNext/>
      <w:keepLines/>
      <w:spacing w:before="40"/>
      <w:outlineLvl w:val="3"/>
    </w:pPr>
    <w:rPr>
      <w:rFonts w:asciiTheme="majorHAnsi" w:eastAsiaTheme="majorEastAsia" w:hAnsiTheme="majorHAnsi" w:cstheme="majorBidi"/>
      <w:i/>
      <w:iCs/>
      <w:color w:val="2E74B5" w:themeColor="accent1" w:themeShade="BF"/>
      <w:lang w:eastAsia="es-ES"/>
    </w:rPr>
  </w:style>
  <w:style w:type="paragraph" w:styleId="Ttulo5">
    <w:name w:val="heading 5"/>
    <w:basedOn w:val="Normal"/>
    <w:next w:val="Normal"/>
    <w:link w:val="Ttulo5Car"/>
    <w:uiPriority w:val="9"/>
    <w:unhideWhenUsed/>
    <w:qFormat/>
    <w:rsid w:val="00735BA3"/>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character" w:customStyle="1" w:styleId="Ttulo2Car">
    <w:name w:val="Título 2 Car"/>
    <w:basedOn w:val="Fuentedeprrafopredeter"/>
    <w:link w:val="Ttulo2"/>
    <w:uiPriority w:val="9"/>
    <w:rsid w:val="00735BA3"/>
    <w:rPr>
      <w:rFonts w:asciiTheme="majorHAnsi" w:eastAsiaTheme="majorEastAsia" w:hAnsiTheme="majorHAnsi" w:cstheme="majorBidi"/>
      <w:color w:val="2E74B5" w:themeColor="accent1" w:themeShade="BF"/>
      <w:sz w:val="26"/>
      <w:szCs w:val="26"/>
      <w:lang w:val="es-ES_tradnl"/>
    </w:rPr>
  </w:style>
  <w:style w:type="character" w:customStyle="1" w:styleId="Ttulo3Car">
    <w:name w:val="Título 3 Car"/>
    <w:basedOn w:val="Fuentedeprrafopredeter"/>
    <w:link w:val="Ttulo3"/>
    <w:uiPriority w:val="9"/>
    <w:rsid w:val="00735BA3"/>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735BA3"/>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rsid w:val="00735BA3"/>
    <w:rPr>
      <w:rFonts w:asciiTheme="majorHAnsi" w:eastAsiaTheme="majorEastAsia" w:hAnsiTheme="majorHAnsi" w:cstheme="majorBidi"/>
      <w:color w:val="2E74B5" w:themeColor="accent1" w:themeShade="BF"/>
      <w:sz w:val="24"/>
      <w:szCs w:val="24"/>
      <w:lang w:eastAsia="es-MX"/>
    </w:rPr>
  </w:style>
  <w:style w:type="paragraph" w:styleId="Encabezado">
    <w:name w:val="header"/>
    <w:basedOn w:val="Normal"/>
    <w:link w:val="EncabezadoCar"/>
    <w:uiPriority w:val="99"/>
    <w:unhideWhenUsed/>
    <w:rsid w:val="00735BA3"/>
    <w:pPr>
      <w:tabs>
        <w:tab w:val="center" w:pos="4252"/>
        <w:tab w:val="right" w:pos="8504"/>
      </w:tabs>
    </w:pPr>
    <w:rPr>
      <w:rFonts w:asciiTheme="minorHAnsi" w:eastAsiaTheme="minorEastAsia" w:hAnsiTheme="minorHAnsi" w:cstheme="minorBidi"/>
      <w:lang w:eastAsia="es-ES"/>
    </w:rPr>
  </w:style>
  <w:style w:type="character" w:customStyle="1" w:styleId="EncabezadoCar">
    <w:name w:val="Encabezado Car"/>
    <w:basedOn w:val="Fuentedeprrafopredeter"/>
    <w:link w:val="Encabezado"/>
    <w:uiPriority w:val="99"/>
    <w:rsid w:val="00735BA3"/>
    <w:rPr>
      <w:rFonts w:eastAsiaTheme="minorEastAsia"/>
      <w:sz w:val="24"/>
      <w:szCs w:val="24"/>
      <w:lang w:val="es-ES_tradnl" w:eastAsia="es-ES"/>
    </w:rPr>
  </w:style>
  <w:style w:type="paragraph" w:styleId="Piedepgina">
    <w:name w:val="footer"/>
    <w:basedOn w:val="Normal"/>
    <w:link w:val="PiedepginaCar"/>
    <w:uiPriority w:val="99"/>
    <w:unhideWhenUsed/>
    <w:rsid w:val="00735BA3"/>
    <w:pPr>
      <w:tabs>
        <w:tab w:val="center" w:pos="4252"/>
        <w:tab w:val="right" w:pos="8504"/>
      </w:tabs>
    </w:pPr>
    <w:rPr>
      <w:rFonts w:asciiTheme="minorHAnsi" w:eastAsiaTheme="minorEastAsia" w:hAnsiTheme="minorHAnsi" w:cstheme="minorBidi"/>
      <w:lang w:eastAsia="es-ES"/>
    </w:rPr>
  </w:style>
  <w:style w:type="character" w:customStyle="1" w:styleId="PiedepginaCar">
    <w:name w:val="Pie de página Car"/>
    <w:basedOn w:val="Fuentedeprrafopredeter"/>
    <w:link w:val="Piedepgina"/>
    <w:uiPriority w:val="99"/>
    <w:rsid w:val="00735BA3"/>
    <w:rPr>
      <w:rFonts w:eastAsiaTheme="minorEastAsia"/>
      <w:sz w:val="24"/>
      <w:szCs w:val="24"/>
      <w:lang w:val="es-ES_tradnl" w:eastAsia="es-ES"/>
    </w:rPr>
  </w:style>
  <w:style w:type="table" w:styleId="Tablaconcuadrcula">
    <w:name w:val="Table Grid"/>
    <w:basedOn w:val="Tablanormal"/>
    <w:uiPriority w:val="39"/>
    <w:rsid w:val="00735BA3"/>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5BA3"/>
    <w:pPr>
      <w:ind w:left="720"/>
      <w:contextualSpacing/>
    </w:pPr>
    <w:rPr>
      <w:rFonts w:asciiTheme="minorHAnsi" w:eastAsiaTheme="minorEastAsia" w:hAnsiTheme="minorHAnsi" w:cstheme="minorBidi"/>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35BA3"/>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735BA3"/>
    <w:rPr>
      <w:color w:val="0563C1" w:themeColor="hyperlink"/>
      <w:u w:val="single"/>
    </w:rPr>
  </w:style>
  <w:style w:type="paragraph" w:styleId="Textoindependiente">
    <w:name w:val="Body Text"/>
    <w:basedOn w:val="Normal"/>
    <w:link w:val="TextoindependienteCar"/>
    <w:rsid w:val="00735BA3"/>
    <w:pPr>
      <w:jc w:val="both"/>
    </w:pPr>
    <w:rPr>
      <w:rFonts w:ascii="Arial" w:hAnsi="Arial"/>
      <w:szCs w:val="20"/>
      <w:lang w:eastAsia="es-ES"/>
    </w:rPr>
  </w:style>
  <w:style w:type="character" w:customStyle="1" w:styleId="TextoindependienteCar">
    <w:name w:val="Texto independiente Car"/>
    <w:basedOn w:val="Fuentedeprrafopredeter"/>
    <w:link w:val="Textoindependiente"/>
    <w:rsid w:val="00735BA3"/>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5BA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35BA3"/>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735BA3"/>
    <w:rPr>
      <w:vertAlign w:val="superscript"/>
    </w:rPr>
  </w:style>
  <w:style w:type="paragraph" w:styleId="Lista2">
    <w:name w:val="List 2"/>
    <w:basedOn w:val="Normal"/>
    <w:uiPriority w:val="99"/>
    <w:unhideWhenUsed/>
    <w:rsid w:val="00735BA3"/>
    <w:pPr>
      <w:ind w:left="566" w:hanging="283"/>
      <w:contextualSpacing/>
    </w:pPr>
    <w:rPr>
      <w:rFonts w:asciiTheme="minorHAnsi" w:eastAsiaTheme="minorEastAsia" w:hAnsiTheme="minorHAnsi" w:cstheme="minorBidi"/>
      <w:lang w:eastAsia="es-ES"/>
    </w:rPr>
  </w:style>
  <w:style w:type="paragraph" w:styleId="Sangradetextonormal">
    <w:name w:val="Body Text Indent"/>
    <w:basedOn w:val="Normal"/>
    <w:link w:val="SangradetextonormalCar"/>
    <w:uiPriority w:val="99"/>
    <w:unhideWhenUsed/>
    <w:rsid w:val="00735BA3"/>
    <w:pPr>
      <w:spacing w:after="120"/>
      <w:ind w:left="283"/>
    </w:pPr>
    <w:rPr>
      <w:rFonts w:asciiTheme="minorHAnsi" w:eastAsiaTheme="minorEastAsia" w:hAnsiTheme="minorHAnsi" w:cstheme="minorBidi"/>
      <w:lang w:eastAsia="es-ES"/>
    </w:rPr>
  </w:style>
  <w:style w:type="character" w:customStyle="1" w:styleId="SangradetextonormalCar">
    <w:name w:val="Sangría de texto normal Car"/>
    <w:basedOn w:val="Fuentedeprrafopredeter"/>
    <w:link w:val="Sangradetextonormal"/>
    <w:uiPriority w:val="99"/>
    <w:rsid w:val="00735BA3"/>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735BA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35BA3"/>
    <w:rPr>
      <w:rFonts w:eastAsiaTheme="minorEastAsia"/>
      <w:sz w:val="24"/>
      <w:szCs w:val="24"/>
      <w:lang w:val="es-ES_tradnl" w:eastAsia="es-ES"/>
    </w:rPr>
  </w:style>
  <w:style w:type="paragraph" w:customStyle="1" w:styleId="Default">
    <w:name w:val="Default"/>
    <w:qFormat/>
    <w:rsid w:val="00ED1C8E"/>
    <w:pPr>
      <w:autoSpaceDE w:val="0"/>
      <w:autoSpaceDN w:val="0"/>
      <w:adjustRightInd w:val="0"/>
    </w:pPr>
    <w:rPr>
      <w:rFonts w:ascii="Arial" w:hAnsi="Arial" w:cs="Arial"/>
      <w:color w:val="00000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038695.pag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UgWhGkCzPvV1nXPrAwU6niYWHw==">CgMxLjAyCGguZ2pkZ3hzMgloLjMwajB6bGwyCWguMWZvYjl0ZTIJaC4zem55c2g3MgloLjJldDkycDAyCGgudHlqY3d0MgloLjNkeTZ2a20yCWguMXQzaDVzZjIJaC40ZDM0b2c4MgloLjJzOGV5bzEyCWguMTdkcDh2dTIJaC4zcmRjcmpuOAByITE1VVQ3YjdlWVNRSHF2RFJYdXJ1MmVkblF5bDl3b1BrZQ==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8718</Words>
  <Characters>47951</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INFOEM521</dc:creator>
  <cp:lastModifiedBy>Cuenta Microsoft</cp:lastModifiedBy>
  <cp:revision>5</cp:revision>
  <cp:lastPrinted>2025-03-07T18:45:00Z</cp:lastPrinted>
  <dcterms:created xsi:type="dcterms:W3CDTF">2025-02-26T00:48:00Z</dcterms:created>
  <dcterms:modified xsi:type="dcterms:W3CDTF">2025-03-31T19:09:00Z</dcterms:modified>
</cp:coreProperties>
</file>