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468A" w14:textId="77777777" w:rsidR="00863405" w:rsidRPr="00CB269B" w:rsidRDefault="00F0347F">
      <w:pPr>
        <w:spacing w:after="0" w:line="360" w:lineRule="auto"/>
        <w:ind w:right="49"/>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CB269B">
        <w:rPr>
          <w:rFonts w:ascii="Palatino Linotype" w:eastAsia="Palatino Linotype" w:hAnsi="Palatino Linotype" w:cs="Palatino Linotype"/>
          <w:b/>
        </w:rPr>
        <w:t>tres de septiembre de dos mil veinticinco.</w:t>
      </w:r>
      <w:r w:rsidRPr="00CB269B">
        <w:rPr>
          <w:rFonts w:ascii="Palatino Linotype" w:eastAsia="Palatino Linotype" w:hAnsi="Palatino Linotype" w:cs="Palatino Linotype"/>
        </w:rPr>
        <w:t xml:space="preserve"> </w:t>
      </w:r>
    </w:p>
    <w:p w14:paraId="26B6FD04" w14:textId="77777777" w:rsidR="00863405" w:rsidRPr="00CB269B" w:rsidRDefault="00863405">
      <w:pPr>
        <w:spacing w:after="0" w:line="360" w:lineRule="auto"/>
        <w:ind w:right="49"/>
        <w:jc w:val="center"/>
        <w:rPr>
          <w:rFonts w:ascii="Palatino Linotype" w:eastAsia="Palatino Linotype" w:hAnsi="Palatino Linotype" w:cs="Palatino Linotype"/>
        </w:rPr>
      </w:pPr>
    </w:p>
    <w:p w14:paraId="551556F9" w14:textId="77777777" w:rsidR="00863405" w:rsidRPr="00CB269B" w:rsidRDefault="00F0347F">
      <w:pPr>
        <w:spacing w:after="0" w:line="360" w:lineRule="auto"/>
        <w:ind w:right="49"/>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Visto el expediente relativo al recurso de revisión </w:t>
      </w:r>
      <w:r w:rsidRPr="00CB269B">
        <w:rPr>
          <w:rFonts w:ascii="Palatino Linotype" w:eastAsia="Palatino Linotype" w:hAnsi="Palatino Linotype" w:cs="Palatino Linotype"/>
          <w:b/>
        </w:rPr>
        <w:t>08139/INFOEM/IP/RR/2025</w:t>
      </w:r>
      <w:r w:rsidRPr="00CB269B">
        <w:rPr>
          <w:rFonts w:ascii="Palatino Linotype" w:eastAsia="Palatino Linotype" w:hAnsi="Palatino Linotype" w:cs="Palatino Linotype"/>
        </w:rPr>
        <w:t>, interpuesto por</w:t>
      </w:r>
      <w:r w:rsidRPr="00CB269B">
        <w:rPr>
          <w:rFonts w:ascii="Palatino Linotype" w:eastAsia="Palatino Linotype" w:hAnsi="Palatino Linotype" w:cs="Palatino Linotype"/>
          <w:b/>
        </w:rPr>
        <w:t xml:space="preserve"> una persona usuaria del Sistema de Acceso a la Información Mexiquense</w:t>
      </w:r>
      <w:r w:rsidRPr="00CB269B">
        <w:rPr>
          <w:rFonts w:ascii="Palatino Linotype" w:eastAsia="Palatino Linotype" w:hAnsi="Palatino Linotype" w:cs="Palatino Linotype"/>
        </w:rPr>
        <w:t xml:space="preserve">, al cual en lo sucesivo se le denominará la parte </w:t>
      </w:r>
      <w:r w:rsidRPr="00CB269B">
        <w:rPr>
          <w:rFonts w:ascii="Palatino Linotype" w:eastAsia="Palatino Linotype" w:hAnsi="Palatino Linotype" w:cs="Palatino Linotype"/>
          <w:b/>
        </w:rPr>
        <w:t>RECURRENTE</w:t>
      </w:r>
      <w:r w:rsidRPr="00CB269B">
        <w:rPr>
          <w:rFonts w:ascii="Palatino Linotype" w:eastAsia="Palatino Linotype" w:hAnsi="Palatino Linotype" w:cs="Palatino Linotype"/>
        </w:rPr>
        <w:t xml:space="preserve">, en contra de la respuesta a su solicitud de información identificada con número de folio </w:t>
      </w:r>
      <w:r w:rsidRPr="00CB269B">
        <w:rPr>
          <w:rFonts w:ascii="Palatino Linotype" w:eastAsia="Palatino Linotype" w:hAnsi="Palatino Linotype" w:cs="Palatino Linotype"/>
          <w:b/>
        </w:rPr>
        <w:t>03002/TOLUCA/IP/2025</w:t>
      </w:r>
      <w:r w:rsidRPr="00CB269B">
        <w:rPr>
          <w:rFonts w:ascii="Palatino Linotype" w:eastAsia="Palatino Linotype" w:hAnsi="Palatino Linotype" w:cs="Palatino Linotype"/>
        </w:rPr>
        <w:t xml:space="preserve"> proporcionada por parte del </w:t>
      </w:r>
      <w:r w:rsidRPr="00CB269B">
        <w:rPr>
          <w:rFonts w:ascii="Palatino Linotype" w:eastAsia="Palatino Linotype" w:hAnsi="Palatino Linotype" w:cs="Palatino Linotype"/>
          <w:b/>
        </w:rPr>
        <w:t xml:space="preserve">Ayuntamiento de Toluca </w:t>
      </w:r>
      <w:r w:rsidRPr="00CB269B">
        <w:rPr>
          <w:rFonts w:ascii="Palatino Linotype" w:eastAsia="Palatino Linotype" w:hAnsi="Palatino Linotype" w:cs="Palatino Linotype"/>
        </w:rPr>
        <w:t xml:space="preserve">en lo sucesivo el </w:t>
      </w:r>
      <w:r w:rsidRPr="00CB269B">
        <w:rPr>
          <w:rFonts w:ascii="Palatino Linotype" w:eastAsia="Palatino Linotype" w:hAnsi="Palatino Linotype" w:cs="Palatino Linotype"/>
          <w:b/>
        </w:rPr>
        <w:t>SUJETO OBLIGADO</w:t>
      </w:r>
      <w:r w:rsidRPr="00CB269B">
        <w:rPr>
          <w:rFonts w:ascii="Palatino Linotype" w:eastAsia="Palatino Linotype" w:hAnsi="Palatino Linotype" w:cs="Palatino Linotype"/>
        </w:rPr>
        <w:t>; se procede a dictar la presente resolución, con base en los siguientes:</w:t>
      </w:r>
    </w:p>
    <w:p w14:paraId="2EB6641A" w14:textId="77777777" w:rsidR="00863405" w:rsidRPr="00CB269B" w:rsidRDefault="00863405">
      <w:pPr>
        <w:spacing w:after="0" w:line="360" w:lineRule="auto"/>
        <w:ind w:right="49"/>
        <w:jc w:val="both"/>
        <w:rPr>
          <w:rFonts w:ascii="Palatino Linotype" w:eastAsia="Palatino Linotype" w:hAnsi="Palatino Linotype" w:cs="Palatino Linotype"/>
        </w:rPr>
      </w:pPr>
    </w:p>
    <w:p w14:paraId="262B0486" w14:textId="77777777" w:rsidR="00863405" w:rsidRPr="00CB269B" w:rsidRDefault="00F0347F">
      <w:pPr>
        <w:spacing w:after="0" w:line="360" w:lineRule="auto"/>
        <w:ind w:right="49"/>
        <w:jc w:val="center"/>
        <w:rPr>
          <w:rFonts w:ascii="Palatino Linotype" w:eastAsia="Palatino Linotype" w:hAnsi="Palatino Linotype" w:cs="Palatino Linotype"/>
          <w:b/>
        </w:rPr>
      </w:pPr>
      <w:r w:rsidRPr="00CB269B">
        <w:rPr>
          <w:rFonts w:ascii="Palatino Linotype" w:eastAsia="Palatino Linotype" w:hAnsi="Palatino Linotype" w:cs="Palatino Linotype"/>
          <w:b/>
        </w:rPr>
        <w:t>I.</w:t>
      </w:r>
      <w:r w:rsidRPr="00CB269B">
        <w:rPr>
          <w:rFonts w:ascii="Palatino Linotype" w:eastAsia="Palatino Linotype" w:hAnsi="Palatino Linotype" w:cs="Palatino Linotype"/>
          <w:b/>
        </w:rPr>
        <w:tab/>
        <w:t>A N T E C E D E N T E S</w:t>
      </w:r>
    </w:p>
    <w:p w14:paraId="5B5962AB" w14:textId="77777777" w:rsidR="00863405" w:rsidRPr="00CB269B" w:rsidRDefault="00863405">
      <w:pPr>
        <w:spacing w:after="0" w:line="360" w:lineRule="auto"/>
        <w:ind w:right="49"/>
        <w:jc w:val="both"/>
        <w:rPr>
          <w:rFonts w:ascii="Palatino Linotype" w:eastAsia="Palatino Linotype" w:hAnsi="Palatino Linotype" w:cs="Palatino Linotype"/>
        </w:rPr>
      </w:pPr>
      <w:bookmarkStart w:id="0" w:name="_heading=h.3znysh7" w:colFirst="0" w:colLast="0"/>
      <w:bookmarkEnd w:id="0"/>
    </w:p>
    <w:p w14:paraId="0F2B19BC" w14:textId="77777777" w:rsidR="00863405" w:rsidRPr="00CB269B" w:rsidRDefault="00F0347F">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B269B">
        <w:rPr>
          <w:rFonts w:ascii="Palatino Linotype" w:eastAsia="Palatino Linotype" w:hAnsi="Palatino Linotype" w:cs="Palatino Linotype"/>
          <w:b/>
        </w:rPr>
        <w:t>Solicitud de acceso a la información.</w:t>
      </w:r>
      <w:r w:rsidRPr="00CB269B">
        <w:rPr>
          <w:rFonts w:ascii="Palatino Linotype" w:eastAsia="Palatino Linotype" w:hAnsi="Palatino Linotype" w:cs="Palatino Linotype"/>
        </w:rPr>
        <w:t xml:space="preserve"> Con fecha </w:t>
      </w:r>
      <w:r w:rsidRPr="00CB269B">
        <w:rPr>
          <w:rFonts w:ascii="Palatino Linotype" w:eastAsia="Palatino Linotype" w:hAnsi="Palatino Linotype" w:cs="Palatino Linotype"/>
          <w:b/>
        </w:rPr>
        <w:t xml:space="preserve">veintitrés de mayo de dos mil veinticinco </w:t>
      </w:r>
      <w:r w:rsidRPr="00CB269B">
        <w:rPr>
          <w:rFonts w:ascii="Palatino Linotype" w:eastAsia="Palatino Linotype" w:hAnsi="Palatino Linotype" w:cs="Palatino Linotype"/>
        </w:rPr>
        <w:t xml:space="preserve">el Recurrente formuló solicitud de acceso a información pública al </w:t>
      </w:r>
      <w:r w:rsidRPr="00CB269B">
        <w:rPr>
          <w:rFonts w:ascii="Palatino Linotype" w:eastAsia="Palatino Linotype" w:hAnsi="Palatino Linotype" w:cs="Palatino Linotype"/>
          <w:b/>
        </w:rPr>
        <w:t>SUJETO OBLIGADO</w:t>
      </w:r>
      <w:r w:rsidRPr="00CB269B">
        <w:rPr>
          <w:rFonts w:ascii="Palatino Linotype" w:eastAsia="Palatino Linotype" w:hAnsi="Palatino Linotype" w:cs="Palatino Linotype"/>
        </w:rPr>
        <w:t xml:space="preserve"> a través del Sistema de Acceso a la Información Mexiquense, en adelante </w:t>
      </w:r>
      <w:r w:rsidRPr="00CB269B">
        <w:rPr>
          <w:rFonts w:ascii="Palatino Linotype" w:eastAsia="Palatino Linotype" w:hAnsi="Palatino Linotype" w:cs="Palatino Linotype"/>
          <w:b/>
        </w:rPr>
        <w:t>SAIMEX</w:t>
      </w:r>
      <w:r w:rsidRPr="00CB269B">
        <w:rPr>
          <w:rFonts w:ascii="Palatino Linotype" w:eastAsia="Palatino Linotype" w:hAnsi="Palatino Linotype" w:cs="Palatino Linotype"/>
        </w:rPr>
        <w:t xml:space="preserve">; en la que requirió lo siguiente: </w:t>
      </w:r>
    </w:p>
    <w:p w14:paraId="0386EC16" w14:textId="77777777" w:rsidR="00863405" w:rsidRPr="00CB269B" w:rsidRDefault="00F0347F">
      <w:pPr>
        <w:tabs>
          <w:tab w:val="left" w:pos="1530"/>
        </w:tabs>
        <w:spacing w:after="0" w:line="360" w:lineRule="auto"/>
        <w:ind w:right="49"/>
        <w:jc w:val="both"/>
        <w:rPr>
          <w:rFonts w:ascii="Palatino Linotype" w:eastAsia="Palatino Linotype" w:hAnsi="Palatino Linotype" w:cs="Palatino Linotype"/>
        </w:rPr>
      </w:pPr>
      <w:r w:rsidRPr="00CB269B">
        <w:rPr>
          <w:rFonts w:ascii="Palatino Linotype" w:eastAsia="Palatino Linotype" w:hAnsi="Palatino Linotype" w:cs="Palatino Linotype"/>
        </w:rPr>
        <w:tab/>
      </w:r>
    </w:p>
    <w:p w14:paraId="6A1BB09A" w14:textId="77777777" w:rsidR="00863405" w:rsidRPr="00CB269B" w:rsidRDefault="00F0347F">
      <w:pPr>
        <w:ind w:left="567" w:right="560"/>
        <w:jc w:val="both"/>
        <w:rPr>
          <w:rFonts w:ascii="Palatino Linotype" w:eastAsia="Palatino Linotype" w:hAnsi="Palatino Linotype" w:cs="Palatino Linotype"/>
          <w:i/>
        </w:rPr>
      </w:pPr>
      <w:bookmarkStart w:id="1" w:name="_heading=h.30j0zll" w:colFirst="0" w:colLast="0"/>
      <w:bookmarkEnd w:id="1"/>
      <w:r w:rsidRPr="00CB269B">
        <w:rPr>
          <w:rFonts w:ascii="Palatino Linotype" w:eastAsia="Palatino Linotype" w:hAnsi="Palatino Linotype" w:cs="Palatino Linotype"/>
          <w:i/>
        </w:rPr>
        <w:t>“Solicito por este medio, listas de asistencia de cada una de las áreas que conforma el Ayuntamiento de Toluca, incluyendo al honorable cabildo, lo anterior de enero de 2025”.</w:t>
      </w:r>
    </w:p>
    <w:p w14:paraId="4352EF05" w14:textId="77777777" w:rsidR="00863405" w:rsidRPr="00CB269B" w:rsidRDefault="00F0347F">
      <w:pPr>
        <w:spacing w:after="0"/>
        <w:ind w:left="567" w:right="560"/>
        <w:jc w:val="both"/>
        <w:rPr>
          <w:rFonts w:ascii="Palatino Linotype" w:eastAsia="Palatino Linotype" w:hAnsi="Palatino Linotype" w:cs="Palatino Linotype"/>
          <w:i/>
        </w:rPr>
      </w:pPr>
      <w:r w:rsidRPr="00CB269B">
        <w:rPr>
          <w:rFonts w:ascii="Palatino Linotype" w:eastAsia="Palatino Linotype" w:hAnsi="Palatino Linotype" w:cs="Palatino Linotype"/>
          <w:i/>
        </w:rPr>
        <w:t xml:space="preserve"> </w:t>
      </w:r>
    </w:p>
    <w:p w14:paraId="5FA85BF2" w14:textId="77777777" w:rsidR="00863405" w:rsidRPr="00CB269B" w:rsidRDefault="00F0347F">
      <w:pPr>
        <w:spacing w:after="0" w:line="360" w:lineRule="auto"/>
        <w:ind w:right="49"/>
        <w:jc w:val="both"/>
        <w:rPr>
          <w:rFonts w:ascii="Palatino Linotype" w:eastAsia="Palatino Linotype" w:hAnsi="Palatino Linotype" w:cs="Palatino Linotype"/>
        </w:rPr>
      </w:pPr>
      <w:r w:rsidRPr="00CB269B">
        <w:rPr>
          <w:rFonts w:ascii="Palatino Linotype" w:eastAsia="Palatino Linotype" w:hAnsi="Palatino Linotype" w:cs="Palatino Linotype"/>
          <w:b/>
        </w:rPr>
        <w:t>Modalidad elegida para la entrega de la información:</w:t>
      </w:r>
      <w:r w:rsidRPr="00CB269B">
        <w:rPr>
          <w:rFonts w:ascii="Palatino Linotype" w:eastAsia="Palatino Linotype" w:hAnsi="Palatino Linotype" w:cs="Palatino Linotype"/>
        </w:rPr>
        <w:t xml:space="preserve"> a través del Sistema de Acceso a la Información Mexiquense (SAIMEX). </w:t>
      </w:r>
    </w:p>
    <w:p w14:paraId="58DC378B" w14:textId="77777777" w:rsidR="00863405" w:rsidRPr="00CB269B" w:rsidRDefault="00863405">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34BA72A" w14:textId="77777777" w:rsidR="00863405" w:rsidRPr="00CB269B" w:rsidRDefault="00F0347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rPr>
      </w:pPr>
      <w:r w:rsidRPr="00CB269B">
        <w:rPr>
          <w:rFonts w:ascii="Palatino Linotype" w:eastAsia="Palatino Linotype" w:hAnsi="Palatino Linotype" w:cs="Palatino Linotype"/>
          <w:b/>
        </w:rPr>
        <w:lastRenderedPageBreak/>
        <w:t xml:space="preserve">Respuesta. </w:t>
      </w:r>
      <w:r w:rsidRPr="00CB269B">
        <w:rPr>
          <w:rFonts w:ascii="Palatino Linotype" w:eastAsia="Palatino Linotype" w:hAnsi="Palatino Linotype" w:cs="Palatino Linotype"/>
        </w:rPr>
        <w:t xml:space="preserve">En fecha </w:t>
      </w:r>
      <w:r w:rsidRPr="00CB269B">
        <w:rPr>
          <w:rFonts w:ascii="Palatino Linotype" w:eastAsia="Palatino Linotype" w:hAnsi="Palatino Linotype" w:cs="Palatino Linotype"/>
          <w:b/>
        </w:rPr>
        <w:t>trece de junio de dos mil veinticinco</w:t>
      </w:r>
      <w:r w:rsidRPr="00CB269B">
        <w:rPr>
          <w:rFonts w:ascii="Palatino Linotype" w:eastAsia="Palatino Linotype" w:hAnsi="Palatino Linotype" w:cs="Palatino Linotype"/>
        </w:rPr>
        <w:t xml:space="preserve">, el </w:t>
      </w:r>
      <w:r w:rsidRPr="00CB269B">
        <w:rPr>
          <w:rFonts w:ascii="Palatino Linotype" w:eastAsia="Palatino Linotype" w:hAnsi="Palatino Linotype" w:cs="Palatino Linotype"/>
          <w:b/>
        </w:rPr>
        <w:t xml:space="preserve">SUJETO OBLIGADO </w:t>
      </w:r>
      <w:r w:rsidRPr="00CB269B">
        <w:rPr>
          <w:rFonts w:ascii="Palatino Linotype" w:eastAsia="Palatino Linotype" w:hAnsi="Palatino Linotype" w:cs="Palatino Linotype"/>
        </w:rPr>
        <w:t xml:space="preserve">emitió respuesta a la solicitud de información, la cual fue del conocimiento de las partes.  </w:t>
      </w:r>
    </w:p>
    <w:p w14:paraId="5858BDAA" w14:textId="77777777" w:rsidR="00863405" w:rsidRPr="00CB269B" w:rsidRDefault="00863405">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5F710091" w14:textId="77777777" w:rsidR="00863405" w:rsidRPr="00CB269B" w:rsidRDefault="00F0347F">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B269B">
        <w:rPr>
          <w:rFonts w:ascii="Palatino Linotype" w:eastAsia="Palatino Linotype" w:hAnsi="Palatino Linotype" w:cs="Palatino Linotype"/>
          <w:b/>
        </w:rPr>
        <w:t xml:space="preserve">Recurso de Revisión. </w:t>
      </w:r>
      <w:r w:rsidRPr="00CB269B">
        <w:rPr>
          <w:rFonts w:ascii="Palatino Linotype" w:eastAsia="Palatino Linotype" w:hAnsi="Palatino Linotype" w:cs="Palatino Linotype"/>
        </w:rPr>
        <w:t xml:space="preserve">En fecha </w:t>
      </w:r>
      <w:r w:rsidRPr="00CB269B">
        <w:rPr>
          <w:rFonts w:ascii="Palatino Linotype" w:eastAsia="Palatino Linotype" w:hAnsi="Palatino Linotype" w:cs="Palatino Linotype"/>
          <w:b/>
        </w:rPr>
        <w:t xml:space="preserve">tres de julio de dos mil veinticinco </w:t>
      </w:r>
      <w:r w:rsidRPr="00CB269B">
        <w:rPr>
          <w:rFonts w:ascii="Palatino Linotype" w:eastAsia="Palatino Linotype" w:hAnsi="Palatino Linotype" w:cs="Palatino Linotype"/>
        </w:rPr>
        <w:t>el Recurrente interpuso su Recurso de Revisión; a través del cual expresó lo siguiente:</w:t>
      </w:r>
    </w:p>
    <w:p w14:paraId="0D2FA467" w14:textId="77777777" w:rsidR="00863405" w:rsidRPr="00CB269B" w:rsidRDefault="0086340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7C2C234" w14:textId="77777777" w:rsidR="00863405" w:rsidRPr="00CB269B" w:rsidRDefault="00F0347F">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CB269B">
        <w:rPr>
          <w:rFonts w:ascii="Palatino Linotype" w:eastAsia="Palatino Linotype" w:hAnsi="Palatino Linotype" w:cs="Palatino Linotype"/>
          <w:b/>
        </w:rPr>
        <w:t>Acto impugnado</w:t>
      </w:r>
      <w:r w:rsidRPr="00CB269B">
        <w:rPr>
          <w:rFonts w:ascii="Palatino Linotype" w:eastAsia="Palatino Linotype" w:hAnsi="Palatino Linotype" w:cs="Palatino Linotype"/>
          <w:b/>
          <w:i/>
        </w:rPr>
        <w:t xml:space="preserve">. </w:t>
      </w:r>
      <w:r w:rsidRPr="00CB269B">
        <w:rPr>
          <w:rFonts w:ascii="Palatino Linotype" w:eastAsia="Palatino Linotype" w:hAnsi="Palatino Linotype" w:cs="Palatino Linotype"/>
          <w:i/>
        </w:rPr>
        <w:t xml:space="preserve">“la negativa de la </w:t>
      </w:r>
      <w:proofErr w:type="spellStart"/>
      <w:r w:rsidRPr="00CB269B">
        <w:rPr>
          <w:rFonts w:ascii="Palatino Linotype" w:eastAsia="Palatino Linotype" w:hAnsi="Palatino Linotype" w:cs="Palatino Linotype"/>
          <w:i/>
        </w:rPr>
        <w:t>informaicón</w:t>
      </w:r>
      <w:proofErr w:type="spellEnd"/>
      <w:r w:rsidRPr="00CB269B">
        <w:rPr>
          <w:rFonts w:ascii="Palatino Linotype" w:eastAsia="Palatino Linotype" w:hAnsi="Palatino Linotype" w:cs="Palatino Linotype"/>
          <w:i/>
        </w:rPr>
        <w:t xml:space="preserve"> es pública y se debe entregar no </w:t>
      </w:r>
      <w:proofErr w:type="spellStart"/>
      <w:r w:rsidRPr="00CB269B">
        <w:rPr>
          <w:rFonts w:ascii="Palatino Linotype" w:eastAsia="Palatino Linotype" w:hAnsi="Palatino Linotype" w:cs="Palatino Linotype"/>
          <w:b/>
          <w:i/>
        </w:rPr>
        <w:t>esta</w:t>
      </w:r>
      <w:proofErr w:type="spellEnd"/>
      <w:r w:rsidRPr="00CB269B">
        <w:rPr>
          <w:rFonts w:ascii="Palatino Linotype" w:eastAsia="Palatino Linotype" w:hAnsi="Palatino Linotype" w:cs="Palatino Linotype"/>
          <w:b/>
          <w:i/>
        </w:rPr>
        <w:t xml:space="preserve"> en el link que entregan no sean opacos”.</w:t>
      </w:r>
    </w:p>
    <w:p w14:paraId="05A14D57" w14:textId="77777777" w:rsidR="00863405" w:rsidRPr="00CB269B" w:rsidRDefault="00863405">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1820AD3E" w14:textId="77777777" w:rsidR="00863405" w:rsidRPr="00CB269B" w:rsidRDefault="00F0347F">
      <w:pPr>
        <w:ind w:left="567" w:right="701"/>
        <w:jc w:val="both"/>
        <w:rPr>
          <w:rFonts w:ascii="Times New Roman" w:eastAsia="Times New Roman" w:hAnsi="Times New Roman" w:cs="Times New Roman"/>
          <w:sz w:val="24"/>
          <w:szCs w:val="24"/>
        </w:rPr>
      </w:pPr>
      <w:r w:rsidRPr="00CB269B">
        <w:rPr>
          <w:rFonts w:ascii="Palatino Linotype" w:eastAsia="Palatino Linotype" w:hAnsi="Palatino Linotype" w:cs="Palatino Linotype"/>
          <w:b/>
        </w:rPr>
        <w:t xml:space="preserve">Razones o motivos de la inconformidad: </w:t>
      </w:r>
      <w:r w:rsidRPr="00CB269B">
        <w:rPr>
          <w:rFonts w:ascii="Palatino Linotype" w:eastAsia="Palatino Linotype" w:hAnsi="Palatino Linotype" w:cs="Palatino Linotype"/>
          <w:i/>
        </w:rPr>
        <w:t xml:space="preserve">“la negativa de la </w:t>
      </w:r>
      <w:proofErr w:type="spellStart"/>
      <w:r w:rsidRPr="00CB269B">
        <w:rPr>
          <w:rFonts w:ascii="Palatino Linotype" w:eastAsia="Palatino Linotype" w:hAnsi="Palatino Linotype" w:cs="Palatino Linotype"/>
          <w:i/>
        </w:rPr>
        <w:t>informaicón</w:t>
      </w:r>
      <w:proofErr w:type="spellEnd"/>
      <w:r w:rsidRPr="00CB269B">
        <w:rPr>
          <w:rFonts w:ascii="Palatino Linotype" w:eastAsia="Palatino Linotype" w:hAnsi="Palatino Linotype" w:cs="Palatino Linotype"/>
          <w:i/>
        </w:rPr>
        <w:t xml:space="preserve"> es pública y se debe entregar </w:t>
      </w:r>
      <w:r w:rsidRPr="00CB269B">
        <w:rPr>
          <w:rFonts w:ascii="Palatino Linotype" w:eastAsia="Palatino Linotype" w:hAnsi="Palatino Linotype" w:cs="Palatino Linotype"/>
          <w:b/>
          <w:i/>
        </w:rPr>
        <w:t xml:space="preserve">no </w:t>
      </w:r>
      <w:proofErr w:type="spellStart"/>
      <w:r w:rsidRPr="00CB269B">
        <w:rPr>
          <w:rFonts w:ascii="Palatino Linotype" w:eastAsia="Palatino Linotype" w:hAnsi="Palatino Linotype" w:cs="Palatino Linotype"/>
          <w:b/>
          <w:i/>
        </w:rPr>
        <w:t>esta</w:t>
      </w:r>
      <w:proofErr w:type="spellEnd"/>
      <w:r w:rsidRPr="00CB269B">
        <w:rPr>
          <w:rFonts w:ascii="Palatino Linotype" w:eastAsia="Palatino Linotype" w:hAnsi="Palatino Linotype" w:cs="Palatino Linotype"/>
          <w:b/>
          <w:i/>
        </w:rPr>
        <w:t xml:space="preserve"> en el link que entregan no sean opacos</w:t>
      </w:r>
      <w:r w:rsidRPr="00CB269B">
        <w:rPr>
          <w:rFonts w:ascii="Palatino Linotype" w:eastAsia="Palatino Linotype" w:hAnsi="Palatino Linotype" w:cs="Palatino Linotype"/>
          <w:i/>
        </w:rPr>
        <w:t xml:space="preserve">”. </w:t>
      </w:r>
    </w:p>
    <w:p w14:paraId="38A2E490" w14:textId="77777777" w:rsidR="00863405" w:rsidRPr="00CB269B" w:rsidRDefault="00863405">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5C273543" w14:textId="77777777" w:rsidR="00863405" w:rsidRPr="00CB269B" w:rsidRDefault="00F0347F">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B269B">
        <w:rPr>
          <w:rFonts w:ascii="Palatino Linotype" w:eastAsia="Palatino Linotype" w:hAnsi="Palatino Linotype" w:cs="Palatino Linotype"/>
          <w:b/>
        </w:rPr>
        <w:t>Turno.</w:t>
      </w:r>
      <w:r w:rsidRPr="00CB269B">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CB269B">
        <w:rPr>
          <w:rFonts w:ascii="Palatino Linotype" w:eastAsia="Palatino Linotype" w:hAnsi="Palatino Linotype" w:cs="Palatino Linotype"/>
          <w:b/>
        </w:rPr>
        <w:t>08139/INFOEM/IP/RR/2025</w:t>
      </w:r>
      <w:r w:rsidRPr="00CB269B">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7333A15" w14:textId="77777777" w:rsidR="00863405" w:rsidRPr="00CB269B" w:rsidRDefault="0086340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348234D" w14:textId="77777777" w:rsidR="00863405" w:rsidRPr="00CB269B" w:rsidRDefault="00F0347F">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B269B">
        <w:rPr>
          <w:rFonts w:ascii="Palatino Linotype" w:eastAsia="Palatino Linotype" w:hAnsi="Palatino Linotype" w:cs="Palatino Linotype"/>
          <w:b/>
        </w:rPr>
        <w:t>Admisión del recurso de revisión</w:t>
      </w:r>
      <w:r w:rsidRPr="00CB269B">
        <w:rPr>
          <w:rFonts w:ascii="Palatino Linotype" w:eastAsia="Palatino Linotype" w:hAnsi="Palatino Linotype" w:cs="Palatino Linotype"/>
        </w:rPr>
        <w:t xml:space="preserve">: En fecha </w:t>
      </w:r>
      <w:r w:rsidRPr="00CB269B">
        <w:rPr>
          <w:rFonts w:ascii="Palatino Linotype" w:eastAsia="Palatino Linotype" w:hAnsi="Palatino Linotype" w:cs="Palatino Linotype"/>
          <w:b/>
        </w:rPr>
        <w:t>ocho de julio de dos mil veinticinco</w:t>
      </w:r>
      <w:r w:rsidRPr="00CB269B">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17F1B7C" w14:textId="77777777" w:rsidR="00863405" w:rsidRPr="00CB269B" w:rsidRDefault="00863405">
      <w:pPr>
        <w:pBdr>
          <w:top w:val="nil"/>
          <w:left w:val="nil"/>
          <w:bottom w:val="nil"/>
          <w:right w:val="nil"/>
          <w:between w:val="nil"/>
        </w:pBdr>
        <w:ind w:left="720"/>
        <w:rPr>
          <w:rFonts w:ascii="Palatino Linotype" w:eastAsia="Palatino Linotype" w:hAnsi="Palatino Linotype" w:cs="Palatino Linotype"/>
        </w:rPr>
      </w:pPr>
    </w:p>
    <w:p w14:paraId="344E4E12" w14:textId="77777777" w:rsidR="00863405" w:rsidRPr="00CB269B" w:rsidRDefault="00F0347F">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B269B">
        <w:rPr>
          <w:rFonts w:ascii="Palatino Linotype" w:eastAsia="Palatino Linotype" w:hAnsi="Palatino Linotype" w:cs="Palatino Linotype"/>
          <w:b/>
        </w:rPr>
        <w:t xml:space="preserve">Manifestaciones. </w:t>
      </w:r>
      <w:r w:rsidRPr="00CB269B">
        <w:rPr>
          <w:rFonts w:ascii="Palatino Linotype" w:eastAsia="Palatino Linotype" w:hAnsi="Palatino Linotype" w:cs="Palatino Linotype"/>
        </w:rPr>
        <w:t xml:space="preserve">En fecha </w:t>
      </w:r>
      <w:r w:rsidRPr="00CB269B">
        <w:rPr>
          <w:rFonts w:ascii="Palatino Linotype" w:eastAsia="Palatino Linotype" w:hAnsi="Palatino Linotype" w:cs="Palatino Linotype"/>
          <w:b/>
        </w:rPr>
        <w:t>diecisiete de julio de dos mil veinticinco</w:t>
      </w:r>
      <w:r w:rsidRPr="00CB269B">
        <w:rPr>
          <w:rFonts w:ascii="Palatino Linotype" w:eastAsia="Palatino Linotype" w:hAnsi="Palatino Linotype" w:cs="Palatino Linotype"/>
        </w:rPr>
        <w:t xml:space="preserve">, el </w:t>
      </w:r>
      <w:r w:rsidRPr="00CB269B">
        <w:rPr>
          <w:rFonts w:ascii="Palatino Linotype" w:eastAsia="Palatino Linotype" w:hAnsi="Palatino Linotype" w:cs="Palatino Linotype"/>
          <w:b/>
        </w:rPr>
        <w:t xml:space="preserve">SUJETO OBLIGADO </w:t>
      </w:r>
      <w:r w:rsidRPr="00CB269B">
        <w:rPr>
          <w:rFonts w:ascii="Palatino Linotype" w:eastAsia="Palatino Linotype" w:hAnsi="Palatino Linotype" w:cs="Palatino Linotype"/>
        </w:rPr>
        <w:t xml:space="preserve">rindió su informe justificado y ratificó su respuesta inicial. </w:t>
      </w:r>
    </w:p>
    <w:p w14:paraId="3B15E347" w14:textId="77777777" w:rsidR="00863405" w:rsidRPr="00CB269B" w:rsidRDefault="00F0347F">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CB269B">
        <w:rPr>
          <w:rFonts w:ascii="Palatino Linotype" w:eastAsia="Palatino Linotype" w:hAnsi="Palatino Linotype" w:cs="Palatino Linotype"/>
        </w:rPr>
        <w:lastRenderedPageBreak/>
        <w:t xml:space="preserve">Documentos que se hicieron del conocimiento de la parte Recurrente el </w:t>
      </w:r>
      <w:r w:rsidRPr="00CB269B">
        <w:rPr>
          <w:rFonts w:ascii="Palatino Linotype" w:eastAsia="Palatino Linotype" w:hAnsi="Palatino Linotype" w:cs="Palatino Linotype"/>
          <w:b/>
        </w:rPr>
        <w:t xml:space="preserve">veintisiete de agosto de dos mil veinticinco. </w:t>
      </w:r>
    </w:p>
    <w:p w14:paraId="51BCF35C" w14:textId="77777777" w:rsidR="00863405" w:rsidRPr="00CB269B" w:rsidRDefault="0086340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8D0DEB9" w14:textId="77777777" w:rsidR="00863405" w:rsidRPr="00CB269B" w:rsidRDefault="00F0347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La parte Recurrente no rindió manifestaciones.  </w:t>
      </w:r>
    </w:p>
    <w:p w14:paraId="5FFD31ED" w14:textId="77777777" w:rsidR="00863405" w:rsidRPr="00CB269B" w:rsidRDefault="0086340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F713F52" w14:textId="77777777" w:rsidR="00863405" w:rsidRPr="00CB269B" w:rsidRDefault="00F0347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B269B">
        <w:rPr>
          <w:rFonts w:ascii="Palatino Linotype" w:eastAsia="Palatino Linotype" w:hAnsi="Palatino Linotype" w:cs="Palatino Linotype"/>
          <w:b/>
        </w:rPr>
        <w:t>8.</w:t>
      </w:r>
      <w:r w:rsidRPr="00CB269B">
        <w:rPr>
          <w:rFonts w:ascii="Palatino Linotype" w:eastAsia="Palatino Linotype" w:hAnsi="Palatino Linotype" w:cs="Palatino Linotype"/>
        </w:rPr>
        <w:t xml:space="preserve"> </w:t>
      </w:r>
      <w:r w:rsidRPr="00CB269B">
        <w:rPr>
          <w:rFonts w:ascii="Palatino Linotype" w:eastAsia="Palatino Linotype" w:hAnsi="Palatino Linotype" w:cs="Palatino Linotype"/>
          <w:b/>
        </w:rPr>
        <w:t>Ampliación del plazo para emitir resolución.</w:t>
      </w:r>
      <w:r w:rsidRPr="00CB269B">
        <w:rPr>
          <w:rFonts w:ascii="Palatino Linotype" w:eastAsia="Palatino Linotype" w:hAnsi="Palatino Linotype" w:cs="Palatino Linotype"/>
        </w:rPr>
        <w:t xml:space="preserve"> El </w:t>
      </w:r>
      <w:r w:rsidRPr="00CB269B">
        <w:rPr>
          <w:rFonts w:ascii="Palatino Linotype" w:eastAsia="Palatino Linotype" w:hAnsi="Palatino Linotype" w:cs="Palatino Linotype"/>
          <w:b/>
        </w:rPr>
        <w:t>veintisiete de agosto de dos mil veinticinco</w:t>
      </w:r>
      <w:r w:rsidRPr="00CB269B">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696E7B0" w14:textId="77777777" w:rsidR="00863405" w:rsidRPr="00CB269B" w:rsidRDefault="00863405">
      <w:pPr>
        <w:pBdr>
          <w:top w:val="nil"/>
          <w:left w:val="nil"/>
          <w:bottom w:val="nil"/>
          <w:right w:val="nil"/>
          <w:between w:val="nil"/>
        </w:pBdr>
        <w:spacing w:after="0" w:line="360" w:lineRule="auto"/>
        <w:ind w:right="49"/>
        <w:jc w:val="both"/>
        <w:rPr>
          <w:rFonts w:ascii="Palatino Linotype" w:eastAsia="Palatino Linotype" w:hAnsi="Palatino Linotype" w:cs="Palatino Linotype"/>
          <w:strike/>
        </w:rPr>
      </w:pPr>
    </w:p>
    <w:p w14:paraId="6642F592" w14:textId="77777777" w:rsidR="00863405" w:rsidRPr="00CB269B" w:rsidRDefault="00F0347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B269B">
        <w:rPr>
          <w:rFonts w:ascii="Palatino Linotype" w:eastAsia="Palatino Linotype" w:hAnsi="Palatino Linotype" w:cs="Palatino Linotype"/>
          <w:b/>
        </w:rPr>
        <w:t>9. Cierre de instrucción</w:t>
      </w:r>
      <w:r w:rsidRPr="00CB269B">
        <w:rPr>
          <w:rFonts w:ascii="Palatino Linotype" w:eastAsia="Palatino Linotype" w:hAnsi="Palatino Linotype" w:cs="Palatino Linotype"/>
        </w:rPr>
        <w:t xml:space="preserve">. En fecha </w:t>
      </w:r>
      <w:r w:rsidRPr="00CB269B">
        <w:rPr>
          <w:rFonts w:ascii="Palatino Linotype" w:eastAsia="Palatino Linotype" w:hAnsi="Palatino Linotype" w:cs="Palatino Linotype"/>
          <w:b/>
        </w:rPr>
        <w:t>tres de septiembre de dos mil veinticinco</w:t>
      </w:r>
      <w:r w:rsidRPr="00CB269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1D3C971" w14:textId="77777777" w:rsidR="00863405" w:rsidRPr="00CB269B" w:rsidRDefault="0086340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4E3C101" w14:textId="77777777" w:rsidR="00863405" w:rsidRPr="00CB269B" w:rsidRDefault="00F0347F">
      <w:pPr>
        <w:spacing w:after="0" w:line="360" w:lineRule="auto"/>
        <w:ind w:right="49"/>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0700BBE" w14:textId="77777777" w:rsidR="00863405" w:rsidRPr="00CB269B" w:rsidRDefault="00863405">
      <w:pPr>
        <w:spacing w:after="0" w:line="360" w:lineRule="auto"/>
        <w:ind w:right="49"/>
        <w:jc w:val="both"/>
        <w:rPr>
          <w:rFonts w:ascii="Palatino Linotype" w:eastAsia="Palatino Linotype" w:hAnsi="Palatino Linotype" w:cs="Palatino Linotype"/>
        </w:rPr>
      </w:pPr>
    </w:p>
    <w:p w14:paraId="757F63B1" w14:textId="77777777" w:rsidR="00863405" w:rsidRPr="00CB269B" w:rsidRDefault="00F0347F">
      <w:pPr>
        <w:spacing w:after="0" w:line="360" w:lineRule="auto"/>
        <w:ind w:right="49"/>
        <w:jc w:val="center"/>
        <w:rPr>
          <w:rFonts w:ascii="Palatino Linotype" w:eastAsia="Palatino Linotype" w:hAnsi="Palatino Linotype" w:cs="Palatino Linotype"/>
          <w:b/>
        </w:rPr>
      </w:pPr>
      <w:r w:rsidRPr="00CB269B">
        <w:rPr>
          <w:rFonts w:ascii="Palatino Linotype" w:eastAsia="Palatino Linotype" w:hAnsi="Palatino Linotype" w:cs="Palatino Linotype"/>
          <w:b/>
        </w:rPr>
        <w:t>II.</w:t>
      </w:r>
      <w:r w:rsidRPr="00CB269B">
        <w:rPr>
          <w:rFonts w:ascii="Palatino Linotype" w:eastAsia="Palatino Linotype" w:hAnsi="Palatino Linotype" w:cs="Palatino Linotype"/>
          <w:b/>
        </w:rPr>
        <w:tab/>
        <w:t>C O N S I D E R A N D O:</w:t>
      </w:r>
    </w:p>
    <w:p w14:paraId="33207E2E" w14:textId="77777777" w:rsidR="00863405" w:rsidRPr="00CB269B" w:rsidRDefault="00863405">
      <w:pPr>
        <w:spacing w:after="0" w:line="360" w:lineRule="auto"/>
        <w:ind w:right="49"/>
        <w:jc w:val="both"/>
        <w:rPr>
          <w:rFonts w:ascii="Palatino Linotype" w:eastAsia="Palatino Linotype" w:hAnsi="Palatino Linotype" w:cs="Palatino Linotype"/>
        </w:rPr>
      </w:pPr>
    </w:p>
    <w:p w14:paraId="00956E60"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b/>
        </w:rPr>
        <w:t>Primero. Competencia.</w:t>
      </w:r>
      <w:r w:rsidRPr="00CB269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w:t>
      </w:r>
      <w:r w:rsidRPr="00CB269B">
        <w:rPr>
          <w:rFonts w:ascii="Palatino Linotype" w:eastAsia="Palatino Linotype" w:hAnsi="Palatino Linotype" w:cs="Palatino Linotype"/>
        </w:rPr>
        <w:lastRenderedPageBreak/>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FB80D2C" w14:textId="77777777" w:rsidR="00863405" w:rsidRPr="00CB269B" w:rsidRDefault="00863405">
      <w:pPr>
        <w:spacing w:after="0" w:line="360" w:lineRule="auto"/>
        <w:jc w:val="both"/>
        <w:rPr>
          <w:rFonts w:ascii="Palatino Linotype" w:eastAsia="Palatino Linotype" w:hAnsi="Palatino Linotype" w:cs="Palatino Linotype"/>
        </w:rPr>
      </w:pPr>
    </w:p>
    <w:p w14:paraId="52DE48F2"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b/>
        </w:rPr>
        <w:t>Segundo. Oportunidad y Procedibilidad del Recurso de Revisión</w:t>
      </w:r>
      <w:r w:rsidRPr="00CB269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4A149F3" w14:textId="77777777" w:rsidR="00863405" w:rsidRPr="00CB269B" w:rsidRDefault="00863405">
      <w:pPr>
        <w:spacing w:after="0" w:line="360" w:lineRule="auto"/>
        <w:jc w:val="both"/>
        <w:rPr>
          <w:rFonts w:ascii="Palatino Linotype" w:eastAsia="Palatino Linotype" w:hAnsi="Palatino Linotype" w:cs="Palatino Linotype"/>
        </w:rPr>
      </w:pPr>
    </w:p>
    <w:p w14:paraId="2A9EC78B" w14:textId="77777777" w:rsidR="00863405" w:rsidRPr="00CB269B" w:rsidRDefault="00F0347F">
      <w:pPr>
        <w:spacing w:after="0" w:line="360" w:lineRule="auto"/>
        <w:ind w:right="49"/>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CB269B">
        <w:rPr>
          <w:rFonts w:ascii="Palatino Linotype" w:eastAsia="Palatino Linotype" w:hAnsi="Palatino Linotype" w:cs="Palatino Linotype"/>
          <w:b/>
        </w:rPr>
        <w:t>SUJETO OBLIGADO</w:t>
      </w:r>
      <w:r w:rsidRPr="00CB269B">
        <w:rPr>
          <w:rFonts w:ascii="Palatino Linotype" w:eastAsia="Palatino Linotype" w:hAnsi="Palatino Linotype" w:cs="Palatino Linotype"/>
        </w:rPr>
        <w:t xml:space="preserve"> proporcionó su respuesta a la solicitud de información el </w:t>
      </w:r>
      <w:r w:rsidRPr="00CB269B">
        <w:rPr>
          <w:rFonts w:ascii="Palatino Linotype" w:eastAsia="Palatino Linotype" w:hAnsi="Palatino Linotype" w:cs="Palatino Linotype"/>
          <w:b/>
        </w:rPr>
        <w:t>trece de junio de dos mil veinticinco</w:t>
      </w:r>
      <w:r w:rsidRPr="00CB269B">
        <w:rPr>
          <w:rFonts w:ascii="Palatino Linotype" w:eastAsia="Palatino Linotype" w:hAnsi="Palatino Linotype" w:cs="Palatino Linotype"/>
        </w:rPr>
        <w:t xml:space="preserve">, y la parte </w:t>
      </w:r>
      <w:r w:rsidRPr="00CB269B">
        <w:rPr>
          <w:rFonts w:ascii="Palatino Linotype" w:eastAsia="Palatino Linotype" w:hAnsi="Palatino Linotype" w:cs="Palatino Linotype"/>
          <w:b/>
        </w:rPr>
        <w:t>RECURRENTE</w:t>
      </w:r>
      <w:r w:rsidRPr="00CB269B">
        <w:rPr>
          <w:rFonts w:ascii="Palatino Linotype" w:eastAsia="Palatino Linotype" w:hAnsi="Palatino Linotype" w:cs="Palatino Linotype"/>
        </w:rPr>
        <w:t xml:space="preserve"> presentó su recurso de revisión el </w:t>
      </w:r>
      <w:r w:rsidRPr="00CB269B">
        <w:rPr>
          <w:rFonts w:ascii="Palatino Linotype" w:eastAsia="Palatino Linotype" w:hAnsi="Palatino Linotype" w:cs="Palatino Linotype"/>
          <w:b/>
        </w:rPr>
        <w:t xml:space="preserve">tres de julio de dos mil veinticinco, </w:t>
      </w:r>
      <w:r w:rsidRPr="00CB269B">
        <w:rPr>
          <w:rFonts w:ascii="Palatino Linotype" w:eastAsia="Palatino Linotype" w:hAnsi="Palatino Linotype" w:cs="Palatino Linotype"/>
        </w:rPr>
        <w:t xml:space="preserve">esto es al décimo cuarto día hábil en que tuvo conocimiento de la respuesta. </w:t>
      </w:r>
    </w:p>
    <w:p w14:paraId="2859F84A" w14:textId="77777777" w:rsidR="00863405" w:rsidRPr="00CB269B" w:rsidRDefault="00863405">
      <w:pPr>
        <w:spacing w:after="0" w:line="360" w:lineRule="auto"/>
        <w:ind w:right="49"/>
        <w:jc w:val="both"/>
        <w:rPr>
          <w:rFonts w:ascii="Palatino Linotype" w:eastAsia="Palatino Linotype" w:hAnsi="Palatino Linotype" w:cs="Palatino Linotype"/>
        </w:rPr>
      </w:pPr>
    </w:p>
    <w:p w14:paraId="1E96EBBA" w14:textId="77777777" w:rsidR="00863405" w:rsidRPr="00CB269B" w:rsidRDefault="00F0347F">
      <w:pPr>
        <w:spacing w:after="0" w:line="360" w:lineRule="auto"/>
        <w:ind w:right="142"/>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Asimismo por cuanto hace a la procedibilidad del recurso de revisión, es de suma importancia señalar que </w:t>
      </w:r>
      <w:r w:rsidRPr="00CB269B">
        <w:rPr>
          <w:rFonts w:ascii="Palatino Linotype" w:eastAsia="Palatino Linotype" w:hAnsi="Palatino Linotype" w:cs="Palatino Linotype"/>
          <w:b/>
        </w:rPr>
        <w:t>la parte</w:t>
      </w:r>
      <w:r w:rsidRPr="00CB269B">
        <w:rPr>
          <w:rFonts w:ascii="Palatino Linotype" w:eastAsia="Palatino Linotype" w:hAnsi="Palatino Linotype" w:cs="Palatino Linotype"/>
        </w:rPr>
        <w:t xml:space="preserve"> </w:t>
      </w:r>
      <w:r w:rsidRPr="00CB269B">
        <w:rPr>
          <w:rFonts w:ascii="Palatino Linotype" w:eastAsia="Palatino Linotype" w:hAnsi="Palatino Linotype" w:cs="Palatino Linotype"/>
          <w:b/>
        </w:rPr>
        <w:t>Recurrente</w:t>
      </w:r>
      <w:r w:rsidRPr="00CB269B">
        <w:rPr>
          <w:rFonts w:ascii="Palatino Linotype" w:eastAsia="Palatino Linotype" w:hAnsi="Palatino Linotype" w:cs="Palatino Linotype"/>
        </w:rPr>
        <w:t xml:space="preserve"> </w:t>
      </w:r>
      <w:r w:rsidRPr="00CB269B">
        <w:rPr>
          <w:rFonts w:ascii="Palatino Linotype" w:eastAsia="Palatino Linotype" w:hAnsi="Palatino Linotype" w:cs="Palatino Linotype"/>
          <w:b/>
          <w:u w:val="single"/>
        </w:rPr>
        <w:t>fue omisa en proporcionar nombre o  seudónimo</w:t>
      </w:r>
      <w:r w:rsidRPr="00CB269B">
        <w:rPr>
          <w:rFonts w:ascii="Palatino Linotype" w:eastAsia="Palatino Linotype" w:hAnsi="Palatino Linotype" w:cs="Palatino Linotype"/>
        </w:rPr>
        <w:t xml:space="preserve"> con el que desea que se le identifique</w:t>
      </w:r>
      <w:r w:rsidRPr="00CB269B">
        <w:rPr>
          <w:rFonts w:ascii="Palatino Linotype" w:eastAsia="Palatino Linotype" w:hAnsi="Palatino Linotype" w:cs="Palatino Linotype"/>
          <w:b/>
        </w:rPr>
        <w:t>,</w:t>
      </w:r>
      <w:r w:rsidRPr="00CB269B">
        <w:rPr>
          <w:rFonts w:ascii="Palatino Linotype" w:eastAsia="Palatino Linotype" w:hAnsi="Palatino Linotype" w:cs="Palatino Linotype"/>
        </w:rPr>
        <w:t xml:space="preserve"> como se advierte en el detalle de seguimiento del SAIMEX, no obstante, el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EDE04EE" w14:textId="77777777" w:rsidR="00863405" w:rsidRPr="00CB269B" w:rsidRDefault="00863405">
      <w:pPr>
        <w:spacing w:after="0" w:line="360" w:lineRule="auto"/>
        <w:ind w:right="142"/>
        <w:jc w:val="both"/>
        <w:rPr>
          <w:rFonts w:ascii="Palatino Linotype" w:eastAsia="Palatino Linotype" w:hAnsi="Palatino Linotype" w:cs="Palatino Linotype"/>
        </w:rPr>
      </w:pPr>
    </w:p>
    <w:p w14:paraId="466FE771" w14:textId="77777777" w:rsidR="00863405" w:rsidRPr="00CB269B" w:rsidRDefault="00F0347F">
      <w:pPr>
        <w:spacing w:after="0"/>
        <w:ind w:left="851" w:right="902"/>
        <w:jc w:val="both"/>
        <w:rPr>
          <w:rFonts w:ascii="Palatino Linotype" w:eastAsia="Palatino Linotype" w:hAnsi="Palatino Linotype" w:cs="Palatino Linotype"/>
          <w:i/>
        </w:rPr>
      </w:pPr>
      <w:r w:rsidRPr="00CB269B">
        <w:rPr>
          <w:rFonts w:ascii="Palatino Linotype" w:eastAsia="Palatino Linotype" w:hAnsi="Palatino Linotype" w:cs="Palatino Linotype"/>
          <w:i/>
        </w:rPr>
        <w:lastRenderedPageBreak/>
        <w:t>"</w:t>
      </w:r>
      <w:r w:rsidRPr="00CB269B">
        <w:rPr>
          <w:rFonts w:ascii="Palatino Linotype" w:eastAsia="Palatino Linotype" w:hAnsi="Palatino Linotype" w:cs="Palatino Linotype"/>
          <w:b/>
          <w:i/>
        </w:rPr>
        <w:t xml:space="preserve">Las solicitudes </w:t>
      </w:r>
      <w:r w:rsidRPr="00CB269B">
        <w:rPr>
          <w:rFonts w:ascii="Palatino Linotype" w:eastAsia="Palatino Linotype" w:hAnsi="Palatino Linotype" w:cs="Palatino Linotype"/>
          <w:i/>
        </w:rPr>
        <w:t xml:space="preserve">anónimas, con </w:t>
      </w:r>
      <w:r w:rsidRPr="00CB269B">
        <w:rPr>
          <w:rFonts w:ascii="Palatino Linotype" w:eastAsia="Palatino Linotype" w:hAnsi="Palatino Linotype" w:cs="Palatino Linotype"/>
          <w:b/>
          <w:i/>
        </w:rPr>
        <w:t>nombre incompleto o seudónimo</w:t>
      </w:r>
      <w:r w:rsidRPr="00CB269B">
        <w:rPr>
          <w:rFonts w:ascii="Palatino Linotype" w:eastAsia="Palatino Linotype" w:hAnsi="Palatino Linotype" w:cs="Palatino Linotype"/>
          <w:i/>
        </w:rPr>
        <w:t xml:space="preserve"> </w:t>
      </w:r>
      <w:r w:rsidRPr="00CB269B">
        <w:rPr>
          <w:rFonts w:ascii="Palatino Linotype" w:eastAsia="Palatino Linotype" w:hAnsi="Palatino Linotype" w:cs="Palatino Linotype"/>
          <w:b/>
          <w:i/>
        </w:rPr>
        <w:t>serán procedentes para su trámite por parte del sujeto obligado ante quien se presente</w:t>
      </w:r>
      <w:r w:rsidRPr="00CB269B">
        <w:rPr>
          <w:rFonts w:ascii="Palatino Linotype" w:eastAsia="Palatino Linotype" w:hAnsi="Palatino Linotype" w:cs="Palatino Linotype"/>
          <w:i/>
        </w:rPr>
        <w:t>. No podrá requerirse información adicional con motivo del nombre proporcionado por el solicitante."</w:t>
      </w:r>
    </w:p>
    <w:p w14:paraId="4E0EB0BE" w14:textId="77777777" w:rsidR="00863405" w:rsidRPr="00CB269B" w:rsidRDefault="00863405">
      <w:pPr>
        <w:spacing w:after="0" w:line="360" w:lineRule="auto"/>
        <w:ind w:right="49"/>
        <w:jc w:val="both"/>
        <w:rPr>
          <w:rFonts w:ascii="Palatino Linotype" w:eastAsia="Palatino Linotype" w:hAnsi="Palatino Linotype" w:cs="Palatino Linotype"/>
        </w:rPr>
      </w:pPr>
    </w:p>
    <w:p w14:paraId="249F48EF"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DBDBF7C" w14:textId="77777777" w:rsidR="00863405" w:rsidRPr="00CB269B" w:rsidRDefault="00863405">
      <w:pPr>
        <w:spacing w:after="0" w:line="360" w:lineRule="auto"/>
        <w:ind w:left="426"/>
        <w:jc w:val="both"/>
        <w:rPr>
          <w:rFonts w:ascii="Palatino Linotype" w:eastAsia="Palatino Linotype" w:hAnsi="Palatino Linotype" w:cs="Palatino Linotype"/>
        </w:rPr>
      </w:pPr>
    </w:p>
    <w:p w14:paraId="4367B68A"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Asimismo, resulta procedente la interposición del recurso de revisión al rubro anotado, toda vez que se actualiza la hipótesis prevista en el artículo 179, fracción I y IX de la ley de la materia, que a la letra dice:</w:t>
      </w:r>
    </w:p>
    <w:p w14:paraId="7CD29256" w14:textId="77777777" w:rsidR="00863405" w:rsidRPr="00CB269B" w:rsidRDefault="00863405">
      <w:pPr>
        <w:spacing w:after="0" w:line="360" w:lineRule="auto"/>
        <w:jc w:val="both"/>
        <w:rPr>
          <w:rFonts w:ascii="Palatino Linotype" w:eastAsia="Palatino Linotype" w:hAnsi="Palatino Linotype" w:cs="Palatino Linotype"/>
        </w:rPr>
      </w:pPr>
    </w:p>
    <w:p w14:paraId="3544F503" w14:textId="77777777" w:rsidR="00863405" w:rsidRPr="00CB269B" w:rsidRDefault="00F0347F">
      <w:pPr>
        <w:spacing w:after="0"/>
        <w:ind w:left="567" w:right="616"/>
        <w:jc w:val="both"/>
        <w:rPr>
          <w:rFonts w:ascii="Palatino Linotype" w:eastAsia="Palatino Linotype" w:hAnsi="Palatino Linotype" w:cs="Palatino Linotype"/>
          <w:i/>
        </w:rPr>
      </w:pPr>
      <w:r w:rsidRPr="00CB269B">
        <w:rPr>
          <w:rFonts w:ascii="Palatino Linotype" w:eastAsia="Palatino Linotype" w:hAnsi="Palatino Linotype" w:cs="Palatino Linotype"/>
          <w:i/>
        </w:rPr>
        <w:t>“</w:t>
      </w:r>
      <w:r w:rsidRPr="00CB269B">
        <w:rPr>
          <w:rFonts w:ascii="Palatino Linotype" w:eastAsia="Palatino Linotype" w:hAnsi="Palatino Linotype" w:cs="Palatino Linotype"/>
          <w:b/>
          <w:i/>
        </w:rPr>
        <w:t xml:space="preserve">Artículo 179. </w:t>
      </w:r>
      <w:r w:rsidRPr="00CB269B">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31785306" w14:textId="77777777" w:rsidR="00863405" w:rsidRPr="00CB269B" w:rsidRDefault="00F0347F">
      <w:pPr>
        <w:spacing w:after="0"/>
        <w:ind w:left="567" w:right="616"/>
        <w:jc w:val="both"/>
        <w:rPr>
          <w:rFonts w:ascii="Palatino Linotype" w:eastAsia="Palatino Linotype" w:hAnsi="Palatino Linotype" w:cs="Palatino Linotype"/>
          <w:i/>
        </w:rPr>
      </w:pPr>
      <w:r w:rsidRPr="00CB269B">
        <w:rPr>
          <w:rFonts w:ascii="Palatino Linotype" w:eastAsia="Palatino Linotype" w:hAnsi="Palatino Linotype" w:cs="Palatino Linotype"/>
          <w:i/>
        </w:rPr>
        <w:t>…</w:t>
      </w:r>
    </w:p>
    <w:p w14:paraId="7015EC56" w14:textId="77777777" w:rsidR="00863405" w:rsidRPr="00CB269B" w:rsidRDefault="00F0347F">
      <w:pPr>
        <w:spacing w:after="0"/>
        <w:ind w:left="567" w:right="616"/>
        <w:jc w:val="both"/>
        <w:rPr>
          <w:rFonts w:ascii="Palatino Linotype" w:eastAsia="Palatino Linotype" w:hAnsi="Palatino Linotype" w:cs="Palatino Linotype"/>
          <w:i/>
        </w:rPr>
      </w:pPr>
      <w:r w:rsidRPr="00CB269B">
        <w:rPr>
          <w:rFonts w:ascii="Palatino Linotype" w:eastAsia="Palatino Linotype" w:hAnsi="Palatino Linotype" w:cs="Palatino Linotype"/>
          <w:i/>
        </w:rPr>
        <w:t>I. La negativa de entrega de la información</w:t>
      </w:r>
    </w:p>
    <w:p w14:paraId="1418934F" w14:textId="77777777" w:rsidR="00863405" w:rsidRPr="00CB269B" w:rsidRDefault="00F0347F">
      <w:pPr>
        <w:spacing w:after="0"/>
        <w:ind w:left="567" w:right="616"/>
        <w:jc w:val="both"/>
        <w:rPr>
          <w:rFonts w:ascii="Palatino Linotype" w:eastAsia="Palatino Linotype" w:hAnsi="Palatino Linotype" w:cs="Palatino Linotype"/>
          <w:i/>
        </w:rPr>
      </w:pPr>
      <w:r w:rsidRPr="00CB269B">
        <w:rPr>
          <w:rFonts w:ascii="Palatino Linotype" w:eastAsia="Palatino Linotype" w:hAnsi="Palatino Linotype" w:cs="Palatino Linotype"/>
          <w:i/>
        </w:rPr>
        <w:t>…</w:t>
      </w:r>
    </w:p>
    <w:p w14:paraId="0DD7FF1D" w14:textId="77777777" w:rsidR="00863405" w:rsidRPr="00CB269B" w:rsidRDefault="00F0347F">
      <w:pPr>
        <w:spacing w:after="0"/>
        <w:ind w:left="567" w:right="616"/>
        <w:jc w:val="both"/>
        <w:rPr>
          <w:rFonts w:ascii="Palatino Linotype" w:eastAsia="Palatino Linotype" w:hAnsi="Palatino Linotype" w:cs="Palatino Linotype"/>
          <w:i/>
        </w:rPr>
      </w:pPr>
      <w:r w:rsidRPr="00CB269B">
        <w:rPr>
          <w:rFonts w:ascii="Palatino Linotype" w:eastAsia="Palatino Linotype" w:hAnsi="Palatino Linotype" w:cs="Palatino Linotype"/>
          <w:i/>
        </w:rPr>
        <w:t>IX. La entrega o puesta a disposición de información en un formato incomprensible y/o no accesible para el solicitante;</w:t>
      </w:r>
    </w:p>
    <w:p w14:paraId="3262C4F7" w14:textId="77777777" w:rsidR="00863405" w:rsidRPr="00CB269B" w:rsidRDefault="00F0347F">
      <w:pPr>
        <w:spacing w:after="0" w:line="360" w:lineRule="auto"/>
        <w:ind w:left="567" w:right="616"/>
        <w:jc w:val="both"/>
        <w:rPr>
          <w:rFonts w:ascii="Palatino Linotype" w:eastAsia="Palatino Linotype" w:hAnsi="Palatino Linotype" w:cs="Palatino Linotype"/>
          <w:i/>
        </w:rPr>
      </w:pPr>
      <w:r w:rsidRPr="00CB269B">
        <w:rPr>
          <w:rFonts w:ascii="Palatino Linotype" w:eastAsia="Palatino Linotype" w:hAnsi="Palatino Linotype" w:cs="Palatino Linotype"/>
          <w:i/>
        </w:rPr>
        <w:t xml:space="preserve">…” </w:t>
      </w:r>
    </w:p>
    <w:p w14:paraId="122B11DF" w14:textId="77777777" w:rsidR="00863405" w:rsidRPr="00CB269B" w:rsidRDefault="00863405">
      <w:pPr>
        <w:spacing w:after="0" w:line="360" w:lineRule="auto"/>
        <w:ind w:left="567" w:right="616"/>
        <w:jc w:val="both"/>
        <w:rPr>
          <w:rFonts w:ascii="Palatino Linotype" w:eastAsia="Palatino Linotype" w:hAnsi="Palatino Linotype" w:cs="Palatino Linotype"/>
          <w:i/>
        </w:rPr>
      </w:pPr>
    </w:p>
    <w:p w14:paraId="19595F32"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b/>
        </w:rPr>
        <w:t>Tercero. Análisis de las causales de improcedencia y sobreseimiento del recurso de revisión.</w:t>
      </w:r>
      <w:r w:rsidRPr="00CB269B">
        <w:t xml:space="preserve"> </w:t>
      </w:r>
      <w:r w:rsidRPr="00CB269B">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w:t>
      </w:r>
      <w:r w:rsidRPr="00CB269B">
        <w:rPr>
          <w:rFonts w:ascii="Palatino Linotype" w:eastAsia="Palatino Linotype" w:hAnsi="Palatino Linotype" w:cs="Palatino Linotype"/>
        </w:rPr>
        <w:lastRenderedPageBreak/>
        <w:t>Pública del Estado de México y Municipios, en correlación con la seguridad jurídica que debe generar lo actuado ante este Organismo garante.</w:t>
      </w:r>
    </w:p>
    <w:p w14:paraId="14A5CA12" w14:textId="77777777" w:rsidR="00863405" w:rsidRPr="00CB269B" w:rsidRDefault="00863405">
      <w:pPr>
        <w:spacing w:after="0" w:line="360" w:lineRule="auto"/>
        <w:jc w:val="both"/>
      </w:pPr>
    </w:p>
    <w:p w14:paraId="3745E443"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F52C25F" w14:textId="77777777" w:rsidR="00863405" w:rsidRPr="00CB269B" w:rsidRDefault="00863405">
      <w:pPr>
        <w:spacing w:after="0" w:line="360" w:lineRule="auto"/>
        <w:jc w:val="both"/>
      </w:pPr>
    </w:p>
    <w:p w14:paraId="74F77CCB" w14:textId="77777777" w:rsidR="00863405" w:rsidRPr="00CB269B" w:rsidRDefault="00F0347F">
      <w:pPr>
        <w:spacing w:after="0" w:line="360" w:lineRule="auto"/>
        <w:ind w:right="51"/>
        <w:jc w:val="both"/>
        <w:rPr>
          <w:rFonts w:ascii="Palatino Linotype" w:eastAsia="Palatino Linotype" w:hAnsi="Palatino Linotype" w:cs="Palatino Linotype"/>
        </w:rPr>
      </w:pPr>
      <w:r w:rsidRPr="00CB269B">
        <w:rPr>
          <w:rFonts w:ascii="Palatino Linotype" w:eastAsia="Palatino Linotype" w:hAnsi="Palatino Linotype" w:cs="Palatino Linotype"/>
        </w:rPr>
        <w:t>De manera preliminar en el caso concreto conviene analizar si se actualiza alguna de las causales de sobreseimiento del recurso de revisión.</w:t>
      </w:r>
    </w:p>
    <w:p w14:paraId="557B601F" w14:textId="77777777" w:rsidR="00863405" w:rsidRPr="00CB269B" w:rsidRDefault="00863405">
      <w:pPr>
        <w:spacing w:after="0" w:line="360" w:lineRule="auto"/>
        <w:jc w:val="both"/>
        <w:rPr>
          <w:rFonts w:ascii="Palatino Linotype" w:eastAsia="Palatino Linotype" w:hAnsi="Palatino Linotype" w:cs="Palatino Linotype"/>
        </w:rPr>
      </w:pPr>
    </w:p>
    <w:p w14:paraId="79236026"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Por lo que, es de recordar que la parte Recurrente solicitó la lista de asistencia de cada una de las áreas, incluyendo al Cabildo, del uno de enero al veintitrés de mayo de dos mil veinticinco. </w:t>
      </w:r>
    </w:p>
    <w:p w14:paraId="5D2C784E" w14:textId="77777777" w:rsidR="00863405" w:rsidRPr="00CB269B" w:rsidRDefault="00863405">
      <w:pPr>
        <w:spacing w:after="0" w:line="360" w:lineRule="auto"/>
        <w:jc w:val="both"/>
        <w:rPr>
          <w:rFonts w:ascii="Palatino Linotype" w:eastAsia="Palatino Linotype" w:hAnsi="Palatino Linotype" w:cs="Palatino Linotype"/>
        </w:rPr>
      </w:pPr>
    </w:p>
    <w:p w14:paraId="0E1034C3"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En respuesta, la Directora General de Administración informó que, una vez realizada una búsqueda exhaustiva en nuestros archivos, no se cuenta con registro documental que ampare la información solicitada, ya que la Ley del Trabajo de los Servidores Públicos del Estado de México y el Código Reglamentario del Ayuntamiento de Toluca, no especifica que la jornada laboral se tenga que controlar por medio de una lista de asistencia.</w:t>
      </w:r>
    </w:p>
    <w:p w14:paraId="1EC4C9F3" w14:textId="77777777" w:rsidR="00863405" w:rsidRPr="00CB269B" w:rsidRDefault="00863405">
      <w:pPr>
        <w:spacing w:after="0" w:line="360" w:lineRule="auto"/>
        <w:jc w:val="both"/>
        <w:rPr>
          <w:rFonts w:ascii="Palatino Linotype" w:eastAsia="Palatino Linotype" w:hAnsi="Palatino Linotype" w:cs="Palatino Linotype"/>
        </w:rPr>
      </w:pPr>
    </w:p>
    <w:p w14:paraId="7E843016"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lastRenderedPageBreak/>
        <w:t xml:space="preserve">Derivado de ello, la parte Recurrente se inconformó arguyendo a la literalidad, lo siguiente: </w:t>
      </w:r>
      <w:r w:rsidRPr="00CB269B">
        <w:rPr>
          <w:rFonts w:ascii="Palatino Linotype" w:eastAsia="Palatino Linotype" w:hAnsi="Palatino Linotype" w:cs="Palatino Linotype"/>
          <w:i/>
        </w:rPr>
        <w:t xml:space="preserve">“la negativa de la </w:t>
      </w:r>
      <w:proofErr w:type="spellStart"/>
      <w:r w:rsidRPr="00CB269B">
        <w:rPr>
          <w:rFonts w:ascii="Palatino Linotype" w:eastAsia="Palatino Linotype" w:hAnsi="Palatino Linotype" w:cs="Palatino Linotype"/>
          <w:i/>
        </w:rPr>
        <w:t>informaicón</w:t>
      </w:r>
      <w:proofErr w:type="spellEnd"/>
      <w:r w:rsidRPr="00CB269B">
        <w:rPr>
          <w:rFonts w:ascii="Palatino Linotype" w:eastAsia="Palatino Linotype" w:hAnsi="Palatino Linotype" w:cs="Palatino Linotype"/>
          <w:i/>
        </w:rPr>
        <w:t xml:space="preserve"> es pública y se debe entregar </w:t>
      </w:r>
      <w:r w:rsidRPr="00CB269B">
        <w:rPr>
          <w:rFonts w:ascii="Palatino Linotype" w:eastAsia="Palatino Linotype" w:hAnsi="Palatino Linotype" w:cs="Palatino Linotype"/>
          <w:b/>
          <w:i/>
          <w:u w:val="single"/>
        </w:rPr>
        <w:t xml:space="preserve">no </w:t>
      </w:r>
      <w:proofErr w:type="spellStart"/>
      <w:r w:rsidRPr="00CB269B">
        <w:rPr>
          <w:rFonts w:ascii="Palatino Linotype" w:eastAsia="Palatino Linotype" w:hAnsi="Palatino Linotype" w:cs="Palatino Linotype"/>
          <w:b/>
          <w:i/>
          <w:u w:val="single"/>
        </w:rPr>
        <w:t>esta</w:t>
      </w:r>
      <w:proofErr w:type="spellEnd"/>
      <w:r w:rsidRPr="00CB269B">
        <w:rPr>
          <w:rFonts w:ascii="Palatino Linotype" w:eastAsia="Palatino Linotype" w:hAnsi="Palatino Linotype" w:cs="Palatino Linotype"/>
          <w:b/>
          <w:i/>
          <w:u w:val="single"/>
        </w:rPr>
        <w:t xml:space="preserve"> en el link que entregan no sean opacos</w:t>
      </w:r>
      <w:r w:rsidRPr="00CB269B">
        <w:rPr>
          <w:rFonts w:ascii="Palatino Linotype" w:eastAsia="Palatino Linotype" w:hAnsi="Palatino Linotype" w:cs="Palatino Linotype"/>
          <w:i/>
        </w:rPr>
        <w:t>”</w:t>
      </w:r>
    </w:p>
    <w:p w14:paraId="3035C0C4" w14:textId="77777777" w:rsidR="00863405" w:rsidRPr="00CB269B" w:rsidRDefault="00863405">
      <w:pPr>
        <w:spacing w:after="0" w:line="360" w:lineRule="auto"/>
        <w:jc w:val="both"/>
        <w:rPr>
          <w:rFonts w:ascii="Palatino Linotype" w:eastAsia="Palatino Linotype" w:hAnsi="Palatino Linotype" w:cs="Palatino Linotype"/>
        </w:rPr>
      </w:pPr>
    </w:p>
    <w:p w14:paraId="1930F3F3"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El Sujeto Obligado ratificó su respuesta inicial, mediante informe justificado. La parte Recurrente no realizó manifestaciones. </w:t>
      </w:r>
    </w:p>
    <w:p w14:paraId="060B7577" w14:textId="77777777" w:rsidR="00863405" w:rsidRPr="00CB269B" w:rsidRDefault="00863405">
      <w:pPr>
        <w:spacing w:after="0" w:line="360" w:lineRule="auto"/>
        <w:jc w:val="both"/>
        <w:rPr>
          <w:rFonts w:ascii="Palatino Linotype" w:eastAsia="Palatino Linotype" w:hAnsi="Palatino Linotype" w:cs="Palatino Linotype"/>
        </w:rPr>
      </w:pPr>
    </w:p>
    <w:p w14:paraId="00A614F3" w14:textId="77777777" w:rsidR="00863405" w:rsidRPr="00CB269B" w:rsidRDefault="00F0347F">
      <w:pPr>
        <w:tabs>
          <w:tab w:val="left" w:pos="7371"/>
        </w:tabs>
        <w:spacing w:after="0" w:line="360" w:lineRule="auto"/>
        <w:ind w:right="49"/>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Así, mediante informe justificado, el Sujeto Obligado medularmente ratificó su respuesta inicial y, la parte Recurrente fue omisa en rendir manifestaciones. </w:t>
      </w:r>
    </w:p>
    <w:p w14:paraId="7E7E6306" w14:textId="77777777" w:rsidR="00863405" w:rsidRPr="00CB269B" w:rsidRDefault="00863405">
      <w:pPr>
        <w:tabs>
          <w:tab w:val="left" w:pos="7371"/>
        </w:tabs>
        <w:spacing w:after="0" w:line="360" w:lineRule="auto"/>
        <w:ind w:right="49"/>
        <w:jc w:val="both"/>
        <w:rPr>
          <w:rFonts w:ascii="Palatino Linotype" w:eastAsia="Palatino Linotype" w:hAnsi="Palatino Linotype" w:cs="Palatino Linotype"/>
        </w:rPr>
      </w:pPr>
    </w:p>
    <w:p w14:paraId="51A9D896" w14:textId="77777777" w:rsidR="00863405" w:rsidRPr="00CB269B" w:rsidRDefault="00F0347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Es así que, es de destacar que si bien, las razones o motivos de inconformidad hechos valer en el Recurso de Revisión resultan procedentes al encuadrar en la hipótesis normativa de la fracción I y IX del artículo 179 de la Ley en la materia, también lo es que para el caso particular, la hipótesis contenida en dicha fracción, </w:t>
      </w:r>
      <w:r w:rsidRPr="00CB269B">
        <w:rPr>
          <w:rFonts w:ascii="Palatino Linotype" w:eastAsia="Palatino Linotype" w:hAnsi="Palatino Linotype" w:cs="Palatino Linotype"/>
          <w:b/>
          <w:u w:val="single"/>
        </w:rPr>
        <w:t>no se actualiza</w:t>
      </w:r>
      <w:r w:rsidRPr="00CB269B">
        <w:rPr>
          <w:rFonts w:ascii="Palatino Linotype" w:eastAsia="Palatino Linotype" w:hAnsi="Palatino Linotype" w:cs="Palatino Linotype"/>
        </w:rPr>
        <w:t xml:space="preserve">. </w:t>
      </w:r>
    </w:p>
    <w:p w14:paraId="7BE6DE29" w14:textId="77777777" w:rsidR="00863405" w:rsidRPr="00CB269B" w:rsidRDefault="00863405">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62E5CBC5" w14:textId="77777777" w:rsidR="00863405" w:rsidRPr="00CB269B" w:rsidRDefault="00F0347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Lo anterior, debido a que la parte Recurrente se agravió arguyendo la negativa de entrega de la información, ya que esta </w:t>
      </w:r>
      <w:r w:rsidRPr="00CB269B">
        <w:rPr>
          <w:rFonts w:ascii="Palatino Linotype" w:eastAsia="Palatino Linotype" w:hAnsi="Palatino Linotype" w:cs="Palatino Linotype"/>
          <w:b/>
          <w:u w:val="single"/>
        </w:rPr>
        <w:t>no se encontraba en el link que el Sujeto Obligado supuestamente había entregado</w:t>
      </w:r>
      <w:r w:rsidRPr="00CB269B">
        <w:rPr>
          <w:rFonts w:ascii="Palatino Linotype" w:eastAsia="Palatino Linotype" w:hAnsi="Palatino Linotype" w:cs="Palatino Linotype"/>
        </w:rPr>
        <w:t xml:space="preserve">, sin embargo, de lo contenido en el expediente electrónico, se advierte que el Sujeto Obligado </w:t>
      </w:r>
      <w:r w:rsidRPr="00CB269B">
        <w:rPr>
          <w:rFonts w:ascii="Palatino Linotype" w:eastAsia="Palatino Linotype" w:hAnsi="Palatino Linotype" w:cs="Palatino Linotype"/>
          <w:b/>
          <w:u w:val="single"/>
        </w:rPr>
        <w:t>no proporcionó alguna liga electrónica</w:t>
      </w:r>
      <w:r w:rsidRPr="00CB269B">
        <w:rPr>
          <w:rFonts w:ascii="Palatino Linotype" w:eastAsia="Palatino Linotype" w:hAnsi="Palatino Linotype" w:cs="Palatino Linotype"/>
        </w:rPr>
        <w:t>, tal como se advierte a continuación:</w:t>
      </w:r>
    </w:p>
    <w:p w14:paraId="24C72E98" w14:textId="77777777" w:rsidR="00863405" w:rsidRPr="00CB269B" w:rsidRDefault="00F0347F">
      <w:pPr>
        <w:pBdr>
          <w:top w:val="nil"/>
          <w:left w:val="nil"/>
          <w:bottom w:val="nil"/>
          <w:right w:val="nil"/>
          <w:between w:val="nil"/>
        </w:pBdr>
        <w:tabs>
          <w:tab w:val="left" w:pos="284"/>
        </w:tabs>
        <w:spacing w:after="0" w:line="360" w:lineRule="auto"/>
        <w:jc w:val="center"/>
        <w:rPr>
          <w:rFonts w:ascii="Palatino Linotype" w:eastAsia="Palatino Linotype" w:hAnsi="Palatino Linotype" w:cs="Palatino Linotype"/>
          <w:b/>
          <w:u w:val="single"/>
        </w:rPr>
      </w:pPr>
      <w:r w:rsidRPr="00CB269B">
        <w:rPr>
          <w:rFonts w:ascii="Palatino Linotype" w:eastAsia="Palatino Linotype" w:hAnsi="Palatino Linotype" w:cs="Palatino Linotype"/>
          <w:b/>
          <w:noProof/>
          <w:u w:val="single"/>
        </w:rPr>
        <w:lastRenderedPageBreak/>
        <w:drawing>
          <wp:inline distT="0" distB="0" distL="0" distR="0" wp14:anchorId="37966739" wp14:editId="2002D8B1">
            <wp:extent cx="4592400" cy="3959228"/>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92400" cy="3959228"/>
                    </a:xfrm>
                    <a:prstGeom prst="rect">
                      <a:avLst/>
                    </a:prstGeom>
                    <a:ln/>
                  </pic:spPr>
                </pic:pic>
              </a:graphicData>
            </a:graphic>
          </wp:inline>
        </w:drawing>
      </w:r>
    </w:p>
    <w:p w14:paraId="08533186" w14:textId="77777777" w:rsidR="00863405" w:rsidRPr="00CB269B" w:rsidRDefault="00863405">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7A9F8CE9"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55EDBF6E" w14:textId="77777777" w:rsidR="00863405" w:rsidRPr="00CB269B" w:rsidRDefault="00863405">
      <w:pPr>
        <w:spacing w:after="0" w:line="360" w:lineRule="auto"/>
        <w:jc w:val="both"/>
        <w:rPr>
          <w:rFonts w:ascii="Palatino Linotype" w:eastAsia="Palatino Linotype" w:hAnsi="Palatino Linotype" w:cs="Palatino Linotype"/>
        </w:rPr>
      </w:pPr>
    </w:p>
    <w:p w14:paraId="1CD5B14F" w14:textId="77777777" w:rsidR="00863405" w:rsidRPr="00CB269B" w:rsidRDefault="00F0347F">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CB269B">
        <w:rPr>
          <w:rFonts w:ascii="Palatino Linotype" w:eastAsia="Palatino Linotype" w:hAnsi="Palatino Linotype" w:cs="Palatino Linotype"/>
          <w:i/>
        </w:rPr>
        <w:t>“</w:t>
      </w:r>
      <w:r w:rsidRPr="00CB269B">
        <w:rPr>
          <w:rFonts w:ascii="Palatino Linotype" w:eastAsia="Palatino Linotype" w:hAnsi="Palatino Linotype" w:cs="Palatino Linotype"/>
          <w:b/>
          <w:i/>
        </w:rPr>
        <w:t>INEXISTENCIA DE LOS ACTOS RECLAMADOS EN EL AMPARO. NO ES UN MOTIVO MANIFIESTO E INDUDABLE DE IMPROCEDENCIA QUE DÉ LUGAR AL DESECHAMIENTO DE LA DEMANDA, SINO QUE CONSTITUYE UNA CAUSAL DE SOBRESEIMIENTO EN EL JUICIO</w:t>
      </w:r>
      <w:r w:rsidRPr="00CB269B">
        <w:rPr>
          <w:rFonts w:ascii="Palatino Linotype" w:eastAsia="Palatino Linotype" w:hAnsi="Palatino Linotype" w:cs="Palatino Linotype"/>
          <w:i/>
        </w:rPr>
        <w:t xml:space="preserve">. 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CB269B">
        <w:rPr>
          <w:rFonts w:ascii="Palatino Linotype" w:eastAsia="Palatino Linotype" w:hAnsi="Palatino Linotype" w:cs="Palatino Linotype"/>
          <w:i/>
        </w:rPr>
        <w:t>desechamiento</w:t>
      </w:r>
      <w:proofErr w:type="spellEnd"/>
      <w:r w:rsidRPr="00CB269B">
        <w:rPr>
          <w:rFonts w:ascii="Palatino Linotype" w:eastAsia="Palatino Linotype" w:hAnsi="Palatino Linotype" w:cs="Palatino Linotype"/>
          <w:i/>
        </w:rPr>
        <w:t xml:space="preserve"> de la demanda con sustento en el diverso precepto 113 de ese </w:t>
      </w:r>
      <w:r w:rsidRPr="00CB269B">
        <w:rPr>
          <w:rFonts w:ascii="Palatino Linotype" w:eastAsia="Palatino Linotype" w:hAnsi="Palatino Linotype" w:cs="Palatino Linotype"/>
          <w:i/>
        </w:rPr>
        <w:lastRenderedPageBreak/>
        <w:t>ordenamiento, pues el pronunciamiento relativo necesariamente debe efectuarse hasta la sentencia, al no haberse demostrado su existencia en la audiencia constitucional.”</w:t>
      </w:r>
    </w:p>
    <w:p w14:paraId="4CFFEF14" w14:textId="77777777" w:rsidR="00863405" w:rsidRPr="00CB269B" w:rsidRDefault="00863405">
      <w:pPr>
        <w:pBdr>
          <w:top w:val="nil"/>
          <w:left w:val="nil"/>
          <w:bottom w:val="nil"/>
          <w:right w:val="nil"/>
          <w:between w:val="nil"/>
        </w:pBdr>
        <w:spacing w:after="0"/>
        <w:ind w:left="567" w:right="902"/>
        <w:jc w:val="both"/>
        <w:rPr>
          <w:rFonts w:ascii="Palatino Linotype" w:eastAsia="Palatino Linotype" w:hAnsi="Palatino Linotype" w:cs="Palatino Linotype"/>
          <w:b/>
          <w:i/>
        </w:rPr>
      </w:pPr>
    </w:p>
    <w:p w14:paraId="1183A1C5" w14:textId="77777777" w:rsidR="00863405" w:rsidRPr="00CB269B" w:rsidRDefault="00F0347F">
      <w:pPr>
        <w:pBdr>
          <w:top w:val="nil"/>
          <w:left w:val="nil"/>
          <w:bottom w:val="nil"/>
          <w:right w:val="nil"/>
          <w:between w:val="nil"/>
        </w:pBd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01E1AB55" w14:textId="77777777" w:rsidR="00863405" w:rsidRPr="00CB269B" w:rsidRDefault="00863405">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9768829"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sidRPr="00CB269B">
        <w:rPr>
          <w:rFonts w:ascii="Palatino Linotype" w:eastAsia="Palatino Linotype" w:hAnsi="Palatino Linotype" w:cs="Palatino Linotype"/>
          <w:b/>
        </w:rPr>
        <w:t xml:space="preserve"> </w:t>
      </w:r>
      <w:r w:rsidRPr="00CB269B">
        <w:rPr>
          <w:rFonts w:ascii="Palatino Linotype" w:eastAsia="Palatino Linotype" w:hAnsi="Palatino Linotype" w:cs="Palatino Linotype"/>
        </w:rPr>
        <w:t xml:space="preserve">las razones o motivos de inconformidad hechas valer, </w:t>
      </w:r>
      <w:r w:rsidRPr="00CB269B">
        <w:rPr>
          <w:rFonts w:ascii="Palatino Linotype" w:eastAsia="Palatino Linotype" w:hAnsi="Palatino Linotype" w:cs="Palatino Linotype"/>
          <w:b/>
        </w:rPr>
        <w:t>no corresponden con la respuesta del Sujeto Obligado</w:t>
      </w:r>
      <w:r w:rsidRPr="00CB269B">
        <w:rPr>
          <w:rFonts w:ascii="Palatino Linotype" w:eastAsia="Palatino Linotype" w:hAnsi="Palatino Linotype" w:cs="Palatino Linotype"/>
        </w:rPr>
        <w:t xml:space="preserve"> para atender su requerimiento de información,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63527425" w14:textId="77777777" w:rsidR="00863405" w:rsidRPr="00CB269B" w:rsidRDefault="00863405">
      <w:pPr>
        <w:spacing w:after="0" w:line="360" w:lineRule="auto"/>
        <w:jc w:val="both"/>
        <w:rPr>
          <w:rFonts w:ascii="Palatino Linotype" w:eastAsia="Palatino Linotype" w:hAnsi="Palatino Linotype" w:cs="Palatino Linotype"/>
        </w:rPr>
      </w:pPr>
    </w:p>
    <w:p w14:paraId="6D3EABD2"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18528536" w14:textId="77777777" w:rsidR="00863405" w:rsidRPr="00CB269B" w:rsidRDefault="00863405">
      <w:pPr>
        <w:spacing w:after="0" w:line="360" w:lineRule="auto"/>
        <w:jc w:val="both"/>
        <w:rPr>
          <w:rFonts w:ascii="Palatino Linotype" w:eastAsia="Palatino Linotype" w:hAnsi="Palatino Linotype" w:cs="Palatino Linotype"/>
        </w:rPr>
      </w:pPr>
    </w:p>
    <w:p w14:paraId="30CD2E14" w14:textId="77777777" w:rsidR="00863405" w:rsidRPr="00CB269B" w:rsidRDefault="00F0347F">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CB269B">
        <w:rPr>
          <w:rFonts w:ascii="Palatino Linotype" w:eastAsia="Palatino Linotype" w:hAnsi="Palatino Linotype" w:cs="Palatino Linotype"/>
          <w:i/>
        </w:rPr>
        <w:t xml:space="preserve">sobreseer </w:t>
      </w:r>
      <w:r w:rsidRPr="00CB269B">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4A6D775A" w14:textId="77777777" w:rsidR="00863405" w:rsidRPr="00CB269B" w:rsidRDefault="00F0347F">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r w:rsidRPr="00CB269B">
        <w:rPr>
          <w:rFonts w:ascii="Palatino Linotype" w:eastAsia="Palatino Linotype" w:hAnsi="Palatino Linotype" w:cs="Palatino Linotype"/>
          <w:i/>
        </w:rPr>
        <w:lastRenderedPageBreak/>
        <w:t>“</w:t>
      </w:r>
      <w:r w:rsidRPr="00CB269B">
        <w:rPr>
          <w:rFonts w:ascii="Palatino Linotype" w:eastAsia="Palatino Linotype" w:hAnsi="Palatino Linotype" w:cs="Palatino Linotype"/>
          <w:b/>
          <w:i/>
        </w:rPr>
        <w:t>Artículo 191</w:t>
      </w:r>
      <w:r w:rsidRPr="00CB269B">
        <w:rPr>
          <w:rFonts w:ascii="Palatino Linotype" w:eastAsia="Palatino Linotype" w:hAnsi="Palatino Linotype" w:cs="Palatino Linotype"/>
          <w:i/>
        </w:rPr>
        <w:t xml:space="preserve">. </w:t>
      </w:r>
      <w:r w:rsidRPr="00CB269B">
        <w:rPr>
          <w:rFonts w:ascii="Palatino Linotype" w:eastAsia="Palatino Linotype" w:hAnsi="Palatino Linotype" w:cs="Palatino Linotype"/>
          <w:b/>
          <w:i/>
        </w:rPr>
        <w:t>El recurso</w:t>
      </w:r>
      <w:r w:rsidRPr="00CB269B">
        <w:rPr>
          <w:rFonts w:ascii="Palatino Linotype" w:eastAsia="Palatino Linotype" w:hAnsi="Palatino Linotype" w:cs="Palatino Linotype"/>
          <w:i/>
        </w:rPr>
        <w:t xml:space="preserve"> </w:t>
      </w:r>
      <w:r w:rsidRPr="00CB269B">
        <w:rPr>
          <w:rFonts w:ascii="Palatino Linotype" w:eastAsia="Palatino Linotype" w:hAnsi="Palatino Linotype" w:cs="Palatino Linotype"/>
          <w:b/>
          <w:i/>
        </w:rPr>
        <w:t xml:space="preserve">será </w:t>
      </w:r>
      <w:r w:rsidRPr="00CB269B">
        <w:rPr>
          <w:rFonts w:ascii="Palatino Linotype" w:eastAsia="Palatino Linotype" w:hAnsi="Palatino Linotype" w:cs="Palatino Linotype"/>
          <w:i/>
        </w:rPr>
        <w:t xml:space="preserve">desechado por </w:t>
      </w:r>
      <w:r w:rsidRPr="00CB269B">
        <w:rPr>
          <w:rFonts w:ascii="Palatino Linotype" w:eastAsia="Palatino Linotype" w:hAnsi="Palatino Linotype" w:cs="Palatino Linotype"/>
          <w:b/>
          <w:i/>
        </w:rPr>
        <w:t>improcedente cuando</w:t>
      </w:r>
      <w:r w:rsidRPr="00CB269B">
        <w:rPr>
          <w:rFonts w:ascii="Palatino Linotype" w:eastAsia="Palatino Linotype" w:hAnsi="Palatino Linotype" w:cs="Palatino Linotype"/>
          <w:i/>
        </w:rPr>
        <w:t>:</w:t>
      </w:r>
    </w:p>
    <w:p w14:paraId="6488997A" w14:textId="77777777" w:rsidR="00863405" w:rsidRPr="00CB269B" w:rsidRDefault="00F0347F">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r w:rsidRPr="00CB269B">
        <w:rPr>
          <w:rFonts w:ascii="Palatino Linotype" w:eastAsia="Palatino Linotype" w:hAnsi="Palatino Linotype" w:cs="Palatino Linotype"/>
          <w:i/>
        </w:rPr>
        <w:t>…</w:t>
      </w:r>
    </w:p>
    <w:p w14:paraId="6774B8BB" w14:textId="77777777" w:rsidR="00863405" w:rsidRPr="00CB269B" w:rsidRDefault="00F0347F">
      <w:pPr>
        <w:tabs>
          <w:tab w:val="left" w:pos="1276"/>
          <w:tab w:val="left" w:pos="1560"/>
          <w:tab w:val="left" w:pos="7938"/>
        </w:tabs>
        <w:spacing w:after="0" w:line="360" w:lineRule="auto"/>
        <w:ind w:left="567" w:right="902"/>
        <w:jc w:val="both"/>
        <w:rPr>
          <w:rFonts w:ascii="Palatino Linotype" w:eastAsia="Palatino Linotype" w:hAnsi="Palatino Linotype" w:cs="Palatino Linotype"/>
          <w:b/>
          <w:i/>
        </w:rPr>
      </w:pPr>
      <w:r w:rsidRPr="00CB269B">
        <w:rPr>
          <w:rFonts w:ascii="Palatino Linotype" w:eastAsia="Palatino Linotype" w:hAnsi="Palatino Linotype" w:cs="Palatino Linotype"/>
          <w:b/>
          <w:i/>
        </w:rPr>
        <w:t xml:space="preserve">III. </w:t>
      </w:r>
      <w:r w:rsidRPr="00CB269B">
        <w:rPr>
          <w:rFonts w:ascii="Palatino Linotype" w:eastAsia="Palatino Linotype" w:hAnsi="Palatino Linotype" w:cs="Palatino Linotype"/>
          <w:i/>
        </w:rPr>
        <w:t>No actualice alguno de los supuestos previstos en la presente Ley</w:t>
      </w:r>
      <w:r w:rsidRPr="00CB269B">
        <w:rPr>
          <w:rFonts w:ascii="Palatino Linotype" w:eastAsia="Palatino Linotype" w:hAnsi="Palatino Linotype" w:cs="Palatino Linotype"/>
          <w:b/>
          <w:i/>
        </w:rPr>
        <w:t>;</w:t>
      </w:r>
    </w:p>
    <w:p w14:paraId="03DFCEDB" w14:textId="77777777" w:rsidR="00863405" w:rsidRPr="00CB269B" w:rsidRDefault="00F0347F">
      <w:pPr>
        <w:tabs>
          <w:tab w:val="left" w:pos="1276"/>
          <w:tab w:val="left" w:pos="1560"/>
          <w:tab w:val="left" w:pos="7938"/>
        </w:tabs>
        <w:spacing w:after="0" w:line="360" w:lineRule="auto"/>
        <w:ind w:left="567" w:right="902"/>
        <w:jc w:val="both"/>
        <w:rPr>
          <w:rFonts w:ascii="Palatino Linotype" w:eastAsia="Palatino Linotype" w:hAnsi="Palatino Linotype" w:cs="Palatino Linotype"/>
          <w:b/>
          <w:i/>
        </w:rPr>
      </w:pPr>
      <w:r w:rsidRPr="00CB269B">
        <w:rPr>
          <w:rFonts w:ascii="Palatino Linotype" w:eastAsia="Palatino Linotype" w:hAnsi="Palatino Linotype" w:cs="Palatino Linotype"/>
          <w:b/>
          <w:i/>
        </w:rPr>
        <w:t>…</w:t>
      </w:r>
    </w:p>
    <w:p w14:paraId="3C0F50C5" w14:textId="77777777" w:rsidR="00863405" w:rsidRPr="00CB269B" w:rsidRDefault="00F0347F">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r w:rsidRPr="00CB269B">
        <w:rPr>
          <w:rFonts w:ascii="Palatino Linotype" w:eastAsia="Palatino Linotype" w:hAnsi="Palatino Linotype" w:cs="Palatino Linotype"/>
          <w:b/>
          <w:i/>
        </w:rPr>
        <w:t>Artículo 192.</w:t>
      </w:r>
      <w:r w:rsidRPr="00CB269B">
        <w:rPr>
          <w:rFonts w:ascii="Palatino Linotype" w:eastAsia="Palatino Linotype" w:hAnsi="Palatino Linotype" w:cs="Palatino Linotype"/>
          <w:i/>
        </w:rPr>
        <w:t xml:space="preserve"> El recurso será sobreseído, en todo o en parte, cuando una vez admitido, se actualicen alguno de los siguientes supuestos:</w:t>
      </w:r>
    </w:p>
    <w:p w14:paraId="329A6BA9" w14:textId="77777777" w:rsidR="00863405" w:rsidRPr="00CB269B" w:rsidRDefault="00F0347F">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r w:rsidRPr="00CB269B">
        <w:rPr>
          <w:rFonts w:ascii="Palatino Linotype" w:eastAsia="Palatino Linotype" w:hAnsi="Palatino Linotype" w:cs="Palatino Linotype"/>
          <w:i/>
        </w:rPr>
        <w:t>…</w:t>
      </w:r>
    </w:p>
    <w:p w14:paraId="692100EB" w14:textId="77777777" w:rsidR="00863405" w:rsidRPr="00CB269B" w:rsidRDefault="00F0347F">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r w:rsidRPr="00CB269B">
        <w:rPr>
          <w:rFonts w:ascii="Palatino Linotype" w:eastAsia="Palatino Linotype" w:hAnsi="Palatino Linotype" w:cs="Palatino Linotype"/>
          <w:b/>
          <w:i/>
        </w:rPr>
        <w:t>IV</w:t>
      </w:r>
      <w:r w:rsidRPr="00CB269B">
        <w:rPr>
          <w:rFonts w:ascii="Palatino Linotype" w:eastAsia="Palatino Linotype" w:hAnsi="Palatino Linotype" w:cs="Palatino Linotype"/>
          <w:i/>
        </w:rPr>
        <w:t xml:space="preserve">. Admitido el recurso de revisión, </w:t>
      </w:r>
      <w:r w:rsidRPr="00CB269B">
        <w:rPr>
          <w:rFonts w:ascii="Palatino Linotype" w:eastAsia="Palatino Linotype" w:hAnsi="Palatino Linotype" w:cs="Palatino Linotype"/>
          <w:b/>
          <w:i/>
        </w:rPr>
        <w:t>aparezca alguna causal de improcedencia</w:t>
      </w:r>
      <w:r w:rsidRPr="00CB269B">
        <w:rPr>
          <w:rFonts w:ascii="Palatino Linotype" w:eastAsia="Palatino Linotype" w:hAnsi="Palatino Linotype" w:cs="Palatino Linotype"/>
          <w:i/>
        </w:rPr>
        <w:t xml:space="preserve"> en los términos de la presente Ley. “</w:t>
      </w:r>
    </w:p>
    <w:p w14:paraId="322D1F00" w14:textId="77777777" w:rsidR="00863405" w:rsidRPr="00CB269B" w:rsidRDefault="00863405">
      <w:pPr>
        <w:pBdr>
          <w:top w:val="nil"/>
          <w:left w:val="nil"/>
          <w:bottom w:val="nil"/>
          <w:right w:val="nil"/>
          <w:between w:val="nil"/>
        </w:pBdr>
        <w:tabs>
          <w:tab w:val="left" w:pos="1276"/>
          <w:tab w:val="left" w:pos="1560"/>
          <w:tab w:val="left" w:pos="7938"/>
        </w:tabs>
        <w:spacing w:after="0" w:line="360" w:lineRule="auto"/>
        <w:ind w:left="567" w:right="902"/>
        <w:jc w:val="both"/>
        <w:rPr>
          <w:rFonts w:ascii="Palatino Linotype" w:eastAsia="Palatino Linotype" w:hAnsi="Palatino Linotype" w:cs="Palatino Linotype"/>
          <w:i/>
        </w:rPr>
      </w:pPr>
    </w:p>
    <w:p w14:paraId="080AFE7F"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Siendo el </w:t>
      </w:r>
      <w:r w:rsidRPr="00CB269B">
        <w:rPr>
          <w:rFonts w:ascii="Palatino Linotype" w:eastAsia="Palatino Linotype" w:hAnsi="Palatino Linotype" w:cs="Palatino Linotype"/>
          <w:i/>
        </w:rPr>
        <w:t>sobreseimiento</w:t>
      </w:r>
      <w:r w:rsidRPr="00CB269B">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8D20A28" w14:textId="77777777" w:rsidR="00863405" w:rsidRPr="00CB269B" w:rsidRDefault="00863405">
      <w:pPr>
        <w:spacing w:after="0" w:line="360" w:lineRule="auto"/>
        <w:jc w:val="both"/>
        <w:rPr>
          <w:rFonts w:ascii="Palatino Linotype" w:eastAsia="Palatino Linotype" w:hAnsi="Palatino Linotype" w:cs="Palatino Linotype"/>
        </w:rPr>
      </w:pPr>
    </w:p>
    <w:p w14:paraId="1CDC66F7" w14:textId="77777777" w:rsidR="00863405" w:rsidRPr="00CB269B" w:rsidRDefault="00F0347F">
      <w:pPr>
        <w:spacing w:after="0"/>
        <w:ind w:left="567" w:right="616"/>
        <w:jc w:val="both"/>
        <w:rPr>
          <w:rFonts w:ascii="Palatino Linotype" w:eastAsia="Palatino Linotype" w:hAnsi="Palatino Linotype" w:cs="Palatino Linotype"/>
          <w:i/>
        </w:rPr>
      </w:pPr>
      <w:r w:rsidRPr="00CB269B">
        <w:rPr>
          <w:rFonts w:ascii="Palatino Linotype" w:eastAsia="Palatino Linotype" w:hAnsi="Palatino Linotype" w:cs="Palatino Linotype"/>
          <w:b/>
          <w:i/>
        </w:rPr>
        <w:t>SOBRESEIMIENTO, NO PERMITE ENTRAR AL ESTUDIO DE LAS CUESTIONES DE FONDO</w:t>
      </w:r>
      <w:r w:rsidRPr="00CB269B">
        <w:rPr>
          <w:rFonts w:ascii="Palatino Linotype" w:eastAsia="Palatino Linotype" w:hAnsi="Palatino Linotype" w:cs="Palatino Linotype"/>
          <w:i/>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4E66E1AE" w14:textId="77777777" w:rsidR="00863405" w:rsidRPr="00CB269B" w:rsidRDefault="00863405">
      <w:pPr>
        <w:spacing w:after="0"/>
        <w:ind w:left="567" w:right="616"/>
        <w:jc w:val="both"/>
        <w:rPr>
          <w:rFonts w:ascii="Palatino Linotype" w:eastAsia="Palatino Linotype" w:hAnsi="Palatino Linotype" w:cs="Palatino Linotype"/>
          <w:b/>
          <w:i/>
        </w:rPr>
      </w:pPr>
    </w:p>
    <w:p w14:paraId="5BECA2C8"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02DB2F1" w14:textId="77777777" w:rsidR="00863405" w:rsidRPr="00CB269B" w:rsidRDefault="00863405">
      <w:pPr>
        <w:spacing w:after="0" w:line="360" w:lineRule="auto"/>
        <w:jc w:val="both"/>
        <w:rPr>
          <w:rFonts w:ascii="Palatino Linotype" w:eastAsia="Palatino Linotype" w:hAnsi="Palatino Linotype" w:cs="Palatino Linotype"/>
        </w:rPr>
      </w:pPr>
    </w:p>
    <w:p w14:paraId="14368AB1" w14:textId="77777777" w:rsidR="00863405" w:rsidRPr="00CB269B" w:rsidRDefault="00F0347F">
      <w:pPr>
        <w:spacing w:after="0"/>
        <w:ind w:left="567" w:right="902"/>
        <w:jc w:val="both"/>
        <w:rPr>
          <w:rFonts w:ascii="Palatino Linotype" w:eastAsia="Palatino Linotype" w:hAnsi="Palatino Linotype" w:cs="Palatino Linotype"/>
          <w:i/>
        </w:rPr>
      </w:pPr>
      <w:r w:rsidRPr="00CB269B">
        <w:rPr>
          <w:rFonts w:ascii="Palatino Linotype" w:eastAsia="Palatino Linotype" w:hAnsi="Palatino Linotype" w:cs="Palatino Linotype"/>
          <w:b/>
          <w:i/>
        </w:rPr>
        <w:lastRenderedPageBreak/>
        <w:t xml:space="preserve">“DESECHAMIENTO O SOBRESEIMIENTO EN EL JUICIO DE AMPARO. NO IMPLICA DENEGACIÓN DE JUSTICIA NI GENERA INSEGURIDAD JURÍDICA. </w:t>
      </w:r>
      <w:r w:rsidRPr="00CB269B">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0B735230" w14:textId="77777777" w:rsidR="00863405" w:rsidRPr="00CB269B" w:rsidRDefault="00863405">
      <w:pPr>
        <w:spacing w:after="0" w:line="360" w:lineRule="auto"/>
        <w:ind w:left="567" w:right="902"/>
        <w:jc w:val="both"/>
        <w:rPr>
          <w:rFonts w:ascii="Palatino Linotype" w:eastAsia="Palatino Linotype" w:hAnsi="Palatino Linotype" w:cs="Palatino Linotype"/>
          <w:b/>
          <w:i/>
        </w:rPr>
      </w:pPr>
    </w:p>
    <w:p w14:paraId="6224C384"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determina </w:t>
      </w:r>
      <w:r w:rsidRPr="00CB269B">
        <w:rPr>
          <w:rFonts w:ascii="Palatino Linotype" w:eastAsia="Palatino Linotype" w:hAnsi="Palatino Linotype" w:cs="Palatino Linotype"/>
          <w:b/>
        </w:rPr>
        <w:t xml:space="preserve">SOBRESEER </w:t>
      </w:r>
      <w:r w:rsidRPr="00CB269B">
        <w:rPr>
          <w:rFonts w:ascii="Palatino Linotype" w:eastAsia="Palatino Linotype" w:hAnsi="Palatino Linotype" w:cs="Palatino Linotype"/>
        </w:rPr>
        <w:t xml:space="preserve">el Recurso de Revisión </w:t>
      </w:r>
      <w:r w:rsidRPr="00CB269B">
        <w:rPr>
          <w:rFonts w:ascii="Palatino Linotype" w:eastAsia="Palatino Linotype" w:hAnsi="Palatino Linotype" w:cs="Palatino Linotype"/>
          <w:b/>
        </w:rPr>
        <w:t>08139/NFOEM/IP/RR/2025</w:t>
      </w:r>
      <w:r w:rsidRPr="00CB269B">
        <w:rPr>
          <w:rFonts w:ascii="Palatino Linotype" w:eastAsia="Palatino Linotype" w:hAnsi="Palatino Linotype" w:cs="Palatino Linotype"/>
        </w:rPr>
        <w:t>, que ha sido materia del presente fallo.</w:t>
      </w:r>
    </w:p>
    <w:p w14:paraId="376D951E" w14:textId="77777777" w:rsidR="00863405" w:rsidRPr="00CB269B" w:rsidRDefault="00863405">
      <w:pPr>
        <w:spacing w:after="0" w:line="360" w:lineRule="auto"/>
        <w:ind w:right="49"/>
        <w:jc w:val="both"/>
        <w:rPr>
          <w:rFonts w:ascii="Palatino Linotype" w:eastAsia="Palatino Linotype" w:hAnsi="Palatino Linotype" w:cs="Palatino Linotype"/>
          <w:b/>
        </w:rPr>
      </w:pPr>
    </w:p>
    <w:p w14:paraId="01FE6489"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7639DEF" w14:textId="77777777" w:rsidR="00863405" w:rsidRPr="00CB269B" w:rsidRDefault="00863405">
      <w:pPr>
        <w:spacing w:after="0" w:line="360" w:lineRule="auto"/>
        <w:jc w:val="both"/>
        <w:rPr>
          <w:rFonts w:ascii="Palatino Linotype" w:eastAsia="Palatino Linotype" w:hAnsi="Palatino Linotype" w:cs="Palatino Linotype"/>
        </w:rPr>
      </w:pPr>
    </w:p>
    <w:p w14:paraId="63AE9C36" w14:textId="77777777" w:rsidR="00863405" w:rsidRPr="00CB269B" w:rsidRDefault="00863405">
      <w:pPr>
        <w:spacing w:after="0" w:line="360" w:lineRule="auto"/>
        <w:jc w:val="both"/>
        <w:rPr>
          <w:rFonts w:ascii="Palatino Linotype" w:eastAsia="Palatino Linotype" w:hAnsi="Palatino Linotype" w:cs="Palatino Linotype"/>
        </w:rPr>
      </w:pPr>
    </w:p>
    <w:p w14:paraId="3CABB1EA" w14:textId="77777777" w:rsidR="00863405" w:rsidRPr="00CB269B" w:rsidRDefault="00F0347F">
      <w:pPr>
        <w:spacing w:after="0" w:line="360" w:lineRule="auto"/>
        <w:ind w:right="49"/>
        <w:jc w:val="center"/>
        <w:rPr>
          <w:rFonts w:ascii="Palatino Linotype" w:eastAsia="Palatino Linotype" w:hAnsi="Palatino Linotype" w:cs="Palatino Linotype"/>
          <w:b/>
        </w:rPr>
      </w:pPr>
      <w:r w:rsidRPr="00CB269B">
        <w:rPr>
          <w:rFonts w:ascii="Palatino Linotype" w:eastAsia="Palatino Linotype" w:hAnsi="Palatino Linotype" w:cs="Palatino Linotype"/>
          <w:b/>
        </w:rPr>
        <w:lastRenderedPageBreak/>
        <w:t>III.</w:t>
      </w:r>
      <w:r w:rsidRPr="00CB269B">
        <w:rPr>
          <w:rFonts w:ascii="Palatino Linotype" w:eastAsia="Palatino Linotype" w:hAnsi="Palatino Linotype" w:cs="Palatino Linotype"/>
          <w:b/>
        </w:rPr>
        <w:tab/>
        <w:t>R E S U E L V E:</w:t>
      </w:r>
    </w:p>
    <w:p w14:paraId="21D51FDF" w14:textId="77777777" w:rsidR="00863405" w:rsidRPr="00CB269B" w:rsidRDefault="00863405">
      <w:pPr>
        <w:spacing w:after="0" w:line="360" w:lineRule="auto"/>
        <w:ind w:right="49"/>
        <w:jc w:val="both"/>
        <w:rPr>
          <w:rFonts w:ascii="Palatino Linotype" w:eastAsia="Palatino Linotype" w:hAnsi="Palatino Linotype" w:cs="Palatino Linotype"/>
        </w:rPr>
      </w:pPr>
    </w:p>
    <w:p w14:paraId="08347AE4" w14:textId="77777777" w:rsidR="00863405" w:rsidRPr="00CB269B" w:rsidRDefault="00F0347F">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b/>
        </w:rPr>
        <w:t xml:space="preserve">Primero. </w:t>
      </w:r>
      <w:r w:rsidRPr="00CB269B">
        <w:rPr>
          <w:rFonts w:ascii="Palatino Linotype" w:eastAsia="Palatino Linotype" w:hAnsi="Palatino Linotype" w:cs="Palatino Linotype"/>
        </w:rPr>
        <w:t>Se</w:t>
      </w:r>
      <w:r w:rsidRPr="00CB269B">
        <w:rPr>
          <w:rFonts w:ascii="Palatino Linotype" w:eastAsia="Palatino Linotype" w:hAnsi="Palatino Linotype" w:cs="Palatino Linotype"/>
          <w:b/>
        </w:rPr>
        <w:t xml:space="preserve"> Sobresee </w:t>
      </w:r>
      <w:r w:rsidRPr="00CB269B">
        <w:rPr>
          <w:rFonts w:ascii="Palatino Linotype" w:eastAsia="Palatino Linotype" w:hAnsi="Palatino Linotype" w:cs="Palatino Linotype"/>
        </w:rPr>
        <w:t xml:space="preserve">el recurso de revisión número </w:t>
      </w:r>
      <w:r w:rsidRPr="00CB269B">
        <w:rPr>
          <w:rFonts w:ascii="Palatino Linotype" w:eastAsia="Palatino Linotype" w:hAnsi="Palatino Linotype" w:cs="Palatino Linotype"/>
          <w:b/>
        </w:rPr>
        <w:t xml:space="preserve">08139/INFOEM/IP/RR/2025, </w:t>
      </w:r>
      <w:r w:rsidRPr="00CB269B">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 y Acceso a la Información Pública del Estado de México y Municipios, que lo dejó sin materia en términos del Considerando</w:t>
      </w:r>
      <w:r w:rsidRPr="00CB269B">
        <w:rPr>
          <w:rFonts w:ascii="Palatino Linotype" w:eastAsia="Palatino Linotype" w:hAnsi="Palatino Linotype" w:cs="Palatino Linotype"/>
          <w:b/>
        </w:rPr>
        <w:t xml:space="preserve"> </w:t>
      </w:r>
      <w:r w:rsidRPr="00CB269B">
        <w:rPr>
          <w:rFonts w:ascii="Palatino Linotype" w:eastAsia="Palatino Linotype" w:hAnsi="Palatino Linotype" w:cs="Palatino Linotype"/>
        </w:rPr>
        <w:t>Tercero</w:t>
      </w:r>
      <w:r w:rsidRPr="00CB269B">
        <w:rPr>
          <w:rFonts w:ascii="Palatino Linotype" w:eastAsia="Palatino Linotype" w:hAnsi="Palatino Linotype" w:cs="Palatino Linotype"/>
          <w:b/>
        </w:rPr>
        <w:t xml:space="preserve"> d</w:t>
      </w:r>
      <w:r w:rsidRPr="00CB269B">
        <w:rPr>
          <w:rFonts w:ascii="Palatino Linotype" w:eastAsia="Palatino Linotype" w:hAnsi="Palatino Linotype" w:cs="Palatino Linotype"/>
        </w:rPr>
        <w:t>e la presente resolución.</w:t>
      </w:r>
    </w:p>
    <w:p w14:paraId="605B3E3D" w14:textId="77777777" w:rsidR="00863405" w:rsidRPr="00CB269B" w:rsidRDefault="00863405">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rPr>
      </w:pPr>
      <w:bookmarkStart w:id="2" w:name="_heading=h.1fob9te" w:colFirst="0" w:colLast="0"/>
      <w:bookmarkEnd w:id="2"/>
    </w:p>
    <w:p w14:paraId="276F99F4" w14:textId="77777777" w:rsidR="00863405" w:rsidRPr="00CB269B" w:rsidRDefault="00F0347F">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b/>
        </w:rPr>
        <w:t xml:space="preserve">Segundo. Notifíquese, </w:t>
      </w:r>
      <w:r w:rsidRPr="00CB269B">
        <w:rPr>
          <w:rFonts w:ascii="Palatino Linotype" w:eastAsia="Palatino Linotype" w:hAnsi="Palatino Linotype" w:cs="Palatino Linotype"/>
        </w:rPr>
        <w:t>vía</w:t>
      </w:r>
      <w:r w:rsidRPr="00CB269B">
        <w:rPr>
          <w:rFonts w:ascii="Palatino Linotype" w:eastAsia="Palatino Linotype" w:hAnsi="Palatino Linotype" w:cs="Palatino Linotype"/>
          <w:b/>
        </w:rPr>
        <w:t xml:space="preserve"> SAIMEX,</w:t>
      </w:r>
      <w:r w:rsidRPr="00CB269B">
        <w:rPr>
          <w:rFonts w:ascii="Palatino Linotype" w:eastAsia="Palatino Linotype" w:hAnsi="Palatino Linotype" w:cs="Palatino Linotype"/>
        </w:rPr>
        <w:t xml:space="preserve"> al Responsable de la Unidad de Transparencia del </w:t>
      </w:r>
      <w:r w:rsidRPr="00CB269B">
        <w:rPr>
          <w:rFonts w:ascii="Palatino Linotype" w:eastAsia="Palatino Linotype" w:hAnsi="Palatino Linotype" w:cs="Palatino Linotype"/>
          <w:b/>
        </w:rPr>
        <w:t>Sujeto Obligado</w:t>
      </w:r>
      <w:r w:rsidRPr="00CB269B">
        <w:rPr>
          <w:rFonts w:ascii="Palatino Linotype" w:eastAsia="Palatino Linotype" w:hAnsi="Palatino Linotype" w:cs="Palatino Linotype"/>
        </w:rPr>
        <w:t xml:space="preserve"> la presente resolución, para su conocimiento.</w:t>
      </w:r>
    </w:p>
    <w:p w14:paraId="7F71FFC7" w14:textId="77777777" w:rsidR="00863405" w:rsidRPr="00CB269B" w:rsidRDefault="00863405">
      <w:pPr>
        <w:pBdr>
          <w:top w:val="nil"/>
          <w:left w:val="nil"/>
          <w:bottom w:val="nil"/>
          <w:right w:val="nil"/>
          <w:between w:val="nil"/>
        </w:pBdr>
        <w:tabs>
          <w:tab w:val="left" w:pos="7936"/>
        </w:tabs>
        <w:spacing w:after="0" w:line="360" w:lineRule="auto"/>
        <w:jc w:val="both"/>
        <w:rPr>
          <w:rFonts w:ascii="Palatino Linotype" w:eastAsia="Palatino Linotype" w:hAnsi="Palatino Linotype" w:cs="Palatino Linotype"/>
        </w:rPr>
      </w:pPr>
    </w:p>
    <w:p w14:paraId="536E62D6" w14:textId="77777777" w:rsidR="00863405" w:rsidRPr="00CB269B" w:rsidRDefault="00F0347F">
      <w:pPr>
        <w:spacing w:after="0" w:line="360" w:lineRule="auto"/>
        <w:jc w:val="both"/>
        <w:rPr>
          <w:rFonts w:ascii="Palatino Linotype" w:eastAsia="Palatino Linotype" w:hAnsi="Palatino Linotype" w:cs="Palatino Linotype"/>
        </w:rPr>
      </w:pPr>
      <w:r w:rsidRPr="00CB269B">
        <w:rPr>
          <w:rFonts w:ascii="Palatino Linotype" w:eastAsia="Palatino Linotype" w:hAnsi="Palatino Linotype" w:cs="Palatino Linotype"/>
          <w:b/>
        </w:rPr>
        <w:t xml:space="preserve">Tercero. Notifíquese, </w:t>
      </w:r>
      <w:r w:rsidRPr="00CB269B">
        <w:rPr>
          <w:rFonts w:ascii="Palatino Linotype" w:eastAsia="Palatino Linotype" w:hAnsi="Palatino Linotype" w:cs="Palatino Linotype"/>
        </w:rPr>
        <w:t>vía</w:t>
      </w:r>
      <w:r w:rsidRPr="00CB269B">
        <w:rPr>
          <w:rFonts w:ascii="Palatino Linotype" w:eastAsia="Palatino Linotype" w:hAnsi="Palatino Linotype" w:cs="Palatino Linotype"/>
          <w:b/>
        </w:rPr>
        <w:t xml:space="preserve"> SAIMEX</w:t>
      </w:r>
      <w:r w:rsidRPr="00CB269B">
        <w:rPr>
          <w:rFonts w:ascii="Palatino Linotype" w:eastAsia="Palatino Linotype" w:hAnsi="Palatino Linotype" w:cs="Palatino Linotype"/>
        </w:rPr>
        <w:t>, a</w:t>
      </w:r>
      <w:r w:rsidRPr="00CB269B">
        <w:rPr>
          <w:rFonts w:ascii="Palatino Linotype" w:eastAsia="Palatino Linotype" w:hAnsi="Palatino Linotype" w:cs="Palatino Linotype"/>
          <w:b/>
        </w:rPr>
        <w:t xml:space="preserve"> </w:t>
      </w:r>
      <w:r w:rsidRPr="00CB269B">
        <w:rPr>
          <w:rFonts w:ascii="Palatino Linotype" w:eastAsia="Palatino Linotype" w:hAnsi="Palatino Linotype" w:cs="Palatino Linotype"/>
        </w:rPr>
        <w:t xml:space="preserve">la parte </w:t>
      </w:r>
      <w:r w:rsidRPr="00CB269B">
        <w:rPr>
          <w:rFonts w:ascii="Palatino Linotype" w:eastAsia="Palatino Linotype" w:hAnsi="Palatino Linotype" w:cs="Palatino Linotype"/>
          <w:b/>
        </w:rPr>
        <w:t>Recurrente</w:t>
      </w:r>
      <w:r w:rsidRPr="00CB269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4CD29B29" w14:textId="77777777" w:rsidR="00863405" w:rsidRPr="00CB269B" w:rsidRDefault="00863405">
      <w:pPr>
        <w:spacing w:after="0" w:line="360" w:lineRule="auto"/>
        <w:ind w:right="49"/>
        <w:jc w:val="both"/>
        <w:rPr>
          <w:rFonts w:ascii="Palatino Linotype" w:eastAsia="Palatino Linotype" w:hAnsi="Palatino Linotype" w:cs="Palatino Linotype"/>
        </w:rPr>
      </w:pPr>
    </w:p>
    <w:p w14:paraId="4697518E" w14:textId="77777777" w:rsidR="00863405" w:rsidRPr="00F0347F" w:rsidRDefault="00F0347F">
      <w:pPr>
        <w:spacing w:after="0" w:line="360" w:lineRule="auto"/>
        <w:ind w:right="49"/>
        <w:jc w:val="both"/>
        <w:rPr>
          <w:rFonts w:ascii="Palatino Linotype" w:eastAsia="Palatino Linotype" w:hAnsi="Palatino Linotype" w:cs="Palatino Linotype"/>
        </w:rPr>
      </w:pPr>
      <w:r w:rsidRPr="00CB269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r w:rsidRPr="00F0347F">
        <w:rPr>
          <w:rFonts w:ascii="Palatino Linotype" w:eastAsia="Palatino Linotype" w:hAnsi="Palatino Linotype" w:cs="Palatino Linotype"/>
        </w:rPr>
        <w:t xml:space="preserve"> </w:t>
      </w:r>
    </w:p>
    <w:p w14:paraId="36209060" w14:textId="77777777" w:rsidR="00863405" w:rsidRPr="00F0347F" w:rsidRDefault="00863405">
      <w:pPr>
        <w:spacing w:after="0" w:line="360" w:lineRule="auto"/>
        <w:ind w:right="49"/>
        <w:jc w:val="both"/>
        <w:rPr>
          <w:rFonts w:ascii="Palatino Linotype" w:eastAsia="Palatino Linotype" w:hAnsi="Palatino Linotype" w:cs="Palatino Linotype"/>
        </w:rPr>
      </w:pPr>
    </w:p>
    <w:p w14:paraId="1A4F79E9" w14:textId="77777777" w:rsidR="00863405" w:rsidRPr="00F0347F" w:rsidRDefault="00863405">
      <w:pPr>
        <w:spacing w:after="0" w:line="360" w:lineRule="auto"/>
        <w:ind w:right="49"/>
        <w:jc w:val="both"/>
        <w:rPr>
          <w:rFonts w:ascii="Palatino Linotype" w:eastAsia="Palatino Linotype" w:hAnsi="Palatino Linotype" w:cs="Palatino Linotype"/>
        </w:rPr>
      </w:pPr>
      <w:bookmarkStart w:id="3" w:name="_heading=h.2et92p0" w:colFirst="0" w:colLast="0"/>
      <w:bookmarkEnd w:id="3"/>
    </w:p>
    <w:p w14:paraId="76049A9C" w14:textId="77777777" w:rsidR="00F0347F" w:rsidRPr="00F0347F" w:rsidRDefault="00F0347F">
      <w:pPr>
        <w:spacing w:after="0" w:line="360" w:lineRule="auto"/>
        <w:ind w:right="49"/>
        <w:jc w:val="both"/>
        <w:rPr>
          <w:rFonts w:ascii="Palatino Linotype" w:eastAsia="Palatino Linotype" w:hAnsi="Palatino Linotype" w:cs="Palatino Linotype"/>
        </w:rPr>
      </w:pPr>
    </w:p>
    <w:p w14:paraId="29AC5101" w14:textId="77777777" w:rsidR="00F0347F" w:rsidRPr="00F0347F" w:rsidRDefault="00F0347F">
      <w:pPr>
        <w:spacing w:after="0" w:line="360" w:lineRule="auto"/>
        <w:ind w:right="49"/>
        <w:jc w:val="both"/>
        <w:rPr>
          <w:rFonts w:ascii="Palatino Linotype" w:eastAsia="Palatino Linotype" w:hAnsi="Palatino Linotype" w:cs="Palatino Linotype"/>
        </w:rPr>
      </w:pPr>
    </w:p>
    <w:p w14:paraId="52AC506E" w14:textId="77777777" w:rsidR="00F0347F" w:rsidRPr="00F0347F" w:rsidRDefault="00F0347F">
      <w:pPr>
        <w:spacing w:after="0" w:line="360" w:lineRule="auto"/>
        <w:ind w:right="49"/>
        <w:jc w:val="both"/>
        <w:rPr>
          <w:rFonts w:ascii="Palatino Linotype" w:eastAsia="Palatino Linotype" w:hAnsi="Palatino Linotype" w:cs="Palatino Linotype"/>
        </w:rPr>
      </w:pPr>
    </w:p>
    <w:sectPr w:rsidR="00F0347F" w:rsidRPr="00F0347F">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9FC3" w14:textId="77777777" w:rsidR="008B6A4D" w:rsidRDefault="008B6A4D">
      <w:pPr>
        <w:spacing w:after="0" w:line="240" w:lineRule="auto"/>
      </w:pPr>
      <w:r>
        <w:separator/>
      </w:r>
    </w:p>
  </w:endnote>
  <w:endnote w:type="continuationSeparator" w:id="0">
    <w:p w14:paraId="26DEEECF" w14:textId="77777777" w:rsidR="008B6A4D" w:rsidRDefault="008B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2D57" w14:textId="77777777" w:rsidR="00863405" w:rsidRDefault="00F0347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269B">
      <w:rPr>
        <w:b/>
        <w:noProof/>
        <w:color w:val="000000"/>
        <w:sz w:val="24"/>
        <w:szCs w:val="24"/>
      </w:rPr>
      <w:t>11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269B">
      <w:rPr>
        <w:b/>
        <w:noProof/>
        <w:color w:val="000000"/>
        <w:sz w:val="24"/>
        <w:szCs w:val="24"/>
      </w:rPr>
      <w:t>13</w:t>
    </w:r>
    <w:r>
      <w:rPr>
        <w:b/>
        <w:color w:val="000000"/>
        <w:sz w:val="24"/>
        <w:szCs w:val="24"/>
      </w:rPr>
      <w:fldChar w:fldCharType="end"/>
    </w:r>
  </w:p>
  <w:p w14:paraId="4216559F" w14:textId="77777777" w:rsidR="00863405" w:rsidRDefault="0086340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70D4" w14:textId="77777777" w:rsidR="00863405" w:rsidRDefault="00F0347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269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269B">
      <w:rPr>
        <w:b/>
        <w:noProof/>
        <w:color w:val="000000"/>
        <w:sz w:val="24"/>
        <w:szCs w:val="24"/>
      </w:rPr>
      <w:t>13</w:t>
    </w:r>
    <w:r>
      <w:rPr>
        <w:b/>
        <w:color w:val="000000"/>
        <w:sz w:val="24"/>
        <w:szCs w:val="24"/>
      </w:rPr>
      <w:fldChar w:fldCharType="end"/>
    </w:r>
  </w:p>
  <w:p w14:paraId="6B372CAF" w14:textId="77777777" w:rsidR="00863405" w:rsidRDefault="0086340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5475" w14:textId="77777777" w:rsidR="008B6A4D" w:rsidRDefault="008B6A4D">
      <w:pPr>
        <w:spacing w:after="0" w:line="240" w:lineRule="auto"/>
      </w:pPr>
      <w:r>
        <w:separator/>
      </w:r>
    </w:p>
  </w:footnote>
  <w:footnote w:type="continuationSeparator" w:id="0">
    <w:p w14:paraId="6447B703" w14:textId="77777777" w:rsidR="008B6A4D" w:rsidRDefault="008B6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BA02" w14:textId="77777777" w:rsidR="00863405" w:rsidRDefault="00F0347F">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0674C129" wp14:editId="48230003">
          <wp:simplePos x="0" y="0"/>
          <wp:positionH relativeFrom="column">
            <wp:posOffset>-716278</wp:posOffset>
          </wp:positionH>
          <wp:positionV relativeFrom="paragraph">
            <wp:posOffset>-401953</wp:posOffset>
          </wp:positionV>
          <wp:extent cx="7809876" cy="10165823"/>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863405" w14:paraId="506A7B95" w14:textId="77777777">
      <w:tc>
        <w:tcPr>
          <w:tcW w:w="2551" w:type="dxa"/>
          <w:vAlign w:val="center"/>
        </w:tcPr>
        <w:p w14:paraId="0140B74C" w14:textId="77777777" w:rsidR="00863405" w:rsidRDefault="00F03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AC4868C" w14:textId="77777777" w:rsidR="00863405" w:rsidRDefault="00F03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08139/INFOEM/IP/RR/2025</w:t>
          </w:r>
        </w:p>
      </w:tc>
    </w:tr>
    <w:tr w:rsidR="00863405" w14:paraId="21CECBFD" w14:textId="77777777">
      <w:trPr>
        <w:trHeight w:val="217"/>
      </w:trPr>
      <w:tc>
        <w:tcPr>
          <w:tcW w:w="2551" w:type="dxa"/>
          <w:vAlign w:val="center"/>
        </w:tcPr>
        <w:p w14:paraId="2013D67D" w14:textId="77777777" w:rsidR="00863405" w:rsidRDefault="00F03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41842FE" w14:textId="77777777" w:rsidR="00863405" w:rsidRDefault="00F0347F">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863405" w14:paraId="5B5876E0" w14:textId="77777777">
      <w:tc>
        <w:tcPr>
          <w:tcW w:w="2551" w:type="dxa"/>
          <w:vAlign w:val="center"/>
        </w:tcPr>
        <w:p w14:paraId="157467DA" w14:textId="77777777" w:rsidR="00863405" w:rsidRDefault="00F03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DC0DFDA" w14:textId="77777777" w:rsidR="00863405" w:rsidRDefault="00F03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BD5508E" w14:textId="77777777" w:rsidR="00863405" w:rsidRDefault="00863405">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27A5" w14:textId="77777777" w:rsidR="00863405" w:rsidRDefault="00F0347F">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1C43CD3" wp14:editId="605E13F0">
          <wp:simplePos x="0" y="0"/>
          <wp:positionH relativeFrom="column">
            <wp:posOffset>-692149</wp:posOffset>
          </wp:positionH>
          <wp:positionV relativeFrom="paragraph">
            <wp:posOffset>-248284</wp:posOffset>
          </wp:positionV>
          <wp:extent cx="7809865" cy="1016571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863405" w14:paraId="5C4FDCFF" w14:textId="77777777">
      <w:tc>
        <w:tcPr>
          <w:tcW w:w="2551" w:type="dxa"/>
          <w:vAlign w:val="center"/>
        </w:tcPr>
        <w:p w14:paraId="7DF4BE07" w14:textId="77777777" w:rsidR="00863405" w:rsidRDefault="00F03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12B119F" w14:textId="77777777" w:rsidR="00863405" w:rsidRDefault="00F03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08139/INFOEM/IP/RR/2025</w:t>
          </w:r>
        </w:p>
      </w:tc>
    </w:tr>
    <w:tr w:rsidR="00863405" w14:paraId="02D7881B" w14:textId="77777777">
      <w:tc>
        <w:tcPr>
          <w:tcW w:w="2551" w:type="dxa"/>
          <w:vAlign w:val="center"/>
        </w:tcPr>
        <w:p w14:paraId="7EDE137A" w14:textId="77777777" w:rsidR="00863405" w:rsidRDefault="00F0347F">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p w14:paraId="289E1E4A" w14:textId="77777777" w:rsidR="00863405" w:rsidRDefault="00863405">
          <w:pPr>
            <w:pBdr>
              <w:top w:val="nil"/>
              <w:left w:val="nil"/>
              <w:bottom w:val="nil"/>
              <w:right w:val="nil"/>
              <w:between w:val="nil"/>
            </w:pBdr>
            <w:tabs>
              <w:tab w:val="center" w:pos="4419"/>
              <w:tab w:val="right" w:pos="8838"/>
            </w:tabs>
            <w:rPr>
              <w:rFonts w:ascii="Palatino Linotype" w:eastAsia="Palatino Linotype" w:hAnsi="Palatino Linotype" w:cs="Palatino Linotype"/>
              <w:b/>
            </w:rPr>
          </w:pPr>
        </w:p>
      </w:tc>
      <w:tc>
        <w:tcPr>
          <w:tcW w:w="3052" w:type="dxa"/>
          <w:vAlign w:val="center"/>
        </w:tcPr>
        <w:p w14:paraId="54FCD72C" w14:textId="77777777" w:rsidR="00863405" w:rsidRDefault="008634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r>
    <w:tr w:rsidR="00863405" w14:paraId="70892DF3" w14:textId="77777777">
      <w:trPr>
        <w:trHeight w:val="152"/>
      </w:trPr>
      <w:tc>
        <w:tcPr>
          <w:tcW w:w="2551" w:type="dxa"/>
          <w:vAlign w:val="center"/>
        </w:tcPr>
        <w:p w14:paraId="218D3479" w14:textId="77777777" w:rsidR="00863405" w:rsidRDefault="00F0347F">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122D66F" w14:textId="77777777" w:rsidR="00863405" w:rsidRDefault="00F0347F">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863405" w14:paraId="0D55FD3E" w14:textId="77777777">
      <w:tc>
        <w:tcPr>
          <w:tcW w:w="2551" w:type="dxa"/>
          <w:vAlign w:val="center"/>
        </w:tcPr>
        <w:p w14:paraId="59B4A402" w14:textId="77777777" w:rsidR="00863405" w:rsidRDefault="00F03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204CDC0" w14:textId="77777777" w:rsidR="00863405" w:rsidRDefault="00F03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6E0F9BC" w14:textId="77777777" w:rsidR="00863405" w:rsidRDefault="00F0347F">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406A3"/>
    <w:multiLevelType w:val="multilevel"/>
    <w:tmpl w:val="A614CD18"/>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4B05495"/>
    <w:multiLevelType w:val="multilevel"/>
    <w:tmpl w:val="447EFD1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8785697">
    <w:abstractNumId w:val="1"/>
  </w:num>
  <w:num w:numId="2" w16cid:durableId="72221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05"/>
    <w:rsid w:val="00070ABB"/>
    <w:rsid w:val="000D11C7"/>
    <w:rsid w:val="00863405"/>
    <w:rsid w:val="008B6A4D"/>
    <w:rsid w:val="00CB269B"/>
    <w:rsid w:val="00CC34BE"/>
    <w:rsid w:val="00F034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67A9"/>
  <w15:docId w15:val="{B796829E-047B-40C9-A936-E0BC62D4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5" w:type="dxa"/>
        <w:left w:w="115" w:type="dxa"/>
        <w:bottom w:w="15" w:type="dxa"/>
        <w:right w:w="115" w:type="dxa"/>
      </w:tblCellMar>
    </w:tblPr>
  </w:style>
  <w:style w:type="table" w:customStyle="1" w:styleId="a1">
    <w:basedOn w:val="TableNormal2"/>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1"/>
    <w:pPr>
      <w:spacing w:after="0" w:line="240" w:lineRule="auto"/>
    </w:pPr>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1A212E"/>
    <w:pPr>
      <w:numPr>
        <w:numId w:val="2"/>
      </w:numPr>
      <w:spacing w:after="0" w:line="240" w:lineRule="auto"/>
      <w:contextualSpacing/>
    </w:pPr>
    <w:rPr>
      <w:rFonts w:ascii="Times New Roman" w:hAnsi="Times New Roman"/>
      <w:sz w:val="24"/>
      <w:szCs w:val="24"/>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5">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DSE33/9TkM26Jcv60nFVUKwew==">CgMxLjAyCWguM3pueXNoNzIJaC4zMGowemxsMgloLjFmb2I5dGUyCWguMmV0OTJwMDgAciExN2VsQk0tcXJVYS1HNUgxV0d2dUNxbWJQQncyVHZsNXk=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3029</Words>
  <Characters>15561</Characters>
  <Application>Microsoft Office Word</Application>
  <DocSecurity>0</DocSecurity>
  <Lines>303</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2025-09-05T19:50:00Z</cp:lastPrinted>
  <dcterms:created xsi:type="dcterms:W3CDTF">2025-10-03T18:49:00Z</dcterms:created>
  <dcterms:modified xsi:type="dcterms:W3CDTF">2025-10-03T18:49:00Z</dcterms:modified>
</cp:coreProperties>
</file>