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cuatro de junio de dos mil veinticinco.</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03029/INFOEM/IP/RR/2025</w:t>
      </w:r>
      <w:r w:rsidDel="00000000" w:rsidR="00000000" w:rsidRPr="00000000">
        <w:rPr>
          <w:rFonts w:ascii="Palatino Linotype" w:cs="Palatino Linotype" w:eastAsia="Palatino Linotype" w:hAnsi="Palatino Linotype"/>
          <w:sz w:val="22"/>
          <w:szCs w:val="22"/>
          <w:rtl w:val="0"/>
        </w:rPr>
        <w:t xml:space="preserve">, por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sz w:val="22"/>
          <w:szCs w:val="22"/>
          <w:rtl w:val="0"/>
        </w:rPr>
        <w:t xml:space="preserve"> una persona usuaria del Sistema de Acceso a la Información Mexiquense,</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Ayuntamiento de Calimaya,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sz w:val="22"/>
          <w:szCs w:val="22"/>
          <w:rtl w:val="0"/>
        </w:rPr>
        <w:t xml:space="preserve">veintisiete de febrero de dos mil veinticinco</w:t>
      </w:r>
      <w:r w:rsidDel="00000000" w:rsidR="00000000" w:rsidRPr="00000000">
        <w:rPr>
          <w:rFonts w:ascii="Palatino Linotype" w:cs="Palatino Linotype" w:eastAsia="Palatino Linotype" w:hAnsi="Palatino Linotype"/>
          <w:sz w:val="22"/>
          <w:szCs w:val="22"/>
          <w:rtl w:val="0"/>
        </w:rPr>
        <w:t xml:space="preserve">, el Recurrente formuló una solicitud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00135/CALIMAYA/IP/2025,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“¿Cuantos familiares con parentesco consanguíneo hasta el cuarto grado, por afinidad o civil de la Titular del órgano de Control Interno del Ayuntamiento de Calimaya trabajan en, trabajan en las diferentes áreas del Ayuntamiento?” (Sic)</w:t>
      </w:r>
    </w:p>
    <w:p w:rsidR="00000000" w:rsidDel="00000000" w:rsidP="00000000" w:rsidRDefault="00000000" w:rsidRPr="00000000" w14:paraId="0000000A">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trece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ESTIMADO SOLICITANTE: EN ATENCIÓN A SU SOLICITUD DE INFORMACIÓN CON NÚMERO DE FOLIO 00135/CALIMAYA/IP/2025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LE OFICIO NÚMERO PMC/DT/CRH/265/2025 (COORDINACIÓN DE RECURSOS HUMANOS), SE DIÓ RESPUESTA A LA SOLICITUD CON NÚMERO DE FOLIO 00135/CALIMAYA/IP/2025, SE ADJUNTAN EL OFICIO DE RESPUESTA PARA MAYOR REFERENCIA.”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rsidR="00000000" w:rsidDel="00000000" w:rsidP="00000000" w:rsidRDefault="00000000" w:rsidRPr="00000000" w14:paraId="0000001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KAREN ALONDRA MEJÍA GUARDIAN” (Sic)</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El Sujeto Obligado adjuntó el documento electrónico siguiente: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veintiocho de febrero de dos mil veinticinco, signado por la Coordinadora de Recursos Humanos, mediante el cual informó que, se desconoce cualquier lazo de </w:t>
      </w:r>
      <w:r w:rsidDel="00000000" w:rsidR="00000000" w:rsidRPr="00000000">
        <w:rPr>
          <w:rFonts w:ascii="Palatino Linotype" w:cs="Palatino Linotype" w:eastAsia="Palatino Linotype" w:hAnsi="Palatino Linotype"/>
          <w:sz w:val="22"/>
          <w:szCs w:val="22"/>
          <w:rtl w:val="0"/>
        </w:rPr>
        <w:t xml:space="preserve">consanguinidad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existente del personal del Órgano Interno de Control, aunado a que no se tiene la facultad de exigir algún documento comprobatorio de parentesco, asimismo informa que, del Manual de Procedimientos de la Coordinación de Recursos Humanos no se desprende la obligación de que se deba conocer o saber si las personas candidatas o aspirantes a empleos, cargos o comisiones del ayuntamiento de Calimaya sean familiares con parentesco consanguíneo por afinidad o filiación en determinado grado.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quince de marzo del año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sin embargo, por tratarse de días inhábiles se tuvo por presentada el </w:t>
      </w:r>
      <w:r w:rsidDel="00000000" w:rsidR="00000000" w:rsidRPr="00000000">
        <w:rPr>
          <w:rFonts w:ascii="Palatino Linotype" w:cs="Palatino Linotype" w:eastAsia="Palatino Linotype" w:hAnsi="Palatino Linotype"/>
          <w:b w:val="1"/>
          <w:sz w:val="22"/>
          <w:szCs w:val="22"/>
          <w:rtl w:val="0"/>
        </w:rPr>
        <w:t xml:space="preserve">dieciocho de marzo de dos mil veinticinco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745"/>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“la respuesta dada a la solicitud de información”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720"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left="720" w:right="902" w:firstLine="0"/>
        <w:jc w:val="both"/>
        <w:rPr>
          <w:rFonts w:ascii="Palatino Linotype" w:cs="Palatino Linotype" w:eastAsia="Palatino Linotype" w:hAnsi="Palatino Linotype"/>
          <w:sz w:val="22"/>
          <w:szCs w:val="22"/>
        </w:rPr>
      </w:pPr>
      <w:bookmarkStart w:colFirst="0" w:colLast="0" w:name="_heading=h.30j0zll" w:id="1"/>
      <w:bookmarkEnd w:id="1"/>
      <w:r w:rsidDel="00000000" w:rsidR="00000000" w:rsidRPr="00000000">
        <w:rPr>
          <w:rFonts w:ascii="Palatino Linotype" w:cs="Palatino Linotype" w:eastAsia="Palatino Linotype" w:hAnsi="Palatino Linotype"/>
          <w:b w:val="1"/>
          <w:sz w:val="22"/>
          <w:szCs w:val="22"/>
          <w:rtl w:val="0"/>
        </w:rPr>
        <w:t xml:space="preserve">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“Su respuesta no esta fundada en derecho, toda autoridad debe observar la ley en sus actos y en consecuencia observar si existe parentesco de cualquier empleado con su director o con algún integrante de cabildo.” (Sic)</w:t>
      </w:r>
      <w:r w:rsidDel="00000000" w:rsidR="00000000" w:rsidRPr="00000000">
        <w:rPr>
          <w:rtl w:val="0"/>
        </w:rPr>
      </w:r>
    </w:p>
    <w:p w:rsidR="00000000" w:rsidDel="00000000" w:rsidP="00000000" w:rsidRDefault="00000000" w:rsidRPr="00000000" w14:paraId="0000001C">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adjuntó a su medio de impugnación el documento que el Sujeto Obligado proporcionó en respuesta. </w:t>
      </w:r>
    </w:p>
    <w:p w:rsidR="00000000" w:rsidDel="00000000" w:rsidP="00000000" w:rsidRDefault="00000000" w:rsidRPr="00000000" w14:paraId="0000001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2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Con fecha</w:t>
      </w:r>
      <w:r w:rsidDel="00000000" w:rsidR="00000000" w:rsidRPr="00000000">
        <w:rPr>
          <w:rFonts w:ascii="Palatino Linotype" w:cs="Palatino Linotype" w:eastAsia="Palatino Linotype" w:hAnsi="Palatino Linotype"/>
          <w:b w:val="1"/>
          <w:sz w:val="22"/>
          <w:szCs w:val="22"/>
          <w:rtl w:val="0"/>
        </w:rPr>
        <w:t xml:space="preserve"> veintiuno de marzo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bookmarkStart w:colFirst="0" w:colLast="0" w:name="_heading=h.2s8eyo1" w:id="2"/>
      <w:bookmarkEnd w:id="2"/>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 plazo.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veintiocho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2">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3">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4">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F">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0">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de</w:t>
      </w:r>
      <w:r w:rsidDel="00000000" w:rsidR="00000000" w:rsidRPr="00000000">
        <w:rPr>
          <w:rFonts w:ascii="Palatino Linotype" w:cs="Palatino Linotype" w:eastAsia="Palatino Linotype" w:hAnsi="Palatino Linotype"/>
          <w:b w:val="1"/>
          <w:sz w:val="22"/>
          <w:szCs w:val="22"/>
          <w:rtl w:val="0"/>
        </w:rPr>
        <w:t xml:space="preserve"> veintiocho de mayo de dos mil veinticinco,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49">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bookmarkStart w:colFirst="0" w:colLast="0" w:name="_heading=h.tyjcwt" w:id="3"/>
      <w:bookmarkEnd w:id="3"/>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5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diez de </w:t>
      </w:r>
      <w:r w:rsidDel="00000000" w:rsidR="00000000" w:rsidRPr="00000000">
        <w:rPr>
          <w:rFonts w:ascii="Palatino Linotype" w:cs="Palatino Linotype" w:eastAsia="Palatino Linotype" w:hAnsi="Palatino Linotype"/>
          <w:b w:val="1"/>
          <w:sz w:val="22"/>
          <w:szCs w:val="22"/>
          <w:rtl w:val="0"/>
        </w:rPr>
        <w:t xml:space="preserve">trece de marzo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quince de marzo de dos mil veinticinco</w:t>
      </w:r>
      <w:r w:rsidDel="00000000" w:rsidR="00000000" w:rsidRPr="00000000">
        <w:rPr>
          <w:rFonts w:ascii="Palatino Linotype" w:cs="Palatino Linotype" w:eastAsia="Palatino Linotype" w:hAnsi="Palatino Linotype"/>
          <w:sz w:val="22"/>
          <w:szCs w:val="22"/>
          <w:rtl w:val="0"/>
        </w:rPr>
        <w:t xml:space="preserve">, pero por corresponder a día inhábil se registró el </w:t>
      </w:r>
      <w:r w:rsidDel="00000000" w:rsidR="00000000" w:rsidRPr="00000000">
        <w:rPr>
          <w:rFonts w:ascii="Palatino Linotype" w:cs="Palatino Linotype" w:eastAsia="Palatino Linotype" w:hAnsi="Palatino Linotype"/>
          <w:b w:val="1"/>
          <w:sz w:val="22"/>
          <w:szCs w:val="22"/>
          <w:rtl w:val="0"/>
        </w:rPr>
        <w:t xml:space="preserve">dieciocho de marzo del año dos mil veinticinco</w:t>
      </w:r>
      <w:r w:rsidDel="00000000" w:rsidR="00000000" w:rsidRPr="00000000">
        <w:rPr>
          <w:rFonts w:ascii="Palatino Linotype" w:cs="Palatino Linotype" w:eastAsia="Palatino Linotype" w:hAnsi="Palatino Linotype"/>
          <w:sz w:val="22"/>
          <w:szCs w:val="22"/>
          <w:rtl w:val="0"/>
        </w:rPr>
        <w:t xml:space="preserve">; esto es, al séptimo día hábil siguiente al que se tuvo conocimiento de la respuesta.</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proporcionó un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A">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 </w:t>
      </w:r>
    </w:p>
    <w:p w:rsidR="00000000" w:rsidDel="00000000" w:rsidP="00000000" w:rsidRDefault="00000000" w:rsidRPr="00000000" w14:paraId="0000005B">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improcedencia y sobreseimiento del recurso de revisión.</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r w:rsidDel="00000000" w:rsidR="00000000" w:rsidRPr="00000000">
        <w:rPr>
          <w:rtl w:val="0"/>
        </w:rPr>
      </w:r>
    </w:p>
    <w:p w:rsidR="00000000" w:rsidDel="00000000" w:rsidP="00000000" w:rsidRDefault="00000000" w:rsidRPr="00000000" w14:paraId="0000005E">
      <w:pPr>
        <w:spacing w:line="360" w:lineRule="auto"/>
        <w:jc w:val="both"/>
        <w:rPr>
          <w:sz w:val="22"/>
          <w:szCs w:val="22"/>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60">
      <w:pPr>
        <w:spacing w:line="360" w:lineRule="auto"/>
        <w:jc w:val="both"/>
        <w:rPr>
          <w:sz w:val="22"/>
          <w:szCs w:val="22"/>
        </w:rPr>
      </w:pPr>
      <w:r w:rsidDel="00000000" w:rsidR="00000000" w:rsidRPr="00000000">
        <w:rPr>
          <w:rtl w:val="0"/>
        </w:rPr>
      </w:r>
    </w:p>
    <w:p w:rsidR="00000000" w:rsidDel="00000000" w:rsidP="00000000" w:rsidRDefault="00000000" w:rsidRPr="00000000" w14:paraId="0000006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6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es de recordar que se solicitó conocer </w:t>
      </w:r>
      <w:r w:rsidDel="00000000" w:rsidR="00000000" w:rsidRPr="00000000">
        <w:rPr>
          <w:rFonts w:ascii="Palatino Linotype" w:cs="Palatino Linotype" w:eastAsia="Palatino Linotype" w:hAnsi="Palatino Linotype"/>
          <w:b w:val="1"/>
          <w:sz w:val="22"/>
          <w:szCs w:val="22"/>
          <w:rtl w:val="0"/>
        </w:rPr>
        <w:t xml:space="preserve">cuántos familiares con parentesco hasta el cuarto grado, por afinidad o civil de la Titular del Órgano Interno de Control trabajan en las diferentes</w:t>
      </w:r>
      <w:r w:rsidDel="00000000" w:rsidR="00000000" w:rsidRPr="00000000">
        <w:rPr>
          <w:rFonts w:ascii="Palatino Linotype" w:cs="Palatino Linotype" w:eastAsia="Palatino Linotype" w:hAnsi="Palatino Linotype"/>
          <w:sz w:val="22"/>
          <w:szCs w:val="22"/>
          <w:rtl w:val="0"/>
        </w:rPr>
        <w:t xml:space="preserve"> áreas del Ayuntamiento. </w:t>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Coordinadora de Recursos Humanos informó que, se desconoce cualquier lazo de consanguineidad existente del personal del Órgano Interno de Control, aunado a que no se tiene la facultad de exigir algún documento comprobatorio de parentesco, asimismo, informa que, del Manual de Procedimientos de la Coordinación de Recursos Humanos no se desprende la obligación de que se deba conocer o saber si las personas candidatas o aspirantes a empleos, cargos o comisiones del ayuntamiento de Calimaya sean familiares con parentesco consanguíneo por afinidad o filiación en determinado grado. </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la respuesta no se encontraba fundada, debido a que toda autoridad debe observar si existe parentesco de cualquier empleado con su director o con algún integrante de Cabildo. </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partes fueron omisas en manifestar al respecto.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Señalado lo anterior, es de mencionar que del análisis de la solicitud de información, se advierte que, se trata del ejercicio del derecho de petición, toda vez que la parte Recurrente presentó una interrogante cuya finalidad consiste en obligar a la autoridad a que actúe en el sentido de contestar lo solicitado, situación que no es factible atenderse vía acceso a la información pública, toda vez, que la atención a dichos cuestionamientos no se pueden colmar con documentos que obren en los archivos del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el derecho de toda persona a ser escuchado por quienes ejercen el poder público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D">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Miguel Carbonell en su libro </w:t>
      </w:r>
      <w:r w:rsidDel="00000000" w:rsidR="00000000" w:rsidRPr="00000000">
        <w:rPr>
          <w:rFonts w:ascii="Palatino Linotype" w:cs="Palatino Linotype" w:eastAsia="Palatino Linotype" w:hAnsi="Palatino Linotype"/>
          <w:i w:val="1"/>
          <w:sz w:val="22"/>
          <w:szCs w:val="22"/>
          <w:rtl w:val="0"/>
        </w:rPr>
        <w:t xml:space="preserve">“Los derechos fundamentales” </w:t>
      </w:r>
      <w:r w:rsidDel="00000000" w:rsidR="00000000" w:rsidRPr="00000000">
        <w:rPr>
          <w:rFonts w:ascii="Palatino Linotype" w:cs="Palatino Linotype" w:eastAsia="Palatino Linotype" w:hAnsi="Palatino Linotype"/>
          <w:sz w:val="22"/>
          <w:szCs w:val="22"/>
          <w:rtl w:val="0"/>
        </w:rPr>
        <w:t xml:space="preserve">refiere que el derecho de petición se ha entendido de dos distintitas maneras, a saber: como un derecho fundamental de participación política ya que permite a los particulares trasladar a las autoridades sus </w:t>
      </w:r>
      <w:r w:rsidDel="00000000" w:rsidR="00000000" w:rsidRPr="00000000">
        <w:rPr>
          <w:rFonts w:ascii="Palatino Linotype" w:cs="Palatino Linotype" w:eastAsia="Palatino Linotype" w:hAnsi="Palatino Linotype"/>
          <w:b w:val="1"/>
          <w:sz w:val="22"/>
          <w:szCs w:val="22"/>
          <w:rtl w:val="0"/>
        </w:rPr>
        <w:t xml:space="preserve">inquietudes, quejas</w:t>
      </w:r>
      <w:r w:rsidDel="00000000" w:rsidR="00000000" w:rsidRPr="00000000">
        <w:rPr>
          <w:rFonts w:ascii="Palatino Linotype" w:cs="Palatino Linotype" w:eastAsia="Palatino Linotype" w:hAnsi="Palatino Linotype"/>
          <w:sz w:val="22"/>
          <w:szCs w:val="22"/>
          <w:rtl w:val="0"/>
        </w:rPr>
        <w:t xml:space="preserve">, sugerencias y requerimientos en cualquier materia o asunto; y como una </w:t>
      </w:r>
      <w:r w:rsidDel="00000000" w:rsidR="00000000" w:rsidRPr="00000000">
        <w:rPr>
          <w:rFonts w:ascii="Palatino Linotype" w:cs="Palatino Linotype" w:eastAsia="Palatino Linotype" w:hAnsi="Palatino Linotype"/>
          <w:b w:val="1"/>
          <w:sz w:val="22"/>
          <w:szCs w:val="22"/>
          <w:rtl w:val="0"/>
        </w:rPr>
        <w:t xml:space="preserve">forma específica de la libertad de expresión</w:t>
      </w:r>
      <w:r w:rsidDel="00000000" w:rsidR="00000000" w:rsidRPr="00000000">
        <w:rPr>
          <w:rFonts w:ascii="Palatino Linotype" w:cs="Palatino Linotype" w:eastAsia="Palatino Linotype" w:hAnsi="Palatino Linotype"/>
          <w:sz w:val="22"/>
          <w:szCs w:val="22"/>
          <w:rtl w:val="0"/>
        </w:rPr>
        <w:t xml:space="preserve">, en tanto que permite expresarse frente a las autoridades. </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vertAlign w:val="superscript"/>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autor anteriormente citado, indica que el </w:t>
      </w:r>
      <w:r w:rsidDel="00000000" w:rsidR="00000000" w:rsidRPr="00000000">
        <w:rPr>
          <w:rFonts w:ascii="Palatino Linotype" w:cs="Palatino Linotype" w:eastAsia="Palatino Linotype" w:hAnsi="Palatino Linotype"/>
          <w:b w:val="1"/>
          <w:sz w:val="22"/>
          <w:szCs w:val="22"/>
          <w:rtl w:val="0"/>
        </w:rPr>
        <w:t xml:space="preserve">derecho de acceso a la información pública</w:t>
      </w:r>
      <w:r w:rsidDel="00000000" w:rsidR="00000000" w:rsidRPr="00000000">
        <w:rPr>
          <w:rFonts w:ascii="Palatino Linotype" w:cs="Palatino Linotype" w:eastAsia="Palatino Linotype" w:hAnsi="Palatino Linotype"/>
          <w:sz w:val="22"/>
          <w:szCs w:val="22"/>
          <w:rtl w:val="0"/>
        </w:rPr>
        <w:t xml:space="preserve">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puede concluir que la distinción entre el </w:t>
      </w:r>
      <w:r w:rsidDel="00000000" w:rsidR="00000000" w:rsidRPr="00000000">
        <w:rPr>
          <w:rFonts w:ascii="Palatino Linotype" w:cs="Palatino Linotype" w:eastAsia="Palatino Linotype" w:hAnsi="Palatino Linotype"/>
          <w:b w:val="1"/>
          <w:sz w:val="22"/>
          <w:szCs w:val="22"/>
          <w:rtl w:val="0"/>
        </w:rPr>
        <w:t xml:space="preserve">derecho de petición</w:t>
      </w:r>
      <w:r w:rsidDel="00000000" w:rsidR="00000000" w:rsidRPr="00000000">
        <w:rPr>
          <w:rFonts w:ascii="Palatino Linotype" w:cs="Palatino Linotype" w:eastAsia="Palatino Linotype" w:hAnsi="Palatino Linotype"/>
          <w:sz w:val="22"/>
          <w:szCs w:val="22"/>
          <w:rtl w:val="0"/>
        </w:rPr>
        <w:t xml:space="preserve">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077">
      <w:pP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ello, de conformidad con lo que establece el artículo 12 de la Ley de Transparencia y Acceso a la Información Pública del Estado de México y Municipios, los sujetos obligados no se encuentran constreñidos a entregar información que no obra en sus archivos o generarla conforme al interés de los solicitantes, asimismo, el Criterio 03/17 emitido por el Instituto Nacional de Transparencia, Acceso a la Información y Protección de Datos Personales, establece lo siguiente: </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En ese sentido, se tiene que, la solicitud de información se relaciona con el ejercicio del derecho de petición, situación que, no es factible atenderse vía acceso a la información pública.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 mismo modo, no pasa inadvertido mencionar que, el Derecho de Acceso a la Información Pública se satisface en aquellos casos en que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entregue el soporte documental en que conste la información pública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toda vez que no se tiene el deber de generar un documento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ad hoc</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para satisfacer la solicitud.</w:t>
      </w:r>
      <w:r w:rsidDel="00000000" w:rsidR="00000000" w:rsidRPr="00000000">
        <w:rPr>
          <w:rtl w:val="0"/>
        </w:rPr>
      </w:r>
    </w:p>
    <w:p w:rsidR="00000000" w:rsidDel="00000000" w:rsidP="00000000" w:rsidRDefault="00000000" w:rsidRPr="00000000" w14:paraId="0000007F">
      <w:pP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las causales de improcedencia contempladas en las fracciones VI del artículo 191 del ordenamiento legal en cita, los que se transcriben a continuación, para un mejor entendimiento:</w:t>
      </w:r>
    </w:p>
    <w:p w:rsidR="00000000" w:rsidDel="00000000" w:rsidP="00000000" w:rsidRDefault="00000000" w:rsidRPr="00000000" w14:paraId="00000081">
      <w:pP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 </w:t>
      </w:r>
      <w:r w:rsidDel="00000000" w:rsidR="00000000" w:rsidRPr="00000000">
        <w:rPr>
          <w:rFonts w:ascii="Palatino Linotype" w:cs="Palatino Linotype" w:eastAsia="Palatino Linotype" w:hAnsi="Palatino Linotype"/>
          <w:i w:val="1"/>
          <w:sz w:val="22"/>
          <w:szCs w:val="22"/>
          <w:rtl w:val="0"/>
        </w:rPr>
        <w:t xml:space="preserve">desechado por </w:t>
      </w:r>
      <w:r w:rsidDel="00000000" w:rsidR="00000000" w:rsidRPr="00000000">
        <w:rPr>
          <w:rFonts w:ascii="Palatino Linotype" w:cs="Palatino Linotype" w:eastAsia="Palatino Linotype" w:hAnsi="Palatino Linotype"/>
          <w:b w:val="1"/>
          <w:i w:val="1"/>
          <w:sz w:val="22"/>
          <w:szCs w:val="22"/>
          <w:rtl w:val="0"/>
        </w:rPr>
        <w:t xml:space="preserve">improcedente cuando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3">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4">
      <w:pPr>
        <w:tabs>
          <w:tab w:val="left" w:leader="none" w:pos="7938"/>
        </w:tabs>
        <w:spacing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Se trate de una consulta</w:t>
      </w:r>
      <w:r w:rsidDel="00000000" w:rsidR="00000000" w:rsidRPr="00000000">
        <w:rPr>
          <w:rFonts w:ascii="Palatino Linotype" w:cs="Palatino Linotype" w:eastAsia="Palatino Linotype" w:hAnsi="Palatino Linotype"/>
          <w:i w:val="1"/>
          <w:sz w:val="22"/>
          <w:szCs w:val="22"/>
          <w:rtl w:val="0"/>
        </w:rPr>
        <w:t xml:space="preserve">, o trámite en específico</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85">
      <w:pPr>
        <w:tabs>
          <w:tab w:val="left" w:leader="none" w:pos="7938"/>
        </w:tabs>
        <w:spacing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6">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87">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8">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Admitido el recurso de revisión, </w:t>
      </w:r>
      <w:r w:rsidDel="00000000" w:rsidR="00000000" w:rsidRPr="00000000">
        <w:rPr>
          <w:rFonts w:ascii="Palatino Linotype" w:cs="Palatino Linotype" w:eastAsia="Palatino Linotype" w:hAnsi="Palatino Linotype"/>
          <w:b w:val="1"/>
          <w:i w:val="1"/>
          <w:sz w:val="22"/>
          <w:szCs w:val="22"/>
          <w:rtl w:val="0"/>
        </w:rPr>
        <w:t xml:space="preserve">aparezca alguna causal de improcedencia</w:t>
      </w:r>
      <w:r w:rsidDel="00000000" w:rsidR="00000000" w:rsidRPr="00000000">
        <w:rPr>
          <w:rFonts w:ascii="Palatino Linotype" w:cs="Palatino Linotype" w:eastAsia="Palatino Linotype" w:hAnsi="Palatino Linotype"/>
          <w:i w:val="1"/>
          <w:sz w:val="22"/>
          <w:szCs w:val="22"/>
          <w:rtl w:val="0"/>
        </w:rPr>
        <w:t xml:space="preserve"> en los términos de la presente Ley. “</w:t>
      </w:r>
    </w:p>
    <w:p w:rsidR="00000000" w:rsidDel="00000000" w:rsidP="00000000" w:rsidRDefault="00000000" w:rsidRPr="00000000" w14:paraId="00000089">
      <w:pPr>
        <w:tabs>
          <w:tab w:val="left" w:leader="none" w:pos="7938"/>
        </w:tabs>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b w:val="1"/>
          <w:i w:val="1"/>
          <w:sz w:val="22"/>
          <w:szCs w:val="22"/>
          <w:rtl w:val="0"/>
        </w:rPr>
        <w:t xml:space="preserve">sobreseimiento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 </w:t>
      </w:r>
      <w:r w:rsidDel="00000000" w:rsidR="00000000" w:rsidRPr="00000000">
        <w:rPr>
          <w:rFonts w:ascii="Palatino Linotype" w:cs="Palatino Linotype" w:eastAsia="Palatino Linotype" w:hAnsi="Palatino Linotype"/>
          <w:i w:val="1"/>
          <w:sz w:val="22"/>
          <w:szCs w:val="22"/>
          <w:rtl w:val="0"/>
        </w:rPr>
        <w:t xml:space="preserve">No causa agravio la sentencia que no se ocupa de los razonamientos tendientes a demostrar la inconstitucionalidad de los actos reclamados de las autoridades responsables, que constituyen el problema de fondo, si se decreta el sobreseimiento del juicio.” </w:t>
      </w: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sz w:val="22"/>
          <w:szCs w:val="22"/>
          <w:rtl w:val="0"/>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con fundamento en lo prescrito en los artículos 5 párrafos trigésimo séptimo, trigésimo octavo y trigésimo noveno de la Constitución Política del Estado Libre y Soberano de México; 2, fracción II; 29, 36 fracciones I y II; 176, 178, 179, 181, 185, 191 fracción VI y 192, fracción IV, de la Ley de Transparencia y Acceso a la Información Pública del Estado de México y Municipios, este Pleno:</w:t>
      </w:r>
    </w:p>
    <w:p w:rsidR="00000000" w:rsidDel="00000000" w:rsidP="00000000" w:rsidRDefault="00000000" w:rsidRPr="00000000" w14:paraId="0000009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360" w:lineRule="auto"/>
        <w:ind w:left="360"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95">
      <w:pPr>
        <w:spacing w:line="360" w:lineRule="auto"/>
        <w:ind w:left="360"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número </w:t>
      </w:r>
      <w:r w:rsidDel="00000000" w:rsidR="00000000" w:rsidRPr="00000000">
        <w:rPr>
          <w:rFonts w:ascii="Palatino Linotype" w:cs="Palatino Linotype" w:eastAsia="Palatino Linotype" w:hAnsi="Palatino Linotype"/>
          <w:b w:val="1"/>
          <w:sz w:val="22"/>
          <w:szCs w:val="22"/>
          <w:rtl w:val="0"/>
        </w:rPr>
        <w:t xml:space="preserve">03029/INFOEM/IP/RR/2025</w:t>
      </w:r>
      <w:r w:rsidDel="00000000" w:rsidR="00000000" w:rsidRPr="00000000">
        <w:rPr>
          <w:rFonts w:ascii="Palatino Linotype" w:cs="Palatino Linotype" w:eastAsia="Palatino Linotype" w:hAnsi="Palatino Linotype"/>
          <w:sz w:val="22"/>
          <w:szCs w:val="22"/>
          <w:rtl w:val="0"/>
        </w:rPr>
        <w:t xml:space="preserve">, por actualizarse la causal de improcedencia prevista en la fracción IV del artículo 192, en relación con la fracción VI del artículo 191, ambos de la Ley de Transparencia y Acceso a la Información Pública del Estado de México y Municipio, en términos del Considerando </w:t>
      </w: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vía SAIMEX</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Responsable de la Unidad de Transparencia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la presente resolución, para su conocimiento, lo anterior en términos del artículo 189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ORDINARIA CELEBRADA EL CUATRO DE JUNIO DEL DOS MIL VEINTICINCO, ANTE EL SECRETARIO TÉCNICO DEL PLENO ALEXIS TAPIA RAMÍREZ.</w:t>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18" w:top="1985" w:left="1701" w:right="14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-488308</wp:posOffset>
          </wp:positionV>
          <wp:extent cx="7809865" cy="10165715"/>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A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03029/INFOEM/IP/RR/2025</w:t>
          </w:r>
        </w:p>
      </w:tc>
    </w:tr>
    <w:tr>
      <w:trPr>
        <w:cantSplit w:val="0"/>
        <w:trHeight w:val="228" w:hRule="atLeast"/>
        <w:tblHeader w:val="0"/>
      </w:trPr>
      <w:tc>
        <w:tcPr>
          <w:shd w:fill="auto" w:val="clear"/>
          <w:vAlign w:val="center"/>
        </w:tcPr>
        <w:p w:rsidR="00000000" w:rsidDel="00000000" w:rsidP="00000000" w:rsidRDefault="00000000" w:rsidRPr="00000000" w14:paraId="000000B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2">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Calimaya</w:t>
          </w:r>
        </w:p>
      </w:tc>
    </w:tr>
    <w:tr>
      <w:trPr>
        <w:cantSplit w:val="0"/>
        <w:tblHeader w:val="0"/>
      </w:trPr>
      <w:tc>
        <w:tcPr>
          <w:shd w:fill="auto" w:val="clear"/>
          <w:vAlign w:val="center"/>
        </w:tcPr>
        <w:p w:rsidR="00000000" w:rsidDel="00000000" w:rsidP="00000000" w:rsidRDefault="00000000" w:rsidRPr="00000000" w14:paraId="000000B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5">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-699134</wp:posOffset>
          </wp:positionH>
          <wp:positionV relativeFrom="paragraph">
            <wp:posOffset>-453389</wp:posOffset>
          </wp:positionV>
          <wp:extent cx="7809865" cy="10165715"/>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B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8">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03029/INFOEM/IP/RR/2025</w:t>
          </w:r>
        </w:p>
      </w:tc>
    </w:tr>
    <w:tr>
      <w:trPr>
        <w:cantSplit w:val="0"/>
        <w:trHeight w:val="130" w:hRule="atLeast"/>
        <w:tblHeader w:val="0"/>
      </w:trPr>
      <w:tc>
        <w:tcPr>
          <w:shd w:fill="auto" w:val="clear"/>
          <w:vAlign w:val="center"/>
        </w:tcPr>
        <w:p w:rsidR="00000000" w:rsidDel="00000000" w:rsidP="00000000" w:rsidRDefault="00000000" w:rsidRPr="00000000" w14:paraId="000000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BA">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C">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Calimaya</w:t>
          </w:r>
        </w:p>
      </w:tc>
    </w:tr>
    <w:tr>
      <w:trPr>
        <w:cantSplit w:val="0"/>
        <w:tblHeader w:val="0"/>
      </w:trPr>
      <w:tc>
        <w:tcPr>
          <w:shd w:fill="auto" w:val="clear"/>
          <w:vAlign w:val="center"/>
        </w:tcPr>
        <w:p w:rsidR="00000000" w:rsidDel="00000000" w:rsidP="00000000" w:rsidRDefault="00000000" w:rsidRPr="00000000" w14:paraId="000000B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E">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1"/>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table" w:styleId="9" w:customStyle="1">
    <w:name w:val="9"/>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8" w:customStyle="1">
    <w:name w:val="8"/>
    <w:basedOn w:val="TableNormal1"/>
    <w:tblPr>
      <w:tblStyleRowBandSize w:val="1"/>
      <w:tblStyleColBandSize w:val="1"/>
      <w:tblCellMar>
        <w:left w:w="115.0" w:type="dxa"/>
        <w:right w:w="115.0" w:type="dxa"/>
      </w:tblCellMar>
    </w:tblPr>
  </w:style>
  <w:style w:type="table" w:styleId="7" w:customStyle="1">
    <w:name w:val="7"/>
    <w:basedOn w:val="TableNormal1"/>
    <w:tblPr>
      <w:tblStyleRowBandSize w:val="1"/>
      <w:tblStyleColBandSize w:val="1"/>
      <w:tblCellMar>
        <w:left w:w="115.0" w:type="dxa"/>
        <w:right w:w="115.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2"/>
    <w:tblPr>
      <w:tblStyleRowBandSize w:val="1"/>
      <w:tblStyleColBandSize w:val="1"/>
      <w:tblCellMar>
        <w:left w:w="115.0" w:type="dxa"/>
        <w:right w:w="115.0" w:type="dxa"/>
      </w:tblCellMar>
    </w:tblPr>
  </w:style>
  <w:style w:type="table" w:styleId="3" w:customStyle="1">
    <w:name w:val="3"/>
    <w:basedOn w:val="TableNormal2"/>
    <w:tblPr>
      <w:tblStyleRowBandSize w:val="1"/>
      <w:tblStyleColBandSize w:val="1"/>
      <w:tblCellMar>
        <w:left w:w="115.0" w:type="dxa"/>
        <w:right w:w="115.0" w:type="dxa"/>
      </w:tblCellMar>
    </w:tblPr>
  </w:style>
  <w:style w:type="table" w:styleId="2" w:customStyle="1">
    <w:name w:val="2"/>
    <w:basedOn w:val="TableNormal3"/>
    <w:tblPr>
      <w:tblStyleRowBandSize w:val="1"/>
      <w:tblStyleColBandSize w:val="1"/>
      <w:tblCellMar>
        <w:left w:w="115.0" w:type="dxa"/>
        <w:right w:w="115.0" w:type="dxa"/>
      </w:tblCellMar>
    </w:tblPr>
  </w:style>
  <w:style w:type="table" w:styleId="1" w:customStyle="1">
    <w:name w:val="1"/>
    <w:basedOn w:val="TableNormal3"/>
    <w:tblPr>
      <w:tblStyleRowBandSize w:val="1"/>
      <w:tblStyleColBandSize w:val="1"/>
      <w:tblCellMar>
        <w:left w:w="115.0" w:type="dxa"/>
        <w:right w:w="115.0" w:type="dxa"/>
      </w:tblCellMar>
    </w:tblPr>
  </w:style>
  <w:style w:type="table" w:styleId="12" w:customStyle="1">
    <w:name w:val="12"/>
    <w:basedOn w:val="TableNormal4"/>
    <w:tblPr>
      <w:tblStyleRowBandSize w:val="1"/>
      <w:tblStyleColBandSize w:val="1"/>
      <w:tblCellMar>
        <w:left w:w="108.0" w:type="dxa"/>
        <w:right w:w="108.0" w:type="dxa"/>
      </w:tblCellMar>
    </w:tblPr>
  </w:style>
  <w:style w:type="table" w:styleId="11" w:customStyle="1">
    <w:name w:val="11"/>
    <w:basedOn w:val="TableNormal4"/>
    <w:tblPr>
      <w:tblStyleRowBandSize w:val="1"/>
      <w:tblStyleColBandSize w:val="1"/>
      <w:tblCellMar>
        <w:left w:w="115.0" w:type="dxa"/>
        <w:right w:w="115.0" w:type="dxa"/>
      </w:tblCellMar>
    </w:tblPr>
  </w:style>
  <w:style w:type="table" w:styleId="10" w:customStyle="1">
    <w:name w:val="10"/>
    <w:basedOn w:val="TableNormal4"/>
    <w:tblPr>
      <w:tblStyleRowBandSize w:val="1"/>
      <w:tblStyleColBandSize w:val="1"/>
      <w:tblCellMar>
        <w:left w:w="115.0" w:type="dxa"/>
        <w:right w:w="115.0" w:type="dxa"/>
      </w:tblCellMar>
    </w:tblPr>
  </w:style>
  <w:style w:type="paragraph" w:styleId="p1" w:customStyle="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val="1"/>
    <w:rsid w:val="006E17BA"/>
    <w:pPr>
      <w:numPr>
        <w:numId w:val="5"/>
      </w:numPr>
      <w:contextualSpacing w:val="1"/>
    </w:pPr>
  </w:style>
  <w:style w:type="table" w:styleId="Tablaconcuadrcula2" w:customStyle="1">
    <w:name w:val="Tabla con cuadrícula2"/>
    <w:basedOn w:val="Tablanormal"/>
    <w:next w:val="Tablaconcuadrcula"/>
    <w:uiPriority w:val="39"/>
    <w:rsid w:val="00493B0C"/>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ppulBvg5M9QlDDsRZIEt794qQ==">CgMxLjAyCGguZ2pkZ3hzMgloLjMwajB6bGwyCWguMnM4ZXlvMTIIaC50eWpjd3Q4AHIhMURmSEJMRkpVSW5FNUtSeGNzSzk4alZ6eW5yN3p0R0dE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2025-06-27T01:52:00Z</dcterms:created>
  <dc:creator>iMac</dc:creator>
</cp:coreProperties>
</file>