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A47" w:rsidRDefault="00734A47">
      <w:pPr>
        <w:widowControl w:val="0"/>
        <w:pBdr>
          <w:top w:val="nil"/>
          <w:left w:val="nil"/>
          <w:bottom w:val="nil"/>
          <w:right w:val="nil"/>
          <w:between w:val="nil"/>
        </w:pBdr>
        <w:spacing w:line="276" w:lineRule="auto"/>
      </w:pPr>
    </w:p>
    <w:p w:rsidR="00734A47" w:rsidRDefault="00734A47">
      <w:pPr>
        <w:spacing w:line="360" w:lineRule="auto"/>
        <w:ind w:right="-28"/>
        <w:jc w:val="both"/>
        <w:rPr>
          <w:rFonts w:ascii="Palatino Linotype" w:eastAsia="Palatino Linotype" w:hAnsi="Palatino Linotype" w:cs="Palatino Linotype"/>
          <w:sz w:val="22"/>
          <w:szCs w:val="22"/>
        </w:rPr>
      </w:pPr>
    </w:p>
    <w:p w:rsidR="00734A47" w:rsidRDefault="00BC2DDB">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01506/INFOEM/IP/RR/2025</w:t>
      </w:r>
    </w:p>
    <w:sdt>
      <w:sdtPr>
        <w:id w:val="-1164618504"/>
        <w:docPartObj>
          <w:docPartGallery w:val="Table of Contents"/>
          <w:docPartUnique/>
        </w:docPartObj>
      </w:sdtPr>
      <w:sdtEndPr/>
      <w:sdtContent>
        <w:p w:rsidR="00734A47" w:rsidRDefault="00BC2DDB">
          <w:pPr>
            <w:pBdr>
              <w:top w:val="nil"/>
              <w:left w:val="nil"/>
              <w:bottom w:val="nil"/>
              <w:right w:val="nil"/>
              <w:between w:val="nil"/>
            </w:pBdr>
            <w:tabs>
              <w:tab w:val="right" w:pos="9034"/>
            </w:tabs>
            <w:spacing w:line="360" w:lineRule="auto"/>
            <w:jc w:val="both"/>
            <w:rPr>
              <w:rFonts w:ascii="Palatino Linotype" w:eastAsia="Palatino Linotype" w:hAnsi="Palatino Linotype" w:cs="Palatino Linotype"/>
              <w:color w:val="000000"/>
              <w:sz w:val="22"/>
              <w:szCs w:val="22"/>
            </w:rPr>
          </w:pPr>
          <w:r>
            <w:fldChar w:fldCharType="begin"/>
          </w:r>
          <w:r>
            <w:instrText xml:space="preserve"> TOC \h \u \z \t "Heading 1,1,Heading 2,2,Heading 3,3,"</w:instrText>
          </w:r>
          <w:r>
            <w:fldChar w:fldCharType="separate"/>
          </w:r>
          <w:hyperlink w:anchor="_heading=h.gjdgxs">
            <w:r>
              <w:rPr>
                <w:rFonts w:ascii="Palatino Linotype" w:eastAsia="Palatino Linotype" w:hAnsi="Palatino Linotype" w:cs="Palatino Linotype"/>
                <w:color w:val="000000"/>
                <w:sz w:val="22"/>
                <w:szCs w:val="22"/>
              </w:rPr>
              <w:t>A N T E C E D E N T E S</w:t>
            </w:r>
            <w:r>
              <w:rPr>
                <w:rFonts w:ascii="Palatino Linotype" w:eastAsia="Palatino Linotype" w:hAnsi="Palatino Linotype" w:cs="Palatino Linotype"/>
                <w:color w:val="000000"/>
                <w:sz w:val="22"/>
                <w:szCs w:val="22"/>
              </w:rPr>
              <w:tab/>
              <w:t>2</w:t>
            </w:r>
          </w:hyperlink>
        </w:p>
        <w:p w:rsidR="00734A47" w:rsidRDefault="00F62B15">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30j0zll">
            <w:r w:rsidR="00BC2DDB">
              <w:rPr>
                <w:rFonts w:ascii="Palatino Linotype" w:eastAsia="Palatino Linotype" w:hAnsi="Palatino Linotype" w:cs="Palatino Linotype"/>
                <w:color w:val="000000"/>
                <w:sz w:val="22"/>
                <w:szCs w:val="22"/>
              </w:rPr>
              <w:t>I. Presentación de la solicitud de información</w:t>
            </w:r>
            <w:r w:rsidR="00BC2DDB">
              <w:rPr>
                <w:rFonts w:ascii="Palatino Linotype" w:eastAsia="Palatino Linotype" w:hAnsi="Palatino Linotype" w:cs="Palatino Linotype"/>
                <w:color w:val="000000"/>
                <w:sz w:val="22"/>
                <w:szCs w:val="22"/>
              </w:rPr>
              <w:tab/>
              <w:t>2</w:t>
            </w:r>
          </w:hyperlink>
        </w:p>
        <w:p w:rsidR="00734A47" w:rsidRDefault="00F62B15">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2et92p0">
            <w:r w:rsidR="00BC2DDB">
              <w:rPr>
                <w:rFonts w:ascii="Palatino Linotype" w:eastAsia="Palatino Linotype" w:hAnsi="Palatino Linotype" w:cs="Palatino Linotype"/>
                <w:color w:val="000000"/>
                <w:sz w:val="22"/>
                <w:szCs w:val="22"/>
              </w:rPr>
              <w:t>II. Respuesta del Sujeto Obligado</w:t>
            </w:r>
            <w:r w:rsidR="00BC2DDB">
              <w:rPr>
                <w:rFonts w:ascii="Palatino Linotype" w:eastAsia="Palatino Linotype" w:hAnsi="Palatino Linotype" w:cs="Palatino Linotype"/>
                <w:color w:val="000000"/>
                <w:sz w:val="22"/>
                <w:szCs w:val="22"/>
              </w:rPr>
              <w:tab/>
              <w:t>3</w:t>
            </w:r>
          </w:hyperlink>
        </w:p>
        <w:p w:rsidR="00734A47" w:rsidRDefault="00F62B15">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tyjcwt">
            <w:r w:rsidR="00BC2DDB">
              <w:rPr>
                <w:rFonts w:ascii="Palatino Linotype" w:eastAsia="Palatino Linotype" w:hAnsi="Palatino Linotype" w:cs="Palatino Linotype"/>
                <w:color w:val="000000"/>
                <w:sz w:val="22"/>
                <w:szCs w:val="22"/>
              </w:rPr>
              <w:t>III. Interposición del Recurso de Revisión</w:t>
            </w:r>
            <w:r w:rsidR="00BC2DDB">
              <w:rPr>
                <w:rFonts w:ascii="Palatino Linotype" w:eastAsia="Palatino Linotype" w:hAnsi="Palatino Linotype" w:cs="Palatino Linotype"/>
                <w:color w:val="000000"/>
                <w:sz w:val="22"/>
                <w:szCs w:val="22"/>
              </w:rPr>
              <w:tab/>
            </w:r>
          </w:hyperlink>
          <w:r w:rsidR="00BC2DDB">
            <w:rPr>
              <w:rFonts w:ascii="Palatino Linotype" w:eastAsia="Palatino Linotype" w:hAnsi="Palatino Linotype" w:cs="Palatino Linotype"/>
              <w:color w:val="000000"/>
              <w:sz w:val="22"/>
              <w:szCs w:val="22"/>
            </w:rPr>
            <w:t>3</w:t>
          </w:r>
        </w:p>
        <w:p w:rsidR="00734A47" w:rsidRDefault="00F62B15">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3dy6vkm">
            <w:r w:rsidR="00BC2DDB">
              <w:rPr>
                <w:rFonts w:ascii="Palatino Linotype" w:eastAsia="Palatino Linotype" w:hAnsi="Palatino Linotype" w:cs="Palatino Linotype"/>
                <w:color w:val="000000"/>
                <w:sz w:val="22"/>
                <w:szCs w:val="22"/>
              </w:rPr>
              <w:t>IV. Trámite del Recurso de Revisión ante el Instituto</w:t>
            </w:r>
            <w:r w:rsidR="00BC2DDB">
              <w:rPr>
                <w:rFonts w:ascii="Palatino Linotype" w:eastAsia="Palatino Linotype" w:hAnsi="Palatino Linotype" w:cs="Palatino Linotype"/>
                <w:color w:val="000000"/>
                <w:sz w:val="22"/>
                <w:szCs w:val="22"/>
              </w:rPr>
              <w:tab/>
            </w:r>
          </w:hyperlink>
          <w:r w:rsidR="00BC2DDB">
            <w:rPr>
              <w:rFonts w:ascii="Palatino Linotype" w:eastAsia="Palatino Linotype" w:hAnsi="Palatino Linotype" w:cs="Palatino Linotype"/>
              <w:color w:val="000000"/>
              <w:sz w:val="22"/>
              <w:szCs w:val="22"/>
            </w:rPr>
            <w:t>4</w:t>
          </w:r>
        </w:p>
        <w:p w:rsidR="00734A47" w:rsidRDefault="00F62B15">
          <w:pPr>
            <w:pBdr>
              <w:top w:val="nil"/>
              <w:left w:val="nil"/>
              <w:bottom w:val="nil"/>
              <w:right w:val="nil"/>
              <w:between w:val="nil"/>
            </w:pBdr>
            <w:tabs>
              <w:tab w:val="right" w:pos="9034"/>
            </w:tabs>
            <w:spacing w:line="360" w:lineRule="auto"/>
            <w:jc w:val="both"/>
            <w:rPr>
              <w:rFonts w:ascii="Palatino Linotype" w:eastAsia="Palatino Linotype" w:hAnsi="Palatino Linotype" w:cs="Palatino Linotype"/>
              <w:color w:val="000000"/>
              <w:sz w:val="22"/>
              <w:szCs w:val="22"/>
            </w:rPr>
          </w:pPr>
          <w:hyperlink w:anchor="_heading=h.1t3h5sf">
            <w:r w:rsidR="00BC2DDB">
              <w:rPr>
                <w:rFonts w:ascii="Palatino Linotype" w:eastAsia="Palatino Linotype" w:hAnsi="Palatino Linotype" w:cs="Palatino Linotype"/>
                <w:color w:val="000000"/>
                <w:sz w:val="22"/>
                <w:szCs w:val="22"/>
              </w:rPr>
              <w:t>C O N S I D E R A N D O S</w:t>
            </w:r>
            <w:r w:rsidR="00BC2DDB">
              <w:rPr>
                <w:rFonts w:ascii="Palatino Linotype" w:eastAsia="Palatino Linotype" w:hAnsi="Palatino Linotype" w:cs="Palatino Linotype"/>
                <w:color w:val="000000"/>
                <w:sz w:val="22"/>
                <w:szCs w:val="22"/>
              </w:rPr>
              <w:tab/>
            </w:r>
          </w:hyperlink>
          <w:r w:rsidR="00E654C9">
            <w:rPr>
              <w:rFonts w:ascii="Palatino Linotype" w:eastAsia="Palatino Linotype" w:hAnsi="Palatino Linotype" w:cs="Palatino Linotype"/>
              <w:color w:val="000000"/>
              <w:sz w:val="22"/>
              <w:szCs w:val="22"/>
            </w:rPr>
            <w:t>6</w:t>
          </w:r>
        </w:p>
        <w:p w:rsidR="00734A47" w:rsidRDefault="00F62B15">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4d34og8">
            <w:r w:rsidR="00BC2DDB">
              <w:rPr>
                <w:rFonts w:ascii="Palatino Linotype" w:eastAsia="Palatino Linotype" w:hAnsi="Palatino Linotype" w:cs="Palatino Linotype"/>
                <w:color w:val="000000"/>
                <w:sz w:val="22"/>
                <w:szCs w:val="22"/>
              </w:rPr>
              <w:t>PRIMERO. Competencia</w:t>
            </w:r>
            <w:r w:rsidR="00BC2DDB">
              <w:rPr>
                <w:rFonts w:ascii="Palatino Linotype" w:eastAsia="Palatino Linotype" w:hAnsi="Palatino Linotype" w:cs="Palatino Linotype"/>
                <w:color w:val="000000"/>
                <w:sz w:val="22"/>
                <w:szCs w:val="22"/>
              </w:rPr>
              <w:tab/>
            </w:r>
          </w:hyperlink>
          <w:r w:rsidR="00BC2DDB">
            <w:rPr>
              <w:rFonts w:ascii="Palatino Linotype" w:eastAsia="Palatino Linotype" w:hAnsi="Palatino Linotype" w:cs="Palatino Linotype"/>
              <w:color w:val="000000"/>
              <w:sz w:val="22"/>
              <w:szCs w:val="22"/>
            </w:rPr>
            <w:t>6</w:t>
          </w:r>
        </w:p>
        <w:p w:rsidR="00734A47" w:rsidRDefault="00F62B15">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2s8eyo1">
            <w:r w:rsidR="00BC2DDB">
              <w:rPr>
                <w:rFonts w:ascii="Palatino Linotype" w:eastAsia="Palatino Linotype" w:hAnsi="Palatino Linotype" w:cs="Palatino Linotype"/>
                <w:color w:val="000000"/>
                <w:sz w:val="22"/>
                <w:szCs w:val="22"/>
              </w:rPr>
              <w:t>SEGUNDO. Causales de improcedencia y sobreseimiento</w:t>
            </w:r>
            <w:r w:rsidR="00BC2DDB">
              <w:rPr>
                <w:rFonts w:ascii="Palatino Linotype" w:eastAsia="Palatino Linotype" w:hAnsi="Palatino Linotype" w:cs="Palatino Linotype"/>
                <w:color w:val="000000"/>
                <w:sz w:val="22"/>
                <w:szCs w:val="22"/>
              </w:rPr>
              <w:tab/>
            </w:r>
          </w:hyperlink>
          <w:r w:rsidR="00BC2DDB">
            <w:rPr>
              <w:rFonts w:ascii="Palatino Linotype" w:eastAsia="Palatino Linotype" w:hAnsi="Palatino Linotype" w:cs="Palatino Linotype"/>
              <w:color w:val="000000"/>
              <w:sz w:val="22"/>
              <w:szCs w:val="22"/>
            </w:rPr>
            <w:t>6</w:t>
          </w:r>
        </w:p>
        <w:p w:rsidR="00734A47" w:rsidRDefault="00F62B15">
          <w:pPr>
            <w:pBdr>
              <w:top w:val="nil"/>
              <w:left w:val="nil"/>
              <w:bottom w:val="nil"/>
              <w:right w:val="nil"/>
              <w:between w:val="nil"/>
            </w:pBdr>
            <w:tabs>
              <w:tab w:val="right" w:pos="9034"/>
            </w:tabs>
            <w:spacing w:line="360" w:lineRule="auto"/>
            <w:ind w:left="9034" w:hanging="8834"/>
            <w:jc w:val="both"/>
            <w:rPr>
              <w:rFonts w:ascii="Palatino Linotype" w:eastAsia="Palatino Linotype" w:hAnsi="Palatino Linotype" w:cs="Palatino Linotype"/>
              <w:color w:val="000000"/>
              <w:sz w:val="22"/>
              <w:szCs w:val="22"/>
            </w:rPr>
          </w:pPr>
          <w:hyperlink w:anchor="_heading=h.17dp8vu">
            <w:r w:rsidR="00BC2DDB">
              <w:rPr>
                <w:rFonts w:ascii="Palatino Linotype" w:eastAsia="Palatino Linotype" w:hAnsi="Palatino Linotype" w:cs="Palatino Linotype"/>
                <w:color w:val="000000"/>
                <w:sz w:val="22"/>
                <w:szCs w:val="22"/>
              </w:rPr>
              <w:t>TERCERO. Determinación de la Controversia</w:t>
            </w:r>
            <w:r w:rsidR="00BC2DDB">
              <w:rPr>
                <w:rFonts w:ascii="Palatino Linotype" w:eastAsia="Palatino Linotype" w:hAnsi="Palatino Linotype" w:cs="Palatino Linotype"/>
                <w:color w:val="000000"/>
                <w:sz w:val="22"/>
                <w:szCs w:val="22"/>
              </w:rPr>
              <w:tab/>
              <w:t>8</w:t>
            </w:r>
          </w:hyperlink>
        </w:p>
        <w:p w:rsidR="00734A47" w:rsidRDefault="00F62B15">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3rdcrjn">
            <w:r w:rsidR="00BC2DDB">
              <w:rPr>
                <w:rFonts w:ascii="Palatino Linotype" w:eastAsia="Palatino Linotype" w:hAnsi="Palatino Linotype" w:cs="Palatino Linotype"/>
                <w:color w:val="000000"/>
                <w:sz w:val="22"/>
                <w:szCs w:val="22"/>
              </w:rPr>
              <w:t>CUARTO. Marco normativo aplicable en materia de transparencia y acceso a la información pública</w:t>
            </w:r>
            <w:r w:rsidR="00BC2DDB">
              <w:rPr>
                <w:rFonts w:ascii="Palatino Linotype" w:eastAsia="Palatino Linotype" w:hAnsi="Palatino Linotype" w:cs="Palatino Linotype"/>
                <w:color w:val="000000"/>
                <w:sz w:val="22"/>
                <w:szCs w:val="22"/>
              </w:rPr>
              <w:tab/>
            </w:r>
          </w:hyperlink>
          <w:r w:rsidR="00E654C9">
            <w:rPr>
              <w:rFonts w:ascii="Palatino Linotype" w:eastAsia="Palatino Linotype" w:hAnsi="Palatino Linotype" w:cs="Palatino Linotype"/>
              <w:color w:val="000000"/>
              <w:sz w:val="22"/>
              <w:szCs w:val="22"/>
            </w:rPr>
            <w:t>9</w:t>
          </w:r>
        </w:p>
        <w:p w:rsidR="00734A47" w:rsidRDefault="00F62B15">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26in1rg">
            <w:r w:rsidR="00BC2DDB">
              <w:rPr>
                <w:rFonts w:ascii="Palatino Linotype" w:eastAsia="Palatino Linotype" w:hAnsi="Palatino Linotype" w:cs="Palatino Linotype"/>
                <w:color w:val="000000"/>
                <w:sz w:val="22"/>
                <w:szCs w:val="22"/>
              </w:rPr>
              <w:t>QUINTO. Estudio de Fondo</w:t>
            </w:r>
            <w:r w:rsidR="00BC2DDB">
              <w:rPr>
                <w:rFonts w:ascii="Palatino Linotype" w:eastAsia="Palatino Linotype" w:hAnsi="Palatino Linotype" w:cs="Palatino Linotype"/>
                <w:color w:val="000000"/>
                <w:sz w:val="22"/>
                <w:szCs w:val="22"/>
              </w:rPr>
              <w:tab/>
            </w:r>
          </w:hyperlink>
          <w:r w:rsidR="00E654C9">
            <w:rPr>
              <w:rFonts w:ascii="Palatino Linotype" w:eastAsia="Palatino Linotype" w:hAnsi="Palatino Linotype" w:cs="Palatino Linotype"/>
              <w:sz w:val="22"/>
              <w:szCs w:val="22"/>
            </w:rPr>
            <w:t>10</w:t>
          </w:r>
        </w:p>
        <w:p w:rsidR="00734A47" w:rsidRDefault="00F62B15">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lnxbz9">
            <w:r w:rsidR="00BC2DDB">
              <w:rPr>
                <w:rFonts w:ascii="Palatino Linotype" w:eastAsia="Palatino Linotype" w:hAnsi="Palatino Linotype" w:cs="Palatino Linotype"/>
                <w:color w:val="000000"/>
                <w:sz w:val="22"/>
                <w:szCs w:val="22"/>
              </w:rPr>
              <w:t>SEXTO. Decisión</w:t>
            </w:r>
            <w:r w:rsidR="00BC2DDB">
              <w:rPr>
                <w:rFonts w:ascii="Palatino Linotype" w:eastAsia="Palatino Linotype" w:hAnsi="Palatino Linotype" w:cs="Palatino Linotype"/>
                <w:color w:val="000000"/>
                <w:sz w:val="22"/>
                <w:szCs w:val="22"/>
              </w:rPr>
              <w:tab/>
            </w:r>
          </w:hyperlink>
          <w:r w:rsidR="00BC2DDB">
            <w:rPr>
              <w:rFonts w:ascii="Palatino Linotype" w:eastAsia="Palatino Linotype" w:hAnsi="Palatino Linotype" w:cs="Palatino Linotype"/>
              <w:sz w:val="22"/>
              <w:szCs w:val="22"/>
            </w:rPr>
            <w:t>2</w:t>
          </w:r>
          <w:r w:rsidR="00E654C9">
            <w:rPr>
              <w:rFonts w:ascii="Palatino Linotype" w:eastAsia="Palatino Linotype" w:hAnsi="Palatino Linotype" w:cs="Palatino Linotype"/>
              <w:sz w:val="22"/>
              <w:szCs w:val="22"/>
            </w:rPr>
            <w:t>0</w:t>
          </w:r>
        </w:p>
        <w:p w:rsidR="00734A47" w:rsidRDefault="00F62B15">
          <w:pPr>
            <w:pBdr>
              <w:top w:val="nil"/>
              <w:left w:val="nil"/>
              <w:bottom w:val="nil"/>
              <w:right w:val="nil"/>
              <w:between w:val="nil"/>
            </w:pBdr>
            <w:tabs>
              <w:tab w:val="right" w:pos="9034"/>
            </w:tabs>
            <w:spacing w:line="360" w:lineRule="auto"/>
            <w:jc w:val="both"/>
            <w:rPr>
              <w:rFonts w:ascii="Palatino Linotype" w:eastAsia="Palatino Linotype" w:hAnsi="Palatino Linotype" w:cs="Palatino Linotype"/>
              <w:color w:val="000000"/>
              <w:sz w:val="22"/>
              <w:szCs w:val="22"/>
            </w:rPr>
          </w:pPr>
          <w:hyperlink w:anchor="_heading=h.35nkun2">
            <w:r w:rsidR="00BC2DDB">
              <w:rPr>
                <w:rFonts w:ascii="Palatino Linotype" w:eastAsia="Palatino Linotype" w:hAnsi="Palatino Linotype" w:cs="Palatino Linotype"/>
                <w:color w:val="000000"/>
                <w:sz w:val="22"/>
                <w:szCs w:val="22"/>
              </w:rPr>
              <w:t>R E S U E L V E</w:t>
            </w:r>
            <w:r w:rsidR="00BC2DDB">
              <w:rPr>
                <w:rFonts w:ascii="Palatino Linotype" w:eastAsia="Palatino Linotype" w:hAnsi="Palatino Linotype" w:cs="Palatino Linotype"/>
                <w:color w:val="000000"/>
                <w:sz w:val="22"/>
                <w:szCs w:val="22"/>
              </w:rPr>
              <w:tab/>
            </w:r>
          </w:hyperlink>
          <w:r w:rsidR="00BC2DDB">
            <w:rPr>
              <w:rFonts w:ascii="Palatino Linotype" w:eastAsia="Palatino Linotype" w:hAnsi="Palatino Linotype" w:cs="Palatino Linotype"/>
              <w:color w:val="000000"/>
              <w:sz w:val="22"/>
              <w:szCs w:val="22"/>
            </w:rPr>
            <w:t>2</w:t>
          </w:r>
          <w:r w:rsidR="00E654C9">
            <w:rPr>
              <w:rFonts w:ascii="Palatino Linotype" w:eastAsia="Palatino Linotype" w:hAnsi="Palatino Linotype" w:cs="Palatino Linotype"/>
              <w:sz w:val="22"/>
              <w:szCs w:val="22"/>
            </w:rPr>
            <w:t>1</w:t>
          </w:r>
        </w:p>
        <w:p w:rsidR="00734A47" w:rsidRDefault="00BC2DDB">
          <w:pPr>
            <w:spacing w:line="360" w:lineRule="auto"/>
            <w:ind w:right="-28"/>
            <w:jc w:val="center"/>
            <w:rPr>
              <w:rFonts w:ascii="Palatino Linotype" w:eastAsia="Palatino Linotype" w:hAnsi="Palatino Linotype" w:cs="Palatino Linotype"/>
              <w:sz w:val="22"/>
              <w:szCs w:val="22"/>
            </w:rPr>
          </w:pPr>
          <w:r>
            <w:fldChar w:fldCharType="end"/>
          </w:r>
        </w:p>
      </w:sdtContent>
    </w:sdt>
    <w:p w:rsidR="00734A47" w:rsidRDefault="00BC2DDB">
      <w:pPr>
        <w:spacing w:line="360" w:lineRule="auto"/>
        <w:ind w:right="-28"/>
        <w:jc w:val="both"/>
        <w:rPr>
          <w:rFonts w:ascii="Palatino Linotype" w:eastAsia="Palatino Linotype" w:hAnsi="Palatino Linotype" w:cs="Palatino Linotype"/>
          <w:sz w:val="22"/>
          <w:szCs w:val="22"/>
        </w:rPr>
      </w:pPr>
      <w:r>
        <w:br w:type="column"/>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 fecha veintiséis de marzo de dos mil veinticinco.</w:t>
      </w:r>
    </w:p>
    <w:p w:rsidR="00734A47" w:rsidRDefault="00734A47">
      <w:pPr>
        <w:spacing w:line="360" w:lineRule="auto"/>
        <w:ind w:right="-28"/>
        <w:jc w:val="both"/>
        <w:rPr>
          <w:rFonts w:ascii="Palatino Linotype" w:eastAsia="Palatino Linotype" w:hAnsi="Palatino Linotype" w:cs="Palatino Linotype"/>
          <w:sz w:val="22"/>
          <w:szCs w:val="22"/>
        </w:rPr>
      </w:pP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VISTO </w:t>
      </w:r>
      <w:r>
        <w:rPr>
          <w:rFonts w:ascii="Palatino Linotype" w:eastAsia="Palatino Linotype" w:hAnsi="Palatino Linotype" w:cs="Palatino Linotype"/>
          <w:sz w:val="22"/>
          <w:szCs w:val="22"/>
        </w:rPr>
        <w:t xml:space="preserve">el expediente conformado con motivo del Recurso de Revisión </w:t>
      </w:r>
      <w:r>
        <w:rPr>
          <w:rFonts w:ascii="Palatino Linotype" w:eastAsia="Palatino Linotype" w:hAnsi="Palatino Linotype" w:cs="Palatino Linotype"/>
          <w:b/>
          <w:color w:val="0D0D0D"/>
          <w:sz w:val="22"/>
          <w:szCs w:val="22"/>
        </w:rPr>
        <w:t>01506/INFOEM/IP/RR/2025</w:t>
      </w:r>
      <w:r>
        <w:rPr>
          <w:rFonts w:ascii="Palatino Linotype" w:eastAsia="Palatino Linotype" w:hAnsi="Palatino Linotype" w:cs="Palatino Linotype"/>
          <w:sz w:val="22"/>
          <w:szCs w:val="22"/>
        </w:rPr>
        <w:t xml:space="preserve">, interpuesto por </w:t>
      </w:r>
      <w:proofErr w:type="spellStart"/>
      <w:r w:rsidRPr="00DE7880">
        <w:rPr>
          <w:rFonts w:ascii="Palatino Linotype" w:eastAsia="Palatino Linotype" w:hAnsi="Palatino Linotype" w:cs="Palatino Linotype"/>
          <w:b/>
          <w:sz w:val="22"/>
          <w:szCs w:val="22"/>
        </w:rPr>
        <w:t>monzerrat</w:t>
      </w:r>
      <w:proofErr w:type="spellEnd"/>
      <w:r w:rsidRPr="00DE7880">
        <w:rPr>
          <w:rFonts w:ascii="Palatino Linotype" w:eastAsia="Palatino Linotype" w:hAnsi="Palatino Linotype" w:cs="Palatino Linotype"/>
          <w:b/>
          <w:sz w:val="22"/>
          <w:szCs w:val="22"/>
        </w:rPr>
        <w:t xml:space="preserve"> contreras</w:t>
      </w:r>
      <w:r w:rsidR="00DE7880" w:rsidRPr="00DE7880">
        <w:rPr>
          <w:rFonts w:ascii="Palatino Linotype" w:eastAsia="Palatino Linotype" w:hAnsi="Palatino Linotype" w:cs="Palatino Linotype"/>
          <w:b/>
          <w:sz w:val="22"/>
          <w:szCs w:val="22"/>
        </w:rPr>
        <w:t xml:space="preserve"> </w:t>
      </w:r>
      <w:proofErr w:type="spellStart"/>
      <w:r w:rsidR="00DE7880" w:rsidRPr="00DE7880">
        <w:rPr>
          <w:rFonts w:ascii="Palatino Linotype" w:eastAsia="Palatino Linotype" w:hAnsi="Palatino Linotype" w:cs="Palatino Linotype"/>
          <w:b/>
          <w:sz w:val="22"/>
          <w:szCs w:val="22"/>
        </w:rPr>
        <w:t>contreras</w:t>
      </w:r>
      <w:proofErr w:type="spellEnd"/>
      <w:r>
        <w:rPr>
          <w:rFonts w:ascii="Palatino Linotype" w:eastAsia="Palatino Linotype" w:hAnsi="Palatino Linotype" w:cs="Palatino Linotype"/>
          <w:sz w:val="22"/>
          <w:szCs w:val="22"/>
        </w:rPr>
        <w:t xml:space="preserve"> en lo sucesivo la Recurrente o Particular, en contra de la respuesta del Sujeto Obligado, </w:t>
      </w:r>
      <w:r w:rsidRPr="00DE7880">
        <w:rPr>
          <w:rFonts w:ascii="Palatino Linotype" w:eastAsia="Palatino Linotype" w:hAnsi="Palatino Linotype" w:cs="Palatino Linotype"/>
          <w:b/>
          <w:color w:val="000000"/>
          <w:sz w:val="22"/>
          <w:szCs w:val="22"/>
        </w:rPr>
        <w:t xml:space="preserve">Ayuntamiento de </w:t>
      </w:r>
      <w:proofErr w:type="spellStart"/>
      <w:r w:rsidRPr="00DE7880">
        <w:rPr>
          <w:rFonts w:ascii="Palatino Linotype" w:eastAsia="Palatino Linotype" w:hAnsi="Palatino Linotype" w:cs="Palatino Linotype"/>
          <w:b/>
          <w:color w:val="000000"/>
          <w:sz w:val="22"/>
          <w:szCs w:val="22"/>
        </w:rPr>
        <w:t>Mexicaltzingo</w:t>
      </w:r>
      <w:proofErr w:type="spellEnd"/>
      <w:r w:rsidRPr="00DE7880">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a la solicitud de acceso a la información pública con número de folio </w:t>
      </w:r>
      <w:r>
        <w:rPr>
          <w:rFonts w:ascii="Palatino Linotype" w:eastAsia="Palatino Linotype" w:hAnsi="Palatino Linotype" w:cs="Palatino Linotype"/>
          <w:b/>
          <w:sz w:val="22"/>
          <w:szCs w:val="22"/>
        </w:rPr>
        <w:t>00015/MEXICAL/IP/2025</w:t>
      </w:r>
      <w:r>
        <w:rPr>
          <w:rFonts w:ascii="Palatino Linotype" w:eastAsia="Palatino Linotype" w:hAnsi="Palatino Linotype" w:cs="Palatino Linotype"/>
          <w:sz w:val="22"/>
          <w:szCs w:val="22"/>
        </w:rPr>
        <w:t>, se emite la presente Resolución, con base en los Antecedentes y Considerandos que se exponen a continuación:</w:t>
      </w:r>
    </w:p>
    <w:p w:rsidR="00734A47" w:rsidRDefault="00734A47">
      <w:pPr>
        <w:spacing w:line="360" w:lineRule="auto"/>
        <w:ind w:right="-28"/>
        <w:jc w:val="both"/>
        <w:rPr>
          <w:rFonts w:ascii="Palatino Linotype" w:eastAsia="Palatino Linotype" w:hAnsi="Palatino Linotype" w:cs="Palatino Linotype"/>
          <w:b/>
          <w:color w:val="0D0D0D"/>
          <w:sz w:val="22"/>
          <w:szCs w:val="22"/>
        </w:rPr>
      </w:pPr>
    </w:p>
    <w:p w:rsidR="00734A47" w:rsidRDefault="00BC2DDB">
      <w:pPr>
        <w:tabs>
          <w:tab w:val="center" w:pos="4522"/>
          <w:tab w:val="left" w:pos="7245"/>
          <w:tab w:val="right" w:pos="9044"/>
        </w:tabs>
        <w:spacing w:line="360" w:lineRule="auto"/>
        <w:ind w:right="-28"/>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 N T E C E D E N T E S</w:t>
      </w:r>
    </w:p>
    <w:p w:rsidR="00734A47" w:rsidRDefault="00734A47">
      <w:pPr>
        <w:tabs>
          <w:tab w:val="center" w:pos="4522"/>
          <w:tab w:val="left" w:pos="7245"/>
          <w:tab w:val="right" w:pos="9044"/>
        </w:tabs>
        <w:spacing w:line="360" w:lineRule="auto"/>
        <w:ind w:right="-28"/>
        <w:rPr>
          <w:rFonts w:ascii="Palatino Linotype" w:eastAsia="Palatino Linotype" w:hAnsi="Palatino Linotype" w:cs="Palatino Linotype"/>
          <w:b/>
          <w:sz w:val="22"/>
          <w:szCs w:val="22"/>
        </w:rPr>
      </w:pPr>
    </w:p>
    <w:p w:rsidR="00734A47" w:rsidRDefault="00BC2DDB">
      <w:pPr>
        <w:pBdr>
          <w:top w:val="nil"/>
          <w:left w:val="nil"/>
          <w:bottom w:val="nil"/>
          <w:right w:val="nil"/>
          <w:between w:val="nil"/>
        </w:pBdr>
        <w:tabs>
          <w:tab w:val="left" w:pos="567"/>
        </w:tabs>
        <w:spacing w:line="360" w:lineRule="auto"/>
        <w:ind w:right="-2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2"/>
          <w:szCs w:val="22"/>
        </w:rPr>
        <w:t>I. Presentación de la solicitud de información</w:t>
      </w:r>
    </w:p>
    <w:p w:rsidR="00734A47" w:rsidRDefault="00734A47">
      <w:pPr>
        <w:spacing w:line="360" w:lineRule="auto"/>
        <w:jc w:val="both"/>
        <w:rPr>
          <w:rFonts w:ascii="Palatino Linotype" w:eastAsia="Palatino Linotype" w:hAnsi="Palatino Linotype" w:cs="Palatino Linotype"/>
          <w:sz w:val="22"/>
          <w:szCs w:val="22"/>
        </w:rPr>
      </w:pP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fecha dieciséis de enero de dos mil veinticinco, la Particular presentó una solicitud de acceso a la información pública, a través del Sistema de Acceso a la Información Mexiquense, en lo sucesivo el SAIMEX, ante el </w:t>
      </w:r>
      <w:r>
        <w:rPr>
          <w:rFonts w:ascii="Palatino Linotype" w:eastAsia="Palatino Linotype" w:hAnsi="Palatino Linotype" w:cs="Palatino Linotype"/>
          <w:color w:val="000000"/>
          <w:sz w:val="22"/>
          <w:szCs w:val="22"/>
        </w:rPr>
        <w:t xml:space="preserve">Ayuntamiento de </w:t>
      </w:r>
      <w:proofErr w:type="spellStart"/>
      <w:r>
        <w:rPr>
          <w:rFonts w:ascii="Palatino Linotype" w:eastAsia="Palatino Linotype" w:hAnsi="Palatino Linotype" w:cs="Palatino Linotype"/>
          <w:color w:val="000000"/>
          <w:sz w:val="22"/>
          <w:szCs w:val="22"/>
        </w:rPr>
        <w:t>Mexicaltzingo</w:t>
      </w:r>
      <w:proofErr w:type="spellEnd"/>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mediante la cual requirió lo siguiente:</w:t>
      </w:r>
    </w:p>
    <w:p w:rsidR="00734A47" w:rsidRDefault="00734A47">
      <w:pPr>
        <w:tabs>
          <w:tab w:val="left" w:pos="4667"/>
        </w:tabs>
        <w:spacing w:line="360" w:lineRule="auto"/>
        <w:ind w:right="567"/>
        <w:jc w:val="both"/>
        <w:rPr>
          <w:rFonts w:ascii="Palatino Linotype" w:eastAsia="Palatino Linotype" w:hAnsi="Palatino Linotype" w:cs="Palatino Linotype"/>
          <w:b/>
          <w:i/>
        </w:rPr>
      </w:pPr>
    </w:p>
    <w:p w:rsidR="00734A47" w:rsidRDefault="00BC2DDB">
      <w:pPr>
        <w:tabs>
          <w:tab w:val="left" w:pos="4667"/>
        </w:tabs>
        <w:spacing w:line="360" w:lineRule="auto"/>
        <w:ind w:left="567" w:right="567"/>
        <w:jc w:val="both"/>
        <w:rPr>
          <w:rFonts w:ascii="Palatino Linotype" w:eastAsia="Palatino Linotype" w:hAnsi="Palatino Linotype" w:cs="Palatino Linotype"/>
          <w:b/>
          <w:i/>
        </w:rPr>
      </w:pPr>
      <w:bookmarkStart w:id="0" w:name="_heading=h.pfohkg41w0ct" w:colFirst="0" w:colLast="0"/>
      <w:bookmarkEnd w:id="0"/>
      <w:r>
        <w:rPr>
          <w:rFonts w:ascii="Palatino Linotype" w:eastAsia="Palatino Linotype" w:hAnsi="Palatino Linotype" w:cs="Palatino Linotype"/>
          <w:b/>
          <w:i/>
        </w:rPr>
        <w:t>DESCRIPCIÓN CLARA Y PRECISA DE LA INFORMACIÓN SOLICITADA</w:t>
      </w:r>
    </w:p>
    <w:p w:rsidR="00734A47" w:rsidRDefault="00BC2DDB">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color w:val="000000"/>
        </w:rPr>
        <w:t>“ACTA DE CAVILDO DONDE FUE APROBADO EL PRESUPUESTO PARA LA ADQUISION, COMPRA Y ENTREGA DE CANASTAS BASICAS.</w:t>
      </w:r>
      <w:r>
        <w:rPr>
          <w:rFonts w:ascii="Palatino Linotype" w:eastAsia="Palatino Linotype" w:hAnsi="Palatino Linotype" w:cs="Palatino Linotype"/>
          <w:i/>
        </w:rPr>
        <w:t xml:space="preserve">” </w:t>
      </w:r>
    </w:p>
    <w:p w:rsidR="00734A47" w:rsidRDefault="00BC2DDB">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(Sic).</w:t>
      </w:r>
    </w:p>
    <w:p w:rsidR="00734A47" w:rsidRDefault="00734A47">
      <w:pPr>
        <w:spacing w:line="360" w:lineRule="auto"/>
        <w:ind w:left="567" w:right="567"/>
        <w:jc w:val="both"/>
        <w:rPr>
          <w:rFonts w:ascii="Palatino Linotype" w:eastAsia="Palatino Linotype" w:hAnsi="Palatino Linotype" w:cs="Palatino Linotype"/>
          <w:i/>
        </w:rPr>
      </w:pPr>
    </w:p>
    <w:p w:rsidR="00734A47" w:rsidRDefault="00BC2DDB">
      <w:pPr>
        <w:tabs>
          <w:tab w:val="left" w:pos="4667"/>
        </w:tabs>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Modalidad de Entrega</w:t>
      </w:r>
      <w:proofErr w:type="gramStart"/>
      <w:r>
        <w:rPr>
          <w:rFonts w:ascii="Palatino Linotype" w:eastAsia="Palatino Linotype" w:hAnsi="Palatino Linotype" w:cs="Palatino Linotype"/>
          <w:b/>
          <w:i/>
        </w:rPr>
        <w:t xml:space="preserve">:  </w:t>
      </w:r>
      <w:r>
        <w:rPr>
          <w:rFonts w:ascii="Palatino Linotype" w:eastAsia="Palatino Linotype" w:hAnsi="Palatino Linotype" w:cs="Palatino Linotype"/>
          <w:i/>
        </w:rPr>
        <w:t>A</w:t>
      </w:r>
      <w:proofErr w:type="gramEnd"/>
      <w:r>
        <w:rPr>
          <w:rFonts w:ascii="Palatino Linotype" w:eastAsia="Palatino Linotype" w:hAnsi="Palatino Linotype" w:cs="Palatino Linotype"/>
          <w:i/>
        </w:rPr>
        <w:t xml:space="preserve"> través de SAIMEX  </w:t>
      </w:r>
    </w:p>
    <w:p w:rsidR="00734A47" w:rsidRDefault="00734A47">
      <w:pPr>
        <w:spacing w:line="360" w:lineRule="auto"/>
        <w:rPr>
          <w:rFonts w:ascii="Palatino Linotype" w:eastAsia="Palatino Linotype" w:hAnsi="Palatino Linotype" w:cs="Palatino Linotype"/>
          <w:b/>
          <w:sz w:val="22"/>
          <w:szCs w:val="22"/>
        </w:rPr>
      </w:pPr>
      <w:bookmarkStart w:id="1" w:name="_heading=h.ojxrjzlp7rar" w:colFirst="0" w:colLast="0"/>
      <w:bookmarkEnd w:id="1"/>
    </w:p>
    <w:p w:rsidR="00734A47" w:rsidRDefault="00734A47">
      <w:pPr>
        <w:spacing w:line="360" w:lineRule="auto"/>
        <w:rPr>
          <w:rFonts w:ascii="Palatino Linotype" w:eastAsia="Palatino Linotype" w:hAnsi="Palatino Linotype" w:cs="Palatino Linotype"/>
          <w:b/>
          <w:sz w:val="22"/>
          <w:szCs w:val="22"/>
        </w:rPr>
      </w:pPr>
    </w:p>
    <w:p w:rsidR="00734A47" w:rsidRDefault="00BC2DDB">
      <w:pPr>
        <w:pBdr>
          <w:top w:val="nil"/>
          <w:left w:val="nil"/>
          <w:bottom w:val="nil"/>
          <w:right w:val="nil"/>
          <w:between w:val="nil"/>
        </w:pBdr>
        <w:spacing w:line="360" w:lineRule="auto"/>
        <w:ind w:right="-3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II. Respuesta del Sujeto Obligado</w:t>
      </w:r>
    </w:p>
    <w:p w:rsidR="00734A47" w:rsidRDefault="00734A47">
      <w:pPr>
        <w:tabs>
          <w:tab w:val="left" w:pos="4667"/>
        </w:tabs>
        <w:spacing w:line="360" w:lineRule="auto"/>
        <w:ind w:right="567"/>
        <w:jc w:val="both"/>
        <w:rPr>
          <w:rFonts w:ascii="Palatino Linotype" w:eastAsia="Palatino Linotype" w:hAnsi="Palatino Linotype" w:cs="Palatino Linotype"/>
          <w:b/>
          <w:sz w:val="22"/>
          <w:szCs w:val="22"/>
        </w:rPr>
      </w:pP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siete de febrero de dos mil veinticinco, el</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Sujeto Obligado dio respuesta a la solicitud de acceso a la información a través del SAIMEX, por medio del oficio número PMM/SA/058/ENE/2025, del veintisiete de enero de dos mil veinticinco, suscrito por el Secretario del Ayuntamiento, dirigido a la Titular de la Unidad de Transparencia, por medio del cual manifiesta y expone lo siguiente:</w:t>
      </w:r>
    </w:p>
    <w:p w:rsidR="00734A47" w:rsidRDefault="00734A47">
      <w:pPr>
        <w:spacing w:line="360" w:lineRule="auto"/>
        <w:jc w:val="both"/>
        <w:rPr>
          <w:rFonts w:ascii="Palatino Linotype" w:eastAsia="Palatino Linotype" w:hAnsi="Palatino Linotype" w:cs="Palatino Linotype"/>
          <w:sz w:val="22"/>
          <w:szCs w:val="22"/>
        </w:rPr>
      </w:pPr>
    </w:p>
    <w:p w:rsidR="00734A47" w:rsidRDefault="00BC2DDB">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734A47" w:rsidRDefault="00BC2DDB">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Al respecto hago de su conocimiento de manera cautelar, lo siguiente:</w:t>
      </w:r>
    </w:p>
    <w:p w:rsidR="00734A47" w:rsidRDefault="00734A47">
      <w:pPr>
        <w:spacing w:line="360" w:lineRule="auto"/>
        <w:ind w:left="567" w:right="567"/>
        <w:jc w:val="both"/>
        <w:rPr>
          <w:rFonts w:ascii="Palatino Linotype" w:eastAsia="Palatino Linotype" w:hAnsi="Palatino Linotype" w:cs="Palatino Linotype"/>
          <w:i/>
        </w:rPr>
      </w:pPr>
    </w:p>
    <w:p w:rsidR="00734A47" w:rsidRDefault="00BC2DDB">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Pedir al solicitante especificar el año, administración en curso, presidente o presidenta en funciones; para que esta Secretaría del Ayuntamiento realice una búsqueda exhaustiva en los archivos y dar respuesta a tal solicitud.</w:t>
      </w:r>
    </w:p>
    <w:p w:rsidR="00734A47" w:rsidRDefault="00BC2DDB">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734A47" w:rsidRDefault="00734A47">
      <w:pPr>
        <w:spacing w:line="360" w:lineRule="auto"/>
        <w:ind w:right="-28"/>
        <w:jc w:val="both"/>
        <w:rPr>
          <w:rFonts w:ascii="Palatino Linotype" w:eastAsia="Palatino Linotype" w:hAnsi="Palatino Linotype" w:cs="Palatino Linotype"/>
          <w:sz w:val="22"/>
          <w:szCs w:val="22"/>
        </w:rPr>
      </w:pPr>
    </w:p>
    <w:p w:rsidR="00734A47" w:rsidRDefault="00BC2DDB">
      <w:pPr>
        <w:spacing w:line="360" w:lineRule="auto"/>
        <w:ind w:righ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III. Interposición del Recurso de Revisión</w:t>
      </w:r>
    </w:p>
    <w:p w:rsidR="00734A47" w:rsidRDefault="00734A47">
      <w:pPr>
        <w:spacing w:line="360" w:lineRule="auto"/>
        <w:ind w:right="-28"/>
        <w:jc w:val="both"/>
        <w:rPr>
          <w:rFonts w:ascii="Palatino Linotype" w:eastAsia="Palatino Linotype" w:hAnsi="Palatino Linotype" w:cs="Palatino Linotype"/>
          <w:sz w:val="22"/>
          <w:szCs w:val="22"/>
        </w:rPr>
      </w:pP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diecisiete de febrero de dos mil veinticinco, se recibió en este Instituto, a través del SAIMEX, el Recurso de Revisión interpuesto por la parte Recurrente, en contra de la respuesta del Sujeto Obligado</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en los siguientes términos:</w:t>
      </w:r>
    </w:p>
    <w:p w:rsidR="00734A47" w:rsidRDefault="00734A47">
      <w:pPr>
        <w:spacing w:line="360" w:lineRule="auto"/>
        <w:ind w:right="-28"/>
        <w:jc w:val="both"/>
        <w:rPr>
          <w:rFonts w:ascii="Palatino Linotype" w:eastAsia="Palatino Linotype" w:hAnsi="Palatino Linotype" w:cs="Palatino Linotype"/>
          <w:i/>
        </w:rPr>
      </w:pPr>
    </w:p>
    <w:p w:rsidR="00734A47" w:rsidRDefault="00BC2DDB">
      <w:pPr>
        <w:tabs>
          <w:tab w:val="left" w:pos="4667"/>
        </w:tabs>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ACTO IMPUGNADO</w:t>
      </w:r>
    </w:p>
    <w:p w:rsidR="00734A47" w:rsidRDefault="00BC2DDB">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“Me fue negada la información como ciudadano tengo derecho a conocer en que se gastan mis impuestos</w:t>
      </w:r>
      <w:r>
        <w:rPr>
          <w:rFonts w:ascii="Palatino Linotype" w:eastAsia="Palatino Linotype" w:hAnsi="Palatino Linotype" w:cs="Palatino Linotype"/>
          <w:i/>
          <w:color w:val="000000"/>
        </w:rPr>
        <w:t>.</w:t>
      </w:r>
      <w:r>
        <w:rPr>
          <w:rFonts w:ascii="Palatino Linotype" w:eastAsia="Palatino Linotype" w:hAnsi="Palatino Linotype" w:cs="Palatino Linotype"/>
          <w:i/>
        </w:rPr>
        <w:t>” (Sic.)</w:t>
      </w:r>
    </w:p>
    <w:p w:rsidR="00734A47" w:rsidRDefault="00734A47">
      <w:pPr>
        <w:tabs>
          <w:tab w:val="left" w:pos="4667"/>
        </w:tabs>
        <w:spacing w:line="360" w:lineRule="auto"/>
        <w:ind w:left="567" w:right="567"/>
        <w:jc w:val="both"/>
        <w:rPr>
          <w:rFonts w:ascii="Palatino Linotype" w:eastAsia="Palatino Linotype" w:hAnsi="Palatino Linotype" w:cs="Palatino Linotype"/>
          <w:i/>
        </w:rPr>
      </w:pPr>
    </w:p>
    <w:p w:rsidR="00734A47" w:rsidRDefault="00BC2DDB">
      <w:pPr>
        <w:tabs>
          <w:tab w:val="left" w:pos="4667"/>
        </w:tabs>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RAZONES O MOTIVOS DE LA INCONFORMIDAD</w:t>
      </w:r>
    </w:p>
    <w:p w:rsidR="00734A47" w:rsidRDefault="00BC2DDB">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color w:val="000000"/>
        </w:rPr>
        <w:t>No fue lo solicitado.</w:t>
      </w:r>
    </w:p>
    <w:p w:rsidR="00734A47" w:rsidRDefault="00734A47">
      <w:pPr>
        <w:spacing w:line="360" w:lineRule="auto"/>
        <w:ind w:right="-28"/>
        <w:jc w:val="both"/>
        <w:rPr>
          <w:rFonts w:ascii="Palatino Linotype" w:eastAsia="Palatino Linotype" w:hAnsi="Palatino Linotype" w:cs="Palatino Linotype"/>
          <w:b/>
          <w:sz w:val="22"/>
          <w:szCs w:val="22"/>
        </w:rPr>
      </w:pPr>
    </w:p>
    <w:p w:rsidR="00734A47" w:rsidRDefault="00BC2DDB">
      <w:pPr>
        <w:spacing w:line="360" w:lineRule="auto"/>
        <w:ind w:righ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IV. Trámite del Recurso de Revisión ante el Instituto</w:t>
      </w:r>
    </w:p>
    <w:p w:rsidR="00734A47" w:rsidRDefault="00734A47">
      <w:pPr>
        <w:spacing w:line="360" w:lineRule="auto"/>
        <w:ind w:right="-28"/>
        <w:jc w:val="both"/>
        <w:rPr>
          <w:rFonts w:ascii="Palatino Linotype" w:eastAsia="Palatino Linotype" w:hAnsi="Palatino Linotype" w:cs="Palatino Linotype"/>
          <w:b/>
          <w:sz w:val="22"/>
          <w:szCs w:val="22"/>
        </w:rPr>
      </w:pP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a) Turno del Recurso de Revisión. </w:t>
      </w:r>
      <w:r>
        <w:rPr>
          <w:rFonts w:ascii="Palatino Linotype" w:eastAsia="Palatino Linotype" w:hAnsi="Palatino Linotype" w:cs="Palatino Linotype"/>
          <w:sz w:val="22"/>
          <w:szCs w:val="22"/>
        </w:rPr>
        <w:t xml:space="preserve">El diecisiete de febrero de dos mil veinticinco, el SAIMEX, asignó el número de expediente </w:t>
      </w:r>
      <w:r>
        <w:rPr>
          <w:rFonts w:ascii="Palatino Linotype" w:eastAsia="Palatino Linotype" w:hAnsi="Palatino Linotype" w:cs="Palatino Linotype"/>
          <w:b/>
          <w:sz w:val="22"/>
          <w:szCs w:val="22"/>
        </w:rPr>
        <w:t xml:space="preserve">01506/INFOEM/IP/RR/2025, </w:t>
      </w:r>
      <w:r>
        <w:rPr>
          <w:rFonts w:ascii="Palatino Linotype" w:eastAsia="Palatino Linotype" w:hAnsi="Palatino Linotype" w:cs="Palatino Linotype"/>
          <w:sz w:val="22"/>
          <w:szCs w:val="22"/>
        </w:rPr>
        <w:t xml:space="preserve">al Recurso de Revisión y lo turnó al Comisionado Ponente </w:t>
      </w:r>
      <w:r>
        <w:rPr>
          <w:rFonts w:ascii="Palatino Linotype" w:eastAsia="Palatino Linotype" w:hAnsi="Palatino Linotype" w:cs="Palatino Linotype"/>
          <w:b/>
          <w:sz w:val="22"/>
          <w:szCs w:val="22"/>
        </w:rPr>
        <w:t>Luis Gustavo Parra Noriega</w:t>
      </w:r>
      <w:r>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rsidR="00734A47" w:rsidRDefault="00734A47">
      <w:pPr>
        <w:spacing w:line="360" w:lineRule="auto"/>
        <w:ind w:right="-28"/>
        <w:jc w:val="both"/>
        <w:rPr>
          <w:rFonts w:ascii="Palatino Linotype" w:eastAsia="Palatino Linotype" w:hAnsi="Palatino Linotype" w:cs="Palatino Linotype"/>
          <w:sz w:val="22"/>
          <w:szCs w:val="22"/>
        </w:rPr>
      </w:pP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b) Admisión del Recurso de Revisión. </w:t>
      </w:r>
      <w:r>
        <w:rPr>
          <w:rFonts w:ascii="Palatino Linotype" w:eastAsia="Palatino Linotype" w:hAnsi="Palatino Linotype" w:cs="Palatino Linotype"/>
          <w:sz w:val="22"/>
          <w:szCs w:val="22"/>
        </w:rPr>
        <w:t>El veinte de febrero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SAIMEX, en el que se les otorgó un plazo de siete días hábiles posteriores a la misma, para que manifestaran lo que a su derecho conviniera y formularan alegatos.</w:t>
      </w:r>
    </w:p>
    <w:p w:rsidR="00734A47" w:rsidRDefault="00734A47">
      <w:pPr>
        <w:spacing w:line="360" w:lineRule="auto"/>
        <w:jc w:val="both"/>
        <w:rPr>
          <w:rFonts w:ascii="Palatino Linotype" w:eastAsia="Palatino Linotype" w:hAnsi="Palatino Linotype" w:cs="Palatino Linotype"/>
          <w:sz w:val="22"/>
          <w:szCs w:val="22"/>
        </w:rPr>
      </w:pP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color w:val="000000"/>
          <w:sz w:val="22"/>
          <w:szCs w:val="22"/>
        </w:rPr>
        <w:t>c) Informe Justificado.</w:t>
      </w:r>
      <w:r>
        <w:rPr>
          <w:rFonts w:ascii="Palatino Linotype" w:eastAsia="Palatino Linotype" w:hAnsi="Palatino Linotype" w:cs="Palatino Linotype"/>
          <w:sz w:val="22"/>
          <w:szCs w:val="22"/>
        </w:rPr>
        <w:t xml:space="preserve"> El veintiocho de febrero de dos mil veinticinco, se recibió en este Instituto, a través del SAIMEX, el Informe Justificado, por parte del Sujeto Obligado, por medio de oficio número PMM/SA/196/FEB/2025, de fecha de su presentación, suscrito por el </w:t>
      </w:r>
      <w:r>
        <w:rPr>
          <w:rFonts w:ascii="Palatino Linotype" w:eastAsia="Palatino Linotype" w:hAnsi="Palatino Linotype" w:cs="Palatino Linotype"/>
          <w:sz w:val="22"/>
          <w:szCs w:val="22"/>
        </w:rPr>
        <w:lastRenderedPageBreak/>
        <w:t>Secretario del Ayuntamiento, dirigido a la Titular de la Unidad de Transparencia, por medio del cual manifiesta y expone lo siguiente:</w:t>
      </w:r>
    </w:p>
    <w:p w:rsidR="00734A47" w:rsidRDefault="00734A47">
      <w:pPr>
        <w:spacing w:line="360" w:lineRule="auto"/>
        <w:jc w:val="both"/>
        <w:rPr>
          <w:rFonts w:ascii="Palatino Linotype" w:eastAsia="Palatino Linotype" w:hAnsi="Palatino Linotype" w:cs="Palatino Linotype"/>
          <w:sz w:val="22"/>
          <w:szCs w:val="22"/>
        </w:rPr>
      </w:pPr>
    </w:p>
    <w:p w:rsidR="00734A47" w:rsidRDefault="00BC2DDB">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734A47" w:rsidRDefault="00BC2DDB">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De acuerdo al criterio 3/19 del Instituto Nacional de Transparencia, Acceso a la Información y Protección de Datos (INAI), con fundamento en el artículo 91 fracción IV de la Ley Orgánica Municipal del Estado de México, </w:t>
      </w:r>
      <w:r>
        <w:rPr>
          <w:rFonts w:ascii="Palatino Linotype" w:eastAsia="Palatino Linotype" w:hAnsi="Palatino Linotype" w:cs="Palatino Linotype"/>
          <w:b/>
          <w:i/>
        </w:rPr>
        <w:t>dentro de las Actas de Cabildo de fecha 16 de enero de 2024 al 16 de enero de 2025 no se encuentra dentro de los puntos tratados el presupuesto para la adquisición, compra y entrega de canastas básicas</w:t>
      </w:r>
      <w:r>
        <w:rPr>
          <w:rFonts w:ascii="Palatino Linotype" w:eastAsia="Palatino Linotype" w:hAnsi="Palatino Linotype" w:cs="Palatino Linotype"/>
          <w:i/>
        </w:rPr>
        <w:t xml:space="preserve">.  </w:t>
      </w:r>
    </w:p>
    <w:p w:rsidR="00734A47" w:rsidRDefault="00BC2DDB">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734A47" w:rsidRDefault="00734A47">
      <w:pPr>
        <w:spacing w:line="360" w:lineRule="auto"/>
        <w:jc w:val="both"/>
        <w:rPr>
          <w:rFonts w:ascii="Palatino Linotype" w:eastAsia="Palatino Linotype" w:hAnsi="Palatino Linotype" w:cs="Palatino Linotype"/>
          <w:sz w:val="22"/>
          <w:szCs w:val="22"/>
        </w:rPr>
      </w:pPr>
    </w:p>
    <w:p w:rsidR="00734A47" w:rsidRDefault="00BC2DDB">
      <w:pP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 xml:space="preserve">d) Vista del informe justificado. </w:t>
      </w:r>
      <w:r>
        <w:rPr>
          <w:rFonts w:ascii="Palatino Linotype" w:eastAsia="Palatino Linotype" w:hAnsi="Palatino Linotype" w:cs="Palatino Linotype"/>
          <w:sz w:val="22"/>
          <w:szCs w:val="22"/>
        </w:rPr>
        <w:t xml:space="preserve">El diecinueve de marzo de dos mil veinticinco, se dictó acuerdo mediante el cual se puso a la vista de la Particular el Informe Justificado entregado por el Sujeto Obligado, el cual fue notificado, a través del SAIMEX el mismo día. </w:t>
      </w:r>
    </w:p>
    <w:p w:rsidR="00734A47" w:rsidRDefault="00734A47">
      <w:pPr>
        <w:spacing w:line="360" w:lineRule="auto"/>
        <w:jc w:val="both"/>
        <w:rPr>
          <w:rFonts w:ascii="Palatino Linotype" w:eastAsia="Palatino Linotype" w:hAnsi="Palatino Linotype" w:cs="Palatino Linotype"/>
          <w:b/>
          <w:sz w:val="22"/>
          <w:szCs w:val="22"/>
        </w:rPr>
      </w:pPr>
    </w:p>
    <w:p w:rsidR="00734A47" w:rsidRDefault="00BC2DDB">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e) Cierre de instrucción. </w:t>
      </w:r>
      <w:r>
        <w:rPr>
          <w:rFonts w:ascii="Palatino Linotype" w:eastAsia="Palatino Linotype" w:hAnsi="Palatino Linotype" w:cs="Palatino Linotype"/>
          <w:sz w:val="22"/>
          <w:szCs w:val="22"/>
        </w:rPr>
        <w:t>El veinticinco de marzo de dos mil veinticinco,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SAIMEX.</w:t>
      </w:r>
    </w:p>
    <w:p w:rsidR="00734A47" w:rsidRDefault="00734A47">
      <w:pPr>
        <w:spacing w:line="360" w:lineRule="auto"/>
        <w:ind w:right="-28"/>
        <w:jc w:val="both"/>
        <w:rPr>
          <w:rFonts w:ascii="Palatino Linotype" w:eastAsia="Palatino Linotype" w:hAnsi="Palatino Linotype" w:cs="Palatino Linotype"/>
          <w:sz w:val="22"/>
          <w:szCs w:val="22"/>
        </w:rPr>
      </w:pPr>
    </w:p>
    <w:p w:rsidR="00734A47" w:rsidRDefault="00BC2DDB">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razón de que fue debidamente sustanciado el expediente electrónico y no existe diligencia pendiente de desahogo, se emite la resolución que conforme a Derecho proceda, de acuerdo a los siguientes:</w:t>
      </w:r>
    </w:p>
    <w:p w:rsidR="00734A47" w:rsidRDefault="00734A47">
      <w:pPr>
        <w:spacing w:line="360" w:lineRule="auto"/>
        <w:ind w:right="-28"/>
        <w:jc w:val="center"/>
        <w:rPr>
          <w:rFonts w:ascii="Palatino Linotype" w:eastAsia="Palatino Linotype" w:hAnsi="Palatino Linotype" w:cs="Palatino Linotype"/>
          <w:b/>
          <w:sz w:val="22"/>
          <w:szCs w:val="22"/>
        </w:rPr>
      </w:pPr>
    </w:p>
    <w:p w:rsidR="00734A47" w:rsidRDefault="00BC2DDB">
      <w:pPr>
        <w:spacing w:line="360" w:lineRule="auto"/>
        <w:ind w:right="-28"/>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C O N S I D E R A N D O S</w:t>
      </w:r>
    </w:p>
    <w:p w:rsidR="00734A47" w:rsidRDefault="00734A47">
      <w:pPr>
        <w:spacing w:line="360" w:lineRule="auto"/>
        <w:ind w:right="-28"/>
        <w:jc w:val="center"/>
        <w:rPr>
          <w:rFonts w:ascii="Palatino Linotype" w:eastAsia="Palatino Linotype" w:hAnsi="Palatino Linotype" w:cs="Palatino Linotype"/>
          <w:b/>
          <w:sz w:val="22"/>
          <w:szCs w:val="22"/>
        </w:rPr>
      </w:pPr>
    </w:p>
    <w:p w:rsidR="00734A47" w:rsidRDefault="00BC2DDB">
      <w:pPr>
        <w:spacing w:line="360" w:lineRule="auto"/>
        <w:ind w:right="-28"/>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PRIMERO</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sz w:val="22"/>
          <w:szCs w:val="22"/>
        </w:rPr>
        <w:t>Competencia</w:t>
      </w:r>
    </w:p>
    <w:p w:rsidR="00734A47" w:rsidRDefault="00734A47">
      <w:pPr>
        <w:spacing w:line="360" w:lineRule="auto"/>
        <w:ind w:right="-28"/>
        <w:jc w:val="both"/>
        <w:rPr>
          <w:rFonts w:ascii="Palatino Linotype" w:eastAsia="Palatino Linotype" w:hAnsi="Palatino Linotype" w:cs="Palatino Linotype"/>
          <w:b/>
          <w:sz w:val="22"/>
          <w:szCs w:val="22"/>
        </w:rPr>
      </w:pPr>
    </w:p>
    <w:p w:rsidR="00734A47" w:rsidRDefault="00BC2DDB">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Pr>
          <w:rFonts w:ascii="Palatino Linotype" w:eastAsia="Palatino Linotype" w:hAnsi="Palatino Linotype" w:cs="Palatino Linotype"/>
          <w:color w:val="000000"/>
        </w:rPr>
        <w:t xml:space="preserve"> 7°, </w:t>
      </w:r>
      <w:r>
        <w:rPr>
          <w:rFonts w:ascii="Palatino Linotype" w:eastAsia="Palatino Linotype" w:hAnsi="Palatino Linotype" w:cs="Palatino Linotype"/>
          <w:color w:val="000000"/>
          <w:sz w:val="22"/>
          <w:szCs w:val="22"/>
        </w:rPr>
        <w:t>9°, fracciones I y XXIII y 11 del Reglamento Interior del Instituto de Transparencia, Acceso a la Información Pública y Protección de Datos Personales del Estado de México y Municipios.</w:t>
      </w:r>
    </w:p>
    <w:p w:rsidR="00734A47" w:rsidRDefault="00734A47">
      <w:pPr>
        <w:spacing w:line="360" w:lineRule="auto"/>
        <w:ind w:right="-28"/>
        <w:jc w:val="both"/>
        <w:rPr>
          <w:rFonts w:ascii="Palatino Linotype" w:eastAsia="Palatino Linotype" w:hAnsi="Palatino Linotype" w:cs="Palatino Linotype"/>
          <w:color w:val="000000"/>
          <w:sz w:val="22"/>
          <w:szCs w:val="22"/>
        </w:rPr>
      </w:pPr>
    </w:p>
    <w:p w:rsidR="00734A47" w:rsidRDefault="00BC2DDB">
      <w:pPr>
        <w:spacing w:line="360" w:lineRule="auto"/>
        <w:ind w:right="-2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SEGUNDO. Causales de improcedencia y sobreseimiento</w:t>
      </w:r>
    </w:p>
    <w:p w:rsidR="00734A47" w:rsidRDefault="00734A47">
      <w:pPr>
        <w:spacing w:line="360" w:lineRule="auto"/>
        <w:ind w:right="-28"/>
        <w:jc w:val="both"/>
        <w:rPr>
          <w:rFonts w:ascii="Palatino Linotype" w:eastAsia="Palatino Linotype" w:hAnsi="Palatino Linotype" w:cs="Palatino Linotype"/>
          <w:b/>
          <w:color w:val="000000"/>
          <w:sz w:val="22"/>
          <w:szCs w:val="22"/>
        </w:rPr>
      </w:pP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proofErr w:type="spellStart"/>
      <w:r>
        <w:rPr>
          <w:rFonts w:ascii="Palatino Linotype" w:eastAsia="Palatino Linotype" w:hAnsi="Palatino Linotype" w:cs="Palatino Linotype"/>
          <w:i/>
          <w:sz w:val="22"/>
          <w:szCs w:val="22"/>
        </w:rPr>
        <w:t>litis</w:t>
      </w:r>
      <w:proofErr w:type="spellEnd"/>
      <w:r>
        <w:rPr>
          <w:rFonts w:ascii="Palatino Linotype" w:eastAsia="Palatino Linotype" w:hAnsi="Palatino Linotype" w:cs="Palatino Linotype"/>
          <w:sz w:val="22"/>
          <w:szCs w:val="22"/>
        </w:rPr>
        <w:t>, es necesario estudiar las causales de improcedencia, para determinar lo que en Derecho proceda.</w:t>
      </w:r>
    </w:p>
    <w:p w:rsidR="00734A47" w:rsidRDefault="00734A47">
      <w:pPr>
        <w:spacing w:line="360" w:lineRule="auto"/>
        <w:jc w:val="both"/>
        <w:rPr>
          <w:rFonts w:ascii="Palatino Linotype" w:eastAsia="Palatino Linotype" w:hAnsi="Palatino Linotype" w:cs="Palatino Linotype"/>
          <w:b/>
          <w:color w:val="000000"/>
          <w:sz w:val="22"/>
          <w:szCs w:val="22"/>
        </w:rPr>
      </w:pPr>
    </w:p>
    <w:p w:rsidR="00734A47" w:rsidRDefault="00BC2DDB">
      <w:pP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Causales de improcedencia</w:t>
      </w:r>
    </w:p>
    <w:p w:rsidR="00734A47" w:rsidRDefault="00734A47">
      <w:pPr>
        <w:spacing w:line="360" w:lineRule="auto"/>
        <w:jc w:val="both"/>
        <w:rPr>
          <w:rFonts w:ascii="Palatino Linotype" w:eastAsia="Palatino Linotype" w:hAnsi="Palatino Linotype" w:cs="Palatino Linotype"/>
          <w:b/>
          <w:color w:val="000000"/>
          <w:sz w:val="22"/>
          <w:szCs w:val="22"/>
        </w:rPr>
      </w:pPr>
    </w:p>
    <w:p w:rsidR="00734A47" w:rsidRDefault="00BC2DDB">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Este Instituto realizará el estudio oficioso de las causales de improcedencia, por tratarse de una cuestión de orden público y de estudio preferente (acorde con el Criterio orientador en la </w:t>
      </w:r>
      <w:r>
        <w:rPr>
          <w:rFonts w:ascii="Palatino Linotype" w:eastAsia="Palatino Linotype" w:hAnsi="Palatino Linotype" w:cs="Palatino Linotype"/>
          <w:color w:val="000000"/>
          <w:sz w:val="22"/>
          <w:szCs w:val="22"/>
        </w:rPr>
        <w:lastRenderedPageBreak/>
        <w:t>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734A47" w:rsidRDefault="00734A47">
      <w:pPr>
        <w:spacing w:line="360" w:lineRule="auto"/>
        <w:ind w:right="-28"/>
        <w:jc w:val="both"/>
        <w:rPr>
          <w:rFonts w:ascii="Palatino Linotype" w:eastAsia="Palatino Linotype" w:hAnsi="Palatino Linotype" w:cs="Palatino Linotype"/>
          <w:color w:val="000000"/>
          <w:sz w:val="22"/>
          <w:szCs w:val="22"/>
        </w:rPr>
      </w:pPr>
    </w:p>
    <w:p w:rsidR="00734A47" w:rsidRDefault="00BC2DDB">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En el presente caso, </w:t>
      </w:r>
      <w:r>
        <w:rPr>
          <w:rFonts w:ascii="Palatino Linotype" w:eastAsia="Palatino Linotype" w:hAnsi="Palatino Linotype" w:cs="Palatino Linotype"/>
          <w:b/>
          <w:sz w:val="22"/>
          <w:szCs w:val="22"/>
        </w:rPr>
        <w:t>no se actualiza ninguna de las causales de improcedencia</w:t>
      </w:r>
      <w:r>
        <w:rPr>
          <w:rFonts w:ascii="Palatino Linotype" w:eastAsia="Palatino Linotype" w:hAnsi="Palatino Linotype" w:cs="Palatino Linotype"/>
          <w:sz w:val="22"/>
          <w:szCs w:val="22"/>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 además de que </w:t>
      </w:r>
      <w:r>
        <w:rPr>
          <w:rFonts w:ascii="Palatino Linotype" w:eastAsia="Palatino Linotype" w:hAnsi="Palatino Linotype" w:cs="Palatino Linotype"/>
          <w:color w:val="000000"/>
          <w:sz w:val="22"/>
          <w:szCs w:val="22"/>
        </w:rPr>
        <w:t>el medio de impugnación fue presentado en tiempo.</w:t>
      </w:r>
    </w:p>
    <w:p w:rsidR="00734A47" w:rsidRDefault="00734A47">
      <w:pPr>
        <w:spacing w:line="360" w:lineRule="auto"/>
        <w:jc w:val="both"/>
        <w:rPr>
          <w:rFonts w:ascii="Palatino Linotype" w:eastAsia="Palatino Linotype" w:hAnsi="Palatino Linotype" w:cs="Palatino Linotype"/>
          <w:color w:val="000000"/>
          <w:sz w:val="22"/>
          <w:szCs w:val="22"/>
        </w:rPr>
      </w:pPr>
    </w:p>
    <w:p w:rsidR="00734A47" w:rsidRDefault="00BC2DDB">
      <w:pPr>
        <w:widowControl w:val="0"/>
        <w:spacing w:line="360" w:lineRule="auto"/>
        <w:jc w:val="both"/>
        <w:rPr>
          <w:rFonts w:ascii="Palatino Linotype" w:eastAsia="Palatino Linotype" w:hAnsi="Palatino Linotype" w:cs="Palatino Linotype"/>
          <w:sz w:val="22"/>
          <w:szCs w:val="22"/>
        </w:rPr>
      </w:pPr>
      <w:bookmarkStart w:id="2" w:name="_heading=h.adjwifjkf025" w:colFirst="0" w:colLast="0"/>
      <w:bookmarkEnd w:id="2"/>
      <w:r>
        <w:rPr>
          <w:rFonts w:ascii="Palatino Linotype" w:eastAsia="Palatino Linotype" w:hAnsi="Palatino Linotype" w:cs="Palatino Linotype"/>
          <w:sz w:val="22"/>
          <w:szCs w:val="22"/>
        </w:rPr>
        <w:t xml:space="preserve">Asimismo, se actualiza la causal de procedencia del Recurso de Revisión señalada en el artículo 179, fracción VI de la Ley en cita, </w:t>
      </w:r>
      <w:r>
        <w:rPr>
          <w:rFonts w:ascii="Palatino Linotype" w:eastAsia="Palatino Linotype" w:hAnsi="Palatino Linotype" w:cs="Palatino Linotype"/>
          <w:color w:val="000000"/>
          <w:sz w:val="22"/>
          <w:szCs w:val="22"/>
        </w:rPr>
        <w:t xml:space="preserve">pues el Recurrente se inconformó con </w:t>
      </w:r>
      <w:r>
        <w:rPr>
          <w:rFonts w:ascii="Palatino Linotype" w:eastAsia="Palatino Linotype" w:hAnsi="Palatino Linotype" w:cs="Palatino Linotype"/>
          <w:sz w:val="22"/>
          <w:szCs w:val="22"/>
        </w:rPr>
        <w:t>la entrega de información que no corresponde con lo solicitado.</w:t>
      </w:r>
    </w:p>
    <w:p w:rsidR="00734A47" w:rsidRDefault="00734A47">
      <w:pPr>
        <w:spacing w:line="360" w:lineRule="auto"/>
        <w:jc w:val="both"/>
        <w:rPr>
          <w:rFonts w:ascii="Palatino Linotype" w:eastAsia="Palatino Linotype" w:hAnsi="Palatino Linotype" w:cs="Palatino Linotype"/>
          <w:b/>
          <w:color w:val="0D0D0D"/>
          <w:sz w:val="22"/>
          <w:szCs w:val="22"/>
        </w:rPr>
      </w:pPr>
    </w:p>
    <w:p w:rsidR="00734A47" w:rsidRDefault="00BC2DDB">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b/>
          <w:color w:val="0D0D0D"/>
          <w:sz w:val="22"/>
          <w:szCs w:val="22"/>
        </w:rPr>
        <w:t>Causales de sobreseimiento</w:t>
      </w:r>
    </w:p>
    <w:p w:rsidR="00734A47" w:rsidRDefault="00734A47">
      <w:pPr>
        <w:spacing w:line="360" w:lineRule="auto"/>
        <w:jc w:val="both"/>
        <w:rPr>
          <w:rFonts w:ascii="Palatino Linotype" w:eastAsia="Palatino Linotype" w:hAnsi="Palatino Linotype" w:cs="Palatino Linotype"/>
          <w:color w:val="0D0D0D"/>
          <w:sz w:val="22"/>
          <w:szCs w:val="22"/>
        </w:rPr>
      </w:pP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ser de previo y especial pronunciamiento, este Instituto analiza si se actualiza alguna causal de sobreseimiento.</w:t>
      </w:r>
    </w:p>
    <w:p w:rsidR="00734A47" w:rsidRDefault="00734A47">
      <w:pPr>
        <w:spacing w:line="360" w:lineRule="auto"/>
        <w:jc w:val="both"/>
        <w:rPr>
          <w:rFonts w:ascii="Palatino Linotype" w:eastAsia="Palatino Linotype" w:hAnsi="Palatino Linotype" w:cs="Palatino Linotype"/>
          <w:sz w:val="22"/>
          <w:szCs w:val="22"/>
        </w:rPr>
      </w:pP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00734A47" w:rsidRDefault="00734A47">
      <w:pPr>
        <w:spacing w:line="360" w:lineRule="auto"/>
        <w:jc w:val="both"/>
        <w:rPr>
          <w:rFonts w:ascii="Palatino Linotype" w:eastAsia="Palatino Linotype" w:hAnsi="Palatino Linotype" w:cs="Palatino Linotype"/>
          <w:sz w:val="22"/>
          <w:szCs w:val="22"/>
        </w:rPr>
      </w:pPr>
    </w:p>
    <w:p w:rsidR="00734A47" w:rsidRDefault="00BC2DDB">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tales motivos, se considera procedente entrar al fondo del presente asunto. </w:t>
      </w:r>
    </w:p>
    <w:p w:rsidR="00734A47" w:rsidRDefault="00734A47">
      <w:pPr>
        <w:tabs>
          <w:tab w:val="left" w:pos="4962"/>
        </w:tabs>
        <w:spacing w:line="360" w:lineRule="auto"/>
        <w:jc w:val="both"/>
        <w:rPr>
          <w:rFonts w:ascii="Palatino Linotype" w:eastAsia="Palatino Linotype" w:hAnsi="Palatino Linotype" w:cs="Palatino Linotype"/>
          <w:sz w:val="22"/>
          <w:szCs w:val="22"/>
        </w:rPr>
      </w:pPr>
    </w:p>
    <w:p w:rsidR="00734A47" w:rsidRDefault="00BC2DDB">
      <w:pPr>
        <w:tabs>
          <w:tab w:val="left" w:pos="4962"/>
        </w:tabs>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TERCERO. Determinación de la Controversia</w:t>
      </w:r>
    </w:p>
    <w:p w:rsidR="00734A47" w:rsidRDefault="00734A47">
      <w:pPr>
        <w:tabs>
          <w:tab w:val="left" w:pos="4962"/>
        </w:tabs>
        <w:spacing w:line="360" w:lineRule="auto"/>
        <w:jc w:val="both"/>
        <w:rPr>
          <w:rFonts w:ascii="Palatino Linotype" w:eastAsia="Palatino Linotype" w:hAnsi="Palatino Linotype" w:cs="Palatino Linotype"/>
          <w:b/>
          <w:sz w:val="22"/>
          <w:szCs w:val="22"/>
        </w:rPr>
      </w:pP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Una vez realizado el estudio de las constancias que integran el expediente en que se actúa, se desprende que la persona Recurrente solicitó, El Acta de Cabildo donde se aprobó el presupuesto para la adquisición, compra y entrega de Canastas Alimentarias. En respuesta, el Sujeto Obligado a través de la Secretaría del Ayuntamiento requirió al Solicitante a efecto de que especificara el año y administración de la cual requería la información, para realizar la búsqueda en los archivos y dar respuesta a la solicitud.</w:t>
      </w:r>
    </w:p>
    <w:p w:rsidR="00734A47" w:rsidRDefault="00734A47">
      <w:pPr>
        <w:spacing w:line="360" w:lineRule="auto"/>
        <w:jc w:val="both"/>
        <w:rPr>
          <w:rFonts w:ascii="Palatino Linotype" w:eastAsia="Palatino Linotype" w:hAnsi="Palatino Linotype" w:cs="Palatino Linotype"/>
          <w:sz w:val="22"/>
          <w:szCs w:val="22"/>
        </w:rPr>
      </w:pP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Ante dicha circunstancia, el Particular se agravió con la negativa a la entrega de la información, lo cual actualiza la causal de procedencia prevista en la fracción I del artículo 179 de la Ley de Transparencia y Acceso a la Información Pública del Estado de México y Municipios. </w:t>
      </w:r>
    </w:p>
    <w:p w:rsidR="00734A47" w:rsidRDefault="00734A47">
      <w:pPr>
        <w:spacing w:line="360" w:lineRule="auto"/>
        <w:jc w:val="both"/>
        <w:rPr>
          <w:rFonts w:ascii="Palatino Linotype" w:eastAsia="Palatino Linotype" w:hAnsi="Palatino Linotype" w:cs="Palatino Linotype"/>
          <w:sz w:val="22"/>
          <w:szCs w:val="22"/>
        </w:rPr>
      </w:pP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las cosas, admitido y notificado el Recurso de Revisión a las partes, la Secretaría del Ayuntamiento informó que, dentro de las actas de cabildo del dieciséis de enero de dos mil </w:t>
      </w:r>
      <w:r>
        <w:rPr>
          <w:rFonts w:ascii="Palatino Linotype" w:eastAsia="Palatino Linotype" w:hAnsi="Palatino Linotype" w:cs="Palatino Linotype"/>
          <w:sz w:val="22"/>
          <w:szCs w:val="22"/>
        </w:rPr>
        <w:lastRenderedPageBreak/>
        <w:t>veinticuatro, al dieciséis de enero de dos mil veinticinco, no se encontraba dentro de los puntos tratados el presupuesto para la adquisición, compra y entrega de canastas básicas.</w:t>
      </w:r>
    </w:p>
    <w:p w:rsidR="00734A47" w:rsidRDefault="00734A47">
      <w:pPr>
        <w:spacing w:line="360" w:lineRule="auto"/>
        <w:jc w:val="both"/>
        <w:rPr>
          <w:rFonts w:ascii="Palatino Linotype" w:eastAsia="Palatino Linotype" w:hAnsi="Palatino Linotype" w:cs="Palatino Linotype"/>
          <w:sz w:val="22"/>
          <w:szCs w:val="22"/>
        </w:rPr>
      </w:pPr>
    </w:p>
    <w:p w:rsidR="00734A47" w:rsidRDefault="00BC2DDB">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 en: la solicitud de acceso a la información, la respuesta proporcionada, el escrito </w:t>
      </w:r>
      <w:proofErr w:type="spellStart"/>
      <w:r>
        <w:rPr>
          <w:rFonts w:ascii="Palatino Linotype" w:eastAsia="Palatino Linotype" w:hAnsi="Palatino Linotype" w:cs="Palatino Linotype"/>
          <w:sz w:val="22"/>
          <w:szCs w:val="22"/>
        </w:rPr>
        <w:t>recursal</w:t>
      </w:r>
      <w:proofErr w:type="spellEnd"/>
      <w:r>
        <w:rPr>
          <w:rFonts w:ascii="Palatino Linotype" w:eastAsia="Palatino Linotype" w:hAnsi="Palatino Linotype" w:cs="Palatino Linotype"/>
          <w:sz w:val="22"/>
          <w:szCs w:val="22"/>
        </w:rP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 Cabe señalar que el Particular fue omiso en realizar manifestaciones o alegatos.</w:t>
      </w:r>
    </w:p>
    <w:p w:rsidR="00734A47" w:rsidRDefault="00734A47">
      <w:pPr>
        <w:spacing w:line="360" w:lineRule="auto"/>
        <w:jc w:val="both"/>
        <w:rPr>
          <w:rFonts w:ascii="Palatino Linotype" w:eastAsia="Palatino Linotype" w:hAnsi="Palatino Linotype" w:cs="Palatino Linotype"/>
          <w:b/>
          <w:sz w:val="22"/>
          <w:szCs w:val="22"/>
        </w:rPr>
      </w:pPr>
    </w:p>
    <w:p w:rsidR="00E654C9" w:rsidRPr="00E654C9" w:rsidRDefault="00E654C9" w:rsidP="00E654C9">
      <w:pPr>
        <w:spacing w:line="360" w:lineRule="auto"/>
        <w:jc w:val="both"/>
        <w:rPr>
          <w:rFonts w:ascii="Palatino Linotype" w:eastAsia="Palatino Linotype" w:hAnsi="Palatino Linotype" w:cs="Palatino Linotype"/>
          <w:b/>
          <w:sz w:val="22"/>
          <w:szCs w:val="22"/>
        </w:rPr>
      </w:pPr>
      <w:r w:rsidRPr="00E654C9">
        <w:rPr>
          <w:rFonts w:ascii="Palatino Linotype" w:eastAsia="Palatino Linotype" w:hAnsi="Palatino Linotype" w:cs="Palatino Linotype"/>
          <w:b/>
          <w:sz w:val="22"/>
          <w:szCs w:val="22"/>
        </w:rPr>
        <w:t>CUARTO. Marco normativo aplicable en materia de transparencia y acceso a la información pública</w:t>
      </w:r>
    </w:p>
    <w:p w:rsidR="00E654C9" w:rsidRPr="00E654C9" w:rsidRDefault="00E654C9" w:rsidP="00E654C9">
      <w:pPr>
        <w:spacing w:line="360" w:lineRule="auto"/>
        <w:jc w:val="both"/>
        <w:rPr>
          <w:rFonts w:ascii="Palatino Linotype" w:eastAsia="Palatino Linotype" w:hAnsi="Palatino Linotype" w:cs="Palatino Linotype"/>
          <w:b/>
          <w:sz w:val="22"/>
          <w:szCs w:val="22"/>
        </w:rPr>
      </w:pPr>
    </w:p>
    <w:p w:rsidR="00E654C9" w:rsidRPr="00E654C9" w:rsidRDefault="00E654C9" w:rsidP="00E654C9">
      <w:pPr>
        <w:spacing w:line="360" w:lineRule="auto"/>
        <w:jc w:val="both"/>
        <w:rPr>
          <w:rFonts w:ascii="Palatino Linotype" w:eastAsia="Palatino Linotype" w:hAnsi="Palatino Linotype" w:cs="Palatino Linotype"/>
          <w:sz w:val="22"/>
          <w:szCs w:val="22"/>
        </w:rPr>
      </w:pPr>
      <w:r w:rsidRPr="00E654C9">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E654C9" w:rsidRDefault="00E654C9" w:rsidP="00E654C9">
      <w:pPr>
        <w:spacing w:line="360" w:lineRule="auto"/>
        <w:jc w:val="both"/>
        <w:rPr>
          <w:rFonts w:ascii="Palatino Linotype" w:eastAsia="Palatino Linotype" w:hAnsi="Palatino Linotype" w:cs="Palatino Linotype"/>
          <w:sz w:val="22"/>
          <w:szCs w:val="22"/>
        </w:rPr>
      </w:pPr>
    </w:p>
    <w:p w:rsidR="00E654C9" w:rsidRPr="00E654C9" w:rsidRDefault="00E654C9" w:rsidP="00E654C9">
      <w:pPr>
        <w:spacing w:line="360" w:lineRule="auto"/>
        <w:jc w:val="both"/>
        <w:rPr>
          <w:rFonts w:ascii="Palatino Linotype" w:eastAsia="Palatino Linotype" w:hAnsi="Palatino Linotype" w:cs="Palatino Linotype"/>
          <w:sz w:val="22"/>
          <w:szCs w:val="22"/>
        </w:rPr>
      </w:pPr>
      <w:r w:rsidRPr="00E654C9">
        <w:rPr>
          <w:rFonts w:ascii="Palatino Linotype" w:eastAsia="Palatino Linotype" w:hAnsi="Palatino Linotype" w:cs="Palatino Linotype"/>
          <w:sz w:val="22"/>
          <w:szCs w:val="22"/>
        </w:rPr>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E654C9" w:rsidRPr="00E654C9" w:rsidRDefault="00E654C9" w:rsidP="00E654C9">
      <w:pPr>
        <w:spacing w:line="360" w:lineRule="auto"/>
        <w:jc w:val="both"/>
        <w:rPr>
          <w:rFonts w:ascii="Palatino Linotype" w:eastAsia="Palatino Linotype" w:hAnsi="Palatino Linotype" w:cs="Palatino Linotype"/>
          <w:sz w:val="22"/>
          <w:szCs w:val="22"/>
        </w:rPr>
      </w:pPr>
    </w:p>
    <w:p w:rsidR="00E654C9" w:rsidRPr="00E654C9" w:rsidRDefault="00E654C9" w:rsidP="00E654C9">
      <w:pPr>
        <w:spacing w:line="360" w:lineRule="auto"/>
        <w:jc w:val="both"/>
        <w:rPr>
          <w:rFonts w:ascii="Palatino Linotype" w:eastAsia="Palatino Linotype" w:hAnsi="Palatino Linotype" w:cs="Palatino Linotype"/>
          <w:sz w:val="22"/>
          <w:szCs w:val="22"/>
        </w:rPr>
      </w:pPr>
      <w:r w:rsidRPr="00E654C9">
        <w:rPr>
          <w:rFonts w:ascii="Palatino Linotype" w:eastAsia="Palatino Linotype" w:hAnsi="Palatino Linotype" w:cs="Palatino Linotype"/>
          <w:sz w:val="22"/>
          <w:szCs w:val="22"/>
        </w:rPr>
        <w:t>Por su parte, la Ley de Transparencia y Acceso a la Información Pública del Estado de México y Municipios (Reglamentaria del artículo 5° de la Constitución Local), establece lo siguiente:</w:t>
      </w:r>
    </w:p>
    <w:p w:rsidR="00E654C9" w:rsidRPr="00E654C9" w:rsidRDefault="00E654C9" w:rsidP="00E654C9">
      <w:pPr>
        <w:spacing w:line="360" w:lineRule="auto"/>
        <w:jc w:val="both"/>
        <w:rPr>
          <w:rFonts w:ascii="Palatino Linotype" w:eastAsia="Palatino Linotype" w:hAnsi="Palatino Linotype" w:cs="Palatino Linotype"/>
          <w:sz w:val="22"/>
          <w:szCs w:val="22"/>
        </w:rPr>
      </w:pPr>
    </w:p>
    <w:p w:rsidR="00E654C9" w:rsidRPr="00E654C9" w:rsidRDefault="00E654C9" w:rsidP="00E654C9">
      <w:pPr>
        <w:spacing w:line="360" w:lineRule="auto"/>
        <w:jc w:val="both"/>
        <w:rPr>
          <w:rFonts w:ascii="Palatino Linotype" w:eastAsia="Palatino Linotype" w:hAnsi="Palatino Linotype" w:cs="Palatino Linotype"/>
          <w:sz w:val="22"/>
          <w:szCs w:val="22"/>
        </w:rPr>
      </w:pPr>
      <w:r w:rsidRPr="00E654C9">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rsidR="00E654C9" w:rsidRPr="00E654C9" w:rsidRDefault="00E654C9" w:rsidP="00E654C9">
      <w:pPr>
        <w:spacing w:line="360" w:lineRule="auto"/>
        <w:jc w:val="both"/>
        <w:rPr>
          <w:rFonts w:ascii="Palatino Linotype" w:eastAsia="Palatino Linotype" w:hAnsi="Palatino Linotype" w:cs="Palatino Linotype"/>
          <w:sz w:val="22"/>
          <w:szCs w:val="22"/>
        </w:rPr>
      </w:pPr>
    </w:p>
    <w:p w:rsidR="00E654C9" w:rsidRPr="00E654C9" w:rsidRDefault="00E654C9" w:rsidP="00E654C9">
      <w:pPr>
        <w:spacing w:line="360" w:lineRule="auto"/>
        <w:jc w:val="both"/>
        <w:rPr>
          <w:rFonts w:ascii="Palatino Linotype" w:eastAsia="Palatino Linotype" w:hAnsi="Palatino Linotype" w:cs="Palatino Linotype"/>
          <w:sz w:val="22"/>
          <w:szCs w:val="22"/>
        </w:rPr>
      </w:pPr>
      <w:r w:rsidRPr="00E654C9">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E654C9" w:rsidRPr="00E654C9" w:rsidRDefault="00E654C9" w:rsidP="00E654C9">
      <w:pPr>
        <w:spacing w:line="360" w:lineRule="auto"/>
        <w:jc w:val="both"/>
        <w:rPr>
          <w:rFonts w:ascii="Palatino Linotype" w:eastAsia="Palatino Linotype" w:hAnsi="Palatino Linotype" w:cs="Palatino Linotype"/>
          <w:sz w:val="22"/>
          <w:szCs w:val="22"/>
        </w:rPr>
      </w:pPr>
    </w:p>
    <w:p w:rsidR="00734A47" w:rsidRPr="00E654C9" w:rsidRDefault="00E654C9" w:rsidP="00E654C9">
      <w:pPr>
        <w:spacing w:line="360" w:lineRule="auto"/>
        <w:jc w:val="both"/>
        <w:rPr>
          <w:rFonts w:ascii="Palatino Linotype" w:eastAsia="Palatino Linotype" w:hAnsi="Palatino Linotype" w:cs="Palatino Linotype"/>
          <w:sz w:val="22"/>
          <w:szCs w:val="22"/>
        </w:rPr>
      </w:pPr>
      <w:r w:rsidRPr="00E654C9">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E654C9" w:rsidRDefault="00E654C9" w:rsidP="00E654C9">
      <w:pPr>
        <w:spacing w:line="360" w:lineRule="auto"/>
        <w:jc w:val="both"/>
        <w:rPr>
          <w:rFonts w:ascii="Palatino Linotype" w:eastAsia="Palatino Linotype" w:hAnsi="Palatino Linotype" w:cs="Palatino Linotype"/>
          <w:b/>
          <w:sz w:val="22"/>
          <w:szCs w:val="22"/>
        </w:rPr>
      </w:pPr>
    </w:p>
    <w:p w:rsidR="00734A47" w:rsidRDefault="00BC2DDB">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QUINTO. Estudio de Fondo</w:t>
      </w:r>
    </w:p>
    <w:p w:rsidR="00734A47" w:rsidRDefault="00734A47">
      <w:pPr>
        <w:spacing w:line="360" w:lineRule="auto"/>
        <w:jc w:val="both"/>
        <w:rPr>
          <w:rFonts w:ascii="Palatino Linotype" w:eastAsia="Palatino Linotype" w:hAnsi="Palatino Linotype" w:cs="Palatino Linotype"/>
          <w:sz w:val="22"/>
          <w:szCs w:val="22"/>
        </w:rPr>
      </w:pPr>
    </w:p>
    <w:p w:rsidR="00734A47" w:rsidRDefault="00BC2DDB">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Expuestas las posturas de las partes, se procede a realizar el análisis del agravio hecho valer por el ahora Recurrente, concerniente a la entrega de información que no corresponde con lo solicitado, por lo que en principio resulta necesario contextualizar la solicitud de información.</w:t>
      </w:r>
    </w:p>
    <w:p w:rsidR="00734A47" w:rsidRDefault="00734A47">
      <w:pPr>
        <w:spacing w:line="360" w:lineRule="auto"/>
        <w:jc w:val="both"/>
        <w:rPr>
          <w:rFonts w:ascii="Palatino Linotype" w:eastAsia="Palatino Linotype" w:hAnsi="Palatino Linotype" w:cs="Palatino Linotype"/>
          <w:sz w:val="22"/>
          <w:szCs w:val="22"/>
        </w:rPr>
      </w:pPr>
    </w:p>
    <w:p w:rsidR="00734A47" w:rsidRDefault="00BC2DDB">
      <w:pPr>
        <w:spacing w:line="360" w:lineRule="auto"/>
        <w:ind w:right="-28"/>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Sobre el tema, cabe precisar que de conformidad con los artículos 6°, apartado A, de la Constitución Política de los Estados Unidos Mexicanos, 5° de la Constitución Política del Estado Libre y Soberano de México, 4° de la Ley General de Transparencia y Acceso a la Información Pública y 4° de la Ley de Transparencia y Acceso a la Información Pública del Estado de México y Municipios, </w:t>
      </w:r>
      <w:r>
        <w:rPr>
          <w:rFonts w:ascii="Palatino Linotype" w:eastAsia="Palatino Linotype" w:hAnsi="Palatino Linotype" w:cs="Palatino Linotype"/>
          <w:b/>
          <w:sz w:val="22"/>
          <w:szCs w:val="22"/>
        </w:rPr>
        <w:t>toda la información generada, obtenida, adquirida, transformada o en posesión de los sujetos obligados es pública y accesible a cualquier persona.</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 </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el artículo 18 de la Ley de Transparencia y Acceso a la Información Pública del Estado de México y Municipios, contempla que los sujetos obligados deberán documentar todo acto que derive del ejercicio de sus facultades, competencias o funciones.</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los diversos 12 y 24 de dicho ordenamiento jurídico, prevén que, es deber de los Sujetos Obligados proporcionar la información pública que se les requiera siempre y cuando obre en sus archivos; lo cual no implica que tengan que procesar, generar, resumir, efectuar cálculos o practicar investigaciones a fin de satisfacer la pretensión de los solicitantes.</w:t>
      </w:r>
    </w:p>
    <w:p w:rsidR="00734A47" w:rsidRDefault="00734A47">
      <w:pPr>
        <w:spacing w:line="360" w:lineRule="auto"/>
        <w:ind w:right="-28"/>
        <w:jc w:val="both"/>
        <w:rPr>
          <w:rFonts w:ascii="Palatino Linotype" w:eastAsia="Palatino Linotype" w:hAnsi="Palatino Linotype" w:cs="Palatino Linotype"/>
          <w:sz w:val="22"/>
          <w:szCs w:val="22"/>
        </w:rPr>
      </w:pP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Sobre el tema materia de la solicitud, los artículos 116 y 117 de la Constitución Política del Estado Libre y Soberano de México, establecen que los Ayuntamientos serán la asamblea </w:t>
      </w:r>
      <w:r>
        <w:rPr>
          <w:rFonts w:ascii="Palatino Linotype" w:eastAsia="Palatino Linotype" w:hAnsi="Palatino Linotype" w:cs="Palatino Linotype"/>
          <w:sz w:val="22"/>
          <w:szCs w:val="22"/>
        </w:rPr>
        <w:lastRenderedPageBreak/>
        <w:t xml:space="preserve">deliberante, conformada por un jefe de asamblea, que será el Presidente Municipal y los Síndicos y Regidores necesarios. </w:t>
      </w: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sentido, la Ley Orgánica Municipal del Estado de México y Municipios, en sus artículos 28 y 30, establecen lo siguiente: </w:t>
      </w: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34A47" w:rsidRDefault="00BC2DDB">
      <w:pPr>
        <w:numPr>
          <w:ilvl w:val="0"/>
          <w:numId w:val="3"/>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Cabildo sesionará cuando menos, una vez cada ocho días o cuantas veces sea necesario en asuntos de urgente resolución; </w:t>
      </w: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34A47" w:rsidRDefault="00BC2DDB">
      <w:pPr>
        <w:numPr>
          <w:ilvl w:val="0"/>
          <w:numId w:val="3"/>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Las sesiones del Cabildo, serán públicas y </w:t>
      </w:r>
      <w:r>
        <w:rPr>
          <w:rFonts w:ascii="Palatino Linotype" w:eastAsia="Palatino Linotype" w:hAnsi="Palatino Linotype" w:cs="Palatino Linotype"/>
          <w:b/>
          <w:sz w:val="22"/>
          <w:szCs w:val="22"/>
        </w:rPr>
        <w:t>deberán trasmitirse a través de la página de internet del municipio.</w:t>
      </w:r>
      <w:r>
        <w:rPr>
          <w:rFonts w:ascii="Palatino Linotype" w:eastAsia="Palatino Linotype" w:hAnsi="Palatino Linotype" w:cs="Palatino Linotype"/>
          <w:sz w:val="22"/>
          <w:szCs w:val="22"/>
        </w:rPr>
        <w:t xml:space="preserve"> </w:t>
      </w: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34A47" w:rsidRDefault="00BC2DDB">
      <w:pPr>
        <w:numPr>
          <w:ilvl w:val="0"/>
          <w:numId w:val="3"/>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Todos los acuerdos de las sesiones y el resultado de la votación, serán difundidos, cada mes en la Gaceta Municipal y en los estrados de la Secretaría del Ayuntamiento, y </w:t>
      </w: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34A47" w:rsidRDefault="00BC2DDB">
      <w:pPr>
        <w:numPr>
          <w:ilvl w:val="0"/>
          <w:numId w:val="3"/>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Para cada sesión se deberá contar con una versión estenográfica o </w:t>
      </w:r>
      <w:proofErr w:type="spellStart"/>
      <w:r>
        <w:rPr>
          <w:rFonts w:ascii="Palatino Linotype" w:eastAsia="Palatino Linotype" w:hAnsi="Palatino Linotype" w:cs="Palatino Linotype"/>
          <w:sz w:val="22"/>
          <w:szCs w:val="22"/>
        </w:rPr>
        <w:t>videograbada</w:t>
      </w:r>
      <w:proofErr w:type="spellEnd"/>
      <w:r>
        <w:rPr>
          <w:rFonts w:ascii="Palatino Linotype" w:eastAsia="Palatino Linotype" w:hAnsi="Palatino Linotype" w:cs="Palatino Linotype"/>
          <w:sz w:val="22"/>
          <w:szCs w:val="22"/>
        </w:rPr>
        <w:t xml:space="preserve"> que permita hacer las aclaraciones pertinentes, la cual formara parte del acta correspondiente, las cuales deberán estar disponibles en internet o en las oficinas de la Secretaría del Ayuntamiento.</w:t>
      </w:r>
    </w:p>
    <w:p w:rsidR="00734A47" w:rsidRDefault="00734A47">
      <w:pPr>
        <w:spacing w:line="360" w:lineRule="auto"/>
        <w:jc w:val="both"/>
        <w:rPr>
          <w:rFonts w:ascii="Palatino Linotype" w:eastAsia="Palatino Linotype" w:hAnsi="Palatino Linotype" w:cs="Palatino Linotype"/>
          <w:sz w:val="22"/>
          <w:szCs w:val="22"/>
        </w:rPr>
      </w:pP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el artículo 94 de la Ley de Transparencia Local, detalla la información que corresponde a las Obligaciones Específicas de Transparencia de los Municipios, de las que destaca la contenida en la fracción II, inciso b), concerniente a las Actas de Sesiones de Cabildo.</w:t>
      </w:r>
    </w:p>
    <w:p w:rsidR="00734A47" w:rsidRDefault="00734A47">
      <w:pPr>
        <w:spacing w:line="360" w:lineRule="auto"/>
        <w:ind w:right="-28"/>
        <w:jc w:val="both"/>
        <w:rPr>
          <w:rFonts w:ascii="Palatino Linotype" w:eastAsia="Palatino Linotype" w:hAnsi="Palatino Linotype" w:cs="Palatino Linotype"/>
          <w:sz w:val="22"/>
          <w:szCs w:val="22"/>
        </w:rPr>
      </w:pP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la información que la persona Recurrente desea es la relacionada con el ejercicio de recursos públicos. Al respecto, la Guía Técnica 7 Elaboración y Ejercicio de Presupuesto de </w:t>
      </w:r>
      <w:r>
        <w:rPr>
          <w:rFonts w:ascii="Palatino Linotype" w:eastAsia="Palatino Linotype" w:hAnsi="Palatino Linotype" w:cs="Palatino Linotype"/>
          <w:sz w:val="22"/>
          <w:szCs w:val="22"/>
        </w:rPr>
        <w:lastRenderedPageBreak/>
        <w:t>Egresos del Instituto Nacional para el Federalismo y el Desarrollo Municipal, establece que el Presupuesto de Egresos constituye el programa anual de gastos del municipio, que permite al Ayuntamiento:</w:t>
      </w:r>
    </w:p>
    <w:p w:rsidR="00734A47" w:rsidRDefault="00BC2DDB">
      <w:pPr>
        <w:spacing w:line="360" w:lineRule="auto"/>
        <w:ind w:righ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w:t>
      </w:r>
    </w:p>
    <w:p w:rsidR="00734A47" w:rsidRDefault="00BC2DDB">
      <w:pPr>
        <w:numPr>
          <w:ilvl w:val="0"/>
          <w:numId w:val="1"/>
        </w:num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Prever los recursos financieros necesarios para la administración municipal;</w:t>
      </w:r>
    </w:p>
    <w:p w:rsidR="00734A47" w:rsidRDefault="00BC2DDB">
      <w:pPr>
        <w:numPr>
          <w:ilvl w:val="0"/>
          <w:numId w:val="1"/>
        </w:num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Llevar el control estricto de los gastos de la administración municipal, y</w:t>
      </w:r>
    </w:p>
    <w:p w:rsidR="00734A47" w:rsidRDefault="00BC2DDB">
      <w:pPr>
        <w:numPr>
          <w:ilvl w:val="0"/>
          <w:numId w:val="1"/>
        </w:num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Manejar adecuada y honestamente los fondos financieros del municipio.</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precisa que dicho documento debe ser elaborado tomando en cuenta el monto disponible de los ingresos del Ayuntamiento; en ese sentido, el artículo 285 del Código Financiero del Estado de México y Municipios, precisa que el Ayuntamiento es el encargado de aprobar el Presupuesto de Egresos del Municipio. </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el artículo 31, fracción XIX, de la Ley Orgánica Municipal del Estado de México, establece que los Ayuntamientos serán los encargados de aprobar anualmente, el Presupuesto de Egresos, en base a los ingresos presupuestados para el ejercicio de corresponda. </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de conformidad con el artículo 100 y 101, fracción II, de dicho ordenamiento jurídico, el Presupuesto de Egresos, deberá contener las previsiones de gasto público y se conformará, entre otras cosas, por la</w:t>
      </w:r>
      <w:r>
        <w:rPr>
          <w:rFonts w:ascii="Palatino Linotype" w:eastAsia="Palatino Linotype" w:hAnsi="Palatino Linotype" w:cs="Palatino Linotype"/>
          <w:b/>
          <w:sz w:val="22"/>
          <w:szCs w:val="22"/>
        </w:rPr>
        <w:t xml:space="preserve"> estimación de los ingresos y gastos del ejercicio fiscal calendarizados.</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el Manual para la Planeación, Programación y Presupuesto de Egresos Municipal dos mil veinticuatro, establece que el Presupuesto es la estimación financiera anticipada de los ingresos y egresos del gobierno, necesarios para cumplir con los objetivos establecidos; </w:t>
      </w:r>
      <w:r>
        <w:rPr>
          <w:rFonts w:ascii="Palatino Linotype" w:eastAsia="Palatino Linotype" w:hAnsi="Palatino Linotype" w:cs="Palatino Linotype"/>
          <w:sz w:val="22"/>
          <w:szCs w:val="22"/>
        </w:rPr>
        <w:lastRenderedPageBreak/>
        <w:t>además, que el mismo involucra planes, políticas, programas, proyectos, estrategias y objetivos del municipio.</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el Glosario de Términos, de los Manuales citados, que establecen que el presupuesto es la estimación financiera anticipada de los egresos e ingresos del gobierno, necesario para cumplir con los propósitos de un programa determinado; por otra parte, establece lo siguiente:</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34A47" w:rsidRDefault="00BC2DDB">
      <w:pPr>
        <w:numPr>
          <w:ilvl w:val="0"/>
          <w:numId w:val="2"/>
        </w:num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Presupuesto Autorizado: </w:t>
      </w:r>
      <w:r>
        <w:rPr>
          <w:rFonts w:ascii="Palatino Linotype" w:eastAsia="Palatino Linotype" w:hAnsi="Palatino Linotype" w:cs="Palatino Linotype"/>
          <w:sz w:val="22"/>
          <w:szCs w:val="22"/>
        </w:rPr>
        <w:t>Es el monto de recursos que se autoriza ejercer en un ejercicio fiscal, a través del Decreto del Presupuesto de Egresos.</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34A47" w:rsidRDefault="00BC2DDB">
      <w:pPr>
        <w:numPr>
          <w:ilvl w:val="0"/>
          <w:numId w:val="2"/>
        </w:num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Presupuesto Ejercido</w:t>
      </w:r>
      <w:r>
        <w:rPr>
          <w:rFonts w:ascii="Palatino Linotype" w:eastAsia="Palatino Linotype" w:hAnsi="Palatino Linotype" w:cs="Palatino Linotype"/>
          <w:sz w:val="22"/>
          <w:szCs w:val="22"/>
        </w:rPr>
        <w:t>: Es el importe de erogaciones realizadas, respaldadas por los documentos comprobatorios presentados a la dependencia una vez autorizadas para su pago, con cargo al presupuesto autorizado.</w:t>
      </w:r>
    </w:p>
    <w:p w:rsidR="00734A47" w:rsidRDefault="00734A47">
      <w:pPr>
        <w:spacing w:line="360" w:lineRule="auto"/>
        <w:ind w:right="-28"/>
        <w:jc w:val="both"/>
        <w:rPr>
          <w:rFonts w:ascii="Palatino Linotype" w:eastAsia="Palatino Linotype" w:hAnsi="Palatino Linotype" w:cs="Palatino Linotype"/>
          <w:sz w:val="22"/>
          <w:szCs w:val="22"/>
        </w:rPr>
      </w:pP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el Manual para la Planeación, Programación y Presupuesto de Egresos Municipal señalado, establece los capítulos, subcapítulos, partidas genéricas y específicas de gasto, que se deben establecer en el Presupuesto de Egresos Municipal, entre las cuales, se encuentra el </w:t>
      </w:r>
      <w:r>
        <w:rPr>
          <w:rFonts w:ascii="Palatino Linotype" w:eastAsia="Palatino Linotype" w:hAnsi="Palatino Linotype" w:cs="Palatino Linotype"/>
          <w:b/>
          <w:sz w:val="22"/>
          <w:szCs w:val="22"/>
        </w:rPr>
        <w:t xml:space="preserve">4400, </w:t>
      </w:r>
      <w:r>
        <w:rPr>
          <w:rFonts w:ascii="Palatino Linotype" w:eastAsia="Palatino Linotype" w:hAnsi="Palatino Linotype" w:cs="Palatino Linotype"/>
          <w:sz w:val="22"/>
          <w:szCs w:val="22"/>
        </w:rPr>
        <w:t xml:space="preserve">denominada </w:t>
      </w:r>
      <w:r>
        <w:rPr>
          <w:rFonts w:ascii="Palatino Linotype" w:eastAsia="Palatino Linotype" w:hAnsi="Palatino Linotype" w:cs="Palatino Linotype"/>
          <w:b/>
          <w:sz w:val="22"/>
          <w:szCs w:val="22"/>
        </w:rPr>
        <w:t xml:space="preserve">Ayudas sociales, </w:t>
      </w:r>
      <w:r>
        <w:rPr>
          <w:rFonts w:ascii="Palatino Linotype" w:eastAsia="Palatino Linotype" w:hAnsi="Palatino Linotype" w:cs="Palatino Linotype"/>
          <w:sz w:val="22"/>
          <w:szCs w:val="22"/>
        </w:rPr>
        <w:t xml:space="preserve">que son las asignaciones que los entes públicos otorgan a personas, instituciones, y diversos sectores de la población para propósitos sociales, el cual además contempla el </w:t>
      </w:r>
      <w:r>
        <w:rPr>
          <w:rFonts w:ascii="Palatino Linotype" w:eastAsia="Palatino Linotype" w:hAnsi="Palatino Linotype" w:cs="Palatino Linotype"/>
          <w:b/>
          <w:sz w:val="22"/>
          <w:szCs w:val="22"/>
        </w:rPr>
        <w:t>4412</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Despensas</w:t>
      </w:r>
      <w:r>
        <w:rPr>
          <w:rFonts w:ascii="Palatino Linotype" w:eastAsia="Palatino Linotype" w:hAnsi="Palatino Linotype" w:cs="Palatino Linotype"/>
          <w:sz w:val="22"/>
          <w:szCs w:val="22"/>
        </w:rPr>
        <w:t>. Asignación para apoyar a estudiantes y familias de escasos recursos a través de la dotación de despensas.</w:t>
      </w:r>
    </w:p>
    <w:p w:rsidR="00734A47" w:rsidRDefault="00734A47">
      <w:pPr>
        <w:spacing w:line="360" w:lineRule="auto"/>
        <w:ind w:right="-28"/>
        <w:jc w:val="both"/>
        <w:rPr>
          <w:rFonts w:ascii="Palatino Linotype" w:eastAsia="Palatino Linotype" w:hAnsi="Palatino Linotype" w:cs="Palatino Linotype"/>
          <w:sz w:val="22"/>
          <w:szCs w:val="22"/>
        </w:rPr>
      </w:pP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este Instituto localizó diversa información, en la que el Ayuntamiento de </w:t>
      </w:r>
      <w:proofErr w:type="spellStart"/>
      <w:r>
        <w:rPr>
          <w:rFonts w:ascii="Palatino Linotype" w:eastAsia="Palatino Linotype" w:hAnsi="Palatino Linotype" w:cs="Palatino Linotype"/>
          <w:sz w:val="22"/>
          <w:szCs w:val="22"/>
        </w:rPr>
        <w:t>Mexicaltzingo</w:t>
      </w:r>
      <w:proofErr w:type="spellEnd"/>
      <w:r>
        <w:rPr>
          <w:rFonts w:ascii="Palatino Linotype" w:eastAsia="Palatino Linotype" w:hAnsi="Palatino Linotype" w:cs="Palatino Linotype"/>
          <w:sz w:val="22"/>
          <w:szCs w:val="22"/>
        </w:rPr>
        <w:t xml:space="preserve"> ha realizado la entrega del programa denominado “Canasta Alimentaria” a la </w:t>
      </w:r>
      <w:r>
        <w:rPr>
          <w:rFonts w:ascii="Palatino Linotype" w:eastAsia="Palatino Linotype" w:hAnsi="Palatino Linotype" w:cs="Palatino Linotype"/>
          <w:sz w:val="22"/>
          <w:szCs w:val="22"/>
        </w:rPr>
        <w:lastRenderedPageBreak/>
        <w:t>población de dicha demarcación en diversas fechas durante el ejercicio fiscal dos mil veinticuatro, situación que se puede observar conforme a lo siguiente:</w:t>
      </w:r>
    </w:p>
    <w:p w:rsidR="00734A47" w:rsidRDefault="00734A47">
      <w:pPr>
        <w:spacing w:line="360" w:lineRule="auto"/>
        <w:ind w:right="-28"/>
        <w:jc w:val="both"/>
        <w:rPr>
          <w:rFonts w:ascii="Palatino Linotype" w:eastAsia="Palatino Linotype" w:hAnsi="Palatino Linotype" w:cs="Palatino Linotype"/>
          <w:sz w:val="22"/>
          <w:szCs w:val="22"/>
        </w:rPr>
      </w:pPr>
    </w:p>
    <w:p w:rsidR="00734A47" w:rsidRDefault="00BC2DDB">
      <w:pPr>
        <w:spacing w:line="360" w:lineRule="auto"/>
        <w:ind w:right="-28"/>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eastAsia="es-MX"/>
        </w:rPr>
        <w:drawing>
          <wp:inline distT="0" distB="0" distL="0" distR="0">
            <wp:extent cx="3631993" cy="3289414"/>
            <wp:effectExtent l="0" t="0" r="0" b="0"/>
            <wp:docPr id="14731207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631993" cy="3289414"/>
                    </a:xfrm>
                    <a:prstGeom prst="rect">
                      <a:avLst/>
                    </a:prstGeom>
                    <a:ln/>
                  </pic:spPr>
                </pic:pic>
              </a:graphicData>
            </a:graphic>
          </wp:inline>
        </w:drawing>
      </w:r>
    </w:p>
    <w:p w:rsidR="00734A47" w:rsidRDefault="00734A47">
      <w:pPr>
        <w:spacing w:line="360" w:lineRule="auto"/>
        <w:ind w:right="-28"/>
        <w:jc w:val="both"/>
        <w:rPr>
          <w:rFonts w:ascii="Palatino Linotype" w:eastAsia="Palatino Linotype" w:hAnsi="Palatino Linotype" w:cs="Palatino Linotype"/>
          <w:sz w:val="22"/>
          <w:szCs w:val="22"/>
        </w:rPr>
      </w:pPr>
    </w:p>
    <w:p w:rsidR="00734A47" w:rsidRDefault="00BC2DDB">
      <w:pPr>
        <w:spacing w:line="360" w:lineRule="auto"/>
        <w:ind w:right="-28"/>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eastAsia="es-MX"/>
        </w:rPr>
        <w:drawing>
          <wp:inline distT="0" distB="0" distL="0" distR="0">
            <wp:extent cx="4938395" cy="1261241"/>
            <wp:effectExtent l="0" t="0" r="0" b="0"/>
            <wp:docPr id="14731207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b="63053"/>
                    <a:stretch>
                      <a:fillRect/>
                    </a:stretch>
                  </pic:blipFill>
                  <pic:spPr>
                    <a:xfrm>
                      <a:off x="0" y="0"/>
                      <a:ext cx="4938395" cy="1261241"/>
                    </a:xfrm>
                    <a:prstGeom prst="rect">
                      <a:avLst/>
                    </a:prstGeom>
                    <a:ln/>
                  </pic:spPr>
                </pic:pic>
              </a:graphicData>
            </a:graphic>
          </wp:inline>
        </w:drawing>
      </w:r>
    </w:p>
    <w:p w:rsidR="00734A47" w:rsidRDefault="00734A47">
      <w:pPr>
        <w:spacing w:line="360" w:lineRule="auto"/>
        <w:ind w:right="-28"/>
        <w:jc w:val="center"/>
        <w:rPr>
          <w:rFonts w:ascii="Palatino Linotype" w:eastAsia="Palatino Linotype" w:hAnsi="Palatino Linotype" w:cs="Palatino Linotype"/>
          <w:sz w:val="22"/>
          <w:szCs w:val="22"/>
        </w:rPr>
      </w:pPr>
    </w:p>
    <w:p w:rsidR="00734A47" w:rsidRDefault="00BC2DDB">
      <w:pPr>
        <w:spacing w:line="360" w:lineRule="auto"/>
        <w:ind w:right="-28"/>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eastAsia="es-MX"/>
        </w:rPr>
        <w:drawing>
          <wp:inline distT="0" distB="0" distL="0" distR="0">
            <wp:extent cx="4963795" cy="737074"/>
            <wp:effectExtent l="0" t="0" r="0" b="0"/>
            <wp:docPr id="14731207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b="76900"/>
                    <a:stretch>
                      <a:fillRect/>
                    </a:stretch>
                  </pic:blipFill>
                  <pic:spPr>
                    <a:xfrm>
                      <a:off x="0" y="0"/>
                      <a:ext cx="4963795" cy="737074"/>
                    </a:xfrm>
                    <a:prstGeom prst="rect">
                      <a:avLst/>
                    </a:prstGeom>
                    <a:ln/>
                  </pic:spPr>
                </pic:pic>
              </a:graphicData>
            </a:graphic>
          </wp:inline>
        </w:drawing>
      </w:r>
    </w:p>
    <w:p w:rsidR="00734A47" w:rsidRDefault="00734A47">
      <w:pPr>
        <w:spacing w:line="360" w:lineRule="auto"/>
        <w:ind w:right="-28"/>
        <w:jc w:val="both"/>
        <w:rPr>
          <w:rFonts w:ascii="Palatino Linotype" w:eastAsia="Palatino Linotype" w:hAnsi="Palatino Linotype" w:cs="Palatino Linotype"/>
          <w:sz w:val="22"/>
          <w:szCs w:val="22"/>
        </w:rPr>
      </w:pP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De las publicaciones anteriores, se pudo observar que la entrega de las canastas se realizó en eventos, los cuales pudieran no estar especificados como tal, en el presupuesto que se aprueba en el Cabildo, en todo caso, se desprende de la propia solicitud que la información que es de su interés, consiste en aquella erogación de recursos que se haya aprobado por el Cabildo, por lo que puede formar parte del  presupuesto aprobado para programas sociales.</w:t>
      </w:r>
    </w:p>
    <w:p w:rsidR="00734A47" w:rsidRDefault="00734A47">
      <w:pPr>
        <w:spacing w:line="360" w:lineRule="auto"/>
        <w:jc w:val="both"/>
        <w:rPr>
          <w:rFonts w:ascii="Palatino Linotype" w:eastAsia="Palatino Linotype" w:hAnsi="Palatino Linotype" w:cs="Palatino Linotype"/>
          <w:sz w:val="22"/>
          <w:szCs w:val="22"/>
        </w:rPr>
      </w:pP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es necesario señalar que el Particular no precisó de qué temporalidad requería los documentos que dieran cuenta del presupuesto solicitado, por lo que, se tomará en cuenta el Criterio de Interpretación, con clave de control SO/003/2019, emitido por el Instituto Nacional de Transparencia, Acceso a la Información y Protección de Datos Personales, el cual establece que </w:t>
      </w:r>
      <w:r>
        <w:rPr>
          <w:rFonts w:ascii="Palatino Linotype" w:eastAsia="Palatino Linotype" w:hAnsi="Palatino Linotype" w:cs="Palatino Linotype"/>
          <w:b/>
          <w:sz w:val="22"/>
          <w:szCs w:val="22"/>
        </w:rPr>
        <w:t>para los casos en que el particular no señale periodo del cual se requiere información, deberá considerarse que se requiere aquella de un año anterior</w:t>
      </w:r>
      <w:r>
        <w:rPr>
          <w:rFonts w:ascii="Palatino Linotype" w:eastAsia="Palatino Linotype" w:hAnsi="Palatino Linotype" w:cs="Palatino Linotype"/>
          <w:sz w:val="22"/>
          <w:szCs w:val="22"/>
        </w:rPr>
        <w:t>, contado a partir de la fecha en que se presentó la solicitud; esto es, en el presente caso se requirió la información del dieciséis de enero de dos mil veinticuatro, al dieciséis de enero de dos mil veinticinco.</w:t>
      </w:r>
    </w:p>
    <w:p w:rsidR="00734A47" w:rsidRDefault="00734A47">
      <w:pPr>
        <w:spacing w:line="360" w:lineRule="auto"/>
        <w:ind w:right="-28"/>
        <w:jc w:val="both"/>
        <w:rPr>
          <w:rFonts w:ascii="Palatino Linotype" w:eastAsia="Palatino Linotype" w:hAnsi="Palatino Linotype" w:cs="Palatino Linotype"/>
          <w:sz w:val="22"/>
          <w:szCs w:val="22"/>
        </w:rPr>
      </w:pP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Establecida dicha circunstancia, se procede analizar la respuesta entregada, para lo cual, es de señalar que de las constancias que obran en el expediente, se logra vislumbrar que el Sujeto Obligado turnó la solicitud de información a la Secretaría del Ayuntamiento; sin embargo, no se realizó la prevención dentro del plazo establecido en el artículo 159 de la Ley de la materia y en lugar de ello, se contestó a la persona con la indicación de que no precisó el plazo por el cual desea acceder a la información.</w:t>
      </w:r>
    </w:p>
    <w:p w:rsidR="00734A47" w:rsidRDefault="00734A47">
      <w:pPr>
        <w:spacing w:line="360" w:lineRule="auto"/>
        <w:ind w:right="-28"/>
        <w:jc w:val="both"/>
        <w:rPr>
          <w:rFonts w:ascii="Palatino Linotype" w:eastAsia="Palatino Linotype" w:hAnsi="Palatino Linotype" w:cs="Palatino Linotype"/>
          <w:sz w:val="22"/>
          <w:szCs w:val="22"/>
        </w:rPr>
      </w:pP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el artículo 155, fracciones III y IV, de la Ley señalada, establece que, en una solicitud de acceso a la información pública, se debe precisar la descripción de la información solicitada y cualquier otro dato que facilite la búsqueda y localización de la información.</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Además, el artículo 159 de la Ley de la materia, precisa que cuando los detalles proporcionados para localizar los documentos resulten insuficientes, incompletos o erróneos, la Unidad de Transparencia podrá requerir al Solicitante, por una sola vez, dentro de los cinco días hábiles siguientes contados a partir de la presentación de la solicitud, para que en un término de hasta diez días hábiles, indique otros elementos que complementen, corrijan o amplíen los datos proporcionados o precise los requerimientos de información.</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la solicitud de información se tendrá por no presentada, cuando el Solicitante no atienda el requerimiento de información adicional y del requerimiento inicial no se aprecien los elementos que permitan identificar la información requerida. En otras palabras, cuando los Particulares no sean claros en la información peticionada, los Sujetos Obligados, tienen la posibilidad de solicitar información adicional, con el fin de esclarecer la solicitud y así dar una atención adecuada en esta.</w:t>
      </w:r>
    </w:p>
    <w:p w:rsidR="00734A47" w:rsidRDefault="00734A47">
      <w:pPr>
        <w:spacing w:line="360" w:lineRule="auto"/>
        <w:ind w:right="-28"/>
        <w:jc w:val="both"/>
        <w:rPr>
          <w:rFonts w:ascii="Palatino Linotype" w:eastAsia="Palatino Linotype" w:hAnsi="Palatino Linotype" w:cs="Palatino Linotype"/>
          <w:sz w:val="22"/>
          <w:szCs w:val="22"/>
        </w:rPr>
      </w:pP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colige que el Sujeto Obligado se encontraba en condiciones para dar respuesta a la solicitud de información, sin embargo, se limitó en requerir al Particular que precisara la temporalidad sobre la cual requería la información, por lo que debió realizar un requerimiento de aclaración dentro de los cinco días hábiles siguientes a la presentación de la solicitud, para que precisara los datos de la solicitud y ser atendida en el plazo de Ley.</w:t>
      </w:r>
    </w:p>
    <w:p w:rsidR="00734A47" w:rsidRDefault="00734A47">
      <w:pPr>
        <w:spacing w:line="360" w:lineRule="auto"/>
        <w:ind w:right="-28"/>
        <w:jc w:val="both"/>
        <w:rPr>
          <w:rFonts w:ascii="Palatino Linotype" w:eastAsia="Palatino Linotype" w:hAnsi="Palatino Linotype" w:cs="Palatino Linotype"/>
          <w:sz w:val="22"/>
          <w:szCs w:val="22"/>
        </w:rPr>
      </w:pP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obstante, durante la sustanciación del Medio de Impugnación, la Secretaría del Ayuntamiento indicó que, de la revisión de las actas de cabildo generadas, del dieciséis de enero de dos mil veinticuatro, al dieciséis de enero de dos mil veinticinco no se había localizado que, en las sesiones de cabildo celebradas en esa temporalidad, se hubiera tratado lo relacionado con el presupuesto para la adquisición, compra y entrega de las canastas básicas requeridas.</w:t>
      </w:r>
    </w:p>
    <w:p w:rsidR="00734A47" w:rsidRDefault="00734A47">
      <w:pPr>
        <w:spacing w:line="360" w:lineRule="auto"/>
        <w:ind w:right="-28"/>
        <w:jc w:val="both"/>
        <w:rPr>
          <w:rFonts w:ascii="Palatino Linotype" w:eastAsia="Palatino Linotype" w:hAnsi="Palatino Linotype" w:cs="Palatino Linotype"/>
          <w:sz w:val="22"/>
          <w:szCs w:val="22"/>
        </w:rPr>
      </w:pP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sentido, si bien en un principio la Secretaría del Ayuntamiento requirió al Particular para que precisara la temporalidad respecto de la cual requería la información de su interés, lo cierto es que, durante la sustanciación del Medio de Impugnación, indicó que no se había localizado que el Ayuntamiento aprobara el presupuesto para le ejecución del programa “Canasta Alimentaria”, sin embargo, toda vez que se localizó información sobre el programa requerido, el cual fue ejecutado durante el ejercicio fiscal dos mil veinticuatro, este Instituto considera que deberá realizar una nueva búsqueda exhaustiva y razonable a efecto de que entregue las Actas de Cabildo en las que se haya aprobado presupuesto para la adquisición, compra y entrega del programa “Canastas Alimentarias”.</w:t>
      </w:r>
    </w:p>
    <w:p w:rsidR="00734A47" w:rsidRDefault="00734A47">
      <w:pPr>
        <w:spacing w:line="360" w:lineRule="auto"/>
        <w:ind w:right="-28"/>
        <w:jc w:val="both"/>
        <w:rPr>
          <w:rFonts w:ascii="Palatino Linotype" w:eastAsia="Palatino Linotype" w:hAnsi="Palatino Linotype" w:cs="Palatino Linotype"/>
          <w:sz w:val="22"/>
          <w:szCs w:val="22"/>
        </w:rPr>
      </w:pP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esta manera, el derecho de acceso a la información pública se satisface en aquellos casos en que se entregue el soporte documental en el que conste la información solicitada, sin necesidad de elaborar documentos </w:t>
      </w:r>
      <w:r>
        <w:rPr>
          <w:rFonts w:ascii="Palatino Linotype" w:eastAsia="Palatino Linotype" w:hAnsi="Palatino Linotype" w:cs="Palatino Linotype"/>
          <w:i/>
          <w:sz w:val="22"/>
          <w:szCs w:val="22"/>
        </w:rPr>
        <w:t>ad hoc</w:t>
      </w:r>
      <w:r>
        <w:rPr>
          <w:rFonts w:ascii="Palatino Linotype" w:eastAsia="Palatino Linotype" w:hAnsi="Palatino Linotype" w:cs="Palatino Linotype"/>
          <w:sz w:val="22"/>
          <w:szCs w:val="22"/>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w:t>
      </w:r>
      <w:r>
        <w:rPr>
          <w:rFonts w:ascii="Palatino Linotype" w:eastAsia="Palatino Linotype" w:hAnsi="Palatino Linotype" w:cs="Palatino Linotype"/>
          <w:sz w:val="22"/>
          <w:szCs w:val="22"/>
        </w:rPr>
        <w:lastRenderedPageBreak/>
        <w:t>que, en el presente caso, deberá proporcionar las expresiones documentales donde conste el presupuesto aprobado por Cabildo, para la ejecución del programa “Canasta Alimentaria”, así y el acta de cabildo en el que se aprobó.</w:t>
      </w:r>
    </w:p>
    <w:p w:rsidR="00734A47" w:rsidRDefault="00734A47">
      <w:pPr>
        <w:spacing w:line="360" w:lineRule="auto"/>
        <w:ind w:right="-28"/>
        <w:jc w:val="both"/>
        <w:rPr>
          <w:rFonts w:ascii="Palatino Linotype" w:eastAsia="Palatino Linotype" w:hAnsi="Palatino Linotype" w:cs="Palatino Linotype"/>
          <w:sz w:val="22"/>
          <w:szCs w:val="22"/>
        </w:rPr>
      </w:pP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toma relevancia, pues se localizó el Estado Analítico del Ejercicio del Presupuesto de Egresos Clasificación por Objeto de Gasto (Capítulo y Concepto), de enero a septiembre de dos mil veinticuatro, en el que se logró advertir que el Ayuntamiento de </w:t>
      </w:r>
      <w:proofErr w:type="spellStart"/>
      <w:r>
        <w:rPr>
          <w:rFonts w:ascii="Palatino Linotype" w:eastAsia="Palatino Linotype" w:hAnsi="Palatino Linotype" w:cs="Palatino Linotype"/>
          <w:sz w:val="22"/>
          <w:szCs w:val="22"/>
        </w:rPr>
        <w:t>Mexicaltzingo</w:t>
      </w:r>
      <w:proofErr w:type="spellEnd"/>
      <w:r>
        <w:rPr>
          <w:rFonts w:ascii="Palatino Linotype" w:eastAsia="Palatino Linotype" w:hAnsi="Palatino Linotype" w:cs="Palatino Linotype"/>
          <w:sz w:val="22"/>
          <w:szCs w:val="22"/>
        </w:rPr>
        <w:t>, aprobó un presupuesto para “Ayudas Sociales” por la cantidad de $303, 920.00 (Trescientos tres mil novecientos veinte pesos M.N. 00/100), por lo que deberá proporcionar los documentos que den cuenta del requerimiento de información.</w:t>
      </w: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no pasa desapercibido para este Instituto que las sesiones de cabildo, pudieran contener datos o información clasificada;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00734A47" w:rsidRDefault="00734A47">
      <w:pPr>
        <w:spacing w:line="360" w:lineRule="auto"/>
        <w:jc w:val="both"/>
        <w:rPr>
          <w:rFonts w:ascii="Palatino Linotype" w:eastAsia="Palatino Linotype" w:hAnsi="Palatino Linotype" w:cs="Palatino Linotype"/>
          <w:sz w:val="22"/>
          <w:szCs w:val="22"/>
        </w:rPr>
      </w:pP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734A47" w:rsidRDefault="00734A47">
      <w:pPr>
        <w:spacing w:line="360" w:lineRule="auto"/>
        <w:ind w:right="-93"/>
        <w:jc w:val="both"/>
        <w:rPr>
          <w:rFonts w:ascii="Palatino Linotype" w:eastAsia="Palatino Linotype" w:hAnsi="Palatino Linotype" w:cs="Palatino Linotype"/>
          <w:sz w:val="22"/>
          <w:szCs w:val="22"/>
        </w:rPr>
      </w:pPr>
    </w:p>
    <w:p w:rsidR="00734A47" w:rsidRDefault="00BC2DDB">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SEXTO. Decisión </w:t>
      </w:r>
    </w:p>
    <w:p w:rsidR="00734A47" w:rsidRDefault="00734A47">
      <w:pPr>
        <w:spacing w:line="360" w:lineRule="auto"/>
        <w:jc w:val="both"/>
        <w:rPr>
          <w:rFonts w:ascii="Palatino Linotype" w:eastAsia="Palatino Linotype" w:hAnsi="Palatino Linotype" w:cs="Palatino Linotype"/>
          <w:b/>
          <w:sz w:val="22"/>
          <w:szCs w:val="22"/>
        </w:rPr>
      </w:pPr>
    </w:p>
    <w:p w:rsidR="00734A47" w:rsidRDefault="00BC2DDB">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Pr>
          <w:rFonts w:ascii="Palatino Linotype" w:eastAsia="Palatino Linotype" w:hAnsi="Palatino Linotype" w:cs="Palatino Linotype"/>
          <w:b/>
          <w:sz w:val="22"/>
          <w:szCs w:val="22"/>
        </w:rPr>
        <w:t>REVOCAR</w:t>
      </w:r>
      <w:r>
        <w:rPr>
          <w:rFonts w:ascii="Palatino Linotype" w:eastAsia="Palatino Linotype" w:hAnsi="Palatino Linotype" w:cs="Palatino Linotype"/>
          <w:sz w:val="22"/>
          <w:szCs w:val="22"/>
        </w:rPr>
        <w:t xml:space="preserve"> la respuesta otorgada a la solicitud de información 00015/MEXICAL/IP/2025, a efecto de que, entregue los documentos que den cuenta del presupuesto asignado para el programa “Canastas Alimentarias”, así como el acta de cabildo mediante la cual se aprobó el referido presupuesto.</w:t>
      </w:r>
    </w:p>
    <w:p w:rsidR="00734A47" w:rsidRDefault="00734A47">
      <w:pPr>
        <w:spacing w:line="360" w:lineRule="auto"/>
        <w:jc w:val="both"/>
        <w:rPr>
          <w:rFonts w:ascii="Palatino Linotype" w:eastAsia="Palatino Linotype" w:hAnsi="Palatino Linotype" w:cs="Palatino Linotype"/>
          <w:sz w:val="22"/>
          <w:szCs w:val="22"/>
        </w:rPr>
      </w:pPr>
    </w:p>
    <w:p w:rsidR="00734A47" w:rsidRDefault="00BC2DDB">
      <w:pP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Términos de la Resolución para conocimiento del Particular</w:t>
      </w:r>
    </w:p>
    <w:p w:rsidR="00734A47" w:rsidRDefault="00734A47">
      <w:pPr>
        <w:spacing w:line="360" w:lineRule="auto"/>
        <w:jc w:val="both"/>
        <w:rPr>
          <w:rFonts w:ascii="Palatino Linotype" w:eastAsia="Palatino Linotype" w:hAnsi="Palatino Linotype" w:cs="Palatino Linotype"/>
          <w:b/>
          <w:color w:val="000000"/>
          <w:sz w:val="22"/>
          <w:szCs w:val="22"/>
        </w:rPr>
      </w:pPr>
    </w:p>
    <w:p w:rsidR="00E654C9"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Se le hace del conocimiento al Particular, que, en el presente caso, se le concede la razón, pues el Sujeto Obligado, omitió proporcionar el acta de cabildo mediante la cual se aprobó el presupuesto asignado para la ejecución del programa “Canastas Alimentarias”, por lo que deberá proporcionar la información</w:t>
      </w:r>
      <w:r>
        <w:rPr>
          <w:rFonts w:ascii="Palatino Linotype" w:eastAsia="Palatino Linotype" w:hAnsi="Palatino Linotype" w:cs="Palatino Linotype"/>
          <w:sz w:val="22"/>
          <w:szCs w:val="22"/>
        </w:rPr>
        <w:t xml:space="preserve">. </w:t>
      </w:r>
    </w:p>
    <w:p w:rsidR="00E654C9" w:rsidRDefault="00E654C9">
      <w:pPr>
        <w:spacing w:line="360" w:lineRule="auto"/>
        <w:ind w:right="-28"/>
        <w:jc w:val="both"/>
        <w:rPr>
          <w:rFonts w:ascii="Palatino Linotype" w:eastAsia="Palatino Linotype" w:hAnsi="Palatino Linotype" w:cs="Palatino Linotype"/>
          <w:sz w:val="22"/>
          <w:szCs w:val="22"/>
        </w:rPr>
      </w:pPr>
    </w:p>
    <w:p w:rsidR="00734A47" w:rsidRDefault="00BC2DDB">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Finalmente, la labor de este Instituto de Transparencia, es apoyar a la población a acceder a la información pública es garantizar la protección de los datos personales.</w:t>
      </w:r>
    </w:p>
    <w:p w:rsidR="00734A47" w:rsidRDefault="00734A47">
      <w:pPr>
        <w:spacing w:line="360" w:lineRule="auto"/>
        <w:jc w:val="both"/>
        <w:rPr>
          <w:rFonts w:ascii="Palatino Linotype" w:eastAsia="Palatino Linotype" w:hAnsi="Palatino Linotype" w:cs="Palatino Linotype"/>
          <w:sz w:val="22"/>
          <w:szCs w:val="22"/>
        </w:rPr>
      </w:pP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rsidR="00734A47" w:rsidRDefault="00734A47">
      <w:pPr>
        <w:spacing w:line="360" w:lineRule="auto"/>
        <w:jc w:val="both"/>
        <w:rPr>
          <w:rFonts w:ascii="Palatino Linotype" w:eastAsia="Palatino Linotype" w:hAnsi="Palatino Linotype" w:cs="Palatino Linotype"/>
          <w:sz w:val="22"/>
          <w:szCs w:val="22"/>
        </w:rPr>
      </w:pPr>
    </w:p>
    <w:p w:rsidR="00E654C9" w:rsidRDefault="00E654C9">
      <w:pPr>
        <w:spacing w:line="360" w:lineRule="auto"/>
        <w:jc w:val="both"/>
        <w:rPr>
          <w:rFonts w:ascii="Palatino Linotype" w:eastAsia="Palatino Linotype" w:hAnsi="Palatino Linotype" w:cs="Palatino Linotype"/>
          <w:sz w:val="22"/>
          <w:szCs w:val="22"/>
        </w:rPr>
      </w:pPr>
    </w:p>
    <w:p w:rsidR="00E654C9" w:rsidRDefault="00E654C9">
      <w:pPr>
        <w:spacing w:line="360" w:lineRule="auto"/>
        <w:jc w:val="both"/>
        <w:rPr>
          <w:rFonts w:ascii="Palatino Linotype" w:eastAsia="Palatino Linotype" w:hAnsi="Palatino Linotype" w:cs="Palatino Linotype"/>
          <w:sz w:val="22"/>
          <w:szCs w:val="22"/>
        </w:rPr>
      </w:pPr>
    </w:p>
    <w:p w:rsidR="00734A47" w:rsidRDefault="00BC2DDB">
      <w:pPr>
        <w:spacing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 E S U E L V E</w:t>
      </w: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34A47" w:rsidRDefault="00BC2DDB">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sz w:val="22"/>
          <w:szCs w:val="22"/>
        </w:rPr>
        <w:t xml:space="preserve">PRIMERO. </w:t>
      </w:r>
      <w:r>
        <w:rPr>
          <w:rFonts w:ascii="Palatino Linotype" w:eastAsia="Palatino Linotype" w:hAnsi="Palatino Linotype" w:cs="Palatino Linotype"/>
          <w:color w:val="000000"/>
          <w:sz w:val="22"/>
          <w:szCs w:val="22"/>
        </w:rPr>
        <w:t xml:space="preserve">Se </w:t>
      </w:r>
      <w:r>
        <w:rPr>
          <w:rFonts w:ascii="Palatino Linotype" w:eastAsia="Palatino Linotype" w:hAnsi="Palatino Linotype" w:cs="Palatino Linotype"/>
          <w:b/>
          <w:color w:val="000000"/>
          <w:sz w:val="22"/>
          <w:szCs w:val="22"/>
        </w:rPr>
        <w:t>REVOCA</w:t>
      </w:r>
      <w:r>
        <w:rPr>
          <w:rFonts w:ascii="Palatino Linotype" w:eastAsia="Palatino Linotype" w:hAnsi="Palatino Linotype" w:cs="Palatino Linotype"/>
          <w:color w:val="000000"/>
          <w:sz w:val="22"/>
          <w:szCs w:val="22"/>
        </w:rPr>
        <w:t xml:space="preserve"> la respuesta entregada por el Sujeto Obligado, a la solicitud de información </w:t>
      </w:r>
      <w:r>
        <w:rPr>
          <w:rFonts w:ascii="Palatino Linotype" w:eastAsia="Palatino Linotype" w:hAnsi="Palatino Linotype" w:cs="Palatino Linotype"/>
          <w:sz w:val="22"/>
          <w:szCs w:val="22"/>
        </w:rPr>
        <w:t>00015/MEXICAL/IP/2025</w:t>
      </w:r>
      <w:r>
        <w:rPr>
          <w:rFonts w:ascii="Palatino Linotype" w:eastAsia="Palatino Linotype" w:hAnsi="Palatino Linotype" w:cs="Palatino Linotype"/>
          <w:color w:val="000000"/>
          <w:sz w:val="22"/>
          <w:szCs w:val="22"/>
        </w:rPr>
        <w:t xml:space="preserve">, por resultar </w:t>
      </w:r>
      <w:r>
        <w:rPr>
          <w:rFonts w:ascii="Palatino Linotype" w:eastAsia="Palatino Linotype" w:hAnsi="Palatino Linotype" w:cs="Palatino Linotype"/>
          <w:b/>
          <w:color w:val="000000"/>
          <w:sz w:val="22"/>
          <w:szCs w:val="22"/>
        </w:rPr>
        <w:t>FUNDADAS</w:t>
      </w:r>
      <w:r>
        <w:rPr>
          <w:rFonts w:ascii="Palatino Linotype" w:eastAsia="Palatino Linotype" w:hAnsi="Palatino Linotype" w:cs="Palatino Linotype"/>
          <w:color w:val="000000"/>
          <w:sz w:val="22"/>
          <w:szCs w:val="22"/>
        </w:rPr>
        <w:t xml:space="preserve"> las razones o motivos de </w:t>
      </w:r>
      <w:r>
        <w:rPr>
          <w:rFonts w:ascii="Palatino Linotype" w:eastAsia="Palatino Linotype" w:hAnsi="Palatino Linotype" w:cs="Palatino Linotype"/>
          <w:color w:val="000000"/>
          <w:sz w:val="22"/>
          <w:szCs w:val="22"/>
        </w:rPr>
        <w:lastRenderedPageBreak/>
        <w:t>inconformidad hechos valer por el Particular, en términos de los considerandos QUINTO y SEXTO de la presente Resolución.</w:t>
      </w:r>
    </w:p>
    <w:p w:rsidR="00734A47" w:rsidRDefault="00734A47">
      <w:pPr>
        <w:spacing w:line="360" w:lineRule="auto"/>
        <w:jc w:val="both"/>
        <w:rPr>
          <w:rFonts w:ascii="Palatino Linotype" w:eastAsia="Palatino Linotype" w:hAnsi="Palatino Linotype" w:cs="Palatino Linotype"/>
          <w:b/>
          <w:sz w:val="22"/>
          <w:szCs w:val="22"/>
        </w:rPr>
      </w:pPr>
    </w:p>
    <w:p w:rsidR="00734A47" w:rsidRDefault="00BC2DDB">
      <w:pPr>
        <w:tabs>
          <w:tab w:val="left" w:pos="4962"/>
        </w:tabs>
        <w:spacing w:line="360" w:lineRule="auto"/>
        <w:ind w:right="-28"/>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b/>
          <w:sz w:val="22"/>
          <w:szCs w:val="22"/>
        </w:rPr>
        <w:t xml:space="preserve">SEGUNDO. </w:t>
      </w:r>
      <w:r>
        <w:rPr>
          <w:rFonts w:ascii="Palatino Linotype" w:eastAsia="Palatino Linotype" w:hAnsi="Palatino Linotype" w:cs="Palatino Linotype"/>
          <w:sz w:val="22"/>
          <w:szCs w:val="22"/>
        </w:rPr>
        <w:t xml:space="preserve">Se </w:t>
      </w:r>
      <w:r>
        <w:rPr>
          <w:rFonts w:ascii="Palatino Linotype" w:eastAsia="Palatino Linotype" w:hAnsi="Palatino Linotype" w:cs="Palatino Linotype"/>
          <w:b/>
          <w:sz w:val="22"/>
          <w:szCs w:val="22"/>
        </w:rPr>
        <w:t xml:space="preserve">ORDENA </w:t>
      </w:r>
      <w:r>
        <w:rPr>
          <w:rFonts w:ascii="Palatino Linotype" w:eastAsia="Palatino Linotype" w:hAnsi="Palatino Linotype" w:cs="Palatino Linotype"/>
          <w:sz w:val="22"/>
          <w:szCs w:val="22"/>
        </w:rPr>
        <w:t xml:space="preserve">al </w:t>
      </w:r>
      <w:r>
        <w:rPr>
          <w:rFonts w:ascii="Palatino Linotype" w:eastAsia="Palatino Linotype" w:hAnsi="Palatino Linotype" w:cs="Palatino Linotype"/>
          <w:color w:val="0C0C0C"/>
          <w:sz w:val="22"/>
          <w:szCs w:val="22"/>
        </w:rPr>
        <w:t>Sujeto Obligado</w:t>
      </w:r>
      <w:r>
        <w:rPr>
          <w:rFonts w:ascii="Palatino Linotype" w:eastAsia="Palatino Linotype" w:hAnsi="Palatino Linotype" w:cs="Palatino Linotype"/>
          <w:sz w:val="22"/>
          <w:szCs w:val="22"/>
        </w:rPr>
        <w:t xml:space="preserve">, a efecto de que previa búsqueda exhaustiva y razonable, entregue a través del SAIMEX, en su caso, en versión pública, </w:t>
      </w:r>
      <w:r>
        <w:rPr>
          <w:rFonts w:ascii="Palatino Linotype" w:eastAsia="Palatino Linotype" w:hAnsi="Palatino Linotype" w:cs="Palatino Linotype"/>
          <w:b/>
          <w:sz w:val="22"/>
          <w:szCs w:val="22"/>
        </w:rPr>
        <w:t>las Actas de Cabildo en las que se haya aprobado presupuesto para la adquisición, compra y entrega del programa “Canastas Alimentarias”</w:t>
      </w:r>
      <w:r>
        <w:rPr>
          <w:rFonts w:ascii="Palatino Linotype" w:eastAsia="Palatino Linotype" w:hAnsi="Palatino Linotype" w:cs="Palatino Linotype"/>
          <w:sz w:val="22"/>
          <w:szCs w:val="22"/>
        </w:rPr>
        <w:t xml:space="preserve"> por el periodo comprendido del dieciséis de enero de dos mil veinticuatro, al dieciséis de enero de dos mil veinticinco.</w:t>
      </w:r>
    </w:p>
    <w:p w:rsidR="00734A47" w:rsidRDefault="00734A47">
      <w:pPr>
        <w:spacing w:line="360" w:lineRule="auto"/>
        <w:jc w:val="both"/>
        <w:rPr>
          <w:rFonts w:ascii="Palatino Linotype" w:eastAsia="Palatino Linotype" w:hAnsi="Palatino Linotype" w:cs="Palatino Linotype"/>
          <w:color w:val="000000"/>
          <w:sz w:val="22"/>
          <w:szCs w:val="22"/>
        </w:rPr>
      </w:pPr>
    </w:p>
    <w:p w:rsidR="00734A47" w:rsidRDefault="00BC2DDB">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de ser necesario, deberá proporcionar el Acuerdo de Clasificación donde el Comité de Transparencia, confirme la eliminación de los datos o información, en la versión pública, de conformidad con los artículos 49, fracciones II y VIII y 132, fracción II, de la Ley de Transparencia y Acceso a la Información Pública del Estado de México y Municipios.</w:t>
      </w:r>
    </w:p>
    <w:p w:rsidR="00734A47" w:rsidRDefault="00734A47">
      <w:pPr>
        <w:spacing w:line="360" w:lineRule="auto"/>
        <w:jc w:val="both"/>
        <w:rPr>
          <w:rFonts w:ascii="Palatino Linotype" w:eastAsia="Palatino Linotype" w:hAnsi="Palatino Linotype" w:cs="Palatino Linotype"/>
          <w:color w:val="000000"/>
          <w:sz w:val="22"/>
          <w:szCs w:val="22"/>
        </w:rPr>
      </w:pP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TERCERO. NOTIFÍQUESE POR SAIMEX </w:t>
      </w:r>
      <w:r>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rsidR="00734A47" w:rsidRDefault="00734A47">
      <w:pPr>
        <w:spacing w:line="360" w:lineRule="auto"/>
        <w:jc w:val="both"/>
        <w:rPr>
          <w:rFonts w:ascii="Palatino Linotype" w:eastAsia="Palatino Linotype" w:hAnsi="Palatino Linotype" w:cs="Palatino Linotype"/>
          <w:sz w:val="22"/>
          <w:szCs w:val="22"/>
        </w:rPr>
      </w:pP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Sujeto Obligado de </w:t>
      </w:r>
      <w:r>
        <w:rPr>
          <w:rFonts w:ascii="Palatino Linotype" w:eastAsia="Palatino Linotype" w:hAnsi="Palatino Linotype" w:cs="Palatino Linotype"/>
          <w:sz w:val="22"/>
          <w:szCs w:val="22"/>
        </w:rPr>
        <w:lastRenderedPageBreak/>
        <w:t>manera fundada y motivada, podrá solicitar una ampliación de plazo para el cumplimiento de la presente Resolución.</w:t>
      </w:r>
    </w:p>
    <w:p w:rsidR="00734A47" w:rsidRDefault="00734A47">
      <w:pPr>
        <w:spacing w:line="360" w:lineRule="auto"/>
        <w:jc w:val="both"/>
        <w:rPr>
          <w:rFonts w:ascii="Palatino Linotype" w:eastAsia="Palatino Linotype" w:hAnsi="Palatino Linotype" w:cs="Palatino Linotype"/>
          <w:sz w:val="22"/>
          <w:szCs w:val="22"/>
        </w:rPr>
      </w:pP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CUARTO. NOTIFÍQUESE POR SAIME</w:t>
      </w:r>
      <w:r>
        <w:rPr>
          <w:rFonts w:ascii="Palatino Linotype" w:eastAsia="Palatino Linotype" w:hAnsi="Palatino Linotype" w:cs="Palatino Linotype"/>
          <w:sz w:val="22"/>
          <w:szCs w:val="22"/>
        </w:rPr>
        <w:t>X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34A47" w:rsidRDefault="00BC2D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LO RESUELVE, POR </w:t>
      </w:r>
      <w:bookmarkStart w:id="3" w:name="_GoBack"/>
      <w:r w:rsidR="00F24BF2" w:rsidRPr="00DE7880">
        <w:rPr>
          <w:rFonts w:ascii="Palatino Linotype" w:eastAsia="Palatino Linotype" w:hAnsi="Palatino Linotype" w:cs="Palatino Linotype"/>
          <w:b/>
          <w:sz w:val="22"/>
          <w:szCs w:val="22"/>
        </w:rPr>
        <w:t>MAYORIA</w:t>
      </w:r>
      <w:bookmarkEnd w:id="3"/>
      <w:r w:rsidR="00F24BF2">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F24BF2">
        <w:rPr>
          <w:rFonts w:ascii="Palatino Linotype" w:eastAsia="Palatino Linotype" w:hAnsi="Palatino Linotype" w:cs="Palatino Linotype"/>
          <w:sz w:val="22"/>
          <w:szCs w:val="22"/>
        </w:rPr>
        <w:t xml:space="preserve"> CON VOTO DISIDENTE</w:t>
      </w:r>
      <w:r>
        <w:rPr>
          <w:rFonts w:ascii="Palatino Linotype" w:eastAsia="Palatino Linotype" w:hAnsi="Palatino Linotype" w:cs="Palatino Linotype"/>
          <w:sz w:val="22"/>
          <w:szCs w:val="22"/>
        </w:rPr>
        <w:t>, EN LA DÉCIMA PRIMERA SESIÓN ORDINARIA, CELEBRADA EL VEINTISÉIS DE MARZO DE DOS MIL VEINTICINCO, ANTE EL SECRETARIO TÉCNICO DEL PLENO, ALEXIS TAPIA RAMÍREZ.</w:t>
      </w:r>
    </w:p>
    <w:p w:rsidR="00734A47" w:rsidRDefault="00734A47">
      <w:pPr>
        <w:spacing w:line="360" w:lineRule="auto"/>
        <w:ind w:right="-28"/>
        <w:jc w:val="both"/>
        <w:rPr>
          <w:rFonts w:ascii="Palatino Linotype" w:eastAsia="Palatino Linotype" w:hAnsi="Palatino Linotype" w:cs="Palatino Linotype"/>
          <w:sz w:val="22"/>
          <w:szCs w:val="22"/>
        </w:rPr>
      </w:pPr>
    </w:p>
    <w:p w:rsidR="00734A47" w:rsidRDefault="00734A47">
      <w:pPr>
        <w:spacing w:line="360" w:lineRule="auto"/>
        <w:rPr>
          <w:rFonts w:ascii="Palatino Linotype" w:eastAsia="Palatino Linotype" w:hAnsi="Palatino Linotype" w:cs="Palatino Linotype"/>
        </w:rPr>
      </w:pPr>
    </w:p>
    <w:p w:rsidR="00734A47" w:rsidRDefault="00734A47">
      <w:pPr>
        <w:spacing w:line="360" w:lineRule="auto"/>
        <w:rPr>
          <w:rFonts w:ascii="Palatino Linotype" w:eastAsia="Palatino Linotype" w:hAnsi="Palatino Linotype" w:cs="Palatino Linotype"/>
        </w:rPr>
      </w:pPr>
    </w:p>
    <w:p w:rsidR="00734A47" w:rsidRDefault="00734A47">
      <w:pPr>
        <w:spacing w:line="360" w:lineRule="auto"/>
        <w:rPr>
          <w:rFonts w:ascii="Palatino Linotype" w:eastAsia="Palatino Linotype" w:hAnsi="Palatino Linotype" w:cs="Palatino Linotype"/>
        </w:rPr>
      </w:pPr>
    </w:p>
    <w:p w:rsidR="00734A47" w:rsidRDefault="00734A47">
      <w:pPr>
        <w:spacing w:line="360" w:lineRule="auto"/>
        <w:rPr>
          <w:rFonts w:ascii="Palatino Linotype" w:eastAsia="Palatino Linotype" w:hAnsi="Palatino Linotype" w:cs="Palatino Linotype"/>
        </w:rPr>
      </w:pPr>
    </w:p>
    <w:p w:rsidR="00734A47" w:rsidRDefault="00734A47">
      <w:pPr>
        <w:spacing w:line="360" w:lineRule="auto"/>
        <w:rPr>
          <w:rFonts w:ascii="Palatino Linotype" w:eastAsia="Palatino Linotype" w:hAnsi="Palatino Linotype" w:cs="Palatino Linotype"/>
        </w:rPr>
      </w:pPr>
    </w:p>
    <w:p w:rsidR="00734A47" w:rsidRDefault="00734A47">
      <w:pPr>
        <w:spacing w:line="360" w:lineRule="auto"/>
        <w:rPr>
          <w:rFonts w:ascii="Palatino Linotype" w:eastAsia="Palatino Linotype" w:hAnsi="Palatino Linotype" w:cs="Palatino Linotype"/>
        </w:rPr>
      </w:pPr>
    </w:p>
    <w:p w:rsidR="00734A47" w:rsidRDefault="00734A47">
      <w:pPr>
        <w:spacing w:line="360" w:lineRule="auto"/>
        <w:rPr>
          <w:rFonts w:ascii="Palatino Linotype" w:eastAsia="Palatino Linotype" w:hAnsi="Palatino Linotype" w:cs="Palatino Linotype"/>
        </w:rPr>
      </w:pPr>
    </w:p>
    <w:p w:rsidR="00734A47" w:rsidRDefault="00734A47">
      <w:pPr>
        <w:spacing w:line="360" w:lineRule="auto"/>
        <w:rPr>
          <w:rFonts w:ascii="Palatino Linotype" w:eastAsia="Palatino Linotype" w:hAnsi="Palatino Linotype" w:cs="Palatino Linotype"/>
        </w:rPr>
      </w:pPr>
    </w:p>
    <w:p w:rsidR="00734A47" w:rsidRDefault="00734A47">
      <w:pPr>
        <w:spacing w:line="360" w:lineRule="auto"/>
        <w:rPr>
          <w:rFonts w:ascii="Palatino Linotype" w:eastAsia="Palatino Linotype" w:hAnsi="Palatino Linotype" w:cs="Palatino Linotype"/>
        </w:rPr>
      </w:pPr>
    </w:p>
    <w:p w:rsidR="00734A47" w:rsidRDefault="00734A47">
      <w:pPr>
        <w:spacing w:line="360" w:lineRule="auto"/>
        <w:rPr>
          <w:rFonts w:ascii="Palatino Linotype" w:eastAsia="Palatino Linotype" w:hAnsi="Palatino Linotype" w:cs="Palatino Linotype"/>
        </w:rPr>
      </w:pPr>
    </w:p>
    <w:p w:rsidR="00734A47" w:rsidRDefault="00734A47">
      <w:pPr>
        <w:spacing w:line="360" w:lineRule="auto"/>
        <w:rPr>
          <w:rFonts w:ascii="Palatino Linotype" w:eastAsia="Palatino Linotype" w:hAnsi="Palatino Linotype" w:cs="Palatino Linotype"/>
        </w:rPr>
      </w:pPr>
    </w:p>
    <w:p w:rsidR="00734A47" w:rsidRDefault="00734A47">
      <w:pPr>
        <w:spacing w:line="360" w:lineRule="auto"/>
        <w:rPr>
          <w:rFonts w:ascii="Palatino Linotype" w:eastAsia="Palatino Linotype" w:hAnsi="Palatino Linotype" w:cs="Palatino Linotype"/>
        </w:rPr>
      </w:pPr>
    </w:p>
    <w:p w:rsidR="00734A47" w:rsidRDefault="00734A47">
      <w:pPr>
        <w:spacing w:line="360" w:lineRule="auto"/>
        <w:rPr>
          <w:rFonts w:ascii="Palatino Linotype" w:eastAsia="Palatino Linotype" w:hAnsi="Palatino Linotype" w:cs="Palatino Linotype"/>
        </w:rPr>
      </w:pPr>
    </w:p>
    <w:p w:rsidR="00734A47" w:rsidRDefault="00734A47">
      <w:pPr>
        <w:spacing w:line="360" w:lineRule="auto"/>
        <w:rPr>
          <w:rFonts w:ascii="Palatino Linotype" w:eastAsia="Palatino Linotype" w:hAnsi="Palatino Linotype" w:cs="Palatino Linotype"/>
        </w:rPr>
      </w:pPr>
    </w:p>
    <w:p w:rsidR="00734A47" w:rsidRDefault="00734A47">
      <w:pPr>
        <w:spacing w:line="360" w:lineRule="auto"/>
        <w:rPr>
          <w:rFonts w:ascii="Palatino Linotype" w:eastAsia="Palatino Linotype" w:hAnsi="Palatino Linotype" w:cs="Palatino Linotype"/>
        </w:rPr>
      </w:pPr>
    </w:p>
    <w:p w:rsidR="00734A47" w:rsidRDefault="00734A47">
      <w:pPr>
        <w:spacing w:line="360" w:lineRule="auto"/>
        <w:rPr>
          <w:rFonts w:ascii="Palatino Linotype" w:eastAsia="Palatino Linotype" w:hAnsi="Palatino Linotype" w:cs="Palatino Linotype"/>
        </w:rPr>
      </w:pPr>
    </w:p>
    <w:p w:rsidR="00734A47" w:rsidRDefault="00734A47">
      <w:pPr>
        <w:spacing w:line="360" w:lineRule="auto"/>
        <w:rPr>
          <w:rFonts w:ascii="Palatino Linotype" w:eastAsia="Palatino Linotype" w:hAnsi="Palatino Linotype" w:cs="Palatino Linotype"/>
        </w:rPr>
      </w:pPr>
    </w:p>
    <w:p w:rsidR="00734A47" w:rsidRDefault="00734A47">
      <w:pPr>
        <w:spacing w:line="360" w:lineRule="auto"/>
        <w:rPr>
          <w:rFonts w:ascii="Palatino Linotype" w:eastAsia="Palatino Linotype" w:hAnsi="Palatino Linotype" w:cs="Palatino Linotype"/>
        </w:rPr>
      </w:pPr>
    </w:p>
    <w:p w:rsidR="00734A47" w:rsidRDefault="00734A47">
      <w:pPr>
        <w:spacing w:line="360" w:lineRule="auto"/>
        <w:rPr>
          <w:rFonts w:ascii="Palatino Linotype" w:eastAsia="Palatino Linotype" w:hAnsi="Palatino Linotype" w:cs="Palatino Linotype"/>
        </w:rPr>
      </w:pPr>
    </w:p>
    <w:p w:rsidR="00734A47" w:rsidRDefault="00734A47">
      <w:pPr>
        <w:spacing w:line="360" w:lineRule="auto"/>
        <w:rPr>
          <w:rFonts w:ascii="Palatino Linotype" w:eastAsia="Palatino Linotype" w:hAnsi="Palatino Linotype" w:cs="Palatino Linotype"/>
        </w:rPr>
      </w:pPr>
    </w:p>
    <w:p w:rsidR="00734A47" w:rsidRDefault="00734A47">
      <w:pPr>
        <w:spacing w:line="360" w:lineRule="auto"/>
        <w:rPr>
          <w:rFonts w:ascii="Palatino Linotype" w:eastAsia="Palatino Linotype" w:hAnsi="Palatino Linotype" w:cs="Palatino Linotype"/>
        </w:rPr>
      </w:pPr>
    </w:p>
    <w:p w:rsidR="00734A47" w:rsidRDefault="00734A47">
      <w:pPr>
        <w:spacing w:line="360" w:lineRule="auto"/>
        <w:rPr>
          <w:rFonts w:ascii="Palatino Linotype" w:eastAsia="Palatino Linotype" w:hAnsi="Palatino Linotype" w:cs="Palatino Linotype"/>
        </w:rPr>
      </w:pPr>
    </w:p>
    <w:p w:rsidR="00734A47" w:rsidRDefault="00734A47">
      <w:pPr>
        <w:spacing w:line="360" w:lineRule="auto"/>
      </w:pPr>
    </w:p>
    <w:p w:rsidR="00734A47" w:rsidRDefault="00734A47">
      <w:pPr>
        <w:spacing w:line="360" w:lineRule="auto"/>
      </w:pPr>
    </w:p>
    <w:p w:rsidR="00734A47" w:rsidRDefault="00734A47">
      <w:pPr>
        <w:spacing w:line="360" w:lineRule="auto"/>
      </w:pPr>
    </w:p>
    <w:sectPr w:rsidR="00734A47">
      <w:headerReference w:type="even" r:id="rId11"/>
      <w:headerReference w:type="default" r:id="rId12"/>
      <w:footerReference w:type="default" r:id="rId13"/>
      <w:headerReference w:type="first" r:id="rId14"/>
      <w:footerReference w:type="first" r:id="rId15"/>
      <w:pgSz w:w="12240" w:h="15840"/>
      <w:pgMar w:top="80" w:right="1608" w:bottom="1134" w:left="1588" w:header="850" w:footer="6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B15" w:rsidRDefault="00F62B15">
      <w:r>
        <w:separator/>
      </w:r>
    </w:p>
  </w:endnote>
  <w:endnote w:type="continuationSeparator" w:id="0">
    <w:p w:rsidR="00F62B15" w:rsidRDefault="00F62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A47" w:rsidRDefault="00734A47">
    <w:pPr>
      <w:pBdr>
        <w:top w:val="nil"/>
        <w:left w:val="nil"/>
        <w:bottom w:val="nil"/>
        <w:right w:val="nil"/>
        <w:between w:val="nil"/>
      </w:pBdr>
      <w:tabs>
        <w:tab w:val="center" w:pos="4419"/>
        <w:tab w:val="right" w:pos="8838"/>
      </w:tabs>
      <w:jc w:val="right"/>
      <w:rPr>
        <w:color w:val="000000"/>
        <w:sz w:val="26"/>
        <w:szCs w:val="26"/>
      </w:rPr>
    </w:pPr>
  </w:p>
  <w:p w:rsidR="00734A47" w:rsidRDefault="00BC2DD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D4D91">
      <w:rPr>
        <w:b/>
        <w:noProof/>
        <w:color w:val="000000"/>
        <w:sz w:val="24"/>
        <w:szCs w:val="24"/>
      </w:rPr>
      <w:t>22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D4D91">
      <w:rPr>
        <w:b/>
        <w:noProof/>
        <w:color w:val="000000"/>
        <w:sz w:val="24"/>
        <w:szCs w:val="24"/>
      </w:rPr>
      <w:t>23</w:t>
    </w:r>
    <w:r>
      <w:rPr>
        <w:b/>
        <w:color w:val="000000"/>
        <w:sz w:val="24"/>
        <w:szCs w:val="24"/>
      </w:rPr>
      <w:fldChar w:fldCharType="end"/>
    </w:r>
  </w:p>
  <w:p w:rsidR="00734A47" w:rsidRDefault="00734A4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A47" w:rsidRDefault="00734A47">
    <w:pPr>
      <w:pBdr>
        <w:top w:val="nil"/>
        <w:left w:val="nil"/>
        <w:bottom w:val="nil"/>
        <w:right w:val="nil"/>
        <w:between w:val="nil"/>
      </w:pBdr>
      <w:tabs>
        <w:tab w:val="center" w:pos="4419"/>
        <w:tab w:val="right" w:pos="8838"/>
      </w:tabs>
      <w:jc w:val="right"/>
      <w:rPr>
        <w:color w:val="000000"/>
      </w:rPr>
    </w:pPr>
  </w:p>
  <w:p w:rsidR="00734A47" w:rsidRDefault="00734A47">
    <w:pPr>
      <w:pBdr>
        <w:top w:val="nil"/>
        <w:left w:val="nil"/>
        <w:bottom w:val="nil"/>
        <w:right w:val="nil"/>
        <w:between w:val="nil"/>
      </w:pBdr>
      <w:tabs>
        <w:tab w:val="center" w:pos="4419"/>
        <w:tab w:val="right" w:pos="8838"/>
      </w:tabs>
      <w:jc w:val="right"/>
      <w:rPr>
        <w:color w:val="000000"/>
      </w:rPr>
    </w:pPr>
  </w:p>
  <w:p w:rsidR="00734A47" w:rsidRDefault="00734A47">
    <w:pPr>
      <w:pBdr>
        <w:top w:val="nil"/>
        <w:left w:val="nil"/>
        <w:bottom w:val="nil"/>
        <w:right w:val="nil"/>
        <w:between w:val="nil"/>
      </w:pBdr>
      <w:tabs>
        <w:tab w:val="center" w:pos="4419"/>
        <w:tab w:val="right" w:pos="8838"/>
      </w:tabs>
      <w:jc w:val="right"/>
      <w:rPr>
        <w:color w:val="000000"/>
      </w:rPr>
    </w:pPr>
  </w:p>
  <w:p w:rsidR="00734A47" w:rsidRDefault="00BC2DD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D4D91">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D4D91">
      <w:rPr>
        <w:b/>
        <w:noProof/>
        <w:color w:val="000000"/>
        <w:sz w:val="24"/>
        <w:szCs w:val="24"/>
      </w:rPr>
      <w:t>23</w:t>
    </w:r>
    <w:r>
      <w:rPr>
        <w:b/>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B15" w:rsidRDefault="00F62B15">
      <w:r>
        <w:separator/>
      </w:r>
    </w:p>
  </w:footnote>
  <w:footnote w:type="continuationSeparator" w:id="0">
    <w:p w:rsidR="00F62B15" w:rsidRDefault="00F62B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A47" w:rsidRDefault="00F62B15">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aguaINFOEM" style="position:absolute;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A47" w:rsidRDefault="00F62B15">
    <w:pPr>
      <w:tabs>
        <w:tab w:val="left" w:pos="3416"/>
      </w:tabs>
      <w:rPr>
        <w:sz w:val="22"/>
        <w:szCs w:val="22"/>
      </w:rPr>
    </w:pPr>
    <w:r>
      <w:rPr>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aguaINFOEM" style="position:absolute;margin-left:-100.7pt;margin-top:-126.25pt;width:663.5pt;height:12in;z-index:-251659776;mso-position-horizontal:absolute;mso-position-horizontal-relative:margin;mso-position-vertical:absolute;mso-position-vertical-relative:margin">
          <v:imagedata r:id="rId1" o:title="image1"/>
          <w10:wrap anchorx="margin" anchory="margin"/>
        </v:shape>
      </w:pict>
    </w:r>
  </w:p>
  <w:tbl>
    <w:tblPr>
      <w:tblStyle w:val="a"/>
      <w:tblW w:w="9461" w:type="dxa"/>
      <w:tblInd w:w="0" w:type="dxa"/>
      <w:tblLayout w:type="fixed"/>
      <w:tblLook w:val="0400" w:firstRow="0" w:lastRow="0" w:firstColumn="0" w:lastColumn="0" w:noHBand="0" w:noVBand="1"/>
    </w:tblPr>
    <w:tblGrid>
      <w:gridCol w:w="2268"/>
      <w:gridCol w:w="7193"/>
    </w:tblGrid>
    <w:tr w:rsidR="00734A47">
      <w:trPr>
        <w:trHeight w:val="70"/>
      </w:trPr>
      <w:tc>
        <w:tcPr>
          <w:tcW w:w="2268" w:type="dxa"/>
          <w:shd w:val="clear" w:color="auto" w:fill="auto"/>
        </w:tcPr>
        <w:p w:rsidR="00734A47" w:rsidRDefault="00734A47">
          <w:pPr>
            <w:tabs>
              <w:tab w:val="right" w:pos="4273"/>
            </w:tabs>
            <w:rPr>
              <w:rFonts w:ascii="Garamond" w:eastAsia="Garamond" w:hAnsi="Garamond" w:cs="Garamond"/>
              <w:sz w:val="16"/>
              <w:szCs w:val="16"/>
            </w:rPr>
          </w:pPr>
        </w:p>
      </w:tc>
      <w:tc>
        <w:tcPr>
          <w:tcW w:w="7193" w:type="dxa"/>
          <w:shd w:val="clear" w:color="auto" w:fill="auto"/>
        </w:tcPr>
        <w:p w:rsidR="00734A47" w:rsidRDefault="00734A47">
          <w:pPr>
            <w:widowControl w:val="0"/>
            <w:pBdr>
              <w:top w:val="nil"/>
              <w:left w:val="nil"/>
              <w:bottom w:val="nil"/>
              <w:right w:val="nil"/>
              <w:between w:val="nil"/>
            </w:pBdr>
            <w:spacing w:line="276" w:lineRule="auto"/>
            <w:rPr>
              <w:rFonts w:ascii="Garamond" w:eastAsia="Garamond" w:hAnsi="Garamond" w:cs="Garamond"/>
              <w:sz w:val="16"/>
              <w:szCs w:val="16"/>
            </w:rPr>
          </w:pPr>
        </w:p>
        <w:tbl>
          <w:tblPr>
            <w:tblStyle w:val="a0"/>
            <w:tblW w:w="785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442"/>
            <w:gridCol w:w="4416"/>
          </w:tblGrid>
          <w:tr w:rsidR="00734A47">
            <w:trPr>
              <w:trHeight w:val="171"/>
            </w:trPr>
            <w:tc>
              <w:tcPr>
                <w:tcW w:w="3442" w:type="dxa"/>
                <w:vAlign w:val="bottom"/>
              </w:tcPr>
              <w:p w:rsidR="00734A47" w:rsidRDefault="00BC2DDB">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Recurso de Revisión:</w:t>
                </w:r>
              </w:p>
            </w:tc>
            <w:tc>
              <w:tcPr>
                <w:tcW w:w="4416" w:type="dxa"/>
              </w:tcPr>
              <w:p w:rsidR="00734A47" w:rsidRDefault="00BC2DDB">
                <w:pPr>
                  <w:tabs>
                    <w:tab w:val="right" w:pos="8838"/>
                  </w:tabs>
                  <w:ind w:left="-28" w:right="683"/>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01506/INFOEM/IP/RR/2025</w:t>
                </w:r>
              </w:p>
            </w:tc>
          </w:tr>
          <w:tr w:rsidR="00734A47">
            <w:trPr>
              <w:trHeight w:val="338"/>
            </w:trPr>
            <w:tc>
              <w:tcPr>
                <w:tcW w:w="3442" w:type="dxa"/>
              </w:tcPr>
              <w:p w:rsidR="00734A47" w:rsidRDefault="00BC2DDB">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Sujeto Obligado:</w:t>
                </w:r>
              </w:p>
            </w:tc>
            <w:tc>
              <w:tcPr>
                <w:tcW w:w="4416" w:type="dxa"/>
              </w:tcPr>
              <w:p w:rsidR="00734A47" w:rsidRDefault="00BC2DDB">
                <w:pPr>
                  <w:tabs>
                    <w:tab w:val="right" w:pos="8838"/>
                  </w:tabs>
                  <w:ind w:left="-28" w:right="1008"/>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Ayuntamiento de </w:t>
                </w:r>
                <w:proofErr w:type="spellStart"/>
                <w:r>
                  <w:rPr>
                    <w:rFonts w:ascii="Palatino Linotype" w:eastAsia="Palatino Linotype" w:hAnsi="Palatino Linotype" w:cs="Palatino Linotype"/>
                    <w:color w:val="000000"/>
                    <w:sz w:val="22"/>
                    <w:szCs w:val="22"/>
                  </w:rPr>
                  <w:t>Mexicaltzingo</w:t>
                </w:r>
                <w:proofErr w:type="spellEnd"/>
              </w:p>
            </w:tc>
          </w:tr>
          <w:tr w:rsidR="00734A47">
            <w:trPr>
              <w:trHeight w:val="338"/>
            </w:trPr>
            <w:tc>
              <w:tcPr>
                <w:tcW w:w="3442" w:type="dxa"/>
              </w:tcPr>
              <w:p w:rsidR="00734A47" w:rsidRDefault="00BC2DDB">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Comisionado Ponente:</w:t>
                </w:r>
              </w:p>
            </w:tc>
            <w:tc>
              <w:tcPr>
                <w:tcW w:w="4416" w:type="dxa"/>
              </w:tcPr>
              <w:p w:rsidR="00734A47" w:rsidRDefault="00BC2DDB">
                <w:pPr>
                  <w:tabs>
                    <w:tab w:val="right" w:pos="8838"/>
                  </w:tabs>
                  <w:ind w:left="-28" w:right="-32"/>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rsidR="00734A47" w:rsidRDefault="00734A47">
                <w:pPr>
                  <w:tabs>
                    <w:tab w:val="right" w:pos="8838"/>
                  </w:tabs>
                  <w:ind w:left="-28" w:right="-32"/>
                  <w:rPr>
                    <w:rFonts w:ascii="Palatino Linotype" w:eastAsia="Palatino Linotype" w:hAnsi="Palatino Linotype" w:cs="Palatino Linotype"/>
                    <w:b/>
                    <w:sz w:val="22"/>
                    <w:szCs w:val="22"/>
                  </w:rPr>
                </w:pPr>
              </w:p>
            </w:tc>
          </w:tr>
        </w:tbl>
        <w:p w:rsidR="00734A47" w:rsidRDefault="00734A47">
          <w:pPr>
            <w:tabs>
              <w:tab w:val="right" w:pos="8838"/>
            </w:tabs>
            <w:ind w:left="-28"/>
            <w:rPr>
              <w:rFonts w:ascii="Arial" w:eastAsia="Arial" w:hAnsi="Arial" w:cs="Arial"/>
              <w:b/>
            </w:rPr>
          </w:pPr>
        </w:p>
      </w:tc>
    </w:tr>
  </w:tbl>
  <w:p w:rsidR="00734A47" w:rsidRDefault="00734A47">
    <w:pPr>
      <w:pBdr>
        <w:top w:val="nil"/>
        <w:left w:val="nil"/>
        <w:bottom w:val="nil"/>
        <w:right w:val="nil"/>
        <w:between w:val="nil"/>
      </w:pBdr>
      <w:tabs>
        <w:tab w:val="center" w:pos="4419"/>
        <w:tab w:val="right" w:pos="8838"/>
      </w:tabs>
      <w:rPr>
        <w:color w:val="000000"/>
        <w:sz w:val="14"/>
        <w:szCs w:val="14"/>
      </w:rPr>
    </w:pPr>
  </w:p>
  <w:p w:rsidR="00734A47" w:rsidRDefault="00734A47">
    <w:pPr>
      <w:pBdr>
        <w:top w:val="nil"/>
        <w:left w:val="nil"/>
        <w:bottom w:val="nil"/>
        <w:right w:val="nil"/>
        <w:between w:val="nil"/>
      </w:pBdr>
      <w:tabs>
        <w:tab w:val="center" w:pos="4419"/>
        <w:tab w:val="right" w:pos="8838"/>
      </w:tabs>
      <w:rPr>
        <w:color w:val="000000"/>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A47" w:rsidRDefault="00734A47">
    <w:pPr>
      <w:widowControl w:val="0"/>
      <w:pBdr>
        <w:top w:val="nil"/>
        <w:left w:val="nil"/>
        <w:bottom w:val="nil"/>
        <w:right w:val="nil"/>
        <w:between w:val="nil"/>
      </w:pBdr>
      <w:spacing w:line="276" w:lineRule="auto"/>
      <w:rPr>
        <w:color w:val="000000"/>
        <w:sz w:val="14"/>
        <w:szCs w:val="14"/>
      </w:rPr>
    </w:pPr>
  </w:p>
  <w:tbl>
    <w:tblPr>
      <w:tblStyle w:val="a1"/>
      <w:tblW w:w="6945"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3543"/>
      <w:gridCol w:w="3402"/>
    </w:tblGrid>
    <w:tr w:rsidR="00734A47">
      <w:trPr>
        <w:trHeight w:val="302"/>
      </w:trPr>
      <w:tc>
        <w:tcPr>
          <w:tcW w:w="3544" w:type="dxa"/>
        </w:tcPr>
        <w:p w:rsidR="00734A47" w:rsidRDefault="00BC2DDB">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Recurso de Revisión:</w:t>
          </w:r>
        </w:p>
      </w:tc>
      <w:tc>
        <w:tcPr>
          <w:tcW w:w="3402" w:type="dxa"/>
        </w:tcPr>
        <w:p w:rsidR="00734A47" w:rsidRDefault="00BC2DDB">
          <w:pPr>
            <w:tabs>
              <w:tab w:val="right" w:pos="8838"/>
            </w:tabs>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01506/INFOEM/IP/RR/2025</w:t>
          </w:r>
        </w:p>
      </w:tc>
    </w:tr>
    <w:tr w:rsidR="00734A47">
      <w:trPr>
        <w:trHeight w:val="110"/>
      </w:trPr>
      <w:tc>
        <w:tcPr>
          <w:tcW w:w="3544" w:type="dxa"/>
        </w:tcPr>
        <w:p w:rsidR="00734A47" w:rsidRDefault="00BC2DDB">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Recurrente:</w:t>
          </w:r>
        </w:p>
      </w:tc>
      <w:tc>
        <w:tcPr>
          <w:tcW w:w="3402" w:type="dxa"/>
        </w:tcPr>
        <w:p w:rsidR="00734A47" w:rsidRDefault="00BC2DDB">
          <w:pPr>
            <w:jc w:val="both"/>
            <w:rPr>
              <w:rFonts w:ascii="Palatino Linotype" w:eastAsia="Palatino Linotype" w:hAnsi="Palatino Linotype" w:cs="Palatino Linotype"/>
              <w:sz w:val="22"/>
              <w:szCs w:val="22"/>
            </w:rPr>
          </w:pPr>
          <w:proofErr w:type="spellStart"/>
          <w:r>
            <w:rPr>
              <w:rFonts w:ascii="Palatino Linotype" w:eastAsia="Palatino Linotype" w:hAnsi="Palatino Linotype" w:cs="Palatino Linotype"/>
              <w:sz w:val="22"/>
              <w:szCs w:val="22"/>
            </w:rPr>
            <w:t>monzerrat</w:t>
          </w:r>
          <w:proofErr w:type="spellEnd"/>
          <w:r>
            <w:rPr>
              <w:rFonts w:ascii="Palatino Linotype" w:eastAsia="Palatino Linotype" w:hAnsi="Palatino Linotype" w:cs="Palatino Linotype"/>
              <w:sz w:val="22"/>
              <w:szCs w:val="22"/>
            </w:rPr>
            <w:t xml:space="preserve"> contreras </w:t>
          </w:r>
          <w:proofErr w:type="spellStart"/>
          <w:r>
            <w:rPr>
              <w:rFonts w:ascii="Palatino Linotype" w:eastAsia="Palatino Linotype" w:hAnsi="Palatino Linotype" w:cs="Palatino Linotype"/>
              <w:sz w:val="22"/>
              <w:szCs w:val="22"/>
            </w:rPr>
            <w:t>contreras</w:t>
          </w:r>
          <w:proofErr w:type="spellEnd"/>
        </w:p>
      </w:tc>
    </w:tr>
    <w:tr w:rsidR="00734A47">
      <w:trPr>
        <w:trHeight w:val="248"/>
      </w:trPr>
      <w:tc>
        <w:tcPr>
          <w:tcW w:w="3544" w:type="dxa"/>
        </w:tcPr>
        <w:p w:rsidR="00734A47" w:rsidRDefault="00BC2DDB">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Sujeto Obligado:</w:t>
          </w:r>
        </w:p>
      </w:tc>
      <w:tc>
        <w:tcPr>
          <w:tcW w:w="3402" w:type="dxa"/>
        </w:tcPr>
        <w:p w:rsidR="00734A47" w:rsidRDefault="00BC2DDB">
          <w:pPr>
            <w:tabs>
              <w:tab w:val="right" w:pos="8838"/>
            </w:tabs>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Ayuntamiento de </w:t>
          </w:r>
          <w:proofErr w:type="spellStart"/>
          <w:r>
            <w:rPr>
              <w:rFonts w:ascii="Palatino Linotype" w:eastAsia="Palatino Linotype" w:hAnsi="Palatino Linotype" w:cs="Palatino Linotype"/>
              <w:color w:val="000000"/>
              <w:sz w:val="22"/>
              <w:szCs w:val="22"/>
            </w:rPr>
            <w:t>Mexicaltzingo</w:t>
          </w:r>
          <w:proofErr w:type="spellEnd"/>
        </w:p>
      </w:tc>
    </w:tr>
    <w:tr w:rsidR="00734A47">
      <w:trPr>
        <w:trHeight w:val="248"/>
      </w:trPr>
      <w:tc>
        <w:tcPr>
          <w:tcW w:w="3544" w:type="dxa"/>
        </w:tcPr>
        <w:p w:rsidR="00734A47" w:rsidRDefault="00BC2DDB">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Comisionado Ponente:</w:t>
          </w:r>
        </w:p>
      </w:tc>
      <w:tc>
        <w:tcPr>
          <w:tcW w:w="3402" w:type="dxa"/>
        </w:tcPr>
        <w:p w:rsidR="00734A47" w:rsidRDefault="00BC2DDB">
          <w:pPr>
            <w:tabs>
              <w:tab w:val="right" w:pos="8838"/>
            </w:tabs>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rsidR="00734A47" w:rsidRDefault="00F62B15">
    <w:pPr>
      <w:ind w:right="-31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aguaINFOEM" style="position:absolute;margin-left:-92.55pt;margin-top:-170.4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6F2B1D"/>
    <w:multiLevelType w:val="multilevel"/>
    <w:tmpl w:val="75E2D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C50DDD"/>
    <w:multiLevelType w:val="multilevel"/>
    <w:tmpl w:val="057E20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11B7468"/>
    <w:multiLevelType w:val="multilevel"/>
    <w:tmpl w:val="168A3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A47"/>
    <w:rsid w:val="00091615"/>
    <w:rsid w:val="001D4D91"/>
    <w:rsid w:val="00734A47"/>
    <w:rsid w:val="00BC2DDB"/>
    <w:rsid w:val="00C62766"/>
    <w:rsid w:val="00DE7880"/>
    <w:rsid w:val="00E654C9"/>
    <w:rsid w:val="00F24BF2"/>
    <w:rsid w:val="00F62B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E905425-57BF-46EC-8B17-C5180BFEA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4AA"/>
    <w:rPr>
      <w:lang w:eastAsia="es-ES"/>
    </w:rPr>
  </w:style>
  <w:style w:type="paragraph" w:styleId="Ttulo1">
    <w:name w:val="heading 1"/>
    <w:basedOn w:val="Normal"/>
    <w:next w:val="Normal"/>
    <w:link w:val="Ttulo1Car"/>
    <w:uiPriority w:val="9"/>
    <w:qFormat/>
    <w:rsid w:val="00C304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C304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C304A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C304A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C304A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C304A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304A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304A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304A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C304AA"/>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C304A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C304A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C304A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C304A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C304A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C304A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304A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304A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304AA"/>
    <w:rPr>
      <w:rFonts w:eastAsiaTheme="majorEastAsia" w:cstheme="majorBidi"/>
      <w:color w:val="272727" w:themeColor="text1" w:themeTint="D8"/>
    </w:rPr>
  </w:style>
  <w:style w:type="character" w:customStyle="1" w:styleId="PuestoCar">
    <w:name w:val="Puesto Car"/>
    <w:basedOn w:val="Fuentedeprrafopredeter"/>
    <w:link w:val="Puesto"/>
    <w:uiPriority w:val="10"/>
    <w:rsid w:val="00C304A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C304A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304AA"/>
    <w:pPr>
      <w:spacing w:before="160"/>
      <w:jc w:val="center"/>
    </w:pPr>
    <w:rPr>
      <w:i/>
      <w:iCs/>
      <w:color w:val="404040" w:themeColor="text1" w:themeTint="BF"/>
    </w:rPr>
  </w:style>
  <w:style w:type="character" w:customStyle="1" w:styleId="CitaCar">
    <w:name w:val="Cita Car"/>
    <w:basedOn w:val="Fuentedeprrafopredeter"/>
    <w:link w:val="Cita"/>
    <w:uiPriority w:val="29"/>
    <w:rsid w:val="00C304AA"/>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304AA"/>
    <w:pPr>
      <w:ind w:left="720"/>
      <w:contextualSpacing/>
    </w:pPr>
  </w:style>
  <w:style w:type="character" w:styleId="nfasisintenso">
    <w:name w:val="Intense Emphasis"/>
    <w:basedOn w:val="Fuentedeprrafopredeter"/>
    <w:uiPriority w:val="21"/>
    <w:qFormat/>
    <w:rsid w:val="00C304AA"/>
    <w:rPr>
      <w:i/>
      <w:iCs/>
      <w:color w:val="2F5496" w:themeColor="accent1" w:themeShade="BF"/>
    </w:rPr>
  </w:style>
  <w:style w:type="paragraph" w:styleId="Citadestacada">
    <w:name w:val="Intense Quote"/>
    <w:basedOn w:val="Normal"/>
    <w:next w:val="Normal"/>
    <w:link w:val="CitadestacadaCar"/>
    <w:uiPriority w:val="30"/>
    <w:qFormat/>
    <w:rsid w:val="00C304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C304AA"/>
    <w:rPr>
      <w:i/>
      <w:iCs/>
      <w:color w:val="2F5496" w:themeColor="accent1" w:themeShade="BF"/>
    </w:rPr>
  </w:style>
  <w:style w:type="character" w:styleId="Referenciaintensa">
    <w:name w:val="Intense Reference"/>
    <w:basedOn w:val="Fuentedeprrafopredeter"/>
    <w:uiPriority w:val="32"/>
    <w:qFormat/>
    <w:rsid w:val="00C304AA"/>
    <w:rPr>
      <w:b/>
      <w:bCs/>
      <w:smallCaps/>
      <w:color w:val="2F5496" w:themeColor="accent1" w:themeShade="BF"/>
      <w:spacing w:val="5"/>
    </w:rPr>
  </w:style>
  <w:style w:type="paragraph" w:styleId="Encabezado">
    <w:name w:val="header"/>
    <w:basedOn w:val="Normal"/>
    <w:link w:val="EncabezadoCar"/>
    <w:uiPriority w:val="99"/>
    <w:unhideWhenUsed/>
    <w:rsid w:val="00C304AA"/>
    <w:pPr>
      <w:tabs>
        <w:tab w:val="center" w:pos="4419"/>
        <w:tab w:val="right" w:pos="8838"/>
      </w:tabs>
    </w:pPr>
  </w:style>
  <w:style w:type="character" w:customStyle="1" w:styleId="EncabezadoCar">
    <w:name w:val="Encabezado Car"/>
    <w:basedOn w:val="Fuentedeprrafopredeter"/>
    <w:link w:val="Encabezado"/>
    <w:uiPriority w:val="99"/>
    <w:rsid w:val="00C304AA"/>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C304AA"/>
    <w:pPr>
      <w:tabs>
        <w:tab w:val="center" w:pos="4419"/>
        <w:tab w:val="right" w:pos="8838"/>
      </w:tabs>
    </w:pPr>
  </w:style>
  <w:style w:type="character" w:customStyle="1" w:styleId="PiedepginaCar">
    <w:name w:val="Pie de página Car"/>
    <w:basedOn w:val="Fuentedeprrafopredeter"/>
    <w:link w:val="Piedepgina"/>
    <w:uiPriority w:val="99"/>
    <w:rsid w:val="00C304AA"/>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C304AA"/>
  </w:style>
  <w:style w:type="table" w:styleId="Tablaconcuadrcula">
    <w:name w:val="Table Grid"/>
    <w:basedOn w:val="Tablanormal"/>
    <w:uiPriority w:val="39"/>
    <w:rsid w:val="00C304A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304AA"/>
    <w:pPr>
      <w:spacing w:before="100" w:beforeAutospacing="1" w:after="100" w:afterAutospacing="1"/>
    </w:pPr>
    <w:rPr>
      <w:sz w:val="24"/>
      <w:szCs w:val="24"/>
      <w:lang w:eastAsia="es-MX"/>
    </w:rPr>
  </w:style>
  <w:style w:type="character" w:styleId="Hipervnculo">
    <w:name w:val="Hyperlink"/>
    <w:basedOn w:val="Fuentedeprrafopredeter"/>
    <w:uiPriority w:val="99"/>
    <w:unhideWhenUsed/>
    <w:rsid w:val="00C304AA"/>
    <w:rPr>
      <w:color w:val="0563C1" w:themeColor="hyperlink"/>
      <w:u w:val="single"/>
    </w:rPr>
  </w:style>
  <w:style w:type="character" w:customStyle="1" w:styleId="UnresolvedMention">
    <w:name w:val="Unresolved Mention"/>
    <w:basedOn w:val="Fuentedeprrafopredeter"/>
    <w:uiPriority w:val="99"/>
    <w:semiHidden/>
    <w:unhideWhenUsed/>
    <w:rsid w:val="006F08FF"/>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bCH/d+b1FrL2HVjqekg92tS2rg==">CgMxLjAyDmgucGZvaGtnNDF3MGN0Mg5oLm9qeHJqemxwN3JhcjIOaC5hZGp3aWZqa2YwMjU4AHIhMXJnZFdzZDdvUm9jTTJUcmFkeFZTckwtdXhSRnRlRlpz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5042</Words>
  <Characters>27737</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32714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USUARIO</cp:lastModifiedBy>
  <cp:revision>3</cp:revision>
  <cp:lastPrinted>2025-03-28T00:29:00Z</cp:lastPrinted>
  <dcterms:created xsi:type="dcterms:W3CDTF">2025-03-28T00:29:00Z</dcterms:created>
  <dcterms:modified xsi:type="dcterms:W3CDTF">2025-03-28T00:29:00Z</dcterms:modified>
</cp:coreProperties>
</file>